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napToGrid w:val="0"/>
        <w:spacing w:after="0" w:line="360" w:lineRule="auto"/>
        <w:jc w:val="center"/>
        <w:rPr>
          <w:rFonts w:ascii="宋体" w:hAnsi="宋体" w:eastAsia="宋体" w:cs="宋体"/>
          <w:sz w:val="28"/>
          <w:szCs w:val="28"/>
          <w:highlight w:val="none"/>
        </w:rPr>
      </w:pPr>
      <w:r>
        <w:rPr>
          <w:rFonts w:hint="eastAsia" w:ascii="宋体" w:hAnsi="宋体" w:eastAsia="宋体" w:cs="宋体"/>
          <w:b/>
          <w:bCs/>
          <w:sz w:val="28"/>
          <w:szCs w:val="28"/>
          <w:highlight w:val="none"/>
        </w:rPr>
        <w:t>茂名港博贺新港区通用码头工程粮食筒仓及输送廊道工程施工招标公告</w:t>
      </w:r>
    </w:p>
    <w:p>
      <w:pPr>
        <w:pStyle w:val="2"/>
        <w:adjustRightInd w:val="0"/>
        <w:snapToGrid w:val="0"/>
        <w:spacing w:before="0" w:after="0" w:line="360" w:lineRule="auto"/>
        <w:ind w:firstLine="482" w:firstLineChars="200"/>
        <w:rPr>
          <w:rFonts w:ascii="宋体" w:hAnsi="宋体" w:cs="宋体"/>
          <w:bCs w:val="0"/>
          <w:color w:val="auto"/>
          <w:sz w:val="24"/>
          <w:szCs w:val="24"/>
          <w:highlight w:val="none"/>
        </w:rPr>
      </w:pPr>
      <w:bookmarkStart w:id="0" w:name="_Toc8253"/>
      <w:bookmarkStart w:id="1" w:name="_Toc234382570"/>
      <w:bookmarkStart w:id="2" w:name="_Toc19459"/>
      <w:r>
        <w:rPr>
          <w:rFonts w:ascii="宋体" w:hAnsi="宋体" w:cs="宋体"/>
          <w:bCs w:val="0"/>
          <w:color w:val="auto"/>
          <w:sz w:val="24"/>
          <w:szCs w:val="24"/>
          <w:highlight w:val="none"/>
        </w:rPr>
        <w:t>1.招标条件</w:t>
      </w:r>
      <w:bookmarkEnd w:id="0"/>
      <w:bookmarkEnd w:id="1"/>
      <w:bookmarkEnd w:id="2"/>
    </w:p>
    <w:p>
      <w:pPr>
        <w:tabs>
          <w:tab w:val="left" w:pos="2520"/>
          <w:tab w:val="left" w:pos="6020"/>
        </w:tabs>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本招标项目茂名港博贺新港区通用码头工程已由</w:t>
      </w:r>
      <w:r>
        <w:rPr>
          <w:rFonts w:hint="eastAsia" w:ascii="宋体" w:hAnsi="宋体" w:cs="宋体"/>
          <w:color w:val="auto"/>
          <w:sz w:val="24"/>
          <w:highlight w:val="none"/>
          <w:u w:val="single"/>
        </w:rPr>
        <w:t>茂名市发改局</w:t>
      </w:r>
      <w:r>
        <w:rPr>
          <w:rFonts w:hint="eastAsia" w:ascii="宋体" w:hAnsi="宋体" w:cs="宋体"/>
          <w:color w:val="auto"/>
          <w:sz w:val="24"/>
          <w:highlight w:val="none"/>
        </w:rPr>
        <w:t>以</w:t>
      </w:r>
      <w:r>
        <w:rPr>
          <w:rFonts w:hint="eastAsia" w:ascii="宋体" w:hAnsi="宋体" w:cs="宋体"/>
          <w:color w:val="auto"/>
          <w:sz w:val="24"/>
          <w:highlight w:val="none"/>
          <w:u w:val="single"/>
        </w:rPr>
        <w:t>茂发改交审【</w:t>
      </w:r>
      <w:r>
        <w:rPr>
          <w:rFonts w:ascii="宋体" w:hAnsi="宋体" w:cs="宋体"/>
          <w:color w:val="auto"/>
          <w:sz w:val="24"/>
          <w:highlight w:val="none"/>
          <w:u w:val="single"/>
        </w:rPr>
        <w:t>2014】154号</w:t>
      </w:r>
      <w:r>
        <w:rPr>
          <w:rFonts w:hint="eastAsia" w:ascii="宋体" w:hAnsi="宋体" w:cs="宋体"/>
          <w:color w:val="auto"/>
          <w:sz w:val="24"/>
          <w:highlight w:val="none"/>
        </w:rPr>
        <w:t>批准建设，初步设计已由</w:t>
      </w:r>
      <w:r>
        <w:rPr>
          <w:rFonts w:hint="eastAsia" w:ascii="宋体" w:hAnsi="宋体" w:cs="宋体"/>
          <w:color w:val="auto"/>
          <w:sz w:val="24"/>
          <w:highlight w:val="none"/>
          <w:u w:val="single"/>
        </w:rPr>
        <w:t>茂名市交通运输局</w:t>
      </w:r>
      <w:r>
        <w:rPr>
          <w:rFonts w:hint="eastAsia" w:ascii="宋体" w:hAnsi="宋体" w:cs="宋体"/>
          <w:color w:val="auto"/>
          <w:sz w:val="24"/>
          <w:highlight w:val="none"/>
        </w:rPr>
        <w:t>以</w:t>
      </w:r>
      <w:r>
        <w:rPr>
          <w:rFonts w:hint="eastAsia" w:ascii="宋体" w:hAnsi="宋体" w:cs="宋体"/>
          <w:color w:val="auto"/>
          <w:sz w:val="24"/>
          <w:highlight w:val="none"/>
          <w:u w:val="single"/>
        </w:rPr>
        <w:t>茂交审【</w:t>
      </w:r>
      <w:r>
        <w:rPr>
          <w:rFonts w:ascii="宋体" w:hAnsi="宋体" w:cs="宋体"/>
          <w:color w:val="auto"/>
          <w:sz w:val="24"/>
          <w:highlight w:val="none"/>
          <w:u w:val="single"/>
        </w:rPr>
        <w:t>2022】43号</w:t>
      </w:r>
      <w:r>
        <w:rPr>
          <w:rFonts w:hint="eastAsia" w:ascii="宋体" w:hAnsi="宋体" w:cs="宋体"/>
          <w:color w:val="auto"/>
          <w:sz w:val="24"/>
          <w:highlight w:val="none"/>
        </w:rPr>
        <w:t>批准，项目业主为</w:t>
      </w:r>
      <w:r>
        <w:rPr>
          <w:rFonts w:hint="eastAsia" w:ascii="宋体" w:hAnsi="宋体" w:cs="宋体"/>
          <w:color w:val="auto"/>
          <w:sz w:val="24"/>
          <w:highlight w:val="none"/>
          <w:u w:val="single"/>
        </w:rPr>
        <w:t>茂名广港码头有限公司</w:t>
      </w:r>
      <w:r>
        <w:rPr>
          <w:rFonts w:hint="eastAsia" w:ascii="宋体" w:hAnsi="宋体" w:cs="宋体"/>
          <w:color w:val="auto"/>
          <w:sz w:val="24"/>
          <w:highlight w:val="none"/>
        </w:rPr>
        <w:t>，建设资金为</w:t>
      </w:r>
      <w:r>
        <w:rPr>
          <w:rFonts w:hint="eastAsia" w:ascii="宋体" w:hAnsi="宋体" w:cs="宋体"/>
          <w:color w:val="auto"/>
          <w:sz w:val="24"/>
          <w:highlight w:val="none"/>
          <w:u w:val="single"/>
        </w:rPr>
        <w:t>企业自筹</w:t>
      </w:r>
      <w:r>
        <w:rPr>
          <w:rFonts w:hint="eastAsia" w:ascii="宋体" w:hAnsi="宋体" w:cs="宋体"/>
          <w:color w:val="auto"/>
          <w:sz w:val="24"/>
          <w:highlight w:val="none"/>
        </w:rPr>
        <w:t>，项目出资比例为</w:t>
      </w:r>
      <w:r>
        <w:rPr>
          <w:rFonts w:ascii="宋体" w:hAnsi="宋体" w:cs="宋体"/>
          <w:color w:val="auto"/>
          <w:sz w:val="24"/>
          <w:highlight w:val="none"/>
          <w:u w:val="single"/>
        </w:rPr>
        <w:t>100%</w:t>
      </w:r>
      <w:r>
        <w:rPr>
          <w:rFonts w:hint="eastAsia" w:ascii="宋体" w:hAnsi="宋体" w:cs="宋体"/>
          <w:color w:val="auto"/>
          <w:sz w:val="24"/>
          <w:highlight w:val="none"/>
        </w:rPr>
        <w:t>，招标人为</w:t>
      </w:r>
      <w:r>
        <w:rPr>
          <w:rFonts w:hint="eastAsia" w:ascii="宋体" w:hAnsi="宋体" w:cs="宋体"/>
          <w:color w:val="auto"/>
          <w:sz w:val="24"/>
          <w:highlight w:val="none"/>
          <w:u w:val="single"/>
        </w:rPr>
        <w:t>茂名广港码头有限公司</w:t>
      </w:r>
      <w:r>
        <w:rPr>
          <w:rFonts w:hint="eastAsia" w:ascii="宋体" w:hAnsi="宋体" w:cs="宋体"/>
          <w:color w:val="auto"/>
          <w:sz w:val="24"/>
          <w:highlight w:val="none"/>
        </w:rPr>
        <w:t>，项目已具备招标条件，现对该项目的施工采用资格后审方式进行公开招标。</w:t>
      </w:r>
    </w:p>
    <w:p>
      <w:pPr>
        <w:pStyle w:val="2"/>
        <w:adjustRightInd w:val="0"/>
        <w:snapToGrid w:val="0"/>
        <w:spacing w:before="0" w:after="0" w:line="360" w:lineRule="auto"/>
        <w:ind w:firstLine="482" w:firstLineChars="200"/>
        <w:rPr>
          <w:rFonts w:ascii="宋体" w:hAnsi="宋体" w:cs="宋体"/>
          <w:color w:val="auto"/>
          <w:sz w:val="24"/>
          <w:szCs w:val="24"/>
          <w:highlight w:val="none"/>
        </w:rPr>
      </w:pPr>
      <w:bookmarkStart w:id="3" w:name="_Toc12990"/>
      <w:bookmarkStart w:id="4" w:name="_Toc16307"/>
      <w:bookmarkStart w:id="5" w:name="_Toc234382571"/>
      <w:r>
        <w:rPr>
          <w:rFonts w:ascii="宋体" w:hAnsi="宋体" w:cs="宋体"/>
          <w:color w:val="auto"/>
          <w:sz w:val="24"/>
          <w:szCs w:val="24"/>
          <w:highlight w:val="none"/>
        </w:rPr>
        <w:t>2.项目概况与招标范围</w:t>
      </w:r>
      <w:bookmarkEnd w:id="3"/>
      <w:bookmarkEnd w:id="4"/>
      <w:bookmarkEnd w:id="5"/>
    </w:p>
    <w:p>
      <w:pPr>
        <w:pStyle w:val="8"/>
        <w:adjustRightInd w:val="0"/>
        <w:spacing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2.1</w:t>
      </w:r>
      <w:r>
        <w:rPr>
          <w:rFonts w:hint="eastAsia" w:ascii="宋体" w:hAnsi="宋体" w:cs="宋体"/>
          <w:color w:val="auto"/>
          <w:sz w:val="24"/>
          <w:highlight w:val="none"/>
        </w:rPr>
        <w:t>项目概况与招标范围</w:t>
      </w:r>
    </w:p>
    <w:p>
      <w:pPr>
        <w:pStyle w:val="8"/>
        <w:adjustRightInd w:val="0"/>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招标项目名称：茂名港博贺新港区通用码头工程粮食筒仓及输送廊道工程施工</w:t>
      </w:r>
    </w:p>
    <w:p>
      <w:pPr>
        <w:pStyle w:val="8"/>
        <w:adjustRightInd w:val="0"/>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招标项目规模：本工程属于茂名港博贺新港区通用码头工程（二阶段）的一部分，主要建设</w:t>
      </w:r>
      <w:r>
        <w:rPr>
          <w:rFonts w:ascii="宋体" w:hAnsi="宋体" w:cs="宋体"/>
          <w:color w:val="auto"/>
          <w:sz w:val="24"/>
          <w:highlight w:val="none"/>
        </w:rPr>
        <w:t>12座粮食筒仓（仓容12万吨）</w:t>
      </w:r>
      <w:r>
        <w:rPr>
          <w:rFonts w:hint="eastAsia" w:ascii="宋体" w:hAnsi="宋体" w:cs="宋体"/>
          <w:color w:val="auto"/>
          <w:sz w:val="24"/>
          <w:highlight w:val="none"/>
        </w:rPr>
        <w:t>、输送廊道及其配套设施。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建设地点：茂名港博贺新港区</w:t>
      </w:r>
    </w:p>
    <w:p>
      <w:pPr>
        <w:pStyle w:val="8"/>
        <w:adjustRightIn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项目投资：约1.8</w:t>
      </w:r>
      <w:r>
        <w:rPr>
          <w:rFonts w:ascii="宋体" w:hAnsi="宋体" w:cs="宋体"/>
          <w:color w:val="auto"/>
          <w:sz w:val="24"/>
          <w:szCs w:val="24"/>
          <w:highlight w:val="none"/>
        </w:rPr>
        <w:t>亿元</w:t>
      </w:r>
    </w:p>
    <w:p>
      <w:pPr>
        <w:tabs>
          <w:tab w:val="left" w:pos="2520"/>
          <w:tab w:val="left" w:pos="6020"/>
        </w:tabs>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计划工期：</w:t>
      </w:r>
      <w:r>
        <w:rPr>
          <w:rFonts w:ascii="宋体" w:hAnsi="宋体" w:cs="宋体"/>
          <w:color w:val="auto"/>
          <w:sz w:val="24"/>
          <w:highlight w:val="none"/>
        </w:rPr>
        <w:t>540日历天</w:t>
      </w:r>
      <w:r>
        <w:rPr>
          <w:rFonts w:hint="eastAsia" w:ascii="宋体" w:hAnsi="宋体" w:cs="宋体"/>
          <w:color w:val="auto"/>
          <w:sz w:val="24"/>
          <w:highlight w:val="none"/>
        </w:rPr>
        <w:t>。</w:t>
      </w:r>
    </w:p>
    <w:p>
      <w:pPr>
        <w:tabs>
          <w:tab w:val="left" w:pos="2520"/>
          <w:tab w:val="left" w:pos="6020"/>
        </w:tabs>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项目招标范围：本工程属于茂名港博贺新港区通用码头工程（二阶段）的一部分，为茂名港博贺新港区通用码头工程粮食筒仓及输送廊道工程施工，主要建设内容包括总仓容</w:t>
      </w:r>
      <w:r>
        <w:rPr>
          <w:rFonts w:ascii="宋体" w:hAnsi="宋体" w:cs="宋体"/>
          <w:color w:val="auto"/>
          <w:sz w:val="24"/>
          <w:highlight w:val="none"/>
        </w:rPr>
        <w:t>12万吨粮食筒仓、输送廊道、T1~T7塔架、</w:t>
      </w:r>
      <w:r>
        <w:rPr>
          <w:rFonts w:ascii="宋体" w:hAnsi="宋体" w:cs="宋体"/>
          <w:color w:val="auto"/>
          <w:sz w:val="24"/>
          <w:highlight w:val="none"/>
          <w:lang w:val="zh-CN"/>
        </w:rPr>
        <w:t>10kV配电室</w:t>
      </w:r>
      <w:r>
        <w:rPr>
          <w:rFonts w:hint="eastAsia" w:ascii="宋体" w:hAnsi="宋体" w:cs="宋体"/>
          <w:color w:val="auto"/>
          <w:sz w:val="24"/>
          <w:highlight w:val="none"/>
        </w:rPr>
        <w:t>、输送栈桥、筒仓区侯工楼、</w:t>
      </w:r>
      <w:r>
        <w:rPr>
          <w:rFonts w:ascii="宋体" w:hAnsi="宋体" w:cs="宋体"/>
          <w:color w:val="auto"/>
          <w:sz w:val="24"/>
          <w:highlight w:val="none"/>
        </w:rPr>
        <w:t>3#变电所</w:t>
      </w:r>
      <w:r>
        <w:rPr>
          <w:rFonts w:hint="eastAsia" w:ascii="宋体" w:hAnsi="宋体" w:cs="宋体"/>
          <w:color w:val="auto"/>
          <w:sz w:val="24"/>
          <w:highlight w:val="none"/>
        </w:rPr>
        <w:t>等。具体以图纸和工程量清单为准。</w:t>
      </w:r>
    </w:p>
    <w:p>
      <w:pPr>
        <w:tabs>
          <w:tab w:val="left" w:pos="2520"/>
          <w:tab w:val="left" w:pos="6020"/>
        </w:tabs>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2.2本次招标共分1个标类1个标段。具体见附件 1。</w:t>
      </w:r>
    </w:p>
    <w:tbl>
      <w:tblPr>
        <w:tblStyle w:val="12"/>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266"/>
        <w:gridCol w:w="2108"/>
        <w:gridCol w:w="2116"/>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62" w:type="dxa"/>
            <w:vAlign w:val="center"/>
          </w:tcPr>
          <w:p>
            <w:pPr>
              <w:adjustRightInd w:val="0"/>
              <w:snapToGrid w:val="0"/>
              <w:jc w:val="center"/>
              <w:rPr>
                <w:rFonts w:ascii="宋体" w:hAnsi="宋体" w:cs="宋体"/>
                <w:bCs/>
                <w:color w:val="auto"/>
                <w:spacing w:val="-4"/>
                <w:sz w:val="24"/>
                <w:highlight w:val="none"/>
              </w:rPr>
            </w:pPr>
            <w:r>
              <w:rPr>
                <w:rFonts w:hint="eastAsia" w:ascii="宋体" w:hAnsi="宋体" w:cs="宋体"/>
                <w:bCs/>
                <w:color w:val="auto"/>
                <w:spacing w:val="-4"/>
                <w:sz w:val="24"/>
                <w:highlight w:val="none"/>
              </w:rPr>
              <w:t>标段类别</w:t>
            </w:r>
          </w:p>
        </w:tc>
        <w:tc>
          <w:tcPr>
            <w:tcW w:w="1266" w:type="dxa"/>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标段</w:t>
            </w:r>
          </w:p>
        </w:tc>
        <w:tc>
          <w:tcPr>
            <w:tcW w:w="2108" w:type="dxa"/>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主要工程项目</w:t>
            </w:r>
          </w:p>
        </w:tc>
        <w:tc>
          <w:tcPr>
            <w:tcW w:w="2116" w:type="dxa"/>
            <w:vAlign w:val="center"/>
          </w:tcPr>
          <w:p>
            <w:pPr>
              <w:adjustRightInd w:val="0"/>
              <w:snapToGrid w:val="0"/>
              <w:jc w:val="center"/>
              <w:rPr>
                <w:rFonts w:ascii="宋体" w:hAnsi="宋体" w:cs="宋体"/>
                <w:color w:val="auto"/>
                <w:spacing w:val="-4"/>
                <w:sz w:val="24"/>
                <w:highlight w:val="none"/>
              </w:rPr>
            </w:pPr>
            <w:r>
              <w:rPr>
                <w:rFonts w:hint="eastAsia" w:ascii="宋体" w:hAnsi="宋体" w:cs="宋体"/>
                <w:color w:val="auto"/>
                <w:spacing w:val="-4"/>
                <w:sz w:val="24"/>
                <w:highlight w:val="none"/>
              </w:rPr>
              <w:t>对投标人资质要求</w:t>
            </w:r>
          </w:p>
        </w:tc>
        <w:tc>
          <w:tcPr>
            <w:tcW w:w="2323" w:type="dxa"/>
            <w:vAlign w:val="center"/>
          </w:tcPr>
          <w:p>
            <w:pPr>
              <w:adjustRightInd w:val="0"/>
              <w:snapToGrid w:val="0"/>
              <w:jc w:val="center"/>
              <w:rPr>
                <w:rFonts w:ascii="宋体" w:hAnsi="宋体" w:cs="宋体"/>
                <w:color w:val="auto"/>
                <w:spacing w:val="-4"/>
                <w:sz w:val="24"/>
                <w:highlight w:val="none"/>
              </w:rPr>
            </w:pPr>
            <w:r>
              <w:rPr>
                <w:rFonts w:hint="eastAsia" w:ascii="宋体" w:hAnsi="宋体" w:cs="宋体"/>
                <w:color w:val="auto"/>
                <w:spacing w:val="-4"/>
                <w:sz w:val="24"/>
                <w:highlight w:val="none"/>
              </w:rPr>
              <w:t>备</w:t>
            </w:r>
            <w:r>
              <w:rPr>
                <w:rFonts w:ascii="宋体" w:hAnsi="宋体" w:cs="宋体"/>
                <w:color w:val="auto"/>
                <w:spacing w:val="-4"/>
                <w:sz w:val="24"/>
                <w:highlight w:val="none"/>
              </w:rPr>
              <w:t xml:space="preserve">    </w:t>
            </w:r>
            <w:r>
              <w:rPr>
                <w:rFonts w:hint="eastAsia" w:ascii="宋体" w:hAnsi="宋体" w:cs="宋体"/>
                <w:color w:val="auto"/>
                <w:spacing w:val="-4"/>
                <w:sz w:val="24"/>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1662" w:type="dxa"/>
            <w:vAlign w:val="center"/>
          </w:tcPr>
          <w:p>
            <w:pPr>
              <w:adjustRightInd w:val="0"/>
              <w:snapToGrid w:val="0"/>
              <w:jc w:val="center"/>
              <w:rPr>
                <w:rFonts w:ascii="宋体" w:hAnsi="宋体" w:cs="宋体"/>
                <w:bCs/>
                <w:color w:val="auto"/>
                <w:spacing w:val="-4"/>
                <w:sz w:val="24"/>
                <w:highlight w:val="none"/>
              </w:rPr>
            </w:pPr>
            <w:r>
              <w:rPr>
                <w:rFonts w:ascii="宋体" w:hAnsi="宋体" w:cs="宋体"/>
                <w:bCs/>
                <w:color w:val="auto"/>
                <w:spacing w:val="-4"/>
                <w:sz w:val="24"/>
                <w:highlight w:val="none"/>
              </w:rPr>
              <w:t>A</w:t>
            </w:r>
            <w:r>
              <w:rPr>
                <w:rFonts w:hint="eastAsia" w:ascii="宋体" w:hAnsi="宋体" w:cs="宋体"/>
                <w:bCs/>
                <w:color w:val="auto"/>
                <w:spacing w:val="-4"/>
                <w:sz w:val="24"/>
                <w:highlight w:val="none"/>
              </w:rPr>
              <w:t>类（港口工程）</w:t>
            </w:r>
          </w:p>
        </w:tc>
        <w:tc>
          <w:tcPr>
            <w:tcW w:w="3374" w:type="dxa"/>
            <w:gridSpan w:val="2"/>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标段的划分及主要工程项目情况详见附件</w:t>
            </w:r>
            <w:r>
              <w:rPr>
                <w:rFonts w:ascii="宋体" w:hAnsi="宋体" w:cs="宋体"/>
                <w:color w:val="auto"/>
                <w:sz w:val="24"/>
                <w:highlight w:val="none"/>
              </w:rPr>
              <w:t>1</w:t>
            </w:r>
          </w:p>
        </w:tc>
        <w:tc>
          <w:tcPr>
            <w:tcW w:w="2116" w:type="dxa"/>
            <w:vAlign w:val="center"/>
          </w:tcPr>
          <w:p>
            <w:pPr>
              <w:adjustRightInd w:val="0"/>
              <w:snapToGrid w:val="0"/>
              <w:jc w:val="center"/>
              <w:rPr>
                <w:rFonts w:ascii="宋体" w:hAnsi="宋体" w:cs="宋体"/>
                <w:color w:val="auto"/>
                <w:spacing w:val="-4"/>
                <w:sz w:val="24"/>
                <w:highlight w:val="none"/>
              </w:rPr>
            </w:pPr>
            <w:r>
              <w:rPr>
                <w:rFonts w:hint="eastAsia" w:ascii="宋体" w:hAnsi="宋体" w:cs="宋体"/>
                <w:color w:val="auto"/>
                <w:sz w:val="24"/>
                <w:highlight w:val="none"/>
              </w:rPr>
              <w:t>资格审查条件附录</w:t>
            </w:r>
            <w:r>
              <w:rPr>
                <w:rFonts w:ascii="宋体" w:hAnsi="宋体" w:cs="宋体"/>
                <w:color w:val="auto"/>
                <w:sz w:val="24"/>
                <w:highlight w:val="none"/>
                <w:u w:val="single"/>
              </w:rPr>
              <w:t>1</w:t>
            </w:r>
          </w:p>
        </w:tc>
        <w:tc>
          <w:tcPr>
            <w:tcW w:w="2323" w:type="dxa"/>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资格审查条件附录</w:t>
            </w:r>
            <w:r>
              <w:rPr>
                <w:rFonts w:ascii="宋体" w:hAnsi="宋体" w:cs="宋体"/>
                <w:color w:val="auto"/>
                <w:sz w:val="24"/>
                <w:highlight w:val="none"/>
                <w:u w:val="single"/>
              </w:rPr>
              <w:t>1</w:t>
            </w:r>
            <w:r>
              <w:rPr>
                <w:rFonts w:hint="eastAsia" w:ascii="宋体" w:hAnsi="宋体" w:cs="宋体"/>
                <w:color w:val="auto"/>
                <w:sz w:val="24"/>
                <w:highlight w:val="none"/>
              </w:rPr>
              <w:t>至附录</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详见附件</w:t>
            </w:r>
            <w:r>
              <w:rPr>
                <w:rFonts w:ascii="宋体" w:hAnsi="宋体" w:cs="宋体"/>
                <w:color w:val="auto"/>
                <w:sz w:val="24"/>
                <w:highlight w:val="none"/>
              </w:rPr>
              <w:t>2</w:t>
            </w:r>
          </w:p>
        </w:tc>
      </w:tr>
    </w:tbl>
    <w:p>
      <w:pPr>
        <w:pStyle w:val="8"/>
        <w:adjustRightInd w:val="0"/>
        <w:spacing w:line="360" w:lineRule="auto"/>
        <w:rPr>
          <w:rFonts w:ascii="宋体" w:hAnsi="宋体" w:cs="宋体"/>
          <w:color w:val="auto"/>
          <w:highlight w:val="none"/>
        </w:rPr>
      </w:pPr>
    </w:p>
    <w:p>
      <w:pPr>
        <w:pStyle w:val="2"/>
        <w:adjustRightInd w:val="0"/>
        <w:snapToGrid w:val="0"/>
        <w:spacing w:before="0" w:after="0" w:line="360" w:lineRule="auto"/>
        <w:rPr>
          <w:rFonts w:ascii="宋体" w:hAnsi="宋体" w:cs="宋体"/>
          <w:bCs w:val="0"/>
          <w:color w:val="auto"/>
          <w:sz w:val="24"/>
          <w:szCs w:val="24"/>
          <w:highlight w:val="none"/>
        </w:rPr>
      </w:pPr>
      <w:bookmarkStart w:id="6" w:name="_Toc3624"/>
      <w:bookmarkStart w:id="7" w:name="_Toc234382572"/>
      <w:bookmarkStart w:id="8" w:name="_Toc9870"/>
      <w:r>
        <w:rPr>
          <w:rFonts w:ascii="宋体" w:hAnsi="宋体" w:cs="宋体"/>
          <w:bCs w:val="0"/>
          <w:color w:val="auto"/>
          <w:sz w:val="24"/>
          <w:szCs w:val="24"/>
          <w:highlight w:val="none"/>
        </w:rPr>
        <w:t>3.投标人资格要求</w:t>
      </w:r>
      <w:bookmarkEnd w:id="6"/>
      <w:bookmarkEnd w:id="7"/>
      <w:bookmarkEnd w:id="8"/>
    </w:p>
    <w:p>
      <w:pPr>
        <w:pStyle w:val="19"/>
        <w:shd w:val="clear" w:color="auto" w:fill="auto"/>
        <w:tabs>
          <w:tab w:val="left" w:leader="underscore" w:pos="4604"/>
          <w:tab w:val="left" w:leader="underscore" w:pos="6334"/>
        </w:tabs>
        <w:adjustRightInd w:val="0"/>
        <w:snapToGrid w:val="0"/>
        <w:spacing w:before="0" w:line="360" w:lineRule="auto"/>
        <w:ind w:left="105" w:leftChars="50" w:firstLine="560" w:firstLineChars="200"/>
        <w:jc w:val="both"/>
        <w:rPr>
          <w:rFonts w:ascii="宋体" w:hAnsi="宋体" w:eastAsia="宋体" w:cs="宋体"/>
          <w:color w:val="auto"/>
          <w:sz w:val="24"/>
          <w:highlight w:val="none"/>
        </w:rPr>
      </w:pPr>
      <w:r>
        <w:rPr>
          <w:rFonts w:ascii="宋体" w:hAnsi="宋体" w:eastAsia="宋体" w:cs="宋体"/>
          <w:color w:val="auto"/>
          <w:sz w:val="24"/>
          <w:highlight w:val="none"/>
        </w:rPr>
        <w:t>3.1</w:t>
      </w:r>
      <w:r>
        <w:rPr>
          <w:rStyle w:val="20"/>
          <w:rFonts w:ascii="宋体" w:hAnsi="宋体" w:eastAsia="宋体" w:cs="宋体"/>
          <w:color w:val="auto"/>
          <w:sz w:val="24"/>
          <w:highlight w:val="none"/>
        </w:rPr>
        <w:t>3.1本次招标要求投标人须具备</w:t>
      </w:r>
      <w:r>
        <w:rPr>
          <w:rFonts w:hint="eastAsia" w:ascii="宋体" w:hAnsi="宋体" w:eastAsia="宋体" w:cs="宋体"/>
          <w:color w:val="auto"/>
          <w:sz w:val="24"/>
          <w:highlight w:val="none"/>
          <w:u w:val="single"/>
        </w:rPr>
        <w:t>上述第</w:t>
      </w:r>
      <w:r>
        <w:rPr>
          <w:rFonts w:ascii="宋体" w:hAnsi="宋体" w:eastAsia="宋体" w:cs="宋体"/>
          <w:color w:val="auto"/>
          <w:sz w:val="24"/>
          <w:highlight w:val="none"/>
          <w:u w:val="single"/>
        </w:rPr>
        <w:t>2.2款表中所列相应</w:t>
      </w:r>
      <w:r>
        <w:rPr>
          <w:rStyle w:val="20"/>
          <w:rFonts w:hint="eastAsia" w:ascii="宋体" w:hAnsi="宋体" w:eastAsia="宋体" w:cs="宋体"/>
          <w:color w:val="auto"/>
          <w:sz w:val="24"/>
          <w:highlight w:val="none"/>
        </w:rPr>
        <w:t>资质、</w:t>
      </w:r>
      <w:r>
        <w:rPr>
          <w:rFonts w:ascii="宋体" w:hAnsi="宋体" w:eastAsia="宋体" w:cs="宋体"/>
          <w:color w:val="auto"/>
          <w:sz w:val="24"/>
          <w:highlight w:val="none"/>
          <w:u w:val="single"/>
        </w:rPr>
        <w:t xml:space="preserve">      </w:t>
      </w:r>
      <w:r>
        <w:rPr>
          <w:rStyle w:val="20"/>
          <w:rFonts w:hint="eastAsia" w:ascii="宋体" w:hAnsi="宋体" w:eastAsia="宋体" w:cs="宋体"/>
          <w:color w:val="auto"/>
          <w:sz w:val="24"/>
          <w:highlight w:val="none"/>
        </w:rPr>
        <w:t>业绩，并在</w:t>
      </w:r>
      <w:r>
        <w:rPr>
          <w:rStyle w:val="20"/>
          <w:rFonts w:hint="eastAsia" w:ascii="宋体" w:hAnsi="宋体" w:eastAsia="宋体" w:cs="宋体"/>
          <w:color w:val="auto"/>
          <w:sz w:val="24"/>
          <w:highlight w:val="none"/>
          <w:u w:val="single"/>
        </w:rPr>
        <w:t>人员、设备、资金</w:t>
      </w:r>
      <w:r>
        <w:rPr>
          <w:rStyle w:val="20"/>
          <w:rFonts w:hint="eastAsia" w:ascii="宋体" w:hAnsi="宋体" w:eastAsia="宋体" w:cs="宋体"/>
          <w:color w:val="auto"/>
          <w:sz w:val="24"/>
          <w:highlight w:val="none"/>
        </w:rPr>
        <w:t>等方面具有相应的施工能力。</w:t>
      </w:r>
    </w:p>
    <w:p>
      <w:pPr>
        <w:tabs>
          <w:tab w:val="left" w:pos="2520"/>
          <w:tab w:val="left" w:pos="6020"/>
        </w:tabs>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3.2本次招标不接受联合体投标。</w:t>
      </w:r>
    </w:p>
    <w:p>
      <w:pPr>
        <w:tabs>
          <w:tab w:val="left" w:pos="2520"/>
          <w:tab w:val="left" w:pos="6020"/>
        </w:tabs>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3.3在本次招标中，每个投标人最多可以对1个A</w:t>
      </w:r>
      <w:r>
        <w:rPr>
          <w:rFonts w:hint="eastAsia" w:ascii="宋体" w:hAnsi="宋体" w:cs="宋体"/>
          <w:color w:val="auto"/>
          <w:sz w:val="24"/>
          <w:highlight w:val="none"/>
        </w:rPr>
        <w:t>类投标，只允许中一个标。</w:t>
      </w:r>
    </w:p>
    <w:p>
      <w:pPr>
        <w:tabs>
          <w:tab w:val="left" w:pos="2520"/>
          <w:tab w:val="left" w:pos="6020"/>
        </w:tabs>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3.4与招标人存在利害关系可能影响招标公正性的法人、其他组织或个人，不得参加投标。单位负责人为同一人或者存在控股、管理关系的不同单位，不得参加同一标段投标或者未划分标段的同一招标项目投标，否则按否决其投标处理。</w:t>
      </w:r>
      <w:r>
        <w:rPr>
          <w:rFonts w:hint="eastAsia" w:ascii="宋体" w:hAnsi="宋体" w:cs="宋体"/>
          <w:color w:val="auto"/>
          <w:sz w:val="18"/>
          <w:highlight w:val="none"/>
        </w:rPr>
        <w:t>（注：单位负责人是指单位的法定代表人或者法律、行政法规规定代表单位行使职权的主要负责人；控股是指股份占股份有限公司股本总额的</w:t>
      </w:r>
      <w:r>
        <w:rPr>
          <w:rFonts w:ascii="宋体" w:hAnsi="宋体" w:cs="宋体"/>
          <w:color w:val="auto"/>
          <w:sz w:val="18"/>
          <w:highlight w:val="none"/>
        </w:rPr>
        <w:t xml:space="preserve"> 50%以上的绝对控股、相对控股或协议控股；管理关系是指不具有出资持股关系的其他单位之间存在的管理与被管理关系）</w:t>
      </w:r>
    </w:p>
    <w:p>
      <w:pPr>
        <w:tabs>
          <w:tab w:val="left" w:pos="2520"/>
          <w:tab w:val="left" w:pos="6020"/>
        </w:tabs>
        <w:autoSpaceDE w:val="0"/>
        <w:autoSpaceDN w:val="0"/>
        <w:adjustRightInd w:val="0"/>
        <w:snapToGrid w:val="0"/>
        <w:spacing w:line="360" w:lineRule="auto"/>
        <w:ind w:firstLine="480" w:firstLineChars="200"/>
        <w:jc w:val="left"/>
        <w:rPr>
          <w:rFonts w:ascii="宋体" w:hAnsi="宋体" w:cs="宋体"/>
          <w:color w:val="auto"/>
          <w:sz w:val="24"/>
          <w:highlight w:val="none"/>
        </w:rPr>
      </w:pPr>
      <w:bookmarkStart w:id="9" w:name="_Toc234382573"/>
      <w:r>
        <w:rPr>
          <w:rFonts w:ascii="宋体" w:hAnsi="宋体" w:cs="宋体"/>
          <w:color w:val="auto"/>
          <w:sz w:val="24"/>
          <w:highlight w:val="none"/>
        </w:rPr>
        <w:t>3.5</w:t>
      </w:r>
      <w:r>
        <w:rPr>
          <w:rFonts w:hint="eastAsia" w:ascii="宋体" w:hAnsi="宋体" w:eastAsia="宋体" w:cs="宋体"/>
          <w:color w:val="auto"/>
          <w:spacing w:val="0"/>
          <w:kern w:val="2"/>
          <w:sz w:val="24"/>
          <w:szCs w:val="24"/>
          <w:highlight w:val="none"/>
          <w:lang w:val="en-US"/>
        </w:rPr>
        <w:t>在“信用中国”网站（</w:t>
      </w:r>
      <w:r>
        <w:rPr>
          <w:rFonts w:hint="eastAsia" w:ascii="宋体" w:hAnsi="宋体" w:eastAsia="宋体" w:cs="宋体"/>
          <w:color w:val="auto"/>
          <w:spacing w:val="0"/>
          <w:kern w:val="2"/>
          <w:sz w:val="24"/>
          <w:szCs w:val="24"/>
          <w:highlight w:val="none"/>
          <w:lang w:val="en-US"/>
        </w:rPr>
        <w:fldChar w:fldCharType="begin"/>
      </w:r>
      <w:r>
        <w:rPr>
          <w:rFonts w:hint="eastAsia" w:ascii="宋体" w:hAnsi="宋体" w:eastAsia="宋体" w:cs="宋体"/>
          <w:color w:val="auto"/>
          <w:spacing w:val="0"/>
          <w:kern w:val="2"/>
          <w:sz w:val="24"/>
          <w:szCs w:val="24"/>
          <w:highlight w:val="none"/>
          <w:lang w:val="en-US"/>
        </w:rPr>
        <w:instrText xml:space="preserve"> HYPERLINK "http://www.creditchina.gov.cn/)%e4%b8%ad%e8%a2%ab%e5%88%97%e5%85%a5%e5%a4%b1%e4%bf%a1%e8%a2%ab%e6%89%a7" </w:instrText>
      </w:r>
      <w:r>
        <w:rPr>
          <w:rFonts w:hint="eastAsia" w:ascii="宋体" w:hAnsi="宋体" w:eastAsia="宋体" w:cs="宋体"/>
          <w:color w:val="auto"/>
          <w:spacing w:val="0"/>
          <w:kern w:val="2"/>
          <w:sz w:val="24"/>
          <w:szCs w:val="24"/>
          <w:highlight w:val="none"/>
          <w:lang w:val="en-US"/>
        </w:rPr>
        <w:fldChar w:fldCharType="separate"/>
      </w:r>
      <w:r>
        <w:rPr>
          <w:rFonts w:hint="eastAsia" w:ascii="宋体" w:hAnsi="宋体" w:eastAsia="宋体" w:cs="宋体"/>
          <w:color w:val="auto"/>
          <w:spacing w:val="0"/>
          <w:kern w:val="2"/>
          <w:sz w:val="24"/>
          <w:szCs w:val="24"/>
          <w:highlight w:val="none"/>
          <w:lang w:val="en-US"/>
        </w:rPr>
        <w:t>http://www.creditchina.gov.cn/)中被列入失信被执</w:t>
      </w:r>
      <w:r>
        <w:rPr>
          <w:rFonts w:hint="eastAsia" w:ascii="宋体" w:hAnsi="宋体" w:eastAsia="宋体" w:cs="宋体"/>
          <w:color w:val="auto"/>
          <w:spacing w:val="0"/>
          <w:kern w:val="2"/>
          <w:sz w:val="24"/>
          <w:szCs w:val="24"/>
          <w:highlight w:val="none"/>
          <w:lang w:val="en-US"/>
        </w:rPr>
        <w:fldChar w:fldCharType="end"/>
      </w:r>
      <w:r>
        <w:rPr>
          <w:rFonts w:hint="eastAsia" w:ascii="宋体" w:hAnsi="宋体" w:eastAsia="宋体" w:cs="宋体"/>
          <w:color w:val="auto"/>
          <w:spacing w:val="0"/>
          <w:kern w:val="2"/>
          <w:sz w:val="24"/>
          <w:szCs w:val="24"/>
          <w:highlight w:val="none"/>
          <w:lang w:val="en-US"/>
        </w:rPr>
        <w:t>行人名单的投标人，在国家企业信用信息公示系统（http://www.gsxt.gov.cn）中被列入严重违法失信企业名单的投标人，均按否决投标处理。</w:t>
      </w:r>
    </w:p>
    <w:p>
      <w:pPr>
        <w:adjustRightInd w:val="0"/>
        <w:snapToGrid w:val="0"/>
        <w:spacing w:line="360" w:lineRule="auto"/>
        <w:ind w:firstLine="482" w:firstLineChars="200"/>
        <w:rPr>
          <w:rFonts w:ascii="宋体" w:hAnsi="宋体" w:cs="宋体"/>
          <w:b/>
          <w:color w:val="auto"/>
          <w:sz w:val="24"/>
          <w:highlight w:val="none"/>
        </w:rPr>
      </w:pPr>
      <w:r>
        <w:rPr>
          <w:rFonts w:ascii="宋体" w:hAnsi="宋体" w:cs="宋体"/>
          <w:b/>
          <w:color w:val="auto"/>
          <w:sz w:val="24"/>
          <w:highlight w:val="none"/>
        </w:rPr>
        <w:t>4.招标文件的获取</w:t>
      </w:r>
    </w:p>
    <w:p>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4.1 </w:t>
      </w:r>
      <w:r>
        <w:rPr>
          <w:rFonts w:hint="eastAsia" w:ascii="宋体" w:hAnsi="宋体" w:cs="宋体"/>
          <w:color w:val="auto"/>
          <w:sz w:val="24"/>
          <w:highlight w:val="none"/>
        </w:rPr>
        <w:t>凡有意参加投标者，请于</w:t>
      </w:r>
      <w:r>
        <w:rPr>
          <w:rFonts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日至</w:t>
      </w:r>
      <w:r>
        <w:rPr>
          <w:rFonts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日，每日上午</w:t>
      </w:r>
      <w:r>
        <w:rPr>
          <w:rFonts w:ascii="宋体" w:hAnsi="宋体" w:cs="宋体"/>
          <w:color w:val="auto"/>
          <w:sz w:val="24"/>
          <w:highlight w:val="none"/>
          <w:u w:val="single"/>
        </w:rPr>
        <w:t xml:space="preserve">9:30 </w:t>
      </w:r>
      <w:r>
        <w:rPr>
          <w:rFonts w:hint="eastAsia" w:ascii="宋体" w:hAnsi="宋体" w:cs="宋体"/>
          <w:color w:val="auto"/>
          <w:sz w:val="24"/>
          <w:highlight w:val="none"/>
          <w:u w:val="single"/>
        </w:rPr>
        <w:t>时至</w:t>
      </w:r>
      <w:r>
        <w:rPr>
          <w:rFonts w:ascii="宋体" w:hAnsi="宋体" w:cs="宋体"/>
          <w:color w:val="auto"/>
          <w:sz w:val="24"/>
          <w:highlight w:val="none"/>
          <w:u w:val="single"/>
        </w:rPr>
        <w:t>11:30时</w:t>
      </w:r>
      <w:r>
        <w:rPr>
          <w:rFonts w:hint="eastAsia" w:ascii="宋体" w:hAnsi="宋体" w:cs="宋体"/>
          <w:color w:val="auto"/>
          <w:sz w:val="24"/>
          <w:highlight w:val="none"/>
        </w:rPr>
        <w:t>，下午</w:t>
      </w:r>
      <w:r>
        <w:rPr>
          <w:rFonts w:ascii="宋体" w:hAnsi="宋体" w:cs="宋体"/>
          <w:color w:val="auto"/>
          <w:sz w:val="24"/>
          <w:highlight w:val="none"/>
          <w:u w:val="single"/>
        </w:rPr>
        <w:t>2:00时至4:00时</w:t>
      </w:r>
      <w:r>
        <w:rPr>
          <w:rFonts w:hint="eastAsia" w:ascii="宋体" w:hAnsi="宋体" w:cs="宋体"/>
          <w:color w:val="auto"/>
          <w:sz w:val="24"/>
          <w:highlight w:val="none"/>
        </w:rPr>
        <w:t>（北京时间，下同），登陆广州交易集团有限公司（广州公共资源交易中心）网站（</w:t>
      </w:r>
      <w:r>
        <w:rPr>
          <w:rFonts w:ascii="宋体" w:hAnsi="宋体" w:cs="宋体"/>
          <w:color w:val="auto"/>
          <w:sz w:val="24"/>
          <w:highlight w:val="none"/>
        </w:rPr>
        <w:t>http://www.gzggzy.cn）交易平台（即建设工程新交易系统）选择对应标段进行投标登记（北京时间，下同）,同时将相关资料（见公告4.3）盖单位公章的彩色扫描件发送到ZBDL2008@126.com。网上投标登记和相关资料的电子邮件经招标人（招标代理机构）确认后以电子邮件或快递到付的方式将招标文件、技术资料电子版（或纸质版）发出。</w:t>
      </w:r>
    </w:p>
    <w:p>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4.2 </w:t>
      </w:r>
      <w:r>
        <w:rPr>
          <w:rFonts w:hint="eastAsia" w:ascii="宋体" w:hAnsi="宋体" w:cs="宋体"/>
          <w:color w:val="auto"/>
          <w:sz w:val="24"/>
          <w:highlight w:val="none"/>
        </w:rPr>
        <w:t>招标文件每套售价</w:t>
      </w:r>
      <w:r>
        <w:rPr>
          <w:rFonts w:ascii="宋体" w:hAnsi="宋体" w:cs="宋体"/>
          <w:color w:val="auto"/>
          <w:sz w:val="24"/>
          <w:highlight w:val="none"/>
          <w:u w:val="single"/>
        </w:rPr>
        <w:t>1000</w:t>
      </w:r>
      <w:r>
        <w:rPr>
          <w:rFonts w:hint="eastAsia" w:ascii="宋体" w:hAnsi="宋体" w:cs="宋体"/>
          <w:color w:val="auto"/>
          <w:sz w:val="24"/>
          <w:highlight w:val="none"/>
        </w:rPr>
        <w:t>元，售后不退。</w:t>
      </w:r>
    </w:p>
    <w:p>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4.3投标登记和招标文件的获取需提供资料：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1）“投标登记申请表”二份【表格在广州交易集团有限公司（广州公共资源交易中心）网上下载，须有投标人单位公章和法定代表人盖章，见公告附件4】；</w:t>
      </w:r>
      <w:r>
        <w:rPr>
          <w:rFonts w:hint="eastAsia" w:ascii="宋体" w:hAnsi="宋体" w:cs="宋体"/>
          <w:b/>
          <w:color w:val="auto"/>
          <w:sz w:val="24"/>
          <w:highlight w:val="none"/>
        </w:rPr>
        <w:t>投标文件中项目负责人（项目经理）、安全员的内容必须与投标登记申请表中项目负责人（项目经理）、安全员的内容一致；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2）法定代表人证明书原件、法定代表人授权委托书原件（授权内容必须包含投标登记和购买招标文件）及盖有公章的被授权人有效身份证复印件；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3）“投标登记申请表”中法人单位的营业执照、资质证书、安全生产许可证、项目负责人（项目经理）资格证书和安全员的资格证书等彩色复印件一套（加盖公章）；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4）招标文件工本费转账凭证和增值税开票资料（含公司名称、统一社会信用代码、公司地址、联系电话、开户行、账号，盖公章后彩色复印件）；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5）招标文件领取登记表一份（</w:t>
      </w:r>
      <w:r>
        <w:rPr>
          <w:rFonts w:hint="eastAsia" w:ascii="宋体" w:hAnsi="宋体" w:cs="宋体"/>
          <w:color w:val="auto"/>
          <w:sz w:val="24"/>
          <w:highlight w:val="none"/>
          <w:shd w:val="clear" w:color="auto" w:fill="FFFFFF"/>
        </w:rPr>
        <w:t>见公告附件</w:t>
      </w:r>
      <w:r>
        <w:rPr>
          <w:rFonts w:ascii="宋体" w:hAnsi="宋体" w:cs="宋体"/>
          <w:color w:val="auto"/>
          <w:sz w:val="24"/>
          <w:highlight w:val="none"/>
          <w:shd w:val="clear" w:color="auto" w:fill="FFFFFF"/>
        </w:rPr>
        <w:t>5，盖公章</w:t>
      </w:r>
      <w:r>
        <w:rPr>
          <w:rFonts w:hint="eastAsia" w:ascii="宋体" w:hAnsi="宋体" w:cs="宋体"/>
          <w:color w:val="auto"/>
          <w:sz w:val="24"/>
          <w:highlight w:val="none"/>
        </w:rPr>
        <w:t>）。</w:t>
      </w:r>
    </w:p>
    <w:p>
      <w:pPr>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注：将以上填写并加盖公章的资料的扫描件发至招标代理邮箱（以到达邮箱时间为准），并将资料快递至招标代理机构。投标人完成上面投标登记后及时联系招标代理机构进行确认。同时满足上述要求，方视为投标登记成功。</w:t>
      </w:r>
    </w:p>
    <w:bookmarkEnd w:id="9"/>
    <w:p>
      <w:pPr>
        <w:adjustRightInd w:val="0"/>
        <w:snapToGrid w:val="0"/>
        <w:spacing w:line="360" w:lineRule="auto"/>
        <w:ind w:firstLine="482" w:firstLineChars="200"/>
        <w:rPr>
          <w:rStyle w:val="20"/>
          <w:rFonts w:ascii="宋体" w:hAnsi="宋体" w:eastAsia="宋体" w:cs="宋体"/>
          <w:b/>
          <w:color w:val="auto"/>
          <w:sz w:val="24"/>
          <w:highlight w:val="none"/>
        </w:rPr>
      </w:pPr>
      <w:bookmarkStart w:id="10" w:name="_Toc234382574"/>
      <w:r>
        <w:rPr>
          <w:rFonts w:ascii="宋体" w:hAnsi="宋体" w:eastAsia="宋体" w:cs="宋体"/>
          <w:b/>
          <w:color w:val="auto"/>
          <w:spacing w:val="0"/>
          <w:sz w:val="24"/>
          <w:highlight w:val="none"/>
          <w:shd w:val="clear" w:color="auto" w:fill="auto"/>
        </w:rPr>
        <w:t>5.投标文件的递交</w:t>
      </w:r>
    </w:p>
    <w:p>
      <w:pPr>
        <w:adjustRightInd w:val="0"/>
        <w:snapToGrid w:val="0"/>
        <w:spacing w:line="360" w:lineRule="auto"/>
        <w:ind w:firstLine="560" w:firstLineChars="200"/>
        <w:rPr>
          <w:rStyle w:val="20"/>
          <w:rFonts w:ascii="宋体" w:hAnsi="宋体" w:eastAsia="宋体" w:cs="宋体"/>
          <w:color w:val="auto"/>
          <w:sz w:val="24"/>
          <w:highlight w:val="none"/>
        </w:rPr>
      </w:pPr>
      <w:r>
        <w:rPr>
          <w:rStyle w:val="20"/>
          <w:rFonts w:ascii="宋体" w:hAnsi="宋体" w:eastAsia="宋体" w:cs="宋体"/>
          <w:color w:val="auto"/>
          <w:sz w:val="24"/>
          <w:highlight w:val="none"/>
        </w:rPr>
        <w:t>5.1招标人不组织工程现场踏勘和不召开投标预备会。</w:t>
      </w:r>
    </w:p>
    <w:p>
      <w:pPr>
        <w:adjustRightInd w:val="0"/>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5.2投标文件递交的截止时间（投标截止时间，下同）为</w:t>
      </w:r>
      <w:r>
        <w:rPr>
          <w:rFonts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4</w:t>
      </w:r>
      <w:r>
        <w:rPr>
          <w:rFonts w:ascii="宋体" w:hAnsi="宋体" w:cs="宋体"/>
          <w:color w:val="auto"/>
          <w:sz w:val="24"/>
          <w:highlight w:val="none"/>
        </w:rPr>
        <w:t>月</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u w:val="none"/>
        </w:rPr>
        <w:t>日</w:t>
      </w:r>
      <w:r>
        <w:rPr>
          <w:rFonts w:hint="eastAsia" w:ascii="宋体" w:hAnsi="宋体" w:cs="宋体"/>
          <w:color w:val="auto"/>
          <w:sz w:val="24"/>
          <w:highlight w:val="none"/>
        </w:rPr>
        <w:t>，上午</w:t>
      </w:r>
      <w:r>
        <w:rPr>
          <w:rFonts w:ascii="宋体" w:hAnsi="宋体" w:cs="宋体"/>
          <w:color w:val="auto"/>
          <w:sz w:val="24"/>
          <w:highlight w:val="none"/>
          <w:u w:val="single"/>
        </w:rPr>
        <w:t>9</w:t>
      </w:r>
      <w:r>
        <w:rPr>
          <w:rFonts w:hint="eastAsia" w:ascii="宋体" w:hAnsi="宋体" w:cs="宋体"/>
          <w:color w:val="auto"/>
          <w:sz w:val="24"/>
          <w:highlight w:val="none"/>
        </w:rPr>
        <w:t>时</w:t>
      </w:r>
      <w:r>
        <w:rPr>
          <w:rFonts w:ascii="宋体" w:hAnsi="宋体" w:cs="宋体"/>
          <w:color w:val="auto"/>
          <w:sz w:val="24"/>
          <w:highlight w:val="none"/>
          <w:u w:val="single"/>
        </w:rPr>
        <w:t>00</w:t>
      </w:r>
      <w:r>
        <w:rPr>
          <w:rFonts w:hint="eastAsia" w:ascii="宋体" w:hAnsi="宋体" w:cs="宋体"/>
          <w:color w:val="auto"/>
          <w:sz w:val="24"/>
          <w:highlight w:val="none"/>
        </w:rPr>
        <w:t>分，投标人应于当日</w:t>
      </w:r>
      <w:r>
        <w:rPr>
          <w:rFonts w:ascii="宋体" w:hAnsi="宋体" w:cs="宋体"/>
          <w:color w:val="auto"/>
          <w:sz w:val="24"/>
          <w:highlight w:val="none"/>
        </w:rPr>
        <w:t>8时30分至9时00分将投标文件递交至</w:t>
      </w:r>
      <w:r>
        <w:rPr>
          <w:rFonts w:hint="eastAsia" w:ascii="宋体" w:hAnsi="宋体" w:cs="宋体"/>
          <w:color w:val="auto"/>
          <w:sz w:val="24"/>
          <w:highlight w:val="none"/>
          <w:u w:val="single"/>
        </w:rPr>
        <w:t>广州交易集团有限公司（广州公共资源交易中心）（广州市天河区天润路</w:t>
      </w:r>
      <w:r>
        <w:rPr>
          <w:rFonts w:ascii="宋体" w:hAnsi="宋体" w:cs="宋体"/>
          <w:color w:val="auto"/>
          <w:sz w:val="24"/>
          <w:highlight w:val="none"/>
          <w:u w:val="single"/>
        </w:rPr>
        <w:t>333号）开标室（以交易中心公告的开标室为准）。</w:t>
      </w:r>
    </w:p>
    <w:p>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5.3</w:t>
      </w:r>
      <w:r>
        <w:rPr>
          <w:rStyle w:val="20"/>
          <w:rFonts w:hint="eastAsia" w:ascii="宋体" w:hAnsi="宋体" w:eastAsia="宋体" w:cs="宋体"/>
          <w:color w:val="auto"/>
          <w:sz w:val="24"/>
          <w:highlight w:val="none"/>
        </w:rPr>
        <w:t>逾期送达的、未送达指定地点的或不按照招标文件要求密封的投标文件，招标人将予以拒收。</w:t>
      </w:r>
    </w:p>
    <w:p>
      <w:pPr>
        <w:adjustRightInd w:val="0"/>
        <w:snapToGrid w:val="0"/>
        <w:spacing w:line="360" w:lineRule="auto"/>
        <w:ind w:firstLine="482" w:firstLineChars="200"/>
        <w:rPr>
          <w:rFonts w:ascii="宋体" w:hAnsi="宋体" w:cs="宋体"/>
          <w:b/>
          <w:color w:val="auto"/>
          <w:sz w:val="24"/>
          <w:highlight w:val="none"/>
        </w:rPr>
      </w:pPr>
      <w:r>
        <w:rPr>
          <w:rFonts w:ascii="宋体" w:hAnsi="宋体" w:cs="宋体"/>
          <w:b/>
          <w:color w:val="auto"/>
          <w:sz w:val="24"/>
          <w:highlight w:val="none"/>
        </w:rPr>
        <w:t>6.发布公告的媒介</w:t>
      </w:r>
    </w:p>
    <w:p>
      <w:pPr>
        <w:pStyle w:val="5"/>
        <w:topLinePunct/>
        <w:adjustRightInd w:val="0"/>
        <w:snapToGrid w:val="0"/>
        <w:spacing w:line="360" w:lineRule="auto"/>
        <w:ind w:left="105" w:leftChars="50" w:firstLine="480" w:firstLineChars="200"/>
        <w:rPr>
          <w:rFonts w:hAnsi="宋体" w:cs="宋体"/>
          <w:color w:val="auto"/>
          <w:szCs w:val="24"/>
          <w:highlight w:val="none"/>
          <w:u w:val="single"/>
        </w:rPr>
      </w:pPr>
      <w:r>
        <w:rPr>
          <w:rFonts w:hint="eastAsia" w:hAnsi="宋体" w:cs="宋体"/>
          <w:color w:val="auto"/>
          <w:szCs w:val="24"/>
          <w:highlight w:val="none"/>
        </w:rPr>
        <w:t>本次招标公告同时在广州交易集团有限公司（广州公共资源交易中心）网站、广东省招标投标监管网、中国招标投标公共服务平台上发布。如公告详细内容不一致者，以</w:t>
      </w:r>
      <w:r>
        <w:rPr>
          <w:rFonts w:hint="eastAsia" w:hAnsi="宋体" w:cs="宋体"/>
          <w:color w:val="auto"/>
          <w:szCs w:val="24"/>
          <w:highlight w:val="none"/>
          <w:u w:val="single"/>
        </w:rPr>
        <w:t>广州交易集团有限公司（广州公共资源交易中心）网站</w:t>
      </w:r>
      <w:r>
        <w:rPr>
          <w:rFonts w:hint="eastAsia" w:hAnsi="宋体" w:cs="宋体"/>
          <w:color w:val="auto"/>
          <w:szCs w:val="24"/>
          <w:highlight w:val="none"/>
        </w:rPr>
        <w:t>公告为准。</w:t>
      </w:r>
    </w:p>
    <w:p>
      <w:pPr>
        <w:adjustRightInd w:val="0"/>
        <w:snapToGrid w:val="0"/>
        <w:spacing w:line="360" w:lineRule="auto"/>
        <w:ind w:left="105" w:leftChars="50" w:firstLine="480" w:firstLineChars="200"/>
        <w:rPr>
          <w:rFonts w:ascii="宋体" w:hAnsi="宋体" w:cs="宋体"/>
          <w:color w:val="auto"/>
          <w:sz w:val="24"/>
          <w:highlight w:val="none"/>
        </w:rPr>
      </w:pPr>
      <w:r>
        <w:rPr>
          <w:rFonts w:hint="eastAsia" w:ascii="宋体" w:hAnsi="宋体" w:cs="宋体"/>
          <w:color w:val="auto"/>
          <w:sz w:val="24"/>
          <w:highlight w:val="none"/>
        </w:rPr>
        <w:t>在规定的投标登记期间，如某个标段投标登记并购买招标文件的投标人不足</w:t>
      </w:r>
      <w:r>
        <w:rPr>
          <w:rFonts w:ascii="宋体" w:hAnsi="宋体" w:cs="宋体"/>
          <w:color w:val="auto"/>
          <w:sz w:val="24"/>
          <w:highlight w:val="none"/>
        </w:rPr>
        <w:t>3家时，招标人有权选择以下任一方式：（1）在广东省招标投标监管网及</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网站发布公告延长上述投标人家数不足的标段投标登记时间，在延期投标登记时间内，已投标登记投标人的资料仍有效并可自行补充资料，未投标登记的投标人可根据公告的约定进行投标登记；（</w:t>
      </w:r>
      <w:r>
        <w:rPr>
          <w:rFonts w:ascii="宋体" w:hAnsi="宋体" w:cs="宋体"/>
          <w:color w:val="auto"/>
          <w:sz w:val="24"/>
          <w:highlight w:val="none"/>
        </w:rPr>
        <w:t>2）对上述投标人家数不足的标段依法重新组织招标或不再招标。</w:t>
      </w:r>
    </w:p>
    <w:bookmarkEnd w:id="10"/>
    <w:p>
      <w:pPr>
        <w:spacing w:line="360" w:lineRule="auto"/>
        <w:ind w:firstLine="482" w:firstLineChars="200"/>
        <w:rPr>
          <w:rFonts w:ascii="宋体" w:hAnsi="宋体" w:cs="宋体"/>
          <w:b/>
          <w:color w:val="auto"/>
          <w:sz w:val="24"/>
          <w:highlight w:val="none"/>
        </w:rPr>
      </w:pPr>
      <w:r>
        <w:rPr>
          <w:rFonts w:ascii="宋体" w:hAnsi="宋体" w:cs="宋体"/>
          <w:b/>
          <w:color w:val="auto"/>
          <w:sz w:val="24"/>
          <w:highlight w:val="none"/>
        </w:rPr>
        <w:t>7.联系方式</w:t>
      </w:r>
    </w:p>
    <w:p>
      <w:pPr>
        <w:spacing w:line="360" w:lineRule="auto"/>
        <w:ind w:left="559" w:leftChars="266"/>
        <w:rPr>
          <w:rFonts w:ascii="宋体" w:hAnsi="宋体" w:cs="宋体"/>
          <w:color w:val="auto"/>
          <w:sz w:val="24"/>
          <w:highlight w:val="none"/>
        </w:rPr>
      </w:pPr>
      <w:r>
        <w:rPr>
          <w:rFonts w:hint="eastAsia" w:ascii="宋体" w:hAnsi="宋体" w:cs="宋体"/>
          <w:color w:val="auto"/>
          <w:sz w:val="24"/>
          <w:highlight w:val="none"/>
        </w:rPr>
        <w:t>招标人：茂名广港码头有限公司</w:t>
      </w:r>
      <w:r>
        <w:rPr>
          <w:rFonts w:ascii="宋体" w:hAnsi="宋体" w:cs="宋体"/>
          <w:color w:val="auto"/>
          <w:sz w:val="24"/>
          <w:highlight w:val="none"/>
        </w:rPr>
        <w:t xml:space="preserve"> </w:t>
      </w:r>
    </w:p>
    <w:p>
      <w:pPr>
        <w:spacing w:line="360" w:lineRule="auto"/>
        <w:ind w:left="559" w:leftChars="266"/>
        <w:rPr>
          <w:rFonts w:ascii="宋体" w:hAnsi="宋体" w:cs="宋体"/>
          <w:color w:val="auto"/>
          <w:sz w:val="24"/>
          <w:highlight w:val="none"/>
        </w:rPr>
      </w:pPr>
      <w:r>
        <w:rPr>
          <w:rFonts w:hint="eastAsia" w:ascii="宋体" w:hAnsi="宋体" w:cs="宋体"/>
          <w:color w:val="auto"/>
          <w:sz w:val="24"/>
          <w:highlight w:val="none"/>
        </w:rPr>
        <w:t>地址：茂名市电城镇茂名港大道莲头段</w:t>
      </w:r>
    </w:p>
    <w:p>
      <w:pPr>
        <w:spacing w:line="360" w:lineRule="auto"/>
        <w:ind w:left="559" w:leftChars="266"/>
        <w:rPr>
          <w:rFonts w:ascii="宋体" w:hAnsi="宋体" w:cs="宋体"/>
          <w:color w:val="auto"/>
          <w:sz w:val="24"/>
          <w:highlight w:val="none"/>
        </w:rPr>
      </w:pPr>
      <w:r>
        <w:rPr>
          <w:rFonts w:hint="eastAsia" w:ascii="宋体" w:hAnsi="宋体" w:cs="宋体"/>
          <w:color w:val="auto"/>
          <w:sz w:val="24"/>
          <w:highlight w:val="none"/>
        </w:rPr>
        <w:t>邮政编码：525437</w:t>
      </w:r>
    </w:p>
    <w:p>
      <w:pPr>
        <w:spacing w:line="360" w:lineRule="auto"/>
        <w:ind w:left="559" w:leftChars="266"/>
        <w:rPr>
          <w:rFonts w:ascii="宋体" w:hAnsi="宋体" w:cs="宋体"/>
          <w:color w:val="auto"/>
          <w:sz w:val="24"/>
          <w:highlight w:val="none"/>
        </w:rPr>
      </w:pPr>
      <w:r>
        <w:rPr>
          <w:rFonts w:hint="eastAsia" w:ascii="宋体" w:hAnsi="宋体" w:cs="宋体"/>
          <w:color w:val="auto"/>
          <w:sz w:val="24"/>
          <w:highlight w:val="none"/>
        </w:rPr>
        <w:t>电子邮件</w:t>
      </w:r>
      <w:r>
        <w:rPr>
          <w:rFonts w:ascii="宋体" w:hAnsi="宋体" w:cs="宋体"/>
          <w:color w:val="auto"/>
          <w:sz w:val="24"/>
          <w:highlight w:val="none"/>
        </w:rPr>
        <w:t xml:space="preserve">: </w:t>
      </w:r>
      <w:r>
        <w:rPr>
          <w:rFonts w:hint="eastAsia" w:ascii="宋体" w:hAnsi="宋体" w:cs="宋体"/>
          <w:color w:val="auto"/>
          <w:sz w:val="24"/>
          <w:highlight w:val="none"/>
        </w:rPr>
        <w:t>272009655@qq.com</w:t>
      </w:r>
    </w:p>
    <w:p>
      <w:pPr>
        <w:spacing w:line="360" w:lineRule="auto"/>
        <w:ind w:left="559" w:leftChars="266"/>
        <w:rPr>
          <w:rFonts w:ascii="宋体" w:hAnsi="宋体" w:cs="宋体"/>
          <w:color w:val="auto"/>
          <w:sz w:val="24"/>
          <w:highlight w:val="none"/>
        </w:rPr>
      </w:pPr>
      <w:r>
        <w:rPr>
          <w:rFonts w:hint="eastAsia" w:ascii="宋体" w:hAnsi="宋体" w:cs="宋体"/>
          <w:color w:val="auto"/>
          <w:sz w:val="24"/>
          <w:highlight w:val="none"/>
        </w:rPr>
        <w:t>联系人：冯工</w:t>
      </w:r>
    </w:p>
    <w:p>
      <w:pPr>
        <w:spacing w:line="360" w:lineRule="auto"/>
        <w:ind w:left="559" w:leftChars="266"/>
        <w:rPr>
          <w:rFonts w:ascii="宋体" w:hAnsi="宋体" w:cs="宋体"/>
          <w:color w:val="auto"/>
          <w:sz w:val="24"/>
          <w:highlight w:val="none"/>
        </w:rPr>
      </w:pPr>
      <w:r>
        <w:rPr>
          <w:rFonts w:hint="eastAsia" w:ascii="宋体" w:hAnsi="宋体" w:cs="宋体"/>
          <w:color w:val="auto"/>
          <w:sz w:val="24"/>
          <w:highlight w:val="none"/>
        </w:rPr>
        <w:t>电话：</w:t>
      </w:r>
      <w:r>
        <w:rPr>
          <w:rFonts w:ascii="宋体" w:hAnsi="宋体" w:cs="宋体"/>
          <w:color w:val="auto"/>
          <w:sz w:val="24"/>
          <w:highlight w:val="none"/>
        </w:rPr>
        <w:t>0668-5496320</w:t>
      </w:r>
    </w:p>
    <w:p>
      <w:pPr>
        <w:spacing w:line="360" w:lineRule="auto"/>
        <w:ind w:left="559" w:leftChars="266"/>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0668-5496320</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招标代理机构：广州港工程管理有限公司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址：广州经济技术开发区志诚大道</w:t>
      </w:r>
      <w:r>
        <w:rPr>
          <w:rFonts w:ascii="宋体" w:hAnsi="宋体" w:cs="宋体"/>
          <w:color w:val="auto"/>
          <w:sz w:val="24"/>
          <w:highlight w:val="none"/>
        </w:rPr>
        <w:t>331号201室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邮政编码：</w:t>
      </w:r>
      <w:r>
        <w:rPr>
          <w:rFonts w:ascii="宋体" w:hAnsi="宋体" w:cs="宋体"/>
          <w:color w:val="auto"/>
          <w:sz w:val="24"/>
          <w:highlight w:val="none"/>
        </w:rPr>
        <w:t>510730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电子邮件</w:t>
      </w:r>
      <w:r>
        <w:rPr>
          <w:rFonts w:ascii="宋体" w:hAnsi="宋体" w:cs="宋体"/>
          <w:color w:val="auto"/>
          <w:sz w:val="24"/>
          <w:highlight w:val="none"/>
        </w:rPr>
        <w:t xml:space="preserve">: </w:t>
      </w:r>
      <w:r>
        <w:rPr>
          <w:rFonts w:hint="eastAsia"/>
          <w:color w:val="auto"/>
          <w:highlight w:val="none"/>
        </w:rPr>
        <w:fldChar w:fldCharType="begin"/>
      </w:r>
      <w:r>
        <w:rPr>
          <w:color w:val="auto"/>
          <w:highlight w:val="none"/>
        </w:rPr>
        <w:instrText xml:space="preserve"> HYPERLINK "mailto:ZBDL2008@126.com" </w:instrText>
      </w:r>
      <w:r>
        <w:rPr>
          <w:rStyle w:val="13"/>
          <w:rFonts w:hint="eastAsia" w:ascii="宋体" w:hAnsi="宋体" w:cs="宋体"/>
          <w:color w:val="auto"/>
          <w:sz w:val="24"/>
          <w:highlight w:val="none"/>
        </w:rPr>
        <w:fldChar w:fldCharType="separate"/>
      </w:r>
      <w:r>
        <w:rPr>
          <w:rStyle w:val="15"/>
          <w:rFonts w:ascii="宋体" w:hAnsi="宋体" w:cs="宋体"/>
          <w:color w:val="auto"/>
          <w:sz w:val="24"/>
          <w:highlight w:val="none"/>
        </w:rPr>
        <w:t>ZBDL2008@126.com</w:t>
      </w:r>
      <w:r>
        <w:rPr>
          <w:rStyle w:val="15"/>
          <w:rFonts w:hint="eastAsia" w:ascii="宋体" w:hAnsi="宋体" w:cs="宋体"/>
          <w:color w:val="auto"/>
          <w:sz w:val="24"/>
          <w:highlight w:val="none"/>
        </w:rPr>
        <w:fldChar w:fldCharType="end"/>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联系人：黄工、彭工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w:t>
      </w:r>
      <w:r>
        <w:rPr>
          <w:rFonts w:ascii="宋体" w:hAnsi="宋体" w:cs="宋体"/>
          <w:color w:val="auto"/>
          <w:sz w:val="24"/>
          <w:highlight w:val="none"/>
        </w:rPr>
        <w:t xml:space="preserve">  </w:t>
      </w:r>
      <w:r>
        <w:rPr>
          <w:rFonts w:hint="eastAsia" w:ascii="宋体" w:hAnsi="宋体" w:cs="宋体"/>
          <w:color w:val="auto"/>
          <w:sz w:val="24"/>
          <w:highlight w:val="none"/>
        </w:rPr>
        <w:t>话：</w:t>
      </w:r>
      <w:r>
        <w:rPr>
          <w:rFonts w:ascii="宋体" w:hAnsi="宋体" w:cs="宋体"/>
          <w:color w:val="auto"/>
          <w:sz w:val="24"/>
          <w:highlight w:val="none"/>
        </w:rPr>
        <w:t>020-82212731、020-82027239</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w:t>
      </w:r>
      <w:r>
        <w:rPr>
          <w:rFonts w:ascii="宋体" w:hAnsi="宋体" w:cs="宋体"/>
          <w:color w:val="auto"/>
          <w:sz w:val="24"/>
          <w:highlight w:val="none"/>
        </w:rPr>
        <w:t xml:space="preserve">  </w:t>
      </w:r>
      <w:r>
        <w:rPr>
          <w:rFonts w:hint="eastAsia" w:ascii="宋体" w:hAnsi="宋体" w:cs="宋体"/>
          <w:color w:val="auto"/>
          <w:sz w:val="24"/>
          <w:highlight w:val="none"/>
        </w:rPr>
        <w:t>真：</w:t>
      </w:r>
      <w:r>
        <w:rPr>
          <w:rFonts w:ascii="宋体" w:hAnsi="宋体" w:cs="宋体"/>
          <w:color w:val="auto"/>
          <w:sz w:val="24"/>
          <w:highlight w:val="none"/>
        </w:rPr>
        <w:t>020-82212796</w:t>
      </w:r>
    </w:p>
    <w:p>
      <w:pPr>
        <w:spacing w:line="420" w:lineRule="exact"/>
        <w:ind w:left="105" w:leftChars="50"/>
        <w:rPr>
          <w:rFonts w:ascii="宋体" w:hAnsi="宋体" w:cs="宋体"/>
          <w:color w:val="auto"/>
          <w:highlight w:val="none"/>
        </w:rPr>
      </w:pPr>
    </w:p>
    <w:p>
      <w:pPr>
        <w:spacing w:line="420" w:lineRule="exact"/>
        <w:ind w:left="105" w:leftChars="50"/>
        <w:rPr>
          <w:rFonts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1：标段的划分及主要工程项目情况</w:t>
      </w:r>
    </w:p>
    <w:p>
      <w:pPr>
        <w:spacing w:line="420" w:lineRule="exact"/>
        <w:ind w:left="105" w:leftChars="50"/>
        <w:rPr>
          <w:rFonts w:hint="eastAsia" w:ascii="宋体" w:hAnsi="宋体" w:eastAsia="宋体" w:cs="宋体"/>
          <w:color w:val="auto"/>
          <w:highlight w:val="none"/>
          <w:lang w:eastAsia="zh-CN"/>
        </w:rPr>
      </w:pPr>
      <w:r>
        <w:rPr>
          <w:rFonts w:hint="eastAsia" w:ascii="宋体" w:hAnsi="宋体" w:cs="宋体"/>
          <w:color w:val="auto"/>
          <w:highlight w:val="none"/>
        </w:rPr>
        <w:t>附件</w:t>
      </w:r>
      <w:r>
        <w:rPr>
          <w:rFonts w:ascii="宋体" w:hAnsi="宋体" w:cs="宋体"/>
          <w:color w:val="auto"/>
          <w:highlight w:val="none"/>
        </w:rPr>
        <w:t>2：资格审查条件附录</w:t>
      </w:r>
      <w:r>
        <w:rPr>
          <w:rFonts w:ascii="宋体" w:hAnsi="宋体" w:cs="宋体"/>
          <w:color w:val="auto"/>
          <w:highlight w:val="none"/>
          <w:u w:val="single"/>
        </w:rPr>
        <w:t>1</w:t>
      </w:r>
      <w:r>
        <w:rPr>
          <w:rFonts w:hint="eastAsia" w:ascii="宋体" w:hAnsi="宋体" w:cs="宋体"/>
          <w:color w:val="auto"/>
          <w:highlight w:val="none"/>
        </w:rPr>
        <w:t>至附录</w:t>
      </w:r>
      <w:r>
        <w:rPr>
          <w:rFonts w:hint="eastAsia" w:ascii="宋体" w:hAnsi="宋体" w:cs="宋体"/>
          <w:color w:val="auto"/>
          <w:highlight w:val="none"/>
          <w:u w:val="single"/>
          <w:lang w:val="en-US" w:eastAsia="zh-CN"/>
        </w:rPr>
        <w:t>6</w:t>
      </w:r>
    </w:p>
    <w:p>
      <w:pPr>
        <w:spacing w:line="420" w:lineRule="exact"/>
        <w:ind w:left="105" w:leftChars="50"/>
        <w:rPr>
          <w:rFonts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 xml:space="preserve">3：评标办法 </w:t>
      </w:r>
    </w:p>
    <w:p>
      <w:pPr>
        <w:spacing w:line="420" w:lineRule="exact"/>
        <w:ind w:left="105" w:leftChars="50"/>
        <w:rPr>
          <w:rFonts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4：投标登记申请表</w:t>
      </w:r>
    </w:p>
    <w:p>
      <w:pPr>
        <w:spacing w:line="420" w:lineRule="exact"/>
        <w:ind w:left="105" w:leftChars="50"/>
        <w:rPr>
          <w:rFonts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5：招标文件领取登记表</w:t>
      </w:r>
    </w:p>
    <w:p>
      <w:pPr>
        <w:pStyle w:val="21"/>
        <w:spacing w:line="420" w:lineRule="exact"/>
        <w:ind w:left="105" w:leftChars="50" w:firstLine="4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以上附件可从发布公告的网站媒介上下载。</w:t>
      </w:r>
    </w:p>
    <w:p>
      <w:pPr>
        <w:pStyle w:val="18"/>
        <w:rPr>
          <w:rFonts w:ascii="宋体" w:hAnsi="宋体" w:eastAsia="宋体" w:cs="宋体"/>
          <w:color w:val="auto"/>
          <w:highlight w:val="none"/>
        </w:rPr>
      </w:pPr>
      <w:r>
        <w:rPr>
          <w:rFonts w:ascii="宋体" w:hAnsi="宋体" w:eastAsia="宋体" w:cs="宋体"/>
          <w:color w:val="auto"/>
          <w:sz w:val="20"/>
          <w:szCs w:val="20"/>
          <w:highlight w:val="none"/>
        </w:rPr>
        <w:br w:type="page"/>
      </w:r>
      <w:r>
        <w:rPr>
          <w:rFonts w:hint="eastAsia" w:ascii="宋体" w:hAnsi="宋体" w:eastAsia="宋体" w:cs="宋体"/>
          <w:color w:val="auto"/>
          <w:highlight w:val="none"/>
        </w:rPr>
        <w:t>附件</w:t>
      </w:r>
      <w:r>
        <w:rPr>
          <w:rFonts w:ascii="宋体" w:hAnsi="宋体" w:eastAsia="宋体" w:cs="宋体"/>
          <w:color w:val="auto"/>
          <w:highlight w:val="none"/>
        </w:rPr>
        <w:t>1</w:t>
      </w:r>
    </w:p>
    <w:p>
      <w:pPr>
        <w:pStyle w:val="18"/>
        <w:rPr>
          <w:rFonts w:ascii="宋体" w:hAnsi="宋体" w:eastAsia="宋体" w:cs="宋体"/>
          <w:color w:val="auto"/>
          <w:highlight w:val="none"/>
        </w:rPr>
      </w:pPr>
    </w:p>
    <w:p>
      <w:pPr>
        <w:spacing w:line="360" w:lineRule="auto"/>
        <w:jc w:val="center"/>
        <w:rPr>
          <w:rFonts w:ascii="宋体" w:hAnsi="宋体" w:cs="宋体"/>
          <w:bCs/>
          <w:color w:val="auto"/>
          <w:sz w:val="24"/>
          <w:highlight w:val="none"/>
        </w:rPr>
      </w:pPr>
      <w:r>
        <w:rPr>
          <w:rFonts w:hint="eastAsia" w:ascii="宋体" w:hAnsi="宋体" w:cs="宋体"/>
          <w:b/>
          <w:bCs/>
          <w:color w:val="auto"/>
          <w:sz w:val="32"/>
          <w:szCs w:val="32"/>
          <w:highlight w:val="none"/>
        </w:rPr>
        <w:t>标段的划分及</w:t>
      </w:r>
      <w:r>
        <w:rPr>
          <w:rFonts w:hint="eastAsia" w:ascii="宋体" w:hAnsi="宋体"/>
          <w:b/>
          <w:bCs/>
          <w:color w:val="auto"/>
          <w:sz w:val="32"/>
          <w:szCs w:val="32"/>
          <w:highlight w:val="none"/>
        </w:rPr>
        <w:t>主要工程项目情况</w:t>
      </w:r>
    </w:p>
    <w:p>
      <w:pPr>
        <w:pStyle w:val="8"/>
        <w:adjustRightInd w:val="0"/>
        <w:spacing w:line="360" w:lineRule="auto"/>
        <w:ind w:firstLine="480" w:firstLineChars="200"/>
        <w:jc w:val="both"/>
        <w:rPr>
          <w:rFonts w:ascii="宋体" w:hAnsi="宋体" w:cs="宋体"/>
          <w:color w:val="auto"/>
          <w:sz w:val="24"/>
          <w:szCs w:val="24"/>
          <w:highlight w:val="none"/>
        </w:rPr>
      </w:pPr>
    </w:p>
    <w:p>
      <w:pPr>
        <w:pStyle w:val="8"/>
        <w:adjustRightIn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本次招标共分</w:t>
      </w:r>
      <w:r>
        <w:rPr>
          <w:rFonts w:ascii="宋体" w:hAnsi="宋体" w:cs="宋体"/>
          <w:color w:val="auto"/>
          <w:sz w:val="24"/>
          <w:szCs w:val="24"/>
          <w:highlight w:val="none"/>
        </w:rPr>
        <w:t>1个标类1个标段，本工程属于茂名港博贺新港区通用码头工程（二阶段）的一部分，主要建设12座粮食筒仓（仓容12万吨）及其配套设施。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建设地点：茂名港博贺新港区</w:t>
      </w:r>
    </w:p>
    <w:p>
      <w:pPr>
        <w:pStyle w:val="8"/>
        <w:adjustRightIn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项目投资：约1.8亿元</w:t>
      </w:r>
    </w:p>
    <w:p>
      <w:pPr>
        <w:tabs>
          <w:tab w:val="left" w:pos="2520"/>
          <w:tab w:val="left" w:pos="6020"/>
        </w:tabs>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计划工期：</w:t>
      </w:r>
      <w:r>
        <w:rPr>
          <w:rFonts w:ascii="宋体" w:hAnsi="宋体" w:cs="宋体"/>
          <w:color w:val="auto"/>
          <w:sz w:val="24"/>
          <w:highlight w:val="none"/>
        </w:rPr>
        <w:t>540日历天</w:t>
      </w:r>
      <w:r>
        <w:rPr>
          <w:rFonts w:hint="eastAsia" w:ascii="宋体" w:hAnsi="宋体" w:cs="宋体"/>
          <w:color w:val="auto"/>
          <w:sz w:val="24"/>
          <w:highlight w:val="none"/>
        </w:rPr>
        <w:t>。</w:t>
      </w:r>
    </w:p>
    <w:p>
      <w:pPr>
        <w:tabs>
          <w:tab w:val="left" w:pos="2520"/>
          <w:tab w:val="left" w:pos="6020"/>
        </w:tabs>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项目招标范围：本工程属于茂名港博贺新港区通用码头工程（二阶段）的一部分，为茂名港博贺新港区通用码头工程粮食筒仓及输送廊道工程施工，主要建设内容包括总仓容</w:t>
      </w:r>
      <w:r>
        <w:rPr>
          <w:rFonts w:ascii="宋体" w:hAnsi="宋体" w:cs="宋体"/>
          <w:color w:val="auto"/>
          <w:sz w:val="24"/>
          <w:highlight w:val="none"/>
        </w:rPr>
        <w:t>12万吨粮食筒仓、输送廊道、T1~T7塔架、</w:t>
      </w:r>
      <w:r>
        <w:rPr>
          <w:rFonts w:ascii="宋体" w:hAnsi="宋体" w:cs="宋体"/>
          <w:color w:val="auto"/>
          <w:sz w:val="24"/>
          <w:highlight w:val="none"/>
          <w:lang w:val="zh-CN"/>
        </w:rPr>
        <w:t>10kV配电室</w:t>
      </w:r>
      <w:r>
        <w:rPr>
          <w:rFonts w:hint="eastAsia" w:ascii="宋体" w:hAnsi="宋体" w:cs="宋体"/>
          <w:color w:val="auto"/>
          <w:sz w:val="24"/>
          <w:highlight w:val="none"/>
        </w:rPr>
        <w:t>、输送栈桥、筒仓区侯工楼</w:t>
      </w:r>
      <w:r>
        <w:rPr>
          <w:rFonts w:ascii="宋体" w:hAnsi="宋体" w:cs="宋体"/>
          <w:color w:val="auto"/>
          <w:sz w:val="24"/>
          <w:highlight w:val="none"/>
        </w:rPr>
        <w:t>和3#变电所</w:t>
      </w:r>
      <w:r>
        <w:rPr>
          <w:rFonts w:hint="eastAsia" w:ascii="宋体" w:hAnsi="宋体" w:cs="宋体"/>
          <w:color w:val="auto"/>
          <w:sz w:val="24"/>
          <w:highlight w:val="none"/>
        </w:rPr>
        <w:t>等。具体以图纸和工程量清单为准。</w:t>
      </w: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pPr>
    </w:p>
    <w:p>
      <w:pPr>
        <w:jc w:val="left"/>
        <w:rPr>
          <w:rFonts w:ascii="宋体" w:hAnsi="宋体" w:cs="宋体"/>
          <w:color w:val="auto"/>
          <w:highlight w:val="none"/>
        </w:rPr>
        <w:sectPr>
          <w:headerReference r:id="rId4" w:type="default"/>
          <w:footerReference r:id="rId5" w:type="default"/>
          <w:pgSz w:w="11900" w:h="16840"/>
          <w:pgMar w:top="1417" w:right="1417" w:bottom="1417" w:left="1417" w:header="0" w:footer="667" w:gutter="0"/>
          <w:paperSrc/>
          <w:cols w:space="720" w:num="1"/>
          <w:rtlGutter w:val="0"/>
        </w:sectPr>
      </w:pPr>
    </w:p>
    <w:p>
      <w:pPr>
        <w:jc w:val="left"/>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附件2：</w:t>
      </w:r>
    </w:p>
    <w:p>
      <w:pPr>
        <w:pStyle w:val="25"/>
        <w:jc w:val="center"/>
        <w:rPr>
          <w:rFonts w:ascii="宋体" w:hAnsi="宋体" w:eastAsia="宋体" w:cs="宋体"/>
          <w:b/>
          <w:bCs/>
          <w:kern w:val="44"/>
          <w:sz w:val="30"/>
          <w:szCs w:val="30"/>
          <w:highlight w:val="none"/>
        </w:rPr>
      </w:pPr>
      <w:r>
        <w:rPr>
          <w:rFonts w:hint="eastAsia" w:ascii="宋体" w:hAnsi="宋体" w:eastAsia="宋体" w:cs="宋体"/>
          <w:b/>
          <w:bCs/>
          <w:kern w:val="44"/>
          <w:sz w:val="30"/>
          <w:szCs w:val="30"/>
          <w:highlight w:val="none"/>
        </w:rPr>
        <w:t>附录</w:t>
      </w:r>
      <w:r>
        <w:rPr>
          <w:rFonts w:ascii="宋体" w:hAnsi="宋体" w:eastAsia="宋体" w:cs="宋体"/>
          <w:b/>
          <w:bCs/>
          <w:kern w:val="44"/>
          <w:sz w:val="30"/>
          <w:szCs w:val="30"/>
          <w:highlight w:val="none"/>
        </w:rPr>
        <w:t xml:space="preserve">1 </w:t>
      </w:r>
      <w:r>
        <w:rPr>
          <w:rFonts w:hint="eastAsia" w:ascii="宋体" w:hAnsi="宋体" w:eastAsia="宋体" w:cs="宋体"/>
          <w:b/>
          <w:bCs/>
          <w:kern w:val="44"/>
          <w:sz w:val="30"/>
          <w:szCs w:val="30"/>
          <w:highlight w:val="none"/>
        </w:rPr>
        <w:t>资格审查条件</w:t>
      </w:r>
      <w:r>
        <w:rPr>
          <w:rFonts w:ascii="宋体" w:hAnsi="宋体" w:eastAsia="宋体" w:cs="宋体"/>
          <w:b/>
          <w:bCs/>
          <w:kern w:val="44"/>
          <w:sz w:val="30"/>
          <w:szCs w:val="30"/>
          <w:highlight w:val="none"/>
        </w:rPr>
        <w:t>(资质最低条件)</w:t>
      </w:r>
    </w:p>
    <w:tbl>
      <w:tblPr>
        <w:tblStyle w:val="12"/>
        <w:tblW w:w="8991" w:type="dxa"/>
        <w:tblInd w:w="94" w:type="dxa"/>
        <w:tblLayout w:type="fixed"/>
        <w:tblCellMar>
          <w:top w:w="0" w:type="dxa"/>
          <w:left w:w="108" w:type="dxa"/>
          <w:bottom w:w="0" w:type="dxa"/>
          <w:right w:w="108" w:type="dxa"/>
        </w:tblCellMar>
      </w:tblPr>
      <w:tblGrid>
        <w:gridCol w:w="8991"/>
      </w:tblGrid>
      <w:tr>
        <w:tblPrEx>
          <w:tblCellMar>
            <w:top w:w="0" w:type="dxa"/>
            <w:left w:w="108" w:type="dxa"/>
            <w:bottom w:w="0" w:type="dxa"/>
            <w:right w:w="108" w:type="dxa"/>
          </w:tblCellMar>
        </w:tblPrEx>
        <w:trPr>
          <w:trHeight w:val="711" w:hRule="atLeast"/>
        </w:trPr>
        <w:tc>
          <w:tcPr>
            <w:tcW w:w="89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left="105" w:leftChars="50"/>
              <w:jc w:val="center"/>
              <w:rPr>
                <w:rFonts w:ascii="宋体" w:hAnsi="宋体" w:cs="宋体"/>
                <w:color w:val="auto"/>
                <w:sz w:val="24"/>
                <w:highlight w:val="none"/>
              </w:rPr>
            </w:pPr>
            <w:r>
              <w:rPr>
                <w:rFonts w:hint="eastAsia" w:ascii="宋体" w:hAnsi="宋体" w:cs="宋体"/>
                <w:b/>
                <w:bCs/>
                <w:color w:val="auto"/>
                <w:kern w:val="0"/>
                <w:sz w:val="24"/>
                <w:highlight w:val="none"/>
              </w:rPr>
              <w:t>施工企业资质等级要求</w:t>
            </w:r>
          </w:p>
        </w:tc>
      </w:tr>
      <w:tr>
        <w:tblPrEx>
          <w:tblCellMar>
            <w:top w:w="0" w:type="dxa"/>
            <w:left w:w="108" w:type="dxa"/>
            <w:bottom w:w="0" w:type="dxa"/>
            <w:right w:w="108" w:type="dxa"/>
          </w:tblCellMar>
        </w:tblPrEx>
        <w:trPr>
          <w:trHeight w:val="652" w:hRule="atLeast"/>
        </w:trPr>
        <w:tc>
          <w:tcPr>
            <w:tcW w:w="8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ind w:left="105" w:leftChars="50"/>
              <w:rPr>
                <w:rFonts w:ascii="宋体" w:hAnsi="宋体" w:cs="宋体"/>
                <w:color w:val="auto"/>
                <w:kern w:val="0"/>
                <w:sz w:val="24"/>
                <w:highlight w:val="none"/>
              </w:rPr>
            </w:pPr>
            <w:r>
              <w:rPr>
                <w:rFonts w:ascii="宋体" w:hAnsi="宋体" w:cs="宋体"/>
                <w:color w:val="auto"/>
                <w:kern w:val="0"/>
                <w:sz w:val="24"/>
                <w:highlight w:val="none"/>
              </w:rPr>
              <w:t>1.投标人应具有独立法人资格，持有合法有效的法人营业执照。</w:t>
            </w:r>
          </w:p>
          <w:p>
            <w:pPr>
              <w:autoSpaceDE w:val="0"/>
              <w:autoSpaceDN w:val="0"/>
              <w:adjustRightInd w:val="0"/>
              <w:ind w:left="105" w:leftChars="50"/>
              <w:rPr>
                <w:rFonts w:ascii="宋体" w:hAnsi="宋体" w:cs="宋体"/>
                <w:color w:val="auto"/>
                <w:kern w:val="0"/>
                <w:sz w:val="24"/>
                <w:highlight w:val="none"/>
              </w:rPr>
            </w:pPr>
            <w:r>
              <w:rPr>
                <w:rFonts w:ascii="宋体" w:hAnsi="宋体" w:cs="宋体"/>
                <w:color w:val="auto"/>
                <w:kern w:val="0"/>
                <w:sz w:val="24"/>
                <w:highlight w:val="none"/>
              </w:rPr>
              <w:t>2.投标人应具有港口与航道工程施工总承包一级（或以上）</w:t>
            </w:r>
            <w:r>
              <w:rPr>
                <w:rFonts w:hint="eastAsia" w:ascii="宋体" w:hAnsi="宋体" w:cs="宋体"/>
                <w:color w:val="auto"/>
                <w:kern w:val="0"/>
                <w:sz w:val="24"/>
                <w:highlight w:val="none"/>
              </w:rPr>
              <w:t>资质。</w:t>
            </w:r>
          </w:p>
          <w:p>
            <w:pPr>
              <w:autoSpaceDE w:val="0"/>
              <w:autoSpaceDN w:val="0"/>
              <w:adjustRightInd w:val="0"/>
              <w:ind w:left="105" w:leftChars="50"/>
              <w:rPr>
                <w:rFonts w:ascii="宋体" w:hAnsi="宋体" w:cs="宋体"/>
                <w:color w:val="auto"/>
                <w:highlight w:val="none"/>
              </w:rPr>
            </w:pPr>
            <w:r>
              <w:rPr>
                <w:rFonts w:ascii="宋体" w:hAnsi="宋体" w:cs="宋体"/>
                <w:color w:val="auto"/>
                <w:kern w:val="0"/>
                <w:sz w:val="24"/>
                <w:highlight w:val="none"/>
              </w:rPr>
              <w:t>3.投标人应具有合法有效的安全生产许可证。</w:t>
            </w:r>
          </w:p>
        </w:tc>
      </w:tr>
    </w:tbl>
    <w:p>
      <w:pPr>
        <w:pStyle w:val="18"/>
        <w:rPr>
          <w:rFonts w:ascii="宋体" w:hAnsi="宋体" w:eastAsia="宋体" w:cs="宋体"/>
          <w:color w:val="auto"/>
          <w:highlight w:val="none"/>
        </w:rPr>
      </w:pPr>
    </w:p>
    <w:p>
      <w:pPr>
        <w:pStyle w:val="18"/>
        <w:rPr>
          <w:rFonts w:ascii="宋体" w:hAnsi="宋体" w:eastAsia="宋体" w:cs="宋体"/>
          <w:color w:val="auto"/>
          <w:highlight w:val="none"/>
        </w:rPr>
      </w:pPr>
    </w:p>
    <w:p>
      <w:pPr>
        <w:pStyle w:val="25"/>
        <w:jc w:val="center"/>
        <w:rPr>
          <w:rFonts w:ascii="宋体" w:hAnsi="宋体" w:eastAsia="宋体" w:cs="宋体"/>
          <w:sz w:val="30"/>
          <w:szCs w:val="30"/>
          <w:highlight w:val="none"/>
        </w:rPr>
      </w:pPr>
      <w:r>
        <w:rPr>
          <w:rFonts w:hint="eastAsia" w:ascii="宋体" w:hAnsi="宋体" w:eastAsia="宋体" w:cs="宋体"/>
          <w:b/>
          <w:bCs/>
          <w:kern w:val="44"/>
          <w:sz w:val="30"/>
          <w:szCs w:val="30"/>
          <w:highlight w:val="none"/>
        </w:rPr>
        <w:t>附录</w:t>
      </w:r>
      <w:r>
        <w:rPr>
          <w:rFonts w:ascii="宋体" w:hAnsi="宋体" w:eastAsia="宋体" w:cs="宋体"/>
          <w:b/>
          <w:bCs/>
          <w:kern w:val="44"/>
          <w:sz w:val="30"/>
          <w:szCs w:val="30"/>
          <w:highlight w:val="none"/>
        </w:rPr>
        <w:t xml:space="preserve">2 </w:t>
      </w:r>
      <w:r>
        <w:rPr>
          <w:rFonts w:hint="eastAsia" w:ascii="宋体" w:hAnsi="宋体" w:eastAsia="宋体" w:cs="宋体"/>
          <w:b/>
          <w:bCs/>
          <w:kern w:val="44"/>
          <w:sz w:val="30"/>
          <w:szCs w:val="30"/>
          <w:highlight w:val="none"/>
        </w:rPr>
        <w:t>资格审查条件</w:t>
      </w:r>
      <w:r>
        <w:rPr>
          <w:rFonts w:ascii="宋体" w:hAnsi="宋体" w:eastAsia="宋体" w:cs="宋体"/>
          <w:b/>
          <w:bCs/>
          <w:kern w:val="44"/>
          <w:sz w:val="30"/>
          <w:szCs w:val="30"/>
          <w:highlight w:val="none"/>
        </w:rPr>
        <w:t>(财务最低要求)</w:t>
      </w:r>
    </w:p>
    <w:tbl>
      <w:tblPr>
        <w:tblStyle w:val="12"/>
        <w:tblW w:w="8882" w:type="dxa"/>
        <w:jc w:val="center"/>
        <w:tblLayout w:type="fixed"/>
        <w:tblCellMar>
          <w:top w:w="0" w:type="dxa"/>
          <w:left w:w="108" w:type="dxa"/>
          <w:bottom w:w="0" w:type="dxa"/>
          <w:right w:w="108" w:type="dxa"/>
        </w:tblCellMar>
      </w:tblPr>
      <w:tblGrid>
        <w:gridCol w:w="8882"/>
      </w:tblGrid>
      <w:tr>
        <w:tblPrEx>
          <w:tblCellMar>
            <w:top w:w="0" w:type="dxa"/>
            <w:left w:w="108" w:type="dxa"/>
            <w:bottom w:w="0" w:type="dxa"/>
            <w:right w:w="108" w:type="dxa"/>
          </w:tblCellMar>
        </w:tblPrEx>
        <w:trPr>
          <w:trHeight w:val="448" w:hRule="atLeast"/>
          <w:jc w:val="center"/>
        </w:trPr>
        <w:tc>
          <w:tcPr>
            <w:tcW w:w="8882" w:type="dxa"/>
            <w:tcBorders>
              <w:top w:val="single" w:color="auto" w:sz="4" w:space="0"/>
              <w:left w:val="single" w:color="auto" w:sz="4" w:space="0"/>
              <w:bottom w:val="single" w:color="auto" w:sz="4" w:space="0"/>
              <w:right w:val="single" w:color="auto" w:sz="4" w:space="0"/>
            </w:tcBorders>
            <w:vAlign w:val="center"/>
          </w:tcPr>
          <w:p>
            <w:pPr>
              <w:pStyle w:val="26"/>
              <w:spacing w:after="0" w:line="360" w:lineRule="auto"/>
              <w:jc w:val="center"/>
              <w:rPr>
                <w:rFonts w:ascii="宋体" w:hAnsi="宋体" w:eastAsia="宋体" w:cs="宋体"/>
                <w:highlight w:val="none"/>
              </w:rPr>
            </w:pPr>
            <w:r>
              <w:rPr>
                <w:rFonts w:hint="eastAsia" w:ascii="宋体" w:hAnsi="宋体" w:eastAsia="宋体" w:cs="宋体"/>
                <w:b/>
                <w:bCs/>
                <w:highlight w:val="none"/>
              </w:rPr>
              <w:t>财务要求</w:t>
            </w:r>
          </w:p>
        </w:tc>
      </w:tr>
      <w:tr>
        <w:tblPrEx>
          <w:tblCellMar>
            <w:top w:w="0" w:type="dxa"/>
            <w:left w:w="108" w:type="dxa"/>
            <w:bottom w:w="0" w:type="dxa"/>
            <w:right w:w="108" w:type="dxa"/>
          </w:tblCellMar>
        </w:tblPrEx>
        <w:trPr>
          <w:trHeight w:val="814" w:hRule="atLeast"/>
          <w:jc w:val="center"/>
        </w:trPr>
        <w:tc>
          <w:tcPr>
            <w:tcW w:w="88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ascii="宋体" w:hAnsi="宋体" w:cs="宋体"/>
                <w:color w:val="auto"/>
                <w:sz w:val="24"/>
                <w:highlight w:val="none"/>
              </w:rPr>
              <w:t>1.企业净资产（总资产-总负债）不少于</w:t>
            </w:r>
            <w:r>
              <w:rPr>
                <w:rFonts w:ascii="宋体" w:hAnsi="宋体" w:cs="宋体"/>
                <w:color w:val="auto"/>
                <w:sz w:val="24"/>
                <w:highlight w:val="none"/>
                <w:u w:val="single"/>
              </w:rPr>
              <w:t>20000</w:t>
            </w:r>
            <w:r>
              <w:rPr>
                <w:rFonts w:hint="eastAsia" w:ascii="宋体" w:hAnsi="宋体" w:cs="宋体"/>
                <w:color w:val="auto"/>
                <w:sz w:val="24"/>
                <w:highlight w:val="none"/>
              </w:rPr>
              <w:t>万人民币。</w:t>
            </w:r>
          </w:p>
          <w:p>
            <w:pPr>
              <w:rPr>
                <w:rFonts w:ascii="宋体" w:hAnsi="宋体" w:cs="宋体"/>
                <w:color w:val="auto"/>
                <w:sz w:val="24"/>
                <w:highlight w:val="none"/>
              </w:rPr>
            </w:pPr>
            <w:r>
              <w:rPr>
                <w:rFonts w:ascii="宋体" w:hAnsi="宋体" w:cs="宋体"/>
                <w:color w:val="auto"/>
                <w:sz w:val="24"/>
                <w:highlight w:val="none"/>
              </w:rPr>
              <w:t>2.营运资金（流动资产－流动负债）不少于</w:t>
            </w:r>
            <w:r>
              <w:rPr>
                <w:rFonts w:ascii="宋体" w:hAnsi="宋体" w:cs="宋体"/>
                <w:color w:val="auto"/>
                <w:sz w:val="24"/>
                <w:highlight w:val="none"/>
                <w:u w:val="single"/>
              </w:rPr>
              <w:t xml:space="preserve"> /</w:t>
            </w:r>
            <w:r>
              <w:rPr>
                <w:rFonts w:hint="eastAsia" w:ascii="宋体" w:hAnsi="宋体" w:cs="宋体"/>
                <w:color w:val="auto"/>
                <w:sz w:val="24"/>
                <w:highlight w:val="none"/>
              </w:rPr>
              <w:t>万元人民币。</w:t>
            </w:r>
          </w:p>
          <w:p>
            <w:pPr>
              <w:rPr>
                <w:rFonts w:ascii="宋体" w:hAnsi="宋体" w:cs="宋体"/>
                <w:color w:val="auto"/>
                <w:sz w:val="24"/>
                <w:highlight w:val="none"/>
              </w:rPr>
            </w:pPr>
            <w:r>
              <w:rPr>
                <w:rFonts w:ascii="宋体" w:hAnsi="宋体" w:cs="宋体"/>
                <w:color w:val="auto"/>
                <w:sz w:val="24"/>
                <w:highlight w:val="none"/>
              </w:rPr>
              <w:t>3.近三个年度的平均营业总收入不少于</w:t>
            </w:r>
            <w:r>
              <w:rPr>
                <w:rFonts w:ascii="宋体" w:hAnsi="宋体" w:cs="宋体"/>
                <w:color w:val="auto"/>
                <w:sz w:val="24"/>
                <w:highlight w:val="none"/>
                <w:u w:val="single"/>
              </w:rPr>
              <w:t>10000</w:t>
            </w:r>
            <w:r>
              <w:rPr>
                <w:rFonts w:hint="eastAsia" w:ascii="宋体" w:hAnsi="宋体" w:cs="宋体"/>
                <w:color w:val="auto"/>
                <w:sz w:val="24"/>
                <w:highlight w:val="none"/>
              </w:rPr>
              <w:t>万元人民币。</w:t>
            </w:r>
          </w:p>
          <w:p>
            <w:pPr>
              <w:rPr>
                <w:rFonts w:ascii="宋体" w:hAnsi="宋体" w:cs="宋体"/>
                <w:color w:val="auto"/>
                <w:sz w:val="24"/>
                <w:highlight w:val="none"/>
              </w:rPr>
            </w:pPr>
            <w:r>
              <w:rPr>
                <w:rFonts w:ascii="宋体" w:hAnsi="宋体" w:cs="宋体"/>
                <w:color w:val="auto"/>
                <w:sz w:val="24"/>
                <w:highlight w:val="none"/>
              </w:rPr>
              <w:t>4.近三个年度</w:t>
            </w:r>
            <w:r>
              <w:rPr>
                <w:rFonts w:ascii="宋体" w:hAnsi="宋体" w:cs="宋体"/>
                <w:color w:val="auto"/>
                <w:sz w:val="24"/>
                <w:highlight w:val="none"/>
                <w:u w:val="single"/>
              </w:rPr>
              <w:t>3</w:t>
            </w:r>
            <w:r>
              <w:rPr>
                <w:rFonts w:hint="eastAsia" w:ascii="宋体" w:hAnsi="宋体" w:cs="宋体"/>
                <w:color w:val="auto"/>
                <w:sz w:val="24"/>
                <w:highlight w:val="none"/>
              </w:rPr>
              <w:t>年盈利。</w:t>
            </w:r>
          </w:p>
        </w:tc>
      </w:tr>
    </w:tbl>
    <w:p>
      <w:pPr>
        <w:pStyle w:val="18"/>
        <w:rPr>
          <w:rFonts w:ascii="宋体" w:hAnsi="宋体" w:eastAsia="宋体" w:cs="宋体"/>
          <w:color w:val="auto"/>
          <w:kern w:val="44"/>
          <w:sz w:val="18"/>
          <w:szCs w:val="18"/>
          <w:highlight w:val="none"/>
        </w:rPr>
      </w:pPr>
      <w:r>
        <w:rPr>
          <w:rFonts w:hint="eastAsia" w:ascii="宋体" w:hAnsi="宋体" w:eastAsia="宋体" w:cs="宋体"/>
          <w:color w:val="auto"/>
          <w:kern w:val="44"/>
          <w:sz w:val="18"/>
          <w:szCs w:val="18"/>
          <w:highlight w:val="none"/>
        </w:rPr>
        <w:t>注：</w:t>
      </w:r>
      <w:r>
        <w:rPr>
          <w:rFonts w:ascii="宋体" w:hAnsi="宋体" w:eastAsia="宋体" w:cs="宋体"/>
          <w:color w:val="auto"/>
          <w:kern w:val="44"/>
          <w:sz w:val="18"/>
          <w:szCs w:val="18"/>
          <w:highlight w:val="none"/>
        </w:rPr>
        <w:t>1、企业净资产、营运资金是指近三个财务年度的最后一年的数据，下同。</w:t>
      </w:r>
    </w:p>
    <w:p>
      <w:pPr>
        <w:pStyle w:val="18"/>
        <w:rPr>
          <w:rFonts w:ascii="宋体" w:hAnsi="宋体" w:eastAsia="宋体" w:cs="宋体"/>
          <w:b/>
          <w:bCs/>
          <w:color w:val="auto"/>
          <w:kern w:val="44"/>
          <w:sz w:val="30"/>
          <w:szCs w:val="30"/>
          <w:highlight w:val="none"/>
        </w:rPr>
      </w:pPr>
    </w:p>
    <w:p>
      <w:pPr>
        <w:pStyle w:val="25"/>
        <w:jc w:val="center"/>
        <w:rPr>
          <w:rFonts w:ascii="宋体" w:hAnsi="宋体" w:eastAsia="宋体" w:cs="宋体"/>
          <w:sz w:val="30"/>
          <w:szCs w:val="30"/>
          <w:highlight w:val="none"/>
        </w:rPr>
      </w:pPr>
      <w:r>
        <w:rPr>
          <w:rFonts w:hint="eastAsia" w:ascii="宋体" w:hAnsi="宋体" w:eastAsia="宋体" w:cs="宋体"/>
          <w:b/>
          <w:bCs/>
          <w:kern w:val="44"/>
          <w:sz w:val="30"/>
          <w:szCs w:val="30"/>
          <w:highlight w:val="none"/>
        </w:rPr>
        <w:t>附录</w:t>
      </w:r>
      <w:r>
        <w:rPr>
          <w:rFonts w:ascii="宋体" w:hAnsi="宋体" w:eastAsia="宋体" w:cs="宋体"/>
          <w:b/>
          <w:bCs/>
          <w:kern w:val="44"/>
          <w:sz w:val="30"/>
          <w:szCs w:val="30"/>
          <w:highlight w:val="none"/>
        </w:rPr>
        <w:t xml:space="preserve">3 </w:t>
      </w:r>
      <w:r>
        <w:rPr>
          <w:rFonts w:hint="eastAsia" w:ascii="宋体" w:hAnsi="宋体" w:eastAsia="宋体" w:cs="宋体"/>
          <w:b/>
          <w:bCs/>
          <w:kern w:val="44"/>
          <w:sz w:val="30"/>
          <w:szCs w:val="30"/>
          <w:highlight w:val="none"/>
        </w:rPr>
        <w:t>资格审查条件</w:t>
      </w:r>
      <w:r>
        <w:rPr>
          <w:rFonts w:ascii="宋体" w:hAnsi="宋体" w:eastAsia="宋体" w:cs="宋体"/>
          <w:b/>
          <w:bCs/>
          <w:kern w:val="44"/>
          <w:sz w:val="30"/>
          <w:szCs w:val="30"/>
          <w:highlight w:val="none"/>
        </w:rPr>
        <w:t>(业绩最低要求)</w:t>
      </w:r>
    </w:p>
    <w:tbl>
      <w:tblPr>
        <w:tblStyle w:val="12"/>
        <w:tblW w:w="8878" w:type="dxa"/>
        <w:jc w:val="center"/>
        <w:tblLayout w:type="fixed"/>
        <w:tblCellMar>
          <w:top w:w="0" w:type="dxa"/>
          <w:left w:w="108" w:type="dxa"/>
          <w:bottom w:w="0" w:type="dxa"/>
          <w:right w:w="108" w:type="dxa"/>
        </w:tblCellMar>
      </w:tblPr>
      <w:tblGrid>
        <w:gridCol w:w="8878"/>
      </w:tblGrid>
      <w:tr>
        <w:tblPrEx>
          <w:tblCellMar>
            <w:top w:w="0" w:type="dxa"/>
            <w:left w:w="108" w:type="dxa"/>
            <w:bottom w:w="0" w:type="dxa"/>
            <w:right w:w="108" w:type="dxa"/>
          </w:tblCellMar>
        </w:tblPrEx>
        <w:trPr>
          <w:trHeight w:val="567" w:hRule="atLeast"/>
          <w:jc w:val="center"/>
        </w:trPr>
        <w:tc>
          <w:tcPr>
            <w:tcW w:w="8878" w:type="dxa"/>
            <w:tcBorders>
              <w:top w:val="single" w:color="auto" w:sz="4" w:space="0"/>
              <w:left w:val="single" w:color="auto" w:sz="4" w:space="0"/>
              <w:bottom w:val="single" w:color="auto" w:sz="4" w:space="0"/>
              <w:right w:val="single" w:color="auto" w:sz="4" w:space="0"/>
            </w:tcBorders>
            <w:vAlign w:val="center"/>
          </w:tcPr>
          <w:p>
            <w:pPr>
              <w:pStyle w:val="26"/>
              <w:spacing w:after="0" w:line="360" w:lineRule="auto"/>
              <w:jc w:val="center"/>
              <w:rPr>
                <w:rFonts w:ascii="宋体" w:hAnsi="宋体" w:eastAsia="宋体" w:cs="宋体"/>
                <w:highlight w:val="none"/>
              </w:rPr>
            </w:pPr>
            <w:r>
              <w:rPr>
                <w:rFonts w:hint="eastAsia" w:ascii="宋体" w:hAnsi="宋体" w:eastAsia="宋体" w:cs="宋体"/>
                <w:b/>
                <w:bCs/>
                <w:highlight w:val="none"/>
              </w:rPr>
              <w:t>业绩要求</w:t>
            </w:r>
          </w:p>
        </w:tc>
      </w:tr>
      <w:tr>
        <w:tblPrEx>
          <w:tblCellMar>
            <w:top w:w="0" w:type="dxa"/>
            <w:left w:w="108" w:type="dxa"/>
            <w:bottom w:w="0" w:type="dxa"/>
            <w:right w:w="108" w:type="dxa"/>
          </w:tblCellMar>
        </w:tblPrEx>
        <w:trPr>
          <w:trHeight w:val="1008" w:hRule="atLeast"/>
          <w:jc w:val="center"/>
        </w:trPr>
        <w:tc>
          <w:tcPr>
            <w:tcW w:w="88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sz w:val="24"/>
                <w:highlight w:val="none"/>
              </w:rPr>
              <w:t>投标人自</w:t>
            </w:r>
            <w:r>
              <w:rPr>
                <w:rFonts w:ascii="宋体" w:hAnsi="宋体" w:cs="宋体"/>
                <w:color w:val="auto"/>
                <w:sz w:val="24"/>
                <w:highlight w:val="none"/>
              </w:rPr>
              <w:t>2018年1月1日至今【以交（竣）工验收时间为准】</w:t>
            </w:r>
            <w:r>
              <w:rPr>
                <w:rFonts w:hint="eastAsia" w:ascii="宋体" w:hAnsi="宋体" w:cs="宋体"/>
                <w:color w:val="auto"/>
                <w:sz w:val="24"/>
                <w:highlight w:val="none"/>
              </w:rPr>
              <w:t>完成过质量合格的单项合同金额不少于人民币</w:t>
            </w:r>
            <w:r>
              <w:rPr>
                <w:rFonts w:ascii="宋体" w:hAnsi="宋体" w:cs="宋体"/>
                <w:color w:val="auto"/>
                <w:sz w:val="24"/>
                <w:highlight w:val="none"/>
              </w:rPr>
              <w:t>1.</w:t>
            </w:r>
            <w:r>
              <w:rPr>
                <w:rFonts w:hint="eastAsia" w:ascii="宋体" w:hAnsi="宋体" w:cs="宋体"/>
                <w:color w:val="auto"/>
                <w:sz w:val="24"/>
                <w:highlight w:val="none"/>
                <w:lang w:val="en-US" w:eastAsia="zh-CN"/>
              </w:rPr>
              <w:t>5</w:t>
            </w:r>
            <w:r>
              <w:rPr>
                <w:rFonts w:ascii="宋体" w:hAnsi="宋体" w:cs="宋体"/>
                <w:color w:val="auto"/>
                <w:sz w:val="24"/>
                <w:highlight w:val="none"/>
              </w:rPr>
              <w:t>亿元</w:t>
            </w:r>
            <w:r>
              <w:rPr>
                <w:rFonts w:hint="eastAsia" w:ascii="宋体" w:hAnsi="宋体" w:cs="宋体"/>
                <w:color w:val="auto"/>
                <w:sz w:val="24"/>
                <w:highlight w:val="none"/>
              </w:rPr>
              <w:t>港口工程施工业绩。</w:t>
            </w:r>
          </w:p>
        </w:tc>
      </w:tr>
    </w:tbl>
    <w:p>
      <w:pPr>
        <w:pStyle w:val="18"/>
        <w:spacing w:line="360" w:lineRule="auto"/>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r>
        <w:rPr>
          <w:rFonts w:ascii="宋体" w:hAnsi="宋体" w:eastAsia="宋体" w:cs="宋体"/>
          <w:color w:val="auto"/>
          <w:sz w:val="18"/>
          <w:szCs w:val="18"/>
          <w:highlight w:val="none"/>
        </w:rPr>
        <w:t>1、本附录所要求的业绩仅限中华人民共和国境内业绩。</w:t>
      </w:r>
    </w:p>
    <w:p>
      <w:pPr>
        <w:pStyle w:val="18"/>
        <w:spacing w:line="440" w:lineRule="atLeast"/>
        <w:jc w:val="center"/>
        <w:rPr>
          <w:rFonts w:ascii="宋体" w:hAnsi="宋体" w:eastAsia="宋体" w:cs="宋体"/>
          <w:color w:val="auto"/>
          <w:sz w:val="21"/>
          <w:szCs w:val="21"/>
          <w:highlight w:val="none"/>
        </w:rPr>
      </w:pPr>
    </w:p>
    <w:p>
      <w:pPr>
        <w:pStyle w:val="25"/>
        <w:jc w:val="center"/>
        <w:rPr>
          <w:rFonts w:ascii="宋体" w:hAnsi="宋体" w:eastAsia="宋体" w:cs="宋体"/>
          <w:sz w:val="30"/>
          <w:szCs w:val="30"/>
          <w:highlight w:val="none"/>
        </w:rPr>
      </w:pPr>
      <w:r>
        <w:rPr>
          <w:rFonts w:hint="eastAsia" w:ascii="宋体" w:hAnsi="宋体" w:eastAsia="宋体" w:cs="宋体"/>
          <w:b/>
          <w:bCs/>
          <w:kern w:val="44"/>
          <w:sz w:val="30"/>
          <w:szCs w:val="30"/>
          <w:highlight w:val="none"/>
        </w:rPr>
        <w:t>附录</w:t>
      </w:r>
      <w:r>
        <w:rPr>
          <w:rFonts w:ascii="宋体" w:hAnsi="宋体" w:eastAsia="宋体" w:cs="宋体"/>
          <w:b/>
          <w:bCs/>
          <w:kern w:val="44"/>
          <w:sz w:val="30"/>
          <w:szCs w:val="30"/>
          <w:highlight w:val="none"/>
        </w:rPr>
        <w:t xml:space="preserve">4 </w:t>
      </w:r>
      <w:r>
        <w:rPr>
          <w:rFonts w:hint="eastAsia" w:ascii="宋体" w:hAnsi="宋体" w:eastAsia="宋体" w:cs="宋体"/>
          <w:b/>
          <w:bCs/>
          <w:kern w:val="44"/>
          <w:sz w:val="30"/>
          <w:szCs w:val="30"/>
          <w:highlight w:val="none"/>
        </w:rPr>
        <w:t>资格审查条件</w:t>
      </w:r>
      <w:r>
        <w:rPr>
          <w:rFonts w:ascii="宋体" w:hAnsi="宋体" w:eastAsia="宋体" w:cs="宋体"/>
          <w:b/>
          <w:bCs/>
          <w:kern w:val="44"/>
          <w:sz w:val="30"/>
          <w:szCs w:val="30"/>
          <w:highlight w:val="none"/>
        </w:rPr>
        <w:t>(信誉最低要求)</w:t>
      </w:r>
    </w:p>
    <w:tbl>
      <w:tblPr>
        <w:tblStyle w:val="12"/>
        <w:tblW w:w="8831" w:type="dxa"/>
        <w:jc w:val="center"/>
        <w:tblLayout w:type="fixed"/>
        <w:tblCellMar>
          <w:top w:w="0" w:type="dxa"/>
          <w:left w:w="108" w:type="dxa"/>
          <w:bottom w:w="0" w:type="dxa"/>
          <w:right w:w="108" w:type="dxa"/>
        </w:tblCellMar>
      </w:tblPr>
      <w:tblGrid>
        <w:gridCol w:w="8831"/>
      </w:tblGrid>
      <w:tr>
        <w:tblPrEx>
          <w:tblCellMar>
            <w:top w:w="0" w:type="dxa"/>
            <w:left w:w="108" w:type="dxa"/>
            <w:bottom w:w="0" w:type="dxa"/>
            <w:right w:w="108" w:type="dxa"/>
          </w:tblCellMar>
        </w:tblPrEx>
        <w:trPr>
          <w:trHeight w:val="500" w:hRule="atLeast"/>
          <w:jc w:val="center"/>
        </w:trPr>
        <w:tc>
          <w:tcPr>
            <w:tcW w:w="8831" w:type="dxa"/>
            <w:tcBorders>
              <w:top w:val="single" w:color="auto" w:sz="4" w:space="0"/>
              <w:left w:val="single" w:color="auto" w:sz="4" w:space="0"/>
              <w:bottom w:val="single" w:color="auto" w:sz="4" w:space="0"/>
              <w:right w:val="single" w:color="auto" w:sz="4" w:space="0"/>
            </w:tcBorders>
            <w:vAlign w:val="center"/>
          </w:tcPr>
          <w:p>
            <w:pPr>
              <w:pStyle w:val="26"/>
              <w:spacing w:after="0" w:line="360" w:lineRule="auto"/>
              <w:jc w:val="center"/>
              <w:rPr>
                <w:rFonts w:ascii="宋体" w:hAnsi="宋体" w:eastAsia="宋体" w:cs="宋体"/>
                <w:highlight w:val="none"/>
              </w:rPr>
            </w:pPr>
            <w:r>
              <w:rPr>
                <w:rFonts w:hint="eastAsia" w:ascii="宋体" w:hAnsi="宋体" w:eastAsia="宋体" w:cs="宋体"/>
                <w:b/>
                <w:bCs/>
                <w:sz w:val="21"/>
                <w:szCs w:val="21"/>
                <w:highlight w:val="none"/>
              </w:rPr>
              <w:t>信誉要求</w:t>
            </w:r>
          </w:p>
        </w:tc>
      </w:tr>
      <w:tr>
        <w:tblPrEx>
          <w:tblCellMar>
            <w:top w:w="0" w:type="dxa"/>
            <w:left w:w="108" w:type="dxa"/>
            <w:bottom w:w="0" w:type="dxa"/>
            <w:right w:w="108" w:type="dxa"/>
          </w:tblCellMar>
        </w:tblPrEx>
        <w:trPr>
          <w:trHeight w:val="841" w:hRule="atLeast"/>
          <w:jc w:val="center"/>
        </w:trPr>
        <w:tc>
          <w:tcPr>
            <w:tcW w:w="883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rPr>
                <w:rFonts w:ascii="宋体" w:hAnsi="宋体" w:eastAsia="宋体" w:cs="宋体"/>
                <w:color w:val="auto"/>
                <w:highlight w:val="none"/>
              </w:rPr>
            </w:pPr>
            <w:r>
              <w:rPr>
                <w:rFonts w:hint="eastAsia" w:ascii="宋体" w:hAnsi="宋体" w:eastAsia="宋体" w:cs="宋体"/>
                <w:color w:val="auto"/>
                <w:kern w:val="2"/>
                <w:highlight w:val="none"/>
              </w:rPr>
              <w:t>在最新年度广东省水运工程从业单位（施工单位）信用评价（含无最新年度而上一年度有信用评价）中，信用等级未被评为</w:t>
            </w:r>
            <w:r>
              <w:rPr>
                <w:rFonts w:hint="eastAsia" w:ascii="宋体" w:hAnsi="宋体" w:eastAsia="宋体" w:cs="宋体"/>
                <w:color w:val="auto"/>
                <w:kern w:val="2"/>
                <w:highlight w:val="none"/>
                <w:lang w:val="en-US" w:eastAsia="zh-CN"/>
              </w:rPr>
              <w:t>D</w:t>
            </w:r>
            <w:r>
              <w:rPr>
                <w:rFonts w:hint="eastAsia" w:ascii="宋体" w:hAnsi="宋体" w:eastAsia="宋体" w:cs="宋体"/>
                <w:color w:val="auto"/>
                <w:kern w:val="2"/>
                <w:highlight w:val="none"/>
              </w:rPr>
              <w:t>级；初次进入广东省的投标人，在最新年度的全国水运从业单位（施工单位）信用评价结果中未被评为</w:t>
            </w:r>
            <w:r>
              <w:rPr>
                <w:rFonts w:hint="eastAsia" w:ascii="宋体" w:hAnsi="宋体" w:eastAsia="宋体" w:cs="宋体"/>
                <w:color w:val="auto"/>
                <w:kern w:val="2"/>
                <w:highlight w:val="none"/>
                <w:lang w:val="en-US" w:eastAsia="zh-CN"/>
              </w:rPr>
              <w:t>D</w:t>
            </w:r>
            <w:r>
              <w:rPr>
                <w:rFonts w:hint="eastAsia" w:ascii="宋体" w:hAnsi="宋体" w:eastAsia="宋体" w:cs="宋体"/>
                <w:color w:val="auto"/>
                <w:kern w:val="2"/>
                <w:highlight w:val="none"/>
              </w:rPr>
              <w:t>级。</w:t>
            </w:r>
          </w:p>
        </w:tc>
      </w:tr>
    </w:tbl>
    <w:p>
      <w:pPr>
        <w:pStyle w:val="27"/>
        <w:spacing w:after="0" w:line="360" w:lineRule="auto"/>
        <w:rPr>
          <w:rFonts w:ascii="宋体" w:hAnsi="宋体" w:eastAsia="宋体" w:cs="宋体"/>
          <w:sz w:val="18"/>
          <w:szCs w:val="18"/>
          <w:highlight w:val="none"/>
        </w:rPr>
      </w:pPr>
      <w:r>
        <w:rPr>
          <w:rFonts w:hint="eastAsia" w:ascii="宋体" w:hAnsi="宋体" w:eastAsia="宋体" w:cs="宋体"/>
          <w:sz w:val="18"/>
          <w:szCs w:val="18"/>
          <w:highlight w:val="none"/>
        </w:rPr>
        <w:t>注：</w:t>
      </w:r>
      <w:r>
        <w:rPr>
          <w:rFonts w:ascii="宋体" w:hAnsi="宋体" w:eastAsia="宋体" w:cs="宋体"/>
          <w:sz w:val="18"/>
          <w:szCs w:val="18"/>
          <w:highlight w:val="none"/>
        </w:rPr>
        <w:t>1、信用等级类别应与招标相应的标段类别对应。</w:t>
      </w:r>
    </w:p>
    <w:p>
      <w:pPr>
        <w:pStyle w:val="27"/>
        <w:spacing w:after="0" w:line="360" w:lineRule="auto"/>
        <w:rPr>
          <w:rFonts w:ascii="宋体" w:hAnsi="宋体" w:eastAsia="宋体" w:cs="宋体"/>
          <w:sz w:val="18"/>
          <w:szCs w:val="18"/>
          <w:highlight w:val="none"/>
        </w:rPr>
      </w:pPr>
      <w:r>
        <w:rPr>
          <w:rFonts w:ascii="宋体" w:hAnsi="宋体" w:eastAsia="宋体" w:cs="宋体"/>
          <w:sz w:val="18"/>
          <w:szCs w:val="18"/>
          <w:highlight w:val="none"/>
        </w:rPr>
        <w:t xml:space="preserve">2、信用等级的确定原则遵遁投标人须知前附表 10.2 </w:t>
      </w:r>
      <w:r>
        <w:rPr>
          <w:rFonts w:hint="eastAsia" w:ascii="宋体" w:hAnsi="宋体" w:eastAsia="宋体" w:cs="宋体"/>
          <w:sz w:val="18"/>
          <w:szCs w:val="18"/>
          <w:highlight w:val="none"/>
        </w:rPr>
        <w:t>款的规定。</w:t>
      </w:r>
    </w:p>
    <w:p>
      <w:pPr>
        <w:pStyle w:val="27"/>
        <w:jc w:val="center"/>
        <w:rPr>
          <w:rFonts w:ascii="宋体" w:hAnsi="宋体" w:eastAsia="宋体" w:cs="宋体"/>
          <w:b/>
          <w:bCs/>
          <w:kern w:val="44"/>
          <w:sz w:val="30"/>
          <w:szCs w:val="30"/>
          <w:highlight w:val="none"/>
        </w:rPr>
      </w:pPr>
    </w:p>
    <w:p>
      <w:pPr>
        <w:pStyle w:val="27"/>
        <w:jc w:val="center"/>
        <w:rPr>
          <w:rFonts w:ascii="宋体" w:hAnsi="宋体" w:eastAsia="宋体" w:cs="宋体"/>
          <w:b/>
          <w:bCs/>
          <w:kern w:val="44"/>
          <w:sz w:val="30"/>
          <w:szCs w:val="30"/>
          <w:highlight w:val="none"/>
        </w:rPr>
      </w:pPr>
    </w:p>
    <w:p>
      <w:pPr>
        <w:pStyle w:val="27"/>
        <w:jc w:val="center"/>
        <w:rPr>
          <w:rFonts w:ascii="宋体" w:hAnsi="宋体" w:eastAsia="宋体" w:cs="宋体"/>
          <w:b/>
          <w:bCs/>
          <w:kern w:val="44"/>
          <w:sz w:val="30"/>
          <w:szCs w:val="30"/>
          <w:highlight w:val="none"/>
        </w:rPr>
      </w:pPr>
    </w:p>
    <w:p>
      <w:pPr>
        <w:pStyle w:val="27"/>
        <w:jc w:val="both"/>
        <w:rPr>
          <w:rFonts w:ascii="宋体" w:hAnsi="宋体" w:eastAsia="宋体" w:cs="宋体"/>
          <w:b/>
          <w:bCs/>
          <w:kern w:val="44"/>
          <w:sz w:val="30"/>
          <w:szCs w:val="30"/>
          <w:highlight w:val="none"/>
        </w:rPr>
      </w:pPr>
    </w:p>
    <w:p>
      <w:pPr>
        <w:pStyle w:val="27"/>
        <w:jc w:val="center"/>
        <w:rPr>
          <w:rFonts w:ascii="宋体" w:hAnsi="宋体" w:eastAsia="宋体" w:cs="宋体"/>
          <w:b/>
          <w:bCs/>
          <w:sz w:val="30"/>
          <w:szCs w:val="30"/>
          <w:highlight w:val="none"/>
        </w:rPr>
      </w:pPr>
      <w:r>
        <w:rPr>
          <w:rFonts w:hint="eastAsia" w:ascii="宋体" w:hAnsi="宋体" w:eastAsia="宋体" w:cs="宋体"/>
          <w:b/>
          <w:bCs/>
          <w:kern w:val="44"/>
          <w:sz w:val="30"/>
          <w:szCs w:val="30"/>
          <w:highlight w:val="none"/>
        </w:rPr>
        <w:t>附录</w:t>
      </w:r>
      <w:r>
        <w:rPr>
          <w:rFonts w:ascii="宋体" w:hAnsi="宋体" w:eastAsia="宋体" w:cs="宋体"/>
          <w:b/>
          <w:bCs/>
          <w:kern w:val="44"/>
          <w:sz w:val="30"/>
          <w:szCs w:val="30"/>
          <w:highlight w:val="none"/>
        </w:rPr>
        <w:t xml:space="preserve">5 </w:t>
      </w:r>
      <w:r>
        <w:rPr>
          <w:rFonts w:hint="eastAsia" w:ascii="宋体" w:hAnsi="宋体" w:eastAsia="宋体" w:cs="宋体"/>
          <w:b/>
          <w:bCs/>
          <w:kern w:val="44"/>
          <w:sz w:val="30"/>
          <w:szCs w:val="30"/>
          <w:highlight w:val="none"/>
        </w:rPr>
        <w:t>资格审查条件</w:t>
      </w:r>
      <w:r>
        <w:rPr>
          <w:rFonts w:ascii="宋体" w:hAnsi="宋体" w:eastAsia="宋体" w:cs="宋体"/>
          <w:b/>
          <w:bCs/>
          <w:kern w:val="44"/>
          <w:sz w:val="30"/>
          <w:szCs w:val="30"/>
          <w:highlight w:val="none"/>
        </w:rPr>
        <w:t>(项目负责人和项目技术负责人最低要求)</w:t>
      </w:r>
    </w:p>
    <w:tbl>
      <w:tblPr>
        <w:tblStyle w:val="12"/>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31"/>
        <w:gridCol w:w="4860"/>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5" w:type="dxa"/>
            <w:vAlign w:val="center"/>
          </w:tcPr>
          <w:p>
            <w:pPr>
              <w:pStyle w:val="26"/>
              <w:spacing w:after="0" w:line="360" w:lineRule="auto"/>
              <w:jc w:val="center"/>
              <w:rPr>
                <w:rFonts w:ascii="宋体" w:hAnsi="宋体" w:eastAsia="宋体" w:cs="宋体"/>
                <w:b/>
                <w:bCs/>
                <w:highlight w:val="none"/>
              </w:rPr>
            </w:pPr>
            <w:r>
              <w:rPr>
                <w:rFonts w:hint="eastAsia" w:ascii="宋体" w:hAnsi="宋体" w:eastAsia="宋体" w:cs="宋体"/>
                <w:b/>
                <w:bCs/>
                <w:highlight w:val="none"/>
              </w:rPr>
              <w:t>人员</w:t>
            </w:r>
          </w:p>
        </w:tc>
        <w:tc>
          <w:tcPr>
            <w:tcW w:w="931" w:type="dxa"/>
            <w:vAlign w:val="center"/>
          </w:tcPr>
          <w:p>
            <w:pPr>
              <w:pStyle w:val="26"/>
              <w:spacing w:after="0" w:line="360" w:lineRule="auto"/>
              <w:jc w:val="center"/>
              <w:rPr>
                <w:rFonts w:ascii="宋体" w:hAnsi="宋体" w:eastAsia="宋体" w:cs="宋体"/>
                <w:b/>
                <w:bCs/>
                <w:highlight w:val="none"/>
              </w:rPr>
            </w:pPr>
            <w:r>
              <w:rPr>
                <w:rFonts w:hint="eastAsia" w:ascii="宋体" w:hAnsi="宋体" w:eastAsia="宋体" w:cs="宋体"/>
                <w:b/>
                <w:bCs/>
                <w:highlight w:val="none"/>
              </w:rPr>
              <w:t>数量</w:t>
            </w:r>
          </w:p>
        </w:tc>
        <w:tc>
          <w:tcPr>
            <w:tcW w:w="4860" w:type="dxa"/>
            <w:vAlign w:val="center"/>
          </w:tcPr>
          <w:p>
            <w:pPr>
              <w:pStyle w:val="26"/>
              <w:spacing w:after="0" w:line="360" w:lineRule="auto"/>
              <w:jc w:val="center"/>
              <w:rPr>
                <w:rFonts w:ascii="宋体" w:hAnsi="宋体" w:eastAsia="宋体" w:cs="宋体"/>
                <w:b/>
                <w:bCs/>
                <w:highlight w:val="none"/>
              </w:rPr>
            </w:pPr>
            <w:r>
              <w:rPr>
                <w:rFonts w:hint="eastAsia" w:ascii="宋体" w:hAnsi="宋体" w:eastAsia="宋体" w:cs="宋体"/>
                <w:b/>
                <w:bCs/>
                <w:highlight w:val="none"/>
              </w:rPr>
              <w:t>资格要求</w:t>
            </w:r>
          </w:p>
        </w:tc>
        <w:tc>
          <w:tcPr>
            <w:tcW w:w="1948" w:type="dxa"/>
            <w:vAlign w:val="center"/>
          </w:tcPr>
          <w:p>
            <w:pPr>
              <w:pStyle w:val="26"/>
              <w:spacing w:after="0" w:line="360" w:lineRule="auto"/>
              <w:jc w:val="center"/>
              <w:rPr>
                <w:rFonts w:ascii="宋体" w:hAnsi="宋体" w:eastAsia="宋体" w:cs="宋体"/>
                <w:b/>
                <w:bCs/>
                <w:highlight w:val="none"/>
              </w:rPr>
            </w:pPr>
            <w:r>
              <w:rPr>
                <w:rFonts w:hint="eastAsia" w:ascii="宋体" w:hAnsi="宋体" w:eastAsia="宋体" w:cs="宋体"/>
                <w:b/>
                <w:bCs/>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9" w:hRule="atLeast"/>
          <w:jc w:val="center"/>
        </w:trPr>
        <w:tc>
          <w:tcPr>
            <w:tcW w:w="1385" w:type="dxa"/>
            <w:vAlign w:val="center"/>
          </w:tcPr>
          <w:p>
            <w:pPr>
              <w:pStyle w:val="26"/>
              <w:spacing w:after="0" w:line="240" w:lineRule="auto"/>
              <w:jc w:val="center"/>
              <w:rPr>
                <w:rFonts w:ascii="宋体" w:hAnsi="宋体" w:eastAsia="宋体" w:cs="宋体"/>
                <w:highlight w:val="none"/>
              </w:rPr>
            </w:pPr>
            <w:r>
              <w:rPr>
                <w:rFonts w:hint="eastAsia" w:ascii="宋体" w:hAnsi="宋体" w:eastAsia="宋体" w:cs="宋体"/>
                <w:highlight w:val="none"/>
              </w:rPr>
              <w:t>项目负责人</w:t>
            </w:r>
          </w:p>
        </w:tc>
        <w:tc>
          <w:tcPr>
            <w:tcW w:w="931" w:type="dxa"/>
            <w:vAlign w:val="center"/>
          </w:tcPr>
          <w:p>
            <w:pPr>
              <w:pStyle w:val="26"/>
              <w:spacing w:after="0" w:line="240" w:lineRule="auto"/>
              <w:jc w:val="center"/>
              <w:rPr>
                <w:rFonts w:ascii="宋体" w:hAnsi="宋体" w:eastAsia="宋体" w:cs="宋体"/>
                <w:highlight w:val="none"/>
              </w:rPr>
            </w:pPr>
            <w:r>
              <w:rPr>
                <w:rFonts w:ascii="宋体" w:hAnsi="宋体" w:eastAsia="宋体" w:cs="宋体"/>
                <w:highlight w:val="none"/>
              </w:rPr>
              <w:t>1人</w:t>
            </w:r>
          </w:p>
        </w:tc>
        <w:tc>
          <w:tcPr>
            <w:tcW w:w="4860" w:type="dxa"/>
            <w:vAlign w:val="center"/>
          </w:tcPr>
          <w:p>
            <w:pPr>
              <w:pStyle w:val="18"/>
              <w:jc w:val="both"/>
              <w:rPr>
                <w:rFonts w:ascii="宋体" w:hAnsi="宋体" w:eastAsia="宋体" w:cs="宋体"/>
                <w:color w:val="auto"/>
                <w:highlight w:val="none"/>
              </w:rPr>
            </w:pPr>
            <w:r>
              <w:rPr>
                <w:rFonts w:hint="eastAsia" w:ascii="宋体" w:hAnsi="宋体" w:eastAsia="宋体" w:cs="宋体"/>
                <w:color w:val="auto"/>
                <w:highlight w:val="none"/>
              </w:rPr>
              <w:t>具有水运工程系列专业高级或以上职称，具有港口与航道工程壹级注册建造师，具有交通运输部门颁发的有效的安全生产考核合格证书（</w:t>
            </w:r>
            <w:r>
              <w:rPr>
                <w:rFonts w:ascii="宋体" w:hAnsi="宋体" w:eastAsia="宋体" w:cs="宋体"/>
                <w:color w:val="auto"/>
                <w:highlight w:val="none"/>
              </w:rPr>
              <w:t>B证），至少8年工作经验。</w:t>
            </w:r>
          </w:p>
        </w:tc>
        <w:tc>
          <w:tcPr>
            <w:tcW w:w="1948" w:type="dxa"/>
            <w:vMerge w:val="restart"/>
            <w:vAlign w:val="center"/>
          </w:tcPr>
          <w:p>
            <w:pPr>
              <w:pStyle w:val="18"/>
              <w:rPr>
                <w:rFonts w:ascii="宋体" w:hAnsi="宋体" w:eastAsia="宋体" w:cs="宋体"/>
                <w:color w:val="auto"/>
                <w:highlight w:val="none"/>
              </w:rPr>
            </w:pPr>
            <w:r>
              <w:rPr>
                <w:rFonts w:hint="eastAsia" w:ascii="宋体" w:hAnsi="宋体" w:eastAsia="宋体" w:cs="宋体"/>
                <w:color w:val="auto"/>
                <w:highlight w:val="none"/>
              </w:rPr>
              <w:t>无在岗项目（指目前未在其他项目上任职，或虽在其他项目任职但本项目中标后能够从该项目撤离）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385" w:type="dxa"/>
            <w:vAlign w:val="center"/>
          </w:tcPr>
          <w:p>
            <w:pPr>
              <w:pStyle w:val="26"/>
              <w:spacing w:after="0" w:line="240" w:lineRule="auto"/>
              <w:jc w:val="center"/>
              <w:rPr>
                <w:rFonts w:ascii="宋体" w:hAnsi="宋体" w:eastAsia="宋体" w:cs="宋体"/>
                <w:highlight w:val="none"/>
              </w:rPr>
            </w:pPr>
            <w:r>
              <w:rPr>
                <w:rFonts w:hint="eastAsia" w:ascii="宋体" w:hAnsi="宋体" w:eastAsia="宋体" w:cs="宋体"/>
                <w:highlight w:val="none"/>
              </w:rPr>
              <w:t>项目技术负责人</w:t>
            </w:r>
          </w:p>
        </w:tc>
        <w:tc>
          <w:tcPr>
            <w:tcW w:w="931" w:type="dxa"/>
            <w:vAlign w:val="center"/>
          </w:tcPr>
          <w:p>
            <w:pPr>
              <w:pStyle w:val="26"/>
              <w:spacing w:after="0" w:line="240" w:lineRule="auto"/>
              <w:jc w:val="center"/>
              <w:rPr>
                <w:rFonts w:ascii="宋体" w:hAnsi="宋体" w:eastAsia="宋体" w:cs="宋体"/>
                <w:highlight w:val="none"/>
              </w:rPr>
            </w:pPr>
            <w:r>
              <w:rPr>
                <w:rFonts w:ascii="宋体" w:hAnsi="宋体" w:eastAsia="宋体" w:cs="宋体"/>
                <w:highlight w:val="none"/>
              </w:rPr>
              <w:t>1人</w:t>
            </w:r>
          </w:p>
        </w:tc>
        <w:tc>
          <w:tcPr>
            <w:tcW w:w="4860" w:type="dxa"/>
            <w:vAlign w:val="center"/>
          </w:tcPr>
          <w:p>
            <w:pPr>
              <w:pStyle w:val="18"/>
              <w:rPr>
                <w:rFonts w:ascii="宋体" w:hAnsi="宋体" w:eastAsia="宋体" w:cs="宋体"/>
                <w:color w:val="auto"/>
                <w:highlight w:val="none"/>
              </w:rPr>
            </w:pPr>
            <w:r>
              <w:rPr>
                <w:rFonts w:hint="eastAsia" w:ascii="宋体" w:hAnsi="宋体" w:eastAsia="宋体" w:cs="宋体"/>
                <w:color w:val="auto"/>
                <w:highlight w:val="none"/>
              </w:rPr>
              <w:t>具有水运工程系列专业高级或以上职称，具有交通运输部门颁发的有效的安全生产考核合格证书（</w:t>
            </w:r>
            <w:r>
              <w:rPr>
                <w:rFonts w:ascii="宋体" w:hAnsi="宋体" w:eastAsia="宋体" w:cs="宋体"/>
                <w:color w:val="auto"/>
                <w:highlight w:val="none"/>
              </w:rPr>
              <w:t>B证），至少8年工作经验。</w:t>
            </w:r>
          </w:p>
        </w:tc>
        <w:tc>
          <w:tcPr>
            <w:tcW w:w="1948" w:type="dxa"/>
            <w:vMerge w:val="continue"/>
            <w:vAlign w:val="center"/>
          </w:tcPr>
          <w:p>
            <w:pPr>
              <w:pStyle w:val="18"/>
              <w:rPr>
                <w:rFonts w:ascii="宋体" w:hAnsi="宋体" w:eastAsia="宋体" w:cs="宋体"/>
                <w:color w:val="auto"/>
                <w:highlight w:val="none"/>
              </w:rPr>
            </w:pPr>
          </w:p>
        </w:tc>
      </w:tr>
    </w:tbl>
    <w:p>
      <w:pPr>
        <w:pStyle w:val="26"/>
        <w:spacing w:after="0" w:line="360" w:lineRule="auto"/>
        <w:jc w:val="both"/>
        <w:rPr>
          <w:rFonts w:ascii="宋体" w:hAnsi="宋体" w:eastAsia="宋体" w:cs="宋体"/>
          <w:sz w:val="18"/>
          <w:szCs w:val="18"/>
          <w:highlight w:val="none"/>
        </w:rPr>
      </w:pPr>
      <w:r>
        <w:rPr>
          <w:rFonts w:hint="eastAsia" w:ascii="宋体" w:hAnsi="宋体" w:eastAsia="宋体" w:cs="宋体"/>
          <w:sz w:val="18"/>
          <w:szCs w:val="18"/>
          <w:highlight w:val="none"/>
        </w:rPr>
        <w:t>注：</w:t>
      </w:r>
      <w:r>
        <w:rPr>
          <w:rFonts w:ascii="宋体" w:hAnsi="宋体" w:eastAsia="宋体" w:cs="宋体"/>
          <w:sz w:val="18"/>
          <w:szCs w:val="18"/>
          <w:highlight w:val="none"/>
        </w:rPr>
        <w:t>1、资格要求的人员建造师注册证书、安全生产“三类人员”B类证书均应在投标人所在单位（即证书上单位名称应与投标人单位名称一致），否则视为无效。</w:t>
      </w:r>
    </w:p>
    <w:p>
      <w:pPr>
        <w:pStyle w:val="26"/>
        <w:spacing w:line="360" w:lineRule="auto"/>
        <w:jc w:val="both"/>
        <w:rPr>
          <w:rFonts w:ascii="宋体" w:hAnsi="宋体" w:eastAsia="宋体" w:cs="宋体"/>
          <w:highlight w:val="none"/>
        </w:rPr>
      </w:pPr>
      <w:r>
        <w:rPr>
          <w:rFonts w:ascii="宋体" w:hAnsi="宋体" w:eastAsia="宋体" w:cs="宋体"/>
          <w:sz w:val="18"/>
          <w:szCs w:val="18"/>
          <w:highlight w:val="none"/>
        </w:rPr>
        <w:t>2、工作经验以</w:t>
      </w:r>
      <w:r>
        <w:rPr>
          <w:rFonts w:hint="eastAsia" w:ascii="宋体" w:hAnsi="宋体" w:eastAsia="宋体" w:cs="宋体"/>
          <w:kern w:val="44"/>
          <w:sz w:val="18"/>
          <w:szCs w:val="18"/>
          <w:highlight w:val="none"/>
        </w:rPr>
        <w:t>《拟委任的项目负责人和项目技术负责人资历表》中“经历栏</w:t>
      </w:r>
      <w:r>
        <w:rPr>
          <w:rFonts w:ascii="宋体" w:hAnsi="宋体" w:eastAsia="宋体" w:cs="宋体"/>
          <w:kern w:val="44"/>
          <w:sz w:val="18"/>
          <w:szCs w:val="18"/>
          <w:highlight w:val="none"/>
        </w:rPr>
        <w:t>"</w:t>
      </w:r>
      <w:r>
        <w:rPr>
          <w:rFonts w:hint="eastAsia" w:ascii="宋体" w:hAnsi="宋体" w:eastAsia="宋体" w:cs="宋体"/>
          <w:kern w:val="44"/>
          <w:sz w:val="18"/>
          <w:szCs w:val="18"/>
          <w:highlight w:val="none"/>
        </w:rPr>
        <w:t>填入的最早从事工作开始时间起算</w:t>
      </w:r>
    </w:p>
    <w:p>
      <w:pPr>
        <w:pStyle w:val="18"/>
        <w:jc w:val="center"/>
        <w:rPr>
          <w:rFonts w:ascii="宋体" w:hAnsi="宋体" w:eastAsia="宋体" w:cs="宋体"/>
          <w:b/>
          <w:bCs/>
          <w:color w:val="auto"/>
          <w:kern w:val="44"/>
          <w:sz w:val="30"/>
          <w:szCs w:val="30"/>
          <w:highlight w:val="none"/>
        </w:rPr>
      </w:pPr>
      <w:r>
        <w:rPr>
          <w:rFonts w:hint="eastAsia" w:ascii="宋体" w:hAnsi="宋体" w:eastAsia="宋体" w:cs="宋体"/>
          <w:b/>
          <w:bCs/>
          <w:color w:val="auto"/>
          <w:kern w:val="44"/>
          <w:sz w:val="30"/>
          <w:szCs w:val="30"/>
          <w:highlight w:val="none"/>
        </w:rPr>
        <w:t>附录</w:t>
      </w:r>
      <w:r>
        <w:rPr>
          <w:rFonts w:ascii="宋体" w:hAnsi="宋体" w:eastAsia="宋体" w:cs="宋体"/>
          <w:b/>
          <w:bCs/>
          <w:color w:val="auto"/>
          <w:kern w:val="44"/>
          <w:sz w:val="30"/>
          <w:szCs w:val="30"/>
          <w:highlight w:val="none"/>
        </w:rPr>
        <w:t>6资格审查条件(其他主要管理人员和技术人员最低要求)</w:t>
      </w:r>
    </w:p>
    <w:p>
      <w:pPr>
        <w:pStyle w:val="18"/>
        <w:jc w:val="center"/>
        <w:rPr>
          <w:rFonts w:ascii="宋体" w:hAnsi="宋体" w:eastAsia="宋体" w:cs="宋体"/>
          <w:b/>
          <w:bCs/>
          <w:color w:val="auto"/>
          <w:kern w:val="44"/>
          <w:sz w:val="30"/>
          <w:szCs w:val="30"/>
          <w:highlight w:val="none"/>
        </w:rPr>
      </w:pPr>
    </w:p>
    <w:tbl>
      <w:tblPr>
        <w:tblStyle w:val="12"/>
        <w:tblW w:w="9185" w:type="dxa"/>
        <w:jc w:val="center"/>
        <w:tblLayout w:type="fixed"/>
        <w:tblCellMar>
          <w:top w:w="0" w:type="dxa"/>
          <w:left w:w="108" w:type="dxa"/>
          <w:bottom w:w="0" w:type="dxa"/>
          <w:right w:w="108" w:type="dxa"/>
        </w:tblCellMar>
      </w:tblPr>
      <w:tblGrid>
        <w:gridCol w:w="2370"/>
        <w:gridCol w:w="1616"/>
        <w:gridCol w:w="5199"/>
      </w:tblGrid>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b/>
                <w:bCs/>
                <w:highlight w:val="none"/>
              </w:rPr>
            </w:pPr>
            <w:r>
              <w:rPr>
                <w:rFonts w:hint="eastAsia" w:ascii="宋体" w:hAnsi="宋体" w:eastAsia="宋体" w:cs="宋体"/>
                <w:b/>
                <w:bCs/>
                <w:highlight w:val="none"/>
              </w:rPr>
              <w:t>人员</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b/>
                <w:bCs/>
                <w:highlight w:val="none"/>
              </w:rPr>
            </w:pPr>
            <w:r>
              <w:rPr>
                <w:rFonts w:hint="eastAsia" w:ascii="宋体" w:hAnsi="宋体" w:eastAsia="宋体" w:cs="宋体"/>
                <w:b/>
                <w:bCs/>
                <w:highlight w:val="none"/>
              </w:rPr>
              <w:t>数量</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b/>
                <w:bCs/>
                <w:highlight w:val="none"/>
              </w:rPr>
            </w:pPr>
            <w:r>
              <w:rPr>
                <w:rFonts w:hint="eastAsia" w:ascii="宋体" w:hAnsi="宋体" w:eastAsia="宋体" w:cs="宋体"/>
                <w:b/>
                <w:bCs/>
                <w:highlight w:val="none"/>
              </w:rPr>
              <w:t>资格要求</w:t>
            </w:r>
          </w:p>
        </w:tc>
      </w:tr>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hint="eastAsia" w:ascii="宋体" w:hAnsi="宋体" w:eastAsia="宋体" w:cs="宋体"/>
                <w:highlight w:val="none"/>
              </w:rPr>
              <w:t>港口与航道工程师</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ascii="宋体" w:hAnsi="宋体" w:eastAsia="宋体" w:cs="宋体"/>
                <w:highlight w:val="none"/>
              </w:rPr>
              <w:t>1人</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26"/>
              <w:spacing w:after="0"/>
              <w:rPr>
                <w:rFonts w:ascii="宋体" w:hAnsi="宋体" w:eastAsia="宋体" w:cs="宋体"/>
                <w:highlight w:val="none"/>
              </w:rPr>
            </w:pPr>
            <w:r>
              <w:rPr>
                <w:rFonts w:hint="eastAsia" w:ascii="宋体" w:hAnsi="宋体" w:eastAsia="宋体" w:cs="宋体"/>
                <w:highlight w:val="none"/>
              </w:rPr>
              <w:t>水运工程系列专业高级工程师职称，至少</w:t>
            </w:r>
            <w:r>
              <w:rPr>
                <w:rFonts w:ascii="宋体" w:hAnsi="宋体" w:eastAsia="宋体" w:cs="宋体"/>
                <w:highlight w:val="none"/>
              </w:rPr>
              <w:t>8</w:t>
            </w:r>
            <w:r>
              <w:rPr>
                <w:rFonts w:hint="eastAsia" w:ascii="宋体" w:hAnsi="宋体" w:eastAsia="宋体" w:cs="宋体"/>
                <w:highlight w:val="none"/>
              </w:rPr>
              <w:t>年工作经验。</w:t>
            </w:r>
          </w:p>
        </w:tc>
      </w:tr>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hint="eastAsia" w:ascii="宋体" w:hAnsi="宋体" w:eastAsia="宋体" w:cs="宋体"/>
                <w:highlight w:val="none"/>
              </w:rPr>
              <w:t>土建工程师</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ascii="宋体" w:hAnsi="宋体" w:eastAsia="宋体" w:cs="宋体"/>
                <w:highlight w:val="none"/>
              </w:rPr>
              <w:t>2人</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26"/>
              <w:spacing w:after="0"/>
              <w:rPr>
                <w:rFonts w:ascii="宋体" w:hAnsi="宋体" w:eastAsia="宋体" w:cs="宋体"/>
                <w:highlight w:val="none"/>
              </w:rPr>
            </w:pPr>
            <w:r>
              <w:rPr>
                <w:rFonts w:hint="eastAsia" w:ascii="宋体" w:hAnsi="宋体" w:eastAsia="宋体" w:cs="宋体"/>
                <w:highlight w:val="none"/>
              </w:rPr>
              <w:t>建筑</w:t>
            </w:r>
            <w:r>
              <w:rPr>
                <w:rFonts w:hint="eastAsia" w:ascii="宋体" w:hAnsi="宋体" w:eastAsia="宋体" w:cs="宋体"/>
                <w:highlight w:val="none"/>
                <w:lang w:val="en-US" w:eastAsia="zh-CN"/>
              </w:rPr>
              <w:t>工程</w:t>
            </w:r>
            <w:r>
              <w:rPr>
                <w:rFonts w:hint="eastAsia" w:ascii="宋体" w:hAnsi="宋体" w:eastAsia="宋体" w:cs="宋体"/>
                <w:highlight w:val="none"/>
              </w:rPr>
              <w:t>系列专业高级工程师职称，至少</w:t>
            </w:r>
            <w:r>
              <w:rPr>
                <w:rFonts w:ascii="宋体" w:hAnsi="宋体" w:eastAsia="宋体" w:cs="宋体"/>
                <w:highlight w:val="none"/>
              </w:rPr>
              <w:t>8</w:t>
            </w:r>
            <w:r>
              <w:rPr>
                <w:rFonts w:hint="eastAsia" w:ascii="宋体" w:hAnsi="宋体" w:eastAsia="宋体" w:cs="宋体"/>
                <w:highlight w:val="none"/>
              </w:rPr>
              <w:t>年工作经验。</w:t>
            </w:r>
          </w:p>
        </w:tc>
      </w:tr>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hint="eastAsia" w:ascii="宋体" w:hAnsi="宋体" w:eastAsia="宋体" w:cs="宋体"/>
                <w:highlight w:val="none"/>
              </w:rPr>
              <w:t>机电工程师</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ascii="宋体" w:hAnsi="宋体" w:eastAsia="宋体" w:cs="宋体"/>
                <w:highlight w:val="none"/>
              </w:rPr>
              <w:t>1人</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26"/>
              <w:spacing w:after="0"/>
              <w:rPr>
                <w:rFonts w:ascii="宋体" w:hAnsi="宋体" w:eastAsia="宋体" w:cs="宋体"/>
                <w:highlight w:val="none"/>
              </w:rPr>
            </w:pPr>
            <w:r>
              <w:rPr>
                <w:rFonts w:hint="eastAsia" w:ascii="宋体" w:hAnsi="宋体" w:eastAsia="宋体" w:cs="宋体"/>
                <w:highlight w:val="none"/>
              </w:rPr>
              <w:t>机电或电气系列专业工程师职称，至少</w:t>
            </w:r>
            <w:r>
              <w:rPr>
                <w:rFonts w:ascii="宋体" w:hAnsi="宋体" w:eastAsia="宋体" w:cs="宋体"/>
                <w:highlight w:val="none"/>
              </w:rPr>
              <w:t>5</w:t>
            </w:r>
            <w:r>
              <w:rPr>
                <w:rFonts w:hint="eastAsia" w:ascii="宋体" w:hAnsi="宋体" w:eastAsia="宋体" w:cs="宋体"/>
                <w:highlight w:val="none"/>
              </w:rPr>
              <w:t>年工作经验。</w:t>
            </w:r>
          </w:p>
        </w:tc>
      </w:tr>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hint="eastAsia" w:ascii="宋体" w:hAnsi="宋体" w:eastAsia="宋体" w:cs="宋体"/>
                <w:highlight w:val="none"/>
              </w:rPr>
              <w:t>安全工程师</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ascii="宋体" w:hAnsi="宋体" w:eastAsia="宋体" w:cs="宋体"/>
                <w:highlight w:val="none"/>
              </w:rPr>
              <w:t>1人</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26"/>
              <w:spacing w:after="0"/>
              <w:rPr>
                <w:rFonts w:ascii="宋体" w:hAnsi="宋体" w:eastAsia="宋体" w:cs="宋体"/>
                <w:highlight w:val="none"/>
              </w:rPr>
            </w:pPr>
            <w:r>
              <w:rPr>
                <w:rFonts w:hint="eastAsia" w:ascii="宋体" w:hAnsi="宋体" w:eastAsia="宋体" w:cs="宋体"/>
                <w:highlight w:val="none"/>
              </w:rPr>
              <w:t>具有中华人民共和国应急管理部（或原国家安全生产监督管理总局）颁发的在有效期内的注册安全工程师证书（或提供“注册安全工程师注册管理系统”的网页查询截图，网络链接地址为：</w:t>
            </w:r>
            <w:r>
              <w:rPr>
                <w:rFonts w:ascii="宋体" w:hAnsi="宋体" w:eastAsia="宋体" w:cs="宋体"/>
                <w:highlight w:val="none"/>
              </w:rPr>
              <w:t>http://rmocse.chinasafety.ac.cn/Psearchs.aspx，否则不予认可）</w:t>
            </w:r>
          </w:p>
        </w:tc>
      </w:tr>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hint="eastAsia" w:ascii="宋体" w:hAnsi="宋体" w:eastAsia="宋体" w:cs="宋体"/>
                <w:highlight w:val="none"/>
              </w:rPr>
              <w:t>造价工程师</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ascii="宋体" w:hAnsi="宋体" w:eastAsia="宋体" w:cs="宋体"/>
                <w:highlight w:val="none"/>
              </w:rPr>
              <w:t>1人</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26"/>
              <w:spacing w:after="0"/>
              <w:rPr>
                <w:rFonts w:ascii="宋体" w:hAnsi="宋体" w:eastAsia="宋体" w:cs="宋体"/>
                <w:highlight w:val="none"/>
              </w:rPr>
            </w:pPr>
            <w:r>
              <w:rPr>
                <w:rFonts w:hint="eastAsia" w:ascii="宋体" w:hAnsi="宋体" w:eastAsia="宋体" w:cs="宋体"/>
                <w:highlight w:val="none"/>
              </w:rPr>
              <w:t>持有中华人民共和国住房和城乡建设部颁发的在有效期内的注册造价工程师证。</w:t>
            </w:r>
          </w:p>
        </w:tc>
      </w:tr>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hint="eastAsia" w:ascii="宋体" w:hAnsi="宋体" w:eastAsia="宋体" w:cs="宋体"/>
                <w:highlight w:val="none"/>
              </w:rPr>
              <w:t>施工员</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26"/>
              <w:spacing w:after="0"/>
              <w:jc w:val="center"/>
              <w:rPr>
                <w:rFonts w:ascii="宋体" w:hAnsi="宋体" w:eastAsia="宋体" w:cs="宋体"/>
                <w:highlight w:val="none"/>
              </w:rPr>
            </w:pPr>
            <w:r>
              <w:rPr>
                <w:rFonts w:ascii="宋体" w:hAnsi="宋体" w:eastAsia="宋体" w:cs="宋体"/>
                <w:highlight w:val="none"/>
              </w:rPr>
              <w:t>5人</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26"/>
              <w:spacing w:after="0"/>
              <w:rPr>
                <w:rFonts w:ascii="宋体" w:hAnsi="宋体" w:eastAsia="宋体" w:cs="宋体"/>
                <w:highlight w:val="none"/>
              </w:rPr>
            </w:pPr>
            <w:r>
              <w:rPr>
                <w:rFonts w:hint="eastAsia" w:ascii="宋体" w:hAnsi="宋体" w:eastAsia="宋体" w:cs="宋体"/>
                <w:highlight w:val="none"/>
              </w:rPr>
              <w:t>具备施工员岗位证书</w:t>
            </w:r>
          </w:p>
        </w:tc>
      </w:tr>
      <w:tr>
        <w:tblPrEx>
          <w:tblCellMar>
            <w:top w:w="0" w:type="dxa"/>
            <w:left w:w="108" w:type="dxa"/>
            <w:bottom w:w="0" w:type="dxa"/>
            <w:right w:w="108" w:type="dxa"/>
          </w:tblCellMar>
        </w:tblPrEx>
        <w:trPr>
          <w:trHeight w:val="503" w:hRule="atLeast"/>
          <w:jc w:val="center"/>
        </w:trPr>
        <w:tc>
          <w:tcPr>
            <w:tcW w:w="2370" w:type="dxa"/>
            <w:tcBorders>
              <w:top w:val="single" w:color="000000" w:sz="4" w:space="0"/>
              <w:left w:val="single" w:color="000000" w:sz="4" w:space="0"/>
              <w:bottom w:val="single" w:color="auto" w:sz="4" w:space="0"/>
              <w:right w:val="single" w:color="000000" w:sz="4" w:space="0"/>
            </w:tcBorders>
            <w:vAlign w:val="center"/>
          </w:tcPr>
          <w:p>
            <w:pPr>
              <w:pStyle w:val="26"/>
              <w:spacing w:after="0"/>
              <w:jc w:val="center"/>
              <w:rPr>
                <w:rFonts w:ascii="宋体" w:hAnsi="宋体" w:eastAsia="宋体" w:cs="宋体"/>
                <w:highlight w:val="none"/>
              </w:rPr>
            </w:pPr>
            <w:r>
              <w:rPr>
                <w:rFonts w:hint="eastAsia" w:ascii="宋体" w:hAnsi="宋体" w:eastAsia="宋体" w:cs="宋体"/>
                <w:highlight w:val="none"/>
              </w:rPr>
              <w:t>质检负责人</w:t>
            </w:r>
          </w:p>
        </w:tc>
        <w:tc>
          <w:tcPr>
            <w:tcW w:w="1616" w:type="dxa"/>
            <w:tcBorders>
              <w:top w:val="single" w:color="000000" w:sz="4" w:space="0"/>
              <w:left w:val="single" w:color="000000" w:sz="4" w:space="0"/>
              <w:bottom w:val="single" w:color="auto" w:sz="4" w:space="0"/>
              <w:right w:val="single" w:color="000000" w:sz="4" w:space="0"/>
            </w:tcBorders>
            <w:vAlign w:val="center"/>
          </w:tcPr>
          <w:p>
            <w:pPr>
              <w:pStyle w:val="26"/>
              <w:spacing w:after="0"/>
              <w:jc w:val="center"/>
              <w:rPr>
                <w:rFonts w:ascii="宋体" w:hAnsi="宋体" w:eastAsia="宋体" w:cs="宋体"/>
                <w:highlight w:val="none"/>
              </w:rPr>
            </w:pPr>
            <w:r>
              <w:rPr>
                <w:rFonts w:ascii="宋体" w:hAnsi="宋体" w:eastAsia="宋体" w:cs="宋体"/>
                <w:highlight w:val="none"/>
              </w:rPr>
              <w:t>1人</w:t>
            </w:r>
          </w:p>
        </w:tc>
        <w:tc>
          <w:tcPr>
            <w:tcW w:w="5199" w:type="dxa"/>
            <w:tcBorders>
              <w:top w:val="single" w:color="000000" w:sz="4" w:space="0"/>
              <w:left w:val="single" w:color="000000" w:sz="4" w:space="0"/>
              <w:bottom w:val="single" w:color="auto" w:sz="4" w:space="0"/>
              <w:right w:val="single" w:color="000000" w:sz="4" w:space="0"/>
            </w:tcBorders>
            <w:vAlign w:val="center"/>
          </w:tcPr>
          <w:p>
            <w:pPr>
              <w:pStyle w:val="26"/>
              <w:spacing w:after="0"/>
              <w:jc w:val="both"/>
              <w:rPr>
                <w:rFonts w:ascii="宋体" w:hAnsi="宋体" w:eastAsia="宋体" w:cs="宋体"/>
                <w:highlight w:val="none"/>
              </w:rPr>
            </w:pPr>
            <w:r>
              <w:rPr>
                <w:rFonts w:hint="eastAsia" w:ascii="宋体" w:hAnsi="宋体" w:eastAsia="宋体" w:cs="宋体"/>
                <w:highlight w:val="none"/>
              </w:rPr>
              <w:t>水运工程系列专业中级职称，至少</w:t>
            </w:r>
            <w:r>
              <w:rPr>
                <w:rFonts w:ascii="宋体" w:hAnsi="宋体" w:eastAsia="宋体" w:cs="宋体"/>
                <w:highlight w:val="none"/>
              </w:rPr>
              <w:t xml:space="preserve"> 5 年工作经验。具有有效的质检员或质安员或质量员上岗证。</w:t>
            </w:r>
          </w:p>
        </w:tc>
      </w:tr>
      <w:tr>
        <w:tblPrEx>
          <w:tblCellMar>
            <w:top w:w="0" w:type="dxa"/>
            <w:left w:w="108" w:type="dxa"/>
            <w:bottom w:w="0" w:type="dxa"/>
            <w:right w:w="108" w:type="dxa"/>
          </w:tblCellMar>
        </w:tblPrEx>
        <w:trPr>
          <w:trHeight w:val="609" w:hRule="atLeast"/>
          <w:jc w:val="center"/>
        </w:trPr>
        <w:tc>
          <w:tcPr>
            <w:tcW w:w="2370" w:type="dxa"/>
            <w:tcBorders>
              <w:top w:val="single" w:color="auto" w:sz="4" w:space="0"/>
              <w:left w:val="single" w:color="000000" w:sz="4" w:space="0"/>
              <w:bottom w:val="single" w:color="auto" w:sz="4" w:space="0"/>
              <w:right w:val="single" w:color="000000" w:sz="4" w:space="0"/>
            </w:tcBorders>
            <w:vAlign w:val="center"/>
          </w:tcPr>
          <w:p>
            <w:pPr>
              <w:pStyle w:val="26"/>
              <w:spacing w:after="0"/>
              <w:jc w:val="center"/>
              <w:rPr>
                <w:rFonts w:ascii="宋体" w:hAnsi="宋体" w:eastAsia="宋体" w:cs="宋体"/>
                <w:highlight w:val="none"/>
              </w:rPr>
            </w:pPr>
            <w:r>
              <w:rPr>
                <w:rFonts w:hint="eastAsia" w:ascii="宋体" w:hAnsi="宋体" w:eastAsia="宋体" w:cs="宋体"/>
                <w:highlight w:val="none"/>
              </w:rPr>
              <w:t>资料员</w:t>
            </w:r>
          </w:p>
        </w:tc>
        <w:tc>
          <w:tcPr>
            <w:tcW w:w="1616" w:type="dxa"/>
            <w:tcBorders>
              <w:top w:val="single" w:color="auto" w:sz="4" w:space="0"/>
              <w:left w:val="single" w:color="000000" w:sz="4" w:space="0"/>
              <w:bottom w:val="single" w:color="auto" w:sz="4" w:space="0"/>
              <w:right w:val="single" w:color="000000" w:sz="4" w:space="0"/>
            </w:tcBorders>
            <w:vAlign w:val="center"/>
          </w:tcPr>
          <w:p>
            <w:pPr>
              <w:pStyle w:val="26"/>
              <w:spacing w:after="0"/>
              <w:jc w:val="center"/>
              <w:rPr>
                <w:rFonts w:ascii="宋体" w:hAnsi="宋体" w:eastAsia="宋体" w:cs="宋体"/>
                <w:highlight w:val="none"/>
              </w:rPr>
            </w:pPr>
            <w:r>
              <w:rPr>
                <w:rFonts w:ascii="宋体" w:hAnsi="宋体" w:eastAsia="宋体" w:cs="宋体"/>
                <w:highlight w:val="none"/>
              </w:rPr>
              <w:t>1人</w:t>
            </w:r>
          </w:p>
        </w:tc>
        <w:tc>
          <w:tcPr>
            <w:tcW w:w="5199" w:type="dxa"/>
            <w:tcBorders>
              <w:top w:val="single" w:color="auto" w:sz="4" w:space="0"/>
              <w:left w:val="single" w:color="000000" w:sz="4" w:space="0"/>
              <w:bottom w:val="single" w:color="auto" w:sz="4" w:space="0"/>
              <w:right w:val="single" w:color="000000" w:sz="4" w:space="0"/>
            </w:tcBorders>
            <w:vAlign w:val="center"/>
          </w:tcPr>
          <w:p>
            <w:pPr>
              <w:pStyle w:val="26"/>
              <w:spacing w:after="0"/>
              <w:jc w:val="both"/>
              <w:rPr>
                <w:rFonts w:ascii="宋体" w:hAnsi="宋体" w:eastAsia="宋体" w:cs="宋体"/>
                <w:highlight w:val="none"/>
              </w:rPr>
            </w:pPr>
            <w:r>
              <w:rPr>
                <w:rFonts w:hint="eastAsia" w:ascii="宋体" w:hAnsi="宋体" w:eastAsia="宋体" w:cs="宋体"/>
                <w:highlight w:val="none"/>
              </w:rPr>
              <w:t>具备资料员岗位证书</w:t>
            </w:r>
          </w:p>
        </w:tc>
      </w:tr>
      <w:tr>
        <w:tblPrEx>
          <w:tblCellMar>
            <w:top w:w="0" w:type="dxa"/>
            <w:left w:w="108" w:type="dxa"/>
            <w:bottom w:w="0" w:type="dxa"/>
            <w:right w:w="108" w:type="dxa"/>
          </w:tblCellMar>
        </w:tblPrEx>
        <w:trPr>
          <w:trHeight w:val="899" w:hRule="atLeast"/>
          <w:jc w:val="center"/>
        </w:trPr>
        <w:tc>
          <w:tcPr>
            <w:tcW w:w="2370" w:type="dxa"/>
            <w:tcBorders>
              <w:top w:val="single" w:color="auto" w:sz="4" w:space="0"/>
              <w:left w:val="single" w:color="000000" w:sz="4" w:space="0"/>
              <w:bottom w:val="single" w:color="auto" w:sz="4" w:space="0"/>
              <w:right w:val="single" w:color="000000" w:sz="4" w:space="0"/>
            </w:tcBorders>
            <w:vAlign w:val="center"/>
          </w:tcPr>
          <w:p>
            <w:pPr>
              <w:pStyle w:val="26"/>
              <w:spacing w:after="0"/>
              <w:jc w:val="center"/>
              <w:rPr>
                <w:rFonts w:ascii="宋体" w:hAnsi="宋体" w:eastAsia="宋体" w:cs="宋体"/>
                <w:highlight w:val="none"/>
              </w:rPr>
            </w:pPr>
            <w:r>
              <w:rPr>
                <w:rFonts w:hint="eastAsia" w:ascii="宋体" w:hAnsi="宋体" w:eastAsia="宋体" w:cs="宋体"/>
                <w:highlight w:val="none"/>
              </w:rPr>
              <w:t>专职安全生产管理人员</w:t>
            </w:r>
          </w:p>
        </w:tc>
        <w:tc>
          <w:tcPr>
            <w:tcW w:w="1616" w:type="dxa"/>
            <w:tcBorders>
              <w:top w:val="single" w:color="auto" w:sz="4" w:space="0"/>
              <w:left w:val="single" w:color="000000" w:sz="4" w:space="0"/>
              <w:bottom w:val="single" w:color="auto" w:sz="4" w:space="0"/>
              <w:right w:val="single" w:color="000000" w:sz="4" w:space="0"/>
            </w:tcBorders>
            <w:vAlign w:val="center"/>
          </w:tcPr>
          <w:p>
            <w:pPr>
              <w:pStyle w:val="26"/>
              <w:spacing w:after="0"/>
              <w:jc w:val="center"/>
              <w:rPr>
                <w:rFonts w:ascii="宋体" w:hAnsi="宋体" w:eastAsia="宋体" w:cs="宋体"/>
                <w:highlight w:val="none"/>
              </w:rPr>
            </w:pPr>
            <w:r>
              <w:rPr>
                <w:rFonts w:ascii="宋体" w:hAnsi="宋体" w:eastAsia="宋体" w:cs="宋体"/>
                <w:highlight w:val="none"/>
              </w:rPr>
              <w:t>3人</w:t>
            </w:r>
          </w:p>
        </w:tc>
        <w:tc>
          <w:tcPr>
            <w:tcW w:w="5199" w:type="dxa"/>
            <w:tcBorders>
              <w:top w:val="single" w:color="auto" w:sz="4" w:space="0"/>
              <w:left w:val="single" w:color="000000" w:sz="4" w:space="0"/>
              <w:bottom w:val="single" w:color="auto" w:sz="4" w:space="0"/>
              <w:right w:val="single" w:color="000000" w:sz="4" w:space="0"/>
            </w:tcBorders>
            <w:vAlign w:val="center"/>
          </w:tcPr>
          <w:p>
            <w:pPr>
              <w:pStyle w:val="26"/>
              <w:spacing w:after="0"/>
              <w:rPr>
                <w:rFonts w:ascii="宋体" w:hAnsi="宋体" w:eastAsia="宋体" w:cs="宋体"/>
                <w:highlight w:val="none"/>
              </w:rPr>
            </w:pPr>
            <w:r>
              <w:rPr>
                <w:rFonts w:hint="eastAsia" w:ascii="宋体" w:hAnsi="宋体" w:eastAsia="宋体" w:cs="宋体"/>
                <w:highlight w:val="none"/>
              </w:rPr>
              <w:t>持有交通主管部门颁发的有效安全生产“三类人员”</w:t>
            </w:r>
            <w:r>
              <w:rPr>
                <w:rFonts w:ascii="宋体" w:hAnsi="宋体" w:eastAsia="宋体" w:cs="宋体"/>
                <w:highlight w:val="none"/>
              </w:rPr>
              <w:t xml:space="preserve">C </w:t>
            </w:r>
            <w:r>
              <w:rPr>
                <w:rFonts w:hint="eastAsia" w:ascii="宋体" w:hAnsi="宋体" w:eastAsia="宋体" w:cs="宋体"/>
                <w:highlight w:val="none"/>
              </w:rPr>
              <w:t>类证书，至少</w:t>
            </w:r>
            <w:r>
              <w:rPr>
                <w:rFonts w:ascii="宋体" w:hAnsi="宋体" w:eastAsia="宋体" w:cs="宋体"/>
                <w:highlight w:val="none"/>
              </w:rPr>
              <w:t xml:space="preserve">3 </w:t>
            </w:r>
            <w:r>
              <w:rPr>
                <w:rFonts w:hint="eastAsia" w:ascii="宋体" w:hAnsi="宋体" w:eastAsia="宋体" w:cs="宋体"/>
                <w:highlight w:val="none"/>
              </w:rPr>
              <w:t>年工作经验。</w:t>
            </w:r>
          </w:p>
        </w:tc>
      </w:tr>
    </w:tbl>
    <w:p>
      <w:pPr>
        <w:pStyle w:val="18"/>
        <w:jc w:val="center"/>
        <w:rPr>
          <w:rFonts w:ascii="宋体" w:hAnsi="宋体" w:eastAsia="宋体" w:cs="宋体"/>
          <w:color w:val="auto"/>
          <w:kern w:val="44"/>
          <w:sz w:val="18"/>
          <w:szCs w:val="18"/>
          <w:highlight w:val="none"/>
        </w:rPr>
      </w:pPr>
    </w:p>
    <w:p>
      <w:pPr>
        <w:pStyle w:val="18"/>
        <w:rPr>
          <w:rFonts w:ascii="宋体" w:hAnsi="宋体" w:eastAsia="宋体" w:cs="宋体"/>
          <w:b/>
          <w:bCs/>
          <w:color w:val="auto"/>
          <w:highlight w:val="none"/>
        </w:rPr>
      </w:pPr>
      <w:r>
        <w:rPr>
          <w:rFonts w:hint="eastAsia" w:ascii="宋体" w:hAnsi="宋体" w:eastAsia="宋体" w:cs="宋体"/>
          <w:color w:val="auto"/>
          <w:kern w:val="44"/>
          <w:sz w:val="18"/>
          <w:szCs w:val="18"/>
          <w:highlight w:val="none"/>
        </w:rPr>
        <w:t>注：附录</w:t>
      </w:r>
      <w:r>
        <w:rPr>
          <w:rFonts w:ascii="宋体" w:hAnsi="宋体" w:eastAsia="宋体" w:cs="宋体"/>
          <w:color w:val="auto"/>
          <w:kern w:val="44"/>
          <w:sz w:val="18"/>
          <w:szCs w:val="18"/>
          <w:highlight w:val="none"/>
        </w:rPr>
        <w:t>6所要求人员按第八章投标文件格式表8-7、表8-7-1填报并附相关证明材料。</w:t>
      </w:r>
    </w:p>
    <w:p>
      <w:pPr>
        <w:jc w:val="left"/>
        <w:rPr>
          <w:rFonts w:ascii="宋体" w:hAnsi="宋体" w:cs="宋体"/>
          <w:color w:val="auto"/>
          <w:sz w:val="32"/>
          <w:szCs w:val="32"/>
          <w:highlight w:val="none"/>
        </w:rPr>
      </w:pPr>
      <w:r>
        <w:rPr>
          <w:rFonts w:ascii="宋体" w:hAnsi="宋体" w:cs="宋体"/>
          <w:color w:val="auto"/>
          <w:sz w:val="32"/>
          <w:szCs w:val="32"/>
          <w:highlight w:val="none"/>
        </w:rPr>
        <w:br w:type="page"/>
      </w:r>
    </w:p>
    <w:p>
      <w:pPr>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附件3：</w:t>
      </w:r>
    </w:p>
    <w:p>
      <w:pPr>
        <w:pStyle w:val="3"/>
        <w:spacing w:before="0" w:after="0" w:line="360" w:lineRule="auto"/>
        <w:jc w:val="center"/>
        <w:rPr>
          <w:rFonts w:ascii="宋体" w:hAnsi="宋体" w:cs="宋体"/>
          <w:b w:val="0"/>
          <w:color w:val="auto"/>
          <w:highlight w:val="none"/>
        </w:rPr>
      </w:pPr>
      <w:bookmarkStart w:id="11" w:name="bookmark104"/>
      <w:bookmarkStart w:id="12" w:name="_Toc30228"/>
      <w:bookmarkStart w:id="13" w:name="_Toc2124"/>
      <w:r>
        <w:rPr>
          <w:rStyle w:val="28"/>
          <w:rFonts w:hint="eastAsia" w:ascii="Times New Roman" w:hAnsi="Times New Roman" w:eastAsia="宋体" w:cs="宋体"/>
          <w:b/>
          <w:bCs/>
          <w:color w:val="auto"/>
          <w:sz w:val="32"/>
          <w:szCs w:val="32"/>
          <w:highlight w:val="none"/>
        </w:rPr>
        <w:t>评标办法（双信封的综合评分法）</w:t>
      </w:r>
    </w:p>
    <w:p>
      <w:pPr>
        <w:pStyle w:val="3"/>
        <w:spacing w:before="0" w:after="0" w:line="360" w:lineRule="auto"/>
        <w:jc w:val="left"/>
        <w:rPr>
          <w:rStyle w:val="28"/>
          <w:rFonts w:eastAsia="宋体"/>
          <w:b w:val="0"/>
          <w:bCs w:val="0"/>
          <w:color w:val="auto"/>
          <w:sz w:val="24"/>
          <w:szCs w:val="24"/>
          <w:highlight w:val="none"/>
        </w:rPr>
      </w:pPr>
      <w:r>
        <w:rPr>
          <w:rStyle w:val="28"/>
          <w:rFonts w:hint="eastAsia" w:eastAsia="宋体"/>
          <w:b w:val="0"/>
          <w:bCs w:val="0"/>
          <w:color w:val="auto"/>
          <w:sz w:val="24"/>
          <w:szCs w:val="24"/>
          <w:highlight w:val="none"/>
        </w:rPr>
        <w:t>评标办法前附表</w:t>
      </w:r>
      <w:bookmarkEnd w:id="11"/>
    </w:p>
    <w:tbl>
      <w:tblPr>
        <w:tblStyle w:val="12"/>
        <w:tblW w:w="9219" w:type="dxa"/>
        <w:tblInd w:w="0" w:type="dxa"/>
        <w:tblLayout w:type="fixed"/>
        <w:tblCellMar>
          <w:top w:w="0" w:type="dxa"/>
          <w:left w:w="0" w:type="dxa"/>
          <w:bottom w:w="0" w:type="dxa"/>
          <w:right w:w="0" w:type="dxa"/>
        </w:tblCellMar>
      </w:tblPr>
      <w:tblGrid>
        <w:gridCol w:w="683"/>
        <w:gridCol w:w="1590"/>
        <w:gridCol w:w="6946"/>
      </w:tblGrid>
      <w:tr>
        <w:tblPrEx>
          <w:tblCellMar>
            <w:top w:w="0" w:type="dxa"/>
            <w:left w:w="0" w:type="dxa"/>
            <w:bottom w:w="0" w:type="dxa"/>
            <w:right w:w="0" w:type="dxa"/>
          </w:tblCellMar>
        </w:tblPrEx>
        <w:trPr>
          <w:trHeight w:val="23" w:hRule="atLeast"/>
        </w:trPr>
        <w:tc>
          <w:tcPr>
            <w:tcW w:w="2273" w:type="dxa"/>
            <w:gridSpan w:val="2"/>
            <w:tcBorders>
              <w:top w:val="single" w:color="auto" w:sz="4" w:space="0"/>
              <w:left w:val="single" w:color="auto" w:sz="4" w:space="0"/>
              <w:bottom w:val="nil"/>
              <w:right w:val="nil"/>
            </w:tcBorders>
            <w:shd w:val="clear" w:color="auto" w:fill="FFFFFF"/>
            <w:vAlign w:val="bottom"/>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9"/>
                <w:rFonts w:hint="eastAsia" w:ascii="宋体" w:hAnsi="宋体" w:eastAsia="宋体"/>
                <w:color w:val="auto"/>
                <w:kern w:val="2"/>
                <w:sz w:val="21"/>
                <w:szCs w:val="21"/>
                <w:highlight w:val="none"/>
                <w:lang w:val="zh-CN"/>
              </w:rPr>
              <w:t>条款号</w:t>
            </w:r>
          </w:p>
        </w:tc>
        <w:tc>
          <w:tcPr>
            <w:tcW w:w="6946" w:type="dxa"/>
            <w:tcBorders>
              <w:top w:val="single" w:color="auto" w:sz="4" w:space="0"/>
              <w:left w:val="single" w:color="auto" w:sz="4" w:space="0"/>
              <w:bottom w:val="nil"/>
              <w:right w:val="single" w:color="auto" w:sz="4" w:space="0"/>
            </w:tcBorders>
            <w:shd w:val="clear" w:color="auto" w:fill="FFFFFF"/>
            <w:vAlign w:val="bottom"/>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9"/>
                <w:rFonts w:hint="eastAsia" w:ascii="宋体" w:hAnsi="宋体" w:eastAsia="宋体"/>
                <w:color w:val="auto"/>
                <w:kern w:val="2"/>
                <w:sz w:val="21"/>
                <w:szCs w:val="21"/>
                <w:highlight w:val="none"/>
                <w:lang w:val="zh-CN"/>
              </w:rPr>
              <w:t>评审因素与评审标准</w:t>
            </w:r>
          </w:p>
        </w:tc>
      </w:tr>
      <w:tr>
        <w:trPr>
          <w:trHeight w:val="23" w:hRule="atLeast"/>
        </w:trPr>
        <w:tc>
          <w:tcPr>
            <w:tcW w:w="683" w:type="dxa"/>
            <w:tcBorders>
              <w:top w:val="single" w:color="auto" w:sz="4" w:space="0"/>
              <w:left w:val="single" w:color="auto" w:sz="4" w:space="0"/>
              <w:bottom w:val="nil"/>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9"/>
                <w:rFonts w:ascii="宋体" w:hAnsi="宋体" w:eastAsia="宋体"/>
                <w:color w:val="auto"/>
                <w:kern w:val="2"/>
                <w:sz w:val="21"/>
                <w:szCs w:val="21"/>
                <w:highlight w:val="none"/>
                <w:lang w:val="zh-CN"/>
              </w:rPr>
              <w:t>1</w:t>
            </w:r>
          </w:p>
        </w:tc>
        <w:tc>
          <w:tcPr>
            <w:tcW w:w="1590" w:type="dxa"/>
            <w:tcBorders>
              <w:top w:val="single" w:color="auto" w:sz="4" w:space="0"/>
              <w:left w:val="single" w:color="auto" w:sz="4" w:space="0"/>
              <w:bottom w:val="nil"/>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9"/>
                <w:rFonts w:hint="eastAsia" w:ascii="宋体" w:hAnsi="宋体" w:eastAsia="宋体"/>
                <w:color w:val="auto"/>
                <w:kern w:val="2"/>
                <w:sz w:val="21"/>
                <w:szCs w:val="21"/>
                <w:highlight w:val="none"/>
                <w:lang w:val="zh-CN"/>
              </w:rPr>
              <w:t>评标方法</w:t>
            </w:r>
          </w:p>
        </w:tc>
        <w:tc>
          <w:tcPr>
            <w:tcW w:w="6946" w:type="dxa"/>
            <w:tcBorders>
              <w:top w:val="single" w:color="auto" w:sz="4" w:space="0"/>
              <w:left w:val="single" w:color="auto" w:sz="4" w:space="0"/>
              <w:bottom w:val="nil"/>
              <w:right w:val="single" w:color="auto" w:sz="4" w:space="0"/>
            </w:tcBorders>
            <w:shd w:val="clear" w:color="auto" w:fill="FFFFFF"/>
            <w:vAlign w:val="center"/>
          </w:tcPr>
          <w:p>
            <w:pPr>
              <w:pStyle w:val="19"/>
              <w:shd w:val="clear" w:color="auto" w:fill="auto"/>
              <w:adjustRightInd w:val="0"/>
              <w:snapToGrid w:val="0"/>
              <w:spacing w:before="0" w:line="240" w:lineRule="auto"/>
              <w:ind w:right="124" w:rightChars="59" w:firstLine="540"/>
              <w:jc w:val="both"/>
              <w:rPr>
                <w:rStyle w:val="30"/>
                <w:rFonts w:ascii="宋体" w:hAnsi="宋体" w:eastAsia="宋体"/>
                <w:color w:val="auto"/>
                <w:kern w:val="2"/>
                <w:sz w:val="21"/>
                <w:szCs w:val="21"/>
                <w:highlight w:val="none"/>
                <w:lang w:val="zh-CN"/>
              </w:rPr>
            </w:pPr>
            <w:r>
              <w:rPr>
                <w:rStyle w:val="30"/>
                <w:rFonts w:hint="eastAsia" w:ascii="宋体" w:hAnsi="宋体" w:eastAsia="宋体"/>
                <w:color w:val="auto"/>
                <w:kern w:val="2"/>
                <w:sz w:val="21"/>
                <w:szCs w:val="21"/>
                <w:highlight w:val="none"/>
                <w:lang w:val="zh-CN"/>
              </w:rPr>
              <w:t>综合评分相等时，评标委员会依次按照以下优先顺序推荐中标候选人或确定中标人：</w:t>
            </w:r>
          </w:p>
          <w:p>
            <w:pPr>
              <w:pStyle w:val="19"/>
              <w:shd w:val="clear" w:color="auto" w:fill="auto"/>
              <w:tabs>
                <w:tab w:val="left" w:pos="1050"/>
              </w:tabs>
              <w:adjustRightInd w:val="0"/>
              <w:snapToGrid w:val="0"/>
              <w:spacing w:before="0" w:line="240" w:lineRule="auto"/>
              <w:ind w:right="124" w:rightChars="59"/>
              <w:jc w:val="both"/>
              <w:rPr>
                <w:rStyle w:val="30"/>
                <w:rFonts w:ascii="宋体" w:hAnsi="宋体" w:eastAsia="宋体"/>
                <w:color w:val="auto"/>
                <w:kern w:val="2"/>
                <w:sz w:val="21"/>
                <w:szCs w:val="21"/>
                <w:highlight w:val="none"/>
                <w:lang w:val="zh-CN"/>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1）评标价低的优先；</w:t>
            </w:r>
          </w:p>
          <w:p>
            <w:pPr>
              <w:pStyle w:val="19"/>
              <w:shd w:val="clear" w:color="auto" w:fill="auto"/>
              <w:tabs>
                <w:tab w:val="left" w:pos="1050"/>
              </w:tabs>
              <w:adjustRightInd w:val="0"/>
              <w:snapToGrid w:val="0"/>
              <w:spacing w:before="0" w:line="240" w:lineRule="auto"/>
              <w:ind w:right="124" w:rightChars="59"/>
              <w:jc w:val="both"/>
              <w:rPr>
                <w:rStyle w:val="30"/>
                <w:rFonts w:ascii="宋体" w:hAnsi="宋体" w:eastAsia="宋体"/>
                <w:color w:val="auto"/>
                <w:kern w:val="2"/>
                <w:sz w:val="21"/>
                <w:szCs w:val="21"/>
                <w:highlight w:val="none"/>
                <w:lang w:val="zh-CN"/>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2）按招标文件规定被认定为最新年度广东省水运工程从业单位信用评价等级较高的投标人优先；【采用如下的优先顺序：承诺使用的AA级投标人、不承诺使用的AA级投标人、承诺使用的A级投标人、不承诺使用的A级投标人、B级投标人、未参评且被确定为B级投标人】</w:t>
            </w:r>
          </w:p>
          <w:p>
            <w:pPr>
              <w:adjustRightInd w:val="0"/>
              <w:snapToGrid w:val="0"/>
              <w:spacing w:line="240" w:lineRule="auto"/>
              <w:ind w:right="124" w:rightChars="59"/>
              <w:rPr>
                <w:rStyle w:val="30"/>
                <w:rFonts w:ascii="宋体" w:hAnsi="宋体" w:eastAsia="宋体"/>
                <w:color w:val="auto"/>
                <w:kern w:val="2"/>
                <w:sz w:val="21"/>
                <w:szCs w:val="21"/>
                <w:highlight w:val="none"/>
                <w:shd w:val="clear" w:color="auto" w:fill="auto"/>
              </w:rPr>
            </w:pPr>
            <w:r>
              <w:rPr>
                <w:rStyle w:val="30"/>
                <w:rFonts w:hint="eastAsia" w:ascii="宋体" w:hAnsi="宋体" w:eastAsia="宋体"/>
                <w:color w:val="auto"/>
                <w:sz w:val="21"/>
                <w:szCs w:val="21"/>
                <w:highlight w:val="none"/>
              </w:rPr>
              <w:t>（</w:t>
            </w:r>
            <w:r>
              <w:rPr>
                <w:rStyle w:val="30"/>
                <w:rFonts w:ascii="宋体" w:hAnsi="宋体" w:eastAsia="宋体"/>
                <w:color w:val="auto"/>
                <w:sz w:val="21"/>
                <w:szCs w:val="21"/>
                <w:highlight w:val="none"/>
              </w:rPr>
              <w:t>3）以投标人企业最新年度净资产较高的优先；</w:t>
            </w:r>
          </w:p>
          <w:p>
            <w:pPr>
              <w:pStyle w:val="19"/>
              <w:shd w:val="clear" w:color="auto" w:fill="auto"/>
              <w:tabs>
                <w:tab w:val="left" w:pos="1087"/>
              </w:tabs>
              <w:adjustRightInd w:val="0"/>
              <w:snapToGrid w:val="0"/>
              <w:spacing w:before="0" w:line="240" w:lineRule="auto"/>
              <w:ind w:right="124" w:rightChars="59"/>
              <w:jc w:val="both"/>
              <w:rPr>
                <w:rStyle w:val="30"/>
                <w:rFonts w:ascii="宋体" w:hAnsi="宋体" w:eastAsia="宋体"/>
                <w:color w:val="auto"/>
                <w:kern w:val="2"/>
                <w:sz w:val="21"/>
                <w:szCs w:val="21"/>
                <w:highlight w:val="none"/>
                <w:shd w:val="clear" w:color="auto" w:fill="FFFFFF"/>
                <w:lang w:val="zh-CN"/>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4）评标委员会视投标人情况综合比较，投票确定其名次。</w:t>
            </w:r>
          </w:p>
        </w:tc>
      </w:tr>
      <w:tr>
        <w:tblPrEx>
          <w:tblCellMar>
            <w:top w:w="0" w:type="dxa"/>
            <w:left w:w="0" w:type="dxa"/>
            <w:bottom w:w="0" w:type="dxa"/>
            <w:right w:w="0" w:type="dxa"/>
          </w:tblCellMar>
        </w:tblPrEx>
        <w:trPr>
          <w:trHeight w:val="23" w:hRule="atLeast"/>
        </w:trPr>
        <w:tc>
          <w:tcPr>
            <w:tcW w:w="683"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31"/>
                <w:rFonts w:ascii="宋体" w:hAnsi="宋体" w:eastAsia="宋体"/>
                <w:color w:val="auto"/>
                <w:kern w:val="2"/>
                <w:sz w:val="21"/>
                <w:szCs w:val="21"/>
                <w:highlight w:val="none"/>
              </w:rPr>
              <w:t>2.1.1</w:t>
            </w:r>
          </w:p>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9"/>
                <w:rFonts w:ascii="宋体" w:hAnsi="宋体" w:eastAsia="宋体"/>
                <w:color w:val="auto"/>
                <w:kern w:val="2"/>
                <w:sz w:val="21"/>
                <w:szCs w:val="21"/>
                <w:highlight w:val="none"/>
              </w:rPr>
              <w:t>2.1.3</w:t>
            </w:r>
          </w:p>
        </w:tc>
        <w:tc>
          <w:tcPr>
            <w:tcW w:w="1590"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形式评审与响应性评审标准</w:t>
            </w:r>
          </w:p>
        </w:tc>
        <w:tc>
          <w:tcPr>
            <w:tcW w:w="69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hd w:val="clear" w:color="auto" w:fill="auto"/>
              <w:adjustRightInd w:val="0"/>
              <w:snapToGrid w:val="0"/>
              <w:spacing w:before="0" w:line="240" w:lineRule="auto"/>
              <w:ind w:right="124" w:rightChars="59"/>
              <w:jc w:val="both"/>
              <w:rPr>
                <w:rFonts w:ascii="宋体" w:hAnsi="宋体" w:eastAsia="宋体" w:cs="MingLiU"/>
                <w:color w:val="auto"/>
                <w:kern w:val="2"/>
                <w:sz w:val="21"/>
                <w:szCs w:val="21"/>
                <w:highlight w:val="none"/>
              </w:rPr>
            </w:pPr>
            <w:r>
              <w:rPr>
                <w:rStyle w:val="32"/>
                <w:rFonts w:hint="eastAsia" w:ascii="宋体" w:hAnsi="宋体" w:eastAsia="宋体"/>
                <w:b w:val="0"/>
                <w:color w:val="auto"/>
                <w:kern w:val="2"/>
                <w:sz w:val="21"/>
                <w:szCs w:val="21"/>
                <w:highlight w:val="none"/>
                <w:lang w:val="zh-CN"/>
              </w:rPr>
              <w:t>第一个信封（商务及技术文件）评审标准：</w:t>
            </w:r>
          </w:p>
          <w:p>
            <w:pPr>
              <w:pStyle w:val="19"/>
              <w:shd w:val="clear" w:color="auto" w:fill="auto"/>
              <w:tabs>
                <w:tab w:val="left" w:pos="946"/>
              </w:tabs>
              <w:adjustRightInd w:val="0"/>
              <w:snapToGrid w:val="0"/>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1）投标文件按照招标文件规定的格式、内容填写，字迹清晰可辨：</w:t>
            </w:r>
          </w:p>
          <w:p>
            <w:pPr>
              <w:pStyle w:val="19"/>
              <w:shd w:val="clear" w:color="auto" w:fill="auto"/>
              <w:tabs>
                <w:tab w:val="left" w:pos="566"/>
                <w:tab w:val="left" w:pos="805"/>
              </w:tabs>
              <w:adjustRightInd w:val="0"/>
              <w:snapToGrid w:val="0"/>
              <w:spacing w:before="0" w:line="240" w:lineRule="auto"/>
              <w:ind w:right="124" w:rightChars="59" w:firstLine="420" w:firstLineChars="200"/>
              <w:jc w:val="both"/>
              <w:rPr>
                <w:rFonts w:ascii="宋体" w:hAnsi="宋体" w:eastAsia="宋体" w:cs="MingLiU"/>
                <w:color w:val="auto"/>
                <w:kern w:val="2"/>
                <w:sz w:val="21"/>
                <w:szCs w:val="21"/>
                <w:highlight w:val="none"/>
              </w:rPr>
            </w:pPr>
            <w:r>
              <w:rPr>
                <w:rStyle w:val="30"/>
                <w:rFonts w:ascii="宋体" w:hAnsi="宋体" w:eastAsia="宋体"/>
                <w:color w:val="auto"/>
                <w:kern w:val="2"/>
                <w:sz w:val="21"/>
                <w:szCs w:val="21"/>
                <w:highlight w:val="none"/>
                <w:lang w:val="zh-CN"/>
              </w:rPr>
              <w:t>a.投标函按招标文件规定填报了项目名称、标段号、补遗书编号（如有)</w:t>
            </w:r>
            <w:r>
              <w:rPr>
                <w:rStyle w:val="30"/>
                <w:rFonts w:hint="eastAsia" w:ascii="宋体" w:hAnsi="宋体" w:eastAsia="宋体"/>
                <w:color w:val="auto"/>
                <w:kern w:val="2"/>
                <w:sz w:val="21"/>
                <w:szCs w:val="21"/>
                <w:highlight w:val="none"/>
                <w:lang w:val="zh-CN"/>
              </w:rPr>
              <w:t>、工期、工程质量要求及安全目标；</w:t>
            </w:r>
          </w:p>
          <w:p>
            <w:pPr>
              <w:pStyle w:val="19"/>
              <w:shd w:val="clear" w:color="auto" w:fill="auto"/>
              <w:tabs>
                <w:tab w:val="left" w:pos="168"/>
                <w:tab w:val="left" w:pos="805"/>
              </w:tabs>
              <w:adjustRightInd w:val="0"/>
              <w:snapToGrid w:val="0"/>
              <w:spacing w:before="0" w:line="240" w:lineRule="auto"/>
              <w:ind w:right="124" w:rightChars="59" w:firstLine="420" w:firstLineChars="200"/>
              <w:jc w:val="both"/>
              <w:rPr>
                <w:rFonts w:ascii="宋体" w:hAnsi="宋体" w:eastAsia="宋体" w:cs="MingLiU"/>
                <w:color w:val="auto"/>
                <w:kern w:val="2"/>
                <w:sz w:val="21"/>
                <w:szCs w:val="21"/>
                <w:highlight w:val="none"/>
              </w:rPr>
            </w:pPr>
            <w:r>
              <w:rPr>
                <w:rStyle w:val="30"/>
                <w:rFonts w:ascii="宋体" w:hAnsi="宋体" w:eastAsia="宋体"/>
                <w:color w:val="auto"/>
                <w:kern w:val="2"/>
                <w:sz w:val="21"/>
                <w:szCs w:val="21"/>
                <w:highlight w:val="none"/>
                <w:lang w:val="zh-CN"/>
              </w:rPr>
              <w:t>b.投标函附录的所有数据均符合招标文件规定；</w:t>
            </w:r>
          </w:p>
          <w:p>
            <w:pPr>
              <w:pStyle w:val="19"/>
              <w:shd w:val="clear" w:color="auto" w:fill="auto"/>
              <w:adjustRightInd w:val="0"/>
              <w:snapToGrid w:val="0"/>
              <w:spacing w:before="0" w:line="240" w:lineRule="auto"/>
              <w:ind w:right="124" w:rightChars="59" w:firstLine="420" w:firstLineChars="200"/>
              <w:jc w:val="both"/>
              <w:rPr>
                <w:rFonts w:ascii="宋体" w:hAnsi="宋体" w:eastAsia="宋体" w:cs="MingLiU"/>
                <w:color w:val="auto"/>
                <w:kern w:val="2"/>
                <w:sz w:val="21"/>
                <w:szCs w:val="21"/>
                <w:highlight w:val="none"/>
              </w:rPr>
            </w:pPr>
            <w:r>
              <w:rPr>
                <w:rStyle w:val="33"/>
                <w:rFonts w:hint="eastAsia" w:ascii="宋体" w:hAnsi="宋体" w:eastAsia="宋体"/>
                <w:color w:val="auto"/>
                <w:kern w:val="2"/>
                <w:sz w:val="21"/>
                <w:szCs w:val="21"/>
                <w:highlight w:val="none"/>
                <w:lang w:val="en-US" w:eastAsia="zh-CN"/>
              </w:rPr>
              <w:t>c</w:t>
            </w:r>
            <w:r>
              <w:rPr>
                <w:rStyle w:val="34"/>
                <w:rFonts w:ascii="宋体" w:hAnsi="宋体" w:eastAsia="宋体"/>
                <w:color w:val="auto"/>
                <w:kern w:val="2"/>
                <w:sz w:val="21"/>
                <w:szCs w:val="21"/>
                <w:highlight w:val="none"/>
              </w:rPr>
              <w:t>.</w:t>
            </w:r>
            <w:r>
              <w:rPr>
                <w:rStyle w:val="30"/>
                <w:rFonts w:hint="eastAsia" w:ascii="宋体" w:hAnsi="宋体" w:eastAsia="宋体"/>
                <w:color w:val="auto"/>
                <w:kern w:val="2"/>
                <w:sz w:val="21"/>
                <w:szCs w:val="21"/>
                <w:highlight w:val="none"/>
                <w:lang w:val="zh-CN"/>
              </w:rPr>
              <w:t>投标文件组成齐全完整，内容均按规定填写。</w:t>
            </w:r>
          </w:p>
          <w:p>
            <w:pPr>
              <w:pStyle w:val="19"/>
              <w:shd w:val="clear" w:color="auto" w:fill="auto"/>
              <w:tabs>
                <w:tab w:val="left" w:pos="948"/>
              </w:tabs>
              <w:adjustRightInd w:val="0"/>
              <w:snapToGrid w:val="0"/>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2）投标文件上法定代表人或其委托代理人的签字、投标人的单位章盖章齐全，符合招标文件规定。</w:t>
            </w:r>
          </w:p>
          <w:p>
            <w:pPr>
              <w:pStyle w:val="19"/>
              <w:shd w:val="clear" w:color="auto" w:fill="auto"/>
              <w:tabs>
                <w:tab w:val="left" w:pos="948"/>
              </w:tabs>
              <w:adjustRightInd w:val="0"/>
              <w:snapToGrid w:val="0"/>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3）投标人按照招标文件的规定提供了投标保证金：</w:t>
            </w:r>
          </w:p>
          <w:p>
            <w:pPr>
              <w:pStyle w:val="19"/>
              <w:shd w:val="clear" w:color="auto" w:fill="auto"/>
              <w:adjustRightInd w:val="0"/>
              <w:snapToGrid w:val="0"/>
              <w:spacing w:before="0" w:line="240" w:lineRule="auto"/>
              <w:ind w:right="124" w:rightChars="59" w:firstLine="420" w:firstLineChars="200"/>
              <w:jc w:val="both"/>
              <w:rPr>
                <w:rStyle w:val="30"/>
                <w:rFonts w:ascii="宋体" w:hAnsi="宋体" w:eastAsia="宋体"/>
                <w:color w:val="auto"/>
                <w:kern w:val="2"/>
                <w:sz w:val="21"/>
                <w:szCs w:val="21"/>
                <w:highlight w:val="none"/>
                <w:lang w:val="zh-CN"/>
              </w:rPr>
            </w:pPr>
            <w:r>
              <w:rPr>
                <w:rStyle w:val="35"/>
                <w:rFonts w:ascii="宋体" w:hAnsi="宋体" w:eastAsia="宋体"/>
                <w:color w:val="auto"/>
                <w:kern w:val="2"/>
                <w:sz w:val="21"/>
                <w:szCs w:val="21"/>
                <w:highlight w:val="none"/>
                <w:lang w:eastAsia="zh-CN"/>
              </w:rPr>
              <w:t>a</w:t>
            </w:r>
            <w:r>
              <w:rPr>
                <w:rStyle w:val="30"/>
                <w:rFonts w:ascii="宋体" w:hAnsi="宋体" w:eastAsia="宋体"/>
                <w:color w:val="auto"/>
                <w:kern w:val="2"/>
                <w:sz w:val="21"/>
                <w:szCs w:val="21"/>
                <w:highlight w:val="none"/>
                <w:lang w:val="zh-CN"/>
              </w:rPr>
              <w:t>.</w:t>
            </w:r>
            <w:r>
              <w:rPr>
                <w:rStyle w:val="30"/>
                <w:rFonts w:hint="eastAsia" w:ascii="宋体" w:hAnsi="宋体" w:eastAsia="宋体"/>
                <w:color w:val="auto"/>
                <w:kern w:val="2"/>
                <w:sz w:val="21"/>
                <w:szCs w:val="21"/>
                <w:highlight w:val="none"/>
                <w:lang w:val="zh-CN"/>
              </w:rPr>
              <w:t>投标保证金金额符合招标文件规定的金额，且投标保证金有效期不少于投标有效期；</w:t>
            </w:r>
          </w:p>
          <w:p>
            <w:pPr>
              <w:pStyle w:val="19"/>
              <w:shd w:val="clear" w:color="auto" w:fill="auto"/>
              <w:adjustRightInd w:val="0"/>
              <w:snapToGrid w:val="0"/>
              <w:spacing w:before="0" w:line="240" w:lineRule="auto"/>
              <w:ind w:right="124" w:rightChars="59" w:firstLine="420" w:firstLineChars="200"/>
              <w:jc w:val="both"/>
              <w:rPr>
                <w:rFonts w:ascii="宋体" w:hAnsi="宋体" w:eastAsia="宋体" w:cs="MingLiU"/>
                <w:color w:val="auto"/>
                <w:kern w:val="2"/>
                <w:sz w:val="21"/>
                <w:szCs w:val="21"/>
                <w:highlight w:val="none"/>
              </w:rPr>
            </w:pPr>
            <w:r>
              <w:rPr>
                <w:rStyle w:val="35"/>
                <w:rFonts w:ascii="宋体" w:hAnsi="宋体" w:eastAsia="宋体"/>
                <w:color w:val="auto"/>
                <w:kern w:val="2"/>
                <w:sz w:val="21"/>
                <w:szCs w:val="21"/>
                <w:highlight w:val="none"/>
                <w:lang w:eastAsia="zh-CN"/>
              </w:rPr>
              <w:t>b</w:t>
            </w:r>
            <w:r>
              <w:rPr>
                <w:rStyle w:val="30"/>
                <w:rFonts w:ascii="宋体" w:hAnsi="宋体" w:eastAsia="宋体"/>
                <w:color w:val="auto"/>
                <w:kern w:val="2"/>
                <w:sz w:val="21"/>
                <w:szCs w:val="21"/>
                <w:highlight w:val="none"/>
                <w:lang w:val="zh-CN"/>
              </w:rPr>
              <w:t>.</w:t>
            </w:r>
            <w:r>
              <w:rPr>
                <w:rStyle w:val="30"/>
                <w:rFonts w:hint="eastAsia" w:ascii="宋体" w:hAnsi="宋体" w:eastAsia="宋体"/>
                <w:color w:val="auto"/>
                <w:kern w:val="2"/>
                <w:sz w:val="21"/>
                <w:szCs w:val="21"/>
                <w:highlight w:val="none"/>
                <w:lang w:val="zh-CN"/>
              </w:rPr>
              <w:t>若投标保证金采用现金或支票形式提交，投标人应在投标人须知</w:t>
            </w:r>
            <w:r>
              <w:rPr>
                <w:rStyle w:val="30"/>
                <w:rFonts w:ascii="宋体" w:hAnsi="宋体" w:eastAsia="宋体"/>
                <w:color w:val="auto"/>
                <w:kern w:val="2"/>
                <w:sz w:val="21"/>
                <w:szCs w:val="21"/>
                <w:highlight w:val="none"/>
                <w:lang w:val="zh-CN"/>
              </w:rPr>
              <w:t>3.4.1款规定的时间，将投标保证金由投标人的基本账户转入招标人指定账户；</w:t>
            </w:r>
          </w:p>
          <w:p>
            <w:pPr>
              <w:pStyle w:val="19"/>
              <w:shd w:val="clear" w:color="auto" w:fill="auto"/>
              <w:adjustRightInd w:val="0"/>
              <w:snapToGrid w:val="0"/>
              <w:spacing w:before="0" w:line="240" w:lineRule="auto"/>
              <w:ind w:right="124" w:rightChars="59" w:firstLine="420" w:firstLineChars="200"/>
              <w:jc w:val="both"/>
              <w:rPr>
                <w:rStyle w:val="30"/>
                <w:rFonts w:ascii="宋体" w:hAnsi="宋体" w:eastAsia="宋体"/>
                <w:color w:val="auto"/>
                <w:kern w:val="2"/>
                <w:sz w:val="21"/>
                <w:szCs w:val="21"/>
                <w:highlight w:val="none"/>
                <w:lang w:val="zh-CN"/>
              </w:rPr>
            </w:pPr>
            <w:r>
              <w:rPr>
                <w:rStyle w:val="33"/>
                <w:rFonts w:hint="eastAsia" w:ascii="宋体" w:hAnsi="宋体" w:eastAsia="宋体"/>
                <w:color w:val="auto"/>
                <w:kern w:val="2"/>
                <w:sz w:val="21"/>
                <w:szCs w:val="21"/>
                <w:highlight w:val="none"/>
                <w:lang w:val="en-US" w:eastAsia="zh-CN"/>
              </w:rPr>
              <w:t>c</w:t>
            </w:r>
            <w:r>
              <w:rPr>
                <w:rStyle w:val="34"/>
                <w:rFonts w:ascii="宋体" w:hAnsi="宋体" w:eastAsia="宋体"/>
                <w:color w:val="auto"/>
                <w:kern w:val="2"/>
                <w:sz w:val="21"/>
                <w:szCs w:val="21"/>
                <w:highlight w:val="none"/>
              </w:rPr>
              <w:t>.</w:t>
            </w:r>
            <w:r>
              <w:rPr>
                <w:rStyle w:val="30"/>
                <w:rFonts w:hint="eastAsia" w:ascii="宋体" w:hAnsi="宋体" w:eastAsia="宋体"/>
                <w:color w:val="auto"/>
                <w:kern w:val="2"/>
                <w:sz w:val="21"/>
                <w:szCs w:val="21"/>
                <w:highlight w:val="none"/>
                <w:lang w:val="zh-CN"/>
              </w:rPr>
              <w:t>若投标保证金采用银行保函形式提交，银行保函的格式、开具保函的银行均满足招标文件要求，</w:t>
            </w:r>
            <w:r>
              <w:rPr>
                <w:rStyle w:val="30"/>
                <w:rFonts w:ascii="宋体" w:hAnsi="宋体" w:eastAsia="宋体"/>
                <w:color w:val="auto"/>
                <w:kern w:val="2"/>
                <w:sz w:val="21"/>
                <w:szCs w:val="21"/>
                <w:highlight w:val="none"/>
                <w:lang w:val="zh-CN"/>
              </w:rPr>
              <w:t>银行保函原件在</w:t>
            </w:r>
            <w:r>
              <w:rPr>
                <w:rStyle w:val="30"/>
                <w:rFonts w:hint="eastAsia" w:ascii="宋体" w:hAnsi="宋体" w:eastAsia="宋体"/>
                <w:color w:val="auto"/>
                <w:kern w:val="2"/>
                <w:sz w:val="21"/>
                <w:szCs w:val="21"/>
                <w:highlight w:val="none"/>
                <w:lang w:val="zh-CN"/>
              </w:rPr>
              <w:t>递交</w:t>
            </w:r>
            <w:r>
              <w:rPr>
                <w:rStyle w:val="30"/>
                <w:rFonts w:ascii="宋体" w:hAnsi="宋体" w:eastAsia="宋体"/>
                <w:color w:val="auto"/>
                <w:kern w:val="2"/>
                <w:sz w:val="21"/>
                <w:szCs w:val="21"/>
                <w:highlight w:val="none"/>
                <w:lang w:val="zh-CN"/>
              </w:rPr>
              <w:t>投标文件</w:t>
            </w:r>
            <w:r>
              <w:rPr>
                <w:rStyle w:val="30"/>
                <w:rFonts w:hint="eastAsia" w:ascii="宋体" w:hAnsi="宋体" w:eastAsia="宋体"/>
                <w:color w:val="auto"/>
                <w:kern w:val="2"/>
                <w:sz w:val="21"/>
                <w:szCs w:val="21"/>
                <w:highlight w:val="none"/>
                <w:lang w:val="zh-CN"/>
              </w:rPr>
              <w:t>时单独密封递交，其复印件装订在投标文件中。</w:t>
            </w:r>
          </w:p>
          <w:p>
            <w:pPr>
              <w:pStyle w:val="19"/>
              <w:shd w:val="clear" w:color="auto" w:fill="auto"/>
              <w:adjustRightInd w:val="0"/>
              <w:snapToGrid w:val="0"/>
              <w:spacing w:before="0" w:line="240" w:lineRule="auto"/>
              <w:ind w:right="124" w:rightChars="59" w:firstLine="420" w:firstLineChars="200"/>
              <w:jc w:val="both"/>
              <w:rPr>
                <w:rStyle w:val="30"/>
                <w:rFonts w:ascii="宋体" w:hAnsi="宋体" w:eastAsia="宋体"/>
                <w:color w:val="auto"/>
                <w:kern w:val="2"/>
                <w:sz w:val="21"/>
                <w:szCs w:val="21"/>
                <w:highlight w:val="none"/>
                <w:lang w:val="zh-CN"/>
              </w:rPr>
            </w:pPr>
            <w:r>
              <w:rPr>
                <w:rStyle w:val="30"/>
                <w:rFonts w:ascii="宋体" w:hAnsi="宋体" w:eastAsia="宋体"/>
                <w:color w:val="auto"/>
                <w:kern w:val="2"/>
                <w:sz w:val="21"/>
                <w:szCs w:val="21"/>
                <w:highlight w:val="none"/>
              </w:rPr>
              <w:t>d.</w:t>
            </w:r>
            <w:r>
              <w:rPr>
                <w:rStyle w:val="30"/>
                <w:rFonts w:hint="eastAsia" w:ascii="宋体" w:hAnsi="宋体" w:eastAsia="宋体"/>
                <w:color w:val="auto"/>
                <w:kern w:val="2"/>
                <w:sz w:val="21"/>
                <w:szCs w:val="21"/>
                <w:highlight w:val="none"/>
                <w:lang w:val="zh-CN"/>
              </w:rPr>
              <w:t>若投标保证金采用</w:t>
            </w:r>
            <w:r>
              <w:rPr>
                <w:rStyle w:val="30"/>
                <w:rFonts w:hint="eastAsia" w:ascii="宋体" w:hAnsi="宋体" w:eastAsia="宋体"/>
                <w:color w:val="auto"/>
                <w:kern w:val="2"/>
                <w:sz w:val="21"/>
                <w:szCs w:val="21"/>
                <w:highlight w:val="none"/>
              </w:rPr>
              <w:t>其他</w:t>
            </w:r>
            <w:r>
              <w:rPr>
                <w:rStyle w:val="30"/>
                <w:rFonts w:hint="eastAsia" w:ascii="宋体" w:hAnsi="宋体" w:eastAsia="宋体"/>
                <w:color w:val="auto"/>
                <w:kern w:val="2"/>
                <w:sz w:val="21"/>
                <w:szCs w:val="21"/>
                <w:highlight w:val="none"/>
                <w:lang w:val="zh-CN"/>
              </w:rPr>
              <w:t>形式提交，</w:t>
            </w:r>
            <w:r>
              <w:rPr>
                <w:rStyle w:val="30"/>
                <w:rFonts w:hint="eastAsia" w:ascii="宋体" w:hAnsi="宋体" w:eastAsia="宋体"/>
                <w:color w:val="auto"/>
                <w:kern w:val="2"/>
                <w:sz w:val="21"/>
                <w:szCs w:val="21"/>
                <w:highlight w:val="none"/>
              </w:rPr>
              <w:t>应满足须知前附表</w:t>
            </w:r>
            <w:r>
              <w:rPr>
                <w:rStyle w:val="30"/>
                <w:rFonts w:ascii="宋体" w:hAnsi="宋体" w:eastAsia="宋体"/>
                <w:color w:val="auto"/>
                <w:kern w:val="2"/>
                <w:sz w:val="21"/>
                <w:szCs w:val="21"/>
                <w:highlight w:val="none"/>
              </w:rPr>
              <w:t>3.4.1项的规定。</w:t>
            </w:r>
          </w:p>
          <w:p>
            <w:pPr>
              <w:pStyle w:val="19"/>
              <w:shd w:val="clear" w:color="auto" w:fill="auto"/>
              <w:tabs>
                <w:tab w:val="left" w:pos="917"/>
              </w:tabs>
              <w:adjustRightInd w:val="0"/>
              <w:snapToGrid w:val="0"/>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4）投标人法定代表人授权委托代理人签署投标文件的，需提交授权委托书，且授权人和被授权人均在授权委托书上签名，未使用印</w:t>
            </w:r>
            <w:r>
              <w:rPr>
                <w:rStyle w:val="30"/>
                <w:rFonts w:hint="eastAsia" w:ascii="宋体" w:hAnsi="宋体" w:eastAsia="宋体"/>
                <w:color w:val="auto"/>
                <w:kern w:val="2"/>
                <w:sz w:val="21"/>
                <w:szCs w:val="21"/>
                <w:highlight w:val="none"/>
                <w:lang w:val="zh-CN"/>
              </w:rPr>
              <w:t>章、签名章或其他电子制版签名代替。</w:t>
            </w:r>
          </w:p>
          <w:p>
            <w:pPr>
              <w:pStyle w:val="19"/>
              <w:shd w:val="clear" w:color="auto" w:fill="auto"/>
              <w:tabs>
                <w:tab w:val="left" w:pos="917"/>
              </w:tabs>
              <w:adjustRightInd w:val="0"/>
              <w:snapToGrid w:val="0"/>
              <w:spacing w:before="0" w:line="240" w:lineRule="auto"/>
              <w:ind w:right="124" w:rightChars="59"/>
              <w:jc w:val="both"/>
              <w:rPr>
                <w:rStyle w:val="30"/>
                <w:rFonts w:ascii="宋体" w:hAnsi="宋体" w:eastAsia="宋体"/>
                <w:color w:val="auto"/>
                <w:kern w:val="2"/>
                <w:sz w:val="21"/>
                <w:szCs w:val="21"/>
                <w:highlight w:val="none"/>
                <w:lang w:val="zh-CN"/>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 xml:space="preserve">5）投标人法定代表人亲自签署投标文件的，提供了法定代表人身份证明，且法定代表人在法定代表人身份证明上签名，未使用印章、 </w:t>
            </w:r>
            <w:r>
              <w:rPr>
                <w:rStyle w:val="30"/>
                <w:rFonts w:hint="eastAsia" w:ascii="宋体" w:hAnsi="宋体" w:eastAsia="宋体"/>
                <w:color w:val="auto"/>
                <w:kern w:val="2"/>
                <w:sz w:val="21"/>
                <w:szCs w:val="21"/>
                <w:highlight w:val="none"/>
                <w:lang w:val="zh-CN"/>
              </w:rPr>
              <w:t>签名章或其他电子制版签名代替。</w:t>
            </w:r>
          </w:p>
          <w:p>
            <w:pPr>
              <w:pStyle w:val="19"/>
              <w:shd w:val="clear" w:color="auto" w:fill="auto"/>
              <w:tabs>
                <w:tab w:val="left" w:pos="1035"/>
              </w:tabs>
              <w:adjustRightInd w:val="0"/>
              <w:snapToGrid w:val="0"/>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6）投标人以联合体形式投标时，联合体满足招标文件的要求：投标人按照招标文件提供的格式签订了联合体协议书，明确各方承担连带责任，并明确了联合体牵头人；</w:t>
            </w:r>
          </w:p>
          <w:p>
            <w:pPr>
              <w:pStyle w:val="19"/>
              <w:shd w:val="clear" w:color="auto" w:fill="auto"/>
              <w:tabs>
                <w:tab w:val="left" w:pos="917"/>
              </w:tabs>
              <w:adjustRightInd w:val="0"/>
              <w:snapToGrid w:val="0"/>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7）</w:t>
            </w:r>
            <w:r>
              <w:rPr>
                <w:rStyle w:val="30"/>
                <w:rFonts w:hint="eastAsia" w:ascii="宋体" w:hAnsi="宋体" w:eastAsia="宋体" w:cs="宋体"/>
                <w:color w:val="auto"/>
                <w:kern w:val="2"/>
                <w:sz w:val="21"/>
                <w:szCs w:val="21"/>
                <w:highlight w:val="none"/>
                <w:lang w:val="zh-CN"/>
              </w:rPr>
              <w:t>如投标人不具备</w:t>
            </w:r>
            <w:r>
              <w:rPr>
                <w:rStyle w:val="30"/>
                <w:rFonts w:hint="eastAsia" w:ascii="宋体" w:hAnsi="宋体" w:eastAsia="宋体" w:cs="宋体"/>
                <w:color w:val="auto"/>
                <w:kern w:val="2"/>
                <w:sz w:val="21"/>
                <w:szCs w:val="21"/>
                <w:highlight w:val="none"/>
              </w:rPr>
              <w:t>拟分包工程所需的</w:t>
            </w:r>
            <w:r>
              <w:rPr>
                <w:rStyle w:val="30"/>
                <w:rFonts w:hint="eastAsia" w:ascii="宋体" w:hAnsi="宋体" w:eastAsia="宋体" w:cs="宋体"/>
                <w:color w:val="auto"/>
                <w:kern w:val="2"/>
                <w:sz w:val="21"/>
                <w:szCs w:val="21"/>
                <w:highlight w:val="none"/>
                <w:lang w:val="zh-CN"/>
              </w:rPr>
              <w:t>某专项工程相应资质</w:t>
            </w:r>
            <w:r>
              <w:rPr>
                <w:rStyle w:val="30"/>
                <w:rFonts w:hint="eastAsia" w:ascii="宋体" w:hAnsi="宋体" w:eastAsia="宋体" w:cs="宋体"/>
                <w:color w:val="auto"/>
                <w:kern w:val="2"/>
                <w:sz w:val="21"/>
                <w:szCs w:val="21"/>
                <w:highlight w:val="none"/>
              </w:rPr>
              <w:t>或</w:t>
            </w:r>
            <w:r>
              <w:rPr>
                <w:rStyle w:val="30"/>
                <w:rFonts w:hint="eastAsia" w:ascii="宋体" w:hAnsi="宋体" w:eastAsia="宋体"/>
                <w:color w:val="auto"/>
                <w:kern w:val="2"/>
                <w:sz w:val="21"/>
                <w:szCs w:val="21"/>
                <w:highlight w:val="none"/>
                <w:lang w:val="zh-CN"/>
              </w:rPr>
              <w:t>投标人如有分包计划，符合招标文件第二章“投标人须知”</w:t>
            </w:r>
            <w:r>
              <w:rPr>
                <w:rStyle w:val="30"/>
                <w:rFonts w:ascii="宋体" w:hAnsi="宋体" w:eastAsia="宋体"/>
                <w:color w:val="auto"/>
                <w:kern w:val="2"/>
                <w:sz w:val="21"/>
                <w:szCs w:val="21"/>
                <w:highlight w:val="none"/>
                <w:lang w:val="zh-CN"/>
              </w:rPr>
              <w:t xml:space="preserve"> </w:t>
            </w:r>
            <w:r>
              <w:rPr>
                <w:rStyle w:val="30"/>
                <w:rFonts w:hint="eastAsia" w:ascii="宋体" w:hAnsi="宋体" w:eastAsia="宋体"/>
                <w:color w:val="auto"/>
                <w:kern w:val="2"/>
                <w:sz w:val="21"/>
                <w:szCs w:val="21"/>
                <w:highlight w:val="none"/>
                <w:lang w:val="zh-CN"/>
              </w:rPr>
              <w:t>第</w:t>
            </w:r>
            <w:r>
              <w:rPr>
                <w:rStyle w:val="30"/>
                <w:rFonts w:ascii="宋体" w:hAnsi="宋体" w:eastAsia="宋体"/>
                <w:color w:val="auto"/>
                <w:kern w:val="2"/>
                <w:sz w:val="21"/>
                <w:szCs w:val="21"/>
                <w:highlight w:val="none"/>
                <w:lang w:val="zh-CN"/>
              </w:rPr>
              <w:t>1.11</w:t>
            </w:r>
            <w:r>
              <w:rPr>
                <w:rStyle w:val="30"/>
                <w:rFonts w:hint="eastAsia" w:ascii="宋体" w:hAnsi="宋体" w:eastAsia="宋体"/>
                <w:color w:val="auto"/>
                <w:kern w:val="2"/>
                <w:sz w:val="21"/>
                <w:szCs w:val="21"/>
                <w:highlight w:val="none"/>
                <w:lang w:val="zh-CN"/>
              </w:rPr>
              <w:t>款规定，且按招标文件第八章“投标文件格式”的要求填写了“拟分包项目情况表”。</w:t>
            </w:r>
          </w:p>
          <w:p>
            <w:pPr>
              <w:pStyle w:val="19"/>
              <w:shd w:val="clear" w:color="auto" w:fill="auto"/>
              <w:tabs>
                <w:tab w:val="left" w:pos="924"/>
              </w:tabs>
              <w:adjustRightInd w:val="0"/>
              <w:snapToGrid w:val="0"/>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8）同一投标人未提交两个以上不同的投标文件，但招标文件要求提交备选投标的除外。</w:t>
            </w:r>
          </w:p>
          <w:p>
            <w:pPr>
              <w:pStyle w:val="19"/>
              <w:shd w:val="clear" w:color="auto" w:fill="auto"/>
              <w:tabs>
                <w:tab w:val="left" w:pos="1141"/>
              </w:tabs>
              <w:adjustRightInd w:val="0"/>
              <w:snapToGrid w:val="0"/>
              <w:spacing w:before="0" w:line="240" w:lineRule="auto"/>
              <w:ind w:right="124" w:rightChars="59"/>
              <w:jc w:val="both"/>
              <w:rPr>
                <w:rStyle w:val="30"/>
                <w:rFonts w:ascii="宋体" w:hAnsi="宋体" w:eastAsia="宋体"/>
                <w:color w:val="auto"/>
                <w:spacing w:val="20"/>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9）投标文件中未出现有关投标报价的内容。</w:t>
            </w:r>
          </w:p>
        </w:tc>
      </w:tr>
    </w:tbl>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pStyle w:val="36"/>
        <w:shd w:val="clear" w:color="auto" w:fill="auto"/>
        <w:spacing w:line="360" w:lineRule="auto"/>
        <w:jc w:val="right"/>
        <w:rPr>
          <w:rFonts w:ascii="宋体" w:hAnsi="宋体" w:eastAsia="宋体"/>
          <w:color w:val="auto"/>
          <w:highlight w:val="none"/>
        </w:rPr>
      </w:pPr>
      <w:r>
        <w:rPr>
          <w:rStyle w:val="37"/>
          <w:rFonts w:ascii="宋体" w:hAnsi="宋体" w:eastAsia="宋体"/>
          <w:highlight w:val="none"/>
        </w:rPr>
        <w:br w:type="page"/>
      </w:r>
      <w:r>
        <w:rPr>
          <w:rStyle w:val="37"/>
          <w:rFonts w:hint="eastAsia" w:ascii="宋体" w:hAnsi="宋体" w:eastAsia="宋体"/>
          <w:highlight w:val="none"/>
        </w:rPr>
        <w:t>续上表</w:t>
      </w:r>
    </w:p>
    <w:tbl>
      <w:tblPr>
        <w:tblStyle w:val="12"/>
        <w:tblW w:w="9074" w:type="dxa"/>
        <w:tblInd w:w="0" w:type="dxa"/>
        <w:tblLayout w:type="fixed"/>
        <w:tblCellMar>
          <w:top w:w="0" w:type="dxa"/>
          <w:left w:w="0" w:type="dxa"/>
          <w:bottom w:w="0" w:type="dxa"/>
          <w:right w:w="0" w:type="dxa"/>
        </w:tblCellMar>
      </w:tblPr>
      <w:tblGrid>
        <w:gridCol w:w="838"/>
        <w:gridCol w:w="1116"/>
        <w:gridCol w:w="7120"/>
      </w:tblGrid>
      <w:tr>
        <w:tblPrEx>
          <w:tblCellMar>
            <w:top w:w="0" w:type="dxa"/>
            <w:left w:w="0" w:type="dxa"/>
            <w:bottom w:w="0" w:type="dxa"/>
            <w:right w:w="0" w:type="dxa"/>
          </w:tblCellMar>
        </w:tblPrEx>
        <w:trPr>
          <w:trHeight w:val="23" w:hRule="atLeast"/>
        </w:trPr>
        <w:tc>
          <w:tcPr>
            <w:tcW w:w="1954" w:type="dxa"/>
            <w:gridSpan w:val="2"/>
            <w:tcBorders>
              <w:top w:val="single" w:color="auto" w:sz="4" w:space="0"/>
              <w:left w:val="single" w:color="auto" w:sz="4" w:space="0"/>
              <w:bottom w:val="nil"/>
              <w:right w:val="nil"/>
            </w:tcBorders>
            <w:shd w:val="clear" w:color="auto" w:fill="FFFFFF"/>
            <w:vAlign w:val="bottom"/>
          </w:tcPr>
          <w:p>
            <w:pPr>
              <w:pStyle w:val="19"/>
              <w:shd w:val="clear" w:color="auto" w:fill="auto"/>
              <w:spacing w:before="0" w:line="360" w:lineRule="auto"/>
              <w:jc w:val="center"/>
              <w:rPr>
                <w:rFonts w:ascii="宋体" w:hAnsi="宋体" w:eastAsia="宋体" w:cs="MingLiU"/>
                <w:color w:val="auto"/>
                <w:kern w:val="2"/>
                <w:sz w:val="21"/>
                <w:szCs w:val="21"/>
                <w:highlight w:val="none"/>
              </w:rPr>
            </w:pPr>
            <w:r>
              <w:rPr>
                <w:rStyle w:val="38"/>
                <w:rFonts w:hint="eastAsia" w:ascii="宋体" w:hAnsi="宋体" w:eastAsia="宋体"/>
                <w:b w:val="0"/>
                <w:color w:val="auto"/>
                <w:kern w:val="2"/>
                <w:sz w:val="21"/>
                <w:szCs w:val="21"/>
                <w:highlight w:val="none"/>
                <w:lang w:val="zh-CN"/>
              </w:rPr>
              <w:t>条款号</w:t>
            </w:r>
          </w:p>
        </w:tc>
        <w:tc>
          <w:tcPr>
            <w:tcW w:w="7120" w:type="dxa"/>
            <w:tcBorders>
              <w:top w:val="single" w:color="auto" w:sz="4" w:space="0"/>
              <w:left w:val="single" w:color="auto" w:sz="4" w:space="0"/>
              <w:bottom w:val="nil"/>
              <w:right w:val="single" w:color="auto" w:sz="4" w:space="0"/>
            </w:tcBorders>
            <w:shd w:val="clear" w:color="auto" w:fill="FFFFFF"/>
            <w:vAlign w:val="bottom"/>
          </w:tcPr>
          <w:p>
            <w:pPr>
              <w:pStyle w:val="19"/>
              <w:shd w:val="clear" w:color="auto" w:fill="auto"/>
              <w:spacing w:before="0" w:line="360" w:lineRule="auto"/>
              <w:jc w:val="center"/>
              <w:rPr>
                <w:rFonts w:ascii="宋体" w:hAnsi="宋体" w:eastAsia="宋体" w:cs="MingLiU"/>
                <w:color w:val="auto"/>
                <w:kern w:val="2"/>
                <w:sz w:val="21"/>
                <w:szCs w:val="21"/>
                <w:highlight w:val="none"/>
              </w:rPr>
            </w:pPr>
            <w:r>
              <w:rPr>
                <w:rStyle w:val="38"/>
                <w:rFonts w:hint="eastAsia" w:ascii="宋体" w:hAnsi="宋体" w:eastAsia="宋体"/>
                <w:b w:val="0"/>
                <w:color w:val="auto"/>
                <w:kern w:val="2"/>
                <w:sz w:val="21"/>
                <w:szCs w:val="21"/>
                <w:highlight w:val="none"/>
                <w:lang w:val="zh-CN"/>
              </w:rPr>
              <w:t>评审因素与评审标准</w:t>
            </w:r>
          </w:p>
        </w:tc>
      </w:tr>
      <w:tr>
        <w:tblPrEx>
          <w:tblCellMar>
            <w:top w:w="0" w:type="dxa"/>
            <w:left w:w="0" w:type="dxa"/>
            <w:bottom w:w="0" w:type="dxa"/>
            <w:right w:w="0" w:type="dxa"/>
          </w:tblCellMar>
        </w:tblPrEx>
        <w:trPr>
          <w:trHeight w:val="23" w:hRule="atLeast"/>
        </w:trPr>
        <w:tc>
          <w:tcPr>
            <w:tcW w:w="838"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spacing w:before="0" w:line="360" w:lineRule="auto"/>
              <w:jc w:val="center"/>
              <w:rPr>
                <w:rFonts w:ascii="宋体" w:hAnsi="宋体" w:eastAsia="宋体" w:cs="MingLiU"/>
                <w:color w:val="auto"/>
                <w:kern w:val="2"/>
                <w:sz w:val="21"/>
                <w:szCs w:val="21"/>
                <w:highlight w:val="none"/>
              </w:rPr>
            </w:pPr>
            <w:r>
              <w:rPr>
                <w:rStyle w:val="39"/>
                <w:rFonts w:ascii="宋体" w:hAnsi="宋体" w:eastAsia="宋体"/>
                <w:color w:val="auto"/>
                <w:kern w:val="2"/>
                <w:sz w:val="21"/>
                <w:szCs w:val="21"/>
                <w:highlight w:val="none"/>
                <w:lang w:eastAsia="zh-CN"/>
              </w:rPr>
              <w:t>2</w:t>
            </w:r>
            <w:r>
              <w:rPr>
                <w:rStyle w:val="39"/>
                <w:rFonts w:ascii="宋体" w:hAnsi="宋体" w:eastAsia="宋体"/>
                <w:color w:val="auto"/>
                <w:kern w:val="2"/>
                <w:sz w:val="21"/>
                <w:szCs w:val="21"/>
                <w:highlight w:val="none"/>
              </w:rPr>
              <w:t>.1.1</w:t>
            </w:r>
          </w:p>
          <w:p>
            <w:pPr>
              <w:pStyle w:val="19"/>
              <w:shd w:val="clear" w:color="auto" w:fill="auto"/>
              <w:spacing w:before="0" w:line="360" w:lineRule="auto"/>
              <w:jc w:val="center"/>
              <w:rPr>
                <w:rFonts w:ascii="宋体" w:hAnsi="宋体" w:eastAsia="宋体" w:cs="MingLiU"/>
                <w:color w:val="auto"/>
                <w:kern w:val="2"/>
                <w:sz w:val="21"/>
                <w:szCs w:val="21"/>
                <w:highlight w:val="none"/>
              </w:rPr>
            </w:pPr>
            <w:r>
              <w:rPr>
                <w:rStyle w:val="38"/>
                <w:rFonts w:ascii="宋体" w:hAnsi="宋体" w:eastAsia="宋体"/>
                <w:b w:val="0"/>
                <w:color w:val="auto"/>
                <w:kern w:val="2"/>
                <w:sz w:val="21"/>
                <w:szCs w:val="21"/>
                <w:highlight w:val="none"/>
                <w:lang w:val="zh-CN"/>
              </w:rPr>
              <w:t>2.1.3</w:t>
            </w:r>
          </w:p>
        </w:tc>
        <w:tc>
          <w:tcPr>
            <w:tcW w:w="1116"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9"/>
                <w:rFonts w:hint="eastAsia" w:ascii="宋体" w:hAnsi="宋体" w:eastAsia="宋体"/>
                <w:color w:val="auto"/>
                <w:kern w:val="2"/>
                <w:sz w:val="21"/>
                <w:szCs w:val="21"/>
                <w:highlight w:val="none"/>
                <w:lang w:val="zh-CN"/>
              </w:rPr>
              <w:t>形式评审与响应性评审</w:t>
            </w:r>
            <w:r>
              <w:rPr>
                <w:rStyle w:val="29"/>
                <w:rFonts w:ascii="宋体" w:hAnsi="宋体" w:eastAsia="宋体"/>
                <w:color w:val="auto"/>
                <w:kern w:val="2"/>
                <w:sz w:val="21"/>
                <w:szCs w:val="21"/>
                <w:highlight w:val="none"/>
                <w:lang w:val="zh-CN"/>
              </w:rPr>
              <w:t xml:space="preserve"> </w:t>
            </w:r>
            <w:r>
              <w:rPr>
                <w:rStyle w:val="29"/>
                <w:rFonts w:hint="eastAsia" w:ascii="宋体" w:hAnsi="宋体" w:eastAsia="宋体"/>
                <w:color w:val="auto"/>
                <w:kern w:val="2"/>
                <w:sz w:val="21"/>
                <w:szCs w:val="21"/>
                <w:highlight w:val="none"/>
                <w:lang w:val="zh-CN"/>
              </w:rPr>
              <w:t>标准</w:t>
            </w:r>
          </w:p>
        </w:tc>
        <w:tc>
          <w:tcPr>
            <w:tcW w:w="71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hd w:val="clear" w:color="auto" w:fill="auto"/>
              <w:tabs>
                <w:tab w:val="left" w:pos="926"/>
              </w:tabs>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10）投标文件载明的招标项目完成期限未超过招标文件规定的时限。</w:t>
            </w:r>
          </w:p>
          <w:p>
            <w:pPr>
              <w:pStyle w:val="19"/>
              <w:shd w:val="clear" w:color="auto" w:fill="auto"/>
              <w:tabs>
                <w:tab w:val="left" w:pos="1143"/>
              </w:tabs>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11）投标文件对招标文件的实质性要求和条件作出响应。</w:t>
            </w:r>
          </w:p>
          <w:p>
            <w:pPr>
              <w:pStyle w:val="19"/>
              <w:shd w:val="clear" w:color="auto" w:fill="auto"/>
              <w:tabs>
                <w:tab w:val="left" w:pos="1138"/>
              </w:tabs>
              <w:spacing w:before="0" w:line="240" w:lineRule="auto"/>
              <w:ind w:right="124" w:rightChars="59"/>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w:t>
            </w:r>
            <w:r>
              <w:rPr>
                <w:rStyle w:val="30"/>
                <w:rFonts w:ascii="宋体" w:hAnsi="宋体" w:eastAsia="宋体"/>
                <w:color w:val="auto"/>
                <w:kern w:val="2"/>
                <w:sz w:val="21"/>
                <w:szCs w:val="21"/>
                <w:highlight w:val="none"/>
                <w:lang w:val="zh-CN"/>
              </w:rPr>
              <w:t>12）权利义务符合招标文件规定：</w:t>
            </w:r>
          </w:p>
          <w:p>
            <w:pPr>
              <w:pStyle w:val="19"/>
              <w:numPr>
                <w:ilvl w:val="0"/>
                <w:numId w:val="1"/>
              </w:numPr>
              <w:shd w:val="clear" w:color="auto" w:fill="auto"/>
              <w:tabs>
                <w:tab w:val="left" w:pos="530"/>
              </w:tabs>
              <w:spacing w:before="0" w:line="240" w:lineRule="auto"/>
              <w:ind w:right="124" w:rightChars="59" w:firstLine="500"/>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投标人应接受招标文件规定的风险划分原则，未提出新的风险划</w:t>
            </w:r>
            <w:r>
              <w:rPr>
                <w:rStyle w:val="40"/>
                <w:rFonts w:hint="eastAsia" w:ascii="宋体" w:hAnsi="宋体" w:eastAsia="宋体"/>
                <w:color w:val="auto"/>
                <w:kern w:val="2"/>
                <w:sz w:val="21"/>
                <w:szCs w:val="21"/>
                <w:highlight w:val="none"/>
                <w:lang w:val="zh-CN" w:eastAsia="zh-CN"/>
              </w:rPr>
              <w:t>分办法；</w:t>
            </w:r>
          </w:p>
          <w:p>
            <w:pPr>
              <w:pStyle w:val="19"/>
              <w:numPr>
                <w:ilvl w:val="0"/>
                <w:numId w:val="1"/>
              </w:numPr>
              <w:shd w:val="clear" w:color="auto" w:fill="auto"/>
              <w:tabs>
                <w:tab w:val="left" w:pos="666"/>
              </w:tabs>
              <w:spacing w:before="0" w:line="240" w:lineRule="auto"/>
              <w:ind w:right="124" w:rightChars="59" w:firstLine="500"/>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投标人未增加发包人的责任范围，或减少投标人义务；</w:t>
            </w:r>
          </w:p>
          <w:p>
            <w:pPr>
              <w:pStyle w:val="19"/>
              <w:shd w:val="clear" w:color="auto" w:fill="auto"/>
              <w:spacing w:before="0" w:line="240" w:lineRule="auto"/>
              <w:ind w:right="124" w:rightChars="59" w:firstLine="500"/>
              <w:jc w:val="both"/>
              <w:rPr>
                <w:rFonts w:ascii="宋体" w:hAnsi="宋体" w:eastAsia="宋体" w:cs="MingLiU"/>
                <w:color w:val="auto"/>
                <w:kern w:val="2"/>
                <w:sz w:val="21"/>
                <w:szCs w:val="21"/>
                <w:highlight w:val="none"/>
              </w:rPr>
            </w:pPr>
            <w:r>
              <w:rPr>
                <w:rStyle w:val="33"/>
                <w:rFonts w:hint="eastAsia" w:ascii="宋体" w:hAnsi="宋体" w:eastAsia="宋体"/>
                <w:color w:val="auto"/>
                <w:kern w:val="2"/>
                <w:sz w:val="21"/>
                <w:szCs w:val="21"/>
                <w:highlight w:val="none"/>
                <w:lang w:val="en-US" w:eastAsia="zh-CN"/>
              </w:rPr>
              <w:t>c</w:t>
            </w:r>
            <w:r>
              <w:rPr>
                <w:rStyle w:val="34"/>
                <w:rFonts w:ascii="宋体" w:hAnsi="宋体" w:eastAsia="宋体"/>
                <w:color w:val="auto"/>
                <w:kern w:val="2"/>
                <w:sz w:val="21"/>
                <w:szCs w:val="21"/>
                <w:highlight w:val="none"/>
              </w:rPr>
              <w:t>.</w:t>
            </w:r>
            <w:r>
              <w:rPr>
                <w:rStyle w:val="30"/>
                <w:rFonts w:hint="eastAsia" w:ascii="宋体" w:hAnsi="宋体" w:eastAsia="宋体"/>
                <w:color w:val="auto"/>
                <w:kern w:val="2"/>
                <w:sz w:val="21"/>
                <w:szCs w:val="21"/>
                <w:highlight w:val="none"/>
                <w:lang w:val="zh-CN"/>
              </w:rPr>
              <w:t>投标人未提出不同的工程验收、计量、支付办法；</w:t>
            </w:r>
          </w:p>
          <w:p>
            <w:pPr>
              <w:pStyle w:val="19"/>
              <w:numPr>
                <w:ilvl w:val="0"/>
                <w:numId w:val="2"/>
              </w:numPr>
              <w:shd w:val="clear" w:color="auto" w:fill="auto"/>
              <w:tabs>
                <w:tab w:val="left" w:pos="661"/>
              </w:tabs>
              <w:spacing w:before="0" w:line="240" w:lineRule="auto"/>
              <w:ind w:right="124" w:rightChars="59" w:firstLine="500"/>
              <w:jc w:val="both"/>
              <w:rPr>
                <w:rFonts w:ascii="宋体" w:hAnsi="宋体" w:eastAsia="宋体" w:cs="MingLiU"/>
                <w:color w:val="auto"/>
                <w:kern w:val="2"/>
                <w:sz w:val="21"/>
                <w:szCs w:val="21"/>
                <w:highlight w:val="none"/>
              </w:rPr>
            </w:pPr>
            <w:r>
              <w:rPr>
                <w:rStyle w:val="30"/>
                <w:rFonts w:hint="eastAsia" w:ascii="宋体" w:hAnsi="宋体" w:eastAsia="宋体"/>
                <w:color w:val="auto"/>
                <w:kern w:val="2"/>
                <w:sz w:val="21"/>
                <w:szCs w:val="21"/>
                <w:highlight w:val="none"/>
                <w:lang w:val="zh-CN"/>
              </w:rPr>
              <w:t>投标人对合同纠纷、事故处理办法未提出异议；</w:t>
            </w:r>
          </w:p>
          <w:p>
            <w:pPr>
              <w:pStyle w:val="19"/>
              <w:numPr>
                <w:ilvl w:val="0"/>
                <w:numId w:val="2"/>
              </w:numPr>
              <w:shd w:val="clear" w:color="auto" w:fill="auto"/>
              <w:tabs>
                <w:tab w:val="left" w:pos="651"/>
              </w:tabs>
              <w:spacing w:before="0" w:line="240" w:lineRule="auto"/>
              <w:ind w:right="124" w:rightChars="59" w:firstLine="500"/>
              <w:jc w:val="both"/>
              <w:rPr>
                <w:rStyle w:val="30"/>
                <w:rFonts w:ascii="宋体" w:hAnsi="宋体" w:eastAsia="宋体"/>
                <w:color w:val="auto"/>
                <w:kern w:val="2"/>
                <w:sz w:val="21"/>
                <w:szCs w:val="21"/>
                <w:highlight w:val="none"/>
                <w:lang w:val="zh-CN"/>
              </w:rPr>
            </w:pPr>
            <w:r>
              <w:rPr>
                <w:rStyle w:val="30"/>
                <w:rFonts w:hint="eastAsia" w:ascii="宋体" w:hAnsi="宋体" w:eastAsia="宋体"/>
                <w:color w:val="auto"/>
                <w:kern w:val="2"/>
                <w:sz w:val="21"/>
                <w:szCs w:val="21"/>
                <w:highlight w:val="none"/>
                <w:lang w:val="zh-CN"/>
              </w:rPr>
              <w:t>投标人在投标活动中无欺诈行为；</w:t>
            </w:r>
          </w:p>
          <w:p>
            <w:pPr>
              <w:pStyle w:val="19"/>
              <w:numPr>
                <w:ilvl w:val="0"/>
                <w:numId w:val="2"/>
              </w:numPr>
              <w:shd w:val="clear" w:color="auto" w:fill="auto"/>
              <w:tabs>
                <w:tab w:val="left" w:pos="651"/>
              </w:tabs>
              <w:spacing w:before="0" w:line="240" w:lineRule="auto"/>
              <w:ind w:right="124" w:rightChars="59" w:firstLine="500"/>
              <w:jc w:val="both"/>
              <w:rPr>
                <w:rStyle w:val="30"/>
                <w:rFonts w:ascii="宋体" w:hAnsi="宋体" w:eastAsia="宋体"/>
                <w:color w:val="auto"/>
                <w:kern w:val="2"/>
                <w:sz w:val="21"/>
                <w:szCs w:val="21"/>
                <w:highlight w:val="none"/>
                <w:lang w:val="zh-CN"/>
              </w:rPr>
            </w:pPr>
            <w:r>
              <w:rPr>
                <w:rStyle w:val="30"/>
                <w:rFonts w:hint="eastAsia" w:ascii="宋体" w:hAnsi="宋体" w:eastAsia="宋体"/>
                <w:color w:val="auto"/>
                <w:kern w:val="2"/>
                <w:sz w:val="21"/>
                <w:szCs w:val="21"/>
                <w:highlight w:val="none"/>
                <w:lang w:val="zh-CN"/>
              </w:rPr>
              <w:t>投标人未对合同条款有重要保留。</w:t>
            </w:r>
          </w:p>
          <w:p>
            <w:pPr>
              <w:pStyle w:val="41"/>
              <w:shd w:val="clear" w:color="auto" w:fill="auto"/>
              <w:spacing w:before="0" w:line="240" w:lineRule="auto"/>
              <w:rPr>
                <w:rFonts w:ascii="宋体" w:hAnsi="宋体" w:eastAsia="宋体" w:cs="MingLiU"/>
                <w:color w:val="auto"/>
                <w:kern w:val="2"/>
                <w:sz w:val="21"/>
                <w:szCs w:val="21"/>
                <w:highlight w:val="none"/>
              </w:rPr>
            </w:pPr>
            <w:r>
              <w:rPr>
                <w:rStyle w:val="42"/>
                <w:rFonts w:hint="eastAsia" w:ascii="宋体" w:hAnsi="宋体" w:eastAsia="宋体"/>
                <w:kern w:val="2"/>
                <w:sz w:val="21"/>
                <w:szCs w:val="21"/>
                <w:highlight w:val="none"/>
              </w:rPr>
              <w:t>（</w:t>
            </w:r>
            <w:r>
              <w:rPr>
                <w:rStyle w:val="42"/>
                <w:rFonts w:ascii="宋体" w:hAnsi="宋体" w:eastAsia="宋体"/>
                <w:kern w:val="2"/>
                <w:sz w:val="21"/>
                <w:szCs w:val="21"/>
                <w:highlight w:val="none"/>
              </w:rPr>
              <w:t>13）</w:t>
            </w:r>
            <w:r>
              <w:rPr>
                <w:rStyle w:val="42"/>
                <w:rFonts w:hint="eastAsia" w:ascii="宋体" w:hAnsi="宋体" w:eastAsia="宋体"/>
                <w:kern w:val="2"/>
                <w:sz w:val="21"/>
                <w:szCs w:val="21"/>
                <w:highlight w:val="none"/>
                <w:lang w:val="zh-CN"/>
              </w:rPr>
              <w:t>投标文件正、副本份数符合招标文件第二章“投标人须知</w:t>
            </w:r>
            <w:r>
              <w:rPr>
                <w:rStyle w:val="42"/>
                <w:rFonts w:ascii="宋体" w:hAnsi="宋体" w:eastAsia="宋体"/>
                <w:kern w:val="2"/>
                <w:sz w:val="21"/>
                <w:szCs w:val="21"/>
                <w:highlight w:val="none"/>
                <w:lang w:val="zh-CN"/>
              </w:rPr>
              <w:t xml:space="preserve"> </w:t>
            </w:r>
            <w:r>
              <w:rPr>
                <w:rStyle w:val="42"/>
                <w:rFonts w:hint="eastAsia" w:ascii="宋体" w:hAnsi="宋体" w:eastAsia="宋体"/>
                <w:kern w:val="2"/>
                <w:sz w:val="21"/>
                <w:szCs w:val="21"/>
                <w:highlight w:val="none"/>
                <w:lang w:val="zh-CN"/>
              </w:rPr>
              <w:t>第</w:t>
            </w:r>
            <w:r>
              <w:rPr>
                <w:rStyle w:val="42"/>
                <w:rFonts w:ascii="宋体" w:hAnsi="宋体" w:eastAsia="宋体"/>
                <w:kern w:val="2"/>
                <w:sz w:val="21"/>
                <w:szCs w:val="21"/>
                <w:highlight w:val="none"/>
              </w:rPr>
              <w:t>3.7.4</w:t>
            </w:r>
            <w:r>
              <w:rPr>
                <w:rStyle w:val="42"/>
                <w:rFonts w:hint="eastAsia" w:ascii="宋体" w:hAnsi="宋体" w:eastAsia="宋体"/>
                <w:kern w:val="2"/>
                <w:sz w:val="21"/>
                <w:szCs w:val="21"/>
                <w:highlight w:val="none"/>
                <w:lang w:val="zh-CN"/>
              </w:rPr>
              <w:t>项规定。</w:t>
            </w:r>
          </w:p>
          <w:p>
            <w:pPr>
              <w:pStyle w:val="41"/>
              <w:shd w:val="clear" w:color="auto" w:fill="auto"/>
              <w:spacing w:before="0" w:line="24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w:t>
            </w:r>
            <w:r>
              <w:rPr>
                <w:rFonts w:ascii="宋体" w:hAnsi="宋体" w:eastAsia="宋体"/>
                <w:color w:val="auto"/>
                <w:kern w:val="2"/>
                <w:sz w:val="21"/>
                <w:szCs w:val="21"/>
                <w:highlight w:val="none"/>
              </w:rPr>
              <w:t>14）投标文件</w:t>
            </w:r>
            <w:r>
              <w:rPr>
                <w:rFonts w:hint="eastAsia" w:ascii="宋体" w:hAnsi="宋体" w:eastAsia="宋体"/>
                <w:color w:val="auto"/>
                <w:kern w:val="2"/>
                <w:sz w:val="21"/>
                <w:szCs w:val="21"/>
                <w:highlight w:val="none"/>
              </w:rPr>
              <w:t>未</w:t>
            </w:r>
            <w:r>
              <w:rPr>
                <w:rFonts w:ascii="宋体" w:hAnsi="宋体" w:eastAsia="宋体"/>
                <w:color w:val="auto"/>
                <w:kern w:val="2"/>
                <w:sz w:val="21"/>
                <w:szCs w:val="21"/>
                <w:highlight w:val="none"/>
              </w:rPr>
              <w:t>附有招标人不能接受的条件。</w:t>
            </w:r>
          </w:p>
          <w:p>
            <w:pPr>
              <w:pStyle w:val="43"/>
              <w:shd w:val="clear" w:color="auto" w:fill="auto"/>
              <w:spacing w:line="240" w:lineRule="auto"/>
              <w:jc w:val="left"/>
              <w:rPr>
                <w:rFonts w:ascii="宋体" w:hAnsi="宋体" w:eastAsia="宋体" w:cs="MingLiU"/>
                <w:color w:val="auto"/>
                <w:sz w:val="21"/>
                <w:szCs w:val="21"/>
                <w:highlight w:val="none"/>
              </w:rPr>
            </w:pPr>
            <w:r>
              <w:rPr>
                <w:rStyle w:val="44"/>
                <w:rFonts w:hint="eastAsia" w:ascii="宋体" w:hAnsi="宋体" w:eastAsia="宋体"/>
                <w:color w:val="auto"/>
                <w:sz w:val="21"/>
                <w:szCs w:val="21"/>
                <w:highlight w:val="none"/>
                <w:lang w:val="zh-CN"/>
              </w:rPr>
              <w:t>第二个信封（报价文件）评审标准：</w:t>
            </w:r>
          </w:p>
          <w:p>
            <w:pPr>
              <w:pStyle w:val="41"/>
              <w:shd w:val="clear" w:color="auto" w:fill="auto"/>
              <w:spacing w:before="0" w:line="240" w:lineRule="auto"/>
              <w:rPr>
                <w:rFonts w:ascii="宋体" w:hAnsi="宋体" w:eastAsia="宋体" w:cs="MingLiU"/>
                <w:color w:val="auto"/>
                <w:kern w:val="2"/>
                <w:sz w:val="21"/>
                <w:szCs w:val="21"/>
                <w:highlight w:val="none"/>
              </w:rPr>
            </w:pPr>
            <w:r>
              <w:rPr>
                <w:rStyle w:val="42"/>
                <w:rFonts w:ascii="宋体" w:hAnsi="宋体" w:eastAsia="宋体"/>
                <w:kern w:val="2"/>
                <w:sz w:val="21"/>
                <w:szCs w:val="21"/>
                <w:highlight w:val="none"/>
              </w:rPr>
              <w:t>(1)</w:t>
            </w:r>
            <w:r>
              <w:rPr>
                <w:rStyle w:val="42"/>
                <w:rFonts w:hint="eastAsia" w:ascii="宋体" w:hAnsi="宋体" w:eastAsia="宋体"/>
                <w:kern w:val="2"/>
                <w:sz w:val="21"/>
                <w:szCs w:val="21"/>
                <w:highlight w:val="none"/>
                <w:lang w:val="zh-CN"/>
              </w:rPr>
              <w:t>投标文件按照招标文件规定的格式、内容填写，字迹清晰可</w:t>
            </w:r>
            <w:r>
              <w:rPr>
                <w:rStyle w:val="30"/>
                <w:rFonts w:hint="eastAsia" w:ascii="宋体" w:hAnsi="宋体" w:eastAsia="宋体"/>
                <w:color w:val="auto"/>
                <w:kern w:val="2"/>
                <w:sz w:val="21"/>
                <w:szCs w:val="21"/>
                <w:highlight w:val="none"/>
                <w:lang w:val="zh-CN"/>
              </w:rPr>
              <w:t>辨：</w:t>
            </w:r>
          </w:p>
          <w:p>
            <w:pPr>
              <w:pStyle w:val="41"/>
              <w:shd w:val="clear" w:color="auto" w:fill="auto"/>
              <w:tabs>
                <w:tab w:val="left" w:pos="566"/>
              </w:tabs>
              <w:spacing w:before="0" w:line="240" w:lineRule="auto"/>
              <w:ind w:firstLine="315" w:firstLineChars="150"/>
              <w:rPr>
                <w:rFonts w:ascii="宋体" w:hAnsi="宋体" w:eastAsia="宋体" w:cs="MingLiU"/>
                <w:color w:val="auto"/>
                <w:kern w:val="2"/>
                <w:sz w:val="21"/>
                <w:szCs w:val="21"/>
                <w:highlight w:val="none"/>
              </w:rPr>
            </w:pPr>
            <w:r>
              <w:rPr>
                <w:rStyle w:val="42"/>
                <w:rFonts w:ascii="宋体" w:hAnsi="宋体" w:eastAsia="宋体"/>
                <w:kern w:val="2"/>
                <w:sz w:val="21"/>
                <w:szCs w:val="21"/>
                <w:highlight w:val="none"/>
                <w:lang w:val="zh-CN"/>
              </w:rPr>
              <w:t>a.投标函按招标文件规定填报了项目名称、标段号、补遗书编号（如有)</w:t>
            </w:r>
            <w:r>
              <w:rPr>
                <w:rStyle w:val="42"/>
                <w:rFonts w:hint="eastAsia" w:ascii="宋体" w:hAnsi="宋体" w:eastAsia="宋体"/>
                <w:kern w:val="2"/>
                <w:sz w:val="21"/>
                <w:szCs w:val="21"/>
                <w:highlight w:val="none"/>
                <w:lang w:val="zh-CN"/>
              </w:rPr>
              <w:t>、投标总报价（包括大写金额和小写金额</w:t>
            </w:r>
            <w:r>
              <w:rPr>
                <w:rStyle w:val="42"/>
                <w:rFonts w:ascii="宋体" w:hAnsi="宋体" w:eastAsia="宋体"/>
                <w:kern w:val="2"/>
                <w:sz w:val="21"/>
                <w:szCs w:val="21"/>
                <w:highlight w:val="none"/>
              </w:rPr>
              <w:t>)</w:t>
            </w:r>
            <w:r>
              <w:rPr>
                <w:rStyle w:val="42"/>
                <w:rFonts w:hint="eastAsia" w:ascii="宋体" w:hAnsi="宋体" w:eastAsia="宋体"/>
                <w:kern w:val="2"/>
                <w:sz w:val="21"/>
                <w:szCs w:val="21"/>
                <w:highlight w:val="none"/>
              </w:rPr>
              <w:t>；</w:t>
            </w:r>
          </w:p>
          <w:p>
            <w:pPr>
              <w:pStyle w:val="41"/>
              <w:shd w:val="clear" w:color="auto" w:fill="auto"/>
              <w:tabs>
                <w:tab w:val="left" w:pos="602"/>
              </w:tabs>
              <w:spacing w:before="0" w:line="240" w:lineRule="auto"/>
              <w:ind w:firstLine="315" w:firstLineChars="150"/>
              <w:rPr>
                <w:rFonts w:ascii="宋体" w:hAnsi="宋体" w:eastAsia="宋体" w:cs="MingLiU"/>
                <w:color w:val="auto"/>
                <w:kern w:val="2"/>
                <w:sz w:val="21"/>
                <w:szCs w:val="21"/>
                <w:highlight w:val="none"/>
              </w:rPr>
            </w:pPr>
            <w:r>
              <w:rPr>
                <w:rStyle w:val="42"/>
                <w:rFonts w:ascii="宋体" w:hAnsi="宋体" w:eastAsia="宋体"/>
                <w:kern w:val="2"/>
                <w:sz w:val="21"/>
                <w:szCs w:val="21"/>
                <w:highlight w:val="none"/>
                <w:lang w:val="zh-CN"/>
              </w:rPr>
              <w:t>b.已标价工程量清单说明文字与招标文件规定一致，未进行实质性修改和删减；</w:t>
            </w:r>
          </w:p>
          <w:p>
            <w:pPr>
              <w:pStyle w:val="41"/>
              <w:shd w:val="clear" w:color="auto" w:fill="auto"/>
              <w:tabs>
                <w:tab w:val="left" w:pos="589"/>
              </w:tabs>
              <w:spacing w:before="0" w:line="240" w:lineRule="auto"/>
              <w:ind w:firstLine="315" w:firstLineChars="150"/>
              <w:rPr>
                <w:rFonts w:ascii="宋体" w:hAnsi="宋体" w:eastAsia="宋体" w:cs="MingLiU"/>
                <w:color w:val="auto"/>
                <w:kern w:val="2"/>
                <w:sz w:val="21"/>
                <w:szCs w:val="21"/>
                <w:highlight w:val="none"/>
              </w:rPr>
            </w:pPr>
            <w:r>
              <w:rPr>
                <w:rStyle w:val="42"/>
                <w:rFonts w:ascii="宋体" w:hAnsi="宋体" w:eastAsia="宋体"/>
                <w:kern w:val="2"/>
                <w:sz w:val="21"/>
                <w:szCs w:val="21"/>
                <w:highlight w:val="none"/>
                <w:lang w:val="zh-CN"/>
              </w:rPr>
              <w:t>c.投标文件组成齐全完整，内容均按规定填写。</w:t>
            </w:r>
          </w:p>
          <w:p>
            <w:pPr>
              <w:pStyle w:val="41"/>
              <w:shd w:val="clear" w:color="auto" w:fill="auto"/>
              <w:tabs>
                <w:tab w:val="left" w:pos="950"/>
              </w:tabs>
              <w:spacing w:before="0" w:line="240" w:lineRule="auto"/>
              <w:rPr>
                <w:rFonts w:ascii="宋体" w:hAnsi="宋体" w:eastAsia="宋体" w:cs="MingLiU"/>
                <w:color w:val="auto"/>
                <w:kern w:val="2"/>
                <w:sz w:val="21"/>
                <w:szCs w:val="21"/>
                <w:highlight w:val="none"/>
              </w:rPr>
            </w:pPr>
            <w:r>
              <w:rPr>
                <w:rStyle w:val="42"/>
                <w:rFonts w:hint="eastAsia" w:ascii="宋体" w:hAnsi="宋体" w:eastAsia="宋体"/>
                <w:kern w:val="2"/>
                <w:sz w:val="21"/>
                <w:szCs w:val="21"/>
                <w:highlight w:val="none"/>
                <w:lang w:val="zh-CN"/>
              </w:rPr>
              <w:t>（</w:t>
            </w:r>
            <w:r>
              <w:rPr>
                <w:rStyle w:val="42"/>
                <w:rFonts w:ascii="宋体" w:hAnsi="宋体" w:eastAsia="宋体"/>
                <w:kern w:val="2"/>
                <w:sz w:val="21"/>
                <w:szCs w:val="21"/>
                <w:highlight w:val="none"/>
                <w:lang w:val="zh-CN"/>
              </w:rPr>
              <w:t>2）投标文件上法定代表人或其委托代理人的签字、投标人的单位章盖章齐全，符合招标文件规定。</w:t>
            </w:r>
          </w:p>
          <w:p>
            <w:pPr>
              <w:pStyle w:val="41"/>
              <w:shd w:val="clear" w:color="auto" w:fill="auto"/>
              <w:tabs>
                <w:tab w:val="left" w:pos="934"/>
              </w:tabs>
              <w:spacing w:before="0" w:line="240" w:lineRule="auto"/>
              <w:rPr>
                <w:rFonts w:ascii="宋体" w:hAnsi="宋体" w:eastAsia="宋体" w:cs="MingLiU"/>
                <w:color w:val="auto"/>
                <w:kern w:val="2"/>
                <w:sz w:val="21"/>
                <w:szCs w:val="21"/>
                <w:highlight w:val="none"/>
              </w:rPr>
            </w:pPr>
            <w:r>
              <w:rPr>
                <w:rStyle w:val="42"/>
                <w:rFonts w:hint="eastAsia" w:ascii="宋体" w:hAnsi="宋体" w:eastAsia="宋体"/>
                <w:kern w:val="2"/>
                <w:sz w:val="21"/>
                <w:szCs w:val="21"/>
                <w:highlight w:val="none"/>
              </w:rPr>
              <w:t>（</w:t>
            </w:r>
            <w:r>
              <w:rPr>
                <w:rStyle w:val="42"/>
                <w:rFonts w:ascii="宋体" w:hAnsi="宋体" w:eastAsia="宋体"/>
                <w:kern w:val="2"/>
                <w:sz w:val="21"/>
                <w:szCs w:val="21"/>
                <w:highlight w:val="none"/>
              </w:rPr>
              <w:t>3）</w:t>
            </w:r>
            <w:r>
              <w:rPr>
                <w:rStyle w:val="42"/>
                <w:rFonts w:hint="eastAsia" w:ascii="宋体" w:hAnsi="宋体" w:eastAsia="宋体"/>
                <w:kern w:val="2"/>
                <w:sz w:val="21"/>
                <w:szCs w:val="21"/>
                <w:highlight w:val="none"/>
                <w:lang w:val="zh-CN"/>
              </w:rPr>
              <w:t>投标报价或调价函中的报价未超过招标文件设定的最高投标限价（如有</w:t>
            </w:r>
            <w:r>
              <w:rPr>
                <w:rStyle w:val="42"/>
                <w:rFonts w:ascii="宋体" w:hAnsi="宋体" w:eastAsia="宋体"/>
                <w:kern w:val="2"/>
                <w:sz w:val="21"/>
                <w:szCs w:val="21"/>
                <w:highlight w:val="none"/>
                <w:lang w:val="zh-CN"/>
              </w:rPr>
              <w:t>)</w:t>
            </w:r>
            <w:r>
              <w:rPr>
                <w:rStyle w:val="42"/>
                <w:rFonts w:hint="eastAsia" w:ascii="宋体" w:hAnsi="宋体" w:eastAsia="宋体"/>
                <w:kern w:val="2"/>
                <w:sz w:val="21"/>
                <w:szCs w:val="21"/>
                <w:highlight w:val="none"/>
                <w:lang w:val="zh-CN"/>
              </w:rPr>
              <w:t>。</w:t>
            </w:r>
          </w:p>
          <w:p>
            <w:pPr>
              <w:pStyle w:val="41"/>
              <w:shd w:val="clear" w:color="auto" w:fill="auto"/>
              <w:tabs>
                <w:tab w:val="left" w:pos="978"/>
              </w:tabs>
              <w:spacing w:before="0" w:line="240" w:lineRule="auto"/>
              <w:rPr>
                <w:rFonts w:ascii="宋体" w:hAnsi="宋体" w:eastAsia="宋体" w:cs="MingLiU"/>
                <w:color w:val="auto"/>
                <w:kern w:val="2"/>
                <w:sz w:val="21"/>
                <w:szCs w:val="21"/>
                <w:highlight w:val="none"/>
              </w:rPr>
            </w:pPr>
            <w:r>
              <w:rPr>
                <w:rStyle w:val="42"/>
                <w:rFonts w:hint="eastAsia" w:ascii="宋体" w:hAnsi="宋体" w:eastAsia="宋体"/>
                <w:kern w:val="2"/>
                <w:sz w:val="21"/>
                <w:szCs w:val="21"/>
                <w:highlight w:val="none"/>
              </w:rPr>
              <w:t>（</w:t>
            </w:r>
            <w:r>
              <w:rPr>
                <w:rStyle w:val="42"/>
                <w:rFonts w:ascii="宋体" w:hAnsi="宋体" w:eastAsia="宋体"/>
                <w:kern w:val="2"/>
                <w:sz w:val="21"/>
                <w:szCs w:val="21"/>
                <w:highlight w:val="none"/>
              </w:rPr>
              <w:t>4）</w:t>
            </w:r>
            <w:r>
              <w:rPr>
                <w:rStyle w:val="42"/>
                <w:rFonts w:hint="eastAsia" w:ascii="宋体" w:hAnsi="宋体" w:eastAsia="宋体"/>
                <w:kern w:val="2"/>
                <w:sz w:val="21"/>
                <w:szCs w:val="21"/>
                <w:highlight w:val="none"/>
                <w:lang w:val="zh-CN"/>
              </w:rPr>
              <w:t>投标报价或调价函中报价的大写金额能够确定具体数值。</w:t>
            </w:r>
          </w:p>
          <w:p>
            <w:pPr>
              <w:pStyle w:val="41"/>
              <w:shd w:val="clear" w:color="auto" w:fill="auto"/>
              <w:tabs>
                <w:tab w:val="left" w:pos="965"/>
              </w:tabs>
              <w:spacing w:before="0" w:line="240" w:lineRule="auto"/>
              <w:rPr>
                <w:rFonts w:ascii="宋体" w:hAnsi="宋体" w:eastAsia="宋体" w:cs="MingLiU"/>
                <w:color w:val="auto"/>
                <w:kern w:val="2"/>
                <w:sz w:val="21"/>
                <w:szCs w:val="21"/>
                <w:highlight w:val="none"/>
              </w:rPr>
            </w:pPr>
            <w:r>
              <w:rPr>
                <w:rStyle w:val="42"/>
                <w:rFonts w:hint="eastAsia" w:ascii="宋体" w:hAnsi="宋体" w:eastAsia="宋体"/>
                <w:kern w:val="2"/>
                <w:sz w:val="21"/>
                <w:szCs w:val="21"/>
                <w:highlight w:val="none"/>
              </w:rPr>
              <w:t>（</w:t>
            </w:r>
            <w:r>
              <w:rPr>
                <w:rStyle w:val="42"/>
                <w:rFonts w:ascii="宋体" w:hAnsi="宋体" w:eastAsia="宋体"/>
                <w:kern w:val="2"/>
                <w:sz w:val="21"/>
                <w:szCs w:val="21"/>
                <w:highlight w:val="none"/>
              </w:rPr>
              <w:t>5）</w:t>
            </w:r>
            <w:r>
              <w:rPr>
                <w:rStyle w:val="42"/>
                <w:rFonts w:hint="eastAsia" w:ascii="宋体" w:hAnsi="宋体" w:eastAsia="宋体"/>
                <w:kern w:val="2"/>
                <w:sz w:val="21"/>
                <w:szCs w:val="21"/>
                <w:highlight w:val="none"/>
                <w:lang w:val="zh-CN"/>
              </w:rPr>
              <w:t>同一投标人未提交两个以上不同的投标</w:t>
            </w:r>
            <w:r>
              <w:rPr>
                <w:rStyle w:val="42"/>
                <w:rFonts w:hint="eastAsia" w:ascii="宋体" w:hAnsi="宋体" w:eastAsia="宋体"/>
                <w:kern w:val="2"/>
                <w:sz w:val="21"/>
                <w:szCs w:val="21"/>
                <w:highlight w:val="none"/>
              </w:rPr>
              <w:t>总</w:t>
            </w:r>
            <w:r>
              <w:rPr>
                <w:rStyle w:val="42"/>
                <w:rFonts w:hint="eastAsia" w:ascii="宋体" w:hAnsi="宋体" w:eastAsia="宋体"/>
                <w:kern w:val="2"/>
                <w:sz w:val="21"/>
                <w:szCs w:val="21"/>
                <w:highlight w:val="none"/>
                <w:lang w:val="zh-CN"/>
              </w:rPr>
              <w:t>报价，但招标文件要求提交备选投标的除外。</w:t>
            </w:r>
          </w:p>
          <w:p>
            <w:pPr>
              <w:pStyle w:val="41"/>
              <w:shd w:val="clear" w:color="auto" w:fill="auto"/>
              <w:tabs>
                <w:tab w:val="left" w:pos="946"/>
              </w:tabs>
              <w:spacing w:before="0" w:line="240" w:lineRule="auto"/>
              <w:rPr>
                <w:rFonts w:ascii="宋体" w:hAnsi="宋体" w:eastAsia="宋体" w:cs="MingLiU"/>
                <w:color w:val="auto"/>
                <w:kern w:val="2"/>
                <w:sz w:val="21"/>
                <w:szCs w:val="21"/>
                <w:highlight w:val="none"/>
              </w:rPr>
            </w:pPr>
            <w:r>
              <w:rPr>
                <w:rStyle w:val="42"/>
                <w:rFonts w:hint="eastAsia" w:ascii="宋体" w:hAnsi="宋体" w:eastAsia="宋体"/>
                <w:kern w:val="2"/>
                <w:sz w:val="21"/>
                <w:szCs w:val="21"/>
                <w:highlight w:val="none"/>
              </w:rPr>
              <w:t>（</w:t>
            </w:r>
            <w:r>
              <w:rPr>
                <w:rStyle w:val="42"/>
                <w:rFonts w:ascii="宋体" w:hAnsi="宋体" w:eastAsia="宋体"/>
                <w:kern w:val="2"/>
                <w:sz w:val="21"/>
                <w:szCs w:val="21"/>
                <w:highlight w:val="none"/>
              </w:rPr>
              <w:t>6）</w:t>
            </w:r>
            <w:r>
              <w:rPr>
                <w:rStyle w:val="42"/>
                <w:rFonts w:hint="eastAsia" w:ascii="宋体" w:hAnsi="宋体" w:eastAsia="宋体"/>
                <w:kern w:val="2"/>
                <w:sz w:val="21"/>
                <w:szCs w:val="21"/>
                <w:highlight w:val="none"/>
                <w:lang w:val="zh-CN"/>
              </w:rPr>
              <w:t>投标人若提交调价函，调价函符合招标文件第二章“投标人</w:t>
            </w:r>
            <w:r>
              <w:rPr>
                <w:rStyle w:val="42"/>
                <w:rFonts w:ascii="宋体" w:hAnsi="宋体" w:eastAsia="宋体"/>
                <w:kern w:val="2"/>
                <w:sz w:val="21"/>
                <w:szCs w:val="21"/>
                <w:highlight w:val="none"/>
                <w:lang w:val="zh-CN"/>
              </w:rPr>
              <w:t xml:space="preserve"> </w:t>
            </w:r>
            <w:r>
              <w:rPr>
                <w:rStyle w:val="42"/>
                <w:rFonts w:hint="eastAsia" w:ascii="宋体" w:hAnsi="宋体" w:eastAsia="宋体"/>
                <w:kern w:val="2"/>
                <w:sz w:val="21"/>
                <w:szCs w:val="21"/>
                <w:highlight w:val="none"/>
                <w:lang w:val="zh-CN"/>
              </w:rPr>
              <w:t>须知”第</w:t>
            </w:r>
            <w:r>
              <w:rPr>
                <w:rStyle w:val="42"/>
                <w:rFonts w:ascii="宋体" w:hAnsi="宋体" w:eastAsia="宋体"/>
                <w:kern w:val="2"/>
                <w:sz w:val="21"/>
                <w:szCs w:val="21"/>
                <w:highlight w:val="none"/>
              </w:rPr>
              <w:t>3.2.6</w:t>
            </w:r>
            <w:r>
              <w:rPr>
                <w:rStyle w:val="42"/>
                <w:rFonts w:hint="eastAsia" w:ascii="宋体" w:hAnsi="宋体" w:eastAsia="宋体"/>
                <w:kern w:val="2"/>
                <w:sz w:val="21"/>
                <w:szCs w:val="21"/>
                <w:highlight w:val="none"/>
                <w:lang w:val="zh-CN"/>
              </w:rPr>
              <w:t>项要求。</w:t>
            </w:r>
          </w:p>
          <w:p>
            <w:pPr>
              <w:pStyle w:val="41"/>
              <w:shd w:val="clear" w:color="auto" w:fill="auto"/>
              <w:tabs>
                <w:tab w:val="left" w:pos="950"/>
              </w:tabs>
              <w:spacing w:before="0" w:line="240" w:lineRule="auto"/>
              <w:rPr>
                <w:rFonts w:ascii="宋体" w:hAnsi="宋体" w:eastAsia="宋体" w:cs="MingLiU"/>
                <w:color w:val="auto"/>
                <w:kern w:val="2"/>
                <w:sz w:val="21"/>
                <w:szCs w:val="21"/>
                <w:highlight w:val="none"/>
              </w:rPr>
            </w:pPr>
            <w:r>
              <w:rPr>
                <w:rStyle w:val="42"/>
                <w:rFonts w:hint="eastAsia" w:ascii="宋体" w:hAnsi="宋体" w:eastAsia="宋体"/>
                <w:kern w:val="2"/>
                <w:sz w:val="21"/>
                <w:szCs w:val="21"/>
                <w:highlight w:val="none"/>
              </w:rPr>
              <w:t>（</w:t>
            </w:r>
            <w:r>
              <w:rPr>
                <w:rStyle w:val="42"/>
                <w:rFonts w:ascii="宋体" w:hAnsi="宋体" w:eastAsia="宋体"/>
                <w:kern w:val="2"/>
                <w:sz w:val="21"/>
                <w:szCs w:val="21"/>
                <w:highlight w:val="none"/>
              </w:rPr>
              <w:t>7）</w:t>
            </w:r>
            <w:r>
              <w:rPr>
                <w:rStyle w:val="42"/>
                <w:rFonts w:hint="eastAsia" w:ascii="宋体" w:hAnsi="宋体" w:eastAsia="宋体"/>
                <w:kern w:val="2"/>
                <w:sz w:val="21"/>
                <w:szCs w:val="21"/>
                <w:highlight w:val="none"/>
                <w:lang w:val="zh-CN"/>
              </w:rPr>
              <w:t>投标人若填写工程量固化清单，填写完毕的工程量固化清单未对工程量固化清单电子文件中的数据、格式和运算定义进行修改；工程量固化清单中的投标</w:t>
            </w:r>
            <w:r>
              <w:rPr>
                <w:rStyle w:val="42"/>
                <w:rFonts w:hint="eastAsia" w:ascii="宋体" w:hAnsi="宋体" w:eastAsia="宋体"/>
                <w:kern w:val="2"/>
                <w:sz w:val="21"/>
                <w:szCs w:val="21"/>
                <w:highlight w:val="none"/>
              </w:rPr>
              <w:t>总</w:t>
            </w:r>
            <w:r>
              <w:rPr>
                <w:rStyle w:val="42"/>
                <w:rFonts w:hint="eastAsia" w:ascii="宋体" w:hAnsi="宋体" w:eastAsia="宋体"/>
                <w:kern w:val="2"/>
                <w:sz w:val="21"/>
                <w:szCs w:val="21"/>
                <w:highlight w:val="none"/>
                <w:lang w:val="zh-CN"/>
              </w:rPr>
              <w:t>报价和投标函大写金额报价一致。</w:t>
            </w:r>
          </w:p>
          <w:p>
            <w:pPr>
              <w:pStyle w:val="19"/>
              <w:shd w:val="clear" w:color="auto" w:fill="auto"/>
              <w:tabs>
                <w:tab w:val="left" w:pos="651"/>
              </w:tabs>
              <w:spacing w:before="0" w:line="240" w:lineRule="auto"/>
              <w:ind w:right="124" w:rightChars="59"/>
              <w:jc w:val="both"/>
              <w:rPr>
                <w:rFonts w:ascii="宋体" w:hAnsi="宋体" w:eastAsia="宋体" w:cs="MingLiU"/>
                <w:color w:val="auto"/>
                <w:kern w:val="2"/>
                <w:sz w:val="21"/>
                <w:szCs w:val="21"/>
                <w:highlight w:val="none"/>
              </w:rPr>
            </w:pPr>
            <w:r>
              <w:rPr>
                <w:rStyle w:val="42"/>
                <w:rFonts w:hint="eastAsia" w:ascii="宋体" w:hAnsi="宋体" w:eastAsia="宋体"/>
                <w:kern w:val="2"/>
                <w:sz w:val="21"/>
                <w:szCs w:val="21"/>
                <w:highlight w:val="none"/>
              </w:rPr>
              <w:t>（</w:t>
            </w:r>
            <w:r>
              <w:rPr>
                <w:rStyle w:val="42"/>
                <w:rFonts w:ascii="宋体" w:hAnsi="宋体" w:eastAsia="宋体"/>
                <w:kern w:val="2"/>
                <w:sz w:val="21"/>
                <w:szCs w:val="21"/>
                <w:highlight w:val="none"/>
              </w:rPr>
              <w:t>8）</w:t>
            </w:r>
            <w:r>
              <w:rPr>
                <w:rStyle w:val="42"/>
                <w:rFonts w:hint="eastAsia" w:ascii="宋体" w:hAnsi="宋体" w:eastAsia="宋体"/>
                <w:kern w:val="2"/>
                <w:sz w:val="21"/>
                <w:szCs w:val="21"/>
                <w:highlight w:val="none"/>
                <w:lang w:val="zh-CN"/>
              </w:rPr>
              <w:t>投标文件正、副本份数符合招标文件第二章“投标人须知”第</w:t>
            </w:r>
            <w:r>
              <w:rPr>
                <w:rStyle w:val="42"/>
                <w:rFonts w:ascii="宋体" w:hAnsi="宋体" w:eastAsia="宋体"/>
                <w:kern w:val="2"/>
                <w:sz w:val="21"/>
                <w:szCs w:val="21"/>
                <w:highlight w:val="none"/>
                <w:lang w:val="zh-CN"/>
              </w:rPr>
              <w:t xml:space="preserve"> </w:t>
            </w:r>
            <w:r>
              <w:rPr>
                <w:rStyle w:val="45"/>
                <w:rFonts w:ascii="宋体" w:hAnsi="宋体" w:eastAsia="宋体"/>
                <w:color w:val="auto"/>
                <w:kern w:val="2"/>
                <w:sz w:val="21"/>
                <w:szCs w:val="21"/>
                <w:highlight w:val="none"/>
                <w:lang w:eastAsia="zh-CN"/>
              </w:rPr>
              <w:t>3.7.4</w:t>
            </w:r>
            <w:r>
              <w:rPr>
                <w:rStyle w:val="45"/>
                <w:rFonts w:hint="eastAsia" w:ascii="宋体" w:hAnsi="宋体" w:eastAsia="宋体"/>
                <w:color w:val="auto"/>
                <w:kern w:val="2"/>
                <w:sz w:val="21"/>
                <w:szCs w:val="21"/>
                <w:highlight w:val="none"/>
                <w:lang w:eastAsia="zh-CN"/>
              </w:rPr>
              <w:t>项规定。</w:t>
            </w:r>
          </w:p>
        </w:tc>
      </w:tr>
      <w:tr>
        <w:tblPrEx>
          <w:tblCellMar>
            <w:top w:w="0" w:type="dxa"/>
            <w:left w:w="0" w:type="dxa"/>
            <w:bottom w:w="0" w:type="dxa"/>
            <w:right w:w="0" w:type="dxa"/>
          </w:tblCellMar>
        </w:tblPrEx>
        <w:trPr>
          <w:trHeight w:val="23" w:hRule="atLeast"/>
        </w:trPr>
        <w:tc>
          <w:tcPr>
            <w:tcW w:w="838"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spacing w:before="0" w:line="360" w:lineRule="auto"/>
              <w:jc w:val="center"/>
              <w:rPr>
                <w:rStyle w:val="39"/>
                <w:rFonts w:ascii="宋体" w:hAnsi="宋体" w:eastAsia="宋体"/>
                <w:color w:val="auto"/>
                <w:kern w:val="2"/>
                <w:sz w:val="21"/>
                <w:szCs w:val="21"/>
                <w:highlight w:val="none"/>
                <w:lang w:eastAsia="zh-CN"/>
              </w:rPr>
            </w:pPr>
            <w:r>
              <w:rPr>
                <w:rStyle w:val="30"/>
                <w:rFonts w:ascii="宋体" w:hAnsi="宋体" w:eastAsia="宋体"/>
                <w:color w:val="auto"/>
                <w:kern w:val="2"/>
                <w:sz w:val="21"/>
                <w:szCs w:val="21"/>
                <w:highlight w:val="none"/>
                <w:lang w:val="zh-CN"/>
              </w:rPr>
              <w:t>2.1.2</w:t>
            </w:r>
          </w:p>
        </w:tc>
        <w:tc>
          <w:tcPr>
            <w:tcW w:w="1116"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adjustRightInd w:val="0"/>
              <w:snapToGrid w:val="0"/>
              <w:spacing w:before="0" w:line="240" w:lineRule="auto"/>
              <w:jc w:val="center"/>
              <w:rPr>
                <w:rStyle w:val="29"/>
                <w:rFonts w:ascii="宋体" w:hAnsi="宋体" w:eastAsia="宋体"/>
                <w:color w:val="auto"/>
                <w:kern w:val="2"/>
                <w:sz w:val="21"/>
                <w:szCs w:val="21"/>
                <w:highlight w:val="none"/>
                <w:lang w:val="zh-CN"/>
              </w:rPr>
            </w:pPr>
            <w:r>
              <w:rPr>
                <w:rStyle w:val="29"/>
                <w:rFonts w:hint="eastAsia" w:ascii="宋体" w:hAnsi="宋体" w:eastAsia="宋体"/>
                <w:color w:val="auto"/>
                <w:kern w:val="2"/>
                <w:sz w:val="21"/>
                <w:szCs w:val="21"/>
                <w:highlight w:val="none"/>
                <w:lang w:val="zh-CN"/>
              </w:rPr>
              <w:t>资格评审标准</w:t>
            </w:r>
          </w:p>
        </w:tc>
        <w:tc>
          <w:tcPr>
            <w:tcW w:w="7120" w:type="dxa"/>
            <w:tcBorders>
              <w:top w:val="single" w:color="auto" w:sz="4" w:space="0"/>
              <w:left w:val="single" w:color="auto" w:sz="4" w:space="0"/>
              <w:bottom w:val="single" w:color="auto" w:sz="4" w:space="0"/>
              <w:right w:val="single" w:color="auto" w:sz="4" w:space="0"/>
            </w:tcBorders>
            <w:shd w:val="clear" w:color="auto" w:fill="FFFFFF"/>
          </w:tcPr>
          <w:p>
            <w:pPr>
              <w:pStyle w:val="41"/>
              <w:shd w:val="clear" w:color="auto" w:fill="auto"/>
              <w:spacing w:before="0" w:line="240" w:lineRule="auto"/>
              <w:rPr>
                <w:rStyle w:val="42"/>
                <w:rFonts w:ascii="宋体" w:hAnsi="宋体" w:eastAsia="宋体"/>
                <w:spacing w:val="0"/>
                <w:kern w:val="2"/>
                <w:sz w:val="21"/>
                <w:szCs w:val="21"/>
                <w:highlight w:val="none"/>
                <w:shd w:val="clear" w:color="auto" w:fill="auto"/>
                <w:lang w:val="zh-CN"/>
              </w:rPr>
            </w:pPr>
            <w:r>
              <w:rPr>
                <w:rStyle w:val="42"/>
                <w:rFonts w:hint="eastAsia" w:ascii="宋体" w:hAnsi="宋体" w:eastAsia="宋体"/>
                <w:kern w:val="2"/>
                <w:sz w:val="21"/>
                <w:szCs w:val="21"/>
                <w:highlight w:val="none"/>
              </w:rPr>
              <w:t>（</w:t>
            </w:r>
            <w:r>
              <w:rPr>
                <w:rStyle w:val="42"/>
                <w:rFonts w:ascii="宋体" w:hAnsi="宋体" w:eastAsia="宋体"/>
                <w:kern w:val="2"/>
                <w:sz w:val="21"/>
                <w:szCs w:val="21"/>
                <w:highlight w:val="none"/>
              </w:rPr>
              <w:t>1）</w:t>
            </w:r>
            <w:r>
              <w:rPr>
                <w:rStyle w:val="42"/>
                <w:rFonts w:hint="eastAsia" w:ascii="宋体" w:hAnsi="宋体" w:eastAsia="宋体"/>
                <w:kern w:val="2"/>
                <w:sz w:val="21"/>
                <w:szCs w:val="21"/>
                <w:highlight w:val="none"/>
                <w:lang w:val="zh-CN"/>
              </w:rPr>
              <w:t>投标人具备有效的营业执照、组织机构代码证（如有）、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41"/>
              <w:shd w:val="clear" w:color="auto" w:fill="auto"/>
              <w:spacing w:before="0" w:line="240" w:lineRule="auto"/>
              <w:rPr>
                <w:rStyle w:val="42"/>
                <w:rFonts w:ascii="宋体" w:hAnsi="宋体" w:eastAsia="宋体"/>
                <w:kern w:val="2"/>
                <w:sz w:val="21"/>
                <w:szCs w:val="21"/>
                <w:highlight w:val="none"/>
                <w:lang w:val="zh-CN"/>
              </w:rPr>
            </w:pPr>
            <w:r>
              <w:rPr>
                <w:rStyle w:val="42"/>
                <w:rFonts w:hint="eastAsia" w:ascii="宋体" w:hAnsi="宋体" w:eastAsia="宋体"/>
                <w:kern w:val="2"/>
                <w:sz w:val="21"/>
                <w:szCs w:val="21"/>
                <w:highlight w:val="none"/>
                <w:lang w:val="zh-CN"/>
              </w:rPr>
              <w:t>（</w:t>
            </w:r>
            <w:r>
              <w:rPr>
                <w:rStyle w:val="42"/>
                <w:rFonts w:ascii="宋体" w:hAnsi="宋体" w:eastAsia="宋体"/>
                <w:kern w:val="2"/>
                <w:sz w:val="21"/>
                <w:szCs w:val="21"/>
                <w:highlight w:val="none"/>
                <w:lang w:val="zh-CN"/>
              </w:rPr>
              <w:t>2）投标人的资质等级符合招标文件规定；</w:t>
            </w:r>
          </w:p>
          <w:p>
            <w:pPr>
              <w:pStyle w:val="41"/>
              <w:shd w:val="clear" w:color="auto" w:fill="auto"/>
              <w:spacing w:before="0" w:line="240" w:lineRule="auto"/>
              <w:rPr>
                <w:rStyle w:val="42"/>
                <w:rFonts w:ascii="宋体" w:hAnsi="宋体" w:eastAsia="宋体"/>
                <w:kern w:val="2"/>
                <w:sz w:val="21"/>
                <w:szCs w:val="21"/>
                <w:highlight w:val="none"/>
                <w:lang w:val="zh-CN"/>
              </w:rPr>
            </w:pPr>
            <w:r>
              <w:rPr>
                <w:rStyle w:val="42"/>
                <w:rFonts w:hint="eastAsia" w:ascii="宋体" w:hAnsi="宋体" w:eastAsia="宋体"/>
                <w:kern w:val="2"/>
                <w:sz w:val="21"/>
                <w:szCs w:val="21"/>
                <w:highlight w:val="none"/>
                <w:lang w:val="zh-CN"/>
              </w:rPr>
              <w:t>（</w:t>
            </w:r>
            <w:r>
              <w:rPr>
                <w:rStyle w:val="42"/>
                <w:rFonts w:ascii="宋体" w:hAnsi="宋体" w:eastAsia="宋体"/>
                <w:kern w:val="2"/>
                <w:sz w:val="21"/>
                <w:szCs w:val="21"/>
                <w:highlight w:val="none"/>
                <w:lang w:val="zh-CN"/>
              </w:rPr>
              <w:t>3）投标人的财务状况符合招标文件规定；</w:t>
            </w:r>
          </w:p>
          <w:p>
            <w:pPr>
              <w:pStyle w:val="41"/>
              <w:shd w:val="clear" w:color="auto" w:fill="auto"/>
              <w:spacing w:before="0" w:line="240" w:lineRule="auto"/>
              <w:rPr>
                <w:rStyle w:val="42"/>
                <w:rFonts w:ascii="宋体" w:hAnsi="宋体" w:eastAsia="宋体"/>
                <w:kern w:val="2"/>
                <w:sz w:val="21"/>
                <w:szCs w:val="21"/>
                <w:highlight w:val="none"/>
                <w:lang w:val="zh-CN"/>
              </w:rPr>
            </w:pPr>
            <w:r>
              <w:rPr>
                <w:rStyle w:val="42"/>
                <w:rFonts w:hint="eastAsia" w:ascii="宋体" w:hAnsi="宋体" w:eastAsia="宋体"/>
                <w:kern w:val="2"/>
                <w:sz w:val="21"/>
                <w:szCs w:val="21"/>
                <w:highlight w:val="none"/>
                <w:lang w:val="zh-CN"/>
              </w:rPr>
              <w:t>（</w:t>
            </w:r>
            <w:r>
              <w:rPr>
                <w:rStyle w:val="42"/>
                <w:rFonts w:ascii="宋体" w:hAnsi="宋体" w:eastAsia="宋体"/>
                <w:kern w:val="2"/>
                <w:sz w:val="21"/>
                <w:szCs w:val="21"/>
                <w:highlight w:val="none"/>
                <w:lang w:val="zh-CN"/>
              </w:rPr>
              <w:t>4）投标人的类似项目业绩符合招标文件规定；</w:t>
            </w:r>
          </w:p>
          <w:p>
            <w:pPr>
              <w:pStyle w:val="41"/>
              <w:shd w:val="clear" w:color="auto" w:fill="auto"/>
              <w:spacing w:before="0" w:line="240" w:lineRule="auto"/>
              <w:rPr>
                <w:rStyle w:val="42"/>
                <w:rFonts w:ascii="宋体" w:hAnsi="宋体" w:eastAsia="宋体"/>
                <w:kern w:val="2"/>
                <w:sz w:val="21"/>
                <w:szCs w:val="21"/>
                <w:highlight w:val="none"/>
                <w:lang w:val="zh-CN"/>
              </w:rPr>
            </w:pPr>
            <w:r>
              <w:rPr>
                <w:rStyle w:val="42"/>
                <w:rFonts w:hint="eastAsia" w:ascii="宋体" w:hAnsi="宋体" w:eastAsia="宋体"/>
                <w:kern w:val="2"/>
                <w:sz w:val="21"/>
                <w:szCs w:val="21"/>
                <w:highlight w:val="none"/>
                <w:lang w:val="zh-CN"/>
              </w:rPr>
              <w:t>（</w:t>
            </w:r>
            <w:r>
              <w:rPr>
                <w:rStyle w:val="42"/>
                <w:rFonts w:ascii="宋体" w:hAnsi="宋体" w:eastAsia="宋体"/>
                <w:kern w:val="2"/>
                <w:sz w:val="21"/>
                <w:szCs w:val="21"/>
                <w:highlight w:val="none"/>
                <w:lang w:val="zh-CN"/>
              </w:rPr>
              <w:t>5）投标人的信誉符合招标文件规定；</w:t>
            </w:r>
          </w:p>
          <w:p>
            <w:pPr>
              <w:pStyle w:val="41"/>
              <w:shd w:val="clear" w:color="auto" w:fill="auto"/>
              <w:spacing w:before="0" w:line="240" w:lineRule="auto"/>
              <w:rPr>
                <w:rFonts w:ascii="宋体" w:hAnsi="宋体" w:eastAsia="宋体" w:cs="MingLiU"/>
                <w:color w:val="auto"/>
                <w:kern w:val="2"/>
                <w:sz w:val="21"/>
                <w:szCs w:val="21"/>
                <w:highlight w:val="none"/>
              </w:rPr>
            </w:pPr>
            <w:r>
              <w:rPr>
                <w:rStyle w:val="42"/>
                <w:rFonts w:hint="eastAsia" w:ascii="宋体" w:hAnsi="宋体" w:eastAsia="宋体"/>
                <w:kern w:val="2"/>
                <w:sz w:val="21"/>
                <w:szCs w:val="21"/>
                <w:highlight w:val="none"/>
                <w:lang w:val="zh-CN"/>
              </w:rPr>
              <w:t>（</w:t>
            </w:r>
            <w:r>
              <w:rPr>
                <w:rStyle w:val="42"/>
                <w:rFonts w:ascii="宋体" w:hAnsi="宋体" w:eastAsia="宋体"/>
                <w:kern w:val="2"/>
                <w:sz w:val="21"/>
                <w:szCs w:val="21"/>
                <w:highlight w:val="none"/>
                <w:lang w:val="zh-CN"/>
              </w:rPr>
              <w:t>6）投标人的项目负责人和项目技术负责人资格、在岗情况</w:t>
            </w:r>
            <w:r>
              <w:rPr>
                <w:rStyle w:val="29"/>
                <w:rFonts w:hint="eastAsia" w:ascii="宋体" w:hAnsi="宋体" w:eastAsia="宋体"/>
                <w:color w:val="auto"/>
                <w:kern w:val="2"/>
                <w:sz w:val="21"/>
                <w:szCs w:val="21"/>
                <w:highlight w:val="none"/>
                <w:lang w:val="zh-CN"/>
              </w:rPr>
              <w:t>符合招标文件规定</w:t>
            </w:r>
            <w:r>
              <w:rPr>
                <w:rStyle w:val="42"/>
                <w:rFonts w:hint="eastAsia" w:ascii="宋体" w:hAnsi="宋体" w:eastAsia="宋体"/>
                <w:kern w:val="2"/>
                <w:sz w:val="21"/>
                <w:szCs w:val="21"/>
                <w:highlight w:val="none"/>
                <w:lang w:val="zh-CN"/>
              </w:rPr>
              <w:t>，并按规定在投标文件中签字确认</w:t>
            </w:r>
            <w:r>
              <w:rPr>
                <w:rStyle w:val="29"/>
                <w:rFonts w:hint="eastAsia" w:ascii="宋体" w:hAnsi="宋体" w:eastAsia="宋体"/>
                <w:color w:val="auto"/>
                <w:kern w:val="2"/>
                <w:sz w:val="21"/>
                <w:szCs w:val="21"/>
                <w:highlight w:val="none"/>
                <w:lang w:val="zh-CN"/>
              </w:rPr>
              <w:t>；</w:t>
            </w:r>
          </w:p>
          <w:p>
            <w:pPr>
              <w:pStyle w:val="19"/>
              <w:shd w:val="clear" w:color="auto" w:fill="auto"/>
              <w:tabs>
                <w:tab w:val="left" w:pos="1075"/>
              </w:tabs>
              <w:spacing w:before="0" w:line="240" w:lineRule="auto"/>
              <w:jc w:val="both"/>
              <w:rPr>
                <w:rFonts w:ascii="宋体" w:hAnsi="宋体" w:eastAsia="宋体" w:cs="MingLiU"/>
                <w:color w:val="auto"/>
                <w:kern w:val="2"/>
                <w:sz w:val="21"/>
                <w:szCs w:val="21"/>
                <w:highlight w:val="none"/>
              </w:rPr>
            </w:pPr>
            <w:r>
              <w:rPr>
                <w:rStyle w:val="29"/>
                <w:rFonts w:hint="eastAsia" w:ascii="宋体" w:hAnsi="宋体" w:eastAsia="宋体"/>
                <w:color w:val="auto"/>
                <w:kern w:val="2"/>
                <w:sz w:val="21"/>
                <w:szCs w:val="21"/>
                <w:highlight w:val="none"/>
              </w:rPr>
              <w:t>（</w:t>
            </w:r>
            <w:r>
              <w:rPr>
                <w:rStyle w:val="29"/>
                <w:rFonts w:ascii="宋体" w:hAnsi="宋体" w:eastAsia="宋体"/>
                <w:color w:val="auto"/>
                <w:kern w:val="2"/>
                <w:sz w:val="21"/>
                <w:szCs w:val="21"/>
                <w:highlight w:val="none"/>
              </w:rPr>
              <w:t>7）</w:t>
            </w:r>
            <w:r>
              <w:rPr>
                <w:rStyle w:val="29"/>
                <w:rFonts w:hint="eastAsia" w:ascii="宋体" w:hAnsi="宋体" w:eastAsia="宋体"/>
                <w:color w:val="auto"/>
                <w:kern w:val="2"/>
                <w:sz w:val="21"/>
                <w:szCs w:val="21"/>
                <w:highlight w:val="none"/>
                <w:lang w:val="zh-CN"/>
              </w:rPr>
              <w:t>投标人的其他要求符合招标文件规定；</w:t>
            </w:r>
          </w:p>
          <w:p>
            <w:pPr>
              <w:pStyle w:val="19"/>
              <w:shd w:val="clear" w:color="auto" w:fill="auto"/>
              <w:tabs>
                <w:tab w:val="left" w:pos="926"/>
              </w:tabs>
              <w:spacing w:before="0" w:line="240" w:lineRule="auto"/>
              <w:ind w:right="124" w:rightChars="59"/>
              <w:jc w:val="both"/>
              <w:rPr>
                <w:rStyle w:val="30"/>
                <w:rFonts w:ascii="宋体" w:hAnsi="宋体" w:eastAsia="宋体"/>
                <w:color w:val="auto"/>
                <w:kern w:val="2"/>
                <w:sz w:val="21"/>
                <w:szCs w:val="21"/>
                <w:highlight w:val="none"/>
                <w:lang w:val="zh-CN"/>
              </w:rPr>
            </w:pPr>
            <w:r>
              <w:rPr>
                <w:rStyle w:val="29"/>
                <w:rFonts w:hint="eastAsia" w:ascii="宋体" w:hAnsi="宋体" w:eastAsia="宋体"/>
                <w:color w:val="auto"/>
                <w:kern w:val="2"/>
                <w:sz w:val="21"/>
                <w:szCs w:val="21"/>
                <w:highlight w:val="none"/>
              </w:rPr>
              <w:t>（</w:t>
            </w:r>
            <w:r>
              <w:rPr>
                <w:rStyle w:val="29"/>
                <w:rFonts w:ascii="宋体" w:hAnsi="宋体" w:eastAsia="宋体"/>
                <w:color w:val="auto"/>
                <w:kern w:val="2"/>
                <w:sz w:val="21"/>
                <w:szCs w:val="21"/>
                <w:highlight w:val="none"/>
              </w:rPr>
              <w:t>8）</w:t>
            </w:r>
            <w:r>
              <w:rPr>
                <w:rStyle w:val="29"/>
                <w:rFonts w:hint="eastAsia" w:ascii="宋体" w:hAnsi="宋体" w:eastAsia="宋体"/>
                <w:color w:val="auto"/>
                <w:kern w:val="2"/>
                <w:sz w:val="21"/>
                <w:szCs w:val="21"/>
                <w:highlight w:val="none"/>
                <w:lang w:val="zh-CN"/>
              </w:rPr>
              <w:t>投标人不存在第二章“投标人须知”第</w:t>
            </w:r>
            <w:r>
              <w:rPr>
                <w:rStyle w:val="29"/>
                <w:rFonts w:ascii="宋体" w:hAnsi="宋体" w:eastAsia="宋体"/>
                <w:color w:val="auto"/>
                <w:kern w:val="2"/>
                <w:sz w:val="21"/>
                <w:szCs w:val="21"/>
                <w:highlight w:val="none"/>
              </w:rPr>
              <w:t>1.4.3</w:t>
            </w:r>
            <w:r>
              <w:rPr>
                <w:rStyle w:val="29"/>
                <w:rFonts w:hint="eastAsia" w:ascii="宋体" w:hAnsi="宋体" w:eastAsia="宋体"/>
                <w:color w:val="auto"/>
                <w:kern w:val="2"/>
                <w:sz w:val="21"/>
                <w:szCs w:val="21"/>
                <w:highlight w:val="none"/>
                <w:lang w:val="zh-CN"/>
              </w:rPr>
              <w:t>项或第</w:t>
            </w:r>
            <w:r>
              <w:rPr>
                <w:rStyle w:val="29"/>
                <w:rFonts w:ascii="宋体" w:hAnsi="宋体" w:eastAsia="宋体"/>
                <w:color w:val="auto"/>
                <w:kern w:val="2"/>
                <w:sz w:val="21"/>
                <w:szCs w:val="21"/>
                <w:highlight w:val="none"/>
              </w:rPr>
              <w:t>1.4.4</w:t>
            </w:r>
            <w:r>
              <w:rPr>
                <w:rStyle w:val="29"/>
                <w:rFonts w:hint="eastAsia" w:ascii="宋体" w:hAnsi="宋体" w:eastAsia="宋体"/>
                <w:color w:val="auto"/>
                <w:kern w:val="2"/>
                <w:sz w:val="21"/>
                <w:szCs w:val="21"/>
                <w:highlight w:val="none"/>
                <w:lang w:val="zh-CN"/>
              </w:rPr>
              <w:t>项规定的任何一种情形。</w:t>
            </w:r>
          </w:p>
        </w:tc>
      </w:tr>
    </w:tbl>
    <w:p>
      <w:pPr>
        <w:spacing w:line="360" w:lineRule="auto"/>
        <w:rPr>
          <w:rFonts w:ascii="宋体" w:hAnsi="宋体"/>
          <w:color w:val="auto"/>
          <w:sz w:val="2"/>
          <w:szCs w:val="2"/>
          <w:highlight w:val="none"/>
        </w:rPr>
        <w:sectPr>
          <w:footnotePr>
            <w:numRestart w:val="eachPage"/>
          </w:footnotePr>
          <w:pgSz w:w="11900" w:h="16840"/>
          <w:pgMar w:top="1418" w:right="1418" w:bottom="1418" w:left="1418" w:header="680" w:footer="680" w:gutter="0"/>
          <w:cols w:space="720" w:num="1"/>
          <w:docGrid w:linePitch="360" w:charSpace="0"/>
        </w:sectPr>
      </w:pP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12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93" w:type="dxa"/>
            <w:gridSpan w:val="2"/>
            <w:vAlign w:val="center"/>
          </w:tcPr>
          <w:p>
            <w:pPr>
              <w:spacing w:line="360" w:lineRule="auto"/>
              <w:jc w:val="center"/>
              <w:rPr>
                <w:rStyle w:val="42"/>
                <w:rFonts w:ascii="宋体" w:hAnsi="宋体" w:eastAsia="宋体"/>
                <w:spacing w:val="0"/>
                <w:kern w:val="2"/>
                <w:highlight w:val="none"/>
                <w:shd w:val="clear" w:color="auto" w:fill="auto"/>
              </w:rPr>
            </w:pPr>
            <w:r>
              <w:rPr>
                <w:rStyle w:val="46"/>
                <w:rFonts w:hint="eastAsia" w:ascii="宋体" w:hAnsi="宋体" w:eastAsia="宋体"/>
                <w:color w:val="auto"/>
                <w:highlight w:val="none"/>
                <w:u w:val="none"/>
              </w:rPr>
              <w:t>条款号</w:t>
            </w:r>
          </w:p>
        </w:tc>
        <w:tc>
          <w:tcPr>
            <w:tcW w:w="7087" w:type="dxa"/>
            <w:vAlign w:val="center"/>
          </w:tcPr>
          <w:p>
            <w:pPr>
              <w:spacing w:line="360" w:lineRule="auto"/>
              <w:jc w:val="center"/>
              <w:rPr>
                <w:rStyle w:val="42"/>
                <w:rFonts w:ascii="宋体" w:hAnsi="宋体" w:eastAsia="宋体"/>
                <w:spacing w:val="20"/>
                <w:kern w:val="0"/>
                <w:highlight w:val="none"/>
                <w:shd w:val="clear" w:color="auto" w:fill="FFFFFF"/>
              </w:rPr>
            </w:pPr>
            <w:r>
              <w:rPr>
                <w:rStyle w:val="46"/>
                <w:rFonts w:hint="eastAsia" w:ascii="宋体" w:hAnsi="宋体" w:eastAsia="宋体"/>
                <w:color w:val="auto"/>
                <w:highlight w:val="none"/>
                <w:u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2" w:type="dxa"/>
            <w:vAlign w:val="center"/>
          </w:tcPr>
          <w:p>
            <w:pPr>
              <w:pStyle w:val="19"/>
              <w:shd w:val="clear" w:color="auto" w:fill="auto"/>
              <w:spacing w:before="0" w:line="360" w:lineRule="auto"/>
              <w:jc w:val="center"/>
              <w:rPr>
                <w:rFonts w:ascii="宋体" w:hAnsi="宋体" w:eastAsia="宋体" w:cs="MingLiU"/>
                <w:color w:val="auto"/>
                <w:kern w:val="2"/>
                <w:szCs w:val="24"/>
                <w:highlight w:val="none"/>
              </w:rPr>
            </w:pPr>
            <w:r>
              <w:rPr>
                <w:rStyle w:val="38"/>
                <w:rFonts w:ascii="宋体" w:hAnsi="宋体" w:eastAsia="宋体"/>
                <w:b w:val="0"/>
                <w:color w:val="auto"/>
                <w:kern w:val="2"/>
                <w:highlight w:val="none"/>
                <w:lang w:val="zh-CN"/>
              </w:rPr>
              <w:t>2.2.1</w:t>
            </w:r>
          </w:p>
        </w:tc>
        <w:tc>
          <w:tcPr>
            <w:tcW w:w="1121" w:type="dxa"/>
            <w:vAlign w:val="center"/>
          </w:tcPr>
          <w:p>
            <w:pPr>
              <w:pStyle w:val="19"/>
              <w:shd w:val="clear" w:color="auto" w:fill="auto"/>
              <w:spacing w:before="0" w:line="360" w:lineRule="auto"/>
              <w:jc w:val="both"/>
              <w:rPr>
                <w:rFonts w:ascii="宋体" w:hAnsi="宋体" w:eastAsia="宋体" w:cs="MingLiU"/>
                <w:color w:val="auto"/>
                <w:kern w:val="2"/>
                <w:sz w:val="20"/>
                <w:highlight w:val="none"/>
              </w:rPr>
            </w:pPr>
            <w:r>
              <w:rPr>
                <w:rStyle w:val="29"/>
                <w:rFonts w:hint="eastAsia" w:ascii="宋体" w:hAnsi="宋体" w:eastAsia="宋体"/>
                <w:color w:val="auto"/>
                <w:kern w:val="2"/>
                <w:sz w:val="20"/>
                <w:szCs w:val="20"/>
                <w:highlight w:val="none"/>
                <w:lang w:val="zh-CN"/>
              </w:rPr>
              <w:t>分值构成</w:t>
            </w:r>
            <w:r>
              <w:rPr>
                <w:rStyle w:val="29"/>
                <w:rFonts w:ascii="宋体" w:hAnsi="宋体" w:eastAsia="宋体"/>
                <w:color w:val="auto"/>
                <w:kern w:val="2"/>
                <w:sz w:val="20"/>
                <w:szCs w:val="20"/>
                <w:highlight w:val="none"/>
                <w:lang w:val="zh-CN"/>
              </w:rPr>
              <w:t xml:space="preserve"> (</w:t>
            </w:r>
            <w:r>
              <w:rPr>
                <w:rStyle w:val="29"/>
                <w:rFonts w:hint="eastAsia" w:ascii="宋体" w:hAnsi="宋体" w:eastAsia="宋体"/>
                <w:color w:val="auto"/>
                <w:kern w:val="2"/>
                <w:sz w:val="20"/>
                <w:szCs w:val="20"/>
                <w:highlight w:val="none"/>
                <w:lang w:val="zh-CN"/>
              </w:rPr>
              <w:t>总分</w:t>
            </w:r>
            <w:r>
              <w:rPr>
                <w:rStyle w:val="38"/>
                <w:rFonts w:ascii="宋体" w:hAnsi="宋体" w:eastAsia="宋体"/>
                <w:b w:val="0"/>
                <w:color w:val="auto"/>
                <w:kern w:val="2"/>
                <w:highlight w:val="none"/>
                <w:lang w:val="zh-CN"/>
              </w:rPr>
              <w:t>100</w:t>
            </w:r>
          </w:p>
          <w:p>
            <w:pPr>
              <w:pStyle w:val="19"/>
              <w:shd w:val="clear" w:color="auto" w:fill="auto"/>
              <w:spacing w:before="0" w:line="360" w:lineRule="auto"/>
              <w:jc w:val="both"/>
              <w:rPr>
                <w:rStyle w:val="29"/>
                <w:rFonts w:ascii="宋体" w:hAnsi="宋体" w:eastAsia="宋体"/>
                <w:color w:val="auto"/>
                <w:kern w:val="2"/>
                <w:sz w:val="20"/>
                <w:szCs w:val="20"/>
                <w:highlight w:val="none"/>
                <w:lang w:val="zh-CN"/>
              </w:rPr>
            </w:pPr>
            <w:r>
              <w:rPr>
                <w:rStyle w:val="29"/>
                <w:rFonts w:hint="eastAsia" w:ascii="宋体" w:hAnsi="宋体" w:eastAsia="宋体"/>
                <w:color w:val="auto"/>
                <w:kern w:val="2"/>
                <w:sz w:val="20"/>
                <w:szCs w:val="20"/>
                <w:highlight w:val="none"/>
                <w:lang w:val="zh-CN"/>
              </w:rPr>
              <w:t>分）</w:t>
            </w:r>
          </w:p>
          <w:p>
            <w:pPr>
              <w:pStyle w:val="19"/>
              <w:shd w:val="clear" w:color="auto" w:fill="auto"/>
              <w:spacing w:before="0" w:line="360" w:lineRule="auto"/>
              <w:jc w:val="both"/>
              <w:rPr>
                <w:rFonts w:ascii="宋体" w:hAnsi="宋体" w:eastAsia="宋体" w:cs="MingLiU"/>
                <w:color w:val="auto"/>
                <w:kern w:val="2"/>
                <w:sz w:val="20"/>
                <w:highlight w:val="none"/>
              </w:rPr>
            </w:pPr>
          </w:p>
        </w:tc>
        <w:tc>
          <w:tcPr>
            <w:tcW w:w="7087" w:type="dxa"/>
            <w:vAlign w:val="center"/>
          </w:tcPr>
          <w:p>
            <w:pPr>
              <w:pStyle w:val="19"/>
              <w:shd w:val="clear" w:color="auto" w:fill="auto"/>
              <w:spacing w:before="0" w:line="360" w:lineRule="auto"/>
              <w:jc w:val="both"/>
              <w:rPr>
                <w:rStyle w:val="38"/>
                <w:rFonts w:ascii="宋体" w:hAnsi="宋体" w:eastAsia="宋体"/>
                <w:b w:val="0"/>
                <w:color w:val="auto"/>
                <w:kern w:val="2"/>
                <w:highlight w:val="none"/>
                <w:lang w:val="zh-CN"/>
              </w:rPr>
            </w:pPr>
            <w:r>
              <w:rPr>
                <w:rStyle w:val="38"/>
                <w:rFonts w:ascii="宋体" w:hAnsi="宋体" w:eastAsia="宋体"/>
                <w:b w:val="0"/>
                <w:color w:val="auto"/>
                <w:kern w:val="2"/>
                <w:sz w:val="21"/>
                <w:szCs w:val="21"/>
                <w:highlight w:val="none"/>
              </w:rPr>
              <w:t>第一个信封（商务及技术文件）评分分值构成：</w:t>
            </w:r>
            <w:r>
              <w:rPr>
                <w:rStyle w:val="38"/>
                <w:rFonts w:ascii="宋体" w:hAnsi="宋体" w:eastAsia="宋体"/>
                <w:color w:val="auto"/>
                <w:kern w:val="2"/>
                <w:sz w:val="21"/>
                <w:szCs w:val="21"/>
                <w:highlight w:val="none"/>
              </w:rPr>
              <w:t xml:space="preserve"> </w:t>
            </w:r>
            <w:r>
              <w:rPr>
                <w:rStyle w:val="38"/>
                <w:rFonts w:ascii="宋体" w:hAnsi="宋体" w:eastAsia="宋体"/>
                <w:color w:val="auto"/>
                <w:kern w:val="2"/>
                <w:highlight w:val="none"/>
                <w:lang w:val="zh-CN"/>
              </w:rPr>
              <w:t xml:space="preserve">                 </w:t>
            </w:r>
          </w:p>
          <w:p>
            <w:pPr>
              <w:pStyle w:val="19"/>
              <w:shd w:val="clear" w:color="auto" w:fill="auto"/>
              <w:spacing w:before="0" w:line="360" w:lineRule="auto"/>
              <w:jc w:val="both"/>
              <w:rPr>
                <w:rFonts w:ascii="宋体" w:hAnsi="宋体" w:eastAsia="宋体" w:cs="MingLiU"/>
                <w:color w:val="auto"/>
                <w:kern w:val="2"/>
                <w:sz w:val="21"/>
                <w:szCs w:val="21"/>
                <w:highlight w:val="none"/>
              </w:rPr>
            </w:pPr>
            <w:r>
              <w:rPr>
                <w:rFonts w:ascii="宋体" w:hAnsi="宋体" w:eastAsia="宋体" w:cs="MingLiU"/>
                <w:color w:val="auto"/>
                <w:kern w:val="2"/>
                <w:sz w:val="21"/>
                <w:szCs w:val="21"/>
                <w:highlight w:val="none"/>
              </w:rPr>
              <w:t>施工组织设计：</w:t>
            </w:r>
            <w:r>
              <w:rPr>
                <w:rFonts w:hint="eastAsia" w:ascii="宋体" w:hAnsi="宋体" w:eastAsia="宋体" w:cs="MingLiU"/>
                <w:color w:val="auto"/>
                <w:spacing w:val="0"/>
                <w:kern w:val="2"/>
                <w:sz w:val="21"/>
                <w:szCs w:val="21"/>
                <w:highlight w:val="none"/>
                <w:u w:val="single"/>
                <w:lang w:val="en-US" w:eastAsia="zh-CN"/>
              </w:rPr>
              <w:t>6</w:t>
            </w:r>
            <w:r>
              <w:rPr>
                <w:rFonts w:hint="eastAsia" w:ascii="宋体" w:hAnsi="宋体" w:eastAsia="宋体" w:cs="MingLiU"/>
                <w:color w:val="auto"/>
                <w:spacing w:val="0"/>
                <w:kern w:val="2"/>
                <w:sz w:val="21"/>
                <w:szCs w:val="21"/>
                <w:highlight w:val="none"/>
              </w:rPr>
              <w:t>分</w:t>
            </w:r>
            <w:r>
              <w:rPr>
                <w:rFonts w:ascii="宋体" w:hAnsi="宋体" w:eastAsia="宋体" w:cs="MingLiU"/>
                <w:color w:val="auto"/>
                <w:spacing w:val="0"/>
                <w:kern w:val="2"/>
                <w:sz w:val="21"/>
                <w:szCs w:val="21"/>
                <w:highlight w:val="non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项目管理机构</w:t>
            </w:r>
            <w:r>
              <w:rPr>
                <w:rFonts w:ascii="宋体" w:hAnsi="宋体"/>
                <w:color w:val="auto"/>
                <w:szCs w:val="21"/>
                <w:highlight w:val="none"/>
              </w:rPr>
              <w:t>：</w:t>
            </w:r>
            <w:r>
              <w:rPr>
                <w:rFonts w:ascii="宋体" w:hAnsi="宋体"/>
                <w:color w:val="auto"/>
                <w:szCs w:val="21"/>
                <w:highlight w:val="none"/>
                <w:u w:val="single"/>
              </w:rPr>
              <w:t>1</w:t>
            </w:r>
            <w:r>
              <w:rPr>
                <w:rFonts w:hint="eastAsia" w:ascii="宋体" w:hAnsi="宋体"/>
                <w:color w:val="auto"/>
                <w:szCs w:val="21"/>
                <w:highlight w:val="none"/>
              </w:rPr>
              <w:t>分</w:t>
            </w:r>
            <w:r>
              <w:rPr>
                <w:rFonts w:ascii="宋体" w:hAnsi="宋体"/>
                <w:color w:val="auto"/>
                <w:szCs w:val="21"/>
                <w:highlight w:val="none"/>
              </w:rPr>
              <w:t xml:space="preserve">            </w:t>
            </w:r>
          </w:p>
          <w:p>
            <w:pPr>
              <w:pStyle w:val="19"/>
              <w:shd w:val="clear" w:color="auto" w:fill="auto"/>
              <w:spacing w:before="0" w:line="360" w:lineRule="auto"/>
              <w:jc w:val="both"/>
              <w:rPr>
                <w:rFonts w:ascii="宋体" w:hAnsi="宋体" w:eastAsia="宋体" w:cs="MingLiU"/>
                <w:color w:val="auto"/>
                <w:spacing w:val="0"/>
                <w:kern w:val="2"/>
                <w:sz w:val="21"/>
                <w:szCs w:val="21"/>
                <w:highlight w:val="none"/>
              </w:rPr>
            </w:pPr>
            <w:r>
              <w:rPr>
                <w:rFonts w:hint="eastAsia" w:ascii="宋体" w:hAnsi="宋体" w:eastAsia="宋体" w:cs="MingLiU"/>
                <w:color w:val="auto"/>
                <w:spacing w:val="0"/>
                <w:kern w:val="2"/>
                <w:sz w:val="21"/>
                <w:szCs w:val="21"/>
                <w:highlight w:val="none"/>
              </w:rPr>
              <w:t>其他因素</w:t>
            </w:r>
            <w:r>
              <w:rPr>
                <w:rFonts w:ascii="宋体" w:hAnsi="宋体" w:eastAsia="宋体" w:cs="MingLiU"/>
                <w:color w:val="auto"/>
                <w:spacing w:val="0"/>
                <w:kern w:val="2"/>
                <w:sz w:val="21"/>
                <w:szCs w:val="21"/>
                <w:highlight w:val="none"/>
              </w:rPr>
              <w:t>：</w:t>
            </w:r>
            <w:r>
              <w:rPr>
                <w:rFonts w:hint="eastAsia" w:ascii="宋体" w:hAnsi="宋体" w:eastAsia="宋体" w:cs="MingLiU"/>
                <w:color w:val="auto"/>
                <w:spacing w:val="0"/>
                <w:kern w:val="2"/>
                <w:sz w:val="21"/>
                <w:szCs w:val="21"/>
                <w:highlight w:val="none"/>
                <w:u w:val="single"/>
                <w:lang w:val="en-US" w:eastAsia="zh-CN"/>
              </w:rPr>
              <w:t>18</w:t>
            </w:r>
            <w:r>
              <w:rPr>
                <w:rFonts w:hint="eastAsia" w:ascii="宋体" w:hAnsi="宋体" w:eastAsia="宋体" w:cs="MingLiU"/>
                <w:color w:val="auto"/>
                <w:spacing w:val="0"/>
                <w:kern w:val="2"/>
                <w:sz w:val="21"/>
                <w:szCs w:val="21"/>
                <w:highlight w:val="none"/>
              </w:rPr>
              <w:t>分，其中：</w:t>
            </w:r>
            <w:r>
              <w:rPr>
                <w:rFonts w:ascii="宋体" w:hAnsi="宋体" w:eastAsia="宋体" w:cs="MingLiU"/>
                <w:color w:val="auto"/>
                <w:spacing w:val="0"/>
                <w:kern w:val="2"/>
                <w:sz w:val="21"/>
                <w:szCs w:val="21"/>
                <w:highlight w:val="none"/>
              </w:rPr>
              <w:t xml:space="preserve">           </w:t>
            </w:r>
          </w:p>
          <w:p>
            <w:pPr>
              <w:pStyle w:val="19"/>
              <w:shd w:val="clear" w:color="auto" w:fill="auto"/>
              <w:spacing w:before="0" w:line="360" w:lineRule="auto"/>
              <w:ind w:firstLine="420" w:firstLineChars="200"/>
              <w:jc w:val="both"/>
              <w:rPr>
                <w:rFonts w:ascii="宋体" w:hAnsi="宋体" w:eastAsia="宋体" w:cs="MingLiU"/>
                <w:color w:val="auto"/>
                <w:spacing w:val="0"/>
                <w:kern w:val="2"/>
                <w:sz w:val="21"/>
                <w:szCs w:val="21"/>
                <w:highlight w:val="none"/>
              </w:rPr>
            </w:pPr>
            <w:r>
              <w:rPr>
                <w:rFonts w:hint="eastAsia" w:ascii="宋体" w:hAnsi="宋体" w:eastAsia="宋体" w:cs="MingLiU"/>
                <w:color w:val="auto"/>
                <w:spacing w:val="0"/>
                <w:kern w:val="2"/>
                <w:sz w:val="21"/>
                <w:szCs w:val="21"/>
                <w:highlight w:val="none"/>
              </w:rPr>
              <w:t>工程业绩</w:t>
            </w:r>
            <w:r>
              <w:rPr>
                <w:rFonts w:hint="eastAsia" w:ascii="宋体" w:hAnsi="宋体" w:eastAsia="宋体" w:cs="MingLiU"/>
                <w:color w:val="auto"/>
                <w:spacing w:val="0"/>
                <w:kern w:val="2"/>
                <w:sz w:val="21"/>
                <w:szCs w:val="21"/>
                <w:highlight w:val="none"/>
                <w:u w:val="single"/>
              </w:rPr>
              <w:t>：</w:t>
            </w:r>
            <w:r>
              <w:rPr>
                <w:rFonts w:hint="eastAsia" w:ascii="宋体" w:hAnsi="宋体" w:eastAsia="宋体"/>
                <w:color w:val="auto"/>
                <w:kern w:val="2"/>
                <w:sz w:val="21"/>
                <w:szCs w:val="21"/>
                <w:highlight w:val="none"/>
                <w:u w:val="single"/>
                <w:lang w:val="en-US" w:eastAsia="zh-CN"/>
              </w:rPr>
              <w:t>2</w:t>
            </w:r>
            <w:r>
              <w:rPr>
                <w:rFonts w:hint="eastAsia" w:ascii="宋体" w:hAnsi="宋体"/>
                <w:color w:val="auto"/>
                <w:kern w:val="2"/>
                <w:sz w:val="21"/>
                <w:szCs w:val="21"/>
                <w:highlight w:val="none"/>
              </w:rPr>
              <w:t>分</w:t>
            </w:r>
          </w:p>
          <w:p>
            <w:pPr>
              <w:pStyle w:val="19"/>
              <w:shd w:val="clear" w:color="auto" w:fill="auto"/>
              <w:spacing w:before="0" w:line="360" w:lineRule="auto"/>
              <w:ind w:firstLine="420" w:firstLineChars="200"/>
              <w:jc w:val="both"/>
              <w:rPr>
                <w:rFonts w:ascii="宋体" w:hAnsi="宋体" w:eastAsia="宋体" w:cs="MingLiU"/>
                <w:color w:val="auto"/>
                <w:spacing w:val="0"/>
                <w:kern w:val="2"/>
                <w:sz w:val="21"/>
                <w:szCs w:val="21"/>
                <w:highlight w:val="none"/>
              </w:rPr>
            </w:pPr>
            <w:r>
              <w:rPr>
                <w:rFonts w:hint="eastAsia" w:ascii="宋体" w:hAnsi="宋体" w:eastAsia="宋体" w:cs="MingLiU"/>
                <w:color w:val="auto"/>
                <w:spacing w:val="0"/>
                <w:kern w:val="2"/>
                <w:sz w:val="21"/>
                <w:szCs w:val="21"/>
                <w:highlight w:val="none"/>
              </w:rPr>
              <w:t>财务能力：</w:t>
            </w:r>
            <w:r>
              <w:rPr>
                <w:rFonts w:ascii="宋体" w:hAnsi="宋体" w:eastAsia="宋体" w:cs="MingLiU"/>
                <w:color w:val="auto"/>
                <w:spacing w:val="0"/>
                <w:kern w:val="2"/>
                <w:sz w:val="21"/>
                <w:szCs w:val="21"/>
                <w:highlight w:val="none"/>
              </w:rPr>
              <w:t>1</w:t>
            </w:r>
            <w:r>
              <w:rPr>
                <w:rFonts w:hint="eastAsia" w:ascii="宋体" w:hAnsi="宋体" w:eastAsia="宋体" w:cs="MingLiU"/>
                <w:color w:val="auto"/>
                <w:spacing w:val="0"/>
                <w:kern w:val="2"/>
                <w:sz w:val="21"/>
                <w:szCs w:val="21"/>
                <w:highlight w:val="none"/>
              </w:rPr>
              <w:t>分</w:t>
            </w:r>
          </w:p>
          <w:p>
            <w:pPr>
              <w:pStyle w:val="19"/>
              <w:shd w:val="clear" w:color="auto" w:fill="auto"/>
              <w:spacing w:before="0" w:line="360" w:lineRule="auto"/>
              <w:ind w:firstLine="420" w:firstLineChars="200"/>
              <w:jc w:val="both"/>
              <w:rPr>
                <w:rFonts w:ascii="宋体" w:hAnsi="宋体"/>
                <w:color w:val="auto"/>
                <w:kern w:val="2"/>
                <w:sz w:val="21"/>
                <w:szCs w:val="21"/>
                <w:highlight w:val="none"/>
              </w:rPr>
            </w:pPr>
            <w:r>
              <w:rPr>
                <w:rFonts w:hint="eastAsia" w:ascii="宋体" w:hAnsi="宋体" w:eastAsia="宋体" w:cs="MingLiU"/>
                <w:color w:val="auto"/>
                <w:spacing w:val="0"/>
                <w:kern w:val="2"/>
                <w:sz w:val="21"/>
                <w:szCs w:val="21"/>
                <w:highlight w:val="none"/>
              </w:rPr>
              <w:t>机械设备：</w:t>
            </w:r>
            <w:r>
              <w:rPr>
                <w:rFonts w:ascii="宋体" w:hAnsi="宋体" w:eastAsia="宋体"/>
                <w:color w:val="auto"/>
                <w:kern w:val="2"/>
                <w:sz w:val="21"/>
                <w:szCs w:val="21"/>
                <w:highlight w:val="none"/>
                <w:u w:val="single"/>
              </w:rPr>
              <w:t>0</w:t>
            </w:r>
            <w:r>
              <w:rPr>
                <w:rFonts w:hint="eastAsia" w:ascii="宋体" w:hAnsi="宋体"/>
                <w:color w:val="auto"/>
                <w:kern w:val="2"/>
                <w:sz w:val="21"/>
                <w:szCs w:val="21"/>
                <w:highlight w:val="none"/>
              </w:rPr>
              <w:t>分</w:t>
            </w:r>
          </w:p>
          <w:p>
            <w:pPr>
              <w:pStyle w:val="19"/>
              <w:shd w:val="clear" w:color="auto" w:fill="auto"/>
              <w:spacing w:before="0" w:line="360" w:lineRule="auto"/>
              <w:ind w:firstLine="401" w:firstLineChars="191"/>
              <w:jc w:val="both"/>
              <w:rPr>
                <w:rFonts w:ascii="宋体" w:hAnsi="宋体" w:eastAsia="宋体" w:cs="MingLiU"/>
                <w:color w:val="auto"/>
                <w:spacing w:val="0"/>
                <w:kern w:val="2"/>
                <w:sz w:val="21"/>
                <w:szCs w:val="21"/>
                <w:highlight w:val="none"/>
              </w:rPr>
            </w:pPr>
            <w:r>
              <w:rPr>
                <w:rFonts w:ascii="宋体" w:hAnsi="宋体" w:eastAsia="宋体" w:cs="MingLiU"/>
                <w:color w:val="auto"/>
                <w:spacing w:val="0"/>
                <w:kern w:val="2"/>
                <w:sz w:val="21"/>
                <w:szCs w:val="21"/>
                <w:highlight w:val="none"/>
              </w:rPr>
              <w:t>履约信誉</w:t>
            </w:r>
            <w:r>
              <w:rPr>
                <w:rFonts w:hint="eastAsia" w:ascii="宋体" w:hAnsi="宋体" w:eastAsia="宋体" w:cs="MingLiU"/>
                <w:color w:val="auto"/>
                <w:spacing w:val="0"/>
                <w:kern w:val="2"/>
                <w:sz w:val="21"/>
                <w:szCs w:val="21"/>
                <w:highlight w:val="none"/>
              </w:rPr>
              <w:t>：</w:t>
            </w:r>
            <w:r>
              <w:rPr>
                <w:rFonts w:ascii="宋体" w:hAnsi="宋体" w:eastAsia="宋体" w:cs="MingLiU"/>
                <w:color w:val="auto"/>
                <w:spacing w:val="0"/>
                <w:kern w:val="2"/>
                <w:sz w:val="21"/>
                <w:szCs w:val="21"/>
                <w:highlight w:val="none"/>
                <w:u w:val="none"/>
              </w:rPr>
              <w:t>10</w:t>
            </w:r>
            <w:r>
              <w:rPr>
                <w:rFonts w:hint="eastAsia" w:ascii="宋体" w:hAnsi="宋体" w:eastAsia="宋体" w:cs="MingLiU"/>
                <w:color w:val="auto"/>
                <w:spacing w:val="0"/>
                <w:kern w:val="2"/>
                <w:sz w:val="21"/>
                <w:szCs w:val="21"/>
                <w:highlight w:val="none"/>
              </w:rPr>
              <w:t>分</w:t>
            </w:r>
          </w:p>
          <w:p>
            <w:pPr>
              <w:pStyle w:val="19"/>
              <w:shd w:val="clear" w:color="auto" w:fill="auto"/>
              <w:spacing w:before="0" w:line="360" w:lineRule="auto"/>
              <w:ind w:firstLine="420" w:firstLineChars="200"/>
              <w:jc w:val="both"/>
              <w:rPr>
                <w:rFonts w:ascii="宋体" w:hAnsi="宋体" w:eastAsia="宋体" w:cs="MingLiU"/>
                <w:color w:val="auto"/>
                <w:spacing w:val="0"/>
                <w:kern w:val="2"/>
                <w:sz w:val="21"/>
                <w:szCs w:val="21"/>
                <w:highlight w:val="none"/>
              </w:rPr>
            </w:pPr>
            <w:r>
              <w:rPr>
                <w:rFonts w:hint="eastAsia" w:ascii="宋体" w:hAnsi="宋体" w:eastAsia="宋体" w:cs="MingLiU"/>
                <w:color w:val="auto"/>
                <w:spacing w:val="0"/>
                <w:kern w:val="2"/>
                <w:sz w:val="21"/>
                <w:szCs w:val="21"/>
                <w:highlight w:val="none"/>
              </w:rPr>
              <w:t>企业综合能力：</w:t>
            </w:r>
            <w:r>
              <w:rPr>
                <w:rFonts w:ascii="宋体" w:hAnsi="宋体" w:eastAsia="宋体" w:cs="MingLiU"/>
                <w:color w:val="auto"/>
                <w:spacing w:val="0"/>
                <w:kern w:val="2"/>
                <w:sz w:val="21"/>
                <w:szCs w:val="21"/>
                <w:highlight w:val="none"/>
              </w:rPr>
              <w:t>5</w:t>
            </w:r>
            <w:r>
              <w:rPr>
                <w:rFonts w:hint="eastAsia" w:ascii="宋体" w:hAnsi="宋体" w:eastAsia="宋体" w:cs="MingLiU"/>
                <w:color w:val="auto"/>
                <w:spacing w:val="0"/>
                <w:kern w:val="2"/>
                <w:sz w:val="21"/>
                <w:szCs w:val="21"/>
                <w:highlight w:val="none"/>
              </w:rPr>
              <w:t>分</w:t>
            </w:r>
          </w:p>
          <w:p>
            <w:pPr>
              <w:pStyle w:val="19"/>
              <w:shd w:val="clear" w:color="auto" w:fill="auto"/>
              <w:spacing w:before="0" w:line="360" w:lineRule="auto"/>
              <w:jc w:val="both"/>
              <w:rPr>
                <w:rFonts w:ascii="宋体" w:hAnsi="宋体" w:eastAsia="宋体" w:cs="MingLiU"/>
                <w:b/>
                <w:color w:val="auto"/>
                <w:kern w:val="2"/>
                <w:sz w:val="21"/>
                <w:szCs w:val="21"/>
                <w:highlight w:val="none"/>
              </w:rPr>
            </w:pPr>
            <w:r>
              <w:rPr>
                <w:rFonts w:ascii="宋体" w:hAnsi="宋体" w:eastAsia="宋体" w:cs="MingLiU"/>
                <w:b/>
                <w:color w:val="auto"/>
                <w:kern w:val="2"/>
                <w:sz w:val="21"/>
                <w:szCs w:val="21"/>
                <w:highlight w:val="none"/>
              </w:rPr>
              <w:t>第二个信封（报价文件）评分分值构成：</w:t>
            </w:r>
          </w:p>
          <w:p>
            <w:pPr>
              <w:spacing w:line="360" w:lineRule="auto"/>
              <w:rPr>
                <w:rFonts w:ascii="宋体" w:hAnsi="宋体" w:cs="MingLiU"/>
                <w:color w:val="auto"/>
                <w:sz w:val="20"/>
                <w:szCs w:val="20"/>
                <w:highlight w:val="none"/>
              </w:rPr>
            </w:pPr>
            <w:r>
              <w:rPr>
                <w:rFonts w:hint="eastAsia" w:ascii="宋体" w:hAnsi="宋体"/>
                <w:color w:val="auto"/>
                <w:szCs w:val="21"/>
                <w:highlight w:val="none"/>
              </w:rPr>
              <w:t>投</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报</w:t>
            </w:r>
            <w:r>
              <w:rPr>
                <w:rFonts w:ascii="宋体" w:hAnsi="宋体"/>
                <w:color w:val="auto"/>
                <w:szCs w:val="21"/>
                <w:highlight w:val="none"/>
              </w:rPr>
              <w:t xml:space="preserve"> </w:t>
            </w:r>
            <w:r>
              <w:rPr>
                <w:rFonts w:hint="eastAsia" w:ascii="宋体" w:hAnsi="宋体"/>
                <w:color w:val="auto"/>
                <w:szCs w:val="21"/>
                <w:highlight w:val="none"/>
              </w:rPr>
              <w:t>价：</w:t>
            </w:r>
            <w:r>
              <w:rPr>
                <w:rFonts w:ascii="宋体" w:hAnsi="宋体"/>
                <w:color w:val="auto"/>
                <w:szCs w:val="21"/>
                <w:highlight w:val="none"/>
                <w:u w:val="single"/>
              </w:rPr>
              <w:t>75</w:t>
            </w:r>
            <w:r>
              <w:rPr>
                <w:rFonts w:hint="eastAsia" w:ascii="宋体" w:hAnsi="宋体"/>
                <w:color w:val="auto"/>
                <w:szCs w:val="21"/>
                <w:highlight w:val="none"/>
              </w:rPr>
              <w:t>分</w:t>
            </w:r>
            <w:r>
              <w:rPr>
                <w:rFonts w:ascii="宋体" w:hAnsi="宋体"/>
                <w:color w:val="auto"/>
                <w:szCs w:val="21"/>
                <w:highlight w:val="none"/>
              </w:rPr>
              <w:t xml:space="preserve">              </w:t>
            </w:r>
          </w:p>
        </w:tc>
      </w:tr>
    </w:tbl>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200" w:lineRule="exact"/>
        <w:jc w:val="right"/>
        <w:rPr>
          <w:rStyle w:val="47"/>
          <w:rFonts w:ascii="宋体" w:hAnsi="宋体" w:eastAsia="宋体"/>
          <w:color w:val="auto"/>
          <w:highlight w:val="none"/>
        </w:rPr>
      </w:pPr>
      <w:r>
        <w:rPr>
          <w:rStyle w:val="47"/>
          <w:rFonts w:ascii="宋体" w:hAnsi="宋体" w:eastAsia="宋体"/>
          <w:color w:val="auto"/>
          <w:highlight w:val="none"/>
        </w:rPr>
        <w:br w:type="page"/>
      </w:r>
    </w:p>
    <w:tbl>
      <w:tblPr>
        <w:tblStyle w:val="12"/>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1269"/>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88" w:type="dxa"/>
            <w:shd w:val="clear" w:color="auto" w:fill="FFFFFF"/>
            <w:vAlign w:val="center"/>
          </w:tcPr>
          <w:p>
            <w:pPr>
              <w:pStyle w:val="19"/>
              <w:shd w:val="clear" w:color="auto" w:fill="auto"/>
              <w:spacing w:before="0" w:line="360" w:lineRule="auto"/>
              <w:jc w:val="center"/>
              <w:rPr>
                <w:rFonts w:ascii="宋体" w:hAnsi="宋体" w:eastAsia="宋体" w:cs="MingLiU"/>
                <w:color w:val="auto"/>
                <w:kern w:val="2"/>
                <w:szCs w:val="24"/>
                <w:highlight w:val="none"/>
              </w:rPr>
            </w:pPr>
            <w:r>
              <w:rPr>
                <w:rStyle w:val="38"/>
                <w:rFonts w:hint="eastAsia" w:ascii="宋体" w:hAnsi="宋体" w:eastAsia="宋体"/>
                <w:b w:val="0"/>
                <w:color w:val="auto"/>
                <w:kern w:val="2"/>
                <w:highlight w:val="none"/>
                <w:lang w:val="zh-CN"/>
              </w:rPr>
              <w:t>条款号</w:t>
            </w:r>
          </w:p>
        </w:tc>
        <w:tc>
          <w:tcPr>
            <w:tcW w:w="1269" w:type="dxa"/>
            <w:shd w:val="clear" w:color="auto" w:fill="FFFFFF"/>
            <w:vAlign w:val="center"/>
          </w:tcPr>
          <w:p>
            <w:pPr>
              <w:pStyle w:val="19"/>
              <w:shd w:val="clear" w:color="auto" w:fill="auto"/>
              <w:spacing w:before="0" w:line="360" w:lineRule="auto"/>
              <w:jc w:val="center"/>
              <w:rPr>
                <w:rFonts w:ascii="宋体" w:hAnsi="宋体" w:eastAsia="宋体" w:cs="MingLiU"/>
                <w:color w:val="auto"/>
                <w:kern w:val="2"/>
                <w:szCs w:val="24"/>
                <w:highlight w:val="none"/>
              </w:rPr>
            </w:pPr>
            <w:r>
              <w:rPr>
                <w:rStyle w:val="38"/>
                <w:rFonts w:hint="eastAsia" w:ascii="宋体" w:hAnsi="宋体" w:eastAsia="宋体"/>
                <w:b w:val="0"/>
                <w:color w:val="auto"/>
                <w:kern w:val="2"/>
                <w:highlight w:val="none"/>
                <w:lang w:val="zh-CN"/>
              </w:rPr>
              <w:t>条款内容</w:t>
            </w:r>
          </w:p>
        </w:tc>
        <w:tc>
          <w:tcPr>
            <w:tcW w:w="7104" w:type="dxa"/>
            <w:shd w:val="clear" w:color="auto" w:fill="FFFFFF"/>
            <w:vAlign w:val="center"/>
          </w:tcPr>
          <w:p>
            <w:pPr>
              <w:pStyle w:val="48"/>
              <w:shd w:val="clear" w:color="auto" w:fill="auto"/>
              <w:spacing w:before="0" w:after="0" w:line="360" w:lineRule="auto"/>
              <w:rPr>
                <w:rFonts w:ascii="宋体" w:hAnsi="宋体" w:eastAsia="宋体"/>
                <w:color w:val="auto"/>
                <w:highlight w:val="none"/>
                <w:lang w:val="zh-CN"/>
              </w:rPr>
            </w:pPr>
            <w:r>
              <w:rPr>
                <w:rStyle w:val="38"/>
                <w:rFonts w:hint="eastAsia" w:ascii="宋体" w:hAnsi="宋体" w:eastAsia="宋体"/>
                <w:b w:val="0"/>
                <w:color w:val="auto"/>
                <w:highlight w:val="none"/>
                <w:lang w:val="zh-CN"/>
              </w:rPr>
              <w:t>编列内容</w:t>
            </w:r>
          </w:p>
          <w:p>
            <w:pPr>
              <w:pStyle w:val="19"/>
              <w:shd w:val="clear" w:color="auto" w:fill="auto"/>
              <w:spacing w:before="0" w:line="360" w:lineRule="auto"/>
              <w:jc w:val="center"/>
              <w:rPr>
                <w:rFonts w:ascii="宋体" w:hAnsi="宋体" w:eastAsia="宋体" w:cs="MingLiU"/>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9" w:hRule="atLeast"/>
        </w:trPr>
        <w:tc>
          <w:tcPr>
            <w:tcW w:w="988" w:type="dxa"/>
            <w:shd w:val="clear" w:color="auto" w:fill="FFFFFF"/>
            <w:vAlign w:val="center"/>
          </w:tcPr>
          <w:p>
            <w:pPr>
              <w:spacing w:line="360" w:lineRule="auto"/>
              <w:jc w:val="center"/>
              <w:rPr>
                <w:rFonts w:ascii="宋体" w:hAnsi="宋体"/>
                <w:color w:val="auto"/>
                <w:szCs w:val="21"/>
                <w:highlight w:val="none"/>
              </w:rPr>
            </w:pPr>
            <w:r>
              <w:rPr>
                <w:rFonts w:ascii="宋体" w:hAnsi="宋体"/>
                <w:color w:val="auto"/>
                <w:szCs w:val="21"/>
                <w:highlight w:val="none"/>
              </w:rPr>
              <w:t>2.2.2</w:t>
            </w:r>
          </w:p>
        </w:tc>
        <w:tc>
          <w:tcPr>
            <w:tcW w:w="1269" w:type="dxa"/>
            <w:shd w:val="clear" w:color="auto" w:fill="FFFFFF"/>
            <w:vAlign w:val="center"/>
          </w:tcPr>
          <w:p>
            <w:pPr>
              <w:spacing w:line="360" w:lineRule="auto"/>
              <w:jc w:val="center"/>
              <w:rPr>
                <w:rFonts w:ascii="宋体" w:hAnsi="宋体"/>
                <w:color w:val="auto"/>
                <w:szCs w:val="21"/>
                <w:highlight w:val="none"/>
              </w:rPr>
            </w:pPr>
            <w:r>
              <w:rPr>
                <w:rFonts w:ascii="宋体" w:hAnsi="宋体"/>
                <w:color w:val="auto"/>
                <w:szCs w:val="21"/>
                <w:highlight w:val="none"/>
              </w:rPr>
              <w:t>评标基准价计算方法</w:t>
            </w:r>
          </w:p>
        </w:tc>
        <w:tc>
          <w:tcPr>
            <w:tcW w:w="7104" w:type="dxa"/>
            <w:shd w:val="clear" w:color="auto" w:fill="FFFFFF"/>
            <w:vAlign w:val="center"/>
          </w:tcPr>
          <w:p>
            <w:pPr>
              <w:ind w:right="124" w:rightChars="59"/>
              <w:rPr>
                <w:rFonts w:ascii="宋体" w:hAnsi="宋体"/>
                <w:color w:val="auto"/>
                <w:szCs w:val="21"/>
                <w:highlight w:val="none"/>
              </w:rPr>
            </w:pPr>
            <w:r>
              <w:rPr>
                <w:rFonts w:ascii="宋体" w:hAnsi="宋体"/>
                <w:color w:val="auto"/>
                <w:szCs w:val="21"/>
                <w:highlight w:val="none"/>
              </w:rPr>
              <w:t>评标基准价的计算：</w:t>
            </w:r>
          </w:p>
          <w:p>
            <w:pPr>
              <w:pStyle w:val="19"/>
              <w:shd w:val="clear" w:color="auto" w:fill="auto"/>
              <w:spacing w:before="0" w:line="240" w:lineRule="auto"/>
              <w:ind w:right="124" w:rightChars="59"/>
              <w:jc w:val="left"/>
              <w:rPr>
                <w:rFonts w:ascii="宋体" w:hAnsi="宋体" w:eastAsia="宋体" w:cs="MingLiU"/>
                <w:color w:val="auto"/>
                <w:kern w:val="2"/>
                <w:sz w:val="21"/>
                <w:szCs w:val="21"/>
                <w:highlight w:val="none"/>
                <w:lang w:val="zh-CN"/>
              </w:rPr>
            </w:pPr>
            <w:r>
              <w:rPr>
                <w:rStyle w:val="29"/>
                <w:rFonts w:hint="eastAsia" w:ascii="宋体" w:hAnsi="宋体" w:eastAsia="宋体"/>
                <w:color w:val="auto"/>
                <w:kern w:val="2"/>
                <w:sz w:val="21"/>
                <w:szCs w:val="21"/>
                <w:highlight w:val="none"/>
                <w:lang w:val="zh-CN"/>
              </w:rPr>
              <w:t>在开标现场，招标人将当场计算并宣布评标基准价。</w:t>
            </w:r>
          </w:p>
          <w:p>
            <w:pPr>
              <w:pStyle w:val="19"/>
              <w:numPr>
                <w:ilvl w:val="0"/>
                <w:numId w:val="3"/>
              </w:numPr>
              <w:shd w:val="clear" w:color="auto" w:fill="auto"/>
              <w:tabs>
                <w:tab w:val="left" w:pos="413"/>
              </w:tabs>
              <w:spacing w:before="0" w:line="240" w:lineRule="auto"/>
              <w:ind w:right="124" w:rightChars="59"/>
              <w:jc w:val="both"/>
              <w:rPr>
                <w:rStyle w:val="29"/>
                <w:rFonts w:ascii="宋体" w:hAnsi="宋体" w:eastAsia="宋体"/>
                <w:color w:val="auto"/>
                <w:kern w:val="2"/>
                <w:sz w:val="21"/>
                <w:szCs w:val="21"/>
                <w:highlight w:val="none"/>
                <w:lang w:val="zh-CN"/>
              </w:rPr>
            </w:pPr>
            <w:r>
              <w:rPr>
                <w:rStyle w:val="29"/>
                <w:rFonts w:hint="eastAsia" w:ascii="宋体" w:hAnsi="宋体" w:eastAsia="宋体"/>
                <w:color w:val="auto"/>
                <w:kern w:val="2"/>
                <w:sz w:val="21"/>
                <w:szCs w:val="21"/>
                <w:highlight w:val="none"/>
                <w:lang w:val="zh-CN"/>
              </w:rPr>
              <w:t>评标价的确定：评标价</w:t>
            </w:r>
            <w:r>
              <w:rPr>
                <w:rStyle w:val="29"/>
                <w:rFonts w:ascii="宋体" w:hAnsi="宋体" w:eastAsia="宋体"/>
                <w:color w:val="auto"/>
                <w:kern w:val="2"/>
                <w:sz w:val="21"/>
                <w:szCs w:val="21"/>
                <w:highlight w:val="none"/>
                <w:lang w:val="zh-CN"/>
              </w:rPr>
              <w:t>=</w:t>
            </w:r>
            <w:r>
              <w:rPr>
                <w:rStyle w:val="29"/>
                <w:rFonts w:hint="eastAsia" w:ascii="宋体" w:hAnsi="宋体" w:eastAsia="宋体"/>
                <w:color w:val="auto"/>
                <w:kern w:val="2"/>
                <w:sz w:val="21"/>
                <w:szCs w:val="21"/>
                <w:highlight w:val="none"/>
                <w:lang w:val="zh-CN"/>
              </w:rPr>
              <w:t>投标函文字报价</w:t>
            </w:r>
          </w:p>
          <w:p>
            <w:pPr>
              <w:ind w:right="124" w:rightChars="59"/>
              <w:rPr>
                <w:rFonts w:ascii="宋体" w:hAnsi="宋体"/>
                <w:color w:val="auto"/>
                <w:szCs w:val="21"/>
                <w:highlight w:val="none"/>
              </w:rPr>
            </w:pPr>
            <w:r>
              <w:rPr>
                <w:rFonts w:ascii="宋体" w:hAnsi="宋体"/>
                <w:color w:val="auto"/>
                <w:szCs w:val="21"/>
                <w:highlight w:val="none"/>
              </w:rPr>
              <w:t>(2)</w:t>
            </w:r>
            <w:r>
              <w:rPr>
                <w:rFonts w:ascii="宋体" w:hAnsi="宋体"/>
                <w:snapToGrid w:val="0"/>
                <w:color w:val="auto"/>
                <w:szCs w:val="21"/>
                <w:highlight w:val="none"/>
              </w:rPr>
              <w:t xml:space="preserve"> 最高评标限价的确定</w:t>
            </w:r>
          </w:p>
          <w:p>
            <w:pPr>
              <w:snapToGrid w:val="0"/>
              <w:ind w:right="124" w:rightChars="59" w:firstLine="420" w:firstLineChars="200"/>
              <w:rPr>
                <w:rFonts w:ascii="宋体" w:hAnsi="宋体"/>
                <w:snapToGrid w:val="0"/>
                <w:color w:val="auto"/>
                <w:szCs w:val="21"/>
                <w:highlight w:val="none"/>
              </w:rPr>
            </w:pPr>
            <w:r>
              <w:rPr>
                <w:rFonts w:hint="eastAsia" w:ascii="宋体" w:hAnsi="宋体"/>
                <w:snapToGrid w:val="0"/>
                <w:color w:val="auto"/>
                <w:szCs w:val="21"/>
                <w:highlight w:val="none"/>
              </w:rPr>
              <w:t>最高投标限价下浮率在开标前在开标现场采取逐标段摇珠方式确定。摇珠操作办法如下：在下浮率</w:t>
            </w:r>
            <w:r>
              <w:rPr>
                <w:rFonts w:hint="eastAsia" w:ascii="宋体" w:hAnsi="宋体" w:cs="宋体"/>
                <w:snapToGrid w:val="0"/>
                <w:color w:val="auto"/>
                <w:szCs w:val="21"/>
                <w:highlight w:val="none"/>
              </w:rPr>
              <w:t>（</w:t>
            </w:r>
            <w:r>
              <w:rPr>
                <w:rFonts w:ascii="宋体" w:hAnsi="宋体" w:cs="宋体"/>
                <w:snapToGrid w:val="0"/>
                <w:color w:val="auto"/>
                <w:szCs w:val="21"/>
                <w:highlight w:val="none"/>
              </w:rPr>
              <w:t>0-3%）</w:t>
            </w:r>
            <w:r>
              <w:rPr>
                <w:rFonts w:hint="eastAsia" w:ascii="宋体" w:hAnsi="宋体"/>
                <w:snapToGrid w:val="0"/>
                <w:color w:val="auto"/>
                <w:szCs w:val="21"/>
                <w:highlight w:val="none"/>
              </w:rPr>
              <w:t>摇珠范围内，以</w:t>
            </w:r>
            <w:r>
              <w:rPr>
                <w:rFonts w:ascii="宋体" w:hAnsi="宋体"/>
                <w:snapToGrid w:val="0"/>
                <w:color w:val="auto"/>
                <w:szCs w:val="21"/>
                <w:highlight w:val="none"/>
              </w:rPr>
              <w:t>0.1%为一档次增序确定摇珠号码，</w:t>
            </w:r>
            <w:r>
              <w:rPr>
                <w:rFonts w:hint="eastAsia" w:ascii="宋体" w:hAnsi="宋体"/>
                <w:snapToGrid w:val="0"/>
                <w:color w:val="auto"/>
                <w:szCs w:val="21"/>
                <w:highlight w:val="none"/>
              </w:rPr>
              <w:t>共</w:t>
            </w:r>
            <w:r>
              <w:rPr>
                <w:rFonts w:ascii="宋体" w:hAnsi="宋体"/>
                <w:snapToGrid w:val="0"/>
                <w:color w:val="auto"/>
                <w:szCs w:val="21"/>
                <w:highlight w:val="none"/>
              </w:rPr>
              <w:t>31个球，一次性摇出3个球（摇出的珠不放回），摇出3个球对应的下浮率的平均值即为本标段招标的下浮率。（注：</w:t>
            </w:r>
            <w:r>
              <w:rPr>
                <w:rFonts w:hint="eastAsia" w:ascii="宋体" w:hAnsi="宋体"/>
                <w:color w:val="auto"/>
                <w:szCs w:val="21"/>
                <w:highlight w:val="none"/>
              </w:rPr>
              <w:t>三个下浮率的平均值四舍五入取整到</w:t>
            </w:r>
            <w:r>
              <w:rPr>
                <w:rFonts w:ascii="宋体" w:hAnsi="宋体"/>
                <w:color w:val="auto"/>
                <w:szCs w:val="21"/>
                <w:highlight w:val="none"/>
              </w:rPr>
              <w:t>0.001％）</w:t>
            </w:r>
          </w:p>
          <w:p>
            <w:pPr>
              <w:snapToGrid w:val="0"/>
              <w:ind w:right="124" w:rightChars="59" w:firstLine="420" w:firstLineChars="200"/>
              <w:rPr>
                <w:rFonts w:ascii="宋体" w:hAnsi="宋体"/>
                <w:snapToGrid w:val="0"/>
                <w:color w:val="auto"/>
                <w:szCs w:val="21"/>
                <w:highlight w:val="none"/>
              </w:rPr>
            </w:pPr>
            <w:r>
              <w:rPr>
                <w:rFonts w:hint="eastAsia" w:ascii="宋体" w:hAnsi="宋体"/>
                <w:snapToGrid w:val="0"/>
                <w:color w:val="auto"/>
                <w:szCs w:val="21"/>
                <w:highlight w:val="none"/>
              </w:rPr>
              <w:t>最高评标限价＝最高投标限价×（</w:t>
            </w:r>
            <w:r>
              <w:rPr>
                <w:rFonts w:ascii="宋体" w:hAnsi="宋体"/>
                <w:snapToGrid w:val="0"/>
                <w:color w:val="auto"/>
                <w:szCs w:val="21"/>
                <w:highlight w:val="none"/>
              </w:rPr>
              <w:t>1-下浮率）</w:t>
            </w:r>
          </w:p>
          <w:p>
            <w:pPr>
              <w:ind w:right="124" w:rightChars="59"/>
              <w:rPr>
                <w:rFonts w:ascii="宋体" w:hAnsi="宋体"/>
                <w:snapToGrid w:val="0"/>
                <w:color w:val="auto"/>
                <w:szCs w:val="21"/>
                <w:highlight w:val="none"/>
              </w:rPr>
            </w:pPr>
            <w:r>
              <w:rPr>
                <w:rFonts w:ascii="宋体" w:hAnsi="宋体"/>
                <w:color w:val="auto"/>
                <w:szCs w:val="21"/>
                <w:highlight w:val="none"/>
              </w:rPr>
              <w:t xml:space="preserve"> (3)</w:t>
            </w:r>
            <w:r>
              <w:rPr>
                <w:rFonts w:ascii="宋体" w:hAnsi="宋体"/>
                <w:snapToGrid w:val="0"/>
                <w:color w:val="auto"/>
                <w:szCs w:val="21"/>
                <w:highlight w:val="none"/>
              </w:rPr>
              <w:t xml:space="preserve"> </w:t>
            </w:r>
            <w:r>
              <w:rPr>
                <w:rFonts w:hint="eastAsia" w:ascii="宋体" w:hAnsi="宋体"/>
                <w:color w:val="auto"/>
                <w:szCs w:val="21"/>
                <w:highlight w:val="none"/>
              </w:rPr>
              <w:t>有效评标价范围：</w:t>
            </w:r>
          </w:p>
          <w:p>
            <w:pPr>
              <w:ind w:right="124" w:rightChars="59" w:firstLine="420" w:firstLineChars="200"/>
              <w:rPr>
                <w:rFonts w:ascii="宋体" w:hAnsi="宋体"/>
                <w:color w:val="auto"/>
                <w:szCs w:val="21"/>
                <w:highlight w:val="none"/>
              </w:rPr>
            </w:pPr>
            <w:r>
              <w:rPr>
                <w:rFonts w:hint="eastAsia" w:ascii="宋体" w:hAnsi="宋体"/>
                <w:snapToGrid w:val="0"/>
                <w:color w:val="auto"/>
                <w:szCs w:val="21"/>
                <w:highlight w:val="none"/>
              </w:rPr>
              <w:t>有效评标价范围：</w:t>
            </w:r>
            <w:r>
              <w:rPr>
                <w:rFonts w:hint="eastAsia" w:ascii="宋体" w:hAnsi="宋体"/>
                <w:color w:val="auto"/>
                <w:szCs w:val="21"/>
                <w:highlight w:val="none"/>
              </w:rPr>
              <w:t>不大于最高评标限价的评标价为</w:t>
            </w:r>
            <w:r>
              <w:rPr>
                <w:rFonts w:hint="eastAsia" w:ascii="宋体" w:hAnsi="宋体"/>
                <w:snapToGrid w:val="0"/>
                <w:color w:val="auto"/>
                <w:szCs w:val="21"/>
                <w:highlight w:val="none"/>
              </w:rPr>
              <w:t>有效评标价</w:t>
            </w:r>
            <w:r>
              <w:rPr>
                <w:rFonts w:hint="eastAsia" w:ascii="宋体" w:hAnsi="宋体"/>
                <w:color w:val="auto"/>
                <w:szCs w:val="21"/>
                <w:highlight w:val="none"/>
              </w:rPr>
              <w:t>。若大于最高评标限价的评标价，将否决其投标。</w:t>
            </w:r>
          </w:p>
          <w:p>
            <w:pPr>
              <w:ind w:right="124" w:rightChars="5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4）确定参与评标基准价计算的评标价平均值计算：</w:t>
            </w:r>
          </w:p>
          <w:p>
            <w:pPr>
              <w:ind w:left="16" w:right="124" w:rightChars="59"/>
              <w:rPr>
                <w:rFonts w:ascii="宋体" w:hAnsi="宋体"/>
                <w:color w:val="auto"/>
                <w:szCs w:val="21"/>
                <w:highlight w:val="none"/>
              </w:rPr>
            </w:pPr>
            <w:r>
              <w:rPr>
                <w:rFonts w:hint="eastAsia" w:ascii="宋体" w:hAnsi="宋体"/>
                <w:snapToGrid w:val="0"/>
                <w:color w:val="auto"/>
                <w:szCs w:val="21"/>
                <w:highlight w:val="none"/>
              </w:rPr>
              <w:t>①参与评标基准价计算的</w:t>
            </w:r>
            <w:r>
              <w:rPr>
                <w:rFonts w:hint="eastAsia" w:ascii="宋体" w:hAnsi="宋体"/>
                <w:color w:val="auto"/>
                <w:szCs w:val="21"/>
                <w:highlight w:val="none"/>
              </w:rPr>
              <w:t>有效</w:t>
            </w:r>
            <w:r>
              <w:rPr>
                <w:rFonts w:hint="eastAsia" w:ascii="宋体" w:hAnsi="宋体"/>
                <w:snapToGrid w:val="0"/>
                <w:color w:val="auto"/>
                <w:szCs w:val="21"/>
                <w:highlight w:val="none"/>
              </w:rPr>
              <w:t>评标价范围：</w:t>
            </w:r>
            <w:r>
              <w:rPr>
                <w:rFonts w:hint="eastAsia" w:ascii="宋体" w:hAnsi="宋体"/>
                <w:color w:val="auto"/>
                <w:szCs w:val="21"/>
                <w:highlight w:val="none"/>
              </w:rPr>
              <w:t>最高评标限价的</w:t>
            </w:r>
            <w:r>
              <w:rPr>
                <w:rFonts w:ascii="宋体" w:hAnsi="宋体"/>
                <w:color w:val="auto"/>
                <w:szCs w:val="21"/>
                <w:highlight w:val="none"/>
              </w:rPr>
              <w:t>85%≤</w:t>
            </w:r>
            <w:r>
              <w:rPr>
                <w:rFonts w:hint="eastAsia" w:ascii="宋体" w:hAnsi="宋体"/>
                <w:snapToGrid w:val="0"/>
                <w:color w:val="auto"/>
                <w:szCs w:val="21"/>
                <w:highlight w:val="none"/>
              </w:rPr>
              <w:t>参与评标基准价计算的</w:t>
            </w:r>
            <w:r>
              <w:rPr>
                <w:rFonts w:hint="eastAsia" w:ascii="宋体" w:hAnsi="宋体"/>
                <w:color w:val="auto"/>
                <w:szCs w:val="21"/>
                <w:highlight w:val="none"/>
              </w:rPr>
              <w:t>有效</w:t>
            </w:r>
            <w:r>
              <w:rPr>
                <w:rFonts w:hint="eastAsia" w:ascii="宋体" w:hAnsi="宋体"/>
                <w:snapToGrid w:val="0"/>
                <w:color w:val="auto"/>
                <w:szCs w:val="21"/>
                <w:highlight w:val="none"/>
              </w:rPr>
              <w:t>评标价</w:t>
            </w:r>
            <w:r>
              <w:rPr>
                <w:rFonts w:hint="eastAsia" w:ascii="宋体" w:hAnsi="宋体"/>
                <w:color w:val="auto"/>
                <w:szCs w:val="21"/>
                <w:highlight w:val="none"/>
              </w:rPr>
              <w:t>≤最高评标限价的</w:t>
            </w:r>
            <w:r>
              <w:rPr>
                <w:rFonts w:ascii="宋体" w:hAnsi="宋体"/>
                <w:color w:val="auto"/>
                <w:szCs w:val="21"/>
                <w:highlight w:val="none"/>
              </w:rPr>
              <w:t>100%，小于最高评标限价85%</w:t>
            </w:r>
            <w:r>
              <w:rPr>
                <w:rFonts w:hint="eastAsia" w:ascii="宋体" w:hAnsi="宋体"/>
                <w:snapToGrid w:val="0"/>
                <w:color w:val="auto"/>
                <w:szCs w:val="21"/>
                <w:highlight w:val="none"/>
              </w:rPr>
              <w:t>的评标价不参与评标基准价的计算，但仍参与评标价的得分计算</w:t>
            </w:r>
            <w:r>
              <w:rPr>
                <w:rFonts w:hint="eastAsia" w:ascii="宋体" w:hAnsi="宋体"/>
                <w:color w:val="auto"/>
                <w:szCs w:val="21"/>
                <w:highlight w:val="none"/>
              </w:rPr>
              <w:t>。</w:t>
            </w:r>
          </w:p>
          <w:p>
            <w:pPr>
              <w:ind w:right="124" w:rightChars="59"/>
              <w:rPr>
                <w:rFonts w:ascii="宋体" w:hAnsi="宋体"/>
                <w:color w:val="auto"/>
                <w:szCs w:val="21"/>
                <w:highlight w:val="none"/>
              </w:rPr>
            </w:pPr>
            <w:r>
              <w:rPr>
                <w:rFonts w:hint="eastAsia" w:ascii="宋体" w:hAnsi="宋体"/>
                <w:snapToGrid w:val="0"/>
                <w:color w:val="auto"/>
                <w:szCs w:val="21"/>
                <w:highlight w:val="none"/>
              </w:rPr>
              <w:t>②</w:t>
            </w:r>
            <w:r>
              <w:rPr>
                <w:rFonts w:hint="eastAsia" w:ascii="宋体" w:hAnsi="宋体"/>
                <w:color w:val="auto"/>
                <w:szCs w:val="21"/>
                <w:highlight w:val="none"/>
              </w:rPr>
              <w:t>参与评标基准价计算的有效评标价</w:t>
            </w:r>
            <w:r>
              <w:rPr>
                <w:rFonts w:ascii="宋体" w:hAnsi="宋体"/>
                <w:color w:val="auto"/>
                <w:szCs w:val="21"/>
                <w:highlight w:val="none"/>
              </w:rPr>
              <w:t>平均值</w:t>
            </w:r>
            <w:r>
              <w:rPr>
                <w:rFonts w:hint="eastAsia" w:ascii="宋体" w:hAnsi="宋体"/>
                <w:snapToGrid w:val="0"/>
                <w:color w:val="auto"/>
                <w:szCs w:val="21"/>
                <w:highlight w:val="none"/>
              </w:rPr>
              <w:t>：</w:t>
            </w:r>
            <w:r>
              <w:rPr>
                <w:rStyle w:val="29"/>
                <w:rFonts w:hint="eastAsia" w:ascii="宋体" w:hAnsi="宋体" w:eastAsia="宋体"/>
                <w:color w:val="auto"/>
                <w:highlight w:val="none"/>
              </w:rPr>
              <w:t>除按第二章“投标人须知”第</w:t>
            </w:r>
            <w:r>
              <w:rPr>
                <w:rStyle w:val="29"/>
                <w:rFonts w:ascii="宋体" w:hAnsi="宋体" w:eastAsia="宋体"/>
                <w:color w:val="auto"/>
                <w:highlight w:val="none"/>
              </w:rPr>
              <w:t>5.2.4</w:t>
            </w:r>
            <w:r>
              <w:rPr>
                <w:rStyle w:val="29"/>
                <w:rFonts w:hint="eastAsia" w:ascii="宋体" w:hAnsi="宋体" w:eastAsia="宋体"/>
                <w:color w:val="auto"/>
                <w:highlight w:val="none"/>
              </w:rPr>
              <w:t>项规定开标现场被宣布为不进入评标基准价计算的投标报价之外</w:t>
            </w:r>
            <w:r>
              <w:rPr>
                <w:rFonts w:ascii="宋体" w:hAnsi="宋体"/>
                <w:color w:val="auto"/>
                <w:szCs w:val="21"/>
                <w:highlight w:val="none"/>
              </w:rPr>
              <w:t>，</w:t>
            </w:r>
            <w:r>
              <w:rPr>
                <w:rFonts w:hint="eastAsia" w:ascii="宋体" w:hAnsi="宋体"/>
                <w:color w:val="auto"/>
                <w:szCs w:val="21"/>
                <w:highlight w:val="none"/>
              </w:rPr>
              <w:t>在上述确定的</w:t>
            </w:r>
            <w:r>
              <w:rPr>
                <w:rFonts w:hint="eastAsia" w:ascii="宋体" w:hAnsi="宋体"/>
                <w:snapToGrid w:val="0"/>
                <w:color w:val="auto"/>
                <w:szCs w:val="21"/>
                <w:highlight w:val="none"/>
              </w:rPr>
              <w:t>参与评标基准价计算的评标价中</w:t>
            </w:r>
            <w:r>
              <w:rPr>
                <w:rFonts w:ascii="宋体" w:hAnsi="宋体"/>
                <w:color w:val="auto"/>
                <w:szCs w:val="21"/>
                <w:highlight w:val="none"/>
              </w:rPr>
              <w:t>去掉一个最高值和一个最低值后的算术平均值即为</w:t>
            </w:r>
            <w:r>
              <w:rPr>
                <w:rFonts w:hint="eastAsia" w:ascii="宋体" w:hAnsi="宋体"/>
                <w:snapToGrid w:val="0"/>
                <w:color w:val="auto"/>
                <w:szCs w:val="21"/>
                <w:highlight w:val="none"/>
              </w:rPr>
              <w:t>参与评标基准价计算的有效</w:t>
            </w:r>
            <w:r>
              <w:rPr>
                <w:rFonts w:hint="eastAsia" w:ascii="宋体" w:hAnsi="宋体"/>
                <w:color w:val="auto"/>
                <w:szCs w:val="21"/>
                <w:highlight w:val="none"/>
              </w:rPr>
              <w:t>评标价</w:t>
            </w:r>
            <w:r>
              <w:rPr>
                <w:rFonts w:ascii="宋体" w:hAnsi="宋体"/>
                <w:color w:val="auto"/>
                <w:szCs w:val="21"/>
                <w:highlight w:val="none"/>
              </w:rPr>
              <w:t>平均值(如果参与评标价平均值计算的有效投标人少于5家时，则计算</w:t>
            </w:r>
            <w:r>
              <w:rPr>
                <w:rFonts w:hint="eastAsia" w:ascii="宋体" w:hAnsi="宋体"/>
                <w:color w:val="auto"/>
                <w:szCs w:val="21"/>
                <w:highlight w:val="none"/>
              </w:rPr>
              <w:t>上述</w:t>
            </w:r>
            <w:r>
              <w:rPr>
                <w:rFonts w:ascii="宋体" w:hAnsi="宋体"/>
                <w:color w:val="auto"/>
                <w:szCs w:val="21"/>
                <w:highlight w:val="none"/>
              </w:rPr>
              <w:t>平均值时不去掉最高值和最低值)；</w:t>
            </w:r>
          </w:p>
          <w:p>
            <w:pPr>
              <w:ind w:right="124" w:rightChars="59" w:firstLine="420" w:firstLineChars="200"/>
              <w:rPr>
                <w:rFonts w:ascii="宋体" w:hAnsi="宋体"/>
                <w:color w:val="auto"/>
                <w:szCs w:val="21"/>
                <w:highlight w:val="none"/>
              </w:rPr>
            </w:pPr>
            <w:r>
              <w:rPr>
                <w:rFonts w:hint="eastAsia" w:ascii="宋体" w:hAnsi="宋体"/>
                <w:color w:val="auto"/>
                <w:szCs w:val="21"/>
                <w:highlight w:val="none"/>
              </w:rPr>
              <w:t>若投标人的评标价均小于最高评标限价的</w:t>
            </w:r>
            <w:r>
              <w:rPr>
                <w:rFonts w:ascii="宋体" w:hAnsi="宋体"/>
                <w:color w:val="auto"/>
                <w:szCs w:val="21"/>
                <w:highlight w:val="none"/>
              </w:rPr>
              <w:t>85%时，则以最高评标限价的85%为评标基准价，同时可对评标价小于最高评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w:t>
            </w:r>
            <w:r>
              <w:rPr>
                <w:rFonts w:hint="eastAsia" w:ascii="宋体" w:hAnsi="宋体"/>
                <w:color w:val="auto"/>
                <w:szCs w:val="21"/>
                <w:highlight w:val="none"/>
              </w:rPr>
              <w:t>。</w:t>
            </w:r>
            <w:r>
              <w:rPr>
                <w:rFonts w:ascii="宋体" w:hAnsi="宋体"/>
                <w:color w:val="auto"/>
                <w:szCs w:val="21"/>
                <w:highlight w:val="none"/>
              </w:rPr>
              <w:t>未否决全部投标的，评标委员会应当在评标报告中阐明理由</w:t>
            </w:r>
            <w:r>
              <w:rPr>
                <w:rFonts w:hint="eastAsia" w:ascii="宋体" w:hAnsi="宋体"/>
                <w:color w:val="auto"/>
                <w:szCs w:val="21"/>
                <w:highlight w:val="none"/>
              </w:rPr>
              <w:t>并推荐中标候选人。</w:t>
            </w:r>
          </w:p>
          <w:p>
            <w:pPr>
              <w:ind w:right="124" w:rightChars="59" w:firstLine="42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即使某投标文件第二个信封未通过形式评审与响应性评审，如其报价处于参与评标基准价计算的有效评标价的范围内，其评标价仍应参与有效评标价平均值的计算。</w:t>
            </w:r>
          </w:p>
          <w:p>
            <w:pPr>
              <w:spacing w:line="240" w:lineRule="auto"/>
              <w:ind w:right="124" w:rightChars="59" w:firstLine="420" w:firstLineChars="200"/>
              <w:rPr>
                <w:rFonts w:ascii="宋体" w:hAnsi="宋体"/>
                <w:snapToGrid w:val="0"/>
                <w:color w:val="auto"/>
                <w:szCs w:val="21"/>
                <w:highlight w:val="none"/>
              </w:rPr>
            </w:pPr>
            <w:r>
              <w:rPr>
                <w:rFonts w:ascii="宋体" w:hAnsi="宋体"/>
                <w:color w:val="auto"/>
                <w:szCs w:val="21"/>
                <w:highlight w:val="none"/>
              </w:rPr>
              <w:t>(5)评标基准价的确定</w:t>
            </w:r>
            <w:r>
              <w:rPr>
                <w:rFonts w:hint="eastAsia" w:ascii="宋体" w:hAnsi="宋体"/>
                <w:color w:val="auto"/>
                <w:szCs w:val="21"/>
                <w:highlight w:val="none"/>
              </w:rPr>
              <w:t>：</w:t>
            </w:r>
            <w:r>
              <w:rPr>
                <w:rFonts w:hint="eastAsia" w:ascii="宋体" w:hAnsi="宋体"/>
                <w:snapToGrid w:val="0"/>
                <w:color w:val="auto"/>
                <w:szCs w:val="21"/>
                <w:highlight w:val="none"/>
              </w:rPr>
              <w:t>最高评标限价下浮</w:t>
            </w:r>
            <w:r>
              <w:rPr>
                <w:rFonts w:ascii="宋体" w:hAnsi="宋体"/>
                <w:snapToGrid w:val="0"/>
                <w:color w:val="auto"/>
                <w:szCs w:val="21"/>
                <w:highlight w:val="none"/>
              </w:rPr>
              <w:t>1.0%</w:t>
            </w:r>
            <w:r>
              <w:rPr>
                <w:rFonts w:hint="eastAsia" w:ascii="宋体" w:hAnsi="宋体"/>
                <w:snapToGrid w:val="0"/>
                <w:color w:val="auto"/>
                <w:szCs w:val="21"/>
                <w:highlight w:val="none"/>
              </w:rPr>
              <w:t>作为评标基准价</w:t>
            </w:r>
          </w:p>
          <w:p>
            <w:pPr>
              <w:spacing w:line="300" w:lineRule="exact"/>
              <w:ind w:right="124" w:rightChars="59" w:firstLine="375" w:firstLineChars="150"/>
              <w:rPr>
                <w:rFonts w:ascii="宋体" w:hAnsi="宋体"/>
                <w:color w:val="auto"/>
                <w:szCs w:val="21"/>
                <w:highlight w:val="none"/>
              </w:rPr>
            </w:pPr>
            <w:r>
              <w:rPr>
                <w:rFonts w:hint="eastAsia" w:ascii="宋体" w:hAnsi="宋体"/>
                <w:color w:val="auto"/>
                <w:spacing w:val="20"/>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ind w:right="124" w:rightChars="59"/>
              <w:rPr>
                <w:rFonts w:ascii="宋体" w:hAnsi="宋体"/>
                <w:color w:val="auto"/>
                <w:szCs w:val="21"/>
                <w:highlight w:val="none"/>
              </w:rPr>
            </w:pPr>
            <w:r>
              <w:rPr>
                <w:rFonts w:hint="eastAsia" w:ascii="宋体" w:hAnsi="宋体"/>
                <w:color w:val="auto"/>
                <w:szCs w:val="21"/>
                <w:highlight w:val="none"/>
              </w:rPr>
              <w:t>备注：最高评标限价、评标基准价四舍五入至个位整数。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88" w:type="dxa"/>
            <w:shd w:val="clear" w:color="auto" w:fill="FFFFFF"/>
            <w:vAlign w:val="center"/>
          </w:tcPr>
          <w:p>
            <w:pPr>
              <w:spacing w:line="360" w:lineRule="auto"/>
              <w:jc w:val="center"/>
              <w:rPr>
                <w:rFonts w:ascii="宋体" w:hAnsi="宋体"/>
                <w:color w:val="auto"/>
                <w:szCs w:val="21"/>
                <w:highlight w:val="none"/>
              </w:rPr>
            </w:pPr>
            <w:r>
              <w:rPr>
                <w:rFonts w:ascii="宋体" w:hAnsi="宋体"/>
                <w:color w:val="auto"/>
                <w:szCs w:val="21"/>
                <w:highlight w:val="none"/>
              </w:rPr>
              <w:t>2.2.3</w:t>
            </w:r>
          </w:p>
        </w:tc>
        <w:tc>
          <w:tcPr>
            <w:tcW w:w="1269" w:type="dxa"/>
            <w:shd w:val="clear" w:color="auto" w:fill="FFFFFF"/>
            <w:vAlign w:val="center"/>
          </w:tcPr>
          <w:p>
            <w:pPr>
              <w:spacing w:line="240" w:lineRule="exact"/>
              <w:jc w:val="center"/>
              <w:rPr>
                <w:rFonts w:ascii="宋体" w:hAnsi="宋体"/>
                <w:color w:val="auto"/>
                <w:szCs w:val="21"/>
                <w:highlight w:val="none"/>
              </w:rPr>
            </w:pPr>
            <w:r>
              <w:rPr>
                <w:rFonts w:ascii="宋体" w:hAnsi="宋体"/>
                <w:color w:val="auto"/>
                <w:szCs w:val="21"/>
                <w:highlight w:val="none"/>
              </w:rPr>
              <w:t>评标价的偏差率计算公式</w:t>
            </w:r>
          </w:p>
        </w:tc>
        <w:tc>
          <w:tcPr>
            <w:tcW w:w="7104" w:type="dxa"/>
            <w:shd w:val="clear" w:color="auto" w:fill="FFFFFF"/>
            <w:vAlign w:val="center"/>
          </w:tcPr>
          <w:p>
            <w:pPr>
              <w:spacing w:line="360" w:lineRule="auto"/>
              <w:ind w:firstLine="420" w:firstLineChars="200"/>
              <w:rPr>
                <w:rFonts w:ascii="宋体" w:hAnsi="宋体"/>
                <w:color w:val="auto"/>
                <w:szCs w:val="21"/>
                <w:highlight w:val="none"/>
              </w:rPr>
            </w:pPr>
            <w:r>
              <w:rPr>
                <w:rFonts w:ascii="宋体" w:hAnsi="宋体"/>
                <w:color w:val="auto"/>
                <w:szCs w:val="21"/>
                <w:highlight w:val="none"/>
              </w:rPr>
              <w:t>偏差率=100% ×(投标人评标价－评标基准价)/评标基准价</w:t>
            </w:r>
          </w:p>
        </w:tc>
      </w:tr>
    </w:tbl>
    <w:p>
      <w:pPr>
        <w:spacing w:line="360" w:lineRule="auto"/>
        <w:rPr>
          <w:rFonts w:ascii="宋体" w:hAnsi="宋体"/>
          <w:color w:val="auto"/>
          <w:sz w:val="2"/>
          <w:szCs w:val="2"/>
          <w:highlight w:val="none"/>
        </w:rPr>
        <w:sectPr>
          <w:footnotePr>
            <w:numRestart w:val="eachPage"/>
          </w:footnotePr>
          <w:pgSz w:w="11900" w:h="16840"/>
          <w:pgMar w:top="1418" w:right="1418" w:bottom="1418" w:left="1418" w:header="680" w:footer="680" w:gutter="0"/>
          <w:cols w:space="720" w:num="1"/>
          <w:docGrid w:linePitch="360" w:charSpace="0"/>
        </w:sectPr>
      </w:pPr>
    </w:p>
    <w:tbl>
      <w:tblPr>
        <w:tblStyle w:val="12"/>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772"/>
        <w:gridCol w:w="816"/>
        <w:gridCol w:w="737"/>
        <w:gridCol w:w="1200"/>
        <w:gridCol w:w="777"/>
        <w:gridCol w:w="4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70" w:type="dxa"/>
            <w:gridSpan w:val="6"/>
          </w:tcPr>
          <w:p>
            <w:pPr>
              <w:snapToGrid w:val="0"/>
              <w:spacing w:line="240" w:lineRule="atLeast"/>
              <w:jc w:val="center"/>
              <w:rPr>
                <w:rFonts w:ascii="宋体" w:hAnsi="宋体"/>
                <w:color w:val="auto"/>
                <w:szCs w:val="21"/>
                <w:highlight w:val="none"/>
              </w:rPr>
            </w:pPr>
            <w:r>
              <w:rPr>
                <w:rFonts w:ascii="宋体" w:hAnsi="宋体"/>
                <w:color w:val="auto"/>
                <w:szCs w:val="21"/>
                <w:highlight w:val="none"/>
              </w:rPr>
              <w:t>评分因素与权重分值</w:t>
            </w:r>
          </w:p>
        </w:tc>
        <w:tc>
          <w:tcPr>
            <w:tcW w:w="4295" w:type="dxa"/>
            <w:vMerge w:val="restart"/>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068"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条款号</w:t>
            </w:r>
          </w:p>
        </w:tc>
        <w:tc>
          <w:tcPr>
            <w:tcW w:w="1588" w:type="dxa"/>
            <w:gridSpan w:val="2"/>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评分因素</w:t>
            </w:r>
          </w:p>
        </w:tc>
        <w:tc>
          <w:tcPr>
            <w:tcW w:w="737"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评分因素权重分值</w:t>
            </w:r>
          </w:p>
        </w:tc>
        <w:tc>
          <w:tcPr>
            <w:tcW w:w="1200"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各评分因素细分项</w:t>
            </w:r>
          </w:p>
        </w:tc>
        <w:tc>
          <w:tcPr>
            <w:tcW w:w="777"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分值</w:t>
            </w:r>
          </w:p>
        </w:tc>
        <w:tc>
          <w:tcPr>
            <w:tcW w:w="4295" w:type="dxa"/>
            <w:vMerge w:val="continue"/>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2.2.4(1)</w:t>
            </w:r>
          </w:p>
        </w:tc>
        <w:tc>
          <w:tcPr>
            <w:tcW w:w="1588" w:type="dxa"/>
            <w:gridSpan w:val="2"/>
            <w:vMerge w:val="restart"/>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施工组织设计</w:t>
            </w:r>
          </w:p>
        </w:tc>
        <w:tc>
          <w:tcPr>
            <w:tcW w:w="737" w:type="dxa"/>
            <w:vMerge w:val="restart"/>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u w:val="single"/>
                <w:lang w:val="en-US" w:eastAsia="zh-CN"/>
              </w:rPr>
              <w:t>6</w:t>
            </w:r>
            <w:r>
              <w:rPr>
                <w:rFonts w:ascii="宋体" w:hAnsi="宋体"/>
                <w:color w:val="auto"/>
                <w:szCs w:val="21"/>
                <w:highlight w:val="none"/>
              </w:rPr>
              <w:t>分</w:t>
            </w:r>
          </w:p>
        </w:tc>
        <w:tc>
          <w:tcPr>
            <w:tcW w:w="1200" w:type="dxa"/>
            <w:vAlign w:val="center"/>
          </w:tcPr>
          <w:p>
            <w:pPr>
              <w:jc w:val="center"/>
              <w:rPr>
                <w:rFonts w:ascii="宋体" w:hAnsi="宋体"/>
                <w:color w:val="auto"/>
                <w:szCs w:val="21"/>
                <w:highlight w:val="none"/>
              </w:rPr>
            </w:pPr>
            <w:r>
              <w:rPr>
                <w:rStyle w:val="34"/>
                <w:rFonts w:hint="eastAsia" w:ascii="宋体" w:hAnsi="宋体" w:eastAsia="宋体" w:cs="宋体"/>
                <w:color w:val="auto"/>
                <w:sz w:val="21"/>
                <w:szCs w:val="21"/>
                <w:highlight w:val="none"/>
              </w:rPr>
              <w:t>机械配备及进场计划</w:t>
            </w:r>
          </w:p>
        </w:tc>
        <w:tc>
          <w:tcPr>
            <w:tcW w:w="777" w:type="dxa"/>
            <w:vAlign w:val="center"/>
          </w:tcPr>
          <w:p>
            <w:pPr>
              <w:pStyle w:val="19"/>
              <w:shd w:val="clear" w:color="auto" w:fill="auto"/>
              <w:spacing w:before="0" w:line="360" w:lineRule="auto"/>
              <w:jc w:val="center"/>
              <w:rPr>
                <w:rFonts w:ascii="宋体" w:hAnsi="宋体" w:cs="MingLiU"/>
                <w:color w:val="auto"/>
                <w:kern w:val="2"/>
                <w:sz w:val="21"/>
                <w:szCs w:val="21"/>
                <w:highlight w:val="none"/>
              </w:rPr>
            </w:pPr>
            <w:r>
              <w:rPr>
                <w:rStyle w:val="30"/>
                <w:rFonts w:ascii="宋体" w:hAnsi="宋体" w:eastAsia="宋体" w:cs="宋体"/>
                <w:color w:val="auto"/>
                <w:kern w:val="2"/>
                <w:sz w:val="21"/>
                <w:szCs w:val="21"/>
                <w:highlight w:val="none"/>
              </w:rPr>
              <w:t>1</w:t>
            </w:r>
            <w:r>
              <w:rPr>
                <w:rStyle w:val="30"/>
                <w:rFonts w:hint="eastAsia" w:ascii="宋体" w:hAnsi="宋体" w:eastAsia="宋体" w:cs="宋体"/>
                <w:color w:val="auto"/>
                <w:kern w:val="2"/>
                <w:sz w:val="21"/>
                <w:szCs w:val="21"/>
                <w:highlight w:val="none"/>
                <w:lang w:val="zh-CN"/>
              </w:rPr>
              <w:t>分</w:t>
            </w:r>
          </w:p>
        </w:tc>
        <w:tc>
          <w:tcPr>
            <w:tcW w:w="4295" w:type="dxa"/>
            <w:vAlign w:val="center"/>
          </w:tcPr>
          <w:p>
            <w:pPr>
              <w:ind w:firstLine="420" w:firstLineChars="200"/>
              <w:jc w:val="left"/>
              <w:rPr>
                <w:rFonts w:ascii="宋体" w:hAnsi="宋体" w:cs="宋体"/>
                <w:color w:val="auto"/>
                <w:szCs w:val="21"/>
                <w:highlight w:val="none"/>
              </w:rPr>
            </w:pPr>
            <w:r>
              <w:rPr>
                <w:rFonts w:ascii="宋体" w:hAnsi="宋体" w:cs="宋体"/>
                <w:color w:val="auto"/>
                <w:szCs w:val="21"/>
                <w:highlight w:val="none"/>
              </w:rPr>
              <w:t>1、设备配置数量足、合理，主要设备落实与进度吻合得[0.8，0.75）分；设备配置数量足、基本合理，主要设备落实与进度基本吻合得[0.75，0.7）分；设备配置不足、欠合理，主要设备基本落实与进度欠吻合得[0.7，0.6]分；没有提供机械设备及进场计划的，得0分。</w:t>
            </w:r>
          </w:p>
          <w:p>
            <w:pPr>
              <w:ind w:firstLine="420" w:firstLineChars="200"/>
              <w:jc w:val="left"/>
              <w:rPr>
                <w:rFonts w:ascii="宋体" w:hAnsi="宋体" w:cs="宋体"/>
                <w:color w:val="auto"/>
                <w:szCs w:val="21"/>
                <w:highlight w:val="none"/>
              </w:rPr>
            </w:pPr>
            <w:r>
              <w:rPr>
                <w:rFonts w:ascii="宋体" w:hAnsi="宋体" w:cs="宋体"/>
                <w:color w:val="auto"/>
                <w:szCs w:val="21"/>
                <w:highlight w:val="none"/>
              </w:rPr>
              <w:t>2、为确保按工期完工，承诺拟投入的筒仓滑膜设备有2</w:t>
            </w:r>
            <w:r>
              <w:rPr>
                <w:rFonts w:hint="eastAsia" w:ascii="宋体" w:hAnsi="宋体" w:cs="宋体"/>
                <w:color w:val="auto"/>
                <w:szCs w:val="21"/>
                <w:highlight w:val="none"/>
              </w:rPr>
              <w:t>套的，加</w:t>
            </w:r>
            <w:r>
              <w:rPr>
                <w:rFonts w:ascii="宋体" w:hAnsi="宋体" w:cs="宋体"/>
                <w:color w:val="auto"/>
                <w:szCs w:val="21"/>
                <w:highlight w:val="none"/>
              </w:rPr>
              <w:t>0.1分；2套以上的加0.2分；其余不得分。</w:t>
            </w:r>
          </w:p>
          <w:p>
            <w:pPr>
              <w:ind w:firstLine="420" w:firstLineChars="200"/>
              <w:jc w:val="left"/>
              <w:rPr>
                <w:rFonts w:ascii="宋体" w:hAnsi="宋体"/>
                <w:color w:val="auto"/>
                <w:szCs w:val="21"/>
                <w:highlight w:val="none"/>
              </w:rPr>
            </w:pPr>
            <w:r>
              <w:rPr>
                <w:rFonts w:ascii="宋体" w:hAnsi="宋体" w:cs="宋体"/>
                <w:color w:val="auto"/>
                <w:szCs w:val="21"/>
                <w:highlight w:val="none"/>
              </w:rPr>
              <w:t>3、以上合计1分。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4"/>
                <w:rFonts w:ascii="宋体" w:hAnsi="宋体" w:eastAsia="宋体"/>
                <w:color w:val="auto"/>
                <w:sz w:val="21"/>
                <w:szCs w:val="21"/>
                <w:highlight w:val="none"/>
              </w:rPr>
            </w:pPr>
            <w:r>
              <w:rPr>
                <w:rStyle w:val="34"/>
                <w:rFonts w:hint="eastAsia" w:ascii="宋体" w:hAnsi="宋体" w:eastAsia="宋体" w:cs="宋体"/>
                <w:color w:val="auto"/>
                <w:sz w:val="21"/>
                <w:szCs w:val="21"/>
                <w:highlight w:val="none"/>
              </w:rPr>
              <w:t>施工场地布置</w:t>
            </w:r>
          </w:p>
        </w:tc>
        <w:tc>
          <w:tcPr>
            <w:tcW w:w="777" w:type="dxa"/>
            <w:vAlign w:val="center"/>
          </w:tcPr>
          <w:p>
            <w:pPr>
              <w:spacing w:line="360" w:lineRule="auto"/>
              <w:jc w:val="center"/>
              <w:rPr>
                <w:rStyle w:val="34"/>
                <w:rFonts w:ascii="宋体" w:hAnsi="宋体" w:eastAsia="宋体"/>
                <w:color w:val="auto"/>
                <w:sz w:val="21"/>
                <w:szCs w:val="21"/>
                <w:highlight w:val="none"/>
                <w:u w:val="single"/>
              </w:rPr>
            </w:pPr>
            <w:r>
              <w:rPr>
                <w:rStyle w:val="30"/>
                <w:rFonts w:ascii="宋体" w:hAnsi="宋体" w:eastAsia="宋体" w:cs="宋体"/>
                <w:color w:val="auto"/>
                <w:sz w:val="21"/>
                <w:szCs w:val="21"/>
                <w:highlight w:val="none"/>
              </w:rPr>
              <w:t>0.5分</w:t>
            </w:r>
          </w:p>
        </w:tc>
        <w:tc>
          <w:tcPr>
            <w:tcW w:w="4295" w:type="dxa"/>
            <w:vAlign w:val="center"/>
          </w:tcPr>
          <w:p>
            <w:pPr>
              <w:ind w:firstLine="420" w:firstLineChars="200"/>
              <w:jc w:val="left"/>
              <w:rPr>
                <w:rStyle w:val="34"/>
                <w:rFonts w:ascii="宋体" w:hAnsi="宋体" w:eastAsia="宋体"/>
                <w:color w:val="auto"/>
                <w:sz w:val="21"/>
                <w:szCs w:val="21"/>
                <w:highlight w:val="none"/>
              </w:rPr>
            </w:pPr>
            <w:r>
              <w:rPr>
                <w:rFonts w:ascii="宋体" w:hAnsi="宋体" w:eastAsia="宋体" w:cs="宋体"/>
                <w:color w:val="auto"/>
                <w:sz w:val="21"/>
                <w:szCs w:val="21"/>
                <w:highlight w:val="none"/>
              </w:rPr>
              <w:t>可行、布置合理、具体得[0.5，0.4）分；可行、布置基本合理、具体得[0.4，0.35）分；布置欠合理、不够具体得[0.35，0.3] 分；没有提供施工场地布置计划的，得0分。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4"/>
                <w:rFonts w:ascii="宋体" w:hAnsi="宋体" w:eastAsia="宋体"/>
                <w:color w:val="auto"/>
                <w:sz w:val="21"/>
                <w:szCs w:val="21"/>
                <w:highlight w:val="none"/>
              </w:rPr>
            </w:pPr>
            <w:r>
              <w:rPr>
                <w:rStyle w:val="34"/>
                <w:rFonts w:hint="eastAsia" w:ascii="宋体" w:hAnsi="宋体" w:eastAsia="宋体" w:cs="宋体"/>
                <w:color w:val="auto"/>
                <w:sz w:val="21"/>
                <w:szCs w:val="21"/>
                <w:highlight w:val="none"/>
              </w:rPr>
              <w:t>施工工艺流程</w:t>
            </w:r>
          </w:p>
        </w:tc>
        <w:tc>
          <w:tcPr>
            <w:tcW w:w="777" w:type="dxa"/>
            <w:vAlign w:val="center"/>
          </w:tcPr>
          <w:p>
            <w:pPr>
              <w:spacing w:line="360" w:lineRule="auto"/>
              <w:jc w:val="center"/>
              <w:rPr>
                <w:rStyle w:val="34"/>
                <w:rFonts w:ascii="宋体" w:hAnsi="宋体" w:eastAsia="宋体"/>
                <w:color w:val="auto"/>
                <w:sz w:val="21"/>
                <w:szCs w:val="21"/>
                <w:highlight w:val="none"/>
                <w:u w:val="single"/>
              </w:rPr>
            </w:pPr>
            <w:r>
              <w:rPr>
                <w:rStyle w:val="30"/>
                <w:rFonts w:hint="eastAsia" w:ascii="宋体" w:hAnsi="宋体" w:cs="宋体"/>
                <w:color w:val="auto"/>
                <w:sz w:val="21"/>
                <w:szCs w:val="21"/>
                <w:highlight w:val="none"/>
                <w:lang w:val="en-US" w:eastAsia="zh-CN"/>
              </w:rPr>
              <w:t>0.5</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Style w:val="34"/>
                <w:rFonts w:ascii="宋体" w:hAnsi="宋体" w:eastAsia="宋体"/>
                <w:color w:val="auto"/>
                <w:sz w:val="21"/>
                <w:szCs w:val="21"/>
                <w:highlight w:val="none"/>
              </w:rPr>
            </w:pPr>
            <w:r>
              <w:rPr>
                <w:rFonts w:ascii="宋体" w:hAnsi="宋体" w:eastAsia="宋体" w:cs="宋体"/>
                <w:color w:val="auto"/>
                <w:sz w:val="21"/>
                <w:szCs w:val="21"/>
                <w:highlight w:val="none"/>
              </w:rPr>
              <w:t>可行、可靠、先进、合理得[0.5，0.4）</w:t>
            </w:r>
            <w:r>
              <w:rPr>
                <w:rFonts w:hint="eastAsia" w:ascii="宋体" w:hAnsi="宋体" w:cs="宋体"/>
                <w:color w:val="auto"/>
                <w:szCs w:val="21"/>
                <w:highlight w:val="none"/>
              </w:rPr>
              <w:t>分；基本可行、可靠得</w:t>
            </w:r>
            <w:r>
              <w:rPr>
                <w:rFonts w:ascii="宋体" w:hAnsi="宋体" w:cs="宋体"/>
                <w:color w:val="auto"/>
                <w:szCs w:val="21"/>
                <w:highlight w:val="none"/>
              </w:rPr>
              <w:t xml:space="preserve"> </w:t>
            </w:r>
            <w:r>
              <w:rPr>
                <w:rFonts w:ascii="宋体" w:hAnsi="宋体" w:eastAsia="宋体" w:cs="宋体"/>
                <w:color w:val="auto"/>
                <w:sz w:val="21"/>
                <w:szCs w:val="21"/>
                <w:highlight w:val="none"/>
              </w:rPr>
              <w:t>[0.4，0.35）</w:t>
            </w:r>
            <w:r>
              <w:rPr>
                <w:rFonts w:hint="eastAsia" w:ascii="宋体" w:hAnsi="宋体" w:cs="宋体"/>
                <w:color w:val="auto"/>
                <w:szCs w:val="21"/>
                <w:highlight w:val="none"/>
              </w:rPr>
              <w:t>分；欠可行、欠可靠得</w:t>
            </w:r>
            <w:r>
              <w:rPr>
                <w:rFonts w:ascii="宋体" w:hAnsi="宋体" w:eastAsia="宋体" w:cs="宋体"/>
                <w:color w:val="auto"/>
                <w:sz w:val="21"/>
                <w:szCs w:val="21"/>
                <w:highlight w:val="none"/>
              </w:rPr>
              <w:t xml:space="preserve">[0.35，0.3] </w:t>
            </w:r>
            <w:r>
              <w:rPr>
                <w:rFonts w:ascii="宋体" w:hAnsi="宋体" w:cs="宋体"/>
                <w:color w:val="auto"/>
                <w:szCs w:val="21"/>
                <w:highlight w:val="none"/>
              </w:rPr>
              <w:t>分，没有提供施工工艺流程的，得0分。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4"/>
                <w:rFonts w:ascii="宋体" w:hAnsi="宋体" w:eastAsia="宋体"/>
                <w:color w:val="auto"/>
                <w:sz w:val="21"/>
                <w:szCs w:val="21"/>
                <w:highlight w:val="none"/>
              </w:rPr>
            </w:pPr>
            <w:r>
              <w:rPr>
                <w:rStyle w:val="34"/>
                <w:rFonts w:hint="eastAsia" w:ascii="宋体" w:hAnsi="宋体" w:eastAsia="宋体" w:cs="宋体"/>
                <w:color w:val="auto"/>
                <w:sz w:val="21"/>
                <w:szCs w:val="21"/>
                <w:highlight w:val="none"/>
              </w:rPr>
              <w:t>施工进度计划</w:t>
            </w:r>
          </w:p>
        </w:tc>
        <w:tc>
          <w:tcPr>
            <w:tcW w:w="777" w:type="dxa"/>
            <w:vAlign w:val="center"/>
          </w:tcPr>
          <w:p>
            <w:pPr>
              <w:spacing w:line="360" w:lineRule="auto"/>
              <w:jc w:val="center"/>
              <w:rPr>
                <w:rStyle w:val="34"/>
                <w:rFonts w:ascii="宋体" w:hAnsi="宋体" w:eastAsia="宋体"/>
                <w:color w:val="auto"/>
                <w:sz w:val="21"/>
                <w:szCs w:val="21"/>
                <w:highlight w:val="none"/>
                <w:u w:val="single"/>
              </w:rPr>
            </w:pPr>
            <w:r>
              <w:rPr>
                <w:rStyle w:val="30"/>
                <w:rFonts w:ascii="宋体" w:hAnsi="宋体" w:eastAsia="宋体" w:cs="宋体"/>
                <w:color w:val="auto"/>
                <w:sz w:val="21"/>
                <w:szCs w:val="21"/>
                <w:highlight w:val="none"/>
              </w:rPr>
              <w:t>1</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Style w:val="34"/>
                <w:rFonts w:ascii="宋体" w:hAnsi="宋体" w:eastAsia="宋体"/>
                <w:color w:val="auto"/>
                <w:sz w:val="21"/>
                <w:szCs w:val="21"/>
                <w:highlight w:val="none"/>
              </w:rPr>
            </w:pPr>
            <w:r>
              <w:rPr>
                <w:rFonts w:ascii="宋体" w:hAnsi="宋体" w:eastAsia="宋体" w:cs="宋体"/>
                <w:color w:val="auto"/>
                <w:sz w:val="21"/>
                <w:szCs w:val="21"/>
                <w:highlight w:val="none"/>
              </w:rPr>
              <w:t>工期合理，进度计划可行、合理、先进，保证措施具体得</w:t>
            </w: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0.8</w:t>
            </w:r>
            <w:r>
              <w:rPr>
                <w:rFonts w:hint="eastAsia" w:ascii="宋体" w:hAnsi="宋体" w:cs="宋体"/>
                <w:color w:val="auto"/>
                <w:szCs w:val="21"/>
                <w:highlight w:val="none"/>
              </w:rPr>
              <w:t>）分；工期基本合理，进度计划基本可行、合理、有保证措施得</w:t>
            </w:r>
            <w:r>
              <w:rPr>
                <w:rFonts w:ascii="宋体" w:hAnsi="宋体" w:cs="宋体"/>
                <w:color w:val="auto"/>
                <w:szCs w:val="21"/>
                <w:highlight w:val="none"/>
              </w:rPr>
              <w:t>[0.8</w:t>
            </w:r>
            <w:r>
              <w:rPr>
                <w:rFonts w:hint="eastAsia" w:ascii="宋体" w:hAnsi="宋体" w:cs="宋体"/>
                <w:color w:val="auto"/>
                <w:szCs w:val="21"/>
                <w:highlight w:val="none"/>
              </w:rPr>
              <w:t>，</w:t>
            </w:r>
            <w:r>
              <w:rPr>
                <w:rFonts w:ascii="宋体" w:hAnsi="宋体" w:cs="宋体"/>
                <w:color w:val="auto"/>
                <w:szCs w:val="21"/>
                <w:highlight w:val="none"/>
              </w:rPr>
              <w:t>0.7</w:t>
            </w:r>
            <w:r>
              <w:rPr>
                <w:rFonts w:hint="eastAsia" w:ascii="宋体" w:hAnsi="宋体" w:cs="宋体"/>
                <w:color w:val="auto"/>
                <w:szCs w:val="21"/>
                <w:highlight w:val="none"/>
              </w:rPr>
              <w:t>）分；工期欠合理，进度计划欠合理、保证措施一般得</w:t>
            </w:r>
            <w:r>
              <w:rPr>
                <w:rFonts w:ascii="宋体" w:hAnsi="宋体" w:cs="宋体"/>
                <w:color w:val="auto"/>
                <w:szCs w:val="21"/>
                <w:highlight w:val="none"/>
              </w:rPr>
              <w:t>[0.7</w:t>
            </w:r>
            <w:r>
              <w:rPr>
                <w:rFonts w:hint="eastAsia" w:ascii="宋体" w:hAnsi="宋体" w:cs="宋体"/>
                <w:color w:val="auto"/>
                <w:szCs w:val="21"/>
                <w:highlight w:val="none"/>
              </w:rPr>
              <w:t>，</w:t>
            </w:r>
            <w:r>
              <w:rPr>
                <w:rFonts w:ascii="宋体" w:hAnsi="宋体" w:cs="宋体"/>
                <w:color w:val="auto"/>
                <w:szCs w:val="21"/>
                <w:highlight w:val="none"/>
              </w:rPr>
              <w:t>0.6]</w:t>
            </w:r>
            <w:r>
              <w:rPr>
                <w:rFonts w:hint="eastAsia" w:ascii="宋体" w:hAnsi="宋体" w:cs="宋体"/>
                <w:color w:val="auto"/>
                <w:szCs w:val="21"/>
                <w:highlight w:val="none"/>
              </w:rPr>
              <w:t>分；没有提供施工进度计划的，得</w:t>
            </w:r>
            <w:r>
              <w:rPr>
                <w:rFonts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4"/>
                <w:rFonts w:ascii="宋体" w:hAnsi="宋体" w:eastAsia="宋体"/>
                <w:color w:val="auto"/>
                <w:sz w:val="21"/>
                <w:szCs w:val="21"/>
                <w:highlight w:val="none"/>
              </w:rPr>
            </w:pPr>
            <w:r>
              <w:rPr>
                <w:rStyle w:val="34"/>
                <w:rFonts w:hint="eastAsia" w:ascii="宋体" w:hAnsi="宋体" w:eastAsia="宋体" w:cs="宋体"/>
                <w:color w:val="auto"/>
                <w:sz w:val="21"/>
                <w:szCs w:val="21"/>
                <w:highlight w:val="none"/>
              </w:rPr>
              <w:t>材料供应和检验</w:t>
            </w:r>
          </w:p>
        </w:tc>
        <w:tc>
          <w:tcPr>
            <w:tcW w:w="777" w:type="dxa"/>
            <w:vAlign w:val="center"/>
          </w:tcPr>
          <w:p>
            <w:pPr>
              <w:spacing w:line="360" w:lineRule="auto"/>
              <w:jc w:val="center"/>
              <w:rPr>
                <w:rStyle w:val="34"/>
                <w:rFonts w:ascii="宋体" w:hAnsi="宋体" w:eastAsia="宋体"/>
                <w:color w:val="auto"/>
                <w:sz w:val="21"/>
                <w:szCs w:val="21"/>
                <w:highlight w:val="none"/>
                <w:u w:val="single"/>
              </w:rPr>
            </w:pPr>
            <w:r>
              <w:rPr>
                <w:rStyle w:val="30"/>
                <w:rFonts w:ascii="宋体" w:hAnsi="宋体" w:eastAsia="宋体" w:cs="宋体"/>
                <w:color w:val="auto"/>
                <w:sz w:val="21"/>
                <w:szCs w:val="21"/>
                <w:highlight w:val="none"/>
              </w:rPr>
              <w:t>0.5</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Style w:val="34"/>
                <w:rFonts w:ascii="宋体" w:hAnsi="宋体" w:eastAsia="宋体"/>
                <w:color w:val="auto"/>
                <w:sz w:val="21"/>
                <w:szCs w:val="21"/>
                <w:highlight w:val="none"/>
              </w:rPr>
            </w:pPr>
            <w:r>
              <w:rPr>
                <w:rFonts w:ascii="宋体" w:hAnsi="宋体" w:eastAsia="宋体" w:cs="宋体"/>
                <w:color w:val="auto"/>
                <w:sz w:val="21"/>
                <w:szCs w:val="21"/>
                <w:highlight w:val="none"/>
              </w:rPr>
              <w:t>材料进场和检验与进度吻合得</w:t>
            </w:r>
            <w:r>
              <w:rPr>
                <w:rFonts w:ascii="宋体" w:hAnsi="宋体" w:cs="宋体"/>
                <w:color w:val="auto"/>
                <w:szCs w:val="21"/>
                <w:highlight w:val="none"/>
              </w:rPr>
              <w:t>[0.5，0.4）</w:t>
            </w:r>
            <w:r>
              <w:rPr>
                <w:rFonts w:hint="eastAsia" w:ascii="宋体" w:hAnsi="宋体" w:cs="宋体"/>
                <w:color w:val="auto"/>
                <w:szCs w:val="21"/>
                <w:highlight w:val="none"/>
              </w:rPr>
              <w:t>分；材料进场和检验与进度基本吻合得</w:t>
            </w:r>
            <w:r>
              <w:rPr>
                <w:rFonts w:ascii="宋体" w:hAnsi="宋体" w:cs="宋体"/>
                <w:color w:val="auto"/>
                <w:szCs w:val="21"/>
                <w:highlight w:val="none"/>
              </w:rPr>
              <w:t xml:space="preserve"> [0.4，0.35）</w:t>
            </w:r>
            <w:r>
              <w:rPr>
                <w:rFonts w:hint="eastAsia" w:ascii="宋体" w:hAnsi="宋体" w:cs="宋体"/>
                <w:color w:val="auto"/>
                <w:szCs w:val="21"/>
                <w:highlight w:val="none"/>
              </w:rPr>
              <w:t>分；材料进场和检验与进度欠吻合得</w:t>
            </w:r>
            <w:r>
              <w:rPr>
                <w:rFonts w:ascii="宋体" w:hAnsi="宋体" w:cs="宋体"/>
                <w:color w:val="auto"/>
                <w:szCs w:val="21"/>
                <w:highlight w:val="none"/>
              </w:rPr>
              <w:t xml:space="preserve"> [0.35，0.3] </w:t>
            </w:r>
            <w:r>
              <w:rPr>
                <w:rFonts w:hint="eastAsia" w:ascii="宋体" w:hAnsi="宋体" w:cs="宋体"/>
                <w:color w:val="auto"/>
                <w:szCs w:val="21"/>
                <w:highlight w:val="none"/>
              </w:rPr>
              <w:t>分；没有提供材料供应和检验计划的，得</w:t>
            </w:r>
            <w:r>
              <w:rPr>
                <w:rFonts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4"/>
                <w:rFonts w:ascii="宋体" w:hAnsi="宋体" w:eastAsia="宋体"/>
                <w:color w:val="auto"/>
                <w:sz w:val="21"/>
                <w:szCs w:val="21"/>
                <w:highlight w:val="none"/>
              </w:rPr>
            </w:pPr>
            <w:r>
              <w:rPr>
                <w:rStyle w:val="34"/>
                <w:rFonts w:hint="eastAsia" w:ascii="宋体" w:hAnsi="宋体" w:eastAsia="宋体" w:cs="宋体"/>
                <w:color w:val="auto"/>
                <w:sz w:val="21"/>
                <w:szCs w:val="21"/>
                <w:highlight w:val="none"/>
              </w:rPr>
              <w:t>施工技术措施</w:t>
            </w:r>
          </w:p>
        </w:tc>
        <w:tc>
          <w:tcPr>
            <w:tcW w:w="777" w:type="dxa"/>
            <w:vAlign w:val="center"/>
          </w:tcPr>
          <w:p>
            <w:pPr>
              <w:spacing w:line="360" w:lineRule="auto"/>
              <w:jc w:val="center"/>
              <w:rPr>
                <w:rStyle w:val="34"/>
                <w:rFonts w:ascii="宋体" w:hAnsi="宋体" w:eastAsia="宋体"/>
                <w:color w:val="auto"/>
                <w:sz w:val="21"/>
                <w:szCs w:val="21"/>
                <w:highlight w:val="none"/>
                <w:u w:val="single"/>
              </w:rPr>
            </w:pPr>
            <w:r>
              <w:rPr>
                <w:rStyle w:val="30"/>
                <w:rFonts w:hint="eastAsia" w:ascii="宋体" w:hAnsi="宋体" w:cs="宋体"/>
                <w:color w:val="auto"/>
                <w:sz w:val="21"/>
                <w:szCs w:val="21"/>
                <w:highlight w:val="none"/>
                <w:lang w:val="en-US" w:eastAsia="zh-CN"/>
              </w:rPr>
              <w:t>0.5</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Style w:val="34"/>
                <w:rFonts w:ascii="宋体" w:hAnsi="宋体" w:eastAsia="宋体"/>
                <w:color w:val="auto"/>
                <w:sz w:val="21"/>
                <w:szCs w:val="21"/>
                <w:highlight w:val="none"/>
              </w:rPr>
            </w:pPr>
            <w:r>
              <w:rPr>
                <w:rFonts w:ascii="宋体" w:hAnsi="宋体" w:eastAsia="宋体" w:cs="宋体"/>
                <w:color w:val="auto"/>
                <w:sz w:val="21"/>
                <w:szCs w:val="21"/>
                <w:highlight w:val="none"/>
              </w:rPr>
              <w:t>措施针对性好、具体、成熟得 [0.5，0.4）分；措施针对性较好、较具体得[0.4，0.35）分；措施欠具体得[0.35，0.3] 分；没有提供施工技术措施的，得0分。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4"/>
                <w:rFonts w:ascii="宋体" w:hAnsi="宋体" w:eastAsia="宋体"/>
                <w:color w:val="auto"/>
                <w:sz w:val="21"/>
                <w:szCs w:val="21"/>
                <w:highlight w:val="none"/>
              </w:rPr>
            </w:pPr>
            <w:r>
              <w:rPr>
                <w:rStyle w:val="34"/>
                <w:rFonts w:hint="eastAsia" w:ascii="宋体" w:hAnsi="宋体" w:eastAsia="宋体" w:cs="宋体"/>
                <w:color w:val="auto"/>
                <w:sz w:val="21"/>
                <w:szCs w:val="21"/>
                <w:highlight w:val="none"/>
              </w:rPr>
              <w:t>施工质量保证措施</w:t>
            </w:r>
          </w:p>
        </w:tc>
        <w:tc>
          <w:tcPr>
            <w:tcW w:w="777" w:type="dxa"/>
            <w:vAlign w:val="center"/>
          </w:tcPr>
          <w:p>
            <w:pPr>
              <w:spacing w:line="360" w:lineRule="auto"/>
              <w:jc w:val="center"/>
              <w:rPr>
                <w:rStyle w:val="34"/>
                <w:rFonts w:ascii="宋体" w:hAnsi="宋体" w:eastAsia="宋体"/>
                <w:color w:val="auto"/>
                <w:sz w:val="21"/>
                <w:szCs w:val="21"/>
                <w:highlight w:val="none"/>
                <w:u w:val="single"/>
              </w:rPr>
            </w:pPr>
            <w:r>
              <w:rPr>
                <w:rStyle w:val="30"/>
                <w:rFonts w:ascii="宋体" w:hAnsi="宋体" w:eastAsia="宋体" w:cs="宋体"/>
                <w:color w:val="auto"/>
                <w:sz w:val="21"/>
                <w:szCs w:val="21"/>
                <w:highlight w:val="none"/>
              </w:rPr>
              <w:t>1</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Style w:val="34"/>
                <w:rFonts w:ascii="宋体" w:hAnsi="宋体" w:eastAsia="宋体"/>
                <w:color w:val="auto"/>
                <w:sz w:val="21"/>
                <w:szCs w:val="21"/>
                <w:highlight w:val="none"/>
              </w:rPr>
            </w:pPr>
            <w:r>
              <w:rPr>
                <w:rFonts w:ascii="宋体" w:hAnsi="宋体" w:eastAsia="宋体" w:cs="宋体"/>
                <w:color w:val="auto"/>
                <w:sz w:val="21"/>
                <w:szCs w:val="21"/>
                <w:highlight w:val="none"/>
              </w:rPr>
              <w:t>满足招标文件质量要求，工程质量保证措施明确、具体、可行、针对性好、各项落实得[1，0.8）分；基本满足招标文件质量要求，工程质量保证措施较明确、较具体、较可行、较落实得[0.8，0.7）分；一般满足招标文件质量要求，工程质量保证措施一般化、但对工程质量保证措施有认识得[0.7，0.6]分；没有提供施工质量保证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rPr>
            </w:pPr>
          </w:p>
        </w:tc>
        <w:tc>
          <w:tcPr>
            <w:tcW w:w="1200" w:type="dxa"/>
            <w:vAlign w:val="center"/>
          </w:tcPr>
          <w:p>
            <w:pPr>
              <w:jc w:val="center"/>
              <w:rPr>
                <w:rFonts w:ascii="宋体" w:hAnsi="宋体"/>
                <w:color w:val="auto"/>
                <w:szCs w:val="21"/>
                <w:highlight w:val="none"/>
              </w:rPr>
            </w:pPr>
            <w:r>
              <w:rPr>
                <w:rStyle w:val="34"/>
                <w:rFonts w:hint="eastAsia" w:ascii="宋体" w:hAnsi="宋体" w:eastAsia="宋体" w:cs="宋体"/>
                <w:color w:val="auto"/>
                <w:sz w:val="21"/>
                <w:szCs w:val="21"/>
                <w:highlight w:val="none"/>
              </w:rPr>
              <w:t>施工安全保障措施</w:t>
            </w:r>
          </w:p>
        </w:tc>
        <w:tc>
          <w:tcPr>
            <w:tcW w:w="777" w:type="dxa"/>
            <w:vAlign w:val="center"/>
          </w:tcPr>
          <w:p>
            <w:pPr>
              <w:spacing w:line="360" w:lineRule="auto"/>
              <w:jc w:val="center"/>
              <w:rPr>
                <w:rFonts w:ascii="宋体" w:hAnsi="宋体"/>
                <w:color w:val="auto"/>
                <w:szCs w:val="21"/>
                <w:highlight w:val="none"/>
              </w:rPr>
            </w:pPr>
            <w:r>
              <w:rPr>
                <w:rStyle w:val="30"/>
                <w:rFonts w:ascii="宋体" w:hAnsi="宋体" w:eastAsia="宋体" w:cs="宋体"/>
                <w:color w:val="auto"/>
                <w:sz w:val="21"/>
                <w:szCs w:val="21"/>
                <w:highlight w:val="none"/>
              </w:rPr>
              <w:t>0.5</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Fonts w:ascii="宋体" w:hAnsi="宋体"/>
                <w:color w:val="auto"/>
                <w:szCs w:val="21"/>
                <w:highlight w:val="none"/>
              </w:rPr>
            </w:pPr>
            <w:r>
              <w:rPr>
                <w:rFonts w:hint="eastAsia" w:ascii="宋体" w:hAnsi="宋体" w:cs="宋体"/>
                <w:color w:val="auto"/>
                <w:szCs w:val="21"/>
                <w:highlight w:val="none"/>
              </w:rPr>
              <w:t>措施针对性好、具体、成熟得</w:t>
            </w:r>
            <w:r>
              <w:rPr>
                <w:rFonts w:ascii="宋体" w:hAnsi="宋体" w:cs="宋体"/>
                <w:color w:val="auto"/>
                <w:szCs w:val="21"/>
                <w:highlight w:val="none"/>
              </w:rPr>
              <w:t>[0.5，0.4）分；措施针对性较好、较具体得 [0.4，0.35）分；措施不具体得[0.35，0.3]分；没有提供施工安全保障措施的，得0分。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rPr>
            </w:pPr>
          </w:p>
        </w:tc>
        <w:tc>
          <w:tcPr>
            <w:tcW w:w="1200" w:type="dxa"/>
            <w:vAlign w:val="center"/>
          </w:tcPr>
          <w:p>
            <w:pPr>
              <w:jc w:val="center"/>
              <w:rPr>
                <w:rFonts w:ascii="宋体" w:hAnsi="宋体"/>
                <w:color w:val="auto"/>
                <w:szCs w:val="21"/>
                <w:highlight w:val="none"/>
              </w:rPr>
            </w:pPr>
            <w:r>
              <w:rPr>
                <w:rStyle w:val="34"/>
                <w:rFonts w:hint="eastAsia" w:ascii="宋体" w:hAnsi="宋体" w:eastAsia="宋体" w:cs="宋体"/>
                <w:color w:val="auto"/>
                <w:sz w:val="21"/>
                <w:szCs w:val="21"/>
                <w:highlight w:val="none"/>
              </w:rPr>
              <w:t>文明施工与环境保护措施</w:t>
            </w:r>
          </w:p>
        </w:tc>
        <w:tc>
          <w:tcPr>
            <w:tcW w:w="777" w:type="dxa"/>
            <w:vAlign w:val="center"/>
          </w:tcPr>
          <w:p>
            <w:pPr>
              <w:spacing w:line="360" w:lineRule="auto"/>
              <w:jc w:val="center"/>
              <w:rPr>
                <w:rFonts w:ascii="宋体" w:hAnsi="宋体"/>
                <w:color w:val="auto"/>
                <w:szCs w:val="21"/>
                <w:highlight w:val="none"/>
              </w:rPr>
            </w:pPr>
            <w:r>
              <w:rPr>
                <w:rStyle w:val="30"/>
                <w:rFonts w:ascii="宋体" w:hAnsi="宋体" w:eastAsia="宋体" w:cs="宋体"/>
                <w:color w:val="auto"/>
                <w:sz w:val="21"/>
                <w:szCs w:val="21"/>
                <w:highlight w:val="none"/>
              </w:rPr>
              <w:t>0.5</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Fonts w:ascii="宋体" w:hAnsi="宋体"/>
                <w:color w:val="auto"/>
                <w:szCs w:val="21"/>
                <w:highlight w:val="none"/>
              </w:rPr>
            </w:pPr>
            <w:r>
              <w:rPr>
                <w:rFonts w:hint="eastAsia" w:ascii="宋体" w:hAnsi="宋体" w:cs="宋体"/>
                <w:color w:val="auto"/>
                <w:szCs w:val="21"/>
                <w:highlight w:val="none"/>
              </w:rPr>
              <w:t>措施针对性好、具体、成熟得</w:t>
            </w:r>
            <w:r>
              <w:rPr>
                <w:rFonts w:ascii="宋体" w:hAnsi="宋体" w:cs="宋体"/>
                <w:color w:val="auto"/>
                <w:szCs w:val="21"/>
                <w:highlight w:val="none"/>
              </w:rPr>
              <w:t>[0.5，0.4）</w:t>
            </w:r>
            <w:r>
              <w:rPr>
                <w:rFonts w:hint="eastAsia" w:ascii="宋体" w:hAnsi="宋体" w:cs="宋体"/>
                <w:color w:val="auto"/>
                <w:szCs w:val="21"/>
                <w:highlight w:val="none"/>
              </w:rPr>
              <w:t>分；措施针对性较好、较具体得</w:t>
            </w:r>
            <w:r>
              <w:rPr>
                <w:rFonts w:ascii="宋体" w:hAnsi="宋体" w:cs="宋体"/>
                <w:color w:val="auto"/>
                <w:szCs w:val="21"/>
                <w:highlight w:val="none"/>
              </w:rPr>
              <w:t>[0.4，0.35</w:t>
            </w:r>
            <w:r>
              <w:rPr>
                <w:rFonts w:hint="eastAsia" w:ascii="宋体" w:hAnsi="宋体" w:cs="宋体"/>
                <w:color w:val="auto"/>
                <w:szCs w:val="21"/>
                <w:highlight w:val="none"/>
              </w:rPr>
              <w:t>）分；措施不具体得</w:t>
            </w:r>
            <w:r>
              <w:rPr>
                <w:rFonts w:ascii="宋体" w:hAnsi="宋体" w:cs="宋体"/>
                <w:color w:val="auto"/>
                <w:szCs w:val="21"/>
                <w:highlight w:val="none"/>
              </w:rPr>
              <w:t xml:space="preserve"> [0.35</w:t>
            </w:r>
            <w:r>
              <w:rPr>
                <w:rFonts w:hint="eastAsia" w:ascii="宋体" w:hAnsi="宋体" w:cs="宋体"/>
                <w:color w:val="auto"/>
                <w:szCs w:val="21"/>
                <w:highlight w:val="none"/>
              </w:rPr>
              <w:t>，</w:t>
            </w:r>
            <w:r>
              <w:rPr>
                <w:rFonts w:ascii="宋体" w:hAnsi="宋体" w:cs="宋体"/>
                <w:color w:val="auto"/>
                <w:szCs w:val="21"/>
                <w:highlight w:val="none"/>
              </w:rPr>
              <w:t>0.3]</w:t>
            </w:r>
            <w:r>
              <w:rPr>
                <w:rFonts w:hint="eastAsia" w:ascii="宋体" w:hAnsi="宋体" w:cs="宋体"/>
                <w:color w:val="auto"/>
                <w:szCs w:val="21"/>
                <w:highlight w:val="none"/>
              </w:rPr>
              <w:t>分；没有提供文明施工与环境保护措施的，得</w:t>
            </w:r>
            <w:r>
              <w:rPr>
                <w:rFonts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2.2.4(2)</w:t>
            </w:r>
          </w:p>
        </w:tc>
        <w:tc>
          <w:tcPr>
            <w:tcW w:w="1588" w:type="dxa"/>
            <w:gridSpan w:val="2"/>
            <w:vMerge w:val="restart"/>
            <w:vAlign w:val="center"/>
          </w:tcPr>
          <w:p>
            <w:pPr>
              <w:snapToGrid w:val="0"/>
              <w:spacing w:line="240" w:lineRule="atLeast"/>
              <w:jc w:val="center"/>
              <w:rPr>
                <w:rFonts w:ascii="宋体" w:hAnsi="宋体"/>
                <w:color w:val="auto"/>
                <w:szCs w:val="21"/>
                <w:highlight w:val="none"/>
              </w:rPr>
            </w:pPr>
            <w:r>
              <w:rPr>
                <w:rStyle w:val="30"/>
                <w:rFonts w:hint="eastAsia" w:ascii="宋体" w:hAnsi="宋体" w:eastAsia="宋体"/>
                <w:color w:val="auto"/>
                <w:sz w:val="21"/>
                <w:szCs w:val="21"/>
                <w:highlight w:val="none"/>
              </w:rPr>
              <w:t>项目管理机构</w:t>
            </w:r>
          </w:p>
        </w:tc>
        <w:tc>
          <w:tcPr>
            <w:tcW w:w="737"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u w:val="single"/>
              </w:rPr>
              <w:t>1</w:t>
            </w:r>
            <w:r>
              <w:rPr>
                <w:rFonts w:ascii="宋体" w:hAnsi="宋体"/>
                <w:color w:val="auto"/>
                <w:szCs w:val="21"/>
                <w:highlight w:val="none"/>
              </w:rPr>
              <w:t>分</w:t>
            </w:r>
          </w:p>
        </w:tc>
        <w:tc>
          <w:tcPr>
            <w:tcW w:w="1200" w:type="dxa"/>
            <w:vAlign w:val="center"/>
          </w:tcPr>
          <w:p>
            <w:pPr>
              <w:jc w:val="center"/>
              <w:rPr>
                <w:rFonts w:ascii="宋体" w:hAnsi="宋体"/>
                <w:color w:val="auto"/>
                <w:szCs w:val="21"/>
                <w:highlight w:val="none"/>
              </w:rPr>
            </w:pPr>
            <w:r>
              <w:rPr>
                <w:rStyle w:val="34"/>
                <w:rFonts w:hint="eastAsia" w:ascii="宋体" w:hAnsi="宋体" w:eastAsia="宋体" w:cs="宋体"/>
                <w:color w:val="auto"/>
                <w:sz w:val="21"/>
                <w:szCs w:val="21"/>
                <w:highlight w:val="none"/>
              </w:rPr>
              <w:t>项目负责人任职资格与业绩</w:t>
            </w:r>
          </w:p>
        </w:tc>
        <w:tc>
          <w:tcPr>
            <w:tcW w:w="777" w:type="dxa"/>
            <w:vAlign w:val="center"/>
          </w:tcPr>
          <w:p>
            <w:pPr>
              <w:spacing w:line="360" w:lineRule="auto"/>
              <w:jc w:val="center"/>
              <w:rPr>
                <w:rFonts w:ascii="宋体" w:hAnsi="宋体"/>
                <w:color w:val="auto"/>
                <w:szCs w:val="21"/>
                <w:highlight w:val="none"/>
              </w:rPr>
            </w:pPr>
            <w:r>
              <w:rPr>
                <w:rStyle w:val="30"/>
                <w:rFonts w:ascii="宋体" w:hAnsi="宋体" w:eastAsia="宋体" w:cs="宋体"/>
                <w:color w:val="auto"/>
                <w:sz w:val="21"/>
                <w:szCs w:val="21"/>
                <w:highlight w:val="none"/>
              </w:rPr>
              <w:t>0.4</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Fonts w:ascii="宋体" w:hAnsi="宋体" w:cs="宋体"/>
                <w:color w:val="auto"/>
                <w:szCs w:val="21"/>
                <w:highlight w:val="none"/>
              </w:rPr>
            </w:pPr>
            <w:r>
              <w:rPr>
                <w:rFonts w:ascii="宋体" w:hAnsi="宋体" w:cs="宋体"/>
                <w:color w:val="auto"/>
                <w:szCs w:val="21"/>
                <w:highlight w:val="none"/>
              </w:rPr>
              <w:t>1、项目负责人在满足</w:t>
            </w:r>
            <w:r>
              <w:rPr>
                <w:rFonts w:hint="default" w:ascii="宋体" w:hAnsi="宋体" w:eastAsia="宋体" w:cs="宋体"/>
                <w:b w:val="0"/>
                <w:bCs w:val="0"/>
                <w:color w:val="auto"/>
                <w:kern w:val="2"/>
                <w:sz w:val="21"/>
                <w:szCs w:val="21"/>
                <w:highlight w:val="none"/>
              </w:rPr>
              <w:t>资格审查条件</w:t>
            </w:r>
            <w:r>
              <w:rPr>
                <w:rFonts w:ascii="宋体" w:hAnsi="宋体" w:eastAsia="宋体" w:cs="宋体"/>
                <w:b w:val="0"/>
                <w:bCs w:val="0"/>
                <w:color w:val="auto"/>
                <w:kern w:val="2"/>
                <w:sz w:val="21"/>
                <w:szCs w:val="21"/>
                <w:highlight w:val="none"/>
              </w:rPr>
              <w:t>(项目负责人和项目技术负责人最低要求)</w:t>
            </w:r>
            <w:r>
              <w:rPr>
                <w:rFonts w:ascii="宋体" w:hAnsi="宋体" w:cs="宋体"/>
                <w:color w:val="auto"/>
                <w:szCs w:val="21"/>
                <w:highlight w:val="none"/>
              </w:rPr>
              <w:t>时，得0.25</w:t>
            </w:r>
            <w:r>
              <w:rPr>
                <w:rFonts w:hint="default" w:ascii="宋体" w:hAnsi="宋体" w:cs="宋体"/>
                <w:color w:val="auto"/>
                <w:szCs w:val="21"/>
                <w:highlight w:val="none"/>
              </w:rPr>
              <w:t>分；</w:t>
            </w:r>
          </w:p>
          <w:p>
            <w:pPr>
              <w:ind w:firstLine="420" w:firstLineChars="200"/>
              <w:jc w:val="left"/>
              <w:rPr>
                <w:rFonts w:ascii="宋体" w:hAnsi="宋体" w:cs="宋体"/>
                <w:color w:val="auto"/>
                <w:szCs w:val="21"/>
                <w:highlight w:val="none"/>
              </w:rPr>
            </w:pPr>
            <w:r>
              <w:rPr>
                <w:rFonts w:ascii="宋体" w:hAnsi="宋体" w:cs="宋体"/>
                <w:color w:val="auto"/>
                <w:szCs w:val="21"/>
                <w:highlight w:val="none"/>
              </w:rPr>
              <w:t>2、拟派的项目负责人2018年1月1日至今【以交（竣）工验收时间为准】担任过质量合格的单项合同总仓容10万吨或以上的钢筋混凝土筒仓（浅圆仓或立筒仓）工程施工业绩的项目负责人或项目经理或项目副经理或技术负责人职务的</w:t>
            </w:r>
            <w:r>
              <w:rPr>
                <w:rFonts w:hint="eastAsia" w:ascii="宋体" w:hAnsi="宋体" w:cs="宋体"/>
                <w:color w:val="auto"/>
                <w:szCs w:val="21"/>
                <w:highlight w:val="none"/>
              </w:rPr>
              <w:t>得</w:t>
            </w:r>
            <w:r>
              <w:rPr>
                <w:rFonts w:ascii="宋体" w:hAnsi="宋体" w:cs="宋体"/>
                <w:color w:val="auto"/>
                <w:szCs w:val="21"/>
                <w:highlight w:val="none"/>
              </w:rPr>
              <w:t>0.15</w:t>
            </w:r>
            <w:r>
              <w:rPr>
                <w:rFonts w:hint="eastAsia" w:ascii="宋体" w:hAnsi="宋体" w:cs="宋体"/>
                <w:color w:val="auto"/>
                <w:szCs w:val="21"/>
                <w:highlight w:val="none"/>
              </w:rPr>
              <w:t>分。</w:t>
            </w:r>
          </w:p>
          <w:p>
            <w:pPr>
              <w:ind w:firstLine="420" w:firstLineChars="200"/>
              <w:jc w:val="left"/>
              <w:rPr>
                <w:rFonts w:ascii="宋体" w:hAnsi="宋体"/>
                <w:color w:val="auto"/>
                <w:szCs w:val="21"/>
                <w:highlight w:val="none"/>
              </w:rPr>
            </w:pPr>
            <w:r>
              <w:rPr>
                <w:rFonts w:ascii="宋体" w:hAnsi="宋体" w:cs="宋体"/>
                <w:color w:val="auto"/>
                <w:szCs w:val="21"/>
                <w:highlight w:val="none"/>
              </w:rPr>
              <w:t>3、以上两项合计0.4</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rPr>
            </w:pPr>
          </w:p>
        </w:tc>
        <w:tc>
          <w:tcPr>
            <w:tcW w:w="1200" w:type="dxa"/>
            <w:vAlign w:val="center"/>
          </w:tcPr>
          <w:p>
            <w:pPr>
              <w:jc w:val="center"/>
              <w:rPr>
                <w:rFonts w:ascii="宋体" w:hAnsi="宋体"/>
                <w:color w:val="auto"/>
                <w:szCs w:val="21"/>
                <w:highlight w:val="none"/>
              </w:rPr>
            </w:pPr>
            <w:r>
              <w:rPr>
                <w:rStyle w:val="34"/>
                <w:rFonts w:hint="eastAsia" w:ascii="宋体" w:hAnsi="宋体" w:eastAsia="宋体" w:cs="宋体"/>
                <w:color w:val="auto"/>
                <w:sz w:val="21"/>
                <w:szCs w:val="21"/>
                <w:highlight w:val="none"/>
              </w:rPr>
              <w:t>项目技术负责人任职资格与业绩</w:t>
            </w:r>
          </w:p>
        </w:tc>
        <w:tc>
          <w:tcPr>
            <w:tcW w:w="777" w:type="dxa"/>
            <w:vAlign w:val="center"/>
          </w:tcPr>
          <w:p>
            <w:pPr>
              <w:spacing w:line="360" w:lineRule="auto"/>
              <w:jc w:val="center"/>
              <w:rPr>
                <w:rFonts w:ascii="宋体" w:hAnsi="宋体"/>
                <w:color w:val="auto"/>
                <w:szCs w:val="21"/>
                <w:highlight w:val="none"/>
              </w:rPr>
            </w:pPr>
            <w:r>
              <w:rPr>
                <w:rStyle w:val="30"/>
                <w:rFonts w:ascii="宋体" w:hAnsi="宋体" w:eastAsia="宋体" w:cs="宋体"/>
                <w:color w:val="auto"/>
                <w:sz w:val="21"/>
                <w:szCs w:val="21"/>
                <w:highlight w:val="none"/>
              </w:rPr>
              <w:t>0.4</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Fonts w:ascii="宋体" w:hAnsi="宋体" w:cs="宋体"/>
                <w:color w:val="auto"/>
                <w:szCs w:val="21"/>
                <w:highlight w:val="none"/>
              </w:rPr>
            </w:pPr>
            <w:r>
              <w:rPr>
                <w:rFonts w:ascii="宋体" w:hAnsi="宋体" w:cs="宋体"/>
                <w:color w:val="auto"/>
                <w:szCs w:val="21"/>
                <w:highlight w:val="none"/>
              </w:rPr>
              <w:t>1、项目技术负责人在满足</w:t>
            </w:r>
            <w:r>
              <w:rPr>
                <w:rFonts w:hint="default" w:ascii="宋体" w:hAnsi="宋体" w:eastAsia="宋体" w:cs="宋体"/>
                <w:b w:val="0"/>
                <w:bCs w:val="0"/>
                <w:color w:val="auto"/>
                <w:kern w:val="2"/>
                <w:sz w:val="21"/>
                <w:szCs w:val="21"/>
                <w:highlight w:val="none"/>
              </w:rPr>
              <w:t>资格审查条件</w:t>
            </w:r>
            <w:r>
              <w:rPr>
                <w:rFonts w:ascii="宋体" w:hAnsi="宋体" w:eastAsia="宋体" w:cs="宋体"/>
                <w:b w:val="0"/>
                <w:bCs w:val="0"/>
                <w:color w:val="auto"/>
                <w:kern w:val="2"/>
                <w:sz w:val="21"/>
                <w:szCs w:val="21"/>
                <w:highlight w:val="none"/>
              </w:rPr>
              <w:t>(项目负责人和项目技术负责人最低要求)</w:t>
            </w:r>
            <w:r>
              <w:rPr>
                <w:rFonts w:ascii="宋体" w:hAnsi="宋体" w:cs="宋体"/>
                <w:color w:val="auto"/>
                <w:szCs w:val="21"/>
                <w:highlight w:val="none"/>
              </w:rPr>
              <w:t>时，得0.25</w:t>
            </w:r>
            <w:r>
              <w:rPr>
                <w:rFonts w:hint="eastAsia" w:ascii="宋体" w:hAnsi="宋体" w:cs="宋体"/>
                <w:color w:val="auto"/>
                <w:szCs w:val="21"/>
                <w:highlight w:val="none"/>
              </w:rPr>
              <w:t>分；</w:t>
            </w:r>
          </w:p>
          <w:p>
            <w:pPr>
              <w:ind w:firstLine="420" w:firstLineChars="200"/>
              <w:jc w:val="left"/>
              <w:rPr>
                <w:rFonts w:ascii="宋体" w:hAnsi="宋体" w:cs="宋体"/>
                <w:color w:val="auto"/>
                <w:szCs w:val="21"/>
                <w:highlight w:val="none"/>
              </w:rPr>
            </w:pPr>
            <w:r>
              <w:rPr>
                <w:rFonts w:ascii="宋体" w:hAnsi="宋体" w:cs="宋体"/>
                <w:color w:val="auto"/>
                <w:szCs w:val="21"/>
                <w:highlight w:val="none"/>
              </w:rPr>
              <w:t>2、拟派的项目技术负责人2018年1月1日至今【以交（竣）工验收时间为准】担任过质量合格的单项合同总仓容10万吨或以上的钢筋混凝土筒仓（浅圆仓或立筒仓）工程施工业绩的项目负责人或项目经理或项目副经理或技术负责人职务的</w:t>
            </w:r>
            <w:r>
              <w:rPr>
                <w:rFonts w:hint="eastAsia" w:ascii="宋体" w:hAnsi="宋体" w:cs="宋体"/>
                <w:color w:val="auto"/>
                <w:szCs w:val="21"/>
                <w:highlight w:val="none"/>
              </w:rPr>
              <w:t>得</w:t>
            </w:r>
            <w:r>
              <w:rPr>
                <w:rFonts w:ascii="宋体" w:hAnsi="宋体" w:cs="宋体"/>
                <w:color w:val="auto"/>
                <w:szCs w:val="21"/>
                <w:highlight w:val="none"/>
              </w:rPr>
              <w:t>0.15</w:t>
            </w:r>
            <w:r>
              <w:rPr>
                <w:rFonts w:hint="eastAsia" w:ascii="宋体" w:hAnsi="宋体" w:cs="宋体"/>
                <w:color w:val="auto"/>
                <w:szCs w:val="21"/>
                <w:highlight w:val="none"/>
              </w:rPr>
              <w:t>分。</w:t>
            </w:r>
          </w:p>
          <w:p>
            <w:pPr>
              <w:ind w:firstLine="420" w:firstLineChars="200"/>
              <w:jc w:val="left"/>
              <w:rPr>
                <w:rFonts w:ascii="宋体" w:hAnsi="宋体"/>
                <w:color w:val="auto"/>
                <w:szCs w:val="21"/>
                <w:highlight w:val="none"/>
              </w:rPr>
            </w:pPr>
            <w:r>
              <w:rPr>
                <w:rFonts w:ascii="宋体" w:hAnsi="宋体" w:cs="宋体"/>
                <w:color w:val="auto"/>
                <w:szCs w:val="21"/>
                <w:highlight w:val="none"/>
              </w:rPr>
              <w:t>3、以上两项合计0.4</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rPr>
            </w:pPr>
          </w:p>
        </w:tc>
        <w:tc>
          <w:tcPr>
            <w:tcW w:w="1200" w:type="dxa"/>
            <w:vAlign w:val="center"/>
          </w:tcPr>
          <w:p>
            <w:pPr>
              <w:jc w:val="center"/>
              <w:rPr>
                <w:rFonts w:ascii="宋体" w:hAnsi="宋体"/>
                <w:color w:val="auto"/>
                <w:szCs w:val="21"/>
                <w:highlight w:val="none"/>
              </w:rPr>
            </w:pPr>
            <w:r>
              <w:rPr>
                <w:rStyle w:val="34"/>
                <w:rFonts w:hint="eastAsia" w:ascii="宋体" w:hAnsi="宋体" w:eastAsia="宋体" w:cs="宋体"/>
                <w:color w:val="auto"/>
                <w:sz w:val="21"/>
                <w:szCs w:val="21"/>
                <w:highlight w:val="none"/>
              </w:rPr>
              <w:t>其他人员任职资格与业绩</w:t>
            </w:r>
          </w:p>
        </w:tc>
        <w:tc>
          <w:tcPr>
            <w:tcW w:w="777" w:type="dxa"/>
            <w:vAlign w:val="center"/>
          </w:tcPr>
          <w:p>
            <w:pPr>
              <w:spacing w:line="360" w:lineRule="auto"/>
              <w:jc w:val="center"/>
              <w:rPr>
                <w:rFonts w:ascii="宋体" w:hAnsi="宋体"/>
                <w:color w:val="auto"/>
                <w:szCs w:val="21"/>
                <w:highlight w:val="none"/>
                <w:u w:val="single"/>
              </w:rPr>
            </w:pPr>
            <w:r>
              <w:rPr>
                <w:rStyle w:val="30"/>
                <w:rFonts w:ascii="宋体" w:hAnsi="宋体" w:eastAsia="宋体" w:cs="宋体"/>
                <w:color w:val="auto"/>
                <w:sz w:val="21"/>
                <w:szCs w:val="21"/>
                <w:highlight w:val="none"/>
              </w:rPr>
              <w:t>0.2</w:t>
            </w:r>
            <w:r>
              <w:rPr>
                <w:rStyle w:val="30"/>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拟派的</w:t>
            </w:r>
            <w:r>
              <w:rPr>
                <w:rFonts w:hint="eastAsia" w:ascii="宋体" w:hAnsi="宋体" w:cs="宋体"/>
                <w:color w:val="auto"/>
                <w:szCs w:val="21"/>
                <w:highlight w:val="none"/>
              </w:rPr>
              <w:t>其他人员在满足</w:t>
            </w:r>
            <w:r>
              <w:rPr>
                <w:rFonts w:hint="eastAsia" w:ascii="宋体" w:hAnsi="宋体" w:eastAsia="宋体" w:cs="宋体"/>
                <w:b w:val="0"/>
                <w:bCs w:val="0"/>
                <w:color w:val="auto"/>
                <w:kern w:val="2"/>
                <w:sz w:val="21"/>
                <w:szCs w:val="21"/>
                <w:highlight w:val="none"/>
              </w:rPr>
              <w:t>资格审查条件(其他主要管理人员和技术人员最低要求</w:t>
            </w:r>
            <w:r>
              <w:rPr>
                <w:rFonts w:hint="eastAsia" w:ascii="宋体" w:hAnsi="宋体" w:cs="宋体"/>
                <w:b w:val="0"/>
                <w:bCs w:val="0"/>
                <w:color w:val="auto"/>
                <w:kern w:val="2"/>
                <w:sz w:val="21"/>
                <w:szCs w:val="21"/>
                <w:highlight w:val="none"/>
                <w:lang w:eastAsia="zh-CN"/>
              </w:rPr>
              <w:t>）</w:t>
            </w:r>
            <w:r>
              <w:rPr>
                <w:rFonts w:hint="eastAsia" w:ascii="宋体" w:hAnsi="宋体" w:cs="宋体"/>
                <w:color w:val="auto"/>
                <w:szCs w:val="21"/>
                <w:highlight w:val="none"/>
              </w:rPr>
              <w:t>时，得0.12</w:t>
            </w:r>
            <w:r>
              <w:rPr>
                <w:rFonts w:hint="default" w:ascii="宋体" w:hAnsi="宋体" w:cs="宋体"/>
                <w:color w:val="auto"/>
                <w:szCs w:val="21"/>
                <w:highlight w:val="none"/>
              </w:rPr>
              <w:t>分；</w:t>
            </w:r>
          </w:p>
          <w:p>
            <w:pPr>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满足</w:t>
            </w:r>
            <w:r>
              <w:rPr>
                <w:rFonts w:hint="eastAsia" w:ascii="宋体" w:hAnsi="宋体" w:eastAsia="宋体" w:cs="宋体"/>
                <w:b w:val="0"/>
                <w:bCs w:val="0"/>
                <w:color w:val="auto"/>
                <w:kern w:val="2"/>
                <w:sz w:val="21"/>
                <w:szCs w:val="21"/>
                <w:highlight w:val="none"/>
              </w:rPr>
              <w:t>资格审查条件(其他主要管理人员和技术人员最低要求</w:t>
            </w:r>
            <w:r>
              <w:rPr>
                <w:rFonts w:hint="eastAsia" w:ascii="宋体" w:hAnsi="宋体" w:cs="宋体"/>
                <w:b w:val="0"/>
                <w:bCs w:val="0"/>
                <w:color w:val="auto"/>
                <w:kern w:val="2"/>
                <w:sz w:val="21"/>
                <w:szCs w:val="21"/>
                <w:highlight w:val="none"/>
                <w:lang w:eastAsia="zh-CN"/>
              </w:rPr>
              <w:t>）</w:t>
            </w:r>
            <w:r>
              <w:rPr>
                <w:rFonts w:hint="eastAsia" w:ascii="宋体" w:hAnsi="宋体" w:cs="宋体"/>
                <w:color w:val="auto"/>
                <w:szCs w:val="21"/>
                <w:highlight w:val="none"/>
                <w:lang w:val="en-US" w:eastAsia="zh-CN"/>
              </w:rPr>
              <w:t>基础上</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除项目负责人和项目技术负责人外</w:t>
            </w:r>
            <w:r>
              <w:rPr>
                <w:rFonts w:hint="eastAsia" w:ascii="宋体" w:hAnsi="宋体" w:cs="宋体"/>
                <w:color w:val="auto"/>
                <w:szCs w:val="21"/>
                <w:highlight w:val="none"/>
              </w:rPr>
              <w:t>拟派的其他人员具有高级职称的，每个得</w:t>
            </w:r>
            <w:r>
              <w:rPr>
                <w:rFonts w:ascii="宋体" w:hAnsi="宋体" w:cs="宋体"/>
                <w:color w:val="auto"/>
                <w:szCs w:val="21"/>
                <w:highlight w:val="none"/>
              </w:rPr>
              <w:t>0.02</w:t>
            </w:r>
            <w:r>
              <w:rPr>
                <w:rFonts w:hint="eastAsia" w:ascii="宋体" w:hAnsi="宋体" w:cs="宋体"/>
                <w:color w:val="auto"/>
                <w:szCs w:val="21"/>
                <w:highlight w:val="none"/>
              </w:rPr>
              <w:t>分，最多得</w:t>
            </w:r>
            <w:r>
              <w:rPr>
                <w:rFonts w:ascii="宋体" w:hAnsi="宋体" w:cs="宋体"/>
                <w:color w:val="auto"/>
                <w:szCs w:val="21"/>
                <w:highlight w:val="none"/>
              </w:rPr>
              <w:t>0.08</w:t>
            </w:r>
            <w:r>
              <w:rPr>
                <w:rFonts w:hint="eastAsia" w:ascii="宋体" w:hAnsi="宋体" w:cs="宋体"/>
                <w:color w:val="auto"/>
                <w:szCs w:val="21"/>
                <w:highlight w:val="none"/>
              </w:rPr>
              <w:t>分；其余不得分。</w:t>
            </w:r>
          </w:p>
          <w:p>
            <w:pPr>
              <w:ind w:firstLine="420" w:firstLineChars="200"/>
              <w:jc w:val="left"/>
              <w:rPr>
                <w:rFonts w:ascii="宋体" w:hAnsi="宋体"/>
                <w:color w:val="auto"/>
                <w:szCs w:val="21"/>
                <w:highlight w:val="none"/>
              </w:rPr>
            </w:pPr>
            <w:r>
              <w:rPr>
                <w:rFonts w:ascii="宋体" w:hAnsi="宋体" w:cs="宋体"/>
                <w:color w:val="auto"/>
                <w:szCs w:val="21"/>
                <w:highlight w:val="none"/>
              </w:rPr>
              <w:t>3、以上两项合计0.2</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2.2.4(3)</w:t>
            </w:r>
          </w:p>
        </w:tc>
        <w:tc>
          <w:tcPr>
            <w:tcW w:w="1588" w:type="dxa"/>
            <w:gridSpan w:val="2"/>
            <w:vAlign w:val="center"/>
          </w:tcPr>
          <w:p>
            <w:pPr>
              <w:snapToGrid w:val="0"/>
              <w:spacing w:line="240" w:lineRule="atLeast"/>
              <w:jc w:val="center"/>
              <w:rPr>
                <w:rFonts w:ascii="宋体" w:hAnsi="宋体"/>
                <w:color w:val="auto"/>
                <w:szCs w:val="21"/>
                <w:highlight w:val="none"/>
              </w:rPr>
            </w:pPr>
            <w:r>
              <w:rPr>
                <w:rStyle w:val="30"/>
                <w:rFonts w:ascii="宋体" w:hAnsi="宋体" w:eastAsia="宋体"/>
                <w:color w:val="auto"/>
                <w:sz w:val="21"/>
                <w:szCs w:val="21"/>
                <w:highlight w:val="none"/>
              </w:rPr>
              <w:t>评标价</w:t>
            </w:r>
          </w:p>
        </w:tc>
        <w:tc>
          <w:tcPr>
            <w:tcW w:w="737"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u w:val="single"/>
              </w:rPr>
              <w:t>75</w:t>
            </w:r>
            <w:r>
              <w:rPr>
                <w:rFonts w:ascii="宋体" w:hAnsi="宋体"/>
                <w:color w:val="auto"/>
                <w:szCs w:val="21"/>
                <w:highlight w:val="none"/>
              </w:rPr>
              <w:t>分</w:t>
            </w:r>
          </w:p>
        </w:tc>
        <w:tc>
          <w:tcPr>
            <w:tcW w:w="6272" w:type="dxa"/>
            <w:gridSpan w:val="3"/>
            <w:vAlign w:val="center"/>
          </w:tcPr>
          <w:p>
            <w:pPr>
              <w:snapToGrid/>
              <w:spacing w:line="24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评标价得分计算公式示例：</w:t>
            </w:r>
          </w:p>
          <w:p>
            <w:pPr>
              <w:snapToGrid/>
              <w:spacing w:line="24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(1)如果投标人的评标价&gt;评标基准价，则评标价得分＝F－偏差率×100× D1；D1取 1.5 </w:t>
            </w:r>
            <w:r>
              <w:rPr>
                <w:rFonts w:hint="eastAsia" w:ascii="宋体" w:hAnsi="宋体" w:cs="宋体"/>
                <w:color w:val="auto"/>
                <w:szCs w:val="21"/>
                <w:highlight w:val="none"/>
              </w:rPr>
              <w:t>；</w:t>
            </w:r>
          </w:p>
          <w:p>
            <w:pPr>
              <w:snapToGrid/>
              <w:spacing w:line="24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(2)如果投标人的评标价≤评标基准价，则评标价得分＝F＋偏差率× 100×D2；D2</w:t>
            </w:r>
            <w:r>
              <w:rPr>
                <w:rFonts w:hint="eastAsia" w:ascii="宋体" w:hAnsi="宋体" w:cs="宋体"/>
                <w:color w:val="auto"/>
                <w:szCs w:val="21"/>
                <w:highlight w:val="none"/>
              </w:rPr>
              <w:t>＝</w:t>
            </w:r>
            <w:r>
              <w:rPr>
                <w:rFonts w:ascii="宋体" w:hAnsi="宋体" w:cs="宋体"/>
                <w:color w:val="auto"/>
                <w:szCs w:val="21"/>
                <w:highlight w:val="none"/>
              </w:rPr>
              <w:t>0.5。</w:t>
            </w:r>
          </w:p>
          <w:p>
            <w:pPr>
              <w:snapToGrid/>
              <w:spacing w:line="24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注：评标价得分计算保留小数点后四位，小数点后第五位“</w:t>
            </w:r>
            <w:r>
              <w:rPr>
                <w:rFonts w:ascii="宋体" w:hAnsi="宋体" w:cs="宋体"/>
                <w:color w:val="auto"/>
                <w:szCs w:val="21"/>
                <w:highlight w:val="none"/>
              </w:rPr>
              <w:t>四舍五入</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2.2.4(4)</w:t>
            </w:r>
          </w:p>
        </w:tc>
        <w:tc>
          <w:tcPr>
            <w:tcW w:w="772"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其他因素</w:t>
            </w:r>
          </w:p>
        </w:tc>
        <w:tc>
          <w:tcPr>
            <w:tcW w:w="816"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履约信誉</w:t>
            </w:r>
          </w:p>
        </w:tc>
        <w:tc>
          <w:tcPr>
            <w:tcW w:w="737"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u w:val="single"/>
              </w:rPr>
              <w:t>10</w:t>
            </w:r>
            <w:r>
              <w:rPr>
                <w:rFonts w:ascii="宋体" w:hAnsi="宋体"/>
                <w:color w:val="auto"/>
                <w:szCs w:val="21"/>
                <w:highlight w:val="none"/>
              </w:rPr>
              <w:t>分</w:t>
            </w:r>
          </w:p>
        </w:tc>
        <w:tc>
          <w:tcPr>
            <w:tcW w:w="6272" w:type="dxa"/>
            <w:gridSpan w:val="3"/>
          </w:tcPr>
          <w:p>
            <w:pPr>
              <w:snapToGrid w:val="0"/>
              <w:spacing w:line="260" w:lineRule="exact"/>
              <w:ind w:firstLine="105" w:firstLineChars="5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信用等级分值（</w:t>
            </w:r>
            <w:r>
              <w:rPr>
                <w:rFonts w:ascii="宋体" w:hAnsi="宋体"/>
                <w:color w:val="auto"/>
                <w:szCs w:val="21"/>
                <w:highlight w:val="none"/>
              </w:rPr>
              <w:t>5分）</w:t>
            </w:r>
          </w:p>
          <w:p>
            <w:pPr>
              <w:snapToGrid w:val="0"/>
              <w:spacing w:line="260" w:lineRule="exact"/>
              <w:ind w:firstLine="525" w:firstLineChars="250"/>
              <w:rPr>
                <w:rFonts w:ascii="宋体" w:hAnsi="宋体"/>
                <w:color w:val="auto"/>
                <w:szCs w:val="21"/>
                <w:highlight w:val="none"/>
              </w:rPr>
            </w:pPr>
            <w:r>
              <w:rPr>
                <w:rFonts w:ascii="宋体" w:hAnsi="宋体"/>
                <w:color w:val="auto"/>
                <w:szCs w:val="21"/>
                <w:highlight w:val="none"/>
              </w:rPr>
              <w:t>AA、A、B、C级单位的信用等级分得分分别为5.00、4.75、4.45、3.65分。</w:t>
            </w:r>
          </w:p>
          <w:p>
            <w:pPr>
              <w:snapToGrid w:val="0"/>
              <w:spacing w:line="260" w:lineRule="exact"/>
              <w:rPr>
                <w:rFonts w:ascii="宋体" w:hAnsi="宋体"/>
                <w:color w:val="auto"/>
                <w:szCs w:val="21"/>
                <w:highlight w:val="none"/>
              </w:rPr>
            </w:pPr>
            <w:r>
              <w:rPr>
                <w:rFonts w:hint="eastAsia" w:ascii="宋体" w:hAnsi="宋体" w:cs="宋体"/>
                <w:color w:val="auto"/>
                <w:szCs w:val="21"/>
                <w:highlight w:val="none"/>
              </w:rPr>
              <w:t>注：信用等级的确定原则遵循投标人须知前附表</w:t>
            </w:r>
            <w:r>
              <w:rPr>
                <w:rFonts w:ascii="宋体" w:hAnsi="宋体" w:cs="宋体"/>
                <w:color w:val="auto"/>
                <w:szCs w:val="21"/>
                <w:highlight w:val="none"/>
              </w:rPr>
              <w:t>10.2款的规定。</w:t>
            </w:r>
          </w:p>
          <w:p>
            <w:pPr>
              <w:pStyle w:val="7"/>
              <w:snapToGrid w:val="0"/>
              <w:spacing w:line="260" w:lineRule="exact"/>
              <w:rPr>
                <w:rFonts w:hAnsi="宋体"/>
                <w:color w:val="auto"/>
                <w:szCs w:val="21"/>
                <w:highlight w:val="none"/>
              </w:rPr>
            </w:pPr>
            <w:r>
              <w:rPr>
                <w:rFonts w:hAnsi="宋体"/>
                <w:color w:val="auto"/>
                <w:szCs w:val="21"/>
                <w:highlight w:val="none"/>
              </w:rPr>
              <w:t xml:space="preserve">2. </w:t>
            </w:r>
            <w:r>
              <w:rPr>
                <w:rFonts w:hint="eastAsia" w:hAnsi="宋体"/>
                <w:color w:val="auto"/>
                <w:szCs w:val="21"/>
                <w:highlight w:val="none"/>
              </w:rPr>
              <w:t>履约情况（</w:t>
            </w:r>
            <w:r>
              <w:rPr>
                <w:rFonts w:hAnsi="宋体"/>
                <w:color w:val="auto"/>
                <w:szCs w:val="21"/>
                <w:highlight w:val="none"/>
              </w:rPr>
              <w:t>5分）</w:t>
            </w:r>
          </w:p>
          <w:p>
            <w:pPr>
              <w:pStyle w:val="7"/>
              <w:snapToGrid w:val="0"/>
              <w:spacing w:line="260" w:lineRule="exact"/>
              <w:rPr>
                <w:rFonts w:hAnsi="宋体"/>
                <w:color w:val="auto"/>
                <w:szCs w:val="21"/>
                <w:highlight w:val="none"/>
              </w:rPr>
            </w:pPr>
            <w:r>
              <w:rPr>
                <w:rFonts w:hint="eastAsia" w:hAnsi="宋体"/>
                <w:color w:val="auto"/>
                <w:szCs w:val="21"/>
                <w:highlight w:val="none"/>
              </w:rPr>
              <w:t>若没出现下述情形得满分；</w:t>
            </w:r>
          </w:p>
          <w:p>
            <w:pPr>
              <w:pStyle w:val="7"/>
              <w:snapToGrid w:val="0"/>
              <w:spacing w:line="260" w:lineRule="exact"/>
              <w:ind w:firstLine="210" w:firstLineChars="100"/>
              <w:rPr>
                <w:rFonts w:hAnsi="宋体"/>
                <w:color w:val="auto"/>
                <w:szCs w:val="21"/>
                <w:highlight w:val="none"/>
              </w:rPr>
            </w:pPr>
            <w:r>
              <w:rPr>
                <w:rFonts w:hint="eastAsia" w:hAnsi="宋体"/>
                <w:color w:val="auto"/>
                <w:szCs w:val="21"/>
                <w:highlight w:val="none"/>
              </w:rPr>
              <w:t>投标文件递交截止日前</w:t>
            </w:r>
            <w:r>
              <w:rPr>
                <w:rFonts w:hAnsi="宋体"/>
                <w:color w:val="auto"/>
                <w:szCs w:val="21"/>
                <w:highlight w:val="none"/>
              </w:rPr>
              <w:t>1年内，投标人因水运工程</w:t>
            </w:r>
            <w:r>
              <w:rPr>
                <w:rFonts w:hint="eastAsia" w:hAnsi="宋体"/>
                <w:color w:val="auto"/>
                <w:szCs w:val="21"/>
                <w:highlight w:val="none"/>
                <w:lang w:val="zh-CN"/>
              </w:rPr>
              <w:t>（含附属设施）建设项目</w:t>
            </w:r>
            <w:r>
              <w:rPr>
                <w:rFonts w:hint="eastAsia" w:hAnsi="宋体"/>
                <w:color w:val="auto"/>
                <w:szCs w:val="21"/>
                <w:highlight w:val="none"/>
              </w:rPr>
              <w:t>质量、安全、履约或招标投标问题等原因被：</w:t>
            </w:r>
          </w:p>
          <w:p>
            <w:pPr>
              <w:pStyle w:val="11"/>
              <w:spacing w:line="260" w:lineRule="exact"/>
              <w:ind w:left="105" w:leftChars="50" w:right="105" w:rightChars="50" w:firstLine="0" w:firstLineChars="0"/>
              <w:rPr>
                <w:color w:val="auto"/>
                <w:highlight w:val="none"/>
                <w:lang w:val="en-US"/>
              </w:rPr>
            </w:pPr>
            <w:r>
              <w:rPr>
                <w:color w:val="auto"/>
                <w:highlight w:val="none"/>
                <w:lang w:val="en-US"/>
              </w:rPr>
              <w:t>（1）交通运输部行政处罚的，扣5分/次</w:t>
            </w:r>
            <w:r>
              <w:rPr>
                <w:rFonts w:hint="eastAsia"/>
                <w:color w:val="auto"/>
                <w:highlight w:val="none"/>
                <w:lang w:val="en-US"/>
              </w:rPr>
              <w:t>。</w:t>
            </w:r>
          </w:p>
          <w:p>
            <w:pPr>
              <w:pStyle w:val="11"/>
              <w:spacing w:line="260" w:lineRule="exact"/>
              <w:ind w:left="105" w:leftChars="50" w:right="105" w:rightChars="50" w:firstLine="0" w:firstLineChars="0"/>
              <w:rPr>
                <w:color w:val="auto"/>
                <w:highlight w:val="none"/>
                <w:lang w:val="en-US"/>
              </w:rPr>
            </w:pPr>
            <w:r>
              <w:rPr>
                <w:color w:val="auto"/>
                <w:highlight w:val="none"/>
                <w:lang w:val="en-US"/>
              </w:rPr>
              <w:t>（2）广东省交通运输厅行政处罚的，扣3分/次</w:t>
            </w:r>
            <w:r>
              <w:rPr>
                <w:rFonts w:hint="eastAsia"/>
                <w:color w:val="auto"/>
                <w:highlight w:val="none"/>
                <w:lang w:val="en-US"/>
              </w:rPr>
              <w:t>。</w:t>
            </w:r>
          </w:p>
          <w:p>
            <w:pPr>
              <w:pStyle w:val="11"/>
              <w:spacing w:line="260" w:lineRule="exact"/>
              <w:ind w:left="105" w:leftChars="50" w:right="105" w:rightChars="50" w:firstLine="0" w:firstLineChars="0"/>
              <w:rPr>
                <w:color w:val="auto"/>
                <w:highlight w:val="none"/>
                <w:u w:val="single"/>
                <w:lang w:val="en-US"/>
              </w:rPr>
            </w:pPr>
            <w:r>
              <w:rPr>
                <w:color w:val="auto"/>
                <w:highlight w:val="none"/>
                <w:u w:val="single"/>
                <w:lang w:val="en-US"/>
              </w:rPr>
              <w:t>（3）项目所在地</w:t>
            </w:r>
            <w:r>
              <w:rPr>
                <w:rFonts w:hint="eastAsia"/>
                <w:color w:val="auto"/>
                <w:highlight w:val="none"/>
                <w:u w:val="single"/>
                <w:lang w:val="en-US"/>
              </w:rPr>
              <w:t>地级以上市</w:t>
            </w:r>
            <w:r>
              <w:rPr>
                <w:color w:val="auto"/>
                <w:highlight w:val="none"/>
                <w:u w:val="single"/>
                <w:lang w:val="en-US"/>
              </w:rPr>
              <w:t>交通</w:t>
            </w:r>
            <w:r>
              <w:rPr>
                <w:rFonts w:hint="eastAsia"/>
                <w:color w:val="auto"/>
                <w:highlight w:val="none"/>
                <w:u w:val="single"/>
                <w:lang w:val="en-US"/>
              </w:rPr>
              <w:t>运输</w:t>
            </w:r>
            <w:r>
              <w:rPr>
                <w:color w:val="auto"/>
                <w:highlight w:val="none"/>
                <w:u w:val="single"/>
                <w:lang w:val="en-US"/>
              </w:rPr>
              <w:t>局行政处罚的，扣1.5分/次</w:t>
            </w:r>
            <w:r>
              <w:rPr>
                <w:rFonts w:hint="eastAsia"/>
                <w:color w:val="auto"/>
                <w:highlight w:val="none"/>
                <w:u w:val="single"/>
                <w:lang w:val="en-US"/>
              </w:rPr>
              <w:t>。</w:t>
            </w:r>
          </w:p>
          <w:p>
            <w:pPr>
              <w:pStyle w:val="11"/>
              <w:spacing w:line="260" w:lineRule="exact"/>
              <w:ind w:left="105" w:leftChars="50" w:right="105" w:rightChars="50" w:firstLine="0" w:firstLineChars="0"/>
              <w:rPr>
                <w:color w:val="auto"/>
                <w:highlight w:val="none"/>
                <w:u w:val="single"/>
                <w:lang w:val="en-US"/>
              </w:rPr>
            </w:pPr>
            <w:r>
              <w:rPr>
                <w:color w:val="auto"/>
                <w:highlight w:val="none"/>
                <w:lang w:val="en-US"/>
              </w:rPr>
              <w:t>（4）广东省交通运输厅正式约谈的，扣0.6分/次。</w:t>
            </w:r>
          </w:p>
          <w:p>
            <w:pPr>
              <w:pStyle w:val="11"/>
              <w:spacing w:line="260" w:lineRule="exact"/>
              <w:ind w:left="105" w:leftChars="50" w:right="105" w:rightChars="50" w:firstLine="0" w:firstLineChars="0"/>
              <w:rPr>
                <w:color w:val="auto"/>
                <w:highlight w:val="none"/>
                <w:lang w:val="en-US"/>
              </w:rPr>
            </w:pPr>
            <w:r>
              <w:rPr>
                <w:color w:val="auto"/>
                <w:highlight w:val="none"/>
                <w:u w:val="single"/>
                <w:lang w:val="en-US"/>
              </w:rPr>
              <w:t>（5）项目所在地</w:t>
            </w:r>
            <w:r>
              <w:rPr>
                <w:rFonts w:hint="eastAsia"/>
                <w:color w:val="auto"/>
                <w:highlight w:val="none"/>
                <w:u w:val="single"/>
                <w:lang w:val="en-US"/>
              </w:rPr>
              <w:t>地级以上市</w:t>
            </w:r>
            <w:r>
              <w:rPr>
                <w:color w:val="auto"/>
                <w:highlight w:val="none"/>
                <w:u w:val="single"/>
                <w:lang w:val="en-US"/>
              </w:rPr>
              <w:t>交通运输局正式约谈的，扣0.3分/次</w:t>
            </w:r>
            <w:r>
              <w:rPr>
                <w:rFonts w:hint="eastAsia"/>
                <w:color w:val="auto"/>
                <w:highlight w:val="none"/>
                <w:u w:val="single"/>
                <w:lang w:val="en-US"/>
              </w:rPr>
              <w:t>。</w:t>
            </w:r>
          </w:p>
          <w:p>
            <w:pPr>
              <w:pStyle w:val="7"/>
              <w:snapToGrid w:val="0"/>
              <w:spacing w:line="260" w:lineRule="exact"/>
              <w:ind w:firstLine="428" w:firstLineChars="204"/>
              <w:rPr>
                <w:rFonts w:hAnsi="宋体"/>
                <w:color w:val="auto"/>
                <w:szCs w:val="21"/>
                <w:highlight w:val="none"/>
              </w:rPr>
            </w:pPr>
            <w:r>
              <w:rPr>
                <w:rFonts w:hint="eastAsia" w:hAnsi="宋体"/>
                <w:color w:val="auto"/>
                <w:szCs w:val="21"/>
                <w:highlight w:val="none"/>
              </w:rPr>
              <w:t>同一事项同时被多个部门行政处罚或正式约谈只按最高的扣分计算</w:t>
            </w:r>
            <w:r>
              <w:rPr>
                <w:rFonts w:hAnsi="宋体"/>
                <w:color w:val="auto"/>
                <w:szCs w:val="21"/>
                <w:highlight w:val="none"/>
              </w:rPr>
              <w:t>1次</w:t>
            </w:r>
            <w:r>
              <w:rPr>
                <w:rStyle w:val="16"/>
                <w:rFonts w:ascii="Times New Roman" w:hAnsi="宋体"/>
                <w:color w:val="auto"/>
                <w:szCs w:val="21"/>
                <w:highlight w:val="none"/>
                <w:lang w:val="zh-CN"/>
              </w:rPr>
              <w:footnoteReference w:id="0"/>
            </w:r>
            <w:r>
              <w:rPr>
                <w:rFonts w:hint="eastAsia" w:hAnsi="宋体"/>
                <w:color w:val="auto"/>
                <w:szCs w:val="21"/>
                <w:highlight w:val="none"/>
              </w:rPr>
              <w:t>。如果扣完本项分值，可以从总分中扣。</w:t>
            </w:r>
            <w:r>
              <w:rPr>
                <w:rFonts w:hint="eastAsia" w:hAnsi="宋体"/>
                <w:color w:val="auto"/>
                <w:szCs w:val="21"/>
                <w:highlight w:val="none"/>
                <w:lang w:val="zh-CN"/>
              </w:rPr>
              <w:t>以联合体形式投标的，若各联合体成员任何一方或均存在上述情形的，对联合体各成员进行累计扣分。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772" w:type="dxa"/>
            <w:vMerge w:val="continue"/>
            <w:vAlign w:val="center"/>
          </w:tcPr>
          <w:p>
            <w:pPr>
              <w:snapToGrid w:val="0"/>
              <w:spacing w:line="240" w:lineRule="atLeast"/>
              <w:jc w:val="center"/>
              <w:rPr>
                <w:rFonts w:ascii="宋体" w:hAnsi="宋体"/>
                <w:color w:val="auto"/>
                <w:szCs w:val="21"/>
                <w:highlight w:val="none"/>
              </w:rPr>
            </w:pPr>
          </w:p>
        </w:tc>
        <w:tc>
          <w:tcPr>
            <w:tcW w:w="816"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工程业绩</w:t>
            </w:r>
          </w:p>
        </w:tc>
        <w:tc>
          <w:tcPr>
            <w:tcW w:w="73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6272" w:type="dxa"/>
            <w:gridSpan w:val="3"/>
          </w:tcPr>
          <w:p>
            <w:pPr>
              <w:ind w:firstLine="420" w:firstLineChars="200"/>
              <w:jc w:val="left"/>
              <w:rPr>
                <w:rFonts w:ascii="宋体" w:hAnsi="宋体" w:cs="宋体"/>
                <w:color w:val="auto"/>
                <w:szCs w:val="21"/>
                <w:highlight w:val="none"/>
              </w:rPr>
            </w:pPr>
            <w:r>
              <w:rPr>
                <w:rFonts w:ascii="宋体" w:hAnsi="宋体" w:cs="宋体"/>
                <w:color w:val="auto"/>
                <w:szCs w:val="21"/>
                <w:highlight w:val="none"/>
              </w:rPr>
              <w:t>1、投标人的工程业绩在满足</w:t>
            </w:r>
            <w:r>
              <w:rPr>
                <w:rFonts w:hint="default" w:ascii="宋体" w:hAnsi="宋体" w:eastAsia="宋体" w:cs="宋体"/>
                <w:b w:val="0"/>
                <w:bCs w:val="0"/>
                <w:color w:val="auto"/>
                <w:kern w:val="2"/>
                <w:sz w:val="21"/>
                <w:szCs w:val="21"/>
                <w:highlight w:val="none"/>
              </w:rPr>
              <w:t>资格审查条件</w:t>
            </w:r>
            <w:r>
              <w:rPr>
                <w:rFonts w:ascii="宋体" w:hAnsi="宋体" w:eastAsia="宋体" w:cs="宋体"/>
                <w:b w:val="0"/>
                <w:bCs w:val="0"/>
                <w:color w:val="auto"/>
                <w:kern w:val="2"/>
                <w:sz w:val="21"/>
                <w:szCs w:val="21"/>
                <w:highlight w:val="none"/>
              </w:rPr>
              <w:t>(业绩最低要求)</w:t>
            </w:r>
            <w:r>
              <w:rPr>
                <w:rFonts w:ascii="宋体" w:hAnsi="宋体" w:cs="宋体"/>
                <w:color w:val="auto"/>
                <w:szCs w:val="21"/>
                <w:highlight w:val="none"/>
              </w:rPr>
              <w:t>时，得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pPr>
              <w:ind w:firstLine="420" w:firstLineChars="200"/>
              <w:jc w:val="left"/>
              <w:rPr>
                <w:rFonts w:ascii="宋体" w:hAnsi="宋体" w:cs="宋体"/>
                <w:color w:val="auto"/>
                <w:szCs w:val="21"/>
                <w:highlight w:val="none"/>
              </w:rPr>
            </w:pPr>
            <w:r>
              <w:rPr>
                <w:rFonts w:ascii="宋体" w:hAnsi="宋体" w:cs="宋体"/>
                <w:color w:val="auto"/>
                <w:szCs w:val="21"/>
                <w:highlight w:val="none"/>
              </w:rPr>
              <w:t>2、在满足</w:t>
            </w:r>
            <w:r>
              <w:rPr>
                <w:rFonts w:hint="default" w:ascii="宋体" w:hAnsi="宋体" w:eastAsia="宋体" w:cs="宋体"/>
                <w:b w:val="0"/>
                <w:bCs w:val="0"/>
                <w:color w:val="auto"/>
                <w:kern w:val="2"/>
                <w:sz w:val="21"/>
                <w:szCs w:val="21"/>
                <w:highlight w:val="none"/>
              </w:rPr>
              <w:t>资格审查条件</w:t>
            </w:r>
            <w:r>
              <w:rPr>
                <w:rFonts w:ascii="宋体" w:hAnsi="宋体" w:eastAsia="宋体" w:cs="宋体"/>
                <w:b w:val="0"/>
                <w:bCs w:val="0"/>
                <w:color w:val="auto"/>
                <w:kern w:val="2"/>
                <w:sz w:val="21"/>
                <w:szCs w:val="21"/>
                <w:highlight w:val="none"/>
              </w:rPr>
              <w:t>(业绩最低要求</w:t>
            </w:r>
            <w:r>
              <w:rPr>
                <w:rFonts w:hint="eastAsia" w:ascii="宋体" w:hAnsi="宋体" w:cs="宋体"/>
                <w:color w:val="auto"/>
                <w:szCs w:val="21"/>
                <w:highlight w:val="none"/>
                <w:lang w:eastAsia="zh-CN"/>
              </w:rPr>
              <w:t>）</w:t>
            </w:r>
            <w:r>
              <w:rPr>
                <w:rFonts w:ascii="宋体" w:hAnsi="宋体" w:cs="宋体"/>
                <w:color w:val="auto"/>
                <w:szCs w:val="21"/>
                <w:highlight w:val="none"/>
              </w:rPr>
              <w:t>的基础上，投标人自2018年1月1日至今【以交（竣）工验收时间为准】完成过质量合格的单项合同总仓容10万吨或以上的钢筋混凝土筒仓（浅圆仓或立筒仓）工程施工业绩的</w:t>
            </w:r>
            <w:r>
              <w:rPr>
                <w:rFonts w:hint="eastAsia" w:ascii="宋体" w:hAnsi="宋体" w:cs="宋体"/>
                <w:color w:val="auto"/>
                <w:szCs w:val="21"/>
                <w:highlight w:val="none"/>
                <w:lang w:eastAsia="zh-CN"/>
              </w:rPr>
              <w:t>，</w:t>
            </w:r>
            <w:r>
              <w:rPr>
                <w:rFonts w:ascii="宋体" w:hAnsi="宋体" w:cs="宋体"/>
                <w:color w:val="auto"/>
                <w:szCs w:val="21"/>
                <w:highlight w:val="none"/>
              </w:rPr>
              <w:t>得</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分。</w:t>
            </w:r>
          </w:p>
          <w:p>
            <w:pPr>
              <w:snapToGrid/>
              <w:spacing w:line="240" w:lineRule="auto"/>
              <w:ind w:firstLine="420" w:firstLineChars="200"/>
              <w:jc w:val="left"/>
              <w:rPr>
                <w:rFonts w:hint="eastAsia" w:ascii="宋体" w:hAnsi="宋体" w:eastAsia="宋体" w:cs="宋体"/>
                <w:color w:val="auto"/>
                <w:szCs w:val="21"/>
                <w:highlight w:val="none"/>
                <w:lang w:eastAsia="zh-CN"/>
              </w:rPr>
            </w:pPr>
            <w:r>
              <w:rPr>
                <w:rFonts w:ascii="宋体" w:hAnsi="宋体" w:cs="宋体"/>
                <w:color w:val="auto"/>
                <w:szCs w:val="21"/>
                <w:highlight w:val="none"/>
              </w:rPr>
              <w:t>3、以上两项合计</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业绩证明材料需</w:t>
            </w:r>
            <w:r>
              <w:rPr>
                <w:rFonts w:hint="eastAsia" w:ascii="宋体" w:hAnsi="宋体" w:cs="宋体"/>
                <w:color w:val="auto"/>
                <w:szCs w:val="21"/>
                <w:highlight w:val="none"/>
              </w:rPr>
              <w:t>同时附中标通知书（如有）、合同协议书、工程接收证书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工程接收证书是指发包人或上级主管部门出具的工程</w:t>
            </w:r>
            <w:r>
              <w:rPr>
                <w:rFonts w:ascii="宋体" w:hAnsi="宋体" w:cs="宋体"/>
                <w:color w:val="auto"/>
                <w:szCs w:val="21"/>
                <w:highlight w:val="none"/>
              </w:rPr>
              <w:t>(标段)交工验收证书、质量核验意见或无交工验收一次性竣工验收证书）的复印件</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772" w:type="dxa"/>
            <w:vMerge w:val="continue"/>
            <w:vAlign w:val="center"/>
          </w:tcPr>
          <w:p>
            <w:pPr>
              <w:snapToGrid w:val="0"/>
              <w:spacing w:line="240" w:lineRule="atLeast"/>
              <w:jc w:val="center"/>
              <w:rPr>
                <w:rFonts w:ascii="宋体" w:hAnsi="宋体"/>
                <w:color w:val="auto"/>
                <w:szCs w:val="21"/>
                <w:highlight w:val="none"/>
              </w:rPr>
            </w:pPr>
          </w:p>
        </w:tc>
        <w:tc>
          <w:tcPr>
            <w:tcW w:w="816" w:type="dxa"/>
            <w:vAlign w:val="center"/>
          </w:tcPr>
          <w:p>
            <w:pPr>
              <w:shd w:val="clear" w:color="auto" w:fill="auto"/>
              <w:snapToGrid w:val="0"/>
              <w:spacing w:before="0" w:line="240" w:lineRule="atLeast"/>
              <w:jc w:val="center"/>
              <w:rPr>
                <w:rFonts w:ascii="宋体" w:hAnsi="宋体"/>
                <w:color w:val="auto"/>
                <w:szCs w:val="21"/>
                <w:highlight w:val="none"/>
              </w:rPr>
            </w:pPr>
            <w:r>
              <w:rPr>
                <w:rFonts w:hint="eastAsia" w:ascii="宋体" w:hAnsi="宋体"/>
                <w:color w:val="auto"/>
                <w:szCs w:val="21"/>
                <w:highlight w:val="none"/>
              </w:rPr>
              <w:t>财务能力</w:t>
            </w:r>
          </w:p>
        </w:tc>
        <w:tc>
          <w:tcPr>
            <w:tcW w:w="737"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1分</w:t>
            </w:r>
          </w:p>
        </w:tc>
        <w:tc>
          <w:tcPr>
            <w:tcW w:w="6272" w:type="dxa"/>
            <w:gridSpan w:val="3"/>
          </w:tcPr>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投标人最新年度（</w:t>
            </w:r>
            <w:r>
              <w:rPr>
                <w:rFonts w:ascii="宋体" w:hAnsi="宋体" w:cs="宋体"/>
                <w:color w:val="auto"/>
                <w:szCs w:val="21"/>
                <w:highlight w:val="none"/>
              </w:rPr>
              <w:t>2021</w:t>
            </w:r>
            <w:r>
              <w:rPr>
                <w:rFonts w:hint="eastAsia" w:ascii="宋体" w:hAnsi="宋体" w:cs="宋体"/>
                <w:color w:val="auto"/>
                <w:szCs w:val="21"/>
                <w:highlight w:val="none"/>
              </w:rPr>
              <w:t>年）资产负债率＜</w:t>
            </w:r>
            <w:r>
              <w:rPr>
                <w:rFonts w:ascii="宋体" w:hAnsi="宋体" w:cs="宋体"/>
                <w:color w:val="auto"/>
                <w:szCs w:val="21"/>
                <w:highlight w:val="none"/>
              </w:rPr>
              <w:t>65%</w:t>
            </w:r>
            <w:r>
              <w:rPr>
                <w:rFonts w:hint="eastAsia" w:ascii="宋体" w:hAnsi="宋体" w:cs="宋体"/>
                <w:color w:val="auto"/>
                <w:szCs w:val="21"/>
                <w:highlight w:val="none"/>
              </w:rPr>
              <w:t>，得</w:t>
            </w:r>
            <w:r>
              <w:rPr>
                <w:rFonts w:ascii="宋体" w:hAnsi="宋体" w:cs="宋体"/>
                <w:color w:val="auto"/>
                <w:szCs w:val="21"/>
                <w:highlight w:val="none"/>
              </w:rPr>
              <w:t>1</w:t>
            </w:r>
            <w:r>
              <w:rPr>
                <w:rFonts w:hint="eastAsia" w:ascii="宋体" w:hAnsi="宋体" w:cs="宋体"/>
                <w:color w:val="auto"/>
                <w:szCs w:val="21"/>
                <w:highlight w:val="none"/>
              </w:rPr>
              <w:t>分；6</w:t>
            </w:r>
            <w:r>
              <w:rPr>
                <w:rFonts w:ascii="宋体" w:hAnsi="宋体" w:cs="宋体"/>
                <w:color w:val="auto"/>
                <w:szCs w:val="21"/>
                <w:highlight w:val="none"/>
              </w:rPr>
              <w:t>5</w:t>
            </w:r>
            <w:r>
              <w:rPr>
                <w:rFonts w:hint="eastAsia" w:ascii="宋体" w:hAnsi="宋体" w:cs="宋体"/>
                <w:color w:val="auto"/>
                <w:szCs w:val="21"/>
                <w:highlight w:val="none"/>
                <w:lang w:val="en-US" w:eastAsia="zh-CN"/>
              </w:rPr>
              <w:t>%</w:t>
            </w:r>
            <w:r>
              <w:rPr>
                <w:rFonts w:ascii="宋体" w:hAnsi="宋体" w:cs="宋体"/>
                <w:color w:val="auto"/>
                <w:szCs w:val="21"/>
                <w:highlight w:val="none"/>
              </w:rPr>
              <w:t>≤</w:t>
            </w:r>
            <w:r>
              <w:rPr>
                <w:rFonts w:hint="eastAsia" w:ascii="宋体" w:hAnsi="宋体" w:cs="宋体"/>
                <w:color w:val="auto"/>
                <w:szCs w:val="21"/>
                <w:highlight w:val="none"/>
              </w:rPr>
              <w:t>资产负债率＜</w:t>
            </w:r>
            <w:r>
              <w:rPr>
                <w:rFonts w:ascii="宋体" w:hAnsi="宋体" w:cs="宋体"/>
                <w:color w:val="auto"/>
                <w:szCs w:val="21"/>
                <w:highlight w:val="none"/>
              </w:rPr>
              <w:t>70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，得</w:t>
            </w:r>
            <w:r>
              <w:rPr>
                <w:rFonts w:ascii="宋体" w:hAnsi="宋体" w:cs="宋体"/>
                <w:color w:val="auto"/>
                <w:szCs w:val="21"/>
                <w:highlight w:val="none"/>
              </w:rPr>
              <w:t>0.8</w:t>
            </w:r>
            <w:r>
              <w:rPr>
                <w:rFonts w:hint="eastAsia" w:ascii="宋体" w:hAnsi="宋体" w:cs="宋体"/>
                <w:color w:val="auto"/>
                <w:szCs w:val="21"/>
                <w:highlight w:val="none"/>
              </w:rPr>
              <w:t>分；资产负债率≥</w:t>
            </w:r>
            <w:r>
              <w:rPr>
                <w:rFonts w:ascii="宋体" w:hAnsi="宋体" w:cs="宋体"/>
                <w:color w:val="auto"/>
                <w:szCs w:val="21"/>
                <w:highlight w:val="none"/>
              </w:rPr>
              <w:t>70%，</w:t>
            </w:r>
            <w:r>
              <w:rPr>
                <w:rFonts w:hint="eastAsia" w:ascii="宋体" w:hAnsi="宋体" w:cs="宋体"/>
                <w:color w:val="auto"/>
                <w:szCs w:val="21"/>
                <w:highlight w:val="none"/>
              </w:rPr>
              <w:t>得0.</w:t>
            </w:r>
            <w:r>
              <w:rPr>
                <w:rFonts w:ascii="宋体" w:hAnsi="宋体" w:cs="宋体"/>
                <w:color w:val="auto"/>
                <w:szCs w:val="21"/>
                <w:highlight w:val="none"/>
              </w:rPr>
              <w:t>6分</w:t>
            </w:r>
            <w:r>
              <w:rPr>
                <w:rFonts w:hint="eastAsia" w:ascii="宋体" w:hAnsi="宋体" w:cs="宋体"/>
                <w:color w:val="auto"/>
                <w:szCs w:val="21"/>
                <w:highlight w:val="none"/>
              </w:rPr>
              <w:t>。</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w:t>
            </w:r>
            <w:r>
              <w:rPr>
                <w:rFonts w:hint="eastAsia" w:ascii="宋体" w:hAnsi="宋体" w:cs="宋体"/>
                <w:color w:val="auto"/>
                <w:szCs w:val="21"/>
                <w:highlight w:val="none"/>
              </w:rPr>
              <w:t>提供经会计师事务所或审计机构审计的财务会计报表关键页</w:t>
            </w:r>
            <w:r>
              <w:rPr>
                <w:rFonts w:ascii="宋体" w:hAnsi="宋体" w:cs="宋体"/>
                <w:color w:val="auto"/>
                <w:szCs w:val="21"/>
                <w:highlight w:val="none"/>
              </w:rPr>
              <w:t>,</w:t>
            </w:r>
            <w:r>
              <w:rPr>
                <w:rFonts w:hint="eastAsia" w:ascii="宋体" w:hAnsi="宋体" w:cs="宋体"/>
                <w:color w:val="auto"/>
                <w:szCs w:val="21"/>
                <w:highlight w:val="none"/>
              </w:rPr>
              <w:t>包括资产负债表、现金流量表、利润表的复印件。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772" w:type="dxa"/>
            <w:vMerge w:val="continue"/>
            <w:vAlign w:val="center"/>
          </w:tcPr>
          <w:p>
            <w:pPr>
              <w:snapToGrid w:val="0"/>
              <w:spacing w:line="240" w:lineRule="atLeast"/>
              <w:jc w:val="center"/>
              <w:rPr>
                <w:rFonts w:ascii="宋体" w:hAnsi="宋体"/>
                <w:color w:val="auto"/>
                <w:szCs w:val="21"/>
                <w:highlight w:val="none"/>
              </w:rPr>
            </w:pPr>
          </w:p>
        </w:tc>
        <w:tc>
          <w:tcPr>
            <w:tcW w:w="816"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机械设备</w:t>
            </w:r>
          </w:p>
        </w:tc>
        <w:tc>
          <w:tcPr>
            <w:tcW w:w="737"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0分</w:t>
            </w:r>
          </w:p>
        </w:tc>
        <w:tc>
          <w:tcPr>
            <w:tcW w:w="6272" w:type="dxa"/>
            <w:gridSpan w:val="3"/>
            <w:vAlign w:val="center"/>
          </w:tcPr>
          <w:p>
            <w:pPr>
              <w:ind w:firstLine="0" w:firstLineChars="0"/>
              <w:jc w:val="both"/>
              <w:rPr>
                <w:rFonts w:ascii="宋体" w:hAnsi="宋体" w:cs="宋体"/>
                <w:color w:val="auto"/>
                <w:szCs w:val="21"/>
                <w:highlight w:val="none"/>
              </w:rPr>
            </w:pPr>
            <w:r>
              <w:rPr>
                <w:rFonts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772" w:type="dxa"/>
            <w:vMerge w:val="continue"/>
            <w:vAlign w:val="center"/>
          </w:tcPr>
          <w:p>
            <w:pPr>
              <w:snapToGrid w:val="0"/>
              <w:spacing w:line="240" w:lineRule="atLeast"/>
              <w:jc w:val="center"/>
              <w:rPr>
                <w:rFonts w:ascii="宋体" w:hAnsi="宋体"/>
                <w:color w:val="auto"/>
                <w:szCs w:val="21"/>
                <w:highlight w:val="none"/>
              </w:rPr>
            </w:pPr>
          </w:p>
        </w:tc>
        <w:tc>
          <w:tcPr>
            <w:tcW w:w="816" w:type="dxa"/>
            <w:vAlign w:val="center"/>
          </w:tcPr>
          <w:p>
            <w:pPr>
              <w:pStyle w:val="19"/>
              <w:shd w:val="clear" w:color="auto" w:fill="auto"/>
              <w:spacing w:before="0" w:line="240" w:lineRule="auto"/>
              <w:jc w:val="center"/>
              <w:rPr>
                <w:rFonts w:ascii="宋体" w:hAnsi="宋体" w:eastAsia="宋体"/>
                <w:color w:val="auto"/>
                <w:spacing w:val="0"/>
                <w:kern w:val="2"/>
                <w:sz w:val="21"/>
                <w:szCs w:val="21"/>
                <w:highlight w:val="none"/>
                <w:shd w:val="clear" w:fill="auto"/>
              </w:rPr>
            </w:pPr>
            <w:r>
              <w:rPr>
                <w:rFonts w:hint="eastAsia" w:ascii="宋体" w:hAnsi="宋体" w:eastAsia="宋体"/>
                <w:color w:val="auto"/>
                <w:spacing w:val="0"/>
                <w:kern w:val="2"/>
                <w:sz w:val="21"/>
                <w:szCs w:val="21"/>
                <w:highlight w:val="none"/>
                <w:shd w:val="clear" w:color="auto" w:fill="auto"/>
              </w:rPr>
              <w:t>企业综合能力</w:t>
            </w:r>
          </w:p>
        </w:tc>
        <w:tc>
          <w:tcPr>
            <w:tcW w:w="737" w:type="dxa"/>
            <w:vAlign w:val="center"/>
          </w:tcPr>
          <w:p>
            <w:pPr>
              <w:jc w:val="center"/>
              <w:rPr>
                <w:rFonts w:ascii="宋体" w:hAnsi="宋体"/>
                <w:color w:val="auto"/>
                <w:szCs w:val="21"/>
                <w:highlight w:val="none"/>
                <w:u w:val="single"/>
              </w:rPr>
            </w:pPr>
            <w:r>
              <w:rPr>
                <w:rStyle w:val="30"/>
                <w:rFonts w:ascii="宋体" w:hAnsi="宋体" w:eastAsia="宋体" w:cs="Times New Roman"/>
                <w:color w:val="auto"/>
                <w:sz w:val="21"/>
                <w:szCs w:val="21"/>
                <w:highlight w:val="none"/>
              </w:rPr>
              <w:t>5</w:t>
            </w:r>
            <w:r>
              <w:rPr>
                <w:rFonts w:hint="eastAsia" w:ascii="宋体" w:hAnsi="宋体"/>
                <w:color w:val="auto"/>
                <w:szCs w:val="21"/>
                <w:highlight w:val="none"/>
              </w:rPr>
              <w:t>分</w:t>
            </w:r>
          </w:p>
        </w:tc>
        <w:tc>
          <w:tcPr>
            <w:tcW w:w="6272" w:type="dxa"/>
            <w:gridSpan w:val="3"/>
            <w:vAlign w:val="center"/>
          </w:tcPr>
          <w:p>
            <w:pPr>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、投标人入围过交通运输部水运工程建设领域守信典型企业目录（指水运工程施工企业）：入围</w:t>
            </w:r>
            <w:r>
              <w:rPr>
                <w:rFonts w:ascii="宋体" w:hAnsi="宋体" w:cs="宋体"/>
                <w:color w:val="auto"/>
                <w:szCs w:val="21"/>
                <w:highlight w:val="none"/>
              </w:rPr>
              <w:t>3</w:t>
            </w:r>
            <w:r>
              <w:rPr>
                <w:rFonts w:hint="eastAsia" w:ascii="宋体" w:hAnsi="宋体" w:cs="宋体"/>
                <w:color w:val="auto"/>
                <w:szCs w:val="21"/>
                <w:highlight w:val="none"/>
              </w:rPr>
              <w:t>次及以上的</w:t>
            </w:r>
            <w:r>
              <w:rPr>
                <w:rFonts w:ascii="宋体" w:hAnsi="宋体" w:cs="宋体"/>
                <w:color w:val="auto"/>
                <w:szCs w:val="21"/>
                <w:highlight w:val="none"/>
              </w:rPr>
              <w:t>,</w:t>
            </w:r>
            <w:r>
              <w:rPr>
                <w:rFonts w:hint="eastAsia" w:ascii="宋体" w:hAnsi="宋体" w:cs="宋体"/>
                <w:color w:val="auto"/>
                <w:szCs w:val="21"/>
                <w:highlight w:val="none"/>
              </w:rPr>
              <w:t>得</w:t>
            </w:r>
            <w:r>
              <w:rPr>
                <w:rFonts w:ascii="宋体" w:hAnsi="宋体" w:cs="宋体"/>
                <w:color w:val="auto"/>
                <w:szCs w:val="21"/>
                <w:highlight w:val="none"/>
              </w:rPr>
              <w:t>2</w:t>
            </w:r>
            <w:r>
              <w:rPr>
                <w:rFonts w:hint="eastAsia" w:ascii="宋体" w:hAnsi="宋体" w:cs="宋体"/>
                <w:color w:val="auto"/>
                <w:szCs w:val="21"/>
                <w:highlight w:val="none"/>
              </w:rPr>
              <w:t>分；入围</w:t>
            </w:r>
            <w:r>
              <w:rPr>
                <w:rFonts w:ascii="宋体" w:hAnsi="宋体" w:cs="宋体"/>
                <w:color w:val="auto"/>
                <w:szCs w:val="21"/>
                <w:highlight w:val="none"/>
              </w:rPr>
              <w:t>2</w:t>
            </w:r>
            <w:r>
              <w:rPr>
                <w:rFonts w:hint="eastAsia" w:ascii="宋体" w:hAnsi="宋体" w:cs="宋体"/>
                <w:color w:val="auto"/>
                <w:szCs w:val="21"/>
                <w:highlight w:val="none"/>
              </w:rPr>
              <w:t>次，得</w:t>
            </w:r>
            <w:r>
              <w:rPr>
                <w:rFonts w:ascii="宋体" w:hAnsi="宋体" w:cs="宋体"/>
                <w:color w:val="auto"/>
                <w:szCs w:val="21"/>
                <w:highlight w:val="none"/>
              </w:rPr>
              <w:t>1</w:t>
            </w:r>
            <w:r>
              <w:rPr>
                <w:rFonts w:hint="eastAsia" w:ascii="宋体" w:hAnsi="宋体" w:cs="宋体"/>
                <w:color w:val="auto"/>
                <w:szCs w:val="21"/>
                <w:highlight w:val="none"/>
              </w:rPr>
              <w:t>分；入围</w:t>
            </w:r>
            <w:r>
              <w:rPr>
                <w:rFonts w:ascii="宋体" w:hAnsi="宋体" w:cs="宋体"/>
                <w:color w:val="auto"/>
                <w:szCs w:val="21"/>
                <w:highlight w:val="none"/>
              </w:rPr>
              <w:t>1次的，得0.5分；</w:t>
            </w:r>
            <w:r>
              <w:rPr>
                <w:rFonts w:hint="eastAsia" w:ascii="宋体" w:hAnsi="宋体" w:cs="宋体"/>
                <w:color w:val="auto"/>
                <w:szCs w:val="21"/>
                <w:highlight w:val="none"/>
              </w:rPr>
              <w:t>其余情况得</w:t>
            </w:r>
            <w:r>
              <w:rPr>
                <w:rFonts w:ascii="宋体" w:hAnsi="宋体" w:cs="宋体"/>
                <w:color w:val="auto"/>
                <w:szCs w:val="21"/>
                <w:highlight w:val="none"/>
              </w:rPr>
              <w:t>0</w:t>
            </w:r>
            <w:r>
              <w:rPr>
                <w:rFonts w:hint="eastAsia" w:ascii="宋体" w:hAnsi="宋体" w:cs="宋体"/>
                <w:color w:val="auto"/>
                <w:szCs w:val="21"/>
                <w:highlight w:val="none"/>
              </w:rPr>
              <w:t>分。</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注：投标人须提供交通运输部官方网站发布的“交通运输部水运工程建设领域守信典型企业目录”公示截图。</w:t>
            </w:r>
          </w:p>
          <w:p>
            <w:pPr>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、投标人自</w:t>
            </w:r>
            <w:r>
              <w:rPr>
                <w:rFonts w:ascii="宋体" w:hAnsi="宋体" w:cs="宋体"/>
                <w:color w:val="auto"/>
                <w:szCs w:val="21"/>
                <w:highlight w:val="none"/>
              </w:rPr>
              <w:t>2018</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日至今完成过的水运工程项目获得国家质量类工程奖项（指中国建筑业协会“鲁班奖”、中国土木工程学会“詹天佑奖”、中国施工企业管理协会“国家优质工程奖金质奖</w:t>
            </w:r>
            <w:r>
              <w:rPr>
                <w:rFonts w:ascii="宋体" w:hAnsi="宋体" w:cs="宋体"/>
                <w:color w:val="auto"/>
                <w:szCs w:val="21"/>
                <w:highlight w:val="none"/>
              </w:rPr>
              <w:t>(</w:t>
            </w:r>
            <w:r>
              <w:rPr>
                <w:rFonts w:hint="eastAsia" w:ascii="宋体" w:hAnsi="宋体" w:cs="宋体"/>
                <w:color w:val="auto"/>
                <w:szCs w:val="21"/>
                <w:highlight w:val="none"/>
              </w:rPr>
              <w:t>金奖</w:t>
            </w:r>
            <w:r>
              <w:rPr>
                <w:rFonts w:ascii="宋体" w:hAnsi="宋体" w:cs="宋体"/>
                <w:color w:val="auto"/>
                <w:szCs w:val="21"/>
                <w:highlight w:val="none"/>
              </w:rPr>
              <w:t>)</w:t>
            </w:r>
            <w:r>
              <w:rPr>
                <w:rFonts w:hint="eastAsia" w:ascii="宋体" w:hAnsi="宋体" w:cs="宋体"/>
                <w:color w:val="auto"/>
                <w:szCs w:val="21"/>
                <w:highlight w:val="none"/>
              </w:rPr>
              <w:t>”）的，有</w:t>
            </w:r>
            <w:r>
              <w:rPr>
                <w:rFonts w:ascii="宋体" w:hAnsi="宋体" w:cs="宋体"/>
                <w:color w:val="auto"/>
                <w:szCs w:val="21"/>
                <w:highlight w:val="none"/>
              </w:rPr>
              <w:t>3</w:t>
            </w:r>
            <w:r>
              <w:rPr>
                <w:rFonts w:hint="eastAsia" w:ascii="宋体" w:hAnsi="宋体" w:cs="宋体"/>
                <w:color w:val="auto"/>
                <w:szCs w:val="21"/>
                <w:highlight w:val="none"/>
              </w:rPr>
              <w:t>项得</w:t>
            </w:r>
            <w:r>
              <w:rPr>
                <w:rFonts w:ascii="宋体" w:hAnsi="宋体" w:cs="宋体"/>
                <w:color w:val="auto"/>
                <w:szCs w:val="21"/>
                <w:highlight w:val="none"/>
              </w:rPr>
              <w:t>1</w:t>
            </w:r>
            <w:r>
              <w:rPr>
                <w:rFonts w:hint="eastAsia" w:ascii="宋体" w:hAnsi="宋体" w:cs="宋体"/>
                <w:color w:val="auto"/>
                <w:szCs w:val="21"/>
                <w:highlight w:val="none"/>
              </w:rPr>
              <w:t>分，另每增加</w:t>
            </w:r>
            <w:r>
              <w:rPr>
                <w:rFonts w:ascii="宋体" w:hAnsi="宋体" w:cs="宋体"/>
                <w:color w:val="auto"/>
                <w:szCs w:val="21"/>
                <w:highlight w:val="none"/>
              </w:rPr>
              <w:t>1</w:t>
            </w:r>
            <w:r>
              <w:rPr>
                <w:rFonts w:hint="eastAsia" w:ascii="宋体" w:hAnsi="宋体" w:cs="宋体"/>
                <w:color w:val="auto"/>
                <w:szCs w:val="21"/>
                <w:highlight w:val="none"/>
              </w:rPr>
              <w:t>项加</w:t>
            </w:r>
            <w:r>
              <w:rPr>
                <w:rFonts w:ascii="宋体" w:hAnsi="宋体" w:cs="宋体"/>
                <w:color w:val="auto"/>
                <w:szCs w:val="21"/>
                <w:highlight w:val="none"/>
              </w:rPr>
              <w:t>0.5</w:t>
            </w:r>
            <w:r>
              <w:rPr>
                <w:rFonts w:hint="eastAsia" w:ascii="宋体" w:hAnsi="宋体" w:cs="宋体"/>
                <w:color w:val="auto"/>
                <w:szCs w:val="21"/>
                <w:highlight w:val="none"/>
              </w:rPr>
              <w:t>分，最高得</w:t>
            </w:r>
            <w:r>
              <w:rPr>
                <w:rFonts w:ascii="宋体" w:hAnsi="宋体" w:cs="宋体"/>
                <w:color w:val="auto"/>
                <w:szCs w:val="21"/>
                <w:highlight w:val="none"/>
              </w:rPr>
              <w:t>3</w:t>
            </w:r>
            <w:r>
              <w:rPr>
                <w:rFonts w:hint="eastAsia" w:ascii="宋体" w:hAnsi="宋体" w:cs="宋体"/>
                <w:color w:val="auto"/>
                <w:szCs w:val="21"/>
                <w:highlight w:val="none"/>
              </w:rPr>
              <w:t>分。</w:t>
            </w:r>
          </w:p>
          <w:p>
            <w:pPr>
              <w:snapToGrid/>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备注：同一个项目获得多个奖项时只按一个计分，以获奖证书的颁发时间为准，须提供获奖证书复印件或扫描件。</w:t>
            </w:r>
          </w:p>
        </w:tc>
      </w:tr>
    </w:tbl>
    <w:p>
      <w:pPr>
        <w:spacing w:line="360" w:lineRule="auto"/>
        <w:rPr>
          <w:rFonts w:ascii="宋体" w:hAnsi="宋体"/>
          <w:color w:val="auto"/>
          <w:highlight w:val="none"/>
        </w:rPr>
        <w:sectPr>
          <w:footnotePr>
            <w:numRestart w:val="eachPage"/>
          </w:footnotePr>
          <w:pgSz w:w="11900" w:h="16840"/>
          <w:pgMar w:top="1418" w:right="1418" w:bottom="1418" w:left="1418" w:header="680" w:footer="680" w:gutter="0"/>
          <w:cols w:space="720" w:num="1"/>
          <w:docGrid w:linePitch="360" w:charSpace="0"/>
        </w:sectPr>
      </w:pPr>
    </w:p>
    <w:tbl>
      <w:tblPr>
        <w:tblStyle w:val="12"/>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3" w:type="dxa"/>
            <w:gridSpan w:val="2"/>
          </w:tcPr>
          <w:p>
            <w:pPr>
              <w:spacing w:line="440" w:lineRule="exact"/>
              <w:rPr>
                <w:rFonts w:ascii="宋体" w:hAnsi="宋体" w:cs="宋体"/>
                <w:color w:val="auto"/>
                <w:sz w:val="24"/>
                <w:highlight w:val="none"/>
              </w:rPr>
            </w:pPr>
            <w:r>
              <w:rPr>
                <w:rFonts w:hint="eastAsia" w:ascii="宋体" w:hAnsi="宋体" w:cs="宋体"/>
                <w:color w:val="auto"/>
                <w:sz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8285" w:type="dxa"/>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440" w:lineRule="exact"/>
              <w:jc w:val="center"/>
              <w:rPr>
                <w:rFonts w:ascii="宋体" w:hAnsi="宋体" w:cs="宋体"/>
                <w:color w:val="auto"/>
                <w:sz w:val="24"/>
                <w:highlight w:val="none"/>
              </w:rPr>
            </w:pPr>
            <w:r>
              <w:rPr>
                <w:rFonts w:ascii="宋体" w:hAnsi="宋体" w:cs="宋体"/>
                <w:color w:val="auto"/>
                <w:sz w:val="24"/>
                <w:highlight w:val="none"/>
              </w:rPr>
              <w:t>1</w:t>
            </w:r>
          </w:p>
        </w:tc>
        <w:tc>
          <w:tcPr>
            <w:tcW w:w="8285" w:type="dxa"/>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将评标办法原文第</w:t>
            </w:r>
            <w:r>
              <w:rPr>
                <w:rFonts w:ascii="宋体" w:hAnsi="宋体" w:cs="宋体"/>
                <w:color w:val="auto"/>
                <w:sz w:val="24"/>
                <w:highlight w:val="none"/>
              </w:rPr>
              <w:t>1条“评标方法”改为“评标方法、组织及工作程序”，原文内容修改如下：</w:t>
            </w:r>
          </w:p>
          <w:p>
            <w:pPr>
              <w:spacing w:line="440" w:lineRule="exact"/>
              <w:rPr>
                <w:rFonts w:ascii="宋体" w:hAnsi="宋体" w:cs="宋体"/>
                <w:color w:val="auto"/>
                <w:sz w:val="24"/>
                <w:highlight w:val="none"/>
              </w:rPr>
            </w:pPr>
            <w:r>
              <w:rPr>
                <w:rFonts w:ascii="宋体" w:hAnsi="宋体" w:cs="宋体"/>
                <w:color w:val="auto"/>
                <w:sz w:val="24"/>
                <w:highlight w:val="none"/>
              </w:rPr>
              <w:t>1.评标方法、组织及工作程序</w:t>
            </w:r>
          </w:p>
          <w:p>
            <w:pPr>
              <w:spacing w:line="440" w:lineRule="exact"/>
              <w:rPr>
                <w:rFonts w:ascii="宋体" w:hAnsi="宋体" w:cs="宋体"/>
                <w:color w:val="auto"/>
                <w:sz w:val="24"/>
                <w:highlight w:val="none"/>
              </w:rPr>
            </w:pPr>
            <w:r>
              <w:rPr>
                <w:rFonts w:ascii="宋体" w:hAnsi="宋体" w:cs="宋体"/>
                <w:color w:val="auto"/>
                <w:sz w:val="24"/>
                <w:highlight w:val="none"/>
              </w:rPr>
              <w:t>1.1评标方法</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本次评标采用双信封的综合评分法。评标委员会对满足招标文件实质性要求的投标文件，按照本章第</w:t>
            </w:r>
            <w:r>
              <w:rPr>
                <w:rFonts w:ascii="宋体" w:hAnsi="宋体" w:cs="宋体"/>
                <w:color w:val="auto"/>
                <w:sz w:val="24"/>
                <w:highlight w:val="none"/>
              </w:rPr>
              <w:t>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440" w:lineRule="exact"/>
              <w:rPr>
                <w:rFonts w:ascii="宋体" w:hAnsi="宋体" w:cs="宋体"/>
                <w:color w:val="auto"/>
                <w:sz w:val="24"/>
                <w:highlight w:val="none"/>
              </w:rPr>
            </w:pPr>
            <w:r>
              <w:rPr>
                <w:rFonts w:ascii="宋体" w:hAnsi="宋体" w:cs="宋体"/>
                <w:color w:val="auto"/>
                <w:sz w:val="24"/>
                <w:highlight w:val="none"/>
              </w:rPr>
              <w:t>1.2评标组织</w:t>
            </w:r>
          </w:p>
          <w:p>
            <w:pPr>
              <w:spacing w:line="440" w:lineRule="exact"/>
              <w:rPr>
                <w:rFonts w:ascii="宋体" w:hAnsi="宋体" w:cs="宋体"/>
                <w:color w:val="auto"/>
                <w:sz w:val="24"/>
                <w:highlight w:val="none"/>
              </w:rPr>
            </w:pPr>
            <w:r>
              <w:rPr>
                <w:rFonts w:ascii="宋体" w:hAnsi="宋体" w:cs="宋体"/>
                <w:color w:val="auto"/>
                <w:sz w:val="24"/>
                <w:highlight w:val="none"/>
              </w:rPr>
              <w:t>1.2.1协助工作组</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招标人可在评标工作开始前成立协助工作组，选派熟悉招标工作、政治素质高的人员组成，协助评标委员会工作。协助工作组人员的具体数量由招标人视评标工作量确定，评标责任由评标委员会负责。</w:t>
            </w:r>
          </w:p>
          <w:p>
            <w:pPr>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招标人可以协助评标委员会开展下列工作并提供相关信息：</w:t>
            </w:r>
          </w:p>
          <w:p>
            <w:pPr>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1）根据招标文件，编制评标使用的相应表格；</w:t>
            </w:r>
          </w:p>
          <w:p>
            <w:pPr>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2）对投标报价进行算术性校核（如采用固化工程量清单，本步骤省略）；</w:t>
            </w:r>
          </w:p>
          <w:p>
            <w:pPr>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3）以评标标准和方法为依据，列出投标文件相对于招标文件的所有偏差，并进行归类汇总；</w:t>
            </w:r>
          </w:p>
          <w:p>
            <w:pPr>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4）对投标人的资质、业绩、主要人员资历和目前在岗情况、信用等级进行核实。</w:t>
            </w:r>
          </w:p>
          <w:p>
            <w:pPr>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招标人不得对投标文件作出任何评价，不得故意遗漏或者片面摘录，不得在评标委员会对所有偏差定性之前透露存有偏差的投标人名称。</w:t>
            </w:r>
          </w:p>
          <w:p>
            <w:pPr>
              <w:spacing w:line="440" w:lineRule="exact"/>
              <w:rPr>
                <w:rFonts w:ascii="宋体" w:hAnsi="宋体" w:cs="宋体"/>
                <w:color w:val="auto"/>
                <w:sz w:val="24"/>
                <w:highlight w:val="none"/>
              </w:rPr>
            </w:pPr>
            <w:r>
              <w:rPr>
                <w:rFonts w:ascii="宋体" w:hAnsi="宋体" w:cs="宋体"/>
                <w:color w:val="auto"/>
                <w:sz w:val="24"/>
                <w:highlight w:val="none"/>
              </w:rPr>
              <w:t>1.2.2评标委员会</w:t>
            </w:r>
          </w:p>
          <w:p>
            <w:pPr>
              <w:autoSpaceDE w:val="0"/>
              <w:autoSpaceDN w:val="0"/>
              <w:adjustRightInd w:val="0"/>
              <w:spacing w:line="440" w:lineRule="exact"/>
              <w:ind w:firstLine="420"/>
              <w:rPr>
                <w:rFonts w:ascii="宋体" w:hAnsi="宋体" w:cs="宋体"/>
                <w:color w:val="auto"/>
                <w:sz w:val="24"/>
                <w:highlight w:val="none"/>
              </w:rPr>
            </w:pPr>
            <w:r>
              <w:rPr>
                <w:rFonts w:hint="eastAsia" w:ascii="宋体" w:hAnsi="宋体" w:cs="宋体"/>
                <w:color w:val="auto"/>
                <w:sz w:val="24"/>
                <w:highlight w:val="none"/>
              </w:rPr>
              <w:t>评标委员会由招标人按国家、广东省等的有关规定依法组建。评标委员会的主要工作内容包括：</w:t>
            </w:r>
          </w:p>
          <w:p>
            <w:pPr>
              <w:spacing w:line="440" w:lineRule="exac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1）评标委员会开始评标工作之前，首先听取招标人、协助工作组关于工程情况和辅助工作的说明，并认真研读招标文件，获取评标所需的重要信息和数据；</w:t>
            </w:r>
          </w:p>
          <w:p>
            <w:pPr>
              <w:spacing w:line="440" w:lineRule="exac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2）对协助工作组提供的评标工作用表和评标内容进行核查。</w:t>
            </w:r>
          </w:p>
          <w:p>
            <w:pPr>
              <w:spacing w:line="440" w:lineRule="exac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3）按照以下1.3款程序进行各项评审工作。</w:t>
            </w:r>
          </w:p>
          <w:p>
            <w:pPr>
              <w:spacing w:line="440" w:lineRule="exact"/>
              <w:rPr>
                <w:rFonts w:ascii="宋体" w:hAnsi="宋体" w:cs="宋体"/>
                <w:color w:val="auto"/>
                <w:sz w:val="24"/>
                <w:highlight w:val="none"/>
              </w:rPr>
            </w:pPr>
            <w:r>
              <w:rPr>
                <w:rFonts w:ascii="宋体" w:hAnsi="宋体" w:cs="宋体"/>
                <w:color w:val="auto"/>
                <w:sz w:val="24"/>
                <w:highlight w:val="none"/>
              </w:rPr>
              <w:t>1.3评审工作程序</w:t>
            </w:r>
          </w:p>
          <w:p>
            <w:pPr>
              <w:spacing w:line="440" w:lineRule="exact"/>
              <w:rPr>
                <w:rFonts w:ascii="宋体" w:hAnsi="宋体" w:cs="宋体"/>
                <w:color w:val="auto"/>
                <w:sz w:val="24"/>
                <w:highlight w:val="none"/>
              </w:rPr>
            </w:pPr>
            <w:r>
              <w:rPr>
                <w:rFonts w:hint="eastAsia" w:ascii="宋体" w:hAnsi="宋体" w:cs="宋体"/>
                <w:color w:val="auto"/>
                <w:sz w:val="24"/>
                <w:highlight w:val="none"/>
              </w:rPr>
              <w:t>（一）第一个信封（商务及技术文件）：</w:t>
            </w:r>
          </w:p>
          <w:p>
            <w:pPr>
              <w:spacing w:line="440" w:lineRule="exact"/>
              <w:rPr>
                <w:rFonts w:ascii="宋体" w:hAnsi="宋体" w:cs="宋体"/>
                <w:color w:val="auto"/>
                <w:sz w:val="24"/>
                <w:highlight w:val="none"/>
              </w:rPr>
            </w:pPr>
            <w:r>
              <w:rPr>
                <w:rFonts w:ascii="宋体" w:hAnsi="宋体" w:cs="宋体"/>
                <w:color w:val="auto"/>
                <w:sz w:val="24"/>
                <w:highlight w:val="none"/>
              </w:rPr>
              <w:t>l、初步评审：包括形式评审与响应性评审、资格评审；</w:t>
            </w:r>
          </w:p>
          <w:p>
            <w:pPr>
              <w:spacing w:line="440" w:lineRule="exact"/>
              <w:rPr>
                <w:rFonts w:ascii="宋体" w:hAnsi="宋体" w:cs="宋体"/>
                <w:color w:val="auto"/>
                <w:sz w:val="24"/>
                <w:highlight w:val="none"/>
              </w:rPr>
            </w:pPr>
            <w:r>
              <w:rPr>
                <w:rFonts w:ascii="宋体" w:hAnsi="宋体" w:cs="宋体"/>
                <w:color w:val="auto"/>
                <w:sz w:val="24"/>
                <w:highlight w:val="none"/>
              </w:rPr>
              <w:t>2、详细评审（评审打分）：评标委员会首先对通过初步评审的投标文件第一个信封（商务及技术文件）进行详细评审，对投标人的施工组织设计、项目管理机构、其他因素等分别评审打分。</w:t>
            </w:r>
          </w:p>
          <w:p>
            <w:pPr>
              <w:spacing w:line="440" w:lineRule="exact"/>
              <w:rPr>
                <w:rFonts w:ascii="宋体" w:hAnsi="宋体" w:cs="宋体"/>
                <w:color w:val="auto"/>
                <w:sz w:val="24"/>
                <w:highlight w:val="none"/>
              </w:rPr>
            </w:pPr>
            <w:r>
              <w:rPr>
                <w:rFonts w:hint="eastAsia" w:ascii="宋体" w:hAnsi="宋体" w:cs="宋体"/>
                <w:color w:val="auto"/>
                <w:sz w:val="24"/>
                <w:highlight w:val="none"/>
              </w:rPr>
              <w:t>（二）第二个信封（报价文件）：</w:t>
            </w:r>
          </w:p>
          <w:p>
            <w:pPr>
              <w:spacing w:line="440" w:lineRule="exact"/>
              <w:ind w:firstLine="252" w:firstLineChars="105"/>
              <w:rPr>
                <w:rFonts w:ascii="宋体" w:hAnsi="宋体" w:cs="宋体"/>
                <w:color w:val="auto"/>
                <w:sz w:val="24"/>
                <w:highlight w:val="none"/>
              </w:rPr>
            </w:pPr>
            <w:r>
              <w:rPr>
                <w:rFonts w:ascii="宋体" w:hAnsi="宋体" w:cs="宋体"/>
                <w:color w:val="auto"/>
                <w:sz w:val="24"/>
                <w:highlight w:val="none"/>
              </w:rPr>
              <w:t>1、初步评审：</w:t>
            </w:r>
          </w:p>
          <w:p>
            <w:pPr>
              <w:spacing w:line="440" w:lineRule="exact"/>
              <w:ind w:firstLine="252" w:firstLineChars="105"/>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1）只有投标文件第一个信封通过详细评审的投标人才能继续参加第二个信封报价文件的形式评审与响应性评审；</w:t>
            </w:r>
          </w:p>
          <w:p>
            <w:pPr>
              <w:spacing w:line="440" w:lineRule="exact"/>
              <w:ind w:firstLine="252" w:firstLineChars="105"/>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2）报价算术性修正（如采用固化工程量清单，本步骤省略）；</w:t>
            </w:r>
          </w:p>
          <w:p>
            <w:pPr>
              <w:spacing w:line="440" w:lineRule="exact"/>
              <w:ind w:firstLine="252" w:firstLineChars="105"/>
              <w:rPr>
                <w:rFonts w:ascii="宋体" w:hAnsi="宋体" w:cs="宋体"/>
                <w:color w:val="auto"/>
                <w:sz w:val="24"/>
                <w:highlight w:val="none"/>
              </w:rPr>
            </w:pPr>
            <w:r>
              <w:rPr>
                <w:rFonts w:ascii="宋体" w:hAnsi="宋体" w:cs="宋体"/>
                <w:color w:val="auto"/>
                <w:sz w:val="24"/>
                <w:highlight w:val="none"/>
              </w:rPr>
              <w:t>2、详细评审：计算评标基准价、评标价得分及综合得分；</w:t>
            </w:r>
          </w:p>
          <w:p>
            <w:pPr>
              <w:spacing w:line="440" w:lineRule="exact"/>
              <w:ind w:firstLine="252" w:firstLineChars="105"/>
              <w:rPr>
                <w:rFonts w:ascii="宋体" w:hAnsi="宋体" w:cs="宋体"/>
                <w:color w:val="auto"/>
                <w:sz w:val="24"/>
                <w:highlight w:val="none"/>
              </w:rPr>
            </w:pPr>
            <w:r>
              <w:rPr>
                <w:rFonts w:hint="eastAsia" w:ascii="宋体" w:hAnsi="宋体" w:cs="宋体"/>
                <w:color w:val="auto"/>
                <w:sz w:val="24"/>
                <w:highlight w:val="none"/>
              </w:rPr>
              <w:t>（三）投标文件相关信息的核查。</w:t>
            </w:r>
          </w:p>
          <w:p>
            <w:pPr>
              <w:spacing w:line="440" w:lineRule="exact"/>
              <w:ind w:firstLine="252" w:firstLineChars="105"/>
              <w:rPr>
                <w:rFonts w:ascii="宋体" w:hAnsi="宋体" w:cs="宋体"/>
                <w:color w:val="auto"/>
                <w:sz w:val="24"/>
                <w:highlight w:val="none"/>
              </w:rPr>
            </w:pPr>
            <w:r>
              <w:rPr>
                <w:rFonts w:ascii="宋体" w:hAnsi="宋体" w:cs="宋体"/>
                <w:color w:val="auto"/>
                <w:sz w:val="24"/>
                <w:highlight w:val="none"/>
              </w:rPr>
              <w:t>(四)投标文件的澄清和说明(如有)</w:t>
            </w:r>
          </w:p>
          <w:p>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440" w:lineRule="exact"/>
              <w:jc w:val="center"/>
              <w:rPr>
                <w:rFonts w:ascii="宋体" w:hAnsi="宋体" w:cs="宋体"/>
                <w:color w:val="auto"/>
                <w:sz w:val="24"/>
                <w:highlight w:val="none"/>
              </w:rPr>
            </w:pPr>
            <w:r>
              <w:rPr>
                <w:rFonts w:ascii="宋体" w:hAnsi="宋体" w:cs="宋体"/>
                <w:color w:val="auto"/>
                <w:sz w:val="24"/>
                <w:highlight w:val="none"/>
              </w:rPr>
              <w:t>3.2.2</w:t>
            </w:r>
          </w:p>
        </w:tc>
        <w:tc>
          <w:tcPr>
            <w:tcW w:w="8285" w:type="dxa"/>
            <w:vAlign w:val="center"/>
          </w:tcPr>
          <w:p>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将评标办法原文第</w:t>
            </w:r>
            <w:r>
              <w:rPr>
                <w:rFonts w:ascii="宋体" w:hAnsi="宋体" w:cs="宋体"/>
                <w:color w:val="auto"/>
                <w:sz w:val="24"/>
                <w:highlight w:val="none"/>
              </w:rPr>
              <w:t>3.2.2项修改如下：</w:t>
            </w:r>
          </w:p>
          <w:p>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440" w:lineRule="exact"/>
              <w:jc w:val="center"/>
              <w:rPr>
                <w:rFonts w:ascii="宋体" w:hAnsi="宋体" w:cs="宋体"/>
                <w:color w:val="auto"/>
                <w:sz w:val="24"/>
                <w:highlight w:val="none"/>
              </w:rPr>
            </w:pPr>
            <w:r>
              <w:rPr>
                <w:rFonts w:ascii="宋体" w:hAnsi="宋体" w:cs="宋体"/>
                <w:color w:val="auto"/>
                <w:sz w:val="24"/>
                <w:highlight w:val="none"/>
              </w:rPr>
              <w:t>3.2.3</w:t>
            </w:r>
          </w:p>
        </w:tc>
        <w:tc>
          <w:tcPr>
            <w:tcW w:w="8285" w:type="dxa"/>
            <w:vAlign w:val="center"/>
          </w:tcPr>
          <w:p>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将评标办法范本原文第</w:t>
            </w:r>
            <w:r>
              <w:rPr>
                <w:rFonts w:ascii="宋体" w:hAnsi="宋体" w:cs="宋体"/>
                <w:color w:val="auto"/>
                <w:sz w:val="24"/>
                <w:highlight w:val="none"/>
              </w:rPr>
              <w:t>3.2.3项细化如下：</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投标人的商务和技术得分</w:t>
            </w:r>
            <w:r>
              <w:rPr>
                <w:rFonts w:ascii="宋体" w:hAnsi="宋体" w:cs="宋体"/>
                <w:color w:val="auto"/>
                <w:sz w:val="24"/>
                <w:highlight w:val="none"/>
              </w:rPr>
              <w:t>=A+B+D。</w:t>
            </w:r>
          </w:p>
          <w:p>
            <w:pPr>
              <w:autoSpaceDE w:val="0"/>
              <w:autoSpaceDN w:val="0"/>
              <w:adjustRightInd w:val="0"/>
              <w:snapToGrid w:val="0"/>
              <w:spacing w:line="440" w:lineRule="exact"/>
              <w:ind w:firstLine="420"/>
              <w:rPr>
                <w:rFonts w:ascii="宋体" w:hAnsi="宋体" w:cs="宋体"/>
                <w:color w:val="auto"/>
                <w:sz w:val="24"/>
                <w:highlight w:val="none"/>
              </w:rPr>
            </w:pPr>
            <w:r>
              <w:rPr>
                <w:rFonts w:hint="eastAsia" w:ascii="宋体" w:hAnsi="宋体" w:cs="宋体"/>
                <w:color w:val="auto"/>
                <w:sz w:val="24"/>
                <w:highlight w:val="none"/>
              </w:rPr>
              <w:t>除</w:t>
            </w:r>
            <w:r>
              <w:rPr>
                <w:rFonts w:hint="eastAsia" w:ascii="宋体" w:hAnsi="宋体" w:cs="宋体"/>
                <w:color w:val="auto"/>
                <w:sz w:val="24"/>
                <w:highlight w:val="none"/>
                <w:u w:val="single"/>
              </w:rPr>
              <w:t>评标价、履约信誉、企业综合能力</w:t>
            </w:r>
            <w:r>
              <w:rPr>
                <w:rFonts w:hint="eastAsia" w:ascii="宋体" w:hAnsi="宋体" w:cs="宋体"/>
                <w:color w:val="auto"/>
                <w:sz w:val="24"/>
                <w:highlight w:val="none"/>
              </w:rPr>
              <w:t>得分外，投标文件各评分因素细分项得分均不应低于其权重分的</w:t>
            </w:r>
            <w:r>
              <w:rPr>
                <w:rFonts w:ascii="宋体" w:hAnsi="宋体" w:cs="宋体"/>
                <w:color w:val="auto"/>
                <w:sz w:val="24"/>
                <w:highlight w:val="none"/>
              </w:rPr>
              <w:t>60%，评分低于权重分值60%的，评标委员会成员应当在评标报告中作出说明。</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w:t>
            </w:r>
            <w:r>
              <w:rPr>
                <w:rFonts w:hint="eastAsia" w:ascii="宋体" w:hAnsi="宋体" w:cs="宋体"/>
                <w:color w:val="auto"/>
                <w:sz w:val="24"/>
                <w:szCs w:val="24"/>
                <w:highlight w:val="none"/>
              </w:rPr>
              <w:t>保留小数点后三位，小数点后第四位“四舍五入”</w:t>
            </w:r>
            <w:r>
              <w:rPr>
                <w:rFonts w:hint="eastAsia" w:ascii="宋体" w:hAnsi="宋体" w:cs="宋体"/>
                <w:color w:val="auto"/>
                <w:kern w:val="2"/>
                <w:sz w:val="24"/>
                <w:szCs w:val="24"/>
                <w:highlight w:val="none"/>
                <w:lang w:val="en-US"/>
              </w:rPr>
              <w:t>。</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textAlignment w:val="auto"/>
              <w:rPr>
                <w:rFonts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rPr>
              <w:t>取消其中1名评委评分的办法（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s="宋体"/>
                <w:color w:val="auto"/>
                <w:kern w:val="2"/>
                <w:sz w:val="24"/>
                <w:szCs w:val="24"/>
                <w:highlight w:val="none"/>
                <w:lang w:val="en-US"/>
              </w:rPr>
            </w:pPr>
            <w:bookmarkStart w:id="14" w:name="_Hlk118845424"/>
            <w:r>
              <w:rPr>
                <w:rFonts w:hint="eastAsia" w:ascii="宋体" w:hAnsi="宋体" w:cs="宋体"/>
                <w:color w:val="auto"/>
                <w:kern w:val="2"/>
                <w:sz w:val="24"/>
                <w:szCs w:val="24"/>
                <w:highlight w:val="none"/>
                <w:lang w:val="en-US"/>
              </w:rPr>
              <w:t>注：如</w:t>
            </w:r>
            <w:r>
              <w:rPr>
                <w:rFonts w:hint="eastAsia" w:ascii="宋体" w:hAnsi="宋体" w:cs="宋体"/>
                <w:color w:val="auto"/>
                <w:kern w:val="2"/>
                <w:sz w:val="24"/>
                <w:szCs w:val="24"/>
                <w:highlight w:val="none"/>
                <w:lang w:val="en-US" w:eastAsia="zh-CN"/>
              </w:rPr>
              <w:t>某一评委</w:t>
            </w:r>
            <w:r>
              <w:rPr>
                <w:rFonts w:hint="eastAsia" w:ascii="宋体" w:hAnsi="宋体" w:cs="宋体"/>
                <w:color w:val="auto"/>
                <w:kern w:val="2"/>
                <w:sz w:val="24"/>
                <w:szCs w:val="24"/>
                <w:highlight w:val="none"/>
                <w:lang w:val="en-US"/>
              </w:rPr>
              <w:t>对每个投标人评分如下：1</w:t>
            </w:r>
            <w:r>
              <w:rPr>
                <w:rFonts w:ascii="宋体" w:hAnsi="宋体" w:cs="宋体"/>
                <w:color w:val="auto"/>
                <w:kern w:val="2"/>
                <w:sz w:val="24"/>
                <w:szCs w:val="24"/>
                <w:highlight w:val="none"/>
                <w:lang w:val="en-US"/>
              </w:rPr>
              <w:t>0</w:t>
            </w:r>
            <w:r>
              <w:rPr>
                <w:rFonts w:hint="eastAsia" w:ascii="宋体" w:hAnsi="宋体" w:cs="宋体"/>
                <w:color w:val="auto"/>
                <w:kern w:val="2"/>
                <w:sz w:val="24"/>
                <w:szCs w:val="24"/>
                <w:highlight w:val="none"/>
                <w:lang w:val="en-US"/>
              </w:rPr>
              <w:t>分、1</w:t>
            </w:r>
            <w:r>
              <w:rPr>
                <w:rFonts w:ascii="宋体" w:hAnsi="宋体" w:cs="宋体"/>
                <w:color w:val="auto"/>
                <w:kern w:val="2"/>
                <w:sz w:val="24"/>
                <w:szCs w:val="24"/>
                <w:highlight w:val="none"/>
                <w:lang w:val="en-US"/>
              </w:rPr>
              <w:t>0</w:t>
            </w:r>
            <w:r>
              <w:rPr>
                <w:rFonts w:hint="eastAsia" w:ascii="宋体" w:hAnsi="宋体" w:cs="宋体"/>
                <w:color w:val="auto"/>
                <w:kern w:val="2"/>
                <w:sz w:val="24"/>
                <w:szCs w:val="24"/>
                <w:highlight w:val="none"/>
                <w:lang w:val="en-US"/>
              </w:rPr>
              <w:t>分、9分、8分、8分、7分、7分的情况，次分差计算方式如下：1</w:t>
            </w:r>
            <w:r>
              <w:rPr>
                <w:rFonts w:ascii="宋体" w:hAnsi="宋体" w:cs="宋体"/>
                <w:color w:val="auto"/>
                <w:kern w:val="2"/>
                <w:sz w:val="24"/>
                <w:szCs w:val="24"/>
                <w:highlight w:val="none"/>
                <w:lang w:val="en-US"/>
              </w:rPr>
              <w:t>0</w:t>
            </w:r>
            <w:r>
              <w:rPr>
                <w:rFonts w:hint="eastAsia" w:ascii="宋体" w:hAnsi="宋体" w:cs="宋体"/>
                <w:color w:val="auto"/>
                <w:kern w:val="2"/>
                <w:sz w:val="24"/>
                <w:szCs w:val="24"/>
                <w:highlight w:val="none"/>
                <w:lang w:val="en-US"/>
              </w:rPr>
              <w:t>分</w:t>
            </w:r>
            <w:r>
              <w:rPr>
                <w:rFonts w:ascii="宋体" w:hAnsi="宋体" w:cs="宋体"/>
                <w:color w:val="auto"/>
                <w:kern w:val="2"/>
                <w:sz w:val="24"/>
                <w:szCs w:val="24"/>
                <w:highlight w:val="none"/>
                <w:lang w:val="en-US"/>
              </w:rPr>
              <w:t>-8</w:t>
            </w:r>
            <w:r>
              <w:rPr>
                <w:rFonts w:hint="eastAsia" w:ascii="宋体" w:hAnsi="宋体" w:cs="宋体"/>
                <w:color w:val="auto"/>
                <w:kern w:val="2"/>
                <w:sz w:val="24"/>
                <w:szCs w:val="24"/>
                <w:highlight w:val="none"/>
                <w:lang w:val="en-US"/>
              </w:rPr>
              <w:t>分</w:t>
            </w:r>
            <w:r>
              <w:rPr>
                <w:rFonts w:ascii="宋体" w:hAnsi="宋体" w:cs="宋体"/>
                <w:color w:val="auto"/>
                <w:kern w:val="2"/>
                <w:sz w:val="24"/>
                <w:szCs w:val="24"/>
                <w:highlight w:val="none"/>
                <w:lang w:val="en-US"/>
              </w:rPr>
              <w:t>=2</w:t>
            </w:r>
            <w:r>
              <w:rPr>
                <w:rFonts w:hint="eastAsia" w:ascii="宋体" w:hAnsi="宋体" w:cs="宋体"/>
                <w:color w:val="auto"/>
                <w:kern w:val="2"/>
                <w:sz w:val="24"/>
                <w:szCs w:val="24"/>
                <w:highlight w:val="none"/>
                <w:lang w:val="en-US"/>
              </w:rPr>
              <w:t>分</w:t>
            </w:r>
            <w:bookmarkEnd w:id="14"/>
            <w:r>
              <w:rPr>
                <w:rFonts w:hint="eastAsia" w:ascii="宋体" w:hAnsi="宋体" w:cs="宋体"/>
                <w:color w:val="auto"/>
                <w:kern w:val="2"/>
                <w:sz w:val="24"/>
                <w:szCs w:val="24"/>
                <w:highlight w:val="none"/>
                <w:lang w:val="en-US"/>
              </w:rPr>
              <w:t>。</w:t>
            </w:r>
          </w:p>
          <w:p>
            <w:pPr>
              <w:autoSpaceDE w:val="0"/>
              <w:autoSpaceDN w:val="0"/>
              <w:adjustRightInd w:val="0"/>
              <w:snapToGrid w:val="0"/>
              <w:spacing w:line="440" w:lineRule="exact"/>
              <w:ind w:firstLine="42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440" w:lineRule="exact"/>
              <w:jc w:val="center"/>
              <w:rPr>
                <w:rFonts w:ascii="宋体" w:hAnsi="宋体" w:cs="宋体"/>
                <w:color w:val="auto"/>
                <w:sz w:val="24"/>
                <w:highlight w:val="none"/>
              </w:rPr>
            </w:pPr>
            <w:r>
              <w:rPr>
                <w:rFonts w:ascii="宋体" w:hAnsi="宋体" w:cs="宋体"/>
                <w:color w:val="auto"/>
                <w:sz w:val="24"/>
                <w:highlight w:val="none"/>
              </w:rPr>
              <w:t>3.5.2</w:t>
            </w:r>
          </w:p>
        </w:tc>
        <w:tc>
          <w:tcPr>
            <w:tcW w:w="8285" w:type="dxa"/>
            <w:vAlign w:val="center"/>
          </w:tcPr>
          <w:p>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将评标办法原文第</w:t>
            </w:r>
            <w:r>
              <w:rPr>
                <w:rFonts w:ascii="宋体" w:hAnsi="宋体" w:cs="宋体"/>
                <w:color w:val="auto"/>
                <w:sz w:val="24"/>
                <w:highlight w:val="none"/>
              </w:rPr>
              <w:t>3.5.2项细化如下：</w:t>
            </w:r>
          </w:p>
          <w:p>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投标人综合得分</w:t>
            </w:r>
            <w:r>
              <w:rPr>
                <w:rFonts w:ascii="宋体" w:hAnsi="宋体" w:cs="宋体"/>
                <w:color w:val="auto"/>
                <w:sz w:val="24"/>
                <w:highlight w:val="none"/>
              </w:rPr>
              <w:t>=投标人的商务和技术得分+C。（计算保留小数点后四位，小数点后第五位“四舍五入”）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440" w:lineRule="exact"/>
              <w:jc w:val="center"/>
              <w:rPr>
                <w:rFonts w:ascii="宋体" w:hAnsi="宋体" w:cs="宋体"/>
                <w:color w:val="auto"/>
                <w:sz w:val="24"/>
                <w:highlight w:val="none"/>
              </w:rPr>
            </w:pPr>
            <w:r>
              <w:rPr>
                <w:rFonts w:ascii="宋体" w:hAnsi="宋体" w:cs="宋体"/>
                <w:color w:val="auto"/>
                <w:sz w:val="24"/>
                <w:highlight w:val="none"/>
              </w:rPr>
              <w:t>3.6</w:t>
            </w:r>
          </w:p>
        </w:tc>
        <w:tc>
          <w:tcPr>
            <w:tcW w:w="8285" w:type="dxa"/>
            <w:vAlign w:val="center"/>
          </w:tcPr>
          <w:p>
            <w:pPr>
              <w:adjustRightInd w:val="0"/>
              <w:snapToGrid w:val="0"/>
              <w:spacing w:line="440" w:lineRule="exact"/>
              <w:ind w:right="124" w:rightChars="59"/>
              <w:rPr>
                <w:rFonts w:ascii="宋体" w:hAnsi="宋体" w:cs="宋体"/>
                <w:color w:val="auto"/>
                <w:sz w:val="24"/>
                <w:highlight w:val="none"/>
              </w:rPr>
            </w:pPr>
            <w:r>
              <w:rPr>
                <w:rFonts w:ascii="宋体" w:hAnsi="宋体" w:cs="宋体"/>
                <w:color w:val="auto"/>
                <w:sz w:val="24"/>
                <w:highlight w:val="none"/>
              </w:rPr>
              <w:t>3.6.2项（2）目末增加以下条款：</w:t>
            </w:r>
          </w:p>
          <w:p>
            <w:pPr>
              <w:adjustRightInd w:val="0"/>
              <w:snapToGrid w:val="0"/>
              <w:spacing w:line="440" w:lineRule="exact"/>
              <w:ind w:firstLine="252" w:firstLineChars="105"/>
              <w:rPr>
                <w:rFonts w:ascii="宋体" w:hAnsi="宋体" w:cs="宋体"/>
                <w:color w:val="auto"/>
                <w:sz w:val="24"/>
                <w:highlight w:val="none"/>
              </w:rPr>
            </w:pPr>
            <w:r>
              <w:rPr>
                <w:rFonts w:ascii="宋体" w:hAnsi="宋体" w:cs="宋体"/>
                <w:color w:val="auto"/>
                <w:sz w:val="24"/>
                <w:highlight w:val="none"/>
              </w:rPr>
              <w:t>g</w:t>
            </w:r>
            <w:r>
              <w:rPr>
                <w:rStyle w:val="30"/>
                <w:rFonts w:ascii="宋体" w:hAnsi="宋体" w:eastAsia="宋体" w:cs="宋体"/>
                <w:color w:val="auto"/>
                <w:sz w:val="24"/>
                <w:szCs w:val="24"/>
                <w:highlight w:val="none"/>
              </w:rPr>
              <w:t>.当一家以上投标人评标价相同时，若各投标人工程量清单细目单价也相同，视为串标（一个标段仅一工作细目报价的除外）。</w:t>
            </w:r>
          </w:p>
          <w:p>
            <w:pPr>
              <w:adjustRightInd w:val="0"/>
              <w:snapToGrid w:val="0"/>
              <w:spacing w:line="440" w:lineRule="exact"/>
              <w:ind w:firstLine="252" w:firstLineChars="105"/>
              <w:rPr>
                <w:rStyle w:val="30"/>
                <w:rFonts w:ascii="宋体" w:hAnsi="宋体" w:eastAsia="宋体" w:cs="宋体"/>
                <w:color w:val="auto"/>
                <w:sz w:val="24"/>
                <w:szCs w:val="24"/>
                <w:highlight w:val="none"/>
              </w:rPr>
            </w:pPr>
            <w:r>
              <w:rPr>
                <w:rFonts w:ascii="宋体" w:hAnsi="宋体" w:eastAsia="宋体" w:cs="宋体"/>
                <w:color w:val="auto"/>
                <w:sz w:val="24"/>
                <w:szCs w:val="24"/>
                <w:highlight w:val="none"/>
              </w:rPr>
              <w:t>h.广东省实施《中华人民共和国招标投标法》办法第十六条规定的情形。</w:t>
            </w:r>
          </w:p>
          <w:p>
            <w:pPr>
              <w:adjustRightInd w:val="0"/>
              <w:snapToGrid w:val="0"/>
              <w:spacing w:line="440" w:lineRule="exact"/>
              <w:rPr>
                <w:rFonts w:ascii="宋体" w:hAnsi="宋体" w:cs="宋体"/>
                <w:color w:val="auto"/>
                <w:sz w:val="24"/>
                <w:highlight w:val="none"/>
              </w:rPr>
            </w:pPr>
            <w:r>
              <w:rPr>
                <w:rFonts w:hint="eastAsia" w:ascii="宋体" w:hAnsi="宋体" w:cs="宋体"/>
                <w:color w:val="auto"/>
                <w:sz w:val="24"/>
                <w:highlight w:val="none"/>
              </w:rPr>
              <w:t>增加</w:t>
            </w:r>
            <w:r>
              <w:rPr>
                <w:rFonts w:ascii="宋体" w:hAnsi="宋体" w:cs="宋体"/>
                <w:color w:val="auto"/>
                <w:sz w:val="24"/>
                <w:highlight w:val="none"/>
              </w:rPr>
              <w:t>3.6.3项：</w:t>
            </w:r>
          </w:p>
          <w:p>
            <w:pPr>
              <w:tabs>
                <w:tab w:val="left" w:pos="858"/>
              </w:tabs>
              <w:adjustRightInd w:val="0"/>
              <w:snapToGrid w:val="0"/>
              <w:spacing w:line="440" w:lineRule="exact"/>
              <w:rPr>
                <w:rFonts w:ascii="宋体" w:hAnsi="宋体" w:cs="宋体"/>
                <w:snapToGrid w:val="0"/>
                <w:color w:val="auto"/>
                <w:sz w:val="24"/>
                <w:highlight w:val="none"/>
              </w:rPr>
            </w:pPr>
            <w:r>
              <w:rPr>
                <w:rFonts w:ascii="宋体" w:hAnsi="宋体" w:cs="宋体"/>
                <w:color w:val="auto"/>
                <w:sz w:val="24"/>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440" w:lineRule="exact"/>
              <w:jc w:val="center"/>
              <w:rPr>
                <w:rFonts w:ascii="宋体" w:hAnsi="宋体" w:cs="宋体"/>
                <w:color w:val="auto"/>
                <w:sz w:val="24"/>
                <w:highlight w:val="none"/>
              </w:rPr>
            </w:pPr>
            <w:r>
              <w:rPr>
                <w:rFonts w:ascii="宋体" w:hAnsi="宋体" w:cs="宋体"/>
                <w:color w:val="auto"/>
                <w:sz w:val="24"/>
                <w:highlight w:val="none"/>
              </w:rPr>
              <w:t>3.9</w:t>
            </w:r>
          </w:p>
        </w:tc>
        <w:tc>
          <w:tcPr>
            <w:tcW w:w="8285" w:type="dxa"/>
            <w:vAlign w:val="center"/>
          </w:tcPr>
          <w:p>
            <w:pPr>
              <w:adjustRightInd w:val="0"/>
              <w:snapToGrid w:val="0"/>
              <w:spacing w:line="440" w:lineRule="exact"/>
              <w:rPr>
                <w:rFonts w:ascii="宋体" w:hAnsi="宋体" w:cs="宋体"/>
                <w:bCs/>
                <w:color w:val="auto"/>
                <w:sz w:val="24"/>
                <w:highlight w:val="none"/>
              </w:rPr>
            </w:pPr>
            <w:r>
              <w:rPr>
                <w:rFonts w:hint="eastAsia" w:ascii="宋体" w:hAnsi="宋体" w:cs="宋体"/>
                <w:bCs/>
                <w:color w:val="auto"/>
                <w:sz w:val="24"/>
                <w:highlight w:val="none"/>
              </w:rPr>
              <w:t>增加</w:t>
            </w:r>
            <w:r>
              <w:rPr>
                <w:rFonts w:ascii="宋体" w:hAnsi="宋体" w:cs="宋体"/>
                <w:bCs/>
                <w:color w:val="auto"/>
                <w:sz w:val="24"/>
                <w:highlight w:val="none"/>
              </w:rPr>
              <w:t>3.9.3-3.9.7</w:t>
            </w:r>
            <w:r>
              <w:rPr>
                <w:rFonts w:hint="eastAsia" w:ascii="宋体" w:hAnsi="宋体" w:cs="宋体"/>
                <w:color w:val="auto"/>
                <w:sz w:val="24"/>
                <w:highlight w:val="none"/>
              </w:rPr>
              <w:t>项</w:t>
            </w:r>
            <w:r>
              <w:rPr>
                <w:rFonts w:hint="eastAsia" w:ascii="宋体" w:hAnsi="宋体" w:cs="宋体"/>
                <w:bCs/>
                <w:color w:val="auto"/>
                <w:sz w:val="24"/>
                <w:highlight w:val="none"/>
              </w:rPr>
              <w:t>：</w:t>
            </w:r>
          </w:p>
          <w:p>
            <w:pPr>
              <w:adjustRightInd w:val="0"/>
              <w:snapToGrid w:val="0"/>
              <w:spacing w:line="440" w:lineRule="exact"/>
              <w:ind w:firstLine="494" w:firstLineChars="206"/>
              <w:rPr>
                <w:rFonts w:ascii="宋体" w:hAnsi="宋体" w:cs="宋体"/>
                <w:color w:val="auto"/>
                <w:sz w:val="24"/>
                <w:highlight w:val="none"/>
              </w:rPr>
            </w:pPr>
            <w:r>
              <w:rPr>
                <w:rFonts w:ascii="宋体" w:hAnsi="宋体" w:cs="宋体"/>
                <w:color w:val="auto"/>
                <w:sz w:val="24"/>
                <w:highlight w:val="none"/>
              </w:rPr>
              <w:t>3.9.4通过第一个信封商务及技术文件评审的投标人少于3个使得投标明显缺乏竞争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adjustRightInd w:val="0"/>
              <w:snapToGrid w:val="0"/>
              <w:spacing w:line="440" w:lineRule="exact"/>
              <w:ind w:firstLine="484" w:firstLineChars="202"/>
              <w:rPr>
                <w:rFonts w:ascii="宋体" w:hAnsi="宋体" w:cs="宋体"/>
                <w:color w:val="auto"/>
                <w:sz w:val="24"/>
                <w:highlight w:val="none"/>
              </w:rPr>
            </w:pPr>
            <w:r>
              <w:rPr>
                <w:rFonts w:ascii="宋体" w:hAnsi="宋体" w:cs="宋体"/>
                <w:color w:val="auto"/>
                <w:sz w:val="24"/>
                <w:highlight w:val="none"/>
              </w:rPr>
              <w:t>3.9.5通过第一个信封商务及技术文件评审的投标人在3个及以上的，招标人应当按照招标文件规定的程序进行第二个信封报价文件开标；在对报价文件进行评审后，有效投标不足3个使得投标明显缺乏竞争的，评标委员会可以否决全部投标。未否决全部投标的，评标委员会应当在评标报告中阐明理由并推荐中标候选人。</w:t>
            </w:r>
          </w:p>
          <w:p>
            <w:pPr>
              <w:adjustRightInd w:val="0"/>
              <w:snapToGrid w:val="0"/>
              <w:spacing w:line="440" w:lineRule="exact"/>
              <w:ind w:firstLine="494" w:firstLineChars="206"/>
              <w:rPr>
                <w:rFonts w:ascii="宋体" w:hAnsi="宋体" w:cs="宋体"/>
                <w:color w:val="auto"/>
                <w:sz w:val="24"/>
                <w:highlight w:val="none"/>
              </w:rPr>
            </w:pPr>
            <w:r>
              <w:rPr>
                <w:rFonts w:ascii="宋体" w:hAnsi="宋体" w:cs="宋体"/>
                <w:color w:val="auto"/>
                <w:sz w:val="24"/>
                <w:highlight w:val="none"/>
              </w:rPr>
              <w:t>3.9.6如果发生无法确定推荐中标候选人的其他意外情况，评标委员会可建议招标人重新招标。</w:t>
            </w:r>
          </w:p>
          <w:p>
            <w:pPr>
              <w:adjustRightInd w:val="0"/>
              <w:snapToGrid w:val="0"/>
              <w:spacing w:line="440" w:lineRule="exact"/>
              <w:ind w:right="124" w:rightChars="59" w:firstLine="480" w:firstLineChars="200"/>
              <w:rPr>
                <w:rFonts w:ascii="宋体" w:hAnsi="宋体" w:cs="宋体"/>
                <w:color w:val="auto"/>
                <w:sz w:val="24"/>
                <w:highlight w:val="none"/>
              </w:rPr>
            </w:pPr>
            <w:r>
              <w:rPr>
                <w:rFonts w:ascii="宋体" w:hAnsi="宋体" w:cs="宋体"/>
                <w:color w:val="auto"/>
                <w:sz w:val="24"/>
                <w:highlight w:val="none"/>
              </w:rPr>
              <w:t>3.9.7本招标文件规定的否决投标条款包含在以下条款：</w:t>
            </w:r>
          </w:p>
          <w:p>
            <w:pPr>
              <w:adjustRightInd w:val="0"/>
              <w:snapToGrid w:val="0"/>
              <w:spacing w:line="440" w:lineRule="exact"/>
              <w:ind w:right="124" w:rightChars="59"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 xml:space="preserve">1）招标公告第3点 </w:t>
            </w:r>
            <w:r>
              <w:rPr>
                <w:rFonts w:hint="eastAsia" w:ascii="宋体" w:hAnsi="宋体" w:cs="宋体"/>
                <w:color w:val="auto"/>
                <w:sz w:val="24"/>
                <w:highlight w:val="none"/>
              </w:rPr>
              <w:t>投标人资格要求；</w:t>
            </w:r>
          </w:p>
          <w:p>
            <w:pPr>
              <w:adjustRightInd w:val="0"/>
              <w:snapToGrid w:val="0"/>
              <w:spacing w:line="440" w:lineRule="exact"/>
              <w:ind w:right="124" w:rightChars="59"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u w:val="single"/>
              </w:rPr>
              <w:t>投标人须知</w:t>
            </w:r>
            <w:r>
              <w:rPr>
                <w:rFonts w:ascii="宋体" w:hAnsi="宋体" w:cs="宋体"/>
                <w:color w:val="auto"/>
                <w:sz w:val="24"/>
                <w:highlight w:val="none"/>
                <w:u w:val="single"/>
              </w:rPr>
              <w:t>1.4.3项、1.4.4项、1.11.1项、1.12.2项、3.4.2项、3.6.1项</w:t>
            </w:r>
            <w:r>
              <w:rPr>
                <w:rFonts w:hint="eastAsia" w:ascii="宋体" w:hAnsi="宋体"/>
                <w:color w:val="auto"/>
                <w:sz w:val="24"/>
                <w:highlight w:val="none"/>
                <w:u w:val="single"/>
              </w:rPr>
              <w:t>；</w:t>
            </w:r>
          </w:p>
          <w:p>
            <w:pPr>
              <w:adjustRightInd w:val="0"/>
              <w:snapToGrid w:val="0"/>
              <w:spacing w:line="44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3）本评标办法的否决条款。</w:t>
            </w:r>
          </w:p>
        </w:tc>
      </w:tr>
    </w:tbl>
    <w:p>
      <w:pPr>
        <w:pStyle w:val="19"/>
        <w:shd w:val="clear" w:color="auto" w:fill="auto"/>
        <w:spacing w:before="0" w:line="360" w:lineRule="auto"/>
        <w:jc w:val="both"/>
        <w:rPr>
          <w:rFonts w:ascii="宋体" w:hAnsi="宋体" w:eastAsia="宋体"/>
          <w:color w:val="auto"/>
          <w:szCs w:val="21"/>
          <w:highlight w:val="none"/>
        </w:rPr>
      </w:pPr>
    </w:p>
    <w:p>
      <w:pPr>
        <w:pStyle w:val="19"/>
        <w:shd w:val="clear" w:color="auto" w:fill="auto"/>
        <w:spacing w:before="0" w:after="0" w:line="360" w:lineRule="auto"/>
        <w:jc w:val="both"/>
        <w:rPr>
          <w:rStyle w:val="28"/>
          <w:rFonts w:ascii="Times New Roman" w:hAnsi="Times New Roman" w:eastAsia="宋体"/>
          <w:b w:val="0"/>
          <w:bCs w:val="0"/>
          <w:color w:val="auto"/>
          <w:sz w:val="24"/>
          <w:szCs w:val="24"/>
          <w:highlight w:val="none"/>
        </w:rPr>
      </w:pPr>
    </w:p>
    <w:p>
      <w:pPr>
        <w:pStyle w:val="19"/>
        <w:shd w:val="clear" w:color="auto" w:fill="auto"/>
        <w:spacing w:before="0" w:after="0" w:line="360" w:lineRule="auto"/>
        <w:jc w:val="both"/>
        <w:rPr>
          <w:rStyle w:val="28"/>
          <w:rFonts w:ascii="Times New Roman" w:hAnsi="Times New Roman" w:eastAsia="宋体"/>
          <w:b w:val="0"/>
          <w:bCs w:val="0"/>
          <w:color w:val="auto"/>
          <w:sz w:val="24"/>
          <w:szCs w:val="24"/>
          <w:highlight w:val="none"/>
        </w:rPr>
      </w:pPr>
      <w:r>
        <w:rPr>
          <w:rStyle w:val="28"/>
          <w:rFonts w:eastAsia="宋体"/>
          <w:b w:val="0"/>
          <w:bCs w:val="0"/>
          <w:color w:val="auto"/>
          <w:sz w:val="24"/>
          <w:szCs w:val="24"/>
          <w:highlight w:val="none"/>
        </w:rPr>
        <w:t>1</w:t>
      </w:r>
      <w:r>
        <w:rPr>
          <w:rStyle w:val="28"/>
          <w:rFonts w:hint="eastAsia" w:eastAsia="宋体"/>
          <w:b w:val="0"/>
          <w:bCs w:val="0"/>
          <w:color w:val="auto"/>
          <w:sz w:val="24"/>
          <w:szCs w:val="24"/>
          <w:highlight w:val="none"/>
        </w:rPr>
        <w:t>．评标方法</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本次评标采用综合评分法。评标委员会对满足招标文件实质性要求的投标文件，按照本章第</w:t>
      </w:r>
      <w:r>
        <w:rPr>
          <w:rFonts w:ascii="宋体" w:hAnsi="宋体"/>
          <w:color w:val="auto"/>
          <w:szCs w:val="21"/>
          <w:highlight w:val="none"/>
        </w:rPr>
        <w:t>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pStyle w:val="3"/>
        <w:spacing w:before="0" w:after="0" w:line="360" w:lineRule="auto"/>
        <w:jc w:val="left"/>
        <w:rPr>
          <w:rStyle w:val="28"/>
          <w:rFonts w:ascii="Arial" w:hAnsi="Arial" w:eastAsia="宋体"/>
          <w:b w:val="0"/>
          <w:bCs w:val="0"/>
          <w:color w:val="auto"/>
          <w:spacing w:val="0"/>
          <w:sz w:val="24"/>
          <w:szCs w:val="24"/>
          <w:highlight w:val="none"/>
          <w:shd w:val="clear" w:color="auto" w:fill="auto"/>
        </w:rPr>
      </w:pPr>
      <w:r>
        <w:rPr>
          <w:rStyle w:val="28"/>
          <w:rFonts w:hint="eastAsia" w:eastAsia="宋体"/>
          <w:b w:val="0"/>
          <w:bCs w:val="0"/>
          <w:color w:val="auto"/>
          <w:sz w:val="24"/>
          <w:szCs w:val="24"/>
          <w:highlight w:val="none"/>
        </w:rPr>
        <w:t>2．评审标准</w:t>
      </w:r>
    </w:p>
    <w:p>
      <w:pPr>
        <w:pStyle w:val="4"/>
        <w:spacing w:before="0" w:after="0"/>
        <w:ind w:left="425"/>
        <w:jc w:val="left"/>
        <w:rPr>
          <w:rStyle w:val="28"/>
          <w:rFonts w:ascii="Times New Roman" w:hAnsi="Times New Roman" w:eastAsia="宋体"/>
          <w:b w:val="0"/>
          <w:bCs w:val="0"/>
          <w:iCs/>
          <w:color w:val="auto"/>
          <w:spacing w:val="0"/>
          <w:sz w:val="24"/>
          <w:szCs w:val="24"/>
          <w:highlight w:val="none"/>
          <w:shd w:val="clear" w:color="auto" w:fill="auto"/>
        </w:rPr>
      </w:pPr>
      <w:r>
        <w:rPr>
          <w:rStyle w:val="28"/>
          <w:rFonts w:hint="eastAsia"/>
          <w:b w:val="0"/>
          <w:bCs w:val="0"/>
          <w:iCs/>
          <w:color w:val="auto"/>
          <w:sz w:val="24"/>
          <w:szCs w:val="24"/>
          <w:highlight w:val="none"/>
        </w:rPr>
        <w:t>2.1初步评审标准</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2.1.1形式评审标准：见评标办法前附表。</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2.1.2资格评审标准：见评标办法前附表。</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2.1.3响应性评审标准：见评标办法前附表。</w:t>
      </w:r>
    </w:p>
    <w:p>
      <w:pPr>
        <w:pStyle w:val="4"/>
        <w:spacing w:before="0" w:after="0"/>
        <w:ind w:left="425"/>
        <w:jc w:val="left"/>
        <w:rPr>
          <w:rStyle w:val="28"/>
          <w:b w:val="0"/>
          <w:bCs w:val="0"/>
          <w:iCs/>
          <w:color w:val="auto"/>
          <w:sz w:val="24"/>
          <w:szCs w:val="24"/>
          <w:highlight w:val="none"/>
        </w:rPr>
      </w:pPr>
      <w:r>
        <w:rPr>
          <w:rStyle w:val="28"/>
          <w:rFonts w:hint="eastAsia"/>
          <w:b w:val="0"/>
          <w:bCs w:val="0"/>
          <w:iCs/>
          <w:color w:val="auto"/>
          <w:sz w:val="24"/>
          <w:szCs w:val="24"/>
          <w:highlight w:val="none"/>
        </w:rPr>
        <w:t>2.2分值构成与评分标准</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 xml:space="preserve"> 2.2.1分值构成</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1）施工组织设计：见评标办法前附表；</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2）主要人员：见评标办法前附表；</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3）投标报价：见评标办法前附表；</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4）其他因素：见评标办法前附表。</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2.2.2评标基准价计算：见评标办法前附表；</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2.2.3投标报价的偏差率计算：见评标办法前附表；</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2.2.4评分标准</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1）施工组织设计评分标准：见评标办法前附表；</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2）主要人员评分标准：见评标办法前附表；</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3）投标报价评分标准：见评标办法前附表；</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）其他因素评分标准：见评标办法前附表；</w:t>
      </w:r>
      <w:r>
        <w:rPr>
          <w:rFonts w:ascii="MS Mincho" w:hAnsi="MS Mincho" w:eastAsia="MS Mincho" w:cs="MS Mincho"/>
          <w:color w:val="auto"/>
          <w:szCs w:val="21"/>
          <w:highlight w:val="none"/>
        </w:rPr>
        <w:t> </w:t>
      </w:r>
    </w:p>
    <w:p>
      <w:pPr>
        <w:pStyle w:val="3"/>
        <w:spacing w:before="0" w:after="0" w:line="360" w:lineRule="auto"/>
        <w:jc w:val="left"/>
        <w:rPr>
          <w:rStyle w:val="28"/>
          <w:rFonts w:ascii="Arial" w:hAnsi="Arial" w:eastAsia="宋体"/>
          <w:b w:val="0"/>
          <w:bCs w:val="0"/>
          <w:color w:val="auto"/>
          <w:spacing w:val="0"/>
          <w:sz w:val="24"/>
          <w:szCs w:val="24"/>
          <w:highlight w:val="none"/>
          <w:shd w:val="clear" w:color="auto" w:fill="auto"/>
        </w:rPr>
      </w:pPr>
      <w:r>
        <w:rPr>
          <w:rStyle w:val="28"/>
          <w:rFonts w:hint="eastAsia" w:eastAsia="宋体"/>
          <w:b w:val="0"/>
          <w:bCs w:val="0"/>
          <w:color w:val="auto"/>
          <w:sz w:val="24"/>
          <w:szCs w:val="24"/>
          <w:highlight w:val="none"/>
        </w:rPr>
        <w:t>3．评标程序</w:t>
      </w:r>
    </w:p>
    <w:p>
      <w:pPr>
        <w:pStyle w:val="4"/>
        <w:spacing w:before="0" w:after="0"/>
        <w:ind w:left="425"/>
        <w:jc w:val="left"/>
        <w:rPr>
          <w:rStyle w:val="28"/>
          <w:rFonts w:ascii="Times New Roman" w:hAnsi="Times New Roman" w:eastAsia="宋体"/>
          <w:b w:val="0"/>
          <w:bCs w:val="0"/>
          <w:iCs/>
          <w:color w:val="auto"/>
          <w:spacing w:val="0"/>
          <w:sz w:val="24"/>
          <w:szCs w:val="24"/>
          <w:highlight w:val="none"/>
          <w:shd w:val="clear" w:color="auto" w:fill="auto"/>
        </w:rPr>
      </w:pPr>
      <w:r>
        <w:rPr>
          <w:rStyle w:val="28"/>
          <w:rFonts w:hint="eastAsia"/>
          <w:b w:val="0"/>
          <w:bCs w:val="0"/>
          <w:iCs/>
          <w:color w:val="auto"/>
          <w:sz w:val="24"/>
          <w:szCs w:val="24"/>
          <w:highlight w:val="none"/>
        </w:rPr>
        <w:t>3.1第一个信封初步评审</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 xml:space="preserve">3.1.1 </w:t>
      </w:r>
      <w:r>
        <w:rPr>
          <w:rFonts w:hint="eastAsia" w:ascii="宋体" w:hAnsi="宋体"/>
          <w:color w:val="auto"/>
          <w:szCs w:val="21"/>
          <w:highlight w:val="none"/>
        </w:rPr>
        <w:t>评标委员会可以要求投标人提交第二章“投标人须知”第</w:t>
      </w:r>
      <w:r>
        <w:rPr>
          <w:rFonts w:ascii="宋体" w:hAnsi="宋体"/>
          <w:color w:val="auto"/>
          <w:szCs w:val="21"/>
          <w:highlight w:val="none"/>
        </w:rPr>
        <w:t>3.5.1项至第3.5.6项规定的有关证明和证件的原件，以便核验。评标委员会依据本章第2.1款规定的标准对投标文件第一个信封（商务及技术文件）进行初步评审。有一项不符合评审标准的，评标委员会应否决其投标。</w:t>
      </w:r>
    </w:p>
    <w:p>
      <w:pPr>
        <w:pStyle w:val="4"/>
        <w:spacing w:before="0" w:after="0"/>
        <w:ind w:left="425"/>
        <w:jc w:val="left"/>
        <w:rPr>
          <w:rStyle w:val="28"/>
          <w:b w:val="0"/>
          <w:bCs w:val="0"/>
          <w:iCs/>
          <w:color w:val="auto"/>
          <w:sz w:val="24"/>
          <w:szCs w:val="24"/>
          <w:highlight w:val="none"/>
        </w:rPr>
      </w:pPr>
      <w:r>
        <w:rPr>
          <w:rStyle w:val="28"/>
          <w:rFonts w:hint="eastAsia"/>
          <w:b w:val="0"/>
          <w:bCs w:val="0"/>
          <w:iCs/>
          <w:color w:val="auto"/>
          <w:sz w:val="24"/>
          <w:szCs w:val="24"/>
          <w:highlight w:val="none"/>
        </w:rPr>
        <w:t>3.2第一个信封详细评审</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3.2.1评标委员会按本章第2.2款规定的量化因素和分值进行打分，并计算出各投标人的商务和技术得分。</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1）按本章第2.2.4（1）目规定的评审因素和分值对施工组织设计部分计算出得分A；</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2）按本章第2.2.4（2）目规定的评审因素和分值对主要人员部分计算出得分B；</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3）按本章第2.2.4（4）目规定的评审因素和分值对其他部分计算出得分D。</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3.2.2投标人的商务和技术得分分值计算保留小数点后两位，小数点后第三位“四舍五入”。</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3.2.3投标人的商务和技术得分=A+B+D。</w:t>
      </w:r>
    </w:p>
    <w:p>
      <w:pPr>
        <w:pStyle w:val="4"/>
        <w:spacing w:before="0" w:after="0"/>
        <w:ind w:left="425"/>
        <w:jc w:val="left"/>
        <w:rPr>
          <w:rStyle w:val="28"/>
          <w:b w:val="0"/>
          <w:bCs w:val="0"/>
          <w:iCs/>
          <w:color w:val="auto"/>
          <w:sz w:val="24"/>
          <w:szCs w:val="24"/>
          <w:highlight w:val="none"/>
        </w:rPr>
      </w:pPr>
      <w:r>
        <w:rPr>
          <w:rStyle w:val="28"/>
          <w:rFonts w:hint="eastAsia"/>
          <w:b w:val="0"/>
          <w:bCs w:val="0"/>
          <w:iCs/>
          <w:color w:val="auto"/>
          <w:sz w:val="24"/>
          <w:szCs w:val="24"/>
          <w:highlight w:val="none"/>
        </w:rPr>
        <w:t>3.3第二个信封开标</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第一个信封（商务及技术文件）评审结束后，招标人将按照第二章“投标人须知”第</w:t>
      </w:r>
      <w:r>
        <w:rPr>
          <w:rFonts w:ascii="宋体" w:hAnsi="宋体"/>
          <w:color w:val="auto"/>
          <w:szCs w:val="21"/>
          <w:highlight w:val="none"/>
        </w:rPr>
        <w:t>5.1款规定的时间和地点对通过投标文件第一个信封（商务及技术文件）评审的投标文件第二个信封（报价文件）进行开标。</w:t>
      </w:r>
    </w:p>
    <w:p>
      <w:pPr>
        <w:pStyle w:val="4"/>
        <w:spacing w:before="0" w:after="0"/>
        <w:ind w:left="425"/>
        <w:jc w:val="left"/>
        <w:rPr>
          <w:rStyle w:val="28"/>
          <w:b w:val="0"/>
          <w:bCs w:val="0"/>
          <w:iCs/>
          <w:color w:val="auto"/>
          <w:sz w:val="24"/>
          <w:szCs w:val="24"/>
          <w:highlight w:val="none"/>
        </w:rPr>
      </w:pPr>
      <w:r>
        <w:rPr>
          <w:rStyle w:val="28"/>
          <w:rFonts w:hint="eastAsia"/>
          <w:b w:val="0"/>
          <w:bCs w:val="0"/>
          <w:iCs/>
          <w:color w:val="auto"/>
          <w:sz w:val="24"/>
          <w:szCs w:val="24"/>
          <w:highlight w:val="none"/>
        </w:rPr>
        <w:t>3.4第二个信封初步评审</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3.4.1评标委员会依据本章第2.1.1项、第2.1.3项规定的评审标准对投标文件第二个信封（报价文件）进行初步评审。有一项不符合评审标准的，评标委员会应否决其投标。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3.4.2</w:t>
      </w:r>
      <w:r>
        <w:rPr>
          <w:rStyle w:val="16"/>
          <w:rFonts w:ascii="宋体" w:hAnsi="宋体"/>
          <w:color w:val="auto"/>
          <w:szCs w:val="21"/>
          <w:highlight w:val="none"/>
        </w:rPr>
        <w:footnoteReference w:id="1"/>
      </w:r>
      <w:r>
        <w:rPr>
          <w:rFonts w:hint="eastAsia" w:ascii="宋体" w:hAnsi="宋体"/>
          <w:color w:val="auto"/>
          <w:szCs w:val="21"/>
          <w:highlight w:val="none"/>
        </w:rPr>
        <w:t>投标报价有算术错误的，评标委员会按以下原则对投标报价进行修正，修正的价格经投标人书面确认后具有约束力。投标人不接受修正价格的，评标委员会应否决其投标。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(1)投标文件中的大写金额与小写金额不一致的，以大写金额为准；</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(2)总价金额与依据单价计算出的结果不一致的，以单价金额为准修正总价，但单价金额小数点有明显错误的除外；</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(3)当单价与数量相乘不等于合价时，以单价计算为准，如果单价有明显的小数点位置差错，应以标出的合价为准，同时对单价予以修正；</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(4)当各子目的合价累计不等于总价时，应以各子目合价累计数为准，修正总价。</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3.4.3工程量清单中的投标报价有其他错误的，评标委员会按以下原则对投标报价进行修正，修正的价格经投标人书面确认后具有约束力。投标人不接受修正价格的，评标委员会应否决其投标。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(3)当单价与数量的乘积与合价(金额)虽然一致，但投标人修改了该子目的工程数量，则其合价按招标人给定的工程数量乘以投标人所报单价予以修正。</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3.4.4修正后的最终投标报价若超过最高投标限价(如有)，评标委员会应否决其投标。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3.4.5修正后的最终投标报价仅作为签订合同的一个依据，不参与评标价得分的计算。</w:t>
      </w:r>
    </w:p>
    <w:p>
      <w:pPr>
        <w:pStyle w:val="4"/>
        <w:spacing w:before="0" w:after="0"/>
        <w:ind w:left="425"/>
        <w:jc w:val="left"/>
        <w:rPr>
          <w:rStyle w:val="28"/>
          <w:b w:val="0"/>
          <w:bCs w:val="0"/>
          <w:iCs/>
          <w:color w:val="auto"/>
          <w:sz w:val="24"/>
          <w:szCs w:val="24"/>
          <w:highlight w:val="none"/>
        </w:rPr>
      </w:pPr>
      <w:r>
        <w:rPr>
          <w:rStyle w:val="28"/>
          <w:rFonts w:hint="eastAsia"/>
          <w:b w:val="0"/>
          <w:bCs w:val="0"/>
          <w:iCs/>
          <w:color w:val="auto"/>
          <w:sz w:val="24"/>
          <w:szCs w:val="24"/>
          <w:highlight w:val="none"/>
        </w:rPr>
        <w:t>3.5第二个信封详细评审</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3.5.1评标委员会按本章第2.2.4（3）目规定的评审因素和分值对投标报价计算出得分C。投标报价得分分值计算保留小数点后两位，小数点后第三位“四舍五入”。</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3.5.2投标人得分=投标人的商务和技术得分+C</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4"/>
        <w:spacing w:before="0" w:after="0"/>
        <w:ind w:left="425"/>
        <w:jc w:val="left"/>
        <w:rPr>
          <w:rStyle w:val="28"/>
          <w:b w:val="0"/>
          <w:bCs w:val="0"/>
          <w:iCs/>
          <w:color w:val="auto"/>
          <w:sz w:val="24"/>
          <w:szCs w:val="24"/>
          <w:highlight w:val="none"/>
        </w:rPr>
      </w:pPr>
      <w:r>
        <w:rPr>
          <w:rStyle w:val="28"/>
          <w:rFonts w:hint="eastAsia"/>
          <w:b w:val="0"/>
          <w:bCs w:val="0"/>
          <w:iCs/>
          <w:color w:val="auto"/>
          <w:sz w:val="24"/>
          <w:szCs w:val="24"/>
          <w:highlight w:val="none"/>
        </w:rPr>
        <w:t>3.6投标文件相关信息的核查</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3.6.1评标委员会应对在评标过程中发现的投标人与投标人之间、投标人与招标人之间存在的串通投标的情形进行评审和认定。投标人存在串通投标、弄虚作假、行贿等违法行为的，评标委员会应否决其投标。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1）有下列情形之一的，属于投标人相互串通投标：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a.投标人之间协商投标报价等投标文件的实质性内容；</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b.投标人之间约定中标人；</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c.投标人之间约定部分投标人放弃投标或中标；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d.属于同一集团、协会、商会等组织成员的投标人按照该组织要求协同投标；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e.投标人之间为谋取中标或排斥特定投标人而采取的其他联合行动。</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2）有下列情形之一的，视为投标人相互串通投标：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a.不同投标人的投标文件由同一单位或个人编制；</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b.不同投标人委托同一单位或个人办理投标事宜；</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c.不同投标人的投标文件载明的项目管理成员为同一人；</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d.不同投标人的投标文件异常一致或投标报价呈规律性差异；</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e.不同投标人的投标文件相互混装；</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f.不同投标人的投标保证金从同一单位或个人的账户转出。</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3）有下列情形之一的，属于招标人与投标人串通投标：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a.招标人在开标前开启投标文件并将有关信息泄露给其他投标人;</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b.招标人直接或间接向投标人泄露标底、评标委员会成员等信息；</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c.招标人明示或暗示投标人压低或抬高投标报价；</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d.招标人授意投标人撤换、修改投标文件；</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e.招标人明示或暗示投标人为特定投标人中标提供方便；</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f.招标人与投标人为谋求特定投标人中标而采取的其他串通行为。</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4）投标人有下列情形之一的，属于弄虚作假的行为：</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a.使用通过受让或租借等方式获取的资格、资质证书投标；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b.使用伪造、变造的许可证件；</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c.提供虚假的财务状况或业绩；</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d.提供虚假的项目负责人或主要技术人员简历、劳动关系证明；</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e.提供虚假的信用状况；</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f.其他弄虚作假的行为。</w:t>
      </w:r>
    </w:p>
    <w:p>
      <w:pPr>
        <w:pStyle w:val="4"/>
        <w:spacing w:before="0" w:after="0"/>
        <w:ind w:left="425"/>
        <w:jc w:val="left"/>
        <w:rPr>
          <w:rStyle w:val="28"/>
          <w:b w:val="0"/>
          <w:bCs w:val="0"/>
          <w:iCs/>
          <w:color w:val="auto"/>
          <w:sz w:val="24"/>
          <w:szCs w:val="24"/>
          <w:highlight w:val="none"/>
        </w:rPr>
      </w:pPr>
      <w:r>
        <w:rPr>
          <w:rStyle w:val="28"/>
          <w:rFonts w:hint="eastAsia"/>
          <w:b w:val="0"/>
          <w:bCs w:val="0"/>
          <w:iCs/>
          <w:color w:val="auto"/>
          <w:sz w:val="24"/>
          <w:szCs w:val="24"/>
          <w:highlight w:val="none"/>
        </w:rPr>
        <w:t>3.7投标文件的澄清和说明</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 xml:space="preserve">3.7.1 </w:t>
      </w:r>
      <w:r>
        <w:rPr>
          <w:rFonts w:hint="eastAsia" w:ascii="宋体" w:hAnsi="宋体"/>
          <w:color w:val="auto"/>
          <w:szCs w:val="21"/>
          <w:highlight w:val="none"/>
        </w:rPr>
        <w:t>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 xml:space="preserve">3.7.2 </w:t>
      </w:r>
      <w:r>
        <w:rPr>
          <w:rFonts w:hint="eastAsia" w:ascii="宋体" w:hAnsi="宋体"/>
          <w:color w:val="auto"/>
          <w:szCs w:val="21"/>
          <w:highlight w:val="none"/>
        </w:rPr>
        <w:t>澄清和说明不得超出投标文件的范围或改变投标文件的实质性内容（算术性错误的修正除外）。投标人的书面澄清、说明属于投标文件的组成部分。</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 xml:space="preserve">3.7.3 </w:t>
      </w:r>
      <w:r>
        <w:rPr>
          <w:rFonts w:hint="eastAsia" w:ascii="宋体" w:hAnsi="宋体"/>
          <w:color w:val="auto"/>
          <w:szCs w:val="21"/>
          <w:highlight w:val="none"/>
        </w:rPr>
        <w:t>评标委员会不得暗示或诱导投标人作出澄清、说明，对投标人提交的澄清、说明有疑问的，可以要求投标人进一步澄清或说明，直至满足评标委员会的要求。</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 xml:space="preserve">3.6.4 </w:t>
      </w:r>
      <w:r>
        <w:rPr>
          <w:rFonts w:hint="eastAsia" w:ascii="宋体" w:hAnsi="宋体"/>
          <w:color w:val="auto"/>
          <w:szCs w:val="21"/>
          <w:highlight w:val="none"/>
        </w:rPr>
        <w:t>凡超出招标文件规定的或给招标人带来未曾要求的利益的变化、偏差或其他因素在评标时不予考虑。</w:t>
      </w:r>
    </w:p>
    <w:p>
      <w:pPr>
        <w:pStyle w:val="4"/>
        <w:spacing w:before="0" w:after="0"/>
        <w:ind w:left="425"/>
        <w:jc w:val="left"/>
        <w:rPr>
          <w:rStyle w:val="28"/>
          <w:b w:val="0"/>
          <w:bCs w:val="0"/>
          <w:iCs/>
          <w:color w:val="auto"/>
          <w:sz w:val="24"/>
          <w:szCs w:val="24"/>
          <w:highlight w:val="none"/>
        </w:rPr>
      </w:pPr>
      <w:r>
        <w:rPr>
          <w:rStyle w:val="28"/>
          <w:rFonts w:hint="eastAsia"/>
          <w:b w:val="0"/>
          <w:bCs w:val="0"/>
          <w:iCs/>
          <w:color w:val="auto"/>
          <w:sz w:val="24"/>
          <w:szCs w:val="24"/>
          <w:highlight w:val="none"/>
        </w:rPr>
        <w:t>3.8不得否决投标的情形</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投标文件存在第二章“投标人须知”第</w:t>
      </w:r>
      <w:r>
        <w:rPr>
          <w:rFonts w:ascii="宋体" w:hAnsi="宋体"/>
          <w:color w:val="auto"/>
          <w:szCs w:val="21"/>
          <w:highlight w:val="none"/>
        </w:rPr>
        <w:t>1.12.3项所列情形的，均视为细微偏差，评标委员会不得否决投标人的投标，应按照第二章“投标人须知”第1.12.4项规定的原则处理。</w:t>
      </w:r>
    </w:p>
    <w:p>
      <w:pPr>
        <w:pStyle w:val="4"/>
        <w:spacing w:before="0" w:after="0"/>
        <w:ind w:left="425"/>
        <w:jc w:val="left"/>
        <w:rPr>
          <w:rStyle w:val="28"/>
          <w:b w:val="0"/>
          <w:bCs w:val="0"/>
          <w:iCs/>
          <w:color w:val="auto"/>
          <w:sz w:val="24"/>
          <w:szCs w:val="24"/>
          <w:highlight w:val="none"/>
        </w:rPr>
      </w:pPr>
      <w:r>
        <w:rPr>
          <w:rStyle w:val="28"/>
          <w:rFonts w:hint="eastAsia"/>
          <w:b w:val="0"/>
          <w:bCs w:val="0"/>
          <w:iCs/>
          <w:color w:val="auto"/>
          <w:sz w:val="24"/>
          <w:szCs w:val="24"/>
          <w:highlight w:val="none"/>
        </w:rPr>
        <w:t>3.9评标结果</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 xml:space="preserve">3.9.1 </w:t>
      </w:r>
      <w:r>
        <w:rPr>
          <w:rFonts w:hint="eastAsia" w:ascii="宋体" w:hAnsi="宋体"/>
          <w:color w:val="auto"/>
          <w:szCs w:val="21"/>
          <w:highlight w:val="none"/>
        </w:rPr>
        <w:t>除第二章“投标人须知”前附表授权直接确定中标人外，评标委员会按照得分由高到低的顺序推荐中标候选人，并标明排序。</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 xml:space="preserve">3.9.2 </w:t>
      </w:r>
      <w:r>
        <w:rPr>
          <w:rFonts w:hint="eastAsia" w:ascii="宋体" w:hAnsi="宋体"/>
          <w:color w:val="auto"/>
          <w:szCs w:val="21"/>
          <w:highlight w:val="none"/>
        </w:rPr>
        <w:t>评标委员会完成评标后，应向招标人提交书面评标报告。</w:t>
      </w:r>
    </w:p>
    <w:bookmarkEnd w:id="12"/>
    <w:bookmarkEnd w:id="13"/>
    <w:p>
      <w:pPr>
        <w:jc w:val="left"/>
        <w:rPr>
          <w:rFonts w:hint="default" w:ascii="宋体" w:hAnsi="宋体" w:cs="宋体"/>
          <w:color w:val="auto"/>
          <w:sz w:val="32"/>
          <w:szCs w:val="32"/>
          <w:highlight w:val="none"/>
          <w:lang w:val="en-US" w:eastAsia="zh-CN"/>
        </w:rPr>
      </w:pPr>
    </w:p>
    <w:p>
      <w:pPr>
        <w:jc w:val="left"/>
        <w:rPr>
          <w:rFonts w:hint="default" w:ascii="宋体" w:hAnsi="宋体" w:cs="宋体"/>
          <w:color w:val="auto"/>
          <w:sz w:val="32"/>
          <w:szCs w:val="32"/>
          <w:highlight w:val="none"/>
          <w:lang w:val="en-US" w:eastAsia="zh-CN"/>
        </w:rPr>
      </w:pPr>
    </w:p>
    <w:p>
      <w:pPr>
        <w:jc w:val="left"/>
        <w:rPr>
          <w:rFonts w:hint="default" w:ascii="宋体" w:hAnsi="宋体" w:cs="宋体"/>
          <w:color w:val="auto"/>
          <w:sz w:val="32"/>
          <w:szCs w:val="32"/>
          <w:highlight w:val="none"/>
          <w:lang w:val="en-US" w:eastAsia="zh-CN"/>
        </w:rPr>
      </w:pPr>
      <w:bookmarkStart w:id="15" w:name="_GoBack"/>
      <w:bookmarkEnd w:id="15"/>
    </w:p>
    <w:p>
      <w:pPr>
        <w:jc w:val="left"/>
        <w:rPr>
          <w:rFonts w:hint="default" w:ascii="宋体" w:hAnsi="宋体" w:cs="宋体"/>
          <w:color w:val="auto"/>
          <w:sz w:val="32"/>
          <w:szCs w:val="32"/>
          <w:highlight w:val="none"/>
          <w:lang w:val="en-US" w:eastAsia="zh-CN"/>
        </w:rPr>
      </w:pPr>
    </w:p>
    <w:p>
      <w:pPr>
        <w:jc w:val="left"/>
        <w:rPr>
          <w:rFonts w:hint="default" w:ascii="宋体" w:hAnsi="宋体" w:cs="宋体"/>
          <w:color w:val="auto"/>
          <w:sz w:val="32"/>
          <w:szCs w:val="32"/>
          <w:highlight w:val="none"/>
          <w:lang w:val="en-US" w:eastAsia="zh-CN"/>
        </w:rPr>
      </w:pPr>
    </w:p>
    <w:p>
      <w:pPr>
        <w:jc w:val="left"/>
        <w:rPr>
          <w:rFonts w:hint="default" w:ascii="宋体" w:hAnsi="宋体" w:cs="宋体"/>
          <w:color w:val="auto"/>
          <w:sz w:val="32"/>
          <w:szCs w:val="32"/>
          <w:highlight w:val="none"/>
          <w:lang w:val="en-US" w:eastAsia="zh-CN"/>
        </w:rPr>
      </w:pPr>
    </w:p>
    <w:p>
      <w:pPr>
        <w:jc w:val="left"/>
        <w:rPr>
          <w:rFonts w:hint="eastAsia" w:ascii="宋体" w:hAnsi="宋体" w:cs="宋体"/>
          <w:b/>
          <w:bCs/>
          <w:color w:val="auto"/>
          <w:sz w:val="36"/>
          <w:szCs w:val="36"/>
          <w:highlight w:val="none"/>
        </w:rPr>
        <w:sectPr>
          <w:pgSz w:w="11906" w:h="16838"/>
          <w:pgMar w:top="1417" w:right="1417" w:bottom="1417" w:left="1417" w:header="851" w:footer="992" w:gutter="0"/>
          <w:paperSrc/>
          <w:cols w:space="425" w:num="1"/>
          <w:rtlGutter w:val="0"/>
          <w:docGrid w:type="lines" w:linePitch="312" w:charSpace="0"/>
        </w:sectPr>
      </w:pPr>
    </w:p>
    <w:p>
      <w:pPr>
        <w:jc w:val="left"/>
        <w:rPr>
          <w:rFonts w:ascii="宋体" w:hAnsi="宋体" w:cs="宋体"/>
          <w:b/>
          <w:bCs/>
          <w:color w:val="auto"/>
          <w:w w:val="95"/>
          <w:sz w:val="47"/>
          <w:highlight w:val="none"/>
        </w:rPr>
      </w:pPr>
      <w:r>
        <w:rPr>
          <w:rFonts w:hint="eastAsia" w:ascii="宋体" w:hAnsi="宋体" w:cs="宋体"/>
          <w:b/>
          <w:bCs/>
          <w:color w:val="auto"/>
          <w:sz w:val="36"/>
          <w:szCs w:val="36"/>
          <w:highlight w:val="none"/>
        </w:rPr>
        <w:t>附件</w:t>
      </w:r>
      <w:r>
        <w:rPr>
          <w:rFonts w:ascii="宋体" w:hAnsi="宋体" w:cs="宋体"/>
          <w:b/>
          <w:bCs/>
          <w:color w:val="auto"/>
          <w:sz w:val="36"/>
          <w:szCs w:val="36"/>
          <w:highlight w:val="none"/>
        </w:rPr>
        <w:t xml:space="preserve">4                     </w:t>
      </w:r>
      <w:r>
        <w:rPr>
          <w:rFonts w:hint="eastAsia" w:ascii="宋体" w:hAnsi="宋体" w:cs="宋体"/>
          <w:b/>
          <w:bCs/>
          <w:color w:val="auto"/>
          <w:w w:val="95"/>
          <w:sz w:val="47"/>
          <w:highlight w:val="none"/>
        </w:rPr>
        <w:t>投标登记申请表</w:t>
      </w:r>
    </w:p>
    <w:p>
      <w:pPr>
        <w:widowControl w:val="0"/>
        <w:kinsoku w:val="0"/>
        <w:overflowPunct w:val="0"/>
        <w:spacing w:before="158" w:after="56"/>
        <w:ind w:right="499"/>
        <w:jc w:val="right"/>
        <w:rPr>
          <w:rFonts w:ascii="宋体" w:hAnsi="宋体" w:eastAsia="宋体" w:cs="宋体"/>
          <w:color w:val="auto"/>
          <w:kern w:val="2"/>
          <w:sz w:val="25"/>
          <w:szCs w:val="21"/>
          <w:highlight w:val="none"/>
          <w:lang w:val="zh-CN" w:eastAsia="zh-CN" w:bidi="zh-CN"/>
        </w:rPr>
      </w:pPr>
      <w:r>
        <w:rPr>
          <w:rFonts w:ascii="宋体" w:hAnsi="宋体" w:eastAsia="宋体" w:cs="宋体"/>
          <w:color w:val="auto"/>
          <w:kern w:val="2"/>
          <w:sz w:val="25"/>
          <w:szCs w:val="21"/>
          <w:highlight w:val="none"/>
          <w:lang w:val="zh-CN" w:eastAsia="zh-CN" w:bidi="zh-CN"/>
        </w:rPr>
        <w:t xml:space="preserve"> </w:t>
      </w:r>
      <w:r>
        <w:rPr>
          <w:rFonts w:ascii="宋体" w:hAnsi="宋体" w:eastAsia="宋体" w:cs="宋体"/>
          <w:color w:val="auto"/>
          <w:spacing w:val="3"/>
          <w:kern w:val="2"/>
          <w:sz w:val="25"/>
          <w:szCs w:val="21"/>
          <w:highlight w:val="none"/>
          <w:lang w:val="zh-CN" w:eastAsia="zh-CN" w:bidi="zh-CN"/>
        </w:rPr>
        <w:t xml:space="preserve"> </w:t>
      </w:r>
      <w:r>
        <w:rPr>
          <w:rFonts w:ascii="宋体" w:hAnsi="宋体" w:eastAsia="宋体" w:cs="宋体"/>
          <w:color w:val="auto"/>
          <w:kern w:val="2"/>
          <w:sz w:val="25"/>
          <w:szCs w:val="21"/>
          <w:highlight w:val="none"/>
          <w:lang w:val="zh-CN" w:eastAsia="zh-CN" w:bidi="zh-CN"/>
        </w:rPr>
        <w:t xml:space="preserve"> </w:t>
      </w:r>
      <w:r>
        <w:rPr>
          <w:rFonts w:ascii="宋体" w:hAnsi="宋体" w:eastAsia="宋体" w:cs="宋体"/>
          <w:color w:val="auto"/>
          <w:spacing w:val="1"/>
          <w:kern w:val="2"/>
          <w:sz w:val="25"/>
          <w:szCs w:val="21"/>
          <w:highlight w:val="none"/>
          <w:lang w:val="zh-CN" w:eastAsia="zh-CN" w:bidi="zh-CN"/>
        </w:rPr>
        <w:t xml:space="preserve"> </w:t>
      </w:r>
      <w:r>
        <w:rPr>
          <w:rFonts w:ascii="宋体" w:hAnsi="宋体" w:eastAsia="宋体" w:cs="宋体"/>
          <w:color w:val="auto"/>
          <w:kern w:val="2"/>
          <w:sz w:val="25"/>
          <w:szCs w:val="21"/>
          <w:highlight w:val="none"/>
          <w:lang w:val="zh-CN" w:eastAsia="zh-CN" w:bidi="zh-CN"/>
        </w:rPr>
        <w:t xml:space="preserve"> </w:t>
      </w:r>
      <w:r>
        <w:rPr>
          <w:rFonts w:ascii="宋体" w:hAnsi="宋体" w:eastAsia="宋体" w:cs="宋体"/>
          <w:color w:val="auto"/>
          <w:spacing w:val="3"/>
          <w:kern w:val="2"/>
          <w:sz w:val="25"/>
          <w:szCs w:val="21"/>
          <w:highlight w:val="none"/>
          <w:lang w:val="zh-CN" w:eastAsia="zh-CN" w:bidi="zh-CN"/>
        </w:rPr>
        <w:t xml:space="preserve"> </w:t>
      </w:r>
      <w:r>
        <w:rPr>
          <w:rFonts w:ascii="宋体" w:hAnsi="宋体" w:eastAsia="宋体" w:cs="宋体"/>
          <w:color w:val="auto"/>
          <w:kern w:val="2"/>
          <w:sz w:val="25"/>
          <w:szCs w:val="21"/>
          <w:highlight w:val="none"/>
          <w:lang w:val="zh-CN" w:eastAsia="zh-CN" w:bidi="zh-CN"/>
        </w:rPr>
        <w:t xml:space="preserve"> </w:t>
      </w:r>
      <w:r>
        <w:rPr>
          <w:rFonts w:ascii="宋体" w:hAnsi="宋体" w:eastAsia="宋体" w:cs="宋体"/>
          <w:color w:val="auto"/>
          <w:spacing w:val="1"/>
          <w:kern w:val="2"/>
          <w:sz w:val="25"/>
          <w:szCs w:val="21"/>
          <w:highlight w:val="none"/>
          <w:lang w:val="zh-CN" w:eastAsia="zh-CN" w:bidi="zh-CN"/>
        </w:rPr>
        <w:t xml:space="preserve"> </w:t>
      </w:r>
      <w:r>
        <w:rPr>
          <w:rFonts w:ascii="宋体" w:hAnsi="宋体" w:eastAsia="宋体" w:cs="宋体"/>
          <w:color w:val="auto"/>
          <w:kern w:val="2"/>
          <w:sz w:val="25"/>
          <w:szCs w:val="21"/>
          <w:highlight w:val="none"/>
          <w:lang w:val="zh-CN" w:eastAsia="zh-CN" w:bidi="zh-CN"/>
        </w:rPr>
        <w:t xml:space="preserve"> </w:t>
      </w:r>
      <w:r>
        <w:rPr>
          <w:rFonts w:ascii="宋体" w:hAnsi="宋体" w:eastAsia="宋体" w:cs="宋体"/>
          <w:color w:val="auto"/>
          <w:spacing w:val="3"/>
          <w:kern w:val="2"/>
          <w:sz w:val="25"/>
          <w:szCs w:val="21"/>
          <w:highlight w:val="none"/>
          <w:lang w:val="zh-CN" w:eastAsia="zh-CN" w:bidi="zh-CN"/>
        </w:rPr>
        <w:t xml:space="preserve"> </w:t>
      </w:r>
      <w:r>
        <w:rPr>
          <w:rFonts w:ascii="宋体" w:hAnsi="宋体" w:eastAsia="宋体" w:cs="宋体"/>
          <w:color w:val="auto"/>
          <w:kern w:val="2"/>
          <w:sz w:val="25"/>
          <w:szCs w:val="21"/>
          <w:highlight w:val="none"/>
          <w:lang w:val="zh-CN" w:eastAsia="zh-CN" w:bidi="zh-CN"/>
        </w:rPr>
        <w:t xml:space="preserve"> 年     月     日</w:t>
      </w:r>
    </w:p>
    <w:tbl>
      <w:tblPr>
        <w:tblStyle w:val="12"/>
        <w:tblW w:w="14298" w:type="dxa"/>
        <w:tblInd w:w="222" w:type="dxa"/>
        <w:tblLayout w:type="fixed"/>
        <w:tblCellMar>
          <w:top w:w="0" w:type="dxa"/>
          <w:left w:w="108" w:type="dxa"/>
          <w:bottom w:w="0" w:type="dxa"/>
          <w:right w:w="108" w:type="dxa"/>
        </w:tblCellMar>
      </w:tblPr>
      <w:tblGrid>
        <w:gridCol w:w="2643"/>
        <w:gridCol w:w="3967"/>
        <w:gridCol w:w="1577"/>
        <w:gridCol w:w="1589"/>
        <w:gridCol w:w="1777"/>
        <w:gridCol w:w="2745"/>
      </w:tblGrid>
      <w:tr>
        <w:tblPrEx>
          <w:tblCellMar>
            <w:top w:w="0" w:type="dxa"/>
            <w:left w:w="108" w:type="dxa"/>
            <w:bottom w:w="0" w:type="dxa"/>
            <w:right w:w="108" w:type="dxa"/>
          </w:tblCellMar>
        </w:tblPrEx>
        <w:trPr>
          <w:cantSplit/>
          <w:trHeight w:val="23" w:hRule="atLeast"/>
        </w:trPr>
        <w:tc>
          <w:tcPr>
            <w:tcW w:w="2643"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4"/>
              <w:jc w:val="both"/>
              <w:textAlignment w:val="auto"/>
              <w:rPr>
                <w:rFonts w:ascii="宋体" w:hAnsi="宋体" w:eastAsia="宋体" w:cs="宋体"/>
                <w:color w:val="auto"/>
                <w:kern w:val="2"/>
                <w:sz w:val="19"/>
                <w:szCs w:val="24"/>
                <w:highlight w:val="none"/>
                <w:lang w:val="zh-CN" w:eastAsia="zh-CN" w:bidi="zh-CN"/>
              </w:rPr>
            </w:pPr>
          </w:p>
          <w:p>
            <w:pPr>
              <w:keepNext w:val="0"/>
              <w:keepLines w:val="0"/>
              <w:pageBreakBefore w:val="0"/>
              <w:widowControl w:val="0"/>
              <w:kinsoku w:val="0"/>
              <w:wordWrap/>
              <w:overflowPunct w:val="0"/>
              <w:topLinePunct w:val="0"/>
              <w:autoSpaceDE/>
              <w:autoSpaceDN/>
              <w:bidi w:val="0"/>
              <w:adjustRightInd w:val="0"/>
              <w:snapToGrid w:val="0"/>
              <w:ind w:left="89" w:right="56"/>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项目名称</w:t>
            </w:r>
          </w:p>
        </w:tc>
        <w:tc>
          <w:tcPr>
            <w:tcW w:w="7133" w:type="dxa"/>
            <w:gridSpan w:val="3"/>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c>
          <w:tcPr>
            <w:tcW w:w="177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95" w:line="312" w:lineRule="exact"/>
              <w:ind w:left="411"/>
              <w:jc w:val="both"/>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项目编号</w:t>
            </w:r>
          </w:p>
          <w:p>
            <w:pPr>
              <w:keepNext w:val="0"/>
              <w:keepLines w:val="0"/>
              <w:pageBreakBefore w:val="0"/>
              <w:widowControl w:val="0"/>
              <w:kinsoku w:val="0"/>
              <w:wordWrap/>
              <w:overflowPunct w:val="0"/>
              <w:topLinePunct w:val="0"/>
              <w:autoSpaceDE/>
              <w:autoSpaceDN/>
              <w:bidi w:val="0"/>
              <w:adjustRightInd w:val="0"/>
              <w:snapToGrid w:val="0"/>
              <w:spacing w:line="312" w:lineRule="exact"/>
              <w:ind w:left="473"/>
              <w:jc w:val="both"/>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/标段号</w:t>
            </w:r>
          </w:p>
        </w:tc>
        <w:tc>
          <w:tcPr>
            <w:tcW w:w="2745"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r>
      <w:tr>
        <w:tblPrEx>
          <w:tblCellMar>
            <w:top w:w="0" w:type="dxa"/>
            <w:left w:w="108" w:type="dxa"/>
            <w:bottom w:w="0" w:type="dxa"/>
            <w:right w:w="108" w:type="dxa"/>
          </w:tblCellMar>
        </w:tblPrEx>
        <w:trPr>
          <w:cantSplit/>
          <w:trHeight w:val="23" w:hRule="atLeast"/>
        </w:trPr>
        <w:tc>
          <w:tcPr>
            <w:tcW w:w="2643"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102" w:line="312" w:lineRule="exact"/>
              <w:ind w:left="89" w:right="56"/>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投标人名称</w:t>
            </w:r>
          </w:p>
          <w:p>
            <w:pPr>
              <w:keepNext w:val="0"/>
              <w:keepLines w:val="0"/>
              <w:pageBreakBefore w:val="0"/>
              <w:widowControl w:val="0"/>
              <w:kinsoku w:val="0"/>
              <w:wordWrap/>
              <w:overflowPunct w:val="0"/>
              <w:topLinePunct w:val="0"/>
              <w:autoSpaceDE/>
              <w:autoSpaceDN/>
              <w:bidi w:val="0"/>
              <w:adjustRightInd w:val="0"/>
              <w:snapToGrid w:val="0"/>
              <w:spacing w:line="312" w:lineRule="exact"/>
              <w:ind w:left="89" w:right="58"/>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（企业编号）</w:t>
            </w:r>
          </w:p>
        </w:tc>
        <w:tc>
          <w:tcPr>
            <w:tcW w:w="396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c>
          <w:tcPr>
            <w:tcW w:w="157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10"/>
              <w:jc w:val="both"/>
              <w:textAlignment w:val="auto"/>
              <w:rPr>
                <w:rFonts w:ascii="宋体" w:hAnsi="宋体" w:eastAsia="宋体" w:cs="宋体"/>
                <w:color w:val="auto"/>
                <w:kern w:val="2"/>
                <w:sz w:val="19"/>
                <w:szCs w:val="24"/>
                <w:highlight w:val="none"/>
                <w:lang w:val="zh-CN" w:eastAsia="zh-CN" w:bidi="zh-CN"/>
              </w:rPr>
            </w:pPr>
          </w:p>
          <w:p>
            <w:pPr>
              <w:keepNext w:val="0"/>
              <w:keepLines w:val="0"/>
              <w:pageBreakBefore w:val="0"/>
              <w:widowControl w:val="0"/>
              <w:kinsoku w:val="0"/>
              <w:wordWrap/>
              <w:overflowPunct w:val="0"/>
              <w:topLinePunct w:val="0"/>
              <w:autoSpaceDE/>
              <w:autoSpaceDN/>
              <w:bidi w:val="0"/>
              <w:adjustRightInd w:val="0"/>
              <w:snapToGrid w:val="0"/>
              <w:ind w:left="289"/>
              <w:jc w:val="both"/>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被授权人</w:t>
            </w:r>
          </w:p>
        </w:tc>
        <w:tc>
          <w:tcPr>
            <w:tcW w:w="1589"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c>
          <w:tcPr>
            <w:tcW w:w="177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10"/>
              <w:jc w:val="both"/>
              <w:textAlignment w:val="auto"/>
              <w:rPr>
                <w:rFonts w:ascii="宋体" w:hAnsi="宋体" w:eastAsia="宋体" w:cs="宋体"/>
                <w:color w:val="auto"/>
                <w:kern w:val="2"/>
                <w:sz w:val="19"/>
                <w:szCs w:val="24"/>
                <w:highlight w:val="none"/>
                <w:lang w:val="zh-CN" w:eastAsia="zh-CN" w:bidi="zh-CN"/>
              </w:rPr>
            </w:pPr>
          </w:p>
          <w:p>
            <w:pPr>
              <w:keepNext w:val="0"/>
              <w:keepLines w:val="0"/>
              <w:pageBreakBefore w:val="0"/>
              <w:widowControl w:val="0"/>
              <w:kinsoku w:val="0"/>
              <w:wordWrap/>
              <w:overflowPunct w:val="0"/>
              <w:topLinePunct w:val="0"/>
              <w:autoSpaceDE/>
              <w:autoSpaceDN/>
              <w:bidi w:val="0"/>
              <w:adjustRightInd w:val="0"/>
              <w:snapToGrid w:val="0"/>
              <w:ind w:left="413"/>
              <w:jc w:val="both"/>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联系电话</w:t>
            </w:r>
          </w:p>
        </w:tc>
        <w:tc>
          <w:tcPr>
            <w:tcW w:w="2745"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r>
      <w:tr>
        <w:tblPrEx>
          <w:tblCellMar>
            <w:top w:w="0" w:type="dxa"/>
            <w:left w:w="108" w:type="dxa"/>
            <w:bottom w:w="0" w:type="dxa"/>
            <w:right w:w="108" w:type="dxa"/>
          </w:tblCellMar>
        </w:tblPrEx>
        <w:trPr>
          <w:cantSplit/>
          <w:trHeight w:val="23" w:hRule="atLeast"/>
        </w:trPr>
        <w:tc>
          <w:tcPr>
            <w:tcW w:w="2643"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102" w:line="311" w:lineRule="exact"/>
              <w:ind w:left="89" w:right="56"/>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项目负责人</w:t>
            </w:r>
          </w:p>
          <w:p>
            <w:pPr>
              <w:keepNext w:val="0"/>
              <w:keepLines w:val="0"/>
              <w:pageBreakBefore w:val="0"/>
              <w:widowControl w:val="0"/>
              <w:kinsoku w:val="0"/>
              <w:wordWrap/>
              <w:overflowPunct w:val="0"/>
              <w:topLinePunct w:val="0"/>
              <w:autoSpaceDE/>
              <w:autoSpaceDN/>
              <w:bidi w:val="0"/>
              <w:adjustRightInd w:val="0"/>
              <w:snapToGrid w:val="0"/>
              <w:spacing w:line="311" w:lineRule="exact"/>
              <w:ind w:left="89" w:right="61"/>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（经理/总监/其他）</w:t>
            </w:r>
          </w:p>
        </w:tc>
        <w:tc>
          <w:tcPr>
            <w:tcW w:w="396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c>
          <w:tcPr>
            <w:tcW w:w="3166"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9"/>
              <w:jc w:val="both"/>
              <w:textAlignment w:val="auto"/>
              <w:rPr>
                <w:rFonts w:ascii="宋体" w:hAnsi="宋体" w:eastAsia="宋体" w:cs="宋体"/>
                <w:color w:val="auto"/>
                <w:kern w:val="2"/>
                <w:sz w:val="19"/>
                <w:szCs w:val="24"/>
                <w:highlight w:val="none"/>
                <w:lang w:val="zh-CN" w:eastAsia="zh-CN" w:bidi="zh-CN"/>
              </w:rPr>
            </w:pPr>
          </w:p>
          <w:p>
            <w:pPr>
              <w:keepNext w:val="0"/>
              <w:keepLines w:val="0"/>
              <w:pageBreakBefore w:val="0"/>
              <w:widowControl w:val="0"/>
              <w:kinsoku w:val="0"/>
              <w:wordWrap/>
              <w:overflowPunct w:val="0"/>
              <w:topLinePunct w:val="0"/>
              <w:autoSpaceDE/>
              <w:autoSpaceDN/>
              <w:bidi w:val="0"/>
              <w:adjustRightInd w:val="0"/>
              <w:snapToGrid w:val="0"/>
              <w:spacing w:before="1"/>
              <w:ind w:left="450"/>
              <w:jc w:val="both"/>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项目负责人资质证号</w:t>
            </w:r>
          </w:p>
        </w:tc>
        <w:tc>
          <w:tcPr>
            <w:tcW w:w="4522"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r>
      <w:tr>
        <w:tblPrEx>
          <w:tblCellMar>
            <w:top w:w="0" w:type="dxa"/>
            <w:left w:w="108" w:type="dxa"/>
            <w:bottom w:w="0" w:type="dxa"/>
            <w:right w:w="108" w:type="dxa"/>
          </w:tblCellMar>
        </w:tblPrEx>
        <w:trPr>
          <w:cantSplit/>
          <w:trHeight w:val="23" w:hRule="atLeast"/>
        </w:trPr>
        <w:tc>
          <w:tcPr>
            <w:tcW w:w="2643"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9"/>
              <w:jc w:val="both"/>
              <w:textAlignment w:val="auto"/>
              <w:rPr>
                <w:rFonts w:ascii="宋体" w:hAnsi="宋体" w:eastAsia="宋体" w:cs="宋体"/>
                <w:color w:val="auto"/>
                <w:kern w:val="2"/>
                <w:sz w:val="19"/>
                <w:szCs w:val="24"/>
                <w:highlight w:val="none"/>
                <w:lang w:val="zh-CN" w:eastAsia="zh-CN" w:bidi="zh-CN"/>
              </w:rPr>
            </w:pPr>
          </w:p>
          <w:p>
            <w:pPr>
              <w:keepNext w:val="0"/>
              <w:keepLines w:val="0"/>
              <w:pageBreakBefore w:val="0"/>
              <w:widowControl w:val="0"/>
              <w:kinsoku w:val="0"/>
              <w:wordWrap/>
              <w:overflowPunct w:val="0"/>
              <w:topLinePunct w:val="0"/>
              <w:autoSpaceDE/>
              <w:autoSpaceDN/>
              <w:bidi w:val="0"/>
              <w:adjustRightInd w:val="0"/>
              <w:snapToGrid w:val="0"/>
              <w:ind w:left="89" w:right="58"/>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安全员</w:t>
            </w:r>
          </w:p>
        </w:tc>
        <w:tc>
          <w:tcPr>
            <w:tcW w:w="396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c>
          <w:tcPr>
            <w:tcW w:w="3166"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9"/>
              <w:jc w:val="both"/>
              <w:textAlignment w:val="auto"/>
              <w:rPr>
                <w:rFonts w:ascii="宋体" w:hAnsi="宋体" w:eastAsia="宋体" w:cs="宋体"/>
                <w:color w:val="auto"/>
                <w:kern w:val="2"/>
                <w:sz w:val="19"/>
                <w:szCs w:val="24"/>
                <w:highlight w:val="none"/>
                <w:lang w:val="zh-CN" w:eastAsia="zh-CN" w:bidi="zh-CN"/>
              </w:rPr>
            </w:pPr>
          </w:p>
          <w:p>
            <w:pPr>
              <w:keepNext w:val="0"/>
              <w:keepLines w:val="0"/>
              <w:pageBreakBefore w:val="0"/>
              <w:widowControl w:val="0"/>
              <w:kinsoku w:val="0"/>
              <w:wordWrap/>
              <w:overflowPunct w:val="0"/>
              <w:topLinePunct w:val="0"/>
              <w:autoSpaceDE/>
              <w:autoSpaceDN/>
              <w:bidi w:val="0"/>
              <w:adjustRightInd w:val="0"/>
              <w:snapToGrid w:val="0"/>
              <w:ind w:left="450"/>
              <w:jc w:val="both"/>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安全员安全考核证号</w:t>
            </w:r>
          </w:p>
        </w:tc>
        <w:tc>
          <w:tcPr>
            <w:tcW w:w="4522"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r>
      <w:tr>
        <w:tblPrEx>
          <w:tblCellMar>
            <w:top w:w="0" w:type="dxa"/>
            <w:left w:w="108" w:type="dxa"/>
            <w:bottom w:w="0" w:type="dxa"/>
            <w:right w:w="108" w:type="dxa"/>
          </w:tblCellMar>
        </w:tblPrEx>
        <w:trPr>
          <w:cantSplit/>
          <w:trHeight w:val="23" w:hRule="atLeast"/>
        </w:trPr>
        <w:tc>
          <w:tcPr>
            <w:tcW w:w="2643"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179"/>
              <w:ind w:left="89" w:right="58"/>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保证书</w:t>
            </w:r>
          </w:p>
        </w:tc>
        <w:tc>
          <w:tcPr>
            <w:tcW w:w="11655" w:type="dxa"/>
            <w:gridSpan w:val="5"/>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spacing w:before="179"/>
              <w:ind w:left="326"/>
              <w:jc w:val="both"/>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我公司保证该项目由本单位承包，不接受他人挂靠，不转包，不非法分包。如有违犯，责任自负。</w:t>
            </w:r>
          </w:p>
        </w:tc>
      </w:tr>
      <w:tr>
        <w:tblPrEx>
          <w:tblCellMar>
            <w:top w:w="0" w:type="dxa"/>
            <w:left w:w="108" w:type="dxa"/>
            <w:bottom w:w="0" w:type="dxa"/>
            <w:right w:w="108" w:type="dxa"/>
          </w:tblCellMar>
        </w:tblPrEx>
        <w:trPr>
          <w:cantSplit/>
          <w:trHeight w:val="23" w:hRule="atLeast"/>
        </w:trPr>
        <w:tc>
          <w:tcPr>
            <w:tcW w:w="2643"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center"/>
              <w:textAlignment w:val="auto"/>
              <w:rPr>
                <w:rFonts w:ascii="宋体" w:hAnsi="宋体" w:eastAsia="宋体" w:cs="宋体"/>
                <w:color w:val="auto"/>
                <w:kern w:val="2"/>
                <w:sz w:val="21"/>
                <w:szCs w:val="24"/>
                <w:highlight w:val="none"/>
                <w:lang w:val="zh-CN" w:eastAsia="zh-CN" w:bidi="zh-CN"/>
              </w:rPr>
            </w:pPr>
          </w:p>
          <w:p>
            <w:pPr>
              <w:keepNext w:val="0"/>
              <w:keepLines w:val="0"/>
              <w:pageBreakBefore w:val="0"/>
              <w:widowControl w:val="0"/>
              <w:kinsoku w:val="0"/>
              <w:wordWrap/>
              <w:overflowPunct w:val="0"/>
              <w:topLinePunct w:val="0"/>
              <w:autoSpaceDE/>
              <w:autoSpaceDN/>
              <w:bidi w:val="0"/>
              <w:adjustRightInd w:val="0"/>
              <w:snapToGrid w:val="0"/>
              <w:ind w:right="56"/>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投标人盖章</w:t>
            </w:r>
          </w:p>
        </w:tc>
        <w:tc>
          <w:tcPr>
            <w:tcW w:w="396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center"/>
              <w:textAlignment w:val="auto"/>
              <w:rPr>
                <w:rFonts w:ascii="宋体" w:hAnsi="宋体" w:eastAsia="宋体" w:cs="宋体"/>
                <w:color w:val="auto"/>
                <w:kern w:val="2"/>
                <w:sz w:val="21"/>
                <w:szCs w:val="24"/>
                <w:highlight w:val="none"/>
                <w:lang w:val="zh-CN" w:eastAsia="zh-CN" w:bidi="zh-CN"/>
              </w:rPr>
            </w:pPr>
          </w:p>
        </w:tc>
        <w:tc>
          <w:tcPr>
            <w:tcW w:w="3166"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center"/>
              <w:textAlignment w:val="auto"/>
              <w:rPr>
                <w:rFonts w:ascii="宋体" w:hAnsi="宋体" w:eastAsia="宋体" w:cs="宋体"/>
                <w:color w:val="auto"/>
                <w:kern w:val="2"/>
                <w:sz w:val="21"/>
                <w:szCs w:val="24"/>
                <w:highlight w:val="none"/>
                <w:lang w:val="zh-CN" w:eastAsia="zh-CN" w:bidi="zh-CN"/>
              </w:rPr>
            </w:pPr>
          </w:p>
          <w:p>
            <w:pPr>
              <w:keepNext w:val="0"/>
              <w:keepLines w:val="0"/>
              <w:pageBreakBefore w:val="0"/>
              <w:widowControl w:val="0"/>
              <w:kinsoku w:val="0"/>
              <w:wordWrap/>
              <w:overflowPunct w:val="0"/>
              <w:topLinePunct w:val="0"/>
              <w:autoSpaceDE/>
              <w:autoSpaceDN/>
              <w:bidi w:val="0"/>
              <w:adjustRightInd w:val="0"/>
              <w:snapToGrid w:val="0"/>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法定代表人盖章</w:t>
            </w:r>
          </w:p>
        </w:tc>
        <w:tc>
          <w:tcPr>
            <w:tcW w:w="4522"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r>
      <w:tr>
        <w:tblPrEx>
          <w:tblCellMar>
            <w:top w:w="0" w:type="dxa"/>
            <w:left w:w="108" w:type="dxa"/>
            <w:bottom w:w="0" w:type="dxa"/>
            <w:right w:w="108" w:type="dxa"/>
          </w:tblCellMar>
        </w:tblPrEx>
        <w:trPr>
          <w:cantSplit/>
          <w:trHeight w:val="23" w:hRule="atLeast"/>
        </w:trPr>
        <w:tc>
          <w:tcPr>
            <w:tcW w:w="2643"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p>
            <w:pPr>
              <w:keepNext w:val="0"/>
              <w:keepLines w:val="0"/>
              <w:pageBreakBefore w:val="0"/>
              <w:widowControl w:val="0"/>
              <w:kinsoku w:val="0"/>
              <w:wordWrap/>
              <w:overflowPunct w:val="0"/>
              <w:topLinePunct w:val="0"/>
              <w:autoSpaceDE/>
              <w:autoSpaceDN/>
              <w:bidi w:val="0"/>
              <w:adjustRightInd w:val="0"/>
              <w:snapToGrid w:val="0"/>
              <w:spacing w:before="157"/>
              <w:ind w:left="89" w:right="56"/>
              <w:jc w:val="center"/>
              <w:textAlignment w:val="auto"/>
              <w:rPr>
                <w:rFonts w:ascii="宋体" w:hAnsi="宋体" w:eastAsia="宋体" w:cs="宋体"/>
                <w:color w:val="auto"/>
                <w:kern w:val="2"/>
                <w:sz w:val="25"/>
                <w:szCs w:val="24"/>
                <w:highlight w:val="none"/>
                <w:lang w:val="zh-CN" w:eastAsia="zh-CN" w:bidi="zh-CN"/>
              </w:rPr>
            </w:pPr>
            <w:r>
              <w:rPr>
                <w:rFonts w:ascii="宋体" w:hAnsi="宋体" w:eastAsia="宋体" w:cs="宋体"/>
                <w:color w:val="auto"/>
                <w:kern w:val="2"/>
                <w:sz w:val="25"/>
                <w:szCs w:val="24"/>
                <w:highlight w:val="none"/>
                <w:lang w:val="zh-CN" w:eastAsia="zh-CN" w:bidi="zh-CN"/>
              </w:rPr>
              <w:t>招标人意见</w:t>
            </w:r>
          </w:p>
        </w:tc>
        <w:tc>
          <w:tcPr>
            <w:tcW w:w="11655" w:type="dxa"/>
            <w:gridSpan w:val="5"/>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val="0"/>
              <w:wordWrap/>
              <w:overflowPunct w:val="0"/>
              <w:topLinePunct w:val="0"/>
              <w:autoSpaceDE/>
              <w:autoSpaceDN/>
              <w:bidi w:val="0"/>
              <w:adjustRightInd w:val="0"/>
              <w:snapToGrid w:val="0"/>
              <w:jc w:val="both"/>
              <w:textAlignment w:val="auto"/>
              <w:rPr>
                <w:rFonts w:ascii="宋体" w:hAnsi="宋体" w:eastAsia="宋体" w:cs="宋体"/>
                <w:color w:val="auto"/>
                <w:kern w:val="2"/>
                <w:sz w:val="21"/>
                <w:szCs w:val="24"/>
                <w:highlight w:val="none"/>
                <w:lang w:val="zh-CN" w:eastAsia="zh-CN" w:bidi="zh-CN"/>
              </w:rPr>
            </w:pPr>
          </w:p>
        </w:tc>
      </w:tr>
    </w:tbl>
    <w:p>
      <w:pPr>
        <w:widowControl w:val="0"/>
        <w:kinsoku w:val="0"/>
        <w:overflowPunct w:val="0"/>
        <w:spacing w:before="78"/>
        <w:jc w:val="right"/>
        <w:rPr>
          <w:rFonts w:ascii="宋体" w:hAnsi="宋体" w:eastAsia="宋体" w:cs="宋体"/>
          <w:color w:val="auto"/>
          <w:kern w:val="2"/>
          <w:sz w:val="23"/>
          <w:szCs w:val="21"/>
          <w:highlight w:val="none"/>
          <w:lang w:val="zh-CN" w:eastAsia="zh-CN" w:bidi="zh-CN"/>
        </w:rPr>
      </w:pPr>
      <w:r>
        <w:rPr>
          <w:rFonts w:hint="eastAsia" w:ascii="宋体" w:hAnsi="宋体" w:eastAsia="宋体" w:cs="宋体"/>
          <w:color w:val="auto"/>
          <w:kern w:val="2"/>
          <w:sz w:val="23"/>
          <w:szCs w:val="21"/>
          <w:highlight w:val="none"/>
          <w:lang w:val="zh-CN" w:eastAsia="zh-CN" w:bidi="zh-CN"/>
        </w:rPr>
        <w:t>广州交易集团有限公司（广州公共资源交易中心）</w:t>
      </w:r>
    </w:p>
    <w:p>
      <w:pPr>
        <w:widowControl w:val="0"/>
        <w:numPr>
          <w:ilvl w:val="0"/>
          <w:numId w:val="4"/>
        </w:numPr>
        <w:tabs>
          <w:tab w:val="left" w:pos="365"/>
        </w:tabs>
        <w:kinsoku w:val="0"/>
        <w:overflowPunct w:val="0"/>
        <w:spacing w:before="97"/>
        <w:ind w:firstLine="420" w:firstLineChars="200"/>
        <w:jc w:val="both"/>
        <w:rPr>
          <w:rFonts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本表内容不允许涂改或增删。</w:t>
      </w:r>
    </w:p>
    <w:p>
      <w:pPr>
        <w:widowControl w:val="0"/>
        <w:numPr>
          <w:ilvl w:val="0"/>
          <w:numId w:val="4"/>
        </w:numPr>
        <w:tabs>
          <w:tab w:val="left" w:pos="365"/>
        </w:tabs>
        <w:kinsoku w:val="0"/>
        <w:overflowPunct w:val="0"/>
        <w:ind w:firstLine="420" w:firstLineChars="200"/>
        <w:jc w:val="both"/>
        <w:rPr>
          <w:rFonts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如项目没有划分标段时，标段号不必填写。</w:t>
      </w:r>
    </w:p>
    <w:p>
      <w:pPr>
        <w:widowControl w:val="0"/>
        <w:numPr>
          <w:ilvl w:val="0"/>
          <w:numId w:val="4"/>
        </w:numPr>
        <w:tabs>
          <w:tab w:val="left" w:pos="365"/>
        </w:tabs>
        <w:kinsoku w:val="0"/>
        <w:overflowPunct w:val="0"/>
        <w:ind w:firstLine="420" w:firstLineChars="200"/>
        <w:jc w:val="both"/>
        <w:rPr>
          <w:rFonts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如一个项目中划分多个标段时，应将所投标段的标段号及项目编号填写完整。</w:t>
      </w:r>
    </w:p>
    <w:p>
      <w:pPr>
        <w:widowControl w:val="0"/>
        <w:numPr>
          <w:ilvl w:val="0"/>
          <w:numId w:val="4"/>
        </w:numPr>
        <w:tabs>
          <w:tab w:val="left" w:pos="365"/>
        </w:tabs>
        <w:kinsoku w:val="0"/>
        <w:overflowPunct w:val="0"/>
        <w:ind w:firstLine="420" w:firstLineChars="200"/>
        <w:jc w:val="both"/>
        <w:rPr>
          <w:rFonts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如为联合体投标时，必须将联合体的所有成员单位的全称填写完整。</w:t>
      </w:r>
    </w:p>
    <w:p>
      <w:pPr>
        <w:widowControl w:val="0"/>
        <w:numPr>
          <w:ilvl w:val="0"/>
          <w:numId w:val="4"/>
        </w:numPr>
        <w:tabs>
          <w:tab w:val="left" w:pos="365"/>
        </w:tabs>
        <w:kinsoku w:val="0"/>
        <w:overflowPunct w:val="0"/>
        <w:ind w:firstLine="420" w:firstLineChars="200"/>
        <w:jc w:val="both"/>
        <w:rPr>
          <w:rFonts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本表由招标人保存。</w:t>
      </w:r>
    </w:p>
    <w:p>
      <w:pPr>
        <w:widowControl w:val="0"/>
        <w:numPr>
          <w:ilvl w:val="0"/>
          <w:numId w:val="4"/>
        </w:numPr>
        <w:tabs>
          <w:tab w:val="left" w:pos="365"/>
        </w:tabs>
        <w:kinsoku w:val="0"/>
        <w:overflowPunct w:val="0"/>
        <w:ind w:firstLine="420" w:firstLineChars="200"/>
        <w:jc w:val="both"/>
        <w:rPr>
          <w:rFonts w:ascii="宋体" w:hAnsi="宋体" w:eastAsia="宋体" w:cs="宋体"/>
          <w:b/>
          <w:bCs/>
          <w:color w:val="auto"/>
          <w:kern w:val="2"/>
          <w:sz w:val="36"/>
          <w:szCs w:val="36"/>
          <w:highlight w:val="none"/>
          <w:lang w:val="en-US" w:eastAsia="zh-CN" w:bidi="ar-SA"/>
        </w:rPr>
      </w:pPr>
      <w:r>
        <w:rPr>
          <w:rFonts w:hint="eastAsia" w:ascii="宋体" w:hAnsi="宋体" w:eastAsia="宋体" w:cs="宋体"/>
          <w:color w:val="auto"/>
          <w:kern w:val="2"/>
          <w:sz w:val="21"/>
          <w:szCs w:val="22"/>
          <w:highlight w:val="none"/>
          <w:lang w:val="en-US" w:eastAsia="zh-CN" w:bidi="ar-SA"/>
        </w:rPr>
        <w:t>本表可在广州交易集团有限公司（广州公共资源交易中心）网站下载。</w:t>
      </w:r>
    </w:p>
    <w:p>
      <w:pPr>
        <w:pStyle w:val="24"/>
        <w:rPr>
          <w:rFonts w:ascii="宋体" w:hAnsi="宋体" w:cs="宋体"/>
          <w:color w:val="auto"/>
          <w:highlight w:val="none"/>
        </w:rPr>
      </w:pPr>
    </w:p>
    <w:p>
      <w:pPr>
        <w:rPr>
          <w:rFonts w:ascii="宋体" w:hAnsi="宋体" w:cs="宋体"/>
          <w:b/>
          <w:bCs/>
          <w:color w:val="auto"/>
          <w:sz w:val="36"/>
          <w:szCs w:val="36"/>
          <w:highlight w:val="none"/>
        </w:rPr>
      </w:pPr>
      <w:r>
        <w:rPr>
          <w:rFonts w:hint="eastAsia" w:ascii="宋体" w:hAnsi="宋体" w:cs="宋体"/>
          <w:b/>
          <w:bCs/>
          <w:color w:val="auto"/>
          <w:sz w:val="36"/>
          <w:szCs w:val="36"/>
          <w:highlight w:val="none"/>
        </w:rPr>
        <w:t>附件</w:t>
      </w:r>
      <w:r>
        <w:rPr>
          <w:rFonts w:ascii="宋体" w:hAnsi="宋体" w:cs="宋体"/>
          <w:b/>
          <w:bCs/>
          <w:color w:val="auto"/>
          <w:sz w:val="36"/>
          <w:szCs w:val="36"/>
          <w:highlight w:val="none"/>
        </w:rPr>
        <w:t>5</w:t>
      </w:r>
    </w:p>
    <w:p>
      <w:pPr>
        <w:pStyle w:val="24"/>
        <w:rPr>
          <w:rFonts w:ascii="宋体" w:hAnsi="宋体" w:cs="宋体"/>
          <w:bCs/>
          <w:color w:val="auto"/>
          <w:sz w:val="36"/>
          <w:szCs w:val="36"/>
          <w:highlight w:val="none"/>
        </w:rPr>
      </w:pPr>
      <w:r>
        <w:rPr>
          <w:rFonts w:hint="eastAsia" w:ascii="宋体" w:hAnsi="宋体" w:cs="宋体"/>
          <w:bCs/>
          <w:color w:val="auto"/>
          <w:sz w:val="36"/>
          <w:szCs w:val="36"/>
          <w:highlight w:val="none"/>
        </w:rPr>
        <w:t>招标文件领取</w:t>
      </w:r>
      <w:r>
        <w:rPr>
          <w:rFonts w:hint="eastAsia" w:ascii="宋体" w:hAnsi="宋体" w:cs="宋体"/>
          <w:bCs/>
          <w:color w:val="auto"/>
          <w:sz w:val="36"/>
          <w:szCs w:val="36"/>
          <w:highlight w:val="none"/>
          <w:lang w:val="en-US" w:eastAsia="zh-CN"/>
        </w:rPr>
        <w:t>登记</w:t>
      </w:r>
      <w:r>
        <w:rPr>
          <w:rFonts w:hint="eastAsia" w:ascii="宋体" w:hAnsi="宋体" w:cs="宋体"/>
          <w:bCs/>
          <w:color w:val="auto"/>
          <w:sz w:val="36"/>
          <w:szCs w:val="36"/>
          <w:highlight w:val="none"/>
        </w:rPr>
        <w:t>表</w:t>
      </w:r>
    </w:p>
    <w:tbl>
      <w:tblPr>
        <w:tblStyle w:val="12"/>
        <w:tblW w:w="14144"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592"/>
        <w:gridCol w:w="1930"/>
        <w:gridCol w:w="2390"/>
        <w:gridCol w:w="3030"/>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544" w:type="dxa"/>
            <w:gridSpan w:val="2"/>
            <w:vAlign w:val="center"/>
          </w:tcPr>
          <w:p>
            <w:pPr>
              <w:tabs>
                <w:tab w:val="left" w:pos="765"/>
              </w:tabs>
              <w:spacing w:line="4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招标项目编号</w:t>
            </w:r>
          </w:p>
        </w:tc>
        <w:tc>
          <w:tcPr>
            <w:tcW w:w="4320" w:type="dxa"/>
            <w:gridSpan w:val="2"/>
            <w:vAlign w:val="center"/>
          </w:tcPr>
          <w:p>
            <w:pPr>
              <w:tabs>
                <w:tab w:val="left" w:pos="765"/>
              </w:tabs>
              <w:spacing w:line="460" w:lineRule="exact"/>
              <w:jc w:val="center"/>
              <w:rPr>
                <w:rFonts w:ascii="宋体" w:hAnsi="宋体" w:cs="宋体"/>
                <w:color w:val="auto"/>
                <w:sz w:val="28"/>
                <w:szCs w:val="28"/>
                <w:highlight w:val="none"/>
              </w:rPr>
            </w:pPr>
          </w:p>
        </w:tc>
        <w:tc>
          <w:tcPr>
            <w:tcW w:w="3030" w:type="dxa"/>
            <w:vAlign w:val="center"/>
          </w:tcPr>
          <w:p>
            <w:pPr>
              <w:tabs>
                <w:tab w:val="left" w:pos="765"/>
              </w:tabs>
              <w:spacing w:line="4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投标登记时间</w:t>
            </w:r>
          </w:p>
        </w:tc>
        <w:tc>
          <w:tcPr>
            <w:tcW w:w="3250" w:type="dxa"/>
            <w:vAlign w:val="center"/>
          </w:tcPr>
          <w:p>
            <w:pPr>
              <w:tabs>
                <w:tab w:val="left" w:pos="765"/>
              </w:tabs>
              <w:spacing w:line="460" w:lineRule="exact"/>
              <w:rPr>
                <w:rFonts w:ascii="宋体" w:hAnsi="宋体" w:cs="宋体"/>
                <w:color w:val="auto"/>
                <w:sz w:val="28"/>
                <w:szCs w:val="28"/>
                <w:highlight w:val="none"/>
              </w:rPr>
            </w:pPr>
            <w:r>
              <w:rPr>
                <w:rFonts w:ascii="宋体" w:hAnsi="宋体" w:cs="宋体"/>
                <w:color w:val="auto"/>
                <w:sz w:val="28"/>
                <w:szCs w:val="28"/>
                <w:highlight w:val="none"/>
              </w:rPr>
              <w:t>202</w:t>
            </w:r>
            <w:r>
              <w:rPr>
                <w:rFonts w:hint="eastAsia" w:ascii="宋体" w:hAnsi="宋体" w:cs="宋体"/>
                <w:color w:val="auto"/>
                <w:sz w:val="28"/>
                <w:szCs w:val="28"/>
                <w:highlight w:val="none"/>
              </w:rPr>
              <w:t>3</w:t>
            </w:r>
            <w:r>
              <w:rPr>
                <w:rFonts w:ascii="宋体" w:hAnsi="宋体" w:cs="宋体"/>
                <w:color w:val="auto"/>
                <w:sz w:val="28"/>
                <w:szCs w:val="28"/>
                <w:highlight w:val="none"/>
              </w:rPr>
              <w:t xml:space="preserve">年 月  日  时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44" w:type="dxa"/>
            <w:gridSpan w:val="2"/>
            <w:vAlign w:val="center"/>
          </w:tcPr>
          <w:p>
            <w:pPr>
              <w:tabs>
                <w:tab w:val="left" w:pos="765"/>
              </w:tabs>
              <w:spacing w:line="4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招标项目名称</w:t>
            </w:r>
          </w:p>
        </w:tc>
        <w:tc>
          <w:tcPr>
            <w:tcW w:w="10600" w:type="dxa"/>
            <w:gridSpan w:val="4"/>
            <w:vAlign w:val="center"/>
          </w:tcPr>
          <w:p>
            <w:pPr>
              <w:jc w:val="center"/>
              <w:rPr>
                <w:rFonts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Merge w:val="restart"/>
            <w:textDirection w:val="tbRlV"/>
            <w:vAlign w:val="center"/>
          </w:tcPr>
          <w:p>
            <w:pPr>
              <w:tabs>
                <w:tab w:val="left" w:pos="765"/>
              </w:tabs>
              <w:spacing w:line="276" w:lineRule="auto"/>
              <w:ind w:left="113" w:right="113"/>
              <w:jc w:val="center"/>
              <w:rPr>
                <w:rFonts w:ascii="宋体" w:hAnsi="宋体" w:cs="宋体"/>
                <w:color w:val="auto"/>
                <w:sz w:val="28"/>
                <w:szCs w:val="28"/>
                <w:highlight w:val="none"/>
              </w:rPr>
            </w:pPr>
            <w:r>
              <w:rPr>
                <w:rFonts w:hint="eastAsia" w:ascii="宋体" w:hAnsi="宋体" w:cs="宋体"/>
                <w:color w:val="auto"/>
                <w:sz w:val="28"/>
                <w:szCs w:val="28"/>
                <w:highlight w:val="none"/>
              </w:rPr>
              <w:t>投</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标</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人</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资</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料</w:t>
            </w:r>
          </w:p>
        </w:tc>
        <w:tc>
          <w:tcPr>
            <w:tcW w:w="2592" w:type="dxa"/>
            <w:vAlign w:val="center"/>
          </w:tcPr>
          <w:p>
            <w:pPr>
              <w:tabs>
                <w:tab w:val="left" w:pos="765"/>
              </w:tabs>
              <w:spacing w:line="5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投标人名称</w:t>
            </w:r>
          </w:p>
        </w:tc>
        <w:tc>
          <w:tcPr>
            <w:tcW w:w="4320" w:type="dxa"/>
            <w:gridSpan w:val="2"/>
            <w:vAlign w:val="center"/>
          </w:tcPr>
          <w:p>
            <w:pPr>
              <w:tabs>
                <w:tab w:val="left" w:pos="765"/>
              </w:tabs>
              <w:spacing w:line="500" w:lineRule="exact"/>
              <w:jc w:val="center"/>
              <w:rPr>
                <w:rFonts w:ascii="宋体" w:hAnsi="宋体" w:cs="宋体"/>
                <w:color w:val="auto"/>
                <w:sz w:val="28"/>
                <w:szCs w:val="28"/>
                <w:highlight w:val="none"/>
              </w:rPr>
            </w:pPr>
          </w:p>
        </w:tc>
        <w:tc>
          <w:tcPr>
            <w:tcW w:w="3030" w:type="dxa"/>
            <w:vAlign w:val="center"/>
          </w:tcPr>
          <w:p>
            <w:pPr>
              <w:tabs>
                <w:tab w:val="left" w:pos="765"/>
              </w:tabs>
              <w:spacing w:line="5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w:t>
            </w:r>
          </w:p>
        </w:tc>
        <w:tc>
          <w:tcPr>
            <w:tcW w:w="3250" w:type="dxa"/>
            <w:vAlign w:val="center"/>
          </w:tcPr>
          <w:p>
            <w:pPr>
              <w:tabs>
                <w:tab w:val="left" w:pos="765"/>
              </w:tabs>
              <w:spacing w:line="500" w:lineRule="exact"/>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Merge w:val="continue"/>
            <w:textDirection w:val="tbRlV"/>
            <w:vAlign w:val="center"/>
          </w:tcPr>
          <w:p>
            <w:pPr>
              <w:tabs>
                <w:tab w:val="left" w:pos="765"/>
              </w:tabs>
              <w:spacing w:line="276" w:lineRule="auto"/>
              <w:ind w:left="113" w:right="113"/>
              <w:jc w:val="center"/>
              <w:rPr>
                <w:rFonts w:ascii="宋体" w:hAnsi="宋体" w:cs="宋体"/>
                <w:color w:val="auto"/>
                <w:sz w:val="28"/>
                <w:szCs w:val="28"/>
                <w:highlight w:val="none"/>
              </w:rPr>
            </w:pPr>
          </w:p>
        </w:tc>
        <w:tc>
          <w:tcPr>
            <w:tcW w:w="2592" w:type="dxa"/>
            <w:vAlign w:val="center"/>
          </w:tcPr>
          <w:p>
            <w:pPr>
              <w:tabs>
                <w:tab w:val="left" w:pos="765"/>
              </w:tabs>
              <w:spacing w:line="5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联系地址</w:t>
            </w:r>
          </w:p>
        </w:tc>
        <w:tc>
          <w:tcPr>
            <w:tcW w:w="4320" w:type="dxa"/>
            <w:gridSpan w:val="2"/>
            <w:vAlign w:val="center"/>
          </w:tcPr>
          <w:p>
            <w:pPr>
              <w:tabs>
                <w:tab w:val="left" w:pos="765"/>
              </w:tabs>
              <w:spacing w:line="500" w:lineRule="exact"/>
              <w:jc w:val="center"/>
              <w:rPr>
                <w:rFonts w:ascii="宋体" w:hAnsi="宋体" w:cs="宋体"/>
                <w:color w:val="auto"/>
                <w:sz w:val="28"/>
                <w:szCs w:val="28"/>
                <w:highlight w:val="none"/>
              </w:rPr>
            </w:pPr>
          </w:p>
        </w:tc>
        <w:tc>
          <w:tcPr>
            <w:tcW w:w="3030" w:type="dxa"/>
            <w:vAlign w:val="center"/>
          </w:tcPr>
          <w:p>
            <w:pPr>
              <w:tabs>
                <w:tab w:val="left" w:pos="765"/>
              </w:tabs>
              <w:spacing w:line="5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统一社会信用代码</w:t>
            </w:r>
          </w:p>
        </w:tc>
        <w:tc>
          <w:tcPr>
            <w:tcW w:w="3250" w:type="dxa"/>
            <w:vAlign w:val="center"/>
          </w:tcPr>
          <w:p>
            <w:pPr>
              <w:tabs>
                <w:tab w:val="left" w:pos="765"/>
              </w:tabs>
              <w:spacing w:line="500" w:lineRule="exact"/>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52" w:type="dxa"/>
            <w:vMerge w:val="continue"/>
            <w:vAlign w:val="center"/>
          </w:tcPr>
          <w:p>
            <w:pPr>
              <w:tabs>
                <w:tab w:val="left" w:pos="765"/>
              </w:tabs>
              <w:spacing w:line="276" w:lineRule="auto"/>
              <w:jc w:val="center"/>
              <w:rPr>
                <w:rFonts w:ascii="宋体" w:hAnsi="宋体" w:cs="宋体"/>
                <w:color w:val="auto"/>
                <w:sz w:val="28"/>
                <w:szCs w:val="28"/>
                <w:highlight w:val="none"/>
              </w:rPr>
            </w:pPr>
          </w:p>
        </w:tc>
        <w:tc>
          <w:tcPr>
            <w:tcW w:w="2592" w:type="dxa"/>
            <w:vAlign w:val="center"/>
          </w:tcPr>
          <w:p>
            <w:pPr>
              <w:tabs>
                <w:tab w:val="left" w:pos="765"/>
              </w:tabs>
              <w:spacing w:line="276"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领取资料组成</w:t>
            </w:r>
          </w:p>
        </w:tc>
        <w:tc>
          <w:tcPr>
            <w:tcW w:w="4320" w:type="dxa"/>
            <w:gridSpan w:val="2"/>
            <w:vAlign w:val="center"/>
          </w:tcPr>
          <w:p>
            <w:pPr>
              <w:tabs>
                <w:tab w:val="left" w:pos="765"/>
              </w:tabs>
              <w:spacing w:line="276" w:lineRule="auto"/>
              <w:jc w:val="center"/>
              <w:rPr>
                <w:rFonts w:ascii="宋体" w:hAnsi="宋体" w:cs="宋体"/>
                <w:color w:val="auto"/>
                <w:sz w:val="28"/>
                <w:szCs w:val="28"/>
                <w:highlight w:val="none"/>
              </w:rPr>
            </w:pPr>
          </w:p>
        </w:tc>
        <w:tc>
          <w:tcPr>
            <w:tcW w:w="3030" w:type="dxa"/>
            <w:vAlign w:val="center"/>
          </w:tcPr>
          <w:p>
            <w:pPr>
              <w:tabs>
                <w:tab w:val="left" w:pos="765"/>
              </w:tabs>
              <w:spacing w:line="276"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是否提交登记书面文件</w:t>
            </w:r>
          </w:p>
        </w:tc>
        <w:tc>
          <w:tcPr>
            <w:tcW w:w="3250" w:type="dxa"/>
            <w:vAlign w:val="center"/>
          </w:tcPr>
          <w:p>
            <w:pPr>
              <w:tabs>
                <w:tab w:val="left" w:pos="765"/>
              </w:tabs>
              <w:spacing w:line="276" w:lineRule="auto"/>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52" w:type="dxa"/>
            <w:vMerge w:val="continue"/>
            <w:vAlign w:val="center"/>
          </w:tcPr>
          <w:p>
            <w:pPr>
              <w:tabs>
                <w:tab w:val="left" w:pos="765"/>
              </w:tabs>
              <w:spacing w:line="276" w:lineRule="auto"/>
              <w:jc w:val="center"/>
              <w:rPr>
                <w:rFonts w:ascii="宋体" w:hAnsi="宋体" w:cs="宋体"/>
                <w:color w:val="auto"/>
                <w:sz w:val="28"/>
                <w:szCs w:val="28"/>
                <w:highlight w:val="none"/>
              </w:rPr>
            </w:pPr>
          </w:p>
        </w:tc>
        <w:tc>
          <w:tcPr>
            <w:tcW w:w="2592" w:type="dxa"/>
            <w:vMerge w:val="restart"/>
            <w:vAlign w:val="center"/>
          </w:tcPr>
          <w:p>
            <w:pPr>
              <w:tabs>
                <w:tab w:val="left" w:pos="765"/>
              </w:tabs>
              <w:spacing w:line="276"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经办人信息</w:t>
            </w:r>
          </w:p>
        </w:tc>
        <w:tc>
          <w:tcPr>
            <w:tcW w:w="1930" w:type="dxa"/>
            <w:vAlign w:val="center"/>
          </w:tcPr>
          <w:p>
            <w:pPr>
              <w:tabs>
                <w:tab w:val="left" w:pos="765"/>
              </w:tabs>
              <w:spacing w:line="276"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经办人姓名</w:t>
            </w:r>
          </w:p>
        </w:tc>
        <w:tc>
          <w:tcPr>
            <w:tcW w:w="2390" w:type="dxa"/>
            <w:vAlign w:val="center"/>
          </w:tcPr>
          <w:p>
            <w:pPr>
              <w:tabs>
                <w:tab w:val="left" w:pos="765"/>
              </w:tabs>
              <w:spacing w:line="276"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手机号码</w:t>
            </w:r>
          </w:p>
        </w:tc>
        <w:tc>
          <w:tcPr>
            <w:tcW w:w="3030" w:type="dxa"/>
            <w:vAlign w:val="center"/>
          </w:tcPr>
          <w:p>
            <w:pPr>
              <w:tabs>
                <w:tab w:val="left" w:pos="765"/>
              </w:tabs>
              <w:spacing w:line="276"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电子邮箱</w:t>
            </w:r>
          </w:p>
        </w:tc>
        <w:tc>
          <w:tcPr>
            <w:tcW w:w="3250" w:type="dxa"/>
            <w:vAlign w:val="center"/>
          </w:tcPr>
          <w:p>
            <w:pPr>
              <w:tabs>
                <w:tab w:val="left" w:pos="765"/>
              </w:tabs>
              <w:spacing w:line="276"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52" w:type="dxa"/>
            <w:vMerge w:val="continue"/>
            <w:vAlign w:val="center"/>
          </w:tcPr>
          <w:p>
            <w:pPr>
              <w:tabs>
                <w:tab w:val="left" w:pos="765"/>
              </w:tabs>
              <w:spacing w:line="276" w:lineRule="auto"/>
              <w:jc w:val="center"/>
              <w:rPr>
                <w:rFonts w:ascii="宋体" w:hAnsi="宋体" w:cs="宋体"/>
                <w:color w:val="auto"/>
                <w:sz w:val="28"/>
                <w:szCs w:val="28"/>
                <w:highlight w:val="none"/>
              </w:rPr>
            </w:pPr>
          </w:p>
        </w:tc>
        <w:tc>
          <w:tcPr>
            <w:tcW w:w="2592" w:type="dxa"/>
            <w:vMerge w:val="continue"/>
            <w:vAlign w:val="center"/>
          </w:tcPr>
          <w:p>
            <w:pPr>
              <w:tabs>
                <w:tab w:val="left" w:pos="765"/>
              </w:tabs>
              <w:spacing w:line="276" w:lineRule="auto"/>
              <w:jc w:val="center"/>
              <w:rPr>
                <w:rFonts w:ascii="宋体" w:hAnsi="宋体" w:cs="宋体"/>
                <w:color w:val="auto"/>
                <w:sz w:val="28"/>
                <w:szCs w:val="28"/>
                <w:highlight w:val="none"/>
              </w:rPr>
            </w:pPr>
          </w:p>
        </w:tc>
        <w:tc>
          <w:tcPr>
            <w:tcW w:w="1930" w:type="dxa"/>
            <w:vAlign w:val="center"/>
          </w:tcPr>
          <w:p>
            <w:pPr>
              <w:tabs>
                <w:tab w:val="left" w:pos="765"/>
              </w:tabs>
              <w:spacing w:line="276" w:lineRule="auto"/>
              <w:jc w:val="center"/>
              <w:rPr>
                <w:rFonts w:ascii="宋体" w:hAnsi="宋体" w:cs="宋体"/>
                <w:color w:val="auto"/>
                <w:sz w:val="28"/>
                <w:szCs w:val="28"/>
                <w:highlight w:val="none"/>
              </w:rPr>
            </w:pPr>
          </w:p>
        </w:tc>
        <w:tc>
          <w:tcPr>
            <w:tcW w:w="2390" w:type="dxa"/>
            <w:vAlign w:val="center"/>
          </w:tcPr>
          <w:p>
            <w:pPr>
              <w:tabs>
                <w:tab w:val="left" w:pos="765"/>
              </w:tabs>
              <w:spacing w:line="276" w:lineRule="auto"/>
              <w:jc w:val="center"/>
              <w:rPr>
                <w:rFonts w:ascii="宋体" w:hAnsi="宋体" w:cs="宋体"/>
                <w:color w:val="auto"/>
                <w:sz w:val="28"/>
                <w:szCs w:val="28"/>
                <w:highlight w:val="none"/>
              </w:rPr>
            </w:pPr>
          </w:p>
        </w:tc>
        <w:tc>
          <w:tcPr>
            <w:tcW w:w="3030" w:type="dxa"/>
            <w:vAlign w:val="center"/>
          </w:tcPr>
          <w:p>
            <w:pPr>
              <w:tabs>
                <w:tab w:val="left" w:pos="765"/>
              </w:tabs>
              <w:spacing w:line="276" w:lineRule="auto"/>
              <w:jc w:val="center"/>
              <w:rPr>
                <w:rFonts w:ascii="宋体" w:hAnsi="宋体" w:cs="宋体"/>
                <w:color w:val="auto"/>
                <w:sz w:val="28"/>
                <w:szCs w:val="28"/>
                <w:highlight w:val="none"/>
              </w:rPr>
            </w:pPr>
          </w:p>
        </w:tc>
        <w:tc>
          <w:tcPr>
            <w:tcW w:w="3250" w:type="dxa"/>
            <w:vAlign w:val="center"/>
          </w:tcPr>
          <w:p>
            <w:pPr>
              <w:tabs>
                <w:tab w:val="left" w:pos="765"/>
              </w:tabs>
              <w:spacing w:line="276" w:lineRule="auto"/>
              <w:jc w:val="center"/>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52" w:type="dxa"/>
            <w:vAlign w:val="center"/>
          </w:tcPr>
          <w:p>
            <w:pPr>
              <w:tabs>
                <w:tab w:val="left" w:pos="765"/>
              </w:tabs>
              <w:jc w:val="center"/>
              <w:rPr>
                <w:rFonts w:ascii="宋体" w:hAnsi="宋体" w:cs="宋体"/>
                <w:color w:val="auto"/>
                <w:sz w:val="28"/>
                <w:szCs w:val="28"/>
                <w:highlight w:val="none"/>
              </w:rPr>
            </w:pPr>
            <w:r>
              <w:rPr>
                <w:rFonts w:hint="eastAsia" w:ascii="宋体" w:hAnsi="宋体" w:cs="宋体"/>
                <w:color w:val="auto"/>
                <w:sz w:val="28"/>
                <w:szCs w:val="28"/>
                <w:highlight w:val="none"/>
              </w:rPr>
              <w:t>备注</w:t>
            </w:r>
          </w:p>
        </w:tc>
        <w:tc>
          <w:tcPr>
            <w:tcW w:w="13192" w:type="dxa"/>
            <w:gridSpan w:val="5"/>
            <w:vAlign w:val="center"/>
          </w:tcPr>
          <w:p>
            <w:pPr>
              <w:tabs>
                <w:tab w:val="left" w:pos="-96"/>
              </w:tabs>
              <w:rPr>
                <w:rFonts w:ascii="宋体" w:hAnsi="宋体" w:cs="宋体"/>
                <w:color w:val="auto"/>
                <w:sz w:val="28"/>
                <w:szCs w:val="28"/>
                <w:highlight w:val="none"/>
              </w:rPr>
            </w:pPr>
          </w:p>
        </w:tc>
      </w:tr>
    </w:tbl>
    <w:p/>
    <w:sectPr>
      <w:pgSz w:w="16838" w:h="11906" w:orient="landscape"/>
      <w:pgMar w:top="1417" w:right="1417" w:bottom="1417" w:left="1417"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方正宋三简体">
    <w:altName w:val="宋体"/>
    <w:panose1 w:val="00000000000000000000"/>
    <w:charset w:val="86"/>
    <w:family w:val="auto"/>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MingLiU_HKSCS">
    <w:altName w:val="PMingLiU-ExtB"/>
    <w:panose1 w:val="00000000000000000000"/>
    <w:charset w:val="88"/>
    <w:family w:val="roman"/>
    <w:pitch w:val="default"/>
    <w:sig w:usb0="00000000" w:usb1="00000000" w:usb2="00000016" w:usb3="00000000" w:csb0="00100001" w:csb1="00000000"/>
  </w:font>
  <w:font w:name="MS Mincho">
    <w:altName w:val="Yu Gothic UI"/>
    <w:panose1 w:val="02020609040205080304"/>
    <w:charset w:val="80"/>
    <w:family w:val="roman"/>
    <w:pitch w:val="default"/>
    <w:sig w:usb0="00000000" w:usb1="00000000" w:usb2="00000010" w:usb3="00000000" w:csb0="4002009F" w:csb1="DFD7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Style w:val="14"/>
                            </w:rPr>
                          </w:pPr>
                          <w:r>
                            <w:fldChar w:fldCharType="begin"/>
                          </w:r>
                          <w:r>
                            <w:rPr>
                              <w:rStyle w:val="14"/>
                            </w:rPr>
                            <w:instrText xml:space="preserve"> PAGE  \* MERGEFORMAT </w:instrText>
                          </w:r>
                          <w:r>
                            <w:fldChar w:fldCharType="separate"/>
                          </w:r>
                          <w:r>
                            <w:rPr>
                              <w:rStyle w:val="14"/>
                            </w:rPr>
                            <w:t>63</w:t>
                          </w:r>
                          <w:r>
                            <w:fldChar w:fldCharType="end"/>
                          </w:r>
                        </w:p>
                      </w:txbxContent>
                    </wps:txbx>
                    <wps:bodyPr vert="horz" wrap="none" lIns="0" tIns="0" rIns="0" bIns="0" anchor="t" anchorCtr="0">
                      <a:spAutoFit/>
                    </wps:bodyPr>
                  </wps:wsp>
                </a:graphicData>
              </a:graphic>
            </wp:anchor>
          </w:drawing>
        </mc:Choice>
        <mc:Fallback>
          <w:pict>
            <v:shape id="文本框2" o:spid="_x0000_s1026" o:spt="202" type="#_x0000_t202" style="position:absolute;left:0pt;height:10.35pt;width:9.05pt;mso-position-horizontal:center;mso-position-horizontal-relative:margin;mso-position-vertical:top;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E+WtSvcAQAArwMAAA4AAAAAAAAA&#10;AQAgAAAAHwEAAGRycy9lMm9Eb2MueG1sUEsFBgAAAAAGAAYAWQEAAG0FAAAAAA==&#10;">
              <v:fill on="f" focussize="0,0"/>
              <v:stroke on="f"/>
              <v:imagedata o:title=""/>
              <o:lock v:ext="edit" aspectratio="f"/>
              <v:textbox inset="0mm,0mm,0mm,0mm" style="mso-fit-shape-to-text:t;">
                <w:txbxContent>
                  <w:p>
                    <w:pPr>
                      <w:pStyle w:val="8"/>
                      <w:rPr>
                        <w:rStyle w:val="14"/>
                      </w:rPr>
                    </w:pPr>
                    <w:r>
                      <w:fldChar w:fldCharType="begin"/>
                    </w:r>
                    <w:r>
                      <w:rPr>
                        <w:rStyle w:val="14"/>
                      </w:rPr>
                      <w:instrText xml:space="preserve"> PAGE  \* MERGEFORMAT </w:instrText>
                    </w:r>
                    <w:r>
                      <w:fldChar w:fldCharType="separate"/>
                    </w:r>
                    <w:r>
                      <w:rPr>
                        <w:rStyle w:val="14"/>
                      </w:rP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0"/>
        <w:spacing w:line="240" w:lineRule="atLeast"/>
      </w:pPr>
      <w:r>
        <w:rPr>
          <w:rStyle w:val="16"/>
        </w:rPr>
        <w:footnoteRef/>
      </w:r>
      <w:r>
        <w:t xml:space="preserve"> </w:t>
      </w:r>
      <w:r>
        <w:rPr>
          <w:rFonts w:hint="eastAsia"/>
        </w:rPr>
        <w:t>本条内容行政处罚、正式约谈要以上述单位的书面正式发文、书面印发会议纪要为依据，正式约谈是指因建设项目质量、安全、履约或招标投标等问题被约见从业单位的企业法人情形。</w:t>
      </w:r>
      <w:r>
        <w:t>项目所在地地级</w:t>
      </w:r>
      <w:r>
        <w:rPr>
          <w:rFonts w:hint="eastAsia"/>
        </w:rPr>
        <w:t>以上</w:t>
      </w:r>
      <w:r>
        <w:t>市交通</w:t>
      </w:r>
      <w:r>
        <w:rPr>
          <w:rFonts w:hint="eastAsia"/>
        </w:rPr>
        <w:t>运输</w:t>
      </w:r>
      <w:r>
        <w:t>局</w:t>
      </w:r>
      <w:r>
        <w:rPr>
          <w:rFonts w:hint="eastAsia"/>
        </w:rPr>
        <w:t>、</w:t>
      </w:r>
      <w:r>
        <w:t>本项目招标人或招标人上级管理单位</w:t>
      </w:r>
      <w:r>
        <w:rPr>
          <w:rFonts w:hint="eastAsia"/>
        </w:rPr>
        <w:t>（仅限于广东省内）做出的行政处罚、正式约谈，其扣分仅适用于做出处罚、约谈决定的单位所管辖范围内项目的招标工作。</w:t>
      </w:r>
    </w:p>
  </w:footnote>
  <w:footnote w:id="1">
    <w:p>
      <w:pPr>
        <w:pStyle w:val="10"/>
        <w:rPr>
          <w:sz w:val="21"/>
          <w:szCs w:val="21"/>
        </w:rPr>
      </w:pPr>
      <w:r>
        <w:rPr>
          <w:rStyle w:val="16"/>
          <w:sz w:val="21"/>
          <w:szCs w:val="21"/>
        </w:rPr>
        <w:footnoteRef/>
      </w:r>
      <w:r>
        <w:rPr>
          <w:rFonts w:hint="eastAsia"/>
          <w:sz w:val="21"/>
          <w:szCs w:val="21"/>
        </w:rPr>
        <w:t>如本项目招标采用第二章“投标人须知”第3.2.1项(2)目规定的由投标人按照招标人提供的工程量清单填写本合同各工程子目的单价、合价和总额价方式，则评标委员会按照本章第3.4.2项和第3.4.3项的规定对投标人的投标报价进行修正。如本项目招标采用第二章“投标人须知”第3.2.1项(1)目规定的投标人按照招标人提供的工程量固化清单电子文件填写工程量清单的，无须按照本章3.4.2项和第3.4.3项的规定对投标报价进行修正，第3.4.2项至第3.4.5项内容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1"/>
      <w:numFmt w:val="decimal"/>
      <w:lvlText w:val="%1."/>
      <w:lvlJc w:val="left"/>
      <w:pPr>
        <w:ind w:left="364" w:hanging="217"/>
      </w:pPr>
      <w:rPr>
        <w:rFonts w:hint="eastAsia" w:ascii="宋体" w:hAnsi="宋体" w:eastAsia="宋体"/>
        <w:w w:val="102"/>
        <w:sz w:val="19"/>
        <w:u w:val="none"/>
      </w:rPr>
    </w:lvl>
    <w:lvl w:ilvl="1" w:tentative="0">
      <w:start w:val="1"/>
      <w:numFmt w:val="bullet"/>
      <w:lvlText w:val="•"/>
      <w:lvlJc w:val="left"/>
      <w:pPr>
        <w:ind w:left="1745" w:hanging="217"/>
      </w:pPr>
      <w:rPr>
        <w:rFonts w:hint="default"/>
        <w:u w:val="none"/>
      </w:rPr>
    </w:lvl>
    <w:lvl w:ilvl="2" w:tentative="0">
      <w:start w:val="1"/>
      <w:numFmt w:val="bullet"/>
      <w:lvlText w:val="•"/>
      <w:lvlJc w:val="left"/>
      <w:pPr>
        <w:ind w:left="3131" w:hanging="217"/>
      </w:pPr>
      <w:rPr>
        <w:rFonts w:hint="default"/>
        <w:u w:val="none"/>
      </w:rPr>
    </w:lvl>
    <w:lvl w:ilvl="3" w:tentative="0">
      <w:start w:val="1"/>
      <w:numFmt w:val="bullet"/>
      <w:lvlText w:val="•"/>
      <w:lvlJc w:val="left"/>
      <w:pPr>
        <w:ind w:left="4517" w:hanging="217"/>
      </w:pPr>
      <w:rPr>
        <w:rFonts w:hint="default"/>
        <w:u w:val="none"/>
      </w:rPr>
    </w:lvl>
    <w:lvl w:ilvl="4" w:tentative="0">
      <w:start w:val="1"/>
      <w:numFmt w:val="bullet"/>
      <w:lvlText w:val="•"/>
      <w:lvlJc w:val="left"/>
      <w:pPr>
        <w:ind w:left="5902" w:hanging="217"/>
      </w:pPr>
      <w:rPr>
        <w:rFonts w:hint="default"/>
        <w:u w:val="none"/>
      </w:rPr>
    </w:lvl>
    <w:lvl w:ilvl="5" w:tentative="0">
      <w:start w:val="1"/>
      <w:numFmt w:val="bullet"/>
      <w:lvlText w:val="•"/>
      <w:lvlJc w:val="left"/>
      <w:pPr>
        <w:ind w:left="7288" w:hanging="217"/>
      </w:pPr>
      <w:rPr>
        <w:rFonts w:hint="default"/>
        <w:u w:val="none"/>
      </w:rPr>
    </w:lvl>
    <w:lvl w:ilvl="6" w:tentative="0">
      <w:start w:val="1"/>
      <w:numFmt w:val="bullet"/>
      <w:lvlText w:val="•"/>
      <w:lvlJc w:val="left"/>
      <w:pPr>
        <w:ind w:left="8674" w:hanging="217"/>
      </w:pPr>
      <w:rPr>
        <w:rFonts w:hint="default"/>
        <w:u w:val="none"/>
      </w:rPr>
    </w:lvl>
    <w:lvl w:ilvl="7" w:tentative="0">
      <w:start w:val="1"/>
      <w:numFmt w:val="bullet"/>
      <w:lvlText w:val="•"/>
      <w:lvlJc w:val="left"/>
      <w:pPr>
        <w:ind w:left="10059" w:hanging="217"/>
      </w:pPr>
      <w:rPr>
        <w:rFonts w:hint="default"/>
        <w:u w:val="none"/>
      </w:rPr>
    </w:lvl>
    <w:lvl w:ilvl="8" w:tentative="0">
      <w:start w:val="1"/>
      <w:numFmt w:val="bullet"/>
      <w:lvlText w:val="•"/>
      <w:lvlJc w:val="left"/>
      <w:pPr>
        <w:ind w:left="11445" w:hanging="217"/>
      </w:pPr>
      <w:rPr>
        <w:rFonts w:hint="default"/>
        <w:u w:val="none"/>
      </w:rPr>
    </w:lvl>
  </w:abstractNum>
  <w:abstractNum w:abstractNumId="1">
    <w:nsid w:val="1A085AF1"/>
    <w:multiLevelType w:val="multilevel"/>
    <w:tmpl w:val="1A085AF1"/>
    <w:lvl w:ilvl="0"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2">
    <w:nsid w:val="38FA074C"/>
    <w:multiLevelType w:val="multilevel"/>
    <w:tmpl w:val="38FA074C"/>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3">
    <w:nsid w:val="73E85863"/>
    <w:multiLevelType w:val="multilevel"/>
    <w:tmpl w:val="73E85863"/>
    <w:lvl w:ilvl="0" w:tentative="0">
      <w:start w:val="1"/>
      <w:numFmt w:val="decimal"/>
      <w:lvlText w:val="(%1)"/>
      <w:lvlJc w:val="left"/>
      <w:rPr>
        <w:rFonts w:ascii="MingLiU" w:hAnsi="MingLiU_HKSCS" w:cs="MingLiU"/>
        <w:b w:val="0"/>
        <w:bCs w:val="0"/>
        <w:i w:val="0"/>
        <w:iCs w:val="0"/>
        <w:smallCaps w:val="0"/>
        <w:strike w:val="0"/>
        <w:color w:val="000000"/>
        <w:spacing w:val="0"/>
        <w:w w:val="100"/>
        <w:position w:val="0"/>
        <w:sz w:val="22"/>
        <w:szCs w:val="22"/>
        <w:u w:val="none"/>
      </w:rPr>
    </w:lvl>
    <w:lvl w:ilvl="1" w:tentative="0">
      <w:start w:val="1"/>
      <w:numFmt w:val="decimal"/>
      <w:lvlText w:val="(%1)"/>
      <w:lvlJc w:val="left"/>
      <w:rPr>
        <w:rFonts w:ascii="MingLiU" w:hAnsi="MingLiU_HKSCS" w:cs="MingLiU"/>
        <w:b w:val="0"/>
        <w:bCs w:val="0"/>
        <w:i w:val="0"/>
        <w:iCs w:val="0"/>
        <w:smallCaps w:val="0"/>
        <w:strike w:val="0"/>
        <w:color w:val="000000"/>
        <w:spacing w:val="0"/>
        <w:w w:val="100"/>
        <w:position w:val="0"/>
        <w:sz w:val="22"/>
        <w:szCs w:val="22"/>
        <w:u w:val="none"/>
      </w:rPr>
    </w:lvl>
    <w:lvl w:ilvl="2" w:tentative="0">
      <w:start w:val="1"/>
      <w:numFmt w:val="decimal"/>
      <w:lvlText w:val="(%1)"/>
      <w:lvlJc w:val="left"/>
      <w:rPr>
        <w:rFonts w:ascii="MingLiU" w:hAnsi="MingLiU_HKSCS" w:cs="MingLiU"/>
        <w:b w:val="0"/>
        <w:bCs w:val="0"/>
        <w:i w:val="0"/>
        <w:iCs w:val="0"/>
        <w:smallCaps w:val="0"/>
        <w:strike w:val="0"/>
        <w:color w:val="000000"/>
        <w:spacing w:val="0"/>
        <w:w w:val="100"/>
        <w:position w:val="0"/>
        <w:sz w:val="22"/>
        <w:szCs w:val="22"/>
        <w:u w:val="none"/>
      </w:rPr>
    </w:lvl>
    <w:lvl w:ilvl="3" w:tentative="0">
      <w:start w:val="1"/>
      <w:numFmt w:val="decimal"/>
      <w:lvlText w:val="(%1)"/>
      <w:lvlJc w:val="left"/>
      <w:rPr>
        <w:rFonts w:ascii="MingLiU" w:hAnsi="MingLiU_HKSCS" w:cs="MingLiU"/>
        <w:b w:val="0"/>
        <w:bCs w:val="0"/>
        <w:i w:val="0"/>
        <w:iCs w:val="0"/>
        <w:smallCaps w:val="0"/>
        <w:strike w:val="0"/>
        <w:color w:val="000000"/>
        <w:spacing w:val="0"/>
        <w:w w:val="100"/>
        <w:position w:val="0"/>
        <w:sz w:val="22"/>
        <w:szCs w:val="22"/>
        <w:u w:val="none"/>
      </w:rPr>
    </w:lvl>
    <w:lvl w:ilvl="4" w:tentative="0">
      <w:start w:val="1"/>
      <w:numFmt w:val="decimal"/>
      <w:lvlText w:val="(%1)"/>
      <w:lvlJc w:val="left"/>
      <w:rPr>
        <w:rFonts w:ascii="MingLiU" w:hAnsi="MingLiU_HKSCS" w:cs="MingLiU"/>
        <w:b w:val="0"/>
        <w:bCs w:val="0"/>
        <w:i w:val="0"/>
        <w:iCs w:val="0"/>
        <w:smallCaps w:val="0"/>
        <w:strike w:val="0"/>
        <w:color w:val="000000"/>
        <w:spacing w:val="0"/>
        <w:w w:val="100"/>
        <w:position w:val="0"/>
        <w:sz w:val="22"/>
        <w:szCs w:val="22"/>
        <w:u w:val="none"/>
      </w:rPr>
    </w:lvl>
    <w:lvl w:ilvl="5" w:tentative="0">
      <w:start w:val="1"/>
      <w:numFmt w:val="decimal"/>
      <w:lvlText w:val="(%1)"/>
      <w:lvlJc w:val="left"/>
      <w:rPr>
        <w:rFonts w:ascii="MingLiU" w:hAnsi="MingLiU_HKSCS" w:cs="MingLiU"/>
        <w:b w:val="0"/>
        <w:bCs w:val="0"/>
        <w:i w:val="0"/>
        <w:iCs w:val="0"/>
        <w:smallCaps w:val="0"/>
        <w:strike w:val="0"/>
        <w:color w:val="000000"/>
        <w:spacing w:val="0"/>
        <w:w w:val="100"/>
        <w:position w:val="0"/>
        <w:sz w:val="22"/>
        <w:szCs w:val="22"/>
        <w:u w:val="none"/>
      </w:rPr>
    </w:lvl>
    <w:lvl w:ilvl="6" w:tentative="0">
      <w:start w:val="1"/>
      <w:numFmt w:val="decimal"/>
      <w:lvlText w:val="(%1)"/>
      <w:lvlJc w:val="left"/>
      <w:rPr>
        <w:rFonts w:ascii="MingLiU" w:hAnsi="MingLiU_HKSCS" w:cs="MingLiU"/>
        <w:b w:val="0"/>
        <w:bCs w:val="0"/>
        <w:i w:val="0"/>
        <w:iCs w:val="0"/>
        <w:smallCaps w:val="0"/>
        <w:strike w:val="0"/>
        <w:color w:val="000000"/>
        <w:spacing w:val="0"/>
        <w:w w:val="100"/>
        <w:position w:val="0"/>
        <w:sz w:val="22"/>
        <w:szCs w:val="22"/>
        <w:u w:val="none"/>
      </w:rPr>
    </w:lvl>
    <w:lvl w:ilvl="7" w:tentative="0">
      <w:start w:val="1"/>
      <w:numFmt w:val="decimal"/>
      <w:lvlText w:val="(%1)"/>
      <w:lvlJc w:val="left"/>
      <w:rPr>
        <w:rFonts w:ascii="MingLiU" w:hAnsi="MingLiU_HKSCS" w:cs="MingLiU"/>
        <w:b w:val="0"/>
        <w:bCs w:val="0"/>
        <w:i w:val="0"/>
        <w:iCs w:val="0"/>
        <w:smallCaps w:val="0"/>
        <w:strike w:val="0"/>
        <w:color w:val="000000"/>
        <w:spacing w:val="0"/>
        <w:w w:val="100"/>
        <w:position w:val="0"/>
        <w:sz w:val="22"/>
        <w:szCs w:val="22"/>
        <w:u w:val="none"/>
      </w:rPr>
    </w:lvl>
    <w:lvl w:ilvl="8" w:tentative="0">
      <w:start w:val="1"/>
      <w:numFmt w:val="decimal"/>
      <w:lvlText w:val="(%1)"/>
      <w:lvlJc w:val="left"/>
      <w:rPr>
        <w:rFonts w:ascii="MingLiU" w:hAnsi="MingLiU_HKSCS" w:cs="MingLiU"/>
        <w:b w:val="0"/>
        <w:bCs w:val="0"/>
        <w:i w:val="0"/>
        <w:iCs w:val="0"/>
        <w:smallCaps w:val="0"/>
        <w:strike w:val="0"/>
        <w:color w:val="000000"/>
        <w:spacing w:val="0"/>
        <w:w w:val="100"/>
        <w:position w:val="0"/>
        <w:sz w:val="22"/>
        <w:szCs w:val="22"/>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F7075"/>
    <w:rsid w:val="47BE0D15"/>
    <w:rsid w:val="48086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rPr>
      <w:rFonts w:ascii="宋体"/>
      <w:sz w:val="24"/>
      <w:szCs w:val="20"/>
    </w:rPr>
  </w:style>
  <w:style w:type="paragraph" w:styleId="6">
    <w:name w:val="Body Text"/>
    <w:basedOn w:val="1"/>
    <w:next w:val="1"/>
    <w:qFormat/>
    <w:uiPriority w:val="0"/>
    <w:rPr>
      <w:rFonts w:ascii="宋体" w:hAnsi="宋体" w:cs="宋体"/>
      <w:szCs w:val="21"/>
      <w:lang w:val="zh-CN" w:bidi="zh-CN"/>
    </w:rPr>
  </w:style>
  <w:style w:type="paragraph" w:styleId="7">
    <w:name w:val="Plain Text"/>
    <w:basedOn w:val="1"/>
    <w:next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
    <w:qFormat/>
    <w:uiPriority w:val="0"/>
    <w:pPr>
      <w:snapToGrid w:val="0"/>
      <w:jc w:val="left"/>
    </w:pPr>
    <w:rPr>
      <w:rFonts w:ascii="宋体" w:hAnsi="宋体"/>
      <w:sz w:val="18"/>
      <w:szCs w:val="18"/>
    </w:rPr>
  </w:style>
  <w:style w:type="paragraph" w:styleId="11">
    <w:name w:val="Body Text First Indent"/>
    <w:basedOn w:val="6"/>
    <w:qFormat/>
    <w:uiPriority w:val="0"/>
    <w:pPr>
      <w:ind w:firstLine="420" w:firstLineChars="100"/>
    </w:pPr>
  </w:style>
  <w:style w:type="character" w:styleId="14">
    <w:name w:val="page number"/>
    <w:qFormat/>
    <w:uiPriority w:val="0"/>
  </w:style>
  <w:style w:type="character" w:styleId="15">
    <w:name w:val="Hyperlink"/>
    <w:qFormat/>
    <w:uiPriority w:val="0"/>
    <w:rPr>
      <w:color w:val="000000"/>
      <w:u w:val="none"/>
    </w:rPr>
  </w:style>
  <w:style w:type="character" w:styleId="16">
    <w:name w:val="footnote reference"/>
    <w:qFormat/>
    <w:uiPriority w:val="0"/>
    <w:rPr>
      <w:vertAlign w:val="superscript"/>
    </w:rPr>
  </w:style>
  <w:style w:type="paragraph" w:customStyle="1" w:styleId="17">
    <w:name w:val="CM86"/>
    <w:basedOn w:val="18"/>
    <w:next w:val="18"/>
    <w:qFormat/>
    <w:uiPriority w:val="0"/>
    <w:pPr>
      <w:spacing w:after="400"/>
    </w:pPr>
    <w:rPr>
      <w:rFonts w:cs="Times New Roman"/>
      <w:color w:val="auto"/>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9">
    <w:name w:val="正文文本 (2)1"/>
    <w:basedOn w:val="1"/>
    <w:link w:val="20"/>
    <w:qFormat/>
    <w:uiPriority w:val="99"/>
    <w:pPr>
      <w:shd w:val="clear" w:color="auto" w:fill="FFFFFF"/>
      <w:spacing w:before="300" w:line="439" w:lineRule="exact"/>
      <w:jc w:val="distribute"/>
    </w:pPr>
    <w:rPr>
      <w:rFonts w:ascii="MingLiU" w:eastAsia="MingLiU"/>
      <w:spacing w:val="20"/>
      <w:kern w:val="0"/>
      <w:sz w:val="22"/>
      <w:szCs w:val="20"/>
      <w:shd w:val="clear" w:color="auto" w:fill="FFFFFF"/>
    </w:rPr>
  </w:style>
  <w:style w:type="character" w:customStyle="1" w:styleId="20">
    <w:name w:val="正文文本 (2)_"/>
    <w:link w:val="19"/>
    <w:qFormat/>
    <w:locked/>
    <w:uiPriority w:val="99"/>
    <w:rPr>
      <w:rFonts w:ascii="MingLiU" w:eastAsia="MingLiU"/>
      <w:spacing w:val="20"/>
      <w:kern w:val="0"/>
      <w:sz w:val="22"/>
      <w:szCs w:val="20"/>
      <w:shd w:val="clear" w:color="auto" w:fill="FFFFFF"/>
    </w:rPr>
  </w:style>
  <w:style w:type="paragraph" w:customStyle="1" w:styleId="21">
    <w:name w:val="附件正文ffff"/>
    <w:basedOn w:val="1"/>
    <w:qFormat/>
    <w:uiPriority w:val="0"/>
    <w:pPr>
      <w:spacing w:line="340" w:lineRule="exact"/>
      <w:ind w:firstLine="436" w:firstLineChars="200"/>
    </w:pPr>
    <w:rPr>
      <w:rFonts w:ascii="方正宋三简体" w:eastAsia="方正宋三简体"/>
      <w:spacing w:val="4"/>
      <w:szCs w:val="20"/>
    </w:rPr>
  </w:style>
  <w:style w:type="paragraph" w:customStyle="1" w:styleId="22">
    <w:name w:val="Table Paragraph"/>
    <w:basedOn w:val="1"/>
    <w:qFormat/>
    <w:uiPriority w:val="1"/>
    <w:rPr>
      <w:rFonts w:ascii="宋体" w:hAnsi="宋体" w:cs="宋体"/>
      <w:lang w:val="zh-CN" w:bidi="zh-CN"/>
    </w:rPr>
  </w:style>
  <w:style w:type="paragraph" w:customStyle="1" w:styleId="23">
    <w:name w:val="List Paragraph1"/>
    <w:basedOn w:val="1"/>
    <w:qFormat/>
    <w:uiPriority w:val="0"/>
    <w:pPr>
      <w:ind w:firstLine="420" w:firstLineChars="200"/>
    </w:pPr>
    <w:rPr>
      <w:rFonts w:ascii="Calibri" w:hAnsi="Calibri"/>
      <w:szCs w:val="22"/>
    </w:rPr>
  </w:style>
  <w:style w:type="paragraph" w:customStyle="1" w:styleId="24">
    <w:name w:val="样式 宋体 行距: 1.5 倍行距"/>
    <w:basedOn w:val="1"/>
    <w:qFormat/>
    <w:uiPriority w:val="0"/>
    <w:pPr>
      <w:jc w:val="center"/>
    </w:pPr>
    <w:rPr>
      <w:b/>
    </w:rPr>
  </w:style>
  <w:style w:type="paragraph" w:customStyle="1" w:styleId="25">
    <w:name w:val="CM68"/>
    <w:basedOn w:val="18"/>
    <w:next w:val="18"/>
    <w:qFormat/>
    <w:uiPriority w:val="0"/>
    <w:pPr>
      <w:spacing w:line="440" w:lineRule="atLeast"/>
    </w:pPr>
    <w:rPr>
      <w:rFonts w:cs="Times New Roman"/>
      <w:color w:val="auto"/>
    </w:rPr>
  </w:style>
  <w:style w:type="paragraph" w:customStyle="1" w:styleId="26">
    <w:name w:val="CM63"/>
    <w:basedOn w:val="18"/>
    <w:next w:val="1"/>
    <w:qFormat/>
    <w:uiPriority w:val="0"/>
    <w:pPr>
      <w:spacing w:after="903"/>
    </w:pPr>
    <w:rPr>
      <w:rFonts w:cs="Times New Roman"/>
      <w:color w:val="auto"/>
    </w:rPr>
  </w:style>
  <w:style w:type="paragraph" w:customStyle="1" w:styleId="27">
    <w:name w:val="CM65"/>
    <w:basedOn w:val="18"/>
    <w:next w:val="18"/>
    <w:qFormat/>
    <w:uiPriority w:val="0"/>
    <w:pPr>
      <w:spacing w:after="235"/>
    </w:pPr>
    <w:rPr>
      <w:rFonts w:cs="Times New Roman"/>
      <w:color w:val="auto"/>
    </w:rPr>
  </w:style>
  <w:style w:type="character" w:customStyle="1" w:styleId="28">
    <w:name w:val="标题 1 Char1"/>
    <w:qFormat/>
    <w:locked/>
    <w:uiPriority w:val="0"/>
    <w:rPr>
      <w:b/>
      <w:bCs/>
      <w:kern w:val="44"/>
      <w:sz w:val="44"/>
      <w:szCs w:val="44"/>
    </w:rPr>
  </w:style>
  <w:style w:type="character" w:customStyle="1" w:styleId="29">
    <w:name w:val="正文文本 (2) + 间距 0 pt5"/>
    <w:qFormat/>
    <w:uiPriority w:val="99"/>
    <w:rPr>
      <w:rFonts w:ascii="MingLiU" w:eastAsia="MingLiU" w:cs="MingLiU"/>
      <w:spacing w:val="0"/>
      <w:sz w:val="22"/>
      <w:szCs w:val="22"/>
      <w:u w:val="none"/>
    </w:rPr>
  </w:style>
  <w:style w:type="character" w:customStyle="1" w:styleId="30">
    <w:name w:val="正文文本 (2) + 10 pt37"/>
    <w:qFormat/>
    <w:uiPriority w:val="0"/>
    <w:rPr>
      <w:rFonts w:ascii="MingLiU" w:eastAsia="MingLiU" w:cs="MingLiU"/>
      <w:spacing w:val="0"/>
      <w:sz w:val="20"/>
      <w:szCs w:val="20"/>
      <w:u w:val="none"/>
    </w:rPr>
  </w:style>
  <w:style w:type="character" w:customStyle="1" w:styleId="31">
    <w:name w:val="正文文本 (2) + 间距 -1 pt"/>
    <w:qFormat/>
    <w:uiPriority w:val="99"/>
    <w:rPr>
      <w:rFonts w:ascii="MingLiU" w:eastAsia="MingLiU" w:cs="MingLiU"/>
      <w:spacing w:val="-20"/>
      <w:sz w:val="22"/>
      <w:szCs w:val="22"/>
      <w:u w:val="none"/>
    </w:rPr>
  </w:style>
  <w:style w:type="character" w:customStyle="1" w:styleId="32">
    <w:name w:val="正文文本 (2) + 10 pt23"/>
    <w:qFormat/>
    <w:uiPriority w:val="99"/>
    <w:rPr>
      <w:rFonts w:ascii="MingLiU" w:eastAsia="MingLiU" w:cs="MingLiU"/>
      <w:b/>
      <w:bCs/>
      <w:spacing w:val="0"/>
      <w:sz w:val="20"/>
      <w:szCs w:val="20"/>
      <w:u w:val="none"/>
    </w:rPr>
  </w:style>
  <w:style w:type="character" w:customStyle="1" w:styleId="33">
    <w:name w:val="正文文本 (2) + Sylfaen13"/>
    <w:qFormat/>
    <w:uiPriority w:val="99"/>
    <w:rPr>
      <w:rFonts w:ascii="Sylfaen" w:hAnsi="Sylfaen" w:eastAsia="MingLiU" w:cs="Sylfaen"/>
      <w:spacing w:val="0"/>
      <w:sz w:val="14"/>
      <w:szCs w:val="14"/>
      <w:u w:val="none"/>
      <w:lang w:val="en-US" w:eastAsia="en-US"/>
    </w:rPr>
  </w:style>
  <w:style w:type="character" w:customStyle="1" w:styleId="34">
    <w:name w:val="正文文本 (2) + 间距 0 pt3"/>
    <w:qFormat/>
    <w:uiPriority w:val="99"/>
    <w:rPr>
      <w:rFonts w:ascii="MingLiU" w:eastAsia="MingLiU" w:cs="MingLiU"/>
      <w:spacing w:val="0"/>
      <w:sz w:val="22"/>
      <w:szCs w:val="22"/>
      <w:u w:val="none"/>
    </w:rPr>
  </w:style>
  <w:style w:type="character" w:customStyle="1" w:styleId="35">
    <w:name w:val="正文文本 (2) + 10 pt27"/>
    <w:qFormat/>
    <w:uiPriority w:val="99"/>
    <w:rPr>
      <w:rFonts w:ascii="MingLiU" w:eastAsia="MingLiU" w:cs="MingLiU"/>
      <w:spacing w:val="0"/>
      <w:w w:val="100"/>
      <w:sz w:val="20"/>
      <w:szCs w:val="20"/>
      <w:u w:val="none"/>
      <w:lang w:val="en-US" w:eastAsia="en-US"/>
    </w:rPr>
  </w:style>
  <w:style w:type="paragraph" w:customStyle="1" w:styleId="36">
    <w:name w:val="表格标题 (5)"/>
    <w:basedOn w:val="1"/>
    <w:link w:val="37"/>
    <w:qFormat/>
    <w:uiPriority w:val="99"/>
    <w:pPr>
      <w:shd w:val="clear" w:color="auto" w:fill="FFFFFF"/>
      <w:spacing w:line="240" w:lineRule="atLeast"/>
    </w:pPr>
    <w:rPr>
      <w:rFonts w:ascii="MingLiU" w:eastAsia="MingLiU"/>
      <w:kern w:val="0"/>
      <w:sz w:val="22"/>
      <w:szCs w:val="22"/>
    </w:rPr>
  </w:style>
  <w:style w:type="character" w:customStyle="1" w:styleId="37">
    <w:name w:val="表格标题 (5)_"/>
    <w:link w:val="36"/>
    <w:qFormat/>
    <w:locked/>
    <w:uiPriority w:val="99"/>
    <w:rPr>
      <w:rFonts w:ascii="MingLiU" w:eastAsia="MingLiU"/>
      <w:kern w:val="0"/>
      <w:sz w:val="22"/>
      <w:szCs w:val="22"/>
    </w:rPr>
  </w:style>
  <w:style w:type="character" w:customStyle="1" w:styleId="38">
    <w:name w:val="正文文本 (2) + 10 pt24"/>
    <w:qFormat/>
    <w:uiPriority w:val="99"/>
    <w:rPr>
      <w:rFonts w:ascii="MingLiU" w:eastAsia="MingLiU" w:cs="MingLiU"/>
      <w:b/>
      <w:bCs/>
      <w:spacing w:val="0"/>
      <w:sz w:val="20"/>
      <w:szCs w:val="20"/>
      <w:u w:val="none"/>
    </w:rPr>
  </w:style>
  <w:style w:type="character" w:customStyle="1" w:styleId="39">
    <w:name w:val="正文文本 (2) + Sylfaen10"/>
    <w:qFormat/>
    <w:uiPriority w:val="99"/>
    <w:rPr>
      <w:rFonts w:ascii="Sylfaen" w:hAnsi="Sylfaen" w:eastAsia="MingLiU" w:cs="Sylfaen"/>
      <w:spacing w:val="20"/>
      <w:sz w:val="14"/>
      <w:szCs w:val="14"/>
      <w:u w:val="none"/>
      <w:lang w:val="en-US" w:eastAsia="en-US"/>
    </w:rPr>
  </w:style>
  <w:style w:type="character" w:customStyle="1" w:styleId="40">
    <w:name w:val="正文文本 (2) + 10 pt34"/>
    <w:qFormat/>
    <w:uiPriority w:val="99"/>
    <w:rPr>
      <w:rFonts w:ascii="MingLiU" w:eastAsia="MingLiU" w:cs="MingLiU"/>
      <w:spacing w:val="-20"/>
      <w:sz w:val="20"/>
      <w:szCs w:val="20"/>
      <w:u w:val="none"/>
      <w:lang w:val="en-US" w:eastAsia="en-US"/>
    </w:rPr>
  </w:style>
  <w:style w:type="paragraph" w:customStyle="1" w:styleId="41">
    <w:name w:val="正文文本 (5)1"/>
    <w:basedOn w:val="1"/>
    <w:link w:val="42"/>
    <w:qFormat/>
    <w:uiPriority w:val="99"/>
    <w:pPr>
      <w:shd w:val="clear" w:color="auto" w:fill="FFFFFF"/>
      <w:spacing w:before="5100" w:line="240" w:lineRule="atLeast"/>
    </w:pPr>
    <w:rPr>
      <w:rFonts w:ascii="MingLiU" w:eastAsia="MingLiU"/>
      <w:kern w:val="0"/>
      <w:sz w:val="20"/>
      <w:szCs w:val="20"/>
    </w:rPr>
  </w:style>
  <w:style w:type="character" w:customStyle="1" w:styleId="42">
    <w:name w:val="正文文本 (5)_"/>
    <w:link w:val="41"/>
    <w:qFormat/>
    <w:locked/>
    <w:uiPriority w:val="99"/>
    <w:rPr>
      <w:rFonts w:ascii="MingLiU" w:eastAsia="MingLiU"/>
      <w:kern w:val="0"/>
      <w:sz w:val="20"/>
      <w:szCs w:val="20"/>
    </w:rPr>
  </w:style>
  <w:style w:type="paragraph" w:customStyle="1" w:styleId="43">
    <w:name w:val="正文文本 (17)"/>
    <w:basedOn w:val="1"/>
    <w:qFormat/>
    <w:uiPriority w:val="99"/>
    <w:pPr>
      <w:shd w:val="clear" w:color="auto" w:fill="FFFFFF"/>
      <w:spacing w:line="240" w:lineRule="atLeast"/>
      <w:jc w:val="distribute"/>
    </w:pPr>
    <w:rPr>
      <w:rFonts w:ascii="MingLiU" w:eastAsia="MingLiU"/>
      <w:spacing w:val="-10"/>
      <w:sz w:val="22"/>
      <w:szCs w:val="22"/>
    </w:rPr>
  </w:style>
  <w:style w:type="character" w:customStyle="1" w:styleId="44">
    <w:name w:val="正文文本 (17) + 间距 0 pt1"/>
    <w:qFormat/>
    <w:uiPriority w:val="99"/>
    <w:rPr>
      <w:rFonts w:ascii="MingLiU" w:eastAsia="MingLiU" w:cs="MingLiU"/>
      <w:spacing w:val="0"/>
      <w:sz w:val="22"/>
      <w:szCs w:val="22"/>
      <w:u w:val="none"/>
    </w:rPr>
  </w:style>
  <w:style w:type="character" w:customStyle="1" w:styleId="45">
    <w:name w:val="正文文本 (5) + 间距 -1 pt"/>
    <w:qFormat/>
    <w:uiPriority w:val="99"/>
    <w:rPr>
      <w:rFonts w:ascii="MingLiU" w:eastAsia="MingLiU" w:cs="MingLiU"/>
      <w:spacing w:val="-20"/>
      <w:sz w:val="20"/>
      <w:szCs w:val="20"/>
      <w:u w:val="none"/>
      <w:lang w:val="en-US" w:eastAsia="en-US"/>
    </w:rPr>
  </w:style>
  <w:style w:type="character" w:customStyle="1" w:styleId="46">
    <w:name w:val="正文文本 (17) + 间距 0 pt"/>
    <w:qFormat/>
    <w:uiPriority w:val="99"/>
    <w:rPr>
      <w:rFonts w:ascii="MingLiU" w:eastAsia="MingLiU" w:cs="MingLiU"/>
      <w:spacing w:val="0"/>
      <w:sz w:val="22"/>
      <w:szCs w:val="22"/>
      <w:u w:val="single"/>
    </w:rPr>
  </w:style>
  <w:style w:type="character" w:customStyle="1" w:styleId="47">
    <w:name w:val="正文文本 (7) + 间距 0 pt"/>
    <w:qFormat/>
    <w:uiPriority w:val="99"/>
    <w:rPr>
      <w:rFonts w:ascii="MingLiU" w:eastAsia="MingLiU" w:cs="MingLiU"/>
      <w:spacing w:val="0"/>
      <w:sz w:val="22"/>
      <w:szCs w:val="22"/>
      <w:u w:val="none"/>
    </w:rPr>
  </w:style>
  <w:style w:type="paragraph" w:customStyle="1" w:styleId="48">
    <w:name w:val="正文文本 (7)"/>
    <w:basedOn w:val="1"/>
    <w:qFormat/>
    <w:uiPriority w:val="99"/>
    <w:pPr>
      <w:shd w:val="clear" w:color="auto" w:fill="FFFFFF"/>
      <w:spacing w:before="120" w:after="300" w:line="240" w:lineRule="atLeast"/>
      <w:jc w:val="center"/>
    </w:pPr>
    <w:rPr>
      <w:rFonts w:ascii="MingLiU" w:eastAsia="MingLiU"/>
      <w:spacing w:val="1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2023-04-04T01:11:07Z</dcterms:created>
  <dc:creator>61729</dc:creator>
  <cp:lastModifiedBy>GGB-HJY</cp:lastModifiedBy>
  <dcterms:modified xsi:type="dcterms:W3CDTF">2023-04-04T01:24:50Z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6A4F9D65F3F14E09910EED7E538EF7FF</vt:lpwstr>
  </property>
</Properties>
</file>