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textAlignment w:val="auto"/>
        <w:outlineLvl w:val="0"/>
        <w:rPr>
          <w:rFonts w:hint="default" w:ascii="宋体" w:hAnsi="宋体" w:eastAsia="宋体" w:cs="宋体"/>
          <w:b w:val="0"/>
          <w:bCs w:val="0"/>
          <w:color w:val="auto"/>
          <w:highlight w:val="none"/>
          <w:lang w:val="en-US" w:eastAsia="zh-CN"/>
        </w:rPr>
      </w:pPr>
      <w:bookmarkStart w:id="0" w:name="_Toc8658"/>
      <w:bookmarkStart w:id="1" w:name="_Toc509407128"/>
      <w:bookmarkStart w:id="2" w:name="_Toc234832863"/>
      <w:bookmarkStart w:id="3" w:name="_Toc26942"/>
      <w:bookmarkStart w:id="4" w:name="_Toc61252964"/>
      <w:r>
        <w:rPr>
          <w:rFonts w:hint="eastAsia" w:ascii="宋体" w:hAnsi="宋体" w:eastAsia="宋体" w:cs="宋体"/>
          <w:b w:val="0"/>
          <w:bCs w:val="0"/>
          <w:color w:val="auto"/>
          <w:highlight w:val="none"/>
          <w:lang w:val="en-US" w:eastAsia="zh-CN"/>
        </w:rPr>
        <w:t>附件1</w:t>
      </w:r>
    </w:p>
    <w:bookmarkEnd w:id="0"/>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before="318" w:beforeLines="100" w:after="318" w:afterLines="100" w:line="240" w:lineRule="auto"/>
        <w:jc w:val="center"/>
        <w:textAlignment w:val="auto"/>
        <w:outlineLvl w:val="2"/>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附录1  资格审查条件（资质最低要求）</w:t>
      </w:r>
    </w:p>
    <w:tbl>
      <w:tblPr>
        <w:tblStyle w:val="8"/>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Align w:val="top"/>
          </w:tcPr>
          <w:p>
            <w:pPr>
              <w:spacing w:line="360" w:lineRule="auto"/>
              <w:jc w:val="center"/>
              <w:rPr>
                <w:rFonts w:eastAsia="黑体"/>
                <w:b/>
                <w:bCs/>
                <w:iCs/>
                <w:color w:val="auto"/>
                <w:sz w:val="28"/>
                <w:highlight w:val="none"/>
              </w:rPr>
            </w:pPr>
            <w:r>
              <w:rPr>
                <w:rFonts w:hint="eastAsia" w:ascii="黑体" w:hAnsi="黑体" w:eastAsia="黑体" w:cs="黑体"/>
                <w:b w:val="0"/>
                <w:bCs/>
                <w:color w:val="auto"/>
                <w:sz w:val="28"/>
                <w:szCs w:val="28"/>
                <w:highlight w:val="none"/>
                <w:lang w:val="en-US" w:eastAsia="zh-CN"/>
              </w:rPr>
              <w:t>适用标段</w:t>
            </w:r>
          </w:p>
        </w:tc>
        <w:tc>
          <w:tcPr>
            <w:tcW w:w="7327" w:type="dxa"/>
            <w:vAlign w:val="top"/>
          </w:tcPr>
          <w:p>
            <w:pPr>
              <w:spacing w:line="360" w:lineRule="auto"/>
              <w:jc w:val="center"/>
              <w:rPr>
                <w:color w:val="auto"/>
              </w:rPr>
            </w:pPr>
            <w:r>
              <w:rPr>
                <w:rFonts w:eastAsia="黑体"/>
                <w:b w:val="0"/>
                <w:bCs w:val="0"/>
                <w:iCs/>
                <w:color w:val="auto"/>
                <w:sz w:val="28"/>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623" w:type="dxa"/>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GXZJ1</w:t>
            </w:r>
          </w:p>
          <w:p>
            <w:pPr>
              <w:pStyle w:val="13"/>
              <w:keepNext/>
              <w:keepLines/>
              <w:shd w:val="clear" w:color="auto" w:fill="auto"/>
              <w:spacing w:before="0" w:after="0" w:line="360" w:lineRule="auto"/>
              <w:ind w:right="62" w:rightChars="0"/>
              <w:jc w:val="center"/>
              <w:rPr>
                <w:rFonts w:hint="eastAsia" w:ascii="宋体" w:hAnsi="宋体" w:eastAsia="宋体" w:cs="宋体"/>
                <w:b/>
                <w:bCs/>
                <w:iCs/>
                <w:color w:val="auto"/>
                <w:sz w:val="24"/>
                <w:szCs w:val="24"/>
                <w:highlight w:val="none"/>
              </w:rPr>
            </w:pPr>
            <w:r>
              <w:rPr>
                <w:rFonts w:hint="eastAsia" w:ascii="宋体" w:hAnsi="宋体" w:eastAsia="宋体" w:cs="宋体"/>
                <w:b w:val="0"/>
                <w:color w:val="auto"/>
                <w:sz w:val="24"/>
                <w:szCs w:val="24"/>
                <w:highlight w:val="none"/>
                <w:lang w:val="en-US" w:eastAsia="zh-CN"/>
              </w:rPr>
              <w:t>GXZJ2</w:t>
            </w:r>
          </w:p>
        </w:tc>
        <w:tc>
          <w:tcPr>
            <w:tcW w:w="7327" w:type="dxa"/>
            <w:vAlign w:val="center"/>
          </w:tcPr>
          <w:p>
            <w:pPr>
              <w:spacing w:line="360" w:lineRule="auto"/>
              <w:ind w:firstLine="480" w:firstLineChars="200"/>
              <w:jc w:val="both"/>
              <w:rPr>
                <w:color w:val="auto"/>
              </w:rPr>
            </w:pPr>
            <w:r>
              <w:rPr>
                <w:rFonts w:hint="eastAsia" w:ascii="宋体" w:hAnsi="宋体" w:eastAsia="宋体" w:cs="宋体"/>
                <w:b w:val="0"/>
                <w:bCs w:val="0"/>
                <w:color w:val="auto"/>
                <w:sz w:val="24"/>
                <w:szCs w:val="24"/>
                <w:highlight w:val="none"/>
                <w:u w:val="none"/>
                <w:lang w:eastAsia="zh-CN"/>
              </w:rPr>
              <w:t>持有工商行政管理部门核发的企业法人营业执照或国家事业单位登记管理部门核发的事业单位法人证书。</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rPr>
        <w:t>注：</w:t>
      </w:r>
      <w:r>
        <w:rPr>
          <w:rFonts w:hint="eastAsia" w:ascii="宋体" w:hAnsi="宋体" w:eastAsia="宋体" w:cs="宋体"/>
          <w:b/>
          <w:bCs/>
          <w:color w:val="auto"/>
          <w:highlight w:val="none"/>
          <w:lang w:val="en-US" w:eastAsia="zh-CN"/>
        </w:rPr>
        <w:t>投标人须按投标人须知第3.5.1款的要求提供相关证明资料</w:t>
      </w:r>
      <w:r>
        <w:rPr>
          <w:rFonts w:hint="eastAsia" w:ascii="宋体" w:hAnsi="宋体" w:eastAsia="宋体" w:cs="宋体"/>
          <w:b w:val="0"/>
          <w:bCs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8" w:beforeLines="100" w:after="318" w:afterLines="100" w:line="240" w:lineRule="auto"/>
        <w:jc w:val="center"/>
        <w:textAlignment w:val="auto"/>
        <w:outlineLvl w:val="2"/>
        <w:rPr>
          <w:rFonts w:hint="eastAsia" w:ascii="黑体" w:hAnsi="黑体" w:eastAsia="黑体" w:cs="黑体"/>
          <w:b w:val="0"/>
          <w:bCs w:val="0"/>
          <w:color w:val="auto"/>
          <w:kern w:val="2"/>
          <w:sz w:val="32"/>
          <w:szCs w:val="32"/>
          <w:highlight w:val="none"/>
          <w:lang w:val="en-US" w:eastAsia="zh-CN" w:bidi="ar-SA"/>
        </w:rPr>
      </w:pPr>
      <w:bookmarkStart w:id="5" w:name="_Toc5500"/>
      <w:bookmarkStart w:id="6" w:name="_Toc234832865"/>
      <w:bookmarkStart w:id="7" w:name="_Toc509407129"/>
      <w:bookmarkStart w:id="8" w:name="_Toc61252965"/>
      <w:bookmarkStart w:id="9" w:name="_Toc9978"/>
      <w:r>
        <w:rPr>
          <w:rFonts w:hint="eastAsia" w:ascii="黑体" w:hAnsi="黑体" w:eastAsia="黑体" w:cs="黑体"/>
          <w:b w:val="0"/>
          <w:bCs w:val="0"/>
          <w:color w:val="auto"/>
          <w:kern w:val="2"/>
          <w:sz w:val="32"/>
          <w:szCs w:val="32"/>
          <w:highlight w:val="none"/>
          <w:lang w:val="en-US" w:eastAsia="zh-CN" w:bidi="ar-SA"/>
        </w:rPr>
        <w:t>附录2  资格审查条件（业绩最低要求）</w:t>
      </w:r>
      <w:bookmarkEnd w:id="5"/>
      <w:bookmarkEnd w:id="6"/>
      <w:bookmarkEnd w:id="7"/>
      <w:bookmarkEnd w:id="8"/>
      <w:bookmarkEnd w:id="9"/>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top"/>
          </w:tcPr>
          <w:p>
            <w:pPr>
              <w:spacing w:line="360" w:lineRule="auto"/>
              <w:jc w:val="center"/>
              <w:rPr>
                <w:rFonts w:eastAsia="黑体"/>
                <w:b/>
                <w:bCs/>
                <w:iCs/>
                <w:color w:val="auto"/>
                <w:sz w:val="28"/>
                <w:highlight w:val="none"/>
              </w:rPr>
            </w:pPr>
            <w:r>
              <w:rPr>
                <w:rFonts w:hint="eastAsia" w:ascii="黑体" w:hAnsi="黑体" w:eastAsia="黑体" w:cs="黑体"/>
                <w:b w:val="0"/>
                <w:bCs/>
                <w:color w:val="auto"/>
                <w:sz w:val="28"/>
                <w:szCs w:val="28"/>
                <w:highlight w:val="none"/>
                <w:lang w:val="en-US" w:eastAsia="zh-CN"/>
              </w:rPr>
              <w:t>适用标段</w:t>
            </w:r>
          </w:p>
        </w:tc>
        <w:tc>
          <w:tcPr>
            <w:tcW w:w="7322" w:type="dxa"/>
            <w:vAlign w:val="top"/>
          </w:tcPr>
          <w:p>
            <w:pPr>
              <w:spacing w:line="360" w:lineRule="auto"/>
              <w:jc w:val="center"/>
              <w:rPr>
                <w:color w:val="auto"/>
              </w:rPr>
            </w:pPr>
            <w:r>
              <w:rPr>
                <w:rFonts w:eastAsia="黑体"/>
                <w:b w:val="0"/>
                <w:bCs w:val="0"/>
                <w:iCs/>
                <w:color w:val="auto"/>
                <w:sz w:val="28"/>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618" w:type="dxa"/>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GXZJ1</w:t>
            </w:r>
          </w:p>
          <w:p>
            <w:pPr>
              <w:pStyle w:val="13"/>
              <w:keepNext/>
              <w:keepLines/>
              <w:shd w:val="clear" w:color="auto" w:fill="auto"/>
              <w:spacing w:before="0" w:after="0" w:line="360" w:lineRule="auto"/>
              <w:ind w:right="62"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GXZJ2</w:t>
            </w:r>
          </w:p>
        </w:tc>
        <w:tc>
          <w:tcPr>
            <w:tcW w:w="7322"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outlineLvl w:val="9"/>
              <w:rPr>
                <w:color w:val="auto"/>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近</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内独立承担过1项类似工程管线迁改造价咨询服务工作。</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注：1. 业绩起迄时间：近五年（2018年3月1日至投标文件递交截止之日止），以合同签署日期为准。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 类似工程指公路或市政工程。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 投标人提供的分包业绩及联合体业绩均不予认定。</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4. </w:t>
      </w:r>
      <w:r>
        <w:rPr>
          <w:rFonts w:hint="eastAsia" w:ascii="宋体" w:hAnsi="宋体" w:eastAsia="宋体" w:cs="宋体"/>
          <w:b/>
          <w:bCs/>
          <w:color w:val="auto"/>
          <w:highlight w:val="none"/>
          <w:lang w:val="en-US" w:eastAsia="zh-CN"/>
        </w:rPr>
        <w:t>投标人须按投标人须知第3.5.2款的要求提供相关证明资料</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318" w:beforeLines="100" w:after="318" w:afterLines="100" w:line="240" w:lineRule="auto"/>
        <w:jc w:val="center"/>
        <w:textAlignment w:val="auto"/>
        <w:outlineLvl w:val="2"/>
        <w:rPr>
          <w:rFonts w:hint="eastAsia" w:ascii="黑体" w:hAnsi="黑体" w:eastAsia="黑体" w:cs="黑体"/>
          <w:b w:val="0"/>
          <w:bCs w:val="0"/>
          <w:color w:val="auto"/>
          <w:kern w:val="2"/>
          <w:sz w:val="32"/>
          <w:szCs w:val="32"/>
          <w:highlight w:val="none"/>
          <w:lang w:val="en-US" w:eastAsia="zh-CN" w:bidi="ar-SA"/>
        </w:rPr>
      </w:pPr>
      <w:bookmarkStart w:id="10" w:name="_Toc61252966"/>
      <w:bookmarkStart w:id="11" w:name="_Toc19033"/>
      <w:bookmarkStart w:id="12" w:name="_Toc30228"/>
      <w:r>
        <w:rPr>
          <w:rFonts w:hint="eastAsia" w:ascii="黑体" w:hAnsi="黑体" w:eastAsia="黑体" w:cs="黑体"/>
          <w:b w:val="0"/>
          <w:bCs w:val="0"/>
          <w:color w:val="auto"/>
          <w:kern w:val="2"/>
          <w:sz w:val="32"/>
          <w:szCs w:val="32"/>
          <w:highlight w:val="none"/>
          <w:lang w:val="en-US" w:eastAsia="zh-CN" w:bidi="ar-SA"/>
        </w:rPr>
        <w:t>附录3  资格审查条件（信誉最低要求）</w:t>
      </w:r>
      <w:bookmarkEnd w:id="10"/>
      <w:bookmarkEnd w:id="11"/>
      <w:bookmarkEnd w:id="12"/>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7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top"/>
          </w:tcPr>
          <w:p>
            <w:pPr>
              <w:spacing w:line="360" w:lineRule="auto"/>
              <w:jc w:val="center"/>
              <w:rPr>
                <w:rFonts w:eastAsia="黑体"/>
                <w:b/>
                <w:bCs/>
                <w:iCs/>
                <w:color w:val="auto"/>
                <w:sz w:val="28"/>
                <w:highlight w:val="none"/>
              </w:rPr>
            </w:pPr>
            <w:r>
              <w:rPr>
                <w:rFonts w:hint="eastAsia" w:ascii="黑体" w:hAnsi="黑体" w:eastAsia="黑体" w:cs="黑体"/>
                <w:b w:val="0"/>
                <w:bCs/>
                <w:color w:val="auto"/>
                <w:sz w:val="28"/>
                <w:szCs w:val="28"/>
                <w:highlight w:val="none"/>
                <w:lang w:val="en-US" w:eastAsia="zh-CN"/>
              </w:rPr>
              <w:t>适用标段</w:t>
            </w:r>
          </w:p>
        </w:tc>
        <w:tc>
          <w:tcPr>
            <w:tcW w:w="7344" w:type="dxa"/>
            <w:vAlign w:val="top"/>
          </w:tcPr>
          <w:p>
            <w:pPr>
              <w:spacing w:line="360" w:lineRule="auto"/>
              <w:jc w:val="center"/>
              <w:rPr>
                <w:color w:val="auto"/>
              </w:rPr>
            </w:pPr>
            <w:r>
              <w:rPr>
                <w:rFonts w:eastAsia="黑体"/>
                <w:b w:val="0"/>
                <w:bCs w:val="0"/>
                <w:iCs/>
                <w:color w:val="auto"/>
                <w:sz w:val="28"/>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1640" w:type="dxa"/>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GXZJ1</w:t>
            </w:r>
          </w:p>
          <w:p>
            <w:pPr>
              <w:pStyle w:val="13"/>
              <w:keepNext/>
              <w:keepLines/>
              <w:shd w:val="clear" w:color="auto" w:fill="auto"/>
              <w:spacing w:before="0" w:after="0" w:line="360" w:lineRule="auto"/>
              <w:ind w:right="62"/>
              <w:jc w:val="center"/>
              <w:rPr>
                <w:rFonts w:hint="eastAsia" w:ascii="宋体" w:hAnsi="宋体" w:eastAsia="宋体" w:cs="宋体"/>
                <w:b/>
                <w:bCs/>
                <w:iCs/>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GXZJ2</w:t>
            </w:r>
          </w:p>
        </w:tc>
        <w:tc>
          <w:tcPr>
            <w:tcW w:w="7344" w:type="dxa"/>
            <w:vAlign w:val="center"/>
          </w:tcPr>
          <w:p>
            <w:pPr>
              <w:spacing w:line="360" w:lineRule="auto"/>
              <w:ind w:firstLine="480" w:firstLineChars="200"/>
              <w:jc w:val="both"/>
              <w:rPr>
                <w:color w:val="auto"/>
              </w:rPr>
            </w:pP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“投标人须知”第1.4.4项规定的</w:t>
            </w:r>
            <w:r>
              <w:rPr>
                <w:rFonts w:hint="eastAsia" w:ascii="宋体" w:hAnsi="宋体" w:eastAsia="宋体" w:cs="宋体"/>
                <w:color w:val="auto"/>
                <w:sz w:val="24"/>
                <w:szCs w:val="24"/>
                <w:highlight w:val="none"/>
                <w:lang w:val="en-US" w:eastAsia="zh-CN"/>
              </w:rPr>
              <w:t>要求。</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注：</w:t>
      </w:r>
      <w:r>
        <w:rPr>
          <w:rFonts w:hint="eastAsia" w:ascii="宋体" w:hAnsi="宋体" w:cs="宋体"/>
          <w:b/>
          <w:bCs/>
          <w:color w:val="auto"/>
          <w:highlight w:val="none"/>
          <w:lang w:val="en-US" w:eastAsia="zh-CN"/>
        </w:rPr>
        <w:t>投标人须按投标人须知第3.5.3款的要求提供相关证明资料</w:t>
      </w:r>
      <w:r>
        <w:rPr>
          <w:rFonts w:hint="eastAsia" w:ascii="宋体" w:hAnsi="宋体" w:cs="宋体"/>
          <w:b w:val="0"/>
          <w:bCs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8" w:beforeLines="100" w:after="318" w:afterLines="100" w:line="240" w:lineRule="auto"/>
        <w:jc w:val="center"/>
        <w:textAlignment w:val="auto"/>
        <w:outlineLvl w:val="2"/>
        <w:rPr>
          <w:rFonts w:hint="eastAsia" w:ascii="黑体" w:hAnsi="黑体" w:eastAsia="黑体" w:cs="黑体"/>
          <w:b w:val="0"/>
          <w:bCs w:val="0"/>
          <w:color w:val="auto"/>
          <w:kern w:val="2"/>
          <w:sz w:val="32"/>
          <w:szCs w:val="32"/>
          <w:highlight w:val="none"/>
          <w:lang w:val="en-US" w:eastAsia="zh-CN" w:bidi="ar-SA"/>
        </w:rPr>
      </w:pPr>
      <w:bookmarkStart w:id="13" w:name="_Toc18892"/>
      <w:bookmarkStart w:id="14" w:name="_Toc61252967"/>
      <w:bookmarkStart w:id="15" w:name="_Toc29669"/>
      <w:r>
        <w:rPr>
          <w:rFonts w:hint="eastAsia" w:ascii="黑体" w:hAnsi="黑体" w:eastAsia="黑体" w:cs="黑体"/>
          <w:b w:val="0"/>
          <w:bCs w:val="0"/>
          <w:color w:val="auto"/>
          <w:kern w:val="2"/>
          <w:sz w:val="32"/>
          <w:szCs w:val="32"/>
          <w:highlight w:val="none"/>
          <w:lang w:val="en-US" w:eastAsia="zh-CN" w:bidi="ar-SA"/>
        </w:rPr>
        <w:t>附录4  资格审查条件（主要人员最低要求）</w:t>
      </w:r>
      <w:bookmarkEnd w:id="13"/>
      <w:bookmarkEnd w:id="14"/>
      <w:bookmarkEnd w:id="15"/>
    </w:p>
    <w:tbl>
      <w:tblPr>
        <w:tblStyle w:val="8"/>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534"/>
        <w:gridCol w:w="916"/>
        <w:gridCol w:w="4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16" w:type="dxa"/>
            <w:vAlign w:val="center"/>
          </w:tcPr>
          <w:p>
            <w:pPr>
              <w:pStyle w:val="13"/>
              <w:keepNext/>
              <w:keepLines/>
              <w:shd w:val="clear" w:color="auto" w:fill="auto"/>
              <w:spacing w:before="0" w:after="0" w:line="360" w:lineRule="auto"/>
              <w:ind w:right="62"/>
              <w:jc w:val="center"/>
              <w:rPr>
                <w:rFonts w:hint="default"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适用标段</w:t>
            </w:r>
          </w:p>
        </w:tc>
        <w:tc>
          <w:tcPr>
            <w:tcW w:w="1534" w:type="dxa"/>
            <w:vAlign w:val="center"/>
          </w:tcPr>
          <w:p>
            <w:pPr>
              <w:pStyle w:val="13"/>
              <w:keepNext/>
              <w:keepLines/>
              <w:shd w:val="clear" w:color="auto" w:fill="auto"/>
              <w:spacing w:before="0" w:after="0" w:line="360" w:lineRule="auto"/>
              <w:ind w:right="62"/>
              <w:jc w:val="center"/>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人员</w:t>
            </w:r>
          </w:p>
        </w:tc>
        <w:tc>
          <w:tcPr>
            <w:tcW w:w="916" w:type="dxa"/>
            <w:vAlign w:val="center"/>
          </w:tcPr>
          <w:p>
            <w:pPr>
              <w:pStyle w:val="13"/>
              <w:keepNext/>
              <w:keepLines/>
              <w:shd w:val="clear" w:color="auto" w:fill="auto"/>
              <w:spacing w:before="0" w:after="0" w:line="360" w:lineRule="auto"/>
              <w:ind w:right="62"/>
              <w:jc w:val="center"/>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数量</w:t>
            </w:r>
          </w:p>
        </w:tc>
        <w:tc>
          <w:tcPr>
            <w:tcW w:w="4915" w:type="dxa"/>
            <w:vAlign w:val="center"/>
          </w:tcPr>
          <w:p>
            <w:pPr>
              <w:pStyle w:val="13"/>
              <w:keepNext/>
              <w:keepLines/>
              <w:shd w:val="clear" w:color="auto" w:fill="auto"/>
              <w:spacing w:before="0" w:after="0" w:line="360" w:lineRule="auto"/>
              <w:ind w:right="62"/>
              <w:jc w:val="center"/>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1616" w:type="dxa"/>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GXZJ1</w:t>
            </w:r>
          </w:p>
          <w:p>
            <w:pPr>
              <w:pStyle w:val="13"/>
              <w:keepNext/>
              <w:keepLines/>
              <w:shd w:val="clear" w:color="auto" w:fill="auto"/>
              <w:spacing w:before="0" w:after="0" w:line="360" w:lineRule="auto"/>
              <w:ind w:right="62"/>
              <w:jc w:val="center"/>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GXZJ2</w:t>
            </w:r>
          </w:p>
        </w:tc>
        <w:tc>
          <w:tcPr>
            <w:tcW w:w="1534" w:type="dxa"/>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zh-CN"/>
              </w:rPr>
              <w:t>项目负责人</w:t>
            </w:r>
          </w:p>
        </w:tc>
        <w:tc>
          <w:tcPr>
            <w:tcW w:w="916" w:type="dxa"/>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4915" w:type="dxa"/>
            <w:vAlign w:val="center"/>
          </w:tcPr>
          <w:p>
            <w:pPr>
              <w:tabs>
                <w:tab w:val="left" w:pos="1778"/>
              </w:tabs>
              <w:spacing w:line="360" w:lineRule="auto"/>
              <w:ind w:firstLine="480" w:firstLineChars="200"/>
              <w:jc w:val="both"/>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0"/>
                <w:sz w:val="24"/>
                <w:szCs w:val="24"/>
                <w:highlight w:val="none"/>
                <w:lang w:val="en-US" w:eastAsia="zh-CN"/>
              </w:rPr>
              <w:t>工程或工程经济类高级专业技术职称，持有一级造价工程师注册证书或交通运输部甲级造价工程师资格证书，近五年内作为项目负责人主持过1项类似工程管线迁改造价咨询服务工作。</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注：1. 近五年的定义为</w:t>
      </w:r>
      <w:r>
        <w:rPr>
          <w:rFonts w:hint="eastAsia" w:ascii="宋体" w:hAnsi="宋体" w:eastAsia="宋体" w:cs="宋体"/>
          <w:b w:val="0"/>
          <w:bCs w:val="0"/>
          <w:color w:val="auto"/>
          <w:highlight w:val="none"/>
          <w:lang w:val="en-US" w:eastAsia="zh-CN"/>
        </w:rPr>
        <w:t>2018年3月1日至投标文件递交截止之日止，以合同签署日期为准</w:t>
      </w:r>
      <w:r>
        <w:rPr>
          <w:rFonts w:hint="eastAsia" w:ascii="宋体" w:hAnsi="宋体" w:cs="宋体"/>
          <w:b w:val="0"/>
          <w:bCs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 类似工程指公路或市政工程。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 对于未分级别的造价工程师注册证书，按一级对待。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 xml:space="preserve">4. </w:t>
      </w:r>
      <w:r>
        <w:rPr>
          <w:rFonts w:hint="eastAsia" w:ascii="宋体" w:hAnsi="宋体" w:cs="宋体"/>
          <w:b/>
          <w:bCs/>
          <w:color w:val="auto"/>
          <w:highlight w:val="none"/>
          <w:lang w:val="en-US" w:eastAsia="zh-CN"/>
        </w:rPr>
        <w:t>投标人须按投标人须知第3.5.4款的要求提供相关证明资料</w:t>
      </w:r>
      <w:r>
        <w:rPr>
          <w:rFonts w:hint="eastAsia" w:ascii="宋体" w:hAnsi="宋体" w:cs="宋体"/>
          <w:b w:val="0"/>
          <w:bCs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cs="宋体"/>
          <w:b w:val="0"/>
          <w:bCs w:val="0"/>
          <w:color w:val="auto"/>
          <w:highlight w:val="none"/>
          <w:lang w:val="en-US" w:eastAsia="zh-CN"/>
        </w:rPr>
        <w:sectPr>
          <w:headerReference r:id="rId4" w:type="first"/>
          <w:footerReference r:id="rId5" w:type="default"/>
          <w:headerReference r:id="rId3" w:type="even"/>
          <w:footerReference r:id="rId6" w:type="even"/>
          <w:footnotePr>
            <w:numFmt w:val="decimalEnclosedCircleChinese"/>
          </w:footnotePr>
          <w:pgSz w:w="11905" w:h="16840"/>
          <w:pgMar w:top="1440" w:right="1440" w:bottom="1440" w:left="144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pPr>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318" w:beforeLines="100" w:after="318" w:afterLines="100" w:line="240" w:lineRule="auto"/>
        <w:jc w:val="center"/>
        <w:textAlignment w:val="auto"/>
        <w:outlineLvl w:val="2"/>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附录5  资格审查条件（其他要求）</w:t>
      </w:r>
    </w:p>
    <w:tbl>
      <w:tblPr>
        <w:tblStyle w:val="8"/>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534"/>
        <w:gridCol w:w="916"/>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16" w:type="dxa"/>
            <w:vAlign w:val="center"/>
          </w:tcPr>
          <w:p>
            <w:pPr>
              <w:pStyle w:val="13"/>
              <w:keepNext/>
              <w:keepLines/>
              <w:shd w:val="clear" w:color="auto" w:fill="auto"/>
              <w:spacing w:before="0" w:after="0" w:line="360" w:lineRule="auto"/>
              <w:ind w:right="62" w:rightChars="0"/>
              <w:jc w:val="center"/>
              <w:rPr>
                <w:rFonts w:hint="eastAsia" w:eastAsia="黑体"/>
                <w:b/>
                <w:bCs/>
                <w:iCs/>
                <w:color w:val="auto"/>
                <w:sz w:val="28"/>
                <w:highlight w:val="none"/>
                <w:lang w:val="en-US" w:eastAsia="zh-CN"/>
              </w:rPr>
            </w:pPr>
            <w:r>
              <w:rPr>
                <w:rFonts w:hint="eastAsia" w:ascii="黑体" w:hAnsi="黑体" w:eastAsia="黑体" w:cs="黑体"/>
                <w:b w:val="0"/>
                <w:bCs/>
                <w:color w:val="auto"/>
                <w:sz w:val="28"/>
                <w:szCs w:val="28"/>
                <w:highlight w:val="none"/>
                <w:lang w:val="en-US" w:eastAsia="zh-CN"/>
              </w:rPr>
              <w:t>适用标段</w:t>
            </w:r>
          </w:p>
        </w:tc>
        <w:tc>
          <w:tcPr>
            <w:tcW w:w="1534" w:type="dxa"/>
            <w:vAlign w:val="top"/>
          </w:tcPr>
          <w:p>
            <w:pPr>
              <w:spacing w:line="360" w:lineRule="auto"/>
              <w:jc w:val="center"/>
              <w:rPr>
                <w:rFonts w:hint="default" w:eastAsia="黑体"/>
                <w:b w:val="0"/>
                <w:bCs w:val="0"/>
                <w:iCs/>
                <w:color w:val="auto"/>
                <w:sz w:val="28"/>
                <w:highlight w:val="none"/>
                <w:lang w:val="en-US" w:eastAsia="zh-CN"/>
              </w:rPr>
            </w:pPr>
            <w:r>
              <w:rPr>
                <w:rFonts w:hint="eastAsia" w:eastAsia="黑体"/>
                <w:b w:val="0"/>
                <w:bCs w:val="0"/>
                <w:iCs/>
                <w:color w:val="auto"/>
                <w:sz w:val="28"/>
                <w:highlight w:val="none"/>
                <w:lang w:val="en-US" w:eastAsia="zh-CN"/>
              </w:rPr>
              <w:t>人员</w:t>
            </w:r>
          </w:p>
        </w:tc>
        <w:tc>
          <w:tcPr>
            <w:tcW w:w="916" w:type="dxa"/>
            <w:vAlign w:val="top"/>
          </w:tcPr>
          <w:p>
            <w:pPr>
              <w:spacing w:line="360" w:lineRule="auto"/>
              <w:jc w:val="center"/>
              <w:rPr>
                <w:rFonts w:hint="default" w:eastAsia="黑体"/>
                <w:b w:val="0"/>
                <w:bCs w:val="0"/>
                <w:iCs/>
                <w:color w:val="auto"/>
                <w:sz w:val="28"/>
                <w:highlight w:val="none"/>
                <w:lang w:val="en-US" w:eastAsia="zh-CN"/>
              </w:rPr>
            </w:pPr>
            <w:r>
              <w:rPr>
                <w:rFonts w:hint="eastAsia" w:eastAsia="黑体"/>
                <w:b w:val="0"/>
                <w:bCs w:val="0"/>
                <w:iCs/>
                <w:color w:val="auto"/>
                <w:sz w:val="28"/>
                <w:highlight w:val="none"/>
                <w:lang w:val="en-US" w:eastAsia="zh-CN"/>
              </w:rPr>
              <w:t>数量</w:t>
            </w:r>
          </w:p>
        </w:tc>
        <w:tc>
          <w:tcPr>
            <w:tcW w:w="4926" w:type="dxa"/>
            <w:vAlign w:val="top"/>
          </w:tcPr>
          <w:p>
            <w:pPr>
              <w:spacing w:line="360" w:lineRule="auto"/>
              <w:jc w:val="center"/>
              <w:rPr>
                <w:rFonts w:hint="default" w:eastAsia="黑体"/>
                <w:b w:val="0"/>
                <w:bCs w:val="0"/>
                <w:iCs/>
                <w:color w:val="auto"/>
                <w:sz w:val="28"/>
                <w:highlight w:val="none"/>
                <w:lang w:val="en-US" w:eastAsia="zh-CN"/>
              </w:rPr>
            </w:pPr>
            <w:r>
              <w:rPr>
                <w:rFonts w:hint="eastAsia" w:eastAsia="黑体"/>
                <w:b w:val="0"/>
                <w:bCs w:val="0"/>
                <w:iCs/>
                <w:color w:val="auto"/>
                <w:sz w:val="28"/>
                <w:highlight w:val="none"/>
                <w:lang w:val="en-US" w:eastAsia="zh-CN"/>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616" w:type="dxa"/>
            <w:vMerge w:val="restart"/>
            <w:vAlign w:val="center"/>
          </w:tcPr>
          <w:p>
            <w:pPr>
              <w:pStyle w:val="13"/>
              <w:keepNext/>
              <w:keepLines/>
              <w:shd w:val="clear" w:color="auto" w:fill="auto"/>
              <w:spacing w:before="0" w:after="0" w:line="360" w:lineRule="auto"/>
              <w:ind w:right="62"/>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GXZJ1</w:t>
            </w:r>
          </w:p>
          <w:p>
            <w:pPr>
              <w:pStyle w:val="13"/>
              <w:keepNext/>
              <w:keepLines/>
              <w:shd w:val="clear" w:color="auto" w:fill="auto"/>
              <w:spacing w:before="0" w:after="0" w:line="360" w:lineRule="auto"/>
              <w:ind w:right="62"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GXZJ2</w:t>
            </w:r>
          </w:p>
        </w:tc>
        <w:tc>
          <w:tcPr>
            <w:tcW w:w="1534" w:type="dxa"/>
            <w:vMerge w:val="restart"/>
            <w:vAlign w:val="center"/>
          </w:tcPr>
          <w:p>
            <w:pPr>
              <w:pStyle w:val="13"/>
              <w:keepNext/>
              <w:keepLines/>
              <w:shd w:val="clear" w:color="auto" w:fill="auto"/>
              <w:spacing w:before="0" w:after="0" w:line="360" w:lineRule="auto"/>
              <w:ind w:right="62" w:rightChars="0"/>
              <w:jc w:val="center"/>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造价工程师</w:t>
            </w:r>
          </w:p>
        </w:tc>
        <w:tc>
          <w:tcPr>
            <w:tcW w:w="916" w:type="dxa"/>
            <w:vAlign w:val="center"/>
          </w:tcPr>
          <w:p>
            <w:pPr>
              <w:pStyle w:val="13"/>
              <w:keepNext/>
              <w:keepLines/>
              <w:shd w:val="clear" w:color="auto" w:fill="auto"/>
              <w:spacing w:before="0" w:after="0" w:line="360" w:lineRule="auto"/>
              <w:ind w:right="62"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w:t>
            </w:r>
          </w:p>
        </w:tc>
        <w:tc>
          <w:tcPr>
            <w:tcW w:w="4926" w:type="dxa"/>
            <w:vAlign w:val="center"/>
          </w:tcPr>
          <w:p>
            <w:pPr>
              <w:tabs>
                <w:tab w:val="left" w:pos="1778"/>
              </w:tabs>
              <w:spacing w:line="360" w:lineRule="auto"/>
              <w:ind w:firstLine="480" w:firstLineChars="200"/>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 工程或工程经济类中级专业技术职称，持有一级造价工程师注册证书或交通运输部甲级造价工程师资质证书；</w:t>
            </w:r>
          </w:p>
          <w:p>
            <w:pPr>
              <w:tabs>
                <w:tab w:val="left" w:pos="1778"/>
              </w:tabs>
              <w:spacing w:line="360" w:lineRule="auto"/>
              <w:ind w:firstLine="480" w:firstLineChars="200"/>
              <w:jc w:val="both"/>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 工程或工程经济类高级专业技术职称。</w:t>
            </w:r>
          </w:p>
          <w:p>
            <w:pPr>
              <w:tabs>
                <w:tab w:val="left" w:pos="1778"/>
              </w:tabs>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满足上述任一条件，具有3年以上工程造价工作经验，近五年内从事过1项类似工程管线迁改造价咨询服务工作。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616" w:type="dxa"/>
            <w:vMerge w:val="continue"/>
            <w:vAlign w:val="center"/>
          </w:tcPr>
          <w:p>
            <w:pPr>
              <w:tabs>
                <w:tab w:val="left" w:pos="1778"/>
              </w:tabs>
              <w:spacing w:line="360" w:lineRule="auto"/>
              <w:ind w:firstLine="420" w:firstLineChars="200"/>
              <w:jc w:val="both"/>
              <w:rPr>
                <w:color w:val="auto"/>
              </w:rPr>
            </w:pPr>
          </w:p>
        </w:tc>
        <w:tc>
          <w:tcPr>
            <w:tcW w:w="1534" w:type="dxa"/>
            <w:vMerge w:val="continue"/>
            <w:vAlign w:val="center"/>
          </w:tcPr>
          <w:p>
            <w:pPr>
              <w:tabs>
                <w:tab w:val="left" w:pos="1778"/>
              </w:tabs>
              <w:spacing w:line="360" w:lineRule="auto"/>
              <w:jc w:val="center"/>
              <w:rPr>
                <w:rFonts w:hint="eastAsia" w:ascii="宋体" w:hAnsi="宋体" w:eastAsia="宋体" w:cs="宋体"/>
                <w:b w:val="0"/>
                <w:color w:val="auto"/>
                <w:sz w:val="24"/>
                <w:szCs w:val="24"/>
                <w:highlight w:val="none"/>
                <w:lang w:val="en-US" w:eastAsia="zh-CN"/>
              </w:rPr>
            </w:pPr>
          </w:p>
        </w:tc>
        <w:tc>
          <w:tcPr>
            <w:tcW w:w="916" w:type="dxa"/>
            <w:vAlign w:val="center"/>
          </w:tcPr>
          <w:p>
            <w:pPr>
              <w:tabs>
                <w:tab w:val="left" w:pos="1778"/>
              </w:tabs>
              <w:spacing w:line="360" w:lineRule="auto"/>
              <w:jc w:val="center"/>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w:t>
            </w:r>
          </w:p>
        </w:tc>
        <w:tc>
          <w:tcPr>
            <w:tcW w:w="4926" w:type="dxa"/>
            <w:vAlign w:val="center"/>
          </w:tcPr>
          <w:p>
            <w:pPr>
              <w:tabs>
                <w:tab w:val="left" w:pos="1778"/>
              </w:tabs>
              <w:spacing w:line="360" w:lineRule="auto"/>
              <w:ind w:firstLine="480" w:firstLineChars="200"/>
              <w:jc w:val="both"/>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 xml:space="preserve">1. </w:t>
            </w:r>
            <w:r>
              <w:rPr>
                <w:rFonts w:hint="eastAsia" w:ascii="宋体" w:hAnsi="宋体" w:eastAsia="宋体" w:cs="宋体"/>
                <w:bCs/>
                <w:color w:val="auto"/>
                <w:kern w:val="0"/>
                <w:sz w:val="24"/>
                <w:szCs w:val="24"/>
                <w:highlight w:val="none"/>
                <w:lang w:val="en-US" w:eastAsia="zh-CN"/>
              </w:rPr>
              <w:t>持有二级造价工程师注册证书或交通运输部乙级造价工程师资质证书；</w:t>
            </w:r>
          </w:p>
          <w:p>
            <w:pPr>
              <w:tabs>
                <w:tab w:val="left" w:pos="1778"/>
              </w:tabs>
              <w:spacing w:line="360" w:lineRule="auto"/>
              <w:ind w:firstLine="480" w:firstLineChars="200"/>
              <w:jc w:val="both"/>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 工程或工程经济类中级专业技术职称。</w:t>
            </w:r>
          </w:p>
          <w:p>
            <w:pPr>
              <w:tabs>
                <w:tab w:val="left" w:pos="1778"/>
              </w:tabs>
              <w:spacing w:line="360" w:lineRule="auto"/>
              <w:ind w:firstLine="480" w:firstLineChars="200"/>
              <w:jc w:val="both"/>
              <w:rPr>
                <w:rFonts w:hint="default" w:ascii="宋体" w:hAnsi="宋体" w:eastAsia="宋体" w:cs="宋体"/>
                <w:b w:val="0"/>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满足上述任一条件，具有1年以上工程造价工作经验，近五年内从事过1项类似工程管线迁改造价咨询服务工作。</w:t>
            </w:r>
          </w:p>
        </w:tc>
      </w:tr>
    </w:tbl>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注：1. 近五年的定义为</w:t>
      </w:r>
      <w:r>
        <w:rPr>
          <w:rFonts w:hint="eastAsia" w:ascii="宋体" w:hAnsi="宋体" w:eastAsia="宋体" w:cs="宋体"/>
          <w:b w:val="0"/>
          <w:bCs w:val="0"/>
          <w:color w:val="auto"/>
          <w:highlight w:val="none"/>
          <w:lang w:val="en-US" w:eastAsia="zh-CN"/>
        </w:rPr>
        <w:t>2018年3月1日至投标文件递交截止之日止，以合同签署日期为准</w:t>
      </w:r>
      <w:r>
        <w:rPr>
          <w:rFonts w:hint="eastAsia" w:ascii="宋体" w:hAnsi="宋体" w:cs="宋体"/>
          <w:b w:val="0"/>
          <w:bCs w:val="0"/>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 类似工程指公路或市政工程。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 上述人员要求为最低条件，合同履行期间中标人应根据招标人要求和实际进展情况增加人员以满足工作需要，发包人不因此增加任何费用。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 附录5所要求的人员须按招标文件投标函的格式予以承诺。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宋体" w:hAnsi="宋体" w:cs="宋体"/>
          <w:b w:val="0"/>
          <w:bCs w:val="0"/>
          <w:color w:val="auto"/>
          <w:highlight w:val="none"/>
          <w:lang w:val="en-US" w:eastAsia="zh-CN"/>
        </w:rPr>
        <w:sectPr>
          <w:headerReference r:id="rId8" w:type="first"/>
          <w:footerReference r:id="rId9" w:type="default"/>
          <w:headerReference r:id="rId7" w:type="even"/>
          <w:footerReference r:id="rId10" w:type="even"/>
          <w:footnotePr>
            <w:numFmt w:val="decimalEnclosedCircleChinese"/>
          </w:footnotePr>
          <w:pgSz w:w="11905" w:h="16840"/>
          <w:pgMar w:top="1440" w:right="1440" w:bottom="1440" w:left="144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0"/>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附件2</w:t>
      </w:r>
    </w:p>
    <w:p>
      <w:pPr>
        <w:spacing w:line="440" w:lineRule="exact"/>
        <w:jc w:val="center"/>
        <w:rPr>
          <w:rFonts w:hint="eastAsia" w:ascii="Calibri" w:hAnsi="Calibri" w:eastAsia="黑体" w:cs="Times New Roman"/>
          <w:b w:val="0"/>
          <w:bCs w:val="0"/>
          <w:color w:val="auto"/>
          <w:kern w:val="0"/>
          <w:sz w:val="32"/>
          <w:szCs w:val="32"/>
          <w:highlight w:val="none"/>
          <w:lang w:val="en-US" w:eastAsia="zh-CN" w:bidi="ar-SA"/>
        </w:rPr>
      </w:pPr>
      <w:bookmarkStart w:id="16" w:name="_Toc503235805"/>
      <w:bookmarkStart w:id="17" w:name="_Toc509407133"/>
      <w:bookmarkStart w:id="18" w:name="_Toc225"/>
      <w:bookmarkStart w:id="19" w:name="_Toc15877"/>
      <w:bookmarkStart w:id="20" w:name="_Toc1055"/>
      <w:bookmarkStart w:id="21" w:name="_Toc61252969"/>
      <w:bookmarkStart w:id="22" w:name="_Toc503235806"/>
      <w:bookmarkStart w:id="23" w:name="_Toc509407134"/>
      <w:r>
        <w:rPr>
          <w:rFonts w:hint="eastAsia" w:ascii="Calibri" w:hAnsi="Calibri" w:eastAsia="黑体" w:cs="Times New Roman"/>
          <w:b w:val="0"/>
          <w:bCs w:val="0"/>
          <w:color w:val="auto"/>
          <w:kern w:val="0"/>
          <w:sz w:val="32"/>
          <w:szCs w:val="32"/>
          <w:highlight w:val="none"/>
          <w:lang w:val="en-US" w:eastAsia="zh-CN" w:bidi="ar-SA"/>
        </w:rPr>
        <w:t>评标办法（综合评估法）</w:t>
      </w:r>
      <w:bookmarkEnd w:id="16"/>
      <w:bookmarkEnd w:id="17"/>
      <w:bookmarkEnd w:id="18"/>
    </w:p>
    <w:p>
      <w:pPr>
        <w:pStyle w:val="2"/>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评标办法前附表</w:t>
      </w:r>
    </w:p>
    <w:tbl>
      <w:tblPr>
        <w:tblStyle w:val="8"/>
        <w:tblW w:w="92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7"/>
        <w:gridCol w:w="1357"/>
        <w:gridCol w:w="6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4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5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670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综合评分相等时，评标委员会依次按照以下优先顺序推荐中标候选人或确定中标人：</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（1）评标价低的投标人优先；</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（2）商务和技术得分较高的投标人优先；</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5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6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第一个信封（商务及技术文件）评审标准：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投标函按招标文件规定填报了项目名称、标段号（如有)、补遗书编号（如有）、</w:t>
            </w:r>
            <w:r>
              <w:rPr>
                <w:rFonts w:hint="eastAsia" w:ascii="宋体" w:hAnsi="宋体" w:eastAsia="宋体" w:cs="宋体"/>
                <w:b w:val="0"/>
                <w:bCs w:val="0"/>
                <w:color w:val="auto"/>
                <w:sz w:val="24"/>
                <w:szCs w:val="24"/>
                <w:highlight w:val="none"/>
              </w:rPr>
              <w:t>服务期限、</w:t>
            </w:r>
            <w:r>
              <w:rPr>
                <w:rFonts w:hint="eastAsia" w:ascii="宋体" w:hAnsi="宋体" w:eastAsia="宋体" w:cs="宋体"/>
                <w:color w:val="auto"/>
                <w:sz w:val="24"/>
                <w:szCs w:val="24"/>
                <w:highlight w:val="none"/>
              </w:rPr>
              <w:t>质量要求及安全目标；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投标文件组成齐全完整，内容均按规定填写。</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投标保证金金额符合招标文件规定的金额，且投标保证金有效期不少于投标有效期；</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若投标保证金采用现金或支票形式提交，投标人应在投标人须知前附表3.4.1款规定的时间，将投标保证金由投标人的基本账户转入招标人指定账户</w:t>
            </w:r>
            <w:r>
              <w:rPr>
                <w:rFonts w:hint="eastAsia" w:ascii="宋体" w:hAnsi="宋体" w:eastAsia="宋体" w:cs="宋体"/>
                <w:color w:val="auto"/>
                <w:sz w:val="24"/>
                <w:szCs w:val="24"/>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投标保证金采用银行保函、信用证、保险形式提交，银行保函、信用证、保险的格式，开具保函的银行均满足招标文件要求，信用证、保险、银行保函原件在递交投标文件时单独密封递交，其复印件装订在投标文件中。</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（4）投标人法定代表人授权委托代理人签署投标文件的，须提交授权委托书，且授权人和被授权人均在授权委托书上签名，未使用印章、签名章或其他电子制版签名代替。</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（5）投标人法定代表人亲自签署投标文件的，提供了法定代表人身份证明，且法定代表人在法定代表人身份证明上签名，未使用印章、签名章或其他电子制版签名代替。</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（6）同一投标人未提交两个以上不同的投标文件，但招标文件要求提交备选投标的除外。</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）投标文件中未出现有关投标报价的内容。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）投标文件载明的招标项目完成期限未超过招标文件规定的时限。</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）权利义务符合招标文件规定：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投标人应接受招标文件规定的风险划分原则，未提出新的风险划分办法；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投标人未增加发包人的责任范围，或减少投标人义务；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投标人未提出不同的支付办法；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投标人对合同纠纷、事故处理办法未提出异议；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投标人在投标活动中无欺诈行为；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投标人未对合同条款有重要保留。</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）投标文件正、副本份数符合招标文件第二章“投标人须知”第3.7.4项规定。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）投标文件未附有招标人不能接受的条件。</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第二个信封（报价文件）评审标准：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投标函按招标文件规定填报了项目名称、标段号（如有)、补遗书编号（如有）、投标</w:t>
            </w:r>
            <w:r>
              <w:rPr>
                <w:rFonts w:hint="eastAsia" w:ascii="宋体" w:hAnsi="宋体" w:eastAsia="宋体" w:cs="宋体"/>
                <w:color w:val="auto"/>
                <w:sz w:val="24"/>
                <w:szCs w:val="24"/>
                <w:highlight w:val="none"/>
                <w:lang w:val="en-US" w:eastAsia="zh-CN"/>
              </w:rPr>
              <w:t>总报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val="en-US" w:eastAsia="zh-CN"/>
              </w:rPr>
              <w:t>包括大写金额和小写金额</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已标价报价清单说明文字与招标文件规定一致，未进行实质性修改和删减；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投标文件组成齐全完整，内容均按规定填写。</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（3）投标报价未超过招标文件设定的最高投标限价（如有）。</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（5）同一投标人未提交两个以上不同的投标报价，但招标文件要求提交备选投标的除外。</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5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营业执照（或事业单位法人证书）、组织机构代码证（如有）和基本账户开户许可证（如企业所在地已取消企业银行账户许可而无法提供开户许可证的，则须附上加盖单位公章的基本账户证明文件）。</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（2）投标人的资质等级符合招标文件规定。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（5）投标人的</w:t>
            </w:r>
            <w:r>
              <w:rPr>
                <w:rFonts w:hint="eastAsia" w:ascii="宋体" w:hAnsi="宋体" w:eastAsia="宋体" w:cs="宋体"/>
                <w:color w:val="auto"/>
                <w:sz w:val="24"/>
                <w:szCs w:val="24"/>
                <w:highlight w:val="none"/>
                <w:lang w:val="en-US" w:eastAsia="zh-CN"/>
              </w:rPr>
              <w:t>主要人员</w:t>
            </w:r>
            <w:r>
              <w:rPr>
                <w:rFonts w:hint="eastAsia" w:ascii="宋体" w:hAnsi="宋体" w:eastAsia="宋体" w:cs="宋体"/>
                <w:color w:val="auto"/>
                <w:sz w:val="24"/>
                <w:szCs w:val="24"/>
                <w:highlight w:val="none"/>
              </w:rPr>
              <w:t>资格符合招标文件规定。</w:t>
            </w:r>
          </w:p>
          <w:p>
            <w:pPr>
              <w:pStyle w:val="5"/>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）投标人的其他要求符合招标文件规定。</w:t>
            </w:r>
          </w:p>
          <w:p>
            <w:pPr>
              <w:pStyle w:val="5"/>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5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第一个信封（商务及技术文件）评分分值构成：</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技术建议书：</w:t>
            </w:r>
            <w:r>
              <w:rPr>
                <w:rFonts w:hint="eastAsia" w:ascii="宋体" w:hAnsi="宋体" w:eastAsia="宋体" w:cs="宋体"/>
                <w:color w:val="auto"/>
                <w:sz w:val="24"/>
                <w:szCs w:val="24"/>
                <w:highlight w:val="none"/>
                <w:u w:val="single"/>
                <w:lang w:val="en-US" w:eastAsia="zh-CN"/>
              </w:rPr>
              <w:t xml:space="preserve"> 40 </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主要人员：</w:t>
            </w:r>
            <w:r>
              <w:rPr>
                <w:rFonts w:hint="eastAsia" w:ascii="宋体" w:hAnsi="宋体" w:eastAsia="宋体" w:cs="宋体"/>
                <w:color w:val="auto"/>
                <w:sz w:val="24"/>
                <w:szCs w:val="24"/>
                <w:highlight w:val="none"/>
                <w:u w:val="single"/>
                <w:lang w:val="en-US" w:eastAsia="zh-CN"/>
              </w:rPr>
              <w:t xml:space="preserve">   15 </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绩：</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履约信誉：</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7"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357"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w:t>
            </w:r>
          </w:p>
        </w:tc>
        <w:tc>
          <w:tcPr>
            <w:tcW w:w="670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在开标现场，招标人将当场计算并宣布评标基准价。</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（2）最高评标限价的确定：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①最高投标限价下浮率的确定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本次招标的最高投标限价下浮率范围为0%-3%</w:t>
            </w:r>
            <w:r>
              <w:rPr>
                <w:rFonts w:hint="eastAsia" w:ascii="宋体" w:hAnsi="宋体" w:eastAsia="宋体" w:cs="宋体"/>
                <w:color w:val="auto"/>
                <w:sz w:val="24"/>
                <w:szCs w:val="24"/>
                <w:highlight w:val="none"/>
              </w:rPr>
              <w:t>，下浮率在开标前在开标现场采取摇珠方式确定。摇珠操作办法如下：以0.1%为一档次增序确定摇珠号码，不少于31个球，</w:t>
            </w:r>
            <w:r>
              <w:rPr>
                <w:rFonts w:hint="eastAsia" w:ascii="宋体" w:hAnsi="宋体" w:eastAsia="宋体" w:cs="宋体"/>
                <w:color w:val="auto"/>
                <w:sz w:val="24"/>
                <w:szCs w:val="24"/>
                <w:highlight w:val="none"/>
                <w:lang w:val="en-US" w:eastAsia="zh-CN"/>
              </w:rPr>
              <w:t>每个标段各</w:t>
            </w:r>
            <w:r>
              <w:rPr>
                <w:rFonts w:hint="eastAsia" w:ascii="宋体" w:hAnsi="宋体" w:eastAsia="宋体" w:cs="宋体"/>
                <w:color w:val="auto"/>
                <w:sz w:val="24"/>
                <w:szCs w:val="24"/>
                <w:highlight w:val="none"/>
              </w:rPr>
              <w:t>一次性摇出3个球（摇出的球不放回），摇出3个球对应的下浮率的算术平均值即为本标段招标的下浮率（摇出3个下浮率的算术平均值四舍五入取整至0.001%）。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②最高评标限价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最高投标限价×（1-下浮率）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有效评标价范围：不大于最高评标限价的评标价为有效评标价。若大于最高评标限价的评标价，其评标价得分为0分。当所有投标人评标价得分均为0分时，按否决投标处理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（3）评标基准价的确定：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将最高评标限价下浮</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%，作为评标基准价。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在评标过程中，评标委员会应对招标人计算的评标基准价进行复核，存在计算错误的应予以修正。除此之外，评标基准价在整个评标期间保持不变，不随任何因素发生变化。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注：最高评标限价、评标基准价</w:t>
            </w:r>
            <w:r>
              <w:rPr>
                <w:rFonts w:hint="eastAsia" w:ascii="宋体" w:hAnsi="宋体" w:eastAsia="宋体" w:cs="宋体"/>
                <w:color w:val="auto"/>
                <w:sz w:val="24"/>
                <w:szCs w:val="24"/>
                <w:highlight w:val="none"/>
                <w:lang w:val="en-US" w:eastAsia="zh-CN"/>
              </w:rPr>
              <w:t>的计算</w:t>
            </w:r>
            <w:r>
              <w:rPr>
                <w:rFonts w:hint="eastAsia" w:ascii="宋体" w:hAnsi="宋体" w:eastAsia="宋体" w:cs="宋体"/>
                <w:color w:val="auto"/>
                <w:sz w:val="24"/>
                <w:szCs w:val="24"/>
                <w:highlight w:val="none"/>
              </w:rPr>
              <w:t>均四舍五入至个位整数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4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5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评标价的偏差率计算公式</w:t>
            </w:r>
          </w:p>
        </w:tc>
        <w:tc>
          <w:tcPr>
            <w:tcW w:w="6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偏差率=100% ×（投标人评标价－评标基准价）/评标基准价</w:t>
            </w:r>
          </w:p>
        </w:tc>
      </w:tr>
    </w:tbl>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sectPr>
          <w:headerReference r:id="rId12" w:type="first"/>
          <w:footerReference r:id="rId13" w:type="default"/>
          <w:headerReference r:id="rId11" w:type="even"/>
          <w:footerReference r:id="rId14" w:type="even"/>
          <w:footnotePr>
            <w:numFmt w:val="decimalEnclosedCircleChinese"/>
          </w:footnotePr>
          <w:pgSz w:w="11905" w:h="16840"/>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tbl>
      <w:tblPr>
        <w:tblStyle w:val="8"/>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17"/>
        <w:gridCol w:w="535"/>
        <w:gridCol w:w="1068"/>
        <w:gridCol w:w="1650"/>
        <w:gridCol w:w="767"/>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86" w:type="dxa"/>
            <w:gridSpan w:val="6"/>
            <w:tcBorders>
              <w:top w:val="single" w:color="auto" w:sz="4" w:space="0"/>
            </w:tcBorders>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审</w:t>
            </w:r>
            <w:r>
              <w:rPr>
                <w:rFonts w:hint="eastAsia" w:ascii="宋体" w:hAnsi="宋体" w:eastAsia="宋体" w:cs="宋体"/>
                <w:b/>
                <w:color w:val="auto"/>
                <w:sz w:val="24"/>
                <w:szCs w:val="24"/>
                <w:highlight w:val="none"/>
              </w:rPr>
              <w:t>因素与权重分值</w:t>
            </w:r>
          </w:p>
        </w:tc>
        <w:tc>
          <w:tcPr>
            <w:tcW w:w="3818" w:type="dxa"/>
            <w:vMerge w:val="restart"/>
            <w:tcBorders>
              <w:top w:val="single" w:color="auto" w:sz="4" w:space="0"/>
            </w:tcBorders>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9"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052" w:type="dxa"/>
            <w:gridSpan w:val="2"/>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审</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因素</w:t>
            </w:r>
          </w:p>
        </w:tc>
        <w:tc>
          <w:tcPr>
            <w:tcW w:w="1068" w:type="dxa"/>
            <w:vAlign w:val="center"/>
          </w:tcPr>
          <w:p>
            <w:pPr>
              <w:keepNext w:val="0"/>
              <w:keepLines w:val="0"/>
              <w:pageBreakBefore w:val="0"/>
              <w:widowControl w:val="0"/>
              <w:kinsoku/>
              <w:wordWrap/>
              <w:overflowPunct/>
              <w:topLinePunct w:val="0"/>
              <w:bidi w:val="0"/>
              <w:snapToGrid/>
              <w:spacing w:line="400" w:lineRule="exact"/>
              <w:ind w:left="-105" w:leftChars="-50" w:right="-105" w:rightChars="-50"/>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pPr>
              <w:keepNext w:val="0"/>
              <w:keepLines w:val="0"/>
              <w:pageBreakBefore w:val="0"/>
              <w:widowControl w:val="0"/>
              <w:kinsoku/>
              <w:wordWrap/>
              <w:overflowPunct/>
              <w:topLinePunct w:val="0"/>
              <w:bidi w:val="0"/>
              <w:snapToGrid/>
              <w:spacing w:line="400" w:lineRule="exact"/>
              <w:ind w:left="-105" w:leftChars="-50" w:right="-105" w:rightChars="-50"/>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权重分值</w:t>
            </w: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各评分因素</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细分项</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3818" w:type="dxa"/>
            <w:vMerge w:val="continue"/>
            <w:vAlign w:val="top"/>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tc>
        <w:tc>
          <w:tcPr>
            <w:tcW w:w="1052" w:type="dxa"/>
            <w:gridSpan w:val="2"/>
            <w:vMerge w:val="restart"/>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技术建议书</w:t>
            </w:r>
          </w:p>
        </w:tc>
        <w:tc>
          <w:tcPr>
            <w:tcW w:w="1068" w:type="dxa"/>
            <w:vMerge w:val="restart"/>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40</w:t>
            </w:r>
            <w:r>
              <w:rPr>
                <w:rFonts w:hint="eastAsia" w:ascii="宋体" w:hAnsi="宋体" w:eastAsia="宋体" w:cs="宋体"/>
                <w:color w:val="auto"/>
                <w:sz w:val="24"/>
                <w:szCs w:val="24"/>
                <w:highlight w:val="none"/>
              </w:rPr>
              <w:t>分</w:t>
            </w: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对招标项目的理解和总体</w:t>
            </w:r>
            <w:r>
              <w:rPr>
                <w:rFonts w:hint="eastAsia" w:ascii="宋体" w:hAnsi="宋体" w:eastAsia="宋体" w:cs="宋体"/>
                <w:color w:val="auto"/>
                <w:sz w:val="24"/>
                <w:szCs w:val="24"/>
                <w:highlight w:val="none"/>
                <w:lang w:val="en-US" w:eastAsia="zh-CN"/>
              </w:rPr>
              <w:t>咨询构想</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rPr>
              <w:t>分</w:t>
            </w:r>
          </w:p>
        </w:tc>
        <w:tc>
          <w:tcPr>
            <w:tcW w:w="3818" w:type="dxa"/>
            <w:vAlign w:val="center"/>
          </w:tcPr>
          <w:p>
            <w:pPr>
              <w:pStyle w:val="15"/>
              <w:keepNext w:val="0"/>
              <w:keepLines w:val="0"/>
              <w:pageBreakBefore w:val="0"/>
              <w:widowControl w:val="0"/>
              <w:kinsoku/>
              <w:wordWrap/>
              <w:overflowPunct/>
              <w:topLinePunct w:val="0"/>
              <w:bidi w:val="0"/>
              <w:snapToGrid/>
              <w:spacing w:line="400" w:lineRule="exact"/>
              <w:ind w:firstLine="240" w:firstLineChars="1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根据对招标项目工程概况、工作范围和任务目标描述准确程度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总体</w:t>
            </w:r>
            <w:r>
              <w:rPr>
                <w:rFonts w:hint="eastAsia" w:ascii="宋体" w:hAnsi="宋体" w:eastAsia="宋体" w:cs="宋体"/>
                <w:color w:val="auto"/>
                <w:sz w:val="24"/>
                <w:szCs w:val="24"/>
                <w:highlight w:val="none"/>
                <w:lang w:val="en-US" w:eastAsia="zh-CN"/>
              </w:rPr>
              <w:t>咨询构想</w:t>
            </w:r>
            <w:r>
              <w:rPr>
                <w:rFonts w:hint="eastAsia" w:ascii="宋体" w:hAnsi="宋体" w:eastAsia="宋体" w:cs="宋体"/>
                <w:color w:val="auto"/>
                <w:sz w:val="24"/>
                <w:szCs w:val="24"/>
                <w:highlight w:val="none"/>
              </w:rPr>
              <w:t>清晰、切实可行程度，</w:t>
            </w:r>
            <w:r>
              <w:rPr>
                <w:rFonts w:hint="eastAsia" w:ascii="宋体" w:hAnsi="宋体" w:eastAsia="宋体" w:cs="宋体"/>
                <w:color w:val="auto"/>
                <w:sz w:val="24"/>
                <w:szCs w:val="24"/>
                <w:highlight w:val="none"/>
                <w:lang w:val="en-US" w:eastAsia="zh-CN"/>
              </w:rPr>
              <w:t>起评分9分，评分保留小数点后一位。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p>
        </w:tc>
        <w:tc>
          <w:tcPr>
            <w:tcW w:w="1052" w:type="dxa"/>
            <w:gridSpan w:val="2"/>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p>
        </w:tc>
        <w:tc>
          <w:tcPr>
            <w:tcW w:w="1068" w:type="dxa"/>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single"/>
              </w:rPr>
            </w:pP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对招标项目造价咨询工作的资源优势及保证措施</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rPr>
              <w:t>分</w:t>
            </w:r>
          </w:p>
        </w:tc>
        <w:tc>
          <w:tcPr>
            <w:tcW w:w="3818" w:type="dxa"/>
            <w:vAlign w:val="center"/>
          </w:tcPr>
          <w:p>
            <w:pPr>
              <w:keepNext w:val="0"/>
              <w:keepLines w:val="0"/>
              <w:pageBreakBefore w:val="0"/>
              <w:widowControl w:val="0"/>
              <w:kinsoku/>
              <w:wordWrap/>
              <w:overflowPunct/>
              <w:topLinePunct w:val="0"/>
              <w:bidi w:val="0"/>
              <w:snapToGrid/>
              <w:spacing w:line="40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根据对招标项目</w:t>
            </w:r>
            <w:r>
              <w:rPr>
                <w:rFonts w:hint="eastAsia" w:ascii="宋体" w:hAnsi="宋体" w:eastAsia="宋体" w:cs="宋体"/>
                <w:color w:val="auto"/>
                <w:sz w:val="24"/>
                <w:szCs w:val="24"/>
                <w:highlight w:val="none"/>
                <w:lang w:val="en-US" w:eastAsia="zh-CN"/>
              </w:rPr>
              <w:t>特殊性、复杂性的理解程度，以及提出的实施方案和保证措施的完善和可行程度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结合投标人造价咨询服务能力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起评分9分，评分保留小数点后一位。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p>
        </w:tc>
        <w:tc>
          <w:tcPr>
            <w:tcW w:w="1052" w:type="dxa"/>
            <w:gridSpan w:val="2"/>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rPr>
            </w:pPr>
          </w:p>
        </w:tc>
        <w:tc>
          <w:tcPr>
            <w:tcW w:w="1068" w:type="dxa"/>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single"/>
              </w:rPr>
            </w:pP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对招标项目的建设性意见与建议</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rPr>
              <w:t>分</w:t>
            </w:r>
          </w:p>
        </w:tc>
        <w:tc>
          <w:tcPr>
            <w:tcW w:w="3818" w:type="dxa"/>
            <w:vAlign w:val="center"/>
          </w:tcPr>
          <w:p>
            <w:pPr>
              <w:keepNext w:val="0"/>
              <w:keepLines w:val="0"/>
              <w:pageBreakBefore w:val="0"/>
              <w:widowControl w:val="0"/>
              <w:kinsoku/>
              <w:wordWrap/>
              <w:overflowPunct/>
              <w:topLinePunct w:val="0"/>
              <w:bidi w:val="0"/>
              <w:snapToGrid/>
              <w:spacing w:line="40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根据对</w:t>
            </w:r>
            <w:r>
              <w:rPr>
                <w:rFonts w:hint="eastAsia" w:ascii="宋体" w:hAnsi="宋体" w:eastAsia="宋体" w:cs="宋体"/>
                <w:color w:val="auto"/>
                <w:sz w:val="24"/>
                <w:szCs w:val="24"/>
                <w:highlight w:val="none"/>
                <w:lang w:val="en-US" w:eastAsia="zh-CN"/>
              </w:rPr>
              <w:t>招标项目提出建设性意见与建议的合理、可行程度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起评分6分，评分保留小数点后一位。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Align w:val="center"/>
          </w:tcPr>
          <w:p>
            <w:pPr>
              <w:keepNext w:val="0"/>
              <w:keepLines w:val="0"/>
              <w:pageBreakBefore w:val="0"/>
              <w:widowControl w:val="0"/>
              <w:kinsoku/>
              <w:wordWrap/>
              <w:overflowPunct/>
              <w:topLinePunct w:val="0"/>
              <w:bidi w:val="0"/>
              <w:snapToGrid/>
              <w:spacing w:line="400" w:lineRule="exact"/>
              <w:ind w:left="-92" w:leftChars="-44" w:right="-88" w:rightChars="-42"/>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2.2.4</w:t>
            </w:r>
          </w:p>
          <w:p>
            <w:pPr>
              <w:keepNext w:val="0"/>
              <w:keepLines w:val="0"/>
              <w:pageBreakBefore w:val="0"/>
              <w:widowControl w:val="0"/>
              <w:kinsoku/>
              <w:wordWrap/>
              <w:overflowPunct/>
              <w:topLinePunct w:val="0"/>
              <w:bidi w:val="0"/>
              <w:snapToGrid/>
              <w:spacing w:line="400" w:lineRule="exact"/>
              <w:ind w:left="-92" w:leftChars="-44" w:right="-88" w:rightChars="-42"/>
              <w:jc w:val="center"/>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p>
        </w:tc>
        <w:tc>
          <w:tcPr>
            <w:tcW w:w="1052" w:type="dxa"/>
            <w:gridSpan w:val="2"/>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主要</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人员</w:t>
            </w:r>
          </w:p>
        </w:tc>
        <w:tc>
          <w:tcPr>
            <w:tcW w:w="1068"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分</w:t>
            </w: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主要人员</w:t>
            </w:r>
            <w:r>
              <w:rPr>
                <w:rFonts w:hint="eastAsia" w:ascii="宋体" w:hAnsi="宋体" w:eastAsia="宋体" w:cs="宋体"/>
                <w:color w:val="auto"/>
                <w:sz w:val="24"/>
                <w:szCs w:val="24"/>
                <w:highlight w:val="none"/>
                <w:u w:val="none"/>
              </w:rPr>
              <w:t>任职资格与业绩</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分</w:t>
            </w:r>
          </w:p>
        </w:tc>
        <w:tc>
          <w:tcPr>
            <w:tcW w:w="3818" w:type="dxa"/>
            <w:vAlign w:val="center"/>
          </w:tcPr>
          <w:p>
            <w:pPr>
              <w:pStyle w:val="5"/>
              <w:keepNext w:val="0"/>
              <w:keepLines w:val="0"/>
              <w:pageBreakBefore w:val="0"/>
              <w:widowControl w:val="0"/>
              <w:kinsoku/>
              <w:wordWrap/>
              <w:overflowPunct/>
              <w:topLinePunct w:val="0"/>
              <w:bidi w:val="0"/>
              <w:snapToGrid/>
              <w:spacing w:after="0" w:line="400" w:lineRule="exact"/>
              <w:ind w:left="0" w:leftChars="0" w:firstLine="240" w:firstLineChars="1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满足资格审查条件（</w:t>
            </w:r>
            <w:r>
              <w:rPr>
                <w:rFonts w:hint="eastAsia" w:ascii="宋体" w:hAnsi="宋体" w:eastAsia="宋体" w:cs="宋体"/>
                <w:color w:val="auto"/>
                <w:sz w:val="24"/>
                <w:szCs w:val="24"/>
                <w:highlight w:val="none"/>
                <w:lang w:eastAsia="zh-CN"/>
              </w:rPr>
              <w:t>主要人员最低要求</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Align w:val="center"/>
          </w:tcPr>
          <w:p>
            <w:pPr>
              <w:keepNext w:val="0"/>
              <w:keepLines w:val="0"/>
              <w:pageBreakBefore w:val="0"/>
              <w:widowControl w:val="0"/>
              <w:kinsoku/>
              <w:wordWrap/>
              <w:overflowPunct/>
              <w:topLinePunct w:val="0"/>
              <w:bidi w:val="0"/>
              <w:snapToGrid/>
              <w:spacing w:line="400" w:lineRule="exact"/>
              <w:ind w:left="-92" w:leftChars="-44" w:right="-88" w:rightChars="-42"/>
              <w:jc w:val="center"/>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2.2.4</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p>
        </w:tc>
        <w:tc>
          <w:tcPr>
            <w:tcW w:w="1052" w:type="dxa"/>
            <w:gridSpan w:val="2"/>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评标价</w:t>
            </w:r>
          </w:p>
        </w:tc>
        <w:tc>
          <w:tcPr>
            <w:tcW w:w="1068"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0分</w:t>
            </w:r>
          </w:p>
        </w:tc>
        <w:tc>
          <w:tcPr>
            <w:tcW w:w="6235" w:type="dxa"/>
            <w:gridSpan w:val="3"/>
            <w:vAlign w:val="center"/>
          </w:tcPr>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（1）如果投标人的评标价&gt;评标基准价，则评标价得分</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偏差率</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100×0.6；</w:t>
            </w:r>
          </w:p>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（2）如果投标人的评标价≤评标基准价，则评标价得分</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0</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偏差率×100×0.3。</w:t>
            </w:r>
          </w:p>
          <w:p>
            <w:pPr>
              <w:pStyle w:val="5"/>
              <w:keepNext w:val="0"/>
              <w:keepLines w:val="0"/>
              <w:pageBreakBefore w:val="0"/>
              <w:widowControl w:val="0"/>
              <w:kinsoku/>
              <w:wordWrap/>
              <w:overflowPunct/>
              <w:topLinePunct w:val="0"/>
              <w:bidi w:val="0"/>
              <w:snapToGrid/>
              <w:spacing w:after="0" w:line="400" w:lineRule="exact"/>
              <w:ind w:left="0" w:leftChars="0"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rPr>
              <w:t>评标价得分四舍五入至小数点后四位</w:t>
            </w:r>
            <w:r>
              <w:rPr>
                <w:rFonts w:hint="eastAsia" w:ascii="宋体" w:hAnsi="宋体" w:eastAsia="宋体" w:cs="宋体"/>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2.2.4</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p>
        </w:tc>
        <w:tc>
          <w:tcPr>
            <w:tcW w:w="517" w:type="dxa"/>
            <w:vMerge w:val="restart"/>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他</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因</w:t>
            </w: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素</w:t>
            </w:r>
          </w:p>
        </w:tc>
        <w:tc>
          <w:tcPr>
            <w:tcW w:w="535" w:type="dxa"/>
            <w:vAlign w:val="center"/>
          </w:tcPr>
          <w:p>
            <w:pPr>
              <w:pStyle w:val="16"/>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业</w:t>
            </w:r>
          </w:p>
          <w:p>
            <w:pPr>
              <w:pStyle w:val="16"/>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绩</w:t>
            </w:r>
          </w:p>
        </w:tc>
        <w:tc>
          <w:tcPr>
            <w:tcW w:w="1068"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w:t>
            </w: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业绩</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w:t>
            </w:r>
          </w:p>
        </w:tc>
        <w:tc>
          <w:tcPr>
            <w:tcW w:w="3818" w:type="dxa"/>
            <w:vAlign w:val="center"/>
          </w:tcPr>
          <w:p>
            <w:pPr>
              <w:keepNext w:val="0"/>
              <w:keepLines w:val="0"/>
              <w:pageBreakBefore w:val="0"/>
              <w:widowControl w:val="0"/>
              <w:kinsoku/>
              <w:wordWrap/>
              <w:overflowPunct/>
              <w:topLinePunct w:val="0"/>
              <w:bidi w:val="0"/>
              <w:snapToGrid/>
              <w:spacing w:line="400" w:lineRule="exact"/>
              <w:ind w:firstLine="240" w:firstLineChars="1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满足资格审查条件（业绩最低要求）得基本分</w:t>
            </w:r>
            <w:r>
              <w:rPr>
                <w:rFonts w:hint="eastAsia" w:ascii="宋体" w:hAnsi="宋体" w:eastAsia="宋体" w:cs="宋体"/>
                <w:color w:val="auto"/>
                <w:sz w:val="24"/>
                <w:szCs w:val="24"/>
                <w:highlight w:val="none"/>
                <w:u w:val="none"/>
                <w:lang w:val="en-US" w:eastAsia="zh-CN"/>
              </w:rPr>
              <w:t>18</w:t>
            </w:r>
            <w:r>
              <w:rPr>
                <w:rFonts w:hint="eastAsia" w:ascii="宋体" w:hAnsi="宋体" w:eastAsia="宋体" w:cs="宋体"/>
                <w:color w:val="auto"/>
                <w:sz w:val="24"/>
                <w:szCs w:val="24"/>
                <w:highlight w:val="none"/>
                <w:u w:val="none"/>
              </w:rPr>
              <w:t>分；</w:t>
            </w:r>
          </w:p>
          <w:p>
            <w:pPr>
              <w:keepNext w:val="0"/>
              <w:keepLines w:val="0"/>
              <w:pageBreakBefore w:val="0"/>
              <w:widowControl w:val="0"/>
              <w:kinsoku/>
              <w:wordWrap/>
              <w:overflowPunct/>
              <w:topLinePunct w:val="0"/>
              <w:bidi w:val="0"/>
              <w:snapToGrid/>
              <w:spacing w:line="400" w:lineRule="exact"/>
              <w:ind w:firstLine="240" w:firstLineChars="10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在此基础上，</w:t>
            </w:r>
            <w:r>
              <w:rPr>
                <w:rFonts w:hint="eastAsia" w:ascii="宋体" w:hAnsi="宋体" w:eastAsia="宋体" w:cs="宋体"/>
                <w:color w:val="auto"/>
                <w:sz w:val="24"/>
                <w:szCs w:val="24"/>
                <w:highlight w:val="none"/>
                <w:u w:val="none"/>
                <w:lang w:eastAsia="zh-CN"/>
              </w:rPr>
              <w:t>近</w:t>
            </w:r>
            <w:r>
              <w:rPr>
                <w:rFonts w:hint="eastAsia" w:ascii="宋体" w:hAnsi="宋体" w:eastAsia="宋体" w:cs="宋体"/>
                <w:color w:val="auto"/>
                <w:sz w:val="24"/>
                <w:szCs w:val="24"/>
                <w:highlight w:val="none"/>
                <w:u w:val="none"/>
                <w:lang w:val="en-US" w:eastAsia="zh-CN"/>
              </w:rPr>
              <w:t>五</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none"/>
              </w:rPr>
              <w:t>内每增加</w:t>
            </w:r>
            <w:r>
              <w:rPr>
                <w:rFonts w:hint="eastAsia" w:ascii="宋体" w:hAnsi="宋体" w:eastAsia="宋体" w:cs="宋体"/>
                <w:color w:val="auto"/>
                <w:sz w:val="24"/>
                <w:szCs w:val="24"/>
                <w:highlight w:val="none"/>
                <w:u w:val="none"/>
                <w:lang w:val="en-US" w:eastAsia="zh-CN"/>
              </w:rPr>
              <w:t>承担1项类似工程管线迁改造价咨询服务工作的</w:t>
            </w:r>
            <w:r>
              <w:rPr>
                <w:rFonts w:hint="eastAsia" w:ascii="宋体" w:hAnsi="宋体" w:eastAsia="宋体" w:cs="宋体"/>
                <w:color w:val="auto"/>
                <w:sz w:val="24"/>
                <w:szCs w:val="24"/>
                <w:highlight w:val="none"/>
                <w:u w:val="none"/>
              </w:rPr>
              <w:t>加</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u w:val="none"/>
                <w:lang w:val="en-US" w:eastAsia="zh-CN"/>
              </w:rPr>
              <w:t>本项</w:t>
            </w:r>
            <w:r>
              <w:rPr>
                <w:rFonts w:hint="eastAsia" w:ascii="宋体" w:hAnsi="宋体" w:eastAsia="宋体" w:cs="宋体"/>
                <w:color w:val="auto"/>
                <w:sz w:val="24"/>
                <w:szCs w:val="24"/>
                <w:highlight w:val="none"/>
                <w:u w:val="none"/>
              </w:rPr>
              <w:t>最多加</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p>
        </w:tc>
        <w:tc>
          <w:tcPr>
            <w:tcW w:w="517" w:type="dxa"/>
            <w:vMerge w:val="continue"/>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rPr>
            </w:pPr>
          </w:p>
        </w:tc>
        <w:tc>
          <w:tcPr>
            <w:tcW w:w="535" w:type="dxa"/>
            <w:vAlign w:val="center"/>
          </w:tcPr>
          <w:p>
            <w:pPr>
              <w:keepNext w:val="0"/>
              <w:keepLines w:val="0"/>
              <w:pageBreakBefore w:val="0"/>
              <w:widowControl w:val="0"/>
              <w:kinsoku/>
              <w:wordWrap/>
              <w:overflowPunct/>
              <w:topLinePunct w:val="0"/>
              <w:bidi w:val="0"/>
              <w:snapToGrid/>
              <w:spacing w:line="400" w:lineRule="exact"/>
              <w:ind w:left="-105" w:leftChars="-50" w:right="-105" w:rightChars="-50"/>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履</w:t>
            </w:r>
          </w:p>
          <w:p>
            <w:pPr>
              <w:keepNext w:val="0"/>
              <w:keepLines w:val="0"/>
              <w:pageBreakBefore w:val="0"/>
              <w:widowControl w:val="0"/>
              <w:kinsoku/>
              <w:wordWrap/>
              <w:overflowPunct/>
              <w:topLinePunct w:val="0"/>
              <w:bidi w:val="0"/>
              <w:snapToGrid/>
              <w:spacing w:line="400" w:lineRule="exact"/>
              <w:ind w:left="-105" w:leftChars="-50" w:right="-105" w:rightChars="-50"/>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约</w:t>
            </w:r>
          </w:p>
          <w:p>
            <w:pPr>
              <w:keepNext w:val="0"/>
              <w:keepLines w:val="0"/>
              <w:pageBreakBefore w:val="0"/>
              <w:widowControl w:val="0"/>
              <w:kinsoku/>
              <w:wordWrap/>
              <w:overflowPunct/>
              <w:topLinePunct w:val="0"/>
              <w:bidi w:val="0"/>
              <w:snapToGrid/>
              <w:spacing w:line="400" w:lineRule="exact"/>
              <w:ind w:left="-105" w:leftChars="-50" w:right="-105" w:rightChars="-50"/>
              <w:jc w:val="center"/>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信</w:t>
            </w:r>
          </w:p>
          <w:p>
            <w:pPr>
              <w:keepNext w:val="0"/>
              <w:keepLines w:val="0"/>
              <w:pageBreakBefore w:val="0"/>
              <w:widowControl w:val="0"/>
              <w:kinsoku/>
              <w:wordWrap/>
              <w:overflowPunct/>
              <w:topLinePunct w:val="0"/>
              <w:bidi w:val="0"/>
              <w:snapToGrid/>
              <w:spacing w:line="400" w:lineRule="exact"/>
              <w:ind w:left="-105" w:leftChars="-50" w:right="-105" w:rightChars="-50"/>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誉</w:t>
            </w:r>
          </w:p>
        </w:tc>
        <w:tc>
          <w:tcPr>
            <w:tcW w:w="1068"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1650"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履约信誉</w:t>
            </w:r>
          </w:p>
        </w:tc>
        <w:tc>
          <w:tcPr>
            <w:tcW w:w="767" w:type="dxa"/>
            <w:vAlign w:val="center"/>
          </w:tcPr>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5分</w:t>
            </w:r>
          </w:p>
        </w:tc>
        <w:tc>
          <w:tcPr>
            <w:tcW w:w="3818" w:type="dxa"/>
            <w:vAlign w:val="center"/>
          </w:tcPr>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若没出现下述情形得满分；</w:t>
            </w:r>
          </w:p>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自</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u w:val="none"/>
              </w:rPr>
              <w:t>日至投标文件递交截止日（投标文件递交截止日前1年内），因公路、水运工程质量、安全、履约或招投标问题等原因被：</w:t>
            </w:r>
          </w:p>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（1）交通运输部通报批评的，扣5分/次；</w:t>
            </w:r>
          </w:p>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（2）广东省交通运输厅通报批评的，扣4分/次。</w:t>
            </w:r>
          </w:p>
          <w:p>
            <w:pPr>
              <w:keepNext w:val="0"/>
              <w:keepLines w:val="0"/>
              <w:pageBreakBefore w:val="0"/>
              <w:widowControl w:val="0"/>
              <w:kinsoku/>
              <w:wordWrap/>
              <w:overflowPunct/>
              <w:topLinePunct w:val="0"/>
              <w:bidi w:val="0"/>
              <w:snapToGrid/>
              <w:spacing w:line="400" w:lineRule="exact"/>
              <w:ind w:firstLine="240" w:firstLineChars="1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注：同一事项同时被多个部门通报批评只按最高的扣分计算1次，如果扣完本项分值，可以从总分中扣</w:t>
            </w:r>
            <w:r>
              <w:rPr>
                <w:rFonts w:hint="eastAsia" w:ascii="宋体" w:hAnsi="宋体" w:eastAsia="宋体" w:cs="宋体"/>
                <w:color w:val="auto"/>
                <w:sz w:val="24"/>
                <w:szCs w:val="24"/>
                <w:highlight w:val="none"/>
                <w:u w:val="none"/>
                <w:lang w:eastAsia="zh-CN"/>
              </w:rPr>
              <w:t>。</w:t>
            </w:r>
          </w:p>
        </w:tc>
      </w:tr>
    </w:tbl>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sectPr>
          <w:footnotePr>
            <w:numFmt w:val="decimalEnclosedCircleChinese"/>
          </w:footnotePr>
          <w:type w:val="continuous"/>
          <w:pgSz w:w="11905" w:h="16840"/>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tbl>
      <w:tblPr>
        <w:tblStyle w:val="8"/>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4" w:type="dxa"/>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rPr>
              <w:t>需要补充的其他内容：</w:t>
            </w:r>
          </w:p>
        </w:tc>
      </w:tr>
    </w:tbl>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bCs/>
          <w:color w:val="auto"/>
          <w:sz w:val="21"/>
          <w:szCs w:val="21"/>
          <w:highlight w:val="none"/>
        </w:rPr>
        <w:sectPr>
          <w:footnotePr>
            <w:numFmt w:val="decimalEnclosedCircleChinese"/>
          </w:footnotePr>
          <w:type w:val="continuous"/>
          <w:pgSz w:w="11905" w:h="16840"/>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27" w:name="_GoBack"/>
      <w:bookmarkEnd w:id="27"/>
    </w:p>
    <w:tbl>
      <w:tblPr>
        <w:tblStyle w:val="8"/>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条款号</w:t>
            </w:r>
          </w:p>
        </w:tc>
        <w:tc>
          <w:tcPr>
            <w:tcW w:w="8042"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将评标办法范本原文第1条“评标方法”改为“评标方法、组织及工作程序”，并且原文内容修改如下：</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评标方法</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评标组织</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协助工作组</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招标人可在评标工作开始前成立协助工作组，选派熟悉招标工作、政治素质高的人员组成，协助评标委员会工作。协助工作组人员的具体数量由招标人视评标工作量确定。</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招标人可以协助评标委员会开展下列工作并提供相关信息：</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（1）根据招标文件，编制评标使用的相应表格；</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（2）对投标报价进行算术性校核（如采用固化工程量清单，本步骤省略）；</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（3）以评标标准和方法为依据，列出投标文件相对于招标文件的所有偏差，并进行归类汇总；</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（4）对投标人的资质、业绩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人员、信誉等</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复核</w:t>
            </w:r>
            <w:r>
              <w:rPr>
                <w:rFonts w:hint="eastAsia" w:ascii="宋体" w:hAnsi="宋体" w:eastAsia="宋体" w:cs="宋体"/>
                <w:color w:val="auto"/>
                <w:sz w:val="24"/>
                <w:szCs w:val="24"/>
                <w:highlight w:val="none"/>
              </w:rPr>
              <w:t>。</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招标人不得对投标文件作出任何评价，不得故意遗漏或者片面摘录，不得在评标委员会对所有偏差定性之前透露存有偏差的投标人名称。</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评标委员会的组建按投标人须知第6.1.1项执行。评标委员会的主要工作内容包括：</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（1）评标委员会开始评标工作之前，首先听取招标人、协助工作组关于工程情况和辅助工作的说明，并认真研读招标文件，获取评标所需的重要信息和数据；</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（2）对协助工作组提供的评标工作用表和评标内容进行核查。</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lang w:val="en-US" w:eastAsia="zh-CN"/>
              </w:rPr>
              <w:t>2</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将评标办法范本原文第3.2.</w:t>
            </w:r>
            <w:r>
              <w:rPr>
                <w:rFonts w:hint="eastAsia" w:ascii="宋体" w:hAnsi="宋体" w:eastAsia="宋体" w:cs="宋体"/>
                <w:color w:val="auto"/>
                <w:sz w:val="24"/>
                <w:szCs w:val="24"/>
                <w:highlight w:val="none"/>
                <w:lang w:val="en-US" w:eastAsia="zh-CN"/>
              </w:rPr>
              <w:t>2项</w:t>
            </w:r>
            <w:r>
              <w:rPr>
                <w:rFonts w:hint="eastAsia" w:ascii="宋体" w:hAnsi="宋体" w:eastAsia="宋体" w:cs="宋体"/>
                <w:color w:val="auto"/>
                <w:sz w:val="24"/>
                <w:szCs w:val="24"/>
                <w:highlight w:val="none"/>
              </w:rPr>
              <w:t>细化如下：</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评标委员会在第一个信封详细评审时，各评分因素（主要人员、</w:t>
            </w:r>
            <w:r>
              <w:rPr>
                <w:rFonts w:hint="eastAsia" w:ascii="宋体" w:hAnsi="宋体" w:eastAsia="宋体" w:cs="宋体"/>
                <w:color w:val="auto"/>
                <w:sz w:val="24"/>
                <w:szCs w:val="24"/>
                <w:highlight w:val="none"/>
                <w:lang w:val="en-US" w:eastAsia="zh-CN"/>
              </w:rPr>
              <w:t>其他因素</w:t>
            </w:r>
            <w:r>
              <w:rPr>
                <w:rFonts w:hint="eastAsia" w:ascii="宋体" w:hAnsi="宋体" w:eastAsia="宋体" w:cs="宋体"/>
                <w:color w:val="auto"/>
                <w:sz w:val="24"/>
                <w:szCs w:val="24"/>
                <w:highlight w:val="none"/>
              </w:rPr>
              <w:t>除外）得分一般不得低于该权重分值的60%，评标委员会成员对某一项评分因素的评分低于权重值60%的，应当在评标报告中作出说明。</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商务评分（主要人员、其他因素）得分应以评标委员会各成员的算术平均值确定。投标人的商务得分保留至小数点后两位，小数点后第三位“四舍五入”。</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人数为9人时，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取消其中1名评委所有评分的办法（依次按照以下流程）：</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对比上述出现技术评分总分差值最大值相等的评委的次分差值（次分差值＝某一评委技术评分总分的最高分－该评委技术评分总分的次低分），取消次分差值最大的评委所有评分；</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如次分差值仍相同，则按随机抽取的方式选定取消1名评委评分。</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评标委员会人数为7人时，计算投标人技术得分时:各评分因素细分项中取消一个最高、一个最低分后计算算术平均值的和为投标人的最终技术得分，平均值计算保留小数点后三位，小数点后第四位“四舍五入”。</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评标委员会人数为</w:t>
            </w:r>
            <w:r>
              <w:rPr>
                <w:rFonts w:hint="eastAsia" w:ascii="宋体" w:hAnsi="宋体" w:eastAsia="宋体" w:cs="宋体"/>
                <w:color w:val="auto"/>
                <w:sz w:val="24"/>
                <w:szCs w:val="24"/>
                <w:highlight w:val="none"/>
                <w:lang w:val="en-US" w:eastAsia="zh-CN"/>
              </w:rPr>
              <w:t>5人时，</w:t>
            </w:r>
            <w:r>
              <w:rPr>
                <w:rFonts w:hint="eastAsia" w:ascii="宋体" w:hAnsi="宋体" w:eastAsia="宋体" w:cs="宋体"/>
                <w:color w:val="auto"/>
                <w:sz w:val="24"/>
                <w:szCs w:val="24"/>
                <w:highlight w:val="none"/>
              </w:rPr>
              <w:t>计算投标人技术得分时:</w:t>
            </w:r>
            <w:r>
              <w:rPr>
                <w:rFonts w:hint="eastAsia" w:ascii="宋体" w:hAnsi="宋体" w:eastAsia="宋体" w:cs="宋体"/>
                <w:color w:val="auto"/>
                <w:sz w:val="24"/>
                <w:szCs w:val="24"/>
                <w:highlight w:val="none"/>
                <w:lang w:val="en-US" w:eastAsia="zh-CN"/>
              </w:rPr>
              <w:t>各评分因素细分项的算术平均值的和为投标人的最终技术得分，平均值计算四舍五入保留小数点后三位。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4" w:type="dxa"/>
            <w:vAlign w:val="center"/>
          </w:tcPr>
          <w:p>
            <w:pPr>
              <w:keepNext w:val="0"/>
              <w:keepLines w:val="0"/>
              <w:pageBreakBefore w:val="0"/>
              <w:kinsoku/>
              <w:wordWrap/>
              <w:topLinePunct w:val="0"/>
              <w:bidi w:val="0"/>
              <w:spacing w:line="4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3.3</w:t>
            </w:r>
          </w:p>
        </w:tc>
        <w:tc>
          <w:tcPr>
            <w:tcW w:w="8042" w:type="dxa"/>
            <w:vAlign w:val="top"/>
          </w:tcPr>
          <w:p>
            <w:pPr>
              <w:keepNext w:val="0"/>
              <w:keepLines w:val="0"/>
              <w:pageBreakBefore w:val="0"/>
              <w:kinsoku/>
              <w:wordWrap/>
              <w:topLinePunct w:val="0"/>
              <w:bidi w:val="0"/>
              <w:spacing w:line="400" w:lineRule="exac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将评标办法范本原文第3.3款修改为：</w:t>
            </w:r>
          </w:p>
          <w:p>
            <w:pPr>
              <w:keepNext w:val="0"/>
              <w:keepLines w:val="0"/>
              <w:pageBreakBefore w:val="0"/>
              <w:kinsoku/>
              <w:wordWrap/>
              <w:overflowPunct w:val="0"/>
              <w:topLinePunct w:val="0"/>
              <w:bidi w:val="0"/>
              <w:spacing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个信封（商务文件及技术建议书）评审结束后，招标人将按照第二章“投标人须知”第5.1款规定的时间和地点对通过投标文件第一个信封（商务文件及技术建议书）评审的投标文件第二个信封（报价文件）进行开标。</w:t>
            </w:r>
          </w:p>
          <w:p>
            <w:pPr>
              <w:keepNext w:val="0"/>
              <w:keepLines w:val="0"/>
              <w:pageBreakBefore w:val="0"/>
              <w:kinsoku/>
              <w:wordWrap/>
              <w:topLinePunct w:val="0"/>
              <w:bidi w:val="0"/>
              <w:snapToGrid w:val="0"/>
              <w:spacing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只有通过第一个信封（商务文件及技术建议书）评审的投标人才能继续参加第二信封（报价文件）的评审。对不通过第一个信封（商务文件及技术建议书）评审的投标人的第二信封直接退回，不再开启内层信封。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4" w:type="dxa"/>
            <w:vAlign w:val="center"/>
          </w:tcPr>
          <w:p>
            <w:pPr>
              <w:pStyle w:val="17"/>
              <w:keepNext w:val="0"/>
              <w:keepLines w:val="0"/>
              <w:pageBreakBefore w:val="0"/>
              <w:kinsoku/>
              <w:wordWrap/>
              <w:topLinePunct w:val="0"/>
              <w:bidi w:val="0"/>
              <w:spacing w:line="400" w:lineRule="exact"/>
              <w:ind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3.6</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删除</w:t>
            </w:r>
            <w:r>
              <w:rPr>
                <w:rFonts w:hint="eastAsia" w:ascii="宋体" w:hAnsi="宋体" w:eastAsia="宋体" w:cs="宋体"/>
                <w:b w:val="0"/>
                <w:bCs w:val="0"/>
                <w:color w:val="auto"/>
                <w:sz w:val="24"/>
                <w:szCs w:val="24"/>
                <w:highlight w:val="none"/>
              </w:rPr>
              <w:t>评标办法范本原文</w:t>
            </w:r>
            <w:r>
              <w:rPr>
                <w:rFonts w:hint="eastAsia" w:ascii="宋体" w:hAnsi="宋体" w:eastAsia="宋体" w:cs="宋体"/>
                <w:b w:val="0"/>
                <w:bCs w:val="0"/>
                <w:color w:val="auto"/>
                <w:sz w:val="24"/>
                <w:szCs w:val="24"/>
                <w:highlight w:val="none"/>
                <w:lang w:val="en-US" w:eastAsia="zh-CN"/>
              </w:rPr>
              <w:t>第3.6.1款内容，</w:t>
            </w:r>
            <w:r>
              <w:rPr>
                <w:rFonts w:hint="eastAsia" w:ascii="宋体" w:hAnsi="宋体" w:eastAsia="宋体" w:cs="宋体"/>
                <w:b w:val="0"/>
                <w:bCs w:val="0"/>
                <w:color w:val="auto"/>
                <w:sz w:val="24"/>
                <w:szCs w:val="24"/>
                <w:highlight w:val="none"/>
              </w:rPr>
              <w:t>增加</w:t>
            </w:r>
            <w:r>
              <w:rPr>
                <w:rFonts w:hint="eastAsia" w:ascii="宋体" w:hAnsi="宋体" w:eastAsia="宋体" w:cs="宋体"/>
                <w:b w:val="0"/>
                <w:bCs w:val="0"/>
                <w:color w:val="auto"/>
                <w:sz w:val="24"/>
                <w:szCs w:val="24"/>
                <w:highlight w:val="none"/>
                <w:lang w:val="en-US" w:eastAsia="zh-CN"/>
              </w:rPr>
              <w:t>第</w:t>
            </w:r>
            <w:r>
              <w:rPr>
                <w:rFonts w:hint="eastAsia" w:ascii="宋体" w:hAnsi="宋体" w:eastAsia="宋体" w:cs="宋体"/>
                <w:b w:val="0"/>
                <w:bCs w:val="0"/>
                <w:color w:val="auto"/>
                <w:sz w:val="24"/>
                <w:szCs w:val="24"/>
                <w:highlight w:val="none"/>
              </w:rPr>
              <w:t>3.6.3、3.6.4款：</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3.6.4</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本招标文件规定的否决投标条款：</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（1）招标公告第3</w:t>
            </w:r>
            <w:r>
              <w:rPr>
                <w:rFonts w:hint="eastAsia" w:ascii="宋体" w:hAnsi="宋体" w:eastAsia="宋体" w:cs="宋体"/>
                <w:b w:val="0"/>
                <w:bCs w:val="0"/>
                <w:color w:val="auto"/>
                <w:sz w:val="24"/>
                <w:szCs w:val="24"/>
                <w:highlight w:val="none"/>
                <w:lang w:val="en-US" w:eastAsia="zh-CN"/>
              </w:rPr>
              <w:t>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投标人资格要求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（2）投标人须知1.4款、1.12款、3.2款、3.3款、3.4款、3.5款、3.6款、10.</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款、10.</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款；</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（3）本评标办法否决条款</w:t>
            </w:r>
            <w:r>
              <w:rPr>
                <w:rFonts w:hint="eastAsia" w:ascii="宋体" w:hAnsi="宋体" w:eastAsia="宋体" w:cs="宋体"/>
                <w:b w:val="0"/>
                <w:bCs w:val="0"/>
                <w:color w:val="auto"/>
                <w:sz w:val="24"/>
                <w:szCs w:val="24"/>
                <w:highlight w:val="none"/>
                <w:lang w:eastAsia="zh-CN"/>
              </w:rPr>
              <w:t>；</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）法律、法规及招标文件等规定的其它否决投标的情形。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评标办法范本原文增加3.9.3款-3.9.</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款：</w:t>
            </w:r>
          </w:p>
          <w:p>
            <w:pPr>
              <w:pStyle w:val="14"/>
              <w:keepNext w:val="0"/>
              <w:keepLines w:val="0"/>
              <w:pageBreakBefore w:val="0"/>
              <w:kinsoku/>
              <w:wordWrap/>
              <w:topLinePunct w:val="0"/>
              <w:bidi w:val="0"/>
              <w:spacing w:line="400" w:lineRule="exact"/>
              <w:ind w:firstLine="4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3.9.3</w:t>
            </w:r>
            <w:r>
              <w:rPr>
                <w:rFonts w:hint="eastAsia" w:ascii="宋体" w:hAnsi="宋体" w:eastAsia="宋体" w:cs="宋体"/>
                <w:color w:val="auto"/>
                <w:sz w:val="24"/>
                <w:szCs w:val="24"/>
                <w:highlight w:val="none"/>
                <w:lang w:val="en-US" w:eastAsia="zh-CN"/>
              </w:rPr>
              <w:t xml:space="preserve"> 推荐中标候选人方式</w:t>
            </w:r>
          </w:p>
          <w:p>
            <w:pPr>
              <w:pStyle w:val="14"/>
              <w:keepNext w:val="0"/>
              <w:keepLines w:val="0"/>
              <w:pageBreakBefore w:val="0"/>
              <w:kinsoku/>
              <w:wordWrap/>
              <w:topLinePunct w:val="0"/>
              <w:bidi w:val="0"/>
              <w:spacing w:line="400" w:lineRule="exact"/>
              <w:ind w:firstLine="4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各标段的投标人按照综合得分由高到低的顺序进行排名，全部标段排名完成后，按最高投标限价高低顺序依次推荐各标段中标候选人，每个标段综合得分排名前3名的投标人分别为该标段第一、二、三中标候选人（若不足3名，则按实际数量选取）。</w:t>
            </w:r>
          </w:p>
          <w:p>
            <w:pPr>
              <w:pStyle w:val="14"/>
              <w:keepNext w:val="0"/>
              <w:keepLines w:val="0"/>
              <w:pageBreakBefore w:val="0"/>
              <w:kinsoku/>
              <w:wordWrap/>
              <w:topLinePunct w:val="0"/>
              <w:bidi w:val="0"/>
              <w:spacing w:line="400" w:lineRule="exact"/>
              <w:ind w:firstLine="42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（2）若同一投标人在多个标段都综合排名第一，则推荐该投标人为最高投标限价高的标段的第一中标候选人。</w:t>
            </w:r>
          </w:p>
          <w:p>
            <w:pPr>
              <w:pStyle w:val="14"/>
              <w:keepNext w:val="0"/>
              <w:keepLines w:val="0"/>
              <w:pageBreakBefore w:val="0"/>
              <w:kinsoku/>
              <w:wordWrap/>
              <w:topLinePunct w:val="0"/>
              <w:bidi w:val="0"/>
              <w:spacing w:line="400" w:lineRule="exact"/>
              <w:ind w:firstLine="42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（3）已被推荐为任一标段第一中标候选人的投标人，在其他标段自动失去中标候选人资格，其他标段综合排名名次高者自动上升为中标候选人，如此类推。</w:t>
            </w:r>
          </w:p>
          <w:p>
            <w:pPr>
              <w:pStyle w:val="14"/>
              <w:keepNext w:val="0"/>
              <w:keepLines w:val="0"/>
              <w:pageBreakBefore w:val="0"/>
              <w:kinsoku/>
              <w:wordWrap/>
              <w:topLinePunct w:val="0"/>
              <w:bidi w:val="0"/>
              <w:spacing w:line="400" w:lineRule="exact"/>
              <w:ind w:firstLine="42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（4）未在任一标段被推荐为第一中标候选人的投标人，可同时在不同标段被推荐为第二、第三中标候选人。</w:t>
            </w:r>
          </w:p>
          <w:p>
            <w:pPr>
              <w:pStyle w:val="14"/>
              <w:keepNext w:val="0"/>
              <w:keepLines w:val="0"/>
              <w:pageBreakBefore w:val="0"/>
              <w:kinsoku/>
              <w:wordWrap/>
              <w:topLinePunct w:val="0"/>
              <w:bidi w:val="0"/>
              <w:spacing w:line="4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3.9.4 </w:t>
            </w:r>
            <w:r>
              <w:rPr>
                <w:rFonts w:hint="eastAsia" w:ascii="宋体" w:hAnsi="宋体" w:eastAsia="宋体" w:cs="宋体"/>
                <w:color w:val="auto"/>
                <w:sz w:val="24"/>
                <w:szCs w:val="24"/>
                <w:highlight w:val="none"/>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如果发生无法确定推荐中标候选人的其它意外情况，评标委员会可建议招标人重新招标。</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3.9.7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但第一中标候选人的投标保证金不予退还。</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val="0"/>
        <w:spacing w:before="477" w:beforeLines="150" w:after="160" w:afterLines="50" w:line="440" w:lineRule="exact"/>
        <w:jc w:val="both"/>
        <w:textAlignment w:val="auto"/>
        <w:outlineLvl w:val="2"/>
        <w:rPr>
          <w:rFonts w:hint="eastAsia" w:ascii="黑体" w:hAnsi="黑体" w:eastAsia="黑体" w:cs="黑体"/>
          <w:b w:val="0"/>
          <w:bCs w:val="0"/>
          <w:color w:val="auto"/>
          <w:sz w:val="30"/>
          <w:szCs w:val="30"/>
          <w:highlight w:val="none"/>
        </w:rPr>
      </w:pPr>
      <w:bookmarkStart w:id="24" w:name="_Toc9140"/>
      <w:r>
        <w:rPr>
          <w:rFonts w:hint="eastAsia" w:ascii="黑体" w:hAnsi="黑体" w:eastAsia="黑体" w:cs="黑体"/>
          <w:b w:val="0"/>
          <w:bCs w:val="0"/>
          <w:color w:val="auto"/>
          <w:sz w:val="30"/>
          <w:szCs w:val="30"/>
          <w:highlight w:val="none"/>
        </w:rPr>
        <w:t>1</w:t>
      </w:r>
      <w:r>
        <w:rPr>
          <w:rFonts w:hint="eastAsia" w:ascii="黑体" w:hAnsi="黑体" w:eastAsia="黑体" w:cs="黑体"/>
          <w:b w:val="0"/>
          <w:bCs w:val="0"/>
          <w:color w:val="auto"/>
          <w:sz w:val="30"/>
          <w:szCs w:val="30"/>
          <w:highlight w:val="none"/>
          <w:lang w:val="en-US" w:eastAsia="zh-CN"/>
        </w:rPr>
        <w:t xml:space="preserve">. </w:t>
      </w:r>
      <w:r>
        <w:rPr>
          <w:rFonts w:hint="eastAsia" w:ascii="黑体" w:hAnsi="黑体" w:eastAsia="黑体" w:cs="黑体"/>
          <w:b w:val="0"/>
          <w:bCs w:val="0"/>
          <w:color w:val="auto"/>
          <w:sz w:val="30"/>
          <w:szCs w:val="30"/>
          <w:highlight w:val="none"/>
        </w:rPr>
        <w:t>评标方法</w:t>
      </w:r>
      <w:bookmarkEnd w:id="24"/>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val="0"/>
        <w:keepLines w:val="0"/>
        <w:pageBreakBefore w:val="0"/>
        <w:widowControl w:val="0"/>
        <w:kinsoku/>
        <w:wordWrap/>
        <w:overflowPunct/>
        <w:topLinePunct w:val="0"/>
        <w:autoSpaceDE/>
        <w:autoSpaceDN/>
        <w:bidi w:val="0"/>
        <w:adjustRightInd/>
        <w:snapToGrid w:val="0"/>
        <w:spacing w:before="477" w:beforeLines="150" w:after="160" w:afterLines="50" w:line="440" w:lineRule="exact"/>
        <w:jc w:val="both"/>
        <w:textAlignment w:val="auto"/>
        <w:outlineLvl w:val="2"/>
        <w:rPr>
          <w:rFonts w:hint="eastAsia" w:ascii="黑体" w:hAnsi="黑体" w:eastAsia="黑体" w:cs="黑体"/>
          <w:b w:val="0"/>
          <w:bCs w:val="0"/>
          <w:color w:val="auto"/>
          <w:sz w:val="30"/>
          <w:szCs w:val="30"/>
          <w:highlight w:val="none"/>
        </w:rPr>
      </w:pPr>
      <w:bookmarkStart w:id="25" w:name="_Toc10743"/>
      <w:r>
        <w:rPr>
          <w:rFonts w:hint="eastAsia" w:ascii="黑体" w:hAnsi="黑体" w:eastAsia="黑体" w:cs="黑体"/>
          <w:b w:val="0"/>
          <w:bCs w:val="0"/>
          <w:color w:val="auto"/>
          <w:sz w:val="30"/>
          <w:szCs w:val="30"/>
          <w:highlight w:val="none"/>
        </w:rPr>
        <w:t>2</w:t>
      </w:r>
      <w:r>
        <w:rPr>
          <w:rFonts w:hint="eastAsia" w:ascii="黑体" w:hAnsi="黑体" w:eastAsia="黑体" w:cs="黑体"/>
          <w:b w:val="0"/>
          <w:bCs w:val="0"/>
          <w:color w:val="auto"/>
          <w:sz w:val="30"/>
          <w:szCs w:val="30"/>
          <w:highlight w:val="none"/>
          <w:lang w:val="en-US" w:eastAsia="zh-CN"/>
        </w:rPr>
        <w:t xml:space="preserve">. </w:t>
      </w:r>
      <w:r>
        <w:rPr>
          <w:rFonts w:hint="eastAsia" w:ascii="黑体" w:hAnsi="黑体" w:eastAsia="黑体" w:cs="黑体"/>
          <w:b w:val="0"/>
          <w:bCs w:val="0"/>
          <w:color w:val="auto"/>
          <w:sz w:val="30"/>
          <w:szCs w:val="30"/>
          <w:highlight w:val="none"/>
        </w:rPr>
        <w:t>评审标准</w:t>
      </w:r>
      <w:bookmarkEnd w:id="25"/>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 初步评审标准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形式评审标准：见评标办法前附表。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资格评审标准：见评标办法前附表（适用于未进行资格预审的）。</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响应性评审标准：见评标办法前附表。</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分值构成与评分标准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 分值构成</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（1）技术建议书：见评标办法前附表；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（2）主要人员：见评标办法前附表；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（3）评标价：见评标办法前附表；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（4）其他评分因素：见评标办法前附表。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 评标基准价计算</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评标基准价计算方法：见评标办法前附表。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 评标价的偏差率计算</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评标价的偏差率计算公式：见评标办法前附表。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2.2.4 评分标准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（1）技术建议书评分标准：见评标办法前附表；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（2）主要人员评分标准：见评标办法前附表；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（3）评标价评分标准：见评标办法前附表；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（4）其他因素评分标准：见评标办法前附表。</w:t>
      </w:r>
    </w:p>
    <w:p>
      <w:pPr>
        <w:keepNext w:val="0"/>
        <w:keepLines w:val="0"/>
        <w:pageBreakBefore w:val="0"/>
        <w:widowControl w:val="0"/>
        <w:kinsoku/>
        <w:wordWrap/>
        <w:overflowPunct/>
        <w:topLinePunct w:val="0"/>
        <w:autoSpaceDE/>
        <w:autoSpaceDN/>
        <w:bidi w:val="0"/>
        <w:adjustRightInd/>
        <w:snapToGrid w:val="0"/>
        <w:spacing w:before="477" w:beforeLines="150" w:after="160" w:afterLines="50" w:line="440" w:lineRule="exact"/>
        <w:jc w:val="both"/>
        <w:textAlignment w:val="auto"/>
        <w:outlineLvl w:val="2"/>
        <w:rPr>
          <w:rFonts w:hint="eastAsia" w:ascii="黑体" w:hAnsi="黑体" w:eastAsia="黑体" w:cs="黑体"/>
          <w:b w:val="0"/>
          <w:bCs w:val="0"/>
          <w:color w:val="auto"/>
          <w:sz w:val="30"/>
          <w:szCs w:val="30"/>
          <w:highlight w:val="none"/>
        </w:rPr>
      </w:pPr>
      <w:bookmarkStart w:id="26" w:name="_Toc14680"/>
      <w:r>
        <w:rPr>
          <w:rFonts w:hint="eastAsia" w:ascii="黑体" w:hAnsi="黑体" w:eastAsia="黑体" w:cs="黑体"/>
          <w:b w:val="0"/>
          <w:bCs w:val="0"/>
          <w:color w:val="auto"/>
          <w:sz w:val="30"/>
          <w:szCs w:val="30"/>
          <w:highlight w:val="none"/>
        </w:rPr>
        <w:t>3</w:t>
      </w:r>
      <w:r>
        <w:rPr>
          <w:rFonts w:hint="eastAsia" w:ascii="黑体" w:hAnsi="黑体" w:eastAsia="黑体" w:cs="黑体"/>
          <w:b w:val="0"/>
          <w:bCs w:val="0"/>
          <w:color w:val="auto"/>
          <w:sz w:val="30"/>
          <w:szCs w:val="30"/>
          <w:highlight w:val="none"/>
          <w:lang w:val="en-US" w:eastAsia="zh-CN"/>
        </w:rPr>
        <w:t xml:space="preserve">. </w:t>
      </w:r>
      <w:r>
        <w:rPr>
          <w:rFonts w:hint="eastAsia" w:ascii="黑体" w:hAnsi="黑体" w:eastAsia="黑体" w:cs="黑体"/>
          <w:b w:val="0"/>
          <w:bCs w:val="0"/>
          <w:color w:val="auto"/>
          <w:sz w:val="30"/>
          <w:szCs w:val="30"/>
          <w:highlight w:val="none"/>
        </w:rPr>
        <w:t>评标程序</w:t>
      </w:r>
      <w:bookmarkEnd w:id="26"/>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 第一个信封初步评审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评标委员会可以要求投标人提交第二章“投标人须知”第3.5.1 项至第3.5.5 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第一个信封详细评审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评标委员会按本章第2.2 款规定的量化因素和分值进行打分，并计算出各投标人的商务和技术得分。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（1）按本章第2.2.4 项（1）目规定的评审因素和分值对技术建议书部分计算出得分A；</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（2）按本章第2.2.4 项（2）目规定的评审因素和分值对主要人员部分计算出得分B；</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（3）按本章第2.2.4 项（4）目规定的评审因素和分值对其他部分计算出得分D。</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投标人的商务和技术得分分值计算保留小数点后两位，小数点后第三位“四舍五入”。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投标人的商务和技术得分=A+B+D。</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第二个信封开标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第一个信封（商务及技术文件）评审结束后，招标人将按照第二章“投标人须知”第5.1 款规定的时间和地点对通过投标文件第一个信封（商务及技术文件）评审的投标文件第二个信封（报价文件）进行开标。</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第二个信封初步评审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评标委员会依据本章第2.1.1 项、第2.1.3 项规定的评审标准对投标文件第二个信封（报价文件）进行初步评审。有一项不符合评审标准的，评标委员会应否决其投标。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投标报价有算术错误的，评标委员会按以下原则对投标报价进行修正，修正的价格经投标人书面确认后具有约束力。投标人不接受修正价格的，评标委员会应否决其投标。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（1）投标文件中的大写金额与小写金额不一致的，以大写金额为准；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（2）总价金额与依据单价计算出的结果不一致的，以单价金额为准修正总价，但单价金额小数点有明显错误的除外；</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（3）当单价与数量相乘不等于合价时，以单价计算为准，如果单价有明显的小数点位置差错，应以标出的合价为准，同时对单价予以修正；</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（4）当各子目的合价累计不等于总价时，应以各子目合价累计数为准，修正总价。</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修正后的最终投标报价若超过最高投标限价（如有），评标委员会应否决其投标。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修正后的最终投标报价仅作为签订合同的一个依据，不参与评标价得分的计算。</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第二个信封详细评审</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评标委员会按本章第2.2.4项（3）目规定的评审因素和分值对评标价计算出得分C。评标价得分分值计算保留小数点后四位，小数点后第五位“四舍五入”。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投标人综合得分=投标人的商务和技术得分+C。</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 投标文件相关信息的核查</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（1）有下列情形之一的，属于投标人相互串通投标：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投标人之间协商投标报价等投标文件的实质性内容；</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投标人之间约定中标人；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投标人之间约定部分投标人放弃投标或中标；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属于同一集团、协会、商会等组织成员的投标人按照该组织要求协同投标；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投标人之间为谋取中标或排斥特定投标人而采取的其他联合行动。</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（2）有下列情形之一的，视为投标人相互串通投标：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不同投标人的投标文件由同一单位或个人编制；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不同投标人委托同一单位或个人办理投标事宜；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不同投标人的投标文件载明的项目管理成员为同一人；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不同投标人的投标文件异常一致或投标报价呈规律性差异；</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不同投标人的投标文件相互混装；</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不同投标人的投标保证金从同一单位或个人的账户转出。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（3）有下列情形之一的，属于招标人与投标人串通投标：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招标人在开标前开启投标文件并将有关信息泄露给其他投标人;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招标人直接或间接向投标人泄露标底、评标委员会成员等信息；</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招标人明示或暗示投标人压低或抬高投标报价；</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招标人授意投标人撤换、修改投标文件；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招标人明示或暗示投标人为特定投标人中标提供方便；</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招标人与投标人为谋求特定投标人中标而采取的其他串通行为。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（4）投标人有下列情形之一的，属于弄虚作假的行为：</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使用通过受让或租借等方式获取的资格、资质证书投标；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使用伪造、变造的许可证件；</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提供虚假的业绩；</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提供虚假的项目负责人或主要技术人员简历、劳动关系证明；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提供虚假的信用状况；</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其他弄虚作假的行为。</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 投标文件的澄清和说明</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 澄清和说明不得超出投标文件的范围或改变投标文件的实质性内容（算术性错误的修正除外）。投标人的书面澄清、说明属于投标文件的组成部分。</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评标委员会不得暗示或诱导投标人作出澄清、说明，对投标人提交的澄清、说明有疑问的，可以要求投标人进一步澄清或说明，直至满足评标委员会的要求。</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凡超出招标文件规定的或给发包人带来未曾要求的利益的变化、偏差或其他因素在评标时不予考虑。</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 不得否决投标的情形</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投标文件存在第二章“投标人须知”第1.12.3 项所列情形的，均视为细微偏差，评标委员会不得否决投标人的投标，应按照第二章“投标人须知”第1.12.4项规定的原则处理。</w:t>
      </w:r>
    </w:p>
    <w:p>
      <w:pPr>
        <w:keepNext w:val="0"/>
        <w:keepLines w:val="0"/>
        <w:pageBreakBefore w:val="0"/>
        <w:widowControl w:val="0"/>
        <w:kinsoku/>
        <w:wordWrap/>
        <w:overflowPunct/>
        <w:topLinePunct w:val="0"/>
        <w:autoSpaceDE/>
        <w:autoSpaceDN/>
        <w:bidi w:val="0"/>
        <w:adjustRightInd/>
        <w:snapToGrid/>
        <w:spacing w:before="318" w:beforeLines="100" w:after="160" w:afterLines="50" w:line="440" w:lineRule="exact"/>
        <w:ind w:firstLine="482" w:firstLineChars="200"/>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 评标结果</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 除第二章“投标人须知”前附表授权直接确定中标人外，评标委员会按照得分由高到低的顺序推荐中标候选人，并标明排序。</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 评标委员会完成评标后，应向招标人提交书面评标报告。</w:t>
      </w:r>
      <w:bookmarkEnd w:id="19"/>
      <w:bookmarkEnd w:id="20"/>
      <w:bookmarkEnd w:id="21"/>
      <w:bookmarkEnd w:id="22"/>
      <w:bookmarkEnd w:id="23"/>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sectPr>
          <w:headerReference r:id="rId16" w:type="first"/>
          <w:footerReference r:id="rId17" w:type="default"/>
          <w:headerReference r:id="rId15" w:type="even"/>
          <w:footerReference r:id="rId18" w:type="even"/>
          <w:footnotePr>
            <w:numFmt w:val="decimalEnclosedCircleChinese"/>
          </w:footnotePr>
          <w:pgSz w:w="11905" w:h="16840"/>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keepNext w:val="0"/>
        <w:keepLines w:val="0"/>
        <w:pageBreakBefore w:val="0"/>
        <w:widowControl w:val="0"/>
        <w:kinsoku/>
        <w:wordWrap/>
        <w:overflowPunct/>
        <w:topLinePunct w:val="0"/>
        <w:bidi w:val="0"/>
        <w:snapToGrid/>
        <w:spacing w:line="400" w:lineRule="exact"/>
        <w:jc w:val="center"/>
        <w:textAlignment w:val="auto"/>
        <w:outlineLvl w:val="9"/>
        <w:rPr>
          <w:rFonts w:hint="eastAsia" w:ascii="宋体" w:hAnsi="宋体" w:eastAsia="宋体" w:cs="宋体"/>
          <w:b/>
          <w:color w:val="auto"/>
          <w:sz w:val="24"/>
          <w:szCs w:val="24"/>
          <w:highlight w:val="none"/>
        </w:rPr>
        <w:sectPr>
          <w:footnotePr>
            <w:numFmt w:val="decimalEnclosedCircleChinese"/>
          </w:footnotePr>
          <w:type w:val="continuous"/>
          <w:pgSz w:w="11905" w:h="16840"/>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bCs/>
          <w:color w:val="auto"/>
          <w:sz w:val="21"/>
          <w:szCs w:val="21"/>
          <w:highlight w:val="none"/>
        </w:rPr>
        <w:sectPr>
          <w:footnotePr>
            <w:numFmt w:val="decimalEnclosedCircleChinese"/>
          </w:footnotePr>
          <w:type w:val="continuous"/>
          <w:pgSz w:w="11905" w:h="16840"/>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tbl>
      <w:tblPr>
        <w:tblStyle w:val="8"/>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8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条款号</w:t>
            </w:r>
          </w:p>
        </w:tc>
        <w:tc>
          <w:tcPr>
            <w:tcW w:w="8042"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将评标办法范本原文第1条“评标方法”改为“评标方法、组织及工作程序”，并且原文内容修改如下：</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评标方法</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评标组织</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协助工作组</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招标人可在评标工作开始前成立协助工作组，选派熟悉招标工作、政治素质高的人员组成，协助评标委员会工作。协助工作组人员的具体数量由招标人视评标工作量确定。</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招标人可以协助评标委员会开展下列工作并提供相关信息：</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（1）根据招标文件，编制评标使用的相应表格；</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（2）对投标报价进行算术性校核（如采用固化工程量清单，本步骤省略）；</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（3）以评标标准和方法为依据，列出投标文件相对于招标文件的所有偏差，并进行归类汇总；</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（4）对投标人的资质、业绩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人员、信誉等</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复核</w:t>
            </w:r>
            <w:r>
              <w:rPr>
                <w:rFonts w:hint="eastAsia" w:ascii="宋体" w:hAnsi="宋体" w:eastAsia="宋体" w:cs="宋体"/>
                <w:color w:val="auto"/>
                <w:sz w:val="24"/>
                <w:szCs w:val="24"/>
                <w:highlight w:val="none"/>
              </w:rPr>
              <w:t>。</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招标人不得对投标文件作出任何评价，不得故意遗漏或者片面摘录，不得在评标委员会对所有偏差定性之前透露存有偏差的投标人名称。</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评标委员会的组建按投标人须知第6.1.1项执行。评标委员会的主要工作内容包括：</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（1）评标委员会开始评标工作之前，首先听取招标人、协助工作组关于工程情况和辅助工作的说明，并认真研读招标文件，获取评标所需的重要信息和数据；</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（2）对协助工作组提供的评标工作用表和评标内容进行核查。</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3.2.3</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将评标办法范本原文第3.2.3款细化如下：</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投标人的商务和技术得分=A+B+D。</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除评标价和履约信誉得分外，各评审因素细分项的得分一般不得低于其权重分值的60%，评分低于上述权重分值百分比的，评标委员会成员应当在评标报告中作出说明。计算投标人技术得分时</w:t>
            </w:r>
            <w:r>
              <w:rPr>
                <w:rFonts w:hint="eastAsia" w:ascii="宋体" w:hAnsi="宋体" w:eastAsia="宋体" w:cs="宋体"/>
                <w:color w:val="auto"/>
                <w:sz w:val="24"/>
                <w:szCs w:val="24"/>
                <w:highlight w:val="none"/>
                <w:lang w:eastAsia="zh-CN"/>
              </w:rPr>
              <w:t>：</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）当评委人数为9人时：</w:t>
            </w:r>
            <w:r>
              <w:rPr>
                <w:rFonts w:hint="eastAsia" w:ascii="宋体" w:hAnsi="宋体" w:eastAsia="宋体" w:cs="宋体"/>
                <w:color w:val="auto"/>
                <w:sz w:val="24"/>
                <w:szCs w:val="24"/>
                <w:highlight w:val="none"/>
                <w:lang w:val="en-US" w:eastAsia="zh-CN"/>
              </w:rPr>
              <w:t>首先在评委技术评分中，对同一评委对各投标人评分总分的差值最大的评委评分进行取舍（当一位评委评分分差值最大时取消该评委评分；当两位以上评委评分差值均最大时，</w:t>
            </w:r>
            <w:r>
              <w:rPr>
                <w:rFonts w:hint="eastAsia" w:ascii="宋体" w:hAnsi="宋体" w:eastAsia="宋体" w:cs="宋体"/>
                <w:color w:val="auto"/>
                <w:sz w:val="24"/>
                <w:szCs w:val="24"/>
                <w:highlight w:val="none"/>
              </w:rPr>
              <w:t>依次采用以下方法确定取消</w:t>
            </w:r>
            <w:r>
              <w:rPr>
                <w:rFonts w:hint="eastAsia" w:ascii="宋体" w:hAnsi="宋体" w:eastAsia="宋体" w:cs="宋体"/>
                <w:color w:val="auto"/>
                <w:sz w:val="24"/>
                <w:szCs w:val="24"/>
                <w:highlight w:val="none"/>
                <w:lang w:val="en-US" w:eastAsia="zh-CN"/>
              </w:rPr>
              <w:t>其中一位</w:t>
            </w:r>
            <w:r>
              <w:rPr>
                <w:rFonts w:hint="eastAsia" w:ascii="宋体" w:hAnsi="宋体" w:eastAsia="宋体" w:cs="宋体"/>
                <w:color w:val="auto"/>
                <w:sz w:val="24"/>
                <w:szCs w:val="24"/>
                <w:highlight w:val="none"/>
              </w:rPr>
              <w:t>评委评分：</w:t>
            </w:r>
            <w:r>
              <w:rPr>
                <w:rFonts w:hint="eastAsia" w:ascii="宋体" w:hAnsi="宋体" w:eastAsia="宋体" w:cs="宋体"/>
                <w:color w:val="auto"/>
                <w:sz w:val="24"/>
                <w:szCs w:val="24"/>
                <w:highlight w:val="none"/>
                <w:lang w:val="en-US" w:eastAsia="zh-CN"/>
              </w:rPr>
              <w:t xml:space="preserve">① </w:t>
            </w:r>
            <w:r>
              <w:rPr>
                <w:rFonts w:hint="eastAsia" w:ascii="宋体" w:hAnsi="宋体" w:eastAsia="宋体" w:cs="宋体"/>
                <w:color w:val="auto"/>
                <w:sz w:val="24"/>
                <w:szCs w:val="24"/>
                <w:highlight w:val="none"/>
              </w:rPr>
              <w:t>比较分差值最大的评委分别对所有投标人的技术评分总和，取消总和较低的评委评分；</w:t>
            </w:r>
            <w:r>
              <w:rPr>
                <w:rFonts w:hint="eastAsia" w:ascii="宋体" w:hAnsi="宋体" w:eastAsia="宋体" w:cs="宋体"/>
                <w:color w:val="auto"/>
                <w:sz w:val="24"/>
                <w:szCs w:val="24"/>
                <w:highlight w:val="none"/>
                <w:lang w:val="en-US" w:eastAsia="zh-CN"/>
              </w:rPr>
              <w:t xml:space="preserve">② </w:t>
            </w:r>
            <w:r>
              <w:rPr>
                <w:rFonts w:hint="eastAsia" w:ascii="宋体" w:hAnsi="宋体" w:eastAsia="宋体" w:cs="宋体"/>
                <w:color w:val="auto"/>
                <w:sz w:val="24"/>
                <w:szCs w:val="24"/>
                <w:highlight w:val="none"/>
              </w:rPr>
              <w:t>比较次分差（次分差=某一评委对各投标人技术评分的最高分-该评委对各投标人技术评分的次低分），取消次分差大的评委评分；</w:t>
            </w:r>
            <w:r>
              <w:rPr>
                <w:rFonts w:hint="eastAsia" w:ascii="宋体" w:hAnsi="宋体" w:eastAsia="宋体" w:cs="宋体"/>
                <w:color w:val="auto"/>
                <w:sz w:val="24"/>
                <w:szCs w:val="24"/>
                <w:highlight w:val="none"/>
                <w:lang w:val="en-US" w:eastAsia="zh-CN"/>
              </w:rPr>
              <w:t xml:space="preserve">③ </w:t>
            </w:r>
            <w:r>
              <w:rPr>
                <w:rFonts w:hint="eastAsia" w:ascii="宋体" w:hAnsi="宋体" w:eastAsia="宋体" w:cs="宋体"/>
                <w:color w:val="auto"/>
                <w:sz w:val="24"/>
                <w:szCs w:val="24"/>
                <w:highlight w:val="none"/>
              </w:rPr>
              <w:t>采取随机摇珠的方式取消</w:t>
            </w:r>
            <w:r>
              <w:rPr>
                <w:rFonts w:hint="eastAsia" w:ascii="宋体" w:hAnsi="宋体" w:eastAsia="宋体" w:cs="宋体"/>
                <w:color w:val="auto"/>
                <w:sz w:val="24"/>
                <w:szCs w:val="24"/>
                <w:highlight w:val="none"/>
                <w:lang w:val="en-US" w:eastAsia="zh-CN"/>
              </w:rPr>
              <w:t>一位</w:t>
            </w:r>
            <w:r>
              <w:rPr>
                <w:rFonts w:hint="eastAsia" w:ascii="宋体" w:hAnsi="宋体" w:eastAsia="宋体" w:cs="宋体"/>
                <w:color w:val="auto"/>
                <w:sz w:val="24"/>
                <w:szCs w:val="24"/>
                <w:highlight w:val="none"/>
              </w:rPr>
              <w:t>评委评分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再对各评分因素细分项中取消一个最高、一个最低分后计算算术平均值的和为投标人的最终技术得分，平均值计算四舍五入保留小数点后三位。</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当评委人数为7人时：在评委评分中，对各评分因素细分项中取消一个最高、一个最低分后计算算术平均值的和为投标人的最终技术得分，平均值计算四舍五入保留小数点后三位。</w:t>
            </w:r>
          </w:p>
          <w:p>
            <w:pPr>
              <w:keepNext w:val="0"/>
              <w:keepLines w:val="0"/>
              <w:pageBreakBefore w:val="0"/>
              <w:kinsoku/>
              <w:wordWrap/>
              <w:topLinePunct w:val="0"/>
              <w:autoSpaceDE w:val="0"/>
              <w:autoSpaceDN w:val="0"/>
              <w:bidi w:val="0"/>
              <w:adjustRightInd w:val="0"/>
              <w:spacing w:line="40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（3）当评委人数为5人时：在评委评分中，对各评分因素细分项的算术平均值的和为投标人的最终技术得分，平均值计算四舍五入保留小数点后三位。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144" w:type="dxa"/>
            <w:vAlign w:val="center"/>
          </w:tcPr>
          <w:p>
            <w:pPr>
              <w:keepNext w:val="0"/>
              <w:keepLines w:val="0"/>
              <w:pageBreakBefore w:val="0"/>
              <w:kinsoku/>
              <w:wordWrap/>
              <w:topLinePunct w:val="0"/>
              <w:bidi w:val="0"/>
              <w:spacing w:line="4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3.3</w:t>
            </w:r>
          </w:p>
        </w:tc>
        <w:tc>
          <w:tcPr>
            <w:tcW w:w="8042" w:type="dxa"/>
            <w:vAlign w:val="top"/>
          </w:tcPr>
          <w:p>
            <w:pPr>
              <w:keepNext w:val="0"/>
              <w:keepLines w:val="0"/>
              <w:pageBreakBefore w:val="0"/>
              <w:kinsoku/>
              <w:wordWrap/>
              <w:topLinePunct w:val="0"/>
              <w:bidi w:val="0"/>
              <w:spacing w:line="400" w:lineRule="exac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将评标办法范本原文第3.3款修改为：</w:t>
            </w:r>
          </w:p>
          <w:p>
            <w:pPr>
              <w:keepNext w:val="0"/>
              <w:keepLines w:val="0"/>
              <w:pageBreakBefore w:val="0"/>
              <w:kinsoku/>
              <w:wordWrap/>
              <w:overflowPunct w:val="0"/>
              <w:topLinePunct w:val="0"/>
              <w:bidi w:val="0"/>
              <w:spacing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个信封（商务文件及技术建议书）评审结束后，招标人将按照第二章“投标人须知”第5.1款规定的时间和地点对通过投标文件第一个信封（商务文件及技术建议书）评审的投标文件第二个信封（报价文件）进行开标。</w:t>
            </w:r>
          </w:p>
          <w:p>
            <w:pPr>
              <w:keepNext w:val="0"/>
              <w:keepLines w:val="0"/>
              <w:pageBreakBefore w:val="0"/>
              <w:kinsoku/>
              <w:wordWrap/>
              <w:topLinePunct w:val="0"/>
              <w:bidi w:val="0"/>
              <w:snapToGrid w:val="0"/>
              <w:spacing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只有通过第一个信封（商务文件及技术建议书）评审的投标人才能继续参加第二信封（报价文件）的评审。对不通过第一个信封（商务文件及技术建议书）评审的投标人的第二信封直接退回，不再开启内层信封。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4" w:type="dxa"/>
            <w:vAlign w:val="center"/>
          </w:tcPr>
          <w:p>
            <w:pPr>
              <w:pStyle w:val="17"/>
              <w:keepNext w:val="0"/>
              <w:keepLines w:val="0"/>
              <w:pageBreakBefore w:val="0"/>
              <w:kinsoku/>
              <w:wordWrap/>
              <w:topLinePunct w:val="0"/>
              <w:bidi w:val="0"/>
              <w:spacing w:line="400" w:lineRule="exact"/>
              <w:ind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3.6</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删除</w:t>
            </w:r>
            <w:r>
              <w:rPr>
                <w:rFonts w:hint="eastAsia" w:ascii="宋体" w:hAnsi="宋体" w:eastAsia="宋体" w:cs="宋体"/>
                <w:b w:val="0"/>
                <w:bCs w:val="0"/>
                <w:color w:val="auto"/>
                <w:sz w:val="24"/>
                <w:szCs w:val="24"/>
                <w:highlight w:val="none"/>
              </w:rPr>
              <w:t>评标办法范本原文</w:t>
            </w:r>
            <w:r>
              <w:rPr>
                <w:rFonts w:hint="eastAsia" w:ascii="宋体" w:hAnsi="宋体" w:eastAsia="宋体" w:cs="宋体"/>
                <w:b w:val="0"/>
                <w:bCs w:val="0"/>
                <w:color w:val="auto"/>
                <w:sz w:val="24"/>
                <w:szCs w:val="24"/>
                <w:highlight w:val="none"/>
                <w:lang w:val="en-US" w:eastAsia="zh-CN"/>
              </w:rPr>
              <w:t>第3.6.1款内容，</w:t>
            </w:r>
            <w:r>
              <w:rPr>
                <w:rFonts w:hint="eastAsia" w:ascii="宋体" w:hAnsi="宋体" w:eastAsia="宋体" w:cs="宋体"/>
                <w:b w:val="0"/>
                <w:bCs w:val="0"/>
                <w:color w:val="auto"/>
                <w:sz w:val="24"/>
                <w:szCs w:val="24"/>
                <w:highlight w:val="none"/>
              </w:rPr>
              <w:t>增加</w:t>
            </w:r>
            <w:r>
              <w:rPr>
                <w:rFonts w:hint="eastAsia" w:ascii="宋体" w:hAnsi="宋体" w:eastAsia="宋体" w:cs="宋体"/>
                <w:b w:val="0"/>
                <w:bCs w:val="0"/>
                <w:color w:val="auto"/>
                <w:sz w:val="24"/>
                <w:szCs w:val="24"/>
                <w:highlight w:val="none"/>
                <w:lang w:val="en-US" w:eastAsia="zh-CN"/>
              </w:rPr>
              <w:t>第</w:t>
            </w:r>
            <w:r>
              <w:rPr>
                <w:rFonts w:hint="eastAsia" w:ascii="宋体" w:hAnsi="宋体" w:eastAsia="宋体" w:cs="宋体"/>
                <w:b w:val="0"/>
                <w:bCs w:val="0"/>
                <w:color w:val="auto"/>
                <w:sz w:val="24"/>
                <w:szCs w:val="24"/>
                <w:highlight w:val="none"/>
              </w:rPr>
              <w:t>3.6.3、3.6.4款：</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3.6.4</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本招标文件规定的否决投标条款：</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（1）招标公告第3</w:t>
            </w:r>
            <w:r>
              <w:rPr>
                <w:rFonts w:hint="eastAsia" w:ascii="宋体" w:hAnsi="宋体" w:eastAsia="宋体" w:cs="宋体"/>
                <w:b w:val="0"/>
                <w:bCs w:val="0"/>
                <w:color w:val="auto"/>
                <w:sz w:val="24"/>
                <w:szCs w:val="24"/>
                <w:highlight w:val="none"/>
                <w:lang w:val="en-US" w:eastAsia="zh-CN"/>
              </w:rPr>
              <w:t>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投标人资格要求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（2）投标人须知1.4.3款、1.4.4款、1.12款、3.2款、3.3款、3.4款、3.5款、3.6款、</w:t>
            </w:r>
            <w:r>
              <w:rPr>
                <w:rFonts w:hint="eastAsia" w:ascii="宋体" w:hAnsi="宋体" w:eastAsia="宋体" w:cs="宋体"/>
                <w:b w:val="0"/>
                <w:bCs w:val="0"/>
                <w:color w:val="auto"/>
                <w:sz w:val="24"/>
                <w:szCs w:val="24"/>
                <w:highlight w:val="none"/>
                <w:lang w:val="en-US" w:eastAsia="zh-CN"/>
              </w:rPr>
              <w:t>7.1款、</w:t>
            </w:r>
            <w:r>
              <w:rPr>
                <w:rFonts w:hint="eastAsia" w:ascii="宋体" w:hAnsi="宋体" w:eastAsia="宋体" w:cs="宋体"/>
                <w:b w:val="0"/>
                <w:bCs w:val="0"/>
                <w:color w:val="auto"/>
                <w:sz w:val="24"/>
                <w:szCs w:val="24"/>
                <w:highlight w:val="none"/>
              </w:rPr>
              <w:t>10.</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款、10.</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款；</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（3）本评标办法否决条款</w:t>
            </w:r>
            <w:r>
              <w:rPr>
                <w:rFonts w:hint="eastAsia" w:ascii="宋体" w:hAnsi="宋体" w:eastAsia="宋体" w:cs="宋体"/>
                <w:b w:val="0"/>
                <w:bCs w:val="0"/>
                <w:color w:val="auto"/>
                <w:sz w:val="24"/>
                <w:szCs w:val="24"/>
                <w:highlight w:val="none"/>
                <w:lang w:eastAsia="zh-CN"/>
              </w:rPr>
              <w:t>；</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）法律、法规及招标文件等规定的其它否决投标的情形。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pPr>
              <w:pStyle w:val="17"/>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3.9</w:t>
            </w:r>
          </w:p>
        </w:tc>
        <w:tc>
          <w:tcPr>
            <w:tcW w:w="8042" w:type="dxa"/>
            <w:vAlign w:val="center"/>
          </w:tcPr>
          <w:p>
            <w:pPr>
              <w:pStyle w:val="14"/>
              <w:keepNext w:val="0"/>
              <w:keepLines w:val="0"/>
              <w:pageBreakBefore w:val="0"/>
              <w:kinsoku/>
              <w:wordWrap/>
              <w:topLinePunct w:val="0"/>
              <w:bidi w:val="0"/>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评标办法范本原文增加3.9.3款-3.9.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款：</w:t>
            </w:r>
          </w:p>
          <w:p>
            <w:pPr>
              <w:pStyle w:val="14"/>
              <w:keepNext w:val="0"/>
              <w:keepLines w:val="0"/>
              <w:pageBreakBefore w:val="0"/>
              <w:kinsoku/>
              <w:wordWrap/>
              <w:topLinePunct w:val="0"/>
              <w:bidi w:val="0"/>
              <w:spacing w:line="4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pStyle w:val="14"/>
              <w:keepNext w:val="0"/>
              <w:keepLines w:val="0"/>
              <w:pageBreakBefore w:val="0"/>
              <w:kinsoku/>
              <w:wordWrap/>
              <w:topLinePunct w:val="0"/>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如果发生无法确定推荐中标候选人的其它意外情况，评标委员会可建议招标人重新招标。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sectPr>
      <w:footerReference r:id="rId19"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3">
      <wne:acd wne:acdName="acd2"/>
    </wne:keymap>
  </wne:keymaps>
  <wne:acds>
    <wne:acd wne:argValue="AgBja4dlNQA=" wne:acdName="acd0" wne:fciIndexBasedOn="0065"/>
    <wne:acd wne:argValue="AgAIVAxUD1wHaJiY" wne:acdName="acd1" wne:fciIndexBasedOn="0065"/>
    <wne:acd wne:argValue="AgAIVAxULU4HaJiY"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p>
    <w:pPr>
      <w:pStyle w:val="6"/>
      <w:spacing w:line="240" w:lineRule="exact"/>
      <w:ind w:right="360" w:firstLine="360"/>
      <w:jc w:val="center"/>
      <w:rPr>
        <w:rFonts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p>
    <w:pPr>
      <w:pStyle w:val="6"/>
      <w:spacing w:line="240" w:lineRule="exact"/>
      <w:ind w:right="360" w:firstLine="360"/>
      <w:jc w:val="center"/>
      <w:rPr>
        <w:rFonts w:eastAsia="黑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81" w:yAlign="center"/>
      <w:rPr>
        <w:rStyle w:val="19"/>
      </w:rPr>
    </w:pPr>
    <w:r>
      <w:fldChar w:fldCharType="begin"/>
    </w:r>
    <w:r>
      <w:rPr>
        <w:rStyle w:val="19"/>
      </w:rPr>
      <w:instrText xml:space="preserve">PAGE  </w:instrText>
    </w:r>
    <w:r>
      <w:fldChar w:fldCharType="separate"/>
    </w:r>
    <w:r>
      <w:rPr>
        <w:rStyle w:val="19"/>
      </w:rPr>
      <w:t>156</w:t>
    </w:r>
    <w:r>
      <w:fldChar w:fldCharType="end"/>
    </w:r>
  </w:p>
  <w:p>
    <w:pPr>
      <w:pStyle w:val="6"/>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81" w:yAlign="center"/>
      <w:rPr>
        <w:rStyle w:val="19"/>
      </w:rPr>
    </w:pPr>
    <w:r>
      <w:fldChar w:fldCharType="begin"/>
    </w:r>
    <w:r>
      <w:rPr>
        <w:rStyle w:val="19"/>
      </w:rPr>
      <w:instrText xml:space="preserve">PAGE  </w:instrText>
    </w:r>
    <w:r>
      <w:fldChar w:fldCharType="separate"/>
    </w:r>
    <w:r>
      <w:rPr>
        <w:rStyle w:val="19"/>
      </w:rPr>
      <w:t>156</w:t>
    </w:r>
    <w:r>
      <w:fldChar w:fldCharType="end"/>
    </w:r>
  </w:p>
  <w:p>
    <w:pPr>
      <w:pStyle w:val="6"/>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Cs w:val="17"/>
      </w:rPr>
    </w:pPr>
    <w:r>
      <w:pict>
        <v:shape id="_x0000_s4104" o:spid="_x0000_s4104" o:spt="136" type="#_x0000_t136" style="position:absolute;left:0pt;height:103.2pt;width:51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103" o:spid="_x0000_s4103" o:spt="136" type="#_x0000_t136" style="position:absolute;left:0pt;height:103.2pt;width:516.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Cs w:val="17"/>
      </w:rPr>
    </w:pPr>
    <w:r>
      <w:pict>
        <v:shape id="艺术字 5" o:spid="_x0000_s4098" o:spt="136" type="#_x0000_t136" style="position:absolute;left:0pt;height:103.2pt;width:51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艺术字 6" o:spid="_x0000_s4097" o:spt="136" type="#_x0000_t136" style="position:absolute;left:0pt;height:103.2pt;width:516.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opLinePunct/>
      <w:spacing w:line="240" w:lineRule="atLeast"/>
      <w:ind w:right="190"/>
      <w:rPr>
        <w:rStyle w:val="18"/>
        <w:rFonts w:eastAsia="黑体"/>
        <w:kern w:val="10"/>
        <w:sz w:val="22"/>
        <w:szCs w:val="22"/>
      </w:rPr>
    </w:pPr>
    <w:r>
      <w:pict>
        <v:shape id="_x0000_s4110" o:spid="_x0000_s4110" o:spt="136" type="#_x0000_t136" style="position:absolute;left:0pt;height:103.2pt;width:516.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r>
      <w:rPr>
        <w:rStyle w:val="18"/>
        <w:rFonts w:eastAsia="黑体"/>
        <w:b w:val="0"/>
        <w:bCs w:val="0"/>
        <w:kern w:val="10"/>
        <w:sz w:val="22"/>
        <w:szCs w:val="22"/>
      </w:rPr>
      <w:t>公路工程标准施工监理招标文件（2016年版）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109" o:spid="_x0000_s4109" o:spt="136" type="#_x0000_t136" style="position:absolute;left:0pt;height:103.2pt;width:51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opLinePunct/>
      <w:spacing w:line="240" w:lineRule="atLeast"/>
      <w:ind w:right="190"/>
      <w:rPr>
        <w:rStyle w:val="18"/>
        <w:rFonts w:eastAsia="黑体"/>
        <w:kern w:val="10"/>
        <w:sz w:val="22"/>
        <w:szCs w:val="22"/>
      </w:rPr>
    </w:pPr>
    <w:r>
      <w:pict>
        <v:shape id="_x0000_s4102" o:spid="_x0000_s4102" o:spt="136" type="#_x0000_t136" style="position:absolute;left:0pt;height:103.2pt;width:516.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r>
      <w:rPr>
        <w:rStyle w:val="18"/>
        <w:rFonts w:eastAsia="黑体"/>
        <w:b w:val="0"/>
        <w:bCs w:val="0"/>
        <w:kern w:val="10"/>
        <w:sz w:val="22"/>
        <w:szCs w:val="22"/>
      </w:rPr>
      <w:t>公路工程标准施工监理招标文件（2016年版）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艺术字 12" o:spid="_x0000_s4101" o:spt="136" type="#_x0000_t136" style="position:absolute;left:0pt;height:103.2pt;width:51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征求意见稿"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WQ2MDJhNmJjYjc0YzEzNmIzMzQzZTYxMWU0NzYifQ=="/>
  </w:docVars>
  <w:rsids>
    <w:rsidRoot w:val="00172A27"/>
    <w:rsid w:val="034A2558"/>
    <w:rsid w:val="0EE9498F"/>
    <w:rsid w:val="0FB616A1"/>
    <w:rsid w:val="11466EB6"/>
    <w:rsid w:val="2F395C96"/>
    <w:rsid w:val="2F57626F"/>
    <w:rsid w:val="376E5034"/>
    <w:rsid w:val="3BEA04C4"/>
    <w:rsid w:val="3E312479"/>
    <w:rsid w:val="49A618DC"/>
    <w:rsid w:val="52FF00BB"/>
    <w:rsid w:val="60EF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jc w:val="left"/>
      <w:outlineLvl w:val="1"/>
    </w:pPr>
    <w:rPr>
      <w:rFonts w:ascii="等线 Light" w:hAnsi="等线 Light"/>
      <w:b/>
      <w:bCs/>
      <w:sz w:val="32"/>
      <w:szCs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Body Text Indent"/>
    <w:basedOn w:val="1"/>
    <w:qFormat/>
    <w:uiPriority w:val="0"/>
    <w:pPr>
      <w:spacing w:after="120"/>
      <w:ind w:left="420" w:leftChars="200"/>
      <w:pPrChange w:id="0" w:author="He Runjing" w:date="2020-12-29T18:07:00Z">
        <w:pPr>
          <w:widowControl w:val="0"/>
          <w:adjustRightInd w:val="0"/>
          <w:spacing w:after="120" w:line="500" w:lineRule="atLeast"/>
          <w:ind w:left="420" w:leftChars="200" w:firstLine="880" w:firstLineChars="200"/>
          <w:textAlignment w:val="baseline"/>
        </w:pPr>
      </w:pPrChange>
    </w:pPr>
    <w:rPr>
      <w:rFonts w:ascii="Times New Roman" w:hAnsi="Times New Roman"/>
      <w:szCs w:val="24"/>
      <w:rPrChange w:id="1" w:author="He Runjing" w:date="2020-12-29T18:07:00Z">
        <w:rPr>
          <w:rFonts w:eastAsia="宋体"/>
          <w:sz w:val="24"/>
          <w:szCs w:val="24"/>
          <w:lang w:val="en-US" w:eastAsia="zh-CN" w:bidi="ar-SA"/>
        </w:rPr>
      </w:rPrChange>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5"/>
    <w:basedOn w:val="1"/>
    <w:qFormat/>
    <w:uiPriority w:val="0"/>
    <w:pPr>
      <w:spacing w:line="360" w:lineRule="auto"/>
      <w:ind w:firstLine="880" w:firstLineChars="200"/>
    </w:pPr>
    <w:rPr>
      <w:rFonts w:ascii="宋体" w:hAnsi="宋体" w:eastAsia="宋体" w:cs="宋体"/>
      <w:sz w:val="24"/>
    </w:rPr>
  </w:style>
  <w:style w:type="paragraph" w:customStyle="1" w:styleId="11">
    <w:name w:val="合同小标题"/>
    <w:basedOn w:val="1"/>
    <w:qFormat/>
    <w:uiPriority w:val="0"/>
    <w:pPr>
      <w:spacing w:line="360" w:lineRule="auto"/>
      <w:ind w:firstLine="880" w:firstLineChars="200"/>
      <w:outlineLvl w:val="3"/>
    </w:pPr>
    <w:rPr>
      <w:rFonts w:ascii="宋体" w:hAnsi="宋体" w:cs="宋体"/>
      <w:b/>
      <w:sz w:val="24"/>
    </w:rPr>
  </w:style>
  <w:style w:type="paragraph" w:customStyle="1" w:styleId="12">
    <w:name w:val="合同中标题"/>
    <w:basedOn w:val="3"/>
    <w:next w:val="1"/>
    <w:qFormat/>
    <w:uiPriority w:val="0"/>
    <w:rPr>
      <w:rFonts w:ascii="黑体" w:hAnsi="黑体" w:eastAsia="黑体" w:cs="黑体"/>
      <w:b w:val="0"/>
      <w:sz w:val="30"/>
    </w:rPr>
  </w:style>
  <w:style w:type="paragraph" w:customStyle="1" w:styleId="13">
    <w:name w:val="Heading #7|1"/>
    <w:basedOn w:val="1"/>
    <w:qFormat/>
    <w:uiPriority w:val="0"/>
    <w:pPr>
      <w:widowControl w:val="0"/>
      <w:shd w:val="clear" w:color="auto" w:fill="FFFFFF"/>
      <w:spacing w:before="780" w:after="380" w:line="260" w:lineRule="exact"/>
      <w:jc w:val="both"/>
      <w:outlineLvl w:val="6"/>
    </w:pPr>
    <w:rPr>
      <w:rFonts w:ascii="PMingLiU" w:hAnsi="PMingLiU" w:eastAsia="PMingLiU" w:cs="PMingLiU"/>
      <w:b/>
      <w:bCs/>
      <w:sz w:val="26"/>
      <w:szCs w:val="26"/>
      <w:u w:val="none"/>
    </w:rPr>
  </w:style>
  <w:style w:type="paragraph" w:customStyle="1" w:styleId="14">
    <w:name w:val="标文1"/>
    <w:basedOn w:val="1"/>
    <w:qFormat/>
    <w:uiPriority w:val="0"/>
    <w:pPr>
      <w:spacing w:line="440" w:lineRule="atLeast"/>
      <w:ind w:firstLine="0" w:firstLineChars="0"/>
    </w:pPr>
  </w:style>
  <w:style w:type="paragraph" w:customStyle="1" w:styleId="15">
    <w:name w:val="表格正文-DDDDD"/>
    <w:basedOn w:val="1"/>
    <w:qFormat/>
    <w:uiPriority w:val="0"/>
    <w:pPr>
      <w:spacing w:line="300" w:lineRule="exact"/>
      <w:jc w:val="center"/>
    </w:pPr>
    <w:rPr>
      <w:rFonts w:ascii="方正宋三简体" w:eastAsia="方正宋三简体"/>
      <w:szCs w:val="21"/>
    </w:rPr>
  </w:style>
  <w:style w:type="paragraph" w:customStyle="1" w:styleId="16">
    <w:name w:val="Default"/>
    <w:qFormat/>
    <w:uiPriority w:val="0"/>
    <w:pPr>
      <w:widowControl w:val="0"/>
      <w:autoSpaceDE w:val="0"/>
      <w:autoSpaceDN w:val="0"/>
      <w:adjustRightInd w:val="0"/>
    </w:pPr>
    <w:rPr>
      <w:rFonts w:ascii="宋体" w:hAnsi="MingLiU_HKSCS" w:eastAsia="MingLiU_HKSCS" w:cs="宋体"/>
      <w:color w:val="000000"/>
      <w:sz w:val="24"/>
      <w:szCs w:val="24"/>
      <w:lang w:val="en-US" w:eastAsia="zh-CN" w:bidi="ar-SA"/>
    </w:rPr>
  </w:style>
  <w:style w:type="paragraph" w:customStyle="1" w:styleId="17">
    <w:name w:val="标文2"/>
    <w:basedOn w:val="14"/>
    <w:qFormat/>
    <w:uiPriority w:val="0"/>
    <w:pPr>
      <w:jc w:val="center"/>
    </w:pPr>
  </w:style>
  <w:style w:type="character" w:customStyle="1" w:styleId="18">
    <w:name w:val="font161"/>
    <w:qFormat/>
    <w:uiPriority w:val="0"/>
    <w:rPr>
      <w:b/>
      <w:bCs/>
      <w:sz w:val="32"/>
      <w:szCs w:val="32"/>
    </w:rPr>
  </w:style>
  <w:style w:type="character" w:customStyle="1" w:styleId="19">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104"/>
    <customShpInfo spid="_x0000_s4103"/>
    <customShpInfo spid="_x0000_s1026" textRotate="1"/>
    <customShpInfo spid="_x0000_s4098"/>
    <customShpInfo spid="_x0000_s4097"/>
    <customShpInfo spid="_x0000_s4110"/>
    <customShpInfo spid="_x0000_s4109"/>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Pages>
  <Words>6275</Words>
  <Characters>6581</Characters>
  <Lines>0</Lines>
  <Paragraphs>0</Paragraphs>
  <TotalTime>1</TotalTime>
  <ScaleCrop>false</ScaleCrop>
  <LinksUpToDate>false</LinksUpToDate>
  <CharactersWithSpaces>6666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黄心蔚</dc:creator>
  <cp:lastModifiedBy>Victor</cp:lastModifiedBy>
  <dcterms:modified xsi:type="dcterms:W3CDTF">2023-04-01T02:05:55Z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1EB404E492774E10970E207F9DEE970B</vt:lpwstr>
  </property>
</Properties>
</file>