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夏热冬暖地区甲类公共</w:t>
      </w:r>
      <w:r>
        <w:rPr>
          <w:b/>
          <w:bCs/>
          <w:sz w:val="28"/>
        </w:rPr>
        <w:t>建筑节能设计</w:t>
      </w:r>
      <w:r>
        <w:rPr>
          <w:rFonts w:hint="eastAsia"/>
          <w:b/>
          <w:bCs/>
          <w:sz w:val="28"/>
        </w:rPr>
        <w:t>、</w:t>
      </w:r>
      <w:r>
        <w:rPr>
          <w:b/>
          <w:bCs/>
          <w:sz w:val="28"/>
        </w:rPr>
        <w:t>审</w:t>
      </w:r>
      <w:r>
        <w:rPr>
          <w:rFonts w:hint="eastAsia"/>
          <w:b/>
          <w:bCs/>
          <w:sz w:val="28"/>
        </w:rPr>
        <w:t>查</w:t>
      </w:r>
      <w:r>
        <w:rPr>
          <w:b/>
          <w:bCs/>
          <w:sz w:val="28"/>
        </w:rPr>
        <w:t>表</w:t>
      </w:r>
      <w:r>
        <w:rPr>
          <w:rFonts w:hint="eastAsia"/>
          <w:b/>
          <w:bCs/>
          <w:sz w:val="28"/>
        </w:rPr>
        <w:t>（按性能化指标）</w:t>
      </w:r>
    </w:p>
    <w:p>
      <w:r>
        <w:rPr>
          <w:rFonts w:hint="eastAsia"/>
        </w:rPr>
        <w:t>工程名称：</w:t>
      </w:r>
      <w:r>
        <w:rPr>
          <w:rFonts w:hint="eastAsia"/>
          <w:u w:val="single"/>
        </w:rPr>
        <w:t xml:space="preserve">            </w:t>
      </w:r>
      <w:bookmarkStart w:id="0" w:name="项目名称"/>
      <w:r>
        <w:rPr>
          <w:rFonts w:hint="eastAsia"/>
          <w:u w:val="single"/>
        </w:rPr>
        <w:t>沙面小学校舍抗震加固项目</w:t>
      </w:r>
      <w:bookmarkEnd w:id="0"/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           层数(地上)：</w:t>
      </w:r>
      <w:r>
        <w:rPr>
          <w:rFonts w:hint="eastAsia"/>
          <w:u w:val="single"/>
        </w:rPr>
        <w:t xml:space="preserve">   </w:t>
      </w:r>
      <w:bookmarkStart w:id="1" w:name="地上层数"/>
      <w:r>
        <w:rPr>
          <w:rFonts w:hint="eastAsia"/>
          <w:u w:val="single"/>
        </w:rPr>
        <w:t>6</w:t>
      </w:r>
      <w:bookmarkEnd w:id="1"/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(地下)：</w:t>
      </w:r>
      <w:r>
        <w:rPr>
          <w:rFonts w:hint="eastAsia"/>
          <w:u w:val="single"/>
        </w:rPr>
        <w:t xml:space="preserve">   </w:t>
      </w:r>
      <w:bookmarkStart w:id="2" w:name="地下层数"/>
      <w:r>
        <w:rPr>
          <w:rFonts w:hint="eastAsia"/>
          <w:u w:val="single"/>
        </w:rPr>
        <w:t>－</w:t>
      </w:r>
      <w:bookmarkEnd w:id="2"/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         总建筑面积：</w:t>
      </w:r>
      <w:r>
        <w:rPr>
          <w:rFonts w:hint="eastAsia"/>
          <w:u w:val="single"/>
        </w:rPr>
        <w:t xml:space="preserve"> —               </w:t>
      </w:r>
    </w:p>
    <w:tbl>
      <w:tblPr>
        <w:tblStyle w:val="3"/>
        <w:tblW w:w="1468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134"/>
        <w:gridCol w:w="40"/>
        <w:gridCol w:w="1661"/>
        <w:gridCol w:w="283"/>
        <w:gridCol w:w="393"/>
        <w:gridCol w:w="32"/>
        <w:gridCol w:w="284"/>
        <w:gridCol w:w="2914"/>
        <w:gridCol w:w="26"/>
        <w:gridCol w:w="604"/>
        <w:gridCol w:w="708"/>
        <w:gridCol w:w="420"/>
        <w:gridCol w:w="289"/>
        <w:gridCol w:w="504"/>
        <w:gridCol w:w="511"/>
        <w:gridCol w:w="548"/>
        <w:gridCol w:w="864"/>
        <w:gridCol w:w="57"/>
        <w:gridCol w:w="159"/>
        <w:gridCol w:w="1100"/>
        <w:gridCol w:w="368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exact"/>
        </w:trPr>
        <w:tc>
          <w:tcPr>
            <w:tcW w:w="710" w:type="dxa"/>
            <w:vMerge w:val="restart"/>
            <w:tcBorders>
              <w:top w:val="single" w:color="000000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序号</w:t>
            </w:r>
          </w:p>
        </w:tc>
        <w:tc>
          <w:tcPr>
            <w:tcW w:w="3511" w:type="dxa"/>
            <w:gridSpan w:val="5"/>
            <w:vMerge w:val="restart"/>
            <w:tcBorders>
              <w:top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围护结构内容</w:t>
            </w:r>
          </w:p>
        </w:tc>
        <w:tc>
          <w:tcPr>
            <w:tcW w:w="3230" w:type="dxa"/>
            <w:gridSpan w:val="3"/>
            <w:vMerge w:val="restart"/>
            <w:tcBorders>
              <w:top w:val="single" w:color="000000" w:sz="1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参照建筑指标</w:t>
            </w:r>
          </w:p>
        </w:tc>
        <w:tc>
          <w:tcPr>
            <w:tcW w:w="630" w:type="dxa"/>
            <w:gridSpan w:val="2"/>
            <w:vMerge w:val="restart"/>
            <w:tcBorders>
              <w:top w:val="single" w:color="000000" w:sz="1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序号</w:t>
            </w:r>
          </w:p>
        </w:tc>
        <w:tc>
          <w:tcPr>
            <w:tcW w:w="2980" w:type="dxa"/>
            <w:gridSpan w:val="6"/>
            <w:tcBorders>
              <w:top w:val="single" w:color="000000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围护结构内容</w:t>
            </w:r>
          </w:p>
        </w:tc>
        <w:tc>
          <w:tcPr>
            <w:tcW w:w="3623" w:type="dxa"/>
            <w:gridSpan w:val="6"/>
            <w:tcBorders>
              <w:top w:val="single" w:color="000000" w:sz="18" w:space="0"/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参照建筑指标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exac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511" w:type="dxa"/>
            <w:gridSpan w:val="5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30" w:type="dxa"/>
            <w:gridSpan w:val="3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（包括透明幕墙）</w:t>
            </w:r>
          </w:p>
        </w:tc>
        <w:tc>
          <w:tcPr>
            <w:tcW w:w="70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</w:p>
          <w:p>
            <w:pPr>
              <w:pStyle w:val="2"/>
              <w:rPr>
                <w:i w:val="0"/>
              </w:rPr>
            </w:pPr>
            <w:r>
              <w:rPr>
                <w:rFonts w:hint="eastAsia"/>
                <w:i w:val="0"/>
              </w:rPr>
              <w:t>K</w:t>
            </w:r>
          </w:p>
          <w:p>
            <w:pPr>
              <w:adjustRightInd w:val="0"/>
              <w:snapToGrid w:val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综合太阳得热系数SHGC</w:t>
            </w:r>
          </w:p>
        </w:tc>
        <w:tc>
          <w:tcPr>
            <w:tcW w:w="1563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单一立面</w:t>
            </w:r>
          </w:p>
          <w:p>
            <w:pPr>
              <w:snapToGrid w:val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窗墙比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</w:p>
        </w:tc>
        <w:tc>
          <w:tcPr>
            <w:tcW w:w="108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传热系数K</w:t>
            </w:r>
          </w:p>
        </w:tc>
        <w:tc>
          <w:tcPr>
            <w:tcW w:w="2543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exac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</w:tc>
        <w:tc>
          <w:tcPr>
            <w:tcW w:w="2337" w:type="dxa"/>
            <w:gridSpan w:val="3"/>
            <w:vMerge w:val="restart"/>
            <w:vAlign w:val="center"/>
          </w:tcPr>
          <w:p>
            <w:pPr>
              <w:ind w:left="360" w:hanging="360" w:hanging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230" w:type="dxa"/>
            <w:gridSpan w:val="3"/>
            <w:vMerge w:val="restart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>=0.</w:t>
            </w:r>
            <w:r>
              <w:rPr>
                <w:sz w:val="18"/>
              </w:rPr>
              <w:t>40</w:t>
            </w:r>
          </w:p>
        </w:tc>
        <w:tc>
          <w:tcPr>
            <w:tcW w:w="630" w:type="dxa"/>
            <w:gridSpan w:val="2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北向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Merge w:val="continue"/>
            <w:vAlign w:val="center"/>
          </w:tcPr>
          <w:p>
            <w:pPr>
              <w:jc w:val="left"/>
              <w:rPr>
                <w:sz w:val="18"/>
              </w:rPr>
            </w:pPr>
          </w:p>
        </w:tc>
        <w:tc>
          <w:tcPr>
            <w:tcW w:w="3230" w:type="dxa"/>
            <w:gridSpan w:val="3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≤0.20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4.00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太阳辐射吸收系数</w:t>
            </w:r>
            <w:r>
              <w:rPr>
                <w:rFonts w:hint="eastAsia"/>
                <w:iCs/>
                <w:sz w:val="18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ρ</w:t>
            </w:r>
            <w:r>
              <w:rPr>
                <w:rFonts w:hint="eastAsia"/>
                <w:sz w:val="18"/>
              </w:rPr>
              <w:t>=0.8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≤0.30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3.00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35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外墙</w:t>
            </w:r>
          </w:p>
        </w:tc>
        <w:tc>
          <w:tcPr>
            <w:tcW w:w="2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230" w:type="dxa"/>
            <w:gridSpan w:val="3"/>
            <w:vMerge w:val="restart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 xml:space="preserve"> K</w:t>
            </w:r>
            <w:r>
              <w:rPr>
                <w:rFonts w:hint="eastAsia"/>
                <w:sz w:val="18"/>
              </w:rPr>
              <w:t>=1.5，</w:t>
            </w:r>
            <w:r>
              <w:rPr>
                <w:rFonts w:hint="eastAsia"/>
                <w:iCs/>
                <w:sz w:val="18"/>
              </w:rPr>
              <w:t>D=</w:t>
            </w:r>
            <w:r>
              <w:rPr>
                <w:rFonts w:hint="eastAsia"/>
                <w:sz w:val="18"/>
              </w:rPr>
              <w:t>2.5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≤0.40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30</w:t>
            </w:r>
          </w:p>
        </w:tc>
        <w:tc>
          <w:tcPr>
            <w:tcW w:w="1075" w:type="dxa"/>
            <w:tcBorders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热惰性指标</w:t>
            </w:r>
            <w:r>
              <w:rPr>
                <w:rFonts w:hint="eastAsia"/>
                <w:iCs/>
                <w:sz w:val="18"/>
              </w:rPr>
              <w:t>D</w:t>
            </w:r>
          </w:p>
        </w:tc>
        <w:tc>
          <w:tcPr>
            <w:tcW w:w="3230" w:type="dxa"/>
            <w:gridSpan w:val="3"/>
            <w:vMerge w:val="continue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iCs/>
                <w:sz w:val="18"/>
              </w:rPr>
            </w:pP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≤0.50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太阳辐射吸收系数</w:t>
            </w:r>
            <w:r>
              <w:rPr>
                <w:rFonts w:hint="eastAsia"/>
                <w:iCs/>
                <w:sz w:val="18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ρ</w:t>
            </w:r>
            <w:r>
              <w:rPr>
                <w:rFonts w:hint="eastAsia"/>
                <w:sz w:val="18"/>
              </w:rPr>
              <w:t>=0.8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≤0.60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20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屋顶透明部分（水平天窗、采光顶）</w:t>
            </w: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230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=</w:t>
            </w:r>
            <w:r>
              <w:rPr>
                <w:sz w:val="18"/>
              </w:rPr>
              <w:t>2.5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≤0.70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20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3230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SHGC</w:t>
            </w:r>
            <w:r>
              <w:rPr>
                <w:rFonts w:hint="eastAsia"/>
                <w:sz w:val="18"/>
              </w:rPr>
              <w:t>=</w:t>
            </w:r>
            <w:r>
              <w:rPr>
                <w:sz w:val="18"/>
              </w:rPr>
              <w:t>0.25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0.70＜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≤0.80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18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天窗面积</w:t>
            </w:r>
          </w:p>
        </w:tc>
        <w:tc>
          <w:tcPr>
            <w:tcW w:w="3230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所设计建筑天窗面积，但不超过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0%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>＞0.80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2.0</w:t>
            </w:r>
          </w:p>
        </w:tc>
        <w:tc>
          <w:tcPr>
            <w:tcW w:w="14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0.18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710" w:type="dxa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7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室外架空板</w:t>
            </w:r>
          </w:p>
        </w:tc>
        <w:tc>
          <w:tcPr>
            <w:tcW w:w="2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传热系数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23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>=1.5</w:t>
            </w:r>
          </w:p>
        </w:tc>
        <w:tc>
          <w:tcPr>
            <w:tcW w:w="630" w:type="dxa"/>
            <w:gridSpan w:val="2"/>
            <w:vMerge w:val="continue"/>
            <w:tcBorders>
              <w:left w:val="doub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2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各立面窗墙面积比</w:t>
            </w:r>
          </w:p>
        </w:tc>
        <w:tc>
          <w:tcPr>
            <w:tcW w:w="4171" w:type="dxa"/>
            <w:gridSpan w:val="7"/>
            <w:tcBorders>
              <w:left w:val="single" w:color="auto" w:sz="4" w:space="0"/>
              <w:bottom w:val="single" w:color="auto" w:sz="4" w:space="0"/>
              <w:right w:val="single" w:color="000000" w:sz="18" w:space="0"/>
            </w:tcBorders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sz w:val="18"/>
              </w:rPr>
              <w:t>所设计建筑该立面窗墙面积比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710" w:type="dxa"/>
            <w:tcBorders>
              <w:top w:val="single" w:color="auto" w:sz="4" w:space="0"/>
              <w:left w:val="single" w:color="000000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权衡计算</w:t>
            </w:r>
          </w:p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规定</w:t>
            </w:r>
          </w:p>
        </w:tc>
        <w:tc>
          <w:tcPr>
            <w:tcW w:w="12800" w:type="dxa"/>
            <w:gridSpan w:val="20"/>
            <w:tcBorders>
              <w:top w:val="single" w:color="auto" w:sz="4" w:space="0"/>
              <w:right w:val="single" w:color="000000" w:sz="18" w:space="0"/>
            </w:tcBorders>
            <w:vAlign w:val="center"/>
          </w:tcPr>
          <w:p>
            <w:pPr>
              <w:adjustRightInd w:val="0"/>
              <w:snapToGrid w:val="0"/>
              <w:rPr>
                <w:sz w:val="18"/>
              </w:rPr>
            </w:pPr>
            <w:r>
              <w:rPr>
                <w:rFonts w:hint="eastAsia"/>
                <w:sz w:val="18"/>
              </w:rPr>
              <w:t>按照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hint="eastAsia" w:ascii="宋体" w:hAnsi="宋体"/>
                <w:sz w:val="18"/>
              </w:rPr>
              <w:t>附录</w:t>
            </w:r>
            <w:r>
              <w:rPr>
                <w:rFonts w:ascii="宋体" w:hAnsi="宋体"/>
                <w:sz w:val="18"/>
              </w:rPr>
              <w:t>C</w:t>
            </w:r>
            <w:r>
              <w:rPr>
                <w:rFonts w:hint="eastAsia" w:ascii="宋体" w:hAnsi="宋体"/>
                <w:sz w:val="18"/>
              </w:rPr>
              <w:t>确定设备类型、设备运行时间表、</w:t>
            </w:r>
            <w:r>
              <w:rPr>
                <w:rFonts w:hint="eastAsia"/>
                <w:sz w:val="18"/>
              </w:rPr>
              <w:t>室内空调温度、照明功率密度、照明开关时间表、人员密度、人员在室率、人均新风量、</w:t>
            </w:r>
          </w:p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新风运行情况、电器功率密度、电器逐时使用率；根据设备类型确定</w:t>
            </w:r>
            <w:r>
              <w:rPr>
                <w:rFonts w:hint="eastAsia"/>
                <w:sz w:val="18"/>
                <w:szCs w:val="18"/>
              </w:rPr>
              <w:t>空调能效比；</w:t>
            </w:r>
            <w:r>
              <w:rPr>
                <w:rFonts w:hint="eastAsia"/>
                <w:sz w:val="18"/>
              </w:rPr>
              <w:t>室外计算气象参数采用当地典型气象年。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710" w:type="dxa"/>
            <w:tcBorders>
              <w:top w:val="double" w:color="auto" w:sz="4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序号</w:t>
            </w:r>
          </w:p>
        </w:tc>
        <w:tc>
          <w:tcPr>
            <w:tcW w:w="3118" w:type="dxa"/>
            <w:gridSpan w:val="4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设计审查内容</w:t>
            </w:r>
          </w:p>
        </w:tc>
        <w:tc>
          <w:tcPr>
            <w:tcW w:w="4253" w:type="dxa"/>
            <w:gridSpan w:val="6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设计要求</w:t>
            </w:r>
          </w:p>
        </w:tc>
        <w:tc>
          <w:tcPr>
            <w:tcW w:w="1921" w:type="dxa"/>
            <w:gridSpan w:val="4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设计值</w:t>
            </w:r>
          </w:p>
        </w:tc>
        <w:tc>
          <w:tcPr>
            <w:tcW w:w="3239" w:type="dxa"/>
            <w:gridSpan w:val="6"/>
            <w:tcBorders>
              <w:top w:val="doub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节能措施</w:t>
            </w:r>
          </w:p>
        </w:tc>
        <w:tc>
          <w:tcPr>
            <w:tcW w:w="1443" w:type="dxa"/>
            <w:gridSpan w:val="2"/>
            <w:tcBorders>
              <w:top w:val="double" w:color="auto" w:sz="4" w:space="0"/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节能判断</w:t>
            </w:r>
          </w:p>
          <w:p>
            <w:pPr>
              <w:snapToGrid w:val="0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ind w:left="360" w:hanging="360" w:hangingChars="200"/>
              <w:jc w:val="left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传热系数[W/(m</w:t>
            </w:r>
            <w:r>
              <w:rPr>
                <w:rFonts w:hint="eastAsia"/>
                <w:bCs/>
                <w:sz w:val="18"/>
                <w:vertAlign w:val="superscript"/>
              </w:rPr>
              <w:t>2</w:t>
            </w:r>
            <w:r>
              <w:rPr>
                <w:rFonts w:hint="eastAsia"/>
                <w:bCs/>
                <w:sz w:val="18"/>
              </w:rPr>
              <w:t>·K)]</w:t>
            </w:r>
          </w:p>
        </w:tc>
        <w:tc>
          <w:tcPr>
            <w:tcW w:w="425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iCs/>
                <w:sz w:val="18"/>
              </w:rPr>
              <w:t>K</w:t>
            </w:r>
            <w:r>
              <w:rPr>
                <w:rFonts w:hint="eastAsia"/>
                <w:bCs/>
                <w:sz w:val="18"/>
              </w:rPr>
              <w:t>≤</w:t>
            </w:r>
            <w:r>
              <w:rPr>
                <w:bCs/>
                <w:sz w:val="18"/>
              </w:rPr>
              <w:t>0.40</w:t>
            </w:r>
          </w:p>
        </w:tc>
        <w:tc>
          <w:tcPr>
            <w:tcW w:w="1921" w:type="dxa"/>
            <w:gridSpan w:val="4"/>
          </w:tcPr>
          <w:p>
            <w:pPr>
              <w:jc w:val="center"/>
              <w:rPr>
                <w:sz w:val="18"/>
              </w:rPr>
            </w:pPr>
            <w:bookmarkStart w:id="3" w:name="屋顶K"/>
            <w:r>
              <w:rPr>
                <w:rFonts w:hint="eastAsia"/>
                <w:iCs/>
                <w:sz w:val="18"/>
              </w:rPr>
              <w:t>0.40</w:t>
            </w:r>
            <w:bookmarkEnd w:id="3"/>
          </w:p>
        </w:tc>
        <w:tc>
          <w:tcPr>
            <w:tcW w:w="3239" w:type="dxa"/>
            <w:gridSpan w:val="6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4" w:name="构造_屋顶_0_保温材料_名称"/>
            <w:r>
              <w:rPr>
                <w:rFonts w:hint="eastAsia"/>
                <w:iCs/>
                <w:sz w:val="18"/>
              </w:rPr>
              <w:t>挤塑聚苯乙烯泡沫塑料（带表皮）</w:t>
            </w:r>
            <w:bookmarkEnd w:id="4"/>
            <w:r>
              <w:rPr>
                <w:rFonts w:hint="eastAsia"/>
                <w:iCs/>
                <w:sz w:val="18"/>
              </w:rPr>
              <w:t xml:space="preserve"> </w:t>
            </w:r>
            <w:bookmarkStart w:id="5" w:name="构造_屋顶_0_保温材料_厚度"/>
            <w:r>
              <w:rPr>
                <w:rFonts w:hint="eastAsia"/>
                <w:iCs/>
                <w:sz w:val="18"/>
              </w:rPr>
              <w:t>76</w:t>
            </w:r>
            <w:bookmarkEnd w:id="5"/>
            <w:r>
              <w:rPr>
                <w:rFonts w:hint="eastAsia"/>
                <w:iCs/>
                <w:sz w:val="18"/>
              </w:rPr>
              <w:t>mm，λ=</w:t>
            </w:r>
            <w:bookmarkStart w:id="6" w:name="构造_屋顶_0_保温材料_导热系数"/>
            <w:r>
              <w:rPr>
                <w:rFonts w:hint="eastAsia"/>
                <w:iCs/>
                <w:sz w:val="18"/>
              </w:rPr>
              <w:t>0.030</w:t>
            </w:r>
            <w:bookmarkEnd w:id="6"/>
          </w:p>
        </w:tc>
        <w:tc>
          <w:tcPr>
            <w:tcW w:w="1443" w:type="dxa"/>
            <w:gridSpan w:val="2"/>
            <w:vMerge w:val="restart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6197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平均热惰性指标</w:t>
            </w:r>
            <w:r>
              <w:rPr>
                <w:rFonts w:hint="eastAsia"/>
                <w:bCs/>
                <w:iCs/>
                <w:sz w:val="18"/>
              </w:rPr>
              <w:t>D/</w:t>
            </w:r>
            <w:r>
              <w:rPr>
                <w:rFonts w:hint="eastAsia"/>
                <w:bCs/>
                <w:sz w:val="18"/>
              </w:rPr>
              <w:t>外墙平均太阳辐射吸收系数</w:t>
            </w:r>
            <w:r>
              <w:rPr>
                <w:rFonts w:hint="eastAsia"/>
                <w:bCs/>
                <w:iCs/>
                <w:sz w:val="18"/>
              </w:rPr>
              <w:t>ρ</w:t>
            </w:r>
          </w:p>
        </w:tc>
        <w:tc>
          <w:tcPr>
            <w:tcW w:w="1921" w:type="dxa"/>
            <w:gridSpan w:val="4"/>
          </w:tcPr>
          <w:p>
            <w:pPr>
              <w:jc w:val="center"/>
              <w:rPr>
                <w:sz w:val="18"/>
              </w:rPr>
            </w:pPr>
            <w:bookmarkStart w:id="7" w:name="屋顶D"/>
            <w:r>
              <w:rPr>
                <w:rFonts w:hint="eastAsia"/>
                <w:sz w:val="18"/>
                <w:szCs w:val="18"/>
              </w:rPr>
              <w:t>3.83</w:t>
            </w:r>
            <w:bookmarkEnd w:id="7"/>
            <w:r>
              <w:rPr>
                <w:rFonts w:hint="eastAsia"/>
                <w:sz w:val="18"/>
                <w:szCs w:val="18"/>
              </w:rPr>
              <w:t>/</w:t>
            </w:r>
            <w:bookmarkStart w:id="8" w:name="屋顶ρ"/>
            <w:r>
              <w:rPr>
                <w:rFonts w:hint="eastAsia" w:ascii="宋体" w:hAnsi="宋体"/>
                <w:sz w:val="18"/>
                <w:szCs w:val="18"/>
              </w:rPr>
              <w:t>0.65</w:t>
            </w:r>
            <w:bookmarkEnd w:id="8"/>
          </w:p>
        </w:tc>
        <w:tc>
          <w:tcPr>
            <w:tcW w:w="3239" w:type="dxa"/>
            <w:gridSpan w:val="6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外墙</w:t>
            </w:r>
          </w:p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（包括非透明幕墙）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传热系数 [W/(m</w:t>
            </w:r>
            <w:r>
              <w:rPr>
                <w:rFonts w:hint="eastAsia"/>
                <w:bCs/>
                <w:sz w:val="18"/>
                <w:vertAlign w:val="superscript"/>
              </w:rPr>
              <w:t>2</w:t>
            </w:r>
            <w:r>
              <w:rPr>
                <w:rFonts w:hint="eastAsia"/>
                <w:bCs/>
                <w:sz w:val="18"/>
              </w:rPr>
              <w:t>·K)]</w:t>
            </w:r>
          </w:p>
        </w:tc>
        <w:tc>
          <w:tcPr>
            <w:tcW w:w="425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iCs/>
                <w:sz w:val="18"/>
              </w:rPr>
              <w:t>K</w:t>
            </w:r>
            <w:r>
              <w:rPr>
                <w:rFonts w:hint="eastAsia"/>
                <w:bCs/>
                <w:sz w:val="18"/>
              </w:rPr>
              <w:t>≤1.5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  <w:bookmarkStart w:id="9" w:name="外墙K"/>
            <w:r>
              <w:rPr>
                <w:rFonts w:hint="eastAsia"/>
                <w:iCs/>
                <w:sz w:val="18"/>
              </w:rPr>
              <w:t>1.00</w:t>
            </w:r>
            <w:bookmarkEnd w:id="9"/>
          </w:p>
        </w:tc>
        <w:tc>
          <w:tcPr>
            <w:tcW w:w="3239" w:type="dxa"/>
            <w:gridSpan w:val="6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10" w:name="构造_外墙_0_保温材料_名称"/>
            <w:r>
              <w:rPr>
                <w:rFonts w:hint="eastAsia"/>
                <w:iCs/>
                <w:sz w:val="18"/>
              </w:rPr>
              <w:t>加气混凝土、泡沫混凝土(ρ=700)</w:t>
            </w:r>
            <w:bookmarkEnd w:id="10"/>
            <w:r>
              <w:rPr>
                <w:rFonts w:hint="eastAsia"/>
                <w:iCs/>
                <w:sz w:val="18"/>
              </w:rPr>
              <w:t xml:space="preserve"> </w:t>
            </w:r>
            <w:bookmarkStart w:id="11" w:name="构造_外墙_0_保温材料_厚度"/>
            <w:r>
              <w:rPr>
                <w:rFonts w:hint="eastAsia"/>
                <w:iCs/>
                <w:sz w:val="18"/>
              </w:rPr>
              <w:t>200</w:t>
            </w:r>
            <w:bookmarkEnd w:id="11"/>
            <w:r>
              <w:rPr>
                <w:rFonts w:hint="eastAsia"/>
                <w:iCs/>
                <w:sz w:val="18"/>
              </w:rPr>
              <w:t>mm，λ</w:t>
            </w:r>
            <w:r>
              <w:rPr>
                <w:iCs/>
                <w:sz w:val="18"/>
              </w:rPr>
              <w:t>=</w:t>
            </w:r>
            <w:bookmarkStart w:id="12" w:name="构造_外墙_0_保温材料_导热系数"/>
            <w:r>
              <w:rPr>
                <w:rFonts w:hint="eastAsia"/>
                <w:iCs/>
                <w:sz w:val="18"/>
              </w:rPr>
              <w:t>0.180</w:t>
            </w:r>
            <w:bookmarkEnd w:id="12"/>
          </w:p>
          <w:p>
            <w:pPr>
              <w:jc w:val="center"/>
              <w:rPr>
                <w:iCs/>
                <w:sz w:val="18"/>
              </w:rPr>
            </w:pPr>
            <w:bookmarkStart w:id="13" w:name="构造_外墙_0_承重材料_名称"/>
            <w:r>
              <w:rPr>
                <w:rFonts w:hint="eastAsia"/>
                <w:iCs/>
                <w:sz w:val="18"/>
              </w:rPr>
              <w:t>加气混凝土、泡沫混凝土(ρ=700)</w:t>
            </w:r>
            <w:bookmarkEnd w:id="13"/>
            <w:r>
              <w:rPr>
                <w:rFonts w:hint="eastAsia"/>
                <w:iCs/>
                <w:sz w:val="18"/>
              </w:rPr>
              <w:t xml:space="preserve"> </w:t>
            </w:r>
            <w:bookmarkStart w:id="14" w:name="构造_外墙_0_承重材料_厚度"/>
            <w:r>
              <w:rPr>
                <w:rFonts w:hint="eastAsia"/>
                <w:iCs/>
                <w:sz w:val="18"/>
              </w:rPr>
              <w:t>200</w:t>
            </w:r>
            <w:bookmarkEnd w:id="14"/>
            <w:r>
              <w:rPr>
                <w:rFonts w:hint="eastAsia"/>
                <w:iCs/>
                <w:sz w:val="18"/>
              </w:rPr>
              <w:t>mm，λ</w:t>
            </w:r>
            <w:r>
              <w:rPr>
                <w:iCs/>
                <w:sz w:val="18"/>
              </w:rPr>
              <w:t>=</w:t>
            </w:r>
            <w:bookmarkStart w:id="15" w:name="构造_外墙_0_承重材料_导热系数"/>
            <w:r>
              <w:rPr>
                <w:rFonts w:hint="eastAsia"/>
                <w:iCs/>
                <w:sz w:val="18"/>
              </w:rPr>
              <w:t>0.180</w:t>
            </w:r>
            <w:bookmarkEnd w:id="15"/>
          </w:p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619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平均热惰性指标</w:t>
            </w:r>
            <w:r>
              <w:rPr>
                <w:rFonts w:hint="eastAsia"/>
                <w:bCs/>
                <w:iCs/>
                <w:sz w:val="18"/>
              </w:rPr>
              <w:t>D/</w:t>
            </w:r>
            <w:r>
              <w:rPr>
                <w:rFonts w:hint="eastAsia"/>
                <w:bCs/>
                <w:sz w:val="18"/>
              </w:rPr>
              <w:t>外墙平均太阳辐射吸收系数</w:t>
            </w:r>
            <w:r>
              <w:rPr>
                <w:rFonts w:hint="eastAsia"/>
                <w:bCs/>
                <w:iCs/>
                <w:sz w:val="18"/>
              </w:rPr>
              <w:t>ρ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  <w:bookmarkStart w:id="16" w:name="外墙D"/>
            <w:r>
              <w:rPr>
                <w:rFonts w:hint="eastAsia"/>
                <w:sz w:val="18"/>
                <w:szCs w:val="18"/>
              </w:rPr>
              <w:t>3.93</w:t>
            </w:r>
            <w:bookmarkEnd w:id="16"/>
            <w:r>
              <w:rPr>
                <w:rFonts w:hint="eastAsia"/>
                <w:sz w:val="18"/>
                <w:szCs w:val="18"/>
              </w:rPr>
              <w:t>/</w:t>
            </w:r>
            <w:bookmarkStart w:id="17" w:name="外墙ρ"/>
            <w:r>
              <w:rPr>
                <w:rFonts w:hint="eastAsia" w:ascii="宋体" w:hAnsi="宋体"/>
                <w:sz w:val="18"/>
                <w:szCs w:val="18"/>
              </w:rPr>
              <w:t>0.65</w:t>
            </w:r>
            <w:bookmarkEnd w:id="17"/>
          </w:p>
        </w:tc>
        <w:tc>
          <w:tcPr>
            <w:tcW w:w="3239" w:type="dxa"/>
            <w:gridSpan w:val="6"/>
            <w:vMerge w:val="continue"/>
            <w:tcBorders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7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室外架空板</w:t>
            </w:r>
          </w:p>
        </w:tc>
        <w:tc>
          <w:tcPr>
            <w:tcW w:w="619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平均传热系数 [W/(m</w:t>
            </w:r>
            <w:r>
              <w:rPr>
                <w:rFonts w:hint="eastAsia"/>
                <w:bCs/>
                <w:sz w:val="18"/>
                <w:vertAlign w:val="superscript"/>
              </w:rPr>
              <w:t>2</w:t>
            </w:r>
            <w:r>
              <w:rPr>
                <w:rFonts w:hint="eastAsia"/>
                <w:bCs/>
                <w:sz w:val="18"/>
              </w:rPr>
              <w:t>·K)]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sz w:val="18"/>
              </w:rPr>
            </w:pPr>
            <w:bookmarkStart w:id="18" w:name="挑空楼板K"/>
            <w:r>
              <w:rPr>
                <w:rFonts w:hint="eastAsia" w:ascii="宋体" w:hAnsi="宋体"/>
                <w:sz w:val="18"/>
                <w:szCs w:val="18"/>
              </w:rPr>
              <w:t>3.68</w:t>
            </w:r>
            <w:bookmarkEnd w:id="18"/>
          </w:p>
        </w:tc>
        <w:tc>
          <w:tcPr>
            <w:tcW w:w="3239" w:type="dxa"/>
            <w:gridSpan w:val="6"/>
            <w:tcBorders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  <w:bookmarkStart w:id="19" w:name="构造_挑空楼板_0_保温材料_名称"/>
            <w:r>
              <w:rPr>
                <w:rFonts w:hint="eastAsia"/>
                <w:iCs/>
                <w:sz w:val="18"/>
              </w:rPr>
              <w:t>钢筋混凝土</w:t>
            </w:r>
            <w:bookmarkEnd w:id="19"/>
            <w:r>
              <w:rPr>
                <w:rFonts w:hint="eastAsia"/>
                <w:iCs/>
                <w:sz w:val="18"/>
              </w:rPr>
              <w:t xml:space="preserve"> </w:t>
            </w:r>
            <w:bookmarkStart w:id="20" w:name="构造_挑空楼板_0_保温材料_厚度"/>
            <w:r>
              <w:rPr>
                <w:rFonts w:hint="eastAsia"/>
                <w:iCs/>
                <w:sz w:val="18"/>
              </w:rPr>
              <w:t>120</w:t>
            </w:r>
            <w:bookmarkEnd w:id="20"/>
            <w:r>
              <w:rPr>
                <w:rFonts w:hint="eastAsia"/>
                <w:iCs/>
                <w:sz w:val="18"/>
              </w:rPr>
              <w:t>mm，λ=</w:t>
            </w:r>
            <w:bookmarkStart w:id="21" w:name="构造_挑空楼板_0_保温材料_导热系数"/>
            <w:r>
              <w:rPr>
                <w:rFonts w:hint="eastAsia"/>
                <w:iCs/>
                <w:sz w:val="18"/>
              </w:rPr>
              <w:t>1.740</w:t>
            </w:r>
            <w:bookmarkEnd w:id="21"/>
          </w:p>
        </w:tc>
        <w:tc>
          <w:tcPr>
            <w:tcW w:w="1443" w:type="dxa"/>
            <w:gridSpan w:val="2"/>
            <w:tcBorders>
              <w:left w:val="single" w:color="000000" w:sz="18" w:space="0"/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  <w:p>
            <w:pPr>
              <w:spacing w:line="280" w:lineRule="exact"/>
              <w:jc w:val="center"/>
              <w:rPr>
                <w:spacing w:val="8"/>
                <w:sz w:val="18"/>
              </w:rPr>
            </w:pPr>
            <w:r>
              <w:rPr>
                <w:rFonts w:hint="eastAsia"/>
                <w:sz w:val="18"/>
              </w:rPr>
              <w:t>（包括透明幕墙）</w:t>
            </w:r>
          </w:p>
        </w:tc>
        <w:tc>
          <w:tcPr>
            <w:tcW w:w="6197" w:type="dxa"/>
            <w:gridSpan w:val="8"/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最不利单一立面窗墙面积比</w:t>
            </w:r>
            <w:r>
              <w:rPr>
                <w:rFonts w:hint="eastAsia"/>
                <w:bCs/>
                <w:iCs/>
                <w:sz w:val="18"/>
              </w:rPr>
              <w:t>C</w:t>
            </w:r>
            <w:r>
              <w:rPr>
                <w:rFonts w:hint="eastAsia"/>
                <w:bCs/>
                <w:sz w:val="18"/>
                <w:vertAlign w:val="subscript"/>
              </w:rPr>
              <w:t>m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22" w:name="构造_外窗_名称"/>
            <w:r>
              <w:rPr>
                <w:rFonts w:hint="eastAsia"/>
                <w:iCs/>
                <w:sz w:val="18"/>
              </w:rPr>
              <w:t>6mm中透光Low-E+12mm空气+6透明(非隔热金属型材)</w:t>
            </w:r>
            <w:bookmarkEnd w:id="22"/>
          </w:p>
        </w:tc>
        <w:tc>
          <w:tcPr>
            <w:tcW w:w="1443" w:type="dxa"/>
            <w:gridSpan w:val="2"/>
            <w:vMerge w:val="restart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传热系数</w:t>
            </w:r>
            <w:r>
              <w:rPr>
                <w:rFonts w:hint="eastAsia"/>
                <w:bCs/>
                <w:iCs/>
                <w:sz w:val="18"/>
              </w:rPr>
              <w:t>K</w:t>
            </w:r>
          </w:p>
        </w:tc>
        <w:tc>
          <w:tcPr>
            <w:tcW w:w="4536" w:type="dxa"/>
            <w:gridSpan w:val="7"/>
            <w:vAlign w:val="center"/>
          </w:tcPr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单一立面窗墙面积比≤0.</w:t>
            </w:r>
            <w:r>
              <w:rPr>
                <w:bCs/>
                <w:sz w:val="18"/>
              </w:rPr>
              <w:t>4</w:t>
            </w:r>
            <w:r>
              <w:rPr>
                <w:rFonts w:hint="eastAsia"/>
                <w:bCs/>
                <w:sz w:val="18"/>
              </w:rPr>
              <w:t>0，K≤</w:t>
            </w:r>
            <w:r>
              <w:rPr>
                <w:bCs/>
                <w:sz w:val="18"/>
              </w:rPr>
              <w:t>4.0</w:t>
            </w:r>
            <w:r>
              <w:rPr>
                <w:rFonts w:hint="eastAsia"/>
                <w:bCs/>
                <w:sz w:val="18"/>
              </w:rPr>
              <w:t>；</w:t>
            </w:r>
          </w:p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0.4＜单一立面窗墙面积比≤0.70，K≤</w:t>
            </w:r>
            <w:r>
              <w:rPr>
                <w:bCs/>
                <w:sz w:val="18"/>
              </w:rPr>
              <w:t>2.5</w:t>
            </w:r>
            <w:r>
              <w:rPr>
                <w:rFonts w:hint="eastAsia"/>
                <w:bCs/>
                <w:sz w:val="18"/>
              </w:rPr>
              <w:t>；</w:t>
            </w:r>
          </w:p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单一立面窗墙面积比＞0.70，K≤</w:t>
            </w:r>
            <w:r>
              <w:rPr>
                <w:bCs/>
                <w:sz w:val="18"/>
              </w:rPr>
              <w:t>2.3</w:t>
            </w:r>
            <w:r>
              <w:rPr>
                <w:rFonts w:hint="eastAsia"/>
                <w:bCs/>
                <w:sz w:val="18"/>
              </w:rPr>
              <w:t>。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最不利单一立面</w:t>
            </w:r>
          </w:p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综合太阳得热系数</w:t>
            </w:r>
          </w:p>
        </w:tc>
        <w:tc>
          <w:tcPr>
            <w:tcW w:w="4536" w:type="dxa"/>
            <w:gridSpan w:val="7"/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单一立面窗墙面积比≥0.40，SHGC≤</w:t>
            </w:r>
            <w:r>
              <w:rPr>
                <w:bCs/>
                <w:sz w:val="18"/>
              </w:rPr>
              <w:t>0.35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Align w:val="center"/>
          </w:tcPr>
          <w:p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非中空玻璃面积比</w:t>
            </w:r>
          </w:p>
        </w:tc>
        <w:tc>
          <w:tcPr>
            <w:tcW w:w="4536" w:type="dxa"/>
            <w:gridSpan w:val="7"/>
            <w:vAlign w:val="center"/>
          </w:tcPr>
          <w:p>
            <w:pPr>
              <w:snapToGrid w:val="0"/>
              <w:jc w:val="left"/>
              <w:rPr>
                <w:bCs/>
                <w:color w:val="000000"/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入口大堂全玻幕墙中非中空玻璃的面积≤同一立面透光面积（门窗和玻璃幕墙）的15%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可开启部分</w:t>
            </w:r>
          </w:p>
          <w:p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最小面积</w:t>
            </w:r>
          </w:p>
        </w:tc>
        <w:tc>
          <w:tcPr>
            <w:tcW w:w="453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≥房间外墙</w:t>
            </w:r>
            <w:r>
              <w:rPr>
                <w:bCs/>
                <w:color w:val="000000"/>
                <w:sz w:val="18"/>
              </w:rPr>
              <w:t>面积</w:t>
            </w:r>
            <w:r>
              <w:rPr>
                <w:rFonts w:hint="eastAsia"/>
                <w:bCs/>
                <w:color w:val="000000"/>
                <w:sz w:val="18"/>
              </w:rPr>
              <w:t>（包括窗）</w:t>
            </w:r>
            <w:r>
              <w:rPr>
                <w:bCs/>
                <w:color w:val="000000"/>
                <w:sz w:val="18"/>
              </w:rPr>
              <w:t>的</w:t>
            </w:r>
            <w:r>
              <w:rPr>
                <w:rFonts w:hint="eastAsia"/>
                <w:bCs/>
                <w:color w:val="000000"/>
                <w:sz w:val="18"/>
              </w:rPr>
              <w:t>10</w:t>
            </w:r>
            <w:r>
              <w:rPr>
                <w:bCs/>
                <w:color w:val="000000"/>
                <w:sz w:val="18"/>
              </w:rPr>
              <w:t>%</w:t>
            </w:r>
            <w:r>
              <w:rPr>
                <w:rFonts w:hint="eastAsia"/>
                <w:sz w:val="18"/>
              </w:rPr>
              <w:t>；</w:t>
            </w:r>
            <w:r>
              <w:rPr>
                <w:rFonts w:hint="eastAsia"/>
                <w:color w:val="000000"/>
                <w:sz w:val="18"/>
              </w:rPr>
              <w:t>透明幕墙应具有可开启部分或设有独立的通风换气装置。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23" w:name="最不利开启房间开洞比mc"/>
            <w:r>
              <w:rPr>
                <w:rFonts w:hint="eastAsia"/>
                <w:iCs/>
                <w:sz w:val="18"/>
              </w:rPr>
              <w:t>0.30</w:t>
            </w:r>
            <w:bookmarkEnd w:id="23"/>
          </w:p>
        </w:tc>
        <w:tc>
          <w:tcPr>
            <w:tcW w:w="3239" w:type="dxa"/>
            <w:gridSpan w:val="6"/>
            <w:tcBorders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气密性能</w:t>
            </w:r>
          </w:p>
        </w:tc>
        <w:tc>
          <w:tcPr>
            <w:tcW w:w="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382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不低于</w:t>
            </w:r>
            <w:r>
              <w:rPr>
                <w:sz w:val="18"/>
              </w:rPr>
              <w:t>GB/T21086-2007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级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24" w:name="最不利幕墙气密性等级"/>
            <w:r>
              <w:rPr>
                <w:rFonts w:hint="eastAsia"/>
                <w:iCs/>
                <w:sz w:val="18"/>
              </w:rPr>
              <w:t>－</w:t>
            </w:r>
            <w:bookmarkEnd w:id="24"/>
          </w:p>
        </w:tc>
        <w:tc>
          <w:tcPr>
            <w:tcW w:w="3239" w:type="dxa"/>
            <w:gridSpan w:val="6"/>
            <w:tcBorders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rFonts w:hint="eastAsia"/>
                <w:sz w:val="18"/>
              </w:rPr>
              <w:t>层及以上建筑：不低于</w:t>
            </w:r>
            <w:r>
              <w:rPr>
                <w:sz w:val="18"/>
              </w:rPr>
              <w:t>GB/T7106-2019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7</w:t>
            </w:r>
            <w:r>
              <w:rPr>
                <w:rFonts w:hint="eastAsia"/>
                <w:sz w:val="18"/>
              </w:rPr>
              <w:t>级；</w:t>
            </w:r>
            <w:r>
              <w:rPr>
                <w:sz w:val="18"/>
              </w:rPr>
              <w:t>10</w:t>
            </w:r>
            <w:r>
              <w:rPr>
                <w:rFonts w:hint="eastAsia"/>
                <w:sz w:val="18"/>
              </w:rPr>
              <w:t>层以下建筑：不低于</w:t>
            </w:r>
            <w:r>
              <w:rPr>
                <w:sz w:val="18"/>
              </w:rPr>
              <w:t>GB/T7106-2019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6</w:t>
            </w:r>
            <w:r>
              <w:rPr>
                <w:rFonts w:hint="eastAsia"/>
                <w:sz w:val="18"/>
              </w:rPr>
              <w:t>级。</w:t>
            </w:r>
          </w:p>
        </w:tc>
        <w:tc>
          <w:tcPr>
            <w:tcW w:w="192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25" w:name="最不利外窗气密性等级"/>
            <w:r>
              <w:rPr>
                <w:rFonts w:hint="eastAsia"/>
                <w:iCs/>
                <w:sz w:val="18"/>
              </w:rPr>
              <w:t>6</w:t>
            </w:r>
            <w:bookmarkEnd w:id="25"/>
          </w:p>
        </w:tc>
        <w:tc>
          <w:tcPr>
            <w:tcW w:w="3239" w:type="dxa"/>
            <w:gridSpan w:val="6"/>
            <w:tcBorders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遮阳</w:t>
            </w:r>
            <w:r>
              <w:rPr>
                <w:sz w:val="18"/>
              </w:rPr>
              <w:t>措施</w:t>
            </w:r>
          </w:p>
        </w:tc>
        <w:tc>
          <w:tcPr>
            <w:tcW w:w="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3828" w:type="dxa"/>
            <w:gridSpan w:val="4"/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921" w:type="dxa"/>
            <w:gridSpan w:val="4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bookmarkStart w:id="26" w:name="东向最不利遮阳外窗遮阳形式"/>
            <w:r>
              <w:rPr>
                <w:rFonts w:hint="eastAsia"/>
                <w:iCs/>
                <w:sz w:val="18"/>
              </w:rPr>
              <w:t>综合</w:t>
            </w:r>
            <w:bookmarkEnd w:id="26"/>
            <w:r>
              <w:rPr>
                <w:rFonts w:hint="eastAsia"/>
                <w:iCs/>
                <w:sz w:val="18"/>
              </w:rPr>
              <w:t>、</w:t>
            </w:r>
            <w:bookmarkStart w:id="27" w:name="南向最不利遮阳外窗遮阳形式"/>
            <w:r>
              <w:rPr>
                <w:rFonts w:hint="eastAsia"/>
                <w:iCs/>
                <w:sz w:val="18"/>
              </w:rPr>
              <w:t>综合</w:t>
            </w:r>
            <w:bookmarkEnd w:id="27"/>
            <w:r>
              <w:rPr>
                <w:rFonts w:hint="eastAsia"/>
                <w:iCs/>
                <w:sz w:val="18"/>
              </w:rPr>
              <w:t>、</w:t>
            </w:r>
            <w:bookmarkStart w:id="28" w:name="西向最不利遮阳外窗遮阳形式"/>
            <w:r>
              <w:rPr>
                <w:rFonts w:hint="eastAsia"/>
                <w:iCs/>
                <w:sz w:val="18"/>
              </w:rPr>
              <w:t>综合</w:t>
            </w:r>
            <w:bookmarkEnd w:id="28"/>
          </w:p>
        </w:tc>
        <w:tc>
          <w:tcPr>
            <w:tcW w:w="3239" w:type="dxa"/>
            <w:gridSpan w:val="6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710" w:type="dxa"/>
            <w:vMerge w:val="continue"/>
            <w:tcBorders>
              <w:left w:val="single" w:color="000000" w:sz="18" w:space="0"/>
              <w:bottom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92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 w:val="continue"/>
            <w:tcBorders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屋顶透明部分（水平天窗、采光顶）</w:t>
            </w:r>
          </w:p>
        </w:tc>
        <w:tc>
          <w:tcPr>
            <w:tcW w:w="6197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面积占屋顶面积的比例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bookmarkStart w:id="29" w:name="天窗屋顶比"/>
            <w:r>
              <w:rPr>
                <w:rFonts w:hint="eastAsia"/>
                <w:iCs/>
                <w:sz w:val="18"/>
              </w:rPr>
              <w:t>0.00</w:t>
            </w:r>
            <w:bookmarkEnd w:id="29"/>
          </w:p>
        </w:tc>
        <w:tc>
          <w:tcPr>
            <w:tcW w:w="3239" w:type="dxa"/>
            <w:gridSpan w:val="6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6197" w:type="dxa"/>
            <w:gridSpan w:val="8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 xml:space="preserve">K </w:t>
            </w:r>
            <w:r>
              <w:rPr>
                <w:rFonts w:hint="eastAsia"/>
                <w:sz w:val="18"/>
              </w:rPr>
              <w:t>/太阳得热系数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1921" w:type="dxa"/>
            <w:gridSpan w:val="4"/>
            <w:vAlign w:val="center"/>
          </w:tcPr>
          <w:p>
            <w:pPr>
              <w:ind w:left="360"/>
              <w:rPr>
                <w:sz w:val="18"/>
              </w:rPr>
            </w:pPr>
            <w:bookmarkStart w:id="30" w:name="天窗K"/>
            <w:r>
              <w:rPr>
                <w:rFonts w:hint="eastAsia"/>
                <w:iCs/>
                <w:sz w:val="18"/>
              </w:rPr>
              <w:t>－</w:t>
            </w:r>
            <w:bookmarkEnd w:id="30"/>
            <w:r>
              <w:rPr>
                <w:rFonts w:hint="eastAsia"/>
                <w:iCs/>
                <w:sz w:val="18"/>
              </w:rPr>
              <w:t>/</w:t>
            </w:r>
            <w:bookmarkStart w:id="31" w:name="天窗SHGC"/>
            <w:r>
              <w:rPr>
                <w:iCs/>
                <w:sz w:val="18"/>
              </w:rPr>
              <w:t>－</w:t>
            </w:r>
            <w:bookmarkEnd w:id="31"/>
          </w:p>
        </w:tc>
        <w:tc>
          <w:tcPr>
            <w:tcW w:w="3239" w:type="dxa"/>
            <w:gridSpan w:val="6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710" w:type="dxa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174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/>
                <w:sz w:val="18"/>
              </w:rPr>
              <w:t>权衡计算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空调年能耗</w:t>
            </w:r>
          </w:p>
        </w:tc>
        <w:tc>
          <w:tcPr>
            <w:tcW w:w="453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 xml:space="preserve">参照建筑=     </w:t>
            </w:r>
            <w:bookmarkStart w:id="32" w:name="参照建筑全年供暖和空调总耗电量"/>
            <w:r>
              <w:rPr>
                <w:rFonts w:hint="eastAsia"/>
              </w:rPr>
              <w:t>32.46</w:t>
            </w:r>
            <w:bookmarkEnd w:id="32"/>
            <w:r>
              <w:rPr>
                <w:rFonts w:hint="eastAsia"/>
                <w:sz w:val="18"/>
              </w:rPr>
              <w:t xml:space="preserve">       kWh/㎡</w:t>
            </w:r>
          </w:p>
        </w:tc>
        <w:tc>
          <w:tcPr>
            <w:tcW w:w="19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bookmarkStart w:id="33" w:name="全年供暖和空调总耗电量"/>
            <w:r>
              <w:rPr>
                <w:rFonts w:hint="eastAsia"/>
              </w:rPr>
              <w:t>31.96</w:t>
            </w:r>
            <w:bookmarkEnd w:id="33"/>
          </w:p>
        </w:tc>
        <w:tc>
          <w:tcPr>
            <w:tcW w:w="3239" w:type="dxa"/>
            <w:gridSpan w:val="6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暖通空调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负荷计算</w:t>
            </w:r>
          </w:p>
        </w:tc>
        <w:tc>
          <w:tcPr>
            <w:tcW w:w="453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bCs/>
                <w:color w:val="FF0000"/>
                <w:sz w:val="18"/>
              </w:rPr>
              <w:t>施工图设计阶段必须进行逐项逐时的冷负荷计算</w:t>
            </w:r>
          </w:p>
        </w:tc>
        <w:tc>
          <w:tcPr>
            <w:tcW w:w="19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lang w:val="en-US" w:eastAsia="zh-CN"/>
              </w:rPr>
              <w:t>本项目不安装暖通空调系统</w:t>
            </w:r>
          </w:p>
        </w:tc>
        <w:tc>
          <w:tcPr>
            <w:tcW w:w="3239" w:type="dxa"/>
            <w:gridSpan w:val="6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710" w:type="dxa"/>
            <w:vMerge w:val="continue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66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  <w:highlight w:val="yellow"/>
              </w:rPr>
            </w:pPr>
            <w:r>
              <w:rPr>
                <w:rFonts w:hint="eastAsia"/>
                <w:color w:val="FF0000"/>
                <w:sz w:val="18"/>
              </w:rPr>
              <w:t>设备</w:t>
            </w:r>
          </w:p>
        </w:tc>
        <w:tc>
          <w:tcPr>
            <w:tcW w:w="4536" w:type="dxa"/>
            <w:gridSpan w:val="7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暖通空调系统性能参数符合</w:t>
            </w:r>
            <w:r>
              <w:rPr>
                <w:rFonts w:ascii="宋体" w:hAnsi="宋体"/>
                <w:bCs/>
                <w:color w:val="FF0000"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 xml:space="preserve"> </w:t>
            </w:r>
            <w:r>
              <w:rPr>
                <w:rFonts w:ascii="宋体" w:hAnsi="宋体"/>
                <w:bCs/>
                <w:color w:val="FF0000"/>
                <w:sz w:val="18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.2节要求</w:t>
            </w:r>
          </w:p>
        </w:tc>
        <w:tc>
          <w:tcPr>
            <w:tcW w:w="1921" w:type="dxa"/>
            <w:gridSpan w:val="4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本项目不安装暖通空调系统</w:t>
            </w:r>
          </w:p>
        </w:tc>
        <w:tc>
          <w:tcPr>
            <w:tcW w:w="3239" w:type="dxa"/>
            <w:gridSpan w:val="6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color="auto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bCs/>
                <w:color w:val="FF0000"/>
                <w:sz w:val="18"/>
              </w:rPr>
              <w:t>锅炉</w:t>
            </w:r>
          </w:p>
        </w:tc>
        <w:tc>
          <w:tcPr>
            <w:tcW w:w="453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锅炉的额定热效率应符合</w:t>
            </w:r>
            <w:r>
              <w:rPr>
                <w:rFonts w:ascii="宋体" w:hAnsi="宋体"/>
                <w:bCs/>
                <w:color w:val="FF0000"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第</w:t>
            </w:r>
            <w:r>
              <w:rPr>
                <w:rFonts w:ascii="宋体" w:hAnsi="宋体"/>
                <w:bCs/>
                <w:color w:val="FF0000"/>
                <w:sz w:val="18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.2.5条</w:t>
            </w:r>
          </w:p>
        </w:tc>
        <w:tc>
          <w:tcPr>
            <w:tcW w:w="192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3239" w:type="dxa"/>
            <w:gridSpan w:val="6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电气</w:t>
            </w:r>
          </w:p>
        </w:tc>
        <w:tc>
          <w:tcPr>
            <w:tcW w:w="16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电能监测与计量</w:t>
            </w:r>
          </w:p>
        </w:tc>
        <w:tc>
          <w:tcPr>
            <w:tcW w:w="453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公共建筑用电分项计量应符合</w:t>
            </w:r>
            <w:r>
              <w:rPr>
                <w:rFonts w:ascii="宋体" w:hAnsi="宋体"/>
                <w:bCs/>
                <w:color w:val="FF0000"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第</w:t>
            </w:r>
            <w:r>
              <w:rPr>
                <w:rFonts w:ascii="宋体" w:hAnsi="宋体"/>
                <w:bCs/>
                <w:color w:val="FF0000"/>
                <w:sz w:val="18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.</w:t>
            </w:r>
            <w:r>
              <w:rPr>
                <w:rFonts w:ascii="宋体" w:hAnsi="宋体"/>
                <w:bCs/>
                <w:color w:val="FF0000"/>
                <w:sz w:val="18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.5条及GB50189－2015第6.4.3条</w:t>
            </w:r>
          </w:p>
        </w:tc>
        <w:tc>
          <w:tcPr>
            <w:tcW w:w="19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FF0000"/>
                <w:sz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</w:rPr>
              <w:t>本项目</w:t>
            </w:r>
            <w:r>
              <w:rPr>
                <w:rFonts w:hint="eastAsia"/>
                <w:color w:val="FF0000"/>
                <w:sz w:val="18"/>
                <w:lang w:val="en-US" w:eastAsia="zh-CN"/>
              </w:rPr>
              <w:t>未涉及</w:t>
            </w:r>
          </w:p>
        </w:tc>
        <w:tc>
          <w:tcPr>
            <w:tcW w:w="3239" w:type="dxa"/>
            <w:gridSpan w:val="6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照明功率密度值</w:t>
            </w:r>
          </w:p>
        </w:tc>
        <w:tc>
          <w:tcPr>
            <w:tcW w:w="453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</w:rPr>
              <w:t>应符合《建筑照明设计标准》GB50034及</w:t>
            </w:r>
            <w:r>
              <w:rPr>
                <w:rFonts w:ascii="宋体" w:hAnsi="宋体"/>
                <w:bCs/>
                <w:color w:val="FF0000"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第</w:t>
            </w:r>
            <w:r>
              <w:rPr>
                <w:rFonts w:ascii="宋体" w:hAnsi="宋体"/>
                <w:bCs/>
                <w:color w:val="FF0000"/>
                <w:sz w:val="18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.</w:t>
            </w:r>
            <w:r>
              <w:rPr>
                <w:rFonts w:ascii="宋体" w:hAnsi="宋体"/>
                <w:bCs/>
                <w:color w:val="FF0000"/>
                <w:sz w:val="18"/>
              </w:rPr>
              <w:t>3.7</w:t>
            </w:r>
            <w:r>
              <w:rPr>
                <w:rFonts w:hint="eastAsia" w:ascii="宋体" w:hAnsi="宋体"/>
                <w:bCs/>
                <w:color w:val="FF0000"/>
                <w:sz w:val="18"/>
              </w:rPr>
              <w:t>条的有关规定</w:t>
            </w:r>
          </w:p>
        </w:tc>
        <w:tc>
          <w:tcPr>
            <w:tcW w:w="19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lang w:val="en-US" w:eastAsia="zh-CN"/>
              </w:rPr>
              <w:t>详见电气设计说明DS-01</w:t>
            </w:r>
          </w:p>
        </w:tc>
        <w:tc>
          <w:tcPr>
            <w:tcW w:w="3239" w:type="dxa"/>
            <w:gridSpan w:val="6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其它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节能措施</w:t>
            </w: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规划、朝向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自然通风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空调系统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（包括室外空调机布置）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电梯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智能监控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</w:trPr>
        <w:tc>
          <w:tcPr>
            <w:tcW w:w="710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7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可</w:t>
            </w:r>
            <w:r>
              <w:rPr>
                <w:sz w:val="18"/>
              </w:rPr>
              <w:t>再生能源利用</w:t>
            </w: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太阳能</w:t>
            </w:r>
            <w:r>
              <w:rPr>
                <w:sz w:val="18"/>
              </w:rPr>
              <w:t>利用措施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</w:trPr>
        <w:tc>
          <w:tcPr>
            <w:tcW w:w="710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2"/>
            <w:vMerge w:val="continue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653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其他可再</w:t>
            </w:r>
            <w:r>
              <w:rPr>
                <w:sz w:val="18"/>
              </w:rPr>
              <w:t>生能源利用措施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</w:trPr>
        <w:tc>
          <w:tcPr>
            <w:tcW w:w="710" w:type="dxa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827" w:type="dxa"/>
            <w:gridSpan w:val="7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碳排放强度降低量</w:t>
            </w:r>
          </w:p>
        </w:tc>
        <w:tc>
          <w:tcPr>
            <w:tcW w:w="8704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right"/>
              <w:rPr>
                <w:sz w:val="18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3914775</wp:posOffset>
                  </wp:positionH>
                  <wp:positionV relativeFrom="paragraph">
                    <wp:posOffset>149225</wp:posOffset>
                  </wp:positionV>
                  <wp:extent cx="685165" cy="339725"/>
                  <wp:effectExtent l="0" t="0" r="635" b="3175"/>
                  <wp:wrapNone/>
                  <wp:docPr id="8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18"/>
                <w:szCs w:val="18"/>
              </w:rPr>
              <w:t>kgCO2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（㎡·a）</w:t>
            </w:r>
          </w:p>
        </w:tc>
        <w:tc>
          <w:tcPr>
            <w:tcW w:w="1443" w:type="dxa"/>
            <w:gridSpan w:val="2"/>
            <w:tcBorders>
              <w:left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1844" w:type="dxa"/>
            <w:gridSpan w:val="2"/>
            <w:vMerge w:val="restart"/>
            <w:tcBorders>
              <w:top w:val="single" w:color="auto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设计单位</w:t>
            </w:r>
          </w:p>
        </w:tc>
        <w:tc>
          <w:tcPr>
            <w:tcW w:w="5633" w:type="dxa"/>
            <w:gridSpan w:val="8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  <w:bookmarkStart w:id="34" w:name="设计单位"/>
            <w:r>
              <w:t>广东粤建设计研究院有限公司</w:t>
            </w:r>
            <w:bookmarkEnd w:id="34"/>
          </w:p>
        </w:tc>
        <w:tc>
          <w:tcPr>
            <w:tcW w:w="1732" w:type="dxa"/>
            <w:gridSpan w:val="3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节能专项设计人</w:t>
            </w:r>
          </w:p>
        </w:tc>
        <w:tc>
          <w:tcPr>
            <w:tcW w:w="793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400685</wp:posOffset>
                  </wp:positionH>
                  <wp:positionV relativeFrom="paragraph">
                    <wp:posOffset>143510</wp:posOffset>
                  </wp:positionV>
                  <wp:extent cx="603250" cy="331470"/>
                  <wp:effectExtent l="0" t="0" r="6350" b="11430"/>
                  <wp:wrapNone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1923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restart"/>
            <w:tcBorders>
              <w:top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bookmarkStart w:id="35" w:name="_GoBack"/>
            <w:bookmarkEnd w:id="35"/>
            <w:r>
              <w:rPr>
                <w:rFonts w:hint="eastAsia" w:eastAsia="楷体_GB2312"/>
                <w:sz w:val="1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eastAsia="楷体_GB2312"/>
                <w:color w:val="FF0000"/>
                <w:sz w:val="18"/>
                <w:szCs w:val="18"/>
              </w:rPr>
              <w:drawing>
                <wp:anchor distT="0" distB="0" distL="0" distR="0" simplePos="0" relativeHeight="251661312" behindDoc="1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146685</wp:posOffset>
                  </wp:positionV>
                  <wp:extent cx="754380" cy="321310"/>
                  <wp:effectExtent l="0" t="0" r="7620" b="254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" cy="32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9" w:type="dxa"/>
            <w:gridSpan w:val="5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165735</wp:posOffset>
                  </wp:positionV>
                  <wp:extent cx="752475" cy="293370"/>
                  <wp:effectExtent l="0" t="0" r="9525" b="11430"/>
                  <wp:wrapNone/>
                  <wp:docPr id="9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节能专项校审人</w:t>
            </w:r>
          </w:p>
        </w:tc>
        <w:tc>
          <w:tcPr>
            <w:tcW w:w="7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481965</wp:posOffset>
                  </wp:positionH>
                  <wp:positionV relativeFrom="paragraph">
                    <wp:posOffset>-5715</wp:posOffset>
                  </wp:positionV>
                  <wp:extent cx="596900" cy="221615"/>
                  <wp:effectExtent l="0" t="0" r="12700" b="6985"/>
                  <wp:wrapNone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22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164465</wp:posOffset>
                  </wp:positionV>
                  <wp:extent cx="595630" cy="267970"/>
                  <wp:effectExtent l="0" t="0" r="13970" b="17780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9" w:type="dxa"/>
            <w:gridSpan w:val="5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1923" w:type="dxa"/>
            <w:gridSpan w:val="3"/>
            <w:tcBorders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continue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1844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节能审查意见</w:t>
            </w:r>
          </w:p>
        </w:tc>
        <w:tc>
          <w:tcPr>
            <w:tcW w:w="12840" w:type="dxa"/>
            <w:gridSpan w:val="21"/>
            <w:tcBorders>
              <w:top w:val="single" w:color="000000" w:sz="18" w:space="0"/>
              <w:left w:val="single" w:color="auto" w:sz="4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</w:trPr>
        <w:tc>
          <w:tcPr>
            <w:tcW w:w="1844" w:type="dxa"/>
            <w:gridSpan w:val="2"/>
            <w:vMerge w:val="restart"/>
            <w:tcBorders>
              <w:top w:val="single" w:color="000000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节能审查单位</w:t>
            </w:r>
          </w:p>
        </w:tc>
        <w:tc>
          <w:tcPr>
            <w:tcW w:w="5633" w:type="dxa"/>
            <w:gridSpan w:val="8"/>
            <w:vMerge w:val="restart"/>
            <w:tcBorders>
              <w:top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节能专项审查人</w:t>
            </w:r>
          </w:p>
        </w:tc>
        <w:tc>
          <w:tcPr>
            <w:tcW w:w="793" w:type="dxa"/>
            <w:gridSpan w:val="2"/>
            <w:tcBorders>
              <w:top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1980" w:type="dxa"/>
            <w:gridSpan w:val="4"/>
            <w:tcBorders>
              <w:top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 w:val="restart"/>
            <w:tcBorders>
              <w:top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" w:hRule="atLeast"/>
        </w:trPr>
        <w:tc>
          <w:tcPr>
            <w:tcW w:w="1844" w:type="dxa"/>
            <w:gridSpan w:val="2"/>
            <w:vMerge w:val="continue"/>
            <w:tcBorders>
              <w:left w:val="single" w:color="000000" w:sz="18" w:space="0"/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8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color="auto" w:sz="4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 w:val="continue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注：建筑节能专项设计人、审查人签名栏必须由实际工作人员签名，不得代签。</w:t>
      </w:r>
    </w:p>
    <w:p/>
    <w:sectPr>
      <w:pgSz w:w="16838" w:h="23811"/>
      <w:pgMar w:top="1134" w:right="1304" w:bottom="85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Tc3OGM3MTZjYmUzMTM1MWQyNTY5Yzk3OTdiOTUifQ=="/>
    <w:docVar w:name="KSO_WPS_MARK_KEY" w:val="97b375ee-44b5-4804-acea-cbdf70c54df3"/>
  </w:docVars>
  <w:rsids>
    <w:rsidRoot w:val="00172A27"/>
    <w:rsid w:val="00226096"/>
    <w:rsid w:val="005C7303"/>
    <w:rsid w:val="007077B1"/>
    <w:rsid w:val="007F5573"/>
    <w:rsid w:val="00867F3A"/>
    <w:rsid w:val="00A70857"/>
    <w:rsid w:val="00D904A6"/>
    <w:rsid w:val="15313988"/>
    <w:rsid w:val="2F261BB2"/>
    <w:rsid w:val="51256A0C"/>
    <w:rsid w:val="57BE7C4B"/>
    <w:rsid w:val="7AE2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adjustRightInd w:val="0"/>
      <w:snapToGrid w:val="0"/>
      <w:jc w:val="center"/>
      <w:outlineLvl w:val="0"/>
    </w:pPr>
    <w:rPr>
      <w:i/>
      <w:iCs/>
      <w:sz w:val="1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uiPriority w:val="0"/>
    <w:rPr>
      <w:rFonts w:ascii="Times New Roman" w:hAnsi="Times New Roman" w:eastAsia="宋体" w:cs="Times New Roman"/>
      <w:i/>
      <w:iCs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2</Pages>
  <Words>1367</Words>
  <Characters>1869</Characters>
  <Lines>16</Lines>
  <Paragraphs>4</Paragraphs>
  <TotalTime>6</TotalTime>
  <ScaleCrop>false</ScaleCrop>
  <LinksUpToDate>false</LinksUpToDate>
  <CharactersWithSpaces>2021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2023-03-02T09:38:00Z</dcterms:created>
  <dc:creator>一把鼻涕一把泪1404791926</dc:creator>
  <cp:lastModifiedBy>一把鼻涕一把泪1404791926</cp:lastModifiedBy>
  <dcterms:modified xsi:type="dcterms:W3CDTF">2023-03-07T09:48:04Z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E8090F19739F4AEFBAB615E924E53E8B</vt:lpwstr>
  </property>
  <property fmtid="{D5CDD505-2E9C-101B-9397-08002B2CF9AE}" pid="3" name="KSOProductBuildVer">
    <vt:lpwstr>2052-11.1.0.12970</vt:lpwstr>
  </property>
</Properties>
</file>