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rPr>
          <w:rFonts w:ascii="宋体" w:hAnsi="宋体" w:cs="宋体"/>
          <w:color w:val="auto"/>
          <w:sz w:val="48"/>
          <w:szCs w:val="48"/>
          <w:highlight w:val="none"/>
        </w:rPr>
      </w:pPr>
    </w:p>
    <w:p>
      <w:pPr>
        <w:pStyle w:val="49"/>
        <w:ind w:left="480" w:firstLine="420"/>
        <w:rPr>
          <w:color w:val="auto"/>
          <w:highlight w:val="none"/>
        </w:rPr>
      </w:pPr>
    </w:p>
    <w:p>
      <w:pPr>
        <w:spacing w:line="360" w:lineRule="auto"/>
        <w:jc w:val="center"/>
        <w:rPr>
          <w:rFonts w:ascii="宋体" w:hAnsi="宋体" w:cs="宋体"/>
          <w:color w:val="auto"/>
          <w:sz w:val="56"/>
          <w:szCs w:val="56"/>
          <w:highlight w:val="none"/>
        </w:rPr>
      </w:pPr>
      <w:r>
        <w:rPr>
          <w:rFonts w:hint="eastAsia" w:ascii="宋体" w:hAnsi="宋体" w:cs="宋体"/>
          <w:b/>
          <w:bCs/>
          <w:color w:val="auto"/>
          <w:sz w:val="56"/>
          <w:szCs w:val="56"/>
          <w:highlight w:val="none"/>
        </w:rPr>
        <w:t>云港城项目4#地块</w:t>
      </w:r>
      <w:r>
        <w:rPr>
          <w:rFonts w:ascii="宋体" w:hAnsi="宋体" w:cs="宋体"/>
          <w:b/>
          <w:bCs/>
          <w:color w:val="auto"/>
          <w:sz w:val="56"/>
          <w:szCs w:val="56"/>
          <w:highlight w:val="none"/>
        </w:rPr>
        <w:br w:type="textWrapping"/>
      </w:r>
      <w:r>
        <w:rPr>
          <w:rFonts w:hint="eastAsia" w:ascii="宋体" w:hAnsi="宋体" w:cs="宋体"/>
          <w:b/>
          <w:bCs/>
          <w:color w:val="auto"/>
          <w:sz w:val="56"/>
          <w:szCs w:val="56"/>
          <w:highlight w:val="none"/>
        </w:rPr>
        <w:t>电梯采购及相关服务</w:t>
      </w:r>
    </w:p>
    <w:p>
      <w:pPr>
        <w:jc w:val="center"/>
        <w:rPr>
          <w:rFonts w:ascii="宋体" w:hAnsi="宋体" w:cs="宋体"/>
          <w:color w:val="auto"/>
          <w:sz w:val="32"/>
          <w:szCs w:val="32"/>
          <w:highlight w:val="none"/>
        </w:rPr>
      </w:pP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rPr>
          <w:rFonts w:ascii="宋体" w:hAnsi="宋体" w:cs="宋体"/>
          <w:color w:val="auto"/>
          <w:sz w:val="28"/>
          <w:highlight w:val="none"/>
        </w:rPr>
      </w:pPr>
    </w:p>
    <w:p>
      <w:pPr>
        <w:pStyle w:val="49"/>
        <w:ind w:left="0" w:leftChars="0" w:firstLine="0" w:firstLineChars="0"/>
        <w:rPr>
          <w:rFonts w:ascii="宋体" w:hAnsi="宋体" w:cs="宋体"/>
          <w:color w:val="auto"/>
          <w:sz w:val="28"/>
          <w:highlight w:val="none"/>
        </w:rPr>
      </w:pPr>
    </w:p>
    <w:p>
      <w:pPr>
        <w:rPr>
          <w:rFonts w:ascii="宋体" w:hAnsi="宋体" w:cs="宋体"/>
          <w:b/>
          <w:bCs/>
          <w:color w:val="auto"/>
          <w:sz w:val="28"/>
          <w:highlight w:val="none"/>
        </w:rPr>
      </w:pPr>
    </w:p>
    <w:p>
      <w:pPr>
        <w:jc w:val="center"/>
        <w:rPr>
          <w:rFonts w:ascii="宋体" w:hAnsi="宋体" w:cs="宋体"/>
          <w:color w:val="auto"/>
          <w:sz w:val="72"/>
          <w:szCs w:val="72"/>
          <w:highlight w:val="none"/>
        </w:rPr>
      </w:pPr>
      <w:r>
        <w:rPr>
          <w:rFonts w:hint="eastAsia" w:ascii="宋体" w:hAnsi="宋体" w:cs="宋体"/>
          <w:b/>
          <w:bCs/>
          <w:color w:val="auto"/>
          <w:sz w:val="72"/>
          <w:szCs w:val="72"/>
          <w:highlight w:val="none"/>
        </w:rPr>
        <w:t>招 标 文 件</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pStyle w:val="49"/>
        <w:ind w:left="480" w:firstLine="420"/>
        <w:rPr>
          <w:rFonts w:ascii="宋体" w:hAnsi="宋体" w:cs="宋体"/>
          <w:color w:val="auto"/>
          <w:highlight w:val="none"/>
        </w:rPr>
      </w:pPr>
    </w:p>
    <w:p>
      <w:pPr>
        <w:pStyle w:val="49"/>
        <w:ind w:left="480" w:firstLine="420"/>
        <w:rPr>
          <w:rFonts w:ascii="宋体" w:hAnsi="宋体" w:cs="宋体"/>
          <w:color w:val="auto"/>
          <w:highlight w:val="none"/>
        </w:rPr>
      </w:pPr>
    </w:p>
    <w:p>
      <w:pPr>
        <w:pStyle w:val="49"/>
        <w:ind w:left="0" w:leftChars="0" w:firstLine="0" w:firstLineChars="0"/>
        <w:rPr>
          <w:rFonts w:ascii="宋体" w:hAnsi="宋体" w:cs="宋体"/>
          <w:color w:val="auto"/>
          <w:highlight w:val="none"/>
        </w:rPr>
      </w:pPr>
    </w:p>
    <w:p>
      <w:pPr>
        <w:snapToGrid w:val="0"/>
        <w:spacing w:line="360" w:lineRule="auto"/>
        <w:rPr>
          <w:rFonts w:ascii="宋体" w:hAnsi="宋体" w:cs="宋体"/>
          <w:color w:val="auto"/>
          <w:highlight w:val="none"/>
        </w:rPr>
      </w:pPr>
    </w:p>
    <w:p>
      <w:pPr>
        <w:snapToGrid w:val="0"/>
        <w:spacing w:line="360" w:lineRule="auto"/>
        <w:ind w:firstLine="1500" w:firstLineChars="500"/>
        <w:jc w:val="both"/>
        <w:rPr>
          <w:rFonts w:ascii="宋体" w:hAnsi="宋体" w:cs="宋体"/>
          <w:color w:val="auto"/>
          <w:sz w:val="30"/>
          <w:szCs w:val="30"/>
          <w:highlight w:val="none"/>
        </w:rPr>
      </w:pPr>
      <w:r>
        <w:rPr>
          <w:rFonts w:hint="eastAsia" w:ascii="宋体" w:hAnsi="宋体" w:cs="宋体"/>
          <w:color w:val="auto"/>
          <w:sz w:val="30"/>
          <w:szCs w:val="30"/>
          <w:highlight w:val="none"/>
        </w:rPr>
        <w:t>招标单位：广东粤海置地发展有限公司</w:t>
      </w:r>
    </w:p>
    <w:p>
      <w:pPr>
        <w:snapToGrid w:val="0"/>
        <w:spacing w:line="360" w:lineRule="auto"/>
        <w:ind w:firstLine="1500" w:firstLineChars="500"/>
        <w:jc w:val="both"/>
        <w:rPr>
          <w:rFonts w:ascii="宋体" w:hAnsi="宋体" w:cs="宋体"/>
          <w:color w:val="auto"/>
          <w:sz w:val="30"/>
          <w:szCs w:val="30"/>
          <w:highlight w:val="none"/>
        </w:rPr>
      </w:pPr>
      <w:r>
        <w:rPr>
          <w:rFonts w:hint="eastAsia" w:ascii="宋体" w:hAnsi="宋体" w:cs="宋体"/>
          <w:color w:val="auto"/>
          <w:sz w:val="30"/>
          <w:szCs w:val="30"/>
          <w:highlight w:val="none"/>
        </w:rPr>
        <w:t>招标代理：广东粤源工程咨询有限公司</w:t>
      </w:r>
    </w:p>
    <w:p>
      <w:pPr>
        <w:pStyle w:val="15"/>
        <w:tabs>
          <w:tab w:val="left" w:pos="3611"/>
          <w:tab w:val="left" w:pos="4626"/>
          <w:tab w:val="left" w:pos="5642"/>
        </w:tabs>
        <w:overflowPunct w:val="0"/>
        <w:spacing w:before="14"/>
        <w:ind w:firstLine="1425" w:firstLineChars="475"/>
        <w:jc w:val="both"/>
        <w:rPr>
          <w:rFonts w:hint="default" w:cs="宋体"/>
          <w:color w:val="auto"/>
          <w:sz w:val="30"/>
          <w:szCs w:val="30"/>
          <w:highlight w:val="none"/>
        </w:rPr>
      </w:pPr>
      <w:r>
        <w:rPr>
          <w:rFonts w:cs="宋体"/>
          <w:color w:val="auto"/>
          <w:sz w:val="30"/>
          <w:szCs w:val="30"/>
          <w:highlight w:val="none"/>
        </w:rPr>
        <w:t>日</w:t>
      </w:r>
      <w:r>
        <w:rPr>
          <w:rFonts w:hint="default" w:cs="宋体"/>
          <w:color w:val="auto"/>
          <w:sz w:val="30"/>
          <w:szCs w:val="30"/>
          <w:highlight w:val="none"/>
        </w:rPr>
        <w:t xml:space="preserve"> </w:t>
      </w:r>
      <w:r>
        <w:rPr>
          <w:rFonts w:cs="宋体"/>
          <w:color w:val="auto"/>
          <w:sz w:val="30"/>
          <w:szCs w:val="30"/>
          <w:highlight w:val="none"/>
        </w:rPr>
        <w:t xml:space="preserve"> </w:t>
      </w:r>
      <w:r>
        <w:rPr>
          <w:rFonts w:hint="default" w:cs="宋体"/>
          <w:color w:val="auto"/>
          <w:sz w:val="30"/>
          <w:szCs w:val="30"/>
          <w:highlight w:val="none"/>
        </w:rPr>
        <w:t xml:space="preserve">  期：202</w:t>
      </w:r>
      <w:r>
        <w:rPr>
          <w:rFonts w:cs="宋体"/>
          <w:color w:val="auto"/>
          <w:sz w:val="30"/>
          <w:szCs w:val="30"/>
          <w:highlight w:val="none"/>
        </w:rPr>
        <w:t>3年  月</w:t>
      </w:r>
    </w:p>
    <w:p>
      <w:pPr>
        <w:pStyle w:val="15"/>
        <w:tabs>
          <w:tab w:val="left" w:pos="3611"/>
          <w:tab w:val="left" w:pos="4626"/>
          <w:tab w:val="left" w:pos="5642"/>
        </w:tabs>
        <w:overflowPunct w:val="0"/>
        <w:spacing w:before="14"/>
        <w:ind w:firstLine="1500" w:firstLineChars="500"/>
        <w:jc w:val="both"/>
        <w:rPr>
          <w:rFonts w:hint="default" w:cs="宋体"/>
          <w:color w:val="auto"/>
          <w:sz w:val="30"/>
          <w:szCs w:val="30"/>
          <w:highlight w:val="none"/>
        </w:rPr>
      </w:pPr>
    </w:p>
    <w:p>
      <w:pPr>
        <w:pStyle w:val="15"/>
        <w:tabs>
          <w:tab w:val="left" w:pos="3611"/>
          <w:tab w:val="left" w:pos="4626"/>
          <w:tab w:val="left" w:pos="5642"/>
        </w:tabs>
        <w:overflowPunct w:val="0"/>
        <w:spacing w:before="14"/>
        <w:ind w:firstLine="1500" w:firstLineChars="500"/>
        <w:jc w:val="both"/>
        <w:rPr>
          <w:rFonts w:hint="default" w:cs="宋体"/>
          <w:color w:val="auto"/>
          <w:sz w:val="30"/>
          <w:szCs w:val="30"/>
          <w:highlight w:val="none"/>
        </w:rPr>
        <w:sectPr>
          <w:pgSz w:w="11907" w:h="16840"/>
          <w:pgMar w:top="1418" w:right="1418" w:bottom="1418" w:left="1418" w:header="720" w:footer="720" w:gutter="0"/>
          <w:cols w:space="720" w:num="1"/>
        </w:sectPr>
      </w:pPr>
    </w:p>
    <w:p>
      <w:pPr>
        <w:spacing w:line="360" w:lineRule="auto"/>
        <w:jc w:val="center"/>
        <w:rPr>
          <w:rFonts w:ascii="宋体" w:hAnsi="宋体" w:cs="宋体"/>
          <w:bCs/>
          <w:color w:val="auto"/>
          <w:highlight w:val="none"/>
        </w:rPr>
      </w:pPr>
      <w:r>
        <w:rPr>
          <w:rFonts w:hint="eastAsia" w:ascii="宋体" w:hAnsi="宋体" w:cs="宋体"/>
          <w:b/>
          <w:color w:val="auto"/>
          <w:sz w:val="44"/>
          <w:highlight w:val="none"/>
        </w:rPr>
        <w:t>重要提示</w:t>
      </w:r>
    </w:p>
    <w:p>
      <w:pPr>
        <w:spacing w:line="360" w:lineRule="auto"/>
        <w:rPr>
          <w:rFonts w:ascii="宋体" w:hAnsi="宋体" w:cs="宋体"/>
          <w:b/>
          <w:color w:val="auto"/>
          <w:szCs w:val="24"/>
          <w:highlight w:val="none"/>
          <w:lang w:val="zh-CN"/>
        </w:rPr>
      </w:pPr>
      <w:r>
        <w:rPr>
          <w:rFonts w:hint="eastAsia" w:ascii="宋体" w:hAnsi="宋体" w:cs="宋体"/>
          <w:color w:val="auto"/>
          <w:szCs w:val="24"/>
          <w:highlight w:val="none"/>
        </w:rPr>
        <w:t>本项目实施电子招投标，投标人应先认真阅读《房屋建筑和市政基础设施工程全流程电子化项目专章》。</w:t>
      </w:r>
    </w:p>
    <w:p>
      <w:pPr>
        <w:pStyle w:val="15"/>
        <w:tabs>
          <w:tab w:val="left" w:pos="561"/>
        </w:tabs>
        <w:overflowPunct w:val="0"/>
        <w:spacing w:line="358" w:lineRule="exact"/>
        <w:ind w:left="2"/>
        <w:jc w:val="center"/>
        <w:rPr>
          <w:rFonts w:hint="default" w:cs="宋体"/>
          <w:color w:val="auto"/>
          <w:sz w:val="28"/>
          <w:highlight w:val="none"/>
        </w:rPr>
        <w:sectPr>
          <w:footerReference r:id="rId3" w:type="default"/>
          <w:pgSz w:w="11907" w:h="16840"/>
          <w:pgMar w:top="1418" w:right="1418" w:bottom="1418" w:left="1418" w:header="720" w:footer="720" w:gutter="0"/>
          <w:pgNumType w:start="1"/>
          <w:cols w:space="720" w:num="1"/>
        </w:sectPr>
      </w:pPr>
    </w:p>
    <w:p>
      <w:pPr>
        <w:pStyle w:val="15"/>
        <w:tabs>
          <w:tab w:val="left" w:pos="561"/>
        </w:tabs>
        <w:overflowPunct w:val="0"/>
        <w:spacing w:line="358" w:lineRule="exact"/>
        <w:ind w:left="2"/>
        <w:jc w:val="center"/>
        <w:rPr>
          <w:rFonts w:hint="default" w:cs="宋体"/>
          <w:b/>
          <w:bCs/>
          <w:color w:val="auto"/>
          <w:sz w:val="36"/>
          <w:szCs w:val="22"/>
          <w:highlight w:val="none"/>
        </w:rPr>
      </w:pPr>
    </w:p>
    <w:p>
      <w:pPr>
        <w:pStyle w:val="15"/>
        <w:tabs>
          <w:tab w:val="left" w:pos="561"/>
        </w:tabs>
        <w:overflowPunct w:val="0"/>
        <w:spacing w:line="358" w:lineRule="exact"/>
        <w:ind w:left="2"/>
        <w:jc w:val="center"/>
        <w:rPr>
          <w:rFonts w:hint="default" w:cs="宋体"/>
          <w:b/>
          <w:bCs/>
          <w:color w:val="auto"/>
          <w:sz w:val="36"/>
          <w:szCs w:val="22"/>
          <w:highlight w:val="none"/>
        </w:rPr>
      </w:pPr>
    </w:p>
    <w:p>
      <w:pPr>
        <w:pStyle w:val="15"/>
        <w:tabs>
          <w:tab w:val="left" w:pos="561"/>
        </w:tabs>
        <w:overflowPunct w:val="0"/>
        <w:spacing w:line="358" w:lineRule="exact"/>
        <w:ind w:left="2"/>
        <w:jc w:val="center"/>
        <w:rPr>
          <w:rFonts w:hint="default" w:cs="宋体"/>
          <w:b/>
          <w:bCs/>
          <w:color w:val="auto"/>
          <w:sz w:val="36"/>
          <w:szCs w:val="22"/>
          <w:highlight w:val="none"/>
        </w:rPr>
      </w:pPr>
      <w:r>
        <w:rPr>
          <w:rFonts w:cs="宋体"/>
          <w:b/>
          <w:bCs/>
          <w:color w:val="auto"/>
          <w:sz w:val="36"/>
          <w:szCs w:val="22"/>
          <w:highlight w:val="none"/>
        </w:rPr>
        <w:t>目</w:t>
      </w:r>
      <w:r>
        <w:rPr>
          <w:rFonts w:hint="default" w:cs="宋体"/>
          <w:b/>
          <w:bCs/>
          <w:color w:val="auto"/>
          <w:sz w:val="36"/>
          <w:szCs w:val="22"/>
          <w:highlight w:val="none"/>
        </w:rPr>
        <w:tab/>
      </w:r>
      <w:r>
        <w:rPr>
          <w:rFonts w:cs="宋体"/>
          <w:b/>
          <w:bCs/>
          <w:color w:val="auto"/>
          <w:sz w:val="36"/>
          <w:szCs w:val="22"/>
          <w:highlight w:val="none"/>
        </w:rPr>
        <w:t>录</w:t>
      </w:r>
    </w:p>
    <w:p>
      <w:pPr>
        <w:pStyle w:val="15"/>
        <w:tabs>
          <w:tab w:val="left" w:pos="561"/>
        </w:tabs>
        <w:overflowPunct w:val="0"/>
        <w:spacing w:line="358" w:lineRule="exact"/>
        <w:ind w:left="2"/>
        <w:jc w:val="center"/>
        <w:rPr>
          <w:rFonts w:hint="default" w:cs="宋体"/>
          <w:b/>
          <w:bCs/>
          <w:color w:val="auto"/>
          <w:sz w:val="28"/>
          <w:highlight w:val="none"/>
        </w:rPr>
      </w:pPr>
    </w:p>
    <w:p>
      <w:pPr>
        <w:pStyle w:val="21"/>
        <w:tabs>
          <w:tab w:val="right" w:leader="dot" w:pos="9112"/>
        </w:tabs>
        <w:spacing w:line="480" w:lineRule="auto"/>
        <w:rPr>
          <w:rFonts w:asciiTheme="minorEastAsia" w:hAnsiTheme="minorEastAsia" w:eastAsiaTheme="minorEastAsia"/>
          <w:color w:val="auto"/>
          <w:highlight w:val="none"/>
        </w:rPr>
      </w:pPr>
      <w:r>
        <w:rPr>
          <w:rFonts w:hint="eastAsia" w:cs="宋体" w:asciiTheme="minorEastAsia" w:hAnsiTheme="minorEastAsia" w:eastAsiaTheme="minorEastAsia"/>
          <w:b/>
          <w:bCs/>
          <w:color w:val="auto"/>
          <w:sz w:val="28"/>
          <w:highlight w:val="none"/>
        </w:rPr>
        <w:fldChar w:fldCharType="begin"/>
      </w:r>
      <w:r>
        <w:rPr>
          <w:rFonts w:cs="宋体" w:asciiTheme="minorEastAsia" w:hAnsiTheme="minorEastAsia" w:eastAsiaTheme="minorEastAsia"/>
          <w:b/>
          <w:bCs/>
          <w:color w:val="auto"/>
          <w:sz w:val="28"/>
          <w:highlight w:val="none"/>
        </w:rPr>
        <w:instrText xml:space="preserve">TOC \o "1-3" \h \u </w:instrText>
      </w:r>
      <w:r>
        <w:rPr>
          <w:rFonts w:hint="eastAsia" w:cs="宋体" w:asciiTheme="minorEastAsia" w:hAnsiTheme="minorEastAsia" w:eastAsiaTheme="minorEastAsia"/>
          <w:b/>
          <w:bCs/>
          <w:color w:val="auto"/>
          <w:sz w:val="28"/>
          <w:highlight w:val="none"/>
        </w:rPr>
        <w:fldChar w:fldCharType="separate"/>
      </w:r>
      <w:r>
        <w:rPr>
          <w:color w:val="auto"/>
          <w:highlight w:val="none"/>
        </w:rPr>
        <w:fldChar w:fldCharType="begin"/>
      </w:r>
      <w:r>
        <w:rPr>
          <w:color w:val="auto"/>
          <w:highlight w:val="none"/>
        </w:rPr>
        <w:instrText xml:space="preserve"> HYPERLINK \l "_Toc83210308" </w:instrText>
      </w:r>
      <w:r>
        <w:rPr>
          <w:color w:val="auto"/>
          <w:highlight w:val="none"/>
        </w:rPr>
        <w:fldChar w:fldCharType="separate"/>
      </w:r>
      <w:r>
        <w:rPr>
          <w:rStyle w:val="30"/>
          <w:rFonts w:hint="eastAsia" w:cs="宋体" w:asciiTheme="minorEastAsia" w:hAnsiTheme="minorEastAsia" w:eastAsiaTheme="minorEastAsia"/>
          <w:color w:val="auto"/>
          <w:spacing w:val="2"/>
          <w:highlight w:val="none"/>
        </w:rPr>
        <w:t>第一卷</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_Toc83210308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1</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112"/>
        </w:tabs>
        <w:spacing w:line="480" w:lineRule="auto"/>
        <w:ind w:left="480"/>
        <w:rPr>
          <w:rFonts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\l "_Toc83210309" </w:instrText>
      </w:r>
      <w:r>
        <w:rPr>
          <w:color w:val="auto"/>
          <w:highlight w:val="none"/>
        </w:rPr>
        <w:fldChar w:fldCharType="separate"/>
      </w:r>
      <w:r>
        <w:rPr>
          <w:rStyle w:val="30"/>
          <w:rFonts w:hint="eastAsia" w:cs="宋体" w:asciiTheme="minorEastAsia" w:hAnsiTheme="minorEastAsia" w:eastAsiaTheme="minorEastAsia"/>
          <w:bCs/>
          <w:color w:val="auto"/>
          <w:highlight w:val="none"/>
        </w:rPr>
        <w:t>第一章</w:t>
      </w:r>
      <w:r>
        <w:rPr>
          <w:rStyle w:val="30"/>
          <w:rFonts w:cs="宋体" w:asciiTheme="minorEastAsia" w:hAnsiTheme="minorEastAsia" w:eastAsiaTheme="minorEastAsia"/>
          <w:bCs/>
          <w:color w:val="auto"/>
          <w:highlight w:val="none"/>
        </w:rPr>
        <w:t xml:space="preserve"> </w:t>
      </w:r>
      <w:r>
        <w:rPr>
          <w:rStyle w:val="30"/>
          <w:rFonts w:hint="eastAsia" w:cs="宋体" w:asciiTheme="minorEastAsia" w:hAnsiTheme="minorEastAsia" w:eastAsiaTheme="minorEastAsia"/>
          <w:bCs/>
          <w:color w:val="auto"/>
          <w:highlight w:val="none"/>
        </w:rPr>
        <w:t>招标公告（另册）</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_Toc83210309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1</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112"/>
        </w:tabs>
        <w:spacing w:line="480" w:lineRule="auto"/>
        <w:ind w:left="480"/>
        <w:rPr>
          <w:rFonts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\l "_Toc83210310" </w:instrText>
      </w:r>
      <w:r>
        <w:rPr>
          <w:color w:val="auto"/>
          <w:highlight w:val="none"/>
        </w:rPr>
        <w:fldChar w:fldCharType="separate"/>
      </w:r>
      <w:r>
        <w:rPr>
          <w:rStyle w:val="30"/>
          <w:rFonts w:hint="eastAsia" w:cs="宋体" w:asciiTheme="minorEastAsia" w:hAnsiTheme="minorEastAsia" w:eastAsiaTheme="minorEastAsia"/>
          <w:bCs/>
          <w:color w:val="auto"/>
          <w:highlight w:val="none"/>
        </w:rPr>
        <w:t>第二章</w:t>
      </w:r>
      <w:r>
        <w:rPr>
          <w:rStyle w:val="30"/>
          <w:rFonts w:cs="宋体" w:asciiTheme="minorEastAsia" w:hAnsiTheme="minorEastAsia" w:eastAsiaTheme="minorEastAsia"/>
          <w:bCs/>
          <w:color w:val="auto"/>
          <w:highlight w:val="none"/>
        </w:rPr>
        <w:t xml:space="preserve"> </w:t>
      </w:r>
      <w:r>
        <w:rPr>
          <w:rStyle w:val="30"/>
          <w:rFonts w:hint="eastAsia" w:cs="宋体" w:asciiTheme="minorEastAsia" w:hAnsiTheme="minorEastAsia" w:eastAsiaTheme="minorEastAsia"/>
          <w:bCs/>
          <w:color w:val="auto"/>
          <w:highlight w:val="none"/>
        </w:rPr>
        <w:t>投标人须知</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_Toc83210310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1</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112"/>
        </w:tabs>
        <w:spacing w:line="480" w:lineRule="auto"/>
        <w:ind w:left="480"/>
        <w:rPr>
          <w:rFonts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\l "_Toc83210322" </w:instrText>
      </w:r>
      <w:r>
        <w:rPr>
          <w:color w:val="auto"/>
          <w:highlight w:val="none"/>
        </w:rPr>
        <w:fldChar w:fldCharType="separate"/>
      </w:r>
      <w:r>
        <w:rPr>
          <w:rStyle w:val="30"/>
          <w:rFonts w:hint="eastAsia" w:cs="宋体" w:asciiTheme="minorEastAsia" w:hAnsiTheme="minorEastAsia" w:eastAsiaTheme="minorEastAsia"/>
          <w:bCs/>
          <w:color w:val="auto"/>
          <w:highlight w:val="none"/>
        </w:rPr>
        <w:t>第三章</w:t>
      </w:r>
      <w:r>
        <w:rPr>
          <w:rStyle w:val="30"/>
          <w:rFonts w:cs="宋体" w:asciiTheme="minorEastAsia" w:hAnsiTheme="minorEastAsia" w:eastAsiaTheme="minorEastAsia"/>
          <w:bCs/>
          <w:color w:val="auto"/>
          <w:highlight w:val="none"/>
        </w:rPr>
        <w:t xml:space="preserve"> </w:t>
      </w:r>
      <w:r>
        <w:rPr>
          <w:rStyle w:val="30"/>
          <w:rFonts w:hint="eastAsia" w:cs="宋体" w:asciiTheme="minorEastAsia" w:hAnsiTheme="minorEastAsia" w:eastAsiaTheme="minorEastAsia"/>
          <w:bCs/>
          <w:color w:val="auto"/>
          <w:highlight w:val="none"/>
        </w:rPr>
        <w:t>评标办法（“评定分离”）</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_Toc83210322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19</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112"/>
        </w:tabs>
        <w:spacing w:line="480" w:lineRule="auto"/>
        <w:ind w:left="480"/>
        <w:rPr>
          <w:rFonts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\l "_Toc83210328" </w:instrText>
      </w:r>
      <w:r>
        <w:rPr>
          <w:color w:val="auto"/>
          <w:highlight w:val="none"/>
        </w:rPr>
        <w:fldChar w:fldCharType="separate"/>
      </w:r>
      <w:r>
        <w:rPr>
          <w:rStyle w:val="30"/>
          <w:rFonts w:hint="eastAsia" w:cs="宋体" w:asciiTheme="minorEastAsia" w:hAnsiTheme="minorEastAsia" w:eastAsiaTheme="minorEastAsia"/>
          <w:bCs/>
          <w:color w:val="auto"/>
          <w:highlight w:val="none"/>
        </w:rPr>
        <w:t>第四章</w:t>
      </w:r>
      <w:r>
        <w:rPr>
          <w:rStyle w:val="30"/>
          <w:rFonts w:cs="宋体" w:asciiTheme="minorEastAsia" w:hAnsiTheme="minorEastAsia" w:eastAsiaTheme="minorEastAsia"/>
          <w:bCs/>
          <w:color w:val="auto"/>
          <w:highlight w:val="none"/>
        </w:rPr>
        <w:t xml:space="preserve"> </w:t>
      </w:r>
      <w:r>
        <w:rPr>
          <w:rStyle w:val="30"/>
          <w:rFonts w:hint="eastAsia" w:cs="宋体" w:asciiTheme="minorEastAsia" w:hAnsiTheme="minorEastAsia" w:eastAsiaTheme="minorEastAsia"/>
          <w:bCs/>
          <w:color w:val="auto"/>
          <w:highlight w:val="none"/>
        </w:rPr>
        <w:t>合同（另册）</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_Toc83210328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28</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1"/>
        <w:tabs>
          <w:tab w:val="right" w:leader="dot" w:pos="9112"/>
        </w:tabs>
        <w:spacing w:line="480" w:lineRule="auto"/>
        <w:rPr>
          <w:rFonts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\l "_Toc83210329" </w:instrText>
      </w:r>
      <w:r>
        <w:rPr>
          <w:color w:val="auto"/>
          <w:highlight w:val="none"/>
        </w:rPr>
        <w:fldChar w:fldCharType="separate"/>
      </w:r>
      <w:r>
        <w:rPr>
          <w:rStyle w:val="30"/>
          <w:rFonts w:hint="eastAsia" w:cs="宋体" w:asciiTheme="minorEastAsia" w:hAnsiTheme="minorEastAsia" w:eastAsiaTheme="minorEastAsia"/>
          <w:color w:val="auto"/>
          <w:highlight w:val="none"/>
        </w:rPr>
        <w:t>第二卷</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_Toc83210329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30</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112"/>
        </w:tabs>
        <w:spacing w:line="480" w:lineRule="auto"/>
        <w:ind w:left="480"/>
        <w:rPr>
          <w:rFonts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\l "_Toc83210330" </w:instrText>
      </w:r>
      <w:r>
        <w:rPr>
          <w:color w:val="auto"/>
          <w:highlight w:val="none"/>
        </w:rPr>
        <w:fldChar w:fldCharType="separate"/>
      </w:r>
      <w:r>
        <w:rPr>
          <w:rStyle w:val="30"/>
          <w:rFonts w:hint="eastAsia" w:cs="宋体" w:asciiTheme="minorEastAsia" w:hAnsiTheme="minorEastAsia" w:eastAsiaTheme="minorEastAsia"/>
          <w:bCs/>
          <w:color w:val="auto"/>
          <w:highlight w:val="none"/>
        </w:rPr>
        <w:t>第五章</w:t>
      </w:r>
      <w:r>
        <w:rPr>
          <w:rStyle w:val="30"/>
          <w:rFonts w:cs="宋体" w:asciiTheme="minorEastAsia" w:hAnsiTheme="minorEastAsia" w:eastAsiaTheme="minorEastAsia"/>
          <w:bCs/>
          <w:color w:val="auto"/>
          <w:highlight w:val="none"/>
        </w:rPr>
        <w:t xml:space="preserve"> </w:t>
      </w:r>
      <w:r>
        <w:rPr>
          <w:rStyle w:val="30"/>
          <w:rFonts w:hint="eastAsia" w:cs="宋体" w:asciiTheme="minorEastAsia" w:hAnsiTheme="minorEastAsia" w:eastAsiaTheme="minorEastAsia"/>
          <w:bCs/>
          <w:color w:val="auto"/>
          <w:highlight w:val="none"/>
        </w:rPr>
        <w:t>供货要求</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_Toc83210330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30</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1"/>
        <w:tabs>
          <w:tab w:val="right" w:leader="dot" w:pos="9112"/>
        </w:tabs>
        <w:spacing w:line="480" w:lineRule="auto"/>
        <w:rPr>
          <w:rFonts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\l "_Toc83210331" </w:instrText>
      </w:r>
      <w:r>
        <w:rPr>
          <w:color w:val="auto"/>
          <w:highlight w:val="none"/>
        </w:rPr>
        <w:fldChar w:fldCharType="separate"/>
      </w:r>
      <w:r>
        <w:rPr>
          <w:rStyle w:val="30"/>
          <w:rFonts w:hint="eastAsia" w:cs="宋体" w:asciiTheme="minorEastAsia" w:hAnsiTheme="minorEastAsia" w:eastAsiaTheme="minorEastAsia"/>
          <w:color w:val="auto"/>
          <w:highlight w:val="none"/>
        </w:rPr>
        <w:t>第三卷</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_Toc83210331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32</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112"/>
        </w:tabs>
        <w:spacing w:line="480" w:lineRule="auto"/>
        <w:ind w:left="480"/>
        <w:rPr>
          <w:rFonts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\l "_Toc83210332" </w:instrText>
      </w:r>
      <w:r>
        <w:rPr>
          <w:color w:val="auto"/>
          <w:highlight w:val="none"/>
        </w:rPr>
        <w:fldChar w:fldCharType="separate"/>
      </w:r>
      <w:r>
        <w:rPr>
          <w:rStyle w:val="30"/>
          <w:rFonts w:hint="eastAsia" w:cs="宋体" w:asciiTheme="minorEastAsia" w:hAnsiTheme="minorEastAsia" w:eastAsiaTheme="minorEastAsia"/>
          <w:bCs/>
          <w:color w:val="auto"/>
          <w:highlight w:val="none"/>
        </w:rPr>
        <w:t>第六章</w:t>
      </w:r>
      <w:r>
        <w:rPr>
          <w:rStyle w:val="30"/>
          <w:rFonts w:cs="宋体" w:asciiTheme="minorEastAsia" w:hAnsiTheme="minorEastAsia" w:eastAsiaTheme="minorEastAsia"/>
          <w:bCs/>
          <w:color w:val="auto"/>
          <w:highlight w:val="none"/>
        </w:rPr>
        <w:t xml:space="preserve"> </w:t>
      </w:r>
      <w:r>
        <w:rPr>
          <w:rStyle w:val="30"/>
          <w:rFonts w:hint="eastAsia" w:cs="宋体" w:asciiTheme="minorEastAsia" w:hAnsiTheme="minorEastAsia" w:eastAsiaTheme="minorEastAsia"/>
          <w:bCs/>
          <w:color w:val="auto"/>
          <w:highlight w:val="none"/>
        </w:rPr>
        <w:t>投标文件格式</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_Toc83210332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32</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15"/>
        <w:tabs>
          <w:tab w:val="left" w:pos="561"/>
        </w:tabs>
        <w:overflowPunct w:val="0"/>
        <w:spacing w:line="480" w:lineRule="auto"/>
        <w:ind w:left="2"/>
        <w:jc w:val="center"/>
        <w:rPr>
          <w:rFonts w:hint="default" w:cs="宋体"/>
          <w:b/>
          <w:bCs/>
          <w:color w:val="auto"/>
          <w:sz w:val="28"/>
          <w:highlight w:val="none"/>
        </w:rPr>
      </w:pPr>
      <w:r>
        <w:rPr>
          <w:rFonts w:cs="宋体" w:asciiTheme="minorEastAsia" w:hAnsiTheme="minorEastAsia" w:eastAsiaTheme="minorEastAsia"/>
          <w:bCs/>
          <w:color w:val="auto"/>
          <w:highlight w:val="none"/>
        </w:rPr>
        <w:fldChar w:fldCharType="end"/>
      </w:r>
    </w:p>
    <w:p>
      <w:pPr>
        <w:pStyle w:val="15"/>
        <w:tabs>
          <w:tab w:val="left" w:pos="561"/>
        </w:tabs>
        <w:overflowPunct w:val="0"/>
        <w:spacing w:line="358" w:lineRule="exact"/>
        <w:ind w:left="2"/>
        <w:jc w:val="center"/>
        <w:rPr>
          <w:rFonts w:hint="default" w:cs="宋体"/>
          <w:b/>
          <w:bCs/>
          <w:color w:val="auto"/>
          <w:sz w:val="28"/>
          <w:highlight w:val="none"/>
        </w:rPr>
      </w:pPr>
    </w:p>
    <w:p>
      <w:pPr>
        <w:pStyle w:val="5"/>
        <w:overflowPunct w:val="0"/>
        <w:ind w:left="0" w:right="1"/>
        <w:jc w:val="center"/>
        <w:rPr>
          <w:rFonts w:ascii="宋体" w:hAnsi="宋体" w:eastAsia="宋体" w:cs="宋体"/>
          <w:color w:val="auto"/>
          <w:spacing w:val="2"/>
          <w:highlight w:val="none"/>
        </w:rPr>
        <w:sectPr>
          <w:footerReference r:id="rId4" w:type="default"/>
          <w:pgSz w:w="11907" w:h="16840"/>
          <w:pgMar w:top="1418" w:right="1418" w:bottom="1418" w:left="1418" w:header="0" w:footer="1225" w:gutter="0"/>
          <w:cols w:space="720" w:num="1"/>
        </w:sectPr>
      </w:pPr>
      <w:bookmarkStart w:id="0" w:name="bookmark0"/>
      <w:bookmarkEnd w:id="0"/>
      <w:bookmarkStart w:id="1" w:name="_Toc83210308"/>
    </w:p>
    <w:p>
      <w:pPr>
        <w:pStyle w:val="5"/>
        <w:overflowPunct w:val="0"/>
        <w:ind w:left="0" w:right="1"/>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第一卷</w:t>
      </w:r>
      <w:bookmarkEnd w:id="1"/>
    </w:p>
    <w:p>
      <w:pPr>
        <w:rPr>
          <w:b/>
          <w:color w:val="auto"/>
          <w:highlight w:val="none"/>
        </w:rPr>
      </w:pPr>
    </w:p>
    <w:p>
      <w:pPr>
        <w:pStyle w:val="6"/>
        <w:jc w:val="center"/>
        <w:rPr>
          <w:rFonts w:hint="default" w:cs="宋体"/>
          <w:b/>
          <w:bCs/>
          <w:color w:val="auto"/>
          <w:highlight w:val="none"/>
        </w:rPr>
      </w:pPr>
      <w:bookmarkStart w:id="2" w:name="bookmark1"/>
      <w:bookmarkEnd w:id="2"/>
      <w:bookmarkStart w:id="3" w:name="_Toc83210309"/>
      <w:r>
        <w:rPr>
          <w:rFonts w:cs="宋体"/>
          <w:b/>
          <w:bCs/>
          <w:color w:val="auto"/>
          <w:highlight w:val="none"/>
        </w:rPr>
        <w:t>第一章</w:t>
      </w:r>
      <w:r>
        <w:rPr>
          <w:rFonts w:hint="default" w:cs="宋体"/>
          <w:b/>
          <w:bCs/>
          <w:color w:val="auto"/>
          <w:highlight w:val="none"/>
        </w:rPr>
        <w:t xml:space="preserve"> </w:t>
      </w:r>
      <w:r>
        <w:rPr>
          <w:rFonts w:cs="宋体"/>
          <w:b/>
          <w:bCs/>
          <w:color w:val="auto"/>
          <w:highlight w:val="none"/>
        </w:rPr>
        <w:t>招标公告（另册）</w:t>
      </w:r>
      <w:bookmarkEnd w:id="3"/>
    </w:p>
    <w:p>
      <w:pPr>
        <w:rPr>
          <w:color w:val="auto"/>
          <w:highlight w:val="none"/>
        </w:rPr>
      </w:pPr>
    </w:p>
    <w:p>
      <w:pPr>
        <w:pStyle w:val="15"/>
        <w:overflowPunct w:val="0"/>
        <w:spacing w:before="7"/>
        <w:ind w:left="0"/>
        <w:rPr>
          <w:rFonts w:hint="default" w:cs="宋体"/>
          <w:color w:val="auto"/>
          <w:sz w:val="18"/>
          <w:highlight w:val="none"/>
        </w:rPr>
      </w:pPr>
    </w:p>
    <w:p>
      <w:pPr>
        <w:pStyle w:val="6"/>
        <w:jc w:val="center"/>
        <w:rPr>
          <w:rFonts w:hint="default" w:cs="宋体"/>
          <w:b/>
          <w:bCs/>
          <w:color w:val="auto"/>
          <w:highlight w:val="none"/>
        </w:rPr>
      </w:pPr>
      <w:bookmarkStart w:id="4" w:name="bookmark18"/>
      <w:bookmarkEnd w:id="4"/>
      <w:bookmarkStart w:id="5" w:name="_Toc83210310"/>
      <w:r>
        <w:rPr>
          <w:rFonts w:hint="default" w:cs="宋体"/>
          <w:b/>
          <w:bCs/>
          <w:color w:val="auto"/>
          <w:highlight w:val="none"/>
        </w:rPr>
        <w:br w:type="column"/>
      </w:r>
      <w:r>
        <w:rPr>
          <w:rFonts w:hint="default" w:cs="宋体"/>
          <w:b/>
          <w:bCs/>
          <w:color w:val="auto"/>
          <w:highlight w:val="none"/>
        </w:rPr>
        <w:t xml:space="preserve">第二章 </w:t>
      </w:r>
      <w:r>
        <w:rPr>
          <w:rFonts w:hint="default" w:cs="宋体"/>
          <w:b/>
          <w:bCs/>
          <w:color w:val="auto"/>
          <w:szCs w:val="44"/>
          <w:highlight w:val="none"/>
        </w:rPr>
        <w:t>投</w:t>
      </w:r>
      <w:r>
        <w:rPr>
          <w:rFonts w:hint="cs" w:cs="宋体"/>
          <w:b/>
          <w:bCs/>
          <w:color w:val="auto"/>
          <w:szCs w:val="44"/>
          <w:highlight w:val="none"/>
          <w:cs/>
        </w:rPr>
        <w:t>标</w:t>
      </w:r>
      <w:r>
        <w:rPr>
          <w:rFonts w:hint="default" w:cs="宋体"/>
          <w:b/>
          <w:bCs/>
          <w:color w:val="auto"/>
          <w:szCs w:val="44"/>
          <w:highlight w:val="none"/>
        </w:rPr>
        <w:t>人</w:t>
      </w:r>
      <w:r>
        <w:rPr>
          <w:rFonts w:hint="cs" w:cs="宋体"/>
          <w:b/>
          <w:bCs/>
          <w:color w:val="auto"/>
          <w:szCs w:val="44"/>
          <w:highlight w:val="none"/>
          <w:cs/>
        </w:rPr>
        <w:t>须</w:t>
      </w:r>
      <w:r>
        <w:rPr>
          <w:rFonts w:hint="default" w:cs="宋体"/>
          <w:b/>
          <w:bCs/>
          <w:color w:val="auto"/>
          <w:szCs w:val="44"/>
          <w:highlight w:val="none"/>
        </w:rPr>
        <w:t>知</w:t>
      </w:r>
      <w:bookmarkEnd w:id="5"/>
    </w:p>
    <w:p>
      <w:pPr>
        <w:pStyle w:val="15"/>
        <w:overflowPunct w:val="0"/>
        <w:ind w:left="0"/>
        <w:rPr>
          <w:rFonts w:hint="default" w:cs="宋体"/>
          <w:b/>
          <w:color w:val="auto"/>
          <w:sz w:val="20"/>
          <w:highlight w:val="none"/>
        </w:rPr>
      </w:pPr>
    </w:p>
    <w:p>
      <w:pPr>
        <w:pStyle w:val="7"/>
        <w:jc w:val="center"/>
        <w:rPr>
          <w:rFonts w:ascii="宋体" w:hAnsi="宋体" w:eastAsia="宋体" w:cs="黑体"/>
          <w:color w:val="auto"/>
          <w:szCs w:val="32"/>
          <w:highlight w:val="none"/>
        </w:rPr>
      </w:pPr>
      <w:bookmarkStart w:id="6" w:name="bookmark19"/>
      <w:bookmarkEnd w:id="6"/>
      <w:bookmarkStart w:id="7" w:name="_Toc19201"/>
      <w:bookmarkStart w:id="8" w:name="_Toc10061"/>
      <w:bookmarkStart w:id="9" w:name="_Toc83210311"/>
      <w:r>
        <w:rPr>
          <w:rFonts w:hint="eastAsia" w:ascii="宋体" w:hAnsi="宋体" w:eastAsia="宋体" w:cs="黑体"/>
          <w:color w:val="auto"/>
          <w:szCs w:val="32"/>
          <w:highlight w:val="none"/>
        </w:rPr>
        <w:t>投</w:t>
      </w:r>
      <w:r>
        <w:rPr>
          <w:rFonts w:hint="eastAsia" w:ascii="宋体" w:hAnsi="宋体" w:eastAsia="宋体" w:cs="黑体"/>
          <w:color w:val="auto"/>
          <w:szCs w:val="32"/>
          <w:highlight w:val="none"/>
          <w:cs/>
        </w:rPr>
        <w:t>标</w:t>
      </w:r>
      <w:r>
        <w:rPr>
          <w:rFonts w:hint="eastAsia" w:ascii="宋体" w:hAnsi="宋体" w:eastAsia="宋体" w:cs="黑体"/>
          <w:color w:val="auto"/>
          <w:szCs w:val="32"/>
          <w:highlight w:val="none"/>
        </w:rPr>
        <w:t>人</w:t>
      </w:r>
      <w:r>
        <w:rPr>
          <w:rFonts w:hint="eastAsia" w:ascii="宋体" w:hAnsi="宋体" w:eastAsia="宋体" w:cs="黑体"/>
          <w:color w:val="auto"/>
          <w:szCs w:val="32"/>
          <w:highlight w:val="none"/>
          <w:cs/>
        </w:rPr>
        <w:t>须</w:t>
      </w:r>
      <w:r>
        <w:rPr>
          <w:rFonts w:hint="eastAsia" w:ascii="宋体" w:hAnsi="宋体" w:eastAsia="宋体" w:cs="黑体"/>
          <w:color w:val="auto"/>
          <w:szCs w:val="32"/>
          <w:highlight w:val="none"/>
        </w:rPr>
        <w:t>知前附表</w:t>
      </w:r>
      <w:bookmarkEnd w:id="7"/>
      <w:bookmarkEnd w:id="8"/>
      <w:bookmarkEnd w:id="9"/>
    </w:p>
    <w:tbl>
      <w:tblPr>
        <w:tblStyle w:val="26"/>
        <w:tblW w:w="9397" w:type="dxa"/>
        <w:tblInd w:w="216" w:type="dxa"/>
        <w:tblLayout w:type="fixed"/>
        <w:tblCellMar>
          <w:top w:w="0" w:type="dxa"/>
          <w:left w:w="108" w:type="dxa"/>
          <w:bottom w:w="0" w:type="dxa"/>
          <w:right w:w="108" w:type="dxa"/>
        </w:tblCellMar>
      </w:tblPr>
      <w:tblGrid>
        <w:gridCol w:w="1164"/>
        <w:gridCol w:w="2130"/>
        <w:gridCol w:w="6103"/>
      </w:tblGrid>
      <w:tr>
        <w:tblPrEx>
          <w:tblCellMar>
            <w:top w:w="0" w:type="dxa"/>
            <w:left w:w="108" w:type="dxa"/>
            <w:bottom w:w="0" w:type="dxa"/>
            <w:right w:w="108" w:type="dxa"/>
          </w:tblCellMar>
        </w:tblPrEx>
        <w:trPr>
          <w:cantSplit/>
          <w:trHeight w:val="488"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41"/>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b/>
                <w:color w:val="auto"/>
                <w:sz w:val="21"/>
                <w:szCs w:val="21"/>
                <w:highlight w:val="none"/>
              </w:rPr>
              <w:t>条款号</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41"/>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b/>
                <w:color w:val="auto"/>
                <w:sz w:val="21"/>
                <w:szCs w:val="21"/>
                <w:highlight w:val="none"/>
              </w:rPr>
              <w:t>条款名称</w:t>
            </w:r>
          </w:p>
        </w:tc>
        <w:tc>
          <w:tcPr>
            <w:tcW w:w="6103"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41"/>
              <w:ind w:left="2"/>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b/>
                <w:color w:val="auto"/>
                <w:sz w:val="21"/>
                <w:szCs w:val="21"/>
                <w:highlight w:val="none"/>
              </w:rPr>
              <w:t>编列内容</w:t>
            </w:r>
          </w:p>
        </w:tc>
      </w:tr>
      <w:tr>
        <w:tblPrEx>
          <w:tblCellMar>
            <w:top w:w="0" w:type="dxa"/>
            <w:left w:w="108" w:type="dxa"/>
            <w:bottom w:w="0" w:type="dxa"/>
            <w:right w:w="108" w:type="dxa"/>
          </w:tblCellMar>
        </w:tblPrEx>
        <w:trPr>
          <w:cantSplit/>
          <w:trHeight w:val="1017"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1.1.2</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招标人</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名称：广东粤海置地发展有限公司</w:t>
            </w:r>
          </w:p>
          <w:p>
            <w:pPr>
              <w:snapToGrid w:val="0"/>
              <w:spacing w:line="320" w:lineRule="exact"/>
              <w:jc w:val="both"/>
              <w:rPr>
                <w:rFonts w:cs="宋体" w:asciiTheme="minorEastAsia" w:hAnsiTheme="minorEastAsia" w:eastAsiaTheme="minorEastAsia"/>
                <w:color w:val="auto"/>
                <w:sz w:val="21"/>
                <w:szCs w:val="21"/>
                <w:highlight w:val="none"/>
                <w:u w:val="single"/>
              </w:rPr>
            </w:pPr>
            <w:r>
              <w:rPr>
                <w:rFonts w:hint="eastAsia" w:cs="宋体" w:asciiTheme="minorEastAsia" w:hAnsiTheme="minorEastAsia" w:eastAsiaTheme="minorEastAsia"/>
                <w:color w:val="auto"/>
                <w:sz w:val="21"/>
                <w:szCs w:val="21"/>
                <w:highlight w:val="none"/>
              </w:rPr>
              <w:t>地址：广州市白云区云霄路88号戴斯酒店A栋写字楼3楼303</w:t>
            </w:r>
          </w:p>
          <w:p>
            <w:pPr>
              <w:snapToGrid w:val="0"/>
              <w:spacing w:line="320" w:lineRule="exact"/>
              <w:jc w:val="both"/>
              <w:rPr>
                <w:rFonts w:cs="宋体" w:asciiTheme="minorEastAsia" w:hAnsiTheme="minorEastAsia" w:eastAsiaTheme="minorEastAsia"/>
                <w:color w:val="auto"/>
                <w:sz w:val="21"/>
                <w:szCs w:val="21"/>
                <w:highlight w:val="none"/>
                <w:u w:val="single"/>
              </w:rPr>
            </w:pPr>
            <w:r>
              <w:rPr>
                <w:rFonts w:hint="eastAsia" w:cs="宋体" w:asciiTheme="minorEastAsia" w:hAnsiTheme="minorEastAsia" w:eastAsiaTheme="minorEastAsia"/>
                <w:color w:val="auto"/>
                <w:sz w:val="21"/>
                <w:szCs w:val="21"/>
                <w:highlight w:val="none"/>
              </w:rPr>
              <w:t>联系人：李工</w:t>
            </w:r>
          </w:p>
          <w:p>
            <w:pPr>
              <w:pStyle w:val="52"/>
              <w:overflowPunct w:val="0"/>
              <w:spacing w:before="40"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电话：</w:t>
            </w:r>
            <w:r>
              <w:rPr>
                <w:rFonts w:cs="宋体" w:asciiTheme="minorEastAsia" w:hAnsiTheme="minorEastAsia" w:eastAsiaTheme="minorEastAsia"/>
                <w:color w:val="auto"/>
                <w:sz w:val="21"/>
                <w:szCs w:val="21"/>
                <w:highlight w:val="none"/>
              </w:rPr>
              <w:t>020-66262041</w:t>
            </w:r>
          </w:p>
        </w:tc>
      </w:tr>
      <w:tr>
        <w:tblPrEx>
          <w:tblCellMar>
            <w:top w:w="0" w:type="dxa"/>
            <w:left w:w="108" w:type="dxa"/>
            <w:bottom w:w="0" w:type="dxa"/>
            <w:right w:w="108" w:type="dxa"/>
          </w:tblCellMar>
        </w:tblPrEx>
        <w:trPr>
          <w:cantSplit/>
          <w:trHeight w:val="1221"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1.1.3</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招标代理机构</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both"/>
              <w:rPr>
                <w:rFonts w:cs="宋体" w:asciiTheme="minorEastAsia" w:hAnsiTheme="minorEastAsia" w:eastAsiaTheme="minorEastAsia"/>
                <w:color w:val="auto"/>
                <w:sz w:val="21"/>
                <w:szCs w:val="21"/>
                <w:highlight w:val="none"/>
                <w:u w:val="single"/>
              </w:rPr>
            </w:pPr>
            <w:r>
              <w:rPr>
                <w:rFonts w:hint="eastAsia" w:cs="宋体" w:asciiTheme="minorEastAsia" w:hAnsiTheme="minorEastAsia" w:eastAsiaTheme="minorEastAsia"/>
                <w:color w:val="auto"/>
                <w:sz w:val="21"/>
                <w:szCs w:val="21"/>
                <w:highlight w:val="none"/>
              </w:rPr>
              <w:t>名称：广东粤源工程咨询有限公司</w:t>
            </w:r>
          </w:p>
          <w:p>
            <w:pPr>
              <w:snapToGrid w:val="0"/>
              <w:spacing w:line="320" w:lineRule="exact"/>
              <w:jc w:val="both"/>
              <w:rPr>
                <w:rFonts w:cs="宋体" w:asciiTheme="minorEastAsia" w:hAnsiTheme="minorEastAsia" w:eastAsiaTheme="minorEastAsia"/>
                <w:color w:val="auto"/>
                <w:sz w:val="21"/>
                <w:szCs w:val="21"/>
                <w:highlight w:val="none"/>
                <w:u w:val="single"/>
              </w:rPr>
            </w:pPr>
            <w:r>
              <w:rPr>
                <w:rFonts w:hint="eastAsia" w:cs="宋体" w:asciiTheme="minorEastAsia" w:hAnsiTheme="minorEastAsia" w:eastAsiaTheme="minorEastAsia"/>
                <w:color w:val="auto"/>
                <w:sz w:val="21"/>
                <w:szCs w:val="21"/>
                <w:highlight w:val="none"/>
              </w:rPr>
              <w:t>地址：</w:t>
            </w:r>
            <w:r>
              <w:rPr>
                <w:rFonts w:hint="eastAsia" w:asciiTheme="minorEastAsia" w:hAnsiTheme="minorEastAsia" w:eastAsiaTheme="minorEastAsia"/>
                <w:color w:val="auto"/>
                <w:sz w:val="21"/>
                <w:szCs w:val="21"/>
                <w:highlight w:val="none"/>
              </w:rPr>
              <w:t>广州市天河区天寿路116号广东粤源工程咨询有限公司</w:t>
            </w:r>
          </w:p>
          <w:p>
            <w:pPr>
              <w:snapToGrid w:val="0"/>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联系人：高工</w:t>
            </w:r>
          </w:p>
          <w:p>
            <w:pPr>
              <w:snapToGrid w:val="0"/>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电话：</w:t>
            </w:r>
            <w:r>
              <w:rPr>
                <w:rFonts w:cs="宋体" w:asciiTheme="minorEastAsia" w:hAnsiTheme="minorEastAsia" w:eastAsiaTheme="minorEastAsia"/>
                <w:color w:val="auto"/>
                <w:sz w:val="21"/>
                <w:szCs w:val="21"/>
                <w:highlight w:val="none"/>
              </w:rPr>
              <w:t>020-38036127</w:t>
            </w:r>
          </w:p>
        </w:tc>
      </w:tr>
      <w:tr>
        <w:tblPrEx>
          <w:tblCellMar>
            <w:top w:w="0" w:type="dxa"/>
            <w:left w:w="108" w:type="dxa"/>
            <w:bottom w:w="0" w:type="dxa"/>
            <w:right w:w="108" w:type="dxa"/>
          </w:tblCellMar>
        </w:tblPrEx>
        <w:trPr>
          <w:cantSplit/>
          <w:trHeight w:val="558"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1.1.4</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招标项目名称</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云港城项目4#地块电梯采购及相关服务</w:t>
            </w:r>
          </w:p>
        </w:tc>
      </w:tr>
      <w:tr>
        <w:tblPrEx>
          <w:tblCellMar>
            <w:top w:w="0" w:type="dxa"/>
            <w:left w:w="108" w:type="dxa"/>
            <w:bottom w:w="0" w:type="dxa"/>
            <w:right w:w="108" w:type="dxa"/>
          </w:tblCellMar>
        </w:tblPrEx>
        <w:trPr>
          <w:cantSplit/>
          <w:trHeight w:val="553"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1.1.5</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工程项目名称</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云港城项目4#地块电梯采购及相关服务</w:t>
            </w:r>
          </w:p>
        </w:tc>
      </w:tr>
      <w:tr>
        <w:tblPrEx>
          <w:tblCellMar>
            <w:top w:w="0" w:type="dxa"/>
            <w:left w:w="108" w:type="dxa"/>
            <w:bottom w:w="0" w:type="dxa"/>
            <w:right w:w="108" w:type="dxa"/>
          </w:tblCellMar>
        </w:tblPrEx>
        <w:trPr>
          <w:cantSplit/>
          <w:trHeight w:val="556"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1.2.1</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资金来源及比例</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详见招标公告。</w:t>
            </w:r>
          </w:p>
        </w:tc>
      </w:tr>
      <w:tr>
        <w:tblPrEx>
          <w:tblCellMar>
            <w:top w:w="0" w:type="dxa"/>
            <w:left w:w="108" w:type="dxa"/>
            <w:bottom w:w="0" w:type="dxa"/>
            <w:right w:w="108" w:type="dxa"/>
          </w:tblCellMar>
        </w:tblPrEx>
        <w:trPr>
          <w:cantSplit/>
          <w:trHeight w:val="550"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1.2.2</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资金落实情况</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已落实。</w:t>
            </w:r>
          </w:p>
        </w:tc>
      </w:tr>
      <w:tr>
        <w:tblPrEx>
          <w:tblCellMar>
            <w:top w:w="0" w:type="dxa"/>
            <w:left w:w="108" w:type="dxa"/>
            <w:bottom w:w="0" w:type="dxa"/>
            <w:right w:w="108" w:type="dxa"/>
          </w:tblCellMar>
        </w:tblPrEx>
        <w:trPr>
          <w:cantSplit/>
          <w:trHeight w:val="508"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1.3.1</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招标范围</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详见招标公告。</w:t>
            </w:r>
          </w:p>
        </w:tc>
      </w:tr>
      <w:tr>
        <w:tblPrEx>
          <w:tblCellMar>
            <w:top w:w="0" w:type="dxa"/>
            <w:left w:w="108" w:type="dxa"/>
            <w:bottom w:w="0" w:type="dxa"/>
            <w:right w:w="108" w:type="dxa"/>
          </w:tblCellMar>
        </w:tblPrEx>
        <w:trPr>
          <w:cantSplit/>
          <w:trHeight w:val="498"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1.3.2</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交货期</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详见招标公告。</w:t>
            </w:r>
          </w:p>
        </w:tc>
      </w:tr>
      <w:tr>
        <w:tblPrEx>
          <w:tblCellMar>
            <w:top w:w="0" w:type="dxa"/>
            <w:left w:w="108" w:type="dxa"/>
            <w:bottom w:w="0" w:type="dxa"/>
            <w:right w:w="108" w:type="dxa"/>
          </w:tblCellMar>
        </w:tblPrEx>
        <w:trPr>
          <w:cantSplit/>
          <w:trHeight w:val="531"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1.3.3</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交货地点</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详见招标公告。</w:t>
            </w:r>
          </w:p>
        </w:tc>
      </w:tr>
      <w:tr>
        <w:tblPrEx>
          <w:tblCellMar>
            <w:top w:w="0" w:type="dxa"/>
            <w:left w:w="108" w:type="dxa"/>
            <w:bottom w:w="0" w:type="dxa"/>
            <w:right w:w="108" w:type="dxa"/>
          </w:tblCellMar>
        </w:tblPrEx>
        <w:trPr>
          <w:cantSplit/>
          <w:trHeight w:val="553"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1.3.4</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技术性能指标</w:t>
            </w:r>
          </w:p>
        </w:tc>
        <w:tc>
          <w:tcPr>
            <w:tcW w:w="6103" w:type="dxa"/>
            <w:tcBorders>
              <w:top w:val="single" w:color="000000" w:sz="4" w:space="0"/>
              <w:left w:val="single" w:color="000000" w:sz="4" w:space="0"/>
              <w:bottom w:val="single" w:color="000000" w:sz="4" w:space="0"/>
              <w:right w:val="single" w:color="000000" w:sz="4" w:space="0"/>
            </w:tcBorders>
            <w:vAlign w:val="center"/>
          </w:tcPr>
          <w:p>
            <w:pPr>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详见第五章“供货要求”。</w:t>
            </w:r>
          </w:p>
        </w:tc>
      </w:tr>
      <w:tr>
        <w:tblPrEx>
          <w:tblCellMar>
            <w:top w:w="0" w:type="dxa"/>
            <w:left w:w="108" w:type="dxa"/>
            <w:bottom w:w="0" w:type="dxa"/>
            <w:right w:w="108" w:type="dxa"/>
          </w:tblCellMar>
        </w:tblPrEx>
        <w:trPr>
          <w:cantSplit/>
          <w:trHeight w:val="1553"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1.4.1</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投标人资质条件、能力、信誉</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1）资质要求：</w:t>
            </w:r>
            <w:r>
              <w:rPr>
                <w:rFonts w:hint="eastAsia" w:asciiTheme="minorEastAsia" w:hAnsiTheme="minorEastAsia" w:eastAsiaTheme="minorEastAsia"/>
                <w:color w:val="auto"/>
                <w:sz w:val="21"/>
                <w:szCs w:val="21"/>
                <w:highlight w:val="none"/>
                <w:u w:val="single"/>
              </w:rPr>
              <w:t>详见招标公告“</w:t>
            </w:r>
            <w:r>
              <w:rPr>
                <w:rFonts w:asciiTheme="minorEastAsia" w:hAnsiTheme="minorEastAsia" w:eastAsiaTheme="minorEastAsia"/>
                <w:color w:val="auto"/>
                <w:sz w:val="21"/>
                <w:szCs w:val="21"/>
                <w:highlight w:val="none"/>
                <w:u w:val="single"/>
              </w:rPr>
              <w:t>3.投标人资格要求”</w:t>
            </w:r>
            <w:r>
              <w:rPr>
                <w:rFonts w:hint="eastAsia" w:cs="宋体" w:asciiTheme="minorEastAsia" w:hAnsiTheme="minorEastAsia" w:eastAsiaTheme="minorEastAsia"/>
                <w:color w:val="auto"/>
                <w:sz w:val="21"/>
                <w:szCs w:val="21"/>
                <w:highlight w:val="none"/>
              </w:rPr>
              <w:t>。</w:t>
            </w:r>
          </w:p>
          <w:p>
            <w:pPr>
              <w:snapToGrid w:val="0"/>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2）财务要求：/</w:t>
            </w:r>
          </w:p>
          <w:p>
            <w:pPr>
              <w:snapToGrid w:val="0"/>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3）投标人业绩：</w:t>
            </w:r>
            <w:r>
              <w:rPr>
                <w:rFonts w:hint="eastAsia" w:asciiTheme="minorEastAsia" w:hAnsiTheme="minorEastAsia" w:eastAsiaTheme="minorEastAsia"/>
                <w:color w:val="auto"/>
                <w:sz w:val="21"/>
                <w:szCs w:val="21"/>
                <w:highlight w:val="none"/>
                <w:u w:val="single"/>
              </w:rPr>
              <w:t>详见招标公告“</w:t>
            </w:r>
            <w:r>
              <w:rPr>
                <w:rFonts w:asciiTheme="minorEastAsia" w:hAnsiTheme="minorEastAsia" w:eastAsiaTheme="minorEastAsia"/>
                <w:color w:val="auto"/>
                <w:sz w:val="21"/>
                <w:szCs w:val="21"/>
                <w:highlight w:val="none"/>
                <w:u w:val="single"/>
              </w:rPr>
              <w:t>3.投标人资格要求”</w:t>
            </w:r>
            <w:r>
              <w:rPr>
                <w:rFonts w:hint="eastAsia" w:cs="宋体" w:asciiTheme="minorEastAsia" w:hAnsiTheme="minorEastAsia" w:eastAsiaTheme="minorEastAsia"/>
                <w:color w:val="auto"/>
                <w:sz w:val="21"/>
                <w:szCs w:val="21"/>
                <w:highlight w:val="none"/>
              </w:rPr>
              <w:t>。</w:t>
            </w:r>
          </w:p>
          <w:p>
            <w:pPr>
              <w:snapToGrid w:val="0"/>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4）信誉要求：/</w:t>
            </w:r>
          </w:p>
          <w:p>
            <w:pPr>
              <w:snapToGrid w:val="0"/>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5）其他要求：</w:t>
            </w:r>
            <w:r>
              <w:rPr>
                <w:rFonts w:hint="eastAsia" w:asciiTheme="minorEastAsia" w:hAnsiTheme="minorEastAsia" w:eastAsiaTheme="minorEastAsia"/>
                <w:color w:val="auto"/>
                <w:sz w:val="21"/>
                <w:szCs w:val="21"/>
                <w:highlight w:val="none"/>
                <w:u w:val="single"/>
              </w:rPr>
              <w:t>详见招标公告“</w:t>
            </w:r>
            <w:r>
              <w:rPr>
                <w:rFonts w:asciiTheme="minorEastAsia" w:hAnsiTheme="minorEastAsia" w:eastAsiaTheme="minorEastAsia"/>
                <w:color w:val="auto"/>
                <w:sz w:val="21"/>
                <w:szCs w:val="21"/>
                <w:highlight w:val="none"/>
                <w:u w:val="single"/>
              </w:rPr>
              <w:t>3.投标人资格要求”</w:t>
            </w:r>
            <w:r>
              <w:rPr>
                <w:rFonts w:hint="eastAsia" w:cs="宋体" w:asciiTheme="minorEastAsia" w:hAnsiTheme="minorEastAsia" w:eastAsiaTheme="minorEastAsia"/>
                <w:color w:val="auto"/>
                <w:sz w:val="21"/>
                <w:szCs w:val="21"/>
                <w:highlight w:val="none"/>
              </w:rPr>
              <w:t>。</w:t>
            </w:r>
          </w:p>
        </w:tc>
      </w:tr>
      <w:tr>
        <w:tblPrEx>
          <w:tblCellMar>
            <w:top w:w="0" w:type="dxa"/>
            <w:left w:w="108" w:type="dxa"/>
            <w:bottom w:w="0" w:type="dxa"/>
            <w:right w:w="108" w:type="dxa"/>
          </w:tblCellMar>
        </w:tblPrEx>
        <w:trPr>
          <w:cantSplit/>
          <w:trHeight w:val="697"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1.4.2</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是否接受联合体投标</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both"/>
              <w:rPr>
                <w:rFonts w:cs="宋体" w:asciiTheme="minorEastAsia" w:hAnsiTheme="minorEastAsia" w:eastAsiaTheme="minorEastAsia"/>
                <w:color w:val="auto"/>
                <w:sz w:val="21"/>
                <w:szCs w:val="21"/>
                <w:highlight w:val="none"/>
              </w:rPr>
            </w:pPr>
            <w:r>
              <w:rPr>
                <w:rFonts w:hint="eastAsia" w:ascii="MS Gothic" w:hAnsi="MS Gothic" w:eastAsia="MS Gothic" w:cs="MS Gothic"/>
                <w:color w:val="auto"/>
                <w:sz w:val="21"/>
                <w:szCs w:val="21"/>
                <w:highlight w:val="none"/>
              </w:rPr>
              <w:t>☑</w:t>
            </w:r>
            <w:r>
              <w:rPr>
                <w:rFonts w:cs="宋体" w:asciiTheme="minorEastAsia" w:hAnsiTheme="minorEastAsia" w:eastAsiaTheme="minorEastAsia"/>
                <w:color w:val="auto"/>
                <w:sz w:val="21"/>
                <w:szCs w:val="21"/>
                <w:highlight w:val="none"/>
              </w:rPr>
              <w:t>不接受</w:t>
            </w:r>
          </w:p>
          <w:p>
            <w:pPr>
              <w:snapToGrid w:val="0"/>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□接受，应满足下列要求：</w:t>
            </w:r>
          </w:p>
        </w:tc>
      </w:tr>
      <w:tr>
        <w:tblPrEx>
          <w:tblCellMar>
            <w:top w:w="0" w:type="dxa"/>
            <w:left w:w="108" w:type="dxa"/>
            <w:bottom w:w="0" w:type="dxa"/>
            <w:right w:w="108" w:type="dxa"/>
          </w:tblCellMar>
        </w:tblPrEx>
        <w:trPr>
          <w:cantSplit/>
          <w:trHeight w:val="727"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1.4.3</w:t>
            </w:r>
            <w:r>
              <w:rPr>
                <w:rFonts w:hint="eastAsia" w:cs="宋体" w:asciiTheme="minorEastAsia" w:hAnsiTheme="minorEastAsia" w:eastAsiaTheme="minorEastAsia"/>
                <w:color w:val="auto"/>
                <w:sz w:val="21"/>
                <w:szCs w:val="21"/>
                <w:highlight w:val="none"/>
              </w:rPr>
              <w:t>（17）</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投标人不得存在的其他情形</w:t>
            </w:r>
          </w:p>
        </w:tc>
        <w:tc>
          <w:tcPr>
            <w:tcW w:w="6103"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line="360" w:lineRule="exact"/>
              <w:jc w:val="both"/>
              <w:rPr>
                <w:rFonts w:ascii="宋体" w:hAns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1）下列情形之一的，视为投标人相互串通投标，做</w:t>
            </w:r>
            <w:r>
              <w:rPr>
                <w:rFonts w:hint="eastAsia" w:ascii="宋体" w:hAnsi="宋体" w:cs="宋体"/>
                <w:color w:val="auto"/>
                <w:sz w:val="21"/>
                <w:szCs w:val="21"/>
                <w:highlight w:val="none"/>
              </w:rPr>
              <w:t>无效</w:t>
            </w:r>
            <w:r>
              <w:rPr>
                <w:rFonts w:ascii="宋体" w:hAnsi="宋体" w:cs="宋体"/>
                <w:color w:val="auto"/>
                <w:sz w:val="21"/>
                <w:szCs w:val="21"/>
                <w:highlight w:val="none"/>
              </w:rPr>
              <w:t>标处理。</w:t>
            </w:r>
          </w:p>
          <w:p>
            <w:pPr>
              <w:pStyle w:val="52"/>
              <w:overflowPunct w:val="0"/>
              <w:spacing w:line="360" w:lineRule="exact"/>
              <w:jc w:val="both"/>
              <w:rPr>
                <w:rFonts w:ascii="宋体" w:hAnsi="宋体" w:cs="宋体"/>
                <w:color w:val="auto"/>
                <w:sz w:val="21"/>
                <w:szCs w:val="21"/>
                <w:highlight w:val="none"/>
              </w:rPr>
            </w:pPr>
            <w:r>
              <w:rPr>
                <w:rFonts w:ascii="宋体" w:hAnsi="宋体" w:cs="宋体"/>
                <w:color w:val="auto"/>
                <w:sz w:val="21"/>
                <w:szCs w:val="21"/>
                <w:highlight w:val="none"/>
              </w:rPr>
              <w:t>A)不同投标人的投标文件由同一单位或者个人编制；</w:t>
            </w:r>
          </w:p>
          <w:p>
            <w:pPr>
              <w:pStyle w:val="52"/>
              <w:overflowPunct w:val="0"/>
              <w:spacing w:line="360" w:lineRule="exact"/>
              <w:jc w:val="both"/>
              <w:rPr>
                <w:rFonts w:ascii="宋体" w:hAnsi="宋体" w:cs="宋体"/>
                <w:color w:val="auto"/>
                <w:sz w:val="21"/>
                <w:szCs w:val="21"/>
                <w:highlight w:val="none"/>
              </w:rPr>
            </w:pPr>
            <w:r>
              <w:rPr>
                <w:rFonts w:ascii="宋体" w:hAnsi="宋体" w:cs="宋体"/>
                <w:color w:val="auto"/>
                <w:sz w:val="21"/>
                <w:szCs w:val="21"/>
                <w:highlight w:val="none"/>
              </w:rPr>
              <w:t>B)不同投标人委托同一单位或者个人办理投标事宜；</w:t>
            </w:r>
          </w:p>
          <w:p>
            <w:pPr>
              <w:pStyle w:val="52"/>
              <w:overflowPunct w:val="0"/>
              <w:spacing w:line="360" w:lineRule="exact"/>
              <w:jc w:val="both"/>
              <w:rPr>
                <w:rFonts w:ascii="宋体" w:hAnsi="宋体" w:cs="宋体"/>
                <w:color w:val="auto"/>
                <w:sz w:val="21"/>
                <w:szCs w:val="21"/>
                <w:highlight w:val="none"/>
              </w:rPr>
            </w:pPr>
            <w:r>
              <w:rPr>
                <w:rFonts w:ascii="宋体" w:hAnsi="宋体" w:cs="宋体"/>
                <w:color w:val="auto"/>
                <w:sz w:val="21"/>
                <w:szCs w:val="21"/>
                <w:highlight w:val="none"/>
              </w:rPr>
              <w:t>C)不同投标人的投标文件载明的项目管理成员为同一人；</w:t>
            </w:r>
          </w:p>
          <w:p>
            <w:pPr>
              <w:pStyle w:val="52"/>
              <w:overflowPunct w:val="0"/>
              <w:spacing w:line="360" w:lineRule="exact"/>
              <w:jc w:val="both"/>
              <w:rPr>
                <w:rFonts w:ascii="宋体" w:hAnsi="宋体" w:cs="宋体"/>
                <w:color w:val="auto"/>
                <w:sz w:val="21"/>
                <w:szCs w:val="21"/>
                <w:highlight w:val="none"/>
              </w:rPr>
            </w:pPr>
            <w:r>
              <w:rPr>
                <w:rFonts w:ascii="宋体" w:hAnsi="宋体" w:cs="宋体"/>
                <w:color w:val="auto"/>
                <w:sz w:val="21"/>
                <w:szCs w:val="21"/>
                <w:highlight w:val="none"/>
              </w:rPr>
              <w:t>D)不同投标人的投标文件异常一致或者投标报价呈规律性差异；</w:t>
            </w:r>
          </w:p>
          <w:p>
            <w:pPr>
              <w:pStyle w:val="52"/>
              <w:overflowPunct w:val="0"/>
              <w:spacing w:line="360" w:lineRule="exact"/>
              <w:jc w:val="both"/>
              <w:rPr>
                <w:rFonts w:ascii="宋体" w:hAnsi="宋体" w:cs="宋体"/>
                <w:color w:val="auto"/>
                <w:sz w:val="21"/>
                <w:szCs w:val="21"/>
                <w:highlight w:val="none"/>
              </w:rPr>
            </w:pPr>
            <w:r>
              <w:rPr>
                <w:rFonts w:ascii="宋体" w:hAnsi="宋体" w:cs="宋体"/>
                <w:color w:val="auto"/>
                <w:sz w:val="21"/>
                <w:szCs w:val="21"/>
                <w:highlight w:val="none"/>
              </w:rPr>
              <w:t>E)不同投标人的投标文件相互混装；</w:t>
            </w:r>
          </w:p>
          <w:p>
            <w:pPr>
              <w:pStyle w:val="52"/>
              <w:overflowPunct w:val="0"/>
              <w:spacing w:line="360" w:lineRule="exact"/>
              <w:jc w:val="both"/>
              <w:rPr>
                <w:rFonts w:ascii="宋体" w:hAnsi="宋体" w:cs="宋体"/>
                <w:color w:val="auto"/>
                <w:sz w:val="21"/>
                <w:szCs w:val="21"/>
                <w:highlight w:val="none"/>
              </w:rPr>
            </w:pPr>
            <w:r>
              <w:rPr>
                <w:rFonts w:ascii="宋体" w:hAnsi="宋体" w:cs="宋体"/>
                <w:color w:val="auto"/>
                <w:sz w:val="21"/>
                <w:szCs w:val="21"/>
                <w:highlight w:val="none"/>
              </w:rPr>
              <w:t>F)不同投标人的投标保证金从同一单位或者个人的账户转出。</w:t>
            </w:r>
          </w:p>
          <w:p>
            <w:pPr>
              <w:snapToGrid w:val="0"/>
              <w:jc w:val="both"/>
              <w:rPr>
                <w:rFonts w:cs="宋体" w:asciiTheme="minorEastAsia" w:hAnsiTheme="minorEastAsia" w:eastAsiaTheme="minorEastAsia"/>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）未集中载明的否决投标条款，评标时不予认可。</w:t>
            </w:r>
          </w:p>
        </w:tc>
      </w:tr>
      <w:tr>
        <w:tblPrEx>
          <w:tblCellMar>
            <w:top w:w="0" w:type="dxa"/>
            <w:left w:w="108" w:type="dxa"/>
            <w:bottom w:w="0" w:type="dxa"/>
            <w:right w:w="108" w:type="dxa"/>
          </w:tblCellMar>
        </w:tblPrEx>
        <w:trPr>
          <w:cantSpli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1.9.1</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投标预备会</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both"/>
              <w:rPr>
                <w:rFonts w:cs="宋体" w:asciiTheme="minorEastAsia" w:hAnsiTheme="minorEastAsia" w:eastAsiaTheme="minorEastAsia"/>
                <w:color w:val="auto"/>
                <w:sz w:val="21"/>
                <w:szCs w:val="21"/>
                <w:highlight w:val="none"/>
              </w:rPr>
            </w:pPr>
            <w:r>
              <w:rPr>
                <w:rFonts w:hint="eastAsia" w:ascii="MS Gothic" w:hAnsi="MS Gothic" w:eastAsia="MS Gothic" w:cs="MS Gothic"/>
                <w:color w:val="auto"/>
                <w:sz w:val="21"/>
                <w:szCs w:val="21"/>
                <w:highlight w:val="none"/>
              </w:rPr>
              <w:t>☑</w:t>
            </w:r>
            <w:r>
              <w:rPr>
                <w:rFonts w:cs="宋体" w:asciiTheme="minorEastAsia" w:hAnsiTheme="minorEastAsia" w:eastAsiaTheme="minorEastAsia"/>
                <w:color w:val="auto"/>
                <w:sz w:val="21"/>
                <w:szCs w:val="21"/>
                <w:highlight w:val="none"/>
              </w:rPr>
              <w:t>不召开，由投标人自行现场考察。</w:t>
            </w:r>
          </w:p>
          <w:p>
            <w:pPr>
              <w:snapToGrid w:val="0"/>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□召开，召开时间：</w:t>
            </w:r>
          </w:p>
          <w:p>
            <w:pPr>
              <w:snapToGrid w:val="0"/>
              <w:spacing w:line="320" w:lineRule="exact"/>
              <w:ind w:firstLine="840" w:firstLineChars="40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召开地点：</w:t>
            </w:r>
          </w:p>
        </w:tc>
      </w:tr>
      <w:tr>
        <w:tblPrEx>
          <w:tblCellMar>
            <w:top w:w="0" w:type="dxa"/>
            <w:left w:w="108" w:type="dxa"/>
            <w:bottom w:w="0" w:type="dxa"/>
            <w:right w:w="108" w:type="dxa"/>
          </w:tblCellMar>
        </w:tblPrEx>
        <w:trPr>
          <w:cantSplit/>
          <w:trHeight w:val="323" w:hRule="atLeast"/>
        </w:trPr>
        <w:tc>
          <w:tcPr>
            <w:tcW w:w="1164"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1.9.2</w:t>
            </w:r>
          </w:p>
        </w:tc>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投标人在投标预备会前提出问题</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时间：</w:t>
            </w:r>
            <w:r>
              <w:rPr>
                <w:rFonts w:cs="宋体" w:asciiTheme="minorEastAsia" w:hAnsiTheme="minorEastAsia" w:eastAsiaTheme="minorEastAsia"/>
                <w:color w:val="auto"/>
                <w:sz w:val="21"/>
                <w:szCs w:val="21"/>
                <w:highlight w:val="none"/>
              </w:rPr>
              <w:t>/</w:t>
            </w:r>
          </w:p>
        </w:tc>
      </w:tr>
      <w:tr>
        <w:tblPrEx>
          <w:tblCellMar>
            <w:top w:w="0" w:type="dxa"/>
            <w:left w:w="108" w:type="dxa"/>
            <w:bottom w:w="0" w:type="dxa"/>
            <w:right w:w="108" w:type="dxa"/>
          </w:tblCellMar>
        </w:tblPrEx>
        <w:trPr>
          <w:cantSplit/>
          <w:trHeight w:val="90" w:hRule="atLeast"/>
        </w:trPr>
        <w:tc>
          <w:tcPr>
            <w:tcW w:w="116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p>
        </w:tc>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both"/>
              <w:rPr>
                <w:rFonts w:cs="宋体" w:asciiTheme="minorEastAsia" w:hAnsiTheme="minorEastAsia" w:eastAsiaTheme="minorEastAsia"/>
                <w:color w:val="auto"/>
                <w:sz w:val="21"/>
                <w:szCs w:val="21"/>
                <w:highlight w:val="none"/>
              </w:rPr>
            </w:pP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形式：</w:t>
            </w:r>
            <w:r>
              <w:rPr>
                <w:rFonts w:cs="宋体" w:asciiTheme="minorEastAsia" w:hAnsiTheme="minorEastAsia" w:eastAsiaTheme="minorEastAsia"/>
                <w:color w:val="auto"/>
                <w:sz w:val="21"/>
                <w:szCs w:val="21"/>
                <w:highlight w:val="none"/>
              </w:rPr>
              <w:t>/</w:t>
            </w:r>
          </w:p>
        </w:tc>
      </w:tr>
      <w:tr>
        <w:tblPrEx>
          <w:tblCellMar>
            <w:top w:w="0" w:type="dxa"/>
            <w:left w:w="108" w:type="dxa"/>
            <w:bottom w:w="0" w:type="dxa"/>
            <w:right w:w="108" w:type="dxa"/>
          </w:tblCellMar>
        </w:tblPrEx>
        <w:trPr>
          <w:cantSplit/>
          <w:trHeight w:val="343"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1.9.3</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招标文件澄清发出的形式</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both"/>
              <w:rPr>
                <w:rFonts w:cs="宋体"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u w:val="single"/>
              </w:rPr>
              <w:t>以电子文件形式通过广州公共资源交易中心数字交易平台发布。</w:t>
            </w:r>
          </w:p>
        </w:tc>
      </w:tr>
      <w:tr>
        <w:tblPrEx>
          <w:tblCellMar>
            <w:top w:w="0" w:type="dxa"/>
            <w:left w:w="108" w:type="dxa"/>
            <w:bottom w:w="0" w:type="dxa"/>
            <w:right w:w="108" w:type="dxa"/>
          </w:tblCellMar>
        </w:tblPrEx>
        <w:trPr>
          <w:cantSpli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1.10.1</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分包</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both"/>
              <w:rPr>
                <w:rFonts w:cs="宋体" w:asciiTheme="minorEastAsia" w:hAnsiTheme="minorEastAsia" w:eastAsiaTheme="minorEastAsia"/>
                <w:color w:val="auto"/>
                <w:sz w:val="21"/>
                <w:szCs w:val="21"/>
                <w:highlight w:val="none"/>
              </w:rPr>
            </w:pPr>
            <w:r>
              <w:rPr>
                <w:rFonts w:hint="eastAsia" w:ascii="MS Gothic" w:hAnsi="MS Gothic" w:eastAsia="MS Gothic" w:cs="MS Gothic"/>
                <w:color w:val="auto"/>
                <w:sz w:val="21"/>
                <w:szCs w:val="21"/>
                <w:highlight w:val="none"/>
              </w:rPr>
              <w:t>☑</w:t>
            </w:r>
            <w:r>
              <w:rPr>
                <w:rFonts w:cs="宋体" w:asciiTheme="minorEastAsia" w:hAnsiTheme="minorEastAsia" w:eastAsiaTheme="minorEastAsia"/>
                <w:color w:val="auto"/>
                <w:sz w:val="21"/>
                <w:szCs w:val="21"/>
                <w:highlight w:val="none"/>
              </w:rPr>
              <w:t>不允许</w:t>
            </w:r>
          </w:p>
          <w:p>
            <w:pPr>
              <w:snapToGrid w:val="0"/>
              <w:spacing w:line="320" w:lineRule="exact"/>
              <w:jc w:val="both"/>
              <w:rPr>
                <w:rFonts w:cs="宋体" w:asciiTheme="minorEastAsia" w:hAnsiTheme="minorEastAsia" w:eastAsiaTheme="minorEastAsia"/>
                <w:color w:val="auto"/>
                <w:sz w:val="21"/>
                <w:szCs w:val="21"/>
                <w:highlight w:val="none"/>
              </w:rPr>
            </w:pPr>
            <w:r>
              <w:rPr>
                <w:rFonts w:hint="eastAsia" w:cs="Segoe UI Symbol" w:asciiTheme="minorEastAsia" w:hAnsiTheme="minorEastAsia" w:eastAsiaTheme="minorEastAsia"/>
                <w:color w:val="auto"/>
                <w:sz w:val="21"/>
                <w:szCs w:val="21"/>
                <w:highlight w:val="none"/>
              </w:rPr>
              <w:t>□</w:t>
            </w:r>
            <w:r>
              <w:rPr>
                <w:rFonts w:hint="eastAsia" w:cs="宋体" w:asciiTheme="minorEastAsia" w:hAnsiTheme="minorEastAsia" w:eastAsiaTheme="minorEastAsia"/>
                <w:color w:val="auto"/>
                <w:sz w:val="21"/>
                <w:szCs w:val="21"/>
                <w:highlight w:val="none"/>
              </w:rPr>
              <w:t>允许，分包内容要求：/</w:t>
            </w:r>
          </w:p>
          <w:p>
            <w:pPr>
              <w:snapToGrid w:val="0"/>
              <w:spacing w:line="320" w:lineRule="exact"/>
              <w:ind w:firstLine="840" w:firstLineChars="40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分包金额要求：/</w:t>
            </w:r>
          </w:p>
          <w:p>
            <w:pPr>
              <w:snapToGrid w:val="0"/>
              <w:spacing w:line="320" w:lineRule="exact"/>
              <w:ind w:firstLine="210" w:firstLineChars="10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对分包人的资质要求：/</w:t>
            </w:r>
          </w:p>
        </w:tc>
      </w:tr>
      <w:tr>
        <w:tblPrEx>
          <w:tblCellMar>
            <w:top w:w="0" w:type="dxa"/>
            <w:left w:w="108" w:type="dxa"/>
            <w:bottom w:w="0" w:type="dxa"/>
            <w:right w:w="108" w:type="dxa"/>
          </w:tblCellMar>
        </w:tblPrEx>
        <w:trPr>
          <w:cantSplit/>
          <w:trHeight w:val="646"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1.11.1</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实质性要求和条件</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须符合招标文件及电梯技术参数的要求和条件。</w:t>
            </w:r>
          </w:p>
        </w:tc>
      </w:tr>
      <w:tr>
        <w:tblPrEx>
          <w:tblCellMar>
            <w:top w:w="0" w:type="dxa"/>
            <w:left w:w="108" w:type="dxa"/>
            <w:bottom w:w="0" w:type="dxa"/>
            <w:right w:w="108" w:type="dxa"/>
          </w:tblCellMar>
        </w:tblPrEx>
        <w:trPr>
          <w:cantSplit/>
          <w:trHeight w:val="553"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1.11.3</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其他可以被接受的技术支持资料</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w:t>
            </w:r>
          </w:p>
        </w:tc>
      </w:tr>
      <w:tr>
        <w:tblPrEx>
          <w:tblCellMar>
            <w:top w:w="0" w:type="dxa"/>
            <w:left w:w="108" w:type="dxa"/>
            <w:bottom w:w="0" w:type="dxa"/>
            <w:right w:w="108" w:type="dxa"/>
          </w:tblCellMar>
        </w:tblPrEx>
        <w:trPr>
          <w:cantSplit/>
          <w:trHeight w:val="1009"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1.11.4</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偏差</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□不允许</w:t>
            </w:r>
          </w:p>
          <w:p>
            <w:pPr>
              <w:snapToGrid w:val="0"/>
              <w:spacing w:line="320" w:lineRule="exact"/>
              <w:jc w:val="both"/>
              <w:rPr>
                <w:rFonts w:cs="宋体" w:asciiTheme="minorEastAsia" w:hAnsiTheme="minorEastAsia" w:eastAsiaTheme="minorEastAsia"/>
                <w:color w:val="auto"/>
                <w:sz w:val="21"/>
                <w:szCs w:val="21"/>
                <w:highlight w:val="none"/>
              </w:rPr>
            </w:pPr>
            <w:r>
              <w:rPr>
                <w:rFonts w:hint="eastAsia" w:ascii="MS Gothic" w:hAnsi="MS Gothic" w:eastAsia="MS Gothic" w:cs="MS Gothic"/>
                <w:color w:val="auto"/>
                <w:sz w:val="21"/>
                <w:szCs w:val="21"/>
                <w:highlight w:val="none"/>
              </w:rPr>
              <w:t>☑</w:t>
            </w:r>
            <w:r>
              <w:rPr>
                <w:rFonts w:hint="eastAsia" w:cs="宋体" w:asciiTheme="minorEastAsia" w:hAnsiTheme="minorEastAsia" w:eastAsiaTheme="minorEastAsia"/>
                <w:color w:val="auto"/>
                <w:sz w:val="21"/>
                <w:szCs w:val="21"/>
                <w:highlight w:val="none"/>
              </w:rPr>
              <w:t>允许，偏差范围：</w:t>
            </w:r>
            <w:r>
              <w:rPr>
                <w:rFonts w:hint="eastAsia" w:asciiTheme="minorEastAsia" w:hAnsiTheme="minorEastAsia" w:eastAsiaTheme="minorEastAsia"/>
                <w:color w:val="auto"/>
                <w:sz w:val="21"/>
                <w:szCs w:val="21"/>
                <w:highlight w:val="none"/>
              </w:rPr>
              <w:t>详见商务响应表、电梯技术要求及参数响应表要求</w:t>
            </w:r>
          </w:p>
          <w:p>
            <w:pPr>
              <w:snapToGrid w:val="0"/>
              <w:spacing w:line="320" w:lineRule="exact"/>
              <w:ind w:firstLine="840" w:firstLineChars="40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偏差</w:t>
            </w:r>
            <w:r>
              <w:rPr>
                <w:rFonts w:cs="宋体" w:asciiTheme="minorEastAsia" w:hAnsiTheme="minorEastAsia" w:eastAsiaTheme="minorEastAsia"/>
                <w:color w:val="auto"/>
                <w:sz w:val="21"/>
                <w:szCs w:val="21"/>
                <w:highlight w:val="none"/>
              </w:rPr>
              <w:t>幅度</w:t>
            </w:r>
            <w:r>
              <w:rPr>
                <w:rFonts w:hint="eastAsia" w:cs="宋体"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w:t>
            </w:r>
          </w:p>
        </w:tc>
      </w:tr>
      <w:tr>
        <w:tblPrEx>
          <w:tblCellMar>
            <w:top w:w="0" w:type="dxa"/>
            <w:left w:w="108" w:type="dxa"/>
            <w:bottom w:w="0" w:type="dxa"/>
            <w:right w:w="108" w:type="dxa"/>
          </w:tblCellMar>
        </w:tblPrEx>
        <w:trPr>
          <w:cantSplit/>
          <w:trHeight w:val="503"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2.1</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构成招标文件的其他资料</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w:t>
            </w:r>
          </w:p>
        </w:tc>
      </w:tr>
      <w:tr>
        <w:tblPrEx>
          <w:tblCellMar>
            <w:top w:w="0" w:type="dxa"/>
            <w:left w:w="108" w:type="dxa"/>
            <w:bottom w:w="0" w:type="dxa"/>
            <w:right w:w="108" w:type="dxa"/>
          </w:tblCellMar>
        </w:tblPrEx>
        <w:trPr>
          <w:cantSplit/>
          <w:trHeight w:val="656" w:hRule="atLeast"/>
        </w:trPr>
        <w:tc>
          <w:tcPr>
            <w:tcW w:w="1164"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2.2.1</w:t>
            </w:r>
          </w:p>
        </w:tc>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投标人要求澄清招标文件</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时间：</w:t>
            </w:r>
            <w:r>
              <w:rPr>
                <w:rFonts w:hint="eastAsia" w:cs="宋体" w:asciiTheme="minorEastAsia" w:hAnsiTheme="minorEastAsia" w:eastAsiaTheme="minorEastAsia"/>
                <w:color w:val="auto"/>
                <w:sz w:val="21"/>
                <w:szCs w:val="21"/>
                <w:highlight w:val="none"/>
                <w:u w:val="single"/>
              </w:rPr>
              <w:t>在提交投标文件截止时间18天前提出。</w:t>
            </w:r>
          </w:p>
        </w:tc>
      </w:tr>
      <w:tr>
        <w:tblPrEx>
          <w:tblCellMar>
            <w:top w:w="0" w:type="dxa"/>
            <w:left w:w="108" w:type="dxa"/>
            <w:bottom w:w="0" w:type="dxa"/>
            <w:right w:w="108" w:type="dxa"/>
          </w:tblCellMar>
        </w:tblPrEx>
        <w:trPr>
          <w:cantSplit/>
          <w:trHeight w:val="2431" w:hRule="atLeast"/>
        </w:trPr>
        <w:tc>
          <w:tcPr>
            <w:tcW w:w="116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p>
        </w:tc>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形式：在广州公共资源交易中心网站通过项目网上答疑</w:t>
            </w:r>
          </w:p>
          <w:p>
            <w:pPr>
              <w:snapToGrid w:val="0"/>
              <w:spacing w:line="34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1）招标答疑采用网上答疑方式进行。投标人若对招标文件有疑问的，可在规定的时间内通过广州公共资源交易中心网站进入“招标答疑提问”页面将问题提交给招标人或招标代理人，提交问题时一律不得署名。</w:t>
            </w:r>
          </w:p>
          <w:p>
            <w:pPr>
              <w:snapToGrid w:val="0"/>
              <w:spacing w:line="34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网上答疑的操作指南为：登录广州公共资源交易中心数字交易平台→进入“我的投标”页面→进入“招标答疑提问”页面→通过项目编号或名称找到所需的项目→在上述的答疑时间内点击“答疑提问”→无记名或匿名提出问题。具体操作方法详见《房屋建筑和市政基础设施工程全流程电子化项目专章》。</w:t>
            </w:r>
          </w:p>
          <w:p>
            <w:pPr>
              <w:snapToGrid w:val="0"/>
              <w:spacing w:line="34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 xml:space="preserve">2）投标人应在投标截止时间 18 </w:t>
            </w:r>
            <w:r>
              <w:rPr>
                <w:rFonts w:hint="eastAsia" w:cs="宋体" w:asciiTheme="minorEastAsia" w:hAnsiTheme="minorEastAsia" w:eastAsiaTheme="minorEastAsia"/>
                <w:color w:val="auto"/>
                <w:sz w:val="21"/>
                <w:szCs w:val="21"/>
                <w:highlight w:val="none"/>
              </w:rPr>
              <w:t>日前停止提问。</w:t>
            </w:r>
          </w:p>
        </w:tc>
      </w:tr>
      <w:tr>
        <w:tblPrEx>
          <w:tblCellMar>
            <w:top w:w="0" w:type="dxa"/>
            <w:left w:w="108" w:type="dxa"/>
            <w:bottom w:w="0" w:type="dxa"/>
            <w:right w:w="108" w:type="dxa"/>
          </w:tblCellMar>
        </w:tblPrEx>
        <w:trPr>
          <w:cantSplit/>
          <w:trHeight w:val="1066"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2.2.2</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招标文件澄清发出的形式</w:t>
            </w:r>
          </w:p>
        </w:tc>
        <w:tc>
          <w:tcPr>
            <w:tcW w:w="6103"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在递交投标文件截止时间15天前；在广州公共资源交易中心网站通过项目答疑专区网上公开发布。招标答疑纪要为招标文件的一部分。投标人可在广州公资源交易中心网站浏览、下载招标答疑纪要。</w:t>
            </w:r>
          </w:p>
        </w:tc>
      </w:tr>
      <w:tr>
        <w:tblPrEx>
          <w:tblCellMar>
            <w:top w:w="0" w:type="dxa"/>
            <w:left w:w="108" w:type="dxa"/>
            <w:bottom w:w="0" w:type="dxa"/>
            <w:right w:w="108" w:type="dxa"/>
          </w:tblCellMar>
        </w:tblPrEx>
        <w:trPr>
          <w:cantSplit/>
          <w:trHeight w:val="735"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2.2.3</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投标人确认收到招标文件澄清</w:t>
            </w:r>
          </w:p>
        </w:tc>
        <w:tc>
          <w:tcPr>
            <w:tcW w:w="6103" w:type="dxa"/>
            <w:tcBorders>
              <w:top w:val="single" w:color="000000" w:sz="4" w:space="0"/>
              <w:left w:val="single" w:color="000000" w:sz="4" w:space="0"/>
              <w:right w:val="single" w:color="000000" w:sz="4" w:space="0"/>
            </w:tcBorders>
            <w:vAlign w:val="center"/>
          </w:tcPr>
          <w:p>
            <w:pPr>
              <w:spacing w:line="340" w:lineRule="exac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招标文件澄清（招标答疑纪要）一经在广州公共资源交易中心网站发布，视作已发放给所有投标人。</w:t>
            </w:r>
          </w:p>
        </w:tc>
      </w:tr>
      <w:tr>
        <w:tblPrEx>
          <w:tblCellMar>
            <w:top w:w="0" w:type="dxa"/>
            <w:left w:w="108" w:type="dxa"/>
            <w:bottom w:w="0" w:type="dxa"/>
            <w:right w:w="108" w:type="dxa"/>
          </w:tblCellMar>
        </w:tblPrEx>
        <w:trPr>
          <w:cantSplit/>
          <w:trHeight w:val="776"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2.3.1</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招标文件修改发出的形式</w:t>
            </w:r>
          </w:p>
        </w:tc>
        <w:tc>
          <w:tcPr>
            <w:tcW w:w="6103"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以补充公告或项目答疑澄清的方式在广州公共资源交易中心网站发布。</w:t>
            </w:r>
          </w:p>
        </w:tc>
      </w:tr>
      <w:tr>
        <w:tblPrEx>
          <w:tblCellMar>
            <w:top w:w="0" w:type="dxa"/>
            <w:left w:w="108" w:type="dxa"/>
            <w:bottom w:w="0" w:type="dxa"/>
            <w:right w:w="108" w:type="dxa"/>
          </w:tblCellMar>
        </w:tblPrEx>
        <w:trPr>
          <w:cantSplit/>
          <w:trHeight w:val="398" w:hRule="atLeast"/>
        </w:trPr>
        <w:tc>
          <w:tcPr>
            <w:tcW w:w="1164"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2.3.2</w:t>
            </w:r>
          </w:p>
        </w:tc>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投标人确认收到招标文件修改</w:t>
            </w:r>
          </w:p>
        </w:tc>
        <w:tc>
          <w:tcPr>
            <w:tcW w:w="6103"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时间：发出即视作收到。</w:t>
            </w:r>
          </w:p>
        </w:tc>
      </w:tr>
      <w:tr>
        <w:tblPrEx>
          <w:tblCellMar>
            <w:top w:w="0" w:type="dxa"/>
            <w:left w:w="108" w:type="dxa"/>
            <w:bottom w:w="0" w:type="dxa"/>
            <w:right w:w="108" w:type="dxa"/>
          </w:tblCellMar>
        </w:tblPrEx>
        <w:trPr>
          <w:cantSplit/>
          <w:trHeight w:val="717" w:hRule="atLeast"/>
        </w:trPr>
        <w:tc>
          <w:tcPr>
            <w:tcW w:w="116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p>
        </w:tc>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p>
        </w:tc>
        <w:tc>
          <w:tcPr>
            <w:tcW w:w="6103"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形式：招标文件修改一经在广州公共资源交易中心网站发布，视作已发放给所有投标人，无需确认。潜在投标人应自行关注招标公告公布的网站公告，投标人因自身贻误行为导致投标失败的，责任自负。</w:t>
            </w:r>
          </w:p>
        </w:tc>
      </w:tr>
      <w:tr>
        <w:tblPrEx>
          <w:tblCellMar>
            <w:top w:w="0" w:type="dxa"/>
            <w:left w:w="108" w:type="dxa"/>
            <w:bottom w:w="0" w:type="dxa"/>
            <w:right w:w="108" w:type="dxa"/>
          </w:tblCellMar>
        </w:tblPrEx>
        <w:trPr>
          <w:cantSplit/>
          <w:trHeight w:val="578"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3.1.1</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构成投标文件的其他资料</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both"/>
              <w:rPr>
                <w:rFonts w:cs="宋体" w:asciiTheme="minorEastAsia" w:hAnsiTheme="minorEastAsia" w:eastAsiaTheme="minorEastAsia"/>
                <w:color w:val="auto"/>
                <w:sz w:val="21"/>
                <w:szCs w:val="21"/>
                <w:highlight w:val="none"/>
                <w:u w:val="single"/>
              </w:rPr>
            </w:pPr>
            <w:r>
              <w:rPr>
                <w:rFonts w:hint="eastAsia" w:cs="宋体" w:asciiTheme="minorEastAsia" w:hAnsiTheme="minorEastAsia" w:eastAsiaTheme="minorEastAsia"/>
                <w:color w:val="auto"/>
                <w:sz w:val="21"/>
                <w:szCs w:val="21"/>
                <w:highlight w:val="none"/>
                <w:u w:val="single"/>
              </w:rPr>
              <w:t>满足本项目评审要求的其他资料及投标人认为需要提交的其他证明材料。</w:t>
            </w:r>
          </w:p>
        </w:tc>
      </w:tr>
      <w:tr>
        <w:tblPrEx>
          <w:tblCellMar>
            <w:top w:w="0" w:type="dxa"/>
            <w:left w:w="108" w:type="dxa"/>
            <w:bottom w:w="0" w:type="dxa"/>
            <w:right w:w="108" w:type="dxa"/>
          </w:tblCellMar>
        </w:tblPrEx>
        <w:trPr>
          <w:cantSplit/>
          <w:trHeight w:val="478"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3.2.1</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增值税税金的计算方法</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按国家</w:t>
            </w:r>
            <w:r>
              <w:rPr>
                <w:rFonts w:cs="宋体" w:asciiTheme="minorEastAsia" w:hAnsiTheme="minorEastAsia" w:eastAsiaTheme="minorEastAsia"/>
                <w:color w:val="auto"/>
                <w:sz w:val="21"/>
                <w:szCs w:val="21"/>
                <w:highlight w:val="none"/>
              </w:rPr>
              <w:t>税务机关的规定执行。</w:t>
            </w:r>
          </w:p>
        </w:tc>
      </w:tr>
      <w:tr>
        <w:tblPrEx>
          <w:tblCellMar>
            <w:top w:w="0" w:type="dxa"/>
            <w:left w:w="108" w:type="dxa"/>
            <w:bottom w:w="0" w:type="dxa"/>
            <w:right w:w="108" w:type="dxa"/>
          </w:tblCellMar>
        </w:tblPrEx>
        <w:trPr>
          <w:cantSplit/>
          <w:trHeight w:val="952"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5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3.2.4</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5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最高投标限价</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spacing w:line="400" w:lineRule="exact"/>
              <w:ind w:firstLine="420" w:firstLineChars="200"/>
              <w:jc w:val="left"/>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□无</w:t>
            </w:r>
          </w:p>
          <w:p>
            <w:pPr>
              <w:snapToGrid/>
              <w:spacing w:line="400" w:lineRule="exact"/>
              <w:ind w:firstLine="420" w:firstLineChars="200"/>
              <w:jc w:val="left"/>
              <w:rPr>
                <w:rFonts w:cs="宋体" w:asciiTheme="minorEastAsia" w:hAnsiTheme="minorEastAsia" w:eastAsiaTheme="minorEastAsia"/>
                <w:color w:val="auto"/>
                <w:sz w:val="21"/>
                <w:szCs w:val="21"/>
                <w:highlight w:val="none"/>
              </w:rPr>
            </w:pPr>
            <w:r>
              <w:rPr>
                <w:rFonts w:hint="eastAsia" w:ascii="MS Gothic" w:hAnsi="MS Gothic" w:eastAsia="MS Gothic" w:cs="MS Gothic"/>
                <w:color w:val="auto"/>
                <w:sz w:val="21"/>
                <w:szCs w:val="21"/>
                <w:highlight w:val="none"/>
              </w:rPr>
              <w:t>☑</w:t>
            </w:r>
            <w:r>
              <w:rPr>
                <w:rFonts w:cs="宋体" w:asciiTheme="minorEastAsia" w:hAnsiTheme="minorEastAsia" w:eastAsiaTheme="minorEastAsia"/>
                <w:color w:val="auto"/>
                <w:sz w:val="21"/>
                <w:szCs w:val="21"/>
                <w:highlight w:val="none"/>
              </w:rPr>
              <w:t>有，最高投标限价（即招标控制价，下同）</w:t>
            </w:r>
            <w:r>
              <w:rPr>
                <w:rFonts w:hint="eastAsia" w:cs="宋体" w:asciiTheme="minorEastAsia" w:hAnsiTheme="minorEastAsia" w:eastAsiaTheme="minorEastAsia"/>
                <w:color w:val="auto"/>
                <w:sz w:val="21"/>
                <w:szCs w:val="21"/>
                <w:highlight w:val="none"/>
              </w:rPr>
              <w:t>：</w:t>
            </w:r>
            <w:r>
              <w:rPr>
                <w:rFonts w:hint="eastAsia" w:ascii="宋体" w:hAnsi="宋体"/>
                <w:color w:val="auto"/>
                <w:sz w:val="21"/>
                <w:szCs w:val="21"/>
                <w:highlight w:val="none"/>
                <w:u w:val="single"/>
              </w:rPr>
              <w:t>人民币67976073.71元，其中：</w:t>
            </w:r>
            <w:r>
              <w:rPr>
                <w:rFonts w:ascii="宋体" w:hAnsi="宋体"/>
                <w:color w:val="auto"/>
                <w:sz w:val="21"/>
                <w:szCs w:val="21"/>
                <w:highlight w:val="none"/>
                <w:u w:val="single"/>
              </w:rPr>
              <w:t>4</w:t>
            </w:r>
            <w:r>
              <w:rPr>
                <w:rFonts w:hint="eastAsia" w:ascii="宋体" w:hAnsi="宋体"/>
                <w:color w:val="auto"/>
                <w:sz w:val="21"/>
                <w:szCs w:val="21"/>
                <w:highlight w:val="none"/>
                <w:u w:val="single"/>
              </w:rPr>
              <w:t>#地块电梯供货的最高投标限价为56938545.49元，</w:t>
            </w:r>
            <w:r>
              <w:rPr>
                <w:rFonts w:ascii="宋体" w:hAnsi="宋体"/>
                <w:color w:val="auto"/>
                <w:sz w:val="21"/>
                <w:szCs w:val="21"/>
                <w:highlight w:val="none"/>
                <w:u w:val="single"/>
              </w:rPr>
              <w:t>4</w:t>
            </w:r>
            <w:r>
              <w:rPr>
                <w:rFonts w:hint="eastAsia" w:ascii="宋体" w:hAnsi="宋体"/>
                <w:color w:val="auto"/>
                <w:sz w:val="21"/>
                <w:szCs w:val="21"/>
                <w:highlight w:val="none"/>
                <w:u w:val="single"/>
              </w:rPr>
              <w:t>#地块电梯安装服务(含临时用梯费)的最高投标限价为11037528.22元</w:t>
            </w:r>
            <w:r>
              <w:rPr>
                <w:rFonts w:hint="eastAsia" w:ascii="宋体" w:hAnsi="宋体"/>
                <w:color w:val="auto"/>
                <w:sz w:val="21"/>
                <w:szCs w:val="21"/>
                <w:highlight w:val="none"/>
              </w:rPr>
              <w:t>。</w:t>
            </w:r>
            <w:r>
              <w:rPr>
                <w:rFonts w:ascii="宋体" w:hAnsi="宋体"/>
                <w:color w:val="auto"/>
                <w:szCs w:val="21"/>
                <w:highlight w:val="none"/>
              </w:rPr>
              <w:t xml:space="preserve"> </w:t>
            </w:r>
          </w:p>
        </w:tc>
      </w:tr>
      <w:tr>
        <w:tblPrEx>
          <w:tblCellMar>
            <w:top w:w="0" w:type="dxa"/>
            <w:left w:w="108" w:type="dxa"/>
            <w:bottom w:w="0" w:type="dxa"/>
            <w:right w:w="108" w:type="dxa"/>
          </w:tblCellMar>
        </w:tblPrEx>
        <w:trPr>
          <w:cantSplit/>
          <w:trHeight w:val="1967"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50"/>
              <w:jc w:val="both"/>
              <w:rPr>
                <w:rFonts w:cs="宋体" w:asciiTheme="minorEastAsia" w:hAnsiTheme="minorEastAsia" w:eastAsiaTheme="minorEastAsia"/>
                <w:bCs/>
                <w:color w:val="auto"/>
                <w:sz w:val="21"/>
                <w:szCs w:val="21"/>
                <w:highlight w:val="none"/>
              </w:rPr>
            </w:pPr>
            <w:r>
              <w:rPr>
                <w:rFonts w:cs="宋体" w:asciiTheme="minorEastAsia" w:hAnsiTheme="minorEastAsia" w:eastAsiaTheme="minorEastAsia"/>
                <w:bCs/>
                <w:color w:val="auto"/>
                <w:sz w:val="21"/>
                <w:szCs w:val="21"/>
                <w:highlight w:val="none"/>
              </w:rPr>
              <w:t>3.2.5</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50" w:line="320" w:lineRule="exact"/>
              <w:jc w:val="both"/>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投标报价的其他要求</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both"/>
              <w:rPr>
                <w:rFonts w:cs="宋体" w:asciiTheme="minorEastAsia" w:hAnsiTheme="minorEastAsia" w:eastAsiaTheme="minorEastAsia"/>
                <w:bCs/>
                <w:color w:val="auto"/>
                <w:sz w:val="21"/>
                <w:szCs w:val="21"/>
                <w:highlight w:val="none"/>
              </w:rPr>
            </w:pPr>
            <w:r>
              <w:rPr>
                <w:rFonts w:cs="宋体" w:asciiTheme="minorEastAsia" w:hAnsiTheme="minorEastAsia" w:eastAsiaTheme="minorEastAsia"/>
                <w:bCs/>
                <w:color w:val="auto"/>
                <w:sz w:val="21"/>
                <w:szCs w:val="21"/>
                <w:highlight w:val="none"/>
              </w:rPr>
              <w:t>1、各投标单位在招标控制价内根据企业自身实力进行总价报价（以元为单位</w:t>
            </w:r>
            <w:r>
              <w:rPr>
                <w:rFonts w:hint="eastAsia" w:cs="宋体" w:asciiTheme="minorEastAsia" w:hAnsiTheme="minorEastAsia" w:eastAsiaTheme="minorEastAsia"/>
                <w:bCs/>
                <w:color w:val="auto"/>
                <w:sz w:val="21"/>
                <w:szCs w:val="21"/>
                <w:highlight w:val="none"/>
              </w:rPr>
              <w:t>,小数点后</w:t>
            </w:r>
            <w:r>
              <w:rPr>
                <w:rFonts w:cs="宋体" w:asciiTheme="minorEastAsia" w:hAnsiTheme="minorEastAsia" w:eastAsiaTheme="minorEastAsia"/>
                <w:bCs/>
                <w:color w:val="auto"/>
                <w:sz w:val="21"/>
                <w:szCs w:val="21"/>
                <w:highlight w:val="none"/>
              </w:rPr>
              <w:t>保留两位小数</w:t>
            </w:r>
            <w:r>
              <w:rPr>
                <w:rFonts w:hint="eastAsia" w:cs="宋体" w:asciiTheme="minorEastAsia" w:hAnsiTheme="minorEastAsia" w:eastAsiaTheme="minorEastAsia"/>
                <w:bCs/>
                <w:color w:val="auto"/>
                <w:sz w:val="21"/>
                <w:szCs w:val="21"/>
                <w:highlight w:val="none"/>
              </w:rPr>
              <w:t>,</w:t>
            </w:r>
            <w:r>
              <w:rPr>
                <w:rFonts w:cs="宋体" w:asciiTheme="minorEastAsia" w:hAnsiTheme="minorEastAsia" w:eastAsiaTheme="minorEastAsia"/>
                <w:bCs/>
                <w:color w:val="auto"/>
                <w:sz w:val="21"/>
                <w:szCs w:val="21"/>
                <w:highlight w:val="none"/>
              </w:rPr>
              <w:t>第三位小数四舍五入）</w:t>
            </w:r>
            <w:r>
              <w:rPr>
                <w:rFonts w:hint="eastAsia" w:cs="宋体" w:asciiTheme="minorEastAsia" w:hAnsiTheme="minorEastAsia" w:eastAsiaTheme="minorEastAsia"/>
                <w:bCs/>
                <w:color w:val="auto"/>
                <w:sz w:val="21"/>
                <w:szCs w:val="21"/>
                <w:highlight w:val="none"/>
              </w:rPr>
              <w:t>。</w:t>
            </w:r>
          </w:p>
          <w:p>
            <w:pPr>
              <w:snapToGrid w:val="0"/>
              <w:spacing w:line="340" w:lineRule="exact"/>
              <w:jc w:val="both"/>
              <w:rPr>
                <w:rFonts w:cs="宋体" w:asciiTheme="minorEastAsia" w:hAnsiTheme="minorEastAsia" w:eastAsiaTheme="minorEastAsia"/>
                <w:bCs/>
                <w:color w:val="auto"/>
                <w:sz w:val="21"/>
                <w:szCs w:val="21"/>
                <w:highlight w:val="none"/>
              </w:rPr>
            </w:pPr>
            <w:r>
              <w:rPr>
                <w:rFonts w:cs="宋体" w:asciiTheme="minorEastAsia" w:hAnsiTheme="minorEastAsia" w:eastAsiaTheme="minorEastAsia"/>
                <w:bCs/>
                <w:color w:val="auto"/>
                <w:sz w:val="21"/>
                <w:szCs w:val="21"/>
                <w:highlight w:val="none"/>
              </w:rPr>
              <w:t>2、投标人应根据招标文件的要求，参照投标报价</w:t>
            </w:r>
            <w:r>
              <w:rPr>
                <w:rFonts w:hint="eastAsia" w:cs="宋体" w:asciiTheme="minorEastAsia" w:hAnsiTheme="minorEastAsia" w:eastAsiaTheme="minorEastAsia"/>
                <w:bCs/>
                <w:color w:val="auto"/>
                <w:sz w:val="21"/>
                <w:szCs w:val="21"/>
                <w:highlight w:val="none"/>
              </w:rPr>
              <w:t>表格式规定的填报内容在投标报价表上标明投标内容的单价、数量、金额和投标总报价。</w:t>
            </w:r>
          </w:p>
          <w:p>
            <w:pPr>
              <w:snapToGrid w:val="0"/>
              <w:spacing w:line="340" w:lineRule="exact"/>
              <w:jc w:val="both"/>
              <w:rPr>
                <w:rFonts w:cs="宋体" w:asciiTheme="minorEastAsia" w:hAnsiTheme="minorEastAsia" w:eastAsiaTheme="minorEastAsia"/>
                <w:bCs/>
                <w:color w:val="auto"/>
                <w:sz w:val="21"/>
                <w:szCs w:val="21"/>
                <w:highlight w:val="none"/>
              </w:rPr>
            </w:pPr>
            <w:r>
              <w:rPr>
                <w:rFonts w:cs="宋体" w:asciiTheme="minorEastAsia" w:hAnsiTheme="minorEastAsia" w:eastAsiaTheme="minorEastAsia"/>
                <w:bCs/>
                <w:color w:val="auto"/>
                <w:sz w:val="21"/>
                <w:szCs w:val="21"/>
                <w:highlight w:val="none"/>
              </w:rPr>
              <w:t>3、投标人的报价，应是其按第五章</w:t>
            </w:r>
            <w:r>
              <w:rPr>
                <w:rFonts w:hint="eastAsia" w:cs="宋体" w:asciiTheme="minorEastAsia" w:hAnsiTheme="minorEastAsia" w:eastAsiaTheme="minorEastAsia"/>
                <w:bCs/>
                <w:color w:val="auto"/>
                <w:sz w:val="21"/>
                <w:szCs w:val="21"/>
                <w:highlight w:val="none"/>
              </w:rPr>
              <w:t>“供货要求”</w:t>
            </w:r>
            <w:r>
              <w:rPr>
                <w:rFonts w:cs="宋体" w:asciiTheme="minorEastAsia" w:hAnsiTheme="minorEastAsia" w:eastAsiaTheme="minorEastAsia"/>
                <w:bCs/>
                <w:color w:val="auto"/>
                <w:sz w:val="21"/>
                <w:szCs w:val="21"/>
                <w:highlight w:val="none"/>
              </w:rPr>
              <w:t>完成电梯采购及安装</w:t>
            </w:r>
            <w:r>
              <w:rPr>
                <w:rFonts w:hint="eastAsia" w:cs="宋体" w:asciiTheme="minorEastAsia" w:hAnsiTheme="minorEastAsia" w:eastAsiaTheme="minorEastAsia"/>
                <w:bCs/>
                <w:color w:val="auto"/>
                <w:sz w:val="21"/>
                <w:szCs w:val="21"/>
                <w:highlight w:val="none"/>
              </w:rPr>
              <w:t>工程的所有费用。</w:t>
            </w:r>
          </w:p>
        </w:tc>
      </w:tr>
      <w:tr>
        <w:tblPrEx>
          <w:tblCellMar>
            <w:top w:w="0" w:type="dxa"/>
            <w:left w:w="108" w:type="dxa"/>
            <w:bottom w:w="0" w:type="dxa"/>
            <w:right w:w="108" w:type="dxa"/>
          </w:tblCellMar>
        </w:tblPrEx>
        <w:trPr>
          <w:cantSplit/>
          <w:trHeight w:val="402"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3.3.1</w:t>
            </w: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投标有效期</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u w:val="single"/>
              </w:rPr>
              <w:t>120</w:t>
            </w:r>
            <w:r>
              <w:rPr>
                <w:rFonts w:hint="eastAsia" w:cs="宋体" w:asciiTheme="minorEastAsia" w:hAnsiTheme="minorEastAsia" w:eastAsiaTheme="minorEastAsia"/>
                <w:color w:val="auto"/>
                <w:sz w:val="21"/>
                <w:szCs w:val="21"/>
                <w:highlight w:val="none"/>
                <w:u w:val="single"/>
              </w:rPr>
              <w:t xml:space="preserve"> </w:t>
            </w:r>
            <w:r>
              <w:rPr>
                <w:rFonts w:cs="宋体" w:asciiTheme="minorEastAsia" w:hAnsiTheme="minorEastAsia" w:eastAsiaTheme="minorEastAsia"/>
                <w:color w:val="auto"/>
                <w:sz w:val="21"/>
                <w:szCs w:val="21"/>
                <w:highlight w:val="none"/>
                <w:u w:val="single"/>
              </w:rPr>
              <w:t>日历天</w:t>
            </w:r>
            <w:r>
              <w:rPr>
                <w:rFonts w:hint="eastAsia" w:cs="宋体" w:asciiTheme="minorEastAsia" w:hAnsiTheme="minorEastAsia" w:eastAsiaTheme="minorEastAsia"/>
                <w:color w:val="auto"/>
                <w:sz w:val="21"/>
                <w:szCs w:val="21"/>
                <w:highlight w:val="none"/>
              </w:rPr>
              <w:t>（从投标截止之日算起）。</w:t>
            </w:r>
          </w:p>
        </w:tc>
      </w:tr>
      <w:tr>
        <w:tblPrEx>
          <w:tblCellMar>
            <w:top w:w="0" w:type="dxa"/>
            <w:left w:w="108" w:type="dxa"/>
            <w:bottom w:w="0" w:type="dxa"/>
            <w:right w:w="10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5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3.4.1</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5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投标保证金</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是否要求投标人递交投标保证金：</w:t>
            </w:r>
          </w:p>
          <w:p>
            <w:pPr>
              <w:snapToGrid w:val="0"/>
              <w:spacing w:line="340" w:lineRule="exact"/>
              <w:jc w:val="both"/>
              <w:rPr>
                <w:rFonts w:cs="宋体" w:asciiTheme="minorEastAsia" w:hAnsiTheme="minorEastAsia" w:eastAsiaTheme="minorEastAsia"/>
                <w:color w:val="auto"/>
                <w:sz w:val="21"/>
                <w:szCs w:val="21"/>
                <w:highlight w:val="none"/>
                <w:u w:val="single"/>
              </w:rPr>
            </w:pPr>
            <w:r>
              <w:rPr>
                <w:rFonts w:hint="eastAsia" w:ascii="MS Gothic" w:hAnsi="MS Gothic" w:eastAsia="MS Gothic" w:cs="MS Gothic"/>
                <w:color w:val="auto"/>
                <w:sz w:val="21"/>
                <w:szCs w:val="21"/>
                <w:highlight w:val="none"/>
              </w:rPr>
              <w:t>☑</w:t>
            </w:r>
            <w:r>
              <w:rPr>
                <w:rFonts w:cs="宋体" w:asciiTheme="minorEastAsia" w:hAnsiTheme="minorEastAsia" w:eastAsiaTheme="minorEastAsia"/>
                <w:color w:val="auto"/>
                <w:sz w:val="21"/>
                <w:szCs w:val="21"/>
                <w:highlight w:val="none"/>
              </w:rPr>
              <w:t>要求，投标保证金的形式：</w:t>
            </w:r>
            <w:r>
              <w:rPr>
                <w:rFonts w:hint="eastAsia" w:cs="宋体" w:asciiTheme="minorEastAsia" w:hAnsiTheme="minorEastAsia" w:eastAsiaTheme="minorEastAsia"/>
                <w:color w:val="auto"/>
                <w:sz w:val="21"/>
                <w:szCs w:val="21"/>
                <w:highlight w:val="none"/>
                <w:u w:val="single"/>
              </w:rPr>
              <w:t>投标保证金可采用现金、支票、投标保函、投标保证保险的形式，须在递交投标文件截止时间前完成缴纳。</w:t>
            </w:r>
          </w:p>
          <w:p>
            <w:pPr>
              <w:snapToGrid w:val="0"/>
              <w:spacing w:line="34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1）如采用现金、支票形式提交的，投标保证金从投标人基本账户递交，由</w:t>
            </w:r>
            <w:r>
              <w:rPr>
                <w:rFonts w:hint="eastAsia" w:cs="宋体" w:asciiTheme="minorEastAsia" w:hAnsiTheme="minorEastAsia" w:eastAsiaTheme="minorEastAsia"/>
                <w:color w:val="auto"/>
                <w:sz w:val="21"/>
                <w:szCs w:val="21"/>
                <w:highlight w:val="none"/>
              </w:rPr>
              <w:t>广州交易集团有限公司</w:t>
            </w:r>
            <w:r>
              <w:rPr>
                <w:rFonts w:cs="宋体" w:asciiTheme="minorEastAsia" w:hAnsiTheme="minorEastAsia" w:eastAsiaTheme="minorEastAsia"/>
                <w:color w:val="auto"/>
                <w:sz w:val="21"/>
                <w:szCs w:val="21"/>
                <w:highlight w:val="none"/>
              </w:rPr>
              <w:t>代收。具体操作要求详见广州公共资源交易中心有关指引，递交事宜请自行咨询交易中心；请各投标人在投标文件递交截止时间前按上述金额递交至广州公共资源交易中心，到账情况以开标时广州公共资源交易中心数据库</w:t>
            </w:r>
            <w:r>
              <w:rPr>
                <w:rFonts w:hint="eastAsia" w:cs="宋体" w:asciiTheme="minorEastAsia" w:hAnsiTheme="minorEastAsia" w:eastAsiaTheme="minorEastAsia"/>
                <w:color w:val="auto"/>
                <w:sz w:val="21"/>
                <w:szCs w:val="21"/>
                <w:highlight w:val="none"/>
              </w:rPr>
              <w:t>査询的信息为准。</w:t>
            </w:r>
          </w:p>
          <w:p>
            <w:pPr>
              <w:snapToGrid w:val="0"/>
              <w:spacing w:line="34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2）</w:t>
            </w:r>
            <w:r>
              <w:rPr>
                <w:rFonts w:hint="eastAsia" w:cs="宋体" w:asciiTheme="minorEastAsia" w:hAnsiTheme="minorEastAsia" w:eastAsiaTheme="minorEastAsia"/>
                <w:color w:val="auto"/>
                <w:sz w:val="21"/>
                <w:szCs w:val="21"/>
                <w:highlight w:val="none"/>
              </w:rPr>
              <w:t>如采用非电子形式的投标保函或投标保证保险提交投标保证金的，在开标前不强制要求投标人提交纸质原件，由中标候选人在中标候选人公示前提交并在网上公示，投标人应在投标文件中提交投标保函或投标保证保险扫描件并加盖投标人电子印章。</w:t>
            </w:r>
          </w:p>
          <w:p>
            <w:pPr>
              <w:snapToGrid w:val="0"/>
              <w:spacing w:line="34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（3）如采用电子保函方式提交投标保证金，具体操作详见《关于进一步完善电子保函服务相关事宜的说明》（</w:t>
            </w:r>
            <w:r>
              <w:rPr>
                <w:rFonts w:cs="宋体" w:asciiTheme="minorEastAsia" w:hAnsiTheme="minorEastAsia" w:eastAsiaTheme="minorEastAsia"/>
                <w:color w:val="auto"/>
                <w:sz w:val="21"/>
                <w:szCs w:val="21"/>
                <w:highlight w:val="none"/>
              </w:rPr>
              <w:t>http://www.gzggzy.cn/fwznbszycwxg/857020.jhtml</w:t>
            </w:r>
            <w:r>
              <w:rPr>
                <w:rFonts w:hint="eastAsia" w:cs="宋体" w:asciiTheme="minorEastAsia" w:hAnsiTheme="minorEastAsia" w:eastAsiaTheme="minorEastAsia"/>
                <w:color w:val="auto"/>
                <w:sz w:val="21"/>
                <w:szCs w:val="21"/>
                <w:highlight w:val="none"/>
              </w:rPr>
              <w:t>）。</w:t>
            </w:r>
          </w:p>
          <w:p>
            <w:pPr>
              <w:snapToGrid w:val="0"/>
              <w:spacing w:line="340" w:lineRule="exact"/>
              <w:jc w:val="both"/>
              <w:rPr>
                <w:rFonts w:cs="宋体" w:asciiTheme="minorEastAsia" w:hAnsiTheme="minorEastAsia" w:eastAsiaTheme="minorEastAsia"/>
                <w:color w:val="auto"/>
                <w:sz w:val="21"/>
                <w:szCs w:val="21"/>
                <w:highlight w:val="none"/>
                <w:u w:val="single"/>
              </w:rPr>
            </w:pPr>
            <w:r>
              <w:rPr>
                <w:rFonts w:hint="eastAsia" w:cs="宋体" w:asciiTheme="minorEastAsia" w:hAnsiTheme="minorEastAsia" w:eastAsiaTheme="minorEastAsia"/>
                <w:color w:val="auto"/>
                <w:sz w:val="21"/>
                <w:szCs w:val="21"/>
                <w:highlight w:val="none"/>
              </w:rPr>
              <w:t>投标保证金的金额：</w:t>
            </w:r>
            <w:r>
              <w:rPr>
                <w:rFonts w:hint="eastAsia" w:cs="宋体" w:asciiTheme="minorEastAsia" w:hAnsiTheme="minorEastAsia" w:eastAsiaTheme="minorEastAsia"/>
                <w:color w:val="auto"/>
                <w:sz w:val="21"/>
                <w:szCs w:val="21"/>
                <w:highlight w:val="none"/>
                <w:u w:val="single"/>
              </w:rPr>
              <w:t xml:space="preserve">20 </w:t>
            </w:r>
            <w:r>
              <w:rPr>
                <w:rFonts w:cs="宋体" w:asciiTheme="minorEastAsia" w:hAnsiTheme="minorEastAsia" w:eastAsiaTheme="minorEastAsia"/>
                <w:color w:val="auto"/>
                <w:sz w:val="21"/>
                <w:szCs w:val="21"/>
                <w:highlight w:val="none"/>
                <w:u w:val="single"/>
              </w:rPr>
              <w:t>万元</w:t>
            </w:r>
            <w:r>
              <w:rPr>
                <w:rFonts w:hint="eastAsia" w:cs="宋体" w:asciiTheme="minorEastAsia" w:hAnsiTheme="minorEastAsia" w:eastAsiaTheme="minorEastAsia"/>
                <w:color w:val="auto"/>
                <w:sz w:val="21"/>
                <w:szCs w:val="21"/>
                <w:highlight w:val="none"/>
                <w:u w:val="single"/>
              </w:rPr>
              <w:t>。</w:t>
            </w:r>
          </w:p>
          <w:p>
            <w:pPr>
              <w:snapToGrid w:val="0"/>
              <w:spacing w:line="34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投标保证金有效期：</w:t>
            </w:r>
            <w:r>
              <w:rPr>
                <w:rFonts w:hint="eastAsia" w:cs="宋体" w:asciiTheme="minorEastAsia" w:hAnsiTheme="minorEastAsia" w:eastAsiaTheme="minorEastAsia"/>
                <w:color w:val="auto"/>
                <w:sz w:val="21"/>
                <w:szCs w:val="21"/>
                <w:highlight w:val="none"/>
                <w:u w:val="single"/>
              </w:rPr>
              <w:t>与投标有效期一致。</w:t>
            </w:r>
          </w:p>
        </w:tc>
      </w:tr>
      <w:tr>
        <w:tblPrEx>
          <w:tblCellMar>
            <w:top w:w="0" w:type="dxa"/>
            <w:left w:w="108" w:type="dxa"/>
            <w:bottom w:w="0" w:type="dxa"/>
            <w:right w:w="108" w:type="dxa"/>
          </w:tblCellMar>
        </w:tblPrEx>
        <w:trPr>
          <w:cantSplit/>
          <w:trHeight w:val="713"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5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3.4.4</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5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其他可以不予退还投标保证金的情形</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投标人在招投标过程中存在弄虚作假行为的，招标人有权不予退还投标人已缴纳的投标保证金或者按照投标保函向投标人进行索赔。招标人有权将其弄虚作假行为上报行政监督部门，并由行政监督部门报送相关信用信息平台公示。</w:t>
            </w:r>
          </w:p>
        </w:tc>
      </w:tr>
      <w:tr>
        <w:tblPrEx>
          <w:tblCellMar>
            <w:top w:w="0" w:type="dxa"/>
            <w:left w:w="108" w:type="dxa"/>
            <w:bottom w:w="0" w:type="dxa"/>
            <w:right w:w="108" w:type="dxa"/>
          </w:tblCellMar>
        </w:tblPrEx>
        <w:trPr>
          <w:cantSplit/>
          <w:trHeight w:val="566"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5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3.5</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资格审查资料的特殊要求</w:t>
            </w:r>
          </w:p>
        </w:tc>
        <w:tc>
          <w:tcPr>
            <w:tcW w:w="6103"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line="320" w:lineRule="exact"/>
              <w:jc w:val="both"/>
              <w:rPr>
                <w:rFonts w:cs="宋体" w:asciiTheme="minorEastAsia" w:hAnsiTheme="minorEastAsia" w:eastAsiaTheme="minorEastAsia"/>
                <w:color w:val="auto"/>
                <w:sz w:val="21"/>
                <w:szCs w:val="21"/>
                <w:highlight w:val="none"/>
              </w:rPr>
            </w:pPr>
            <w:r>
              <w:rPr>
                <w:rFonts w:hint="eastAsia" w:ascii="MS Gothic" w:hAnsi="MS Gothic" w:eastAsia="MS Gothic" w:cs="MS Gothic"/>
                <w:color w:val="auto"/>
                <w:sz w:val="21"/>
                <w:szCs w:val="21"/>
                <w:highlight w:val="none"/>
              </w:rPr>
              <w:t>☑</w:t>
            </w:r>
            <w:r>
              <w:rPr>
                <w:rFonts w:cs="宋体" w:asciiTheme="minorEastAsia" w:hAnsiTheme="minorEastAsia" w:eastAsiaTheme="minorEastAsia"/>
                <w:color w:val="auto"/>
                <w:sz w:val="21"/>
                <w:szCs w:val="21"/>
                <w:highlight w:val="none"/>
              </w:rPr>
              <w:t>无</w:t>
            </w:r>
          </w:p>
          <w:p>
            <w:pPr>
              <w:pStyle w:val="52"/>
              <w:overflowPunct w:val="0"/>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□有，具体要求：</w:t>
            </w:r>
          </w:p>
        </w:tc>
      </w:tr>
      <w:tr>
        <w:tblPrEx>
          <w:tblCellMar>
            <w:top w:w="0" w:type="dxa"/>
            <w:left w:w="108" w:type="dxa"/>
            <w:bottom w:w="0" w:type="dxa"/>
            <w:right w:w="108" w:type="dxa"/>
          </w:tblCellMar>
        </w:tblPrEx>
        <w:trPr>
          <w:cantSplit/>
          <w:trHeight w:val="680"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5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3.5.</w:t>
            </w:r>
            <w:r>
              <w:rPr>
                <w:rFonts w:hint="eastAsia" w:cs="宋体" w:asciiTheme="minorEastAsia" w:hAnsiTheme="minorEastAsia" w:eastAsiaTheme="minorEastAsia"/>
                <w:color w:val="auto"/>
                <w:sz w:val="21"/>
                <w:szCs w:val="21"/>
                <w:highlight w:val="none"/>
              </w:rPr>
              <w:t>2</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近年完成的类似项目情况的时间要求</w:t>
            </w:r>
          </w:p>
        </w:tc>
        <w:tc>
          <w:tcPr>
            <w:tcW w:w="6103" w:type="dxa"/>
            <w:tcBorders>
              <w:top w:val="single" w:color="000000" w:sz="4" w:space="0"/>
              <w:left w:val="single" w:color="000000" w:sz="4" w:space="0"/>
              <w:bottom w:val="single" w:color="000000" w:sz="4" w:space="0"/>
              <w:right w:val="single" w:color="000000" w:sz="4" w:space="0"/>
            </w:tcBorders>
            <w:vAlign w:val="center"/>
          </w:tcPr>
          <w:p>
            <w:pPr>
              <w:pStyle w:val="52"/>
              <w:overflowPunct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2018</w:t>
            </w:r>
            <w:r>
              <w:rPr>
                <w:rFonts w:hint="eastAsia" w:cs="宋体" w:asciiTheme="minorEastAsia" w:hAnsiTheme="minorEastAsia" w:eastAsiaTheme="minorEastAsia"/>
                <w:color w:val="auto"/>
                <w:sz w:val="21"/>
                <w:szCs w:val="21"/>
                <w:highlight w:val="none"/>
              </w:rPr>
              <w:t>年</w:t>
            </w:r>
            <w:r>
              <w:rPr>
                <w:rFonts w:cs="宋体" w:asciiTheme="minorEastAsia" w:hAnsiTheme="minorEastAsia" w:eastAsiaTheme="minorEastAsia"/>
                <w:color w:val="auto"/>
                <w:sz w:val="21"/>
                <w:szCs w:val="21"/>
                <w:highlight w:val="none"/>
              </w:rPr>
              <w:t>1月1日至今</w:t>
            </w:r>
          </w:p>
        </w:tc>
      </w:tr>
      <w:tr>
        <w:tblPrEx>
          <w:tblCellMar>
            <w:top w:w="0" w:type="dxa"/>
            <w:left w:w="108" w:type="dxa"/>
            <w:bottom w:w="0" w:type="dxa"/>
            <w:right w:w="108" w:type="dxa"/>
          </w:tblCellMar>
        </w:tblPrEx>
        <w:trPr>
          <w:cantSplit/>
          <w:trHeight w:val="669"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5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3.6.1</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是否允许递交备选投标方案</w:t>
            </w:r>
          </w:p>
        </w:tc>
        <w:tc>
          <w:tcPr>
            <w:tcW w:w="6103" w:type="dxa"/>
            <w:tcBorders>
              <w:top w:val="single" w:color="000000" w:sz="4" w:space="0"/>
              <w:left w:val="single" w:color="000000" w:sz="4" w:space="0"/>
              <w:bottom w:val="single" w:color="000000" w:sz="4" w:space="0"/>
              <w:right w:val="single" w:color="000000" w:sz="4" w:space="0"/>
            </w:tcBorders>
            <w:vAlign w:val="center"/>
          </w:tcPr>
          <w:p>
            <w:pPr>
              <w:pStyle w:val="52"/>
              <w:overflowPunct w:val="0"/>
              <w:jc w:val="both"/>
              <w:rPr>
                <w:rFonts w:cs="宋体" w:asciiTheme="minorEastAsia" w:hAnsiTheme="minorEastAsia" w:eastAsiaTheme="minorEastAsia"/>
                <w:color w:val="auto"/>
                <w:sz w:val="21"/>
                <w:szCs w:val="21"/>
                <w:highlight w:val="none"/>
              </w:rPr>
            </w:pPr>
            <w:r>
              <w:rPr>
                <w:rFonts w:hint="eastAsia" w:ascii="MS Gothic" w:hAnsi="MS Gothic" w:eastAsia="MS Gothic" w:cs="MS Gothic"/>
                <w:color w:val="auto"/>
                <w:sz w:val="21"/>
                <w:szCs w:val="21"/>
                <w:highlight w:val="none"/>
              </w:rPr>
              <w:t>☑</w:t>
            </w:r>
            <w:r>
              <w:rPr>
                <w:rFonts w:cs="宋体" w:asciiTheme="minorEastAsia" w:hAnsiTheme="minorEastAsia" w:eastAsiaTheme="minorEastAsia"/>
                <w:color w:val="auto"/>
                <w:sz w:val="21"/>
                <w:szCs w:val="21"/>
                <w:highlight w:val="none"/>
              </w:rPr>
              <w:t>不允许</w:t>
            </w:r>
          </w:p>
          <w:p>
            <w:pPr>
              <w:pStyle w:val="52"/>
              <w:overflowPunct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□允许</w:t>
            </w:r>
          </w:p>
        </w:tc>
      </w:tr>
      <w:tr>
        <w:tblPrEx>
          <w:tblCellMar>
            <w:top w:w="0" w:type="dxa"/>
            <w:left w:w="108" w:type="dxa"/>
            <w:bottom w:w="0" w:type="dxa"/>
            <w:right w:w="108" w:type="dxa"/>
          </w:tblCellMar>
        </w:tblPrEx>
        <w:trPr>
          <w:cantSplit/>
          <w:trHeight w:val="2015"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5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3.7.3</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5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投标文件签字或盖章要求</w:t>
            </w:r>
          </w:p>
        </w:tc>
        <w:tc>
          <w:tcPr>
            <w:tcW w:w="6103"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line="36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投标文件全部采用电子文档，投标文件所附证书证件均为原件扫描件，并采用单位数字证书，按招标文件要求在相应位置加盖电子印章。投标文件中需个人签字或盖章的，应线下完成后扫描上传。具体操作详见附件《房屋建筑和市政基础设施工程全流程电子化项目专章》。证书证件需为原件清晰扫描件，并采用单位数字证书，按照招标文件要求在相应位置加盖电子印章。</w:t>
            </w:r>
          </w:p>
        </w:tc>
      </w:tr>
      <w:tr>
        <w:tblPrEx>
          <w:tblCellMar>
            <w:top w:w="0" w:type="dxa"/>
            <w:left w:w="108" w:type="dxa"/>
            <w:bottom w:w="0" w:type="dxa"/>
            <w:right w:w="108" w:type="dxa"/>
          </w:tblCellMar>
        </w:tblPrEx>
        <w:trPr>
          <w:cantSplit/>
          <w:trHeight w:val="871"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5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4.1.1</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5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投标文件加密要求</w:t>
            </w:r>
          </w:p>
        </w:tc>
        <w:tc>
          <w:tcPr>
            <w:tcW w:w="6103"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line="36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网上递交的电子投标文件须进行加密。具体操作详见附件《房屋建筑和市政基础设施工程全流程电子化项目专章》。</w:t>
            </w:r>
          </w:p>
        </w:tc>
      </w:tr>
      <w:tr>
        <w:tblPrEx>
          <w:tblCellMar>
            <w:top w:w="0" w:type="dxa"/>
            <w:left w:w="108" w:type="dxa"/>
            <w:bottom w:w="0" w:type="dxa"/>
            <w:right w:w="108" w:type="dxa"/>
          </w:tblCellMar>
        </w:tblPrEx>
        <w:trPr>
          <w:cantSplit/>
          <w:trHeight w:val="1686"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4.1.2</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67"/>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封套上应载明的信息</w:t>
            </w:r>
          </w:p>
        </w:tc>
        <w:tc>
          <w:tcPr>
            <w:tcW w:w="6103" w:type="dxa"/>
            <w:tcBorders>
              <w:top w:val="single" w:color="000000" w:sz="4" w:space="0"/>
              <w:left w:val="single" w:color="000000" w:sz="4" w:space="0"/>
              <w:bottom w:val="single" w:color="000000" w:sz="4" w:space="0"/>
              <w:right w:val="single" w:color="000000" w:sz="4" w:space="0"/>
            </w:tcBorders>
            <w:vAlign w:val="center"/>
          </w:tcPr>
          <w:p>
            <w:pPr>
              <w:pStyle w:val="52"/>
              <w:tabs>
                <w:tab w:val="left" w:pos="1157"/>
              </w:tabs>
              <w:overflowPunct w:val="0"/>
              <w:spacing w:line="360" w:lineRule="exact"/>
              <w:ind w:left="-2" w:leftChars="-1" w:right="102"/>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如有提交投标文件光盘备用，封套上应注明如下信息：</w:t>
            </w:r>
          </w:p>
          <w:p>
            <w:pPr>
              <w:pStyle w:val="52"/>
              <w:tabs>
                <w:tab w:val="left" w:pos="1157"/>
              </w:tabs>
              <w:overflowPunct w:val="0"/>
              <w:spacing w:line="360" w:lineRule="exact"/>
              <w:ind w:left="-2" w:leftChars="-1" w:right="102"/>
              <w:jc w:val="both"/>
              <w:rPr>
                <w:rFonts w:cs="宋体" w:asciiTheme="minorEastAsia" w:hAnsiTheme="minorEastAsia" w:eastAsiaTheme="minorEastAsia"/>
                <w:color w:val="auto"/>
                <w:sz w:val="21"/>
                <w:szCs w:val="21"/>
                <w:highlight w:val="none"/>
                <w:u w:val="single"/>
              </w:rPr>
            </w:pPr>
            <w:r>
              <w:rPr>
                <w:rFonts w:hint="eastAsia" w:cs="宋体" w:asciiTheme="minorEastAsia" w:hAnsiTheme="minorEastAsia" w:eastAsiaTheme="minorEastAsia"/>
                <w:color w:val="auto"/>
                <w:sz w:val="21"/>
                <w:szCs w:val="21"/>
                <w:highlight w:val="none"/>
              </w:rPr>
              <w:t>招标人名称：</w:t>
            </w:r>
            <w:r>
              <w:rPr>
                <w:rFonts w:hint="eastAsia" w:cs="宋体" w:asciiTheme="minorEastAsia" w:hAnsiTheme="minorEastAsia" w:eastAsiaTheme="minorEastAsia"/>
                <w:color w:val="auto"/>
                <w:sz w:val="21"/>
                <w:szCs w:val="21"/>
                <w:highlight w:val="none"/>
                <w:u w:val="single"/>
              </w:rPr>
              <w:t>广东粤海置地发展有限公司</w:t>
            </w:r>
          </w:p>
          <w:p>
            <w:pPr>
              <w:pStyle w:val="52"/>
              <w:tabs>
                <w:tab w:val="left" w:pos="1157"/>
              </w:tabs>
              <w:overflowPunct w:val="0"/>
              <w:spacing w:line="360" w:lineRule="exact"/>
              <w:ind w:left="-2" w:leftChars="-1" w:right="-56"/>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招标人地址</w:t>
            </w:r>
            <w:r>
              <w:rPr>
                <w:rFonts w:hint="eastAsia" w:cs="宋体" w:asciiTheme="minorEastAsia" w:hAnsiTheme="minorEastAsia" w:eastAsiaTheme="minorEastAsia"/>
                <w:color w:val="auto"/>
                <w:spacing w:val="-10"/>
                <w:sz w:val="21"/>
                <w:szCs w:val="21"/>
                <w:highlight w:val="none"/>
              </w:rPr>
              <w:t>：</w:t>
            </w:r>
            <w:r>
              <w:rPr>
                <w:rFonts w:hint="eastAsia" w:cs="宋体" w:asciiTheme="minorEastAsia" w:hAnsiTheme="minorEastAsia" w:eastAsiaTheme="minorEastAsia"/>
                <w:color w:val="auto"/>
                <w:spacing w:val="-10"/>
                <w:sz w:val="21"/>
                <w:szCs w:val="21"/>
                <w:highlight w:val="none"/>
                <w:u w:val="single"/>
              </w:rPr>
              <w:t>广州市白云区云霄路88号戴斯酒店A栋写字楼3楼303</w:t>
            </w:r>
          </w:p>
          <w:p>
            <w:pPr>
              <w:pStyle w:val="52"/>
              <w:tabs>
                <w:tab w:val="left" w:pos="1157"/>
              </w:tabs>
              <w:overflowPunct w:val="0"/>
              <w:spacing w:line="360" w:lineRule="exact"/>
              <w:ind w:left="-2" w:leftChars="-1" w:right="102"/>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u w:val="single"/>
              </w:rPr>
              <w:t>云港城项目4#地块电梯采购及相关服务</w:t>
            </w:r>
            <w:r>
              <w:rPr>
                <w:rFonts w:hint="eastAsia" w:cs="宋体" w:asciiTheme="minorEastAsia" w:hAnsiTheme="minorEastAsia" w:eastAsiaTheme="minorEastAsia"/>
                <w:color w:val="auto"/>
                <w:sz w:val="21"/>
                <w:szCs w:val="21"/>
                <w:highlight w:val="none"/>
              </w:rPr>
              <w:t>投标文件</w:t>
            </w:r>
          </w:p>
          <w:p>
            <w:pPr>
              <w:pStyle w:val="52"/>
              <w:tabs>
                <w:tab w:val="left" w:pos="734"/>
                <w:tab w:val="left" w:pos="1365"/>
                <w:tab w:val="left" w:pos="1994"/>
                <w:tab w:val="left" w:pos="2623"/>
              </w:tabs>
              <w:overflowPunct w:val="0"/>
              <w:spacing w:line="360" w:lineRule="exact"/>
              <w:ind w:left="-2" w:leftChars="-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招标项目编号：</w:t>
            </w:r>
          </w:p>
          <w:p>
            <w:pPr>
              <w:pStyle w:val="52"/>
              <w:tabs>
                <w:tab w:val="left" w:pos="734"/>
                <w:tab w:val="left" w:pos="1365"/>
                <w:tab w:val="left" w:pos="1994"/>
                <w:tab w:val="left" w:pos="2623"/>
              </w:tabs>
              <w:overflowPunct w:val="0"/>
              <w:spacing w:line="360" w:lineRule="exact"/>
              <w:ind w:left="-2" w:leftChars="-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在</w:t>
            </w:r>
            <w:r>
              <w:rPr>
                <w:rFonts w:cs="宋体" w:asciiTheme="minorEastAsia" w:hAnsiTheme="minorEastAsia" w:eastAsiaTheme="minorEastAsia"/>
                <w:color w:val="auto"/>
                <w:sz w:val="21"/>
                <w:szCs w:val="21"/>
                <w:highlight w:val="none"/>
                <w:u w:val="single"/>
              </w:rPr>
              <w:t xml:space="preserve">    年    月    日    时前</w:t>
            </w:r>
            <w:r>
              <w:rPr>
                <w:rFonts w:hint="eastAsia" w:cs="宋体" w:asciiTheme="minorEastAsia" w:hAnsiTheme="minorEastAsia" w:eastAsiaTheme="minorEastAsia"/>
                <w:color w:val="auto"/>
                <w:sz w:val="21"/>
                <w:szCs w:val="21"/>
                <w:highlight w:val="none"/>
              </w:rPr>
              <w:t>不得开启</w:t>
            </w:r>
          </w:p>
        </w:tc>
      </w:tr>
      <w:tr>
        <w:tblPrEx>
          <w:tblCellMar>
            <w:top w:w="0" w:type="dxa"/>
            <w:left w:w="108" w:type="dxa"/>
            <w:bottom w:w="0" w:type="dxa"/>
            <w:right w:w="108" w:type="dxa"/>
          </w:tblCellMar>
        </w:tblPrEx>
        <w:trPr>
          <w:cantSplit/>
          <w:trHeight w:val="519"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4.2.1</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投标截止时间</w:t>
            </w:r>
          </w:p>
        </w:tc>
        <w:tc>
          <w:tcPr>
            <w:tcW w:w="6103" w:type="dxa"/>
            <w:tcBorders>
              <w:top w:val="single" w:color="000000" w:sz="4" w:space="0"/>
              <w:left w:val="single" w:color="000000" w:sz="4" w:space="0"/>
              <w:bottom w:val="single" w:color="000000" w:sz="4" w:space="0"/>
              <w:right w:val="single" w:color="000000" w:sz="4" w:space="0"/>
            </w:tcBorders>
            <w:vAlign w:val="center"/>
          </w:tcPr>
          <w:p>
            <w:pPr>
              <w:pStyle w:val="52"/>
              <w:overflowPunct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u w:val="single"/>
              </w:rPr>
              <w:t>详见招标公告</w:t>
            </w:r>
          </w:p>
        </w:tc>
      </w:tr>
      <w:tr>
        <w:tblPrEx>
          <w:tblCellMar>
            <w:top w:w="0" w:type="dxa"/>
            <w:left w:w="108" w:type="dxa"/>
            <w:bottom w:w="0" w:type="dxa"/>
            <w:right w:w="108" w:type="dxa"/>
          </w:tblCellMar>
        </w:tblPrEx>
        <w:trPr>
          <w:cantSplit/>
          <w:trHeight w:val="442"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4.2.3</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投标文件是否退还</w:t>
            </w:r>
          </w:p>
        </w:tc>
        <w:tc>
          <w:tcPr>
            <w:tcW w:w="6103"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line="360" w:lineRule="exact"/>
              <w:jc w:val="both"/>
              <w:rPr>
                <w:rFonts w:cs="宋体" w:asciiTheme="minorEastAsia" w:hAnsiTheme="minorEastAsia" w:eastAsiaTheme="minorEastAsia"/>
                <w:color w:val="auto"/>
                <w:sz w:val="21"/>
                <w:szCs w:val="21"/>
                <w:highlight w:val="none"/>
              </w:rPr>
            </w:pPr>
            <w:r>
              <w:rPr>
                <w:rFonts w:hint="eastAsia" w:ascii="MS Gothic" w:hAnsi="MS Gothic" w:eastAsia="MS Gothic" w:cs="MS Gothic"/>
                <w:color w:val="auto"/>
                <w:sz w:val="21"/>
                <w:szCs w:val="21"/>
                <w:highlight w:val="none"/>
              </w:rPr>
              <w:t>☑</w:t>
            </w:r>
            <w:r>
              <w:rPr>
                <w:rFonts w:cs="宋体" w:asciiTheme="minorEastAsia" w:hAnsiTheme="minorEastAsia" w:eastAsiaTheme="minorEastAsia"/>
                <w:color w:val="auto"/>
                <w:sz w:val="21"/>
                <w:szCs w:val="21"/>
                <w:highlight w:val="none"/>
              </w:rPr>
              <w:t>否</w:t>
            </w:r>
          </w:p>
          <w:p>
            <w:pPr>
              <w:pStyle w:val="52"/>
              <w:overflowPunct w:val="0"/>
              <w:spacing w:line="36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□是，退还时间：</w:t>
            </w:r>
          </w:p>
        </w:tc>
      </w:tr>
      <w:tr>
        <w:tblPrEx>
          <w:tblCellMar>
            <w:top w:w="0" w:type="dxa"/>
            <w:left w:w="108" w:type="dxa"/>
            <w:bottom w:w="0" w:type="dxa"/>
            <w:right w:w="108" w:type="dxa"/>
          </w:tblCellMar>
        </w:tblPrEx>
        <w:trPr>
          <w:cantSplit/>
          <w:trHeight w:val="1842"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ind w:right="-67" w:rightChars="-28"/>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 xml:space="preserve">5.1(新增) </w:t>
            </w:r>
          </w:p>
        </w:tc>
        <w:tc>
          <w:tcPr>
            <w:tcW w:w="2130" w:type="dxa"/>
            <w:tcBorders>
              <w:top w:val="single" w:color="000000" w:sz="4" w:space="0"/>
              <w:left w:val="single" w:color="000000" w:sz="4" w:space="0"/>
              <w:bottom w:val="single" w:color="000000" w:sz="4" w:space="0"/>
              <w:right w:val="single" w:color="000000" w:sz="4" w:space="0"/>
            </w:tcBorders>
            <w:vAlign w:val="center"/>
          </w:tcPr>
          <w:p>
            <w:pPr>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开标时间和地点</w:t>
            </w:r>
          </w:p>
        </w:tc>
        <w:tc>
          <w:tcPr>
            <w:tcW w:w="6103"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both"/>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本电子招投标项目在本章4.2.1项规定的投标截止时间（开标时间），在广州公共资源交易中心公开开标，并邀请所有投标人的法定代表人（单位负责人）或其委托代理人准时参加。</w:t>
            </w:r>
          </w:p>
          <w:p>
            <w:pPr>
              <w:spacing w:line="340" w:lineRule="exact"/>
              <w:jc w:val="both"/>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开标时，投标人代表有权出席开标会，也可以自主决定不参加开标会，若投标人代表对开标过程提出异议，该投标人代表须同时出示本人身份证原件。</w:t>
            </w:r>
          </w:p>
        </w:tc>
      </w:tr>
      <w:tr>
        <w:tblPrEx>
          <w:tblCellMar>
            <w:top w:w="0" w:type="dxa"/>
            <w:left w:w="108" w:type="dxa"/>
            <w:bottom w:w="0" w:type="dxa"/>
            <w:right w:w="108" w:type="dxa"/>
          </w:tblCellMar>
        </w:tblPrEx>
        <w:trPr>
          <w:cantSplit/>
          <w:trHeight w:val="5950"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5.2(新增)</w:t>
            </w:r>
          </w:p>
        </w:tc>
        <w:tc>
          <w:tcPr>
            <w:tcW w:w="2130" w:type="dxa"/>
            <w:tcBorders>
              <w:top w:val="single" w:color="000000" w:sz="4" w:space="0"/>
              <w:left w:val="single" w:color="000000" w:sz="4" w:space="0"/>
              <w:bottom w:val="single" w:color="000000" w:sz="4" w:space="0"/>
              <w:right w:val="single" w:color="000000" w:sz="4" w:space="0"/>
            </w:tcBorders>
            <w:vAlign w:val="center"/>
          </w:tcPr>
          <w:p>
            <w:pPr>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开标程序</w:t>
            </w:r>
          </w:p>
        </w:tc>
        <w:tc>
          <w:tcPr>
            <w:tcW w:w="61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电子招投标项目开标按下列程序进行：</w:t>
            </w:r>
          </w:p>
          <w:p>
            <w:pPr>
              <w:spacing w:line="320" w:lineRule="exact"/>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5.2.1主持人按下列程序进行开标：</w:t>
            </w:r>
          </w:p>
          <w:p>
            <w:pPr>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1）宣布开标纪律；</w:t>
            </w:r>
          </w:p>
          <w:p>
            <w:pPr>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2）公布在投标截止时间前递交投标文件的投标人名称；</w:t>
            </w:r>
          </w:p>
          <w:p>
            <w:pPr>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3）宣布开标人、唱标人、记录人、</w:t>
            </w:r>
            <w:r>
              <w:rPr>
                <w:rFonts w:hint="eastAsia" w:cs="宋体" w:asciiTheme="minorEastAsia" w:hAnsiTheme="minorEastAsia" w:eastAsiaTheme="minorEastAsia"/>
                <w:color w:val="auto"/>
                <w:sz w:val="21"/>
                <w:szCs w:val="21"/>
                <w:highlight w:val="none"/>
              </w:rPr>
              <w:t>监标人等有关人员姓名；</w:t>
            </w:r>
          </w:p>
          <w:p>
            <w:pPr>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4）投标人通过电子招标投标交易平台对已递交的电子投标文件进行解密。</w:t>
            </w:r>
          </w:p>
          <w:p>
            <w:pPr>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5）公布招标项目名称、投标人名称、投标保证金的递交情况、投标报价、解密情况、项目负责人及其他内容，并记录在案；</w:t>
            </w:r>
          </w:p>
          <w:p>
            <w:pPr>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6）投标人代表、招标人代表、</w:t>
            </w:r>
            <w:r>
              <w:rPr>
                <w:rFonts w:hint="eastAsia" w:cs="宋体" w:asciiTheme="minorEastAsia" w:hAnsiTheme="minorEastAsia" w:eastAsiaTheme="minorEastAsia"/>
                <w:color w:val="auto"/>
                <w:sz w:val="21"/>
                <w:szCs w:val="21"/>
                <w:highlight w:val="none"/>
              </w:rPr>
              <w:t>监标人、记录人等有关人员在开标记录上签字确认；若有关人员不签字的，不影响开标程序；</w:t>
            </w:r>
          </w:p>
          <w:p>
            <w:pPr>
              <w:spacing w:line="32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7）开标结束。</w:t>
            </w:r>
          </w:p>
          <w:p>
            <w:pPr>
              <w:spacing w:line="320" w:lineRule="exact"/>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5.2.2投标截止时间前未完成投标文件传输的或因投标人之外的原因造成投标文件未解密的，视为投标人撤回其投标文件。因投标人原因造成投标文件未解密的，或未在投标截止时间后</w:t>
            </w:r>
            <w:r>
              <w:rPr>
                <w:rFonts w:cs="宋体" w:asciiTheme="minorEastAsia" w:hAnsiTheme="minorEastAsia" w:eastAsiaTheme="minorEastAsia"/>
                <w:b/>
                <w:color w:val="auto"/>
                <w:sz w:val="21"/>
                <w:szCs w:val="21"/>
                <w:highlight w:val="none"/>
              </w:rPr>
              <w:t>半小时</w:t>
            </w:r>
            <w:r>
              <w:rPr>
                <w:rFonts w:cs="宋体" w:asciiTheme="minorEastAsia" w:hAnsiTheme="minorEastAsia" w:eastAsiaTheme="minorEastAsia"/>
                <w:color w:val="auto"/>
                <w:sz w:val="21"/>
                <w:szCs w:val="21"/>
                <w:highlight w:val="none"/>
              </w:rPr>
              <w:t>内解密的且未提交光盘备用的，视为撤销其投标文件。</w:t>
            </w:r>
          </w:p>
          <w:p>
            <w:pPr>
              <w:spacing w:line="320" w:lineRule="exact"/>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5.2.3开标时，两个（含两个）以上的投标人加密打包投标文件的电脑机器特征码一致的，不参与下一程序，并由评标委员会否决其投标。</w:t>
            </w:r>
          </w:p>
        </w:tc>
      </w:tr>
      <w:tr>
        <w:tblPrEx>
          <w:tblCellMar>
            <w:top w:w="0" w:type="dxa"/>
            <w:left w:w="108" w:type="dxa"/>
            <w:bottom w:w="0" w:type="dxa"/>
            <w:right w:w="108" w:type="dxa"/>
          </w:tblCellMar>
        </w:tblPrEx>
        <w:trPr>
          <w:cantSplit/>
          <w:trHeight w:val="572"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6.1.1</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评标委员会的组建</w:t>
            </w:r>
          </w:p>
        </w:tc>
        <w:tc>
          <w:tcPr>
            <w:tcW w:w="6103" w:type="dxa"/>
            <w:tcBorders>
              <w:top w:val="single" w:color="000000" w:sz="4" w:space="0"/>
              <w:left w:val="single" w:color="000000" w:sz="4" w:space="0"/>
              <w:bottom w:val="single" w:color="000000" w:sz="4" w:space="0"/>
              <w:right w:val="single" w:color="000000" w:sz="4" w:space="0"/>
            </w:tcBorders>
            <w:vAlign w:val="center"/>
          </w:tcPr>
          <w:p>
            <w:pPr>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由</w:t>
            </w:r>
            <w:r>
              <w:rPr>
                <w:rFonts w:cs="宋体" w:asciiTheme="minorEastAsia" w:hAnsiTheme="minorEastAsia" w:eastAsiaTheme="minorEastAsia"/>
                <w:color w:val="auto"/>
                <w:sz w:val="21"/>
                <w:szCs w:val="21"/>
                <w:highlight w:val="none"/>
              </w:rPr>
              <w:t>招标人</w:t>
            </w:r>
            <w:r>
              <w:rPr>
                <w:rFonts w:hint="eastAsia" w:cs="宋体" w:asciiTheme="minorEastAsia" w:hAnsiTheme="minorEastAsia" w:eastAsiaTheme="minorEastAsia"/>
                <w:color w:val="auto"/>
                <w:sz w:val="21"/>
                <w:szCs w:val="21"/>
                <w:highlight w:val="none"/>
              </w:rPr>
              <w:t>依法</w:t>
            </w:r>
            <w:r>
              <w:rPr>
                <w:rFonts w:cs="宋体" w:asciiTheme="minorEastAsia" w:hAnsiTheme="minorEastAsia" w:eastAsiaTheme="minorEastAsia"/>
                <w:color w:val="auto"/>
                <w:sz w:val="21"/>
                <w:szCs w:val="21"/>
                <w:highlight w:val="none"/>
              </w:rPr>
              <w:t>组建。</w:t>
            </w:r>
          </w:p>
        </w:tc>
      </w:tr>
      <w:tr>
        <w:tblPrEx>
          <w:tblCellMar>
            <w:top w:w="0" w:type="dxa"/>
            <w:left w:w="108" w:type="dxa"/>
            <w:bottom w:w="0" w:type="dxa"/>
            <w:right w:w="108" w:type="dxa"/>
          </w:tblCellMar>
        </w:tblPrEx>
        <w:trPr>
          <w:cantSplit/>
          <w:trHeight w:val="633"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48"/>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6.3.2</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line="34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评标委员会推荐中标候选人的人数</w:t>
            </w:r>
          </w:p>
        </w:tc>
        <w:tc>
          <w:tcPr>
            <w:tcW w:w="6103"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所有经评审合格的投标人全部被推荐为合格的中标候选人，合格中标候选人不排序。</w:t>
            </w:r>
          </w:p>
        </w:tc>
      </w:tr>
      <w:tr>
        <w:tblPrEx>
          <w:tblCellMar>
            <w:top w:w="0" w:type="dxa"/>
            <w:left w:w="108" w:type="dxa"/>
            <w:bottom w:w="0" w:type="dxa"/>
            <w:right w:w="10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45"/>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7.1</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中标候选人公示媒介及期限</w:t>
            </w:r>
          </w:p>
        </w:tc>
        <w:tc>
          <w:tcPr>
            <w:tcW w:w="6103"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both"/>
              <w:rPr>
                <w:rFonts w:cs="宋体" w:asciiTheme="minorEastAsia" w:hAnsiTheme="minorEastAsia" w:eastAsiaTheme="minorEastAsia"/>
                <w:color w:val="auto"/>
                <w:sz w:val="21"/>
                <w:szCs w:val="21"/>
                <w:highlight w:val="none"/>
                <w:u w:val="single"/>
              </w:rPr>
            </w:pPr>
            <w:r>
              <w:rPr>
                <w:rFonts w:hint="eastAsia" w:cs="宋体" w:asciiTheme="minorEastAsia" w:hAnsiTheme="minorEastAsia" w:eastAsiaTheme="minorEastAsia"/>
                <w:color w:val="auto"/>
                <w:sz w:val="21"/>
                <w:szCs w:val="21"/>
                <w:highlight w:val="none"/>
              </w:rPr>
              <w:t>公示媒介：中国招标投标公共服务平台、广州公共资源交易中心、广东省招标投标监管网。</w:t>
            </w:r>
          </w:p>
          <w:p>
            <w:pPr>
              <w:spacing w:line="34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公示期限：</w:t>
            </w:r>
            <w:r>
              <w:rPr>
                <w:rFonts w:cs="宋体" w:asciiTheme="minorEastAsia" w:hAnsiTheme="minorEastAsia" w:eastAsiaTheme="minorEastAsia"/>
                <w:color w:val="auto"/>
                <w:sz w:val="21"/>
                <w:szCs w:val="21"/>
                <w:highlight w:val="none"/>
                <w:u w:val="single"/>
              </w:rPr>
              <w:t xml:space="preserve">3 </w:t>
            </w:r>
            <w:r>
              <w:rPr>
                <w:rFonts w:hint="eastAsia" w:cs="宋体" w:asciiTheme="minorEastAsia" w:hAnsiTheme="minorEastAsia" w:eastAsiaTheme="minorEastAsia"/>
                <w:color w:val="auto"/>
                <w:sz w:val="21"/>
                <w:szCs w:val="21"/>
                <w:highlight w:val="none"/>
                <w:u w:val="single"/>
              </w:rPr>
              <w:t>日</w:t>
            </w:r>
          </w:p>
        </w:tc>
      </w:tr>
      <w:tr>
        <w:tblPrEx>
          <w:tblCellMar>
            <w:top w:w="0" w:type="dxa"/>
            <w:left w:w="108" w:type="dxa"/>
            <w:bottom w:w="0" w:type="dxa"/>
            <w:right w:w="10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47" w:line="340" w:lineRule="exact"/>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7.4</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line="340" w:lineRule="exact"/>
              <w:jc w:val="both"/>
              <w:rPr>
                <w:rFonts w:cs="宋体" w:asciiTheme="minorEastAsia" w:hAnsiTheme="minorEastAsia" w:eastAsiaTheme="minorEastAsia"/>
                <w:color w:val="auto"/>
                <w:sz w:val="21"/>
                <w:szCs w:val="21"/>
                <w:highlight w:val="none"/>
                <w:u w:val="single"/>
              </w:rPr>
            </w:pPr>
            <w:r>
              <w:rPr>
                <w:rFonts w:hint="eastAsia" w:cs="宋体" w:asciiTheme="minorEastAsia" w:hAnsiTheme="minorEastAsia" w:eastAsiaTheme="minorEastAsia"/>
                <w:color w:val="auto"/>
                <w:sz w:val="21"/>
                <w:szCs w:val="21"/>
                <w:highlight w:val="none"/>
              </w:rPr>
              <w:t>定标</w:t>
            </w:r>
          </w:p>
        </w:tc>
        <w:tc>
          <w:tcPr>
            <w:tcW w:w="6103"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）定标由招标人组建的定标委员会负责。</w:t>
            </w:r>
          </w:p>
          <w:p>
            <w:pPr>
              <w:spacing w:line="340" w:lineRule="exac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）定标委员会按照第三章“评标办法”规定的定标方法、标准和程序，在评标委员会向招标人推荐的中标候选人中票决确定中标人。</w:t>
            </w:r>
          </w:p>
          <w:p>
            <w:pPr>
              <w:spacing w:line="340" w:lineRule="exac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）招标人应当在定标工作完成后的</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日内公示中标结果。公示内容包括：定标时间、所有合格的中标候选人的评分结果或票数及理由、中标人等内容。</w:t>
            </w:r>
          </w:p>
          <w:p>
            <w:pPr>
              <w:spacing w:line="340" w:lineRule="exact"/>
              <w:jc w:val="both"/>
              <w:rPr>
                <w:rFonts w:cs="宋体"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中标人放弃中标、因不可抗力不能履行合同、不按照招标文件要求提交履约保证金，或者被查实存在影响中标结果的违法行为等情形，不符合中标条件的，招标人可以从其他合格的中标候选人中采用原定标办法，由原定标委员会确定中标人，也可以重新招标。</w:t>
            </w:r>
          </w:p>
        </w:tc>
      </w:tr>
      <w:tr>
        <w:tblPrEx>
          <w:tblCellMar>
            <w:top w:w="0" w:type="dxa"/>
            <w:left w:w="108" w:type="dxa"/>
            <w:bottom w:w="0" w:type="dxa"/>
            <w:right w:w="108" w:type="dxa"/>
          </w:tblCellMar>
        </w:tblPrEx>
        <w:trPr>
          <w:cantSplit/>
          <w:trHeight w:val="803"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48"/>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7.6.1</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履约保证金</w:t>
            </w:r>
          </w:p>
        </w:tc>
        <w:tc>
          <w:tcPr>
            <w:tcW w:w="610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是否要求中标人提交履约保证金：</w:t>
            </w:r>
          </w:p>
          <w:p>
            <w:pPr>
              <w:spacing w:line="360" w:lineRule="exact"/>
              <w:jc w:val="both"/>
              <w:rPr>
                <w:rFonts w:cs="宋体" w:asciiTheme="minorEastAsia" w:hAnsiTheme="minorEastAsia" w:eastAsiaTheme="minorEastAsia"/>
                <w:color w:val="auto"/>
                <w:sz w:val="21"/>
                <w:szCs w:val="21"/>
                <w:highlight w:val="none"/>
              </w:rPr>
            </w:pPr>
            <w:r>
              <w:rPr>
                <w:rFonts w:hint="eastAsia" w:ascii="MS Gothic" w:hAnsi="MS Gothic" w:eastAsia="MS Gothic" w:cs="MS Gothic"/>
                <w:color w:val="auto"/>
                <w:sz w:val="21"/>
                <w:szCs w:val="21"/>
                <w:highlight w:val="none"/>
              </w:rPr>
              <w:t>☑</w:t>
            </w:r>
            <w:r>
              <w:rPr>
                <w:rFonts w:cs="宋体" w:asciiTheme="minorEastAsia" w:hAnsiTheme="minorEastAsia" w:eastAsiaTheme="minorEastAsia"/>
                <w:color w:val="auto"/>
                <w:sz w:val="21"/>
                <w:szCs w:val="21"/>
                <w:highlight w:val="none"/>
              </w:rPr>
              <w:t>要求，履约保证金的形式：银行转账或银行履约保函形式。</w:t>
            </w:r>
          </w:p>
          <w:p>
            <w:pPr>
              <w:spacing w:line="360" w:lineRule="exact"/>
              <w:ind w:firstLine="840" w:firstLineChars="400"/>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履约保证金的金额：中标合同金额的</w:t>
            </w:r>
            <w:r>
              <w:rPr>
                <w:rFonts w:cs="宋体" w:asciiTheme="minorEastAsia" w:hAnsiTheme="minorEastAsia" w:eastAsiaTheme="minorEastAsia"/>
                <w:color w:val="auto"/>
                <w:sz w:val="21"/>
                <w:szCs w:val="21"/>
                <w:highlight w:val="none"/>
              </w:rPr>
              <w:t>10%</w:t>
            </w:r>
          </w:p>
        </w:tc>
      </w:tr>
      <w:tr>
        <w:tblPrEx>
          <w:tblCellMar>
            <w:top w:w="0" w:type="dxa"/>
            <w:left w:w="108" w:type="dxa"/>
            <w:bottom w:w="0" w:type="dxa"/>
            <w:right w:w="108" w:type="dxa"/>
          </w:tblCellMar>
        </w:tblPrEx>
        <w:trPr>
          <w:cantSplit/>
          <w:trHeight w:val="706"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48"/>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7.7</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签订合同</w:t>
            </w:r>
          </w:p>
        </w:tc>
        <w:tc>
          <w:tcPr>
            <w:tcW w:w="6103" w:type="dxa"/>
            <w:tcBorders>
              <w:top w:val="single" w:color="000000" w:sz="4" w:space="0"/>
              <w:left w:val="single" w:color="000000" w:sz="4" w:space="0"/>
              <w:bottom w:val="single" w:color="000000" w:sz="4" w:space="0"/>
              <w:right w:val="single" w:color="000000" w:sz="4" w:space="0"/>
            </w:tcBorders>
            <w:vAlign w:val="center"/>
          </w:tcPr>
          <w:p>
            <w:pPr>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中标人将于中标通知书发出之日起30日内，按照招标文件第四章合同条款格式要求与招标人和云港城项目4#地块施工总承包单位分别签订供货和安装服务合同，其中供货合同由招标人与中标人签订；安装服务合同由云港城项目4#地块施工总承包单位与中标人（或由中标人授权的分公司签订合同）签订。</w:t>
            </w:r>
          </w:p>
        </w:tc>
      </w:tr>
      <w:tr>
        <w:tblPrEx>
          <w:tblCellMar>
            <w:top w:w="0" w:type="dxa"/>
            <w:left w:w="108" w:type="dxa"/>
            <w:bottom w:w="0" w:type="dxa"/>
            <w:right w:w="108" w:type="dxa"/>
          </w:tblCellMar>
        </w:tblPrEx>
        <w:trPr>
          <w:cantSplit/>
          <w:trHeight w:val="663"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48"/>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7</w:t>
            </w:r>
            <w:r>
              <w:rPr>
                <w:rFonts w:cs="宋体" w:asciiTheme="minorEastAsia" w:hAnsiTheme="minorEastAsia" w:eastAsiaTheme="minorEastAsia"/>
                <w:color w:val="auto"/>
                <w:sz w:val="21"/>
                <w:szCs w:val="21"/>
                <w:highlight w:val="none"/>
              </w:rPr>
              <w:t>.8</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其他费用</w:t>
            </w:r>
          </w:p>
        </w:tc>
        <w:tc>
          <w:tcPr>
            <w:tcW w:w="6103" w:type="dxa"/>
            <w:tcBorders>
              <w:top w:val="single" w:color="000000" w:sz="4" w:space="0"/>
              <w:left w:val="single" w:color="000000" w:sz="4" w:space="0"/>
              <w:bottom w:val="single" w:color="000000" w:sz="4" w:space="0"/>
              <w:right w:val="single" w:color="000000" w:sz="4" w:space="0"/>
            </w:tcBorders>
            <w:vAlign w:val="center"/>
          </w:tcPr>
          <w:p>
            <w:pPr>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（1）本项目招标交易服务费由中标人承担，并向广州公共资源交易中心交纳。</w:t>
            </w:r>
          </w:p>
        </w:tc>
      </w:tr>
      <w:tr>
        <w:tblPrEx>
          <w:tblCellMar>
            <w:top w:w="0" w:type="dxa"/>
            <w:left w:w="108" w:type="dxa"/>
            <w:bottom w:w="0" w:type="dxa"/>
            <w:right w:w="108"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ind w:right="1"/>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9</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是否采用电子招标投标</w:t>
            </w:r>
          </w:p>
        </w:tc>
        <w:tc>
          <w:tcPr>
            <w:tcW w:w="6103"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line="34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□否</w:t>
            </w:r>
          </w:p>
          <w:p>
            <w:pPr>
              <w:pStyle w:val="52"/>
              <w:overflowPunct w:val="0"/>
              <w:spacing w:line="340" w:lineRule="exact"/>
              <w:jc w:val="both"/>
              <w:rPr>
                <w:rFonts w:cs="宋体" w:asciiTheme="minorEastAsia" w:hAnsiTheme="minorEastAsia" w:eastAsiaTheme="minorEastAsia"/>
                <w:color w:val="auto"/>
                <w:sz w:val="21"/>
                <w:szCs w:val="21"/>
                <w:highlight w:val="none"/>
              </w:rPr>
            </w:pPr>
            <w:r>
              <w:rPr>
                <w:rFonts w:hint="eastAsia" w:ascii="MS Gothic" w:hAnsi="MS Gothic" w:eastAsia="MS Gothic" w:cs="MS Gothic"/>
                <w:color w:val="auto"/>
                <w:sz w:val="21"/>
                <w:szCs w:val="21"/>
                <w:highlight w:val="none"/>
              </w:rPr>
              <w:t>☑</w:t>
            </w:r>
            <w:r>
              <w:rPr>
                <w:rFonts w:cs="宋体" w:asciiTheme="minorEastAsia" w:hAnsiTheme="minorEastAsia" w:eastAsiaTheme="minorEastAsia"/>
                <w:color w:val="auto"/>
                <w:sz w:val="21"/>
                <w:szCs w:val="21"/>
                <w:highlight w:val="none"/>
              </w:rPr>
              <w:t>是，具体要求：</w:t>
            </w:r>
          </w:p>
          <w:p>
            <w:pPr>
              <w:pStyle w:val="52"/>
              <w:overflowPunct w:val="0"/>
              <w:spacing w:line="340" w:lineRule="exact"/>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1、具体操作详见广州公共资源交易中心网站发布的《房屋建筑和市政基础设施工程全流程电子化项目专章》。</w:t>
            </w:r>
          </w:p>
          <w:p>
            <w:pPr>
              <w:pStyle w:val="52"/>
              <w:overflowPunct w:val="0"/>
              <w:spacing w:line="340" w:lineRule="exact"/>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2、递交投标文件光盘备用</w:t>
            </w:r>
          </w:p>
          <w:p>
            <w:pPr>
              <w:pStyle w:val="52"/>
              <w:overflowPunct w:val="0"/>
              <w:spacing w:line="34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1）投标人可</w:t>
            </w:r>
            <w:r>
              <w:rPr>
                <w:rFonts w:hint="eastAsia" w:cs="宋体" w:asciiTheme="minorEastAsia" w:hAnsiTheme="minorEastAsia" w:eastAsiaTheme="minorEastAsia"/>
                <w:color w:val="auto"/>
                <w:sz w:val="21"/>
                <w:szCs w:val="21"/>
                <w:highlight w:val="none"/>
              </w:rPr>
              <w:t>制作非加密的电子投标文件（</w:t>
            </w:r>
            <w:r>
              <w:rPr>
                <w:rFonts w:cs="宋体" w:asciiTheme="minorEastAsia" w:hAnsiTheme="minorEastAsia" w:eastAsiaTheme="minorEastAsia"/>
                <w:color w:val="auto"/>
                <w:sz w:val="21"/>
                <w:szCs w:val="21"/>
                <w:highlight w:val="none"/>
              </w:rPr>
              <w:t>PDF格式</w:t>
            </w:r>
            <w:r>
              <w:rPr>
                <w:rFonts w:hint="eastAsia" w:cs="宋体" w:asciiTheme="minorEastAsia" w:hAnsiTheme="minorEastAsia" w:eastAsiaTheme="minorEastAsia"/>
                <w:color w:val="auto"/>
                <w:sz w:val="21"/>
                <w:szCs w:val="21"/>
                <w:highlight w:val="none"/>
              </w:rPr>
              <w:t>及word格式</w:t>
            </w:r>
            <w:r>
              <w:rPr>
                <w:rFonts w:cs="宋体" w:asciiTheme="minorEastAsia" w:hAnsiTheme="minorEastAsia" w:eastAsiaTheme="minorEastAsia"/>
                <w:color w:val="auto"/>
                <w:sz w:val="21"/>
                <w:szCs w:val="21"/>
                <w:highlight w:val="none"/>
              </w:rPr>
              <w:t>）刻入光盘（1份），</w:t>
            </w:r>
            <w:r>
              <w:rPr>
                <w:rFonts w:hint="eastAsia" w:cs="宋体" w:asciiTheme="minorEastAsia" w:hAnsiTheme="minorEastAsia" w:eastAsiaTheme="minorEastAsia"/>
                <w:color w:val="auto"/>
                <w:sz w:val="21"/>
                <w:szCs w:val="21"/>
                <w:highlight w:val="none"/>
              </w:rPr>
              <w:t>在开标现场（投标截止时间前15分钟）</w:t>
            </w:r>
            <w:r>
              <w:rPr>
                <w:rFonts w:cs="宋体" w:asciiTheme="minorEastAsia" w:hAnsiTheme="minorEastAsia" w:eastAsiaTheme="minorEastAsia"/>
                <w:color w:val="auto"/>
                <w:sz w:val="21"/>
                <w:szCs w:val="21"/>
                <w:highlight w:val="none"/>
              </w:rPr>
              <w:t>提交备用光盘。(刻录好的投标文件光盘密封在密封袋中，并在封口处加盖投标人单位公章。密封袋上应写明项目名称和招标人名称。</w:t>
            </w:r>
          </w:p>
          <w:p>
            <w:pPr>
              <w:pStyle w:val="52"/>
              <w:overflowPunct w:val="0"/>
              <w:spacing w:line="34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2）递交的投标文件（光盘）不得加密。光盘（投标文件）无法读取或导入的，则视为未提交备用投标文件光盘。如果投标人没有按规定通过交易平台网上递交电子投标文件的，不再读取提交的光盘。投标人可选择不提交光盘备用。</w:t>
            </w:r>
          </w:p>
          <w:p>
            <w:pPr>
              <w:pStyle w:val="52"/>
              <w:overflowPunct w:val="0"/>
              <w:spacing w:line="340" w:lineRule="exact"/>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3、补救方案</w:t>
            </w:r>
          </w:p>
          <w:p>
            <w:pPr>
              <w:pStyle w:val="52"/>
              <w:overflowPunct w:val="0"/>
              <w:spacing w:line="34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1）投标文件解密失败的补救方案：</w:t>
            </w:r>
          </w:p>
          <w:p>
            <w:pPr>
              <w:pStyle w:val="52"/>
              <w:overflowPunct w:val="0"/>
              <w:spacing w:line="34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在规定时间内，因投标人之外原因</w:t>
            </w:r>
            <w:r>
              <w:rPr>
                <w:rFonts w:cs="宋体" w:asciiTheme="minorEastAsia" w:hAnsiTheme="minorEastAsia" w:eastAsiaTheme="minorEastAsia"/>
                <w:color w:val="auto"/>
                <w:sz w:val="21"/>
                <w:szCs w:val="21"/>
                <w:highlight w:val="none"/>
              </w:rPr>
              <w:t>(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pStyle w:val="52"/>
              <w:overflowPunct w:val="0"/>
              <w:spacing w:line="34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2）评标时突发情况的补救方案</w:t>
            </w:r>
          </w:p>
          <w:p>
            <w:pPr>
              <w:pStyle w:val="52"/>
              <w:overflowPunct w:val="0"/>
              <w:spacing w:line="34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若遇不可抗力发生（指：网络瘫痪、服务器损坏、交易系统故障短期无法恢复），由评标委员会开启现场递交的全部投标文件光盘，并按光盘内容进行评审。</w:t>
            </w:r>
          </w:p>
          <w:p>
            <w:pPr>
              <w:pStyle w:val="52"/>
              <w:overflowPunct w:val="0"/>
              <w:spacing w:line="340" w:lineRule="exact"/>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3）除发生上述情况外，开标评标均以投标人通过交易平台网上递交的电子投标文件为准。</w:t>
            </w:r>
          </w:p>
        </w:tc>
      </w:tr>
      <w:tr>
        <w:tblPrEx>
          <w:tblCellMar>
            <w:top w:w="0" w:type="dxa"/>
            <w:left w:w="108" w:type="dxa"/>
            <w:bottom w:w="0" w:type="dxa"/>
            <w:right w:w="108" w:type="dxa"/>
          </w:tblCellMar>
        </w:tblPrEx>
        <w:trPr>
          <w:cantSplit/>
          <w:trHeight w:val="600"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ind w:right="1"/>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10</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需要补充的其他内容</w:t>
            </w:r>
          </w:p>
        </w:tc>
        <w:tc>
          <w:tcPr>
            <w:tcW w:w="6103" w:type="dxa"/>
            <w:tcBorders>
              <w:top w:val="single" w:color="000000" w:sz="4" w:space="0"/>
              <w:left w:val="single" w:color="000000" w:sz="4" w:space="0"/>
              <w:bottom w:val="single" w:color="000000" w:sz="4" w:space="0"/>
              <w:right w:val="single" w:color="000000" w:sz="4" w:space="0"/>
            </w:tcBorders>
            <w:vAlign w:val="center"/>
          </w:tcPr>
          <w:p>
            <w:pPr>
              <w:pStyle w:val="52"/>
              <w:overflowPunct w:val="0"/>
              <w:ind w:right="1"/>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w:t>
            </w:r>
          </w:p>
        </w:tc>
      </w:tr>
      <w:tr>
        <w:tblPrEx>
          <w:tblCellMar>
            <w:top w:w="0" w:type="dxa"/>
            <w:left w:w="108" w:type="dxa"/>
            <w:bottom w:w="0" w:type="dxa"/>
            <w:right w:w="108" w:type="dxa"/>
          </w:tblCellMar>
        </w:tblPrEx>
        <w:trPr>
          <w:cantSplit/>
          <w:trHeight w:val="2551"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ind w:right="1"/>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10.1</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特别提示</w:t>
            </w:r>
          </w:p>
        </w:tc>
        <w:tc>
          <w:tcPr>
            <w:tcW w:w="6103"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line="340" w:lineRule="exact"/>
              <w:ind w:right="1"/>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投标人在本项目招标人的工程项目中存在下列行为的，将被拒绝一定时期内参与我单位后续工程</w:t>
            </w:r>
            <w:r>
              <w:rPr>
                <w:rFonts w:hint="eastAsia" w:cs="宋体" w:asciiTheme="minorEastAsia" w:hAnsiTheme="minorEastAsia" w:eastAsiaTheme="minorEastAsia"/>
                <w:color w:val="auto"/>
                <w:sz w:val="21"/>
                <w:szCs w:val="21"/>
                <w:highlight w:val="none"/>
              </w:rPr>
              <w:t>项目</w:t>
            </w:r>
            <w:r>
              <w:rPr>
                <w:rFonts w:cs="宋体" w:asciiTheme="minorEastAsia" w:hAnsiTheme="minorEastAsia" w:eastAsiaTheme="minorEastAsia"/>
                <w:color w:val="auto"/>
                <w:sz w:val="21"/>
                <w:szCs w:val="21"/>
                <w:highlight w:val="none"/>
              </w:rPr>
              <w:t>投标。（注：拒绝投标时限由招标人视严重程度确定，最低三个月起，自招标人发出通知之日起计）：</w:t>
            </w:r>
          </w:p>
          <w:p>
            <w:pPr>
              <w:pStyle w:val="52"/>
              <w:overflowPunct w:val="0"/>
              <w:spacing w:line="340" w:lineRule="exact"/>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1）将中标项目转包或者违法分包的；</w:t>
            </w:r>
          </w:p>
          <w:p>
            <w:pPr>
              <w:pStyle w:val="52"/>
              <w:overflowPunct w:val="0"/>
              <w:spacing w:line="340" w:lineRule="exact"/>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2）在中标项目中不执行质量、安全生产相关规定的，造成质量或安全事故的；</w:t>
            </w:r>
          </w:p>
          <w:p>
            <w:pPr>
              <w:pStyle w:val="52"/>
              <w:overflowPunct w:val="0"/>
              <w:spacing w:line="340" w:lineRule="exact"/>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3）存在围标或串标情形的；</w:t>
            </w:r>
          </w:p>
          <w:p>
            <w:pPr>
              <w:pStyle w:val="52"/>
              <w:overflowPunct w:val="0"/>
              <w:spacing w:line="340" w:lineRule="exact"/>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4）存在弄虚作假骗取中标</w:t>
            </w:r>
            <w:r>
              <w:rPr>
                <w:rFonts w:hint="eastAsia" w:cs="宋体" w:asciiTheme="minorEastAsia" w:hAnsiTheme="minorEastAsia" w:eastAsiaTheme="minorEastAsia"/>
                <w:color w:val="auto"/>
                <w:sz w:val="21"/>
                <w:szCs w:val="21"/>
                <w:highlight w:val="none"/>
              </w:rPr>
              <w:t>、行贿</w:t>
            </w:r>
            <w:r>
              <w:rPr>
                <w:rFonts w:cs="宋体" w:asciiTheme="minorEastAsia" w:hAnsiTheme="minorEastAsia" w:eastAsiaTheme="minorEastAsia"/>
                <w:color w:val="auto"/>
                <w:sz w:val="21"/>
                <w:szCs w:val="21"/>
                <w:highlight w:val="none"/>
              </w:rPr>
              <w:t>情形的</w:t>
            </w:r>
            <w:r>
              <w:rPr>
                <w:rFonts w:hint="eastAsia" w:cs="宋体" w:asciiTheme="minorEastAsia" w:hAnsiTheme="minorEastAsia" w:eastAsiaTheme="minorEastAsia"/>
                <w:color w:val="auto"/>
                <w:sz w:val="21"/>
                <w:szCs w:val="21"/>
                <w:highlight w:val="none"/>
              </w:rPr>
              <w:t>。</w:t>
            </w:r>
          </w:p>
        </w:tc>
      </w:tr>
      <w:tr>
        <w:tblPrEx>
          <w:tblCellMar>
            <w:top w:w="0" w:type="dxa"/>
            <w:left w:w="108" w:type="dxa"/>
            <w:bottom w:w="0" w:type="dxa"/>
            <w:right w:w="108" w:type="dxa"/>
          </w:tblCellMar>
        </w:tblPrEx>
        <w:trPr>
          <w:cantSplit/>
          <w:trHeight w:val="546"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ind w:right="1"/>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10.2</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送达</w:t>
            </w:r>
          </w:p>
        </w:tc>
        <w:tc>
          <w:tcPr>
            <w:tcW w:w="6103"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line="340" w:lineRule="exact"/>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《投诉处理决定书》和《行政处理决定书》在广州市住房和城乡建设局网站上公布的，视为送达其他与决定书有关的当事人。</w:t>
            </w:r>
          </w:p>
        </w:tc>
      </w:tr>
      <w:tr>
        <w:tblPrEx>
          <w:tblCellMar>
            <w:top w:w="0" w:type="dxa"/>
            <w:left w:w="108" w:type="dxa"/>
            <w:bottom w:w="0" w:type="dxa"/>
            <w:right w:w="108" w:type="dxa"/>
          </w:tblCellMar>
        </w:tblPrEx>
        <w:trPr>
          <w:cantSplit/>
          <w:trHeight w:val="504"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ind w:right="1"/>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10.3</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招标失败的情形</w:t>
            </w:r>
          </w:p>
        </w:tc>
        <w:tc>
          <w:tcPr>
            <w:tcW w:w="6103"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line="340" w:lineRule="exact"/>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本项目采用资格后审方式，满足资格审查合格条件或通过初步评审的投标申请人不足3名时为招标失败。招标人分析招标失败原因，修正招标方案后，重新组织招标。</w:t>
            </w:r>
          </w:p>
        </w:tc>
      </w:tr>
      <w:tr>
        <w:tblPrEx>
          <w:tblCellMar>
            <w:top w:w="0" w:type="dxa"/>
            <w:left w:w="108" w:type="dxa"/>
            <w:bottom w:w="0" w:type="dxa"/>
            <w:right w:w="108" w:type="dxa"/>
          </w:tblCellMar>
        </w:tblPrEx>
        <w:trPr>
          <w:cantSplit/>
          <w:trHeight w:val="721"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ind w:right="1"/>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10.4</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ind w:right="1"/>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4.3.4投标文件修改</w:t>
            </w:r>
          </w:p>
        </w:tc>
        <w:tc>
          <w:tcPr>
            <w:tcW w:w="6103"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line="340" w:lineRule="exact"/>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修改的内容为投标文件的组成部分。修改的投标文件应按照本章第</w:t>
            </w:r>
            <w:r>
              <w:rPr>
                <w:rFonts w:cs="宋体" w:asciiTheme="minorEastAsia" w:hAnsiTheme="minorEastAsia" w:eastAsiaTheme="minorEastAsia"/>
                <w:color w:val="auto"/>
                <w:sz w:val="21"/>
                <w:szCs w:val="21"/>
                <w:highlight w:val="none"/>
              </w:rPr>
              <w:t>3条、第4条的规定进行编制和递交。</w:t>
            </w:r>
          </w:p>
        </w:tc>
      </w:tr>
      <w:tr>
        <w:tblPrEx>
          <w:tblCellMar>
            <w:top w:w="0" w:type="dxa"/>
            <w:left w:w="108" w:type="dxa"/>
            <w:bottom w:w="0" w:type="dxa"/>
            <w:right w:w="108" w:type="dxa"/>
          </w:tblCellMar>
        </w:tblPrEx>
        <w:trPr>
          <w:cantSplit/>
          <w:trHeight w:val="700"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ind w:right="1"/>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10.5</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48"/>
              <w:snapToGrid w:val="0"/>
              <w:ind w:firstLine="0"/>
              <w:rPr>
                <w:rFonts w:hint="default"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其他</w:t>
            </w:r>
          </w:p>
        </w:tc>
        <w:tc>
          <w:tcPr>
            <w:tcW w:w="6103" w:type="dxa"/>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ind w:right="-55" w:rightChars="-23"/>
              <w:textAlignment w:val="baseline"/>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1.投标文件语言：汉语。</w:t>
            </w:r>
          </w:p>
          <w:p>
            <w:pPr>
              <w:snapToGrid w:val="0"/>
              <w:spacing w:line="340" w:lineRule="exact"/>
              <w:textAlignment w:val="baseline"/>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2.招标人对本次投标结果将不负任何解释责任。</w:t>
            </w:r>
          </w:p>
        </w:tc>
      </w:tr>
      <w:tr>
        <w:tblPrEx>
          <w:tblCellMar>
            <w:top w:w="0" w:type="dxa"/>
            <w:left w:w="108" w:type="dxa"/>
            <w:bottom w:w="0" w:type="dxa"/>
            <w:right w:w="108" w:type="dxa"/>
          </w:tblCellMar>
        </w:tblPrEx>
        <w:trPr>
          <w:cantSplit/>
          <w:trHeight w:val="544"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ind w:right="1"/>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10.6</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中标候选人公示要求</w:t>
            </w:r>
          </w:p>
        </w:tc>
        <w:tc>
          <w:tcPr>
            <w:tcW w:w="6103"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line="340" w:lineRule="exact"/>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在产生中标候选人后，招标人将中标候选人的投标文件商务部分的电子版（报价清单、方案等涉及商业秘密的内容除外）在广州公共资源交易中心网站公开。</w:t>
            </w:r>
          </w:p>
        </w:tc>
      </w:tr>
      <w:tr>
        <w:tblPrEx>
          <w:tblCellMar>
            <w:top w:w="0" w:type="dxa"/>
            <w:left w:w="108" w:type="dxa"/>
            <w:bottom w:w="0" w:type="dxa"/>
            <w:right w:w="108" w:type="dxa"/>
          </w:tblCellMar>
        </w:tblPrEx>
        <w:trPr>
          <w:cantSplit/>
          <w:trHeight w:val="515"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ind w:right="1"/>
              <w:jc w:val="both"/>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10.7</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保修期</w:t>
            </w:r>
          </w:p>
        </w:tc>
        <w:tc>
          <w:tcPr>
            <w:tcW w:w="6103"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line="340" w:lineRule="exact"/>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详见本项目合同。</w:t>
            </w:r>
          </w:p>
        </w:tc>
      </w:tr>
      <w:tr>
        <w:tblPrEx>
          <w:tblCellMar>
            <w:top w:w="0" w:type="dxa"/>
            <w:left w:w="108" w:type="dxa"/>
            <w:bottom w:w="0" w:type="dxa"/>
            <w:right w:w="108" w:type="dxa"/>
          </w:tblCellMar>
        </w:tblPrEx>
        <w:trPr>
          <w:cantSplit/>
          <w:trHeight w:val="515" w:hRule="atLeast"/>
        </w:trPr>
        <w:tc>
          <w:tcPr>
            <w:tcW w:w="1164" w:type="dxa"/>
            <w:tcBorders>
              <w:top w:val="single" w:color="000000" w:sz="4" w:space="0"/>
              <w:left w:val="single" w:color="000000" w:sz="4" w:space="0"/>
              <w:bottom w:val="single" w:color="000000" w:sz="4" w:space="0"/>
              <w:right w:val="single" w:color="000000" w:sz="4" w:space="0"/>
            </w:tcBorders>
            <w:vAlign w:val="center"/>
          </w:tcPr>
          <w:p>
            <w:pPr>
              <w:pStyle w:val="52"/>
              <w:overflowPunct w:val="0"/>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10.8</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52"/>
              <w:overflowPunct w:val="0"/>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提交异议的方式</w:t>
            </w:r>
          </w:p>
        </w:tc>
        <w:tc>
          <w:tcPr>
            <w:tcW w:w="6103"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line="340" w:lineRule="exact"/>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1、潜在投标人或利害关系人对本招标公告及招标文件有异议的，可以通过线下或线上的形式提出异议。线上提出异议的，应通过交易平台提交，招标人也应通过交易平台答复线上提出的异议。具体按照交易平台相关指南进行操作。作出答复前，应当暂停招标投标活动。</w:t>
            </w:r>
          </w:p>
          <w:p>
            <w:pPr>
              <w:pStyle w:val="52"/>
              <w:overflowPunct w:val="0"/>
              <w:spacing w:line="340" w:lineRule="exact"/>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2、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pPr>
              <w:pStyle w:val="52"/>
              <w:overflowPunct w:val="0"/>
              <w:spacing w:line="340" w:lineRule="exact"/>
              <w:ind w:right="1"/>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3、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bookmarkStart w:id="215" w:name="_GoBack"/>
            <w:bookmarkEnd w:id="215"/>
          </w:p>
        </w:tc>
      </w:tr>
    </w:tbl>
    <w:p>
      <w:pPr>
        <w:pStyle w:val="7"/>
        <w:overflowPunct w:val="0"/>
        <w:snapToGrid w:val="0"/>
        <w:spacing w:line="360" w:lineRule="auto"/>
        <w:ind w:left="0" w:right="113"/>
        <w:rPr>
          <w:rFonts w:ascii="宋体" w:hAnsi="宋体" w:eastAsia="宋体" w:cs="宋体"/>
          <w:color w:val="auto"/>
          <w:highlight w:val="none"/>
        </w:rPr>
      </w:pPr>
      <w:bookmarkStart w:id="10" w:name="bookmark20"/>
      <w:bookmarkEnd w:id="10"/>
      <w:bookmarkStart w:id="11" w:name="_Toc83210312"/>
      <w:bookmarkStart w:id="12" w:name="_Toc1419"/>
      <w:bookmarkStart w:id="13" w:name="_Toc4496"/>
    </w:p>
    <w:p>
      <w:pPr>
        <w:pStyle w:val="7"/>
        <w:overflowPunct w:val="0"/>
        <w:snapToGrid w:val="0"/>
        <w:spacing w:line="360" w:lineRule="auto"/>
        <w:ind w:left="0" w:right="113"/>
        <w:rPr>
          <w:rFonts w:ascii="宋体" w:hAnsi="宋体" w:eastAsia="宋体" w:cs="宋体"/>
          <w:color w:val="auto"/>
          <w:highlight w:val="none"/>
        </w:rPr>
      </w:pPr>
      <w:r>
        <w:rPr>
          <w:rFonts w:ascii="宋体" w:hAnsi="宋体" w:eastAsia="宋体" w:cs="宋体"/>
          <w:color w:val="auto"/>
          <w:highlight w:val="none"/>
        </w:rPr>
        <w:br w:type="column"/>
      </w:r>
      <w:r>
        <w:rPr>
          <w:rFonts w:hint="eastAsia" w:ascii="宋体" w:hAnsi="宋体" w:eastAsia="宋体" w:cs="宋体"/>
          <w:color w:val="auto"/>
          <w:highlight w:val="none"/>
        </w:rPr>
        <w:t>1.总则</w:t>
      </w:r>
      <w:bookmarkEnd w:id="11"/>
    </w:p>
    <w:bookmarkEnd w:id="12"/>
    <w:bookmarkEnd w:id="13"/>
    <w:p>
      <w:pPr>
        <w:pStyle w:val="8"/>
        <w:overflowPunct w:val="0"/>
        <w:snapToGrid w:val="0"/>
        <w:spacing w:line="360" w:lineRule="auto"/>
        <w:ind w:right="113"/>
        <w:rPr>
          <w:rFonts w:hint="default" w:cs="宋体"/>
          <w:b/>
          <w:bCs/>
          <w:color w:val="auto"/>
          <w:highlight w:val="none"/>
        </w:rPr>
      </w:pPr>
      <w:bookmarkStart w:id="14" w:name="bookmark21"/>
      <w:bookmarkEnd w:id="14"/>
      <w:r>
        <w:rPr>
          <w:rFonts w:hint="default" w:cs="宋体"/>
          <w:b/>
          <w:bCs/>
          <w:color w:val="auto"/>
          <w:highlight w:val="none"/>
        </w:rPr>
        <w:t xml:space="preserve">1.1 </w:t>
      </w:r>
      <w:r>
        <w:rPr>
          <w:rFonts w:cs="宋体"/>
          <w:b/>
          <w:bCs/>
          <w:color w:val="auto"/>
          <w:highlight w:val="none"/>
        </w:rPr>
        <w:t>招标项目概况</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1.1.1 </w:t>
      </w:r>
      <w:r>
        <w:rPr>
          <w:rFonts w:cs="宋体"/>
          <w:color w:val="auto"/>
          <w:szCs w:val="22"/>
          <w:highlight w:val="none"/>
        </w:rPr>
        <w:t>根据《中华人民共和国招标投标法》《中华人民共和国招标投标法实施条例》等有关法律、法规和规章的规定，本招标项目已具备招标条件，现对设备采购进行招标。</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1.1.2 </w:t>
      </w:r>
      <w:r>
        <w:rPr>
          <w:rFonts w:cs="宋体"/>
          <w:color w:val="auto"/>
          <w:szCs w:val="22"/>
          <w:highlight w:val="none"/>
        </w:rPr>
        <w:t>招标人：见投标人须知前附表。</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1.1.3 </w:t>
      </w:r>
      <w:r>
        <w:rPr>
          <w:rFonts w:cs="宋体"/>
          <w:color w:val="auto"/>
          <w:szCs w:val="22"/>
          <w:highlight w:val="none"/>
        </w:rPr>
        <w:t>招标代理机构：见投标人须知前附表。</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1.1.4 </w:t>
      </w:r>
      <w:r>
        <w:rPr>
          <w:rFonts w:cs="宋体"/>
          <w:color w:val="auto"/>
          <w:szCs w:val="22"/>
          <w:highlight w:val="none"/>
        </w:rPr>
        <w:t>招标项目名称：见投标人须知前附表。</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1.1.5 </w:t>
      </w:r>
      <w:r>
        <w:rPr>
          <w:rFonts w:cs="宋体"/>
          <w:color w:val="auto"/>
          <w:szCs w:val="22"/>
          <w:highlight w:val="none"/>
        </w:rPr>
        <w:t>工程项目名称：即招标项目所属的工程建设项目，见投标人须知前附表。</w:t>
      </w:r>
    </w:p>
    <w:p>
      <w:pPr>
        <w:pStyle w:val="8"/>
        <w:overflowPunct w:val="0"/>
        <w:snapToGrid w:val="0"/>
        <w:spacing w:line="360" w:lineRule="auto"/>
        <w:ind w:right="113"/>
        <w:rPr>
          <w:rFonts w:hint="default" w:cs="宋体"/>
          <w:b/>
          <w:bCs/>
          <w:color w:val="auto"/>
          <w:highlight w:val="none"/>
        </w:rPr>
      </w:pPr>
      <w:bookmarkStart w:id="15" w:name="bookmark22"/>
      <w:bookmarkEnd w:id="15"/>
      <w:r>
        <w:rPr>
          <w:rFonts w:hint="default" w:cs="宋体"/>
          <w:b/>
          <w:bCs/>
          <w:color w:val="auto"/>
          <w:highlight w:val="none"/>
        </w:rPr>
        <w:t xml:space="preserve">1.2 </w:t>
      </w:r>
      <w:r>
        <w:rPr>
          <w:rFonts w:cs="宋体"/>
          <w:b/>
          <w:bCs/>
          <w:color w:val="auto"/>
          <w:highlight w:val="none"/>
        </w:rPr>
        <w:t>招标项目的资金来源和落实情况</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1.2.1 </w:t>
      </w:r>
      <w:r>
        <w:rPr>
          <w:rFonts w:cs="宋体"/>
          <w:color w:val="auto"/>
          <w:szCs w:val="22"/>
          <w:highlight w:val="none"/>
        </w:rPr>
        <w:t>资金来源及比例：见投标人须知前附表。</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1.2.2 </w:t>
      </w:r>
      <w:r>
        <w:rPr>
          <w:rFonts w:cs="宋体"/>
          <w:color w:val="auto"/>
          <w:szCs w:val="22"/>
          <w:highlight w:val="none"/>
        </w:rPr>
        <w:t>资金落实情况：见投标人须知前附表。</w:t>
      </w:r>
    </w:p>
    <w:p>
      <w:pPr>
        <w:pStyle w:val="8"/>
        <w:overflowPunct w:val="0"/>
        <w:snapToGrid w:val="0"/>
        <w:spacing w:line="360" w:lineRule="auto"/>
        <w:ind w:right="113"/>
        <w:rPr>
          <w:rFonts w:hint="default" w:cs="宋体"/>
          <w:b/>
          <w:bCs/>
          <w:color w:val="auto"/>
          <w:highlight w:val="none"/>
        </w:rPr>
      </w:pPr>
      <w:bookmarkStart w:id="16" w:name="bookmark23"/>
      <w:bookmarkEnd w:id="16"/>
      <w:r>
        <w:rPr>
          <w:rFonts w:hint="default" w:cs="宋体"/>
          <w:b/>
          <w:bCs/>
          <w:color w:val="auto"/>
          <w:highlight w:val="none"/>
        </w:rPr>
        <w:t xml:space="preserve">1.3 </w:t>
      </w:r>
      <w:r>
        <w:rPr>
          <w:rFonts w:cs="宋体"/>
          <w:b/>
          <w:bCs/>
          <w:color w:val="auto"/>
          <w:highlight w:val="none"/>
        </w:rPr>
        <w:t>招标范围、交货期、交货地点和技术性能指标</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1.3.1 </w:t>
      </w:r>
      <w:r>
        <w:rPr>
          <w:rFonts w:cs="宋体"/>
          <w:color w:val="auto"/>
          <w:szCs w:val="22"/>
          <w:highlight w:val="none"/>
        </w:rPr>
        <w:t>招标范围：见投标人须知前附表。</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1.3.2 </w:t>
      </w:r>
      <w:r>
        <w:rPr>
          <w:rFonts w:cs="宋体"/>
          <w:color w:val="auto"/>
          <w:szCs w:val="22"/>
          <w:highlight w:val="none"/>
        </w:rPr>
        <w:t>交货期：见投标人须知前附表。</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1.3.3 </w:t>
      </w:r>
      <w:r>
        <w:rPr>
          <w:rFonts w:cs="宋体"/>
          <w:color w:val="auto"/>
          <w:szCs w:val="22"/>
          <w:highlight w:val="none"/>
        </w:rPr>
        <w:t>交货地点：见投标人须知前附表。</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1.3.4 </w:t>
      </w:r>
      <w:r>
        <w:rPr>
          <w:rFonts w:cs="宋体"/>
          <w:color w:val="auto"/>
          <w:szCs w:val="22"/>
          <w:highlight w:val="none"/>
        </w:rPr>
        <w:t>技术性能指标：见投标人须知前附表。</w:t>
      </w:r>
    </w:p>
    <w:p>
      <w:pPr>
        <w:pStyle w:val="8"/>
        <w:overflowPunct w:val="0"/>
        <w:snapToGrid w:val="0"/>
        <w:spacing w:line="360" w:lineRule="auto"/>
        <w:ind w:right="113"/>
        <w:rPr>
          <w:rFonts w:hint="default" w:cs="宋体"/>
          <w:b/>
          <w:bCs/>
          <w:color w:val="auto"/>
          <w:highlight w:val="none"/>
        </w:rPr>
      </w:pPr>
      <w:bookmarkStart w:id="17" w:name="bookmark24"/>
      <w:bookmarkEnd w:id="17"/>
      <w:r>
        <w:rPr>
          <w:rFonts w:hint="default" w:cs="宋体"/>
          <w:b/>
          <w:bCs/>
          <w:color w:val="auto"/>
          <w:highlight w:val="none"/>
        </w:rPr>
        <w:t xml:space="preserve">1.4 </w:t>
      </w:r>
      <w:r>
        <w:rPr>
          <w:rFonts w:cs="宋体"/>
          <w:b/>
          <w:bCs/>
          <w:color w:val="auto"/>
          <w:highlight w:val="none"/>
        </w:rPr>
        <w:t>投标人资格要求</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1.4.1 </w:t>
      </w:r>
      <w:r>
        <w:rPr>
          <w:rFonts w:cs="宋体"/>
          <w:color w:val="auto"/>
          <w:szCs w:val="22"/>
          <w:highlight w:val="none"/>
        </w:rPr>
        <w:t>投标人应具备承担本招标项目资质条件、能力和信誉：</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1）资质要求：见投标人须知前附表；</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2）财务要求：见投标人须知前附表；</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3）业绩要求：见投标人须知前附表；</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4）信誉要求：见投标人须知前附表；</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5）其他要求：见投标人须知前附表。</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需要提交的相关证明材料见本章第</w:t>
      </w:r>
      <w:r>
        <w:rPr>
          <w:rFonts w:hint="default" w:cs="宋体"/>
          <w:color w:val="auto"/>
          <w:szCs w:val="22"/>
          <w:highlight w:val="none"/>
        </w:rPr>
        <w:t xml:space="preserve"> 3.5 </w:t>
      </w:r>
      <w:r>
        <w:rPr>
          <w:rFonts w:cs="宋体"/>
          <w:color w:val="auto"/>
          <w:szCs w:val="22"/>
          <w:highlight w:val="none"/>
        </w:rPr>
        <w:t>款的规定。</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1.4.2 </w:t>
      </w:r>
      <w:r>
        <w:rPr>
          <w:rFonts w:cs="宋体"/>
          <w:color w:val="auto"/>
          <w:szCs w:val="22"/>
          <w:highlight w:val="none"/>
          <w:u w:val="single"/>
        </w:rPr>
        <w:t>本次招标不接受联合体投标</w:t>
      </w:r>
      <w:r>
        <w:rPr>
          <w:rFonts w:cs="宋体"/>
          <w:color w:val="auto"/>
          <w:szCs w:val="22"/>
          <w:highlight w:val="none"/>
        </w:rPr>
        <w:t>。</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1.4.3 </w:t>
      </w:r>
      <w:r>
        <w:rPr>
          <w:rFonts w:cs="宋体"/>
          <w:color w:val="auto"/>
          <w:szCs w:val="22"/>
          <w:highlight w:val="none"/>
        </w:rPr>
        <w:t>投标人不得存在下列情形之一：</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1）与招标人存在利害关系且可能影响招标公正性；</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2）与本招标项目的其他投标人为同一个单位负责人；</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3）与本招标项目的其他投标人存在控股、管理关系；</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4</w:t>
      </w:r>
      <w:r>
        <w:rPr>
          <w:rFonts w:cs="宋体"/>
          <w:color w:val="auto"/>
          <w:szCs w:val="22"/>
          <w:highlight w:val="none"/>
        </w:rPr>
        <w:t>）为本招标项目提供过设计、编制技术规范和其他文件的咨询服务；</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5</w:t>
      </w:r>
      <w:r>
        <w:rPr>
          <w:rFonts w:cs="宋体"/>
          <w:color w:val="auto"/>
          <w:szCs w:val="22"/>
          <w:highlight w:val="none"/>
        </w:rPr>
        <w:t>）为本工程项目的相关监理人，或者与本工程项目的相关监理人存在隶属关系或者其他</w:t>
      </w:r>
      <w:r>
        <w:rPr>
          <w:rFonts w:hint="default" w:cs="宋体"/>
          <w:color w:val="auto"/>
          <w:szCs w:val="22"/>
          <w:highlight w:val="none"/>
        </w:rPr>
        <w:t xml:space="preserve"> </w:t>
      </w:r>
      <w:r>
        <w:rPr>
          <w:rFonts w:cs="宋体"/>
          <w:color w:val="auto"/>
          <w:szCs w:val="22"/>
          <w:highlight w:val="none"/>
        </w:rPr>
        <w:t>利害关系；</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6</w:t>
      </w:r>
      <w:r>
        <w:rPr>
          <w:rFonts w:cs="宋体"/>
          <w:color w:val="auto"/>
          <w:szCs w:val="22"/>
          <w:highlight w:val="none"/>
        </w:rPr>
        <w:t>）为本招标项目的代建人；</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7</w:t>
      </w:r>
      <w:r>
        <w:rPr>
          <w:rFonts w:cs="宋体"/>
          <w:color w:val="auto"/>
          <w:szCs w:val="22"/>
          <w:highlight w:val="none"/>
        </w:rPr>
        <w:t>）为本招标项目的招标代理机构；</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8</w:t>
      </w:r>
      <w:r>
        <w:rPr>
          <w:rFonts w:cs="宋体"/>
          <w:color w:val="auto"/>
          <w:szCs w:val="22"/>
          <w:highlight w:val="none"/>
        </w:rPr>
        <w:t>）与本招标项目的监理人或代建人或招标代理机构同为一个法定代表人；</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9</w:t>
      </w:r>
      <w:r>
        <w:rPr>
          <w:rFonts w:cs="宋体"/>
          <w:color w:val="auto"/>
          <w:szCs w:val="22"/>
          <w:highlight w:val="none"/>
        </w:rPr>
        <w:t>）与本招标项目的监理人或代建人或招标代理机构存在控股或参股关系；</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10</w:t>
      </w:r>
      <w:r>
        <w:rPr>
          <w:rFonts w:cs="宋体"/>
          <w:color w:val="auto"/>
          <w:szCs w:val="22"/>
          <w:highlight w:val="none"/>
        </w:rPr>
        <w:t>）被依法暂停或者取消投标资格；</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11</w:t>
      </w:r>
      <w:r>
        <w:rPr>
          <w:rFonts w:cs="宋体"/>
          <w:color w:val="auto"/>
          <w:szCs w:val="22"/>
          <w:highlight w:val="none"/>
        </w:rPr>
        <w:t>）被责令停产停业、暂扣或者吊销许可证、暂扣或者吊销执照；</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12</w:t>
      </w:r>
      <w:r>
        <w:rPr>
          <w:rFonts w:cs="宋体"/>
          <w:color w:val="auto"/>
          <w:szCs w:val="22"/>
          <w:highlight w:val="none"/>
        </w:rPr>
        <w:t>）进入清算程序，或被宣告破产，或其他丧失履约能力的情形；</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13</w:t>
      </w:r>
      <w:r>
        <w:rPr>
          <w:rFonts w:cs="宋体"/>
          <w:color w:val="auto"/>
          <w:szCs w:val="22"/>
          <w:highlight w:val="none"/>
        </w:rPr>
        <w:t>）在最近三年内发生重大产品质量问题（以相关行业主管部门的行政处罚决定或司法机关出具的有关法律文书为准）；</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14</w:t>
      </w:r>
      <w:r>
        <w:rPr>
          <w:rFonts w:cs="宋体"/>
          <w:color w:val="auto"/>
          <w:szCs w:val="22"/>
          <w:highlight w:val="none"/>
        </w:rPr>
        <w:t>）被工商行政管理机关在全国企业信用信息公示系统中列入严重违法失信企业名单；</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15</w:t>
      </w:r>
      <w:r>
        <w:rPr>
          <w:rFonts w:cs="宋体"/>
          <w:color w:val="auto"/>
          <w:szCs w:val="22"/>
          <w:highlight w:val="none"/>
        </w:rPr>
        <w:t>）被最高人民法院在“信用中国”网站（</w:t>
      </w:r>
      <w:r>
        <w:rPr>
          <w:rFonts w:hint="default" w:cs="宋体"/>
          <w:color w:val="auto"/>
          <w:szCs w:val="22"/>
          <w:highlight w:val="none"/>
        </w:rPr>
        <w:t>www.creditchina.gov.cn）或各级信用信息共享平台中列入失信被执行人名单；</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16</w:t>
      </w:r>
      <w:r>
        <w:rPr>
          <w:rFonts w:cs="宋体"/>
          <w:color w:val="auto"/>
          <w:szCs w:val="22"/>
          <w:highlight w:val="none"/>
        </w:rPr>
        <w:t>）在近三年内投标人或其法定代表人（单位负责人）、拟委任的项目负责人有行贿犯罪行为的；</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17</w:t>
      </w:r>
      <w:r>
        <w:rPr>
          <w:rFonts w:cs="宋体"/>
          <w:color w:val="auto"/>
          <w:szCs w:val="22"/>
          <w:highlight w:val="none"/>
        </w:rPr>
        <w:t>）法律法规或投标人须知前附表规定的其他情形。</w:t>
      </w:r>
    </w:p>
    <w:p>
      <w:pPr>
        <w:pStyle w:val="8"/>
        <w:overflowPunct w:val="0"/>
        <w:snapToGrid w:val="0"/>
        <w:spacing w:line="360" w:lineRule="auto"/>
        <w:ind w:right="113"/>
        <w:rPr>
          <w:rFonts w:hint="default" w:cs="宋体"/>
          <w:b/>
          <w:bCs/>
          <w:color w:val="auto"/>
          <w:highlight w:val="none"/>
        </w:rPr>
      </w:pPr>
      <w:r>
        <w:rPr>
          <w:rFonts w:hint="default" w:cs="宋体"/>
          <w:b/>
          <w:bCs/>
          <w:color w:val="auto"/>
          <w:highlight w:val="none"/>
        </w:rPr>
        <w:t xml:space="preserve">1.5 </w:t>
      </w:r>
      <w:r>
        <w:rPr>
          <w:rFonts w:cs="宋体"/>
          <w:b/>
          <w:bCs/>
          <w:color w:val="auto"/>
          <w:highlight w:val="none"/>
        </w:rPr>
        <w:t>费用承担</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投标人准备和参加投标活动发生的费用自理。</w:t>
      </w:r>
    </w:p>
    <w:p>
      <w:pPr>
        <w:pStyle w:val="8"/>
        <w:overflowPunct w:val="0"/>
        <w:snapToGrid w:val="0"/>
        <w:spacing w:line="360" w:lineRule="auto"/>
        <w:ind w:right="113"/>
        <w:rPr>
          <w:rFonts w:hint="default" w:cs="宋体"/>
          <w:b/>
          <w:bCs/>
          <w:color w:val="auto"/>
          <w:highlight w:val="none"/>
        </w:rPr>
      </w:pPr>
      <w:bookmarkStart w:id="18" w:name="bookmark26"/>
      <w:bookmarkEnd w:id="18"/>
      <w:r>
        <w:rPr>
          <w:rFonts w:hint="default" w:cs="宋体"/>
          <w:b/>
          <w:bCs/>
          <w:color w:val="auto"/>
          <w:highlight w:val="none"/>
        </w:rPr>
        <w:t xml:space="preserve">1.6 </w:t>
      </w:r>
      <w:r>
        <w:rPr>
          <w:rFonts w:cs="宋体"/>
          <w:b/>
          <w:bCs/>
          <w:color w:val="auto"/>
          <w:highlight w:val="none"/>
        </w:rPr>
        <w:t>保密</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参与招标投标活动的各方应对招标文件和投标文件中的商业和技术等秘密保密，否则应承担相应的法律责任。</w:t>
      </w:r>
    </w:p>
    <w:p>
      <w:pPr>
        <w:pStyle w:val="8"/>
        <w:overflowPunct w:val="0"/>
        <w:snapToGrid w:val="0"/>
        <w:spacing w:line="360" w:lineRule="auto"/>
        <w:ind w:right="113"/>
        <w:rPr>
          <w:rFonts w:hint="default" w:cs="宋体"/>
          <w:b/>
          <w:bCs/>
          <w:color w:val="auto"/>
          <w:highlight w:val="none"/>
        </w:rPr>
      </w:pPr>
      <w:bookmarkStart w:id="19" w:name="bookmark27"/>
      <w:bookmarkEnd w:id="19"/>
      <w:r>
        <w:rPr>
          <w:rFonts w:hint="default" w:cs="宋体"/>
          <w:b/>
          <w:bCs/>
          <w:color w:val="auto"/>
          <w:highlight w:val="none"/>
        </w:rPr>
        <w:t xml:space="preserve">1.7 </w:t>
      </w:r>
      <w:r>
        <w:rPr>
          <w:rFonts w:cs="宋体"/>
          <w:b/>
          <w:bCs/>
          <w:color w:val="auto"/>
          <w:highlight w:val="none"/>
        </w:rPr>
        <w:t>语言文字</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招标投标文件使用的语言文字为中文。专用术语使用外文的，应附有中文注释。</w:t>
      </w:r>
    </w:p>
    <w:p>
      <w:pPr>
        <w:pStyle w:val="8"/>
        <w:overflowPunct w:val="0"/>
        <w:snapToGrid w:val="0"/>
        <w:spacing w:line="360" w:lineRule="auto"/>
        <w:ind w:right="113"/>
        <w:rPr>
          <w:rFonts w:hint="default" w:cs="宋体"/>
          <w:b/>
          <w:bCs/>
          <w:color w:val="auto"/>
          <w:highlight w:val="none"/>
        </w:rPr>
      </w:pPr>
      <w:bookmarkStart w:id="20" w:name="bookmark28"/>
      <w:bookmarkEnd w:id="20"/>
      <w:r>
        <w:rPr>
          <w:rFonts w:hint="default" w:cs="宋体"/>
          <w:b/>
          <w:bCs/>
          <w:color w:val="auto"/>
          <w:highlight w:val="none"/>
        </w:rPr>
        <w:t xml:space="preserve">1.8 </w:t>
      </w:r>
      <w:r>
        <w:rPr>
          <w:rFonts w:cs="宋体"/>
          <w:b/>
          <w:bCs/>
          <w:color w:val="auto"/>
          <w:highlight w:val="none"/>
        </w:rPr>
        <w:t>计量单位</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所有计量均采用中华人民共和国法定计量单位。</w:t>
      </w:r>
    </w:p>
    <w:p>
      <w:pPr>
        <w:pStyle w:val="8"/>
        <w:overflowPunct w:val="0"/>
        <w:snapToGrid w:val="0"/>
        <w:spacing w:line="360" w:lineRule="auto"/>
        <w:ind w:right="113"/>
        <w:rPr>
          <w:rFonts w:hint="default" w:cs="宋体"/>
          <w:b/>
          <w:bCs/>
          <w:color w:val="auto"/>
          <w:highlight w:val="none"/>
        </w:rPr>
      </w:pPr>
      <w:bookmarkStart w:id="21" w:name="bookmark29"/>
      <w:bookmarkEnd w:id="21"/>
      <w:r>
        <w:rPr>
          <w:rFonts w:hint="default" w:cs="宋体"/>
          <w:b/>
          <w:bCs/>
          <w:color w:val="auto"/>
          <w:highlight w:val="none"/>
        </w:rPr>
        <w:t xml:space="preserve">1.9 </w:t>
      </w:r>
      <w:r>
        <w:rPr>
          <w:rFonts w:cs="宋体"/>
          <w:b/>
          <w:bCs/>
          <w:color w:val="auto"/>
          <w:highlight w:val="none"/>
        </w:rPr>
        <w:t>投标预备会</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1.9.1 </w:t>
      </w:r>
      <w:r>
        <w:rPr>
          <w:rFonts w:cs="宋体"/>
          <w:color w:val="auto"/>
          <w:szCs w:val="22"/>
          <w:highlight w:val="none"/>
        </w:rPr>
        <w:t>投标人须知前附表规定召开投标预备会的，招标人按投标人须知前附表规定的时间和地点召开投标预备会，澄清投标人提出的问题。</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1.9.2 </w:t>
      </w:r>
      <w:r>
        <w:rPr>
          <w:rFonts w:cs="宋体"/>
          <w:color w:val="auto"/>
          <w:szCs w:val="22"/>
          <w:highlight w:val="none"/>
        </w:rPr>
        <w:t>投标人应按投标人须知前附表规定的时间和形式将提出的问题送达招标人，以便招标人在会议期间澄清。</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1.9.3 </w:t>
      </w:r>
      <w:r>
        <w:rPr>
          <w:rFonts w:cs="宋体"/>
          <w:color w:val="auto"/>
          <w:szCs w:val="22"/>
          <w:highlight w:val="none"/>
        </w:rPr>
        <w:t>投标预备会后，招标人将对投标人所提问题的澄清，以投标人须知前附表规定的形式通知所有获取招标文件的投标人。该澄清内容为招标文件的组成部分。</w:t>
      </w:r>
    </w:p>
    <w:p>
      <w:pPr>
        <w:pStyle w:val="8"/>
        <w:overflowPunct w:val="0"/>
        <w:snapToGrid w:val="0"/>
        <w:spacing w:line="360" w:lineRule="auto"/>
        <w:ind w:right="113"/>
        <w:rPr>
          <w:rFonts w:hint="default" w:cs="宋体"/>
          <w:b/>
          <w:bCs/>
          <w:color w:val="auto"/>
          <w:highlight w:val="none"/>
        </w:rPr>
      </w:pPr>
      <w:bookmarkStart w:id="22" w:name="bookmark30"/>
      <w:bookmarkEnd w:id="22"/>
      <w:r>
        <w:rPr>
          <w:rFonts w:hint="default" w:cs="宋体"/>
          <w:b/>
          <w:bCs/>
          <w:color w:val="auto"/>
          <w:highlight w:val="none"/>
        </w:rPr>
        <w:t xml:space="preserve">1.10 </w:t>
      </w:r>
      <w:r>
        <w:rPr>
          <w:rFonts w:cs="宋体"/>
          <w:b/>
          <w:bCs/>
          <w:color w:val="auto"/>
          <w:highlight w:val="none"/>
        </w:rPr>
        <w:t>分包</w:t>
      </w:r>
    </w:p>
    <w:p>
      <w:pPr>
        <w:pStyle w:val="15"/>
        <w:overflowPunct w:val="0"/>
        <w:snapToGrid w:val="0"/>
        <w:spacing w:line="360" w:lineRule="auto"/>
        <w:ind w:left="102" w:right="113" w:firstLine="420"/>
        <w:rPr>
          <w:rFonts w:hint="default" w:cs="宋体"/>
          <w:color w:val="auto"/>
          <w:szCs w:val="22"/>
          <w:highlight w:val="none"/>
        </w:rPr>
      </w:pPr>
      <w:r>
        <w:rPr>
          <w:rFonts w:hint="default" w:cs="宋体"/>
          <w:color w:val="auto"/>
          <w:szCs w:val="22"/>
          <w:highlight w:val="none"/>
        </w:rPr>
        <w:t xml:space="preserve">1.10.1 </w:t>
      </w:r>
      <w:r>
        <w:rPr>
          <w:rFonts w:cs="宋体"/>
          <w:color w:val="auto"/>
          <w:szCs w:val="22"/>
          <w:highlight w:val="none"/>
        </w:rPr>
        <w:t>投标人拟在中标后将中标项目的非主体项目进行分包的，应符合投标人须知前附表规定的分包内容、分包金额和资质要求等限制性条件，除投标人须知前附表规定的非主体设备外，其他工作不得分包。</w:t>
      </w:r>
    </w:p>
    <w:p>
      <w:pPr>
        <w:pStyle w:val="15"/>
        <w:overflowPunct w:val="0"/>
        <w:snapToGrid w:val="0"/>
        <w:spacing w:line="360" w:lineRule="auto"/>
        <w:ind w:left="102" w:right="113" w:firstLine="420"/>
        <w:rPr>
          <w:rFonts w:hint="default" w:cs="宋体"/>
          <w:color w:val="auto"/>
          <w:sz w:val="14"/>
          <w:highlight w:val="none"/>
        </w:rPr>
      </w:pPr>
      <w:r>
        <w:rPr>
          <w:rFonts w:hint="default" w:cs="宋体"/>
          <w:color w:val="auto"/>
          <w:szCs w:val="22"/>
          <w:highlight w:val="none"/>
        </w:rPr>
        <w:t xml:space="preserve">1.10.2 </w:t>
      </w:r>
      <w:r>
        <w:rPr>
          <w:rFonts w:cs="宋体"/>
          <w:color w:val="auto"/>
          <w:szCs w:val="22"/>
          <w:highlight w:val="none"/>
        </w:rPr>
        <w:t>中标人不得向他人转让中标项目，接受分包的人不得再次分包。中标人应当就分包项目向招标人负责，接受分包的人就分包项目承担连带责任。</w:t>
      </w:r>
    </w:p>
    <w:p>
      <w:pPr>
        <w:pStyle w:val="8"/>
        <w:overflowPunct w:val="0"/>
        <w:snapToGrid w:val="0"/>
        <w:spacing w:line="360" w:lineRule="auto"/>
        <w:ind w:right="113"/>
        <w:rPr>
          <w:rFonts w:hint="default" w:cs="宋体"/>
          <w:b/>
          <w:bCs/>
          <w:color w:val="auto"/>
          <w:highlight w:val="none"/>
        </w:rPr>
      </w:pPr>
      <w:bookmarkStart w:id="23" w:name="bookmark31"/>
      <w:bookmarkEnd w:id="23"/>
      <w:r>
        <w:rPr>
          <w:rFonts w:hint="default" w:cs="宋体"/>
          <w:b/>
          <w:bCs/>
          <w:color w:val="auto"/>
          <w:highlight w:val="none"/>
        </w:rPr>
        <w:t xml:space="preserve">1.11 </w:t>
      </w:r>
      <w:r>
        <w:rPr>
          <w:rFonts w:cs="宋体"/>
          <w:b/>
          <w:bCs/>
          <w:color w:val="auto"/>
          <w:highlight w:val="none"/>
        </w:rPr>
        <w:t>响应和偏差</w:t>
      </w:r>
    </w:p>
    <w:p>
      <w:pPr>
        <w:pStyle w:val="15"/>
        <w:overflowPunct w:val="0"/>
        <w:snapToGrid w:val="0"/>
        <w:spacing w:line="360" w:lineRule="auto"/>
        <w:ind w:left="102" w:right="113" w:firstLine="420"/>
        <w:rPr>
          <w:rFonts w:hint="default" w:cs="宋体"/>
          <w:color w:val="auto"/>
          <w:szCs w:val="22"/>
          <w:highlight w:val="none"/>
        </w:rPr>
      </w:pPr>
      <w:r>
        <w:rPr>
          <w:rFonts w:hint="default" w:cs="宋体"/>
          <w:color w:val="auto"/>
          <w:szCs w:val="22"/>
          <w:highlight w:val="none"/>
        </w:rPr>
        <w:t xml:space="preserve">1.11.1 </w:t>
      </w:r>
      <w:r>
        <w:rPr>
          <w:rFonts w:cs="宋体"/>
          <w:color w:val="auto"/>
          <w:szCs w:val="22"/>
          <w:highlight w:val="none"/>
        </w:rPr>
        <w:t>投标文件应当对招标文件的实质性要求和条件作出满足性或更有利于招标人的响应，否则，投标人的投标将被否决。实质性要求和条件见投标人须知前附表。</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1.11.2 </w:t>
      </w:r>
      <w:r>
        <w:rPr>
          <w:rFonts w:cs="宋体"/>
          <w:color w:val="auto"/>
          <w:szCs w:val="22"/>
          <w:highlight w:val="none"/>
        </w:rPr>
        <w:t>投标人应根据招标文件的要求提供投标设备技术性能指标的详细描述、技术支持资料及服务方案等内容以对招标文件作出响应。</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1.11.3 </w:t>
      </w:r>
      <w:r>
        <w:rPr>
          <w:rFonts w:cs="宋体"/>
          <w:color w:val="auto"/>
          <w:szCs w:val="22"/>
          <w:highlight w:val="none"/>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1.11.4 </w:t>
      </w:r>
      <w:r>
        <w:rPr>
          <w:rFonts w:cs="宋体"/>
          <w:color w:val="auto"/>
          <w:szCs w:val="22"/>
          <w:highlight w:val="none"/>
        </w:rPr>
        <w:t>投标人须知前附表规定了可以偏差的范围和最高偏差项数的，偏差应当符合投标人须知前附表规定的偏差范围和最高项数，超出偏差范围和最高偏差项数的投标将被否决。</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1.11.5 </w:t>
      </w:r>
      <w:r>
        <w:rPr>
          <w:rFonts w:cs="宋体"/>
          <w:color w:val="auto"/>
          <w:szCs w:val="22"/>
          <w:highlight w:val="none"/>
        </w:rPr>
        <w:t>投标文件对招标文件的全部偏差，均应在投标文件的商务和技术偏差表中列明，除列明的内容外，视为投标人响应招标文件的全部要求。</w:t>
      </w:r>
    </w:p>
    <w:p>
      <w:pPr>
        <w:pStyle w:val="7"/>
        <w:overflowPunct w:val="0"/>
        <w:snapToGrid w:val="0"/>
        <w:spacing w:line="360" w:lineRule="auto"/>
        <w:ind w:left="0" w:right="113"/>
        <w:rPr>
          <w:rFonts w:cs="宋体"/>
          <w:b w:val="0"/>
          <w:color w:val="auto"/>
          <w:highlight w:val="none"/>
        </w:rPr>
      </w:pPr>
      <w:bookmarkStart w:id="24" w:name="bookmark32"/>
      <w:bookmarkEnd w:id="24"/>
      <w:bookmarkStart w:id="25" w:name="_Toc83210313"/>
      <w:r>
        <w:rPr>
          <w:rFonts w:hint="eastAsia" w:ascii="宋体" w:hAnsi="宋体" w:eastAsia="宋体" w:cs="宋体"/>
          <w:color w:val="auto"/>
          <w:highlight w:val="none"/>
        </w:rPr>
        <w:t>2.招标文件</w:t>
      </w:r>
      <w:bookmarkEnd w:id="25"/>
    </w:p>
    <w:p>
      <w:pPr>
        <w:pStyle w:val="8"/>
        <w:overflowPunct w:val="0"/>
        <w:snapToGrid w:val="0"/>
        <w:spacing w:line="360" w:lineRule="auto"/>
        <w:ind w:right="113"/>
        <w:rPr>
          <w:rFonts w:hint="default" w:cs="宋体"/>
          <w:b/>
          <w:bCs/>
          <w:color w:val="auto"/>
          <w:highlight w:val="none"/>
        </w:rPr>
      </w:pPr>
      <w:bookmarkStart w:id="26" w:name="bookmark33"/>
      <w:bookmarkEnd w:id="26"/>
      <w:r>
        <w:rPr>
          <w:rFonts w:hint="default" w:cs="宋体"/>
          <w:b/>
          <w:bCs/>
          <w:color w:val="auto"/>
          <w:highlight w:val="none"/>
        </w:rPr>
        <w:t xml:space="preserve">2.1 </w:t>
      </w:r>
      <w:r>
        <w:rPr>
          <w:rFonts w:cs="宋体"/>
          <w:b/>
          <w:bCs/>
          <w:color w:val="auto"/>
          <w:highlight w:val="none"/>
        </w:rPr>
        <w:t>招标文件的组成</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本招标文件包括：</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1）招标公告（或投标邀请书）；</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2）投标人须知；</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3）评标办法；</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4）</w:t>
      </w:r>
      <w:r>
        <w:rPr>
          <w:rFonts w:cs="宋体"/>
          <w:color w:val="auto"/>
          <w:szCs w:val="22"/>
          <w:highlight w:val="none"/>
        </w:rPr>
        <w:t>合同条款及格式</w:t>
      </w:r>
      <w:r>
        <w:rPr>
          <w:rFonts w:hint="default" w:cs="宋体"/>
          <w:color w:val="auto"/>
          <w:szCs w:val="22"/>
          <w:highlight w:val="none"/>
        </w:rPr>
        <w:t>；</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5）</w:t>
      </w:r>
      <w:r>
        <w:rPr>
          <w:rFonts w:cs="宋体"/>
          <w:color w:val="auto"/>
          <w:szCs w:val="22"/>
          <w:highlight w:val="none"/>
        </w:rPr>
        <w:t>供货要求；</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6）投标文件格式；</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7）投标人须知前附表规定的其他资料。</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根据本章第</w:t>
      </w:r>
      <w:r>
        <w:rPr>
          <w:rFonts w:hint="default" w:cs="宋体"/>
          <w:color w:val="auto"/>
          <w:szCs w:val="22"/>
          <w:highlight w:val="none"/>
        </w:rPr>
        <w:t xml:space="preserve"> 1.9 </w:t>
      </w:r>
      <w:r>
        <w:rPr>
          <w:rFonts w:cs="宋体"/>
          <w:color w:val="auto"/>
          <w:szCs w:val="22"/>
          <w:highlight w:val="none"/>
        </w:rPr>
        <w:t>款、第</w:t>
      </w:r>
      <w:r>
        <w:rPr>
          <w:rFonts w:hint="default" w:cs="宋体"/>
          <w:color w:val="auto"/>
          <w:szCs w:val="22"/>
          <w:highlight w:val="none"/>
        </w:rPr>
        <w:t xml:space="preserve"> 2.2 </w:t>
      </w:r>
      <w:r>
        <w:rPr>
          <w:rFonts w:cs="宋体"/>
          <w:color w:val="auto"/>
          <w:szCs w:val="22"/>
          <w:highlight w:val="none"/>
        </w:rPr>
        <w:t>款和第</w:t>
      </w:r>
      <w:r>
        <w:rPr>
          <w:rFonts w:hint="default" w:cs="宋体"/>
          <w:color w:val="auto"/>
          <w:szCs w:val="22"/>
          <w:highlight w:val="none"/>
        </w:rPr>
        <w:t xml:space="preserve"> 2.3 </w:t>
      </w:r>
      <w:r>
        <w:rPr>
          <w:rFonts w:cs="宋体"/>
          <w:color w:val="auto"/>
          <w:szCs w:val="22"/>
          <w:highlight w:val="none"/>
        </w:rPr>
        <w:t>款对招标文件所作的澄清、修改，构成招标文件的组成部分。</w:t>
      </w:r>
    </w:p>
    <w:p>
      <w:pPr>
        <w:pStyle w:val="8"/>
        <w:overflowPunct w:val="0"/>
        <w:snapToGrid w:val="0"/>
        <w:spacing w:line="360" w:lineRule="auto"/>
        <w:ind w:right="113"/>
        <w:rPr>
          <w:rFonts w:hint="default" w:cs="宋体"/>
          <w:b/>
          <w:bCs/>
          <w:color w:val="auto"/>
          <w:highlight w:val="none"/>
        </w:rPr>
      </w:pPr>
      <w:bookmarkStart w:id="27" w:name="bookmark34"/>
      <w:bookmarkEnd w:id="27"/>
      <w:r>
        <w:rPr>
          <w:rFonts w:hint="default" w:cs="宋体"/>
          <w:b/>
          <w:bCs/>
          <w:color w:val="auto"/>
          <w:highlight w:val="none"/>
        </w:rPr>
        <w:t xml:space="preserve">2.2 </w:t>
      </w:r>
      <w:r>
        <w:rPr>
          <w:rFonts w:cs="宋体"/>
          <w:b/>
          <w:bCs/>
          <w:color w:val="auto"/>
          <w:highlight w:val="none"/>
        </w:rPr>
        <w:t>招标文件的澄清</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2.2.1 </w:t>
      </w:r>
      <w:r>
        <w:rPr>
          <w:rFonts w:cs="宋体"/>
          <w:color w:val="auto"/>
          <w:szCs w:val="22"/>
          <w:highlight w:val="none"/>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pStyle w:val="15"/>
        <w:overflowPunct w:val="0"/>
        <w:snapToGrid w:val="0"/>
        <w:spacing w:line="360" w:lineRule="auto"/>
        <w:ind w:left="102" w:right="113" w:firstLine="420"/>
        <w:rPr>
          <w:rFonts w:hint="default" w:cs="宋体"/>
          <w:color w:val="auto"/>
          <w:szCs w:val="22"/>
          <w:highlight w:val="none"/>
        </w:rPr>
      </w:pPr>
      <w:r>
        <w:rPr>
          <w:rFonts w:hint="default" w:cs="宋体"/>
          <w:color w:val="auto"/>
          <w:szCs w:val="22"/>
          <w:highlight w:val="none"/>
        </w:rPr>
        <w:t xml:space="preserve">2.2.2 </w:t>
      </w:r>
      <w:r>
        <w:rPr>
          <w:rFonts w:cs="宋体"/>
          <w:color w:val="auto"/>
          <w:szCs w:val="22"/>
          <w:highlight w:val="none"/>
        </w:rPr>
        <w:t>招标文件的澄清以投标人须知前附表规定的形式发给所有获取招标文件的投标人，但不指明澄清问题的来源。澄清发出的时间距本章第</w:t>
      </w:r>
      <w:r>
        <w:rPr>
          <w:rFonts w:hint="default" w:cs="宋体"/>
          <w:color w:val="auto"/>
          <w:szCs w:val="22"/>
          <w:highlight w:val="none"/>
        </w:rPr>
        <w:t xml:space="preserve"> 4.2.1 </w:t>
      </w:r>
      <w:r>
        <w:rPr>
          <w:rFonts w:cs="宋体"/>
          <w:color w:val="auto"/>
          <w:szCs w:val="22"/>
          <w:highlight w:val="none"/>
        </w:rPr>
        <w:t>项规定的投标截止时间不足</w:t>
      </w:r>
      <w:r>
        <w:rPr>
          <w:rFonts w:hint="default" w:cs="宋体"/>
          <w:color w:val="auto"/>
          <w:szCs w:val="22"/>
          <w:highlight w:val="none"/>
        </w:rPr>
        <w:t xml:space="preserve"> 15 </w:t>
      </w:r>
      <w:r>
        <w:rPr>
          <w:rFonts w:cs="宋体"/>
          <w:color w:val="auto"/>
          <w:szCs w:val="22"/>
          <w:highlight w:val="none"/>
        </w:rPr>
        <w:t>日的，并且澄清内容可能影响投标文件编制的，将相应延长投标截止时间。</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2.2.3 </w:t>
      </w:r>
      <w:r>
        <w:rPr>
          <w:rFonts w:cs="宋体"/>
          <w:color w:val="auto"/>
          <w:szCs w:val="22"/>
          <w:highlight w:val="none"/>
        </w:rPr>
        <w:t>投标人在收到澄清后，应按投标人须知前附表规定的时间和形式通知招标人，确认已收到该澄清。</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2.2.4 </w:t>
      </w:r>
      <w:r>
        <w:rPr>
          <w:rFonts w:cs="宋体"/>
          <w:color w:val="auto"/>
          <w:szCs w:val="22"/>
          <w:highlight w:val="none"/>
        </w:rPr>
        <w:t>除非招标人认为确有必要答复，否则，招标人有权拒绝回复投标人在本章第</w:t>
      </w:r>
      <w:r>
        <w:rPr>
          <w:rFonts w:hint="default" w:cs="宋体"/>
          <w:color w:val="auto"/>
          <w:szCs w:val="22"/>
          <w:highlight w:val="none"/>
        </w:rPr>
        <w:t xml:space="preserve"> 2.2.1 </w:t>
      </w:r>
      <w:r>
        <w:rPr>
          <w:rFonts w:cs="宋体"/>
          <w:color w:val="auto"/>
          <w:szCs w:val="22"/>
          <w:highlight w:val="none"/>
        </w:rPr>
        <w:t>项规定的时间后的任何澄清要求。</w:t>
      </w:r>
    </w:p>
    <w:p>
      <w:pPr>
        <w:pStyle w:val="8"/>
        <w:overflowPunct w:val="0"/>
        <w:snapToGrid w:val="0"/>
        <w:spacing w:line="360" w:lineRule="auto"/>
        <w:ind w:right="113"/>
        <w:rPr>
          <w:rFonts w:hint="default" w:cs="宋体"/>
          <w:b/>
          <w:bCs/>
          <w:color w:val="auto"/>
          <w:highlight w:val="none"/>
        </w:rPr>
      </w:pPr>
      <w:bookmarkStart w:id="28" w:name="bookmark35"/>
      <w:bookmarkEnd w:id="28"/>
      <w:r>
        <w:rPr>
          <w:rFonts w:hint="default" w:cs="宋体"/>
          <w:b/>
          <w:bCs/>
          <w:color w:val="auto"/>
          <w:highlight w:val="none"/>
        </w:rPr>
        <w:t xml:space="preserve">2.3 </w:t>
      </w:r>
      <w:r>
        <w:rPr>
          <w:rFonts w:cs="宋体"/>
          <w:b/>
          <w:bCs/>
          <w:color w:val="auto"/>
          <w:highlight w:val="none"/>
        </w:rPr>
        <w:t>招标文件的修改</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2.3.1 </w:t>
      </w:r>
      <w:r>
        <w:rPr>
          <w:rFonts w:cs="宋体"/>
          <w:color w:val="auto"/>
          <w:szCs w:val="22"/>
          <w:highlight w:val="none"/>
        </w:rPr>
        <w:t>招标人以投标人须知前附表规定的形式修改招标文件，并通知所有已获取招标文件的投标人。修改招标文件的时间距本章第</w:t>
      </w:r>
      <w:r>
        <w:rPr>
          <w:rFonts w:hint="default" w:cs="宋体"/>
          <w:color w:val="auto"/>
          <w:szCs w:val="22"/>
          <w:highlight w:val="none"/>
        </w:rPr>
        <w:t xml:space="preserve"> 4.2.1 </w:t>
      </w:r>
      <w:r>
        <w:rPr>
          <w:rFonts w:cs="宋体"/>
          <w:color w:val="auto"/>
          <w:szCs w:val="22"/>
          <w:highlight w:val="none"/>
        </w:rPr>
        <w:t>项规定的投标截止时间不足</w:t>
      </w:r>
      <w:r>
        <w:rPr>
          <w:rFonts w:hint="default" w:cs="宋体"/>
          <w:color w:val="auto"/>
          <w:szCs w:val="22"/>
          <w:highlight w:val="none"/>
        </w:rPr>
        <w:t xml:space="preserve"> 15 </w:t>
      </w:r>
      <w:r>
        <w:rPr>
          <w:rFonts w:cs="宋体"/>
          <w:color w:val="auto"/>
          <w:szCs w:val="22"/>
          <w:highlight w:val="none"/>
        </w:rPr>
        <w:t>日的，并且修改内容可能影响投标文件编制的，将相应延长投标截止时间。</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2.3.2 </w:t>
      </w:r>
      <w:r>
        <w:rPr>
          <w:rFonts w:cs="宋体"/>
          <w:color w:val="auto"/>
          <w:szCs w:val="22"/>
          <w:highlight w:val="none"/>
        </w:rPr>
        <w:t>投标人收到修改内容后，应按投标人须知前附表规定的时间和形式通知招标人，确认已收到该修改。</w:t>
      </w:r>
    </w:p>
    <w:p>
      <w:pPr>
        <w:pStyle w:val="8"/>
        <w:overflowPunct w:val="0"/>
        <w:snapToGrid w:val="0"/>
        <w:spacing w:line="360" w:lineRule="auto"/>
        <w:ind w:right="113"/>
        <w:rPr>
          <w:rFonts w:hint="default" w:cs="宋体"/>
          <w:b/>
          <w:bCs/>
          <w:color w:val="auto"/>
          <w:highlight w:val="none"/>
        </w:rPr>
      </w:pPr>
      <w:bookmarkStart w:id="29" w:name="bookmark36"/>
      <w:bookmarkEnd w:id="29"/>
      <w:r>
        <w:rPr>
          <w:rFonts w:hint="default" w:cs="宋体"/>
          <w:b/>
          <w:bCs/>
          <w:color w:val="auto"/>
          <w:highlight w:val="none"/>
        </w:rPr>
        <w:t xml:space="preserve">2.4 </w:t>
      </w:r>
      <w:r>
        <w:rPr>
          <w:rFonts w:cs="宋体"/>
          <w:b/>
          <w:bCs/>
          <w:color w:val="auto"/>
          <w:highlight w:val="none"/>
        </w:rPr>
        <w:t>招标文件的异议</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投标人或者其他利害关系人对招标文件有异议的，应当在投标截止时间</w:t>
      </w:r>
      <w:r>
        <w:rPr>
          <w:rFonts w:hint="default" w:cs="宋体"/>
          <w:color w:val="auto"/>
          <w:szCs w:val="22"/>
          <w:highlight w:val="none"/>
        </w:rPr>
        <w:t xml:space="preserve"> 10 </w:t>
      </w:r>
      <w:r>
        <w:rPr>
          <w:rFonts w:cs="宋体"/>
          <w:color w:val="auto"/>
          <w:szCs w:val="22"/>
          <w:highlight w:val="none"/>
        </w:rPr>
        <w:t>日前以书面形式提出。招标人将在收到异议之日起</w:t>
      </w:r>
      <w:r>
        <w:rPr>
          <w:rFonts w:hint="default" w:cs="宋体"/>
          <w:color w:val="auto"/>
          <w:szCs w:val="22"/>
          <w:highlight w:val="none"/>
        </w:rPr>
        <w:t xml:space="preserve"> 3 </w:t>
      </w:r>
      <w:r>
        <w:rPr>
          <w:rFonts w:cs="宋体"/>
          <w:color w:val="auto"/>
          <w:szCs w:val="22"/>
          <w:highlight w:val="none"/>
        </w:rPr>
        <w:t>日内作出答复；作出答复前，将暂停招标投标活动。</w:t>
      </w:r>
    </w:p>
    <w:p>
      <w:pPr>
        <w:pStyle w:val="7"/>
        <w:overflowPunct w:val="0"/>
        <w:snapToGrid w:val="0"/>
        <w:spacing w:line="360" w:lineRule="auto"/>
        <w:ind w:left="0" w:right="113"/>
        <w:rPr>
          <w:rFonts w:ascii="宋体" w:hAnsi="宋体" w:eastAsia="宋体" w:cs="宋体"/>
          <w:b w:val="0"/>
          <w:color w:val="auto"/>
          <w:highlight w:val="none"/>
        </w:rPr>
      </w:pPr>
      <w:bookmarkStart w:id="30" w:name="bookmark37"/>
      <w:bookmarkEnd w:id="30"/>
      <w:bookmarkStart w:id="31" w:name="_Toc83210314"/>
      <w:r>
        <w:rPr>
          <w:rFonts w:hint="eastAsia" w:ascii="宋体" w:hAnsi="宋体" w:eastAsia="宋体" w:cs="宋体"/>
          <w:color w:val="auto"/>
          <w:highlight w:val="none"/>
        </w:rPr>
        <w:t>3.投标文件</w:t>
      </w:r>
      <w:bookmarkEnd w:id="31"/>
    </w:p>
    <w:p>
      <w:pPr>
        <w:pStyle w:val="8"/>
        <w:overflowPunct w:val="0"/>
        <w:snapToGrid w:val="0"/>
        <w:spacing w:line="360" w:lineRule="auto"/>
        <w:ind w:right="113"/>
        <w:rPr>
          <w:rFonts w:hint="default" w:cs="宋体"/>
          <w:b/>
          <w:bCs/>
          <w:color w:val="auto"/>
          <w:highlight w:val="none"/>
        </w:rPr>
      </w:pPr>
      <w:bookmarkStart w:id="32" w:name="bookmark38"/>
      <w:bookmarkEnd w:id="32"/>
      <w:r>
        <w:rPr>
          <w:rFonts w:hint="default" w:cs="宋体"/>
          <w:b/>
          <w:bCs/>
          <w:color w:val="auto"/>
          <w:highlight w:val="none"/>
        </w:rPr>
        <w:t xml:space="preserve">3.1 </w:t>
      </w:r>
      <w:r>
        <w:rPr>
          <w:rFonts w:cs="宋体"/>
          <w:b/>
          <w:bCs/>
          <w:color w:val="auto"/>
          <w:highlight w:val="none"/>
        </w:rPr>
        <w:t>投标文件的组成</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3.1.1 </w:t>
      </w:r>
      <w:r>
        <w:rPr>
          <w:rFonts w:cs="宋体"/>
          <w:color w:val="auto"/>
          <w:szCs w:val="22"/>
          <w:highlight w:val="none"/>
        </w:rPr>
        <w:t>投标文件应包括下列内容：</w:t>
      </w:r>
    </w:p>
    <w:p>
      <w:pPr>
        <w:pStyle w:val="15"/>
        <w:overflowPunct w:val="0"/>
        <w:snapToGrid w:val="0"/>
        <w:spacing w:line="360" w:lineRule="auto"/>
        <w:ind w:right="113" w:firstLine="419"/>
        <w:rPr>
          <w:rFonts w:hint="default" w:cs="宋体"/>
          <w:color w:val="auto"/>
          <w:szCs w:val="22"/>
          <w:highlight w:val="none"/>
        </w:rPr>
      </w:pPr>
      <w:bookmarkStart w:id="33" w:name="_Hlk42787667"/>
      <w:r>
        <w:rPr>
          <w:rFonts w:cs="宋体"/>
          <w:color w:val="auto"/>
          <w:szCs w:val="22"/>
          <w:highlight w:val="none"/>
        </w:rPr>
        <w:t>（</w:t>
      </w:r>
      <w:r>
        <w:rPr>
          <w:rFonts w:hint="default" w:cs="宋体"/>
          <w:color w:val="auto"/>
          <w:szCs w:val="22"/>
          <w:highlight w:val="none"/>
        </w:rPr>
        <w:t>1）投标函</w:t>
      </w:r>
      <w:r>
        <w:rPr>
          <w:rFonts w:cs="宋体"/>
          <w:color w:val="auto"/>
          <w:szCs w:val="22"/>
          <w:highlight w:val="none"/>
        </w:rPr>
        <w:t>及投标函附录</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2</w:t>
      </w:r>
      <w:r>
        <w:rPr>
          <w:rFonts w:cs="宋体"/>
          <w:color w:val="auto"/>
          <w:szCs w:val="22"/>
          <w:highlight w:val="none"/>
        </w:rPr>
        <w:t>）投标报价表</w:t>
      </w:r>
      <w:r>
        <w:rPr>
          <w:rFonts w:hint="default" w:cs="宋体"/>
          <w:color w:val="auto"/>
          <w:szCs w:val="22"/>
          <w:highlight w:val="none"/>
        </w:rPr>
        <w:t>（</w:t>
      </w:r>
      <w:r>
        <w:rPr>
          <w:rFonts w:cs="宋体"/>
          <w:color w:val="auto"/>
          <w:szCs w:val="22"/>
          <w:highlight w:val="none"/>
        </w:rPr>
        <w:t>含工程量清单报价分项明细表、电梯（垂直/自动扶梯）货物主要部件（材料、配套件）清单、电梯（垂直/自动扶梯）货物备品备件清单、质保期满后5年的维修保养费用</w:t>
      </w:r>
      <w:r>
        <w:rPr>
          <w:rFonts w:hint="default" w:cs="宋体"/>
          <w:color w:val="auto"/>
          <w:szCs w:val="22"/>
          <w:highlight w:val="none"/>
        </w:rPr>
        <w:t>）</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3）商务部分(</w:t>
      </w:r>
      <w:r>
        <w:rPr>
          <w:rFonts w:cs="宋体"/>
          <w:color w:val="auto"/>
          <w:szCs w:val="22"/>
          <w:highlight w:val="none"/>
        </w:rPr>
        <w:t>含资格审查部分）</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①投标单位法定代表人（单位负责人）证明书及法定代表人（单位负责人）授权委托书</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②投标单位营业执照或事业单位法人证书</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③投标单位资质证书</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④投标人基本情况表</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⑤投标申请人声明</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⑥2018年1月1日至今类似项目业绩</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⑦企业资信证明材料</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（a）企业银行信用等级（须提供有效期内的等级证书扫描件）</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（b）ISO管理体系（包括ISO9001质量管理体系认证、ISO14001环境管理体系认证、ISO45001职业健康安全管理体系认证，须提供有效期内管理体系认证证书扫描件）</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（c）电梯业绩</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（d）其他资料</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⑧项目负责人及拟投入的电梯安装人员一览表</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⑨关于响应土建尺寸的承诺函</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4）技术部分</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①投标设备技术性能指标的详细描述,内容包括但不限于：</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（a）</w:t>
      </w:r>
      <w:r>
        <w:rPr>
          <w:rFonts w:cs="宋体"/>
          <w:color w:val="auto"/>
          <w:szCs w:val="21"/>
          <w:highlight w:val="none"/>
          <w:lang w:bidi="ar"/>
        </w:rPr>
        <w:t>曳引机是否为永磁同步无齿轮曳引机，是否采用32位以上微机控制交流变频变压驱动系统，曳引机的品牌及性能；</w:t>
      </w:r>
      <w:r>
        <w:rPr>
          <w:rFonts w:cs="宋体"/>
          <w:color w:val="auto"/>
          <w:szCs w:val="22"/>
          <w:highlight w:val="none"/>
        </w:rPr>
        <w:t>（b）</w:t>
      </w:r>
      <w:r>
        <w:rPr>
          <w:rFonts w:cs="宋体"/>
          <w:color w:val="auto"/>
          <w:szCs w:val="21"/>
          <w:highlight w:val="none"/>
          <w:lang w:bidi="ar"/>
        </w:rPr>
        <w:t>控制柜以及变频器的品牌及</w:t>
      </w:r>
      <w:r>
        <w:rPr>
          <w:color w:val="auto"/>
          <w:highlight w:val="none"/>
          <w:lang w:bidi="ar"/>
        </w:rPr>
        <w:t>电磁兼容性性能等；</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（c）</w:t>
      </w:r>
      <w:r>
        <w:rPr>
          <w:rFonts w:cs="宋体"/>
          <w:color w:val="auto"/>
          <w:szCs w:val="21"/>
          <w:highlight w:val="none"/>
          <w:lang w:bidi="ar"/>
        </w:rPr>
        <w:t>门机控制系统</w:t>
      </w:r>
      <w:r>
        <w:rPr>
          <w:color w:val="auto"/>
          <w:highlight w:val="none"/>
          <w:lang w:bidi="ar"/>
        </w:rPr>
        <w:t>是否为永磁同步门机，门机驱动是否采用交流变频变压控制系统，门机控制系统的品牌及性能；</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（d）</w:t>
      </w:r>
      <w:r>
        <w:rPr>
          <w:rFonts w:cs="宋体"/>
          <w:color w:val="auto"/>
          <w:szCs w:val="21"/>
          <w:highlight w:val="none"/>
          <w:lang w:bidi="ar"/>
        </w:rPr>
        <w:t>门保护系统的性能；</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（e）其他资料</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②技术支持资料</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③服务方案</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（a）电梯供货、安装、调试、验收方案及进度计划。</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（b）售后服务方案（包括但不限于：是否有项目所在地售后服务机构的专业维修队伍、是否有零配件仓库、配件供应能力，紧急维修服务响应时间等）。</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（c）</w:t>
      </w:r>
      <w:r>
        <w:rPr>
          <w:color w:val="auto"/>
          <w:szCs w:val="21"/>
          <w:highlight w:val="none"/>
        </w:rPr>
        <w:t>其他（投标人认为需要提供的资料）。</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5）其他资料</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①商务偏差表、</w:t>
      </w:r>
      <w:r>
        <w:rPr>
          <w:bCs/>
          <w:color w:val="auto"/>
          <w:szCs w:val="24"/>
          <w:highlight w:val="none"/>
        </w:rPr>
        <w:t>电梯技术要求及参数响应表</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②投标保证金</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③危险性较大的分部分项工程清单及超过一定规模的危险性较大的分部分项工程清单</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6）投标人认为有必要提供的其它证明材料</w:t>
      </w:r>
      <w:bookmarkEnd w:id="33"/>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投标人在评标过程中作出的符合法律法规和招标文件规定的澄清确认，构成投标文件的组成部分。</w:t>
      </w:r>
    </w:p>
    <w:p>
      <w:pPr>
        <w:pStyle w:val="8"/>
        <w:overflowPunct w:val="0"/>
        <w:snapToGrid w:val="0"/>
        <w:spacing w:line="360" w:lineRule="auto"/>
        <w:ind w:right="113"/>
        <w:rPr>
          <w:rFonts w:hint="default" w:cs="宋体"/>
          <w:b/>
          <w:bCs/>
          <w:color w:val="auto"/>
          <w:highlight w:val="none"/>
        </w:rPr>
      </w:pPr>
      <w:bookmarkStart w:id="34" w:name="bookmark39"/>
      <w:bookmarkEnd w:id="34"/>
      <w:r>
        <w:rPr>
          <w:rFonts w:hint="default" w:cs="宋体"/>
          <w:b/>
          <w:bCs/>
          <w:color w:val="auto"/>
          <w:highlight w:val="none"/>
        </w:rPr>
        <w:t xml:space="preserve">3.2 </w:t>
      </w:r>
      <w:r>
        <w:rPr>
          <w:rFonts w:cs="宋体"/>
          <w:b/>
          <w:bCs/>
          <w:color w:val="auto"/>
          <w:highlight w:val="none"/>
        </w:rPr>
        <w:t>投标报价</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3.2.1 </w:t>
      </w:r>
      <w:r>
        <w:rPr>
          <w:rFonts w:cs="宋体"/>
          <w:color w:val="auto"/>
          <w:szCs w:val="22"/>
          <w:highlight w:val="none"/>
        </w:rPr>
        <w:t>投标报价应包括国家规定的增值税税金，除投标人须知前附表另有规定外，增值税税金按一般计税方法计算。投标人应按第六章“投标文件格式”的要求在投标函中进行报价并填写分项报价表。</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3.2.2 </w:t>
      </w:r>
      <w:r>
        <w:rPr>
          <w:rFonts w:cs="宋体"/>
          <w:color w:val="auto"/>
          <w:szCs w:val="22"/>
          <w:highlight w:val="none"/>
        </w:rPr>
        <w:t>投标人应充分了解该项目的总体情况以及影响投标报价的其他要素。</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3.2.3 </w:t>
      </w:r>
      <w:r>
        <w:rPr>
          <w:rFonts w:cs="宋体"/>
          <w:color w:val="auto"/>
          <w:szCs w:val="22"/>
          <w:highlight w:val="none"/>
        </w:rPr>
        <w:t>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分项报价表”中的相应报价。此修改须符合本章第</w:t>
      </w:r>
      <w:r>
        <w:rPr>
          <w:rFonts w:hint="default" w:cs="宋体"/>
          <w:color w:val="auto"/>
          <w:szCs w:val="22"/>
          <w:highlight w:val="none"/>
        </w:rPr>
        <w:t xml:space="preserve"> 4.3 </w:t>
      </w:r>
      <w:r>
        <w:rPr>
          <w:rFonts w:cs="宋体"/>
          <w:color w:val="auto"/>
          <w:szCs w:val="22"/>
          <w:highlight w:val="none"/>
        </w:rPr>
        <w:t>款的有关要求。</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3.2.4 </w:t>
      </w:r>
      <w:r>
        <w:rPr>
          <w:rFonts w:cs="宋体"/>
          <w:color w:val="auto"/>
          <w:szCs w:val="22"/>
          <w:highlight w:val="none"/>
        </w:rPr>
        <w:t>招标人设有最高投标限价的，投标人的投标报价不得超过最高投标限价，最高投标限价在投标人须知前附表中载明。</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3.2.5 </w:t>
      </w:r>
      <w:r>
        <w:rPr>
          <w:rFonts w:cs="宋体"/>
          <w:color w:val="auto"/>
          <w:szCs w:val="22"/>
          <w:highlight w:val="none"/>
        </w:rPr>
        <w:t>投标报价的其他要求见投标人须知前附表。</w:t>
      </w:r>
    </w:p>
    <w:p>
      <w:pPr>
        <w:pStyle w:val="8"/>
        <w:overflowPunct w:val="0"/>
        <w:snapToGrid w:val="0"/>
        <w:spacing w:line="360" w:lineRule="auto"/>
        <w:ind w:right="113"/>
        <w:rPr>
          <w:rFonts w:hint="default" w:cs="宋体"/>
          <w:b/>
          <w:bCs/>
          <w:color w:val="auto"/>
          <w:highlight w:val="none"/>
        </w:rPr>
      </w:pPr>
      <w:bookmarkStart w:id="35" w:name="bookmark40"/>
      <w:bookmarkEnd w:id="35"/>
      <w:r>
        <w:rPr>
          <w:rFonts w:hint="default" w:cs="宋体"/>
          <w:b/>
          <w:bCs/>
          <w:color w:val="auto"/>
          <w:highlight w:val="none"/>
        </w:rPr>
        <w:t xml:space="preserve">3.3 </w:t>
      </w:r>
      <w:r>
        <w:rPr>
          <w:rFonts w:cs="宋体"/>
          <w:b/>
          <w:bCs/>
          <w:color w:val="auto"/>
          <w:highlight w:val="none"/>
        </w:rPr>
        <w:t>投标有效期</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3.3.1 </w:t>
      </w:r>
      <w:r>
        <w:rPr>
          <w:rFonts w:cs="宋体"/>
          <w:color w:val="auto"/>
          <w:szCs w:val="22"/>
          <w:highlight w:val="none"/>
        </w:rPr>
        <w:t>除投标人须知前附表另有规定外，投标有效期为</w:t>
      </w:r>
      <w:r>
        <w:rPr>
          <w:rFonts w:hint="default" w:cs="宋体"/>
          <w:color w:val="auto"/>
          <w:szCs w:val="22"/>
          <w:highlight w:val="none"/>
          <w:u w:val="single"/>
        </w:rPr>
        <w:t xml:space="preserve"> 120 </w:t>
      </w:r>
      <w:r>
        <w:rPr>
          <w:rFonts w:cs="宋体"/>
          <w:color w:val="auto"/>
          <w:szCs w:val="22"/>
          <w:highlight w:val="none"/>
        </w:rPr>
        <w:t>天。</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3.3.2 </w:t>
      </w:r>
      <w:r>
        <w:rPr>
          <w:rFonts w:cs="宋体"/>
          <w:color w:val="auto"/>
          <w:szCs w:val="22"/>
          <w:highlight w:val="none"/>
        </w:rPr>
        <w:t>在投标有效期内，投标人撤销投标文件的，应承担招标文件和法律规定的责任。</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3.3.3 </w:t>
      </w:r>
      <w:r>
        <w:rPr>
          <w:rFonts w:cs="宋体"/>
          <w:color w:val="auto"/>
          <w:szCs w:val="22"/>
          <w:highlight w:val="none"/>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Style w:val="8"/>
        <w:overflowPunct w:val="0"/>
        <w:snapToGrid w:val="0"/>
        <w:spacing w:line="360" w:lineRule="auto"/>
        <w:ind w:right="113"/>
        <w:rPr>
          <w:rFonts w:hint="default" w:cs="宋体"/>
          <w:b/>
          <w:bCs/>
          <w:color w:val="auto"/>
          <w:highlight w:val="none"/>
        </w:rPr>
      </w:pPr>
      <w:bookmarkStart w:id="36" w:name="bookmark41"/>
      <w:bookmarkEnd w:id="36"/>
      <w:r>
        <w:rPr>
          <w:rFonts w:hint="default" w:cs="宋体"/>
          <w:b/>
          <w:bCs/>
          <w:color w:val="auto"/>
          <w:highlight w:val="none"/>
        </w:rPr>
        <w:t xml:space="preserve">3.4 </w:t>
      </w:r>
      <w:r>
        <w:rPr>
          <w:rFonts w:cs="宋体"/>
          <w:b/>
          <w:bCs/>
          <w:color w:val="auto"/>
          <w:highlight w:val="none"/>
        </w:rPr>
        <w:t>投标保证金</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3.4.1 </w:t>
      </w:r>
      <w:r>
        <w:rPr>
          <w:rFonts w:cs="宋体"/>
          <w:color w:val="auto"/>
          <w:szCs w:val="22"/>
          <w:highlight w:val="none"/>
        </w:rPr>
        <w:t>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3.4.2 </w:t>
      </w:r>
      <w:r>
        <w:rPr>
          <w:rFonts w:cs="宋体"/>
          <w:color w:val="auto"/>
          <w:szCs w:val="22"/>
          <w:highlight w:val="none"/>
        </w:rPr>
        <w:t>投标人不按本章第</w:t>
      </w:r>
      <w:r>
        <w:rPr>
          <w:rFonts w:hint="default" w:cs="宋体"/>
          <w:color w:val="auto"/>
          <w:szCs w:val="22"/>
          <w:highlight w:val="none"/>
        </w:rPr>
        <w:t xml:space="preserve"> 3.4.1 </w:t>
      </w:r>
      <w:r>
        <w:rPr>
          <w:rFonts w:cs="宋体"/>
          <w:color w:val="auto"/>
          <w:szCs w:val="22"/>
          <w:highlight w:val="none"/>
        </w:rPr>
        <w:t>项要求提交投标保证金的，评标委员会将否决其投标。</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3.4.3 </w:t>
      </w:r>
      <w:r>
        <w:rPr>
          <w:rFonts w:cs="宋体"/>
          <w:color w:val="auto"/>
          <w:szCs w:val="22"/>
          <w:highlight w:val="none"/>
        </w:rPr>
        <w:t>招标人应当在中标通知书发出之日起五日内将投标保证金退回中标候选人以外的投标人，在书面合同订立之日起五日内将投标保证金退回中标人和其他中标候选人。</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3.4.4 </w:t>
      </w:r>
      <w:r>
        <w:rPr>
          <w:rFonts w:cs="宋体"/>
          <w:color w:val="auto"/>
          <w:szCs w:val="22"/>
          <w:highlight w:val="none"/>
        </w:rPr>
        <w:t>有下列情形之一的，投标保证金将不予退还：</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1）投标人在投标有效期内撤销投标文件；</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2）中标人在收到中标通知书后，</w:t>
      </w:r>
      <w:r>
        <w:rPr>
          <w:rFonts w:cs="宋体"/>
          <w:color w:val="auto"/>
          <w:szCs w:val="22"/>
          <w:highlight w:val="none"/>
        </w:rPr>
        <w:t>无正当理由不与招标人和4#地块施工总承包单位</w:t>
      </w:r>
      <w:r>
        <w:rPr>
          <w:rFonts w:hint="default" w:cs="宋体"/>
          <w:color w:val="auto"/>
          <w:szCs w:val="22"/>
          <w:highlight w:val="none"/>
        </w:rPr>
        <w:t>订立合同，在签订合同时向</w:t>
      </w:r>
      <w:r>
        <w:rPr>
          <w:rFonts w:cs="宋体"/>
          <w:color w:val="auto"/>
          <w:szCs w:val="22"/>
          <w:highlight w:val="none"/>
        </w:rPr>
        <w:t>招标人和4#地块施工总承包单位</w:t>
      </w:r>
      <w:r>
        <w:rPr>
          <w:rFonts w:hint="default" w:cs="宋体"/>
          <w:color w:val="auto"/>
          <w:szCs w:val="22"/>
          <w:highlight w:val="none"/>
        </w:rPr>
        <w:t>提出附加条件，或者不按照招标文件要求提交履约保证金；</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3）发生投标人须知前附表规定的其他可以不予退还投标保证金的情形。</w:t>
      </w:r>
    </w:p>
    <w:p>
      <w:pPr>
        <w:pStyle w:val="8"/>
        <w:overflowPunct w:val="0"/>
        <w:snapToGrid w:val="0"/>
        <w:spacing w:line="360" w:lineRule="auto"/>
        <w:ind w:right="113"/>
        <w:rPr>
          <w:rFonts w:hint="default" w:cs="宋体"/>
          <w:b/>
          <w:bCs/>
          <w:color w:val="auto"/>
          <w:highlight w:val="none"/>
        </w:rPr>
      </w:pPr>
      <w:bookmarkStart w:id="37" w:name="bookmark42"/>
      <w:bookmarkEnd w:id="37"/>
      <w:bookmarkStart w:id="38" w:name="bookmark43"/>
      <w:bookmarkEnd w:id="38"/>
      <w:r>
        <w:rPr>
          <w:rFonts w:hint="default" w:cs="宋体"/>
          <w:b/>
          <w:bCs/>
          <w:color w:val="auto"/>
          <w:highlight w:val="none"/>
        </w:rPr>
        <w:t xml:space="preserve">3.5 </w:t>
      </w:r>
      <w:r>
        <w:rPr>
          <w:rFonts w:cs="宋体"/>
          <w:b/>
          <w:bCs/>
          <w:color w:val="auto"/>
          <w:highlight w:val="none"/>
        </w:rPr>
        <w:t>资格审查资料（适用于未进行资格预审的）</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除投标人须知前附表另有规定外，投标人应按下列规定提供资格审查资料，以证明其满足本章第</w:t>
      </w:r>
      <w:r>
        <w:rPr>
          <w:rFonts w:hint="default" w:cs="宋体"/>
          <w:color w:val="auto"/>
          <w:szCs w:val="22"/>
          <w:highlight w:val="none"/>
        </w:rPr>
        <w:t xml:space="preserve"> 1.4 </w:t>
      </w:r>
      <w:r>
        <w:rPr>
          <w:rFonts w:cs="宋体"/>
          <w:color w:val="auto"/>
          <w:szCs w:val="22"/>
          <w:highlight w:val="none"/>
        </w:rPr>
        <w:t>款规定的资质、业绩、信誉等要求。</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3.5.1 </w:t>
      </w:r>
      <w:r>
        <w:rPr>
          <w:rFonts w:cs="宋体"/>
          <w:color w:val="auto"/>
          <w:szCs w:val="22"/>
          <w:highlight w:val="none"/>
        </w:rPr>
        <w:t>“投标人基本情况表”应附投标人及其制造商资格或者资质证书副本和投标材料检验或认证等材料的</w:t>
      </w:r>
      <w:r>
        <w:rPr>
          <w:rFonts w:cs="宋体"/>
          <w:color w:val="auto"/>
          <w:szCs w:val="22"/>
          <w:highlight w:val="none"/>
          <w:u w:val="single"/>
        </w:rPr>
        <w:t>扫描件</w:t>
      </w:r>
      <w:r>
        <w:rPr>
          <w:rFonts w:cs="宋体"/>
          <w:color w:val="auto"/>
          <w:szCs w:val="22"/>
          <w:highlight w:val="none"/>
        </w:rPr>
        <w:t>以及：</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1）投标人为企业的，应提交营业执照和组织机构代码证的</w:t>
      </w:r>
      <w:r>
        <w:rPr>
          <w:rFonts w:cs="宋体"/>
          <w:color w:val="auto"/>
          <w:szCs w:val="22"/>
          <w:highlight w:val="none"/>
          <w:u w:val="single"/>
        </w:rPr>
        <w:t>扫描件</w:t>
      </w:r>
      <w:r>
        <w:rPr>
          <w:rFonts w:hint="default" w:cs="宋体"/>
          <w:color w:val="auto"/>
          <w:szCs w:val="22"/>
          <w:highlight w:val="none"/>
        </w:rPr>
        <w:t>（按照“三证合一”或“五</w:t>
      </w:r>
      <w:r>
        <w:rPr>
          <w:rFonts w:cs="宋体"/>
          <w:color w:val="auto"/>
          <w:szCs w:val="22"/>
          <w:highlight w:val="none"/>
        </w:rPr>
        <w:t>证合一”登记制度进行登记的，可仅提供营业执照</w:t>
      </w:r>
      <w:r>
        <w:rPr>
          <w:rFonts w:cs="宋体"/>
          <w:color w:val="auto"/>
          <w:szCs w:val="22"/>
          <w:highlight w:val="none"/>
          <w:u w:val="single"/>
        </w:rPr>
        <w:t>扫描件</w:t>
      </w:r>
      <w:r>
        <w:rPr>
          <w:rFonts w:cs="宋体"/>
          <w:color w:val="auto"/>
          <w:szCs w:val="22"/>
          <w:highlight w:val="none"/>
        </w:rPr>
        <w:t>）；</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2）投标人为依法允许经营的事业单位的，应提交事业单位法人证书和组织机构代码证的</w:t>
      </w:r>
      <w:r>
        <w:rPr>
          <w:rFonts w:cs="宋体"/>
          <w:color w:val="auto"/>
          <w:szCs w:val="22"/>
          <w:highlight w:val="none"/>
          <w:u w:val="single"/>
        </w:rPr>
        <w:t>扫描件</w:t>
      </w:r>
      <w:r>
        <w:rPr>
          <w:rFonts w:hint="default" w:cs="宋体"/>
          <w:color w:val="auto"/>
          <w:szCs w:val="22"/>
          <w:highlight w:val="none"/>
        </w:rPr>
        <w:t>。</w:t>
      </w:r>
    </w:p>
    <w:p>
      <w:pPr>
        <w:pStyle w:val="15"/>
        <w:overflowPunct w:val="0"/>
        <w:snapToGrid w:val="0"/>
        <w:spacing w:line="360" w:lineRule="auto"/>
        <w:ind w:right="113" w:firstLine="419"/>
        <w:rPr>
          <w:rFonts w:hint="default" w:cs="宋体"/>
          <w:color w:val="auto"/>
          <w:szCs w:val="22"/>
          <w:highlight w:val="none"/>
          <w:u w:val="single"/>
        </w:rPr>
      </w:pPr>
      <w:r>
        <w:rPr>
          <w:rFonts w:hint="default" w:cs="宋体"/>
          <w:color w:val="auto"/>
          <w:szCs w:val="22"/>
          <w:highlight w:val="none"/>
          <w:u w:val="single"/>
        </w:rPr>
        <w:t xml:space="preserve">3.5.2 </w:t>
      </w:r>
      <w:r>
        <w:rPr>
          <w:rFonts w:cs="宋体"/>
          <w:color w:val="auto"/>
          <w:szCs w:val="22"/>
          <w:highlight w:val="none"/>
          <w:u w:val="single"/>
        </w:rPr>
        <w:t>类似项目业绩应附相关证明文件；具体时间要求见投标人须知前附表。</w:t>
      </w:r>
    </w:p>
    <w:p>
      <w:pPr>
        <w:pStyle w:val="8"/>
        <w:overflowPunct w:val="0"/>
        <w:snapToGrid w:val="0"/>
        <w:spacing w:line="360" w:lineRule="auto"/>
        <w:ind w:right="113"/>
        <w:rPr>
          <w:rFonts w:hint="default" w:cs="宋体"/>
          <w:b/>
          <w:bCs/>
          <w:color w:val="auto"/>
          <w:highlight w:val="none"/>
        </w:rPr>
      </w:pPr>
      <w:bookmarkStart w:id="39" w:name="bookmark44"/>
      <w:bookmarkEnd w:id="39"/>
      <w:r>
        <w:rPr>
          <w:rFonts w:hint="default" w:cs="宋体"/>
          <w:b/>
          <w:bCs/>
          <w:color w:val="auto"/>
          <w:highlight w:val="none"/>
        </w:rPr>
        <w:t xml:space="preserve">3.6 </w:t>
      </w:r>
      <w:r>
        <w:rPr>
          <w:rFonts w:cs="宋体"/>
          <w:b/>
          <w:bCs/>
          <w:color w:val="auto"/>
          <w:highlight w:val="none"/>
        </w:rPr>
        <w:t>备选投标方案</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3.6.1 </w:t>
      </w:r>
      <w:r>
        <w:rPr>
          <w:rFonts w:cs="宋体"/>
          <w:color w:val="auto"/>
          <w:szCs w:val="22"/>
          <w:highlight w:val="none"/>
        </w:rPr>
        <w:t>除投标人须知前附表规定允许外，投标人不得递交备选投标方案，否则其投标将被否决。</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3.6.2 </w:t>
      </w:r>
      <w:r>
        <w:rPr>
          <w:rFonts w:cs="宋体"/>
          <w:color w:val="auto"/>
          <w:szCs w:val="22"/>
          <w:highlight w:val="none"/>
        </w:rPr>
        <w:t>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3.6.3 </w:t>
      </w:r>
      <w:r>
        <w:rPr>
          <w:rFonts w:cs="宋体"/>
          <w:color w:val="auto"/>
          <w:szCs w:val="22"/>
          <w:highlight w:val="none"/>
        </w:rPr>
        <w:t>投标人提供两个或两个以上投标报价，或者在投标文件中提供一个报价，但同时提供两个或两个以上供货方案的，视为提供备选方案。</w:t>
      </w:r>
    </w:p>
    <w:p>
      <w:pPr>
        <w:pStyle w:val="8"/>
        <w:overflowPunct w:val="0"/>
        <w:snapToGrid w:val="0"/>
        <w:spacing w:line="360" w:lineRule="auto"/>
        <w:ind w:right="113"/>
        <w:rPr>
          <w:rFonts w:hint="default" w:cs="宋体"/>
          <w:b/>
          <w:bCs/>
          <w:color w:val="auto"/>
          <w:highlight w:val="none"/>
        </w:rPr>
      </w:pPr>
      <w:bookmarkStart w:id="40" w:name="bookmark45"/>
      <w:bookmarkEnd w:id="40"/>
      <w:r>
        <w:rPr>
          <w:rFonts w:hint="default" w:cs="宋体"/>
          <w:b/>
          <w:bCs/>
          <w:color w:val="auto"/>
          <w:highlight w:val="none"/>
        </w:rPr>
        <w:t xml:space="preserve">3.7 </w:t>
      </w:r>
      <w:r>
        <w:rPr>
          <w:rFonts w:cs="宋体"/>
          <w:b/>
          <w:bCs/>
          <w:color w:val="auto"/>
          <w:highlight w:val="none"/>
        </w:rPr>
        <w:t>投标文件的编制</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3.7.1 </w:t>
      </w:r>
      <w:r>
        <w:rPr>
          <w:rFonts w:cs="宋体"/>
          <w:color w:val="auto"/>
          <w:szCs w:val="22"/>
          <w:highlight w:val="none"/>
        </w:rPr>
        <w:t>投标文件应按第六章“投标文件格式”进行编写，如有必要，可以增加附页，作为投标文件的组成部分。</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3.7.2 </w:t>
      </w:r>
      <w:r>
        <w:rPr>
          <w:rFonts w:cs="宋体"/>
          <w:color w:val="auto"/>
          <w:szCs w:val="22"/>
          <w:highlight w:val="none"/>
        </w:rPr>
        <w:t>投标文件应当对招标文件有关供货期、投标有效期、供货要求、招标范围等实质性内容作出响应。投标文件在满足招标文件实质性要求的基础上，可以提出比招标文件要求更有利于招标人的承诺。</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3.7.3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六章“投标文件格式”的要求。投标文件应尽量避免涂改、</w:t>
      </w:r>
      <w:r>
        <w:rPr>
          <w:rFonts w:cs="宋体"/>
          <w:color w:val="auto"/>
          <w:szCs w:val="22"/>
          <w:highlight w:val="none"/>
        </w:rPr>
        <w:t>行间插字或删除。如果出现上述情况，改动之处应由投标人的法定代表人（单位负责人）或其授权的代理人签字或盖单位章。</w:t>
      </w:r>
    </w:p>
    <w:p>
      <w:pPr>
        <w:pStyle w:val="15"/>
        <w:overflowPunct w:val="0"/>
        <w:snapToGrid w:val="0"/>
        <w:spacing w:line="360" w:lineRule="auto"/>
        <w:ind w:left="102" w:right="113" w:firstLine="420"/>
        <w:rPr>
          <w:rFonts w:hint="default" w:cs="宋体"/>
          <w:color w:val="auto"/>
          <w:szCs w:val="22"/>
          <w:highlight w:val="none"/>
        </w:rPr>
      </w:pPr>
      <w:r>
        <w:rPr>
          <w:rFonts w:hint="default" w:cs="宋体"/>
          <w:color w:val="auto"/>
          <w:szCs w:val="22"/>
          <w:highlight w:val="none"/>
        </w:rPr>
        <w:t>3.7.</w:t>
      </w:r>
      <w:r>
        <w:rPr>
          <w:rFonts w:cs="宋体"/>
          <w:color w:val="auto"/>
          <w:szCs w:val="22"/>
          <w:highlight w:val="none"/>
        </w:rPr>
        <w:t>4</w:t>
      </w:r>
      <w:r>
        <w:rPr>
          <w:rFonts w:hint="default" w:cs="宋体"/>
          <w:color w:val="auto"/>
          <w:szCs w:val="22"/>
          <w:highlight w:val="none"/>
        </w:rPr>
        <w:t>投标文件全部采用电子文档，除投标人须知前附表另有规定外，投标文件所附证书证件均</w:t>
      </w:r>
      <w:r>
        <w:rPr>
          <w:rFonts w:cs="宋体"/>
          <w:color w:val="auto"/>
          <w:szCs w:val="22"/>
          <w:highlight w:val="none"/>
        </w:rPr>
        <w:t>为原件扫描件，并采用单位和个人数字证书，按招标文件要求在相应位置加盖电子印章。由投标人的法定代表人（单位负责人）签字或加盖电子印章的，应附法定代表人（单位负责人）身份证明，由代理人签字或加盖电子印章的，应附由法定代表人（单位负责人）签署的授权委托书。签字或盖章的具体要求见投标人须知前附表。</w:t>
      </w:r>
    </w:p>
    <w:p>
      <w:pPr>
        <w:pStyle w:val="7"/>
        <w:overflowPunct w:val="0"/>
        <w:snapToGrid w:val="0"/>
        <w:spacing w:line="360" w:lineRule="auto"/>
        <w:ind w:left="0" w:right="113"/>
        <w:rPr>
          <w:rFonts w:cs="宋体"/>
          <w:b w:val="0"/>
          <w:color w:val="auto"/>
          <w:highlight w:val="none"/>
        </w:rPr>
      </w:pPr>
      <w:bookmarkStart w:id="41" w:name="bookmark46"/>
      <w:bookmarkEnd w:id="41"/>
      <w:bookmarkStart w:id="42" w:name="_Toc83210315"/>
      <w:r>
        <w:rPr>
          <w:rFonts w:hint="eastAsia" w:ascii="宋体" w:hAnsi="宋体" w:eastAsia="宋体" w:cs="宋体"/>
          <w:color w:val="auto"/>
          <w:highlight w:val="none"/>
        </w:rPr>
        <w:t>4.投标</w:t>
      </w:r>
      <w:bookmarkEnd w:id="42"/>
    </w:p>
    <w:p>
      <w:pPr>
        <w:pStyle w:val="8"/>
        <w:overflowPunct w:val="0"/>
        <w:snapToGrid w:val="0"/>
        <w:spacing w:line="360" w:lineRule="auto"/>
        <w:ind w:right="113"/>
        <w:rPr>
          <w:rFonts w:hint="default" w:cs="宋体"/>
          <w:b/>
          <w:bCs/>
          <w:color w:val="auto"/>
          <w:highlight w:val="none"/>
        </w:rPr>
      </w:pPr>
      <w:bookmarkStart w:id="43" w:name="bookmark47"/>
      <w:bookmarkEnd w:id="43"/>
      <w:r>
        <w:rPr>
          <w:rFonts w:hint="default" w:cs="宋体"/>
          <w:b/>
          <w:bCs/>
          <w:color w:val="auto"/>
          <w:highlight w:val="none"/>
        </w:rPr>
        <w:t xml:space="preserve">4.1 </w:t>
      </w:r>
      <w:r>
        <w:rPr>
          <w:rFonts w:cs="宋体"/>
          <w:b/>
          <w:bCs/>
          <w:color w:val="auto"/>
          <w:highlight w:val="none"/>
        </w:rPr>
        <w:t>投标文件的密封和标记</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4.1.1 </w:t>
      </w:r>
      <w:r>
        <w:rPr>
          <w:rFonts w:cs="宋体"/>
          <w:color w:val="auto"/>
          <w:szCs w:val="22"/>
          <w:highlight w:val="none"/>
          <w:u w:val="single"/>
        </w:rPr>
        <w:t>网上递交的电子投标文件须进行加密。具体操作详见附件《房屋建筑和市政基础设施工程全流程电子化项目专章》。</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4.1.2 </w:t>
      </w:r>
      <w:r>
        <w:rPr>
          <w:rFonts w:cs="宋体"/>
          <w:color w:val="auto"/>
          <w:szCs w:val="22"/>
          <w:highlight w:val="none"/>
        </w:rPr>
        <w:t>投标文件封套上应写明的内容见投标人须知前附表。</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4.1.3 </w:t>
      </w:r>
      <w:r>
        <w:rPr>
          <w:rFonts w:cs="宋体"/>
          <w:color w:val="auto"/>
          <w:szCs w:val="22"/>
          <w:highlight w:val="none"/>
        </w:rPr>
        <w:t>未按本章第</w:t>
      </w:r>
      <w:r>
        <w:rPr>
          <w:rFonts w:hint="default" w:cs="宋体"/>
          <w:color w:val="auto"/>
          <w:szCs w:val="22"/>
          <w:highlight w:val="none"/>
        </w:rPr>
        <w:t xml:space="preserve"> 4.1.1 </w:t>
      </w:r>
      <w:r>
        <w:rPr>
          <w:rFonts w:cs="宋体"/>
          <w:color w:val="auto"/>
          <w:szCs w:val="22"/>
          <w:highlight w:val="none"/>
        </w:rPr>
        <w:t>项要求密封的投标文件，招标人将予以拒收。</w:t>
      </w:r>
    </w:p>
    <w:p>
      <w:pPr>
        <w:pStyle w:val="8"/>
        <w:overflowPunct w:val="0"/>
        <w:snapToGrid w:val="0"/>
        <w:spacing w:line="360" w:lineRule="auto"/>
        <w:ind w:right="113"/>
        <w:rPr>
          <w:rFonts w:hint="default" w:cs="宋体"/>
          <w:b/>
          <w:bCs/>
          <w:color w:val="auto"/>
          <w:highlight w:val="none"/>
        </w:rPr>
      </w:pPr>
      <w:bookmarkStart w:id="44" w:name="bookmark48"/>
      <w:bookmarkEnd w:id="44"/>
      <w:r>
        <w:rPr>
          <w:rFonts w:hint="default" w:cs="宋体"/>
          <w:b/>
          <w:bCs/>
          <w:color w:val="auto"/>
          <w:highlight w:val="none"/>
        </w:rPr>
        <w:t xml:space="preserve">4.2 </w:t>
      </w:r>
      <w:r>
        <w:rPr>
          <w:rFonts w:cs="宋体"/>
          <w:b/>
          <w:bCs/>
          <w:color w:val="auto"/>
          <w:highlight w:val="none"/>
        </w:rPr>
        <w:t>投标文件的递交</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4.2.1 </w:t>
      </w:r>
      <w:r>
        <w:rPr>
          <w:rFonts w:cs="宋体"/>
          <w:color w:val="auto"/>
          <w:szCs w:val="22"/>
          <w:highlight w:val="none"/>
        </w:rPr>
        <w:t>投标人应在投标人须知前附表规定的投标截止时间前递交投标文件。</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4.2.2</w:t>
      </w:r>
      <w:r>
        <w:rPr>
          <w:rFonts w:cs="宋体"/>
          <w:color w:val="auto"/>
          <w:szCs w:val="22"/>
          <w:highlight w:val="none"/>
        </w:rPr>
        <w:t>.1投标人递交投标文件的地点：见投标人须知前附表。</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4.2.2</w:t>
      </w:r>
      <w:r>
        <w:rPr>
          <w:rFonts w:cs="宋体"/>
          <w:color w:val="auto"/>
          <w:szCs w:val="22"/>
          <w:highlight w:val="none"/>
        </w:rPr>
        <w:t>.2投标人通过下载招标文件的电子招标投标交易平台递交电子投标文件。</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4.2.3 </w:t>
      </w:r>
      <w:r>
        <w:rPr>
          <w:rFonts w:cs="宋体"/>
          <w:color w:val="auto"/>
          <w:szCs w:val="22"/>
          <w:highlight w:val="none"/>
        </w:rPr>
        <w:t>除投标人须知前附表另有规定外，投标人所递交的投标文件不予退还。</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4.2.4 </w:t>
      </w:r>
      <w:r>
        <w:rPr>
          <w:rFonts w:cs="宋体"/>
          <w:color w:val="auto"/>
          <w:szCs w:val="22"/>
          <w:highlight w:val="none"/>
        </w:rPr>
        <w:t>投标人完成电子投标文件上传后，电子招标投标交易平台即时向投标人发出递交回执通知。递交时间以递交回执通知载明的传输完成时间为准。</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4.2.5 </w:t>
      </w:r>
      <w:r>
        <w:rPr>
          <w:rFonts w:cs="宋体"/>
          <w:color w:val="auto"/>
          <w:szCs w:val="22"/>
          <w:highlight w:val="none"/>
        </w:rPr>
        <w:t>逾期送达的投标文件，电子招标投标交易平台将予以拒收。</w:t>
      </w:r>
      <w:bookmarkStart w:id="45" w:name="bookmark49"/>
      <w:bookmarkEnd w:id="45"/>
    </w:p>
    <w:p>
      <w:pPr>
        <w:pStyle w:val="8"/>
        <w:overflowPunct w:val="0"/>
        <w:snapToGrid w:val="0"/>
        <w:spacing w:line="360" w:lineRule="auto"/>
        <w:ind w:right="113"/>
        <w:rPr>
          <w:rFonts w:hint="default" w:cs="宋体"/>
          <w:b/>
          <w:bCs/>
          <w:color w:val="auto"/>
          <w:highlight w:val="none"/>
        </w:rPr>
      </w:pPr>
      <w:r>
        <w:rPr>
          <w:rFonts w:hint="default" w:cs="宋体"/>
          <w:b/>
          <w:bCs/>
          <w:color w:val="auto"/>
          <w:highlight w:val="none"/>
        </w:rPr>
        <w:t xml:space="preserve">4.3 </w:t>
      </w:r>
      <w:r>
        <w:rPr>
          <w:rFonts w:cs="宋体"/>
          <w:b/>
          <w:bCs/>
          <w:color w:val="auto"/>
          <w:highlight w:val="none"/>
        </w:rPr>
        <w:t>投标文件的修改与撤回</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4.3.1 </w:t>
      </w:r>
      <w:r>
        <w:rPr>
          <w:rFonts w:cs="宋体"/>
          <w:color w:val="auto"/>
          <w:szCs w:val="22"/>
          <w:highlight w:val="none"/>
        </w:rPr>
        <w:t>在本章第</w:t>
      </w:r>
      <w:r>
        <w:rPr>
          <w:rFonts w:hint="default" w:cs="宋体"/>
          <w:color w:val="auto"/>
          <w:szCs w:val="22"/>
          <w:highlight w:val="none"/>
        </w:rPr>
        <w:t xml:space="preserve"> 4.2.1 </w:t>
      </w:r>
      <w:r>
        <w:rPr>
          <w:rFonts w:cs="宋体"/>
          <w:color w:val="auto"/>
          <w:szCs w:val="22"/>
          <w:highlight w:val="none"/>
        </w:rPr>
        <w:t>项规定的投标截止时间前，投标人可以修改或撤回已递交的投标文件，但应以书面形式通知招标人。</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4.3.2 </w:t>
      </w:r>
      <w:r>
        <w:rPr>
          <w:rFonts w:cs="宋体"/>
          <w:color w:val="auto"/>
          <w:szCs w:val="22"/>
          <w:highlight w:val="none"/>
          <w:u w:val="single"/>
        </w:rPr>
        <w:t>投标人修改或撤回已递交的投标文件，需在交易平台发出撤回通知，并按要求加盖电子印章。电子招标投标交易平台收到通知后，即时向投标人发出确认回执通知。</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4.3.3 </w:t>
      </w:r>
      <w:r>
        <w:rPr>
          <w:rFonts w:cs="宋体"/>
          <w:color w:val="auto"/>
          <w:szCs w:val="22"/>
          <w:highlight w:val="none"/>
        </w:rPr>
        <w:t>投标人撤回投标文件的，招标人自收到投标人书面撤回通知之日起</w:t>
      </w:r>
      <w:r>
        <w:rPr>
          <w:rFonts w:hint="default" w:cs="宋体"/>
          <w:color w:val="auto"/>
          <w:szCs w:val="22"/>
          <w:highlight w:val="none"/>
        </w:rPr>
        <w:t xml:space="preserve"> 5 </w:t>
      </w:r>
      <w:r>
        <w:rPr>
          <w:rFonts w:cs="宋体"/>
          <w:color w:val="auto"/>
          <w:szCs w:val="22"/>
          <w:highlight w:val="none"/>
        </w:rPr>
        <w:t>日内退还已收取的投标保证金。</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4.3.4 </w:t>
      </w:r>
      <w:r>
        <w:rPr>
          <w:rFonts w:cs="宋体"/>
          <w:color w:val="auto"/>
          <w:szCs w:val="22"/>
          <w:highlight w:val="none"/>
        </w:rPr>
        <w:t>修改的内容为投标文件的组成部分。修改的投标文件应按照本章第</w:t>
      </w:r>
      <w:r>
        <w:rPr>
          <w:rFonts w:hint="default" w:cs="宋体"/>
          <w:color w:val="auto"/>
          <w:szCs w:val="22"/>
          <w:highlight w:val="none"/>
        </w:rPr>
        <w:t xml:space="preserve"> 3 </w:t>
      </w:r>
      <w:r>
        <w:rPr>
          <w:rFonts w:cs="宋体"/>
          <w:color w:val="auto"/>
          <w:szCs w:val="22"/>
          <w:highlight w:val="none"/>
        </w:rPr>
        <w:t>条、第</w:t>
      </w:r>
      <w:r>
        <w:rPr>
          <w:rFonts w:hint="default" w:cs="宋体"/>
          <w:color w:val="auto"/>
          <w:szCs w:val="22"/>
          <w:highlight w:val="none"/>
        </w:rPr>
        <w:t xml:space="preserve"> 4 </w:t>
      </w:r>
      <w:r>
        <w:rPr>
          <w:rFonts w:cs="宋体"/>
          <w:color w:val="auto"/>
          <w:szCs w:val="22"/>
          <w:highlight w:val="none"/>
        </w:rPr>
        <w:t>条的规定进行编制、密封、标记和递交，并标明“修改”字样。</w:t>
      </w:r>
    </w:p>
    <w:p>
      <w:pPr>
        <w:pStyle w:val="7"/>
        <w:overflowPunct w:val="0"/>
        <w:snapToGrid w:val="0"/>
        <w:spacing w:line="360" w:lineRule="auto"/>
        <w:ind w:left="0" w:right="113"/>
        <w:rPr>
          <w:rFonts w:ascii="宋体" w:hAnsi="宋体" w:eastAsia="宋体" w:cs="宋体"/>
          <w:b w:val="0"/>
          <w:bCs/>
          <w:color w:val="auto"/>
          <w:szCs w:val="32"/>
          <w:highlight w:val="none"/>
        </w:rPr>
      </w:pPr>
      <w:bookmarkStart w:id="46" w:name="bookmark50"/>
      <w:bookmarkEnd w:id="46"/>
      <w:bookmarkStart w:id="47" w:name="_Toc11857"/>
      <w:bookmarkStart w:id="48" w:name="_Toc83210316"/>
      <w:bookmarkStart w:id="49" w:name="_Toc30108"/>
      <w:r>
        <w:rPr>
          <w:rFonts w:hint="eastAsia" w:ascii="宋体" w:hAnsi="宋体" w:eastAsia="宋体" w:cs="宋体"/>
          <w:b w:val="0"/>
          <w:bCs/>
          <w:color w:val="auto"/>
          <w:szCs w:val="32"/>
          <w:highlight w:val="none"/>
          <w:cs/>
        </w:rPr>
        <w:t>5.</w:t>
      </w:r>
      <w:r>
        <w:rPr>
          <w:rFonts w:hint="cs" w:ascii="宋体" w:hAnsi="宋体" w:eastAsia="宋体" w:cs="宋体"/>
          <w:b w:val="0"/>
          <w:bCs/>
          <w:color w:val="auto"/>
          <w:szCs w:val="32"/>
          <w:highlight w:val="none"/>
          <w:cs/>
        </w:rPr>
        <w:t>开标</w:t>
      </w:r>
      <w:bookmarkEnd w:id="47"/>
      <w:bookmarkEnd w:id="48"/>
      <w:bookmarkEnd w:id="49"/>
    </w:p>
    <w:p>
      <w:pPr>
        <w:pStyle w:val="8"/>
        <w:overflowPunct w:val="0"/>
        <w:snapToGrid w:val="0"/>
        <w:spacing w:line="360" w:lineRule="auto"/>
        <w:ind w:right="113"/>
        <w:rPr>
          <w:rFonts w:hint="default" w:cs="宋体"/>
          <w:bCs/>
          <w:color w:val="auto"/>
          <w:highlight w:val="none"/>
        </w:rPr>
      </w:pPr>
      <w:bookmarkStart w:id="50" w:name="bookmark52"/>
      <w:bookmarkEnd w:id="50"/>
      <w:bookmarkStart w:id="51" w:name="bookmark51"/>
      <w:bookmarkEnd w:id="51"/>
      <w:bookmarkStart w:id="52" w:name="_Toc17957"/>
      <w:bookmarkStart w:id="53" w:name="_Toc17674"/>
      <w:r>
        <w:rPr>
          <w:rFonts w:hint="default" w:cs="宋体"/>
          <w:b/>
          <w:bCs/>
          <w:color w:val="auto"/>
          <w:highlight w:val="none"/>
        </w:rPr>
        <w:t xml:space="preserve">5.1 </w:t>
      </w:r>
      <w:r>
        <w:rPr>
          <w:rFonts w:hint="cs" w:cs="宋体"/>
          <w:b/>
          <w:bCs/>
          <w:color w:val="auto"/>
          <w:szCs w:val="28"/>
          <w:highlight w:val="none"/>
          <w:cs/>
        </w:rPr>
        <w:t>开标时间</w:t>
      </w:r>
      <w:r>
        <w:rPr>
          <w:rFonts w:hint="default" w:cs="宋体"/>
          <w:b/>
          <w:bCs/>
          <w:color w:val="auto"/>
          <w:szCs w:val="28"/>
          <w:highlight w:val="none"/>
        </w:rPr>
        <w:t>和地</w:t>
      </w:r>
      <w:r>
        <w:rPr>
          <w:rFonts w:hint="cs" w:cs="宋体"/>
          <w:b/>
          <w:bCs/>
          <w:color w:val="auto"/>
          <w:szCs w:val="28"/>
          <w:highlight w:val="none"/>
          <w:cs/>
        </w:rPr>
        <w:t>点</w:t>
      </w:r>
      <w:bookmarkEnd w:id="52"/>
      <w:bookmarkEnd w:id="53"/>
    </w:p>
    <w:p>
      <w:pPr>
        <w:pStyle w:val="15"/>
        <w:overflowPunct w:val="0"/>
        <w:snapToGrid w:val="0"/>
        <w:spacing w:line="360" w:lineRule="auto"/>
        <w:ind w:right="113" w:firstLine="419"/>
        <w:rPr>
          <w:rFonts w:hint="default" w:cs="宋体"/>
          <w:color w:val="auto"/>
          <w:szCs w:val="22"/>
          <w:highlight w:val="none"/>
        </w:rPr>
      </w:pPr>
      <w:r>
        <w:rPr>
          <w:rFonts w:cs="宋体"/>
          <w:color w:val="auto"/>
          <w:szCs w:val="21"/>
          <w:highlight w:val="none"/>
          <w:u w:val="single"/>
        </w:rPr>
        <w:t>本电子招投标项目在本章</w:t>
      </w:r>
      <w:r>
        <w:rPr>
          <w:rFonts w:hint="default" w:cs="宋体"/>
          <w:color w:val="auto"/>
          <w:szCs w:val="21"/>
          <w:highlight w:val="none"/>
          <w:u w:val="single"/>
        </w:rPr>
        <w:t>4.2.1项规定的投标截止时间（开标时间），在广州公共资源交易中心公开开标，并邀请所有投标人的法定代表人（单位负责人）或其委托代理人准时参加。开标时，投标人代表有权出席开标会，也可以自主决定不参加开标会，若投标人代表对开标过程提出异议，该投标人代表须同时出示本人身份证原件。</w:t>
      </w:r>
    </w:p>
    <w:p>
      <w:pPr>
        <w:pStyle w:val="8"/>
        <w:overflowPunct w:val="0"/>
        <w:snapToGrid w:val="0"/>
        <w:spacing w:line="360" w:lineRule="auto"/>
        <w:ind w:right="113"/>
        <w:rPr>
          <w:rFonts w:hint="default" w:cs="宋体"/>
          <w:bCs/>
          <w:color w:val="auto"/>
          <w:highlight w:val="none"/>
        </w:rPr>
      </w:pPr>
      <w:bookmarkStart w:id="54" w:name="bookmark53"/>
      <w:bookmarkEnd w:id="54"/>
      <w:bookmarkStart w:id="55" w:name="_Toc29267"/>
      <w:bookmarkStart w:id="56" w:name="_Toc15310"/>
      <w:r>
        <w:rPr>
          <w:rFonts w:hint="default" w:cs="宋体"/>
          <w:b/>
          <w:bCs/>
          <w:color w:val="auto"/>
          <w:highlight w:val="none"/>
        </w:rPr>
        <w:t xml:space="preserve">5.2 </w:t>
      </w:r>
      <w:r>
        <w:rPr>
          <w:rFonts w:hint="cs" w:cs="宋体"/>
          <w:b/>
          <w:bCs/>
          <w:color w:val="auto"/>
          <w:szCs w:val="28"/>
          <w:highlight w:val="none"/>
          <w:cs/>
        </w:rPr>
        <w:t>开标</w:t>
      </w:r>
      <w:r>
        <w:rPr>
          <w:rFonts w:hint="default" w:cs="宋体"/>
          <w:b/>
          <w:bCs/>
          <w:color w:val="auto"/>
          <w:szCs w:val="28"/>
          <w:highlight w:val="none"/>
        </w:rPr>
        <w:t>程序</w:t>
      </w:r>
      <w:bookmarkEnd w:id="55"/>
      <w:bookmarkEnd w:id="56"/>
    </w:p>
    <w:p>
      <w:pPr>
        <w:pStyle w:val="15"/>
        <w:overflowPunct w:val="0"/>
        <w:snapToGrid w:val="0"/>
        <w:spacing w:line="360" w:lineRule="auto"/>
        <w:ind w:right="113" w:firstLine="419"/>
        <w:rPr>
          <w:rFonts w:hint="default" w:cs="宋体"/>
          <w:color w:val="auto"/>
          <w:szCs w:val="22"/>
          <w:highlight w:val="none"/>
          <w:u w:val="single"/>
        </w:rPr>
      </w:pPr>
      <w:r>
        <w:rPr>
          <w:rFonts w:cs="宋体"/>
          <w:color w:val="auto"/>
          <w:szCs w:val="22"/>
          <w:highlight w:val="none"/>
          <w:u w:val="single"/>
        </w:rPr>
        <w:t>电子招投标项目开标按下列程序进行：</w:t>
      </w:r>
    </w:p>
    <w:p>
      <w:pPr>
        <w:pStyle w:val="15"/>
        <w:overflowPunct w:val="0"/>
        <w:snapToGrid w:val="0"/>
        <w:spacing w:line="360" w:lineRule="auto"/>
        <w:ind w:right="113" w:firstLine="419"/>
        <w:rPr>
          <w:rFonts w:hint="default" w:cs="宋体"/>
          <w:color w:val="auto"/>
          <w:szCs w:val="22"/>
          <w:highlight w:val="none"/>
          <w:u w:val="single"/>
        </w:rPr>
      </w:pPr>
      <w:r>
        <w:rPr>
          <w:rFonts w:hint="default" w:cs="宋体"/>
          <w:color w:val="auto"/>
          <w:szCs w:val="22"/>
          <w:highlight w:val="none"/>
          <w:u w:val="single"/>
        </w:rPr>
        <w:t>5.2.1主持人按下列程序进行开标</w:t>
      </w:r>
    </w:p>
    <w:p>
      <w:pPr>
        <w:pStyle w:val="15"/>
        <w:overflowPunct w:val="0"/>
        <w:snapToGrid w:val="0"/>
        <w:spacing w:line="360" w:lineRule="auto"/>
        <w:ind w:right="113" w:firstLine="419"/>
        <w:rPr>
          <w:rFonts w:hint="default" w:cs="宋体"/>
          <w:color w:val="auto"/>
          <w:szCs w:val="22"/>
          <w:highlight w:val="none"/>
          <w:u w:val="single"/>
        </w:rPr>
      </w:pPr>
      <w:r>
        <w:rPr>
          <w:rFonts w:cs="宋体"/>
          <w:color w:val="auto"/>
          <w:szCs w:val="22"/>
          <w:highlight w:val="none"/>
          <w:u w:val="single"/>
        </w:rPr>
        <w:t>（</w:t>
      </w:r>
      <w:r>
        <w:rPr>
          <w:rFonts w:hint="default" w:cs="宋体"/>
          <w:color w:val="auto"/>
          <w:szCs w:val="22"/>
          <w:highlight w:val="none"/>
          <w:u w:val="single"/>
        </w:rPr>
        <w:t>1）宣布开标纪律；</w:t>
      </w:r>
    </w:p>
    <w:p>
      <w:pPr>
        <w:pStyle w:val="15"/>
        <w:overflowPunct w:val="0"/>
        <w:snapToGrid w:val="0"/>
        <w:spacing w:line="360" w:lineRule="auto"/>
        <w:ind w:right="113" w:firstLine="419"/>
        <w:rPr>
          <w:rFonts w:hint="default" w:cs="宋体"/>
          <w:color w:val="auto"/>
          <w:szCs w:val="22"/>
          <w:highlight w:val="none"/>
          <w:u w:val="single"/>
        </w:rPr>
      </w:pPr>
      <w:r>
        <w:rPr>
          <w:rFonts w:cs="宋体"/>
          <w:color w:val="auto"/>
          <w:szCs w:val="22"/>
          <w:highlight w:val="none"/>
          <w:u w:val="single"/>
        </w:rPr>
        <w:t>（</w:t>
      </w:r>
      <w:r>
        <w:rPr>
          <w:rFonts w:hint="default" w:cs="宋体"/>
          <w:color w:val="auto"/>
          <w:szCs w:val="22"/>
          <w:highlight w:val="none"/>
          <w:u w:val="single"/>
        </w:rPr>
        <w:t>2）公布在投标載止时间前递交投标文件的投标人名称</w:t>
      </w:r>
      <w:r>
        <w:rPr>
          <w:rFonts w:cs="宋体"/>
          <w:color w:val="auto"/>
          <w:szCs w:val="22"/>
          <w:highlight w:val="none"/>
          <w:u w:val="single"/>
        </w:rPr>
        <w:t>；</w:t>
      </w:r>
    </w:p>
    <w:p>
      <w:pPr>
        <w:pStyle w:val="15"/>
        <w:overflowPunct w:val="0"/>
        <w:snapToGrid w:val="0"/>
        <w:spacing w:line="360" w:lineRule="auto"/>
        <w:ind w:right="113" w:firstLine="419"/>
        <w:rPr>
          <w:rFonts w:hint="default" w:cs="宋体"/>
          <w:color w:val="auto"/>
          <w:szCs w:val="22"/>
          <w:highlight w:val="none"/>
          <w:u w:val="single"/>
        </w:rPr>
      </w:pPr>
      <w:r>
        <w:rPr>
          <w:rFonts w:cs="宋体"/>
          <w:color w:val="auto"/>
          <w:szCs w:val="22"/>
          <w:highlight w:val="none"/>
          <w:u w:val="single"/>
        </w:rPr>
        <w:t>（</w:t>
      </w:r>
      <w:r>
        <w:rPr>
          <w:rFonts w:hint="default" w:cs="宋体"/>
          <w:color w:val="auto"/>
          <w:szCs w:val="22"/>
          <w:highlight w:val="none"/>
          <w:u w:val="single"/>
        </w:rPr>
        <w:t>3）宣布开标人、唱标人、记录人、</w:t>
      </w:r>
      <w:r>
        <w:rPr>
          <w:rFonts w:cs="宋体"/>
          <w:color w:val="auto"/>
          <w:szCs w:val="22"/>
          <w:highlight w:val="none"/>
          <w:u w:val="single"/>
        </w:rPr>
        <w:t>监标人等有关人员姓名；</w:t>
      </w:r>
    </w:p>
    <w:p>
      <w:pPr>
        <w:pStyle w:val="15"/>
        <w:overflowPunct w:val="0"/>
        <w:snapToGrid w:val="0"/>
        <w:spacing w:line="360" w:lineRule="auto"/>
        <w:ind w:right="113" w:firstLine="419"/>
        <w:rPr>
          <w:rFonts w:hint="default" w:cs="宋体"/>
          <w:color w:val="auto"/>
          <w:szCs w:val="22"/>
          <w:highlight w:val="none"/>
          <w:u w:val="single"/>
        </w:rPr>
      </w:pPr>
      <w:r>
        <w:rPr>
          <w:rFonts w:cs="宋体"/>
          <w:color w:val="auto"/>
          <w:szCs w:val="22"/>
          <w:highlight w:val="none"/>
          <w:u w:val="single"/>
        </w:rPr>
        <w:t>（</w:t>
      </w:r>
      <w:r>
        <w:rPr>
          <w:rFonts w:hint="default" w:cs="宋体"/>
          <w:color w:val="auto"/>
          <w:szCs w:val="22"/>
          <w:highlight w:val="none"/>
          <w:u w:val="single"/>
        </w:rPr>
        <w:t>4）投标人通过电子招标投标交易平台对已递交的电子投标文件进行解密。</w:t>
      </w:r>
    </w:p>
    <w:p>
      <w:pPr>
        <w:pStyle w:val="15"/>
        <w:overflowPunct w:val="0"/>
        <w:snapToGrid w:val="0"/>
        <w:spacing w:line="360" w:lineRule="auto"/>
        <w:ind w:right="113" w:firstLine="419"/>
        <w:rPr>
          <w:rFonts w:hint="default" w:cs="宋体"/>
          <w:color w:val="auto"/>
          <w:szCs w:val="22"/>
          <w:highlight w:val="none"/>
          <w:u w:val="single"/>
        </w:rPr>
      </w:pPr>
      <w:r>
        <w:rPr>
          <w:rFonts w:cs="宋体"/>
          <w:color w:val="auto"/>
          <w:szCs w:val="22"/>
          <w:highlight w:val="none"/>
          <w:u w:val="single"/>
        </w:rPr>
        <w:t>（</w:t>
      </w:r>
      <w:r>
        <w:rPr>
          <w:rFonts w:hint="default" w:cs="宋体"/>
          <w:color w:val="auto"/>
          <w:szCs w:val="22"/>
          <w:highlight w:val="none"/>
          <w:u w:val="single"/>
        </w:rPr>
        <w:t>5）公布招标项目名称、投标人名称、投标保证金的递交情况、投标报价、解密情况、项目负责人及其他内容，并记录在案；</w:t>
      </w:r>
    </w:p>
    <w:p>
      <w:pPr>
        <w:pStyle w:val="15"/>
        <w:overflowPunct w:val="0"/>
        <w:snapToGrid w:val="0"/>
        <w:spacing w:line="360" w:lineRule="auto"/>
        <w:ind w:right="113" w:firstLine="419"/>
        <w:rPr>
          <w:rFonts w:hint="default" w:cs="宋体"/>
          <w:color w:val="auto"/>
          <w:szCs w:val="22"/>
          <w:highlight w:val="none"/>
          <w:u w:val="single"/>
        </w:rPr>
      </w:pPr>
      <w:r>
        <w:rPr>
          <w:rFonts w:cs="宋体"/>
          <w:color w:val="auto"/>
          <w:szCs w:val="22"/>
          <w:highlight w:val="none"/>
          <w:u w:val="single"/>
        </w:rPr>
        <w:t>（</w:t>
      </w:r>
      <w:r>
        <w:rPr>
          <w:rFonts w:hint="default" w:cs="宋体"/>
          <w:color w:val="auto"/>
          <w:szCs w:val="22"/>
          <w:highlight w:val="none"/>
          <w:u w:val="single"/>
        </w:rPr>
        <w:t>6）投标人代表、招标人代表、</w:t>
      </w:r>
      <w:r>
        <w:rPr>
          <w:rFonts w:cs="宋体"/>
          <w:color w:val="auto"/>
          <w:szCs w:val="22"/>
          <w:highlight w:val="none"/>
          <w:u w:val="single"/>
        </w:rPr>
        <w:t>监标人、记录人等有关人员在开标记录上签字确认；若有关人员不签字的，不影响开标程序；</w:t>
      </w:r>
    </w:p>
    <w:p>
      <w:pPr>
        <w:pStyle w:val="15"/>
        <w:overflowPunct w:val="0"/>
        <w:snapToGrid w:val="0"/>
        <w:spacing w:line="360" w:lineRule="auto"/>
        <w:ind w:right="113" w:firstLine="419"/>
        <w:rPr>
          <w:rFonts w:hint="default" w:cs="宋体"/>
          <w:color w:val="auto"/>
          <w:szCs w:val="22"/>
          <w:highlight w:val="none"/>
          <w:u w:val="single"/>
        </w:rPr>
      </w:pPr>
      <w:r>
        <w:rPr>
          <w:rFonts w:cs="宋体"/>
          <w:color w:val="auto"/>
          <w:szCs w:val="22"/>
          <w:highlight w:val="none"/>
          <w:u w:val="single"/>
        </w:rPr>
        <w:t>（</w:t>
      </w:r>
      <w:r>
        <w:rPr>
          <w:rFonts w:hint="default" w:cs="宋体"/>
          <w:color w:val="auto"/>
          <w:szCs w:val="22"/>
          <w:highlight w:val="none"/>
          <w:u w:val="single"/>
        </w:rPr>
        <w:t>7）开标结束。</w:t>
      </w:r>
    </w:p>
    <w:p>
      <w:pPr>
        <w:pStyle w:val="15"/>
        <w:overflowPunct w:val="0"/>
        <w:snapToGrid w:val="0"/>
        <w:spacing w:line="360" w:lineRule="auto"/>
        <w:ind w:left="102" w:right="113" w:firstLine="420"/>
        <w:rPr>
          <w:rFonts w:hint="default" w:cs="宋体"/>
          <w:color w:val="auto"/>
          <w:szCs w:val="22"/>
          <w:highlight w:val="none"/>
          <w:u w:val="single"/>
        </w:rPr>
      </w:pPr>
      <w:r>
        <w:rPr>
          <w:rFonts w:hint="default" w:cs="宋体"/>
          <w:color w:val="auto"/>
          <w:szCs w:val="22"/>
          <w:highlight w:val="none"/>
          <w:u w:val="single"/>
        </w:rPr>
        <w:t>5.2.2投标截止时间前未完成投标文件传输的或因投标人之外的原因造成投标文件未解密的，视为投标人撤回其投标文件。因投标人原因造成投标文件未解密的或未在投标截止时间后半小时内解密的且未提交备用光盘的，视为撤销其投标文件。</w:t>
      </w:r>
    </w:p>
    <w:p>
      <w:pPr>
        <w:pStyle w:val="15"/>
        <w:overflowPunct w:val="0"/>
        <w:snapToGrid w:val="0"/>
        <w:spacing w:line="360" w:lineRule="auto"/>
        <w:ind w:right="113" w:firstLine="419"/>
        <w:rPr>
          <w:rFonts w:hint="default" w:cs="宋体"/>
          <w:color w:val="auto"/>
          <w:szCs w:val="22"/>
          <w:highlight w:val="none"/>
          <w:u w:val="single"/>
        </w:rPr>
      </w:pPr>
      <w:r>
        <w:rPr>
          <w:rFonts w:hint="default" w:cs="宋体"/>
          <w:color w:val="auto"/>
          <w:szCs w:val="22"/>
          <w:highlight w:val="none"/>
          <w:u w:val="single"/>
        </w:rPr>
        <w:t>5.2.3开标时，两个（含两个）以上的投标人加密打包投标文件电脑机器特征码一致的，不参与下一程序，并由评标委员会否决其投标。</w:t>
      </w:r>
    </w:p>
    <w:p>
      <w:pPr>
        <w:pStyle w:val="8"/>
        <w:overflowPunct w:val="0"/>
        <w:snapToGrid w:val="0"/>
        <w:spacing w:line="360" w:lineRule="auto"/>
        <w:ind w:right="113"/>
        <w:rPr>
          <w:rFonts w:hint="default" w:cs="宋体"/>
          <w:bCs/>
          <w:color w:val="auto"/>
          <w:highlight w:val="none"/>
        </w:rPr>
      </w:pPr>
      <w:bookmarkStart w:id="57" w:name="bookmark54"/>
      <w:bookmarkEnd w:id="57"/>
      <w:bookmarkStart w:id="58" w:name="_Toc6389"/>
      <w:bookmarkStart w:id="59" w:name="_Toc7301"/>
      <w:r>
        <w:rPr>
          <w:rFonts w:hint="default" w:cs="宋体"/>
          <w:b/>
          <w:bCs/>
          <w:color w:val="auto"/>
          <w:highlight w:val="none"/>
        </w:rPr>
        <w:t xml:space="preserve">5.3 </w:t>
      </w:r>
      <w:r>
        <w:rPr>
          <w:rFonts w:hint="cs" w:cs="宋体"/>
          <w:b/>
          <w:bCs/>
          <w:color w:val="auto"/>
          <w:szCs w:val="28"/>
          <w:highlight w:val="none"/>
          <w:cs/>
        </w:rPr>
        <w:t>开标</w:t>
      </w:r>
      <w:r>
        <w:rPr>
          <w:rFonts w:hint="default" w:cs="宋体"/>
          <w:b/>
          <w:bCs/>
          <w:color w:val="auto"/>
          <w:szCs w:val="28"/>
          <w:highlight w:val="none"/>
        </w:rPr>
        <w:t>异</w:t>
      </w:r>
      <w:r>
        <w:rPr>
          <w:rFonts w:hint="cs" w:cs="宋体"/>
          <w:b/>
          <w:bCs/>
          <w:color w:val="auto"/>
          <w:szCs w:val="28"/>
          <w:highlight w:val="none"/>
          <w:cs/>
        </w:rPr>
        <w:t>议</w:t>
      </w:r>
      <w:bookmarkEnd w:id="58"/>
      <w:bookmarkEnd w:id="59"/>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投标人对开标有异议的，应当在开标现场提出，招标人当场作出答复，并制作记录。</w:t>
      </w:r>
    </w:p>
    <w:p>
      <w:pPr>
        <w:pStyle w:val="7"/>
        <w:overflowPunct w:val="0"/>
        <w:snapToGrid w:val="0"/>
        <w:spacing w:line="360" w:lineRule="auto"/>
        <w:ind w:left="0" w:right="113"/>
        <w:rPr>
          <w:rFonts w:ascii="宋体" w:hAnsi="宋体" w:eastAsia="宋体" w:cs="宋体"/>
          <w:b w:val="0"/>
          <w:bCs/>
          <w:color w:val="auto"/>
          <w:szCs w:val="32"/>
          <w:highlight w:val="none"/>
        </w:rPr>
      </w:pPr>
      <w:bookmarkStart w:id="60" w:name="bookmark55"/>
      <w:bookmarkEnd w:id="60"/>
      <w:bookmarkStart w:id="61" w:name="_Toc83210317"/>
      <w:bookmarkStart w:id="62" w:name="_Toc20730"/>
      <w:bookmarkStart w:id="63" w:name="_Toc3786"/>
      <w:r>
        <w:rPr>
          <w:rFonts w:hint="eastAsia" w:ascii="宋体" w:hAnsi="宋体" w:eastAsia="宋体" w:cs="宋体"/>
          <w:b w:val="0"/>
          <w:bCs/>
          <w:color w:val="auto"/>
          <w:szCs w:val="32"/>
          <w:highlight w:val="none"/>
          <w:cs/>
        </w:rPr>
        <w:t>6.</w:t>
      </w:r>
      <w:r>
        <w:rPr>
          <w:rFonts w:hint="cs" w:ascii="宋体" w:hAnsi="宋体" w:eastAsia="宋体" w:cs="宋体"/>
          <w:b w:val="0"/>
          <w:bCs/>
          <w:color w:val="auto"/>
          <w:szCs w:val="32"/>
          <w:highlight w:val="none"/>
          <w:cs/>
        </w:rPr>
        <w:t>评标</w:t>
      </w:r>
      <w:bookmarkEnd w:id="61"/>
      <w:bookmarkEnd w:id="62"/>
      <w:bookmarkEnd w:id="63"/>
    </w:p>
    <w:p>
      <w:pPr>
        <w:pStyle w:val="8"/>
        <w:overflowPunct w:val="0"/>
        <w:snapToGrid w:val="0"/>
        <w:spacing w:line="360" w:lineRule="auto"/>
        <w:ind w:right="113"/>
        <w:rPr>
          <w:rFonts w:hint="default" w:cs="宋体"/>
          <w:bCs/>
          <w:color w:val="auto"/>
          <w:highlight w:val="none"/>
        </w:rPr>
      </w:pPr>
      <w:bookmarkStart w:id="64" w:name="bookmark56"/>
      <w:bookmarkEnd w:id="64"/>
      <w:bookmarkStart w:id="65" w:name="_Toc23773"/>
      <w:bookmarkStart w:id="66" w:name="_Toc4206"/>
      <w:r>
        <w:rPr>
          <w:rFonts w:hint="default" w:cs="宋体"/>
          <w:b/>
          <w:bCs/>
          <w:color w:val="auto"/>
          <w:highlight w:val="none"/>
        </w:rPr>
        <w:t xml:space="preserve">6.1 </w:t>
      </w:r>
      <w:r>
        <w:rPr>
          <w:rFonts w:hint="cs" w:cs="宋体"/>
          <w:b/>
          <w:bCs/>
          <w:color w:val="auto"/>
          <w:szCs w:val="28"/>
          <w:highlight w:val="none"/>
          <w:cs/>
        </w:rPr>
        <w:t>评标</w:t>
      </w:r>
      <w:r>
        <w:rPr>
          <w:rFonts w:hint="default" w:cs="宋体"/>
          <w:b/>
          <w:bCs/>
          <w:color w:val="auto"/>
          <w:szCs w:val="28"/>
          <w:highlight w:val="none"/>
        </w:rPr>
        <w:t>委</w:t>
      </w:r>
      <w:r>
        <w:rPr>
          <w:rFonts w:hint="cs" w:cs="宋体"/>
          <w:b/>
          <w:bCs/>
          <w:color w:val="auto"/>
          <w:szCs w:val="28"/>
          <w:highlight w:val="none"/>
          <w:cs/>
        </w:rPr>
        <w:t>员会</w:t>
      </w:r>
      <w:bookmarkEnd w:id="65"/>
      <w:bookmarkEnd w:id="66"/>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6.1.1 </w:t>
      </w:r>
      <w:r>
        <w:rPr>
          <w:rFonts w:cs="宋体"/>
          <w:color w:val="auto"/>
          <w:szCs w:val="22"/>
          <w:highlight w:val="none"/>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6.1.2 </w:t>
      </w:r>
      <w:r>
        <w:rPr>
          <w:rFonts w:cs="宋体"/>
          <w:color w:val="auto"/>
          <w:szCs w:val="22"/>
          <w:highlight w:val="none"/>
        </w:rPr>
        <w:t>评标委员会成员有下列情形之一的，应当回避：</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1）投标人或投标人主要负责人的近亲属；</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2）项目主管部门或者行政监督部门的人员；</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3）与投标人有经济利益关系，可能影响对投标公正评审的；</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4）曾因在招标、评标以及其他与招标投标有关活动中从事违法行为而受过行政处罚或刑事处罚的；</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5）与投标人有其他利害关系。</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6.1.3 </w:t>
      </w:r>
      <w:r>
        <w:rPr>
          <w:rFonts w:cs="宋体"/>
          <w:color w:val="auto"/>
          <w:szCs w:val="22"/>
          <w:highlight w:val="none"/>
        </w:rPr>
        <w:t>评标过程中，评标委员会成员有回避事由、擅离职守或者因健康等原因不能继续评标的，招标人有权更换。被更换的评标委员会成员作出的评审结论无效，由更换后的评标委员会成员重新进行评审。</w:t>
      </w:r>
    </w:p>
    <w:p>
      <w:pPr>
        <w:pStyle w:val="8"/>
        <w:overflowPunct w:val="0"/>
        <w:snapToGrid w:val="0"/>
        <w:spacing w:line="360" w:lineRule="auto"/>
        <w:ind w:right="113"/>
        <w:rPr>
          <w:rFonts w:hint="default" w:cs="宋体"/>
          <w:bCs/>
          <w:color w:val="auto"/>
          <w:highlight w:val="none"/>
        </w:rPr>
      </w:pPr>
      <w:bookmarkStart w:id="67" w:name="bookmark57"/>
      <w:bookmarkEnd w:id="67"/>
      <w:bookmarkStart w:id="68" w:name="_Toc13904"/>
      <w:bookmarkStart w:id="69" w:name="_Toc282"/>
      <w:r>
        <w:rPr>
          <w:rFonts w:hint="default" w:cs="宋体"/>
          <w:b/>
          <w:bCs/>
          <w:color w:val="auto"/>
          <w:highlight w:val="none"/>
        </w:rPr>
        <w:t xml:space="preserve">6.2 </w:t>
      </w:r>
      <w:r>
        <w:rPr>
          <w:rFonts w:hint="cs" w:cs="宋体"/>
          <w:b/>
          <w:bCs/>
          <w:color w:val="auto"/>
          <w:szCs w:val="28"/>
          <w:highlight w:val="none"/>
          <w:cs/>
        </w:rPr>
        <w:t>评标</w:t>
      </w:r>
      <w:r>
        <w:rPr>
          <w:rFonts w:hint="default" w:cs="宋体"/>
          <w:b/>
          <w:bCs/>
          <w:color w:val="auto"/>
          <w:szCs w:val="28"/>
          <w:highlight w:val="none"/>
        </w:rPr>
        <w:t>原</w:t>
      </w:r>
      <w:r>
        <w:rPr>
          <w:rFonts w:hint="cs" w:cs="宋体"/>
          <w:b/>
          <w:bCs/>
          <w:color w:val="auto"/>
          <w:szCs w:val="28"/>
          <w:highlight w:val="none"/>
          <w:cs/>
        </w:rPr>
        <w:t>则</w:t>
      </w:r>
      <w:bookmarkEnd w:id="68"/>
      <w:bookmarkEnd w:id="69"/>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评标活动遵循公平、公正、科学和择优的原则。</w:t>
      </w:r>
      <w:bookmarkStart w:id="70" w:name="bookmark58"/>
      <w:bookmarkEnd w:id="70"/>
    </w:p>
    <w:p>
      <w:pPr>
        <w:pStyle w:val="8"/>
        <w:overflowPunct w:val="0"/>
        <w:snapToGrid w:val="0"/>
        <w:spacing w:line="360" w:lineRule="auto"/>
        <w:ind w:right="113"/>
        <w:rPr>
          <w:rFonts w:hint="default" w:cs="宋体"/>
          <w:bCs/>
          <w:color w:val="auto"/>
          <w:highlight w:val="none"/>
        </w:rPr>
      </w:pPr>
      <w:bookmarkStart w:id="71" w:name="_Toc10195"/>
      <w:bookmarkStart w:id="72" w:name="_Toc4479"/>
      <w:r>
        <w:rPr>
          <w:rFonts w:hint="default" w:cs="宋体"/>
          <w:b/>
          <w:bCs/>
          <w:color w:val="auto"/>
          <w:highlight w:val="none"/>
        </w:rPr>
        <w:t>6.</w:t>
      </w:r>
      <w:r>
        <w:rPr>
          <w:rFonts w:hint="default" w:cs="宋体"/>
          <w:b/>
          <w:bCs/>
          <w:color w:val="auto"/>
          <w:szCs w:val="28"/>
          <w:highlight w:val="none"/>
        </w:rPr>
        <w:t xml:space="preserve">3 </w:t>
      </w:r>
      <w:r>
        <w:rPr>
          <w:rFonts w:hint="cs" w:cs="宋体"/>
          <w:b/>
          <w:bCs/>
          <w:color w:val="auto"/>
          <w:szCs w:val="28"/>
          <w:highlight w:val="none"/>
          <w:cs/>
        </w:rPr>
        <w:t>评标</w:t>
      </w:r>
      <w:bookmarkEnd w:id="71"/>
      <w:bookmarkEnd w:id="72"/>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6.3.1 </w:t>
      </w:r>
      <w:r>
        <w:rPr>
          <w:rFonts w:cs="宋体"/>
          <w:color w:val="auto"/>
          <w:szCs w:val="22"/>
          <w:highlight w:val="none"/>
        </w:rPr>
        <w:t>评标委员会按照第三章“评标办法”规定的方法、评审因素、标准和程序对投标文件进</w:t>
      </w:r>
      <w:r>
        <w:rPr>
          <w:rFonts w:hint="default" w:cs="宋体"/>
          <w:color w:val="auto"/>
          <w:szCs w:val="22"/>
          <w:highlight w:val="none"/>
        </w:rPr>
        <w:t xml:space="preserve"> </w:t>
      </w:r>
      <w:r>
        <w:rPr>
          <w:rFonts w:cs="宋体"/>
          <w:color w:val="auto"/>
          <w:szCs w:val="22"/>
          <w:highlight w:val="none"/>
        </w:rPr>
        <w:t>行评审。第三章“评标办法”没有规定的方法、评审因素和标准，不作为评标依据。</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6.3.2 </w:t>
      </w:r>
      <w:r>
        <w:rPr>
          <w:rFonts w:cs="宋体"/>
          <w:color w:val="auto"/>
          <w:szCs w:val="22"/>
          <w:highlight w:val="none"/>
        </w:rPr>
        <w:t>评标完成后，评标委员会应当向招标人提交书面评标报告和</w:t>
      </w:r>
      <w:r>
        <w:rPr>
          <w:rFonts w:cs="宋体"/>
          <w:color w:val="auto"/>
          <w:szCs w:val="22"/>
          <w:highlight w:val="none"/>
          <w:u w:val="single"/>
        </w:rPr>
        <w:t>合格的中标候选人名单</w:t>
      </w:r>
      <w:r>
        <w:rPr>
          <w:rFonts w:cs="宋体"/>
          <w:color w:val="auto"/>
          <w:szCs w:val="22"/>
          <w:highlight w:val="none"/>
        </w:rPr>
        <w:t>。评标委员会推荐</w:t>
      </w:r>
      <w:r>
        <w:rPr>
          <w:rFonts w:cs="宋体"/>
          <w:color w:val="auto"/>
          <w:szCs w:val="22"/>
          <w:highlight w:val="none"/>
          <w:u w:val="single"/>
        </w:rPr>
        <w:t>合格的中标候选人</w:t>
      </w:r>
      <w:r>
        <w:rPr>
          <w:rFonts w:cs="宋体"/>
          <w:color w:val="auto"/>
          <w:szCs w:val="22"/>
          <w:highlight w:val="none"/>
        </w:rPr>
        <w:t>的人数见投标人须知前附表。</w:t>
      </w:r>
    </w:p>
    <w:p>
      <w:pPr>
        <w:pStyle w:val="7"/>
        <w:overflowPunct w:val="0"/>
        <w:snapToGrid w:val="0"/>
        <w:spacing w:line="360" w:lineRule="auto"/>
        <w:ind w:left="0" w:right="113"/>
        <w:rPr>
          <w:rFonts w:ascii="宋体" w:hAnsi="宋体" w:eastAsia="宋体" w:cs="宋体"/>
          <w:color w:val="auto"/>
          <w:highlight w:val="none"/>
        </w:rPr>
      </w:pPr>
      <w:bookmarkStart w:id="73" w:name="bookmark59"/>
      <w:bookmarkEnd w:id="73"/>
      <w:bookmarkStart w:id="74" w:name="_Toc12159"/>
      <w:bookmarkStart w:id="75" w:name="_Toc14884"/>
      <w:bookmarkStart w:id="76" w:name="_Toc83210318"/>
      <w:r>
        <w:rPr>
          <w:rFonts w:hint="eastAsia" w:ascii="宋体" w:hAnsi="宋体" w:eastAsia="宋体" w:cs="宋体"/>
          <w:color w:val="auto"/>
          <w:highlight w:val="none"/>
        </w:rPr>
        <w:t>7.</w:t>
      </w:r>
      <w:r>
        <w:rPr>
          <w:rFonts w:ascii="宋体" w:hAnsi="宋体" w:eastAsia="宋体" w:cs="宋体"/>
          <w:color w:val="auto"/>
          <w:highlight w:val="none"/>
        </w:rPr>
        <w:t>合同授予</w:t>
      </w:r>
      <w:bookmarkEnd w:id="74"/>
      <w:bookmarkEnd w:id="75"/>
      <w:bookmarkEnd w:id="76"/>
    </w:p>
    <w:p>
      <w:pPr>
        <w:pStyle w:val="8"/>
        <w:overflowPunct w:val="0"/>
        <w:snapToGrid w:val="0"/>
        <w:spacing w:line="360" w:lineRule="auto"/>
        <w:ind w:right="113"/>
        <w:rPr>
          <w:rFonts w:hint="default" w:cs="宋体"/>
          <w:bCs/>
          <w:color w:val="auto"/>
          <w:szCs w:val="28"/>
          <w:highlight w:val="none"/>
        </w:rPr>
      </w:pPr>
      <w:bookmarkStart w:id="77" w:name="bookmark60"/>
      <w:bookmarkEnd w:id="77"/>
      <w:bookmarkStart w:id="78" w:name="_Toc17570"/>
      <w:bookmarkStart w:id="79" w:name="_Toc27992"/>
      <w:r>
        <w:rPr>
          <w:rFonts w:hint="default" w:cs="宋体"/>
          <w:b/>
          <w:bCs/>
          <w:color w:val="auto"/>
          <w:szCs w:val="28"/>
          <w:highlight w:val="none"/>
        </w:rPr>
        <w:t>7.1 中</w:t>
      </w:r>
      <w:r>
        <w:rPr>
          <w:rFonts w:hint="cs" w:cs="宋体"/>
          <w:b/>
          <w:bCs/>
          <w:color w:val="auto"/>
          <w:szCs w:val="28"/>
          <w:highlight w:val="none"/>
          <w:cs/>
        </w:rPr>
        <w:t>标</w:t>
      </w:r>
      <w:r>
        <w:rPr>
          <w:rFonts w:hint="default" w:cs="宋体"/>
          <w:b/>
          <w:bCs/>
          <w:color w:val="auto"/>
          <w:szCs w:val="28"/>
          <w:highlight w:val="none"/>
        </w:rPr>
        <w:t>候</w:t>
      </w:r>
      <w:r>
        <w:rPr>
          <w:rFonts w:hint="cs" w:cs="宋体"/>
          <w:b/>
          <w:bCs/>
          <w:color w:val="auto"/>
          <w:szCs w:val="28"/>
          <w:highlight w:val="none"/>
          <w:cs/>
        </w:rPr>
        <w:t>选</w:t>
      </w:r>
      <w:r>
        <w:rPr>
          <w:rFonts w:hint="default" w:cs="宋体"/>
          <w:b/>
          <w:bCs/>
          <w:color w:val="auto"/>
          <w:szCs w:val="28"/>
          <w:highlight w:val="none"/>
        </w:rPr>
        <w:t>人公示</w:t>
      </w:r>
      <w:bookmarkEnd w:id="78"/>
      <w:bookmarkEnd w:id="79"/>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招标人在收到评标报告之日起</w:t>
      </w:r>
      <w:r>
        <w:rPr>
          <w:rFonts w:hint="default" w:cs="宋体"/>
          <w:color w:val="auto"/>
          <w:szCs w:val="22"/>
          <w:highlight w:val="none"/>
        </w:rPr>
        <w:t xml:space="preserve"> 3 </w:t>
      </w:r>
      <w:r>
        <w:rPr>
          <w:rFonts w:cs="宋体"/>
          <w:color w:val="auto"/>
          <w:szCs w:val="22"/>
          <w:highlight w:val="none"/>
        </w:rPr>
        <w:t>日内，按照投标人须知前附表规定的公示媒介和期限公示中标候选人，公示期不得少于</w:t>
      </w:r>
      <w:r>
        <w:rPr>
          <w:rFonts w:hint="default" w:cs="宋体"/>
          <w:color w:val="auto"/>
          <w:szCs w:val="22"/>
          <w:highlight w:val="none"/>
        </w:rPr>
        <w:t xml:space="preserve"> 3 </w:t>
      </w:r>
      <w:r>
        <w:rPr>
          <w:rFonts w:cs="宋体"/>
          <w:color w:val="auto"/>
          <w:szCs w:val="22"/>
          <w:highlight w:val="none"/>
        </w:rPr>
        <w:t>天。</w:t>
      </w:r>
    </w:p>
    <w:p>
      <w:pPr>
        <w:pStyle w:val="8"/>
        <w:overflowPunct w:val="0"/>
        <w:snapToGrid w:val="0"/>
        <w:spacing w:line="360" w:lineRule="auto"/>
        <w:ind w:right="113"/>
        <w:rPr>
          <w:rFonts w:hint="default" w:cs="宋体"/>
          <w:bCs/>
          <w:color w:val="auto"/>
          <w:szCs w:val="28"/>
          <w:highlight w:val="none"/>
        </w:rPr>
      </w:pPr>
      <w:bookmarkStart w:id="80" w:name="bookmark61"/>
      <w:bookmarkEnd w:id="80"/>
      <w:bookmarkStart w:id="81" w:name="_Toc25027"/>
      <w:bookmarkStart w:id="82" w:name="_Toc31028"/>
      <w:r>
        <w:rPr>
          <w:rFonts w:hint="default" w:cs="宋体"/>
          <w:b/>
          <w:bCs/>
          <w:color w:val="auto"/>
          <w:szCs w:val="28"/>
          <w:highlight w:val="none"/>
        </w:rPr>
        <w:t xml:space="preserve">7.2 </w:t>
      </w:r>
      <w:r>
        <w:rPr>
          <w:rFonts w:hint="cs" w:cs="宋体"/>
          <w:b/>
          <w:bCs/>
          <w:color w:val="auto"/>
          <w:szCs w:val="28"/>
          <w:highlight w:val="none"/>
          <w:cs/>
        </w:rPr>
        <w:t>评标结</w:t>
      </w:r>
      <w:r>
        <w:rPr>
          <w:rFonts w:hint="default" w:cs="宋体"/>
          <w:b/>
          <w:bCs/>
          <w:color w:val="auto"/>
          <w:szCs w:val="28"/>
          <w:highlight w:val="none"/>
        </w:rPr>
        <w:t>果异</w:t>
      </w:r>
      <w:r>
        <w:rPr>
          <w:rFonts w:hint="cs" w:cs="宋体"/>
          <w:b/>
          <w:bCs/>
          <w:color w:val="auto"/>
          <w:szCs w:val="28"/>
          <w:highlight w:val="none"/>
          <w:cs/>
        </w:rPr>
        <w:t>议</w:t>
      </w:r>
      <w:bookmarkEnd w:id="81"/>
      <w:bookmarkEnd w:id="82"/>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投标人或者其他利害关系人对评标结果有异议的，应当在中标候选人公示期间提出。招标人将在收到异议之日起</w:t>
      </w:r>
      <w:r>
        <w:rPr>
          <w:rFonts w:hint="default" w:cs="宋体"/>
          <w:color w:val="auto"/>
          <w:szCs w:val="22"/>
          <w:highlight w:val="none"/>
        </w:rPr>
        <w:t xml:space="preserve"> 3 </w:t>
      </w:r>
      <w:r>
        <w:rPr>
          <w:rFonts w:cs="宋体"/>
          <w:color w:val="auto"/>
          <w:szCs w:val="22"/>
          <w:highlight w:val="none"/>
        </w:rPr>
        <w:t>日内作出答复；作出答复前，将暂停招标投标活动。</w:t>
      </w:r>
    </w:p>
    <w:p>
      <w:pPr>
        <w:pStyle w:val="8"/>
        <w:overflowPunct w:val="0"/>
        <w:snapToGrid w:val="0"/>
        <w:spacing w:line="360" w:lineRule="auto"/>
        <w:ind w:right="113"/>
        <w:rPr>
          <w:rFonts w:hint="default" w:cs="宋体"/>
          <w:bCs/>
          <w:color w:val="auto"/>
          <w:szCs w:val="28"/>
          <w:highlight w:val="none"/>
        </w:rPr>
      </w:pPr>
      <w:bookmarkStart w:id="83" w:name="bookmark62"/>
      <w:bookmarkEnd w:id="83"/>
      <w:bookmarkStart w:id="84" w:name="_Toc31080"/>
      <w:bookmarkStart w:id="85" w:name="_Toc14063"/>
      <w:r>
        <w:rPr>
          <w:rFonts w:hint="default" w:cs="宋体"/>
          <w:b/>
          <w:bCs/>
          <w:color w:val="auto"/>
          <w:szCs w:val="28"/>
          <w:highlight w:val="none"/>
        </w:rPr>
        <w:t>7.3 中</w:t>
      </w:r>
      <w:r>
        <w:rPr>
          <w:rFonts w:hint="cs" w:cs="宋体"/>
          <w:b/>
          <w:bCs/>
          <w:color w:val="auto"/>
          <w:szCs w:val="28"/>
          <w:highlight w:val="none"/>
          <w:cs/>
        </w:rPr>
        <w:t>标</w:t>
      </w:r>
      <w:r>
        <w:rPr>
          <w:rFonts w:hint="default" w:cs="宋体"/>
          <w:b/>
          <w:bCs/>
          <w:color w:val="auto"/>
          <w:szCs w:val="28"/>
          <w:highlight w:val="none"/>
        </w:rPr>
        <w:t>候</w:t>
      </w:r>
      <w:r>
        <w:rPr>
          <w:rFonts w:hint="cs" w:cs="宋体"/>
          <w:b/>
          <w:bCs/>
          <w:color w:val="auto"/>
          <w:szCs w:val="28"/>
          <w:highlight w:val="none"/>
          <w:cs/>
        </w:rPr>
        <w:t>选</w:t>
      </w:r>
      <w:r>
        <w:rPr>
          <w:rFonts w:hint="default" w:cs="宋体"/>
          <w:b/>
          <w:bCs/>
          <w:color w:val="auto"/>
          <w:szCs w:val="28"/>
          <w:highlight w:val="none"/>
        </w:rPr>
        <w:t>人履</w:t>
      </w:r>
      <w:r>
        <w:rPr>
          <w:rFonts w:hint="cs" w:cs="宋体"/>
          <w:b/>
          <w:bCs/>
          <w:color w:val="auto"/>
          <w:szCs w:val="28"/>
          <w:highlight w:val="none"/>
          <w:cs/>
        </w:rPr>
        <w:t>约</w:t>
      </w:r>
      <w:r>
        <w:rPr>
          <w:rFonts w:hint="default" w:cs="宋体"/>
          <w:b/>
          <w:bCs/>
          <w:color w:val="auto"/>
          <w:szCs w:val="28"/>
          <w:highlight w:val="none"/>
        </w:rPr>
        <w:t>能力</w:t>
      </w:r>
      <w:r>
        <w:rPr>
          <w:rFonts w:hint="cs" w:cs="宋体"/>
          <w:b/>
          <w:bCs/>
          <w:color w:val="auto"/>
          <w:szCs w:val="28"/>
          <w:highlight w:val="none"/>
          <w:cs/>
        </w:rPr>
        <w:t>审</w:t>
      </w:r>
      <w:r>
        <w:rPr>
          <w:rFonts w:hint="default" w:cs="宋体"/>
          <w:b/>
          <w:bCs/>
          <w:color w:val="auto"/>
          <w:szCs w:val="28"/>
          <w:highlight w:val="none"/>
        </w:rPr>
        <w:t>查</w:t>
      </w:r>
      <w:bookmarkEnd w:id="84"/>
      <w:bookmarkEnd w:id="85"/>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8"/>
        <w:overflowPunct w:val="0"/>
        <w:snapToGrid w:val="0"/>
        <w:spacing w:line="360" w:lineRule="auto"/>
        <w:ind w:right="113"/>
        <w:rPr>
          <w:rFonts w:hint="default" w:cs="宋体"/>
          <w:bCs/>
          <w:color w:val="auto"/>
          <w:szCs w:val="28"/>
          <w:highlight w:val="none"/>
        </w:rPr>
      </w:pPr>
      <w:bookmarkStart w:id="86" w:name="bookmark63"/>
      <w:bookmarkEnd w:id="86"/>
      <w:bookmarkStart w:id="87" w:name="_Toc11053"/>
      <w:bookmarkStart w:id="88" w:name="_Toc4319"/>
      <w:r>
        <w:rPr>
          <w:rFonts w:hint="default" w:cs="宋体"/>
          <w:b/>
          <w:bCs/>
          <w:color w:val="auto"/>
          <w:szCs w:val="28"/>
          <w:highlight w:val="none"/>
        </w:rPr>
        <w:t>7.4 定</w:t>
      </w:r>
      <w:r>
        <w:rPr>
          <w:rFonts w:hint="cs" w:cs="宋体"/>
          <w:b/>
          <w:bCs/>
          <w:color w:val="auto"/>
          <w:szCs w:val="28"/>
          <w:highlight w:val="none"/>
          <w:cs/>
        </w:rPr>
        <w:t>标</w:t>
      </w:r>
      <w:bookmarkEnd w:id="87"/>
      <w:bookmarkEnd w:id="88"/>
    </w:p>
    <w:p>
      <w:pPr>
        <w:pStyle w:val="15"/>
        <w:overflowPunct w:val="0"/>
        <w:snapToGrid w:val="0"/>
        <w:spacing w:line="360" w:lineRule="auto"/>
        <w:ind w:right="113" w:firstLine="419"/>
        <w:rPr>
          <w:rFonts w:hint="default" w:cs="宋体"/>
          <w:color w:val="auto"/>
          <w:szCs w:val="22"/>
          <w:highlight w:val="none"/>
        </w:rPr>
      </w:pPr>
      <w:r>
        <w:rPr>
          <w:rFonts w:ascii="Times New Roman" w:hAnsi="Times New Roman"/>
          <w:color w:val="auto"/>
          <w:szCs w:val="24"/>
          <w:highlight w:val="none"/>
          <w:u w:val="single"/>
        </w:rPr>
        <w:t>定标委员会</w:t>
      </w:r>
      <w:r>
        <w:rPr>
          <w:rFonts w:ascii="Times New Roman" w:hAnsi="Times New Roman"/>
          <w:color w:val="auto"/>
          <w:highlight w:val="none"/>
          <w:u w:val="single"/>
        </w:rPr>
        <w:t>按照投标人须知前附表的规定确定中标人。</w:t>
      </w:r>
    </w:p>
    <w:p>
      <w:pPr>
        <w:pStyle w:val="8"/>
        <w:overflowPunct w:val="0"/>
        <w:snapToGrid w:val="0"/>
        <w:spacing w:line="360" w:lineRule="auto"/>
        <w:ind w:right="113"/>
        <w:rPr>
          <w:rFonts w:hint="default" w:cs="宋体"/>
          <w:bCs/>
          <w:color w:val="auto"/>
          <w:szCs w:val="28"/>
          <w:highlight w:val="none"/>
        </w:rPr>
      </w:pPr>
      <w:bookmarkStart w:id="89" w:name="bookmark64"/>
      <w:bookmarkEnd w:id="89"/>
      <w:bookmarkStart w:id="90" w:name="_Toc18144"/>
      <w:bookmarkStart w:id="91" w:name="_Toc14325"/>
      <w:r>
        <w:rPr>
          <w:rFonts w:hint="default" w:cs="宋体"/>
          <w:b/>
          <w:bCs/>
          <w:color w:val="auto"/>
          <w:szCs w:val="28"/>
          <w:highlight w:val="none"/>
        </w:rPr>
        <w:t>7.5 中</w:t>
      </w:r>
      <w:r>
        <w:rPr>
          <w:rFonts w:hint="cs" w:cs="宋体"/>
          <w:b/>
          <w:bCs/>
          <w:color w:val="auto"/>
          <w:szCs w:val="28"/>
          <w:highlight w:val="none"/>
          <w:cs/>
        </w:rPr>
        <w:t>标</w:t>
      </w:r>
      <w:r>
        <w:rPr>
          <w:rFonts w:hint="default" w:cs="宋体"/>
          <w:b/>
          <w:bCs/>
          <w:color w:val="auto"/>
          <w:szCs w:val="28"/>
          <w:highlight w:val="none"/>
        </w:rPr>
        <w:t>通知</w:t>
      </w:r>
      <w:bookmarkEnd w:id="90"/>
      <w:bookmarkEnd w:id="91"/>
    </w:p>
    <w:p>
      <w:pPr>
        <w:pStyle w:val="15"/>
        <w:overflowPunct w:val="0"/>
        <w:snapToGrid w:val="0"/>
        <w:spacing w:line="360" w:lineRule="auto"/>
        <w:ind w:right="113" w:firstLine="419"/>
        <w:rPr>
          <w:rFonts w:hint="default" w:cs="宋体"/>
          <w:color w:val="auto"/>
          <w:sz w:val="14"/>
          <w:highlight w:val="none"/>
        </w:rPr>
      </w:pPr>
      <w:r>
        <w:rPr>
          <w:rFonts w:cs="宋体"/>
          <w:color w:val="auto"/>
          <w:szCs w:val="22"/>
          <w:highlight w:val="none"/>
        </w:rPr>
        <w:t>在本章第</w:t>
      </w:r>
      <w:r>
        <w:rPr>
          <w:rFonts w:hint="default" w:cs="宋体"/>
          <w:color w:val="auto"/>
          <w:szCs w:val="22"/>
          <w:highlight w:val="none"/>
        </w:rPr>
        <w:t xml:space="preserve"> 3.3 </w:t>
      </w:r>
      <w:r>
        <w:rPr>
          <w:rFonts w:cs="宋体"/>
          <w:color w:val="auto"/>
          <w:szCs w:val="22"/>
          <w:highlight w:val="none"/>
        </w:rPr>
        <w:t>款规定的投标有效期内，招标人以书面形式向中标人发出中标通知书，同时将中标结果通知未中标的投标人。</w:t>
      </w:r>
    </w:p>
    <w:p>
      <w:pPr>
        <w:pStyle w:val="8"/>
        <w:overflowPunct w:val="0"/>
        <w:snapToGrid w:val="0"/>
        <w:spacing w:line="360" w:lineRule="auto"/>
        <w:ind w:right="113"/>
        <w:rPr>
          <w:rFonts w:hint="default" w:cs="宋体"/>
          <w:bCs/>
          <w:color w:val="auto"/>
          <w:szCs w:val="28"/>
          <w:highlight w:val="none"/>
        </w:rPr>
      </w:pPr>
      <w:bookmarkStart w:id="92" w:name="bookmark65"/>
      <w:bookmarkEnd w:id="92"/>
      <w:bookmarkStart w:id="93" w:name="_Toc20338"/>
      <w:bookmarkStart w:id="94" w:name="_Toc6449"/>
      <w:r>
        <w:rPr>
          <w:rFonts w:hint="default" w:cs="宋体"/>
          <w:b/>
          <w:bCs/>
          <w:color w:val="auto"/>
          <w:szCs w:val="28"/>
          <w:highlight w:val="none"/>
        </w:rPr>
        <w:t>7.6 履</w:t>
      </w:r>
      <w:r>
        <w:rPr>
          <w:rFonts w:hint="cs" w:cs="宋体"/>
          <w:b/>
          <w:bCs/>
          <w:color w:val="auto"/>
          <w:szCs w:val="28"/>
          <w:highlight w:val="none"/>
          <w:cs/>
        </w:rPr>
        <w:t>约</w:t>
      </w:r>
      <w:r>
        <w:rPr>
          <w:rFonts w:hint="default" w:cs="宋体"/>
          <w:b/>
          <w:bCs/>
          <w:color w:val="auto"/>
          <w:szCs w:val="28"/>
          <w:highlight w:val="none"/>
        </w:rPr>
        <w:t>保</w:t>
      </w:r>
      <w:r>
        <w:rPr>
          <w:rFonts w:hint="cs" w:cs="宋体"/>
          <w:b/>
          <w:bCs/>
          <w:color w:val="auto"/>
          <w:szCs w:val="28"/>
          <w:highlight w:val="none"/>
          <w:cs/>
        </w:rPr>
        <w:t>证</w:t>
      </w:r>
      <w:r>
        <w:rPr>
          <w:rFonts w:hint="default" w:cs="宋体"/>
          <w:b/>
          <w:bCs/>
          <w:color w:val="auto"/>
          <w:szCs w:val="28"/>
          <w:highlight w:val="none"/>
        </w:rPr>
        <w:t>金</w:t>
      </w:r>
      <w:bookmarkEnd w:id="93"/>
      <w:bookmarkEnd w:id="94"/>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7.6.1</w:t>
      </w:r>
      <w:r>
        <w:rPr>
          <w:rFonts w:cs="宋体"/>
          <w:color w:val="auto"/>
          <w:szCs w:val="22"/>
          <w:highlight w:val="none"/>
        </w:rPr>
        <w:t>中标人应按招标文件第四章“合同条款及格式”规定的或者事先经过招标人书面认可的履约保证金格式提交履约保证金。</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7.6.2 </w:t>
      </w:r>
      <w:r>
        <w:rPr>
          <w:rFonts w:cs="宋体"/>
          <w:color w:val="auto"/>
          <w:szCs w:val="22"/>
          <w:highlight w:val="none"/>
        </w:rPr>
        <w:t>中标人不能按本章第</w:t>
      </w:r>
      <w:r>
        <w:rPr>
          <w:rFonts w:hint="default" w:cs="宋体"/>
          <w:color w:val="auto"/>
          <w:szCs w:val="22"/>
          <w:highlight w:val="none"/>
        </w:rPr>
        <w:t xml:space="preserve"> 7.6.1 </w:t>
      </w:r>
      <w:r>
        <w:rPr>
          <w:rFonts w:cs="宋体"/>
          <w:color w:val="auto"/>
          <w:szCs w:val="22"/>
          <w:highlight w:val="none"/>
        </w:rPr>
        <w:t>项要求提交履约保证金的，视为放弃中标，其投标保证金不予退还，给招标人造成的损失超过投标保证金数额的，中标人还应当对超过部分予以赔偿。</w:t>
      </w:r>
    </w:p>
    <w:p>
      <w:pPr>
        <w:pStyle w:val="8"/>
        <w:overflowPunct w:val="0"/>
        <w:snapToGrid w:val="0"/>
        <w:spacing w:line="360" w:lineRule="auto"/>
        <w:ind w:right="113"/>
        <w:rPr>
          <w:rFonts w:hint="default" w:cs="宋体"/>
          <w:bCs/>
          <w:color w:val="auto"/>
          <w:szCs w:val="28"/>
          <w:highlight w:val="none"/>
        </w:rPr>
      </w:pPr>
      <w:bookmarkStart w:id="95" w:name="bookmark66"/>
      <w:bookmarkEnd w:id="95"/>
      <w:bookmarkStart w:id="96" w:name="_Toc5101"/>
      <w:bookmarkStart w:id="97" w:name="_Toc21810"/>
      <w:r>
        <w:rPr>
          <w:rFonts w:hint="default" w:cs="宋体"/>
          <w:b/>
          <w:bCs/>
          <w:color w:val="auto"/>
          <w:szCs w:val="28"/>
          <w:highlight w:val="none"/>
        </w:rPr>
        <w:t xml:space="preserve">7.7 </w:t>
      </w:r>
      <w:r>
        <w:rPr>
          <w:rFonts w:hint="cs" w:cs="宋体"/>
          <w:b/>
          <w:bCs/>
          <w:color w:val="auto"/>
          <w:szCs w:val="28"/>
          <w:highlight w:val="none"/>
          <w:cs/>
        </w:rPr>
        <w:t>签订</w:t>
      </w:r>
      <w:r>
        <w:rPr>
          <w:rFonts w:hint="default" w:cs="宋体"/>
          <w:b/>
          <w:bCs/>
          <w:color w:val="auto"/>
          <w:szCs w:val="28"/>
          <w:highlight w:val="none"/>
        </w:rPr>
        <w:t>合同</w:t>
      </w:r>
      <w:bookmarkEnd w:id="96"/>
      <w:bookmarkEnd w:id="97"/>
    </w:p>
    <w:p>
      <w:pPr>
        <w:pStyle w:val="15"/>
        <w:overflowPunct w:val="0"/>
        <w:snapToGrid w:val="0"/>
        <w:spacing w:line="360" w:lineRule="auto"/>
        <w:ind w:right="113" w:firstLine="419"/>
        <w:rPr>
          <w:rFonts w:hint="default"/>
          <w:bCs/>
          <w:color w:val="auto"/>
          <w:szCs w:val="21"/>
          <w:highlight w:val="none"/>
        </w:rPr>
      </w:pPr>
      <w:r>
        <w:rPr>
          <w:bCs/>
          <w:color w:val="auto"/>
          <w:szCs w:val="21"/>
          <w:highlight w:val="none"/>
        </w:rPr>
        <w:t>中标人将于中标通知书发出之日起30日内，按照招标文件第四章合同条款格式要求与招标人和云港城项目4#地块施工总承包单位分别签订供货和安装服务合同，其中供货合同由招标人与中标人签订；安装服务合同由云港城项目4#地块施工总承包单位与中标人</w:t>
      </w:r>
      <w:r>
        <w:rPr>
          <w:rFonts w:cs="宋体" w:asciiTheme="minorEastAsia" w:hAnsiTheme="minorEastAsia" w:eastAsiaTheme="minorEastAsia"/>
          <w:color w:val="auto"/>
          <w:szCs w:val="21"/>
          <w:highlight w:val="none"/>
        </w:rPr>
        <w:t>（或由中标人授权的分公司签订合同）</w:t>
      </w:r>
      <w:r>
        <w:rPr>
          <w:bCs/>
          <w:color w:val="auto"/>
          <w:szCs w:val="21"/>
          <w:highlight w:val="none"/>
        </w:rPr>
        <w:t>签订。</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中标人无正当理由拒签合同，在签订合同时提出附加条件，或者不按照招标文件要求提交履约保证金的，招标人有权取消其中标资格，其投标保证金不予退还；给招标人造成的损失超过投标保证金数额的，中标人还应当对超过部分予以赔偿。</w:t>
      </w:r>
    </w:p>
    <w:p>
      <w:pPr>
        <w:pStyle w:val="8"/>
        <w:numPr>
          <w:ilvl w:val="1"/>
          <w:numId w:val="1"/>
        </w:numPr>
        <w:overflowPunct w:val="0"/>
        <w:snapToGrid w:val="0"/>
        <w:spacing w:line="360" w:lineRule="auto"/>
        <w:ind w:right="113"/>
        <w:rPr>
          <w:rFonts w:hint="default" w:cs="宋体"/>
          <w:bCs/>
          <w:color w:val="auto"/>
          <w:highlight w:val="none"/>
        </w:rPr>
      </w:pPr>
      <w:bookmarkStart w:id="98" w:name="bookmark67"/>
      <w:bookmarkEnd w:id="98"/>
      <w:bookmarkStart w:id="99" w:name="_Toc6234"/>
      <w:bookmarkStart w:id="100" w:name="_Toc6278"/>
      <w:r>
        <w:rPr>
          <w:rFonts w:cs="宋体"/>
          <w:b/>
          <w:bCs/>
          <w:color w:val="auto"/>
          <w:highlight w:val="none"/>
        </w:rPr>
        <w:t>其他费用</w:t>
      </w:r>
    </w:p>
    <w:p>
      <w:pPr>
        <w:pStyle w:val="15"/>
        <w:overflowPunct w:val="0"/>
        <w:snapToGrid w:val="0"/>
        <w:spacing w:line="360" w:lineRule="auto"/>
        <w:ind w:right="113" w:firstLine="420" w:firstLineChars="200"/>
        <w:rPr>
          <w:rFonts w:hint="default" w:cs="宋体"/>
          <w:color w:val="auto"/>
          <w:szCs w:val="22"/>
          <w:highlight w:val="none"/>
          <w:u w:val="single"/>
        </w:rPr>
      </w:pPr>
      <w:r>
        <w:rPr>
          <w:rFonts w:cs="宋体"/>
          <w:color w:val="auto"/>
          <w:szCs w:val="22"/>
          <w:highlight w:val="none"/>
          <w:u w:val="single"/>
        </w:rPr>
        <w:t>7.8.1 本项目招标交易服务费由中标人承担，并向广州公共资源交易中心交纳。</w:t>
      </w:r>
    </w:p>
    <w:p>
      <w:pPr>
        <w:pStyle w:val="7"/>
        <w:overflowPunct w:val="0"/>
        <w:snapToGrid w:val="0"/>
        <w:spacing w:line="360" w:lineRule="auto"/>
        <w:ind w:left="0" w:right="113"/>
        <w:rPr>
          <w:rFonts w:ascii="宋体" w:hAnsi="宋体" w:eastAsia="宋体" w:cs="宋体"/>
          <w:color w:val="auto"/>
          <w:szCs w:val="32"/>
          <w:highlight w:val="none"/>
        </w:rPr>
      </w:pPr>
      <w:bookmarkStart w:id="101" w:name="_Toc83210319"/>
      <w:r>
        <w:rPr>
          <w:rFonts w:hint="eastAsia" w:ascii="宋体" w:hAnsi="宋体" w:eastAsia="宋体" w:cs="宋体"/>
          <w:color w:val="auto"/>
          <w:szCs w:val="32"/>
          <w:highlight w:val="none"/>
          <w:cs/>
        </w:rPr>
        <w:t>8.纪</w:t>
      </w:r>
      <w:r>
        <w:rPr>
          <w:rFonts w:hint="eastAsia" w:ascii="宋体" w:hAnsi="宋体" w:eastAsia="宋体" w:cs="宋体"/>
          <w:color w:val="auto"/>
          <w:szCs w:val="32"/>
          <w:highlight w:val="none"/>
        </w:rPr>
        <w:t>律和</w:t>
      </w:r>
      <w:r>
        <w:rPr>
          <w:rFonts w:hint="eastAsia" w:ascii="宋体" w:hAnsi="宋体" w:eastAsia="宋体" w:cs="宋体"/>
          <w:color w:val="auto"/>
          <w:szCs w:val="32"/>
          <w:highlight w:val="none"/>
          <w:cs/>
        </w:rPr>
        <w:t>监</w:t>
      </w:r>
      <w:r>
        <w:rPr>
          <w:rFonts w:hint="eastAsia" w:ascii="宋体" w:hAnsi="宋体" w:eastAsia="宋体" w:cs="宋体"/>
          <w:color w:val="auto"/>
          <w:szCs w:val="32"/>
          <w:highlight w:val="none"/>
        </w:rPr>
        <w:t>督</w:t>
      </w:r>
      <w:bookmarkEnd w:id="99"/>
      <w:bookmarkEnd w:id="100"/>
      <w:bookmarkEnd w:id="101"/>
    </w:p>
    <w:p>
      <w:pPr>
        <w:pStyle w:val="8"/>
        <w:overflowPunct w:val="0"/>
        <w:snapToGrid w:val="0"/>
        <w:spacing w:line="360" w:lineRule="auto"/>
        <w:ind w:right="113"/>
        <w:rPr>
          <w:rFonts w:hint="default" w:cs="宋体"/>
          <w:bCs/>
          <w:color w:val="auto"/>
          <w:szCs w:val="28"/>
          <w:highlight w:val="none"/>
        </w:rPr>
      </w:pPr>
      <w:bookmarkStart w:id="102" w:name="bookmark68"/>
      <w:bookmarkEnd w:id="102"/>
      <w:bookmarkStart w:id="103" w:name="_Toc4134"/>
      <w:bookmarkStart w:id="104" w:name="_Toc25908"/>
      <w:r>
        <w:rPr>
          <w:rFonts w:hint="default" w:cs="宋体"/>
          <w:b/>
          <w:bCs/>
          <w:color w:val="auto"/>
          <w:szCs w:val="28"/>
          <w:highlight w:val="none"/>
        </w:rPr>
        <w:t xml:space="preserve">8.1 </w:t>
      </w:r>
      <w:r>
        <w:rPr>
          <w:rFonts w:hint="cs" w:cs="宋体"/>
          <w:b/>
          <w:bCs/>
          <w:color w:val="auto"/>
          <w:szCs w:val="28"/>
          <w:highlight w:val="none"/>
          <w:cs/>
        </w:rPr>
        <w:t>对</w:t>
      </w:r>
      <w:r>
        <w:rPr>
          <w:rFonts w:hint="default" w:cs="宋体"/>
          <w:b/>
          <w:bCs/>
          <w:color w:val="auto"/>
          <w:szCs w:val="28"/>
          <w:highlight w:val="none"/>
        </w:rPr>
        <w:t>招</w:t>
      </w:r>
      <w:r>
        <w:rPr>
          <w:rFonts w:hint="cs" w:cs="宋体"/>
          <w:b/>
          <w:bCs/>
          <w:color w:val="auto"/>
          <w:szCs w:val="28"/>
          <w:highlight w:val="none"/>
          <w:cs/>
        </w:rPr>
        <w:t>标</w:t>
      </w:r>
      <w:r>
        <w:rPr>
          <w:rFonts w:hint="default" w:cs="宋体"/>
          <w:b/>
          <w:bCs/>
          <w:color w:val="auto"/>
          <w:szCs w:val="28"/>
          <w:highlight w:val="none"/>
        </w:rPr>
        <w:t>人的</w:t>
      </w:r>
      <w:r>
        <w:rPr>
          <w:rFonts w:hint="cs" w:cs="宋体"/>
          <w:b/>
          <w:bCs/>
          <w:color w:val="auto"/>
          <w:szCs w:val="28"/>
          <w:highlight w:val="none"/>
          <w:cs/>
        </w:rPr>
        <w:t>纪</w:t>
      </w:r>
      <w:r>
        <w:rPr>
          <w:rFonts w:hint="default" w:cs="宋体"/>
          <w:b/>
          <w:bCs/>
          <w:color w:val="auto"/>
          <w:szCs w:val="28"/>
          <w:highlight w:val="none"/>
        </w:rPr>
        <w:t>律要求</w:t>
      </w:r>
      <w:bookmarkEnd w:id="103"/>
      <w:bookmarkEnd w:id="104"/>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招标人不得泄露招标投标活动中应当保密的情况和资料，不得与投标人串通损害国家利益、社会公共利益或者他人合法权益。</w:t>
      </w:r>
    </w:p>
    <w:p>
      <w:pPr>
        <w:pStyle w:val="8"/>
        <w:overflowPunct w:val="0"/>
        <w:snapToGrid w:val="0"/>
        <w:spacing w:line="360" w:lineRule="auto"/>
        <w:ind w:right="113"/>
        <w:rPr>
          <w:rFonts w:hint="default" w:cs="宋体"/>
          <w:bCs/>
          <w:color w:val="auto"/>
          <w:szCs w:val="28"/>
          <w:highlight w:val="none"/>
        </w:rPr>
      </w:pPr>
      <w:bookmarkStart w:id="105" w:name="bookmark69"/>
      <w:bookmarkEnd w:id="105"/>
      <w:bookmarkStart w:id="106" w:name="_Toc1308"/>
      <w:bookmarkStart w:id="107" w:name="_Toc27002"/>
      <w:r>
        <w:rPr>
          <w:rFonts w:hint="default" w:cs="宋体"/>
          <w:b/>
          <w:bCs/>
          <w:color w:val="auto"/>
          <w:szCs w:val="28"/>
          <w:highlight w:val="none"/>
        </w:rPr>
        <w:t xml:space="preserve">8.2 </w:t>
      </w:r>
      <w:r>
        <w:rPr>
          <w:rFonts w:hint="cs" w:cs="宋体"/>
          <w:b/>
          <w:bCs/>
          <w:color w:val="auto"/>
          <w:szCs w:val="28"/>
          <w:highlight w:val="none"/>
          <w:cs/>
        </w:rPr>
        <w:t>对</w:t>
      </w:r>
      <w:r>
        <w:rPr>
          <w:rFonts w:hint="default" w:cs="宋体"/>
          <w:b/>
          <w:bCs/>
          <w:color w:val="auto"/>
          <w:szCs w:val="28"/>
          <w:highlight w:val="none"/>
        </w:rPr>
        <w:t>投</w:t>
      </w:r>
      <w:r>
        <w:rPr>
          <w:rFonts w:hint="cs" w:cs="宋体"/>
          <w:b/>
          <w:bCs/>
          <w:color w:val="auto"/>
          <w:szCs w:val="28"/>
          <w:highlight w:val="none"/>
          <w:cs/>
        </w:rPr>
        <w:t>标</w:t>
      </w:r>
      <w:r>
        <w:rPr>
          <w:rFonts w:hint="default" w:cs="宋体"/>
          <w:b/>
          <w:bCs/>
          <w:color w:val="auto"/>
          <w:szCs w:val="28"/>
          <w:highlight w:val="none"/>
        </w:rPr>
        <w:t>人的</w:t>
      </w:r>
      <w:r>
        <w:rPr>
          <w:rFonts w:hint="cs" w:cs="宋体"/>
          <w:b/>
          <w:bCs/>
          <w:color w:val="auto"/>
          <w:szCs w:val="28"/>
          <w:highlight w:val="none"/>
          <w:cs/>
        </w:rPr>
        <w:t>纪</w:t>
      </w:r>
      <w:r>
        <w:rPr>
          <w:rFonts w:hint="default" w:cs="宋体"/>
          <w:b/>
          <w:bCs/>
          <w:color w:val="auto"/>
          <w:szCs w:val="28"/>
          <w:highlight w:val="none"/>
        </w:rPr>
        <w:t>律要求</w:t>
      </w:r>
      <w:bookmarkEnd w:id="106"/>
      <w:bookmarkEnd w:id="107"/>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8"/>
        <w:overflowPunct w:val="0"/>
        <w:snapToGrid w:val="0"/>
        <w:spacing w:line="360" w:lineRule="auto"/>
        <w:ind w:right="113"/>
        <w:rPr>
          <w:rFonts w:hint="default" w:cs="宋体"/>
          <w:bCs/>
          <w:color w:val="auto"/>
          <w:szCs w:val="28"/>
          <w:highlight w:val="none"/>
        </w:rPr>
      </w:pPr>
      <w:bookmarkStart w:id="108" w:name="bookmark70"/>
      <w:bookmarkEnd w:id="108"/>
      <w:bookmarkStart w:id="109" w:name="_Toc27530"/>
      <w:bookmarkStart w:id="110" w:name="_Toc30140"/>
      <w:r>
        <w:rPr>
          <w:rFonts w:hint="default" w:cs="宋体"/>
          <w:b/>
          <w:bCs/>
          <w:color w:val="auto"/>
          <w:szCs w:val="28"/>
          <w:highlight w:val="none"/>
        </w:rPr>
        <w:t xml:space="preserve">8.3 </w:t>
      </w:r>
      <w:r>
        <w:rPr>
          <w:rFonts w:hint="cs" w:cs="宋体"/>
          <w:b/>
          <w:bCs/>
          <w:color w:val="auto"/>
          <w:szCs w:val="28"/>
          <w:highlight w:val="none"/>
          <w:cs/>
        </w:rPr>
        <w:t>对评标</w:t>
      </w:r>
      <w:r>
        <w:rPr>
          <w:rFonts w:hint="default" w:cs="宋体"/>
          <w:b/>
          <w:bCs/>
          <w:color w:val="auto"/>
          <w:szCs w:val="28"/>
          <w:highlight w:val="none"/>
        </w:rPr>
        <w:t>委</w:t>
      </w:r>
      <w:r>
        <w:rPr>
          <w:rFonts w:hint="cs" w:cs="宋体"/>
          <w:b/>
          <w:bCs/>
          <w:color w:val="auto"/>
          <w:szCs w:val="28"/>
          <w:highlight w:val="none"/>
          <w:cs/>
        </w:rPr>
        <w:t>员会</w:t>
      </w:r>
      <w:r>
        <w:rPr>
          <w:rFonts w:hint="default" w:cs="宋体"/>
          <w:b/>
          <w:bCs/>
          <w:color w:val="auto"/>
          <w:szCs w:val="28"/>
          <w:highlight w:val="none"/>
        </w:rPr>
        <w:t>成</w:t>
      </w:r>
      <w:r>
        <w:rPr>
          <w:rFonts w:hint="cs" w:cs="宋体"/>
          <w:b/>
          <w:bCs/>
          <w:color w:val="auto"/>
          <w:szCs w:val="28"/>
          <w:highlight w:val="none"/>
          <w:cs/>
        </w:rPr>
        <w:t>员</w:t>
      </w:r>
      <w:r>
        <w:rPr>
          <w:rFonts w:hint="default" w:cs="宋体"/>
          <w:b/>
          <w:bCs/>
          <w:color w:val="auto"/>
          <w:szCs w:val="28"/>
          <w:highlight w:val="none"/>
        </w:rPr>
        <w:t>的</w:t>
      </w:r>
      <w:r>
        <w:rPr>
          <w:rFonts w:hint="cs" w:cs="宋体"/>
          <w:b/>
          <w:bCs/>
          <w:color w:val="auto"/>
          <w:szCs w:val="28"/>
          <w:highlight w:val="none"/>
          <w:cs/>
        </w:rPr>
        <w:t>纪</w:t>
      </w:r>
      <w:r>
        <w:rPr>
          <w:rFonts w:hint="default" w:cs="宋体"/>
          <w:b/>
          <w:bCs/>
          <w:color w:val="auto"/>
          <w:szCs w:val="28"/>
          <w:highlight w:val="none"/>
        </w:rPr>
        <w:t>律要求</w:t>
      </w:r>
      <w:bookmarkEnd w:id="109"/>
      <w:bookmarkEnd w:id="110"/>
    </w:p>
    <w:p>
      <w:pPr>
        <w:pStyle w:val="15"/>
        <w:overflowPunct w:val="0"/>
        <w:snapToGrid w:val="0"/>
        <w:spacing w:line="360" w:lineRule="auto"/>
        <w:ind w:left="102" w:right="113" w:firstLine="420"/>
        <w:rPr>
          <w:rFonts w:hint="default" w:cs="宋体"/>
          <w:color w:val="auto"/>
          <w:sz w:val="19"/>
          <w:highlight w:val="none"/>
        </w:rPr>
      </w:pPr>
      <w:r>
        <w:rPr>
          <w:rFonts w:cs="宋体"/>
          <w:color w:val="auto"/>
          <w:szCs w:val="22"/>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8"/>
        <w:overflowPunct w:val="0"/>
        <w:snapToGrid w:val="0"/>
        <w:spacing w:line="360" w:lineRule="auto"/>
        <w:ind w:right="113"/>
        <w:rPr>
          <w:rFonts w:hint="default" w:cs="宋体"/>
          <w:bCs/>
          <w:color w:val="auto"/>
          <w:szCs w:val="28"/>
          <w:highlight w:val="none"/>
        </w:rPr>
      </w:pPr>
      <w:bookmarkStart w:id="111" w:name="bookmark71"/>
      <w:bookmarkEnd w:id="111"/>
      <w:bookmarkStart w:id="112" w:name="_Toc2724"/>
      <w:bookmarkStart w:id="113" w:name="_Toc19523"/>
      <w:r>
        <w:rPr>
          <w:rFonts w:hint="default" w:cs="宋体"/>
          <w:b/>
          <w:bCs/>
          <w:color w:val="auto"/>
          <w:szCs w:val="28"/>
          <w:highlight w:val="none"/>
        </w:rPr>
        <w:t xml:space="preserve">8.4 </w:t>
      </w:r>
      <w:r>
        <w:rPr>
          <w:rFonts w:hint="cs" w:cs="宋体"/>
          <w:b/>
          <w:bCs/>
          <w:color w:val="auto"/>
          <w:szCs w:val="28"/>
          <w:highlight w:val="none"/>
          <w:cs/>
        </w:rPr>
        <w:t>对</w:t>
      </w:r>
      <w:r>
        <w:rPr>
          <w:rFonts w:hint="default" w:cs="宋体"/>
          <w:b/>
          <w:bCs/>
          <w:color w:val="auto"/>
          <w:szCs w:val="28"/>
          <w:highlight w:val="none"/>
        </w:rPr>
        <w:t>与</w:t>
      </w:r>
      <w:r>
        <w:rPr>
          <w:rFonts w:hint="cs" w:cs="宋体"/>
          <w:b/>
          <w:bCs/>
          <w:color w:val="auto"/>
          <w:szCs w:val="28"/>
          <w:highlight w:val="none"/>
          <w:cs/>
        </w:rPr>
        <w:t>评标</w:t>
      </w:r>
      <w:r>
        <w:rPr>
          <w:rFonts w:hint="default" w:cs="宋体"/>
          <w:b/>
          <w:bCs/>
          <w:color w:val="auto"/>
          <w:szCs w:val="28"/>
          <w:highlight w:val="none"/>
        </w:rPr>
        <w:t>活</w:t>
      </w:r>
      <w:r>
        <w:rPr>
          <w:rFonts w:hint="cs" w:cs="宋体"/>
          <w:b/>
          <w:bCs/>
          <w:color w:val="auto"/>
          <w:szCs w:val="28"/>
          <w:highlight w:val="none"/>
          <w:cs/>
        </w:rPr>
        <w:t>动</w:t>
      </w:r>
      <w:r>
        <w:rPr>
          <w:rFonts w:hint="default" w:cs="宋体"/>
          <w:b/>
          <w:bCs/>
          <w:color w:val="auto"/>
          <w:szCs w:val="28"/>
          <w:highlight w:val="none"/>
        </w:rPr>
        <w:t>有</w:t>
      </w:r>
      <w:r>
        <w:rPr>
          <w:rFonts w:hint="cs" w:cs="宋体"/>
          <w:b/>
          <w:bCs/>
          <w:color w:val="auto"/>
          <w:szCs w:val="28"/>
          <w:highlight w:val="none"/>
          <w:cs/>
        </w:rPr>
        <w:t>关</w:t>
      </w:r>
      <w:r>
        <w:rPr>
          <w:rFonts w:hint="default" w:cs="宋体"/>
          <w:b/>
          <w:bCs/>
          <w:color w:val="auto"/>
          <w:szCs w:val="28"/>
          <w:highlight w:val="none"/>
        </w:rPr>
        <w:t>的工作人</w:t>
      </w:r>
      <w:r>
        <w:rPr>
          <w:rFonts w:hint="cs" w:cs="宋体"/>
          <w:b/>
          <w:bCs/>
          <w:color w:val="auto"/>
          <w:szCs w:val="28"/>
          <w:highlight w:val="none"/>
          <w:cs/>
        </w:rPr>
        <w:t>员</w:t>
      </w:r>
      <w:r>
        <w:rPr>
          <w:rFonts w:hint="default" w:cs="宋体"/>
          <w:b/>
          <w:bCs/>
          <w:color w:val="auto"/>
          <w:szCs w:val="28"/>
          <w:highlight w:val="none"/>
        </w:rPr>
        <w:t>的</w:t>
      </w:r>
      <w:r>
        <w:rPr>
          <w:rFonts w:hint="cs" w:cs="宋体"/>
          <w:b/>
          <w:bCs/>
          <w:color w:val="auto"/>
          <w:szCs w:val="28"/>
          <w:highlight w:val="none"/>
          <w:cs/>
        </w:rPr>
        <w:t>纪</w:t>
      </w:r>
      <w:r>
        <w:rPr>
          <w:rFonts w:hint="default" w:cs="宋体"/>
          <w:b/>
          <w:bCs/>
          <w:color w:val="auto"/>
          <w:szCs w:val="28"/>
          <w:highlight w:val="none"/>
        </w:rPr>
        <w:t>律要求</w:t>
      </w:r>
      <w:bookmarkEnd w:id="112"/>
      <w:bookmarkEnd w:id="113"/>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8"/>
        <w:overflowPunct w:val="0"/>
        <w:snapToGrid w:val="0"/>
        <w:spacing w:line="360" w:lineRule="auto"/>
        <w:ind w:right="113"/>
        <w:rPr>
          <w:rFonts w:hint="default" w:cs="宋体"/>
          <w:bCs/>
          <w:color w:val="auto"/>
          <w:szCs w:val="28"/>
          <w:highlight w:val="none"/>
        </w:rPr>
      </w:pPr>
      <w:bookmarkStart w:id="114" w:name="bookmark72"/>
      <w:bookmarkEnd w:id="114"/>
      <w:bookmarkStart w:id="115" w:name="_Toc17188"/>
      <w:bookmarkStart w:id="116" w:name="_Toc3883"/>
      <w:r>
        <w:rPr>
          <w:rFonts w:hint="default" w:cs="宋体"/>
          <w:b/>
          <w:bCs/>
          <w:color w:val="auto"/>
          <w:szCs w:val="28"/>
          <w:highlight w:val="none"/>
        </w:rPr>
        <w:t>8.5 投</w:t>
      </w:r>
      <w:r>
        <w:rPr>
          <w:rFonts w:hint="cs" w:cs="宋体"/>
          <w:b/>
          <w:bCs/>
          <w:color w:val="auto"/>
          <w:szCs w:val="28"/>
          <w:highlight w:val="none"/>
          <w:cs/>
        </w:rPr>
        <w:t>诉</w:t>
      </w:r>
      <w:bookmarkEnd w:id="115"/>
      <w:bookmarkEnd w:id="116"/>
    </w:p>
    <w:p>
      <w:pPr>
        <w:pStyle w:val="15"/>
        <w:overflowPunct w:val="0"/>
        <w:snapToGrid w:val="0"/>
        <w:spacing w:line="300" w:lineRule="auto"/>
        <w:ind w:left="102" w:right="113" w:firstLine="420"/>
        <w:rPr>
          <w:rFonts w:hint="default" w:cs="宋体"/>
          <w:color w:val="auto"/>
          <w:szCs w:val="22"/>
          <w:highlight w:val="none"/>
        </w:rPr>
      </w:pPr>
      <w:r>
        <w:rPr>
          <w:rFonts w:hint="default" w:cs="宋体"/>
          <w:color w:val="auto"/>
          <w:szCs w:val="22"/>
          <w:highlight w:val="none"/>
        </w:rPr>
        <w:t xml:space="preserve">8.5.1 </w:t>
      </w:r>
      <w:r>
        <w:rPr>
          <w:rFonts w:cs="宋体"/>
          <w:color w:val="auto"/>
          <w:szCs w:val="22"/>
          <w:highlight w:val="none"/>
        </w:rPr>
        <w:t>投标人或者其他利害关系人认为招标投标活动不符合法律、行政法规规定的，可以自知道或者应当知道之日起</w:t>
      </w:r>
      <w:r>
        <w:rPr>
          <w:rFonts w:hint="default" w:cs="宋体"/>
          <w:color w:val="auto"/>
          <w:szCs w:val="22"/>
          <w:highlight w:val="none"/>
        </w:rPr>
        <w:t xml:space="preserve"> 10 </w:t>
      </w:r>
      <w:r>
        <w:rPr>
          <w:rFonts w:cs="宋体"/>
          <w:color w:val="auto"/>
          <w:szCs w:val="22"/>
          <w:highlight w:val="none"/>
        </w:rPr>
        <w:t>日内向有关行政监督部门投诉。投诉应当有明确的请求和必要的证明材料。</w:t>
      </w:r>
    </w:p>
    <w:p>
      <w:pPr>
        <w:pStyle w:val="15"/>
        <w:overflowPunct w:val="0"/>
        <w:snapToGrid w:val="0"/>
        <w:spacing w:line="300" w:lineRule="auto"/>
        <w:ind w:left="102" w:right="113" w:firstLine="420"/>
        <w:rPr>
          <w:rFonts w:hint="default" w:cs="宋体"/>
          <w:color w:val="auto"/>
          <w:szCs w:val="22"/>
          <w:highlight w:val="none"/>
        </w:rPr>
      </w:pPr>
      <w:r>
        <w:rPr>
          <w:rFonts w:hint="default" w:cs="宋体"/>
          <w:color w:val="auto"/>
          <w:szCs w:val="22"/>
          <w:highlight w:val="none"/>
        </w:rPr>
        <w:t xml:space="preserve">8.5.2 </w:t>
      </w:r>
      <w:r>
        <w:rPr>
          <w:rFonts w:cs="宋体"/>
          <w:color w:val="auto"/>
          <w:szCs w:val="22"/>
          <w:highlight w:val="none"/>
        </w:rPr>
        <w:t>投标人或者其他利害关系人对招标文件、开标和评标结果提出投诉的，应当按照投标人须知第</w:t>
      </w:r>
      <w:r>
        <w:rPr>
          <w:rFonts w:hint="default" w:cs="宋体"/>
          <w:color w:val="auto"/>
          <w:szCs w:val="22"/>
          <w:highlight w:val="none"/>
        </w:rPr>
        <w:t xml:space="preserve"> 2.4 </w:t>
      </w:r>
      <w:r>
        <w:rPr>
          <w:rFonts w:cs="宋体"/>
          <w:color w:val="auto"/>
          <w:szCs w:val="22"/>
          <w:highlight w:val="none"/>
        </w:rPr>
        <w:t>款、第</w:t>
      </w:r>
      <w:r>
        <w:rPr>
          <w:rFonts w:hint="default" w:cs="宋体"/>
          <w:color w:val="auto"/>
          <w:szCs w:val="22"/>
          <w:highlight w:val="none"/>
        </w:rPr>
        <w:t xml:space="preserve"> 5.3 </w:t>
      </w:r>
      <w:r>
        <w:rPr>
          <w:rFonts w:cs="宋体"/>
          <w:color w:val="auto"/>
          <w:szCs w:val="22"/>
          <w:highlight w:val="none"/>
        </w:rPr>
        <w:t>款和第</w:t>
      </w:r>
      <w:r>
        <w:rPr>
          <w:rFonts w:hint="default" w:cs="宋体"/>
          <w:color w:val="auto"/>
          <w:szCs w:val="22"/>
          <w:highlight w:val="none"/>
        </w:rPr>
        <w:t xml:space="preserve"> 7.2 </w:t>
      </w:r>
      <w:r>
        <w:rPr>
          <w:rFonts w:cs="宋体"/>
          <w:color w:val="auto"/>
          <w:szCs w:val="22"/>
          <w:highlight w:val="none"/>
        </w:rPr>
        <w:t>款的规定先向招标人提出异议。异议答复期间不计算在第</w:t>
      </w:r>
      <w:r>
        <w:rPr>
          <w:rFonts w:hint="default" w:cs="宋体"/>
          <w:color w:val="auto"/>
          <w:szCs w:val="22"/>
          <w:highlight w:val="none"/>
        </w:rPr>
        <w:t>8.5.1项规定的期限内。</w:t>
      </w:r>
    </w:p>
    <w:p>
      <w:pPr>
        <w:pStyle w:val="7"/>
        <w:overflowPunct w:val="0"/>
        <w:snapToGrid w:val="0"/>
        <w:spacing w:line="360" w:lineRule="auto"/>
        <w:ind w:left="0" w:right="113"/>
        <w:rPr>
          <w:rFonts w:ascii="宋体" w:hAnsi="宋体" w:eastAsia="宋体" w:cs="宋体"/>
          <w:color w:val="auto"/>
          <w:szCs w:val="32"/>
          <w:highlight w:val="none"/>
        </w:rPr>
      </w:pPr>
      <w:bookmarkStart w:id="117" w:name="bookmark73"/>
      <w:bookmarkEnd w:id="117"/>
      <w:bookmarkStart w:id="118" w:name="_Toc9987"/>
      <w:bookmarkStart w:id="119" w:name="_Toc21525"/>
      <w:bookmarkStart w:id="120" w:name="_Toc83210320"/>
      <w:r>
        <w:rPr>
          <w:rFonts w:hint="eastAsia" w:ascii="宋体" w:hAnsi="宋体" w:eastAsia="宋体" w:cs="宋体"/>
          <w:color w:val="auto"/>
          <w:szCs w:val="32"/>
          <w:highlight w:val="none"/>
        </w:rPr>
        <w:t>9.是否采用</w:t>
      </w:r>
      <w:bookmarkEnd w:id="118"/>
      <w:bookmarkEnd w:id="119"/>
      <w:bookmarkEnd w:id="120"/>
      <w:r>
        <w:rPr>
          <w:rFonts w:hint="eastAsia" w:ascii="宋体" w:hAnsi="宋体" w:eastAsia="宋体" w:cs="宋体"/>
          <w:color w:val="auto"/>
          <w:szCs w:val="32"/>
          <w:highlight w:val="none"/>
        </w:rPr>
        <w:t>电子招标投标</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本招标项目是否采用电子招标投标方式，见投标人须知前附表。</w:t>
      </w:r>
    </w:p>
    <w:p>
      <w:pPr>
        <w:pStyle w:val="7"/>
        <w:overflowPunct w:val="0"/>
        <w:snapToGrid w:val="0"/>
        <w:spacing w:line="360" w:lineRule="auto"/>
        <w:ind w:left="0" w:right="113"/>
        <w:rPr>
          <w:rFonts w:ascii="宋体" w:hAnsi="宋体" w:eastAsia="宋体" w:cs="宋体"/>
          <w:color w:val="auto"/>
          <w:szCs w:val="32"/>
          <w:highlight w:val="none"/>
        </w:rPr>
      </w:pPr>
      <w:bookmarkStart w:id="121" w:name="bookmark74"/>
      <w:bookmarkEnd w:id="121"/>
      <w:bookmarkStart w:id="122" w:name="_Toc20066"/>
      <w:bookmarkStart w:id="123" w:name="_Toc83210321"/>
      <w:bookmarkStart w:id="124" w:name="_Toc20921"/>
      <w:r>
        <w:rPr>
          <w:rFonts w:hint="eastAsia" w:ascii="宋体" w:hAnsi="宋体" w:eastAsia="宋体" w:cs="宋体"/>
          <w:color w:val="auto"/>
          <w:szCs w:val="32"/>
          <w:highlight w:val="none"/>
        </w:rPr>
        <w:t>10.需要补充的其他内容</w:t>
      </w:r>
      <w:bookmarkEnd w:id="122"/>
      <w:bookmarkEnd w:id="123"/>
      <w:bookmarkEnd w:id="124"/>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需要补充的其他内容：见投标人须知前附表。</w:t>
      </w:r>
      <w:bookmarkStart w:id="125" w:name="bookmark75"/>
      <w:bookmarkEnd w:id="125"/>
    </w:p>
    <w:p>
      <w:pPr>
        <w:pStyle w:val="6"/>
        <w:jc w:val="center"/>
        <w:rPr>
          <w:rFonts w:hint="default" w:cs="宋体"/>
          <w:b/>
          <w:bCs/>
          <w:color w:val="auto"/>
          <w:szCs w:val="44"/>
          <w:highlight w:val="none"/>
        </w:rPr>
      </w:pPr>
      <w:bookmarkStart w:id="126" w:name="bookmark80"/>
      <w:bookmarkEnd w:id="126"/>
      <w:bookmarkStart w:id="127" w:name="bookmark81"/>
      <w:bookmarkEnd w:id="127"/>
      <w:bookmarkStart w:id="128" w:name="_Toc83210322"/>
      <w:r>
        <w:rPr>
          <w:rFonts w:hint="default" w:cs="宋体"/>
          <w:b/>
          <w:bCs/>
          <w:color w:val="auto"/>
          <w:szCs w:val="44"/>
          <w:highlight w:val="none"/>
        </w:rPr>
        <w:br w:type="column"/>
      </w:r>
      <w:r>
        <w:rPr>
          <w:rFonts w:hint="default" w:cs="宋体"/>
          <w:b/>
          <w:bCs/>
          <w:color w:val="auto"/>
          <w:szCs w:val="44"/>
          <w:highlight w:val="none"/>
        </w:rPr>
        <w:t xml:space="preserve">第三章 </w:t>
      </w:r>
      <w:r>
        <w:rPr>
          <w:rFonts w:hint="cs" w:cs="宋体"/>
          <w:b/>
          <w:bCs/>
          <w:color w:val="auto"/>
          <w:szCs w:val="44"/>
          <w:highlight w:val="none"/>
          <w:cs/>
        </w:rPr>
        <w:t>评标办</w:t>
      </w:r>
      <w:r>
        <w:rPr>
          <w:rFonts w:hint="default" w:cs="宋体"/>
          <w:b/>
          <w:bCs/>
          <w:color w:val="auto"/>
          <w:szCs w:val="44"/>
          <w:highlight w:val="none"/>
        </w:rPr>
        <w:t>法（“</w:t>
      </w:r>
      <w:r>
        <w:rPr>
          <w:rFonts w:hint="cs" w:cs="宋体"/>
          <w:b/>
          <w:bCs/>
          <w:color w:val="auto"/>
          <w:szCs w:val="44"/>
          <w:highlight w:val="none"/>
          <w:cs/>
        </w:rPr>
        <w:t>评</w:t>
      </w:r>
      <w:r>
        <w:rPr>
          <w:rFonts w:hint="default" w:cs="宋体"/>
          <w:b/>
          <w:bCs/>
          <w:color w:val="auto"/>
          <w:szCs w:val="44"/>
          <w:highlight w:val="none"/>
        </w:rPr>
        <w:t>定分离”）</w:t>
      </w:r>
      <w:bookmarkEnd w:id="128"/>
    </w:p>
    <w:p>
      <w:pPr>
        <w:pStyle w:val="15"/>
        <w:overflowPunct w:val="0"/>
        <w:spacing w:before="2"/>
        <w:ind w:left="0"/>
        <w:rPr>
          <w:rFonts w:hint="default" w:cs="宋体"/>
          <w:b/>
          <w:color w:val="auto"/>
          <w:sz w:val="22"/>
          <w:szCs w:val="2"/>
          <w:highlight w:val="none"/>
        </w:rPr>
      </w:pPr>
    </w:p>
    <w:p>
      <w:pPr>
        <w:pStyle w:val="7"/>
        <w:overflowPunct w:val="0"/>
        <w:ind w:left="120"/>
        <w:jc w:val="center"/>
        <w:rPr>
          <w:rFonts w:ascii="宋体" w:hAnsi="宋体" w:eastAsia="宋体" w:cs="宋体"/>
          <w:color w:val="auto"/>
          <w:szCs w:val="32"/>
          <w:highlight w:val="none"/>
        </w:rPr>
      </w:pPr>
      <w:bookmarkStart w:id="129" w:name="bookmark82"/>
      <w:bookmarkEnd w:id="129"/>
      <w:bookmarkStart w:id="130" w:name="_Toc2485"/>
      <w:bookmarkStart w:id="131" w:name="_Toc83210323"/>
      <w:bookmarkStart w:id="132" w:name="_Toc3378"/>
      <w:r>
        <w:rPr>
          <w:rFonts w:hint="eastAsia" w:ascii="宋体" w:hAnsi="宋体" w:eastAsia="宋体" w:cs="宋体"/>
          <w:color w:val="auto"/>
          <w:szCs w:val="32"/>
          <w:highlight w:val="none"/>
        </w:rPr>
        <w:t>评标办法前附表</w:t>
      </w:r>
      <w:bookmarkEnd w:id="130"/>
      <w:bookmarkEnd w:id="131"/>
      <w:bookmarkEnd w:id="132"/>
    </w:p>
    <w:tbl>
      <w:tblPr>
        <w:tblStyle w:val="26"/>
        <w:tblW w:w="9181" w:type="dxa"/>
        <w:tblInd w:w="2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9"/>
        <w:gridCol w:w="1149"/>
        <w:gridCol w:w="2127"/>
        <w:gridCol w:w="5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38" w:type="dxa"/>
            <w:gridSpan w:val="2"/>
            <w:vAlign w:val="center"/>
          </w:tcPr>
          <w:p>
            <w:pPr>
              <w:pStyle w:val="52"/>
              <w:overflowPunct w:val="0"/>
              <w:spacing w:before="41"/>
              <w:jc w:val="center"/>
              <w:rPr>
                <w:rFonts w:ascii="宋体" w:hAnsi="宋体" w:cs="宋体"/>
                <w:color w:val="auto"/>
                <w:sz w:val="21"/>
                <w:szCs w:val="21"/>
                <w:highlight w:val="none"/>
              </w:rPr>
            </w:pPr>
            <w:r>
              <w:rPr>
                <w:rFonts w:hint="eastAsia" w:ascii="宋体" w:hAnsi="宋体" w:cs="宋体"/>
                <w:b/>
                <w:color w:val="auto"/>
                <w:sz w:val="21"/>
                <w:szCs w:val="21"/>
                <w:highlight w:val="none"/>
              </w:rPr>
              <w:t>条款号</w:t>
            </w:r>
          </w:p>
        </w:tc>
        <w:tc>
          <w:tcPr>
            <w:tcW w:w="2127" w:type="dxa"/>
            <w:vAlign w:val="center"/>
          </w:tcPr>
          <w:p>
            <w:pPr>
              <w:pStyle w:val="52"/>
              <w:overflowPunct w:val="0"/>
              <w:spacing w:before="41"/>
              <w:jc w:val="center"/>
              <w:rPr>
                <w:rFonts w:ascii="宋体" w:hAnsi="宋体" w:cs="宋体"/>
                <w:color w:val="auto"/>
                <w:sz w:val="21"/>
                <w:szCs w:val="21"/>
                <w:highlight w:val="none"/>
              </w:rPr>
            </w:pPr>
            <w:r>
              <w:rPr>
                <w:rFonts w:hint="eastAsia" w:ascii="宋体" w:hAnsi="宋体" w:cs="宋体"/>
                <w:b/>
                <w:color w:val="auto"/>
                <w:sz w:val="21"/>
                <w:szCs w:val="21"/>
                <w:highlight w:val="none"/>
              </w:rPr>
              <w:t>评审因素</w:t>
            </w:r>
          </w:p>
        </w:tc>
        <w:tc>
          <w:tcPr>
            <w:tcW w:w="5016" w:type="dxa"/>
            <w:vAlign w:val="center"/>
          </w:tcPr>
          <w:p>
            <w:pPr>
              <w:pStyle w:val="52"/>
              <w:overflowPunct w:val="0"/>
              <w:spacing w:before="41"/>
              <w:jc w:val="center"/>
              <w:rPr>
                <w:rFonts w:ascii="宋体" w:hAnsi="宋体" w:cs="宋体"/>
                <w:color w:val="auto"/>
                <w:sz w:val="21"/>
                <w:szCs w:val="21"/>
                <w:highlight w:val="none"/>
              </w:rPr>
            </w:pPr>
            <w:r>
              <w:rPr>
                <w:rFonts w:hint="eastAsia" w:ascii="宋体" w:hAnsi="宋体" w:cs="宋体"/>
                <w:b/>
                <w:color w:val="auto"/>
                <w:sz w:val="21"/>
                <w:szCs w:val="21"/>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 w:type="dxa"/>
            <w:vAlign w:val="center"/>
          </w:tcPr>
          <w:p>
            <w:pPr>
              <w:pStyle w:val="52"/>
              <w:overflowPunct w:val="0"/>
              <w:rPr>
                <w:rFonts w:ascii="宋体" w:hAnsi="宋体" w:cs="宋体"/>
                <w:color w:val="auto"/>
                <w:sz w:val="21"/>
                <w:szCs w:val="21"/>
                <w:highlight w:val="none"/>
              </w:rPr>
            </w:pPr>
            <w:r>
              <w:rPr>
                <w:rFonts w:ascii="宋体" w:hAnsi="宋体" w:cs="宋体"/>
                <w:color w:val="auto"/>
                <w:sz w:val="21"/>
                <w:szCs w:val="21"/>
                <w:highlight w:val="none"/>
              </w:rPr>
              <w:t>1</w:t>
            </w:r>
          </w:p>
        </w:tc>
        <w:tc>
          <w:tcPr>
            <w:tcW w:w="1149" w:type="dxa"/>
            <w:vAlign w:val="center"/>
          </w:tcPr>
          <w:p>
            <w:pPr>
              <w:pStyle w:val="52"/>
              <w:overflowPunct w:val="0"/>
              <w:spacing w:before="141"/>
              <w:rPr>
                <w:rFonts w:ascii="宋体" w:hAnsi="宋体" w:cs="宋体"/>
                <w:color w:val="auto"/>
                <w:sz w:val="21"/>
                <w:szCs w:val="21"/>
                <w:highlight w:val="none"/>
              </w:rPr>
            </w:pPr>
            <w:r>
              <w:rPr>
                <w:rFonts w:hint="eastAsia" w:ascii="宋体" w:hAnsi="宋体" w:cs="宋体"/>
                <w:color w:val="auto"/>
                <w:sz w:val="21"/>
                <w:szCs w:val="21"/>
                <w:highlight w:val="none"/>
              </w:rPr>
              <w:t>评标方法</w:t>
            </w:r>
          </w:p>
        </w:tc>
        <w:tc>
          <w:tcPr>
            <w:tcW w:w="2127" w:type="dxa"/>
            <w:vAlign w:val="center"/>
          </w:tcPr>
          <w:p>
            <w:pPr>
              <w:pStyle w:val="52"/>
              <w:overflowPunct w:val="0"/>
              <w:spacing w:before="141"/>
              <w:rPr>
                <w:rFonts w:ascii="宋体" w:hAnsi="宋体" w:cs="宋体"/>
                <w:color w:val="auto"/>
                <w:sz w:val="21"/>
                <w:szCs w:val="21"/>
                <w:highlight w:val="none"/>
              </w:rPr>
            </w:pPr>
            <w:r>
              <w:rPr>
                <w:rFonts w:hint="eastAsia" w:ascii="宋体" w:hAnsi="宋体" w:cs="宋体"/>
                <w:color w:val="auto"/>
                <w:sz w:val="21"/>
                <w:szCs w:val="21"/>
                <w:highlight w:val="none"/>
              </w:rPr>
              <w:t>中标候选人排序方法和定标方式</w:t>
            </w:r>
          </w:p>
        </w:tc>
        <w:tc>
          <w:tcPr>
            <w:tcW w:w="5016" w:type="dxa"/>
            <w:vAlign w:val="center"/>
          </w:tcPr>
          <w:p>
            <w:pPr>
              <w:spacing w:line="360" w:lineRule="exact"/>
              <w:jc w:val="both"/>
              <w:rPr>
                <w:rFonts w:ascii="宋体" w:hAnsi="宋体" w:cs="宋体"/>
                <w:color w:val="auto"/>
                <w:spacing w:val="-8"/>
                <w:sz w:val="21"/>
                <w:szCs w:val="21"/>
                <w:highlight w:val="none"/>
                <w:u w:val="single"/>
              </w:rPr>
            </w:pPr>
            <w:r>
              <w:rPr>
                <w:rFonts w:hint="eastAsia" w:ascii="宋体" w:hAnsi="宋体" w:cs="宋体"/>
                <w:color w:val="auto"/>
                <w:spacing w:val="-8"/>
                <w:sz w:val="21"/>
                <w:szCs w:val="21"/>
                <w:highlight w:val="none"/>
                <w:u w:val="single"/>
              </w:rPr>
              <w:t>（</w:t>
            </w:r>
            <w:r>
              <w:rPr>
                <w:rFonts w:ascii="宋体" w:hAnsi="宋体" w:cs="宋体"/>
                <w:color w:val="auto"/>
                <w:spacing w:val="-8"/>
                <w:sz w:val="21"/>
                <w:szCs w:val="21"/>
                <w:highlight w:val="none"/>
                <w:u w:val="single"/>
              </w:rPr>
              <w:t>1</w:t>
            </w:r>
            <w:r>
              <w:rPr>
                <w:rFonts w:hint="eastAsia" w:ascii="宋体" w:hAnsi="宋体" w:cs="宋体"/>
                <w:color w:val="auto"/>
                <w:spacing w:val="-8"/>
                <w:sz w:val="21"/>
                <w:szCs w:val="21"/>
                <w:highlight w:val="none"/>
                <w:u w:val="single"/>
              </w:rPr>
              <w:t>）本项目采用“评定分离”，评标办法为定性评审法。评标委员会对投标文件进行初步评审（形式评审、资格审查、响应性评审）。若通过初步评审的合格投标人大于等于</w:t>
            </w:r>
            <w:r>
              <w:rPr>
                <w:rFonts w:ascii="宋体" w:hAnsi="宋体" w:cs="宋体"/>
                <w:color w:val="auto"/>
                <w:spacing w:val="-8"/>
                <w:sz w:val="21"/>
                <w:szCs w:val="21"/>
                <w:highlight w:val="none"/>
                <w:u w:val="single"/>
              </w:rPr>
              <w:t>3</w:t>
            </w:r>
            <w:r>
              <w:rPr>
                <w:rFonts w:hint="eastAsia" w:ascii="宋体" w:hAnsi="宋体" w:cs="宋体"/>
                <w:color w:val="auto"/>
                <w:spacing w:val="-8"/>
                <w:sz w:val="21"/>
                <w:szCs w:val="21"/>
                <w:highlight w:val="none"/>
                <w:u w:val="single"/>
              </w:rPr>
              <w:t>名的，则通过评审的全部合格投标人推荐为合格的中标候选人，合格中标候选人不排序。</w:t>
            </w:r>
          </w:p>
          <w:p>
            <w:pPr>
              <w:spacing w:line="360" w:lineRule="exact"/>
              <w:jc w:val="both"/>
              <w:rPr>
                <w:rFonts w:ascii="宋体" w:hAnsi="宋体" w:cs="宋体"/>
                <w:color w:val="auto"/>
                <w:spacing w:val="-8"/>
                <w:sz w:val="21"/>
                <w:szCs w:val="21"/>
                <w:highlight w:val="none"/>
                <w:u w:val="single"/>
              </w:rPr>
            </w:pPr>
            <w:r>
              <w:rPr>
                <w:rFonts w:hint="eastAsia" w:ascii="宋体" w:hAnsi="宋体" w:cs="宋体"/>
                <w:color w:val="auto"/>
                <w:spacing w:val="-8"/>
                <w:sz w:val="21"/>
                <w:szCs w:val="21"/>
                <w:highlight w:val="none"/>
                <w:u w:val="single"/>
              </w:rPr>
              <w:t>（</w:t>
            </w:r>
            <w:r>
              <w:rPr>
                <w:rFonts w:ascii="宋体" w:hAnsi="宋体" w:cs="宋体"/>
                <w:color w:val="auto"/>
                <w:spacing w:val="-8"/>
                <w:sz w:val="21"/>
                <w:szCs w:val="21"/>
                <w:highlight w:val="none"/>
                <w:u w:val="single"/>
              </w:rPr>
              <w:t>2</w:t>
            </w:r>
            <w:r>
              <w:rPr>
                <w:rFonts w:hint="eastAsia" w:ascii="宋体" w:hAnsi="宋体" w:cs="宋体"/>
                <w:color w:val="auto"/>
                <w:spacing w:val="-8"/>
                <w:sz w:val="21"/>
                <w:szCs w:val="21"/>
                <w:highlight w:val="none"/>
                <w:u w:val="single"/>
              </w:rPr>
              <w:t>）定标委员会根据定标参考资料对各合格中标候选人进行综合比较后，进行一次性票决，得票数最多的投标人将被确认为中标人。若出现票数相同且无法决出排名时，票数相同的再进行一次性票决，直至决出中标人。</w:t>
            </w:r>
          </w:p>
          <w:p>
            <w:pPr>
              <w:spacing w:line="360" w:lineRule="exact"/>
              <w:jc w:val="both"/>
              <w:rPr>
                <w:rFonts w:ascii="宋体" w:hAnsi="宋体" w:cs="宋体"/>
                <w:color w:val="auto"/>
                <w:sz w:val="21"/>
                <w:szCs w:val="21"/>
                <w:highlight w:val="none"/>
              </w:rPr>
            </w:pPr>
            <w:r>
              <w:rPr>
                <w:rFonts w:hint="eastAsia" w:ascii="宋体" w:hAnsi="宋体" w:cs="宋体"/>
                <w:color w:val="auto"/>
                <w:spacing w:val="-8"/>
                <w:sz w:val="21"/>
                <w:szCs w:val="21"/>
                <w:highlight w:val="none"/>
                <w:u w:val="single"/>
              </w:rPr>
              <w:t>（</w:t>
            </w:r>
            <w:r>
              <w:rPr>
                <w:rFonts w:ascii="宋体" w:hAnsi="宋体" w:cs="宋体"/>
                <w:color w:val="auto"/>
                <w:spacing w:val="-8"/>
                <w:sz w:val="21"/>
                <w:szCs w:val="21"/>
                <w:highlight w:val="none"/>
                <w:u w:val="single"/>
              </w:rPr>
              <w:t>3</w:t>
            </w:r>
            <w:r>
              <w:rPr>
                <w:rFonts w:hint="eastAsia" w:ascii="宋体" w:hAnsi="宋体" w:cs="宋体"/>
                <w:color w:val="auto"/>
                <w:spacing w:val="-8"/>
                <w:sz w:val="21"/>
                <w:szCs w:val="21"/>
                <w:highlight w:val="none"/>
                <w:u w:val="single"/>
              </w:rPr>
              <w:t>）满足资格审查合格条件或通过初步评审的投标人或合格中标候选人不足</w:t>
            </w:r>
            <w:r>
              <w:rPr>
                <w:rFonts w:ascii="宋体" w:hAnsi="宋体" w:cs="宋体"/>
                <w:color w:val="auto"/>
                <w:spacing w:val="-8"/>
                <w:sz w:val="21"/>
                <w:szCs w:val="21"/>
                <w:highlight w:val="none"/>
                <w:u w:val="single"/>
              </w:rPr>
              <w:t xml:space="preserve"> 3 </w:t>
            </w:r>
            <w:r>
              <w:rPr>
                <w:rFonts w:hint="eastAsia" w:ascii="宋体" w:hAnsi="宋体" w:cs="宋体"/>
                <w:color w:val="auto"/>
                <w:spacing w:val="-8"/>
                <w:sz w:val="21"/>
                <w:szCs w:val="21"/>
                <w:highlight w:val="none"/>
                <w:u w:val="single"/>
              </w:rPr>
              <w:t>名时为招标失败。招标人分析招标失败原因，修正招标方案，重新组织招标。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889" w:type="dxa"/>
            <w:vMerge w:val="restart"/>
            <w:vAlign w:val="center"/>
          </w:tcPr>
          <w:p>
            <w:pPr>
              <w:pStyle w:val="52"/>
              <w:overflowPunct w:val="0"/>
              <w:rPr>
                <w:rFonts w:ascii="宋体" w:hAnsi="宋体" w:cs="宋体"/>
                <w:color w:val="auto"/>
                <w:sz w:val="21"/>
                <w:szCs w:val="21"/>
                <w:highlight w:val="none"/>
              </w:rPr>
            </w:pPr>
            <w:r>
              <w:rPr>
                <w:rFonts w:ascii="宋体" w:hAnsi="宋体" w:cs="宋体"/>
                <w:color w:val="auto"/>
                <w:sz w:val="21"/>
                <w:szCs w:val="21"/>
                <w:highlight w:val="none"/>
              </w:rPr>
              <w:t>2.1.1</w:t>
            </w:r>
          </w:p>
        </w:tc>
        <w:tc>
          <w:tcPr>
            <w:tcW w:w="1149" w:type="dxa"/>
            <w:vMerge w:val="restart"/>
            <w:vAlign w:val="center"/>
          </w:tcPr>
          <w:p>
            <w:pPr>
              <w:pStyle w:val="52"/>
              <w:overflowPunct w:val="0"/>
              <w:spacing w:line="386" w:lineRule="auto"/>
              <w:ind w:right="132"/>
              <w:rPr>
                <w:rFonts w:ascii="宋体" w:hAnsi="宋体" w:cs="宋体"/>
                <w:color w:val="auto"/>
                <w:sz w:val="21"/>
                <w:szCs w:val="21"/>
                <w:highlight w:val="none"/>
              </w:rPr>
            </w:pPr>
            <w:r>
              <w:rPr>
                <w:rFonts w:hint="eastAsia" w:ascii="宋体" w:hAnsi="宋体" w:cs="宋体"/>
                <w:color w:val="auto"/>
                <w:sz w:val="21"/>
                <w:szCs w:val="21"/>
                <w:highlight w:val="none"/>
              </w:rPr>
              <w:t>形式评审标准</w:t>
            </w:r>
          </w:p>
        </w:tc>
        <w:tc>
          <w:tcPr>
            <w:tcW w:w="2127" w:type="dxa"/>
            <w:vAlign w:val="center"/>
          </w:tcPr>
          <w:p>
            <w:pPr>
              <w:pStyle w:val="52"/>
              <w:overflowPunct w:val="0"/>
              <w:spacing w:before="110"/>
              <w:rPr>
                <w:rFonts w:ascii="宋体" w:hAnsi="宋体" w:cs="宋体"/>
                <w:color w:val="auto"/>
                <w:sz w:val="21"/>
                <w:szCs w:val="21"/>
                <w:highlight w:val="none"/>
              </w:rPr>
            </w:pPr>
            <w:r>
              <w:rPr>
                <w:rFonts w:hint="eastAsia" w:ascii="宋体" w:hAnsi="宋体" w:cs="宋体"/>
                <w:color w:val="auto"/>
                <w:sz w:val="21"/>
                <w:szCs w:val="21"/>
                <w:highlight w:val="none"/>
              </w:rPr>
              <w:t>投标人名称</w:t>
            </w:r>
          </w:p>
        </w:tc>
        <w:tc>
          <w:tcPr>
            <w:tcW w:w="5016" w:type="dxa"/>
            <w:vAlign w:val="center"/>
          </w:tcPr>
          <w:p>
            <w:pPr>
              <w:pStyle w:val="52"/>
              <w:overflowPunct w:val="0"/>
              <w:spacing w:before="110"/>
              <w:jc w:val="both"/>
              <w:rPr>
                <w:rFonts w:ascii="宋体" w:hAnsi="宋体" w:cs="宋体"/>
                <w:color w:val="auto"/>
                <w:sz w:val="21"/>
                <w:szCs w:val="21"/>
                <w:highlight w:val="none"/>
              </w:rPr>
            </w:pPr>
            <w:r>
              <w:rPr>
                <w:rFonts w:hint="eastAsia" w:ascii="宋体" w:hAnsi="宋体" w:cs="宋体"/>
                <w:color w:val="auto"/>
                <w:sz w:val="21"/>
                <w:szCs w:val="21"/>
                <w:highlight w:val="none"/>
              </w:rPr>
              <w:t>与营业执照、资质证书一致。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89" w:type="dxa"/>
            <w:vMerge w:val="continue"/>
            <w:vAlign w:val="center"/>
          </w:tcPr>
          <w:p>
            <w:pPr>
              <w:pStyle w:val="52"/>
              <w:overflowPunct w:val="0"/>
              <w:spacing w:before="11"/>
              <w:ind w:left="103"/>
              <w:rPr>
                <w:rFonts w:ascii="宋体" w:hAnsi="宋体" w:cs="宋体"/>
                <w:color w:val="auto"/>
                <w:sz w:val="21"/>
                <w:szCs w:val="21"/>
                <w:highlight w:val="none"/>
              </w:rPr>
            </w:pPr>
          </w:p>
        </w:tc>
        <w:tc>
          <w:tcPr>
            <w:tcW w:w="1149" w:type="dxa"/>
            <w:vMerge w:val="continue"/>
            <w:vAlign w:val="center"/>
          </w:tcPr>
          <w:p>
            <w:pPr>
              <w:pStyle w:val="52"/>
              <w:overflowPunct w:val="0"/>
              <w:spacing w:before="11"/>
              <w:ind w:left="103"/>
              <w:rPr>
                <w:rFonts w:ascii="宋体" w:hAnsi="宋体" w:cs="宋体"/>
                <w:color w:val="auto"/>
                <w:sz w:val="21"/>
                <w:szCs w:val="21"/>
                <w:highlight w:val="none"/>
              </w:rPr>
            </w:pPr>
          </w:p>
        </w:tc>
        <w:tc>
          <w:tcPr>
            <w:tcW w:w="2127" w:type="dxa"/>
            <w:vAlign w:val="center"/>
          </w:tcPr>
          <w:p>
            <w:pPr>
              <w:pStyle w:val="52"/>
              <w:overflowPunct w:val="0"/>
              <w:spacing w:before="107"/>
              <w:rPr>
                <w:rFonts w:ascii="宋体" w:hAnsi="宋体" w:cs="宋体"/>
                <w:color w:val="auto"/>
                <w:sz w:val="21"/>
                <w:szCs w:val="21"/>
                <w:highlight w:val="none"/>
              </w:rPr>
            </w:pPr>
            <w:r>
              <w:rPr>
                <w:rFonts w:hint="eastAsia" w:ascii="宋体" w:hAnsi="宋体" w:cs="宋体"/>
                <w:color w:val="auto"/>
                <w:sz w:val="21"/>
                <w:szCs w:val="21"/>
                <w:highlight w:val="none"/>
              </w:rPr>
              <w:t>投标文件格式</w:t>
            </w:r>
          </w:p>
        </w:tc>
        <w:tc>
          <w:tcPr>
            <w:tcW w:w="5016" w:type="dxa"/>
            <w:vAlign w:val="center"/>
          </w:tcPr>
          <w:p>
            <w:pPr>
              <w:pStyle w:val="52"/>
              <w:overflowPunct w:val="0"/>
              <w:spacing w:before="107"/>
              <w:jc w:val="both"/>
              <w:rPr>
                <w:rFonts w:ascii="宋体" w:hAnsi="宋体" w:cs="宋体"/>
                <w:color w:val="auto"/>
                <w:sz w:val="21"/>
                <w:szCs w:val="21"/>
                <w:highlight w:val="none"/>
              </w:rPr>
            </w:pPr>
            <w:r>
              <w:rPr>
                <w:rFonts w:hint="eastAsia" w:ascii="宋体" w:hAnsi="宋体" w:cs="宋体"/>
                <w:color w:val="auto"/>
                <w:sz w:val="21"/>
                <w:szCs w:val="21"/>
                <w:highlight w:val="none"/>
              </w:rPr>
              <w:t>符合第六章“投标文件格式”的规定。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 w:type="dxa"/>
            <w:vMerge w:val="continue"/>
            <w:vAlign w:val="center"/>
          </w:tcPr>
          <w:p>
            <w:pPr>
              <w:pStyle w:val="52"/>
              <w:overflowPunct w:val="0"/>
              <w:spacing w:before="1" w:line="440" w:lineRule="exact"/>
              <w:ind w:left="103" w:right="103"/>
              <w:rPr>
                <w:rFonts w:ascii="宋体" w:hAnsi="宋体" w:cs="宋体"/>
                <w:color w:val="auto"/>
                <w:sz w:val="21"/>
                <w:szCs w:val="21"/>
                <w:highlight w:val="none"/>
              </w:rPr>
            </w:pPr>
          </w:p>
        </w:tc>
        <w:tc>
          <w:tcPr>
            <w:tcW w:w="1149" w:type="dxa"/>
            <w:vMerge w:val="continue"/>
            <w:vAlign w:val="center"/>
          </w:tcPr>
          <w:p>
            <w:pPr>
              <w:pStyle w:val="52"/>
              <w:overflowPunct w:val="0"/>
              <w:spacing w:before="1" w:line="440" w:lineRule="exact"/>
              <w:ind w:left="103" w:right="103"/>
              <w:rPr>
                <w:rFonts w:ascii="宋体" w:hAnsi="宋体" w:cs="宋体"/>
                <w:color w:val="auto"/>
                <w:sz w:val="21"/>
                <w:szCs w:val="21"/>
                <w:highlight w:val="none"/>
              </w:rPr>
            </w:pPr>
          </w:p>
        </w:tc>
        <w:tc>
          <w:tcPr>
            <w:tcW w:w="2127" w:type="dxa"/>
            <w:vAlign w:val="center"/>
          </w:tcPr>
          <w:p>
            <w:pPr>
              <w:pStyle w:val="52"/>
              <w:overflowPunct w:val="0"/>
              <w:rPr>
                <w:rFonts w:ascii="宋体" w:hAnsi="宋体" w:cs="宋体"/>
                <w:color w:val="auto"/>
                <w:sz w:val="21"/>
                <w:szCs w:val="21"/>
                <w:highlight w:val="none"/>
              </w:rPr>
            </w:pPr>
            <w:r>
              <w:rPr>
                <w:rFonts w:hint="eastAsia" w:ascii="宋体" w:hAnsi="宋体" w:cs="宋体"/>
                <w:color w:val="auto"/>
                <w:sz w:val="21"/>
                <w:szCs w:val="21"/>
                <w:highlight w:val="none"/>
              </w:rPr>
              <w:t>备选投标方案</w:t>
            </w:r>
          </w:p>
        </w:tc>
        <w:tc>
          <w:tcPr>
            <w:tcW w:w="5016" w:type="dxa"/>
            <w:vAlign w:val="center"/>
          </w:tcPr>
          <w:p>
            <w:pPr>
              <w:pStyle w:val="52"/>
              <w:overflowPunct w:val="0"/>
              <w:spacing w:before="3" w:line="440" w:lineRule="exact"/>
              <w:ind w:right="99"/>
              <w:jc w:val="both"/>
              <w:rPr>
                <w:rFonts w:ascii="宋体" w:hAnsi="宋体" w:cs="宋体"/>
                <w:color w:val="auto"/>
                <w:sz w:val="21"/>
                <w:szCs w:val="21"/>
                <w:highlight w:val="none"/>
              </w:rPr>
            </w:pPr>
            <w:r>
              <w:rPr>
                <w:rFonts w:hint="eastAsia" w:ascii="宋体" w:hAnsi="宋体" w:cs="宋体"/>
                <w:color w:val="auto"/>
                <w:sz w:val="21"/>
                <w:szCs w:val="21"/>
                <w:highlight w:val="none"/>
              </w:rPr>
              <w:t>不得提交备选投标方案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 w:type="dxa"/>
            <w:vMerge w:val="continue"/>
            <w:vAlign w:val="center"/>
          </w:tcPr>
          <w:p>
            <w:pPr>
              <w:pStyle w:val="52"/>
              <w:overflowPunct w:val="0"/>
              <w:spacing w:before="3" w:line="440" w:lineRule="exact"/>
              <w:ind w:left="103" w:right="99"/>
              <w:rPr>
                <w:rFonts w:ascii="宋体" w:hAnsi="宋体" w:cs="宋体"/>
                <w:color w:val="auto"/>
                <w:sz w:val="21"/>
                <w:szCs w:val="21"/>
                <w:highlight w:val="none"/>
              </w:rPr>
            </w:pPr>
          </w:p>
        </w:tc>
        <w:tc>
          <w:tcPr>
            <w:tcW w:w="1149" w:type="dxa"/>
            <w:vMerge w:val="continue"/>
            <w:vAlign w:val="center"/>
          </w:tcPr>
          <w:p>
            <w:pPr>
              <w:pStyle w:val="52"/>
              <w:overflowPunct w:val="0"/>
              <w:spacing w:before="3" w:line="440" w:lineRule="exact"/>
              <w:ind w:left="103" w:right="99"/>
              <w:rPr>
                <w:rFonts w:ascii="宋体" w:hAnsi="宋体" w:cs="宋体"/>
                <w:color w:val="auto"/>
                <w:sz w:val="21"/>
                <w:szCs w:val="21"/>
                <w:highlight w:val="none"/>
              </w:rPr>
            </w:pPr>
          </w:p>
        </w:tc>
        <w:tc>
          <w:tcPr>
            <w:tcW w:w="2127" w:type="dxa"/>
            <w:vAlign w:val="center"/>
          </w:tcPr>
          <w:p>
            <w:pPr>
              <w:pStyle w:val="52"/>
              <w:overflowPunct w:val="0"/>
              <w:rPr>
                <w:rFonts w:ascii="宋体" w:hAnsi="宋体" w:cs="宋体"/>
                <w:color w:val="auto"/>
                <w:sz w:val="21"/>
                <w:szCs w:val="21"/>
                <w:highlight w:val="none"/>
              </w:rPr>
            </w:pPr>
            <w:r>
              <w:rPr>
                <w:rFonts w:hint="eastAsia" w:ascii="宋体" w:hAnsi="宋体" w:cs="宋体"/>
                <w:color w:val="auto"/>
                <w:sz w:val="21"/>
                <w:szCs w:val="21"/>
                <w:highlight w:val="none"/>
              </w:rPr>
              <w:t>投标人机器码</w:t>
            </w:r>
          </w:p>
        </w:tc>
        <w:tc>
          <w:tcPr>
            <w:tcW w:w="5016" w:type="dxa"/>
            <w:vAlign w:val="center"/>
          </w:tcPr>
          <w:p>
            <w:pPr>
              <w:pStyle w:val="52"/>
              <w:overflowPunct w:val="0"/>
              <w:spacing w:line="320" w:lineRule="exact"/>
              <w:jc w:val="both"/>
              <w:rPr>
                <w:rFonts w:ascii="宋体" w:hAnsi="宋体" w:cs="宋体"/>
                <w:color w:val="auto"/>
                <w:sz w:val="21"/>
                <w:szCs w:val="21"/>
                <w:highlight w:val="none"/>
              </w:rPr>
            </w:pPr>
            <w:r>
              <w:rPr>
                <w:rFonts w:hint="eastAsia" w:ascii="宋体" w:hAnsi="宋体" w:cs="宋体"/>
                <w:color w:val="auto"/>
                <w:sz w:val="21"/>
                <w:szCs w:val="21"/>
                <w:highlight w:val="none"/>
              </w:rPr>
              <w:t>投标人与其他投标人加密打包投标文件电脑机器特征码一致的（以广州公共资源交易中心评标系统的检索信息为准）将被否决。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 w:type="dxa"/>
            <w:vMerge w:val="restart"/>
            <w:vAlign w:val="center"/>
          </w:tcPr>
          <w:p>
            <w:pPr>
              <w:pStyle w:val="52"/>
              <w:overflowPunct w:val="0"/>
              <w:rPr>
                <w:rFonts w:ascii="宋体" w:hAnsi="宋体" w:cs="宋体"/>
                <w:color w:val="auto"/>
                <w:sz w:val="21"/>
                <w:szCs w:val="21"/>
                <w:highlight w:val="none"/>
              </w:rPr>
            </w:pPr>
            <w:r>
              <w:rPr>
                <w:rFonts w:ascii="宋体" w:hAnsi="宋体" w:cs="宋体"/>
                <w:color w:val="auto"/>
                <w:sz w:val="21"/>
                <w:szCs w:val="21"/>
                <w:highlight w:val="none"/>
              </w:rPr>
              <w:t>2.1.2</w:t>
            </w:r>
          </w:p>
        </w:tc>
        <w:tc>
          <w:tcPr>
            <w:tcW w:w="1149" w:type="dxa"/>
            <w:vMerge w:val="restart"/>
            <w:vAlign w:val="center"/>
          </w:tcPr>
          <w:p>
            <w:pPr>
              <w:pStyle w:val="52"/>
              <w:overflowPunct w:val="0"/>
              <w:spacing w:line="384" w:lineRule="auto"/>
              <w:ind w:right="132"/>
              <w:rPr>
                <w:rFonts w:ascii="宋体" w:hAnsi="宋体" w:cs="宋体"/>
                <w:color w:val="auto"/>
                <w:sz w:val="21"/>
                <w:szCs w:val="21"/>
                <w:highlight w:val="none"/>
              </w:rPr>
            </w:pPr>
            <w:r>
              <w:rPr>
                <w:rFonts w:hint="eastAsia" w:ascii="宋体" w:hAnsi="宋体" w:cs="宋体"/>
                <w:color w:val="auto"/>
                <w:sz w:val="21"/>
                <w:szCs w:val="21"/>
                <w:highlight w:val="none"/>
              </w:rPr>
              <w:t>资格评审标准</w:t>
            </w:r>
          </w:p>
        </w:tc>
        <w:tc>
          <w:tcPr>
            <w:tcW w:w="2127" w:type="dxa"/>
            <w:vAlign w:val="center"/>
          </w:tcPr>
          <w:p>
            <w:pPr>
              <w:pStyle w:val="52"/>
              <w:overflowPunct w:val="0"/>
              <w:spacing w:line="440" w:lineRule="exact"/>
              <w:ind w:right="180"/>
              <w:rPr>
                <w:rFonts w:ascii="宋体" w:hAnsi="宋体" w:cs="宋体"/>
                <w:color w:val="auto"/>
                <w:sz w:val="21"/>
                <w:szCs w:val="21"/>
                <w:highlight w:val="none"/>
              </w:rPr>
            </w:pPr>
            <w:r>
              <w:rPr>
                <w:rFonts w:hint="eastAsia" w:ascii="宋体" w:hAnsi="宋体" w:cs="宋体"/>
                <w:color w:val="auto"/>
                <w:spacing w:val="-2"/>
                <w:sz w:val="21"/>
                <w:szCs w:val="21"/>
                <w:highlight w:val="none"/>
              </w:rPr>
              <w:t>营业执照</w:t>
            </w:r>
          </w:p>
        </w:tc>
        <w:tc>
          <w:tcPr>
            <w:tcW w:w="5016" w:type="dxa"/>
            <w:vAlign w:val="center"/>
          </w:tcPr>
          <w:p>
            <w:pPr>
              <w:pStyle w:val="52"/>
              <w:overflowPunct w:val="0"/>
              <w:spacing w:line="440" w:lineRule="exact"/>
              <w:ind w:right="99"/>
              <w:jc w:val="both"/>
              <w:rPr>
                <w:rFonts w:ascii="宋体" w:hAnsi="宋体" w:cs="宋体"/>
                <w:color w:val="auto"/>
                <w:sz w:val="21"/>
                <w:szCs w:val="21"/>
                <w:highlight w:val="none"/>
              </w:rPr>
            </w:pPr>
            <w:r>
              <w:rPr>
                <w:rFonts w:hint="eastAsia" w:ascii="宋体" w:hAnsi="宋体" w:cs="宋体"/>
                <w:color w:val="auto"/>
                <w:sz w:val="21"/>
                <w:szCs w:val="21"/>
                <w:highlight w:val="none"/>
              </w:rPr>
              <w:t>符合第二章“投标人须知”第</w:t>
            </w:r>
            <w:r>
              <w:rPr>
                <w:rFonts w:ascii="宋体" w:hAnsi="宋体" w:cs="宋体"/>
                <w:color w:val="auto"/>
                <w:spacing w:val="-69"/>
                <w:sz w:val="21"/>
                <w:szCs w:val="21"/>
                <w:highlight w:val="none"/>
              </w:rPr>
              <w:t xml:space="preserve"> </w:t>
            </w:r>
            <w:r>
              <w:rPr>
                <w:rFonts w:ascii="宋体" w:hAnsi="宋体" w:cs="宋体"/>
                <w:color w:val="auto"/>
                <w:sz w:val="21"/>
                <w:szCs w:val="21"/>
                <w:highlight w:val="none"/>
              </w:rPr>
              <w:t>3.5.1</w:t>
            </w:r>
            <w:r>
              <w:rPr>
                <w:rFonts w:ascii="宋体" w:hAnsi="宋体" w:cs="宋体"/>
                <w:color w:val="auto"/>
                <w:spacing w:val="-16"/>
                <w:sz w:val="21"/>
                <w:szCs w:val="21"/>
                <w:highlight w:val="none"/>
              </w:rPr>
              <w:t xml:space="preserve"> </w:t>
            </w:r>
            <w:r>
              <w:rPr>
                <w:rFonts w:hint="eastAsia" w:ascii="宋体" w:hAnsi="宋体" w:cs="宋体"/>
                <w:color w:val="auto"/>
                <w:spacing w:val="-6"/>
                <w:sz w:val="21"/>
                <w:szCs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 w:type="dxa"/>
            <w:vMerge w:val="continue"/>
            <w:vAlign w:val="center"/>
          </w:tcPr>
          <w:p>
            <w:pPr>
              <w:pStyle w:val="52"/>
              <w:overflowPunct w:val="0"/>
              <w:spacing w:line="440" w:lineRule="exact"/>
              <w:ind w:left="103" w:right="99"/>
              <w:rPr>
                <w:rFonts w:ascii="宋体" w:hAnsi="宋体" w:cs="宋体"/>
                <w:color w:val="auto"/>
                <w:sz w:val="21"/>
                <w:szCs w:val="21"/>
                <w:highlight w:val="none"/>
              </w:rPr>
            </w:pPr>
          </w:p>
        </w:tc>
        <w:tc>
          <w:tcPr>
            <w:tcW w:w="1149" w:type="dxa"/>
            <w:vMerge w:val="continue"/>
            <w:vAlign w:val="center"/>
          </w:tcPr>
          <w:p>
            <w:pPr>
              <w:pStyle w:val="52"/>
              <w:overflowPunct w:val="0"/>
              <w:spacing w:line="440" w:lineRule="exact"/>
              <w:ind w:left="103" w:right="99"/>
              <w:rPr>
                <w:rFonts w:ascii="宋体" w:hAnsi="宋体" w:cs="宋体"/>
                <w:color w:val="auto"/>
                <w:sz w:val="21"/>
                <w:szCs w:val="21"/>
                <w:highlight w:val="none"/>
              </w:rPr>
            </w:pPr>
          </w:p>
        </w:tc>
        <w:tc>
          <w:tcPr>
            <w:tcW w:w="2127" w:type="dxa"/>
            <w:vAlign w:val="center"/>
          </w:tcPr>
          <w:p>
            <w:pPr>
              <w:pStyle w:val="52"/>
              <w:overflowPunct w:val="0"/>
              <w:spacing w:before="107"/>
              <w:rPr>
                <w:rFonts w:ascii="宋体" w:hAnsi="宋体" w:cs="宋体"/>
                <w:color w:val="auto"/>
                <w:sz w:val="21"/>
                <w:szCs w:val="21"/>
                <w:highlight w:val="none"/>
              </w:rPr>
            </w:pPr>
            <w:r>
              <w:rPr>
                <w:rFonts w:hint="eastAsia" w:ascii="宋体" w:hAnsi="宋体" w:cs="宋体"/>
                <w:color w:val="auto"/>
                <w:sz w:val="21"/>
                <w:szCs w:val="21"/>
                <w:highlight w:val="none"/>
              </w:rPr>
              <w:t>资质要求</w:t>
            </w:r>
          </w:p>
        </w:tc>
        <w:tc>
          <w:tcPr>
            <w:tcW w:w="5016" w:type="dxa"/>
            <w:vAlign w:val="center"/>
          </w:tcPr>
          <w:p>
            <w:pPr>
              <w:pStyle w:val="52"/>
              <w:overflowPunct w:val="0"/>
              <w:spacing w:before="107"/>
              <w:jc w:val="both"/>
              <w:rPr>
                <w:rFonts w:ascii="宋体" w:hAnsi="宋体" w:cs="宋体"/>
                <w:color w:val="auto"/>
                <w:sz w:val="21"/>
                <w:szCs w:val="21"/>
                <w:highlight w:val="none"/>
              </w:rPr>
            </w:pPr>
            <w:r>
              <w:rPr>
                <w:rFonts w:hint="eastAsia" w:ascii="宋体" w:hAnsi="宋体" w:cs="宋体"/>
                <w:color w:val="auto"/>
                <w:sz w:val="21"/>
                <w:szCs w:val="21"/>
                <w:highlight w:val="none"/>
              </w:rPr>
              <w:t>符合第二章“投标人须知”第</w:t>
            </w:r>
            <w:r>
              <w:rPr>
                <w:rFonts w:ascii="宋体" w:hAnsi="宋体" w:cs="宋体"/>
                <w:color w:val="auto"/>
                <w:spacing w:val="-78"/>
                <w:sz w:val="21"/>
                <w:szCs w:val="21"/>
                <w:highlight w:val="none"/>
              </w:rPr>
              <w:t xml:space="preserve"> </w:t>
            </w:r>
            <w:r>
              <w:rPr>
                <w:rFonts w:ascii="宋体" w:hAnsi="宋体" w:cs="宋体"/>
                <w:color w:val="auto"/>
                <w:sz w:val="21"/>
                <w:szCs w:val="21"/>
                <w:highlight w:val="none"/>
              </w:rPr>
              <w:t>1.4.1</w:t>
            </w:r>
            <w:r>
              <w:rPr>
                <w:rFonts w:ascii="宋体" w:hAnsi="宋体" w:cs="宋体"/>
                <w:color w:val="auto"/>
                <w:spacing w:val="-25"/>
                <w:sz w:val="21"/>
                <w:szCs w:val="21"/>
                <w:highlight w:val="none"/>
              </w:rPr>
              <w:t xml:space="preserve"> </w:t>
            </w:r>
            <w:r>
              <w:rPr>
                <w:rFonts w:hint="eastAsia" w:ascii="宋体" w:hAnsi="宋体" w:cs="宋体"/>
                <w:color w:val="auto"/>
                <w:sz w:val="21"/>
                <w:szCs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 w:type="dxa"/>
            <w:vMerge w:val="continue"/>
            <w:vAlign w:val="center"/>
          </w:tcPr>
          <w:p>
            <w:pPr>
              <w:pStyle w:val="52"/>
              <w:overflowPunct w:val="0"/>
              <w:spacing w:before="107"/>
              <w:ind w:left="103"/>
              <w:rPr>
                <w:rFonts w:ascii="宋体" w:hAnsi="宋体" w:cs="宋体"/>
                <w:color w:val="auto"/>
                <w:sz w:val="21"/>
                <w:szCs w:val="21"/>
                <w:highlight w:val="none"/>
              </w:rPr>
            </w:pPr>
          </w:p>
        </w:tc>
        <w:tc>
          <w:tcPr>
            <w:tcW w:w="1149" w:type="dxa"/>
            <w:vMerge w:val="continue"/>
            <w:vAlign w:val="center"/>
          </w:tcPr>
          <w:p>
            <w:pPr>
              <w:pStyle w:val="52"/>
              <w:overflowPunct w:val="0"/>
              <w:spacing w:before="107"/>
              <w:ind w:left="103"/>
              <w:rPr>
                <w:rFonts w:ascii="宋体" w:hAnsi="宋体" w:cs="宋体"/>
                <w:color w:val="auto"/>
                <w:sz w:val="21"/>
                <w:szCs w:val="21"/>
                <w:highlight w:val="none"/>
              </w:rPr>
            </w:pPr>
          </w:p>
        </w:tc>
        <w:tc>
          <w:tcPr>
            <w:tcW w:w="2127" w:type="dxa"/>
            <w:vAlign w:val="center"/>
          </w:tcPr>
          <w:p>
            <w:pPr>
              <w:pStyle w:val="52"/>
              <w:overflowPunct w:val="0"/>
              <w:spacing w:before="107"/>
              <w:rPr>
                <w:rFonts w:ascii="宋体" w:hAnsi="宋体" w:cs="宋体"/>
                <w:color w:val="auto"/>
                <w:sz w:val="21"/>
                <w:szCs w:val="21"/>
                <w:highlight w:val="none"/>
              </w:rPr>
            </w:pPr>
            <w:r>
              <w:rPr>
                <w:rFonts w:hint="eastAsia" w:ascii="宋体" w:hAnsi="宋体" w:cs="宋体"/>
                <w:color w:val="auto"/>
                <w:sz w:val="21"/>
                <w:szCs w:val="21"/>
                <w:highlight w:val="none"/>
              </w:rPr>
              <w:t>业绩要求</w:t>
            </w:r>
          </w:p>
        </w:tc>
        <w:tc>
          <w:tcPr>
            <w:tcW w:w="5016" w:type="dxa"/>
            <w:vAlign w:val="center"/>
          </w:tcPr>
          <w:p>
            <w:pPr>
              <w:pStyle w:val="52"/>
              <w:overflowPunct w:val="0"/>
              <w:spacing w:line="257" w:lineRule="exact"/>
              <w:jc w:val="both"/>
              <w:rPr>
                <w:rFonts w:ascii="宋体" w:hAnsi="宋体" w:cs="宋体"/>
                <w:color w:val="auto"/>
                <w:sz w:val="21"/>
                <w:szCs w:val="21"/>
                <w:highlight w:val="none"/>
              </w:rPr>
            </w:pPr>
            <w:r>
              <w:rPr>
                <w:rFonts w:hint="eastAsia" w:ascii="宋体" w:hAnsi="宋体" w:cs="宋体"/>
                <w:color w:val="auto"/>
                <w:sz w:val="21"/>
                <w:szCs w:val="21"/>
                <w:highlight w:val="none"/>
              </w:rPr>
              <w:t>符合第二章“投标人须知”第</w:t>
            </w:r>
            <w:r>
              <w:rPr>
                <w:rFonts w:ascii="宋体" w:hAnsi="宋体" w:cs="宋体"/>
                <w:color w:val="auto"/>
                <w:spacing w:val="-78"/>
                <w:sz w:val="21"/>
                <w:szCs w:val="21"/>
                <w:highlight w:val="none"/>
              </w:rPr>
              <w:t xml:space="preserve"> </w:t>
            </w:r>
            <w:r>
              <w:rPr>
                <w:rFonts w:ascii="宋体" w:hAnsi="宋体" w:cs="宋体"/>
                <w:color w:val="auto"/>
                <w:sz w:val="21"/>
                <w:szCs w:val="21"/>
                <w:highlight w:val="none"/>
              </w:rPr>
              <w:t>1.4.1</w:t>
            </w:r>
            <w:r>
              <w:rPr>
                <w:rFonts w:ascii="宋体" w:hAnsi="宋体" w:cs="宋体"/>
                <w:color w:val="auto"/>
                <w:spacing w:val="-25"/>
                <w:sz w:val="21"/>
                <w:szCs w:val="21"/>
                <w:highlight w:val="none"/>
              </w:rPr>
              <w:t xml:space="preserve"> </w:t>
            </w:r>
            <w:r>
              <w:rPr>
                <w:rFonts w:hint="eastAsia" w:ascii="宋体" w:hAnsi="宋体" w:cs="宋体"/>
                <w:color w:val="auto"/>
                <w:sz w:val="21"/>
                <w:szCs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 w:type="dxa"/>
            <w:vMerge w:val="continue"/>
            <w:vAlign w:val="center"/>
          </w:tcPr>
          <w:p>
            <w:pPr>
              <w:pStyle w:val="52"/>
              <w:overflowPunct w:val="0"/>
              <w:spacing w:line="257" w:lineRule="exact"/>
              <w:ind w:left="103"/>
              <w:rPr>
                <w:rFonts w:ascii="宋体" w:hAnsi="宋体" w:cs="宋体"/>
                <w:color w:val="auto"/>
                <w:sz w:val="21"/>
                <w:szCs w:val="21"/>
                <w:highlight w:val="none"/>
              </w:rPr>
            </w:pPr>
          </w:p>
        </w:tc>
        <w:tc>
          <w:tcPr>
            <w:tcW w:w="1149" w:type="dxa"/>
            <w:vMerge w:val="continue"/>
            <w:vAlign w:val="center"/>
          </w:tcPr>
          <w:p>
            <w:pPr>
              <w:pStyle w:val="52"/>
              <w:overflowPunct w:val="0"/>
              <w:spacing w:line="257" w:lineRule="exact"/>
              <w:ind w:left="103"/>
              <w:rPr>
                <w:rFonts w:ascii="宋体" w:hAnsi="宋体" w:cs="宋体"/>
                <w:color w:val="auto"/>
                <w:sz w:val="21"/>
                <w:szCs w:val="21"/>
                <w:highlight w:val="none"/>
              </w:rPr>
            </w:pPr>
          </w:p>
        </w:tc>
        <w:tc>
          <w:tcPr>
            <w:tcW w:w="2127" w:type="dxa"/>
            <w:vAlign w:val="center"/>
          </w:tcPr>
          <w:p>
            <w:pPr>
              <w:pStyle w:val="52"/>
              <w:overflowPunct w:val="0"/>
              <w:spacing w:before="107"/>
              <w:rPr>
                <w:rFonts w:ascii="宋体" w:hAnsi="宋体" w:cs="宋体"/>
                <w:color w:val="auto"/>
                <w:sz w:val="21"/>
                <w:szCs w:val="21"/>
                <w:highlight w:val="none"/>
              </w:rPr>
            </w:pPr>
            <w:r>
              <w:rPr>
                <w:rFonts w:hint="eastAsia" w:ascii="宋体" w:hAnsi="宋体" w:cs="宋体"/>
                <w:color w:val="auto"/>
                <w:sz w:val="21"/>
                <w:szCs w:val="21"/>
                <w:highlight w:val="none"/>
              </w:rPr>
              <w:t>其他要求</w:t>
            </w:r>
          </w:p>
        </w:tc>
        <w:tc>
          <w:tcPr>
            <w:tcW w:w="5016" w:type="dxa"/>
            <w:vAlign w:val="center"/>
          </w:tcPr>
          <w:p>
            <w:pPr>
              <w:pStyle w:val="52"/>
              <w:overflowPunct w:val="0"/>
              <w:spacing w:before="107"/>
              <w:jc w:val="both"/>
              <w:rPr>
                <w:rFonts w:ascii="宋体" w:hAnsi="宋体" w:cs="宋体"/>
                <w:color w:val="auto"/>
                <w:sz w:val="21"/>
                <w:szCs w:val="21"/>
                <w:highlight w:val="none"/>
              </w:rPr>
            </w:pPr>
            <w:r>
              <w:rPr>
                <w:rFonts w:hint="eastAsia" w:ascii="宋体" w:hAnsi="宋体" w:cs="宋体"/>
                <w:color w:val="auto"/>
                <w:sz w:val="21"/>
                <w:szCs w:val="21"/>
                <w:highlight w:val="none"/>
              </w:rPr>
              <w:t>符合第二章“投标人须知”第</w:t>
            </w:r>
            <w:r>
              <w:rPr>
                <w:rFonts w:ascii="宋体" w:hAnsi="宋体" w:cs="宋体"/>
                <w:color w:val="auto"/>
                <w:spacing w:val="-78"/>
                <w:sz w:val="21"/>
                <w:szCs w:val="21"/>
                <w:highlight w:val="none"/>
              </w:rPr>
              <w:t xml:space="preserve"> </w:t>
            </w:r>
            <w:r>
              <w:rPr>
                <w:rFonts w:ascii="宋体" w:hAnsi="宋体" w:cs="宋体"/>
                <w:color w:val="auto"/>
                <w:sz w:val="21"/>
                <w:szCs w:val="21"/>
                <w:highlight w:val="none"/>
              </w:rPr>
              <w:t>1.4.1</w:t>
            </w:r>
            <w:r>
              <w:rPr>
                <w:rFonts w:ascii="宋体" w:hAnsi="宋体" w:cs="宋体"/>
                <w:color w:val="auto"/>
                <w:spacing w:val="-25"/>
                <w:sz w:val="21"/>
                <w:szCs w:val="21"/>
                <w:highlight w:val="none"/>
              </w:rPr>
              <w:t xml:space="preserve"> </w:t>
            </w:r>
            <w:r>
              <w:rPr>
                <w:rFonts w:hint="eastAsia" w:ascii="宋体" w:hAnsi="宋体" w:cs="宋体"/>
                <w:color w:val="auto"/>
                <w:sz w:val="21"/>
                <w:szCs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 w:type="dxa"/>
            <w:vMerge w:val="continue"/>
            <w:vAlign w:val="center"/>
          </w:tcPr>
          <w:p>
            <w:pPr>
              <w:pStyle w:val="52"/>
              <w:overflowPunct w:val="0"/>
              <w:spacing w:line="257" w:lineRule="exact"/>
              <w:ind w:left="103"/>
              <w:rPr>
                <w:rFonts w:ascii="宋体" w:hAnsi="宋体" w:cs="宋体"/>
                <w:color w:val="auto"/>
                <w:sz w:val="21"/>
                <w:szCs w:val="21"/>
                <w:highlight w:val="none"/>
              </w:rPr>
            </w:pPr>
          </w:p>
        </w:tc>
        <w:tc>
          <w:tcPr>
            <w:tcW w:w="1149" w:type="dxa"/>
            <w:vMerge w:val="continue"/>
            <w:vAlign w:val="center"/>
          </w:tcPr>
          <w:p>
            <w:pPr>
              <w:pStyle w:val="52"/>
              <w:overflowPunct w:val="0"/>
              <w:spacing w:line="257" w:lineRule="exact"/>
              <w:ind w:left="103"/>
              <w:rPr>
                <w:rFonts w:ascii="宋体" w:hAnsi="宋体" w:cs="宋体"/>
                <w:color w:val="auto"/>
                <w:sz w:val="21"/>
                <w:szCs w:val="21"/>
                <w:highlight w:val="none"/>
              </w:rPr>
            </w:pPr>
          </w:p>
        </w:tc>
        <w:tc>
          <w:tcPr>
            <w:tcW w:w="2127" w:type="dxa"/>
            <w:vAlign w:val="center"/>
          </w:tcPr>
          <w:p>
            <w:pPr>
              <w:pStyle w:val="52"/>
              <w:overflowPunct w:val="0"/>
              <w:spacing w:before="108"/>
              <w:rPr>
                <w:rFonts w:ascii="宋体" w:hAnsi="宋体" w:cs="宋体"/>
                <w:color w:val="auto"/>
                <w:sz w:val="21"/>
                <w:szCs w:val="21"/>
                <w:highlight w:val="none"/>
              </w:rPr>
            </w:pPr>
            <w:r>
              <w:rPr>
                <w:rFonts w:hint="eastAsia" w:ascii="宋体" w:hAnsi="宋体" w:cs="宋体"/>
                <w:color w:val="auto"/>
                <w:sz w:val="21"/>
                <w:szCs w:val="21"/>
                <w:highlight w:val="none"/>
              </w:rPr>
              <w:t>联合体投标人</w:t>
            </w:r>
          </w:p>
        </w:tc>
        <w:tc>
          <w:tcPr>
            <w:tcW w:w="5016" w:type="dxa"/>
            <w:vAlign w:val="center"/>
          </w:tcPr>
          <w:p>
            <w:pPr>
              <w:pStyle w:val="52"/>
              <w:overflowPunct w:val="0"/>
              <w:spacing w:before="108"/>
              <w:rPr>
                <w:rFonts w:ascii="宋体" w:hAnsi="宋体" w:cs="宋体"/>
                <w:color w:val="auto"/>
                <w:sz w:val="21"/>
                <w:szCs w:val="21"/>
                <w:highlight w:val="none"/>
              </w:rPr>
            </w:pPr>
            <w:r>
              <w:rPr>
                <w:rFonts w:hint="eastAsia" w:ascii="宋体" w:hAnsi="宋体" w:cs="宋体"/>
                <w:color w:val="auto"/>
                <w:sz w:val="21"/>
                <w:szCs w:val="21"/>
                <w:highlight w:val="none"/>
                <w:u w:val="single"/>
              </w:rPr>
              <w:t>本次招标不接受联合体投标。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 w:type="dxa"/>
            <w:vMerge w:val="continue"/>
            <w:tcBorders>
              <w:bottom w:val="single" w:color="auto" w:sz="4" w:space="0"/>
            </w:tcBorders>
            <w:vAlign w:val="center"/>
          </w:tcPr>
          <w:p>
            <w:pPr>
              <w:pStyle w:val="52"/>
              <w:overflowPunct w:val="0"/>
              <w:spacing w:line="257" w:lineRule="exact"/>
              <w:ind w:left="103"/>
              <w:rPr>
                <w:rFonts w:ascii="宋体" w:hAnsi="宋体" w:cs="宋体"/>
                <w:color w:val="auto"/>
                <w:sz w:val="21"/>
                <w:szCs w:val="21"/>
                <w:highlight w:val="none"/>
              </w:rPr>
            </w:pPr>
          </w:p>
        </w:tc>
        <w:tc>
          <w:tcPr>
            <w:tcW w:w="1149" w:type="dxa"/>
            <w:vMerge w:val="continue"/>
            <w:tcBorders>
              <w:bottom w:val="single" w:color="auto" w:sz="4" w:space="0"/>
            </w:tcBorders>
            <w:vAlign w:val="center"/>
          </w:tcPr>
          <w:p>
            <w:pPr>
              <w:pStyle w:val="52"/>
              <w:overflowPunct w:val="0"/>
              <w:spacing w:line="257" w:lineRule="exact"/>
              <w:ind w:left="103"/>
              <w:rPr>
                <w:rFonts w:ascii="宋体" w:hAnsi="宋体" w:cs="宋体"/>
                <w:color w:val="auto"/>
                <w:sz w:val="21"/>
                <w:szCs w:val="21"/>
                <w:highlight w:val="none"/>
              </w:rPr>
            </w:pPr>
          </w:p>
        </w:tc>
        <w:tc>
          <w:tcPr>
            <w:tcW w:w="2127" w:type="dxa"/>
            <w:tcBorders>
              <w:bottom w:val="single" w:color="auto" w:sz="4" w:space="0"/>
            </w:tcBorders>
            <w:vAlign w:val="center"/>
          </w:tcPr>
          <w:p>
            <w:pPr>
              <w:pStyle w:val="52"/>
              <w:overflowPunct w:val="0"/>
              <w:spacing w:before="108"/>
              <w:rPr>
                <w:rFonts w:ascii="宋体" w:hAnsi="宋体" w:cs="宋体"/>
                <w:color w:val="auto"/>
                <w:sz w:val="21"/>
                <w:szCs w:val="21"/>
                <w:highlight w:val="none"/>
              </w:rPr>
            </w:pPr>
            <w:r>
              <w:rPr>
                <w:rFonts w:hint="eastAsia" w:ascii="宋体" w:hAnsi="宋体" w:cs="宋体"/>
                <w:color w:val="auto"/>
                <w:sz w:val="21"/>
                <w:szCs w:val="21"/>
                <w:highlight w:val="none"/>
              </w:rPr>
              <w:t>不存在禁止投标的情形</w:t>
            </w:r>
          </w:p>
        </w:tc>
        <w:tc>
          <w:tcPr>
            <w:tcW w:w="5016" w:type="dxa"/>
            <w:tcBorders>
              <w:bottom w:val="single" w:color="auto" w:sz="4" w:space="0"/>
            </w:tcBorders>
            <w:vAlign w:val="center"/>
          </w:tcPr>
          <w:p>
            <w:pPr>
              <w:pStyle w:val="52"/>
              <w:overflowPunct w:val="0"/>
              <w:spacing w:before="108"/>
              <w:rPr>
                <w:rFonts w:ascii="宋体" w:hAnsi="宋体" w:cs="宋体"/>
                <w:color w:val="auto"/>
                <w:sz w:val="21"/>
                <w:szCs w:val="21"/>
                <w:highlight w:val="none"/>
              </w:rPr>
            </w:pPr>
            <w:r>
              <w:rPr>
                <w:rFonts w:hint="eastAsia" w:ascii="宋体" w:hAnsi="宋体" w:cs="宋体"/>
                <w:color w:val="auto"/>
                <w:sz w:val="21"/>
                <w:szCs w:val="21"/>
                <w:highlight w:val="none"/>
                <w:u w:val="single"/>
              </w:rPr>
              <w:t>不存在第二章“投标人须知”第</w:t>
            </w:r>
            <w:r>
              <w:rPr>
                <w:rFonts w:ascii="宋体" w:hAnsi="宋体" w:cs="宋体"/>
                <w:color w:val="auto"/>
                <w:sz w:val="21"/>
                <w:szCs w:val="21"/>
                <w:highlight w:val="none"/>
                <w:u w:val="single"/>
              </w:rPr>
              <w:t>1.4.3项规定的任何一种情形</w:t>
            </w:r>
            <w:r>
              <w:rPr>
                <w:rFonts w:hint="eastAsia" w:ascii="宋体" w:hAnsi="宋体" w:cs="宋体"/>
                <w:color w:val="auto"/>
                <w:sz w:val="21"/>
                <w:szCs w:val="21"/>
                <w:highlight w:val="none"/>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 w:type="dxa"/>
            <w:vMerge w:val="restart"/>
            <w:tcBorders>
              <w:top w:val="single" w:color="auto" w:sz="4" w:space="0"/>
              <w:left w:val="single" w:color="auto" w:sz="4" w:space="0"/>
              <w:bottom w:val="single" w:color="auto" w:sz="4" w:space="0"/>
              <w:right w:val="single" w:color="auto" w:sz="4" w:space="0"/>
            </w:tcBorders>
            <w:vAlign w:val="center"/>
          </w:tcPr>
          <w:p>
            <w:pPr>
              <w:pStyle w:val="52"/>
              <w:overflowPunct w:val="0"/>
              <w:spacing w:line="257" w:lineRule="exact"/>
              <w:ind w:left="103"/>
              <w:rPr>
                <w:rFonts w:ascii="宋体" w:hAnsi="宋体" w:cs="宋体"/>
                <w:color w:val="auto"/>
                <w:sz w:val="21"/>
                <w:szCs w:val="21"/>
                <w:highlight w:val="none"/>
              </w:rPr>
            </w:pPr>
            <w:r>
              <w:rPr>
                <w:rFonts w:ascii="宋体" w:hAnsi="宋体" w:cs="宋体"/>
                <w:color w:val="auto"/>
                <w:sz w:val="21"/>
                <w:szCs w:val="21"/>
                <w:highlight w:val="none"/>
              </w:rPr>
              <w:t>2.1.3</w:t>
            </w:r>
          </w:p>
        </w:tc>
        <w:tc>
          <w:tcPr>
            <w:tcW w:w="1149" w:type="dxa"/>
            <w:vMerge w:val="restart"/>
            <w:tcBorders>
              <w:top w:val="single" w:color="auto" w:sz="4" w:space="0"/>
              <w:left w:val="single" w:color="auto" w:sz="4" w:space="0"/>
              <w:bottom w:val="single" w:color="auto" w:sz="4" w:space="0"/>
              <w:right w:val="single" w:color="auto" w:sz="4" w:space="0"/>
            </w:tcBorders>
            <w:vAlign w:val="center"/>
          </w:tcPr>
          <w:p>
            <w:pPr>
              <w:pStyle w:val="52"/>
              <w:overflowPunct w:val="0"/>
              <w:spacing w:line="257" w:lineRule="exact"/>
              <w:ind w:left="103"/>
              <w:rPr>
                <w:rFonts w:ascii="宋体" w:hAnsi="宋体" w:cs="宋体"/>
                <w:color w:val="auto"/>
                <w:sz w:val="21"/>
                <w:szCs w:val="21"/>
                <w:highlight w:val="none"/>
              </w:rPr>
            </w:pPr>
            <w:r>
              <w:rPr>
                <w:rFonts w:hint="eastAsia" w:ascii="宋体" w:hAnsi="宋体" w:cs="宋体"/>
                <w:color w:val="auto"/>
                <w:sz w:val="21"/>
                <w:szCs w:val="21"/>
                <w:highlight w:val="none"/>
              </w:rPr>
              <w:t>响应性评审标准</w:t>
            </w:r>
          </w:p>
        </w:tc>
        <w:tc>
          <w:tcPr>
            <w:tcW w:w="2127" w:type="dxa"/>
            <w:tcBorders>
              <w:top w:val="single" w:color="auto" w:sz="4" w:space="0"/>
              <w:left w:val="single" w:color="auto" w:sz="4" w:space="0"/>
              <w:bottom w:val="single" w:color="auto" w:sz="4" w:space="0"/>
              <w:right w:val="single" w:color="auto" w:sz="4" w:space="0"/>
            </w:tcBorders>
          </w:tcPr>
          <w:p>
            <w:pPr>
              <w:pStyle w:val="52"/>
              <w:overflowPunct w:val="0"/>
              <w:spacing w:before="107"/>
              <w:jc w:val="both"/>
              <w:rPr>
                <w:rFonts w:ascii="宋体" w:hAnsi="宋体" w:cs="宋体"/>
                <w:color w:val="auto"/>
                <w:sz w:val="21"/>
                <w:szCs w:val="21"/>
                <w:highlight w:val="none"/>
              </w:rPr>
            </w:pPr>
            <w:r>
              <w:rPr>
                <w:rFonts w:hint="eastAsia" w:ascii="宋体" w:hAnsi="宋体" w:cs="宋体"/>
                <w:color w:val="auto"/>
                <w:sz w:val="21"/>
                <w:szCs w:val="21"/>
                <w:highlight w:val="none"/>
              </w:rPr>
              <w:t>投标报价</w:t>
            </w:r>
          </w:p>
        </w:tc>
        <w:tc>
          <w:tcPr>
            <w:tcW w:w="5016" w:type="dxa"/>
            <w:tcBorders>
              <w:top w:val="single" w:color="auto" w:sz="4" w:space="0"/>
              <w:left w:val="single" w:color="auto" w:sz="4" w:space="0"/>
              <w:bottom w:val="single" w:color="auto" w:sz="4" w:space="0"/>
              <w:right w:val="single" w:color="auto" w:sz="4" w:space="0"/>
            </w:tcBorders>
          </w:tcPr>
          <w:p>
            <w:pPr>
              <w:pStyle w:val="52"/>
              <w:overflowPunct w:val="0"/>
              <w:spacing w:before="107"/>
              <w:jc w:val="both"/>
              <w:rPr>
                <w:rFonts w:ascii="宋体" w:hAnsi="宋体" w:cs="宋体"/>
                <w:color w:val="auto"/>
                <w:sz w:val="21"/>
                <w:szCs w:val="21"/>
                <w:highlight w:val="none"/>
              </w:rPr>
            </w:pPr>
            <w:r>
              <w:rPr>
                <w:rFonts w:hint="eastAsia" w:ascii="宋体" w:hAnsi="宋体" w:cs="宋体"/>
                <w:color w:val="auto"/>
                <w:sz w:val="21"/>
                <w:szCs w:val="21"/>
                <w:highlight w:val="none"/>
              </w:rPr>
              <w:t>符合第二章“投标人须知”第</w:t>
            </w:r>
            <w:r>
              <w:rPr>
                <w:rFonts w:ascii="宋体" w:hAnsi="宋体" w:cs="宋体"/>
                <w:color w:val="auto"/>
                <w:spacing w:val="-78"/>
                <w:sz w:val="21"/>
                <w:szCs w:val="21"/>
                <w:highlight w:val="none"/>
              </w:rPr>
              <w:t xml:space="preserve"> </w:t>
            </w:r>
            <w:r>
              <w:rPr>
                <w:rFonts w:ascii="宋体" w:hAnsi="宋体" w:cs="宋体"/>
                <w:color w:val="auto"/>
                <w:sz w:val="21"/>
                <w:szCs w:val="21"/>
                <w:highlight w:val="none"/>
              </w:rPr>
              <w:t>3.2</w:t>
            </w:r>
            <w:r>
              <w:rPr>
                <w:rFonts w:ascii="宋体" w:hAnsi="宋体" w:cs="宋体"/>
                <w:color w:val="auto"/>
                <w:spacing w:val="-27"/>
                <w:sz w:val="21"/>
                <w:szCs w:val="21"/>
                <w:highlight w:val="none"/>
              </w:rPr>
              <w:t xml:space="preserve"> </w:t>
            </w:r>
            <w:r>
              <w:rPr>
                <w:rFonts w:hint="eastAsia" w:ascii="宋体" w:hAnsi="宋体" w:cs="宋体"/>
                <w:color w:val="auto"/>
                <w:sz w:val="21"/>
                <w:szCs w:val="21"/>
                <w:highlight w:val="none"/>
              </w:rPr>
              <w:t>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 w:type="dxa"/>
            <w:vMerge w:val="continue"/>
            <w:tcBorders>
              <w:top w:val="single" w:color="auto" w:sz="4" w:space="0"/>
              <w:left w:val="single" w:color="auto" w:sz="4" w:space="0"/>
              <w:bottom w:val="single" w:color="auto" w:sz="4" w:space="0"/>
              <w:right w:val="single" w:color="auto" w:sz="4" w:space="0"/>
            </w:tcBorders>
            <w:vAlign w:val="center"/>
          </w:tcPr>
          <w:p>
            <w:pPr>
              <w:pStyle w:val="52"/>
              <w:overflowPunct w:val="0"/>
              <w:spacing w:line="257" w:lineRule="exact"/>
              <w:ind w:left="103"/>
              <w:rPr>
                <w:rFonts w:ascii="宋体" w:hAnsi="宋体" w:cs="宋体"/>
                <w:color w:val="auto"/>
                <w:sz w:val="21"/>
                <w:szCs w:val="21"/>
                <w:highlight w:val="none"/>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pStyle w:val="52"/>
              <w:overflowPunct w:val="0"/>
              <w:spacing w:line="257" w:lineRule="exact"/>
              <w:ind w:left="103"/>
              <w:rPr>
                <w:rFonts w:ascii="宋体" w:hAnsi="宋体" w:cs="宋体"/>
                <w:color w:val="auto"/>
                <w:sz w:val="21"/>
                <w:szCs w:val="21"/>
                <w:highlight w:val="none"/>
              </w:rPr>
            </w:pPr>
          </w:p>
        </w:tc>
        <w:tc>
          <w:tcPr>
            <w:tcW w:w="2127" w:type="dxa"/>
            <w:tcBorders>
              <w:top w:val="single" w:color="auto" w:sz="4" w:space="0"/>
              <w:left w:val="single" w:color="auto" w:sz="4" w:space="0"/>
              <w:bottom w:val="single" w:color="auto" w:sz="4" w:space="0"/>
              <w:right w:val="single" w:color="auto" w:sz="4" w:space="0"/>
            </w:tcBorders>
          </w:tcPr>
          <w:p>
            <w:pPr>
              <w:pStyle w:val="52"/>
              <w:overflowPunct w:val="0"/>
              <w:spacing w:before="107"/>
              <w:rPr>
                <w:rFonts w:ascii="宋体" w:hAnsi="宋体" w:cs="宋体"/>
                <w:color w:val="auto"/>
                <w:sz w:val="21"/>
                <w:szCs w:val="21"/>
                <w:highlight w:val="none"/>
              </w:rPr>
            </w:pPr>
            <w:r>
              <w:rPr>
                <w:rFonts w:hint="eastAsia" w:ascii="宋体" w:hAnsi="宋体" w:cs="宋体"/>
                <w:color w:val="auto"/>
                <w:sz w:val="21"/>
                <w:szCs w:val="21"/>
                <w:highlight w:val="none"/>
              </w:rPr>
              <w:t>投标内容</w:t>
            </w:r>
          </w:p>
        </w:tc>
        <w:tc>
          <w:tcPr>
            <w:tcW w:w="5016" w:type="dxa"/>
            <w:tcBorders>
              <w:top w:val="single" w:color="auto" w:sz="4" w:space="0"/>
              <w:left w:val="single" w:color="auto" w:sz="4" w:space="0"/>
              <w:bottom w:val="single" w:color="auto" w:sz="4" w:space="0"/>
              <w:right w:val="single" w:color="auto" w:sz="4" w:space="0"/>
            </w:tcBorders>
          </w:tcPr>
          <w:p>
            <w:pPr>
              <w:pStyle w:val="52"/>
              <w:overflowPunct w:val="0"/>
              <w:spacing w:before="107"/>
              <w:rPr>
                <w:rFonts w:ascii="宋体" w:hAnsi="宋体" w:cs="宋体"/>
                <w:color w:val="auto"/>
                <w:sz w:val="21"/>
                <w:szCs w:val="21"/>
                <w:highlight w:val="none"/>
              </w:rPr>
            </w:pPr>
            <w:r>
              <w:rPr>
                <w:rFonts w:hint="eastAsia" w:ascii="宋体" w:hAnsi="宋体" w:cs="宋体"/>
                <w:color w:val="auto"/>
                <w:sz w:val="21"/>
                <w:szCs w:val="21"/>
                <w:highlight w:val="none"/>
              </w:rPr>
              <w:t>符合第二章“投标人须知”第</w:t>
            </w:r>
            <w:r>
              <w:rPr>
                <w:rFonts w:ascii="宋体" w:hAnsi="宋体" w:cs="宋体"/>
                <w:color w:val="auto"/>
                <w:spacing w:val="-78"/>
                <w:sz w:val="21"/>
                <w:szCs w:val="21"/>
                <w:highlight w:val="none"/>
              </w:rPr>
              <w:t xml:space="preserve"> </w:t>
            </w:r>
            <w:r>
              <w:rPr>
                <w:rFonts w:ascii="宋体" w:hAnsi="宋体" w:cs="宋体"/>
                <w:color w:val="auto"/>
                <w:sz w:val="21"/>
                <w:szCs w:val="21"/>
                <w:highlight w:val="none"/>
              </w:rPr>
              <w:t>1.3.1</w:t>
            </w:r>
            <w:r>
              <w:rPr>
                <w:rFonts w:ascii="宋体" w:hAnsi="宋体" w:cs="宋体"/>
                <w:color w:val="auto"/>
                <w:spacing w:val="-25"/>
                <w:sz w:val="21"/>
                <w:szCs w:val="21"/>
                <w:highlight w:val="none"/>
              </w:rPr>
              <w:t xml:space="preserve"> </w:t>
            </w:r>
            <w:r>
              <w:rPr>
                <w:rFonts w:hint="eastAsia" w:ascii="宋体" w:hAnsi="宋体" w:cs="宋体"/>
                <w:color w:val="auto"/>
                <w:sz w:val="21"/>
                <w:szCs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 w:type="dxa"/>
            <w:vMerge w:val="continue"/>
            <w:tcBorders>
              <w:top w:val="single" w:color="auto" w:sz="4" w:space="0"/>
              <w:left w:val="single" w:color="auto" w:sz="4" w:space="0"/>
              <w:bottom w:val="single" w:color="auto" w:sz="4" w:space="0"/>
              <w:right w:val="single" w:color="auto" w:sz="4" w:space="0"/>
            </w:tcBorders>
            <w:vAlign w:val="center"/>
          </w:tcPr>
          <w:p>
            <w:pPr>
              <w:pStyle w:val="52"/>
              <w:overflowPunct w:val="0"/>
              <w:spacing w:line="257" w:lineRule="exact"/>
              <w:ind w:left="103"/>
              <w:rPr>
                <w:rFonts w:ascii="宋体" w:hAnsi="宋体" w:cs="宋体"/>
                <w:color w:val="auto"/>
                <w:sz w:val="21"/>
                <w:szCs w:val="21"/>
                <w:highlight w:val="none"/>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pStyle w:val="52"/>
              <w:overflowPunct w:val="0"/>
              <w:spacing w:line="257" w:lineRule="exact"/>
              <w:ind w:left="103"/>
              <w:rPr>
                <w:rFonts w:ascii="宋体" w:hAnsi="宋体" w:cs="宋体"/>
                <w:color w:val="auto"/>
                <w:sz w:val="21"/>
                <w:szCs w:val="21"/>
                <w:highlight w:val="none"/>
              </w:rPr>
            </w:pPr>
          </w:p>
        </w:tc>
        <w:tc>
          <w:tcPr>
            <w:tcW w:w="2127" w:type="dxa"/>
            <w:tcBorders>
              <w:top w:val="single" w:color="auto" w:sz="4" w:space="0"/>
              <w:left w:val="single" w:color="auto" w:sz="4" w:space="0"/>
              <w:bottom w:val="single" w:color="auto" w:sz="4" w:space="0"/>
              <w:right w:val="single" w:color="auto" w:sz="4" w:space="0"/>
            </w:tcBorders>
          </w:tcPr>
          <w:p>
            <w:pPr>
              <w:pStyle w:val="52"/>
              <w:overflowPunct w:val="0"/>
              <w:spacing w:before="107"/>
              <w:jc w:val="both"/>
              <w:rPr>
                <w:rFonts w:ascii="宋体" w:hAnsi="宋体" w:cs="宋体"/>
                <w:color w:val="auto"/>
                <w:sz w:val="21"/>
                <w:szCs w:val="21"/>
                <w:highlight w:val="none"/>
              </w:rPr>
            </w:pPr>
            <w:r>
              <w:rPr>
                <w:rFonts w:hint="eastAsia" w:ascii="宋体" w:hAnsi="宋体" w:cs="宋体"/>
                <w:color w:val="auto"/>
                <w:sz w:val="21"/>
                <w:szCs w:val="21"/>
                <w:highlight w:val="none"/>
              </w:rPr>
              <w:t>交货期</w:t>
            </w:r>
          </w:p>
        </w:tc>
        <w:tc>
          <w:tcPr>
            <w:tcW w:w="5016" w:type="dxa"/>
            <w:tcBorders>
              <w:top w:val="single" w:color="auto" w:sz="4" w:space="0"/>
              <w:left w:val="single" w:color="auto" w:sz="4" w:space="0"/>
              <w:bottom w:val="single" w:color="auto" w:sz="4" w:space="0"/>
              <w:right w:val="single" w:color="auto" w:sz="4" w:space="0"/>
            </w:tcBorders>
          </w:tcPr>
          <w:p>
            <w:pPr>
              <w:pStyle w:val="52"/>
              <w:overflowPunct w:val="0"/>
              <w:spacing w:before="107"/>
              <w:rPr>
                <w:rFonts w:ascii="宋体" w:hAnsi="宋体" w:cs="宋体"/>
                <w:color w:val="auto"/>
                <w:sz w:val="21"/>
                <w:szCs w:val="21"/>
                <w:highlight w:val="none"/>
              </w:rPr>
            </w:pPr>
            <w:r>
              <w:rPr>
                <w:rFonts w:hint="eastAsia" w:ascii="宋体" w:hAnsi="宋体" w:cs="宋体"/>
                <w:color w:val="auto"/>
                <w:sz w:val="21"/>
                <w:szCs w:val="21"/>
                <w:highlight w:val="none"/>
              </w:rPr>
              <w:t>符合第二章“投标人须知”第</w:t>
            </w:r>
            <w:r>
              <w:rPr>
                <w:rFonts w:ascii="宋体" w:hAnsi="宋体" w:cs="宋体"/>
                <w:color w:val="auto"/>
                <w:spacing w:val="-78"/>
                <w:sz w:val="21"/>
                <w:szCs w:val="21"/>
                <w:highlight w:val="none"/>
              </w:rPr>
              <w:t xml:space="preserve"> </w:t>
            </w:r>
            <w:r>
              <w:rPr>
                <w:rFonts w:ascii="宋体" w:hAnsi="宋体" w:cs="宋体"/>
                <w:color w:val="auto"/>
                <w:sz w:val="21"/>
                <w:szCs w:val="21"/>
                <w:highlight w:val="none"/>
              </w:rPr>
              <w:t>1.3.2</w:t>
            </w:r>
            <w:r>
              <w:rPr>
                <w:rFonts w:ascii="宋体" w:hAnsi="宋体" w:cs="宋体"/>
                <w:color w:val="auto"/>
                <w:spacing w:val="-25"/>
                <w:sz w:val="21"/>
                <w:szCs w:val="21"/>
                <w:highlight w:val="none"/>
              </w:rPr>
              <w:t xml:space="preserve"> </w:t>
            </w:r>
            <w:r>
              <w:rPr>
                <w:rFonts w:hint="eastAsia" w:ascii="宋体" w:hAnsi="宋体" w:cs="宋体"/>
                <w:color w:val="auto"/>
                <w:sz w:val="21"/>
                <w:szCs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 w:type="dxa"/>
            <w:vMerge w:val="continue"/>
            <w:tcBorders>
              <w:top w:val="single" w:color="auto" w:sz="4" w:space="0"/>
              <w:left w:val="single" w:color="auto" w:sz="4" w:space="0"/>
              <w:bottom w:val="single" w:color="auto" w:sz="4" w:space="0"/>
              <w:right w:val="single" w:color="auto" w:sz="4" w:space="0"/>
            </w:tcBorders>
            <w:vAlign w:val="center"/>
          </w:tcPr>
          <w:p>
            <w:pPr>
              <w:pStyle w:val="52"/>
              <w:overflowPunct w:val="0"/>
              <w:spacing w:line="257" w:lineRule="exact"/>
              <w:ind w:left="103"/>
              <w:rPr>
                <w:rFonts w:ascii="宋体" w:hAnsi="宋体" w:cs="宋体"/>
                <w:color w:val="auto"/>
                <w:sz w:val="21"/>
                <w:szCs w:val="21"/>
                <w:highlight w:val="none"/>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pStyle w:val="52"/>
              <w:overflowPunct w:val="0"/>
              <w:spacing w:line="257" w:lineRule="exact"/>
              <w:ind w:left="103"/>
              <w:rPr>
                <w:rFonts w:ascii="宋体" w:hAnsi="宋体" w:cs="宋体"/>
                <w:color w:val="auto"/>
                <w:sz w:val="21"/>
                <w:szCs w:val="21"/>
                <w:highlight w:val="none"/>
              </w:rPr>
            </w:pPr>
          </w:p>
        </w:tc>
        <w:tc>
          <w:tcPr>
            <w:tcW w:w="2127" w:type="dxa"/>
            <w:tcBorders>
              <w:top w:val="single" w:color="auto" w:sz="4" w:space="0"/>
              <w:left w:val="single" w:color="auto" w:sz="4" w:space="0"/>
              <w:bottom w:val="single" w:color="auto" w:sz="4" w:space="0"/>
              <w:right w:val="single" w:color="auto" w:sz="4" w:space="0"/>
            </w:tcBorders>
          </w:tcPr>
          <w:p>
            <w:pPr>
              <w:pStyle w:val="52"/>
              <w:overflowPunct w:val="0"/>
              <w:spacing w:before="107"/>
              <w:rPr>
                <w:rFonts w:ascii="宋体" w:hAnsi="宋体" w:cs="宋体"/>
                <w:color w:val="auto"/>
                <w:sz w:val="21"/>
                <w:szCs w:val="21"/>
                <w:highlight w:val="none"/>
              </w:rPr>
            </w:pPr>
            <w:r>
              <w:rPr>
                <w:rFonts w:hint="eastAsia" w:ascii="宋体" w:hAnsi="宋体" w:cs="宋体"/>
                <w:color w:val="auto"/>
                <w:sz w:val="21"/>
                <w:szCs w:val="21"/>
                <w:highlight w:val="none"/>
              </w:rPr>
              <w:t>交货地点</w:t>
            </w:r>
          </w:p>
        </w:tc>
        <w:tc>
          <w:tcPr>
            <w:tcW w:w="5016" w:type="dxa"/>
            <w:tcBorders>
              <w:top w:val="single" w:color="auto" w:sz="4" w:space="0"/>
              <w:left w:val="single" w:color="auto" w:sz="4" w:space="0"/>
              <w:bottom w:val="single" w:color="auto" w:sz="4" w:space="0"/>
              <w:right w:val="single" w:color="auto" w:sz="4" w:space="0"/>
            </w:tcBorders>
          </w:tcPr>
          <w:p>
            <w:pPr>
              <w:pStyle w:val="52"/>
              <w:overflowPunct w:val="0"/>
              <w:spacing w:before="107"/>
              <w:rPr>
                <w:rFonts w:ascii="宋体" w:hAnsi="宋体" w:cs="宋体"/>
                <w:color w:val="auto"/>
                <w:sz w:val="21"/>
                <w:szCs w:val="21"/>
                <w:highlight w:val="none"/>
              </w:rPr>
            </w:pPr>
            <w:r>
              <w:rPr>
                <w:rFonts w:hint="eastAsia" w:ascii="宋体" w:hAnsi="宋体" w:cs="宋体"/>
                <w:color w:val="auto"/>
                <w:sz w:val="21"/>
                <w:szCs w:val="21"/>
                <w:highlight w:val="none"/>
              </w:rPr>
              <w:t>符合第二章“投标人须知”第</w:t>
            </w:r>
            <w:r>
              <w:rPr>
                <w:rFonts w:ascii="宋体" w:hAnsi="宋体" w:cs="宋体"/>
                <w:color w:val="auto"/>
                <w:spacing w:val="-78"/>
                <w:sz w:val="21"/>
                <w:szCs w:val="21"/>
                <w:highlight w:val="none"/>
              </w:rPr>
              <w:t xml:space="preserve"> </w:t>
            </w:r>
            <w:r>
              <w:rPr>
                <w:rFonts w:ascii="宋体" w:hAnsi="宋体" w:cs="宋体"/>
                <w:color w:val="auto"/>
                <w:sz w:val="21"/>
                <w:szCs w:val="21"/>
                <w:highlight w:val="none"/>
              </w:rPr>
              <w:t>1.3.3</w:t>
            </w:r>
            <w:r>
              <w:rPr>
                <w:rFonts w:ascii="宋体" w:hAnsi="宋体" w:cs="宋体"/>
                <w:color w:val="auto"/>
                <w:spacing w:val="-25"/>
                <w:sz w:val="21"/>
                <w:szCs w:val="21"/>
                <w:highlight w:val="none"/>
              </w:rPr>
              <w:t xml:space="preserve"> </w:t>
            </w:r>
            <w:r>
              <w:rPr>
                <w:rFonts w:hint="eastAsia" w:ascii="宋体" w:hAnsi="宋体" w:cs="宋体"/>
                <w:color w:val="auto"/>
                <w:sz w:val="21"/>
                <w:szCs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 w:type="dxa"/>
            <w:vMerge w:val="continue"/>
            <w:tcBorders>
              <w:top w:val="single" w:color="auto" w:sz="4" w:space="0"/>
              <w:left w:val="single" w:color="auto" w:sz="4" w:space="0"/>
              <w:bottom w:val="single" w:color="auto" w:sz="4" w:space="0"/>
              <w:right w:val="single" w:color="auto" w:sz="4" w:space="0"/>
            </w:tcBorders>
            <w:vAlign w:val="center"/>
          </w:tcPr>
          <w:p>
            <w:pPr>
              <w:pStyle w:val="52"/>
              <w:overflowPunct w:val="0"/>
              <w:spacing w:line="257" w:lineRule="exact"/>
              <w:ind w:left="103"/>
              <w:rPr>
                <w:rFonts w:ascii="宋体" w:hAnsi="宋体" w:cs="宋体"/>
                <w:color w:val="auto"/>
                <w:sz w:val="21"/>
                <w:szCs w:val="21"/>
                <w:highlight w:val="none"/>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pStyle w:val="52"/>
              <w:overflowPunct w:val="0"/>
              <w:spacing w:line="257" w:lineRule="exact"/>
              <w:ind w:left="103"/>
              <w:rPr>
                <w:rFonts w:ascii="宋体" w:hAnsi="宋体" w:cs="宋体"/>
                <w:color w:val="auto"/>
                <w:sz w:val="21"/>
                <w:szCs w:val="21"/>
                <w:highlight w:val="none"/>
              </w:rPr>
            </w:pPr>
          </w:p>
        </w:tc>
        <w:tc>
          <w:tcPr>
            <w:tcW w:w="2127" w:type="dxa"/>
            <w:tcBorders>
              <w:top w:val="single" w:color="auto" w:sz="4" w:space="0"/>
              <w:left w:val="single" w:color="auto" w:sz="4" w:space="0"/>
              <w:bottom w:val="single" w:color="auto" w:sz="4" w:space="0"/>
              <w:right w:val="single" w:color="auto" w:sz="4" w:space="0"/>
            </w:tcBorders>
          </w:tcPr>
          <w:p>
            <w:pPr>
              <w:pStyle w:val="52"/>
              <w:overflowPunct w:val="0"/>
              <w:spacing w:before="108"/>
              <w:rPr>
                <w:rFonts w:ascii="宋体" w:hAnsi="宋体" w:cs="宋体"/>
                <w:color w:val="auto"/>
                <w:sz w:val="21"/>
                <w:szCs w:val="21"/>
                <w:highlight w:val="none"/>
              </w:rPr>
            </w:pPr>
            <w:r>
              <w:rPr>
                <w:rFonts w:hint="eastAsia" w:ascii="宋体" w:hAnsi="宋体" w:cs="宋体"/>
                <w:color w:val="auto"/>
                <w:sz w:val="21"/>
                <w:szCs w:val="21"/>
                <w:highlight w:val="none"/>
              </w:rPr>
              <w:t>投标有效期</w:t>
            </w:r>
          </w:p>
        </w:tc>
        <w:tc>
          <w:tcPr>
            <w:tcW w:w="5016" w:type="dxa"/>
            <w:tcBorders>
              <w:top w:val="single" w:color="auto" w:sz="4" w:space="0"/>
              <w:left w:val="single" w:color="auto" w:sz="4" w:space="0"/>
              <w:bottom w:val="single" w:color="auto" w:sz="4" w:space="0"/>
              <w:right w:val="single" w:color="auto" w:sz="4" w:space="0"/>
            </w:tcBorders>
          </w:tcPr>
          <w:p>
            <w:pPr>
              <w:pStyle w:val="52"/>
              <w:overflowPunct w:val="0"/>
              <w:spacing w:before="108"/>
              <w:rPr>
                <w:rFonts w:ascii="宋体" w:hAnsi="宋体" w:cs="宋体"/>
                <w:color w:val="auto"/>
                <w:sz w:val="21"/>
                <w:szCs w:val="21"/>
                <w:highlight w:val="none"/>
              </w:rPr>
            </w:pPr>
            <w:r>
              <w:rPr>
                <w:rFonts w:hint="eastAsia" w:ascii="宋体" w:hAnsi="宋体" w:cs="宋体"/>
                <w:color w:val="auto"/>
                <w:sz w:val="21"/>
                <w:szCs w:val="21"/>
                <w:highlight w:val="none"/>
              </w:rPr>
              <w:t>符合第二章“投标人须知”第</w:t>
            </w:r>
            <w:r>
              <w:rPr>
                <w:rFonts w:ascii="宋体" w:hAnsi="宋体" w:cs="宋体"/>
                <w:color w:val="auto"/>
                <w:spacing w:val="-78"/>
                <w:sz w:val="21"/>
                <w:szCs w:val="21"/>
                <w:highlight w:val="none"/>
              </w:rPr>
              <w:t xml:space="preserve"> </w:t>
            </w:r>
            <w:r>
              <w:rPr>
                <w:rFonts w:ascii="宋体" w:hAnsi="宋体" w:cs="宋体"/>
                <w:color w:val="auto"/>
                <w:sz w:val="21"/>
                <w:szCs w:val="21"/>
                <w:highlight w:val="none"/>
              </w:rPr>
              <w:t>3.3.1</w:t>
            </w:r>
            <w:r>
              <w:rPr>
                <w:rFonts w:ascii="宋体" w:hAnsi="宋体" w:cs="宋体"/>
                <w:color w:val="auto"/>
                <w:spacing w:val="-25"/>
                <w:sz w:val="21"/>
                <w:szCs w:val="21"/>
                <w:highlight w:val="none"/>
              </w:rPr>
              <w:t xml:space="preserve"> </w:t>
            </w:r>
            <w:r>
              <w:rPr>
                <w:rFonts w:hint="eastAsia" w:ascii="宋体" w:hAnsi="宋体" w:cs="宋体"/>
                <w:color w:val="auto"/>
                <w:sz w:val="21"/>
                <w:szCs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 w:type="dxa"/>
            <w:vMerge w:val="continue"/>
            <w:tcBorders>
              <w:top w:val="single" w:color="auto" w:sz="4" w:space="0"/>
              <w:left w:val="single" w:color="auto" w:sz="4" w:space="0"/>
              <w:bottom w:val="single" w:color="auto" w:sz="4" w:space="0"/>
              <w:right w:val="single" w:color="auto" w:sz="4" w:space="0"/>
            </w:tcBorders>
            <w:vAlign w:val="center"/>
          </w:tcPr>
          <w:p>
            <w:pPr>
              <w:pStyle w:val="52"/>
              <w:overflowPunct w:val="0"/>
              <w:spacing w:line="257" w:lineRule="exact"/>
              <w:ind w:left="103"/>
              <w:rPr>
                <w:rFonts w:ascii="宋体" w:hAnsi="宋体" w:cs="宋体"/>
                <w:color w:val="auto"/>
                <w:sz w:val="21"/>
                <w:szCs w:val="21"/>
                <w:highlight w:val="none"/>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pStyle w:val="52"/>
              <w:overflowPunct w:val="0"/>
              <w:spacing w:line="257" w:lineRule="exact"/>
              <w:ind w:left="103"/>
              <w:rPr>
                <w:rFonts w:ascii="宋体" w:hAnsi="宋体" w:cs="宋体"/>
                <w:color w:val="auto"/>
                <w:sz w:val="21"/>
                <w:szCs w:val="21"/>
                <w:highlight w:val="none"/>
              </w:rPr>
            </w:pPr>
          </w:p>
        </w:tc>
        <w:tc>
          <w:tcPr>
            <w:tcW w:w="2127" w:type="dxa"/>
            <w:tcBorders>
              <w:top w:val="single" w:color="auto" w:sz="4" w:space="0"/>
              <w:left w:val="single" w:color="auto" w:sz="4" w:space="0"/>
              <w:bottom w:val="single" w:color="auto" w:sz="4" w:space="0"/>
              <w:right w:val="single" w:color="auto" w:sz="4" w:space="0"/>
            </w:tcBorders>
          </w:tcPr>
          <w:p>
            <w:pPr>
              <w:pStyle w:val="52"/>
              <w:overflowPunct w:val="0"/>
              <w:spacing w:before="107"/>
              <w:rPr>
                <w:rFonts w:ascii="宋体" w:hAnsi="宋体" w:cs="宋体"/>
                <w:color w:val="auto"/>
                <w:sz w:val="21"/>
                <w:szCs w:val="21"/>
                <w:highlight w:val="none"/>
              </w:rPr>
            </w:pPr>
            <w:r>
              <w:rPr>
                <w:rFonts w:hint="eastAsia" w:ascii="宋体" w:hAnsi="宋体" w:cs="宋体"/>
                <w:color w:val="auto"/>
                <w:sz w:val="21"/>
                <w:szCs w:val="21"/>
                <w:highlight w:val="none"/>
              </w:rPr>
              <w:t>投标保证金</w:t>
            </w:r>
          </w:p>
        </w:tc>
        <w:tc>
          <w:tcPr>
            <w:tcW w:w="5016" w:type="dxa"/>
            <w:tcBorders>
              <w:top w:val="single" w:color="auto" w:sz="4" w:space="0"/>
              <w:left w:val="single" w:color="auto" w:sz="4" w:space="0"/>
              <w:bottom w:val="single" w:color="auto" w:sz="4" w:space="0"/>
              <w:right w:val="single" w:color="auto" w:sz="4" w:space="0"/>
            </w:tcBorders>
          </w:tcPr>
          <w:p>
            <w:pPr>
              <w:pStyle w:val="52"/>
              <w:overflowPunct w:val="0"/>
              <w:spacing w:before="107"/>
              <w:rPr>
                <w:rFonts w:ascii="宋体" w:hAnsi="宋体" w:cs="宋体"/>
                <w:color w:val="auto"/>
                <w:sz w:val="21"/>
                <w:szCs w:val="21"/>
                <w:highlight w:val="none"/>
              </w:rPr>
            </w:pPr>
            <w:r>
              <w:rPr>
                <w:rFonts w:hint="eastAsia" w:ascii="宋体" w:hAnsi="宋体" w:cs="宋体"/>
                <w:color w:val="auto"/>
                <w:sz w:val="21"/>
                <w:szCs w:val="21"/>
                <w:highlight w:val="none"/>
              </w:rPr>
              <w:t>符合第二章“投标人须知”第</w:t>
            </w:r>
            <w:r>
              <w:rPr>
                <w:rFonts w:ascii="宋体" w:hAnsi="宋体" w:cs="宋体"/>
                <w:color w:val="auto"/>
                <w:spacing w:val="-78"/>
                <w:sz w:val="21"/>
                <w:szCs w:val="21"/>
                <w:highlight w:val="none"/>
              </w:rPr>
              <w:t xml:space="preserve"> </w:t>
            </w:r>
            <w:r>
              <w:rPr>
                <w:rFonts w:ascii="宋体" w:hAnsi="宋体" w:cs="宋体"/>
                <w:color w:val="auto"/>
                <w:sz w:val="21"/>
                <w:szCs w:val="21"/>
                <w:highlight w:val="none"/>
              </w:rPr>
              <w:t>3.4.1</w:t>
            </w:r>
            <w:r>
              <w:rPr>
                <w:rFonts w:ascii="宋体" w:hAnsi="宋体" w:cs="宋体"/>
                <w:color w:val="auto"/>
                <w:spacing w:val="-25"/>
                <w:sz w:val="21"/>
                <w:szCs w:val="21"/>
                <w:highlight w:val="none"/>
              </w:rPr>
              <w:t xml:space="preserve"> </w:t>
            </w:r>
            <w:r>
              <w:rPr>
                <w:rFonts w:hint="eastAsia" w:ascii="宋体" w:hAnsi="宋体" w:cs="宋体"/>
                <w:color w:val="auto"/>
                <w:sz w:val="21"/>
                <w:szCs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9" w:hRule="atLeast"/>
        </w:trPr>
        <w:tc>
          <w:tcPr>
            <w:tcW w:w="2038" w:type="dxa"/>
            <w:gridSpan w:val="2"/>
            <w:tcBorders>
              <w:top w:val="single" w:color="auto" w:sz="4" w:space="0"/>
            </w:tcBorders>
            <w:vAlign w:val="center"/>
          </w:tcPr>
          <w:p>
            <w:pPr>
              <w:pStyle w:val="52"/>
              <w:overflowPunct w:val="0"/>
              <w:spacing w:before="127"/>
              <w:jc w:val="both"/>
              <w:rPr>
                <w:rFonts w:ascii="宋体" w:hAnsi="宋体" w:cs="宋体"/>
                <w:color w:val="auto"/>
                <w:sz w:val="21"/>
                <w:szCs w:val="21"/>
                <w:highlight w:val="none"/>
              </w:rPr>
            </w:pPr>
            <w:r>
              <w:rPr>
                <w:rFonts w:ascii="宋体" w:hAnsi="宋体" w:cs="宋体"/>
                <w:color w:val="auto"/>
                <w:sz w:val="21"/>
                <w:szCs w:val="21"/>
                <w:highlight w:val="none"/>
              </w:rPr>
              <w:t>3.1.3</w:t>
            </w:r>
          </w:p>
        </w:tc>
        <w:tc>
          <w:tcPr>
            <w:tcW w:w="2127" w:type="dxa"/>
            <w:tcBorders>
              <w:top w:val="single" w:color="auto" w:sz="4" w:space="0"/>
            </w:tcBorders>
            <w:vAlign w:val="center"/>
          </w:tcPr>
          <w:p>
            <w:pPr>
              <w:pStyle w:val="52"/>
              <w:overflowPunct w:val="0"/>
              <w:spacing w:line="360" w:lineRule="exact"/>
              <w:jc w:val="both"/>
              <w:rPr>
                <w:rFonts w:ascii="宋体" w:hAnsi="宋体" w:cs="宋体"/>
                <w:color w:val="auto"/>
                <w:sz w:val="21"/>
                <w:szCs w:val="21"/>
                <w:highlight w:val="none"/>
              </w:rPr>
            </w:pPr>
            <w:r>
              <w:rPr>
                <w:rFonts w:hint="eastAsia" w:ascii="宋体" w:hAnsi="宋体" w:cs="宋体"/>
                <w:color w:val="auto"/>
                <w:sz w:val="21"/>
                <w:szCs w:val="21"/>
                <w:highlight w:val="none"/>
              </w:rPr>
              <w:t>算术校核</w:t>
            </w:r>
          </w:p>
        </w:tc>
        <w:tc>
          <w:tcPr>
            <w:tcW w:w="5016" w:type="dxa"/>
            <w:tcBorders>
              <w:top w:val="single" w:color="auto" w:sz="4" w:space="0"/>
            </w:tcBorders>
            <w:vAlign w:val="center"/>
          </w:tcPr>
          <w:p>
            <w:pPr>
              <w:pStyle w:val="52"/>
              <w:overflowPunct w:val="0"/>
              <w:spacing w:line="360" w:lineRule="exact"/>
              <w:jc w:val="both"/>
              <w:rPr>
                <w:rFonts w:ascii="宋体" w:hAnsi="宋体" w:cs="宋体"/>
                <w:color w:val="auto"/>
                <w:sz w:val="21"/>
                <w:szCs w:val="21"/>
                <w:highlight w:val="none"/>
              </w:rPr>
            </w:pPr>
            <w:r>
              <w:rPr>
                <w:rFonts w:ascii="宋体" w:hAnsi="宋体" w:cs="宋体"/>
                <w:color w:val="auto"/>
                <w:sz w:val="21"/>
                <w:szCs w:val="21"/>
                <w:highlight w:val="none"/>
              </w:rPr>
              <w:t>增加以下条款：</w:t>
            </w:r>
          </w:p>
          <w:p>
            <w:pPr>
              <w:pStyle w:val="52"/>
              <w:overflowPunct w:val="0"/>
              <w:spacing w:line="360" w:lineRule="exact"/>
              <w:jc w:val="both"/>
              <w:rPr>
                <w:rFonts w:ascii="宋体" w:hAnsi="宋体" w:cs="宋体"/>
                <w:color w:val="auto"/>
                <w:sz w:val="21"/>
                <w:szCs w:val="21"/>
                <w:highlight w:val="none"/>
              </w:rPr>
            </w:pPr>
            <w:r>
              <w:rPr>
                <w:rFonts w:ascii="宋体" w:hAnsi="宋体" w:cs="宋体"/>
                <w:color w:val="auto"/>
                <w:sz w:val="21"/>
                <w:szCs w:val="21"/>
                <w:highlight w:val="none"/>
              </w:rPr>
              <w:t>（5）当修正后的报价小于原投标报价，中标价按修正后的报价执行；当修正后的报价大于原投标报价，中标价按原报价执行</w:t>
            </w:r>
            <w:r>
              <w:rPr>
                <w:rFonts w:hint="eastAsia" w:ascii="宋体" w:hAnsi="宋体" w:cs="宋体"/>
                <w:color w:val="auto"/>
                <w:sz w:val="21"/>
                <w:szCs w:val="21"/>
                <w:highlight w:val="none"/>
              </w:rPr>
              <w:t>；</w:t>
            </w:r>
          </w:p>
          <w:p>
            <w:pPr>
              <w:pStyle w:val="52"/>
              <w:overflowPunct w:val="0"/>
              <w:spacing w:line="360" w:lineRule="exact"/>
              <w:jc w:val="both"/>
              <w:rPr>
                <w:rFonts w:ascii="宋体" w:hAnsi="宋体" w:cs="宋体"/>
                <w:color w:val="auto"/>
                <w:sz w:val="21"/>
                <w:szCs w:val="21"/>
                <w:highlight w:val="none"/>
              </w:rPr>
            </w:pPr>
            <w:r>
              <w:rPr>
                <w:rFonts w:ascii="宋体" w:hAnsi="宋体" w:cs="宋体"/>
                <w:color w:val="auto"/>
                <w:sz w:val="21"/>
                <w:szCs w:val="21"/>
                <w:highlight w:val="none"/>
              </w:rPr>
              <w:t>（6）投标报价评审以投标人修正后的价格进行</w:t>
            </w:r>
            <w:r>
              <w:rPr>
                <w:rFonts w:hint="eastAsia" w:ascii="宋体" w:hAnsi="宋体" w:cs="宋体"/>
                <w:color w:val="auto"/>
                <w:sz w:val="21"/>
                <w:szCs w:val="21"/>
                <w:highlight w:val="none"/>
              </w:rPr>
              <w:t>；</w:t>
            </w:r>
          </w:p>
          <w:p>
            <w:pPr>
              <w:pStyle w:val="52"/>
              <w:overflowPunct w:val="0"/>
              <w:spacing w:line="360" w:lineRule="exact"/>
              <w:jc w:val="both"/>
              <w:rPr>
                <w:rFonts w:ascii="宋体" w:hAnsi="宋体" w:cs="宋体"/>
                <w:color w:val="auto"/>
                <w:sz w:val="21"/>
                <w:szCs w:val="21"/>
                <w:highlight w:val="none"/>
              </w:rPr>
            </w:pPr>
            <w:r>
              <w:rPr>
                <w:rFonts w:ascii="宋体" w:hAnsi="宋体" w:cs="宋体"/>
                <w:color w:val="auto"/>
                <w:sz w:val="21"/>
                <w:szCs w:val="21"/>
                <w:highlight w:val="none"/>
              </w:rPr>
              <w:t>（7）如果投标人不接受修正后的价格，评标委员会应当否决其投标。</w:t>
            </w:r>
          </w:p>
        </w:tc>
      </w:tr>
    </w:tbl>
    <w:p>
      <w:pPr>
        <w:pStyle w:val="7"/>
        <w:overflowPunct w:val="0"/>
        <w:snapToGrid w:val="0"/>
        <w:spacing w:before="78" w:line="360" w:lineRule="auto"/>
        <w:jc w:val="both"/>
        <w:rPr>
          <w:rFonts w:ascii="宋体" w:hAnsi="宋体" w:eastAsia="宋体" w:cs="宋体"/>
          <w:b w:val="0"/>
          <w:color w:val="auto"/>
          <w:sz w:val="30"/>
          <w:highlight w:val="none"/>
        </w:rPr>
      </w:pPr>
      <w:bookmarkStart w:id="133" w:name="bookmark83"/>
      <w:bookmarkEnd w:id="133"/>
      <w:bookmarkStart w:id="134" w:name="_Toc27047"/>
      <w:bookmarkStart w:id="135" w:name="_Toc24062"/>
      <w:r>
        <w:rPr>
          <w:rFonts w:ascii="宋体" w:hAnsi="宋体" w:eastAsia="宋体" w:cs="宋体"/>
          <w:color w:val="auto"/>
          <w:szCs w:val="22"/>
          <w:highlight w:val="none"/>
        </w:rPr>
        <w:br w:type="page"/>
      </w:r>
      <w:bookmarkStart w:id="136" w:name="_Toc83210324"/>
      <w:r>
        <w:rPr>
          <w:rFonts w:ascii="宋体" w:hAnsi="宋体" w:eastAsia="宋体" w:cs="宋体"/>
          <w:color w:val="auto"/>
          <w:szCs w:val="22"/>
          <w:highlight w:val="none"/>
        </w:rPr>
        <w:t xml:space="preserve">1. </w:t>
      </w:r>
      <w:r>
        <w:rPr>
          <w:rFonts w:hint="eastAsia" w:ascii="宋体" w:hAnsi="宋体" w:eastAsia="宋体" w:cs="宋体"/>
          <w:color w:val="auto"/>
          <w:szCs w:val="22"/>
          <w:highlight w:val="none"/>
        </w:rPr>
        <w:t>评标方法</w:t>
      </w:r>
      <w:bookmarkEnd w:id="134"/>
      <w:bookmarkEnd w:id="135"/>
      <w:bookmarkEnd w:id="136"/>
    </w:p>
    <w:p>
      <w:pPr>
        <w:pStyle w:val="15"/>
        <w:overflowPunct w:val="0"/>
        <w:snapToGrid w:val="0"/>
        <w:spacing w:line="360" w:lineRule="auto"/>
        <w:ind w:right="113" w:firstLine="419"/>
        <w:rPr>
          <w:rFonts w:hint="default" w:cs="宋体"/>
          <w:color w:val="auto"/>
          <w:szCs w:val="22"/>
          <w:highlight w:val="none"/>
          <w:u w:val="single"/>
        </w:rPr>
      </w:pPr>
      <w:r>
        <w:rPr>
          <w:rFonts w:cs="宋体"/>
          <w:color w:val="auto"/>
          <w:szCs w:val="22"/>
          <w:highlight w:val="none"/>
          <w:u w:val="single"/>
        </w:rPr>
        <w:t>本次评标采用“评定分离”，评标办法为定性评审法。中标候选人推荐的方法及定标方式按照评标办法前附表的规定进行。</w:t>
      </w:r>
    </w:p>
    <w:p>
      <w:pPr>
        <w:pStyle w:val="7"/>
        <w:overflowPunct w:val="0"/>
        <w:snapToGrid w:val="0"/>
        <w:spacing w:before="78" w:line="360" w:lineRule="auto"/>
        <w:jc w:val="both"/>
        <w:rPr>
          <w:rFonts w:ascii="宋体" w:hAnsi="宋体" w:eastAsia="宋体" w:cs="宋体"/>
          <w:b w:val="0"/>
          <w:color w:val="auto"/>
          <w:sz w:val="30"/>
          <w:highlight w:val="none"/>
        </w:rPr>
      </w:pPr>
      <w:bookmarkStart w:id="137" w:name="bookmark84"/>
      <w:bookmarkEnd w:id="137"/>
      <w:bookmarkStart w:id="138" w:name="_Toc2017"/>
      <w:bookmarkStart w:id="139" w:name="_Toc83210325"/>
      <w:bookmarkStart w:id="140" w:name="_Toc25293"/>
      <w:r>
        <w:rPr>
          <w:rFonts w:ascii="宋体" w:hAnsi="宋体" w:eastAsia="宋体" w:cs="宋体"/>
          <w:color w:val="auto"/>
          <w:szCs w:val="22"/>
          <w:highlight w:val="none"/>
        </w:rPr>
        <w:t xml:space="preserve">2. </w:t>
      </w:r>
      <w:r>
        <w:rPr>
          <w:rFonts w:hint="eastAsia" w:ascii="宋体" w:hAnsi="宋体" w:eastAsia="宋体" w:cs="宋体"/>
          <w:color w:val="auto"/>
          <w:szCs w:val="22"/>
          <w:highlight w:val="none"/>
        </w:rPr>
        <w:t>评审标准</w:t>
      </w:r>
      <w:bookmarkEnd w:id="138"/>
      <w:bookmarkEnd w:id="139"/>
      <w:bookmarkEnd w:id="140"/>
    </w:p>
    <w:p>
      <w:pPr>
        <w:pStyle w:val="8"/>
        <w:rPr>
          <w:rFonts w:hint="default" w:cs="宋体"/>
          <w:bCs/>
          <w:color w:val="auto"/>
          <w:szCs w:val="28"/>
          <w:highlight w:val="none"/>
        </w:rPr>
      </w:pPr>
      <w:bookmarkStart w:id="141" w:name="bookmark85"/>
      <w:bookmarkEnd w:id="141"/>
      <w:bookmarkStart w:id="142" w:name="_Toc597"/>
      <w:bookmarkStart w:id="143" w:name="_Toc4436"/>
      <w:r>
        <w:rPr>
          <w:rFonts w:hint="default" w:cs="宋体"/>
          <w:b/>
          <w:bCs/>
          <w:color w:val="auto"/>
          <w:szCs w:val="28"/>
          <w:highlight w:val="none"/>
        </w:rPr>
        <w:t>2.1 初步</w:t>
      </w:r>
      <w:r>
        <w:rPr>
          <w:rFonts w:hint="cs" w:cs="宋体"/>
          <w:b/>
          <w:bCs/>
          <w:color w:val="auto"/>
          <w:szCs w:val="28"/>
          <w:highlight w:val="none"/>
          <w:cs/>
        </w:rPr>
        <w:t>评审标</w:t>
      </w:r>
      <w:r>
        <w:rPr>
          <w:rFonts w:hint="default" w:cs="宋体"/>
          <w:b/>
          <w:bCs/>
          <w:color w:val="auto"/>
          <w:szCs w:val="28"/>
          <w:highlight w:val="none"/>
        </w:rPr>
        <w:t>准</w:t>
      </w:r>
      <w:bookmarkEnd w:id="142"/>
      <w:bookmarkEnd w:id="143"/>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2.1.1 </w:t>
      </w:r>
      <w:r>
        <w:rPr>
          <w:rFonts w:cs="宋体"/>
          <w:color w:val="auto"/>
          <w:szCs w:val="22"/>
          <w:highlight w:val="none"/>
        </w:rPr>
        <w:t>形式评审标准：见评标办法前附表。</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2.1.2 </w:t>
      </w:r>
      <w:r>
        <w:rPr>
          <w:rFonts w:cs="宋体"/>
          <w:color w:val="auto"/>
          <w:szCs w:val="22"/>
          <w:highlight w:val="none"/>
        </w:rPr>
        <w:t>资格评审标准：见评标办法前附表。</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2.1.3 </w:t>
      </w:r>
      <w:r>
        <w:rPr>
          <w:rFonts w:cs="宋体"/>
          <w:color w:val="auto"/>
          <w:szCs w:val="22"/>
          <w:highlight w:val="none"/>
        </w:rPr>
        <w:t>响应性评审标准：见评标办法前附表。</w:t>
      </w:r>
    </w:p>
    <w:p>
      <w:pPr>
        <w:pStyle w:val="7"/>
        <w:overflowPunct w:val="0"/>
        <w:snapToGrid w:val="0"/>
        <w:spacing w:before="78" w:line="360" w:lineRule="auto"/>
        <w:jc w:val="both"/>
        <w:rPr>
          <w:rFonts w:ascii="宋体" w:hAnsi="宋体" w:eastAsia="宋体" w:cs="宋体"/>
          <w:b w:val="0"/>
          <w:color w:val="auto"/>
          <w:sz w:val="30"/>
          <w:highlight w:val="none"/>
        </w:rPr>
      </w:pPr>
      <w:bookmarkStart w:id="144" w:name="bookmark86"/>
      <w:bookmarkEnd w:id="144"/>
      <w:bookmarkStart w:id="145" w:name="_Toc83210326"/>
      <w:bookmarkStart w:id="146" w:name="_Toc12967"/>
      <w:bookmarkStart w:id="147" w:name="_Toc4921"/>
      <w:r>
        <w:rPr>
          <w:rFonts w:ascii="宋体" w:hAnsi="宋体" w:eastAsia="宋体" w:cs="宋体"/>
          <w:color w:val="auto"/>
          <w:szCs w:val="22"/>
          <w:highlight w:val="none"/>
        </w:rPr>
        <w:t xml:space="preserve">3. </w:t>
      </w:r>
      <w:r>
        <w:rPr>
          <w:rFonts w:hint="eastAsia" w:ascii="宋体" w:hAnsi="宋体" w:eastAsia="宋体" w:cs="宋体"/>
          <w:color w:val="auto"/>
          <w:szCs w:val="22"/>
          <w:highlight w:val="none"/>
        </w:rPr>
        <w:t>评标程序</w:t>
      </w:r>
      <w:bookmarkEnd w:id="145"/>
      <w:bookmarkEnd w:id="146"/>
      <w:bookmarkEnd w:id="147"/>
    </w:p>
    <w:p>
      <w:pPr>
        <w:pStyle w:val="8"/>
        <w:rPr>
          <w:rFonts w:hint="default" w:cs="宋体"/>
          <w:bCs/>
          <w:color w:val="auto"/>
          <w:szCs w:val="28"/>
          <w:highlight w:val="none"/>
        </w:rPr>
      </w:pPr>
      <w:bookmarkStart w:id="148" w:name="bookmark88"/>
      <w:bookmarkEnd w:id="148"/>
      <w:bookmarkStart w:id="149" w:name="_Toc9735"/>
      <w:bookmarkStart w:id="150" w:name="_Toc1130"/>
      <w:r>
        <w:rPr>
          <w:rFonts w:hint="default" w:cs="宋体"/>
          <w:b/>
          <w:bCs/>
          <w:color w:val="auto"/>
          <w:szCs w:val="28"/>
          <w:highlight w:val="none"/>
        </w:rPr>
        <w:t>3.1 初步</w:t>
      </w:r>
      <w:r>
        <w:rPr>
          <w:rFonts w:hint="cs" w:cs="宋体"/>
          <w:b/>
          <w:bCs/>
          <w:color w:val="auto"/>
          <w:szCs w:val="28"/>
          <w:highlight w:val="none"/>
          <w:cs/>
        </w:rPr>
        <w:t>评审</w:t>
      </w:r>
      <w:bookmarkEnd w:id="149"/>
      <w:bookmarkEnd w:id="150"/>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3.1.1评标委员会依据本章第 2.1 </w:t>
      </w:r>
      <w:r>
        <w:rPr>
          <w:rFonts w:cs="宋体"/>
          <w:color w:val="auto"/>
          <w:szCs w:val="22"/>
          <w:highlight w:val="none"/>
        </w:rPr>
        <w:t>款规定的标准对投标文件进行初步评审。有一项不符合评审标准的，评标委员会应当否决其投标。</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 xml:space="preserve">3.1.2 </w:t>
      </w:r>
      <w:r>
        <w:rPr>
          <w:rFonts w:cs="宋体"/>
          <w:color w:val="auto"/>
          <w:szCs w:val="22"/>
          <w:highlight w:val="none"/>
        </w:rPr>
        <w:t>投标人有以下情形之一的，评标委员会应当否决其投标：</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1）投标文件没有对招标文件的实质性要求和条件</w:t>
      </w:r>
      <w:r>
        <w:rPr>
          <w:rFonts w:cs="宋体"/>
          <w:color w:val="auto"/>
          <w:szCs w:val="22"/>
          <w:highlight w:val="none"/>
        </w:rPr>
        <w:t>作出响应，或者对招标文件的偏差超出招标文件规定的偏差范围或最高项数；</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2）有串通投标、弄虚作假、行贿等违法行为。</w:t>
      </w:r>
    </w:p>
    <w:p>
      <w:pPr>
        <w:pStyle w:val="15"/>
        <w:overflowPunct w:val="0"/>
        <w:snapToGrid w:val="0"/>
        <w:spacing w:line="360" w:lineRule="auto"/>
        <w:ind w:left="102" w:right="113" w:firstLine="420"/>
        <w:rPr>
          <w:rFonts w:hint="default" w:cs="宋体"/>
          <w:color w:val="auto"/>
          <w:szCs w:val="22"/>
          <w:highlight w:val="none"/>
        </w:rPr>
      </w:pPr>
      <w:r>
        <w:rPr>
          <w:rFonts w:hint="default" w:cs="宋体"/>
          <w:color w:val="auto"/>
          <w:szCs w:val="22"/>
          <w:highlight w:val="none"/>
        </w:rPr>
        <w:t xml:space="preserve">3.1.3 </w:t>
      </w:r>
      <w:r>
        <w:rPr>
          <w:rFonts w:cs="宋体"/>
          <w:color w:val="auto"/>
          <w:szCs w:val="22"/>
          <w:highlight w:val="none"/>
        </w:rPr>
        <w:t>投标报价有算术错误及其他错误的，评标委员会按以下原则要求投标人对投标报价进行修正，并要求投标人书面澄清确认。投标人拒不澄清确认的，评标委员会应当否决其投标：</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1）投标文件中的大写金额与小写金额不一致的，以大写金额为准；</w:t>
      </w:r>
    </w:p>
    <w:p>
      <w:pPr>
        <w:pStyle w:val="15"/>
        <w:overflowPunct w:val="0"/>
        <w:snapToGrid w:val="0"/>
        <w:spacing w:line="360" w:lineRule="auto"/>
        <w:ind w:right="29"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2）总价金额与单价金额不一致的，以单价金额为准，但单价金额小数点有明显错误的除外；</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3）投标报价为各分项报价金额之和，投标报价与分项报价的合价不一致的，应以各分项合价累计数为准，修正投标报价；</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4）如果分项报价中存在缺漏项，则视为缺漏</w:t>
      </w:r>
      <w:r>
        <w:rPr>
          <w:rFonts w:cs="宋体"/>
          <w:color w:val="auto"/>
          <w:szCs w:val="22"/>
          <w:highlight w:val="none"/>
        </w:rPr>
        <w:t>项价格已包含在其他分项报价之中；</w:t>
      </w:r>
    </w:p>
    <w:p>
      <w:pPr>
        <w:pStyle w:val="15"/>
        <w:overflowPunct w:val="0"/>
        <w:snapToGrid w:val="0"/>
        <w:spacing w:line="360" w:lineRule="auto"/>
        <w:ind w:right="113" w:firstLine="419"/>
        <w:rPr>
          <w:rFonts w:hint="default" w:cs="宋体"/>
          <w:color w:val="auto"/>
          <w:szCs w:val="22"/>
          <w:highlight w:val="none"/>
          <w:u w:val="single"/>
        </w:rPr>
      </w:pPr>
      <w:r>
        <w:rPr>
          <w:rFonts w:cs="宋体"/>
          <w:color w:val="auto"/>
          <w:szCs w:val="22"/>
          <w:highlight w:val="none"/>
          <w:u w:val="single"/>
        </w:rPr>
        <w:t>（5）当修正后的报价小于原投标报价，中标价按修正后的报价执行；当修正后的报价大于原投标报价，中标价按原报价执行；</w:t>
      </w:r>
    </w:p>
    <w:p>
      <w:pPr>
        <w:pStyle w:val="15"/>
        <w:overflowPunct w:val="0"/>
        <w:snapToGrid w:val="0"/>
        <w:spacing w:line="360" w:lineRule="auto"/>
        <w:ind w:right="113" w:firstLine="419"/>
        <w:rPr>
          <w:rFonts w:hint="default" w:cs="宋体"/>
          <w:color w:val="auto"/>
          <w:szCs w:val="22"/>
          <w:highlight w:val="none"/>
          <w:u w:val="single"/>
        </w:rPr>
      </w:pPr>
      <w:r>
        <w:rPr>
          <w:rFonts w:cs="宋体"/>
          <w:color w:val="auto"/>
          <w:szCs w:val="22"/>
          <w:highlight w:val="none"/>
          <w:u w:val="single"/>
        </w:rPr>
        <w:t>（6）投标报价评审以投标人修正后的价格进行；</w:t>
      </w:r>
    </w:p>
    <w:p>
      <w:pPr>
        <w:pStyle w:val="15"/>
        <w:overflowPunct w:val="0"/>
        <w:snapToGrid w:val="0"/>
        <w:spacing w:line="360" w:lineRule="auto"/>
        <w:ind w:right="113" w:firstLine="419"/>
        <w:rPr>
          <w:rFonts w:hint="default" w:cs="宋体"/>
          <w:color w:val="auto"/>
          <w:szCs w:val="22"/>
          <w:highlight w:val="none"/>
          <w:u w:val="single"/>
        </w:rPr>
      </w:pPr>
      <w:r>
        <w:rPr>
          <w:rFonts w:cs="宋体"/>
          <w:color w:val="auto"/>
          <w:szCs w:val="22"/>
          <w:highlight w:val="none"/>
          <w:u w:val="single"/>
        </w:rPr>
        <w:t>（7）如果投标人不接受修正后的价格，评标委员会应当否决其投标。</w:t>
      </w:r>
    </w:p>
    <w:p>
      <w:pPr>
        <w:pStyle w:val="8"/>
        <w:rPr>
          <w:rFonts w:hint="default" w:cs="宋体"/>
          <w:bCs/>
          <w:color w:val="auto"/>
          <w:szCs w:val="28"/>
          <w:highlight w:val="none"/>
        </w:rPr>
      </w:pPr>
      <w:bookmarkStart w:id="151" w:name="bookmark90"/>
      <w:bookmarkEnd w:id="151"/>
      <w:bookmarkStart w:id="152" w:name="bookmark89"/>
      <w:bookmarkEnd w:id="152"/>
      <w:bookmarkStart w:id="153" w:name="_Toc1523"/>
      <w:bookmarkStart w:id="154" w:name="_Toc27706"/>
      <w:r>
        <w:rPr>
          <w:rFonts w:hint="default" w:cs="宋体"/>
          <w:b/>
          <w:bCs/>
          <w:color w:val="auto"/>
          <w:szCs w:val="28"/>
          <w:highlight w:val="none"/>
        </w:rPr>
        <w:t>3.</w:t>
      </w:r>
      <w:r>
        <w:rPr>
          <w:rFonts w:cs="宋体"/>
          <w:b/>
          <w:bCs/>
          <w:color w:val="auto"/>
          <w:szCs w:val="28"/>
          <w:highlight w:val="none"/>
        </w:rPr>
        <w:t xml:space="preserve">2 </w:t>
      </w:r>
      <w:r>
        <w:rPr>
          <w:rFonts w:hint="default" w:cs="宋体"/>
          <w:b/>
          <w:bCs/>
          <w:color w:val="auto"/>
          <w:szCs w:val="28"/>
          <w:highlight w:val="none"/>
        </w:rPr>
        <w:t>投</w:t>
      </w:r>
      <w:r>
        <w:rPr>
          <w:rFonts w:hint="cs" w:cs="宋体"/>
          <w:b/>
          <w:bCs/>
          <w:color w:val="auto"/>
          <w:szCs w:val="28"/>
          <w:highlight w:val="none"/>
          <w:cs/>
        </w:rPr>
        <w:t>标</w:t>
      </w:r>
      <w:r>
        <w:rPr>
          <w:rFonts w:hint="default" w:cs="宋体"/>
          <w:b/>
          <w:bCs/>
          <w:color w:val="auto"/>
          <w:szCs w:val="28"/>
          <w:highlight w:val="none"/>
        </w:rPr>
        <w:t>文件的澄清</w:t>
      </w:r>
      <w:bookmarkEnd w:id="153"/>
      <w:bookmarkEnd w:id="154"/>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3.</w:t>
      </w:r>
      <w:r>
        <w:rPr>
          <w:rFonts w:cs="宋体"/>
          <w:color w:val="auto"/>
          <w:szCs w:val="22"/>
          <w:highlight w:val="none"/>
        </w:rPr>
        <w:t>2</w:t>
      </w:r>
      <w:r>
        <w:rPr>
          <w:rFonts w:hint="default" w:cs="宋体"/>
          <w:color w:val="auto"/>
          <w:szCs w:val="22"/>
          <w:highlight w:val="none"/>
        </w:rPr>
        <w:t xml:space="preserve">.1 </w:t>
      </w:r>
      <w:r>
        <w:rPr>
          <w:rFonts w:cs="宋体"/>
          <w:color w:val="auto"/>
          <w:szCs w:val="22"/>
          <w:highlight w:val="none"/>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3.</w:t>
      </w:r>
      <w:r>
        <w:rPr>
          <w:rFonts w:cs="宋体"/>
          <w:color w:val="auto"/>
          <w:szCs w:val="22"/>
          <w:highlight w:val="none"/>
        </w:rPr>
        <w:t>2</w:t>
      </w:r>
      <w:r>
        <w:rPr>
          <w:rFonts w:hint="default" w:cs="宋体"/>
          <w:color w:val="auto"/>
          <w:szCs w:val="22"/>
          <w:highlight w:val="none"/>
        </w:rPr>
        <w:t xml:space="preserve">.2 </w:t>
      </w:r>
      <w:r>
        <w:rPr>
          <w:rFonts w:cs="宋体"/>
          <w:color w:val="auto"/>
          <w:szCs w:val="22"/>
          <w:highlight w:val="none"/>
        </w:rPr>
        <w:t>澄清、说明或补正不得超出投标文件的范围且不得改变投标文件的实质性内容，并构成投标文件的组成部分。</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3.</w:t>
      </w:r>
      <w:r>
        <w:rPr>
          <w:rFonts w:cs="宋体"/>
          <w:color w:val="auto"/>
          <w:szCs w:val="22"/>
          <w:highlight w:val="none"/>
        </w:rPr>
        <w:t>2</w:t>
      </w:r>
      <w:r>
        <w:rPr>
          <w:rFonts w:hint="default" w:cs="宋体"/>
          <w:color w:val="auto"/>
          <w:szCs w:val="22"/>
          <w:highlight w:val="none"/>
        </w:rPr>
        <w:t xml:space="preserve">.3 </w:t>
      </w:r>
      <w:r>
        <w:rPr>
          <w:rFonts w:cs="宋体"/>
          <w:color w:val="auto"/>
          <w:szCs w:val="22"/>
          <w:highlight w:val="none"/>
        </w:rPr>
        <w:t>评标委员会对投标人提交的澄清、说明或补正有疑问的，可以要求投标人进一步澄清、说明或补正，直至满足评标委员会的要求。</w:t>
      </w:r>
    </w:p>
    <w:p>
      <w:pPr>
        <w:pStyle w:val="8"/>
        <w:rPr>
          <w:rFonts w:hint="default" w:cs="宋体"/>
          <w:bCs/>
          <w:color w:val="auto"/>
          <w:szCs w:val="28"/>
          <w:highlight w:val="none"/>
        </w:rPr>
      </w:pPr>
      <w:bookmarkStart w:id="155" w:name="bookmark91"/>
      <w:bookmarkEnd w:id="155"/>
      <w:bookmarkStart w:id="156" w:name="_Toc27146"/>
      <w:bookmarkStart w:id="157" w:name="_Toc24388"/>
      <w:r>
        <w:rPr>
          <w:rFonts w:hint="default" w:cs="宋体"/>
          <w:b/>
          <w:bCs/>
          <w:color w:val="auto"/>
          <w:szCs w:val="28"/>
          <w:highlight w:val="none"/>
        </w:rPr>
        <w:t>3.</w:t>
      </w:r>
      <w:r>
        <w:rPr>
          <w:rFonts w:cs="宋体"/>
          <w:b/>
          <w:bCs/>
          <w:color w:val="auto"/>
          <w:szCs w:val="28"/>
          <w:highlight w:val="none"/>
        </w:rPr>
        <w:t>3</w:t>
      </w:r>
      <w:r>
        <w:rPr>
          <w:rFonts w:hint="default" w:cs="宋体"/>
          <w:b/>
          <w:bCs/>
          <w:color w:val="auto"/>
          <w:szCs w:val="28"/>
          <w:highlight w:val="none"/>
        </w:rPr>
        <w:t xml:space="preserve"> </w:t>
      </w:r>
      <w:r>
        <w:rPr>
          <w:rFonts w:hint="cs" w:cs="宋体"/>
          <w:b/>
          <w:bCs/>
          <w:color w:val="auto"/>
          <w:szCs w:val="28"/>
          <w:highlight w:val="none"/>
          <w:cs/>
        </w:rPr>
        <w:t>评标结</w:t>
      </w:r>
      <w:r>
        <w:rPr>
          <w:rFonts w:hint="default" w:cs="宋体"/>
          <w:b/>
          <w:bCs/>
          <w:color w:val="auto"/>
          <w:szCs w:val="28"/>
          <w:highlight w:val="none"/>
        </w:rPr>
        <w:t>果</w:t>
      </w:r>
      <w:bookmarkEnd w:id="156"/>
      <w:bookmarkEnd w:id="157"/>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3.</w:t>
      </w:r>
      <w:r>
        <w:rPr>
          <w:rFonts w:cs="宋体"/>
          <w:color w:val="auto"/>
          <w:szCs w:val="22"/>
          <w:highlight w:val="none"/>
        </w:rPr>
        <w:t>3</w:t>
      </w:r>
      <w:r>
        <w:rPr>
          <w:rFonts w:hint="default" w:cs="宋体"/>
          <w:color w:val="auto"/>
          <w:szCs w:val="22"/>
          <w:highlight w:val="none"/>
        </w:rPr>
        <w:t>.1</w:t>
      </w:r>
      <w:r>
        <w:rPr>
          <w:rFonts w:cs="宋体"/>
          <w:color w:val="auto"/>
          <w:szCs w:val="22"/>
          <w:highlight w:val="none"/>
        </w:rPr>
        <w:t>评标委员会按照招标文件规定，向招标人推荐合格的中标候选人，合格中标候选人不排序。合格的中标候选人少于</w:t>
      </w:r>
      <w:r>
        <w:rPr>
          <w:rFonts w:hint="default" w:cs="宋体"/>
          <w:color w:val="auto"/>
          <w:szCs w:val="22"/>
          <w:highlight w:val="none"/>
        </w:rPr>
        <w:t>3家的，应当重新招标。</w:t>
      </w:r>
    </w:p>
    <w:p>
      <w:pPr>
        <w:pStyle w:val="15"/>
        <w:overflowPunct w:val="0"/>
        <w:snapToGrid w:val="0"/>
        <w:spacing w:line="360" w:lineRule="auto"/>
        <w:ind w:right="113" w:firstLine="419"/>
        <w:rPr>
          <w:rFonts w:hint="default" w:cs="宋体"/>
          <w:color w:val="auto"/>
          <w:szCs w:val="22"/>
          <w:highlight w:val="none"/>
        </w:rPr>
      </w:pPr>
      <w:r>
        <w:rPr>
          <w:rFonts w:hint="default" w:cs="宋体"/>
          <w:color w:val="auto"/>
          <w:szCs w:val="22"/>
          <w:highlight w:val="none"/>
        </w:rPr>
        <w:t>3.</w:t>
      </w:r>
      <w:r>
        <w:rPr>
          <w:rFonts w:cs="宋体"/>
          <w:color w:val="auto"/>
          <w:szCs w:val="22"/>
          <w:highlight w:val="none"/>
        </w:rPr>
        <w:t>3</w:t>
      </w:r>
      <w:r>
        <w:rPr>
          <w:rFonts w:hint="default" w:cs="宋体"/>
          <w:color w:val="auto"/>
          <w:szCs w:val="22"/>
          <w:highlight w:val="none"/>
        </w:rPr>
        <w:t xml:space="preserve">.2 </w:t>
      </w:r>
      <w:r>
        <w:rPr>
          <w:rFonts w:cs="宋体"/>
          <w:color w:val="auto"/>
          <w:szCs w:val="22"/>
          <w:highlight w:val="none"/>
        </w:rPr>
        <w:t>评标委员会完成评标后，应当向招标人提交书面评标报告和合格的中标候选人名单。</w:t>
      </w:r>
    </w:p>
    <w:p>
      <w:pPr>
        <w:pStyle w:val="7"/>
        <w:overflowPunct w:val="0"/>
        <w:snapToGrid w:val="0"/>
        <w:spacing w:before="78" w:line="360" w:lineRule="auto"/>
        <w:jc w:val="both"/>
        <w:rPr>
          <w:rFonts w:cs="宋体"/>
          <w:b w:val="0"/>
          <w:color w:val="auto"/>
          <w:szCs w:val="22"/>
          <w:highlight w:val="none"/>
        </w:rPr>
      </w:pPr>
      <w:bookmarkStart w:id="158" w:name="_Toc83210327"/>
      <w:bookmarkStart w:id="159" w:name="_Toc58503365"/>
      <w:r>
        <w:rPr>
          <w:rFonts w:ascii="宋体" w:hAnsi="宋体" w:eastAsia="宋体" w:cs="宋体"/>
          <w:color w:val="auto"/>
          <w:szCs w:val="22"/>
          <w:highlight w:val="none"/>
        </w:rPr>
        <w:t xml:space="preserve">4. </w:t>
      </w:r>
      <w:r>
        <w:rPr>
          <w:rFonts w:hint="eastAsia" w:ascii="宋体" w:hAnsi="宋体" w:eastAsia="宋体" w:cs="宋体"/>
          <w:color w:val="auto"/>
          <w:szCs w:val="22"/>
          <w:highlight w:val="none"/>
        </w:rPr>
        <w:t>定标程序</w:t>
      </w:r>
      <w:bookmarkEnd w:id="158"/>
      <w:bookmarkEnd w:id="159"/>
    </w:p>
    <w:p>
      <w:pPr>
        <w:pStyle w:val="8"/>
        <w:rPr>
          <w:rFonts w:hint="default" w:cs="宋体"/>
          <w:bCs/>
          <w:color w:val="auto"/>
          <w:szCs w:val="28"/>
          <w:highlight w:val="none"/>
        </w:rPr>
      </w:pPr>
      <w:bookmarkStart w:id="160" w:name="_Toc49506197"/>
      <w:bookmarkStart w:id="161" w:name="_Toc57849235"/>
      <w:bookmarkStart w:id="162" w:name="_Toc49510032"/>
      <w:bookmarkStart w:id="163" w:name="_Toc58503366"/>
      <w:r>
        <w:rPr>
          <w:rFonts w:hint="default" w:cs="宋体"/>
          <w:b/>
          <w:bCs/>
          <w:color w:val="auto"/>
          <w:szCs w:val="28"/>
          <w:highlight w:val="none"/>
        </w:rPr>
        <w:t>4.1 定</w:t>
      </w:r>
      <w:r>
        <w:rPr>
          <w:rFonts w:hint="cs" w:cs="宋体"/>
          <w:b/>
          <w:bCs/>
          <w:color w:val="auto"/>
          <w:szCs w:val="28"/>
          <w:highlight w:val="none"/>
          <w:cs/>
        </w:rPr>
        <w:t>标</w:t>
      </w:r>
      <w:r>
        <w:rPr>
          <w:rFonts w:hint="default" w:cs="宋体"/>
          <w:b/>
          <w:bCs/>
          <w:color w:val="auto"/>
          <w:szCs w:val="28"/>
          <w:highlight w:val="none"/>
        </w:rPr>
        <w:t>委</w:t>
      </w:r>
      <w:r>
        <w:rPr>
          <w:rFonts w:hint="cs" w:cs="宋体"/>
          <w:b/>
          <w:bCs/>
          <w:color w:val="auto"/>
          <w:szCs w:val="28"/>
          <w:highlight w:val="none"/>
          <w:cs/>
        </w:rPr>
        <w:t>员会</w:t>
      </w:r>
      <w:bookmarkEnd w:id="160"/>
      <w:bookmarkEnd w:id="161"/>
      <w:bookmarkEnd w:id="162"/>
      <w:bookmarkEnd w:id="163"/>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评标结束后，招标人按以下规定组建定标委员会，在评标委员会推荐的合格的中标候选人中选定</w:t>
      </w:r>
      <w:r>
        <w:rPr>
          <w:rFonts w:hint="eastAsia" w:ascii="宋体" w:hAnsi="宋体" w:cs="宋体"/>
          <w:color w:val="auto"/>
          <w:sz w:val="21"/>
          <w:szCs w:val="21"/>
          <w:highlight w:val="none"/>
          <w:u w:val="single"/>
        </w:rPr>
        <w:t>中标人</w:t>
      </w:r>
      <w:r>
        <w:rPr>
          <w:rFonts w:hint="eastAsia" w:ascii="宋体" w:hAnsi="宋体"/>
          <w:color w:val="auto"/>
          <w:sz w:val="21"/>
          <w:szCs w:val="21"/>
          <w:highlight w:val="none"/>
        </w:rPr>
        <w:t>：</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定标由招标人组建的定标委员会负责，成员数量为5人或以上单数。成员由招标人工作人员或由招标人邀请外单位人员担任，定标委员会成员需具备相应专业能力。</w:t>
      </w:r>
    </w:p>
    <w:p>
      <w:pPr>
        <w:pStyle w:val="8"/>
        <w:rPr>
          <w:rFonts w:hint="default"/>
          <w:bCs/>
          <w:color w:val="auto"/>
          <w:highlight w:val="none"/>
        </w:rPr>
      </w:pPr>
      <w:bookmarkStart w:id="164" w:name="_Toc57849236"/>
      <w:bookmarkStart w:id="165" w:name="_Toc58503367"/>
      <w:r>
        <w:rPr>
          <w:rFonts w:hint="default"/>
          <w:b/>
          <w:bCs/>
          <w:color w:val="auto"/>
          <w:highlight w:val="none"/>
        </w:rPr>
        <w:t xml:space="preserve">4.2 </w:t>
      </w:r>
      <w:r>
        <w:rPr>
          <w:b/>
          <w:bCs/>
          <w:color w:val="auto"/>
          <w:highlight w:val="none"/>
        </w:rPr>
        <w:t>监督小组</w:t>
      </w:r>
      <w:bookmarkEnd w:id="164"/>
      <w:bookmarkEnd w:id="165"/>
    </w:p>
    <w:p>
      <w:pPr>
        <w:spacing w:line="360" w:lineRule="auto"/>
        <w:ind w:firstLine="420" w:firstLineChars="200"/>
        <w:rPr>
          <w:rFonts w:ascii="Times New Roman" w:hAnsi="Times New Roman"/>
          <w:color w:val="auto"/>
          <w:sz w:val="21"/>
          <w:szCs w:val="21"/>
          <w:highlight w:val="none"/>
        </w:rPr>
      </w:pPr>
      <w:r>
        <w:rPr>
          <w:rFonts w:hint="eastAsia" w:ascii="Times New Roman" w:hAnsi="Times New Roman"/>
          <w:color w:val="auto"/>
          <w:sz w:val="21"/>
          <w:szCs w:val="21"/>
          <w:highlight w:val="none"/>
        </w:rPr>
        <w:t>招标人应当组建监督小组，负责监督定标委员会是否按既定的定标方法定标，定标方法及定标过程是否存在不公平、不公正的情形。</w:t>
      </w:r>
    </w:p>
    <w:p>
      <w:pPr>
        <w:pStyle w:val="8"/>
        <w:rPr>
          <w:rFonts w:hint="default"/>
          <w:bCs/>
          <w:color w:val="auto"/>
          <w:highlight w:val="none"/>
        </w:rPr>
      </w:pPr>
      <w:bookmarkStart w:id="166" w:name="_Toc58503369"/>
      <w:bookmarkStart w:id="167" w:name="_Toc49510033"/>
      <w:bookmarkStart w:id="168" w:name="_Toc49506198"/>
      <w:bookmarkStart w:id="169" w:name="_Toc57849238"/>
      <w:r>
        <w:rPr>
          <w:rFonts w:hint="default"/>
          <w:b/>
          <w:bCs/>
          <w:color w:val="auto"/>
          <w:highlight w:val="none"/>
        </w:rPr>
        <w:t>4.3 定</w:t>
      </w:r>
      <w:r>
        <w:rPr>
          <w:b/>
          <w:bCs/>
          <w:color w:val="auto"/>
          <w:highlight w:val="none"/>
        </w:rPr>
        <w:t>标时间和地点</w:t>
      </w:r>
      <w:bookmarkEnd w:id="166"/>
      <w:bookmarkEnd w:id="167"/>
      <w:bookmarkEnd w:id="168"/>
      <w:bookmarkEnd w:id="169"/>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招标人在中标候选人公示完成后</w:t>
      </w:r>
      <w:r>
        <w:rPr>
          <w:rFonts w:ascii="宋体" w:hAnsi="宋体"/>
          <w:color w:val="auto"/>
          <w:sz w:val="21"/>
          <w:szCs w:val="21"/>
          <w:highlight w:val="none"/>
        </w:rPr>
        <w:t>10</w:t>
      </w:r>
      <w:r>
        <w:rPr>
          <w:rFonts w:hint="eastAsia" w:ascii="宋体" w:hAnsi="宋体"/>
          <w:color w:val="auto"/>
          <w:sz w:val="21"/>
          <w:szCs w:val="21"/>
          <w:highlight w:val="none"/>
        </w:rPr>
        <w:t>个工作日内，在广州公共资源交易中心举行定标会议，招标人按规定程序在投标人须知的时间和地点完成定标工作。</w:t>
      </w:r>
    </w:p>
    <w:p>
      <w:pPr>
        <w:pStyle w:val="8"/>
        <w:rPr>
          <w:rFonts w:hint="default"/>
          <w:bCs/>
          <w:color w:val="auto"/>
          <w:highlight w:val="none"/>
        </w:rPr>
      </w:pPr>
      <w:bookmarkStart w:id="170" w:name="_Toc49510034"/>
      <w:bookmarkStart w:id="171" w:name="_Toc58503370"/>
      <w:bookmarkStart w:id="172" w:name="_Toc49506199"/>
      <w:bookmarkStart w:id="173" w:name="_Toc57849239"/>
      <w:r>
        <w:rPr>
          <w:rFonts w:hint="default"/>
          <w:b/>
          <w:bCs/>
          <w:color w:val="auto"/>
          <w:highlight w:val="none"/>
        </w:rPr>
        <w:t>4.4 定</w:t>
      </w:r>
      <w:r>
        <w:rPr>
          <w:b/>
          <w:bCs/>
          <w:color w:val="auto"/>
          <w:highlight w:val="none"/>
        </w:rPr>
        <w:t>标规则</w:t>
      </w:r>
      <w:bookmarkEnd w:id="170"/>
      <w:bookmarkEnd w:id="171"/>
      <w:bookmarkEnd w:id="172"/>
      <w:bookmarkEnd w:id="173"/>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本项目采用</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记名投票+撰写评语</w:t>
      </w:r>
      <w:r>
        <w:rPr>
          <w:rFonts w:ascii="宋体" w:hAnsi="宋体"/>
          <w:color w:val="auto"/>
          <w:sz w:val="21"/>
          <w:szCs w:val="21"/>
          <w:highlight w:val="none"/>
          <w:u w:val="single"/>
        </w:rPr>
        <w:t xml:space="preserve"> </w:t>
      </w:r>
      <w:r>
        <w:rPr>
          <w:rFonts w:hint="eastAsia" w:ascii="宋体" w:hAnsi="宋体"/>
          <w:color w:val="auto"/>
          <w:sz w:val="21"/>
          <w:szCs w:val="21"/>
          <w:highlight w:val="none"/>
        </w:rPr>
        <w:t>定标，定标方法如下：</w:t>
      </w:r>
    </w:p>
    <w:p>
      <w:pPr>
        <w:spacing w:line="360" w:lineRule="auto"/>
        <w:ind w:firstLine="420" w:firstLineChars="200"/>
        <w:rPr>
          <w:rFonts w:ascii="宋体" w:hAnsi="宋体"/>
          <w:color w:val="auto"/>
          <w:sz w:val="21"/>
          <w:szCs w:val="21"/>
          <w:highlight w:val="none"/>
        </w:rPr>
      </w:pPr>
      <w:r>
        <w:rPr>
          <w:rFonts w:ascii="宋体" w:hAnsi="宋体"/>
          <w:color w:val="auto"/>
          <w:sz w:val="21"/>
          <w:szCs w:val="21"/>
          <w:highlight w:val="none"/>
        </w:rPr>
        <w:t xml:space="preserve">4.4.1 </w:t>
      </w:r>
      <w:r>
        <w:rPr>
          <w:rFonts w:hint="eastAsia" w:ascii="宋体" w:hAnsi="宋体"/>
          <w:color w:val="auto"/>
          <w:sz w:val="21"/>
          <w:szCs w:val="21"/>
          <w:highlight w:val="none"/>
        </w:rPr>
        <w:t>定标程序</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（1）本项目采用“直接票决定标法”定标。</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 xml:space="preserve">（2）定标工作开始后，发放选票，由定标委员会参考定标因素进行投票排名，定标委员会应推荐一人为定标委员会组长，主持当次定标会议。 </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（3）定标辅助资料为评标阶段的评标报告及其过程资料、投标人提交的投标文件。</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（4）定标委员会根据定标因素及定标参考资料进行记名投票，确定中标人。定标因素的评审标准</w:t>
      </w:r>
      <w:r>
        <w:rPr>
          <w:rFonts w:ascii="宋体" w:hAnsi="宋体"/>
          <w:color w:val="auto"/>
          <w:sz w:val="21"/>
          <w:szCs w:val="21"/>
          <w:highlight w:val="none"/>
        </w:rPr>
        <w:t>详见本章</w:t>
      </w:r>
      <w:r>
        <w:rPr>
          <w:rFonts w:hint="eastAsia" w:ascii="宋体" w:hAnsi="宋体"/>
          <w:color w:val="auto"/>
          <w:sz w:val="21"/>
          <w:szCs w:val="21"/>
          <w:highlight w:val="none"/>
        </w:rPr>
        <w:t>附表一：《定标因素评审表》。</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5）投票规则：定标委员会根据定标因素及定标参考资料对各投标人进行综合比较后，进行一次性票决并排序（记名投票+撰写评语），每位定标委员会成员只有1票表决权（即只能对其中一家投标人投票），得票数最多的投标人将被确认为中标人，若出现票数相同且无法决出排名时，票数相同的再进行一次性票决，直至决出中标人。选票格式及票决方式详见本章附表二、附表三。</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（6）定标委员会中的各定标委员应独立投票，可以弃权，当弃权票数达到定标委员会人数50%或以上时，本次定标会无效，招标人应重新招标。</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（7）定标委员会根据选票情况确定中标人后，撰写、签署定标报告。定标报告由定标委员会全体成员签字，对定标结论持有异议的评委应以书面方式阐述其不同意见和理由。</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（8）定标委员会向招标人提交书面定标报告后即解散，定标过程中使用的文件、表格以及其他资料不得私自带离。</w:t>
      </w:r>
    </w:p>
    <w:p>
      <w:pPr>
        <w:spacing w:line="360" w:lineRule="auto"/>
        <w:ind w:firstLine="420" w:firstLineChars="200"/>
        <w:rPr>
          <w:rFonts w:ascii="宋体" w:hAnsi="宋体"/>
          <w:color w:val="auto"/>
          <w:sz w:val="21"/>
          <w:szCs w:val="21"/>
          <w:highlight w:val="none"/>
        </w:rPr>
      </w:pPr>
      <w:r>
        <w:rPr>
          <w:rFonts w:ascii="宋体" w:hAnsi="宋体"/>
          <w:color w:val="auto"/>
          <w:sz w:val="21"/>
          <w:szCs w:val="21"/>
          <w:highlight w:val="none"/>
        </w:rPr>
        <w:t>4.4.2</w:t>
      </w:r>
      <w:r>
        <w:rPr>
          <w:rFonts w:hint="eastAsia" w:ascii="宋体" w:hAnsi="宋体"/>
          <w:color w:val="auto"/>
          <w:sz w:val="21"/>
          <w:szCs w:val="21"/>
          <w:highlight w:val="none"/>
        </w:rPr>
        <w:t>招标人应当在定标工作完成后的</w:t>
      </w:r>
      <w:r>
        <w:rPr>
          <w:rFonts w:ascii="宋体" w:hAnsi="宋体"/>
          <w:color w:val="auto"/>
          <w:sz w:val="21"/>
          <w:szCs w:val="21"/>
          <w:highlight w:val="none"/>
        </w:rPr>
        <w:t>3</w:t>
      </w:r>
      <w:r>
        <w:rPr>
          <w:rFonts w:hint="eastAsia" w:ascii="宋体" w:hAnsi="宋体"/>
          <w:color w:val="auto"/>
          <w:sz w:val="21"/>
          <w:szCs w:val="21"/>
          <w:highlight w:val="none"/>
        </w:rPr>
        <w:t>日内公示中标结果。公示内容包括：定标时间、所有合格的中标候选人的评审结果或票数及理由、中标人等内容。</w:t>
      </w:r>
    </w:p>
    <w:p>
      <w:pPr>
        <w:spacing w:line="360" w:lineRule="auto"/>
        <w:ind w:firstLine="420" w:firstLineChars="200"/>
        <w:rPr>
          <w:rFonts w:ascii="宋体" w:hAnsi="宋体"/>
          <w:color w:val="auto"/>
          <w:sz w:val="21"/>
          <w:szCs w:val="21"/>
          <w:highlight w:val="none"/>
        </w:rPr>
      </w:pPr>
      <w:r>
        <w:rPr>
          <w:rFonts w:ascii="宋体" w:hAnsi="宋体"/>
          <w:color w:val="auto"/>
          <w:sz w:val="21"/>
          <w:szCs w:val="21"/>
          <w:highlight w:val="none"/>
        </w:rPr>
        <w:t>4.4.</w:t>
      </w:r>
      <w:r>
        <w:rPr>
          <w:rFonts w:hint="eastAsia" w:ascii="宋体" w:hAnsi="宋体"/>
          <w:color w:val="auto"/>
          <w:sz w:val="21"/>
          <w:szCs w:val="21"/>
          <w:highlight w:val="none"/>
        </w:rPr>
        <w:t>3因异议或投诉生效，需要重新评标或定标的，评标、定标信息（含业绩、奖项等）仍以投标截止时投标人的信息为准。因特殊原因需要延长投标有效期，投标人拒绝延长投标有效期的，仍参与重新评标、定标，但不被推荐为中标候选人或不被票决确定为中标人。</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4.4.4中标人放弃中标、因不可抗力不能履行合同、不按照招标文件要求提交履约保证金，或者被查实存在影响中标结果的违法行为等不符合法定情形，不符合中标条件的，招标人可以从其他合格的中标候选人中采用原定标办法，由原定标委员会确定中标人，也可以重新招标。</w:t>
      </w:r>
    </w:p>
    <w:p>
      <w:pPr>
        <w:ind w:firstLine="420" w:firstLineChars="200"/>
        <w:rPr>
          <w:rFonts w:ascii="宋体" w:hAnsi="宋体"/>
          <w:color w:val="auto"/>
          <w:sz w:val="28"/>
          <w:szCs w:val="28"/>
          <w:highlight w:val="none"/>
        </w:rPr>
      </w:pPr>
      <w:r>
        <w:rPr>
          <w:rFonts w:ascii="宋体" w:hAnsi="宋体"/>
          <w:color w:val="auto"/>
          <w:sz w:val="21"/>
          <w:szCs w:val="21"/>
          <w:highlight w:val="none"/>
        </w:rPr>
        <w:br w:type="page"/>
      </w:r>
      <w:r>
        <w:rPr>
          <w:rFonts w:hint="eastAsia" w:ascii="宋体" w:hAnsi="宋体"/>
          <w:color w:val="auto"/>
          <w:sz w:val="28"/>
          <w:szCs w:val="28"/>
          <w:highlight w:val="none"/>
        </w:rPr>
        <w:t>附表一</w:t>
      </w:r>
      <w:r>
        <w:rPr>
          <w:rFonts w:ascii="宋体" w:hAnsi="宋体"/>
          <w:color w:val="auto"/>
          <w:sz w:val="28"/>
          <w:szCs w:val="28"/>
          <w:highlight w:val="none"/>
        </w:rPr>
        <w:t>：</w:t>
      </w:r>
    </w:p>
    <w:p>
      <w:pPr>
        <w:ind w:firstLine="602" w:firstLineChars="200"/>
        <w:jc w:val="center"/>
        <w:outlineLvl w:val="1"/>
        <w:rPr>
          <w:rFonts w:ascii="Times New Roman" w:hAnsi="Times New Roman"/>
          <w:color w:val="auto"/>
          <w:highlight w:val="none"/>
        </w:rPr>
      </w:pPr>
      <w:r>
        <w:rPr>
          <w:rFonts w:hint="eastAsia" w:ascii="宋体" w:hAnsi="宋体"/>
          <w:b/>
          <w:color w:val="auto"/>
          <w:sz w:val="30"/>
          <w:szCs w:val="30"/>
          <w:highlight w:val="none"/>
        </w:rPr>
        <w:t>定标因素评审表</w:t>
      </w:r>
    </w:p>
    <w:tbl>
      <w:tblPr>
        <w:tblStyle w:val="26"/>
        <w:tblW w:w="5245" w:type="pct"/>
        <w:tblInd w:w="0" w:type="dxa"/>
        <w:tblLayout w:type="autofit"/>
        <w:tblCellMar>
          <w:top w:w="0" w:type="dxa"/>
          <w:left w:w="0" w:type="dxa"/>
          <w:bottom w:w="0" w:type="dxa"/>
          <w:right w:w="0" w:type="dxa"/>
        </w:tblCellMar>
      </w:tblPr>
      <w:tblGrid>
        <w:gridCol w:w="1003"/>
        <w:gridCol w:w="1102"/>
        <w:gridCol w:w="7431"/>
      </w:tblGrid>
      <w:tr>
        <w:tblPrEx>
          <w:tblCellMar>
            <w:top w:w="0" w:type="dxa"/>
            <w:left w:w="0" w:type="dxa"/>
            <w:bottom w:w="0" w:type="dxa"/>
            <w:right w:w="0" w:type="dxa"/>
          </w:tblCellMar>
        </w:tblPrEx>
        <w:trPr>
          <w:trHeight w:val="455" w:hRule="atLeast"/>
        </w:trPr>
        <w:tc>
          <w:tcPr>
            <w:tcW w:w="1104" w:type="pct"/>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b/>
                <w:color w:val="auto"/>
                <w:sz w:val="21"/>
                <w:szCs w:val="21"/>
                <w:highlight w:val="none"/>
              </w:rPr>
            </w:pPr>
            <w:r>
              <w:rPr>
                <w:rFonts w:hint="eastAsia" w:ascii="宋体" w:hAnsi="宋体" w:cs="宋体"/>
                <w:b/>
                <w:color w:val="auto"/>
                <w:sz w:val="21"/>
                <w:szCs w:val="21"/>
                <w:highlight w:val="none"/>
                <w:lang w:bidi="ar"/>
              </w:rPr>
              <w:t>评审内容</w:t>
            </w:r>
          </w:p>
        </w:tc>
        <w:tc>
          <w:tcPr>
            <w:tcW w:w="3896"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b/>
                <w:color w:val="auto"/>
                <w:sz w:val="21"/>
                <w:szCs w:val="21"/>
                <w:highlight w:val="none"/>
              </w:rPr>
            </w:pPr>
            <w:r>
              <w:rPr>
                <w:rFonts w:hint="eastAsia" w:ascii="宋体" w:hAnsi="宋体" w:cs="宋体"/>
                <w:b/>
                <w:color w:val="auto"/>
                <w:sz w:val="21"/>
                <w:szCs w:val="21"/>
                <w:highlight w:val="none"/>
                <w:lang w:bidi="ar"/>
              </w:rPr>
              <w:t>评审标准</w:t>
            </w:r>
          </w:p>
        </w:tc>
      </w:tr>
      <w:tr>
        <w:tblPrEx>
          <w:tblCellMar>
            <w:top w:w="0" w:type="dxa"/>
            <w:left w:w="0" w:type="dxa"/>
            <w:bottom w:w="0" w:type="dxa"/>
            <w:right w:w="0" w:type="dxa"/>
          </w:tblCellMar>
        </w:tblPrEx>
        <w:trPr>
          <w:trHeight w:val="765" w:hRule="atLeast"/>
        </w:trPr>
        <w:tc>
          <w:tcPr>
            <w:tcW w:w="526"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sz w:val="21"/>
                <w:szCs w:val="21"/>
                <w:highlight w:val="none"/>
                <w:lang w:bidi="ar"/>
              </w:rPr>
              <w:t>价格因素</w:t>
            </w:r>
          </w:p>
        </w:tc>
        <w:tc>
          <w:tcPr>
            <w:tcW w:w="578"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sz w:val="21"/>
                <w:szCs w:val="21"/>
                <w:highlight w:val="none"/>
                <w:lang w:bidi="ar"/>
              </w:rPr>
              <w:t>投标报价</w:t>
            </w:r>
          </w:p>
        </w:tc>
        <w:tc>
          <w:tcPr>
            <w:tcW w:w="3896"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ind w:left="60" w:leftChars="25" w:right="89" w:rightChars="37"/>
              <w:jc w:val="both"/>
              <w:textAlignment w:val="center"/>
              <w:rPr>
                <w:rFonts w:ascii="宋体" w:hAnsi="宋体" w:cs="宋体"/>
                <w:color w:val="auto"/>
                <w:sz w:val="21"/>
                <w:szCs w:val="21"/>
                <w:highlight w:val="none"/>
              </w:rPr>
            </w:pPr>
            <w:r>
              <w:rPr>
                <w:rFonts w:hint="eastAsia" w:ascii="宋体" w:hAnsi="宋体" w:cs="宋体"/>
                <w:color w:val="auto"/>
                <w:sz w:val="21"/>
                <w:szCs w:val="21"/>
                <w:highlight w:val="none"/>
                <w:lang w:bidi="ar"/>
              </w:rPr>
              <w:t>定标委员会对合格的中标候选人的投标报价进行横向对比评审。</w:t>
            </w:r>
          </w:p>
        </w:tc>
      </w:tr>
      <w:tr>
        <w:tblPrEx>
          <w:tblCellMar>
            <w:top w:w="0" w:type="dxa"/>
            <w:left w:w="0" w:type="dxa"/>
            <w:bottom w:w="0" w:type="dxa"/>
            <w:right w:w="0" w:type="dxa"/>
          </w:tblCellMar>
        </w:tblPrEx>
        <w:trPr>
          <w:trHeight w:val="943" w:hRule="atLeast"/>
        </w:trPr>
        <w:tc>
          <w:tcPr>
            <w:tcW w:w="526" w:type="pct"/>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sz w:val="21"/>
                <w:szCs w:val="21"/>
                <w:highlight w:val="none"/>
                <w:lang w:bidi="ar"/>
              </w:rPr>
              <w:t>资信因素</w:t>
            </w:r>
          </w:p>
        </w:tc>
        <w:tc>
          <w:tcPr>
            <w:tcW w:w="578" w:type="pct"/>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sz w:val="21"/>
                <w:szCs w:val="21"/>
                <w:highlight w:val="none"/>
                <w:lang w:bidi="ar"/>
              </w:rPr>
              <w:t>企业信誉</w:t>
            </w:r>
          </w:p>
        </w:tc>
        <w:tc>
          <w:tcPr>
            <w:tcW w:w="3896" w:type="pct"/>
            <w:tcBorders>
              <w:top w:val="single" w:color="000000" w:sz="4" w:space="0"/>
              <w:left w:val="single" w:color="000000" w:sz="4" w:space="0"/>
              <w:right w:val="single" w:color="000000" w:sz="4" w:space="0"/>
            </w:tcBorders>
            <w:tcMar>
              <w:top w:w="10" w:type="dxa"/>
              <w:left w:w="10" w:type="dxa"/>
              <w:right w:w="10" w:type="dxa"/>
            </w:tcMar>
            <w:vAlign w:val="center"/>
          </w:tcPr>
          <w:p>
            <w:pPr>
              <w:widowControl/>
              <w:ind w:left="60" w:leftChars="25" w:right="89" w:rightChars="37"/>
              <w:jc w:val="both"/>
              <w:textAlignment w:val="center"/>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根据投标人管理体系认证（ISO9001质量管理体系认证、ISO14001环境管理体系认证、ISO45001职业健康安全管理体系认证）进行综合评价。</w:t>
            </w:r>
          </w:p>
          <w:p>
            <w:pPr>
              <w:pStyle w:val="49"/>
              <w:ind w:left="0" w:leftChars="0" w:firstLine="0" w:firstLineChars="0"/>
              <w:jc w:val="both"/>
              <w:rPr>
                <w:color w:val="auto"/>
                <w:szCs w:val="21"/>
                <w:highlight w:val="none"/>
                <w:lang w:bidi="ar"/>
              </w:rPr>
            </w:pPr>
            <w:r>
              <w:rPr>
                <w:rFonts w:hint="eastAsia"/>
                <w:color w:val="auto"/>
                <w:szCs w:val="21"/>
                <w:highlight w:val="none"/>
                <w:lang w:bidi="ar"/>
              </w:rPr>
              <w:t>注：提供有效期内管理体系认证证书扫描件。</w:t>
            </w:r>
          </w:p>
        </w:tc>
      </w:tr>
      <w:tr>
        <w:tblPrEx>
          <w:tblCellMar>
            <w:top w:w="0" w:type="dxa"/>
            <w:left w:w="0" w:type="dxa"/>
            <w:bottom w:w="0" w:type="dxa"/>
            <w:right w:w="0" w:type="dxa"/>
          </w:tblCellMar>
        </w:tblPrEx>
        <w:trPr>
          <w:trHeight w:val="688" w:hRule="atLeast"/>
        </w:trPr>
        <w:tc>
          <w:tcPr>
            <w:tcW w:w="526" w:type="pct"/>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auto"/>
                <w:sz w:val="21"/>
                <w:szCs w:val="21"/>
                <w:highlight w:val="none"/>
                <w:lang w:bidi="ar"/>
              </w:rPr>
            </w:pPr>
          </w:p>
        </w:tc>
        <w:tc>
          <w:tcPr>
            <w:tcW w:w="578" w:type="pct"/>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auto"/>
                <w:sz w:val="21"/>
                <w:szCs w:val="21"/>
                <w:highlight w:val="none"/>
                <w:lang w:bidi="ar"/>
              </w:rPr>
            </w:pPr>
          </w:p>
        </w:tc>
        <w:tc>
          <w:tcPr>
            <w:tcW w:w="3896" w:type="pct"/>
            <w:tcBorders>
              <w:top w:val="single" w:color="000000" w:sz="4" w:space="0"/>
              <w:left w:val="single" w:color="000000" w:sz="4" w:space="0"/>
              <w:right w:val="single" w:color="000000" w:sz="4" w:space="0"/>
            </w:tcBorders>
            <w:tcMar>
              <w:top w:w="10" w:type="dxa"/>
              <w:left w:w="10" w:type="dxa"/>
              <w:right w:w="10" w:type="dxa"/>
            </w:tcMar>
            <w:vAlign w:val="center"/>
          </w:tcPr>
          <w:p>
            <w:pPr>
              <w:widowControl/>
              <w:ind w:left="60" w:leftChars="25" w:right="89" w:rightChars="37"/>
              <w:jc w:val="both"/>
              <w:textAlignment w:val="center"/>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根据投标人银行信用等级进行综合评价。</w:t>
            </w:r>
          </w:p>
          <w:p>
            <w:pPr>
              <w:widowControl/>
              <w:ind w:left="60" w:leftChars="25" w:right="89" w:rightChars="37"/>
              <w:jc w:val="both"/>
              <w:textAlignment w:val="center"/>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注：提供有效期内的信用等级证书扫描件。</w:t>
            </w:r>
          </w:p>
        </w:tc>
      </w:tr>
      <w:tr>
        <w:tblPrEx>
          <w:tblCellMar>
            <w:top w:w="0" w:type="dxa"/>
            <w:left w:w="0" w:type="dxa"/>
            <w:bottom w:w="0" w:type="dxa"/>
            <w:right w:w="0" w:type="dxa"/>
          </w:tblCellMar>
        </w:tblPrEx>
        <w:trPr>
          <w:trHeight w:val="2305" w:hRule="exact"/>
        </w:trPr>
        <w:tc>
          <w:tcPr>
            <w:tcW w:w="526" w:type="pct"/>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color w:val="auto"/>
                <w:sz w:val="21"/>
                <w:szCs w:val="21"/>
                <w:highlight w:val="none"/>
              </w:rPr>
            </w:pPr>
          </w:p>
        </w:tc>
        <w:tc>
          <w:tcPr>
            <w:tcW w:w="578"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auto"/>
                <w:sz w:val="21"/>
                <w:szCs w:val="21"/>
                <w:highlight w:val="none"/>
              </w:rPr>
            </w:pPr>
            <w:r>
              <w:rPr>
                <w:rFonts w:ascii="宋体" w:hAnsi="宋体"/>
                <w:color w:val="auto"/>
                <w:sz w:val="21"/>
                <w:szCs w:val="21"/>
                <w:highlight w:val="none"/>
              </w:rPr>
              <w:t>电梯业绩</w:t>
            </w:r>
          </w:p>
        </w:tc>
        <w:tc>
          <w:tcPr>
            <w:tcW w:w="3896"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napToGrid w:val="0"/>
              <w:ind w:left="60" w:leftChars="25" w:right="89" w:rightChars="37"/>
              <w:jc w:val="both"/>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根据投标人自2018年1月1日至今独立完成过质量合格的（须含最大额定速度不少于6.0m/s的垂直电梯）的电梯供货业绩情况进行综合评价。</w:t>
            </w:r>
          </w:p>
          <w:p>
            <w:pPr>
              <w:widowControl/>
              <w:snapToGrid w:val="0"/>
              <w:ind w:left="60" w:leftChars="25" w:right="89" w:rightChars="37"/>
              <w:jc w:val="both"/>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注：</w:t>
            </w:r>
          </w:p>
          <w:p>
            <w:pPr>
              <w:widowControl/>
              <w:snapToGrid w:val="0"/>
              <w:ind w:left="60" w:leftChars="25" w:right="89" w:rightChars="37"/>
              <w:jc w:val="both"/>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（1）需同时提供采购合同、技术监督部门或建设单位确认的验收报告或验收证明（供货业绩时间以验收时间为准，如业绩证明材料不能体现指标参数（电梯类型和电梯速度）的，视为不符合业绩要求。</w:t>
            </w:r>
          </w:p>
          <w:p>
            <w:pPr>
              <w:pStyle w:val="49"/>
              <w:ind w:left="0" w:leftChars="0" w:firstLine="0" w:firstLineChars="0"/>
              <w:rPr>
                <w:color w:val="auto"/>
                <w:szCs w:val="21"/>
                <w:highlight w:val="none"/>
                <w:lang w:bidi="ar"/>
              </w:rPr>
            </w:pPr>
            <w:r>
              <w:rPr>
                <w:rFonts w:hint="eastAsia" w:ascii="宋体" w:hAnsi="宋体" w:cs="宋体"/>
                <w:color w:val="auto"/>
                <w:szCs w:val="21"/>
                <w:highlight w:val="none"/>
                <w:lang w:bidi="ar"/>
              </w:rPr>
              <w:t>（</w:t>
            </w:r>
            <w:r>
              <w:rPr>
                <w:rFonts w:ascii="宋体" w:hAnsi="宋体" w:cs="宋体"/>
                <w:color w:val="auto"/>
                <w:szCs w:val="21"/>
                <w:highlight w:val="none"/>
                <w:lang w:bidi="ar"/>
              </w:rPr>
              <w:t>2</w:t>
            </w:r>
            <w:r>
              <w:rPr>
                <w:rFonts w:hint="eastAsia" w:ascii="宋体" w:hAnsi="宋体" w:cs="宋体"/>
                <w:color w:val="auto"/>
                <w:szCs w:val="21"/>
                <w:highlight w:val="none"/>
                <w:lang w:bidi="ar"/>
              </w:rPr>
              <w:t>）投标文件中提供不多于5项相关业绩证明材料。如超过5项的，取符合要求的前5项业绩作为定标考虑因素。</w:t>
            </w:r>
          </w:p>
        </w:tc>
      </w:tr>
      <w:tr>
        <w:tblPrEx>
          <w:tblCellMar>
            <w:top w:w="0" w:type="dxa"/>
            <w:left w:w="0" w:type="dxa"/>
            <w:bottom w:w="0" w:type="dxa"/>
            <w:right w:w="0" w:type="dxa"/>
          </w:tblCellMar>
        </w:tblPrEx>
        <w:trPr>
          <w:trHeight w:val="739" w:hRule="atLeast"/>
        </w:trPr>
        <w:tc>
          <w:tcPr>
            <w:tcW w:w="526" w:type="pct"/>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sz w:val="21"/>
                <w:szCs w:val="21"/>
                <w:highlight w:val="none"/>
                <w:lang w:bidi="ar"/>
              </w:rPr>
              <w:t>货物因素</w:t>
            </w:r>
          </w:p>
        </w:tc>
        <w:tc>
          <w:tcPr>
            <w:tcW w:w="578" w:type="pct"/>
            <w:vMerge w:val="restart"/>
            <w:tcBorders>
              <w:top w:val="single" w:color="000000" w:sz="4" w:space="0"/>
              <w:left w:val="nil"/>
              <w:right w:val="single" w:color="000000" w:sz="4" w:space="0"/>
            </w:tcBorders>
            <w:tcMar>
              <w:top w:w="10" w:type="dxa"/>
              <w:left w:w="10" w:type="dxa"/>
              <w:right w:w="10" w:type="dxa"/>
            </w:tcMar>
            <w:vAlign w:val="center"/>
          </w:tcPr>
          <w:p>
            <w:pPr>
              <w:widowControl/>
              <w:jc w:val="center"/>
              <w:textAlignment w:val="center"/>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电梯关键</w:t>
            </w:r>
          </w:p>
          <w:p>
            <w:pPr>
              <w:jc w:val="center"/>
              <w:textAlignment w:val="center"/>
              <w:rPr>
                <w:rFonts w:ascii="宋体" w:hAnsi="宋体" w:cs="宋体"/>
                <w:color w:val="auto"/>
                <w:sz w:val="21"/>
                <w:szCs w:val="21"/>
                <w:highlight w:val="none"/>
              </w:rPr>
            </w:pPr>
            <w:r>
              <w:rPr>
                <w:rFonts w:hint="eastAsia" w:ascii="宋体" w:hAnsi="宋体" w:cs="宋体"/>
                <w:color w:val="auto"/>
                <w:sz w:val="21"/>
                <w:szCs w:val="21"/>
                <w:highlight w:val="none"/>
                <w:lang w:bidi="ar"/>
              </w:rPr>
              <w:t>部件</w:t>
            </w:r>
          </w:p>
        </w:tc>
        <w:tc>
          <w:tcPr>
            <w:tcW w:w="3896" w:type="pct"/>
            <w:tcBorders>
              <w:top w:val="single" w:color="000000" w:sz="4" w:space="0"/>
              <w:left w:val="single" w:color="000000" w:sz="4" w:space="0"/>
              <w:right w:val="single" w:color="000000" w:sz="4" w:space="0"/>
            </w:tcBorders>
            <w:tcMar>
              <w:top w:w="10" w:type="dxa"/>
              <w:left w:w="10" w:type="dxa"/>
              <w:right w:w="10" w:type="dxa"/>
            </w:tcMar>
            <w:vAlign w:val="center"/>
          </w:tcPr>
          <w:p>
            <w:pPr>
              <w:ind w:right="89" w:rightChars="37"/>
              <w:jc w:val="both"/>
              <w:textAlignment w:val="center"/>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曳引机及其控制系统：</w:t>
            </w:r>
          </w:p>
          <w:p>
            <w:pPr>
              <w:pStyle w:val="49"/>
              <w:spacing w:after="0"/>
              <w:ind w:left="0" w:leftChars="0" w:firstLine="0" w:firstLineChars="0"/>
              <w:rPr>
                <w:color w:val="auto"/>
                <w:szCs w:val="21"/>
                <w:highlight w:val="none"/>
                <w:lang w:bidi="ar"/>
              </w:rPr>
            </w:pPr>
            <w:r>
              <w:rPr>
                <w:rFonts w:hint="eastAsia"/>
                <w:color w:val="auto"/>
                <w:szCs w:val="21"/>
                <w:highlight w:val="none"/>
                <w:lang w:bidi="ar"/>
              </w:rPr>
              <w:t>1、根据曳引机是否为永磁同步无齿轮曳引机，是否采用32位以上微机控制交流变频变压驱动系统进行综合评价。</w:t>
            </w:r>
          </w:p>
          <w:p>
            <w:pPr>
              <w:pStyle w:val="49"/>
              <w:spacing w:after="0"/>
              <w:ind w:left="0" w:leftChars="0" w:firstLine="0" w:firstLineChars="0"/>
              <w:rPr>
                <w:color w:val="auto"/>
                <w:szCs w:val="21"/>
                <w:highlight w:val="none"/>
                <w:lang w:bidi="ar"/>
              </w:rPr>
            </w:pPr>
            <w:r>
              <w:rPr>
                <w:rFonts w:hint="eastAsia"/>
                <w:color w:val="auto"/>
                <w:szCs w:val="21"/>
                <w:highlight w:val="none"/>
                <w:lang w:bidi="ar"/>
              </w:rPr>
              <w:t>2、根据曳引机的品牌及性能在所有合格中标候选人进行横向对比。</w:t>
            </w:r>
          </w:p>
        </w:tc>
      </w:tr>
      <w:tr>
        <w:tblPrEx>
          <w:tblCellMar>
            <w:top w:w="0" w:type="dxa"/>
            <w:left w:w="0" w:type="dxa"/>
            <w:bottom w:w="0" w:type="dxa"/>
            <w:right w:w="0" w:type="dxa"/>
          </w:tblCellMar>
        </w:tblPrEx>
        <w:trPr>
          <w:trHeight w:val="736" w:hRule="atLeast"/>
        </w:trPr>
        <w:tc>
          <w:tcPr>
            <w:tcW w:w="526" w:type="pct"/>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auto"/>
                <w:sz w:val="21"/>
                <w:szCs w:val="21"/>
                <w:highlight w:val="none"/>
                <w:lang w:bidi="ar"/>
              </w:rPr>
            </w:pPr>
          </w:p>
        </w:tc>
        <w:tc>
          <w:tcPr>
            <w:tcW w:w="578" w:type="pct"/>
            <w:vMerge w:val="continue"/>
            <w:tcBorders>
              <w:left w:val="nil"/>
              <w:right w:val="single" w:color="000000" w:sz="4" w:space="0"/>
            </w:tcBorders>
            <w:tcMar>
              <w:top w:w="10" w:type="dxa"/>
              <w:left w:w="10" w:type="dxa"/>
              <w:right w:w="10" w:type="dxa"/>
            </w:tcMar>
            <w:vAlign w:val="center"/>
          </w:tcPr>
          <w:p>
            <w:pPr>
              <w:widowControl/>
              <w:jc w:val="center"/>
              <w:textAlignment w:val="center"/>
              <w:rPr>
                <w:rFonts w:ascii="宋体" w:hAnsi="宋体" w:cs="宋体"/>
                <w:color w:val="auto"/>
                <w:sz w:val="21"/>
                <w:szCs w:val="21"/>
                <w:highlight w:val="none"/>
                <w:lang w:bidi="ar"/>
              </w:rPr>
            </w:pPr>
          </w:p>
        </w:tc>
        <w:tc>
          <w:tcPr>
            <w:tcW w:w="3896" w:type="pct"/>
            <w:tcBorders>
              <w:top w:val="single" w:color="000000" w:sz="4" w:space="0"/>
              <w:left w:val="single" w:color="000000" w:sz="4" w:space="0"/>
              <w:right w:val="single" w:color="000000" w:sz="4" w:space="0"/>
            </w:tcBorders>
            <w:tcMar>
              <w:top w:w="10" w:type="dxa"/>
              <w:left w:w="10" w:type="dxa"/>
              <w:right w:w="10" w:type="dxa"/>
            </w:tcMar>
            <w:vAlign w:val="center"/>
          </w:tcPr>
          <w:p>
            <w:pPr>
              <w:ind w:right="89" w:rightChars="37"/>
              <w:jc w:val="both"/>
              <w:textAlignment w:val="center"/>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控制柜以及变频器：</w:t>
            </w:r>
          </w:p>
          <w:p>
            <w:pPr>
              <w:pStyle w:val="49"/>
              <w:spacing w:after="0"/>
              <w:ind w:left="0" w:leftChars="0" w:firstLine="0" w:firstLineChars="0"/>
              <w:jc w:val="both"/>
              <w:rPr>
                <w:color w:val="auto"/>
                <w:szCs w:val="21"/>
                <w:highlight w:val="none"/>
                <w:lang w:bidi="ar"/>
              </w:rPr>
            </w:pPr>
            <w:r>
              <w:rPr>
                <w:rFonts w:hint="eastAsia"/>
                <w:color w:val="auto"/>
                <w:szCs w:val="21"/>
                <w:highlight w:val="none"/>
                <w:lang w:bidi="ar"/>
              </w:rPr>
              <w:t>1、根据控制柜及变频器的品牌及电磁兼容性性能等在所有合格中标候选人进行横向对比。</w:t>
            </w:r>
          </w:p>
        </w:tc>
      </w:tr>
      <w:tr>
        <w:tblPrEx>
          <w:tblCellMar>
            <w:top w:w="0" w:type="dxa"/>
            <w:left w:w="0" w:type="dxa"/>
            <w:bottom w:w="0" w:type="dxa"/>
            <w:right w:w="0" w:type="dxa"/>
          </w:tblCellMar>
        </w:tblPrEx>
        <w:trPr>
          <w:trHeight w:val="736" w:hRule="atLeast"/>
        </w:trPr>
        <w:tc>
          <w:tcPr>
            <w:tcW w:w="526" w:type="pct"/>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auto"/>
                <w:sz w:val="21"/>
                <w:szCs w:val="21"/>
                <w:highlight w:val="none"/>
                <w:lang w:bidi="ar"/>
              </w:rPr>
            </w:pPr>
          </w:p>
        </w:tc>
        <w:tc>
          <w:tcPr>
            <w:tcW w:w="578" w:type="pct"/>
            <w:vMerge w:val="continue"/>
            <w:tcBorders>
              <w:left w:val="nil"/>
              <w:right w:val="single" w:color="000000" w:sz="4" w:space="0"/>
            </w:tcBorders>
            <w:tcMar>
              <w:top w:w="10" w:type="dxa"/>
              <w:left w:w="10" w:type="dxa"/>
              <w:right w:w="10" w:type="dxa"/>
            </w:tcMar>
            <w:vAlign w:val="center"/>
          </w:tcPr>
          <w:p>
            <w:pPr>
              <w:widowControl/>
              <w:jc w:val="center"/>
              <w:textAlignment w:val="center"/>
              <w:rPr>
                <w:rFonts w:ascii="宋体" w:hAnsi="宋体" w:cs="宋体"/>
                <w:color w:val="auto"/>
                <w:sz w:val="21"/>
                <w:szCs w:val="21"/>
                <w:highlight w:val="none"/>
                <w:lang w:bidi="ar"/>
              </w:rPr>
            </w:pPr>
          </w:p>
        </w:tc>
        <w:tc>
          <w:tcPr>
            <w:tcW w:w="3896" w:type="pct"/>
            <w:tcBorders>
              <w:top w:val="single" w:color="000000" w:sz="4" w:space="0"/>
              <w:left w:val="single" w:color="000000" w:sz="4" w:space="0"/>
              <w:right w:val="single" w:color="000000" w:sz="4" w:space="0"/>
            </w:tcBorders>
            <w:tcMar>
              <w:top w:w="10" w:type="dxa"/>
              <w:left w:w="10" w:type="dxa"/>
              <w:right w:w="10" w:type="dxa"/>
            </w:tcMar>
            <w:vAlign w:val="center"/>
          </w:tcPr>
          <w:p>
            <w:pPr>
              <w:ind w:right="89" w:rightChars="37"/>
              <w:jc w:val="both"/>
              <w:textAlignment w:val="center"/>
              <w:rPr>
                <w:rFonts w:ascii="宋体" w:hAnsi="宋体" w:cs="宋体"/>
                <w:color w:val="auto"/>
                <w:sz w:val="21"/>
                <w:szCs w:val="21"/>
                <w:highlight w:val="none"/>
                <w:lang w:bidi="ar"/>
              </w:rPr>
            </w:pPr>
            <w:r>
              <w:rPr>
                <w:rFonts w:ascii="宋体" w:hAnsi="宋体" w:cs="宋体"/>
                <w:color w:val="auto"/>
                <w:sz w:val="21"/>
                <w:szCs w:val="21"/>
                <w:highlight w:val="none"/>
                <w:lang w:bidi="ar"/>
              </w:rPr>
              <w:t>门机控制系统</w:t>
            </w:r>
            <w:r>
              <w:rPr>
                <w:rFonts w:hint="eastAsia" w:ascii="宋体" w:hAnsi="宋体" w:cs="宋体"/>
                <w:color w:val="auto"/>
                <w:sz w:val="21"/>
                <w:szCs w:val="21"/>
                <w:highlight w:val="none"/>
                <w:lang w:bidi="ar"/>
              </w:rPr>
              <w:t>：</w:t>
            </w:r>
          </w:p>
          <w:p>
            <w:pPr>
              <w:pStyle w:val="49"/>
              <w:spacing w:after="0"/>
              <w:ind w:left="0" w:leftChars="0" w:firstLine="0" w:firstLineChars="0"/>
              <w:rPr>
                <w:color w:val="auto"/>
                <w:szCs w:val="21"/>
                <w:highlight w:val="none"/>
                <w:lang w:bidi="ar"/>
              </w:rPr>
            </w:pPr>
            <w:r>
              <w:rPr>
                <w:rFonts w:hint="eastAsia"/>
                <w:color w:val="auto"/>
                <w:szCs w:val="21"/>
                <w:highlight w:val="none"/>
                <w:lang w:bidi="ar"/>
              </w:rPr>
              <w:t>1、根据门机是否为永磁同步门机，门机驱动是否采用交流变频变压控制系统进行综合评价。</w:t>
            </w:r>
          </w:p>
          <w:p>
            <w:pPr>
              <w:pStyle w:val="49"/>
              <w:spacing w:after="0"/>
              <w:ind w:left="0" w:leftChars="0" w:firstLine="0" w:firstLineChars="0"/>
              <w:rPr>
                <w:color w:val="auto"/>
                <w:szCs w:val="21"/>
                <w:highlight w:val="none"/>
                <w:lang w:bidi="ar"/>
              </w:rPr>
            </w:pPr>
            <w:r>
              <w:rPr>
                <w:rFonts w:hint="eastAsia"/>
                <w:color w:val="auto"/>
                <w:szCs w:val="21"/>
                <w:highlight w:val="none"/>
                <w:lang w:bidi="ar"/>
              </w:rPr>
              <w:t>2、根据门机控制系统的品牌及性能在所有合格中标候选人进行横向对比。</w:t>
            </w:r>
          </w:p>
        </w:tc>
      </w:tr>
      <w:tr>
        <w:tblPrEx>
          <w:tblCellMar>
            <w:top w:w="0" w:type="dxa"/>
            <w:left w:w="0" w:type="dxa"/>
            <w:bottom w:w="0" w:type="dxa"/>
            <w:right w:w="0" w:type="dxa"/>
          </w:tblCellMar>
        </w:tblPrEx>
        <w:trPr>
          <w:trHeight w:val="736" w:hRule="atLeast"/>
        </w:trPr>
        <w:tc>
          <w:tcPr>
            <w:tcW w:w="526" w:type="pct"/>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auto"/>
                <w:sz w:val="21"/>
                <w:szCs w:val="21"/>
                <w:highlight w:val="none"/>
                <w:lang w:bidi="ar"/>
              </w:rPr>
            </w:pPr>
          </w:p>
        </w:tc>
        <w:tc>
          <w:tcPr>
            <w:tcW w:w="578" w:type="pct"/>
            <w:vMerge w:val="continue"/>
            <w:tcBorders>
              <w:left w:val="nil"/>
              <w:right w:val="single" w:color="000000" w:sz="4" w:space="0"/>
            </w:tcBorders>
            <w:tcMar>
              <w:top w:w="10" w:type="dxa"/>
              <w:left w:w="10" w:type="dxa"/>
              <w:right w:w="10" w:type="dxa"/>
            </w:tcMar>
            <w:vAlign w:val="center"/>
          </w:tcPr>
          <w:p>
            <w:pPr>
              <w:widowControl/>
              <w:jc w:val="center"/>
              <w:textAlignment w:val="center"/>
              <w:rPr>
                <w:rFonts w:ascii="宋体" w:hAnsi="宋体" w:cs="宋体"/>
                <w:color w:val="auto"/>
                <w:sz w:val="21"/>
                <w:szCs w:val="21"/>
                <w:highlight w:val="none"/>
                <w:lang w:bidi="ar"/>
              </w:rPr>
            </w:pPr>
          </w:p>
        </w:tc>
        <w:tc>
          <w:tcPr>
            <w:tcW w:w="3896" w:type="pct"/>
            <w:tcBorders>
              <w:top w:val="single" w:color="000000" w:sz="4" w:space="0"/>
              <w:left w:val="single" w:color="000000" w:sz="4" w:space="0"/>
              <w:right w:val="single" w:color="000000" w:sz="4" w:space="0"/>
            </w:tcBorders>
            <w:tcMar>
              <w:top w:w="10" w:type="dxa"/>
              <w:left w:w="10" w:type="dxa"/>
              <w:right w:w="10" w:type="dxa"/>
            </w:tcMar>
            <w:vAlign w:val="center"/>
          </w:tcPr>
          <w:p>
            <w:pPr>
              <w:ind w:right="89" w:rightChars="37"/>
              <w:jc w:val="both"/>
              <w:textAlignment w:val="center"/>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门保护系统：</w:t>
            </w:r>
          </w:p>
          <w:p>
            <w:pPr>
              <w:pStyle w:val="49"/>
              <w:spacing w:after="0"/>
              <w:ind w:left="0" w:leftChars="0" w:firstLine="0" w:firstLineChars="0"/>
              <w:rPr>
                <w:color w:val="auto"/>
                <w:szCs w:val="21"/>
                <w:highlight w:val="none"/>
                <w:lang w:bidi="ar"/>
              </w:rPr>
            </w:pPr>
            <w:r>
              <w:rPr>
                <w:rFonts w:hint="eastAsia"/>
                <w:color w:val="auto"/>
                <w:szCs w:val="21"/>
                <w:highlight w:val="none"/>
                <w:lang w:bidi="ar"/>
              </w:rPr>
              <w:t>1、根据</w:t>
            </w:r>
            <w:r>
              <w:rPr>
                <w:rFonts w:hint="eastAsia" w:ascii="宋体" w:hAnsi="宋体" w:cs="宋体"/>
                <w:color w:val="auto"/>
                <w:szCs w:val="21"/>
                <w:highlight w:val="none"/>
                <w:lang w:bidi="ar"/>
              </w:rPr>
              <w:t>门保护系统的性能</w:t>
            </w:r>
            <w:r>
              <w:rPr>
                <w:rFonts w:hint="eastAsia"/>
                <w:color w:val="auto"/>
                <w:szCs w:val="21"/>
                <w:highlight w:val="none"/>
                <w:lang w:bidi="ar"/>
              </w:rPr>
              <w:t>在所有合格中标候选人进行横向对比。</w:t>
            </w:r>
          </w:p>
        </w:tc>
      </w:tr>
      <w:tr>
        <w:tblPrEx>
          <w:tblCellMar>
            <w:top w:w="0" w:type="dxa"/>
            <w:left w:w="0" w:type="dxa"/>
            <w:bottom w:w="0" w:type="dxa"/>
            <w:right w:w="0" w:type="dxa"/>
          </w:tblCellMar>
        </w:tblPrEx>
        <w:trPr>
          <w:trHeight w:val="670" w:hRule="atLeast"/>
        </w:trPr>
        <w:tc>
          <w:tcPr>
            <w:tcW w:w="526" w:type="pct"/>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auto"/>
                <w:sz w:val="21"/>
                <w:szCs w:val="21"/>
                <w:highlight w:val="none"/>
                <w:lang w:bidi="ar"/>
              </w:rPr>
            </w:pPr>
          </w:p>
        </w:tc>
        <w:tc>
          <w:tcPr>
            <w:tcW w:w="578" w:type="pct"/>
            <w:tcBorders>
              <w:top w:val="single" w:color="000000" w:sz="4" w:space="0"/>
              <w:left w:val="nil"/>
              <w:right w:val="single" w:color="000000" w:sz="4" w:space="0"/>
            </w:tcBorders>
            <w:tcMar>
              <w:top w:w="10" w:type="dxa"/>
              <w:left w:w="10" w:type="dxa"/>
              <w:right w:w="10" w:type="dxa"/>
            </w:tcMar>
            <w:vAlign w:val="center"/>
          </w:tcPr>
          <w:p>
            <w:pPr>
              <w:widowControl/>
              <w:jc w:val="center"/>
              <w:textAlignment w:val="center"/>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偏</w:t>
            </w:r>
            <w:r>
              <w:rPr>
                <w:rFonts w:hint="eastAsia" w:ascii="宋体" w:hAnsi="宋体" w:cs="宋体"/>
                <w:color w:val="auto"/>
                <w:sz w:val="21"/>
                <w:szCs w:val="21"/>
                <w:highlight w:val="none"/>
                <w:lang w:bidi="ar"/>
              </w:rPr>
              <w:t>差</w:t>
            </w:r>
            <w:r>
              <w:rPr>
                <w:rFonts w:hint="eastAsia" w:ascii="宋体" w:hAnsi="宋体" w:cs="宋体"/>
                <w:color w:val="auto"/>
                <w:sz w:val="21"/>
                <w:szCs w:val="21"/>
                <w:highlight w:val="none"/>
                <w:lang w:bidi="ar"/>
              </w:rPr>
              <w:t>因素</w:t>
            </w:r>
          </w:p>
        </w:tc>
        <w:tc>
          <w:tcPr>
            <w:tcW w:w="3896" w:type="pct"/>
            <w:tcBorders>
              <w:top w:val="single" w:color="000000" w:sz="4" w:space="0"/>
              <w:left w:val="single" w:color="000000" w:sz="4" w:space="0"/>
              <w:right w:val="single" w:color="000000" w:sz="4" w:space="0"/>
            </w:tcBorders>
            <w:tcMar>
              <w:top w:w="10" w:type="dxa"/>
              <w:left w:w="10" w:type="dxa"/>
              <w:right w:w="10" w:type="dxa"/>
            </w:tcMar>
            <w:vAlign w:val="center"/>
          </w:tcPr>
          <w:p>
            <w:pPr>
              <w:pStyle w:val="60"/>
              <w:widowControl/>
              <w:ind w:firstLine="0" w:firstLineChars="0"/>
              <w:jc w:val="both"/>
              <w:textAlignment w:val="center"/>
              <w:rPr>
                <w:rFonts w:ascii="宋体" w:hAnsi="宋体" w:cs="宋体"/>
                <w:color w:val="auto"/>
                <w:sz w:val="21"/>
                <w:szCs w:val="21"/>
                <w:highlight w:val="none"/>
                <w:lang w:bidi="ar"/>
              </w:rPr>
            </w:pPr>
            <w:r>
              <w:rPr>
                <w:rFonts w:ascii="宋体" w:hAnsi="宋体" w:cs="宋体"/>
                <w:color w:val="auto"/>
                <w:sz w:val="21"/>
                <w:szCs w:val="21"/>
                <w:highlight w:val="none"/>
                <w:lang w:bidi="ar"/>
              </w:rPr>
              <w:t>根据投标人提供的《电梯技术要求及参数响应表》，在所有合格的中标候选人中进行</w:t>
            </w:r>
            <w:r>
              <w:rPr>
                <w:rFonts w:hint="eastAsia" w:ascii="宋体" w:hAnsi="宋体" w:cs="宋体"/>
                <w:color w:val="auto"/>
                <w:sz w:val="21"/>
                <w:szCs w:val="21"/>
                <w:highlight w:val="none"/>
                <w:lang w:bidi="ar"/>
              </w:rPr>
              <w:t>综合评价</w:t>
            </w:r>
            <w:r>
              <w:rPr>
                <w:rFonts w:ascii="宋体" w:hAnsi="宋体" w:cs="宋体"/>
                <w:color w:val="auto"/>
                <w:sz w:val="21"/>
                <w:szCs w:val="21"/>
                <w:highlight w:val="none"/>
                <w:lang w:bidi="ar"/>
              </w:rPr>
              <w:t>。</w:t>
            </w:r>
          </w:p>
        </w:tc>
      </w:tr>
      <w:tr>
        <w:tblPrEx>
          <w:tblCellMar>
            <w:top w:w="0" w:type="dxa"/>
            <w:left w:w="0" w:type="dxa"/>
            <w:bottom w:w="0" w:type="dxa"/>
            <w:right w:w="0" w:type="dxa"/>
          </w:tblCellMar>
        </w:tblPrEx>
        <w:trPr>
          <w:trHeight w:val="978" w:hRule="atLeast"/>
        </w:trPr>
        <w:tc>
          <w:tcPr>
            <w:tcW w:w="526" w:type="pct"/>
            <w:vMerge w:val="restart"/>
            <w:tcBorders>
              <w:top w:val="single" w:color="auto" w:sz="4" w:space="0"/>
              <w:left w:val="single" w:color="auto" w:sz="4" w:space="0"/>
              <w:right w:val="single" w:color="auto" w:sz="4" w:space="0"/>
            </w:tcBorders>
            <w:tcMar>
              <w:top w:w="10" w:type="dxa"/>
              <w:left w:w="10" w:type="dxa"/>
              <w:right w:w="10" w:type="dxa"/>
            </w:tcMar>
            <w:vAlign w:val="center"/>
          </w:tcPr>
          <w:p>
            <w:pPr>
              <w:jc w:val="center"/>
              <w:textAlignment w:val="center"/>
              <w:rPr>
                <w:rFonts w:ascii="宋体" w:hAnsi="宋体" w:cs="宋体"/>
                <w:color w:val="auto"/>
                <w:sz w:val="21"/>
                <w:szCs w:val="21"/>
                <w:highlight w:val="none"/>
              </w:rPr>
            </w:pPr>
            <w:r>
              <w:rPr>
                <w:rFonts w:hint="eastAsia" w:ascii="宋体" w:hAnsi="宋体" w:cs="宋体"/>
                <w:color w:val="auto"/>
                <w:sz w:val="21"/>
                <w:szCs w:val="21"/>
                <w:highlight w:val="none"/>
                <w:lang w:bidi="ar"/>
              </w:rPr>
              <w:t>服务方案</w:t>
            </w:r>
          </w:p>
        </w:tc>
        <w:tc>
          <w:tcPr>
            <w:tcW w:w="578" w:type="pct"/>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sz w:val="21"/>
                <w:szCs w:val="21"/>
                <w:highlight w:val="none"/>
                <w:lang w:bidi="ar"/>
              </w:rPr>
              <w:t>电梯供货、安装服务方案</w:t>
            </w:r>
          </w:p>
        </w:tc>
        <w:tc>
          <w:tcPr>
            <w:tcW w:w="3896" w:type="pct"/>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ind w:left="60" w:leftChars="25" w:right="89" w:rightChars="37"/>
              <w:jc w:val="both"/>
              <w:textAlignment w:val="center"/>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根据投标人的电梯供货、安装、调试、验收方案及进度计划，在所有合格中标候选人中进行</w:t>
            </w:r>
            <w:r>
              <w:rPr>
                <w:rFonts w:hint="eastAsia"/>
                <w:color w:val="auto"/>
                <w:sz w:val="21"/>
                <w:szCs w:val="21"/>
                <w:highlight w:val="none"/>
                <w:lang w:bidi="ar"/>
              </w:rPr>
              <w:t>横向对比</w:t>
            </w:r>
            <w:r>
              <w:rPr>
                <w:rFonts w:hint="eastAsia" w:ascii="宋体" w:hAnsi="宋体" w:cs="宋体"/>
                <w:color w:val="auto"/>
                <w:sz w:val="21"/>
                <w:szCs w:val="21"/>
                <w:highlight w:val="none"/>
                <w:lang w:bidi="ar"/>
              </w:rPr>
              <w:t>。</w:t>
            </w:r>
          </w:p>
        </w:tc>
      </w:tr>
      <w:tr>
        <w:tblPrEx>
          <w:tblCellMar>
            <w:top w:w="0" w:type="dxa"/>
            <w:left w:w="0" w:type="dxa"/>
            <w:bottom w:w="0" w:type="dxa"/>
            <w:right w:w="0" w:type="dxa"/>
          </w:tblCellMar>
        </w:tblPrEx>
        <w:trPr>
          <w:trHeight w:val="264" w:hRule="atLeast"/>
        </w:trPr>
        <w:tc>
          <w:tcPr>
            <w:tcW w:w="526" w:type="pct"/>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cs="宋体"/>
                <w:color w:val="auto"/>
                <w:sz w:val="21"/>
                <w:szCs w:val="21"/>
                <w:highlight w:val="none"/>
              </w:rPr>
            </w:pPr>
          </w:p>
        </w:tc>
        <w:tc>
          <w:tcPr>
            <w:tcW w:w="578" w:type="pc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sz w:val="21"/>
                <w:szCs w:val="21"/>
                <w:highlight w:val="none"/>
                <w:lang w:bidi="ar"/>
              </w:rPr>
              <w:t>售后服务</w:t>
            </w:r>
          </w:p>
        </w:tc>
        <w:tc>
          <w:tcPr>
            <w:tcW w:w="3896"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ind w:left="60" w:leftChars="25" w:right="89" w:rightChars="37"/>
              <w:jc w:val="both"/>
              <w:textAlignment w:val="center"/>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根据投标人整体售后服务方案、是否有项目所在地售后服务机构的专业维修队伍、是否有零配件仓库、配件供应能力、紧急维修服务响应时间等，在所有合格的中标候选人中进行</w:t>
            </w:r>
            <w:r>
              <w:rPr>
                <w:rFonts w:hint="eastAsia"/>
                <w:color w:val="auto"/>
                <w:sz w:val="21"/>
                <w:szCs w:val="21"/>
                <w:highlight w:val="none"/>
                <w:lang w:bidi="ar"/>
              </w:rPr>
              <w:t>横向对比</w:t>
            </w:r>
            <w:r>
              <w:rPr>
                <w:rFonts w:hint="eastAsia" w:ascii="宋体" w:hAnsi="宋体" w:cs="宋体"/>
                <w:color w:val="auto"/>
                <w:sz w:val="21"/>
                <w:szCs w:val="21"/>
                <w:highlight w:val="none"/>
                <w:lang w:bidi="ar"/>
              </w:rPr>
              <w:t>。</w:t>
            </w:r>
          </w:p>
        </w:tc>
      </w:tr>
      <w:tr>
        <w:tblPrEx>
          <w:tblCellMar>
            <w:top w:w="0" w:type="dxa"/>
            <w:left w:w="0" w:type="dxa"/>
            <w:bottom w:w="0" w:type="dxa"/>
            <w:right w:w="0" w:type="dxa"/>
          </w:tblCellMar>
        </w:tblPrEx>
        <w:trPr>
          <w:trHeight w:val="844" w:hRule="atLeast"/>
        </w:trPr>
        <w:tc>
          <w:tcPr>
            <w:tcW w:w="526" w:type="pct"/>
            <w:vMerge w:val="continue"/>
            <w:tcBorders>
              <w:left w:val="single" w:color="auto" w:sz="4" w:space="0"/>
              <w:bottom w:val="single" w:color="000000" w:sz="4" w:space="0"/>
              <w:right w:val="single" w:color="auto" w:sz="4" w:space="0"/>
            </w:tcBorders>
            <w:tcMar>
              <w:top w:w="10" w:type="dxa"/>
              <w:left w:w="10" w:type="dxa"/>
              <w:right w:w="10" w:type="dxa"/>
            </w:tcMar>
            <w:vAlign w:val="center"/>
          </w:tcPr>
          <w:p>
            <w:pPr>
              <w:widowControl/>
              <w:jc w:val="center"/>
              <w:textAlignment w:val="center"/>
              <w:rPr>
                <w:rFonts w:ascii="宋体" w:hAnsi="宋体" w:cs="宋体"/>
                <w:color w:val="auto"/>
                <w:sz w:val="21"/>
                <w:szCs w:val="21"/>
                <w:highlight w:val="none"/>
              </w:rPr>
            </w:pPr>
          </w:p>
        </w:tc>
        <w:tc>
          <w:tcPr>
            <w:tcW w:w="578" w:type="pct"/>
            <w:tcBorders>
              <w:top w:val="single" w:color="000000" w:sz="4" w:space="0"/>
              <w:left w:val="single" w:color="auto" w:sz="4" w:space="0"/>
              <w:bottom w:val="single" w:color="000000" w:sz="4" w:space="0"/>
              <w:right w:val="single" w:color="000000" w:sz="4" w:space="0"/>
            </w:tcBorders>
            <w:vAlign w:val="center"/>
          </w:tcPr>
          <w:p>
            <w:pPr>
              <w:widowControl/>
              <w:jc w:val="both"/>
              <w:textAlignment w:val="center"/>
              <w:rPr>
                <w:rFonts w:ascii="宋体" w:hAnsi="宋体" w:cs="宋体"/>
                <w:color w:val="auto"/>
                <w:sz w:val="21"/>
                <w:szCs w:val="21"/>
                <w:highlight w:val="none"/>
                <w:lang w:bidi="ar"/>
              </w:rPr>
            </w:pPr>
            <w:r>
              <w:rPr>
                <w:rFonts w:hint="eastAsia"/>
                <w:color w:val="auto"/>
                <w:sz w:val="21"/>
                <w:szCs w:val="21"/>
                <w:highlight w:val="none"/>
              </w:rPr>
              <w:t>安全生产不良行为扣分情况</w:t>
            </w:r>
          </w:p>
        </w:tc>
        <w:tc>
          <w:tcPr>
            <w:tcW w:w="3896"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ind w:left="60" w:leftChars="25" w:right="89" w:rightChars="37"/>
              <w:jc w:val="both"/>
              <w:textAlignment w:val="center"/>
              <w:rPr>
                <w:rFonts w:ascii="宋体" w:hAnsi="宋体" w:cs="宋体"/>
                <w:color w:val="auto"/>
                <w:sz w:val="21"/>
                <w:szCs w:val="21"/>
                <w:highlight w:val="none"/>
                <w:lang w:bidi="ar"/>
              </w:rPr>
            </w:pPr>
            <w:r>
              <w:rPr>
                <w:rFonts w:hint="eastAsia"/>
                <w:color w:val="auto"/>
                <w:sz w:val="21"/>
                <w:szCs w:val="21"/>
                <w:highlight w:val="none"/>
              </w:rPr>
              <w:t>定标委员会根据招标人上级单位对合格投标人过往在招标人上级集团单位系内的参建项目的安全生产不良行为扣分和处理情况进行综合评价。</w:t>
            </w:r>
          </w:p>
        </w:tc>
      </w:tr>
    </w:tbl>
    <w:p>
      <w:pPr>
        <w:rPr>
          <w:rFonts w:ascii="宋体" w:hAnsi="宋体"/>
          <w:b/>
          <w:bCs/>
          <w:color w:val="auto"/>
          <w:szCs w:val="32"/>
          <w:highlight w:val="none"/>
        </w:rPr>
      </w:pPr>
      <w:bookmarkStart w:id="174" w:name="bookmark92"/>
      <w:bookmarkEnd w:id="174"/>
      <w:r>
        <w:rPr>
          <w:rFonts w:cs="宋体"/>
          <w:color w:val="auto"/>
          <w:highlight w:val="none"/>
        </w:rPr>
        <w:br w:type="page"/>
      </w:r>
      <w:r>
        <w:rPr>
          <w:rFonts w:hint="eastAsia" w:cs="宋体"/>
          <w:color w:val="auto"/>
          <w:highlight w:val="none"/>
        </w:rPr>
        <w:t>附表二</w:t>
      </w:r>
      <w:r>
        <w:rPr>
          <w:rFonts w:hint="eastAsia" w:ascii="宋体" w:hAnsi="宋体"/>
          <w:color w:val="auto"/>
          <w:szCs w:val="32"/>
          <w:highlight w:val="none"/>
        </w:rPr>
        <w:t>（本页发给定标委员会成员，投票结束时收回）</w:t>
      </w:r>
    </w:p>
    <w:p>
      <w:pPr>
        <w:jc w:val="center"/>
        <w:rPr>
          <w:rFonts w:ascii="宋体" w:hAnsi="宋体"/>
          <w:b/>
          <w:color w:val="auto"/>
          <w:sz w:val="32"/>
          <w:szCs w:val="32"/>
          <w:highlight w:val="none"/>
        </w:rPr>
      </w:pPr>
    </w:p>
    <w:p>
      <w:pPr>
        <w:snapToGrid w:val="0"/>
        <w:spacing w:line="360" w:lineRule="auto"/>
        <w:jc w:val="center"/>
        <w:rPr>
          <w:rFonts w:ascii="宋体" w:hAnsi="宋体" w:cs="宋体"/>
          <w:b/>
          <w:bCs/>
          <w:color w:val="auto"/>
          <w:highlight w:val="none"/>
        </w:rPr>
      </w:pPr>
      <w:r>
        <w:rPr>
          <w:rFonts w:hint="eastAsia" w:ascii="宋体" w:hAnsi="宋体" w:cs="宋体"/>
          <w:b/>
          <w:bCs/>
          <w:color w:val="auto"/>
          <w:highlight w:val="none"/>
        </w:rPr>
        <w:t>定标选票</w:t>
      </w:r>
    </w:p>
    <w:p>
      <w:pPr>
        <w:snapToGrid w:val="0"/>
        <w:spacing w:line="360" w:lineRule="auto"/>
        <w:rPr>
          <w:rFonts w:ascii="宋体" w:hAnsi="宋体" w:cs="宋体"/>
          <w:color w:val="auto"/>
          <w:highlight w:val="none"/>
        </w:rPr>
      </w:pPr>
      <w:r>
        <w:rPr>
          <w:rFonts w:hint="eastAsia" w:ascii="宋体" w:hAnsi="宋体" w:cs="宋体"/>
          <w:color w:val="auto"/>
          <w:highlight w:val="none"/>
        </w:rPr>
        <w:t>项目名称：</w:t>
      </w:r>
    </w:p>
    <w:tbl>
      <w:tblPr>
        <w:tblStyle w:val="26"/>
        <w:tblW w:w="463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
        <w:gridCol w:w="2260"/>
        <w:gridCol w:w="1346"/>
        <w:gridCol w:w="3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819" w:type="pct"/>
            <w:tcBorders>
              <w:top w:val="double" w:color="auto" w:sz="4" w:space="0"/>
              <w:left w:val="double" w:color="auto" w:sz="4" w:space="0"/>
              <w:bottom w:val="double" w:color="auto" w:sz="4" w:space="0"/>
              <w:right w:val="single" w:color="auto" w:sz="4" w:space="0"/>
              <w:tl2br w:val="single" w:color="auto" w:sz="4" w:space="0"/>
            </w:tcBorders>
          </w:tcPr>
          <w:p>
            <w:pPr>
              <w:jc w:val="center"/>
              <w:rPr>
                <w:rFonts w:ascii="宋体" w:hAnsi="宋体"/>
                <w:b/>
                <w:color w:val="auto"/>
                <w:szCs w:val="21"/>
                <w:highlight w:val="none"/>
              </w:rPr>
            </w:pPr>
            <w:r>
              <w:rPr>
                <w:rFonts w:hint="eastAsia" w:ascii="宋体" w:hAnsi="宋体"/>
                <w:color w:val="auto"/>
                <w:szCs w:val="21"/>
                <w:highlight w:val="none"/>
              </w:rPr>
              <w:t xml:space="preserve">   </w:t>
            </w:r>
            <w:r>
              <w:rPr>
                <w:rFonts w:hint="eastAsia" w:ascii="宋体" w:hAnsi="宋体"/>
                <w:b/>
                <w:color w:val="auto"/>
                <w:szCs w:val="21"/>
                <w:highlight w:val="none"/>
              </w:rPr>
              <w:t xml:space="preserve"> 项目</w:t>
            </w:r>
          </w:p>
          <w:p>
            <w:pPr>
              <w:snapToGrid w:val="0"/>
              <w:rPr>
                <w:rFonts w:ascii="宋体" w:hAnsi="宋体" w:cs="宋体"/>
                <w:b/>
                <w:color w:val="auto"/>
                <w:highlight w:val="none"/>
              </w:rPr>
            </w:pPr>
            <w:r>
              <w:rPr>
                <w:rFonts w:hint="eastAsia" w:ascii="宋体" w:hAnsi="宋体"/>
                <w:b/>
                <w:color w:val="auto"/>
                <w:szCs w:val="21"/>
                <w:highlight w:val="none"/>
              </w:rPr>
              <w:t>轮次</w:t>
            </w:r>
          </w:p>
        </w:tc>
        <w:tc>
          <w:tcPr>
            <w:tcW w:w="1313" w:type="pct"/>
            <w:tcBorders>
              <w:top w:val="double" w:color="auto" w:sz="4" w:space="0"/>
              <w:left w:val="single" w:color="auto" w:sz="4" w:space="0"/>
              <w:bottom w:val="double" w:color="auto" w:sz="4" w:space="0"/>
              <w:right w:val="single" w:color="auto" w:sz="4" w:space="0"/>
            </w:tcBorders>
            <w:vAlign w:val="center"/>
          </w:tcPr>
          <w:p>
            <w:pPr>
              <w:snapToGrid w:val="0"/>
              <w:jc w:val="center"/>
              <w:rPr>
                <w:rFonts w:ascii="宋体" w:hAnsi="宋体" w:cs="宋体"/>
                <w:b/>
                <w:color w:val="auto"/>
                <w:highlight w:val="none"/>
              </w:rPr>
            </w:pPr>
            <w:r>
              <w:rPr>
                <w:rFonts w:hint="eastAsia" w:ascii="宋体" w:hAnsi="宋体" w:cs="宋体"/>
                <w:b/>
                <w:color w:val="auto"/>
                <w:highlight w:val="none"/>
              </w:rPr>
              <w:t>支持的投标人名称</w:t>
            </w:r>
          </w:p>
        </w:tc>
        <w:tc>
          <w:tcPr>
            <w:tcW w:w="2868" w:type="pct"/>
            <w:gridSpan w:val="2"/>
            <w:tcBorders>
              <w:top w:val="double" w:color="auto" w:sz="4" w:space="0"/>
              <w:left w:val="nil"/>
              <w:bottom w:val="double" w:color="auto" w:sz="4" w:space="0"/>
              <w:right w:val="double" w:color="auto" w:sz="4" w:space="0"/>
            </w:tcBorders>
            <w:vAlign w:val="center"/>
          </w:tcPr>
          <w:p>
            <w:pPr>
              <w:snapToGrid w:val="0"/>
              <w:jc w:val="center"/>
              <w:rPr>
                <w:rFonts w:ascii="宋体" w:hAnsi="宋体" w:cs="宋体"/>
                <w:b/>
                <w:color w:val="auto"/>
                <w:highlight w:val="none"/>
              </w:rPr>
            </w:pPr>
            <w:r>
              <w:rPr>
                <w:rFonts w:hint="eastAsia" w:ascii="宋体" w:hAnsi="宋体"/>
                <w:b/>
                <w:color w:val="auto"/>
                <w:szCs w:val="21"/>
                <w:highlight w:val="none"/>
              </w:rPr>
              <w:t>支持理由（针对评审因素</w:t>
            </w:r>
            <w:r>
              <w:rPr>
                <w:rFonts w:hint="eastAsia" w:ascii="Times New Roman" w:hAnsi="Times New Roman"/>
                <w:b/>
                <w:color w:val="auto"/>
                <w:highlight w:val="none"/>
              </w:rPr>
              <w:t>撰写评语</w:t>
            </w:r>
            <w:r>
              <w:rPr>
                <w:rFonts w:hint="eastAsia" w:ascii="宋体" w:hAnsi="宋体"/>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9" w:type="pct"/>
            <w:vMerge w:val="restart"/>
            <w:tcBorders>
              <w:top w:val="double" w:color="auto" w:sz="4" w:space="0"/>
              <w:left w:val="doub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第1轮</w:t>
            </w:r>
          </w:p>
        </w:tc>
        <w:tc>
          <w:tcPr>
            <w:tcW w:w="1313" w:type="pct"/>
            <w:vMerge w:val="restart"/>
            <w:tcBorders>
              <w:top w:val="double" w:color="auto" w:sz="4" w:space="0"/>
              <w:left w:val="single" w:color="auto" w:sz="4" w:space="0"/>
              <w:right w:val="single" w:color="auto" w:sz="4" w:space="0"/>
            </w:tcBorders>
            <w:vAlign w:val="center"/>
          </w:tcPr>
          <w:p>
            <w:pPr>
              <w:rPr>
                <w:rFonts w:ascii="宋体" w:hAnsi="宋体" w:cs="宋体"/>
                <w:color w:val="auto"/>
                <w:highlight w:val="none"/>
              </w:rPr>
            </w:pPr>
          </w:p>
        </w:tc>
        <w:tc>
          <w:tcPr>
            <w:tcW w:w="782" w:type="pct"/>
            <w:tcBorders>
              <w:top w:val="double" w:color="auto" w:sz="4" w:space="0"/>
              <w:left w:val="nil"/>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价格因素</w:t>
            </w:r>
          </w:p>
        </w:tc>
        <w:tc>
          <w:tcPr>
            <w:tcW w:w="2086" w:type="pct"/>
            <w:tcBorders>
              <w:top w:val="double" w:color="auto" w:sz="4" w:space="0"/>
              <w:left w:val="nil"/>
              <w:bottom w:val="single" w:color="auto" w:sz="4" w:space="0"/>
              <w:right w:val="double" w:color="auto" w:sz="4" w:space="0"/>
            </w:tcBorders>
            <w:vAlign w:val="center"/>
          </w:tcPr>
          <w:p>
            <w:pPr>
              <w:snapToGrid w:val="0"/>
              <w:spacing w:line="36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9" w:type="pct"/>
            <w:vMerge w:val="continue"/>
            <w:tcBorders>
              <w:left w:val="double" w:color="auto" w:sz="4" w:space="0"/>
              <w:right w:val="single" w:color="auto" w:sz="4" w:space="0"/>
            </w:tcBorders>
          </w:tcPr>
          <w:p>
            <w:pPr>
              <w:snapToGrid w:val="0"/>
              <w:spacing w:line="360" w:lineRule="auto"/>
              <w:jc w:val="center"/>
              <w:rPr>
                <w:rFonts w:ascii="宋体" w:hAnsi="宋体" w:cs="宋体"/>
                <w:color w:val="auto"/>
                <w:highlight w:val="none"/>
              </w:rPr>
            </w:pPr>
          </w:p>
        </w:tc>
        <w:tc>
          <w:tcPr>
            <w:tcW w:w="1313" w:type="pct"/>
            <w:vMerge w:val="continue"/>
            <w:tcBorders>
              <w:left w:val="single" w:color="auto" w:sz="4" w:space="0"/>
              <w:right w:val="single" w:color="auto" w:sz="4" w:space="0"/>
            </w:tcBorders>
            <w:vAlign w:val="center"/>
          </w:tcPr>
          <w:p>
            <w:pPr>
              <w:snapToGrid w:val="0"/>
              <w:spacing w:line="360" w:lineRule="auto"/>
              <w:jc w:val="center"/>
              <w:rPr>
                <w:rFonts w:ascii="宋体" w:hAnsi="宋体" w:cs="宋体"/>
                <w:color w:val="auto"/>
                <w:highlight w:val="none"/>
              </w:rPr>
            </w:pPr>
          </w:p>
        </w:tc>
        <w:tc>
          <w:tcPr>
            <w:tcW w:w="782" w:type="pct"/>
            <w:tcBorders>
              <w:top w:val="single" w:color="auto" w:sz="4" w:space="0"/>
              <w:left w:val="nil"/>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资信因素</w:t>
            </w:r>
          </w:p>
        </w:tc>
        <w:tc>
          <w:tcPr>
            <w:tcW w:w="2086" w:type="pct"/>
            <w:tcBorders>
              <w:top w:val="single" w:color="auto" w:sz="4" w:space="0"/>
              <w:left w:val="nil"/>
              <w:bottom w:val="single" w:color="auto" w:sz="4" w:space="0"/>
              <w:right w:val="double" w:color="auto" w:sz="4" w:space="0"/>
            </w:tcBorders>
            <w:vAlign w:val="center"/>
          </w:tcPr>
          <w:p>
            <w:pPr>
              <w:snapToGrid w:val="0"/>
              <w:spacing w:line="36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9" w:type="pct"/>
            <w:vMerge w:val="continue"/>
            <w:tcBorders>
              <w:left w:val="double" w:color="auto" w:sz="4" w:space="0"/>
              <w:right w:val="single" w:color="auto" w:sz="4" w:space="0"/>
            </w:tcBorders>
          </w:tcPr>
          <w:p>
            <w:pPr>
              <w:snapToGrid w:val="0"/>
              <w:spacing w:line="360" w:lineRule="auto"/>
              <w:jc w:val="center"/>
              <w:rPr>
                <w:rFonts w:ascii="宋体" w:hAnsi="宋体" w:cs="宋体"/>
                <w:color w:val="auto"/>
                <w:highlight w:val="none"/>
              </w:rPr>
            </w:pPr>
          </w:p>
        </w:tc>
        <w:tc>
          <w:tcPr>
            <w:tcW w:w="1313" w:type="pct"/>
            <w:vMerge w:val="continue"/>
            <w:tcBorders>
              <w:left w:val="single" w:color="auto" w:sz="4" w:space="0"/>
              <w:right w:val="single" w:color="auto" w:sz="4" w:space="0"/>
            </w:tcBorders>
            <w:vAlign w:val="center"/>
          </w:tcPr>
          <w:p>
            <w:pPr>
              <w:snapToGrid w:val="0"/>
              <w:spacing w:line="360" w:lineRule="auto"/>
              <w:jc w:val="center"/>
              <w:rPr>
                <w:rFonts w:ascii="宋体" w:hAnsi="宋体" w:cs="宋体"/>
                <w:color w:val="auto"/>
                <w:highlight w:val="none"/>
              </w:rPr>
            </w:pPr>
          </w:p>
        </w:tc>
        <w:tc>
          <w:tcPr>
            <w:tcW w:w="782" w:type="pct"/>
            <w:tcBorders>
              <w:top w:val="single" w:color="auto" w:sz="4" w:space="0"/>
              <w:left w:val="nil"/>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货物因素</w:t>
            </w:r>
          </w:p>
        </w:tc>
        <w:tc>
          <w:tcPr>
            <w:tcW w:w="2086" w:type="pct"/>
            <w:tcBorders>
              <w:top w:val="single" w:color="auto" w:sz="4" w:space="0"/>
              <w:left w:val="nil"/>
              <w:bottom w:val="single" w:color="auto" w:sz="4" w:space="0"/>
              <w:right w:val="double" w:color="auto" w:sz="4" w:space="0"/>
            </w:tcBorders>
            <w:vAlign w:val="center"/>
          </w:tcPr>
          <w:p>
            <w:pPr>
              <w:snapToGrid w:val="0"/>
              <w:spacing w:line="36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9" w:type="pct"/>
            <w:vMerge w:val="continue"/>
            <w:tcBorders>
              <w:left w:val="double" w:color="auto" w:sz="4" w:space="0"/>
              <w:bottom w:val="double" w:color="auto" w:sz="4" w:space="0"/>
              <w:right w:val="single" w:color="auto" w:sz="4" w:space="0"/>
            </w:tcBorders>
          </w:tcPr>
          <w:p>
            <w:pPr>
              <w:snapToGrid w:val="0"/>
              <w:spacing w:line="360" w:lineRule="auto"/>
              <w:jc w:val="center"/>
              <w:rPr>
                <w:rFonts w:ascii="宋体" w:hAnsi="宋体" w:cs="宋体"/>
                <w:color w:val="auto"/>
                <w:highlight w:val="none"/>
              </w:rPr>
            </w:pPr>
          </w:p>
        </w:tc>
        <w:tc>
          <w:tcPr>
            <w:tcW w:w="1313" w:type="pct"/>
            <w:vMerge w:val="continue"/>
            <w:tcBorders>
              <w:left w:val="single" w:color="auto" w:sz="4" w:space="0"/>
              <w:bottom w:val="double" w:color="auto" w:sz="4" w:space="0"/>
              <w:right w:val="single" w:color="auto" w:sz="4" w:space="0"/>
            </w:tcBorders>
            <w:vAlign w:val="center"/>
          </w:tcPr>
          <w:p>
            <w:pPr>
              <w:snapToGrid w:val="0"/>
              <w:spacing w:line="360" w:lineRule="auto"/>
              <w:jc w:val="center"/>
              <w:rPr>
                <w:rFonts w:ascii="宋体" w:hAnsi="宋体" w:cs="宋体"/>
                <w:color w:val="auto"/>
                <w:highlight w:val="none"/>
              </w:rPr>
            </w:pPr>
          </w:p>
        </w:tc>
        <w:tc>
          <w:tcPr>
            <w:tcW w:w="782" w:type="pct"/>
            <w:tcBorders>
              <w:top w:val="single" w:color="auto" w:sz="4" w:space="0"/>
              <w:left w:val="nil"/>
              <w:bottom w:val="doub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服务方案</w:t>
            </w:r>
          </w:p>
        </w:tc>
        <w:tc>
          <w:tcPr>
            <w:tcW w:w="2086" w:type="pct"/>
            <w:tcBorders>
              <w:top w:val="single" w:color="auto" w:sz="4" w:space="0"/>
              <w:left w:val="nil"/>
              <w:bottom w:val="double" w:color="auto" w:sz="4" w:space="0"/>
              <w:right w:val="double" w:color="auto" w:sz="4" w:space="0"/>
            </w:tcBorders>
            <w:vAlign w:val="center"/>
          </w:tcPr>
          <w:p>
            <w:pPr>
              <w:snapToGrid w:val="0"/>
              <w:spacing w:line="360" w:lineRule="auto"/>
              <w:jc w:val="center"/>
              <w:rPr>
                <w:rFonts w:ascii="宋体" w:hAnsi="宋体" w:cs="宋体"/>
                <w:color w:val="auto"/>
                <w:highlight w:val="none"/>
              </w:rPr>
            </w:pPr>
          </w:p>
        </w:tc>
      </w:tr>
    </w:tbl>
    <w:p>
      <w:pPr>
        <w:pStyle w:val="56"/>
        <w:rPr>
          <w:rFonts w:ascii="宋体" w:hAnsi="宋体" w:eastAsia="宋体" w:cs="宋体"/>
          <w:color w:val="auto"/>
          <w:kern w:val="0"/>
          <w:sz w:val="24"/>
          <w:szCs w:val="24"/>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正式投票规则：</w:t>
      </w:r>
    </w:p>
    <w:p>
      <w:pPr>
        <w:spacing w:line="360" w:lineRule="auto"/>
        <w:ind w:firstLine="48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1）以上表格用于正式投票，投票时须注明支持的投标人及支持理由。</w:t>
      </w:r>
    </w:p>
    <w:p>
      <w:pPr>
        <w:spacing w:line="360" w:lineRule="auto"/>
        <w:ind w:firstLine="48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2）每一轮</w:t>
      </w:r>
      <w:r>
        <w:rPr>
          <w:rFonts w:hint="eastAsia" w:ascii="宋体" w:hAnsi="宋体" w:cs="Arial"/>
          <w:color w:val="auto"/>
          <w:szCs w:val="21"/>
          <w:highlight w:val="none"/>
        </w:rPr>
        <w:t>投票结束后，</w:t>
      </w:r>
      <w:r>
        <w:rPr>
          <w:rFonts w:hint="eastAsia" w:ascii="宋体" w:hAnsi="宋体"/>
          <w:color w:val="auto"/>
          <w:szCs w:val="21"/>
          <w:highlight w:val="none"/>
        </w:rPr>
        <w:t>点票人员</w:t>
      </w:r>
      <w:r>
        <w:rPr>
          <w:rFonts w:hint="eastAsia" w:ascii="宋体" w:hAnsi="宋体" w:cs="Arial"/>
          <w:color w:val="auto"/>
          <w:szCs w:val="21"/>
          <w:highlight w:val="none"/>
        </w:rPr>
        <w:t>对投票人数、票数和每票应选方案总数加以核对和统计，作废的选票不得统计，并向</w:t>
      </w:r>
      <w:r>
        <w:rPr>
          <w:rFonts w:hint="eastAsia" w:ascii="宋体" w:hAnsi="宋体"/>
          <w:color w:val="auto"/>
          <w:szCs w:val="21"/>
          <w:highlight w:val="none"/>
        </w:rPr>
        <w:t>定标委员会</w:t>
      </w:r>
      <w:r>
        <w:rPr>
          <w:rFonts w:hint="eastAsia" w:ascii="宋体" w:hAnsi="宋体" w:cs="Arial"/>
          <w:color w:val="auto"/>
          <w:szCs w:val="21"/>
          <w:highlight w:val="none"/>
        </w:rPr>
        <w:t>报告。</w:t>
      </w:r>
    </w:p>
    <w:p>
      <w:pPr>
        <w:spacing w:line="360" w:lineRule="auto"/>
        <w:ind w:firstLine="48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3）定标委员会成员应当独立投票，自投票开始至最终排名统计结果公布期间，任何人不得非法干预、影响投票过程，不得透露、协商、改变投票结果，不得使用通信联络工具。</w:t>
      </w:r>
    </w:p>
    <w:p>
      <w:pPr>
        <w:snapToGrid w:val="0"/>
        <w:spacing w:line="360" w:lineRule="auto"/>
        <w:rPr>
          <w:rFonts w:ascii="宋体" w:hAnsi="宋体" w:cs="宋体"/>
          <w:color w:val="auto"/>
          <w:highlight w:val="none"/>
        </w:rPr>
      </w:pPr>
    </w:p>
    <w:p>
      <w:pPr>
        <w:snapToGrid w:val="0"/>
        <w:spacing w:line="360" w:lineRule="auto"/>
        <w:rPr>
          <w:rFonts w:ascii="宋体" w:hAnsi="宋体" w:cs="宋体"/>
          <w:color w:val="auto"/>
          <w:highlight w:val="none"/>
        </w:rPr>
      </w:pPr>
      <w:r>
        <w:rPr>
          <w:rFonts w:hint="eastAsia" w:ascii="宋体" w:hAnsi="宋体" w:cs="宋体"/>
          <w:color w:val="auto"/>
          <w:highlight w:val="none"/>
        </w:rPr>
        <w:t>定标委员签名：                                            日期：</w:t>
      </w:r>
    </w:p>
    <w:p>
      <w:pPr>
        <w:pStyle w:val="56"/>
        <w:rPr>
          <w:rFonts w:ascii="宋体" w:hAnsi="宋体" w:eastAsia="宋体" w:cs="宋体"/>
          <w:color w:val="auto"/>
          <w:sz w:val="24"/>
          <w:szCs w:val="24"/>
          <w:highlight w:val="none"/>
        </w:rPr>
      </w:pPr>
    </w:p>
    <w:p>
      <w:pPr>
        <w:pStyle w:val="5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color w:val="auto"/>
          <w:sz w:val="24"/>
          <w:szCs w:val="24"/>
          <w:highlight w:val="none"/>
        </w:rPr>
        <w:t>附表三</w:t>
      </w:r>
    </w:p>
    <w:p>
      <w:pPr>
        <w:pStyle w:val="56"/>
        <w:jc w:val="center"/>
        <w:rPr>
          <w:rFonts w:ascii="宋体" w:hAnsi="宋体" w:eastAsia="宋体" w:cs="宋体"/>
          <w:color w:val="auto"/>
          <w:sz w:val="24"/>
          <w:szCs w:val="24"/>
          <w:highlight w:val="none"/>
        </w:rPr>
      </w:pPr>
      <w:r>
        <w:rPr>
          <w:rFonts w:hint="eastAsia" w:ascii="宋体" w:hAnsi="宋体" w:eastAsia="宋体" w:cs="宋体"/>
          <w:b/>
          <w:bCs/>
          <w:color w:val="auto"/>
          <w:kern w:val="0"/>
          <w:sz w:val="24"/>
          <w:szCs w:val="20"/>
          <w:highlight w:val="none"/>
        </w:rPr>
        <w:t>票决汇总表</w:t>
      </w:r>
    </w:p>
    <w:p>
      <w:pPr>
        <w:snapToGrid w:val="0"/>
        <w:spacing w:before="240" w:line="360" w:lineRule="auto"/>
        <w:rPr>
          <w:rFonts w:ascii="宋体" w:hAnsi="宋体" w:cs="宋体"/>
          <w:color w:val="auto"/>
          <w:highlight w:val="none"/>
        </w:rPr>
      </w:pPr>
      <w:r>
        <w:rPr>
          <w:rFonts w:hint="eastAsia" w:ascii="宋体" w:hAnsi="宋体" w:cs="宋体"/>
          <w:color w:val="auto"/>
          <w:highlight w:val="none"/>
        </w:rPr>
        <w:t>项目名称：</w:t>
      </w:r>
    </w:p>
    <w:tbl>
      <w:tblPr>
        <w:tblStyle w:val="26"/>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157"/>
        <w:gridCol w:w="1639"/>
        <w:gridCol w:w="2378"/>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32"/>
                <w:highlight w:val="none"/>
              </w:rPr>
            </w:pPr>
            <w:r>
              <w:rPr>
                <w:rFonts w:hint="eastAsia" w:ascii="宋体" w:hAnsi="宋体"/>
                <w:color w:val="auto"/>
                <w:szCs w:val="32"/>
                <w:highlight w:val="none"/>
              </w:rPr>
              <w:t>序号</w:t>
            </w:r>
          </w:p>
        </w:tc>
        <w:tc>
          <w:tcPr>
            <w:tcW w:w="315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szCs w:val="32"/>
                <w:highlight w:val="none"/>
              </w:rPr>
            </w:pPr>
            <w:r>
              <w:rPr>
                <w:rFonts w:hint="eastAsia" w:ascii="宋体" w:hAnsi="宋体"/>
                <w:color w:val="auto"/>
                <w:szCs w:val="32"/>
                <w:highlight w:val="none"/>
              </w:rPr>
              <w:t>投标人名称</w:t>
            </w:r>
          </w:p>
        </w:tc>
        <w:tc>
          <w:tcPr>
            <w:tcW w:w="163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32"/>
                <w:highlight w:val="none"/>
              </w:rPr>
            </w:pPr>
            <w:r>
              <w:rPr>
                <w:rFonts w:hint="eastAsia" w:ascii="宋体" w:hAnsi="宋体"/>
                <w:color w:val="auto"/>
                <w:szCs w:val="32"/>
                <w:highlight w:val="none"/>
              </w:rPr>
              <w:t>第一轮得票</w:t>
            </w:r>
          </w:p>
        </w:tc>
        <w:tc>
          <w:tcPr>
            <w:tcW w:w="23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32"/>
                <w:highlight w:val="none"/>
              </w:rPr>
            </w:pPr>
            <w:r>
              <w:rPr>
                <w:rFonts w:hint="eastAsia" w:ascii="宋体" w:hAnsi="宋体"/>
                <w:color w:val="auto"/>
                <w:szCs w:val="32"/>
                <w:highlight w:val="none"/>
              </w:rPr>
              <w:t>每轮得票相同的排序</w:t>
            </w:r>
          </w:p>
        </w:tc>
        <w:tc>
          <w:tcPr>
            <w:tcW w:w="126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32"/>
                <w:highlight w:val="none"/>
              </w:rPr>
            </w:pPr>
            <w:r>
              <w:rPr>
                <w:rFonts w:hint="eastAsia" w:ascii="宋体" w:hAnsi="宋体"/>
                <w:color w:val="auto"/>
                <w:szCs w:val="32"/>
                <w:highlight w:val="none"/>
              </w:rPr>
              <w:t>排列名次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32"/>
                <w:highlight w:val="none"/>
              </w:rPr>
            </w:pPr>
          </w:p>
        </w:tc>
        <w:tc>
          <w:tcPr>
            <w:tcW w:w="3157" w:type="dxa"/>
            <w:vMerge w:val="continue"/>
            <w:tcBorders>
              <w:left w:val="single" w:color="auto" w:sz="4" w:space="0"/>
              <w:bottom w:val="single" w:color="auto" w:sz="4" w:space="0"/>
              <w:right w:val="single" w:color="auto" w:sz="4" w:space="0"/>
            </w:tcBorders>
          </w:tcPr>
          <w:p>
            <w:pPr>
              <w:widowControl/>
              <w:jc w:val="center"/>
              <w:rPr>
                <w:rFonts w:ascii="宋体" w:hAnsi="宋体"/>
                <w:color w:val="auto"/>
                <w:szCs w:val="32"/>
                <w:highlight w:val="none"/>
              </w:rPr>
            </w:pPr>
          </w:p>
        </w:tc>
        <w:tc>
          <w:tcPr>
            <w:tcW w:w="163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32"/>
                <w:highlight w:val="none"/>
              </w:rPr>
            </w:pPr>
          </w:p>
        </w:tc>
        <w:tc>
          <w:tcPr>
            <w:tcW w:w="23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32"/>
                <w:highlight w:val="none"/>
              </w:rPr>
            </w:pPr>
            <w:r>
              <w:rPr>
                <w:rFonts w:ascii="宋体" w:hAnsi="宋体"/>
                <w:color w:val="auto"/>
                <w:szCs w:val="32"/>
                <w:highlight w:val="none"/>
              </w:rPr>
              <w:t>1</w:t>
            </w:r>
          </w:p>
        </w:tc>
        <w:tc>
          <w:tcPr>
            <w:tcW w:w="126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r>
              <w:rPr>
                <w:rFonts w:ascii="宋体" w:hAnsi="宋体"/>
                <w:color w:val="auto"/>
                <w:szCs w:val="32"/>
                <w:highlight w:val="none"/>
              </w:rPr>
              <w:t>1</w:t>
            </w:r>
          </w:p>
        </w:tc>
        <w:tc>
          <w:tcPr>
            <w:tcW w:w="3157"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hAnsi="宋体"/>
                <w:color w:val="auto"/>
                <w:szCs w:val="32"/>
                <w:highlight w:val="none"/>
              </w:rPr>
            </w:pPr>
          </w:p>
        </w:tc>
        <w:tc>
          <w:tcPr>
            <w:tcW w:w="163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p>
        </w:tc>
        <w:tc>
          <w:tcPr>
            <w:tcW w:w="237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r>
              <w:rPr>
                <w:rFonts w:ascii="宋体" w:hAnsi="宋体"/>
                <w:color w:val="auto"/>
                <w:szCs w:val="32"/>
                <w:highlight w:val="none"/>
              </w:rPr>
              <w:t>2</w:t>
            </w:r>
          </w:p>
        </w:tc>
        <w:tc>
          <w:tcPr>
            <w:tcW w:w="3157"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hAnsi="宋体"/>
                <w:color w:val="auto"/>
                <w:szCs w:val="32"/>
                <w:highlight w:val="none"/>
              </w:rPr>
            </w:pPr>
          </w:p>
        </w:tc>
        <w:tc>
          <w:tcPr>
            <w:tcW w:w="163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p>
        </w:tc>
        <w:tc>
          <w:tcPr>
            <w:tcW w:w="237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r>
              <w:rPr>
                <w:rFonts w:ascii="宋体" w:hAnsi="宋体"/>
                <w:color w:val="auto"/>
                <w:szCs w:val="32"/>
                <w:highlight w:val="none"/>
              </w:rPr>
              <w:t>3</w:t>
            </w:r>
          </w:p>
        </w:tc>
        <w:tc>
          <w:tcPr>
            <w:tcW w:w="3157"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hAnsi="宋体"/>
                <w:color w:val="auto"/>
                <w:szCs w:val="32"/>
                <w:highlight w:val="none"/>
              </w:rPr>
            </w:pPr>
          </w:p>
        </w:tc>
        <w:tc>
          <w:tcPr>
            <w:tcW w:w="163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p>
        </w:tc>
        <w:tc>
          <w:tcPr>
            <w:tcW w:w="237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r>
              <w:rPr>
                <w:rFonts w:ascii="宋体" w:hAnsi="宋体"/>
                <w:color w:val="auto"/>
                <w:szCs w:val="32"/>
                <w:highlight w:val="none"/>
              </w:rPr>
              <w:t>4</w:t>
            </w:r>
          </w:p>
        </w:tc>
        <w:tc>
          <w:tcPr>
            <w:tcW w:w="3157"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hAnsi="宋体"/>
                <w:color w:val="auto"/>
                <w:szCs w:val="32"/>
                <w:highlight w:val="none"/>
              </w:rPr>
            </w:pPr>
          </w:p>
        </w:tc>
        <w:tc>
          <w:tcPr>
            <w:tcW w:w="163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p>
        </w:tc>
        <w:tc>
          <w:tcPr>
            <w:tcW w:w="237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r>
              <w:rPr>
                <w:rFonts w:ascii="宋体" w:hAnsi="宋体"/>
                <w:color w:val="auto"/>
                <w:szCs w:val="32"/>
                <w:highlight w:val="none"/>
              </w:rPr>
              <w:t>5</w:t>
            </w:r>
          </w:p>
        </w:tc>
        <w:tc>
          <w:tcPr>
            <w:tcW w:w="3157"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hAnsi="宋体"/>
                <w:color w:val="auto"/>
                <w:szCs w:val="32"/>
                <w:highlight w:val="none"/>
              </w:rPr>
            </w:pPr>
          </w:p>
        </w:tc>
        <w:tc>
          <w:tcPr>
            <w:tcW w:w="163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p>
        </w:tc>
        <w:tc>
          <w:tcPr>
            <w:tcW w:w="237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r>
              <w:rPr>
                <w:rFonts w:ascii="宋体" w:hAnsi="宋体"/>
                <w:color w:val="auto"/>
                <w:szCs w:val="32"/>
                <w:highlight w:val="none"/>
              </w:rPr>
              <w:t>6</w:t>
            </w:r>
          </w:p>
        </w:tc>
        <w:tc>
          <w:tcPr>
            <w:tcW w:w="3157"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hAnsi="宋体"/>
                <w:color w:val="auto"/>
                <w:szCs w:val="32"/>
                <w:highlight w:val="none"/>
              </w:rPr>
            </w:pPr>
          </w:p>
        </w:tc>
        <w:tc>
          <w:tcPr>
            <w:tcW w:w="163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p>
        </w:tc>
        <w:tc>
          <w:tcPr>
            <w:tcW w:w="237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r>
              <w:rPr>
                <w:rFonts w:ascii="宋体" w:hAnsi="宋体"/>
                <w:color w:val="auto"/>
                <w:szCs w:val="32"/>
                <w:highlight w:val="none"/>
              </w:rPr>
              <w:t>…</w:t>
            </w:r>
          </w:p>
        </w:tc>
        <w:tc>
          <w:tcPr>
            <w:tcW w:w="3157"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hAnsi="宋体"/>
                <w:color w:val="auto"/>
                <w:szCs w:val="32"/>
                <w:highlight w:val="none"/>
              </w:rPr>
            </w:pPr>
          </w:p>
        </w:tc>
        <w:tc>
          <w:tcPr>
            <w:tcW w:w="163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p>
        </w:tc>
        <w:tc>
          <w:tcPr>
            <w:tcW w:w="237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auto"/>
                <w:szCs w:val="32"/>
                <w:highlight w:val="none"/>
              </w:rPr>
            </w:pPr>
          </w:p>
        </w:tc>
      </w:tr>
    </w:tbl>
    <w:p>
      <w:pPr>
        <w:rPr>
          <w:rFonts w:ascii="宋体" w:hAnsi="宋体" w:cs="宋体"/>
          <w:color w:val="auto"/>
          <w:highlight w:val="none"/>
        </w:rPr>
      </w:pPr>
    </w:p>
    <w:p>
      <w:pPr>
        <w:snapToGrid w:val="0"/>
        <w:spacing w:line="360" w:lineRule="auto"/>
        <w:rPr>
          <w:rFonts w:ascii="宋体" w:hAnsi="宋体" w:cs="宋体"/>
          <w:color w:val="auto"/>
          <w:highlight w:val="none"/>
        </w:rPr>
      </w:pPr>
      <w:r>
        <w:rPr>
          <w:rFonts w:hint="eastAsia" w:ascii="宋体" w:hAnsi="宋体" w:cs="宋体"/>
          <w:color w:val="auto"/>
          <w:highlight w:val="none"/>
        </w:rPr>
        <w:t>定标委员会签字：                                         日期：</w:t>
      </w:r>
    </w:p>
    <w:p>
      <w:pPr>
        <w:pStyle w:val="56"/>
        <w:rPr>
          <w:rFonts w:ascii="宋体" w:hAnsi="宋体" w:eastAsia="宋体" w:cs="宋体"/>
          <w:color w:val="auto"/>
          <w:sz w:val="24"/>
          <w:szCs w:val="24"/>
          <w:highlight w:val="none"/>
        </w:rPr>
      </w:pPr>
    </w:p>
    <w:p>
      <w:pPr>
        <w:pStyle w:val="56"/>
        <w:rPr>
          <w:rFonts w:ascii="宋体" w:hAnsi="宋体" w:eastAsia="宋体" w:cs="宋体"/>
          <w:color w:val="auto"/>
          <w:sz w:val="24"/>
          <w:szCs w:val="24"/>
          <w:highlight w:val="none"/>
        </w:rPr>
      </w:pPr>
      <w:r>
        <w:rPr>
          <w:rFonts w:ascii="宋体" w:hAnsi="宋体" w:eastAsia="宋体" w:cs="宋体"/>
          <w:color w:val="auto"/>
          <w:sz w:val="24"/>
          <w:szCs w:val="24"/>
          <w:highlight w:val="none"/>
        </w:rPr>
        <w:br w:type="page"/>
      </w:r>
      <w:r>
        <w:rPr>
          <w:rFonts w:hint="eastAsia" w:ascii="宋体" w:hAnsi="宋体" w:eastAsia="宋体" w:cs="宋体"/>
          <w:color w:val="auto"/>
          <w:sz w:val="24"/>
          <w:szCs w:val="24"/>
          <w:highlight w:val="none"/>
        </w:rPr>
        <w:t>附表四</w:t>
      </w:r>
    </w:p>
    <w:p>
      <w:pPr>
        <w:pStyle w:val="56"/>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直接票决定标排名汇总表（定标阶段）</w:t>
      </w:r>
    </w:p>
    <w:p>
      <w:pPr>
        <w:pStyle w:val="56"/>
        <w:spacing w:before="24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2750"/>
        <w:gridCol w:w="1838"/>
        <w:gridCol w:w="2886"/>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序号</w:t>
            </w:r>
          </w:p>
        </w:tc>
        <w:tc>
          <w:tcPr>
            <w:tcW w:w="275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投标人名称</w:t>
            </w:r>
          </w:p>
        </w:tc>
        <w:tc>
          <w:tcPr>
            <w:tcW w:w="18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投票结果排名</w:t>
            </w:r>
          </w:p>
        </w:tc>
        <w:tc>
          <w:tcPr>
            <w:tcW w:w="288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是否被确认为中标人</w:t>
            </w:r>
          </w:p>
        </w:tc>
        <w:tc>
          <w:tcPr>
            <w:tcW w:w="81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1</w:t>
            </w:r>
          </w:p>
        </w:tc>
        <w:tc>
          <w:tcPr>
            <w:tcW w:w="275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18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288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811" w:type="dxa"/>
            <w:tcBorders>
              <w:top w:val="single" w:color="auto" w:sz="4" w:space="0"/>
              <w:left w:val="nil"/>
              <w:bottom w:val="single" w:color="auto" w:sz="4" w:space="0"/>
              <w:right w:val="single" w:color="auto" w:sz="4" w:space="0"/>
            </w:tcBorders>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2</w:t>
            </w:r>
          </w:p>
        </w:tc>
        <w:tc>
          <w:tcPr>
            <w:tcW w:w="275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18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288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811" w:type="dxa"/>
            <w:tcBorders>
              <w:top w:val="single" w:color="auto" w:sz="4" w:space="0"/>
              <w:left w:val="nil"/>
              <w:bottom w:val="single" w:color="auto" w:sz="4" w:space="0"/>
              <w:right w:val="single" w:color="auto" w:sz="4" w:space="0"/>
            </w:tcBorders>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3</w:t>
            </w:r>
          </w:p>
        </w:tc>
        <w:tc>
          <w:tcPr>
            <w:tcW w:w="275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18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288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811" w:type="dxa"/>
            <w:tcBorders>
              <w:top w:val="single" w:color="auto" w:sz="4" w:space="0"/>
              <w:left w:val="nil"/>
              <w:bottom w:val="single" w:color="auto" w:sz="4" w:space="0"/>
              <w:right w:val="single" w:color="auto" w:sz="4" w:space="0"/>
            </w:tcBorders>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4</w:t>
            </w:r>
          </w:p>
        </w:tc>
        <w:tc>
          <w:tcPr>
            <w:tcW w:w="275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18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288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811" w:type="dxa"/>
            <w:tcBorders>
              <w:top w:val="single" w:color="auto" w:sz="4" w:space="0"/>
              <w:left w:val="nil"/>
              <w:bottom w:val="single" w:color="auto" w:sz="4" w:space="0"/>
              <w:right w:val="single" w:color="auto" w:sz="4" w:space="0"/>
            </w:tcBorders>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5</w:t>
            </w:r>
          </w:p>
        </w:tc>
        <w:tc>
          <w:tcPr>
            <w:tcW w:w="275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18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288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811" w:type="dxa"/>
            <w:tcBorders>
              <w:top w:val="single" w:color="auto" w:sz="4" w:space="0"/>
              <w:left w:val="nil"/>
              <w:bottom w:val="single" w:color="auto" w:sz="4" w:space="0"/>
              <w:right w:val="single" w:color="auto" w:sz="4" w:space="0"/>
            </w:tcBorders>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6</w:t>
            </w:r>
          </w:p>
        </w:tc>
        <w:tc>
          <w:tcPr>
            <w:tcW w:w="275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18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288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811" w:type="dxa"/>
            <w:tcBorders>
              <w:top w:val="single" w:color="auto" w:sz="4" w:space="0"/>
              <w:left w:val="nil"/>
              <w:bottom w:val="single" w:color="auto" w:sz="4" w:space="0"/>
              <w:right w:val="single" w:color="auto" w:sz="4" w:space="0"/>
            </w:tcBorders>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7</w:t>
            </w:r>
          </w:p>
        </w:tc>
        <w:tc>
          <w:tcPr>
            <w:tcW w:w="275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18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288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811" w:type="dxa"/>
            <w:tcBorders>
              <w:top w:val="single" w:color="auto" w:sz="4" w:space="0"/>
              <w:left w:val="nil"/>
              <w:bottom w:val="single" w:color="auto" w:sz="4" w:space="0"/>
              <w:right w:val="single" w:color="auto" w:sz="4" w:space="0"/>
            </w:tcBorders>
          </w:tcPr>
          <w:p>
            <w:pPr>
              <w:jc w:val="center"/>
              <w:rPr>
                <w:rFonts w:ascii="宋体" w:hAnsi="宋体" w:cs="宋体"/>
                <w:color w:val="auto"/>
                <w:highlight w:val="none"/>
              </w:rPr>
            </w:pPr>
          </w:p>
        </w:tc>
      </w:tr>
    </w:tbl>
    <w:p>
      <w:pPr>
        <w:pStyle w:val="56"/>
        <w:rPr>
          <w:rFonts w:ascii="宋体" w:hAnsi="宋体" w:eastAsia="宋体" w:cs="宋体"/>
          <w:color w:val="auto"/>
          <w:sz w:val="24"/>
          <w:szCs w:val="24"/>
          <w:highlight w:val="none"/>
        </w:rPr>
      </w:pPr>
    </w:p>
    <w:p>
      <w:pPr>
        <w:snapToGrid w:val="0"/>
        <w:spacing w:line="360" w:lineRule="auto"/>
        <w:rPr>
          <w:rFonts w:ascii="宋体" w:hAnsi="宋体" w:cs="宋体"/>
          <w:color w:val="auto"/>
          <w:highlight w:val="none"/>
        </w:rPr>
      </w:pPr>
      <w:r>
        <w:rPr>
          <w:rFonts w:hint="eastAsia" w:ascii="宋体" w:hAnsi="宋体" w:cs="宋体"/>
          <w:color w:val="auto"/>
          <w:highlight w:val="none"/>
        </w:rPr>
        <w:t>定标委员会签名：                                         日期：</w:t>
      </w:r>
    </w:p>
    <w:p>
      <w:pPr>
        <w:pStyle w:val="23"/>
        <w:snapToGrid w:val="0"/>
        <w:spacing w:before="0" w:beforeAutospacing="0" w:after="0" w:afterAutospacing="0" w:line="360" w:lineRule="auto"/>
        <w:rPr>
          <w:color w:val="auto"/>
          <w:highlight w:val="none"/>
        </w:rPr>
      </w:pPr>
    </w:p>
    <w:p>
      <w:pPr>
        <w:pStyle w:val="23"/>
        <w:snapToGrid w:val="0"/>
        <w:spacing w:before="0" w:beforeAutospacing="0" w:after="0" w:afterAutospacing="0" w:line="360" w:lineRule="auto"/>
        <w:rPr>
          <w:color w:val="auto"/>
          <w:highlight w:val="none"/>
        </w:rPr>
      </w:pPr>
      <w:r>
        <w:rPr>
          <w:rFonts w:hint="eastAsia"/>
          <w:color w:val="auto"/>
          <w:highlight w:val="none"/>
        </w:rPr>
        <w:t>注：定标委员会成员须根据投票结果，得票数最多的中标候选人为中标</w:t>
      </w:r>
      <w:r>
        <w:rPr>
          <w:rFonts w:hint="eastAsia"/>
          <w:color w:val="auto"/>
          <w:highlight w:val="none"/>
        </w:rPr>
        <w:t>人</w:t>
      </w:r>
      <w:r>
        <w:rPr>
          <w:rFonts w:hint="eastAsia"/>
          <w:color w:val="auto"/>
          <w:highlight w:val="none"/>
        </w:rPr>
        <w:t>。</w:t>
      </w:r>
    </w:p>
    <w:p>
      <w:pPr>
        <w:pStyle w:val="23"/>
        <w:snapToGrid w:val="0"/>
        <w:spacing w:before="0" w:beforeAutospacing="0" w:after="0" w:afterAutospacing="0" w:line="360" w:lineRule="auto"/>
        <w:rPr>
          <w:color w:val="auto"/>
          <w:kern w:val="2"/>
          <w:highlight w:val="none"/>
          <w:u w:val="single"/>
        </w:rPr>
      </w:pPr>
    </w:p>
    <w:p>
      <w:pPr>
        <w:pStyle w:val="6"/>
        <w:ind w:left="0"/>
        <w:jc w:val="center"/>
        <w:rPr>
          <w:rFonts w:hint="default" w:cs="宋体"/>
          <w:b/>
          <w:bCs/>
          <w:color w:val="auto"/>
          <w:szCs w:val="44"/>
          <w:highlight w:val="none"/>
        </w:rPr>
      </w:pPr>
      <w:bookmarkStart w:id="175" w:name="bookmark103"/>
      <w:bookmarkEnd w:id="175"/>
      <w:bookmarkStart w:id="176" w:name="_Toc83210328"/>
      <w:r>
        <w:rPr>
          <w:rFonts w:hint="default" w:cs="宋体"/>
          <w:b/>
          <w:bCs/>
          <w:color w:val="auto"/>
          <w:highlight w:val="none"/>
        </w:rPr>
        <w:br w:type="column"/>
      </w:r>
      <w:r>
        <w:rPr>
          <w:rFonts w:hint="default" w:cs="宋体"/>
          <w:b/>
          <w:bCs/>
          <w:color w:val="auto"/>
          <w:highlight w:val="none"/>
        </w:rPr>
        <w:t xml:space="preserve">第四章 </w:t>
      </w:r>
      <w:r>
        <w:rPr>
          <w:rFonts w:hint="default" w:cs="宋体"/>
          <w:b/>
          <w:bCs/>
          <w:color w:val="auto"/>
          <w:szCs w:val="44"/>
          <w:highlight w:val="none"/>
        </w:rPr>
        <w:t>合同条款及格式</w:t>
      </w:r>
    </w:p>
    <w:p>
      <w:pPr>
        <w:spacing w:before="120"/>
        <w:jc w:val="center"/>
        <w:rPr>
          <w:b/>
          <w:color w:val="auto"/>
          <w:sz w:val="36"/>
          <w:szCs w:val="44"/>
          <w:highlight w:val="none"/>
        </w:rPr>
      </w:pPr>
      <w:r>
        <w:rPr>
          <w:b/>
          <w:color w:val="auto"/>
          <w:sz w:val="36"/>
          <w:szCs w:val="44"/>
          <w:highlight w:val="none"/>
        </w:rPr>
        <w:t>（</w:t>
      </w:r>
      <w:r>
        <w:rPr>
          <w:rFonts w:hint="eastAsia"/>
          <w:b/>
          <w:color w:val="auto"/>
          <w:sz w:val="36"/>
          <w:szCs w:val="44"/>
          <w:highlight w:val="none"/>
        </w:rPr>
        <w:t>另册</w:t>
      </w:r>
      <w:r>
        <w:rPr>
          <w:b/>
          <w:color w:val="auto"/>
          <w:sz w:val="36"/>
          <w:szCs w:val="44"/>
          <w:highlight w:val="none"/>
        </w:rPr>
        <w:t>）</w:t>
      </w:r>
      <w:bookmarkEnd w:id="176"/>
    </w:p>
    <w:p>
      <w:pPr>
        <w:rPr>
          <w:color w:val="auto"/>
          <w:highlight w:val="none"/>
        </w:rPr>
      </w:pPr>
    </w:p>
    <w:p>
      <w:pPr>
        <w:pStyle w:val="49"/>
        <w:spacing w:line="360" w:lineRule="auto"/>
        <w:ind w:left="0" w:leftChars="0" w:firstLine="424" w:firstLineChars="177"/>
        <w:rPr>
          <w:rFonts w:ascii="宋体" w:hAnsi="宋体"/>
          <w:color w:val="auto"/>
          <w:sz w:val="24"/>
          <w:highlight w:val="none"/>
        </w:rPr>
      </w:pPr>
      <w:r>
        <w:rPr>
          <w:rFonts w:hint="eastAsia" w:ascii="宋体" w:hAnsi="宋体"/>
          <w:color w:val="auto"/>
          <w:sz w:val="24"/>
          <w:highlight w:val="none"/>
        </w:rPr>
        <w:t>注：按招标人提供的版本执行，另册。</w:t>
      </w:r>
    </w:p>
    <w:p>
      <w:pPr>
        <w:pStyle w:val="15"/>
        <w:overflowPunct w:val="0"/>
        <w:ind w:left="0"/>
        <w:rPr>
          <w:rFonts w:hint="default" w:cs="宋体"/>
          <w:color w:val="auto"/>
          <w:sz w:val="20"/>
          <w:highlight w:val="none"/>
        </w:rPr>
      </w:pPr>
      <w:bookmarkStart w:id="177" w:name="bookmark104"/>
      <w:bookmarkEnd w:id="177"/>
    </w:p>
    <w:p>
      <w:pPr>
        <w:pStyle w:val="5"/>
        <w:overflowPunct w:val="0"/>
        <w:spacing w:line="738" w:lineRule="exact"/>
        <w:ind w:right="3"/>
        <w:jc w:val="center"/>
        <w:rPr>
          <w:rFonts w:ascii="宋体" w:hAnsi="宋体" w:eastAsia="宋体" w:cs="宋体"/>
          <w:color w:val="auto"/>
          <w:highlight w:val="none"/>
        </w:rPr>
      </w:pPr>
      <w:bookmarkStart w:id="178" w:name="bookmark146"/>
      <w:bookmarkEnd w:id="178"/>
      <w:bookmarkStart w:id="179" w:name="_Toc83210329"/>
      <w:r>
        <w:rPr>
          <w:rFonts w:ascii="宋体" w:hAnsi="宋体" w:eastAsia="宋体" w:cs="宋体"/>
          <w:color w:val="auto"/>
          <w:highlight w:val="none"/>
        </w:rPr>
        <w:br w:type="page"/>
      </w:r>
      <w:r>
        <w:rPr>
          <w:rFonts w:hint="eastAsia" w:ascii="宋体" w:hAnsi="宋体" w:eastAsia="宋体" w:cs="宋体"/>
          <w:color w:val="auto"/>
          <w:highlight w:val="none"/>
        </w:rPr>
        <w:t>第二卷</w:t>
      </w:r>
      <w:bookmarkEnd w:id="179"/>
    </w:p>
    <w:p>
      <w:pPr>
        <w:pStyle w:val="6"/>
        <w:jc w:val="center"/>
        <w:rPr>
          <w:rFonts w:hint="default" w:cs="宋体"/>
          <w:b/>
          <w:bCs/>
          <w:color w:val="auto"/>
          <w:highlight w:val="none"/>
        </w:rPr>
      </w:pPr>
      <w:bookmarkStart w:id="180" w:name="bookmark147"/>
      <w:bookmarkEnd w:id="180"/>
      <w:bookmarkStart w:id="181" w:name="_Toc83210330"/>
      <w:r>
        <w:rPr>
          <w:rFonts w:hint="default" w:cs="宋体"/>
          <w:b/>
          <w:bCs/>
          <w:color w:val="auto"/>
          <w:highlight w:val="none"/>
        </w:rPr>
        <w:br w:type="column"/>
      </w:r>
      <w:r>
        <w:rPr>
          <w:rFonts w:cs="宋体"/>
          <w:b/>
          <w:bCs/>
          <w:color w:val="auto"/>
          <w:highlight w:val="none"/>
        </w:rPr>
        <w:t>第五章</w:t>
      </w:r>
      <w:r>
        <w:rPr>
          <w:rFonts w:hint="default" w:cs="宋体"/>
          <w:b/>
          <w:bCs/>
          <w:color w:val="auto"/>
          <w:highlight w:val="none"/>
        </w:rPr>
        <w:t xml:space="preserve"> </w:t>
      </w:r>
      <w:r>
        <w:rPr>
          <w:rFonts w:cs="宋体"/>
          <w:b/>
          <w:bCs/>
          <w:color w:val="auto"/>
          <w:highlight w:val="none"/>
        </w:rPr>
        <w:t>供货要求</w:t>
      </w:r>
      <w:bookmarkEnd w:id="181"/>
    </w:p>
    <w:p>
      <w:pPr>
        <w:widowControl/>
        <w:autoSpaceDE/>
        <w:autoSpaceDN/>
        <w:adjustRightInd/>
        <w:jc w:val="center"/>
        <w:rPr>
          <w:rFonts w:cs="宋体"/>
          <w:b/>
          <w:color w:val="auto"/>
          <w:spacing w:val="-8"/>
          <w:sz w:val="36"/>
          <w:szCs w:val="44"/>
          <w:highlight w:val="none"/>
        </w:rPr>
      </w:pPr>
    </w:p>
    <w:p>
      <w:pPr>
        <w:pStyle w:val="60"/>
        <w:widowControl/>
        <w:numPr>
          <w:ilvl w:val="0"/>
          <w:numId w:val="2"/>
        </w:numPr>
        <w:autoSpaceDE/>
        <w:autoSpaceDN/>
        <w:adjustRightInd/>
        <w:spacing w:line="360" w:lineRule="auto"/>
        <w:ind w:left="0" w:firstLine="0" w:firstLineChars="0"/>
        <w:rPr>
          <w:rFonts w:ascii="宋体" w:hAnsi="宋体" w:cs="宋体"/>
          <w:color w:val="auto"/>
          <w:sz w:val="28"/>
          <w:szCs w:val="28"/>
          <w:highlight w:val="none"/>
        </w:rPr>
      </w:pPr>
      <w:r>
        <w:rPr>
          <w:rFonts w:hint="eastAsia" w:ascii="宋体" w:hAnsi="宋体" w:cs="宋体"/>
          <w:color w:val="auto"/>
          <w:sz w:val="28"/>
          <w:szCs w:val="28"/>
          <w:highlight w:val="none"/>
        </w:rPr>
        <w:t>云港城项目4#地块垂直梯招标技术文件(T1、T2、T6)，另册</w:t>
      </w:r>
    </w:p>
    <w:p>
      <w:pPr>
        <w:pStyle w:val="60"/>
        <w:widowControl/>
        <w:numPr>
          <w:ilvl w:val="0"/>
          <w:numId w:val="2"/>
        </w:numPr>
        <w:autoSpaceDE/>
        <w:autoSpaceDN/>
        <w:adjustRightInd/>
        <w:spacing w:line="360" w:lineRule="auto"/>
        <w:ind w:left="0" w:firstLine="0" w:firstLineChars="0"/>
        <w:rPr>
          <w:rFonts w:ascii="宋体" w:hAnsi="宋体" w:cs="宋体"/>
          <w:color w:val="auto"/>
          <w:sz w:val="28"/>
          <w:szCs w:val="28"/>
          <w:highlight w:val="none"/>
        </w:rPr>
      </w:pPr>
      <w:r>
        <w:rPr>
          <w:rFonts w:hint="eastAsia" w:ascii="宋体" w:hAnsi="宋体" w:cs="宋体"/>
          <w:color w:val="auto"/>
          <w:sz w:val="28"/>
          <w:szCs w:val="28"/>
          <w:highlight w:val="none"/>
        </w:rPr>
        <w:t>云港城项目4#地块垂直梯招标技术文件(T3~T5、商业) ，另册</w:t>
      </w:r>
    </w:p>
    <w:p>
      <w:pPr>
        <w:pStyle w:val="60"/>
        <w:widowControl/>
        <w:numPr>
          <w:ilvl w:val="0"/>
          <w:numId w:val="2"/>
        </w:numPr>
        <w:autoSpaceDE/>
        <w:autoSpaceDN/>
        <w:adjustRightInd/>
        <w:spacing w:line="360" w:lineRule="auto"/>
        <w:ind w:left="0" w:firstLine="0" w:firstLineChars="0"/>
        <w:rPr>
          <w:rFonts w:ascii="宋体" w:hAnsi="宋体" w:cs="宋体"/>
          <w:color w:val="auto"/>
          <w:sz w:val="28"/>
          <w:szCs w:val="28"/>
          <w:highlight w:val="none"/>
        </w:rPr>
      </w:pPr>
      <w:r>
        <w:rPr>
          <w:rFonts w:hint="eastAsia" w:ascii="宋体" w:hAnsi="宋体" w:cs="宋体"/>
          <w:color w:val="auto"/>
          <w:sz w:val="28"/>
          <w:szCs w:val="28"/>
          <w:highlight w:val="none"/>
        </w:rPr>
        <w:t>云港城项目4号地块垂直梯招标参数表，另册</w:t>
      </w:r>
    </w:p>
    <w:p>
      <w:pPr>
        <w:pStyle w:val="60"/>
        <w:widowControl/>
        <w:numPr>
          <w:ilvl w:val="0"/>
          <w:numId w:val="2"/>
        </w:numPr>
        <w:autoSpaceDE/>
        <w:autoSpaceDN/>
        <w:adjustRightInd/>
        <w:spacing w:line="360" w:lineRule="auto"/>
        <w:ind w:left="0" w:firstLine="0" w:firstLineChars="0"/>
        <w:rPr>
          <w:rFonts w:ascii="宋体" w:hAnsi="宋体" w:cs="宋体"/>
          <w:color w:val="auto"/>
          <w:sz w:val="28"/>
          <w:szCs w:val="28"/>
          <w:highlight w:val="none"/>
        </w:rPr>
      </w:pPr>
      <w:r>
        <w:rPr>
          <w:rFonts w:hint="eastAsia" w:ascii="宋体" w:hAnsi="宋体" w:cs="宋体"/>
          <w:color w:val="auto"/>
          <w:sz w:val="28"/>
          <w:szCs w:val="28"/>
          <w:highlight w:val="none"/>
        </w:rPr>
        <w:t>云港城项目4#地块扶梯招标技术文件(</w:t>
      </w:r>
      <w:r>
        <w:rPr>
          <w:rFonts w:ascii="宋体" w:hAnsi="宋体" w:cs="宋体"/>
          <w:color w:val="auto"/>
          <w:sz w:val="28"/>
          <w:szCs w:val="28"/>
          <w:highlight w:val="none"/>
        </w:rPr>
        <w:t>C-FT01~FT02, T3-FT01~FT02</w:t>
      </w:r>
      <w:r>
        <w:rPr>
          <w:rFonts w:hint="eastAsia" w:ascii="宋体" w:hAnsi="宋体" w:cs="宋体"/>
          <w:color w:val="auto"/>
          <w:sz w:val="28"/>
          <w:szCs w:val="28"/>
          <w:highlight w:val="none"/>
        </w:rPr>
        <w:t>)，另册</w:t>
      </w:r>
    </w:p>
    <w:p>
      <w:pPr>
        <w:pStyle w:val="60"/>
        <w:widowControl/>
        <w:numPr>
          <w:ilvl w:val="0"/>
          <w:numId w:val="2"/>
        </w:numPr>
        <w:autoSpaceDE/>
        <w:autoSpaceDN/>
        <w:adjustRightInd/>
        <w:spacing w:line="360" w:lineRule="auto"/>
        <w:ind w:left="0" w:firstLine="0" w:firstLineChars="0"/>
        <w:rPr>
          <w:rFonts w:ascii="宋体" w:hAnsi="宋体" w:cs="宋体"/>
          <w:color w:val="auto"/>
          <w:sz w:val="28"/>
          <w:szCs w:val="28"/>
          <w:highlight w:val="none"/>
        </w:rPr>
      </w:pPr>
      <w:r>
        <w:rPr>
          <w:rFonts w:hint="eastAsia" w:ascii="宋体" w:hAnsi="宋体" w:cs="宋体"/>
          <w:color w:val="auto"/>
          <w:sz w:val="28"/>
          <w:szCs w:val="28"/>
          <w:highlight w:val="none"/>
        </w:rPr>
        <w:t>云港城项目4#地块扶梯招标技术文件(</w:t>
      </w:r>
      <w:r>
        <w:rPr>
          <w:rFonts w:ascii="宋体" w:hAnsi="宋体" w:cs="宋体"/>
          <w:color w:val="auto"/>
          <w:sz w:val="28"/>
          <w:szCs w:val="28"/>
          <w:highlight w:val="none"/>
        </w:rPr>
        <w:t>C-FT01~FT02, T3-FT01~FT02</w:t>
      </w:r>
      <w:r>
        <w:rPr>
          <w:rFonts w:hint="eastAsia" w:ascii="宋体" w:hAnsi="宋体" w:cs="宋体"/>
          <w:color w:val="auto"/>
          <w:sz w:val="28"/>
          <w:szCs w:val="28"/>
          <w:highlight w:val="none"/>
        </w:rPr>
        <w:t>)，另册</w:t>
      </w:r>
    </w:p>
    <w:p>
      <w:pPr>
        <w:pStyle w:val="60"/>
        <w:widowControl/>
        <w:numPr>
          <w:ilvl w:val="0"/>
          <w:numId w:val="2"/>
        </w:numPr>
        <w:autoSpaceDE/>
        <w:autoSpaceDN/>
        <w:adjustRightInd/>
        <w:spacing w:line="360" w:lineRule="auto"/>
        <w:ind w:left="0" w:firstLine="0" w:firstLineChars="0"/>
        <w:rPr>
          <w:rFonts w:ascii="宋体" w:hAnsi="宋体" w:cs="宋体"/>
          <w:color w:val="auto"/>
          <w:sz w:val="28"/>
          <w:szCs w:val="28"/>
          <w:highlight w:val="none"/>
        </w:rPr>
      </w:pPr>
      <w:r>
        <w:rPr>
          <w:rFonts w:hint="eastAsia" w:ascii="宋体" w:hAnsi="宋体" w:cs="宋体"/>
          <w:color w:val="auto"/>
          <w:sz w:val="28"/>
          <w:szCs w:val="28"/>
          <w:highlight w:val="none"/>
        </w:rPr>
        <w:t>云港城项目4号地扶梯技术规格表，另册</w:t>
      </w:r>
    </w:p>
    <w:p>
      <w:pPr>
        <w:widowControl/>
        <w:autoSpaceDE/>
        <w:autoSpaceDN/>
        <w:adjustRightInd/>
        <w:rPr>
          <w:rFonts w:ascii="宋体" w:hAnsi="宋体" w:cs="宋体"/>
          <w:b/>
          <w:color w:val="auto"/>
          <w:sz w:val="44"/>
          <w:highlight w:val="none"/>
        </w:rPr>
      </w:pPr>
      <w:r>
        <w:rPr>
          <w:rFonts w:cs="宋体"/>
          <w:b/>
          <w:color w:val="auto"/>
          <w:sz w:val="44"/>
          <w:highlight w:val="none"/>
        </w:rPr>
        <w:br w:type="page"/>
      </w:r>
    </w:p>
    <w:p>
      <w:pPr>
        <w:pStyle w:val="15"/>
        <w:overflowPunct w:val="0"/>
        <w:spacing w:line="738" w:lineRule="exact"/>
        <w:ind w:left="0" w:right="3"/>
        <w:jc w:val="center"/>
        <w:outlineLvl w:val="0"/>
        <w:rPr>
          <w:rFonts w:hint="default" w:cs="宋体"/>
          <w:color w:val="auto"/>
          <w:sz w:val="44"/>
          <w:highlight w:val="none"/>
        </w:rPr>
      </w:pPr>
      <w:bookmarkStart w:id="182" w:name="_Toc83210331"/>
      <w:r>
        <w:rPr>
          <w:rFonts w:cs="宋体"/>
          <w:b/>
          <w:color w:val="auto"/>
          <w:sz w:val="44"/>
          <w:highlight w:val="none"/>
        </w:rPr>
        <w:t>第三卷</w:t>
      </w:r>
      <w:bookmarkEnd w:id="182"/>
    </w:p>
    <w:p>
      <w:pPr>
        <w:pStyle w:val="6"/>
        <w:jc w:val="center"/>
        <w:rPr>
          <w:rFonts w:hint="default" w:cs="宋体"/>
          <w:b/>
          <w:bCs/>
          <w:color w:val="auto"/>
          <w:highlight w:val="none"/>
        </w:rPr>
      </w:pPr>
      <w:bookmarkStart w:id="183" w:name="bookmark154"/>
      <w:bookmarkEnd w:id="183"/>
      <w:bookmarkStart w:id="184" w:name="_Toc83210332"/>
      <w:r>
        <w:rPr>
          <w:rFonts w:hint="default" w:cs="宋体"/>
          <w:b/>
          <w:bCs/>
          <w:color w:val="auto"/>
          <w:highlight w:val="none"/>
        </w:rPr>
        <w:br w:type="column"/>
      </w:r>
      <w:r>
        <w:rPr>
          <w:rFonts w:cs="宋体"/>
          <w:b/>
          <w:bCs/>
          <w:color w:val="auto"/>
          <w:highlight w:val="none"/>
        </w:rPr>
        <w:t>第六章</w:t>
      </w:r>
      <w:r>
        <w:rPr>
          <w:rFonts w:hint="default" w:cs="宋体"/>
          <w:b/>
          <w:bCs/>
          <w:color w:val="auto"/>
          <w:highlight w:val="none"/>
        </w:rPr>
        <w:t xml:space="preserve"> </w:t>
      </w:r>
      <w:r>
        <w:rPr>
          <w:rFonts w:cs="宋体"/>
          <w:b/>
          <w:bCs/>
          <w:color w:val="auto"/>
          <w:highlight w:val="none"/>
        </w:rPr>
        <w:t>投标文件格式</w:t>
      </w:r>
      <w:bookmarkEnd w:id="184"/>
    </w:p>
    <w:p>
      <w:pPr>
        <w:pStyle w:val="15"/>
        <w:overflowPunct w:val="0"/>
        <w:spacing w:before="240"/>
        <w:ind w:left="0"/>
        <w:outlineLvl w:val="2"/>
        <w:rPr>
          <w:rFonts w:hint="default" w:cs="宋体"/>
          <w:b/>
          <w:color w:val="auto"/>
          <w:sz w:val="24"/>
          <w:highlight w:val="none"/>
        </w:rPr>
      </w:pPr>
      <w:r>
        <w:rPr>
          <w:rFonts w:cs="宋体"/>
          <w:b/>
          <w:color w:val="auto"/>
          <w:sz w:val="24"/>
          <w:highlight w:val="none"/>
        </w:rPr>
        <w:t>封面：</w:t>
      </w:r>
    </w:p>
    <w:p>
      <w:pPr>
        <w:pStyle w:val="15"/>
        <w:overflowPunct w:val="0"/>
        <w:ind w:left="0"/>
        <w:rPr>
          <w:rFonts w:hint="default" w:cs="宋体"/>
          <w:b/>
          <w:color w:val="auto"/>
          <w:sz w:val="20"/>
          <w:highlight w:val="none"/>
        </w:rPr>
      </w:pPr>
    </w:p>
    <w:p>
      <w:pPr>
        <w:pStyle w:val="15"/>
        <w:overflowPunct w:val="0"/>
        <w:ind w:left="0"/>
        <w:rPr>
          <w:rFonts w:hint="default" w:cs="宋体"/>
          <w:b/>
          <w:color w:val="auto"/>
          <w:sz w:val="20"/>
          <w:highlight w:val="none"/>
        </w:rPr>
      </w:pPr>
    </w:p>
    <w:p>
      <w:pPr>
        <w:pStyle w:val="15"/>
        <w:overflowPunct w:val="0"/>
        <w:ind w:left="0"/>
        <w:rPr>
          <w:rFonts w:hint="default" w:cs="宋体"/>
          <w:b/>
          <w:color w:val="auto"/>
          <w:sz w:val="20"/>
          <w:highlight w:val="none"/>
        </w:rPr>
      </w:pPr>
    </w:p>
    <w:p>
      <w:pPr>
        <w:pStyle w:val="15"/>
        <w:overflowPunct w:val="0"/>
        <w:ind w:left="0"/>
        <w:rPr>
          <w:rFonts w:hint="default" w:cs="宋体"/>
          <w:b/>
          <w:color w:val="auto"/>
          <w:sz w:val="20"/>
          <w:highlight w:val="none"/>
        </w:rPr>
      </w:pPr>
    </w:p>
    <w:p>
      <w:pPr>
        <w:pStyle w:val="15"/>
        <w:overflowPunct w:val="0"/>
        <w:ind w:left="0"/>
        <w:rPr>
          <w:rFonts w:hint="default" w:cs="宋体"/>
          <w:b/>
          <w:color w:val="auto"/>
          <w:sz w:val="20"/>
          <w:highlight w:val="none"/>
        </w:rPr>
      </w:pPr>
    </w:p>
    <w:p>
      <w:pPr>
        <w:pStyle w:val="15"/>
        <w:overflowPunct w:val="0"/>
        <w:ind w:left="0"/>
        <w:rPr>
          <w:rFonts w:hint="default" w:cs="宋体"/>
          <w:b/>
          <w:color w:val="auto"/>
          <w:sz w:val="20"/>
          <w:highlight w:val="none"/>
        </w:rPr>
      </w:pPr>
    </w:p>
    <w:p>
      <w:pPr>
        <w:pStyle w:val="15"/>
        <w:overflowPunct w:val="0"/>
        <w:spacing w:before="1"/>
        <w:ind w:left="0"/>
        <w:rPr>
          <w:rFonts w:hint="default" w:cs="宋体"/>
          <w:b/>
          <w:color w:val="auto"/>
          <w:sz w:val="22"/>
          <w:highlight w:val="none"/>
        </w:rPr>
      </w:pPr>
    </w:p>
    <w:p>
      <w:pPr>
        <w:pStyle w:val="15"/>
        <w:tabs>
          <w:tab w:val="left" w:pos="6942"/>
          <w:tab w:val="left" w:pos="7535"/>
        </w:tabs>
        <w:overflowPunct w:val="0"/>
        <w:snapToGrid w:val="0"/>
        <w:spacing w:line="360" w:lineRule="auto"/>
        <w:ind w:left="0" w:right="141"/>
        <w:jc w:val="center"/>
        <w:rPr>
          <w:rFonts w:hint="default" w:cs="宋体"/>
          <w:color w:val="auto"/>
          <w:spacing w:val="-1"/>
          <w:highlight w:val="none"/>
        </w:rPr>
      </w:pPr>
      <w:r>
        <w:rPr>
          <w:rFonts w:cs="宋体"/>
          <w:color w:val="auto"/>
          <w:spacing w:val="-1"/>
          <w:sz w:val="28"/>
          <w:highlight w:val="none"/>
        </w:rPr>
        <w:t>（项目名称）</w:t>
      </w:r>
    </w:p>
    <w:p>
      <w:pPr>
        <w:pStyle w:val="15"/>
        <w:overflowPunct w:val="0"/>
        <w:ind w:left="0"/>
        <w:rPr>
          <w:rFonts w:hint="default" w:cs="宋体"/>
          <w:color w:val="auto"/>
          <w:sz w:val="20"/>
          <w:highlight w:val="none"/>
        </w:rPr>
      </w:pPr>
    </w:p>
    <w:p>
      <w:pPr>
        <w:pStyle w:val="15"/>
        <w:overflowPunct w:val="0"/>
        <w:spacing w:before="9"/>
        <w:ind w:left="0"/>
        <w:rPr>
          <w:rFonts w:hint="default" w:cs="宋体"/>
          <w:color w:val="auto"/>
          <w:sz w:val="15"/>
          <w:highlight w:val="none"/>
        </w:rPr>
      </w:pPr>
    </w:p>
    <w:p>
      <w:pPr>
        <w:jc w:val="center"/>
        <w:rPr>
          <w:color w:val="auto"/>
          <w:sz w:val="40"/>
          <w:szCs w:val="40"/>
          <w:highlight w:val="none"/>
        </w:rPr>
      </w:pPr>
      <w:bookmarkStart w:id="185" w:name="_Toc83210333"/>
      <w:r>
        <w:rPr>
          <w:rFonts w:hint="eastAsia"/>
          <w:color w:val="auto"/>
          <w:sz w:val="40"/>
          <w:szCs w:val="40"/>
          <w:highlight w:val="none"/>
        </w:rPr>
        <w:t>投</w:t>
      </w:r>
      <w:r>
        <w:rPr>
          <w:color w:val="auto"/>
          <w:sz w:val="40"/>
          <w:szCs w:val="40"/>
          <w:highlight w:val="none"/>
        </w:rPr>
        <w:t xml:space="preserve"> </w:t>
      </w:r>
      <w:r>
        <w:rPr>
          <w:rFonts w:hint="eastAsia"/>
          <w:color w:val="auto"/>
          <w:sz w:val="40"/>
          <w:szCs w:val="40"/>
          <w:highlight w:val="none"/>
        </w:rPr>
        <w:t>标</w:t>
      </w:r>
      <w:r>
        <w:rPr>
          <w:color w:val="auto"/>
          <w:sz w:val="40"/>
          <w:szCs w:val="40"/>
          <w:highlight w:val="none"/>
        </w:rPr>
        <w:t xml:space="preserve"> </w:t>
      </w:r>
      <w:r>
        <w:rPr>
          <w:rFonts w:hint="eastAsia"/>
          <w:color w:val="auto"/>
          <w:sz w:val="40"/>
          <w:szCs w:val="40"/>
          <w:highlight w:val="none"/>
        </w:rPr>
        <w:t>文</w:t>
      </w:r>
      <w:r>
        <w:rPr>
          <w:color w:val="auto"/>
          <w:sz w:val="40"/>
          <w:szCs w:val="40"/>
          <w:highlight w:val="none"/>
        </w:rPr>
        <w:t xml:space="preserve"> </w:t>
      </w:r>
      <w:r>
        <w:rPr>
          <w:rFonts w:hint="eastAsia"/>
          <w:color w:val="auto"/>
          <w:sz w:val="40"/>
          <w:szCs w:val="40"/>
          <w:highlight w:val="none"/>
        </w:rPr>
        <w:t>件</w:t>
      </w:r>
      <w:bookmarkEnd w:id="185"/>
    </w:p>
    <w:p>
      <w:pPr>
        <w:pStyle w:val="15"/>
        <w:overflowPunct w:val="0"/>
        <w:ind w:left="0"/>
        <w:rPr>
          <w:rFonts w:hint="default" w:cs="宋体"/>
          <w:color w:val="auto"/>
          <w:sz w:val="44"/>
          <w:highlight w:val="none"/>
        </w:rPr>
      </w:pPr>
    </w:p>
    <w:p>
      <w:pPr>
        <w:pStyle w:val="15"/>
        <w:overflowPunct w:val="0"/>
        <w:ind w:left="0"/>
        <w:rPr>
          <w:rFonts w:hint="default" w:cs="宋体"/>
          <w:color w:val="auto"/>
          <w:sz w:val="44"/>
          <w:highlight w:val="none"/>
        </w:rPr>
      </w:pPr>
    </w:p>
    <w:p>
      <w:pPr>
        <w:pStyle w:val="15"/>
        <w:overflowPunct w:val="0"/>
        <w:ind w:left="0"/>
        <w:rPr>
          <w:rFonts w:hint="default" w:cs="宋体"/>
          <w:color w:val="auto"/>
          <w:sz w:val="44"/>
          <w:highlight w:val="none"/>
        </w:rPr>
      </w:pPr>
    </w:p>
    <w:p>
      <w:pPr>
        <w:pStyle w:val="15"/>
        <w:overflowPunct w:val="0"/>
        <w:ind w:left="0"/>
        <w:rPr>
          <w:rFonts w:hint="default" w:cs="宋体"/>
          <w:color w:val="auto"/>
          <w:sz w:val="44"/>
          <w:highlight w:val="none"/>
        </w:rPr>
      </w:pPr>
    </w:p>
    <w:p>
      <w:pPr>
        <w:pStyle w:val="15"/>
        <w:overflowPunct w:val="0"/>
        <w:ind w:left="0"/>
        <w:rPr>
          <w:rFonts w:hint="default" w:cs="宋体"/>
          <w:color w:val="auto"/>
          <w:sz w:val="44"/>
          <w:highlight w:val="none"/>
        </w:rPr>
      </w:pPr>
    </w:p>
    <w:p>
      <w:pPr>
        <w:pStyle w:val="15"/>
        <w:overflowPunct w:val="0"/>
        <w:ind w:left="0"/>
        <w:rPr>
          <w:rFonts w:hint="default" w:cs="宋体"/>
          <w:color w:val="auto"/>
          <w:sz w:val="44"/>
          <w:highlight w:val="none"/>
        </w:rPr>
      </w:pPr>
    </w:p>
    <w:p>
      <w:pPr>
        <w:pStyle w:val="15"/>
        <w:overflowPunct w:val="0"/>
        <w:ind w:left="0"/>
        <w:rPr>
          <w:rFonts w:hint="default" w:cs="宋体"/>
          <w:color w:val="auto"/>
          <w:sz w:val="44"/>
          <w:highlight w:val="none"/>
        </w:rPr>
      </w:pPr>
    </w:p>
    <w:p>
      <w:pPr>
        <w:pStyle w:val="15"/>
        <w:overflowPunct w:val="0"/>
        <w:ind w:left="0"/>
        <w:rPr>
          <w:rFonts w:hint="default" w:cs="宋体"/>
          <w:color w:val="auto"/>
          <w:sz w:val="44"/>
          <w:highlight w:val="none"/>
        </w:rPr>
      </w:pPr>
    </w:p>
    <w:p>
      <w:pPr>
        <w:pStyle w:val="15"/>
        <w:overflowPunct w:val="0"/>
        <w:ind w:left="0"/>
        <w:rPr>
          <w:rFonts w:hint="default" w:cs="宋体"/>
          <w:color w:val="auto"/>
          <w:sz w:val="44"/>
          <w:highlight w:val="none"/>
        </w:rPr>
      </w:pPr>
    </w:p>
    <w:p>
      <w:pPr>
        <w:pStyle w:val="15"/>
        <w:overflowPunct w:val="0"/>
        <w:spacing w:before="3"/>
        <w:ind w:left="0"/>
        <w:rPr>
          <w:rFonts w:hint="default" w:cs="宋体"/>
          <w:color w:val="auto"/>
          <w:sz w:val="41"/>
          <w:highlight w:val="none"/>
        </w:rPr>
      </w:pPr>
    </w:p>
    <w:p>
      <w:pPr>
        <w:pStyle w:val="15"/>
        <w:tabs>
          <w:tab w:val="left" w:pos="6942"/>
          <w:tab w:val="left" w:pos="7535"/>
        </w:tabs>
        <w:overflowPunct w:val="0"/>
        <w:snapToGrid w:val="0"/>
        <w:spacing w:line="360" w:lineRule="auto"/>
        <w:ind w:left="850" w:leftChars="354" w:right="141"/>
        <w:rPr>
          <w:rFonts w:hint="default" w:cs="宋体"/>
          <w:color w:val="auto"/>
          <w:sz w:val="28"/>
          <w:highlight w:val="none"/>
        </w:rPr>
      </w:pPr>
      <w:r>
        <w:rPr>
          <w:rFonts w:cs="宋体"/>
          <w:color w:val="auto"/>
          <w:sz w:val="28"/>
          <w:highlight w:val="none"/>
        </w:rPr>
        <w:t>投标单位</w:t>
      </w:r>
      <w:r>
        <w:rPr>
          <w:color w:val="auto"/>
          <w:spacing w:val="-40"/>
          <w:sz w:val="28"/>
          <w:highlight w:val="none"/>
        </w:rPr>
        <w:t>:</w:t>
      </w:r>
      <w:r>
        <w:rPr>
          <w:rFonts w:cs="宋体"/>
          <w:color w:val="auto"/>
          <w:sz w:val="28"/>
          <w:highlight w:val="none"/>
        </w:rPr>
        <w:t>（单位全称）</w:t>
      </w:r>
      <w:r>
        <w:rPr>
          <w:rFonts w:cs="宋体"/>
          <w:color w:val="auto"/>
          <w:sz w:val="28"/>
          <w:highlight w:val="none"/>
          <w:u w:val="single"/>
        </w:rPr>
        <w:t xml:space="preserve">                         </w:t>
      </w:r>
      <w:r>
        <w:rPr>
          <w:rFonts w:cs="宋体"/>
          <w:color w:val="auto"/>
          <w:sz w:val="28"/>
          <w:highlight w:val="none"/>
        </w:rPr>
        <w:t>(盖章)</w:t>
      </w:r>
    </w:p>
    <w:p>
      <w:pPr>
        <w:spacing w:line="360" w:lineRule="auto"/>
        <w:ind w:left="850" w:leftChars="354"/>
        <w:rPr>
          <w:rFonts w:ascii="宋体" w:hAnsi="宋体"/>
          <w:color w:val="auto"/>
          <w:sz w:val="28"/>
          <w:highlight w:val="none"/>
        </w:rPr>
      </w:pPr>
      <w:r>
        <w:rPr>
          <w:rFonts w:hint="eastAsia" w:ascii="宋体" w:hAnsi="宋体"/>
          <w:color w:val="auto"/>
          <w:sz w:val="28"/>
          <w:highlight w:val="none"/>
        </w:rPr>
        <w:t>法定代表人或其委托代理人：</w:t>
      </w:r>
      <w:r>
        <w:rPr>
          <w:rFonts w:hint="eastAsia" w:ascii="宋体" w:hAnsi="宋体"/>
          <w:color w:val="auto"/>
          <w:sz w:val="28"/>
          <w:highlight w:val="none"/>
          <w:u w:val="single"/>
        </w:rPr>
        <w:t xml:space="preserve">             </w:t>
      </w:r>
      <w:r>
        <w:rPr>
          <w:rFonts w:hint="eastAsia" w:ascii="宋体" w:hAnsi="宋体"/>
          <w:color w:val="auto"/>
          <w:sz w:val="28"/>
          <w:highlight w:val="none"/>
        </w:rPr>
        <w:t>（签字或盖章）</w:t>
      </w:r>
    </w:p>
    <w:p>
      <w:pPr>
        <w:rPr>
          <w:color w:val="auto"/>
          <w:highlight w:val="none"/>
        </w:rPr>
      </w:pPr>
    </w:p>
    <w:p>
      <w:pPr>
        <w:pStyle w:val="15"/>
        <w:tabs>
          <w:tab w:val="left" w:pos="3611"/>
          <w:tab w:val="left" w:pos="4626"/>
          <w:tab w:val="left" w:pos="5642"/>
        </w:tabs>
        <w:overflowPunct w:val="0"/>
        <w:snapToGrid w:val="0"/>
        <w:spacing w:before="14" w:line="360" w:lineRule="auto"/>
        <w:ind w:left="2877"/>
        <w:rPr>
          <w:rFonts w:hint="default" w:cs="宋体"/>
          <w:color w:val="auto"/>
          <w:sz w:val="28"/>
          <w:highlight w:val="none"/>
        </w:rPr>
      </w:pPr>
      <w:r>
        <w:rPr>
          <w:rFonts w:hint="default" w:cs="宋体"/>
          <w:color w:val="auto"/>
          <w:spacing w:val="-1"/>
          <w:sz w:val="28"/>
          <w:highlight w:val="none"/>
          <w:u w:val="single"/>
        </w:rPr>
        <w:t xml:space="preserve">    </w:t>
      </w:r>
      <w:r>
        <w:rPr>
          <w:rFonts w:cs="宋体"/>
          <w:color w:val="auto"/>
          <w:sz w:val="28"/>
          <w:highlight w:val="none"/>
        </w:rPr>
        <w:t>年</w:t>
      </w:r>
      <w:r>
        <w:rPr>
          <w:rFonts w:hint="default" w:cs="宋体"/>
          <w:color w:val="auto"/>
          <w:spacing w:val="-1"/>
          <w:sz w:val="28"/>
          <w:highlight w:val="none"/>
          <w:u w:val="single"/>
        </w:rPr>
        <w:t xml:space="preserve">    </w:t>
      </w:r>
      <w:r>
        <w:rPr>
          <w:rFonts w:cs="宋体"/>
          <w:color w:val="auto"/>
          <w:sz w:val="28"/>
          <w:highlight w:val="none"/>
        </w:rPr>
        <w:t>月</w:t>
      </w:r>
      <w:r>
        <w:rPr>
          <w:rFonts w:hint="default" w:cs="宋体"/>
          <w:color w:val="auto"/>
          <w:spacing w:val="-1"/>
          <w:sz w:val="28"/>
          <w:highlight w:val="none"/>
          <w:u w:val="single"/>
        </w:rPr>
        <w:t xml:space="preserve">    </w:t>
      </w:r>
      <w:r>
        <w:rPr>
          <w:rFonts w:cs="宋体"/>
          <w:color w:val="auto"/>
          <w:sz w:val="28"/>
          <w:highlight w:val="none"/>
        </w:rPr>
        <w:t>日</w:t>
      </w:r>
    </w:p>
    <w:p>
      <w:pPr>
        <w:pStyle w:val="15"/>
        <w:tabs>
          <w:tab w:val="left" w:pos="3611"/>
          <w:tab w:val="left" w:pos="4626"/>
          <w:tab w:val="left" w:pos="5642"/>
        </w:tabs>
        <w:overflowPunct w:val="0"/>
        <w:spacing w:before="14"/>
        <w:ind w:left="2877"/>
        <w:rPr>
          <w:rFonts w:hint="default" w:cs="宋体"/>
          <w:color w:val="auto"/>
          <w:sz w:val="28"/>
          <w:highlight w:val="none"/>
        </w:rPr>
      </w:pPr>
    </w:p>
    <w:p>
      <w:pPr>
        <w:pStyle w:val="7"/>
        <w:overflowPunct w:val="0"/>
        <w:spacing w:line="443" w:lineRule="exact"/>
        <w:ind w:left="445" w:right="423"/>
        <w:jc w:val="center"/>
        <w:rPr>
          <w:rFonts w:ascii="宋体" w:hAnsi="宋体" w:eastAsia="宋体" w:cs="宋体"/>
          <w:b w:val="0"/>
          <w:color w:val="auto"/>
          <w:highlight w:val="none"/>
        </w:rPr>
      </w:pPr>
      <w:bookmarkStart w:id="186" w:name="bookmark155"/>
      <w:bookmarkEnd w:id="186"/>
      <w:bookmarkStart w:id="187" w:name="_Toc83210334"/>
      <w:bookmarkStart w:id="188" w:name="_Toc18846"/>
      <w:r>
        <w:rPr>
          <w:rFonts w:ascii="宋体" w:hAnsi="宋体" w:eastAsia="宋体" w:cs="宋体"/>
          <w:color w:val="auto"/>
          <w:highlight w:val="none"/>
        </w:rPr>
        <w:br w:type="column"/>
      </w:r>
      <w:r>
        <w:rPr>
          <w:rFonts w:hint="eastAsia" w:ascii="宋体" w:hAnsi="宋体" w:eastAsia="宋体" w:cs="宋体"/>
          <w:color w:val="auto"/>
          <w:highlight w:val="none"/>
        </w:rPr>
        <w:t>目 录</w:t>
      </w:r>
      <w:bookmarkEnd w:id="187"/>
      <w:bookmarkEnd w:id="188"/>
    </w:p>
    <w:p>
      <w:pPr>
        <w:pStyle w:val="15"/>
        <w:overflowPunct w:val="0"/>
        <w:ind w:left="0"/>
        <w:rPr>
          <w:rFonts w:hint="default" w:cs="宋体"/>
          <w:b/>
          <w:color w:val="auto"/>
          <w:sz w:val="20"/>
          <w:highlight w:val="none"/>
        </w:rPr>
      </w:pPr>
    </w:p>
    <w:p>
      <w:pPr>
        <w:pStyle w:val="15"/>
        <w:overflowPunct w:val="0"/>
        <w:ind w:left="0"/>
        <w:rPr>
          <w:rFonts w:hint="default" w:cs="宋体"/>
          <w:b/>
          <w:color w:val="auto"/>
          <w:sz w:val="20"/>
          <w:highlight w:val="none"/>
        </w:rPr>
      </w:pPr>
    </w:p>
    <w:p>
      <w:pPr>
        <w:pStyle w:val="15"/>
        <w:overflowPunct w:val="0"/>
        <w:ind w:left="0"/>
        <w:rPr>
          <w:rFonts w:hint="default" w:cs="宋体"/>
          <w:b/>
          <w:color w:val="auto"/>
          <w:sz w:val="20"/>
          <w:highlight w:val="none"/>
        </w:rPr>
      </w:pPr>
    </w:p>
    <w:p>
      <w:pPr>
        <w:pStyle w:val="15"/>
        <w:overflowPunct w:val="0"/>
        <w:spacing w:before="6"/>
        <w:ind w:left="0"/>
        <w:rPr>
          <w:rFonts w:hint="default" w:cs="宋体"/>
          <w:b/>
          <w:color w:val="auto"/>
          <w:sz w:val="12"/>
          <w:highlight w:val="none"/>
        </w:rPr>
      </w:pP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1）投标函</w:t>
      </w:r>
      <w:r>
        <w:rPr>
          <w:rFonts w:cs="宋体"/>
          <w:color w:val="auto"/>
          <w:szCs w:val="22"/>
          <w:highlight w:val="none"/>
        </w:rPr>
        <w:t>及投标函附录</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2）投标报价表（</w:t>
      </w:r>
      <w:r>
        <w:rPr>
          <w:rFonts w:cs="宋体"/>
          <w:color w:val="auto"/>
          <w:szCs w:val="22"/>
          <w:highlight w:val="none"/>
        </w:rPr>
        <w:t>含工程量清单报价分项明细表、电梯（垂直/自动扶梯）货物主要部件（材料、配套件）清单、电梯（垂直/自动扶梯）货物备品备件清单、质保期满后5年的维修保养费用</w:t>
      </w:r>
      <w:r>
        <w:rPr>
          <w:rFonts w:hint="default" w:cs="宋体"/>
          <w:color w:val="auto"/>
          <w:szCs w:val="22"/>
          <w:highlight w:val="none"/>
        </w:rPr>
        <w:t>）</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3）商务部分(</w:t>
      </w:r>
      <w:r>
        <w:rPr>
          <w:rFonts w:cs="宋体"/>
          <w:color w:val="auto"/>
          <w:szCs w:val="22"/>
          <w:highlight w:val="none"/>
        </w:rPr>
        <w:t>含资格审查部分）</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①投标单位法定代表人（单位负责人）证明书及法定代表人（单位负责人）授权委托书</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②投标单位营业执照或事业单位法人证书</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③投标单位资质证书</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④投标人基本情况表</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⑤投标申请人声明</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⑥2018年1月1日至今类似项目业绩</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⑦企业资信证明材料</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（a）企业银行信用等级（须提供有效期内的等级证书扫描件）</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（b）ISO管理体系（包括ISO9001质量管理体系认证、ISO14001环境管理体系认证、ISO45001职业健康安全管理体系认证，须提供有效期内管理体系认证证书扫描件）</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（c）电梯业绩</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（d）其他资料</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⑧项目负责人及拟投入的电梯安装人员一览表</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⑨关于响应土建尺寸的承诺函</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4）技术部分</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①投标设备技术性能指标的详细描述,内容包括但不限于：</w:t>
      </w:r>
    </w:p>
    <w:p>
      <w:pPr>
        <w:pStyle w:val="15"/>
        <w:overflowPunct w:val="0"/>
        <w:snapToGrid w:val="0"/>
        <w:spacing w:line="360" w:lineRule="auto"/>
        <w:ind w:right="113" w:firstLine="419"/>
        <w:rPr>
          <w:rFonts w:hint="default" w:cs="宋体"/>
          <w:color w:val="auto"/>
          <w:szCs w:val="21"/>
          <w:highlight w:val="none"/>
          <w:lang w:bidi="ar"/>
        </w:rPr>
      </w:pPr>
      <w:r>
        <w:rPr>
          <w:rFonts w:cs="宋体"/>
          <w:color w:val="auto"/>
          <w:szCs w:val="22"/>
          <w:highlight w:val="none"/>
        </w:rPr>
        <w:t>（a）</w:t>
      </w:r>
      <w:r>
        <w:rPr>
          <w:rFonts w:cs="宋体"/>
          <w:color w:val="auto"/>
          <w:szCs w:val="21"/>
          <w:highlight w:val="none"/>
          <w:lang w:bidi="ar"/>
        </w:rPr>
        <w:t>曳引机是否为永磁同步无齿轮曳引机，是否采用32位以上微机控制交流变频变压驱动系统，曳引机的品牌及性能；</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（b）</w:t>
      </w:r>
      <w:r>
        <w:rPr>
          <w:rFonts w:cs="宋体"/>
          <w:color w:val="auto"/>
          <w:szCs w:val="21"/>
          <w:highlight w:val="none"/>
          <w:lang w:bidi="ar"/>
        </w:rPr>
        <w:t>控制柜以及变频器的品牌及</w:t>
      </w:r>
      <w:r>
        <w:rPr>
          <w:color w:val="auto"/>
          <w:highlight w:val="none"/>
          <w:lang w:bidi="ar"/>
        </w:rPr>
        <w:t>电磁兼容性性能等；</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（c）</w:t>
      </w:r>
      <w:r>
        <w:rPr>
          <w:rFonts w:cs="宋体"/>
          <w:color w:val="auto"/>
          <w:szCs w:val="21"/>
          <w:highlight w:val="none"/>
          <w:lang w:bidi="ar"/>
        </w:rPr>
        <w:t>门机控制系统</w:t>
      </w:r>
      <w:r>
        <w:rPr>
          <w:color w:val="auto"/>
          <w:highlight w:val="none"/>
          <w:lang w:bidi="ar"/>
        </w:rPr>
        <w:t>是否为永磁同步门机，门机驱动是否采用交流变频变压控制系统，门机控制系统的品牌及性能；</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（d）</w:t>
      </w:r>
      <w:r>
        <w:rPr>
          <w:rFonts w:cs="宋体"/>
          <w:color w:val="auto"/>
          <w:szCs w:val="21"/>
          <w:highlight w:val="none"/>
          <w:lang w:bidi="ar"/>
        </w:rPr>
        <w:t>门保护系统的性能；</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（e）其他资料</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②技术支持资料</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③服务方案</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（a）电梯供货、安装、调试、验收方案及进度计划。</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（b）售后服务方案（包括但不限于：是否有项目所在地售后服务机构的专业维修队伍、是否有零配件仓库、配件供应能力，紧急维修服务响应时间等）。</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（c）</w:t>
      </w:r>
      <w:r>
        <w:rPr>
          <w:color w:val="auto"/>
          <w:szCs w:val="21"/>
          <w:highlight w:val="none"/>
        </w:rPr>
        <w:t>其他（投标人认为需要提供的资料）。</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5）其他资料</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①商务偏差表、</w:t>
      </w:r>
      <w:r>
        <w:rPr>
          <w:bCs/>
          <w:color w:val="auto"/>
          <w:szCs w:val="24"/>
          <w:highlight w:val="none"/>
        </w:rPr>
        <w:t>电梯技术要求及参数响应表</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②投标保证金</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③危险性较大的分部分项工程清单及超过一定规模的危险性较大的分部分项工程清单</w:t>
      </w:r>
    </w:p>
    <w:p>
      <w:pPr>
        <w:pStyle w:val="15"/>
        <w:overflowPunct w:val="0"/>
        <w:snapToGrid w:val="0"/>
        <w:spacing w:line="360" w:lineRule="auto"/>
        <w:ind w:right="113" w:firstLine="419"/>
        <w:rPr>
          <w:rFonts w:hint="default" w:cs="宋体"/>
          <w:color w:val="auto"/>
          <w:szCs w:val="22"/>
          <w:highlight w:val="none"/>
        </w:rPr>
      </w:pPr>
      <w:r>
        <w:rPr>
          <w:rFonts w:cs="宋体"/>
          <w:color w:val="auto"/>
          <w:szCs w:val="22"/>
          <w:highlight w:val="none"/>
        </w:rPr>
        <w:t>（</w:t>
      </w:r>
      <w:r>
        <w:rPr>
          <w:rFonts w:hint="default" w:cs="宋体"/>
          <w:color w:val="auto"/>
          <w:szCs w:val="22"/>
          <w:highlight w:val="none"/>
        </w:rPr>
        <w:t>6）投标人认为有必要提供的其它证明材料</w:t>
      </w:r>
    </w:p>
    <w:p>
      <w:pPr>
        <w:pStyle w:val="15"/>
        <w:overflowPunct w:val="0"/>
        <w:snapToGrid w:val="0"/>
        <w:spacing w:line="360" w:lineRule="auto"/>
        <w:ind w:right="113" w:firstLine="419"/>
        <w:rPr>
          <w:rFonts w:hint="default" w:cs="宋体"/>
          <w:color w:val="auto"/>
          <w:spacing w:val="-8"/>
          <w:szCs w:val="22"/>
          <w:highlight w:val="none"/>
        </w:rPr>
      </w:pPr>
    </w:p>
    <w:p>
      <w:pPr>
        <w:pStyle w:val="15"/>
        <w:overflowPunct w:val="0"/>
        <w:spacing w:before="62" w:line="472" w:lineRule="auto"/>
        <w:ind w:right="4330"/>
        <w:rPr>
          <w:rFonts w:hint="default" w:cs="宋体"/>
          <w:color w:val="auto"/>
          <w:highlight w:val="none"/>
        </w:rPr>
      </w:pPr>
    </w:p>
    <w:p>
      <w:pPr>
        <w:pStyle w:val="7"/>
        <w:overflowPunct w:val="0"/>
        <w:spacing w:line="443" w:lineRule="exact"/>
        <w:ind w:left="0" w:right="17"/>
        <w:rPr>
          <w:rFonts w:ascii="宋体" w:hAnsi="宋体" w:eastAsia="宋体" w:cs="宋体"/>
          <w:color w:val="auto"/>
          <w:sz w:val="24"/>
          <w:szCs w:val="16"/>
          <w:highlight w:val="none"/>
        </w:rPr>
      </w:pPr>
      <w:bookmarkStart w:id="189" w:name="bookmark156"/>
      <w:bookmarkEnd w:id="189"/>
      <w:bookmarkStart w:id="190" w:name="_Toc9767"/>
      <w:bookmarkStart w:id="191" w:name="_Toc83210335"/>
      <w:r>
        <w:rPr>
          <w:rFonts w:ascii="宋体" w:hAnsi="宋体" w:eastAsia="宋体" w:cs="宋体"/>
          <w:color w:val="auto"/>
          <w:sz w:val="24"/>
          <w:szCs w:val="16"/>
          <w:highlight w:val="none"/>
        </w:rPr>
        <w:br w:type="column"/>
      </w:r>
      <w:r>
        <w:rPr>
          <w:rFonts w:hint="eastAsia" w:ascii="宋体" w:hAnsi="宋体" w:eastAsia="宋体" w:cs="宋体"/>
          <w:color w:val="auto"/>
          <w:sz w:val="24"/>
          <w:szCs w:val="16"/>
          <w:highlight w:val="none"/>
        </w:rPr>
        <w:t>附件</w:t>
      </w:r>
      <w:r>
        <w:rPr>
          <w:rFonts w:ascii="宋体" w:hAnsi="宋体" w:eastAsia="宋体" w:cs="宋体"/>
          <w:color w:val="auto"/>
          <w:sz w:val="24"/>
          <w:szCs w:val="16"/>
          <w:highlight w:val="none"/>
        </w:rPr>
        <w:t>1：投标函</w:t>
      </w:r>
      <w:bookmarkEnd w:id="190"/>
      <w:bookmarkEnd w:id="191"/>
      <w:r>
        <w:rPr>
          <w:rFonts w:hint="eastAsia" w:ascii="宋体" w:hAnsi="宋体" w:eastAsia="宋体" w:cs="宋体"/>
          <w:color w:val="auto"/>
          <w:sz w:val="24"/>
          <w:szCs w:val="16"/>
          <w:highlight w:val="none"/>
        </w:rPr>
        <w:t>及投标函附录</w:t>
      </w:r>
    </w:p>
    <w:p>
      <w:pPr>
        <w:pStyle w:val="48"/>
        <w:spacing w:line="360" w:lineRule="auto"/>
        <w:ind w:left="102"/>
        <w:jc w:val="center"/>
        <w:outlineLvl w:val="3"/>
        <w:rPr>
          <w:rFonts w:hint="default" w:cs="宋体"/>
          <w:b/>
          <w:color w:val="auto"/>
          <w:sz w:val="36"/>
          <w:szCs w:val="36"/>
          <w:highlight w:val="none"/>
        </w:rPr>
      </w:pPr>
      <w:bookmarkStart w:id="192" w:name="_Toc13726"/>
      <w:r>
        <w:rPr>
          <w:rFonts w:cs="宋体"/>
          <w:b/>
          <w:color w:val="auto"/>
          <w:sz w:val="36"/>
          <w:szCs w:val="36"/>
          <w:highlight w:val="none"/>
        </w:rPr>
        <w:t>（一）</w:t>
      </w:r>
      <w:bookmarkEnd w:id="192"/>
      <w:r>
        <w:rPr>
          <w:rFonts w:cs="宋体"/>
          <w:b/>
          <w:color w:val="auto"/>
          <w:sz w:val="36"/>
          <w:szCs w:val="36"/>
          <w:highlight w:val="none"/>
        </w:rPr>
        <w:t>投标函</w:t>
      </w:r>
    </w:p>
    <w:p>
      <w:pPr>
        <w:pStyle w:val="15"/>
        <w:overflowPunct w:val="0"/>
        <w:snapToGrid w:val="0"/>
        <w:spacing w:line="400" w:lineRule="exact"/>
        <w:ind w:left="0" w:right="113"/>
        <w:rPr>
          <w:rFonts w:hint="default" w:cs="宋体"/>
          <w:color w:val="auto"/>
          <w:szCs w:val="22"/>
          <w:highlight w:val="none"/>
        </w:rPr>
      </w:pPr>
      <w:r>
        <w:rPr>
          <w:rFonts w:hint="default" w:cs="宋体"/>
          <w:color w:val="auto"/>
          <w:szCs w:val="22"/>
          <w:highlight w:val="none"/>
          <w:u w:val="single"/>
        </w:rPr>
        <w:t xml:space="preserve">                </w:t>
      </w:r>
      <w:r>
        <w:rPr>
          <w:rFonts w:cs="宋体"/>
          <w:color w:val="auto"/>
          <w:szCs w:val="22"/>
          <w:highlight w:val="none"/>
        </w:rPr>
        <w:t>（招标人名称）：</w:t>
      </w:r>
    </w:p>
    <w:p>
      <w:pPr>
        <w:pStyle w:val="15"/>
        <w:overflowPunct w:val="0"/>
        <w:snapToGrid w:val="0"/>
        <w:spacing w:line="400" w:lineRule="exact"/>
        <w:ind w:left="19" w:right="-20" w:firstLine="525" w:firstLineChars="250"/>
        <w:jc w:val="both"/>
        <w:rPr>
          <w:rFonts w:hint="default" w:cs="宋体"/>
          <w:color w:val="auto"/>
          <w:szCs w:val="22"/>
          <w:highlight w:val="none"/>
        </w:rPr>
      </w:pPr>
      <w:r>
        <w:rPr>
          <w:rFonts w:hint="default" w:cs="宋体"/>
          <w:color w:val="auto"/>
          <w:szCs w:val="22"/>
          <w:highlight w:val="none"/>
        </w:rPr>
        <w:t>1．我方已仔细研究了</w:t>
      </w:r>
      <w:r>
        <w:rPr>
          <w:rFonts w:hint="default" w:cs="宋体"/>
          <w:color w:val="auto"/>
          <w:szCs w:val="22"/>
          <w:highlight w:val="none"/>
          <w:u w:val="single"/>
        </w:rPr>
        <w:t xml:space="preserve">             </w:t>
      </w:r>
      <w:r>
        <w:rPr>
          <w:rFonts w:cs="宋体"/>
          <w:color w:val="auto"/>
          <w:szCs w:val="22"/>
          <w:highlight w:val="none"/>
        </w:rPr>
        <w:t>（项目名称）招标项目招标文件的全部内容，愿意以人民币（大写）</w:t>
      </w:r>
      <w:r>
        <w:rPr>
          <w:rFonts w:hint="default" w:cs="宋体"/>
          <w:color w:val="auto"/>
          <w:szCs w:val="22"/>
          <w:highlight w:val="none"/>
          <w:u w:val="single"/>
        </w:rPr>
        <w:t xml:space="preserve">           </w:t>
      </w:r>
      <w:r>
        <w:rPr>
          <w:rFonts w:cs="宋体"/>
          <w:color w:val="auto"/>
          <w:szCs w:val="22"/>
          <w:highlight w:val="none"/>
        </w:rPr>
        <w:t>（¥</w:t>
      </w:r>
      <w:r>
        <w:rPr>
          <w:rFonts w:hint="default" w:cs="宋体"/>
          <w:color w:val="auto"/>
          <w:szCs w:val="22"/>
          <w:highlight w:val="none"/>
          <w:u w:val="single"/>
        </w:rPr>
        <w:t xml:space="preserve">           </w:t>
      </w:r>
      <w:r>
        <w:rPr>
          <w:rFonts w:cs="宋体"/>
          <w:color w:val="auto"/>
          <w:szCs w:val="22"/>
          <w:highlight w:val="none"/>
        </w:rPr>
        <w:t>）的投标总报价（其中，设备采购增值税税率为</w:t>
      </w:r>
      <w:r>
        <w:rPr>
          <w:rFonts w:hint="default" w:cs="宋体"/>
          <w:color w:val="auto"/>
          <w:szCs w:val="22"/>
          <w:highlight w:val="none"/>
          <w:u w:val="single"/>
        </w:rPr>
        <w:t xml:space="preserve">      </w:t>
      </w:r>
      <w:r>
        <w:rPr>
          <w:rFonts w:cs="宋体"/>
          <w:color w:val="auto"/>
          <w:szCs w:val="22"/>
          <w:highlight w:val="none"/>
        </w:rPr>
        <w:t>、设备安装增值税税率为</w:t>
      </w:r>
      <w:r>
        <w:rPr>
          <w:rFonts w:hint="default" w:cs="宋体"/>
          <w:color w:val="auto"/>
          <w:szCs w:val="22"/>
          <w:highlight w:val="none"/>
          <w:u w:val="single"/>
        </w:rPr>
        <w:t xml:space="preserve">      </w:t>
      </w:r>
      <w:r>
        <w:rPr>
          <w:rFonts w:cs="宋体"/>
          <w:color w:val="auto"/>
          <w:szCs w:val="22"/>
          <w:highlight w:val="none"/>
        </w:rPr>
        <w:t>）提供</w:t>
      </w:r>
      <w:r>
        <w:rPr>
          <w:rFonts w:hint="default" w:cs="宋体"/>
          <w:color w:val="auto"/>
          <w:szCs w:val="22"/>
          <w:highlight w:val="none"/>
          <w:u w:val="single"/>
        </w:rPr>
        <w:t xml:space="preserve">           </w:t>
      </w:r>
      <w:r>
        <w:rPr>
          <w:rFonts w:cs="宋体"/>
          <w:color w:val="auto"/>
          <w:szCs w:val="22"/>
          <w:highlight w:val="none"/>
        </w:rPr>
        <w:t>（设备名称及技术服务和质保期服务），并按合同约定履行义务。</w:t>
      </w:r>
      <w:r>
        <w:rPr>
          <w:rFonts w:cs="宋体"/>
          <w:color w:val="auto"/>
          <w:szCs w:val="21"/>
          <w:highlight w:val="none"/>
        </w:rPr>
        <w:t>交货期、交货地点按照招标文件和招标人要求。</w:t>
      </w:r>
    </w:p>
    <w:p>
      <w:pPr>
        <w:pStyle w:val="15"/>
        <w:overflowPunct w:val="0"/>
        <w:snapToGrid w:val="0"/>
        <w:spacing w:line="400" w:lineRule="exact"/>
        <w:ind w:left="519" w:right="113"/>
        <w:rPr>
          <w:rFonts w:hint="default" w:cs="宋体"/>
          <w:color w:val="auto"/>
          <w:szCs w:val="22"/>
          <w:highlight w:val="none"/>
        </w:rPr>
      </w:pPr>
      <w:r>
        <w:rPr>
          <w:rFonts w:hint="default" w:cs="宋体"/>
          <w:color w:val="auto"/>
          <w:szCs w:val="22"/>
          <w:highlight w:val="none"/>
        </w:rPr>
        <w:t>2.我方的投标文件包括下列内容：</w:t>
      </w:r>
    </w:p>
    <w:p>
      <w:pPr>
        <w:pStyle w:val="15"/>
        <w:overflowPunct w:val="0"/>
        <w:snapToGrid w:val="0"/>
        <w:spacing w:line="400" w:lineRule="exact"/>
        <w:ind w:left="519" w:right="113"/>
        <w:rPr>
          <w:rFonts w:hint="default" w:cs="宋体"/>
          <w:color w:val="auto"/>
          <w:szCs w:val="22"/>
          <w:highlight w:val="none"/>
        </w:rPr>
      </w:pPr>
      <w:r>
        <w:rPr>
          <w:rFonts w:cs="宋体"/>
          <w:color w:val="auto"/>
          <w:szCs w:val="22"/>
          <w:highlight w:val="none"/>
        </w:rPr>
        <w:t>（一）投标函及投标函附录</w:t>
      </w:r>
    </w:p>
    <w:p>
      <w:pPr>
        <w:pStyle w:val="15"/>
        <w:overflowPunct w:val="0"/>
        <w:snapToGrid w:val="0"/>
        <w:spacing w:line="400" w:lineRule="exact"/>
        <w:ind w:left="519" w:right="113"/>
        <w:rPr>
          <w:rFonts w:hint="default" w:cs="宋体"/>
          <w:color w:val="auto"/>
          <w:szCs w:val="22"/>
          <w:highlight w:val="none"/>
        </w:rPr>
      </w:pPr>
      <w:r>
        <w:rPr>
          <w:rFonts w:cs="宋体"/>
          <w:color w:val="auto"/>
          <w:szCs w:val="22"/>
          <w:highlight w:val="none"/>
        </w:rPr>
        <w:t>（二）投标报价表</w:t>
      </w:r>
    </w:p>
    <w:p>
      <w:pPr>
        <w:pStyle w:val="15"/>
        <w:overflowPunct w:val="0"/>
        <w:snapToGrid w:val="0"/>
        <w:spacing w:line="400" w:lineRule="exact"/>
        <w:ind w:left="519" w:right="113"/>
        <w:rPr>
          <w:rFonts w:hint="default" w:cs="宋体"/>
          <w:color w:val="auto"/>
          <w:szCs w:val="22"/>
          <w:highlight w:val="none"/>
        </w:rPr>
      </w:pPr>
      <w:r>
        <w:rPr>
          <w:rFonts w:cs="宋体"/>
          <w:color w:val="auto"/>
          <w:szCs w:val="22"/>
          <w:highlight w:val="none"/>
        </w:rPr>
        <w:t>（三）商务部分</w:t>
      </w:r>
      <w:r>
        <w:rPr>
          <w:rFonts w:hint="default" w:cs="宋体"/>
          <w:color w:val="auto"/>
          <w:szCs w:val="22"/>
          <w:highlight w:val="none"/>
        </w:rPr>
        <w:t>(</w:t>
      </w:r>
      <w:r>
        <w:rPr>
          <w:rFonts w:cs="宋体"/>
          <w:color w:val="auto"/>
          <w:szCs w:val="22"/>
          <w:highlight w:val="none"/>
        </w:rPr>
        <w:t>含资格审查部分）</w:t>
      </w:r>
    </w:p>
    <w:p>
      <w:pPr>
        <w:pStyle w:val="15"/>
        <w:overflowPunct w:val="0"/>
        <w:snapToGrid w:val="0"/>
        <w:spacing w:line="400" w:lineRule="exact"/>
        <w:ind w:left="519" w:right="113"/>
        <w:rPr>
          <w:rFonts w:hint="default" w:cs="宋体"/>
          <w:color w:val="auto"/>
          <w:szCs w:val="22"/>
          <w:highlight w:val="none"/>
        </w:rPr>
      </w:pPr>
      <w:r>
        <w:rPr>
          <w:rFonts w:cs="宋体"/>
          <w:color w:val="auto"/>
          <w:szCs w:val="22"/>
          <w:highlight w:val="none"/>
        </w:rPr>
        <w:t>（四）技术部分</w:t>
      </w:r>
    </w:p>
    <w:p>
      <w:pPr>
        <w:pStyle w:val="15"/>
        <w:overflowPunct w:val="0"/>
        <w:snapToGrid w:val="0"/>
        <w:spacing w:line="400" w:lineRule="exact"/>
        <w:ind w:left="519" w:right="113"/>
        <w:rPr>
          <w:rFonts w:hint="default" w:cs="宋体"/>
          <w:color w:val="auto"/>
          <w:szCs w:val="22"/>
          <w:highlight w:val="none"/>
        </w:rPr>
      </w:pPr>
      <w:r>
        <w:rPr>
          <w:rFonts w:cs="宋体"/>
          <w:color w:val="auto"/>
          <w:szCs w:val="22"/>
          <w:highlight w:val="none"/>
        </w:rPr>
        <w:t>（五）其他资料</w:t>
      </w:r>
    </w:p>
    <w:p>
      <w:pPr>
        <w:pStyle w:val="15"/>
        <w:overflowPunct w:val="0"/>
        <w:snapToGrid w:val="0"/>
        <w:spacing w:line="400" w:lineRule="exact"/>
        <w:ind w:left="519" w:right="113"/>
        <w:rPr>
          <w:rFonts w:hint="default" w:cs="宋体"/>
          <w:color w:val="auto"/>
          <w:szCs w:val="22"/>
          <w:highlight w:val="none"/>
        </w:rPr>
      </w:pPr>
      <w:r>
        <w:rPr>
          <w:rFonts w:cs="宋体"/>
          <w:color w:val="auto"/>
          <w:szCs w:val="22"/>
          <w:highlight w:val="none"/>
        </w:rPr>
        <w:t>（六）投标人认为有必要提供的其它证明材料（如有）</w:t>
      </w:r>
    </w:p>
    <w:p>
      <w:pPr>
        <w:pStyle w:val="15"/>
        <w:overflowPunct w:val="0"/>
        <w:snapToGrid w:val="0"/>
        <w:spacing w:line="400" w:lineRule="exact"/>
        <w:ind w:left="519" w:right="113"/>
        <w:rPr>
          <w:rFonts w:hint="default" w:cs="宋体"/>
          <w:color w:val="auto"/>
          <w:szCs w:val="22"/>
          <w:highlight w:val="none"/>
        </w:rPr>
      </w:pPr>
      <w:r>
        <w:rPr>
          <w:rFonts w:cs="宋体"/>
          <w:color w:val="auto"/>
          <w:szCs w:val="22"/>
          <w:highlight w:val="none"/>
        </w:rPr>
        <w:t>投标文件的上述组成部分如存在内容不一致的，以投标函为准。</w:t>
      </w:r>
    </w:p>
    <w:p>
      <w:pPr>
        <w:pStyle w:val="15"/>
        <w:overflowPunct w:val="0"/>
        <w:snapToGrid w:val="0"/>
        <w:spacing w:line="400" w:lineRule="exact"/>
        <w:ind w:left="519" w:right="113"/>
        <w:rPr>
          <w:rFonts w:hint="default" w:cs="宋体"/>
          <w:color w:val="auto"/>
          <w:szCs w:val="22"/>
          <w:highlight w:val="none"/>
        </w:rPr>
      </w:pPr>
      <w:r>
        <w:rPr>
          <w:rFonts w:hint="default" w:cs="宋体"/>
          <w:color w:val="auto"/>
          <w:szCs w:val="22"/>
          <w:highlight w:val="none"/>
        </w:rPr>
        <w:t>3．我方承诺除</w:t>
      </w:r>
      <w:r>
        <w:rPr>
          <w:rFonts w:cs="宋体"/>
          <w:color w:val="auto"/>
          <w:szCs w:val="22"/>
          <w:highlight w:val="none"/>
        </w:rPr>
        <w:t>电梯技术要求及参数响应表</w:t>
      </w:r>
      <w:r>
        <w:rPr>
          <w:rFonts w:hint="default" w:cs="宋体"/>
          <w:color w:val="auto"/>
          <w:szCs w:val="22"/>
          <w:highlight w:val="none"/>
        </w:rPr>
        <w:t>列出的偏差外，我方响应招标文件的全部要求。</w:t>
      </w:r>
    </w:p>
    <w:p>
      <w:pPr>
        <w:pStyle w:val="15"/>
        <w:overflowPunct w:val="0"/>
        <w:snapToGrid w:val="0"/>
        <w:spacing w:line="400" w:lineRule="exact"/>
        <w:ind w:left="519" w:right="113"/>
        <w:rPr>
          <w:rFonts w:hint="default" w:cs="宋体"/>
          <w:color w:val="auto"/>
          <w:szCs w:val="22"/>
          <w:highlight w:val="none"/>
        </w:rPr>
      </w:pPr>
      <w:r>
        <w:rPr>
          <w:rFonts w:hint="default" w:cs="宋体"/>
          <w:color w:val="auto"/>
          <w:szCs w:val="22"/>
          <w:highlight w:val="none"/>
        </w:rPr>
        <w:t>4．我方承诺在招标文件规定的投标有效期内</w:t>
      </w:r>
      <w:r>
        <w:rPr>
          <w:rFonts w:cs="宋体"/>
          <w:color w:val="auto"/>
          <w:szCs w:val="22"/>
          <w:highlight w:val="none"/>
        </w:rPr>
        <w:t>（</w:t>
      </w:r>
      <w:r>
        <w:rPr>
          <w:rFonts w:cs="宋体"/>
          <w:color w:val="auto"/>
          <w:szCs w:val="21"/>
          <w:highlight w:val="none"/>
          <w:u w:val="single"/>
        </w:rPr>
        <w:t>120日历天</w:t>
      </w:r>
      <w:r>
        <w:rPr>
          <w:rFonts w:cs="宋体"/>
          <w:color w:val="auto"/>
          <w:szCs w:val="22"/>
          <w:highlight w:val="none"/>
        </w:rPr>
        <w:t>）</w:t>
      </w:r>
      <w:r>
        <w:rPr>
          <w:rFonts w:hint="default" w:cs="宋体"/>
          <w:color w:val="auto"/>
          <w:szCs w:val="22"/>
          <w:highlight w:val="none"/>
        </w:rPr>
        <w:t>不撤销投标文件。</w:t>
      </w:r>
    </w:p>
    <w:p>
      <w:pPr>
        <w:pStyle w:val="15"/>
        <w:overflowPunct w:val="0"/>
        <w:snapToGrid w:val="0"/>
        <w:spacing w:line="400" w:lineRule="exact"/>
        <w:ind w:left="519" w:right="113"/>
        <w:rPr>
          <w:rFonts w:hint="default" w:cs="宋体"/>
          <w:color w:val="auto"/>
          <w:szCs w:val="22"/>
          <w:highlight w:val="none"/>
        </w:rPr>
      </w:pPr>
      <w:r>
        <w:rPr>
          <w:rFonts w:hint="default" w:cs="宋体"/>
          <w:color w:val="auto"/>
          <w:szCs w:val="22"/>
          <w:highlight w:val="none"/>
        </w:rPr>
        <w:t>5．如我方中标，我方承诺：</w:t>
      </w:r>
    </w:p>
    <w:p>
      <w:pPr>
        <w:pStyle w:val="15"/>
        <w:overflowPunct w:val="0"/>
        <w:snapToGrid w:val="0"/>
        <w:spacing w:line="400" w:lineRule="exact"/>
        <w:ind w:left="519" w:right="113"/>
        <w:rPr>
          <w:rFonts w:hint="default" w:cs="宋体"/>
          <w:color w:val="auto"/>
          <w:szCs w:val="22"/>
          <w:highlight w:val="none"/>
        </w:rPr>
      </w:pPr>
      <w:r>
        <w:rPr>
          <w:rFonts w:cs="宋体"/>
          <w:color w:val="auto"/>
          <w:szCs w:val="22"/>
          <w:highlight w:val="none"/>
        </w:rPr>
        <w:t>（</w:t>
      </w:r>
      <w:r>
        <w:rPr>
          <w:rFonts w:hint="default" w:cs="宋体"/>
          <w:color w:val="auto"/>
          <w:szCs w:val="22"/>
          <w:highlight w:val="none"/>
        </w:rPr>
        <w:t>1）在收到中标通知书后，在中标通知书规定的期限内</w:t>
      </w:r>
      <w:r>
        <w:rPr>
          <w:rFonts w:cs="宋体"/>
          <w:color w:val="auto"/>
          <w:szCs w:val="22"/>
          <w:highlight w:val="none"/>
        </w:rPr>
        <w:t>按招标文件要求签订合同；</w:t>
      </w:r>
    </w:p>
    <w:p>
      <w:pPr>
        <w:pStyle w:val="15"/>
        <w:overflowPunct w:val="0"/>
        <w:snapToGrid w:val="0"/>
        <w:spacing w:line="400" w:lineRule="exact"/>
        <w:ind w:left="519" w:right="113"/>
        <w:rPr>
          <w:rFonts w:hint="default" w:cs="宋体"/>
          <w:color w:val="auto"/>
          <w:szCs w:val="22"/>
          <w:highlight w:val="none"/>
        </w:rPr>
      </w:pPr>
      <w:r>
        <w:rPr>
          <w:rFonts w:cs="宋体"/>
          <w:color w:val="auto"/>
          <w:szCs w:val="22"/>
          <w:highlight w:val="none"/>
        </w:rPr>
        <w:t>（</w:t>
      </w:r>
      <w:r>
        <w:rPr>
          <w:rFonts w:hint="default" w:cs="宋体"/>
          <w:color w:val="auto"/>
          <w:szCs w:val="22"/>
          <w:highlight w:val="none"/>
        </w:rPr>
        <w:t>2）在签订合同时不向</w:t>
      </w:r>
      <w:r>
        <w:rPr>
          <w:rFonts w:cs="宋体"/>
          <w:color w:val="auto"/>
          <w:szCs w:val="22"/>
          <w:highlight w:val="none"/>
        </w:rPr>
        <w:t>总承包单位提出附加条件；</w:t>
      </w:r>
    </w:p>
    <w:p>
      <w:pPr>
        <w:pStyle w:val="15"/>
        <w:overflowPunct w:val="0"/>
        <w:snapToGrid w:val="0"/>
        <w:spacing w:line="400" w:lineRule="exact"/>
        <w:ind w:left="519" w:right="113"/>
        <w:rPr>
          <w:rFonts w:hint="default" w:cs="宋体"/>
          <w:color w:val="auto"/>
          <w:szCs w:val="22"/>
          <w:highlight w:val="none"/>
        </w:rPr>
      </w:pPr>
      <w:r>
        <w:rPr>
          <w:rFonts w:cs="宋体"/>
          <w:color w:val="auto"/>
          <w:szCs w:val="22"/>
          <w:highlight w:val="none"/>
        </w:rPr>
        <w:t>（</w:t>
      </w:r>
      <w:r>
        <w:rPr>
          <w:rFonts w:hint="default" w:cs="宋体"/>
          <w:color w:val="auto"/>
          <w:szCs w:val="22"/>
          <w:highlight w:val="none"/>
        </w:rPr>
        <w:t>3）按照招标文件要求提交履约保证金；</w:t>
      </w:r>
    </w:p>
    <w:p>
      <w:pPr>
        <w:pStyle w:val="15"/>
        <w:overflowPunct w:val="0"/>
        <w:snapToGrid w:val="0"/>
        <w:spacing w:line="400" w:lineRule="exact"/>
        <w:ind w:left="519" w:right="113"/>
        <w:rPr>
          <w:rFonts w:hint="default" w:cs="宋体"/>
          <w:color w:val="auto"/>
          <w:szCs w:val="22"/>
          <w:highlight w:val="none"/>
        </w:rPr>
      </w:pPr>
      <w:r>
        <w:rPr>
          <w:rFonts w:cs="宋体"/>
          <w:color w:val="auto"/>
          <w:szCs w:val="22"/>
          <w:highlight w:val="none"/>
        </w:rPr>
        <w:t>（</w:t>
      </w:r>
      <w:r>
        <w:rPr>
          <w:rFonts w:hint="default" w:cs="宋体"/>
          <w:color w:val="auto"/>
          <w:szCs w:val="22"/>
          <w:highlight w:val="none"/>
        </w:rPr>
        <w:t>4）在合同约定的期限内完成合同规定的全部义务。</w:t>
      </w:r>
    </w:p>
    <w:p>
      <w:pPr>
        <w:pStyle w:val="15"/>
        <w:overflowPunct w:val="0"/>
        <w:snapToGrid w:val="0"/>
        <w:spacing w:line="400" w:lineRule="exact"/>
        <w:ind w:left="19" w:right="113" w:firstLine="525" w:firstLineChars="250"/>
        <w:rPr>
          <w:rFonts w:hint="default" w:cs="宋体"/>
          <w:color w:val="auto"/>
          <w:szCs w:val="22"/>
          <w:highlight w:val="none"/>
        </w:rPr>
      </w:pPr>
      <w:r>
        <w:rPr>
          <w:rFonts w:hint="default" w:cs="宋体"/>
          <w:color w:val="auto"/>
          <w:szCs w:val="22"/>
          <w:highlight w:val="none"/>
        </w:rPr>
        <w:t xml:space="preserve">6．我方在此声明，所递交的投标文件及有关资料内容完整、真实和准确，且不存在第二章“投标人须知”第 1.4.3 </w:t>
      </w:r>
      <w:r>
        <w:rPr>
          <w:rFonts w:cs="宋体"/>
          <w:color w:val="auto"/>
          <w:szCs w:val="22"/>
          <w:highlight w:val="none"/>
        </w:rPr>
        <w:t>项规定的任何一种情形。</w:t>
      </w:r>
    </w:p>
    <w:p>
      <w:pPr>
        <w:pStyle w:val="15"/>
        <w:overflowPunct w:val="0"/>
        <w:snapToGrid w:val="0"/>
        <w:spacing w:line="400" w:lineRule="exact"/>
        <w:ind w:left="519" w:right="113"/>
        <w:rPr>
          <w:rFonts w:hint="default" w:cs="宋体"/>
          <w:color w:val="auto"/>
          <w:szCs w:val="22"/>
          <w:highlight w:val="none"/>
        </w:rPr>
      </w:pPr>
      <w:r>
        <w:rPr>
          <w:rFonts w:hint="default" w:cs="宋体"/>
          <w:color w:val="auto"/>
          <w:szCs w:val="22"/>
          <w:highlight w:val="none"/>
        </w:rPr>
        <w:t>7．</w:t>
      </w:r>
      <w:r>
        <w:rPr>
          <w:rFonts w:hint="default" w:cs="宋体"/>
          <w:color w:val="auto"/>
          <w:szCs w:val="22"/>
          <w:highlight w:val="none"/>
          <w:u w:val="single"/>
        </w:rPr>
        <w:t xml:space="preserve">                          </w:t>
      </w:r>
      <w:r>
        <w:rPr>
          <w:rFonts w:cs="宋体"/>
          <w:color w:val="auto"/>
          <w:szCs w:val="22"/>
          <w:highlight w:val="none"/>
        </w:rPr>
        <w:t>（其他补充说明）。</w:t>
      </w:r>
    </w:p>
    <w:p>
      <w:pPr>
        <w:pStyle w:val="15"/>
        <w:overflowPunct w:val="0"/>
        <w:snapToGrid w:val="0"/>
        <w:spacing w:line="400" w:lineRule="exact"/>
        <w:ind w:left="519" w:right="113"/>
        <w:rPr>
          <w:rFonts w:hint="default" w:cs="宋体"/>
          <w:color w:val="auto"/>
          <w:szCs w:val="22"/>
          <w:highlight w:val="none"/>
        </w:rPr>
      </w:pPr>
    </w:p>
    <w:p>
      <w:pPr>
        <w:pStyle w:val="15"/>
        <w:overflowPunct w:val="0"/>
        <w:snapToGrid w:val="0"/>
        <w:spacing w:line="400" w:lineRule="exact"/>
        <w:ind w:left="519" w:right="113"/>
        <w:jc w:val="center"/>
        <w:rPr>
          <w:rFonts w:hint="default" w:cs="宋体"/>
          <w:color w:val="auto"/>
          <w:szCs w:val="22"/>
          <w:highlight w:val="none"/>
        </w:rPr>
      </w:pPr>
      <w:r>
        <w:rPr>
          <w:rFonts w:cs="宋体"/>
          <w:color w:val="auto"/>
          <w:szCs w:val="22"/>
          <w:highlight w:val="none"/>
        </w:rPr>
        <w:t xml:space="preserve">                                </w:t>
      </w:r>
      <w:r>
        <w:rPr>
          <w:color w:val="auto"/>
          <w:highlight w:val="none"/>
        </w:rPr>
        <w:t>投标单位：（单位全称）</w:t>
      </w:r>
      <w:r>
        <w:rPr>
          <w:color w:val="auto"/>
          <w:highlight w:val="none"/>
          <w:u w:val="single"/>
        </w:rPr>
        <w:t xml:space="preserve">               </w:t>
      </w:r>
      <w:r>
        <w:rPr>
          <w:color w:val="auto"/>
          <w:highlight w:val="none"/>
        </w:rPr>
        <w:t>(盖章)</w:t>
      </w:r>
    </w:p>
    <w:p>
      <w:pPr>
        <w:pStyle w:val="15"/>
        <w:overflowPunct w:val="0"/>
        <w:snapToGrid w:val="0"/>
        <w:spacing w:line="400" w:lineRule="exact"/>
        <w:ind w:left="0" w:right="113" w:firstLine="4416" w:firstLineChars="2103"/>
        <w:jc w:val="both"/>
        <w:rPr>
          <w:rFonts w:hint="default" w:cs="宋体"/>
          <w:color w:val="auto"/>
          <w:szCs w:val="22"/>
          <w:highlight w:val="none"/>
        </w:rPr>
      </w:pPr>
      <w:r>
        <w:rPr>
          <w:rFonts w:cs="宋体"/>
          <w:color w:val="auto"/>
          <w:szCs w:val="22"/>
          <w:highlight w:val="none"/>
        </w:rPr>
        <w:t>地</w:t>
      </w:r>
      <w:r>
        <w:rPr>
          <w:rFonts w:hint="default" w:cs="宋体"/>
          <w:color w:val="auto"/>
          <w:szCs w:val="22"/>
          <w:highlight w:val="none"/>
        </w:rPr>
        <w:t xml:space="preserve">   </w:t>
      </w:r>
      <w:r>
        <w:rPr>
          <w:rFonts w:cs="宋体"/>
          <w:color w:val="auto"/>
          <w:szCs w:val="22"/>
          <w:highlight w:val="none"/>
        </w:rPr>
        <w:t>址：</w:t>
      </w:r>
      <w:r>
        <w:rPr>
          <w:rFonts w:hint="default" w:cs="宋体"/>
          <w:color w:val="auto"/>
          <w:szCs w:val="22"/>
          <w:highlight w:val="none"/>
          <w:u w:val="single"/>
        </w:rPr>
        <w:t xml:space="preserve">                                      </w:t>
      </w:r>
    </w:p>
    <w:p>
      <w:pPr>
        <w:pStyle w:val="15"/>
        <w:overflowPunct w:val="0"/>
        <w:snapToGrid w:val="0"/>
        <w:spacing w:line="400" w:lineRule="exact"/>
        <w:ind w:left="0" w:right="113" w:firstLine="4416" w:firstLineChars="2103"/>
        <w:jc w:val="both"/>
        <w:rPr>
          <w:rFonts w:hint="default" w:cs="宋体"/>
          <w:color w:val="auto"/>
          <w:szCs w:val="22"/>
          <w:highlight w:val="none"/>
        </w:rPr>
      </w:pPr>
      <w:r>
        <w:rPr>
          <w:rFonts w:cs="宋体"/>
          <w:color w:val="auto"/>
          <w:szCs w:val="22"/>
          <w:highlight w:val="none"/>
        </w:rPr>
        <w:t>电</w:t>
      </w:r>
      <w:r>
        <w:rPr>
          <w:rFonts w:hint="default" w:cs="宋体"/>
          <w:color w:val="auto"/>
          <w:szCs w:val="22"/>
          <w:highlight w:val="none"/>
        </w:rPr>
        <w:t xml:space="preserve">   </w:t>
      </w:r>
      <w:r>
        <w:rPr>
          <w:rFonts w:cs="宋体"/>
          <w:color w:val="auto"/>
          <w:szCs w:val="22"/>
          <w:highlight w:val="none"/>
        </w:rPr>
        <w:t>话：</w:t>
      </w:r>
      <w:r>
        <w:rPr>
          <w:rFonts w:hint="default" w:cs="宋体"/>
          <w:color w:val="auto"/>
          <w:szCs w:val="22"/>
          <w:highlight w:val="none"/>
          <w:u w:val="single"/>
        </w:rPr>
        <w:t xml:space="preserve">                                      </w:t>
      </w:r>
    </w:p>
    <w:p>
      <w:pPr>
        <w:pStyle w:val="15"/>
        <w:overflowPunct w:val="0"/>
        <w:snapToGrid w:val="0"/>
        <w:spacing w:line="400" w:lineRule="exact"/>
        <w:ind w:left="519" w:right="113"/>
        <w:jc w:val="right"/>
        <w:rPr>
          <w:rFonts w:hint="default" w:cs="宋体"/>
          <w:color w:val="auto"/>
          <w:szCs w:val="22"/>
          <w:highlight w:val="none"/>
        </w:rPr>
      </w:pPr>
      <w:r>
        <w:rPr>
          <w:rFonts w:cs="宋体"/>
          <w:color w:val="auto"/>
          <w:szCs w:val="22"/>
          <w:highlight w:val="none"/>
        </w:rPr>
        <w:t>日期：</w:t>
      </w:r>
      <w:r>
        <w:rPr>
          <w:rFonts w:hint="default" w:cs="宋体"/>
          <w:color w:val="auto"/>
          <w:szCs w:val="22"/>
          <w:highlight w:val="none"/>
          <w:u w:val="single"/>
        </w:rPr>
        <w:t xml:space="preserve">     </w:t>
      </w:r>
      <w:r>
        <w:rPr>
          <w:rFonts w:cs="宋体"/>
          <w:color w:val="auto"/>
          <w:szCs w:val="22"/>
          <w:highlight w:val="none"/>
        </w:rPr>
        <w:t>年</w:t>
      </w:r>
      <w:r>
        <w:rPr>
          <w:rFonts w:hint="default" w:cs="宋体"/>
          <w:color w:val="auto"/>
          <w:szCs w:val="22"/>
          <w:highlight w:val="none"/>
          <w:u w:val="single"/>
        </w:rPr>
        <w:t xml:space="preserve">     </w:t>
      </w:r>
      <w:r>
        <w:rPr>
          <w:rFonts w:cs="宋体"/>
          <w:color w:val="auto"/>
          <w:szCs w:val="22"/>
          <w:highlight w:val="none"/>
        </w:rPr>
        <w:t>月</w:t>
      </w:r>
      <w:r>
        <w:rPr>
          <w:rFonts w:hint="default" w:cs="宋体"/>
          <w:color w:val="auto"/>
          <w:szCs w:val="22"/>
          <w:highlight w:val="none"/>
          <w:u w:val="single"/>
        </w:rPr>
        <w:t xml:space="preserve">     </w:t>
      </w:r>
      <w:r>
        <w:rPr>
          <w:rFonts w:cs="宋体"/>
          <w:color w:val="auto"/>
          <w:szCs w:val="22"/>
          <w:highlight w:val="none"/>
        </w:rPr>
        <w:t>日</w:t>
      </w:r>
    </w:p>
    <w:p>
      <w:pPr>
        <w:pStyle w:val="48"/>
        <w:spacing w:line="360" w:lineRule="auto"/>
        <w:ind w:left="102"/>
        <w:jc w:val="center"/>
        <w:outlineLvl w:val="3"/>
        <w:rPr>
          <w:rFonts w:hint="default" w:cs="宋体"/>
          <w:b/>
          <w:color w:val="auto"/>
          <w:sz w:val="36"/>
          <w:szCs w:val="36"/>
          <w:highlight w:val="none"/>
        </w:rPr>
      </w:pPr>
      <w:r>
        <w:rPr>
          <w:color w:val="auto"/>
          <w:highlight w:val="none"/>
        </w:rPr>
        <w:br w:type="page"/>
      </w:r>
      <w:bookmarkStart w:id="193" w:name="_Toc28358"/>
      <w:bookmarkStart w:id="194" w:name="_Toc7454669"/>
      <w:r>
        <w:rPr>
          <w:rFonts w:cs="宋体"/>
          <w:b/>
          <w:color w:val="auto"/>
          <w:sz w:val="36"/>
          <w:szCs w:val="36"/>
          <w:highlight w:val="none"/>
        </w:rPr>
        <w:t>（二）投标函附录</w:t>
      </w:r>
      <w:bookmarkEnd w:id="193"/>
      <w:bookmarkEnd w:id="194"/>
    </w:p>
    <w:tbl>
      <w:tblPr>
        <w:tblStyle w:val="26"/>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2409"/>
        <w:gridCol w:w="4257"/>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条款名称</w:t>
            </w:r>
          </w:p>
        </w:tc>
        <w:tc>
          <w:tcPr>
            <w:tcW w:w="42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约定内容</w:t>
            </w: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1</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项目负责人</w:t>
            </w:r>
          </w:p>
        </w:tc>
        <w:tc>
          <w:tcPr>
            <w:tcW w:w="4257" w:type="dxa"/>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sz w:val="21"/>
                <w:szCs w:val="21"/>
                <w:highlight w:val="none"/>
                <w:u w:val="single"/>
              </w:rPr>
            </w:pPr>
            <w:r>
              <w:rPr>
                <w:rFonts w:hint="eastAsia" w:ascii="宋体" w:hAnsi="宋体"/>
                <w:b/>
                <w:color w:val="auto"/>
                <w:sz w:val="21"/>
                <w:szCs w:val="21"/>
                <w:highlight w:val="none"/>
              </w:rPr>
              <w:t>姓名：</w:t>
            </w:r>
            <w:r>
              <w:rPr>
                <w:rFonts w:hint="eastAsia" w:ascii="宋体" w:hAnsi="宋体"/>
                <w:b/>
                <w:color w:val="auto"/>
                <w:sz w:val="21"/>
                <w:szCs w:val="21"/>
                <w:highlight w:val="none"/>
                <w:u w:val="single"/>
              </w:rPr>
              <w:t xml:space="preserve">               </w:t>
            </w:r>
          </w:p>
          <w:p>
            <w:pPr>
              <w:rPr>
                <w:rFonts w:ascii="宋体" w:hAnsi="宋体"/>
                <w:b/>
                <w:color w:val="auto"/>
                <w:sz w:val="21"/>
                <w:szCs w:val="21"/>
                <w:highlight w:val="none"/>
              </w:rPr>
            </w:pPr>
            <w:r>
              <w:rPr>
                <w:rFonts w:hint="eastAsia" w:ascii="宋体" w:hAnsi="宋体"/>
                <w:b/>
                <w:color w:val="auto"/>
                <w:sz w:val="21"/>
                <w:szCs w:val="21"/>
                <w:highlight w:val="none"/>
              </w:rPr>
              <w:t>身份证号：</w:t>
            </w:r>
            <w:r>
              <w:rPr>
                <w:rFonts w:hint="eastAsia" w:ascii="宋体" w:hAnsi="宋体"/>
                <w:b/>
                <w:color w:val="auto"/>
                <w:sz w:val="21"/>
                <w:szCs w:val="21"/>
                <w:highlight w:val="none"/>
                <w:u w:val="single"/>
              </w:rPr>
              <w:t xml:space="preserve">          </w:t>
            </w: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2</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交货期</w:t>
            </w:r>
          </w:p>
        </w:tc>
        <w:tc>
          <w:tcPr>
            <w:tcW w:w="4257" w:type="dxa"/>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sz w:val="21"/>
                <w:szCs w:val="21"/>
                <w:highlight w:val="none"/>
              </w:rPr>
            </w:pPr>
            <w:r>
              <w:rPr>
                <w:rFonts w:hint="eastAsia" w:ascii="宋体" w:hAnsi="宋体"/>
                <w:b/>
                <w:color w:val="auto"/>
                <w:sz w:val="21"/>
                <w:szCs w:val="21"/>
                <w:highlight w:val="none"/>
              </w:rPr>
              <w:t>按招标文件要求</w:t>
            </w: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3</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投标内容</w:t>
            </w:r>
          </w:p>
        </w:tc>
        <w:tc>
          <w:tcPr>
            <w:tcW w:w="4257" w:type="dxa"/>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sz w:val="21"/>
                <w:szCs w:val="21"/>
                <w:highlight w:val="none"/>
              </w:rPr>
            </w:pPr>
            <w:r>
              <w:rPr>
                <w:rFonts w:hint="eastAsia" w:ascii="宋体" w:hAnsi="宋体"/>
                <w:b/>
                <w:color w:val="auto"/>
                <w:sz w:val="21"/>
                <w:szCs w:val="21"/>
                <w:highlight w:val="none"/>
              </w:rPr>
              <w:t>按招标文件要求</w:t>
            </w: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4</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交货地点</w:t>
            </w:r>
          </w:p>
        </w:tc>
        <w:tc>
          <w:tcPr>
            <w:tcW w:w="4257" w:type="dxa"/>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sz w:val="21"/>
                <w:szCs w:val="21"/>
                <w:highlight w:val="none"/>
              </w:rPr>
            </w:pPr>
            <w:r>
              <w:rPr>
                <w:rFonts w:hint="eastAsia" w:ascii="宋体" w:hAnsi="宋体"/>
                <w:b/>
                <w:color w:val="auto"/>
                <w:sz w:val="21"/>
                <w:szCs w:val="21"/>
                <w:highlight w:val="none"/>
              </w:rPr>
              <w:t>按招标文件要求</w:t>
            </w: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5</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合同价款确定方式</w:t>
            </w:r>
          </w:p>
        </w:tc>
        <w:tc>
          <w:tcPr>
            <w:tcW w:w="4257" w:type="dxa"/>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sz w:val="21"/>
                <w:szCs w:val="21"/>
                <w:highlight w:val="none"/>
              </w:rPr>
            </w:pPr>
            <w:r>
              <w:rPr>
                <w:rFonts w:hint="eastAsia" w:ascii="宋体" w:hAnsi="宋体"/>
                <w:b/>
                <w:color w:val="auto"/>
                <w:sz w:val="21"/>
                <w:szCs w:val="21"/>
                <w:highlight w:val="none"/>
              </w:rPr>
              <w:t>按招标文件要求</w:t>
            </w: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6</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投标有效期</w:t>
            </w:r>
          </w:p>
        </w:tc>
        <w:tc>
          <w:tcPr>
            <w:tcW w:w="4257" w:type="dxa"/>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sz w:val="21"/>
                <w:szCs w:val="21"/>
                <w:highlight w:val="none"/>
              </w:rPr>
            </w:pPr>
            <w:r>
              <w:rPr>
                <w:rFonts w:hint="eastAsia" w:ascii="宋体" w:hAnsi="宋体"/>
                <w:b/>
                <w:color w:val="auto"/>
                <w:sz w:val="21"/>
                <w:szCs w:val="21"/>
                <w:highlight w:val="none"/>
              </w:rPr>
              <w:t>按招标文件要求</w:t>
            </w: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7</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法 人 营 业</w:t>
            </w:r>
          </w:p>
          <w:p>
            <w:pPr>
              <w:jc w:val="center"/>
              <w:rPr>
                <w:rFonts w:ascii="宋体" w:hAnsi="宋体"/>
                <w:b/>
                <w:color w:val="auto"/>
                <w:sz w:val="21"/>
                <w:szCs w:val="21"/>
                <w:highlight w:val="none"/>
              </w:rPr>
            </w:pPr>
            <w:r>
              <w:rPr>
                <w:rFonts w:hint="eastAsia" w:ascii="宋体" w:hAnsi="宋体"/>
                <w:b/>
                <w:color w:val="auto"/>
                <w:sz w:val="21"/>
                <w:szCs w:val="21"/>
                <w:highlight w:val="none"/>
              </w:rPr>
              <w:t>执 照 证 号</w:t>
            </w:r>
          </w:p>
        </w:tc>
        <w:tc>
          <w:tcPr>
            <w:tcW w:w="4257" w:type="dxa"/>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sz w:val="21"/>
                <w:szCs w:val="21"/>
                <w:highlight w:val="none"/>
              </w:rPr>
            </w:pPr>
            <w:r>
              <w:rPr>
                <w:rFonts w:hint="eastAsia" w:ascii="宋体" w:hAnsi="宋体"/>
                <w:b/>
                <w:color w:val="auto"/>
                <w:sz w:val="21"/>
                <w:szCs w:val="21"/>
                <w:highlight w:val="none"/>
              </w:rPr>
              <w:t xml:space="preserve">法 人 营 业 </w:t>
            </w:r>
          </w:p>
          <w:p>
            <w:pPr>
              <w:rPr>
                <w:rFonts w:ascii="宋体" w:hAnsi="宋体"/>
                <w:b/>
                <w:color w:val="auto"/>
                <w:sz w:val="21"/>
                <w:szCs w:val="21"/>
                <w:highlight w:val="none"/>
              </w:rPr>
            </w:pPr>
            <w:r>
              <w:rPr>
                <w:rFonts w:hint="eastAsia" w:ascii="宋体" w:hAnsi="宋体"/>
                <w:b/>
                <w:color w:val="auto"/>
                <w:sz w:val="21"/>
                <w:szCs w:val="21"/>
                <w:highlight w:val="none"/>
              </w:rPr>
              <w:t xml:space="preserve">执 照 证 号： </w:t>
            </w: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p>
        </w:tc>
      </w:tr>
    </w:tbl>
    <w:p>
      <w:pPr>
        <w:spacing w:line="360" w:lineRule="auto"/>
        <w:jc w:val="right"/>
        <w:rPr>
          <w:rFonts w:ascii="宋体" w:hAnsi="宋体"/>
          <w:color w:val="auto"/>
          <w:szCs w:val="24"/>
          <w:highlight w:val="none"/>
        </w:rPr>
      </w:pPr>
    </w:p>
    <w:p>
      <w:pPr>
        <w:spacing w:line="360" w:lineRule="auto"/>
        <w:jc w:val="right"/>
        <w:rPr>
          <w:rFonts w:ascii="宋体" w:hAnsi="宋体"/>
          <w:color w:val="auto"/>
          <w:sz w:val="21"/>
          <w:szCs w:val="21"/>
          <w:highlight w:val="none"/>
        </w:rPr>
      </w:pPr>
      <w:r>
        <w:rPr>
          <w:rFonts w:ascii="宋体" w:hAnsi="宋体"/>
          <w:color w:val="auto"/>
          <w:sz w:val="21"/>
          <w:szCs w:val="21"/>
          <w:highlight w:val="none"/>
        </w:rPr>
        <w:t>投 标 人：</w:t>
      </w:r>
      <w:r>
        <w:rPr>
          <w:rFonts w:hint="eastAsia" w:ascii="宋体" w:hAnsi="宋体"/>
          <w:color w:val="auto"/>
          <w:sz w:val="21"/>
          <w:szCs w:val="21"/>
          <w:highlight w:val="none"/>
          <w:u w:val="single"/>
        </w:rPr>
        <w:t xml:space="preserve">           </w:t>
      </w:r>
      <w:r>
        <w:rPr>
          <w:rFonts w:ascii="宋体" w:hAnsi="宋体"/>
          <w:color w:val="auto"/>
          <w:sz w:val="21"/>
          <w:szCs w:val="21"/>
          <w:highlight w:val="none"/>
        </w:rPr>
        <w:t>（盖章）</w:t>
      </w:r>
    </w:p>
    <w:p>
      <w:pPr>
        <w:spacing w:line="360" w:lineRule="auto"/>
        <w:jc w:val="right"/>
        <w:rPr>
          <w:rFonts w:ascii="宋体" w:hAnsi="宋体"/>
          <w:color w:val="auto"/>
          <w:sz w:val="21"/>
          <w:szCs w:val="21"/>
          <w:highlight w:val="none"/>
        </w:rPr>
      </w:pPr>
      <w:r>
        <w:rPr>
          <w:rFonts w:ascii="宋体" w:hAnsi="宋体"/>
          <w:color w:val="auto"/>
          <w:sz w:val="21"/>
          <w:szCs w:val="21"/>
          <w:highlight w:val="none"/>
        </w:rPr>
        <w:t>法定代表人或其委托代理人：</w:t>
      </w:r>
      <w:r>
        <w:rPr>
          <w:rFonts w:hint="eastAsia" w:ascii="宋体" w:hAnsi="宋体"/>
          <w:color w:val="auto"/>
          <w:sz w:val="21"/>
          <w:szCs w:val="21"/>
          <w:highlight w:val="none"/>
          <w:u w:val="single"/>
        </w:rPr>
        <w:t xml:space="preserve">     </w:t>
      </w:r>
      <w:r>
        <w:rPr>
          <w:rFonts w:ascii="宋体" w:hAnsi="宋体"/>
          <w:color w:val="auto"/>
          <w:sz w:val="21"/>
          <w:szCs w:val="21"/>
          <w:highlight w:val="none"/>
        </w:rPr>
        <w:t>（签字</w:t>
      </w:r>
      <w:r>
        <w:rPr>
          <w:rFonts w:hint="eastAsia" w:ascii="宋体" w:hAnsi="宋体"/>
          <w:color w:val="auto"/>
          <w:sz w:val="21"/>
          <w:szCs w:val="21"/>
          <w:highlight w:val="none"/>
        </w:rPr>
        <w:t>或盖章</w:t>
      </w:r>
      <w:r>
        <w:rPr>
          <w:rFonts w:ascii="宋体" w:hAnsi="宋体"/>
          <w:color w:val="auto"/>
          <w:sz w:val="21"/>
          <w:szCs w:val="21"/>
          <w:highlight w:val="none"/>
        </w:rPr>
        <w:t>）</w:t>
      </w:r>
    </w:p>
    <w:p>
      <w:pPr>
        <w:pStyle w:val="49"/>
        <w:ind w:left="480" w:firstLine="420"/>
        <w:jc w:val="right"/>
        <w:rPr>
          <w:rFonts w:ascii="宋体" w:hAnsi="宋体"/>
          <w:color w:val="auto"/>
          <w:szCs w:val="21"/>
          <w:highlight w:val="none"/>
        </w:rPr>
      </w:pPr>
      <w:r>
        <w:rPr>
          <w:rFonts w:hint="eastAsia" w:ascii="宋体" w:hAnsi="宋体"/>
          <w:color w:val="auto"/>
          <w:szCs w:val="21"/>
          <w:highlight w:val="none"/>
          <w:u w:val="single"/>
        </w:rPr>
        <w:t xml:space="preserve">     </w:t>
      </w:r>
      <w:r>
        <w:rPr>
          <w:rFonts w:ascii="宋体" w:hAnsi="宋体"/>
          <w:color w:val="auto"/>
          <w:szCs w:val="21"/>
          <w:highlight w:val="none"/>
        </w:rPr>
        <w:t>年</w:t>
      </w:r>
      <w:r>
        <w:rPr>
          <w:rFonts w:hint="eastAsia" w:ascii="宋体" w:hAnsi="宋体"/>
          <w:color w:val="auto"/>
          <w:szCs w:val="21"/>
          <w:highlight w:val="none"/>
          <w:u w:val="single"/>
        </w:rPr>
        <w:t xml:space="preserve">     </w:t>
      </w:r>
      <w:r>
        <w:rPr>
          <w:rFonts w:ascii="宋体" w:hAnsi="宋体"/>
          <w:color w:val="auto"/>
          <w:szCs w:val="21"/>
          <w:highlight w:val="none"/>
        </w:rPr>
        <w:t>月</w:t>
      </w:r>
      <w:r>
        <w:rPr>
          <w:rFonts w:hint="eastAsia" w:ascii="宋体" w:hAnsi="宋体"/>
          <w:color w:val="auto"/>
          <w:szCs w:val="21"/>
          <w:highlight w:val="none"/>
          <w:u w:val="single"/>
        </w:rPr>
        <w:t xml:space="preserve">     </w:t>
      </w:r>
      <w:r>
        <w:rPr>
          <w:rFonts w:ascii="宋体" w:hAnsi="宋体"/>
          <w:color w:val="auto"/>
          <w:szCs w:val="21"/>
          <w:highlight w:val="none"/>
        </w:rPr>
        <w:t>日</w:t>
      </w:r>
      <w:bookmarkStart w:id="195" w:name="bookmark157"/>
      <w:bookmarkEnd w:id="195"/>
      <w:bookmarkStart w:id="196" w:name="_Toc83210336"/>
      <w:bookmarkStart w:id="197" w:name="_Toc31225"/>
    </w:p>
    <w:p>
      <w:pPr>
        <w:pStyle w:val="49"/>
        <w:ind w:left="0" w:leftChars="0" w:right="420" w:firstLine="0" w:firstLineChars="0"/>
        <w:rPr>
          <w:rFonts w:ascii="宋体" w:hAnsi="宋体" w:cs="宋体"/>
          <w:b/>
          <w:color w:val="auto"/>
          <w:sz w:val="24"/>
          <w:szCs w:val="16"/>
          <w:highlight w:val="none"/>
        </w:rPr>
      </w:pPr>
      <w:r>
        <w:rPr>
          <w:rFonts w:ascii="宋体" w:hAnsi="宋体"/>
          <w:color w:val="auto"/>
          <w:szCs w:val="21"/>
          <w:highlight w:val="none"/>
        </w:rPr>
        <w:br w:type="column"/>
      </w:r>
      <w:r>
        <w:rPr>
          <w:rFonts w:hint="eastAsia" w:ascii="宋体" w:hAnsi="宋体" w:cs="宋体"/>
          <w:b/>
          <w:color w:val="auto"/>
          <w:sz w:val="24"/>
          <w:szCs w:val="16"/>
          <w:highlight w:val="none"/>
        </w:rPr>
        <w:t>附件</w:t>
      </w:r>
      <w:r>
        <w:rPr>
          <w:rFonts w:ascii="宋体" w:hAnsi="宋体" w:cs="宋体"/>
          <w:b/>
          <w:color w:val="auto"/>
          <w:sz w:val="24"/>
          <w:szCs w:val="16"/>
          <w:highlight w:val="none"/>
        </w:rPr>
        <w:t xml:space="preserve">2：2.1 </w:t>
      </w:r>
      <w:r>
        <w:rPr>
          <w:rFonts w:hint="eastAsia" w:ascii="宋体" w:hAnsi="宋体" w:cs="宋体"/>
          <w:b/>
          <w:color w:val="auto"/>
          <w:sz w:val="24"/>
          <w:szCs w:val="16"/>
          <w:highlight w:val="none"/>
        </w:rPr>
        <w:t>投标报价表（另附）</w:t>
      </w:r>
      <w:bookmarkEnd w:id="196"/>
      <w:bookmarkEnd w:id="197"/>
    </w:p>
    <w:p>
      <w:pPr>
        <w:pStyle w:val="7"/>
        <w:overflowPunct w:val="0"/>
        <w:spacing w:line="443" w:lineRule="exact"/>
        <w:ind w:left="0" w:right="17"/>
        <w:rPr>
          <w:rFonts w:ascii="宋体" w:hAnsi="宋体" w:eastAsia="宋体" w:cs="宋体"/>
          <w:color w:val="auto"/>
          <w:sz w:val="24"/>
          <w:szCs w:val="16"/>
          <w:highlight w:val="none"/>
        </w:rPr>
      </w:pPr>
    </w:p>
    <w:p>
      <w:pPr>
        <w:pStyle w:val="7"/>
        <w:overflowPunct w:val="0"/>
        <w:spacing w:line="443" w:lineRule="exact"/>
        <w:ind w:left="0" w:right="17"/>
        <w:rPr>
          <w:rFonts w:ascii="Calibri" w:hAnsi="Calibri" w:eastAsia="宋体"/>
          <w:b w:val="0"/>
          <w:color w:val="auto"/>
          <w:sz w:val="24"/>
          <w:highlight w:val="none"/>
        </w:rPr>
      </w:pPr>
      <w:bookmarkStart w:id="198" w:name="_Toc83210340"/>
      <w:bookmarkStart w:id="199" w:name="_Toc15725"/>
    </w:p>
    <w:p>
      <w:pPr>
        <w:pStyle w:val="7"/>
        <w:overflowPunct w:val="0"/>
        <w:spacing w:line="443" w:lineRule="exact"/>
        <w:ind w:left="0" w:right="17"/>
        <w:rPr>
          <w:rFonts w:ascii="宋体" w:hAnsi="宋体" w:eastAsia="宋体" w:cs="宋体"/>
          <w:color w:val="auto"/>
          <w:sz w:val="24"/>
          <w:szCs w:val="16"/>
          <w:highlight w:val="none"/>
        </w:rPr>
      </w:pPr>
      <w:r>
        <w:rPr>
          <w:rFonts w:hint="eastAsia" w:ascii="宋体" w:hAnsi="宋体" w:eastAsia="宋体" w:cs="宋体"/>
          <w:color w:val="auto"/>
          <w:sz w:val="24"/>
          <w:szCs w:val="16"/>
          <w:highlight w:val="none"/>
        </w:rPr>
        <w:t>附件2：2.2 电梯（垂直/自动扶梯）货物主要部件（材料、配套件）清单</w:t>
      </w:r>
    </w:p>
    <w:p>
      <w:pPr>
        <w:widowControl/>
        <w:snapToGrid w:val="0"/>
        <w:jc w:val="center"/>
        <w:rPr>
          <w:rFonts w:ascii="宋体" w:hAnsi="宋体" w:cs="宋体"/>
          <w:b/>
          <w:color w:val="auto"/>
          <w:sz w:val="28"/>
          <w:szCs w:val="28"/>
          <w:highlight w:val="none"/>
        </w:rPr>
      </w:pPr>
    </w:p>
    <w:p>
      <w:pPr>
        <w:widowControl/>
        <w:snapToGrid w:val="0"/>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电梯（垂直/自动扶梯）货物主要部件（材料、配套件）清单</w:t>
      </w:r>
    </w:p>
    <w:tbl>
      <w:tblPr>
        <w:tblStyle w:val="26"/>
        <w:tblW w:w="9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003"/>
        <w:gridCol w:w="2126"/>
        <w:gridCol w:w="1747"/>
        <w:gridCol w:w="866"/>
        <w:gridCol w:w="1275"/>
        <w:gridCol w:w="1701"/>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tblHeader/>
          <w:jc w:val="center"/>
        </w:trPr>
        <w:tc>
          <w:tcPr>
            <w:tcW w:w="1003" w:type="dxa"/>
            <w:vAlign w:val="center"/>
          </w:tcPr>
          <w:p>
            <w:pPr>
              <w:widowControl/>
              <w:snapToGrid w:val="0"/>
              <w:jc w:val="center"/>
              <w:rPr>
                <w:rFonts w:ascii="宋体" w:hAnsi="宋体" w:cs="宋体"/>
                <w:b/>
                <w:color w:val="auto"/>
                <w:sz w:val="21"/>
                <w:szCs w:val="21"/>
                <w:highlight w:val="none"/>
                <w:lang w:eastAsia="en-US"/>
              </w:rPr>
            </w:pPr>
            <w:r>
              <w:rPr>
                <w:rFonts w:hint="eastAsia" w:ascii="宋体" w:hAnsi="宋体" w:cs="宋体"/>
                <w:b/>
                <w:color w:val="auto"/>
                <w:sz w:val="21"/>
                <w:szCs w:val="21"/>
                <w:highlight w:val="none"/>
                <w:lang w:eastAsia="en-US"/>
              </w:rPr>
              <w:t>序号</w:t>
            </w:r>
          </w:p>
        </w:tc>
        <w:tc>
          <w:tcPr>
            <w:tcW w:w="2126" w:type="dxa"/>
            <w:vAlign w:val="center"/>
          </w:tcPr>
          <w:p>
            <w:pPr>
              <w:widowControl/>
              <w:snapToGrid w:val="0"/>
              <w:jc w:val="center"/>
              <w:rPr>
                <w:rFonts w:ascii="宋体" w:hAnsi="宋体" w:cs="宋体"/>
                <w:b/>
                <w:color w:val="auto"/>
                <w:sz w:val="21"/>
                <w:szCs w:val="21"/>
                <w:highlight w:val="none"/>
                <w:lang w:eastAsia="en-US"/>
              </w:rPr>
            </w:pPr>
            <w:r>
              <w:rPr>
                <w:rFonts w:hint="eastAsia" w:ascii="宋体" w:hAnsi="宋体" w:cs="宋体"/>
                <w:b/>
                <w:color w:val="auto"/>
                <w:sz w:val="21"/>
                <w:szCs w:val="21"/>
                <w:highlight w:val="none"/>
                <w:lang w:eastAsia="en-US"/>
              </w:rPr>
              <w:t>部件名称</w:t>
            </w:r>
          </w:p>
        </w:tc>
        <w:tc>
          <w:tcPr>
            <w:tcW w:w="1747" w:type="dxa"/>
            <w:vAlign w:val="center"/>
          </w:tcPr>
          <w:p>
            <w:pPr>
              <w:widowControl/>
              <w:snapToGrid w:val="0"/>
              <w:jc w:val="center"/>
              <w:rPr>
                <w:rFonts w:ascii="宋体" w:hAnsi="宋体" w:cs="宋体"/>
                <w:b/>
                <w:color w:val="auto"/>
                <w:sz w:val="21"/>
                <w:szCs w:val="21"/>
                <w:highlight w:val="none"/>
                <w:lang w:eastAsia="en-US"/>
              </w:rPr>
            </w:pPr>
            <w:r>
              <w:rPr>
                <w:rFonts w:hint="eastAsia" w:ascii="宋体" w:hAnsi="宋体" w:cs="宋体"/>
                <w:b/>
                <w:color w:val="auto"/>
                <w:sz w:val="21"/>
                <w:szCs w:val="21"/>
                <w:highlight w:val="none"/>
                <w:lang w:eastAsia="en-US"/>
              </w:rPr>
              <w:t>规格型号</w:t>
            </w:r>
          </w:p>
        </w:tc>
        <w:tc>
          <w:tcPr>
            <w:tcW w:w="866" w:type="dxa"/>
            <w:vAlign w:val="center"/>
          </w:tcPr>
          <w:p>
            <w:pPr>
              <w:widowControl/>
              <w:snapToGrid w:val="0"/>
              <w:jc w:val="center"/>
              <w:rPr>
                <w:rFonts w:ascii="宋体" w:hAnsi="宋体" w:cs="宋体"/>
                <w:b/>
                <w:color w:val="auto"/>
                <w:sz w:val="21"/>
                <w:szCs w:val="21"/>
                <w:highlight w:val="none"/>
              </w:rPr>
            </w:pPr>
            <w:r>
              <w:rPr>
                <w:rFonts w:hint="eastAsia" w:ascii="宋体" w:hAnsi="宋体" w:cs="宋体"/>
                <w:b/>
                <w:color w:val="auto"/>
                <w:sz w:val="21"/>
                <w:szCs w:val="21"/>
                <w:highlight w:val="none"/>
              </w:rPr>
              <w:t>单位</w:t>
            </w:r>
          </w:p>
        </w:tc>
        <w:tc>
          <w:tcPr>
            <w:tcW w:w="1275" w:type="dxa"/>
            <w:vAlign w:val="center"/>
          </w:tcPr>
          <w:p>
            <w:pPr>
              <w:widowControl/>
              <w:snapToGrid w:val="0"/>
              <w:jc w:val="center"/>
              <w:rPr>
                <w:rFonts w:ascii="宋体" w:hAnsi="宋体" w:cs="宋体"/>
                <w:b/>
                <w:color w:val="auto"/>
                <w:sz w:val="21"/>
                <w:szCs w:val="21"/>
                <w:highlight w:val="none"/>
              </w:rPr>
            </w:pPr>
            <w:r>
              <w:rPr>
                <w:rFonts w:hint="eastAsia" w:ascii="宋体" w:hAnsi="宋体" w:cs="宋体"/>
                <w:b/>
                <w:color w:val="auto"/>
                <w:sz w:val="21"/>
                <w:szCs w:val="21"/>
                <w:highlight w:val="none"/>
              </w:rPr>
              <w:t>货源</w:t>
            </w:r>
          </w:p>
        </w:tc>
        <w:tc>
          <w:tcPr>
            <w:tcW w:w="1701" w:type="dxa"/>
          </w:tcPr>
          <w:p>
            <w:pPr>
              <w:widowControl/>
              <w:snapToGrid w:val="0"/>
              <w:jc w:val="center"/>
              <w:rPr>
                <w:rFonts w:ascii="宋体" w:hAnsi="宋体" w:cs="宋体"/>
                <w:b/>
                <w:color w:val="auto"/>
                <w:sz w:val="21"/>
                <w:szCs w:val="21"/>
                <w:highlight w:val="none"/>
              </w:rPr>
            </w:pPr>
            <w:r>
              <w:rPr>
                <w:rFonts w:hint="eastAsia" w:ascii="宋体" w:hAnsi="宋体" w:cs="宋体"/>
                <w:b/>
                <w:color w:val="auto"/>
                <w:sz w:val="21"/>
                <w:szCs w:val="21"/>
                <w:highlight w:val="none"/>
              </w:rPr>
              <w:t>综合单价</w:t>
            </w:r>
          </w:p>
          <w:p>
            <w:pPr>
              <w:widowControl/>
              <w:snapToGrid w:val="0"/>
              <w:jc w:val="center"/>
              <w:rPr>
                <w:rFonts w:ascii="宋体" w:hAnsi="宋体" w:cs="宋体"/>
                <w:b/>
                <w:color w:val="auto"/>
                <w:sz w:val="21"/>
                <w:szCs w:val="21"/>
                <w:highlight w:val="none"/>
              </w:rPr>
            </w:pPr>
            <w:r>
              <w:rPr>
                <w:rFonts w:hint="eastAsia" w:ascii="宋体" w:hAnsi="宋体" w:cs="宋体"/>
                <w:b/>
                <w:color w:val="auto"/>
                <w:sz w:val="21"/>
                <w:szCs w:val="21"/>
                <w:highlight w:val="none"/>
              </w:rPr>
              <w:t>（人民币元）</w:t>
            </w:r>
          </w:p>
        </w:tc>
        <w:tc>
          <w:tcPr>
            <w:tcW w:w="1120" w:type="dxa"/>
            <w:vAlign w:val="center"/>
          </w:tcPr>
          <w:p>
            <w:pPr>
              <w:widowControl/>
              <w:snapToGrid w:val="0"/>
              <w:jc w:val="center"/>
              <w:rPr>
                <w:rFonts w:ascii="宋体" w:hAnsi="宋体" w:cs="宋体"/>
                <w:b/>
                <w:color w:val="auto"/>
                <w:sz w:val="21"/>
                <w:szCs w:val="21"/>
                <w:highlight w:val="none"/>
              </w:rPr>
            </w:pPr>
            <w:r>
              <w:rPr>
                <w:rFonts w:hint="eastAsia" w:ascii="宋体" w:hAnsi="宋体" w:cs="宋体"/>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1003" w:type="dxa"/>
            <w:vAlign w:val="center"/>
          </w:tcPr>
          <w:p>
            <w:pPr>
              <w:widowControl/>
              <w:snapToGrid w:val="0"/>
              <w:jc w:val="center"/>
              <w:rPr>
                <w:rFonts w:ascii="宋体" w:hAnsi="宋体" w:cs="宋体"/>
                <w:color w:val="auto"/>
                <w:sz w:val="21"/>
                <w:szCs w:val="21"/>
                <w:highlight w:val="none"/>
                <w:lang w:eastAsia="en-US"/>
              </w:rPr>
            </w:pPr>
          </w:p>
        </w:tc>
        <w:tc>
          <w:tcPr>
            <w:tcW w:w="2126" w:type="dxa"/>
            <w:vAlign w:val="center"/>
          </w:tcPr>
          <w:p>
            <w:pPr>
              <w:widowControl/>
              <w:snapToGrid w:val="0"/>
              <w:rPr>
                <w:rFonts w:ascii="宋体" w:hAnsi="宋体" w:cs="宋体"/>
                <w:color w:val="auto"/>
                <w:sz w:val="21"/>
                <w:szCs w:val="21"/>
                <w:highlight w:val="none"/>
                <w:lang w:eastAsia="en-US"/>
              </w:rPr>
            </w:pPr>
          </w:p>
        </w:tc>
        <w:tc>
          <w:tcPr>
            <w:tcW w:w="1747" w:type="dxa"/>
            <w:vAlign w:val="center"/>
          </w:tcPr>
          <w:p>
            <w:pPr>
              <w:widowControl/>
              <w:snapToGrid w:val="0"/>
              <w:ind w:firstLine="420"/>
              <w:rPr>
                <w:rFonts w:ascii="宋体" w:hAnsi="宋体" w:cs="宋体"/>
                <w:color w:val="auto"/>
                <w:sz w:val="21"/>
                <w:szCs w:val="21"/>
                <w:highlight w:val="none"/>
                <w:lang w:eastAsia="en-US"/>
              </w:rPr>
            </w:pPr>
          </w:p>
        </w:tc>
        <w:tc>
          <w:tcPr>
            <w:tcW w:w="866" w:type="dxa"/>
          </w:tcPr>
          <w:p>
            <w:pPr>
              <w:widowControl/>
              <w:snapToGrid w:val="0"/>
              <w:ind w:firstLine="420"/>
              <w:rPr>
                <w:rFonts w:ascii="宋体" w:hAnsi="宋体" w:cs="宋体"/>
                <w:color w:val="auto"/>
                <w:sz w:val="21"/>
                <w:szCs w:val="21"/>
                <w:highlight w:val="none"/>
                <w:lang w:eastAsia="en-US"/>
              </w:rPr>
            </w:pPr>
          </w:p>
        </w:tc>
        <w:tc>
          <w:tcPr>
            <w:tcW w:w="1275" w:type="dxa"/>
            <w:vAlign w:val="center"/>
          </w:tcPr>
          <w:p>
            <w:pPr>
              <w:widowControl/>
              <w:snapToGrid w:val="0"/>
              <w:ind w:firstLine="420"/>
              <w:rPr>
                <w:rFonts w:ascii="宋体" w:hAnsi="宋体" w:cs="宋体"/>
                <w:color w:val="auto"/>
                <w:sz w:val="21"/>
                <w:szCs w:val="21"/>
                <w:highlight w:val="none"/>
                <w:lang w:eastAsia="en-US"/>
              </w:rPr>
            </w:pPr>
          </w:p>
        </w:tc>
        <w:tc>
          <w:tcPr>
            <w:tcW w:w="1701" w:type="dxa"/>
          </w:tcPr>
          <w:p>
            <w:pPr>
              <w:widowControl/>
              <w:snapToGrid w:val="0"/>
              <w:ind w:firstLine="420"/>
              <w:rPr>
                <w:rFonts w:ascii="宋体" w:hAnsi="宋体" w:cs="宋体"/>
                <w:color w:val="auto"/>
                <w:sz w:val="21"/>
                <w:szCs w:val="21"/>
                <w:highlight w:val="none"/>
                <w:lang w:eastAsia="en-US"/>
              </w:rPr>
            </w:pPr>
          </w:p>
        </w:tc>
        <w:tc>
          <w:tcPr>
            <w:tcW w:w="1120" w:type="dxa"/>
          </w:tcPr>
          <w:p>
            <w:pPr>
              <w:widowControl/>
              <w:snapToGrid w:val="0"/>
              <w:ind w:firstLine="420"/>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1003" w:type="dxa"/>
            <w:vAlign w:val="center"/>
          </w:tcPr>
          <w:p>
            <w:pPr>
              <w:widowControl/>
              <w:snapToGrid w:val="0"/>
              <w:jc w:val="center"/>
              <w:rPr>
                <w:rFonts w:ascii="宋体" w:hAnsi="宋体" w:cs="宋体"/>
                <w:color w:val="auto"/>
                <w:sz w:val="21"/>
                <w:szCs w:val="21"/>
                <w:highlight w:val="none"/>
                <w:lang w:eastAsia="en-US"/>
              </w:rPr>
            </w:pPr>
          </w:p>
        </w:tc>
        <w:tc>
          <w:tcPr>
            <w:tcW w:w="2126" w:type="dxa"/>
            <w:vAlign w:val="center"/>
          </w:tcPr>
          <w:p>
            <w:pPr>
              <w:widowControl/>
              <w:snapToGrid w:val="0"/>
              <w:jc w:val="center"/>
              <w:rPr>
                <w:rFonts w:ascii="宋体" w:hAnsi="宋体" w:cs="宋体"/>
                <w:color w:val="auto"/>
                <w:sz w:val="21"/>
                <w:szCs w:val="21"/>
                <w:highlight w:val="none"/>
                <w:lang w:eastAsia="en-US"/>
              </w:rPr>
            </w:pPr>
          </w:p>
        </w:tc>
        <w:tc>
          <w:tcPr>
            <w:tcW w:w="1747" w:type="dxa"/>
            <w:vAlign w:val="center"/>
          </w:tcPr>
          <w:p>
            <w:pPr>
              <w:widowControl/>
              <w:snapToGrid w:val="0"/>
              <w:ind w:firstLine="420"/>
              <w:rPr>
                <w:rFonts w:ascii="宋体" w:hAnsi="宋体" w:cs="宋体"/>
                <w:color w:val="auto"/>
                <w:sz w:val="21"/>
                <w:szCs w:val="21"/>
                <w:highlight w:val="none"/>
                <w:lang w:eastAsia="en-US"/>
              </w:rPr>
            </w:pPr>
          </w:p>
        </w:tc>
        <w:tc>
          <w:tcPr>
            <w:tcW w:w="866" w:type="dxa"/>
          </w:tcPr>
          <w:p>
            <w:pPr>
              <w:widowControl/>
              <w:snapToGrid w:val="0"/>
              <w:ind w:firstLine="420"/>
              <w:rPr>
                <w:rFonts w:ascii="宋体" w:hAnsi="宋体" w:cs="宋体"/>
                <w:color w:val="auto"/>
                <w:sz w:val="21"/>
                <w:szCs w:val="21"/>
                <w:highlight w:val="none"/>
                <w:lang w:eastAsia="en-US"/>
              </w:rPr>
            </w:pPr>
          </w:p>
        </w:tc>
        <w:tc>
          <w:tcPr>
            <w:tcW w:w="1275" w:type="dxa"/>
            <w:vAlign w:val="center"/>
          </w:tcPr>
          <w:p>
            <w:pPr>
              <w:widowControl/>
              <w:snapToGrid w:val="0"/>
              <w:ind w:firstLine="420"/>
              <w:rPr>
                <w:rFonts w:ascii="宋体" w:hAnsi="宋体" w:cs="宋体"/>
                <w:color w:val="auto"/>
                <w:sz w:val="21"/>
                <w:szCs w:val="21"/>
                <w:highlight w:val="none"/>
                <w:lang w:eastAsia="en-US"/>
              </w:rPr>
            </w:pPr>
          </w:p>
        </w:tc>
        <w:tc>
          <w:tcPr>
            <w:tcW w:w="1701" w:type="dxa"/>
          </w:tcPr>
          <w:p>
            <w:pPr>
              <w:widowControl/>
              <w:snapToGrid w:val="0"/>
              <w:ind w:firstLine="420"/>
              <w:rPr>
                <w:rFonts w:ascii="宋体" w:hAnsi="宋体" w:cs="宋体"/>
                <w:color w:val="auto"/>
                <w:sz w:val="21"/>
                <w:szCs w:val="21"/>
                <w:highlight w:val="none"/>
                <w:lang w:eastAsia="en-US"/>
              </w:rPr>
            </w:pPr>
          </w:p>
        </w:tc>
        <w:tc>
          <w:tcPr>
            <w:tcW w:w="1120" w:type="dxa"/>
          </w:tcPr>
          <w:p>
            <w:pPr>
              <w:widowControl/>
              <w:snapToGrid w:val="0"/>
              <w:ind w:firstLine="420"/>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1003" w:type="dxa"/>
            <w:vAlign w:val="center"/>
          </w:tcPr>
          <w:p>
            <w:pPr>
              <w:widowControl/>
              <w:snapToGrid w:val="0"/>
              <w:jc w:val="center"/>
              <w:rPr>
                <w:rFonts w:ascii="宋体" w:hAnsi="宋体" w:cs="宋体"/>
                <w:color w:val="auto"/>
                <w:sz w:val="21"/>
                <w:szCs w:val="21"/>
                <w:highlight w:val="none"/>
                <w:lang w:eastAsia="en-US"/>
              </w:rPr>
            </w:pPr>
          </w:p>
        </w:tc>
        <w:tc>
          <w:tcPr>
            <w:tcW w:w="2126" w:type="dxa"/>
            <w:vAlign w:val="center"/>
          </w:tcPr>
          <w:p>
            <w:pPr>
              <w:widowControl/>
              <w:snapToGrid w:val="0"/>
              <w:rPr>
                <w:rFonts w:ascii="宋体" w:hAnsi="宋体" w:cs="宋体"/>
                <w:color w:val="auto"/>
                <w:sz w:val="21"/>
                <w:szCs w:val="21"/>
                <w:highlight w:val="none"/>
                <w:lang w:eastAsia="en-US"/>
              </w:rPr>
            </w:pPr>
          </w:p>
        </w:tc>
        <w:tc>
          <w:tcPr>
            <w:tcW w:w="1747" w:type="dxa"/>
            <w:vAlign w:val="center"/>
          </w:tcPr>
          <w:p>
            <w:pPr>
              <w:widowControl/>
              <w:snapToGrid w:val="0"/>
              <w:ind w:firstLine="420"/>
              <w:rPr>
                <w:rFonts w:ascii="宋体" w:hAnsi="宋体" w:cs="宋体"/>
                <w:color w:val="auto"/>
                <w:sz w:val="21"/>
                <w:szCs w:val="21"/>
                <w:highlight w:val="none"/>
                <w:lang w:eastAsia="en-US"/>
              </w:rPr>
            </w:pPr>
          </w:p>
        </w:tc>
        <w:tc>
          <w:tcPr>
            <w:tcW w:w="866" w:type="dxa"/>
          </w:tcPr>
          <w:p>
            <w:pPr>
              <w:widowControl/>
              <w:snapToGrid w:val="0"/>
              <w:ind w:firstLine="420"/>
              <w:rPr>
                <w:rFonts w:ascii="宋体" w:hAnsi="宋体" w:cs="宋体"/>
                <w:color w:val="auto"/>
                <w:sz w:val="21"/>
                <w:szCs w:val="21"/>
                <w:highlight w:val="none"/>
                <w:lang w:eastAsia="en-US"/>
              </w:rPr>
            </w:pPr>
          </w:p>
        </w:tc>
        <w:tc>
          <w:tcPr>
            <w:tcW w:w="1275" w:type="dxa"/>
            <w:vAlign w:val="center"/>
          </w:tcPr>
          <w:p>
            <w:pPr>
              <w:widowControl/>
              <w:snapToGrid w:val="0"/>
              <w:ind w:firstLine="420"/>
              <w:rPr>
                <w:rFonts w:ascii="宋体" w:hAnsi="宋体" w:cs="宋体"/>
                <w:color w:val="auto"/>
                <w:sz w:val="21"/>
                <w:szCs w:val="21"/>
                <w:highlight w:val="none"/>
                <w:lang w:eastAsia="en-US"/>
              </w:rPr>
            </w:pPr>
          </w:p>
        </w:tc>
        <w:tc>
          <w:tcPr>
            <w:tcW w:w="1701" w:type="dxa"/>
          </w:tcPr>
          <w:p>
            <w:pPr>
              <w:widowControl/>
              <w:snapToGrid w:val="0"/>
              <w:ind w:firstLine="420"/>
              <w:rPr>
                <w:rFonts w:ascii="宋体" w:hAnsi="宋体" w:cs="宋体"/>
                <w:color w:val="auto"/>
                <w:sz w:val="21"/>
                <w:szCs w:val="21"/>
                <w:highlight w:val="none"/>
                <w:lang w:eastAsia="en-US"/>
              </w:rPr>
            </w:pPr>
          </w:p>
        </w:tc>
        <w:tc>
          <w:tcPr>
            <w:tcW w:w="1120" w:type="dxa"/>
          </w:tcPr>
          <w:p>
            <w:pPr>
              <w:widowControl/>
              <w:snapToGrid w:val="0"/>
              <w:ind w:firstLine="420"/>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1003" w:type="dxa"/>
            <w:vAlign w:val="center"/>
          </w:tcPr>
          <w:p>
            <w:pPr>
              <w:widowControl/>
              <w:snapToGrid w:val="0"/>
              <w:jc w:val="center"/>
              <w:rPr>
                <w:rFonts w:ascii="宋体" w:hAnsi="宋体" w:cs="宋体"/>
                <w:color w:val="auto"/>
                <w:sz w:val="21"/>
                <w:szCs w:val="21"/>
                <w:highlight w:val="none"/>
                <w:lang w:eastAsia="en-US"/>
              </w:rPr>
            </w:pPr>
          </w:p>
        </w:tc>
        <w:tc>
          <w:tcPr>
            <w:tcW w:w="2126" w:type="dxa"/>
            <w:vAlign w:val="center"/>
          </w:tcPr>
          <w:p>
            <w:pPr>
              <w:widowControl/>
              <w:snapToGrid w:val="0"/>
              <w:rPr>
                <w:rFonts w:ascii="宋体" w:hAnsi="宋体" w:cs="宋体"/>
                <w:color w:val="auto"/>
                <w:sz w:val="21"/>
                <w:szCs w:val="21"/>
                <w:highlight w:val="none"/>
                <w:lang w:eastAsia="en-US"/>
              </w:rPr>
            </w:pPr>
          </w:p>
        </w:tc>
        <w:tc>
          <w:tcPr>
            <w:tcW w:w="1747" w:type="dxa"/>
            <w:vAlign w:val="center"/>
          </w:tcPr>
          <w:p>
            <w:pPr>
              <w:widowControl/>
              <w:snapToGrid w:val="0"/>
              <w:ind w:firstLine="420"/>
              <w:rPr>
                <w:rFonts w:ascii="宋体" w:hAnsi="宋体" w:cs="宋体"/>
                <w:color w:val="auto"/>
                <w:sz w:val="21"/>
                <w:szCs w:val="21"/>
                <w:highlight w:val="none"/>
                <w:lang w:eastAsia="en-US"/>
              </w:rPr>
            </w:pPr>
          </w:p>
        </w:tc>
        <w:tc>
          <w:tcPr>
            <w:tcW w:w="866" w:type="dxa"/>
          </w:tcPr>
          <w:p>
            <w:pPr>
              <w:widowControl/>
              <w:snapToGrid w:val="0"/>
              <w:ind w:firstLine="420"/>
              <w:rPr>
                <w:rFonts w:ascii="宋体" w:hAnsi="宋体" w:cs="宋体"/>
                <w:color w:val="auto"/>
                <w:sz w:val="21"/>
                <w:szCs w:val="21"/>
                <w:highlight w:val="none"/>
                <w:lang w:eastAsia="en-US"/>
              </w:rPr>
            </w:pPr>
          </w:p>
        </w:tc>
        <w:tc>
          <w:tcPr>
            <w:tcW w:w="1275" w:type="dxa"/>
            <w:vAlign w:val="center"/>
          </w:tcPr>
          <w:p>
            <w:pPr>
              <w:widowControl/>
              <w:snapToGrid w:val="0"/>
              <w:ind w:firstLine="420"/>
              <w:rPr>
                <w:rFonts w:ascii="宋体" w:hAnsi="宋体" w:cs="宋体"/>
                <w:color w:val="auto"/>
                <w:sz w:val="21"/>
                <w:szCs w:val="21"/>
                <w:highlight w:val="none"/>
                <w:lang w:eastAsia="en-US"/>
              </w:rPr>
            </w:pPr>
          </w:p>
        </w:tc>
        <w:tc>
          <w:tcPr>
            <w:tcW w:w="1701" w:type="dxa"/>
          </w:tcPr>
          <w:p>
            <w:pPr>
              <w:widowControl/>
              <w:snapToGrid w:val="0"/>
              <w:ind w:firstLine="420"/>
              <w:rPr>
                <w:rFonts w:ascii="宋体" w:hAnsi="宋体" w:cs="宋体"/>
                <w:color w:val="auto"/>
                <w:sz w:val="21"/>
                <w:szCs w:val="21"/>
                <w:highlight w:val="none"/>
                <w:lang w:eastAsia="en-US"/>
              </w:rPr>
            </w:pPr>
          </w:p>
        </w:tc>
        <w:tc>
          <w:tcPr>
            <w:tcW w:w="1120" w:type="dxa"/>
          </w:tcPr>
          <w:p>
            <w:pPr>
              <w:widowControl/>
              <w:snapToGrid w:val="0"/>
              <w:ind w:firstLine="420"/>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1003" w:type="dxa"/>
            <w:vAlign w:val="center"/>
          </w:tcPr>
          <w:p>
            <w:pPr>
              <w:widowControl/>
              <w:snapToGrid w:val="0"/>
              <w:jc w:val="center"/>
              <w:rPr>
                <w:rFonts w:ascii="宋体" w:hAnsi="宋体" w:cs="宋体"/>
                <w:color w:val="auto"/>
                <w:sz w:val="21"/>
                <w:szCs w:val="21"/>
                <w:highlight w:val="none"/>
                <w:lang w:eastAsia="en-US"/>
              </w:rPr>
            </w:pPr>
          </w:p>
        </w:tc>
        <w:tc>
          <w:tcPr>
            <w:tcW w:w="2126" w:type="dxa"/>
            <w:vAlign w:val="center"/>
          </w:tcPr>
          <w:p>
            <w:pPr>
              <w:widowControl/>
              <w:snapToGrid w:val="0"/>
              <w:rPr>
                <w:rFonts w:ascii="宋体" w:hAnsi="宋体" w:cs="宋体"/>
                <w:color w:val="auto"/>
                <w:sz w:val="21"/>
                <w:szCs w:val="21"/>
                <w:highlight w:val="none"/>
                <w:lang w:eastAsia="en-US"/>
              </w:rPr>
            </w:pPr>
          </w:p>
        </w:tc>
        <w:tc>
          <w:tcPr>
            <w:tcW w:w="1747" w:type="dxa"/>
            <w:vAlign w:val="center"/>
          </w:tcPr>
          <w:p>
            <w:pPr>
              <w:widowControl/>
              <w:snapToGrid w:val="0"/>
              <w:ind w:firstLine="420"/>
              <w:rPr>
                <w:rFonts w:ascii="宋体" w:hAnsi="宋体" w:cs="宋体"/>
                <w:color w:val="auto"/>
                <w:sz w:val="21"/>
                <w:szCs w:val="21"/>
                <w:highlight w:val="none"/>
                <w:lang w:eastAsia="en-US"/>
              </w:rPr>
            </w:pPr>
          </w:p>
        </w:tc>
        <w:tc>
          <w:tcPr>
            <w:tcW w:w="866" w:type="dxa"/>
          </w:tcPr>
          <w:p>
            <w:pPr>
              <w:widowControl/>
              <w:snapToGrid w:val="0"/>
              <w:ind w:firstLine="420"/>
              <w:rPr>
                <w:rFonts w:ascii="宋体" w:hAnsi="宋体" w:cs="宋体"/>
                <w:color w:val="auto"/>
                <w:sz w:val="21"/>
                <w:szCs w:val="21"/>
                <w:highlight w:val="none"/>
                <w:lang w:eastAsia="en-US"/>
              </w:rPr>
            </w:pPr>
          </w:p>
        </w:tc>
        <w:tc>
          <w:tcPr>
            <w:tcW w:w="1275" w:type="dxa"/>
            <w:vAlign w:val="center"/>
          </w:tcPr>
          <w:p>
            <w:pPr>
              <w:widowControl/>
              <w:snapToGrid w:val="0"/>
              <w:ind w:firstLine="420"/>
              <w:rPr>
                <w:rFonts w:ascii="宋体" w:hAnsi="宋体" w:cs="宋体"/>
                <w:color w:val="auto"/>
                <w:sz w:val="21"/>
                <w:szCs w:val="21"/>
                <w:highlight w:val="none"/>
                <w:lang w:eastAsia="en-US"/>
              </w:rPr>
            </w:pPr>
          </w:p>
        </w:tc>
        <w:tc>
          <w:tcPr>
            <w:tcW w:w="1701" w:type="dxa"/>
          </w:tcPr>
          <w:p>
            <w:pPr>
              <w:widowControl/>
              <w:snapToGrid w:val="0"/>
              <w:ind w:firstLine="420"/>
              <w:rPr>
                <w:rFonts w:ascii="宋体" w:hAnsi="宋体" w:cs="宋体"/>
                <w:color w:val="auto"/>
                <w:sz w:val="21"/>
                <w:szCs w:val="21"/>
                <w:highlight w:val="none"/>
                <w:lang w:eastAsia="en-US"/>
              </w:rPr>
            </w:pPr>
          </w:p>
        </w:tc>
        <w:tc>
          <w:tcPr>
            <w:tcW w:w="1120" w:type="dxa"/>
          </w:tcPr>
          <w:p>
            <w:pPr>
              <w:widowControl/>
              <w:snapToGrid w:val="0"/>
              <w:ind w:firstLine="420"/>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1003" w:type="dxa"/>
            <w:vAlign w:val="center"/>
          </w:tcPr>
          <w:p>
            <w:pPr>
              <w:widowControl/>
              <w:snapToGrid w:val="0"/>
              <w:jc w:val="center"/>
              <w:rPr>
                <w:rFonts w:ascii="宋体" w:hAnsi="宋体" w:cs="宋体"/>
                <w:color w:val="auto"/>
                <w:sz w:val="21"/>
                <w:szCs w:val="21"/>
                <w:highlight w:val="none"/>
                <w:lang w:eastAsia="en-US"/>
              </w:rPr>
            </w:pPr>
          </w:p>
        </w:tc>
        <w:tc>
          <w:tcPr>
            <w:tcW w:w="2126" w:type="dxa"/>
            <w:vAlign w:val="center"/>
          </w:tcPr>
          <w:p>
            <w:pPr>
              <w:widowControl/>
              <w:snapToGrid w:val="0"/>
              <w:rPr>
                <w:rFonts w:ascii="宋体" w:hAnsi="宋体" w:cs="宋体"/>
                <w:color w:val="auto"/>
                <w:sz w:val="21"/>
                <w:szCs w:val="21"/>
                <w:highlight w:val="none"/>
                <w:lang w:eastAsia="en-US"/>
              </w:rPr>
            </w:pPr>
          </w:p>
        </w:tc>
        <w:tc>
          <w:tcPr>
            <w:tcW w:w="1747" w:type="dxa"/>
            <w:vAlign w:val="center"/>
          </w:tcPr>
          <w:p>
            <w:pPr>
              <w:widowControl/>
              <w:snapToGrid w:val="0"/>
              <w:ind w:firstLine="420"/>
              <w:rPr>
                <w:rFonts w:ascii="宋体" w:hAnsi="宋体" w:cs="宋体"/>
                <w:color w:val="auto"/>
                <w:sz w:val="21"/>
                <w:szCs w:val="21"/>
                <w:highlight w:val="none"/>
                <w:lang w:eastAsia="en-US"/>
              </w:rPr>
            </w:pPr>
          </w:p>
        </w:tc>
        <w:tc>
          <w:tcPr>
            <w:tcW w:w="866" w:type="dxa"/>
          </w:tcPr>
          <w:p>
            <w:pPr>
              <w:widowControl/>
              <w:snapToGrid w:val="0"/>
              <w:ind w:firstLine="420"/>
              <w:rPr>
                <w:rFonts w:ascii="宋体" w:hAnsi="宋体" w:cs="宋体"/>
                <w:color w:val="auto"/>
                <w:sz w:val="21"/>
                <w:szCs w:val="21"/>
                <w:highlight w:val="none"/>
                <w:lang w:eastAsia="en-US"/>
              </w:rPr>
            </w:pPr>
          </w:p>
        </w:tc>
        <w:tc>
          <w:tcPr>
            <w:tcW w:w="1275" w:type="dxa"/>
            <w:vAlign w:val="center"/>
          </w:tcPr>
          <w:p>
            <w:pPr>
              <w:widowControl/>
              <w:snapToGrid w:val="0"/>
              <w:ind w:firstLine="420"/>
              <w:rPr>
                <w:rFonts w:ascii="宋体" w:hAnsi="宋体" w:cs="宋体"/>
                <w:color w:val="auto"/>
                <w:sz w:val="21"/>
                <w:szCs w:val="21"/>
                <w:highlight w:val="none"/>
                <w:lang w:eastAsia="en-US"/>
              </w:rPr>
            </w:pPr>
          </w:p>
        </w:tc>
        <w:tc>
          <w:tcPr>
            <w:tcW w:w="1701" w:type="dxa"/>
          </w:tcPr>
          <w:p>
            <w:pPr>
              <w:widowControl/>
              <w:snapToGrid w:val="0"/>
              <w:ind w:firstLine="420"/>
              <w:rPr>
                <w:rFonts w:ascii="宋体" w:hAnsi="宋体" w:cs="宋体"/>
                <w:color w:val="auto"/>
                <w:sz w:val="21"/>
                <w:szCs w:val="21"/>
                <w:highlight w:val="none"/>
                <w:lang w:eastAsia="en-US"/>
              </w:rPr>
            </w:pPr>
          </w:p>
        </w:tc>
        <w:tc>
          <w:tcPr>
            <w:tcW w:w="1120" w:type="dxa"/>
          </w:tcPr>
          <w:p>
            <w:pPr>
              <w:widowControl/>
              <w:snapToGrid w:val="0"/>
              <w:ind w:firstLine="420"/>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1003" w:type="dxa"/>
            <w:vAlign w:val="center"/>
          </w:tcPr>
          <w:p>
            <w:pPr>
              <w:widowControl/>
              <w:snapToGrid w:val="0"/>
              <w:jc w:val="center"/>
              <w:rPr>
                <w:rFonts w:ascii="宋体" w:hAnsi="宋体" w:cs="宋体"/>
                <w:color w:val="auto"/>
                <w:sz w:val="21"/>
                <w:szCs w:val="21"/>
                <w:highlight w:val="none"/>
                <w:lang w:eastAsia="en-US"/>
              </w:rPr>
            </w:pPr>
          </w:p>
        </w:tc>
        <w:tc>
          <w:tcPr>
            <w:tcW w:w="2126" w:type="dxa"/>
            <w:vAlign w:val="center"/>
          </w:tcPr>
          <w:p>
            <w:pPr>
              <w:widowControl/>
              <w:snapToGrid w:val="0"/>
              <w:rPr>
                <w:rFonts w:ascii="宋体" w:hAnsi="宋体" w:cs="宋体"/>
                <w:color w:val="auto"/>
                <w:sz w:val="21"/>
                <w:szCs w:val="21"/>
                <w:highlight w:val="none"/>
                <w:lang w:eastAsia="en-US"/>
              </w:rPr>
            </w:pPr>
          </w:p>
        </w:tc>
        <w:tc>
          <w:tcPr>
            <w:tcW w:w="1747" w:type="dxa"/>
            <w:vAlign w:val="center"/>
          </w:tcPr>
          <w:p>
            <w:pPr>
              <w:widowControl/>
              <w:snapToGrid w:val="0"/>
              <w:ind w:firstLine="420"/>
              <w:rPr>
                <w:rFonts w:ascii="宋体" w:hAnsi="宋体" w:cs="宋体"/>
                <w:color w:val="auto"/>
                <w:sz w:val="21"/>
                <w:szCs w:val="21"/>
                <w:highlight w:val="none"/>
                <w:lang w:eastAsia="en-US"/>
              </w:rPr>
            </w:pPr>
          </w:p>
        </w:tc>
        <w:tc>
          <w:tcPr>
            <w:tcW w:w="866" w:type="dxa"/>
          </w:tcPr>
          <w:p>
            <w:pPr>
              <w:widowControl/>
              <w:snapToGrid w:val="0"/>
              <w:ind w:firstLine="420"/>
              <w:rPr>
                <w:rFonts w:ascii="宋体" w:hAnsi="宋体" w:cs="宋体"/>
                <w:color w:val="auto"/>
                <w:sz w:val="21"/>
                <w:szCs w:val="21"/>
                <w:highlight w:val="none"/>
                <w:lang w:eastAsia="en-US"/>
              </w:rPr>
            </w:pPr>
          </w:p>
        </w:tc>
        <w:tc>
          <w:tcPr>
            <w:tcW w:w="1275" w:type="dxa"/>
            <w:vAlign w:val="center"/>
          </w:tcPr>
          <w:p>
            <w:pPr>
              <w:widowControl/>
              <w:snapToGrid w:val="0"/>
              <w:ind w:firstLine="420"/>
              <w:rPr>
                <w:rFonts w:ascii="宋体" w:hAnsi="宋体" w:cs="宋体"/>
                <w:color w:val="auto"/>
                <w:sz w:val="21"/>
                <w:szCs w:val="21"/>
                <w:highlight w:val="none"/>
                <w:lang w:eastAsia="en-US"/>
              </w:rPr>
            </w:pPr>
          </w:p>
        </w:tc>
        <w:tc>
          <w:tcPr>
            <w:tcW w:w="1701" w:type="dxa"/>
          </w:tcPr>
          <w:p>
            <w:pPr>
              <w:widowControl/>
              <w:snapToGrid w:val="0"/>
              <w:ind w:firstLine="420"/>
              <w:rPr>
                <w:rFonts w:ascii="宋体" w:hAnsi="宋体" w:cs="宋体"/>
                <w:color w:val="auto"/>
                <w:sz w:val="21"/>
                <w:szCs w:val="21"/>
                <w:highlight w:val="none"/>
                <w:lang w:eastAsia="en-US"/>
              </w:rPr>
            </w:pPr>
          </w:p>
        </w:tc>
        <w:tc>
          <w:tcPr>
            <w:tcW w:w="1120" w:type="dxa"/>
          </w:tcPr>
          <w:p>
            <w:pPr>
              <w:widowControl/>
              <w:snapToGrid w:val="0"/>
              <w:ind w:firstLine="420"/>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1003" w:type="dxa"/>
            <w:vAlign w:val="center"/>
          </w:tcPr>
          <w:p>
            <w:pPr>
              <w:widowControl/>
              <w:snapToGrid w:val="0"/>
              <w:jc w:val="center"/>
              <w:rPr>
                <w:rFonts w:ascii="宋体" w:hAnsi="宋体" w:cs="宋体"/>
                <w:color w:val="auto"/>
                <w:sz w:val="21"/>
                <w:szCs w:val="21"/>
                <w:highlight w:val="none"/>
                <w:lang w:eastAsia="en-US"/>
              </w:rPr>
            </w:pPr>
          </w:p>
        </w:tc>
        <w:tc>
          <w:tcPr>
            <w:tcW w:w="2126" w:type="dxa"/>
            <w:vAlign w:val="center"/>
          </w:tcPr>
          <w:p>
            <w:pPr>
              <w:widowControl/>
              <w:snapToGrid w:val="0"/>
              <w:rPr>
                <w:rFonts w:ascii="宋体" w:hAnsi="宋体" w:cs="宋体"/>
                <w:color w:val="auto"/>
                <w:sz w:val="21"/>
                <w:szCs w:val="21"/>
                <w:highlight w:val="none"/>
                <w:lang w:eastAsia="en-US"/>
              </w:rPr>
            </w:pPr>
          </w:p>
        </w:tc>
        <w:tc>
          <w:tcPr>
            <w:tcW w:w="1747" w:type="dxa"/>
            <w:vAlign w:val="center"/>
          </w:tcPr>
          <w:p>
            <w:pPr>
              <w:widowControl/>
              <w:snapToGrid w:val="0"/>
              <w:ind w:firstLine="420"/>
              <w:rPr>
                <w:rFonts w:ascii="宋体" w:hAnsi="宋体" w:cs="宋体"/>
                <w:color w:val="auto"/>
                <w:sz w:val="21"/>
                <w:szCs w:val="21"/>
                <w:highlight w:val="none"/>
                <w:lang w:eastAsia="en-US"/>
              </w:rPr>
            </w:pPr>
          </w:p>
        </w:tc>
        <w:tc>
          <w:tcPr>
            <w:tcW w:w="866" w:type="dxa"/>
          </w:tcPr>
          <w:p>
            <w:pPr>
              <w:widowControl/>
              <w:snapToGrid w:val="0"/>
              <w:ind w:firstLine="420"/>
              <w:rPr>
                <w:rFonts w:ascii="宋体" w:hAnsi="宋体" w:cs="宋体"/>
                <w:color w:val="auto"/>
                <w:sz w:val="21"/>
                <w:szCs w:val="21"/>
                <w:highlight w:val="none"/>
                <w:lang w:eastAsia="en-US"/>
              </w:rPr>
            </w:pPr>
          </w:p>
        </w:tc>
        <w:tc>
          <w:tcPr>
            <w:tcW w:w="1275" w:type="dxa"/>
            <w:vAlign w:val="center"/>
          </w:tcPr>
          <w:p>
            <w:pPr>
              <w:widowControl/>
              <w:snapToGrid w:val="0"/>
              <w:ind w:firstLine="420"/>
              <w:rPr>
                <w:rFonts w:ascii="宋体" w:hAnsi="宋体" w:cs="宋体"/>
                <w:color w:val="auto"/>
                <w:sz w:val="21"/>
                <w:szCs w:val="21"/>
                <w:highlight w:val="none"/>
                <w:lang w:eastAsia="en-US"/>
              </w:rPr>
            </w:pPr>
          </w:p>
        </w:tc>
        <w:tc>
          <w:tcPr>
            <w:tcW w:w="1701" w:type="dxa"/>
          </w:tcPr>
          <w:p>
            <w:pPr>
              <w:widowControl/>
              <w:snapToGrid w:val="0"/>
              <w:ind w:firstLine="420"/>
              <w:rPr>
                <w:rFonts w:ascii="宋体" w:hAnsi="宋体" w:cs="宋体"/>
                <w:color w:val="auto"/>
                <w:sz w:val="21"/>
                <w:szCs w:val="21"/>
                <w:highlight w:val="none"/>
                <w:lang w:eastAsia="en-US"/>
              </w:rPr>
            </w:pPr>
          </w:p>
        </w:tc>
        <w:tc>
          <w:tcPr>
            <w:tcW w:w="1120" w:type="dxa"/>
          </w:tcPr>
          <w:p>
            <w:pPr>
              <w:widowControl/>
              <w:snapToGrid w:val="0"/>
              <w:ind w:firstLine="420"/>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1003" w:type="dxa"/>
            <w:vAlign w:val="center"/>
          </w:tcPr>
          <w:p>
            <w:pPr>
              <w:widowControl/>
              <w:snapToGrid w:val="0"/>
              <w:jc w:val="center"/>
              <w:rPr>
                <w:rFonts w:ascii="宋体" w:hAnsi="宋体" w:cs="宋体"/>
                <w:color w:val="auto"/>
                <w:sz w:val="21"/>
                <w:szCs w:val="21"/>
                <w:highlight w:val="none"/>
                <w:lang w:eastAsia="en-US"/>
              </w:rPr>
            </w:pPr>
          </w:p>
        </w:tc>
        <w:tc>
          <w:tcPr>
            <w:tcW w:w="2126" w:type="dxa"/>
            <w:vAlign w:val="center"/>
          </w:tcPr>
          <w:p>
            <w:pPr>
              <w:widowControl/>
              <w:snapToGrid w:val="0"/>
              <w:rPr>
                <w:rFonts w:ascii="宋体" w:hAnsi="宋体" w:cs="宋体"/>
                <w:b/>
                <w:color w:val="auto"/>
                <w:spacing w:val="10"/>
                <w:sz w:val="21"/>
                <w:szCs w:val="21"/>
                <w:highlight w:val="none"/>
                <w:lang w:eastAsia="en-US"/>
              </w:rPr>
            </w:pPr>
          </w:p>
        </w:tc>
        <w:tc>
          <w:tcPr>
            <w:tcW w:w="1747" w:type="dxa"/>
            <w:vAlign w:val="center"/>
          </w:tcPr>
          <w:p>
            <w:pPr>
              <w:widowControl/>
              <w:snapToGrid w:val="0"/>
              <w:ind w:firstLine="420"/>
              <w:rPr>
                <w:rFonts w:ascii="宋体" w:hAnsi="宋体" w:cs="宋体"/>
                <w:color w:val="auto"/>
                <w:sz w:val="21"/>
                <w:szCs w:val="21"/>
                <w:highlight w:val="none"/>
                <w:lang w:eastAsia="en-US"/>
              </w:rPr>
            </w:pPr>
          </w:p>
        </w:tc>
        <w:tc>
          <w:tcPr>
            <w:tcW w:w="866" w:type="dxa"/>
          </w:tcPr>
          <w:p>
            <w:pPr>
              <w:widowControl/>
              <w:snapToGrid w:val="0"/>
              <w:ind w:firstLine="420"/>
              <w:rPr>
                <w:rFonts w:ascii="宋体" w:hAnsi="宋体" w:cs="宋体"/>
                <w:color w:val="auto"/>
                <w:sz w:val="21"/>
                <w:szCs w:val="21"/>
                <w:highlight w:val="none"/>
                <w:lang w:eastAsia="en-US"/>
              </w:rPr>
            </w:pPr>
          </w:p>
        </w:tc>
        <w:tc>
          <w:tcPr>
            <w:tcW w:w="1275" w:type="dxa"/>
            <w:vAlign w:val="center"/>
          </w:tcPr>
          <w:p>
            <w:pPr>
              <w:widowControl/>
              <w:snapToGrid w:val="0"/>
              <w:ind w:firstLine="420"/>
              <w:rPr>
                <w:rFonts w:ascii="宋体" w:hAnsi="宋体" w:cs="宋体"/>
                <w:color w:val="auto"/>
                <w:sz w:val="21"/>
                <w:szCs w:val="21"/>
                <w:highlight w:val="none"/>
                <w:lang w:eastAsia="en-US"/>
              </w:rPr>
            </w:pPr>
          </w:p>
        </w:tc>
        <w:tc>
          <w:tcPr>
            <w:tcW w:w="1701" w:type="dxa"/>
          </w:tcPr>
          <w:p>
            <w:pPr>
              <w:widowControl/>
              <w:snapToGrid w:val="0"/>
              <w:ind w:firstLine="420"/>
              <w:rPr>
                <w:rFonts w:ascii="宋体" w:hAnsi="宋体" w:cs="宋体"/>
                <w:color w:val="auto"/>
                <w:sz w:val="21"/>
                <w:szCs w:val="21"/>
                <w:highlight w:val="none"/>
                <w:lang w:eastAsia="en-US"/>
              </w:rPr>
            </w:pPr>
          </w:p>
        </w:tc>
        <w:tc>
          <w:tcPr>
            <w:tcW w:w="1120" w:type="dxa"/>
          </w:tcPr>
          <w:p>
            <w:pPr>
              <w:widowControl/>
              <w:snapToGrid w:val="0"/>
              <w:ind w:firstLine="420"/>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1003" w:type="dxa"/>
            <w:vAlign w:val="center"/>
          </w:tcPr>
          <w:p>
            <w:pPr>
              <w:widowControl/>
              <w:snapToGrid w:val="0"/>
              <w:jc w:val="center"/>
              <w:rPr>
                <w:rFonts w:ascii="宋体" w:hAnsi="宋体" w:cs="宋体"/>
                <w:color w:val="auto"/>
                <w:sz w:val="21"/>
                <w:szCs w:val="21"/>
                <w:highlight w:val="none"/>
                <w:lang w:eastAsia="en-US"/>
              </w:rPr>
            </w:pPr>
          </w:p>
        </w:tc>
        <w:tc>
          <w:tcPr>
            <w:tcW w:w="2126" w:type="dxa"/>
            <w:vAlign w:val="center"/>
          </w:tcPr>
          <w:p>
            <w:pPr>
              <w:widowControl/>
              <w:snapToGrid w:val="0"/>
              <w:ind w:firstLine="420"/>
              <w:rPr>
                <w:rFonts w:ascii="宋体" w:hAnsi="宋体" w:cs="宋体"/>
                <w:color w:val="auto"/>
                <w:sz w:val="21"/>
                <w:szCs w:val="21"/>
                <w:highlight w:val="none"/>
                <w:lang w:eastAsia="en-US"/>
              </w:rPr>
            </w:pPr>
          </w:p>
        </w:tc>
        <w:tc>
          <w:tcPr>
            <w:tcW w:w="1747" w:type="dxa"/>
            <w:vAlign w:val="center"/>
          </w:tcPr>
          <w:p>
            <w:pPr>
              <w:widowControl/>
              <w:snapToGrid w:val="0"/>
              <w:ind w:firstLine="420"/>
              <w:rPr>
                <w:rFonts w:ascii="宋体" w:hAnsi="宋体" w:cs="宋体"/>
                <w:color w:val="auto"/>
                <w:sz w:val="21"/>
                <w:szCs w:val="21"/>
                <w:highlight w:val="none"/>
                <w:lang w:eastAsia="en-US"/>
              </w:rPr>
            </w:pPr>
          </w:p>
        </w:tc>
        <w:tc>
          <w:tcPr>
            <w:tcW w:w="866" w:type="dxa"/>
          </w:tcPr>
          <w:p>
            <w:pPr>
              <w:widowControl/>
              <w:snapToGrid w:val="0"/>
              <w:ind w:firstLine="420"/>
              <w:rPr>
                <w:rFonts w:ascii="宋体" w:hAnsi="宋体" w:cs="宋体"/>
                <w:color w:val="auto"/>
                <w:sz w:val="21"/>
                <w:szCs w:val="21"/>
                <w:highlight w:val="none"/>
                <w:lang w:eastAsia="en-US"/>
              </w:rPr>
            </w:pPr>
          </w:p>
        </w:tc>
        <w:tc>
          <w:tcPr>
            <w:tcW w:w="1275" w:type="dxa"/>
            <w:vAlign w:val="center"/>
          </w:tcPr>
          <w:p>
            <w:pPr>
              <w:widowControl/>
              <w:snapToGrid w:val="0"/>
              <w:ind w:firstLine="420"/>
              <w:rPr>
                <w:rFonts w:ascii="宋体" w:hAnsi="宋体" w:cs="宋体"/>
                <w:color w:val="auto"/>
                <w:sz w:val="21"/>
                <w:szCs w:val="21"/>
                <w:highlight w:val="none"/>
                <w:lang w:eastAsia="en-US"/>
              </w:rPr>
            </w:pPr>
          </w:p>
        </w:tc>
        <w:tc>
          <w:tcPr>
            <w:tcW w:w="1701" w:type="dxa"/>
          </w:tcPr>
          <w:p>
            <w:pPr>
              <w:widowControl/>
              <w:snapToGrid w:val="0"/>
              <w:ind w:firstLine="420"/>
              <w:rPr>
                <w:rFonts w:ascii="宋体" w:hAnsi="宋体" w:cs="宋体"/>
                <w:color w:val="auto"/>
                <w:sz w:val="21"/>
                <w:szCs w:val="21"/>
                <w:highlight w:val="none"/>
                <w:lang w:eastAsia="en-US"/>
              </w:rPr>
            </w:pPr>
          </w:p>
        </w:tc>
        <w:tc>
          <w:tcPr>
            <w:tcW w:w="1120" w:type="dxa"/>
          </w:tcPr>
          <w:p>
            <w:pPr>
              <w:widowControl/>
              <w:snapToGrid w:val="0"/>
              <w:ind w:firstLine="420"/>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1003" w:type="dxa"/>
            <w:vAlign w:val="center"/>
          </w:tcPr>
          <w:p>
            <w:pPr>
              <w:widowControl/>
              <w:snapToGrid w:val="0"/>
              <w:jc w:val="center"/>
              <w:rPr>
                <w:rFonts w:ascii="宋体" w:hAnsi="宋体" w:cs="宋体"/>
                <w:color w:val="auto"/>
                <w:sz w:val="21"/>
                <w:szCs w:val="21"/>
                <w:highlight w:val="none"/>
                <w:lang w:eastAsia="en-US"/>
              </w:rPr>
            </w:pPr>
          </w:p>
        </w:tc>
        <w:tc>
          <w:tcPr>
            <w:tcW w:w="2126" w:type="dxa"/>
            <w:vAlign w:val="center"/>
          </w:tcPr>
          <w:p>
            <w:pPr>
              <w:widowControl/>
              <w:snapToGrid w:val="0"/>
              <w:ind w:firstLine="420"/>
              <w:rPr>
                <w:rFonts w:ascii="宋体" w:hAnsi="宋体" w:cs="宋体"/>
                <w:color w:val="auto"/>
                <w:sz w:val="21"/>
                <w:szCs w:val="21"/>
                <w:highlight w:val="none"/>
                <w:lang w:eastAsia="en-US"/>
              </w:rPr>
            </w:pPr>
          </w:p>
        </w:tc>
        <w:tc>
          <w:tcPr>
            <w:tcW w:w="1747" w:type="dxa"/>
            <w:vAlign w:val="center"/>
          </w:tcPr>
          <w:p>
            <w:pPr>
              <w:widowControl/>
              <w:snapToGrid w:val="0"/>
              <w:ind w:firstLine="420"/>
              <w:rPr>
                <w:rFonts w:ascii="宋体" w:hAnsi="宋体" w:cs="宋体"/>
                <w:color w:val="auto"/>
                <w:sz w:val="21"/>
                <w:szCs w:val="21"/>
                <w:highlight w:val="none"/>
                <w:lang w:eastAsia="en-US"/>
              </w:rPr>
            </w:pPr>
          </w:p>
        </w:tc>
        <w:tc>
          <w:tcPr>
            <w:tcW w:w="866" w:type="dxa"/>
          </w:tcPr>
          <w:p>
            <w:pPr>
              <w:widowControl/>
              <w:snapToGrid w:val="0"/>
              <w:ind w:firstLine="420"/>
              <w:rPr>
                <w:rFonts w:ascii="宋体" w:hAnsi="宋体" w:cs="宋体"/>
                <w:color w:val="auto"/>
                <w:sz w:val="21"/>
                <w:szCs w:val="21"/>
                <w:highlight w:val="none"/>
                <w:lang w:eastAsia="en-US"/>
              </w:rPr>
            </w:pPr>
          </w:p>
        </w:tc>
        <w:tc>
          <w:tcPr>
            <w:tcW w:w="1275" w:type="dxa"/>
            <w:vAlign w:val="center"/>
          </w:tcPr>
          <w:p>
            <w:pPr>
              <w:widowControl/>
              <w:snapToGrid w:val="0"/>
              <w:ind w:firstLine="420"/>
              <w:rPr>
                <w:rFonts w:ascii="宋体" w:hAnsi="宋体" w:cs="宋体"/>
                <w:color w:val="auto"/>
                <w:sz w:val="21"/>
                <w:szCs w:val="21"/>
                <w:highlight w:val="none"/>
                <w:lang w:eastAsia="en-US"/>
              </w:rPr>
            </w:pPr>
          </w:p>
        </w:tc>
        <w:tc>
          <w:tcPr>
            <w:tcW w:w="1701" w:type="dxa"/>
          </w:tcPr>
          <w:p>
            <w:pPr>
              <w:widowControl/>
              <w:snapToGrid w:val="0"/>
              <w:ind w:firstLine="420"/>
              <w:rPr>
                <w:rFonts w:ascii="宋体" w:hAnsi="宋体" w:cs="宋体"/>
                <w:color w:val="auto"/>
                <w:sz w:val="21"/>
                <w:szCs w:val="21"/>
                <w:highlight w:val="none"/>
                <w:lang w:eastAsia="en-US"/>
              </w:rPr>
            </w:pPr>
          </w:p>
        </w:tc>
        <w:tc>
          <w:tcPr>
            <w:tcW w:w="1120" w:type="dxa"/>
          </w:tcPr>
          <w:p>
            <w:pPr>
              <w:widowControl/>
              <w:snapToGrid w:val="0"/>
              <w:ind w:firstLine="420"/>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1003" w:type="dxa"/>
            <w:vAlign w:val="center"/>
          </w:tcPr>
          <w:p>
            <w:pPr>
              <w:widowControl/>
              <w:snapToGrid w:val="0"/>
              <w:jc w:val="center"/>
              <w:rPr>
                <w:rFonts w:ascii="宋体" w:hAnsi="宋体" w:cs="宋体"/>
                <w:color w:val="auto"/>
                <w:sz w:val="21"/>
                <w:szCs w:val="21"/>
                <w:highlight w:val="none"/>
                <w:lang w:eastAsia="en-US"/>
              </w:rPr>
            </w:pPr>
          </w:p>
        </w:tc>
        <w:tc>
          <w:tcPr>
            <w:tcW w:w="2126" w:type="dxa"/>
            <w:vAlign w:val="center"/>
          </w:tcPr>
          <w:p>
            <w:pPr>
              <w:widowControl/>
              <w:snapToGrid w:val="0"/>
              <w:ind w:firstLine="420"/>
              <w:rPr>
                <w:rFonts w:ascii="宋体" w:hAnsi="宋体" w:cs="宋体"/>
                <w:color w:val="auto"/>
                <w:sz w:val="21"/>
                <w:szCs w:val="21"/>
                <w:highlight w:val="none"/>
                <w:lang w:eastAsia="en-US"/>
              </w:rPr>
            </w:pPr>
          </w:p>
        </w:tc>
        <w:tc>
          <w:tcPr>
            <w:tcW w:w="1747" w:type="dxa"/>
            <w:vAlign w:val="center"/>
          </w:tcPr>
          <w:p>
            <w:pPr>
              <w:widowControl/>
              <w:snapToGrid w:val="0"/>
              <w:ind w:firstLine="420"/>
              <w:rPr>
                <w:rFonts w:ascii="宋体" w:hAnsi="宋体" w:cs="宋体"/>
                <w:color w:val="auto"/>
                <w:sz w:val="21"/>
                <w:szCs w:val="21"/>
                <w:highlight w:val="none"/>
                <w:lang w:eastAsia="en-US"/>
              </w:rPr>
            </w:pPr>
          </w:p>
        </w:tc>
        <w:tc>
          <w:tcPr>
            <w:tcW w:w="866" w:type="dxa"/>
          </w:tcPr>
          <w:p>
            <w:pPr>
              <w:widowControl/>
              <w:snapToGrid w:val="0"/>
              <w:ind w:firstLine="420"/>
              <w:rPr>
                <w:rFonts w:ascii="宋体" w:hAnsi="宋体" w:cs="宋体"/>
                <w:color w:val="auto"/>
                <w:sz w:val="21"/>
                <w:szCs w:val="21"/>
                <w:highlight w:val="none"/>
                <w:lang w:eastAsia="en-US"/>
              </w:rPr>
            </w:pPr>
          </w:p>
        </w:tc>
        <w:tc>
          <w:tcPr>
            <w:tcW w:w="1275" w:type="dxa"/>
            <w:vAlign w:val="center"/>
          </w:tcPr>
          <w:p>
            <w:pPr>
              <w:widowControl/>
              <w:snapToGrid w:val="0"/>
              <w:ind w:firstLine="420"/>
              <w:rPr>
                <w:rFonts w:ascii="宋体" w:hAnsi="宋体" w:cs="宋体"/>
                <w:color w:val="auto"/>
                <w:sz w:val="21"/>
                <w:szCs w:val="21"/>
                <w:highlight w:val="none"/>
                <w:lang w:eastAsia="en-US"/>
              </w:rPr>
            </w:pPr>
          </w:p>
        </w:tc>
        <w:tc>
          <w:tcPr>
            <w:tcW w:w="1701" w:type="dxa"/>
          </w:tcPr>
          <w:p>
            <w:pPr>
              <w:widowControl/>
              <w:snapToGrid w:val="0"/>
              <w:ind w:firstLine="420"/>
              <w:rPr>
                <w:rFonts w:ascii="宋体" w:hAnsi="宋体" w:cs="宋体"/>
                <w:color w:val="auto"/>
                <w:sz w:val="21"/>
                <w:szCs w:val="21"/>
                <w:highlight w:val="none"/>
                <w:lang w:eastAsia="en-US"/>
              </w:rPr>
            </w:pPr>
          </w:p>
        </w:tc>
        <w:tc>
          <w:tcPr>
            <w:tcW w:w="1120" w:type="dxa"/>
          </w:tcPr>
          <w:p>
            <w:pPr>
              <w:widowControl/>
              <w:snapToGrid w:val="0"/>
              <w:ind w:firstLine="420"/>
              <w:rPr>
                <w:rFonts w:ascii="宋体" w:hAnsi="宋体" w:cs="宋体"/>
                <w:color w:val="auto"/>
                <w:sz w:val="21"/>
                <w:szCs w:val="21"/>
                <w:highlight w:val="none"/>
                <w:lang w:eastAsia="en-US"/>
              </w:rPr>
            </w:pPr>
          </w:p>
        </w:tc>
      </w:tr>
    </w:tbl>
    <w:p>
      <w:pPr>
        <w:pStyle w:val="49"/>
        <w:ind w:left="0" w:leftChars="0" w:firstLine="0" w:firstLineChars="0"/>
        <w:rPr>
          <w:color w:val="auto"/>
          <w:highlight w:val="none"/>
        </w:rPr>
      </w:pPr>
    </w:p>
    <w:p>
      <w:pPr>
        <w:pStyle w:val="49"/>
        <w:ind w:left="0" w:leftChars="0" w:firstLine="0" w:firstLineChars="0"/>
        <w:rPr>
          <w:color w:val="auto"/>
          <w:highlight w:val="none"/>
        </w:rPr>
      </w:pPr>
    </w:p>
    <w:p>
      <w:pPr>
        <w:widowControl/>
        <w:snapToGrid w:val="0"/>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投标人（盖章）：</w:t>
      </w:r>
    </w:p>
    <w:p>
      <w:pPr>
        <w:spacing w:line="360" w:lineRule="auto"/>
        <w:rPr>
          <w:color w:val="auto"/>
          <w:sz w:val="21"/>
          <w:szCs w:val="21"/>
          <w:highlight w:val="none"/>
        </w:rPr>
      </w:pPr>
      <w:r>
        <w:rPr>
          <w:rFonts w:hint="eastAsia"/>
          <w:color w:val="auto"/>
          <w:sz w:val="21"/>
          <w:szCs w:val="21"/>
          <w:highlight w:val="none"/>
        </w:rPr>
        <w:t>法定代表人或其授权代理人（签名或盖章）：</w:t>
      </w:r>
    </w:p>
    <w:p>
      <w:pPr>
        <w:spacing w:line="360" w:lineRule="auto"/>
        <w:rPr>
          <w:color w:val="auto"/>
          <w:sz w:val="21"/>
          <w:szCs w:val="21"/>
          <w:highlight w:val="none"/>
        </w:rPr>
      </w:pPr>
      <w:r>
        <w:rPr>
          <w:rFonts w:hint="eastAsia"/>
          <w:color w:val="auto"/>
          <w:sz w:val="21"/>
          <w:szCs w:val="21"/>
          <w:highlight w:val="none"/>
        </w:rPr>
        <w:t>日   期：</w:t>
      </w:r>
    </w:p>
    <w:p>
      <w:pPr>
        <w:pStyle w:val="49"/>
        <w:ind w:left="0" w:leftChars="0" w:firstLine="0" w:firstLineChars="0"/>
        <w:rPr>
          <w:color w:val="auto"/>
          <w:highlight w:val="none"/>
        </w:rPr>
      </w:pPr>
    </w:p>
    <w:p>
      <w:pPr>
        <w:pStyle w:val="49"/>
        <w:ind w:left="0" w:leftChars="0" w:firstLine="0" w:firstLineChars="0"/>
        <w:outlineLvl w:val="2"/>
        <w:rPr>
          <w:rFonts w:ascii="宋体" w:hAnsi="宋体" w:cs="宋体"/>
          <w:b/>
          <w:color w:val="auto"/>
          <w:kern w:val="0"/>
          <w:sz w:val="24"/>
          <w:szCs w:val="16"/>
          <w:highlight w:val="none"/>
        </w:rPr>
      </w:pPr>
      <w:r>
        <w:rPr>
          <w:rFonts w:ascii="宋体" w:hAnsi="宋体" w:cs="宋体"/>
          <w:b/>
          <w:color w:val="auto"/>
          <w:kern w:val="0"/>
          <w:sz w:val="24"/>
          <w:szCs w:val="16"/>
          <w:highlight w:val="none"/>
        </w:rPr>
        <w:br w:type="page"/>
      </w:r>
      <w:r>
        <w:rPr>
          <w:rFonts w:hint="eastAsia" w:ascii="宋体" w:hAnsi="宋体" w:cs="宋体"/>
          <w:b/>
          <w:color w:val="auto"/>
          <w:kern w:val="0"/>
          <w:sz w:val="24"/>
          <w:szCs w:val="16"/>
          <w:highlight w:val="none"/>
        </w:rPr>
        <w:t>附件2：2.3 电梯（垂直/自动扶梯）货物备品备件清单</w:t>
      </w:r>
    </w:p>
    <w:p>
      <w:pPr>
        <w:widowControl/>
        <w:snapToGrid w:val="0"/>
        <w:spacing w:line="360" w:lineRule="auto"/>
        <w:ind w:left="5280" w:leftChars="2200" w:firstLine="360"/>
        <w:rPr>
          <w:rFonts w:ascii="宋体" w:hAnsi="宋体" w:cs="宋体"/>
          <w:color w:val="auto"/>
          <w:sz w:val="22"/>
          <w:highlight w:val="none"/>
        </w:rPr>
      </w:pPr>
    </w:p>
    <w:p>
      <w:pPr>
        <w:widowControl/>
        <w:snapToGrid w:val="0"/>
        <w:jc w:val="center"/>
        <w:rPr>
          <w:rFonts w:ascii="宋体" w:hAnsi="宋体" w:cs="宋体"/>
          <w:b/>
          <w:color w:val="auto"/>
          <w:sz w:val="28"/>
          <w:szCs w:val="28"/>
          <w:highlight w:val="none"/>
        </w:rPr>
      </w:pPr>
      <w:r>
        <w:rPr>
          <w:rFonts w:hint="eastAsia" w:ascii="宋体" w:hAnsi="宋体" w:cs="宋体"/>
          <w:b/>
          <w:color w:val="auto"/>
          <w:sz w:val="28"/>
          <w:szCs w:val="28"/>
          <w:highlight w:val="none"/>
        </w:rPr>
        <w:t>电梯（垂直/自动扶梯）货物备品备件清单</w:t>
      </w:r>
    </w:p>
    <w:p>
      <w:pPr>
        <w:widowControl/>
        <w:tabs>
          <w:tab w:val="left" w:pos="6275"/>
        </w:tabs>
        <w:snapToGrid w:val="0"/>
        <w:rPr>
          <w:rFonts w:ascii="宋体" w:hAnsi="宋体" w:cs="宋体"/>
          <w:color w:val="auto"/>
          <w:highlight w:val="none"/>
        </w:rPr>
      </w:pPr>
      <w:r>
        <w:rPr>
          <w:rFonts w:hint="eastAsia" w:ascii="宋体" w:hAnsi="宋体" w:cs="宋体"/>
          <w:color w:val="auto"/>
          <w:highlight w:val="none"/>
        </w:rPr>
        <w:t xml:space="preserve">         </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6" w:type="dxa"/>
          <w:bottom w:w="0" w:type="dxa"/>
          <w:right w:w="56" w:type="dxa"/>
        </w:tblCellMar>
      </w:tblPr>
      <w:tblGrid>
        <w:gridCol w:w="1074"/>
        <w:gridCol w:w="1811"/>
        <w:gridCol w:w="1991"/>
        <w:gridCol w:w="1414"/>
        <w:gridCol w:w="1704"/>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58" w:hRule="atLeast"/>
          <w:tblHeader/>
          <w:jc w:val="center"/>
        </w:trPr>
        <w:tc>
          <w:tcPr>
            <w:tcW w:w="585" w:type="pct"/>
            <w:vAlign w:val="center"/>
          </w:tcPr>
          <w:p>
            <w:pPr>
              <w:widowControl/>
              <w:snapToGrid w:val="0"/>
              <w:jc w:val="center"/>
              <w:rPr>
                <w:rFonts w:ascii="宋体" w:hAnsi="宋体" w:cs="宋体"/>
                <w:b/>
                <w:color w:val="auto"/>
                <w:sz w:val="21"/>
                <w:szCs w:val="21"/>
                <w:highlight w:val="none"/>
                <w:lang w:eastAsia="en-US"/>
              </w:rPr>
            </w:pPr>
            <w:r>
              <w:rPr>
                <w:rFonts w:hint="eastAsia" w:ascii="宋体" w:hAnsi="宋体" w:cs="宋体"/>
                <w:b/>
                <w:color w:val="auto"/>
                <w:sz w:val="21"/>
                <w:szCs w:val="21"/>
                <w:highlight w:val="none"/>
                <w:lang w:eastAsia="en-US"/>
              </w:rPr>
              <w:t>序号</w:t>
            </w:r>
          </w:p>
        </w:tc>
        <w:tc>
          <w:tcPr>
            <w:tcW w:w="986" w:type="pct"/>
            <w:vAlign w:val="center"/>
          </w:tcPr>
          <w:p>
            <w:pPr>
              <w:widowControl/>
              <w:snapToGrid w:val="0"/>
              <w:jc w:val="center"/>
              <w:rPr>
                <w:rFonts w:ascii="宋体" w:hAnsi="宋体" w:cs="宋体"/>
                <w:b/>
                <w:color w:val="auto"/>
                <w:sz w:val="21"/>
                <w:szCs w:val="21"/>
                <w:highlight w:val="none"/>
                <w:lang w:eastAsia="en-US"/>
              </w:rPr>
            </w:pPr>
            <w:r>
              <w:rPr>
                <w:rFonts w:hint="eastAsia" w:ascii="宋体" w:hAnsi="宋体" w:cs="宋体"/>
                <w:b/>
                <w:color w:val="auto"/>
                <w:sz w:val="21"/>
                <w:szCs w:val="21"/>
                <w:highlight w:val="none"/>
              </w:rPr>
              <w:t>备件</w:t>
            </w:r>
            <w:r>
              <w:rPr>
                <w:rFonts w:hint="eastAsia" w:ascii="宋体" w:hAnsi="宋体" w:cs="宋体"/>
                <w:b/>
                <w:color w:val="auto"/>
                <w:sz w:val="21"/>
                <w:szCs w:val="21"/>
                <w:highlight w:val="none"/>
                <w:lang w:eastAsia="en-US"/>
              </w:rPr>
              <w:t>名称</w:t>
            </w:r>
          </w:p>
        </w:tc>
        <w:tc>
          <w:tcPr>
            <w:tcW w:w="1084" w:type="pct"/>
            <w:vAlign w:val="center"/>
          </w:tcPr>
          <w:p>
            <w:pPr>
              <w:widowControl/>
              <w:snapToGrid w:val="0"/>
              <w:jc w:val="center"/>
              <w:rPr>
                <w:rFonts w:ascii="宋体" w:hAnsi="宋体" w:cs="宋体"/>
                <w:b/>
                <w:color w:val="auto"/>
                <w:sz w:val="21"/>
                <w:szCs w:val="21"/>
                <w:highlight w:val="none"/>
                <w:lang w:eastAsia="en-US"/>
              </w:rPr>
            </w:pPr>
            <w:r>
              <w:rPr>
                <w:rFonts w:hint="eastAsia" w:ascii="宋体" w:hAnsi="宋体" w:cs="宋体"/>
                <w:b/>
                <w:color w:val="auto"/>
                <w:sz w:val="21"/>
                <w:szCs w:val="21"/>
                <w:highlight w:val="none"/>
                <w:lang w:eastAsia="en-US"/>
              </w:rPr>
              <w:t>规格型号</w:t>
            </w:r>
          </w:p>
        </w:tc>
        <w:tc>
          <w:tcPr>
            <w:tcW w:w="770" w:type="pct"/>
            <w:vAlign w:val="center"/>
          </w:tcPr>
          <w:p>
            <w:pPr>
              <w:widowControl/>
              <w:snapToGrid w:val="0"/>
              <w:jc w:val="center"/>
              <w:rPr>
                <w:rFonts w:ascii="宋体" w:hAnsi="宋体" w:cs="宋体"/>
                <w:color w:val="auto"/>
                <w:sz w:val="21"/>
                <w:szCs w:val="21"/>
                <w:highlight w:val="none"/>
                <w:lang w:eastAsia="en-US"/>
              </w:rPr>
            </w:pPr>
            <w:r>
              <w:rPr>
                <w:rFonts w:hint="eastAsia"/>
                <w:color w:val="auto"/>
                <w:sz w:val="21"/>
                <w:szCs w:val="21"/>
                <w:highlight w:val="none"/>
              </w:rPr>
              <w:t>数量</w:t>
            </w:r>
          </w:p>
        </w:tc>
        <w:tc>
          <w:tcPr>
            <w:tcW w:w="928" w:type="pct"/>
            <w:vAlign w:val="center"/>
          </w:tcPr>
          <w:p>
            <w:pPr>
              <w:widowControl/>
              <w:snapToGrid w:val="0"/>
              <w:jc w:val="center"/>
              <w:rPr>
                <w:color w:val="auto"/>
                <w:sz w:val="21"/>
                <w:szCs w:val="21"/>
                <w:highlight w:val="none"/>
              </w:rPr>
            </w:pPr>
            <w:r>
              <w:rPr>
                <w:rFonts w:hint="eastAsia"/>
                <w:color w:val="auto"/>
                <w:sz w:val="21"/>
                <w:szCs w:val="21"/>
                <w:highlight w:val="none"/>
              </w:rPr>
              <w:t>综合单价</w:t>
            </w:r>
          </w:p>
          <w:p>
            <w:pPr>
              <w:pStyle w:val="49"/>
              <w:ind w:left="199" w:leftChars="83" w:firstLine="0" w:firstLineChars="0"/>
              <w:jc w:val="center"/>
              <w:rPr>
                <w:color w:val="auto"/>
                <w:szCs w:val="21"/>
                <w:highlight w:val="none"/>
              </w:rPr>
            </w:pPr>
            <w:r>
              <w:rPr>
                <w:rFonts w:hint="eastAsia" w:ascii="宋体" w:hAnsi="宋体" w:cs="宋体"/>
                <w:color w:val="auto"/>
                <w:szCs w:val="21"/>
                <w:highlight w:val="none"/>
              </w:rPr>
              <w:t>（人民币元）</w:t>
            </w:r>
          </w:p>
        </w:tc>
        <w:tc>
          <w:tcPr>
            <w:tcW w:w="647" w:type="pct"/>
            <w:vAlign w:val="center"/>
          </w:tcPr>
          <w:p>
            <w:pPr>
              <w:widowControl/>
              <w:snapToGrid w:val="0"/>
              <w:jc w:val="center"/>
              <w:rPr>
                <w:rFonts w:ascii="宋体" w:hAnsi="宋体" w:cs="宋体"/>
                <w:b/>
                <w:color w:val="auto"/>
                <w:sz w:val="21"/>
                <w:szCs w:val="21"/>
                <w:highlight w:val="none"/>
              </w:rPr>
            </w:pPr>
            <w:r>
              <w:rPr>
                <w:rFonts w:hint="eastAsia" w:ascii="宋体" w:hAnsi="宋体" w:cs="宋体"/>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585" w:type="pct"/>
            <w:vAlign w:val="center"/>
          </w:tcPr>
          <w:p>
            <w:pPr>
              <w:widowControl/>
              <w:snapToGrid w:val="0"/>
              <w:jc w:val="center"/>
              <w:rPr>
                <w:rFonts w:ascii="宋体" w:hAnsi="宋体" w:cs="宋体"/>
                <w:color w:val="auto"/>
                <w:sz w:val="21"/>
                <w:szCs w:val="21"/>
                <w:highlight w:val="none"/>
                <w:lang w:eastAsia="en-US"/>
              </w:rPr>
            </w:pPr>
          </w:p>
        </w:tc>
        <w:tc>
          <w:tcPr>
            <w:tcW w:w="986" w:type="pct"/>
            <w:vAlign w:val="center"/>
          </w:tcPr>
          <w:p>
            <w:pPr>
              <w:widowControl/>
              <w:snapToGrid w:val="0"/>
              <w:rPr>
                <w:rFonts w:ascii="宋体" w:hAnsi="宋体" w:cs="宋体"/>
                <w:color w:val="auto"/>
                <w:sz w:val="21"/>
                <w:szCs w:val="21"/>
                <w:highlight w:val="none"/>
                <w:lang w:eastAsia="en-US"/>
              </w:rPr>
            </w:pPr>
          </w:p>
        </w:tc>
        <w:tc>
          <w:tcPr>
            <w:tcW w:w="1084" w:type="pct"/>
            <w:vAlign w:val="center"/>
          </w:tcPr>
          <w:p>
            <w:pPr>
              <w:widowControl/>
              <w:snapToGrid w:val="0"/>
              <w:ind w:firstLine="420"/>
              <w:rPr>
                <w:rFonts w:ascii="宋体" w:hAnsi="宋体" w:cs="宋体"/>
                <w:color w:val="auto"/>
                <w:sz w:val="21"/>
                <w:szCs w:val="21"/>
                <w:highlight w:val="none"/>
                <w:lang w:eastAsia="en-US"/>
              </w:rPr>
            </w:pPr>
          </w:p>
        </w:tc>
        <w:tc>
          <w:tcPr>
            <w:tcW w:w="770" w:type="pct"/>
            <w:vAlign w:val="center"/>
          </w:tcPr>
          <w:p>
            <w:pPr>
              <w:widowControl/>
              <w:snapToGrid w:val="0"/>
              <w:ind w:firstLine="420"/>
              <w:rPr>
                <w:rFonts w:ascii="宋体" w:hAnsi="宋体" w:cs="宋体"/>
                <w:color w:val="auto"/>
                <w:sz w:val="21"/>
                <w:szCs w:val="21"/>
                <w:highlight w:val="none"/>
                <w:lang w:eastAsia="en-US"/>
              </w:rPr>
            </w:pPr>
          </w:p>
        </w:tc>
        <w:tc>
          <w:tcPr>
            <w:tcW w:w="928" w:type="pct"/>
            <w:vAlign w:val="center"/>
          </w:tcPr>
          <w:p>
            <w:pPr>
              <w:widowControl/>
              <w:snapToGrid w:val="0"/>
              <w:ind w:firstLine="420"/>
              <w:rPr>
                <w:rFonts w:ascii="宋体" w:hAnsi="宋体" w:cs="宋体"/>
                <w:color w:val="auto"/>
                <w:sz w:val="21"/>
                <w:szCs w:val="21"/>
                <w:highlight w:val="none"/>
                <w:lang w:eastAsia="en-US"/>
              </w:rPr>
            </w:pPr>
          </w:p>
        </w:tc>
        <w:tc>
          <w:tcPr>
            <w:tcW w:w="647" w:type="pct"/>
          </w:tcPr>
          <w:p>
            <w:pPr>
              <w:widowControl/>
              <w:snapToGrid w:val="0"/>
              <w:ind w:firstLine="420"/>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585" w:type="pct"/>
            <w:vAlign w:val="center"/>
          </w:tcPr>
          <w:p>
            <w:pPr>
              <w:widowControl/>
              <w:snapToGrid w:val="0"/>
              <w:jc w:val="center"/>
              <w:rPr>
                <w:rFonts w:ascii="宋体" w:hAnsi="宋体" w:cs="宋体"/>
                <w:color w:val="auto"/>
                <w:sz w:val="21"/>
                <w:szCs w:val="21"/>
                <w:highlight w:val="none"/>
                <w:lang w:eastAsia="en-US"/>
              </w:rPr>
            </w:pPr>
          </w:p>
        </w:tc>
        <w:tc>
          <w:tcPr>
            <w:tcW w:w="986" w:type="pct"/>
            <w:vAlign w:val="center"/>
          </w:tcPr>
          <w:p>
            <w:pPr>
              <w:widowControl/>
              <w:snapToGrid w:val="0"/>
              <w:jc w:val="center"/>
              <w:rPr>
                <w:rFonts w:ascii="宋体" w:hAnsi="宋体" w:cs="宋体"/>
                <w:color w:val="auto"/>
                <w:sz w:val="21"/>
                <w:szCs w:val="21"/>
                <w:highlight w:val="none"/>
                <w:lang w:eastAsia="en-US"/>
              </w:rPr>
            </w:pPr>
          </w:p>
        </w:tc>
        <w:tc>
          <w:tcPr>
            <w:tcW w:w="1084" w:type="pct"/>
            <w:vAlign w:val="center"/>
          </w:tcPr>
          <w:p>
            <w:pPr>
              <w:widowControl/>
              <w:snapToGrid w:val="0"/>
              <w:ind w:firstLine="420"/>
              <w:rPr>
                <w:rFonts w:ascii="宋体" w:hAnsi="宋体" w:cs="宋体"/>
                <w:color w:val="auto"/>
                <w:sz w:val="21"/>
                <w:szCs w:val="21"/>
                <w:highlight w:val="none"/>
                <w:lang w:eastAsia="en-US"/>
              </w:rPr>
            </w:pPr>
          </w:p>
        </w:tc>
        <w:tc>
          <w:tcPr>
            <w:tcW w:w="770" w:type="pct"/>
            <w:vAlign w:val="center"/>
          </w:tcPr>
          <w:p>
            <w:pPr>
              <w:widowControl/>
              <w:snapToGrid w:val="0"/>
              <w:ind w:firstLine="420"/>
              <w:rPr>
                <w:rFonts w:ascii="宋体" w:hAnsi="宋体" w:cs="宋体"/>
                <w:color w:val="auto"/>
                <w:sz w:val="21"/>
                <w:szCs w:val="21"/>
                <w:highlight w:val="none"/>
                <w:lang w:eastAsia="en-US"/>
              </w:rPr>
            </w:pPr>
          </w:p>
        </w:tc>
        <w:tc>
          <w:tcPr>
            <w:tcW w:w="928" w:type="pct"/>
            <w:vAlign w:val="center"/>
          </w:tcPr>
          <w:p>
            <w:pPr>
              <w:widowControl/>
              <w:snapToGrid w:val="0"/>
              <w:ind w:firstLine="420"/>
              <w:rPr>
                <w:rFonts w:ascii="宋体" w:hAnsi="宋体" w:cs="宋体"/>
                <w:color w:val="auto"/>
                <w:sz w:val="21"/>
                <w:szCs w:val="21"/>
                <w:highlight w:val="none"/>
                <w:lang w:eastAsia="en-US"/>
              </w:rPr>
            </w:pPr>
          </w:p>
        </w:tc>
        <w:tc>
          <w:tcPr>
            <w:tcW w:w="647" w:type="pct"/>
          </w:tcPr>
          <w:p>
            <w:pPr>
              <w:widowControl/>
              <w:snapToGrid w:val="0"/>
              <w:ind w:firstLine="420"/>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585" w:type="pct"/>
            <w:vAlign w:val="center"/>
          </w:tcPr>
          <w:p>
            <w:pPr>
              <w:widowControl/>
              <w:snapToGrid w:val="0"/>
              <w:jc w:val="center"/>
              <w:rPr>
                <w:rFonts w:ascii="宋体" w:hAnsi="宋体" w:cs="宋体"/>
                <w:color w:val="auto"/>
                <w:sz w:val="21"/>
                <w:szCs w:val="21"/>
                <w:highlight w:val="none"/>
                <w:lang w:eastAsia="en-US"/>
              </w:rPr>
            </w:pPr>
          </w:p>
        </w:tc>
        <w:tc>
          <w:tcPr>
            <w:tcW w:w="986" w:type="pct"/>
            <w:vAlign w:val="center"/>
          </w:tcPr>
          <w:p>
            <w:pPr>
              <w:widowControl/>
              <w:snapToGrid w:val="0"/>
              <w:rPr>
                <w:rFonts w:ascii="宋体" w:hAnsi="宋体" w:cs="宋体"/>
                <w:color w:val="auto"/>
                <w:sz w:val="21"/>
                <w:szCs w:val="21"/>
                <w:highlight w:val="none"/>
                <w:lang w:eastAsia="en-US"/>
              </w:rPr>
            </w:pPr>
          </w:p>
        </w:tc>
        <w:tc>
          <w:tcPr>
            <w:tcW w:w="1084" w:type="pct"/>
            <w:vAlign w:val="center"/>
          </w:tcPr>
          <w:p>
            <w:pPr>
              <w:widowControl/>
              <w:snapToGrid w:val="0"/>
              <w:ind w:firstLine="420"/>
              <w:rPr>
                <w:rFonts w:ascii="宋体" w:hAnsi="宋体" w:cs="宋体"/>
                <w:color w:val="auto"/>
                <w:sz w:val="21"/>
                <w:szCs w:val="21"/>
                <w:highlight w:val="none"/>
                <w:lang w:eastAsia="en-US"/>
              </w:rPr>
            </w:pPr>
          </w:p>
        </w:tc>
        <w:tc>
          <w:tcPr>
            <w:tcW w:w="770" w:type="pct"/>
            <w:vAlign w:val="center"/>
          </w:tcPr>
          <w:p>
            <w:pPr>
              <w:widowControl/>
              <w:snapToGrid w:val="0"/>
              <w:ind w:firstLine="420"/>
              <w:rPr>
                <w:rFonts w:ascii="宋体" w:hAnsi="宋体" w:cs="宋体"/>
                <w:color w:val="auto"/>
                <w:sz w:val="21"/>
                <w:szCs w:val="21"/>
                <w:highlight w:val="none"/>
                <w:lang w:eastAsia="en-US"/>
              </w:rPr>
            </w:pPr>
          </w:p>
        </w:tc>
        <w:tc>
          <w:tcPr>
            <w:tcW w:w="928" w:type="pct"/>
            <w:vAlign w:val="center"/>
          </w:tcPr>
          <w:p>
            <w:pPr>
              <w:widowControl/>
              <w:snapToGrid w:val="0"/>
              <w:ind w:firstLine="420"/>
              <w:rPr>
                <w:rFonts w:ascii="宋体" w:hAnsi="宋体" w:cs="宋体"/>
                <w:color w:val="auto"/>
                <w:sz w:val="21"/>
                <w:szCs w:val="21"/>
                <w:highlight w:val="none"/>
                <w:lang w:eastAsia="en-US"/>
              </w:rPr>
            </w:pPr>
          </w:p>
        </w:tc>
        <w:tc>
          <w:tcPr>
            <w:tcW w:w="647" w:type="pct"/>
          </w:tcPr>
          <w:p>
            <w:pPr>
              <w:widowControl/>
              <w:snapToGrid w:val="0"/>
              <w:ind w:firstLine="420"/>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585" w:type="pct"/>
            <w:vAlign w:val="center"/>
          </w:tcPr>
          <w:p>
            <w:pPr>
              <w:widowControl/>
              <w:snapToGrid w:val="0"/>
              <w:jc w:val="center"/>
              <w:rPr>
                <w:rFonts w:ascii="宋体" w:hAnsi="宋体" w:cs="宋体"/>
                <w:color w:val="auto"/>
                <w:sz w:val="21"/>
                <w:szCs w:val="21"/>
                <w:highlight w:val="none"/>
                <w:lang w:eastAsia="en-US"/>
              </w:rPr>
            </w:pPr>
          </w:p>
        </w:tc>
        <w:tc>
          <w:tcPr>
            <w:tcW w:w="986" w:type="pct"/>
            <w:vAlign w:val="center"/>
          </w:tcPr>
          <w:p>
            <w:pPr>
              <w:widowControl/>
              <w:snapToGrid w:val="0"/>
              <w:rPr>
                <w:rFonts w:ascii="宋体" w:hAnsi="宋体" w:cs="宋体"/>
                <w:color w:val="auto"/>
                <w:sz w:val="21"/>
                <w:szCs w:val="21"/>
                <w:highlight w:val="none"/>
                <w:lang w:eastAsia="en-US"/>
              </w:rPr>
            </w:pPr>
          </w:p>
        </w:tc>
        <w:tc>
          <w:tcPr>
            <w:tcW w:w="1084" w:type="pct"/>
            <w:vAlign w:val="center"/>
          </w:tcPr>
          <w:p>
            <w:pPr>
              <w:widowControl/>
              <w:snapToGrid w:val="0"/>
              <w:ind w:firstLine="420"/>
              <w:rPr>
                <w:rFonts w:ascii="宋体" w:hAnsi="宋体" w:cs="宋体"/>
                <w:color w:val="auto"/>
                <w:sz w:val="21"/>
                <w:szCs w:val="21"/>
                <w:highlight w:val="none"/>
                <w:lang w:eastAsia="en-US"/>
              </w:rPr>
            </w:pPr>
          </w:p>
        </w:tc>
        <w:tc>
          <w:tcPr>
            <w:tcW w:w="770" w:type="pct"/>
            <w:vAlign w:val="center"/>
          </w:tcPr>
          <w:p>
            <w:pPr>
              <w:widowControl/>
              <w:snapToGrid w:val="0"/>
              <w:ind w:firstLine="420"/>
              <w:rPr>
                <w:rFonts w:ascii="宋体" w:hAnsi="宋体" w:cs="宋体"/>
                <w:color w:val="auto"/>
                <w:sz w:val="21"/>
                <w:szCs w:val="21"/>
                <w:highlight w:val="none"/>
                <w:lang w:eastAsia="en-US"/>
              </w:rPr>
            </w:pPr>
          </w:p>
        </w:tc>
        <w:tc>
          <w:tcPr>
            <w:tcW w:w="928" w:type="pct"/>
            <w:vAlign w:val="center"/>
          </w:tcPr>
          <w:p>
            <w:pPr>
              <w:widowControl/>
              <w:snapToGrid w:val="0"/>
              <w:ind w:firstLine="420"/>
              <w:rPr>
                <w:rFonts w:ascii="宋体" w:hAnsi="宋体" w:cs="宋体"/>
                <w:color w:val="auto"/>
                <w:sz w:val="21"/>
                <w:szCs w:val="21"/>
                <w:highlight w:val="none"/>
                <w:lang w:eastAsia="en-US"/>
              </w:rPr>
            </w:pPr>
          </w:p>
        </w:tc>
        <w:tc>
          <w:tcPr>
            <w:tcW w:w="647" w:type="pct"/>
          </w:tcPr>
          <w:p>
            <w:pPr>
              <w:widowControl/>
              <w:snapToGrid w:val="0"/>
              <w:ind w:firstLine="420"/>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585" w:type="pct"/>
            <w:vAlign w:val="center"/>
          </w:tcPr>
          <w:p>
            <w:pPr>
              <w:widowControl/>
              <w:snapToGrid w:val="0"/>
              <w:jc w:val="center"/>
              <w:rPr>
                <w:rFonts w:ascii="宋体" w:hAnsi="宋体" w:cs="宋体"/>
                <w:color w:val="auto"/>
                <w:sz w:val="21"/>
                <w:szCs w:val="21"/>
                <w:highlight w:val="none"/>
                <w:lang w:eastAsia="en-US"/>
              </w:rPr>
            </w:pPr>
          </w:p>
        </w:tc>
        <w:tc>
          <w:tcPr>
            <w:tcW w:w="986" w:type="pct"/>
            <w:vAlign w:val="center"/>
          </w:tcPr>
          <w:p>
            <w:pPr>
              <w:widowControl/>
              <w:snapToGrid w:val="0"/>
              <w:rPr>
                <w:rFonts w:ascii="宋体" w:hAnsi="宋体" w:cs="宋体"/>
                <w:color w:val="auto"/>
                <w:sz w:val="21"/>
                <w:szCs w:val="21"/>
                <w:highlight w:val="none"/>
                <w:lang w:eastAsia="en-US"/>
              </w:rPr>
            </w:pPr>
          </w:p>
        </w:tc>
        <w:tc>
          <w:tcPr>
            <w:tcW w:w="1084" w:type="pct"/>
            <w:vAlign w:val="center"/>
          </w:tcPr>
          <w:p>
            <w:pPr>
              <w:widowControl/>
              <w:snapToGrid w:val="0"/>
              <w:ind w:firstLine="420"/>
              <w:rPr>
                <w:rFonts w:ascii="宋体" w:hAnsi="宋体" w:cs="宋体"/>
                <w:color w:val="auto"/>
                <w:sz w:val="21"/>
                <w:szCs w:val="21"/>
                <w:highlight w:val="none"/>
                <w:lang w:eastAsia="en-US"/>
              </w:rPr>
            </w:pPr>
          </w:p>
        </w:tc>
        <w:tc>
          <w:tcPr>
            <w:tcW w:w="770" w:type="pct"/>
            <w:vAlign w:val="center"/>
          </w:tcPr>
          <w:p>
            <w:pPr>
              <w:widowControl/>
              <w:snapToGrid w:val="0"/>
              <w:ind w:firstLine="420"/>
              <w:rPr>
                <w:rFonts w:ascii="宋体" w:hAnsi="宋体" w:cs="宋体"/>
                <w:color w:val="auto"/>
                <w:sz w:val="21"/>
                <w:szCs w:val="21"/>
                <w:highlight w:val="none"/>
                <w:lang w:eastAsia="en-US"/>
              </w:rPr>
            </w:pPr>
          </w:p>
        </w:tc>
        <w:tc>
          <w:tcPr>
            <w:tcW w:w="928" w:type="pct"/>
            <w:vAlign w:val="center"/>
          </w:tcPr>
          <w:p>
            <w:pPr>
              <w:widowControl/>
              <w:snapToGrid w:val="0"/>
              <w:ind w:firstLine="420"/>
              <w:rPr>
                <w:rFonts w:ascii="宋体" w:hAnsi="宋体" w:cs="宋体"/>
                <w:color w:val="auto"/>
                <w:sz w:val="21"/>
                <w:szCs w:val="21"/>
                <w:highlight w:val="none"/>
                <w:lang w:eastAsia="en-US"/>
              </w:rPr>
            </w:pPr>
          </w:p>
        </w:tc>
        <w:tc>
          <w:tcPr>
            <w:tcW w:w="647" w:type="pct"/>
          </w:tcPr>
          <w:p>
            <w:pPr>
              <w:widowControl/>
              <w:snapToGrid w:val="0"/>
              <w:ind w:firstLine="420"/>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585" w:type="pct"/>
            <w:vAlign w:val="center"/>
          </w:tcPr>
          <w:p>
            <w:pPr>
              <w:widowControl/>
              <w:snapToGrid w:val="0"/>
              <w:jc w:val="center"/>
              <w:rPr>
                <w:rFonts w:ascii="宋体" w:hAnsi="宋体" w:cs="宋体"/>
                <w:color w:val="auto"/>
                <w:sz w:val="21"/>
                <w:szCs w:val="21"/>
                <w:highlight w:val="none"/>
                <w:lang w:eastAsia="en-US"/>
              </w:rPr>
            </w:pPr>
          </w:p>
        </w:tc>
        <w:tc>
          <w:tcPr>
            <w:tcW w:w="986" w:type="pct"/>
            <w:vAlign w:val="center"/>
          </w:tcPr>
          <w:p>
            <w:pPr>
              <w:widowControl/>
              <w:snapToGrid w:val="0"/>
              <w:rPr>
                <w:rFonts w:ascii="宋体" w:hAnsi="宋体" w:cs="宋体"/>
                <w:color w:val="auto"/>
                <w:sz w:val="21"/>
                <w:szCs w:val="21"/>
                <w:highlight w:val="none"/>
                <w:lang w:eastAsia="en-US"/>
              </w:rPr>
            </w:pPr>
          </w:p>
        </w:tc>
        <w:tc>
          <w:tcPr>
            <w:tcW w:w="1084" w:type="pct"/>
            <w:vAlign w:val="center"/>
          </w:tcPr>
          <w:p>
            <w:pPr>
              <w:widowControl/>
              <w:snapToGrid w:val="0"/>
              <w:ind w:firstLine="420"/>
              <w:rPr>
                <w:rFonts w:ascii="宋体" w:hAnsi="宋体" w:cs="宋体"/>
                <w:color w:val="auto"/>
                <w:sz w:val="21"/>
                <w:szCs w:val="21"/>
                <w:highlight w:val="none"/>
                <w:lang w:eastAsia="en-US"/>
              </w:rPr>
            </w:pPr>
          </w:p>
        </w:tc>
        <w:tc>
          <w:tcPr>
            <w:tcW w:w="770" w:type="pct"/>
            <w:vAlign w:val="center"/>
          </w:tcPr>
          <w:p>
            <w:pPr>
              <w:widowControl/>
              <w:snapToGrid w:val="0"/>
              <w:ind w:firstLine="420"/>
              <w:rPr>
                <w:rFonts w:ascii="宋体" w:hAnsi="宋体" w:cs="宋体"/>
                <w:color w:val="auto"/>
                <w:sz w:val="21"/>
                <w:szCs w:val="21"/>
                <w:highlight w:val="none"/>
                <w:lang w:eastAsia="en-US"/>
              </w:rPr>
            </w:pPr>
          </w:p>
        </w:tc>
        <w:tc>
          <w:tcPr>
            <w:tcW w:w="928" w:type="pct"/>
            <w:vAlign w:val="center"/>
          </w:tcPr>
          <w:p>
            <w:pPr>
              <w:widowControl/>
              <w:snapToGrid w:val="0"/>
              <w:ind w:firstLine="420"/>
              <w:rPr>
                <w:rFonts w:ascii="宋体" w:hAnsi="宋体" w:cs="宋体"/>
                <w:color w:val="auto"/>
                <w:sz w:val="21"/>
                <w:szCs w:val="21"/>
                <w:highlight w:val="none"/>
                <w:lang w:eastAsia="en-US"/>
              </w:rPr>
            </w:pPr>
          </w:p>
        </w:tc>
        <w:tc>
          <w:tcPr>
            <w:tcW w:w="647" w:type="pct"/>
          </w:tcPr>
          <w:p>
            <w:pPr>
              <w:widowControl/>
              <w:snapToGrid w:val="0"/>
              <w:ind w:firstLine="420"/>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585" w:type="pct"/>
            <w:vAlign w:val="center"/>
          </w:tcPr>
          <w:p>
            <w:pPr>
              <w:widowControl/>
              <w:snapToGrid w:val="0"/>
              <w:jc w:val="center"/>
              <w:rPr>
                <w:rFonts w:ascii="宋体" w:hAnsi="宋体" w:cs="宋体"/>
                <w:color w:val="auto"/>
                <w:sz w:val="21"/>
                <w:szCs w:val="21"/>
                <w:highlight w:val="none"/>
                <w:lang w:eastAsia="en-US"/>
              </w:rPr>
            </w:pPr>
          </w:p>
        </w:tc>
        <w:tc>
          <w:tcPr>
            <w:tcW w:w="986" w:type="pct"/>
            <w:vAlign w:val="center"/>
          </w:tcPr>
          <w:p>
            <w:pPr>
              <w:widowControl/>
              <w:snapToGrid w:val="0"/>
              <w:rPr>
                <w:rFonts w:ascii="宋体" w:hAnsi="宋体" w:cs="宋体"/>
                <w:color w:val="auto"/>
                <w:sz w:val="21"/>
                <w:szCs w:val="21"/>
                <w:highlight w:val="none"/>
                <w:lang w:eastAsia="en-US"/>
              </w:rPr>
            </w:pPr>
          </w:p>
        </w:tc>
        <w:tc>
          <w:tcPr>
            <w:tcW w:w="1084" w:type="pct"/>
            <w:vAlign w:val="center"/>
          </w:tcPr>
          <w:p>
            <w:pPr>
              <w:widowControl/>
              <w:snapToGrid w:val="0"/>
              <w:ind w:firstLine="420"/>
              <w:rPr>
                <w:rFonts w:ascii="宋体" w:hAnsi="宋体" w:cs="宋体"/>
                <w:color w:val="auto"/>
                <w:sz w:val="21"/>
                <w:szCs w:val="21"/>
                <w:highlight w:val="none"/>
                <w:lang w:eastAsia="en-US"/>
              </w:rPr>
            </w:pPr>
          </w:p>
        </w:tc>
        <w:tc>
          <w:tcPr>
            <w:tcW w:w="770" w:type="pct"/>
            <w:vAlign w:val="center"/>
          </w:tcPr>
          <w:p>
            <w:pPr>
              <w:widowControl/>
              <w:snapToGrid w:val="0"/>
              <w:ind w:firstLine="420"/>
              <w:rPr>
                <w:rFonts w:ascii="宋体" w:hAnsi="宋体" w:cs="宋体"/>
                <w:color w:val="auto"/>
                <w:sz w:val="21"/>
                <w:szCs w:val="21"/>
                <w:highlight w:val="none"/>
                <w:lang w:eastAsia="en-US"/>
              </w:rPr>
            </w:pPr>
          </w:p>
        </w:tc>
        <w:tc>
          <w:tcPr>
            <w:tcW w:w="928" w:type="pct"/>
            <w:vAlign w:val="center"/>
          </w:tcPr>
          <w:p>
            <w:pPr>
              <w:widowControl/>
              <w:snapToGrid w:val="0"/>
              <w:ind w:firstLine="420"/>
              <w:rPr>
                <w:rFonts w:ascii="宋体" w:hAnsi="宋体" w:cs="宋体"/>
                <w:color w:val="auto"/>
                <w:sz w:val="21"/>
                <w:szCs w:val="21"/>
                <w:highlight w:val="none"/>
                <w:lang w:eastAsia="en-US"/>
              </w:rPr>
            </w:pPr>
          </w:p>
        </w:tc>
        <w:tc>
          <w:tcPr>
            <w:tcW w:w="647" w:type="pct"/>
          </w:tcPr>
          <w:p>
            <w:pPr>
              <w:widowControl/>
              <w:snapToGrid w:val="0"/>
              <w:ind w:firstLine="420"/>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585" w:type="pct"/>
            <w:vAlign w:val="center"/>
          </w:tcPr>
          <w:p>
            <w:pPr>
              <w:widowControl/>
              <w:snapToGrid w:val="0"/>
              <w:jc w:val="center"/>
              <w:rPr>
                <w:rFonts w:ascii="宋体" w:hAnsi="宋体" w:cs="宋体"/>
                <w:color w:val="auto"/>
                <w:sz w:val="21"/>
                <w:szCs w:val="21"/>
                <w:highlight w:val="none"/>
                <w:lang w:eastAsia="en-US"/>
              </w:rPr>
            </w:pPr>
          </w:p>
        </w:tc>
        <w:tc>
          <w:tcPr>
            <w:tcW w:w="986" w:type="pct"/>
            <w:vAlign w:val="center"/>
          </w:tcPr>
          <w:p>
            <w:pPr>
              <w:widowControl/>
              <w:snapToGrid w:val="0"/>
              <w:rPr>
                <w:rFonts w:ascii="宋体" w:hAnsi="宋体" w:cs="宋体"/>
                <w:color w:val="auto"/>
                <w:sz w:val="21"/>
                <w:szCs w:val="21"/>
                <w:highlight w:val="none"/>
                <w:lang w:eastAsia="en-US"/>
              </w:rPr>
            </w:pPr>
          </w:p>
        </w:tc>
        <w:tc>
          <w:tcPr>
            <w:tcW w:w="1084" w:type="pct"/>
            <w:vAlign w:val="center"/>
          </w:tcPr>
          <w:p>
            <w:pPr>
              <w:widowControl/>
              <w:snapToGrid w:val="0"/>
              <w:ind w:firstLine="420"/>
              <w:rPr>
                <w:rFonts w:ascii="宋体" w:hAnsi="宋体" w:cs="宋体"/>
                <w:color w:val="auto"/>
                <w:sz w:val="21"/>
                <w:szCs w:val="21"/>
                <w:highlight w:val="none"/>
                <w:lang w:eastAsia="en-US"/>
              </w:rPr>
            </w:pPr>
          </w:p>
        </w:tc>
        <w:tc>
          <w:tcPr>
            <w:tcW w:w="770" w:type="pct"/>
            <w:vAlign w:val="center"/>
          </w:tcPr>
          <w:p>
            <w:pPr>
              <w:widowControl/>
              <w:snapToGrid w:val="0"/>
              <w:ind w:firstLine="420"/>
              <w:rPr>
                <w:rFonts w:ascii="宋体" w:hAnsi="宋体" w:cs="宋体"/>
                <w:color w:val="auto"/>
                <w:sz w:val="21"/>
                <w:szCs w:val="21"/>
                <w:highlight w:val="none"/>
                <w:lang w:eastAsia="en-US"/>
              </w:rPr>
            </w:pPr>
          </w:p>
        </w:tc>
        <w:tc>
          <w:tcPr>
            <w:tcW w:w="928" w:type="pct"/>
            <w:vAlign w:val="center"/>
          </w:tcPr>
          <w:p>
            <w:pPr>
              <w:widowControl/>
              <w:snapToGrid w:val="0"/>
              <w:ind w:firstLine="420"/>
              <w:rPr>
                <w:rFonts w:ascii="宋体" w:hAnsi="宋体" w:cs="宋体"/>
                <w:color w:val="auto"/>
                <w:sz w:val="21"/>
                <w:szCs w:val="21"/>
                <w:highlight w:val="none"/>
                <w:lang w:eastAsia="en-US"/>
              </w:rPr>
            </w:pPr>
          </w:p>
        </w:tc>
        <w:tc>
          <w:tcPr>
            <w:tcW w:w="647" w:type="pct"/>
          </w:tcPr>
          <w:p>
            <w:pPr>
              <w:widowControl/>
              <w:snapToGrid w:val="0"/>
              <w:ind w:firstLine="420"/>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585" w:type="pct"/>
            <w:vAlign w:val="center"/>
          </w:tcPr>
          <w:p>
            <w:pPr>
              <w:widowControl/>
              <w:snapToGrid w:val="0"/>
              <w:jc w:val="center"/>
              <w:rPr>
                <w:rFonts w:ascii="宋体" w:hAnsi="宋体" w:cs="宋体"/>
                <w:color w:val="auto"/>
                <w:sz w:val="21"/>
                <w:szCs w:val="21"/>
                <w:highlight w:val="none"/>
                <w:lang w:eastAsia="en-US"/>
              </w:rPr>
            </w:pPr>
          </w:p>
        </w:tc>
        <w:tc>
          <w:tcPr>
            <w:tcW w:w="986" w:type="pct"/>
            <w:vAlign w:val="center"/>
          </w:tcPr>
          <w:p>
            <w:pPr>
              <w:widowControl/>
              <w:snapToGrid w:val="0"/>
              <w:rPr>
                <w:rFonts w:ascii="宋体" w:hAnsi="宋体" w:cs="宋体"/>
                <w:color w:val="auto"/>
                <w:sz w:val="21"/>
                <w:szCs w:val="21"/>
                <w:highlight w:val="none"/>
                <w:lang w:eastAsia="en-US"/>
              </w:rPr>
            </w:pPr>
          </w:p>
        </w:tc>
        <w:tc>
          <w:tcPr>
            <w:tcW w:w="1084" w:type="pct"/>
            <w:vAlign w:val="center"/>
          </w:tcPr>
          <w:p>
            <w:pPr>
              <w:widowControl/>
              <w:snapToGrid w:val="0"/>
              <w:ind w:firstLine="420"/>
              <w:rPr>
                <w:rFonts w:ascii="宋体" w:hAnsi="宋体" w:cs="宋体"/>
                <w:color w:val="auto"/>
                <w:sz w:val="21"/>
                <w:szCs w:val="21"/>
                <w:highlight w:val="none"/>
                <w:lang w:eastAsia="en-US"/>
              </w:rPr>
            </w:pPr>
          </w:p>
        </w:tc>
        <w:tc>
          <w:tcPr>
            <w:tcW w:w="770" w:type="pct"/>
            <w:vAlign w:val="center"/>
          </w:tcPr>
          <w:p>
            <w:pPr>
              <w:widowControl/>
              <w:snapToGrid w:val="0"/>
              <w:ind w:firstLine="420"/>
              <w:rPr>
                <w:rFonts w:ascii="宋体" w:hAnsi="宋体" w:cs="宋体"/>
                <w:color w:val="auto"/>
                <w:sz w:val="21"/>
                <w:szCs w:val="21"/>
                <w:highlight w:val="none"/>
                <w:lang w:eastAsia="en-US"/>
              </w:rPr>
            </w:pPr>
          </w:p>
        </w:tc>
        <w:tc>
          <w:tcPr>
            <w:tcW w:w="928" w:type="pct"/>
            <w:vAlign w:val="center"/>
          </w:tcPr>
          <w:p>
            <w:pPr>
              <w:widowControl/>
              <w:snapToGrid w:val="0"/>
              <w:ind w:firstLine="420"/>
              <w:rPr>
                <w:rFonts w:ascii="宋体" w:hAnsi="宋体" w:cs="宋体"/>
                <w:color w:val="auto"/>
                <w:sz w:val="21"/>
                <w:szCs w:val="21"/>
                <w:highlight w:val="none"/>
                <w:lang w:eastAsia="en-US"/>
              </w:rPr>
            </w:pPr>
          </w:p>
        </w:tc>
        <w:tc>
          <w:tcPr>
            <w:tcW w:w="647" w:type="pct"/>
          </w:tcPr>
          <w:p>
            <w:pPr>
              <w:widowControl/>
              <w:snapToGrid w:val="0"/>
              <w:ind w:firstLine="420"/>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585" w:type="pct"/>
            <w:vAlign w:val="center"/>
          </w:tcPr>
          <w:p>
            <w:pPr>
              <w:widowControl/>
              <w:snapToGrid w:val="0"/>
              <w:jc w:val="center"/>
              <w:rPr>
                <w:rFonts w:ascii="宋体" w:hAnsi="宋体" w:cs="宋体"/>
                <w:color w:val="auto"/>
                <w:sz w:val="21"/>
                <w:szCs w:val="21"/>
                <w:highlight w:val="none"/>
                <w:lang w:eastAsia="en-US"/>
              </w:rPr>
            </w:pPr>
          </w:p>
        </w:tc>
        <w:tc>
          <w:tcPr>
            <w:tcW w:w="986" w:type="pct"/>
            <w:vAlign w:val="center"/>
          </w:tcPr>
          <w:p>
            <w:pPr>
              <w:widowControl/>
              <w:snapToGrid w:val="0"/>
              <w:rPr>
                <w:rFonts w:ascii="宋体" w:hAnsi="宋体" w:cs="宋体"/>
                <w:color w:val="auto"/>
                <w:sz w:val="21"/>
                <w:szCs w:val="21"/>
                <w:highlight w:val="none"/>
                <w:lang w:eastAsia="en-US"/>
              </w:rPr>
            </w:pPr>
          </w:p>
        </w:tc>
        <w:tc>
          <w:tcPr>
            <w:tcW w:w="2782" w:type="pct"/>
            <w:gridSpan w:val="3"/>
            <w:vAlign w:val="center"/>
          </w:tcPr>
          <w:p>
            <w:pPr>
              <w:widowControl/>
              <w:snapToGrid w:val="0"/>
              <w:ind w:firstLine="420"/>
              <w:rPr>
                <w:rFonts w:ascii="宋体" w:hAnsi="宋体" w:cs="宋体"/>
                <w:color w:val="auto"/>
                <w:sz w:val="21"/>
                <w:szCs w:val="21"/>
                <w:highlight w:val="none"/>
                <w:lang w:eastAsia="en-US"/>
              </w:rPr>
            </w:pPr>
          </w:p>
        </w:tc>
        <w:tc>
          <w:tcPr>
            <w:tcW w:w="647" w:type="pct"/>
          </w:tcPr>
          <w:p>
            <w:pPr>
              <w:widowControl/>
              <w:snapToGrid w:val="0"/>
              <w:ind w:firstLine="420"/>
              <w:rPr>
                <w:rFonts w:ascii="宋体" w:hAnsi="宋体" w:cs="宋体"/>
                <w:color w:val="auto"/>
                <w:sz w:val="21"/>
                <w:szCs w:val="21"/>
                <w:highlight w:val="none"/>
                <w:lang w:eastAsia="en-US"/>
              </w:rPr>
            </w:pPr>
          </w:p>
        </w:tc>
      </w:tr>
    </w:tbl>
    <w:p>
      <w:pPr>
        <w:widowControl/>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注：1、投标人必须提交质保期满后5年内的备品备件清单。</w:t>
      </w:r>
    </w:p>
    <w:p>
      <w:pPr>
        <w:widowControl/>
        <w:snapToGrid w:val="0"/>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2、此费用不计入投标总价。质保期满后5年内，如买方需要，卖方将以不超过上表清单价格将备品备件供应给买方。</w:t>
      </w:r>
    </w:p>
    <w:p>
      <w:pPr>
        <w:pStyle w:val="49"/>
        <w:ind w:left="0" w:leftChars="0"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3、表中的综合单价为全费用综合单价，包括但不限于材料费、运输费、管理费、利润、税金等一切费用。</w:t>
      </w:r>
    </w:p>
    <w:p>
      <w:pPr>
        <w:widowControl/>
        <w:snapToGrid w:val="0"/>
        <w:spacing w:line="360" w:lineRule="auto"/>
        <w:rPr>
          <w:rFonts w:ascii="宋体" w:hAnsi="宋体" w:cs="宋体"/>
          <w:color w:val="auto"/>
          <w:sz w:val="21"/>
          <w:szCs w:val="21"/>
          <w:highlight w:val="none"/>
        </w:rPr>
      </w:pPr>
    </w:p>
    <w:p>
      <w:pPr>
        <w:widowControl/>
        <w:snapToGrid w:val="0"/>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投标人（盖章）：</w:t>
      </w:r>
    </w:p>
    <w:p>
      <w:pPr>
        <w:spacing w:line="360" w:lineRule="auto"/>
        <w:rPr>
          <w:color w:val="auto"/>
          <w:sz w:val="21"/>
          <w:szCs w:val="21"/>
          <w:highlight w:val="none"/>
        </w:rPr>
      </w:pPr>
      <w:r>
        <w:rPr>
          <w:rFonts w:hint="eastAsia"/>
          <w:color w:val="auto"/>
          <w:sz w:val="21"/>
          <w:szCs w:val="21"/>
          <w:highlight w:val="none"/>
        </w:rPr>
        <w:t>法定代表人或其授权代理人（签名或盖章）：</w:t>
      </w:r>
    </w:p>
    <w:p>
      <w:pPr>
        <w:spacing w:line="360" w:lineRule="auto"/>
        <w:rPr>
          <w:color w:val="auto"/>
          <w:sz w:val="21"/>
          <w:szCs w:val="21"/>
          <w:highlight w:val="none"/>
        </w:rPr>
      </w:pPr>
      <w:r>
        <w:rPr>
          <w:rFonts w:hint="eastAsia"/>
          <w:color w:val="auto"/>
          <w:sz w:val="21"/>
          <w:szCs w:val="21"/>
          <w:highlight w:val="none"/>
        </w:rPr>
        <w:t>日   期：</w:t>
      </w:r>
    </w:p>
    <w:p>
      <w:pPr>
        <w:pStyle w:val="7"/>
        <w:overflowPunct w:val="0"/>
        <w:spacing w:line="443" w:lineRule="exact"/>
        <w:ind w:left="0" w:right="17"/>
        <w:rPr>
          <w:color w:val="auto"/>
          <w:highlight w:val="none"/>
        </w:rPr>
      </w:pPr>
      <w:r>
        <w:rPr>
          <w:rFonts w:ascii="宋体" w:hAnsi="宋体" w:eastAsia="宋体" w:cs="宋体"/>
          <w:color w:val="auto"/>
          <w:sz w:val="24"/>
          <w:szCs w:val="16"/>
          <w:highlight w:val="none"/>
        </w:rPr>
        <w:br w:type="page"/>
      </w:r>
      <w:r>
        <w:rPr>
          <w:rFonts w:hint="eastAsia" w:ascii="宋体" w:hAnsi="宋体" w:eastAsia="宋体" w:cs="宋体"/>
          <w:color w:val="auto"/>
          <w:sz w:val="24"/>
          <w:szCs w:val="16"/>
          <w:highlight w:val="none"/>
        </w:rPr>
        <w:t>附件2：2.4 质保期满后5年的维修保养费用</w:t>
      </w:r>
      <w:bookmarkEnd w:id="198"/>
      <w:r>
        <w:rPr>
          <w:rFonts w:hint="eastAsia" w:ascii="宋体" w:hAnsi="宋体" w:eastAsia="宋体" w:cs="宋体"/>
          <w:color w:val="auto"/>
          <w:sz w:val="24"/>
          <w:szCs w:val="16"/>
          <w:highlight w:val="none"/>
        </w:rPr>
        <w:t>（此费用无需列入投标总价中）</w:t>
      </w:r>
    </w:p>
    <w:bookmarkEnd w:id="199"/>
    <w:p>
      <w:pPr>
        <w:pStyle w:val="49"/>
        <w:ind w:left="480" w:firstLine="420"/>
        <w:rPr>
          <w:color w:val="auto"/>
          <w:highlight w:val="none"/>
        </w:rPr>
      </w:pPr>
    </w:p>
    <w:p>
      <w:pPr>
        <w:widowControl/>
        <w:tabs>
          <w:tab w:val="left" w:pos="720"/>
        </w:tabs>
        <w:spacing w:before="120" w:beforeLines="50" w:after="120" w:afterLines="50"/>
        <w:ind w:left="843" w:hanging="843" w:hangingChars="300"/>
        <w:jc w:val="center"/>
        <w:rPr>
          <w:rFonts w:ascii="宋体" w:hAnsi="宋体" w:cs="宋体"/>
          <w:b/>
          <w:color w:val="auto"/>
          <w:highlight w:val="none"/>
        </w:rPr>
      </w:pPr>
      <w:r>
        <w:rPr>
          <w:rFonts w:hint="eastAsia" w:ascii="宋体" w:hAnsi="宋体" w:cs="宋体"/>
          <w:b/>
          <w:color w:val="auto"/>
          <w:sz w:val="28"/>
          <w:szCs w:val="28"/>
          <w:highlight w:val="none"/>
        </w:rPr>
        <w:t>质保期满后5年的维修保养费用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7"/>
        <w:gridCol w:w="2268"/>
        <w:gridCol w:w="1559"/>
        <w:gridCol w:w="2162"/>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537" w:type="dxa"/>
            <w:vAlign w:val="center"/>
          </w:tcPr>
          <w:p>
            <w:pPr>
              <w:widowControl/>
              <w:tabs>
                <w:tab w:val="left" w:pos="720"/>
              </w:tabs>
              <w:jc w:val="center"/>
              <w:rPr>
                <w:rFonts w:ascii="宋体" w:hAnsi="宋体" w:cs="宋体"/>
                <w:color w:val="auto"/>
                <w:sz w:val="21"/>
                <w:szCs w:val="21"/>
                <w:highlight w:val="none"/>
              </w:rPr>
            </w:pPr>
            <w:r>
              <w:rPr>
                <w:rFonts w:hint="eastAsia" w:ascii="宋体" w:hAnsi="宋体" w:cs="宋体"/>
                <w:color w:val="auto"/>
                <w:sz w:val="21"/>
                <w:szCs w:val="21"/>
                <w:highlight w:val="none"/>
              </w:rPr>
              <w:t>时间</w:t>
            </w:r>
          </w:p>
        </w:tc>
        <w:tc>
          <w:tcPr>
            <w:tcW w:w="2268" w:type="dxa"/>
            <w:vAlign w:val="center"/>
          </w:tcPr>
          <w:p>
            <w:pPr>
              <w:widowControl/>
              <w:tabs>
                <w:tab w:val="left" w:pos="720"/>
              </w:tabs>
              <w:snapToGrid w:val="0"/>
              <w:jc w:val="center"/>
              <w:rPr>
                <w:rFonts w:ascii="宋体" w:hAnsi="宋体" w:cs="宋体"/>
                <w:color w:val="auto"/>
                <w:sz w:val="21"/>
                <w:szCs w:val="21"/>
                <w:highlight w:val="none"/>
                <w:lang w:eastAsia="en-US"/>
              </w:rPr>
            </w:pPr>
            <w:r>
              <w:rPr>
                <w:rFonts w:hint="eastAsia" w:ascii="宋体" w:hAnsi="宋体" w:cs="宋体"/>
                <w:color w:val="auto"/>
                <w:sz w:val="21"/>
                <w:szCs w:val="21"/>
                <w:highlight w:val="none"/>
                <w:lang w:eastAsia="en-US"/>
              </w:rPr>
              <w:t>电梯品种</w:t>
            </w:r>
          </w:p>
        </w:tc>
        <w:tc>
          <w:tcPr>
            <w:tcW w:w="1559" w:type="dxa"/>
            <w:vAlign w:val="center"/>
          </w:tcPr>
          <w:p>
            <w:pPr>
              <w:widowControl/>
              <w:tabs>
                <w:tab w:val="left" w:pos="720"/>
              </w:tabs>
              <w:snapToGrid w:val="0"/>
              <w:jc w:val="center"/>
              <w:rPr>
                <w:rFonts w:ascii="宋体" w:hAnsi="宋体" w:cs="宋体"/>
                <w:color w:val="auto"/>
                <w:sz w:val="21"/>
                <w:szCs w:val="21"/>
                <w:highlight w:val="none"/>
              </w:rPr>
            </w:pPr>
            <w:r>
              <w:rPr>
                <w:rFonts w:hint="eastAsia" w:ascii="宋体" w:hAnsi="宋体" w:cs="宋体"/>
                <w:color w:val="auto"/>
                <w:sz w:val="21"/>
                <w:szCs w:val="21"/>
                <w:highlight w:val="none"/>
                <w:lang w:eastAsia="en-US"/>
              </w:rPr>
              <w:t>数量</w:t>
            </w:r>
          </w:p>
          <w:p>
            <w:pPr>
              <w:widowControl/>
              <w:tabs>
                <w:tab w:val="left" w:pos="720"/>
              </w:tabs>
              <w:snapToGrid w:val="0"/>
              <w:jc w:val="center"/>
              <w:rPr>
                <w:rFonts w:ascii="宋体" w:hAnsi="宋体" w:cs="宋体"/>
                <w:color w:val="auto"/>
                <w:sz w:val="21"/>
                <w:szCs w:val="21"/>
                <w:highlight w:val="none"/>
                <w:lang w:eastAsia="en-US"/>
              </w:rPr>
            </w:pPr>
            <w:r>
              <w:rPr>
                <w:rFonts w:hint="eastAsia" w:ascii="宋体" w:hAnsi="宋体" w:cs="宋体"/>
                <w:color w:val="auto"/>
                <w:sz w:val="21"/>
                <w:szCs w:val="21"/>
                <w:highlight w:val="none"/>
                <w:lang w:eastAsia="en-US"/>
              </w:rPr>
              <w:t>（台）</w:t>
            </w:r>
          </w:p>
        </w:tc>
        <w:tc>
          <w:tcPr>
            <w:tcW w:w="2162" w:type="dxa"/>
            <w:vAlign w:val="center"/>
          </w:tcPr>
          <w:p>
            <w:pPr>
              <w:widowControl/>
              <w:tabs>
                <w:tab w:val="left" w:pos="720"/>
              </w:tabs>
              <w:snapToGrid w:val="0"/>
              <w:jc w:val="center"/>
              <w:rPr>
                <w:rFonts w:ascii="宋体" w:hAnsi="宋体" w:cs="宋体"/>
                <w:color w:val="auto"/>
                <w:sz w:val="21"/>
                <w:szCs w:val="21"/>
                <w:highlight w:val="none"/>
              </w:rPr>
            </w:pPr>
            <w:r>
              <w:rPr>
                <w:rFonts w:hint="eastAsia" w:ascii="宋体" w:hAnsi="宋体" w:cs="宋体"/>
                <w:color w:val="auto"/>
                <w:sz w:val="21"/>
                <w:szCs w:val="21"/>
                <w:highlight w:val="none"/>
              </w:rPr>
              <w:t>维修保养费</w:t>
            </w:r>
          </w:p>
          <w:p>
            <w:pPr>
              <w:widowControl/>
              <w:tabs>
                <w:tab w:val="left" w:pos="720"/>
              </w:tabs>
              <w:snapToGrid w:val="0"/>
              <w:jc w:val="center"/>
              <w:rPr>
                <w:rFonts w:ascii="宋体" w:hAnsi="宋体" w:cs="宋体"/>
                <w:color w:val="auto"/>
                <w:sz w:val="21"/>
                <w:szCs w:val="21"/>
                <w:highlight w:val="none"/>
                <w:lang w:eastAsia="en-US"/>
              </w:rPr>
            </w:pPr>
            <w:r>
              <w:rPr>
                <w:rFonts w:hint="eastAsia" w:ascii="宋体" w:hAnsi="宋体" w:cs="宋体"/>
                <w:color w:val="auto"/>
                <w:sz w:val="21"/>
                <w:szCs w:val="21"/>
                <w:highlight w:val="none"/>
              </w:rPr>
              <w:t>（元/月</w:t>
            </w:r>
            <w:r>
              <w:rPr>
                <w:rFonts w:hint="eastAsia" w:ascii="宋体" w:hAnsi="宋体" w:cs="宋体"/>
                <w:color w:val="auto"/>
                <w:sz w:val="21"/>
                <w:szCs w:val="21"/>
                <w:highlight w:val="none"/>
                <w:lang w:eastAsia="en-US"/>
              </w:rPr>
              <w:t>）</w:t>
            </w:r>
          </w:p>
        </w:tc>
        <w:tc>
          <w:tcPr>
            <w:tcW w:w="1243" w:type="dxa"/>
            <w:vAlign w:val="center"/>
          </w:tcPr>
          <w:p>
            <w:pPr>
              <w:widowControl/>
              <w:tabs>
                <w:tab w:val="left" w:pos="720"/>
              </w:tabs>
              <w:snapToGrid w:val="0"/>
              <w:jc w:val="center"/>
              <w:rPr>
                <w:rFonts w:ascii="宋体" w:hAnsi="宋体" w:cs="宋体"/>
                <w:color w:val="auto"/>
                <w:sz w:val="21"/>
                <w:szCs w:val="21"/>
                <w:highlight w:val="none"/>
                <w:lang w:eastAsia="en-US"/>
              </w:rPr>
            </w:pPr>
            <w:r>
              <w:rPr>
                <w:rFonts w:hint="eastAsia" w:ascii="宋体" w:hAnsi="宋体" w:cs="宋体"/>
                <w:color w:val="auto"/>
                <w:sz w:val="21"/>
                <w:szCs w:val="21"/>
                <w:highlight w:val="none"/>
                <w:lang w:eastAsia="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restart"/>
            <w:vAlign w:val="center"/>
          </w:tcPr>
          <w:p>
            <w:pPr>
              <w:widowControl/>
              <w:tabs>
                <w:tab w:val="left" w:pos="720"/>
              </w:tabs>
              <w:jc w:val="center"/>
              <w:rPr>
                <w:rFonts w:ascii="宋体" w:hAnsi="宋体" w:cs="宋体"/>
                <w:color w:val="auto"/>
                <w:sz w:val="21"/>
                <w:szCs w:val="21"/>
                <w:highlight w:val="none"/>
              </w:rPr>
            </w:pPr>
            <w:r>
              <w:rPr>
                <w:rFonts w:hint="eastAsia" w:ascii="宋体" w:hAnsi="宋体" w:cs="宋体"/>
                <w:color w:val="auto"/>
                <w:sz w:val="21"/>
                <w:szCs w:val="21"/>
                <w:highlight w:val="none"/>
              </w:rPr>
              <w:t>质保期满后第1年</w:t>
            </w:r>
          </w:p>
        </w:tc>
        <w:tc>
          <w:tcPr>
            <w:tcW w:w="2268" w:type="dxa"/>
          </w:tcPr>
          <w:p>
            <w:pPr>
              <w:widowControl/>
              <w:tabs>
                <w:tab w:val="left" w:pos="720"/>
              </w:tabs>
              <w:rPr>
                <w:rFonts w:ascii="宋体" w:hAnsi="宋体" w:cs="宋体"/>
                <w:color w:val="auto"/>
                <w:sz w:val="21"/>
                <w:szCs w:val="21"/>
                <w:highlight w:val="none"/>
                <w:lang w:eastAsia="en-US"/>
              </w:rPr>
            </w:pPr>
          </w:p>
        </w:tc>
        <w:tc>
          <w:tcPr>
            <w:tcW w:w="1559" w:type="dxa"/>
          </w:tcPr>
          <w:p>
            <w:pPr>
              <w:widowControl/>
              <w:tabs>
                <w:tab w:val="left" w:pos="720"/>
              </w:tabs>
              <w:rPr>
                <w:rFonts w:ascii="宋体" w:hAnsi="宋体" w:cs="宋体"/>
                <w:color w:val="auto"/>
                <w:sz w:val="21"/>
                <w:szCs w:val="21"/>
                <w:highlight w:val="none"/>
                <w:lang w:eastAsia="en-US"/>
              </w:rPr>
            </w:pPr>
          </w:p>
        </w:tc>
        <w:tc>
          <w:tcPr>
            <w:tcW w:w="2162" w:type="dxa"/>
          </w:tcPr>
          <w:p>
            <w:pPr>
              <w:widowControl/>
              <w:tabs>
                <w:tab w:val="left" w:pos="720"/>
              </w:tabs>
              <w:rPr>
                <w:rFonts w:ascii="宋体" w:hAnsi="宋体" w:cs="宋体"/>
                <w:color w:val="auto"/>
                <w:sz w:val="21"/>
                <w:szCs w:val="21"/>
                <w:highlight w:val="none"/>
                <w:lang w:eastAsia="en-US"/>
              </w:rPr>
            </w:pPr>
          </w:p>
        </w:tc>
        <w:tc>
          <w:tcPr>
            <w:tcW w:w="1243" w:type="dxa"/>
          </w:tcPr>
          <w:p>
            <w:pPr>
              <w:widowControl/>
              <w:tabs>
                <w:tab w:val="left" w:pos="720"/>
              </w:tabs>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continue"/>
            <w:vAlign w:val="center"/>
          </w:tcPr>
          <w:p>
            <w:pPr>
              <w:widowControl/>
              <w:tabs>
                <w:tab w:val="left" w:pos="720"/>
              </w:tabs>
              <w:jc w:val="center"/>
              <w:rPr>
                <w:rFonts w:ascii="宋体" w:hAnsi="宋体" w:cs="宋体"/>
                <w:color w:val="auto"/>
                <w:sz w:val="21"/>
                <w:szCs w:val="21"/>
                <w:highlight w:val="none"/>
                <w:lang w:eastAsia="en-US"/>
              </w:rPr>
            </w:pPr>
          </w:p>
        </w:tc>
        <w:tc>
          <w:tcPr>
            <w:tcW w:w="2268" w:type="dxa"/>
          </w:tcPr>
          <w:p>
            <w:pPr>
              <w:widowControl/>
              <w:tabs>
                <w:tab w:val="left" w:pos="720"/>
              </w:tabs>
              <w:rPr>
                <w:rFonts w:ascii="宋体" w:hAnsi="宋体" w:cs="宋体"/>
                <w:color w:val="auto"/>
                <w:sz w:val="21"/>
                <w:szCs w:val="21"/>
                <w:highlight w:val="none"/>
                <w:lang w:eastAsia="en-US"/>
              </w:rPr>
            </w:pPr>
          </w:p>
        </w:tc>
        <w:tc>
          <w:tcPr>
            <w:tcW w:w="1559" w:type="dxa"/>
          </w:tcPr>
          <w:p>
            <w:pPr>
              <w:widowControl/>
              <w:tabs>
                <w:tab w:val="left" w:pos="720"/>
              </w:tabs>
              <w:rPr>
                <w:rFonts w:ascii="宋体" w:hAnsi="宋体" w:cs="宋体"/>
                <w:color w:val="auto"/>
                <w:sz w:val="21"/>
                <w:szCs w:val="21"/>
                <w:highlight w:val="none"/>
                <w:lang w:eastAsia="en-US"/>
              </w:rPr>
            </w:pPr>
          </w:p>
        </w:tc>
        <w:tc>
          <w:tcPr>
            <w:tcW w:w="2162" w:type="dxa"/>
          </w:tcPr>
          <w:p>
            <w:pPr>
              <w:widowControl/>
              <w:tabs>
                <w:tab w:val="left" w:pos="720"/>
              </w:tabs>
              <w:rPr>
                <w:rFonts w:ascii="宋体" w:hAnsi="宋体" w:cs="宋体"/>
                <w:color w:val="auto"/>
                <w:sz w:val="21"/>
                <w:szCs w:val="21"/>
                <w:highlight w:val="none"/>
                <w:lang w:eastAsia="en-US"/>
              </w:rPr>
            </w:pPr>
          </w:p>
        </w:tc>
        <w:tc>
          <w:tcPr>
            <w:tcW w:w="1243" w:type="dxa"/>
          </w:tcPr>
          <w:p>
            <w:pPr>
              <w:widowControl/>
              <w:tabs>
                <w:tab w:val="left" w:pos="720"/>
              </w:tabs>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continue"/>
            <w:vAlign w:val="center"/>
          </w:tcPr>
          <w:p>
            <w:pPr>
              <w:widowControl/>
              <w:tabs>
                <w:tab w:val="left" w:pos="720"/>
              </w:tabs>
              <w:jc w:val="center"/>
              <w:rPr>
                <w:rFonts w:ascii="宋体" w:hAnsi="宋体" w:cs="宋体"/>
                <w:color w:val="auto"/>
                <w:sz w:val="21"/>
                <w:szCs w:val="21"/>
                <w:highlight w:val="none"/>
                <w:lang w:eastAsia="en-US"/>
              </w:rPr>
            </w:pPr>
          </w:p>
        </w:tc>
        <w:tc>
          <w:tcPr>
            <w:tcW w:w="2268" w:type="dxa"/>
          </w:tcPr>
          <w:p>
            <w:pPr>
              <w:widowControl/>
              <w:tabs>
                <w:tab w:val="left" w:pos="720"/>
              </w:tabs>
              <w:rPr>
                <w:rFonts w:ascii="宋体" w:hAnsi="宋体" w:cs="宋体"/>
                <w:color w:val="auto"/>
                <w:sz w:val="21"/>
                <w:szCs w:val="21"/>
                <w:highlight w:val="none"/>
                <w:lang w:eastAsia="en-US"/>
              </w:rPr>
            </w:pPr>
          </w:p>
        </w:tc>
        <w:tc>
          <w:tcPr>
            <w:tcW w:w="1559" w:type="dxa"/>
          </w:tcPr>
          <w:p>
            <w:pPr>
              <w:widowControl/>
              <w:tabs>
                <w:tab w:val="left" w:pos="720"/>
              </w:tabs>
              <w:rPr>
                <w:rFonts w:ascii="宋体" w:hAnsi="宋体" w:cs="宋体"/>
                <w:color w:val="auto"/>
                <w:sz w:val="21"/>
                <w:szCs w:val="21"/>
                <w:highlight w:val="none"/>
                <w:lang w:eastAsia="en-US"/>
              </w:rPr>
            </w:pPr>
          </w:p>
        </w:tc>
        <w:tc>
          <w:tcPr>
            <w:tcW w:w="2162" w:type="dxa"/>
          </w:tcPr>
          <w:p>
            <w:pPr>
              <w:widowControl/>
              <w:tabs>
                <w:tab w:val="left" w:pos="720"/>
              </w:tabs>
              <w:rPr>
                <w:rFonts w:ascii="宋体" w:hAnsi="宋体" w:cs="宋体"/>
                <w:color w:val="auto"/>
                <w:sz w:val="21"/>
                <w:szCs w:val="21"/>
                <w:highlight w:val="none"/>
                <w:lang w:eastAsia="en-US"/>
              </w:rPr>
            </w:pPr>
          </w:p>
        </w:tc>
        <w:tc>
          <w:tcPr>
            <w:tcW w:w="1243" w:type="dxa"/>
          </w:tcPr>
          <w:p>
            <w:pPr>
              <w:widowControl/>
              <w:tabs>
                <w:tab w:val="left" w:pos="720"/>
              </w:tabs>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continue"/>
            <w:vAlign w:val="center"/>
          </w:tcPr>
          <w:p>
            <w:pPr>
              <w:widowControl/>
              <w:tabs>
                <w:tab w:val="left" w:pos="720"/>
              </w:tabs>
              <w:jc w:val="center"/>
              <w:rPr>
                <w:rFonts w:ascii="宋体" w:hAnsi="宋体" w:cs="宋体"/>
                <w:color w:val="auto"/>
                <w:sz w:val="21"/>
                <w:szCs w:val="21"/>
                <w:highlight w:val="none"/>
                <w:lang w:eastAsia="en-US"/>
              </w:rPr>
            </w:pPr>
          </w:p>
        </w:tc>
        <w:tc>
          <w:tcPr>
            <w:tcW w:w="2268" w:type="dxa"/>
          </w:tcPr>
          <w:p>
            <w:pPr>
              <w:widowControl/>
              <w:tabs>
                <w:tab w:val="left" w:pos="720"/>
              </w:tabs>
              <w:rPr>
                <w:rFonts w:ascii="宋体" w:hAnsi="宋体" w:cs="宋体"/>
                <w:color w:val="auto"/>
                <w:sz w:val="21"/>
                <w:szCs w:val="21"/>
                <w:highlight w:val="none"/>
              </w:rPr>
            </w:pPr>
          </w:p>
        </w:tc>
        <w:tc>
          <w:tcPr>
            <w:tcW w:w="1559" w:type="dxa"/>
          </w:tcPr>
          <w:p>
            <w:pPr>
              <w:widowControl/>
              <w:tabs>
                <w:tab w:val="left" w:pos="720"/>
              </w:tabs>
              <w:rPr>
                <w:rFonts w:ascii="宋体" w:hAnsi="宋体" w:cs="宋体"/>
                <w:color w:val="auto"/>
                <w:sz w:val="21"/>
                <w:szCs w:val="21"/>
                <w:highlight w:val="none"/>
                <w:lang w:eastAsia="en-US"/>
              </w:rPr>
            </w:pPr>
          </w:p>
        </w:tc>
        <w:tc>
          <w:tcPr>
            <w:tcW w:w="2162" w:type="dxa"/>
          </w:tcPr>
          <w:p>
            <w:pPr>
              <w:widowControl/>
              <w:tabs>
                <w:tab w:val="left" w:pos="720"/>
              </w:tabs>
              <w:rPr>
                <w:rFonts w:ascii="宋体" w:hAnsi="宋体" w:cs="宋体"/>
                <w:color w:val="auto"/>
                <w:sz w:val="21"/>
                <w:szCs w:val="21"/>
                <w:highlight w:val="none"/>
                <w:lang w:eastAsia="en-US"/>
              </w:rPr>
            </w:pPr>
          </w:p>
        </w:tc>
        <w:tc>
          <w:tcPr>
            <w:tcW w:w="1243" w:type="dxa"/>
          </w:tcPr>
          <w:p>
            <w:pPr>
              <w:widowControl/>
              <w:tabs>
                <w:tab w:val="left" w:pos="720"/>
              </w:tabs>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restart"/>
            <w:vAlign w:val="center"/>
          </w:tcPr>
          <w:p>
            <w:pPr>
              <w:widowControl/>
              <w:tabs>
                <w:tab w:val="left" w:pos="720"/>
              </w:tabs>
              <w:jc w:val="center"/>
              <w:rPr>
                <w:rFonts w:ascii="宋体" w:hAnsi="宋体" w:cs="宋体"/>
                <w:color w:val="auto"/>
                <w:sz w:val="21"/>
                <w:szCs w:val="21"/>
                <w:highlight w:val="none"/>
                <w:lang w:eastAsia="en-US"/>
              </w:rPr>
            </w:pPr>
            <w:r>
              <w:rPr>
                <w:rFonts w:hint="eastAsia" w:ascii="宋体" w:hAnsi="宋体" w:cs="宋体"/>
                <w:color w:val="auto"/>
                <w:sz w:val="21"/>
                <w:szCs w:val="21"/>
                <w:highlight w:val="none"/>
              </w:rPr>
              <w:t>质保期满后第2年</w:t>
            </w:r>
          </w:p>
        </w:tc>
        <w:tc>
          <w:tcPr>
            <w:tcW w:w="2268" w:type="dxa"/>
          </w:tcPr>
          <w:p>
            <w:pPr>
              <w:widowControl/>
              <w:tabs>
                <w:tab w:val="left" w:pos="720"/>
              </w:tabs>
              <w:rPr>
                <w:rFonts w:ascii="宋体" w:hAnsi="宋体" w:cs="宋体"/>
                <w:color w:val="auto"/>
                <w:sz w:val="21"/>
                <w:szCs w:val="21"/>
                <w:highlight w:val="none"/>
                <w:lang w:eastAsia="en-US"/>
              </w:rPr>
            </w:pPr>
          </w:p>
        </w:tc>
        <w:tc>
          <w:tcPr>
            <w:tcW w:w="1559" w:type="dxa"/>
          </w:tcPr>
          <w:p>
            <w:pPr>
              <w:widowControl/>
              <w:tabs>
                <w:tab w:val="left" w:pos="720"/>
              </w:tabs>
              <w:rPr>
                <w:rFonts w:ascii="宋体" w:hAnsi="宋体" w:cs="宋体"/>
                <w:color w:val="auto"/>
                <w:sz w:val="21"/>
                <w:szCs w:val="21"/>
                <w:highlight w:val="none"/>
                <w:lang w:eastAsia="en-US"/>
              </w:rPr>
            </w:pPr>
          </w:p>
        </w:tc>
        <w:tc>
          <w:tcPr>
            <w:tcW w:w="2162" w:type="dxa"/>
          </w:tcPr>
          <w:p>
            <w:pPr>
              <w:widowControl/>
              <w:tabs>
                <w:tab w:val="left" w:pos="720"/>
              </w:tabs>
              <w:rPr>
                <w:rFonts w:ascii="宋体" w:hAnsi="宋体" w:cs="宋体"/>
                <w:color w:val="auto"/>
                <w:sz w:val="21"/>
                <w:szCs w:val="21"/>
                <w:highlight w:val="none"/>
                <w:lang w:eastAsia="en-US"/>
              </w:rPr>
            </w:pPr>
          </w:p>
        </w:tc>
        <w:tc>
          <w:tcPr>
            <w:tcW w:w="1243" w:type="dxa"/>
          </w:tcPr>
          <w:p>
            <w:pPr>
              <w:widowControl/>
              <w:tabs>
                <w:tab w:val="left" w:pos="720"/>
              </w:tabs>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continue"/>
            <w:vAlign w:val="center"/>
          </w:tcPr>
          <w:p>
            <w:pPr>
              <w:widowControl/>
              <w:tabs>
                <w:tab w:val="left" w:pos="720"/>
              </w:tabs>
              <w:jc w:val="center"/>
              <w:rPr>
                <w:rFonts w:ascii="宋体" w:hAnsi="宋体" w:cs="宋体"/>
                <w:color w:val="auto"/>
                <w:sz w:val="21"/>
                <w:szCs w:val="21"/>
                <w:highlight w:val="none"/>
                <w:lang w:eastAsia="en-US"/>
              </w:rPr>
            </w:pPr>
          </w:p>
        </w:tc>
        <w:tc>
          <w:tcPr>
            <w:tcW w:w="2268" w:type="dxa"/>
          </w:tcPr>
          <w:p>
            <w:pPr>
              <w:widowControl/>
              <w:tabs>
                <w:tab w:val="left" w:pos="720"/>
              </w:tabs>
              <w:rPr>
                <w:rFonts w:ascii="宋体" w:hAnsi="宋体" w:cs="宋体"/>
                <w:color w:val="auto"/>
                <w:sz w:val="21"/>
                <w:szCs w:val="21"/>
                <w:highlight w:val="none"/>
                <w:lang w:eastAsia="en-US"/>
              </w:rPr>
            </w:pPr>
          </w:p>
        </w:tc>
        <w:tc>
          <w:tcPr>
            <w:tcW w:w="1559" w:type="dxa"/>
          </w:tcPr>
          <w:p>
            <w:pPr>
              <w:widowControl/>
              <w:tabs>
                <w:tab w:val="left" w:pos="720"/>
              </w:tabs>
              <w:rPr>
                <w:rFonts w:ascii="宋体" w:hAnsi="宋体" w:cs="宋体"/>
                <w:color w:val="auto"/>
                <w:sz w:val="21"/>
                <w:szCs w:val="21"/>
                <w:highlight w:val="none"/>
                <w:lang w:eastAsia="en-US"/>
              </w:rPr>
            </w:pPr>
          </w:p>
        </w:tc>
        <w:tc>
          <w:tcPr>
            <w:tcW w:w="2162" w:type="dxa"/>
          </w:tcPr>
          <w:p>
            <w:pPr>
              <w:widowControl/>
              <w:tabs>
                <w:tab w:val="left" w:pos="720"/>
              </w:tabs>
              <w:rPr>
                <w:rFonts w:ascii="宋体" w:hAnsi="宋体" w:cs="宋体"/>
                <w:color w:val="auto"/>
                <w:sz w:val="21"/>
                <w:szCs w:val="21"/>
                <w:highlight w:val="none"/>
                <w:lang w:eastAsia="en-US"/>
              </w:rPr>
            </w:pPr>
          </w:p>
        </w:tc>
        <w:tc>
          <w:tcPr>
            <w:tcW w:w="1243" w:type="dxa"/>
          </w:tcPr>
          <w:p>
            <w:pPr>
              <w:widowControl/>
              <w:tabs>
                <w:tab w:val="left" w:pos="720"/>
              </w:tabs>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continue"/>
            <w:vAlign w:val="center"/>
          </w:tcPr>
          <w:p>
            <w:pPr>
              <w:widowControl/>
              <w:tabs>
                <w:tab w:val="left" w:pos="720"/>
              </w:tabs>
              <w:jc w:val="center"/>
              <w:rPr>
                <w:rFonts w:ascii="宋体" w:hAnsi="宋体" w:cs="宋体"/>
                <w:color w:val="auto"/>
                <w:sz w:val="21"/>
                <w:szCs w:val="21"/>
                <w:highlight w:val="none"/>
                <w:lang w:eastAsia="en-US"/>
              </w:rPr>
            </w:pPr>
          </w:p>
        </w:tc>
        <w:tc>
          <w:tcPr>
            <w:tcW w:w="2268" w:type="dxa"/>
          </w:tcPr>
          <w:p>
            <w:pPr>
              <w:widowControl/>
              <w:tabs>
                <w:tab w:val="left" w:pos="720"/>
              </w:tabs>
              <w:rPr>
                <w:rFonts w:ascii="宋体" w:hAnsi="宋体" w:cs="宋体"/>
                <w:color w:val="auto"/>
                <w:sz w:val="21"/>
                <w:szCs w:val="21"/>
                <w:highlight w:val="none"/>
                <w:lang w:eastAsia="en-US"/>
              </w:rPr>
            </w:pPr>
          </w:p>
        </w:tc>
        <w:tc>
          <w:tcPr>
            <w:tcW w:w="1559" w:type="dxa"/>
          </w:tcPr>
          <w:p>
            <w:pPr>
              <w:widowControl/>
              <w:tabs>
                <w:tab w:val="left" w:pos="720"/>
              </w:tabs>
              <w:rPr>
                <w:rFonts w:ascii="宋体" w:hAnsi="宋体" w:cs="宋体"/>
                <w:color w:val="auto"/>
                <w:sz w:val="21"/>
                <w:szCs w:val="21"/>
                <w:highlight w:val="none"/>
                <w:lang w:eastAsia="en-US"/>
              </w:rPr>
            </w:pPr>
          </w:p>
        </w:tc>
        <w:tc>
          <w:tcPr>
            <w:tcW w:w="2162" w:type="dxa"/>
          </w:tcPr>
          <w:p>
            <w:pPr>
              <w:widowControl/>
              <w:tabs>
                <w:tab w:val="left" w:pos="720"/>
              </w:tabs>
              <w:rPr>
                <w:rFonts w:ascii="宋体" w:hAnsi="宋体" w:cs="宋体"/>
                <w:color w:val="auto"/>
                <w:sz w:val="21"/>
                <w:szCs w:val="21"/>
                <w:highlight w:val="none"/>
                <w:lang w:eastAsia="en-US"/>
              </w:rPr>
            </w:pPr>
          </w:p>
        </w:tc>
        <w:tc>
          <w:tcPr>
            <w:tcW w:w="1243" w:type="dxa"/>
          </w:tcPr>
          <w:p>
            <w:pPr>
              <w:widowControl/>
              <w:tabs>
                <w:tab w:val="left" w:pos="720"/>
              </w:tabs>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continue"/>
            <w:vAlign w:val="center"/>
          </w:tcPr>
          <w:p>
            <w:pPr>
              <w:widowControl/>
              <w:tabs>
                <w:tab w:val="left" w:pos="720"/>
              </w:tabs>
              <w:jc w:val="center"/>
              <w:rPr>
                <w:rFonts w:ascii="宋体" w:hAnsi="宋体" w:cs="宋体"/>
                <w:color w:val="auto"/>
                <w:sz w:val="21"/>
                <w:szCs w:val="21"/>
                <w:highlight w:val="none"/>
                <w:lang w:eastAsia="en-US"/>
              </w:rPr>
            </w:pPr>
          </w:p>
        </w:tc>
        <w:tc>
          <w:tcPr>
            <w:tcW w:w="2268" w:type="dxa"/>
          </w:tcPr>
          <w:p>
            <w:pPr>
              <w:widowControl/>
              <w:tabs>
                <w:tab w:val="left" w:pos="720"/>
              </w:tabs>
              <w:rPr>
                <w:rFonts w:ascii="宋体" w:hAnsi="宋体" w:cs="宋体"/>
                <w:color w:val="auto"/>
                <w:sz w:val="21"/>
                <w:szCs w:val="21"/>
                <w:highlight w:val="none"/>
                <w:lang w:eastAsia="en-US"/>
              </w:rPr>
            </w:pPr>
          </w:p>
        </w:tc>
        <w:tc>
          <w:tcPr>
            <w:tcW w:w="1559" w:type="dxa"/>
          </w:tcPr>
          <w:p>
            <w:pPr>
              <w:widowControl/>
              <w:tabs>
                <w:tab w:val="left" w:pos="720"/>
              </w:tabs>
              <w:rPr>
                <w:rFonts w:ascii="宋体" w:hAnsi="宋体" w:cs="宋体"/>
                <w:color w:val="auto"/>
                <w:sz w:val="21"/>
                <w:szCs w:val="21"/>
                <w:highlight w:val="none"/>
                <w:lang w:eastAsia="en-US"/>
              </w:rPr>
            </w:pPr>
          </w:p>
        </w:tc>
        <w:tc>
          <w:tcPr>
            <w:tcW w:w="2162" w:type="dxa"/>
          </w:tcPr>
          <w:p>
            <w:pPr>
              <w:widowControl/>
              <w:tabs>
                <w:tab w:val="left" w:pos="720"/>
              </w:tabs>
              <w:rPr>
                <w:rFonts w:ascii="宋体" w:hAnsi="宋体" w:cs="宋体"/>
                <w:color w:val="auto"/>
                <w:sz w:val="21"/>
                <w:szCs w:val="21"/>
                <w:highlight w:val="none"/>
                <w:lang w:eastAsia="en-US"/>
              </w:rPr>
            </w:pPr>
          </w:p>
        </w:tc>
        <w:tc>
          <w:tcPr>
            <w:tcW w:w="1243" w:type="dxa"/>
          </w:tcPr>
          <w:p>
            <w:pPr>
              <w:widowControl/>
              <w:tabs>
                <w:tab w:val="left" w:pos="720"/>
              </w:tabs>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restart"/>
            <w:vAlign w:val="center"/>
          </w:tcPr>
          <w:p>
            <w:pPr>
              <w:widowControl/>
              <w:tabs>
                <w:tab w:val="left" w:pos="720"/>
              </w:tabs>
              <w:jc w:val="center"/>
              <w:rPr>
                <w:rFonts w:ascii="宋体" w:hAnsi="宋体" w:cs="宋体"/>
                <w:color w:val="auto"/>
                <w:sz w:val="21"/>
                <w:szCs w:val="21"/>
                <w:highlight w:val="none"/>
                <w:lang w:eastAsia="en-US"/>
              </w:rPr>
            </w:pPr>
            <w:r>
              <w:rPr>
                <w:rFonts w:hint="eastAsia" w:ascii="宋体" w:hAnsi="宋体" w:cs="宋体"/>
                <w:color w:val="auto"/>
                <w:sz w:val="21"/>
                <w:szCs w:val="21"/>
                <w:highlight w:val="none"/>
              </w:rPr>
              <w:t>质保期满后第3年</w:t>
            </w:r>
          </w:p>
        </w:tc>
        <w:tc>
          <w:tcPr>
            <w:tcW w:w="2268" w:type="dxa"/>
          </w:tcPr>
          <w:p>
            <w:pPr>
              <w:widowControl/>
              <w:tabs>
                <w:tab w:val="left" w:pos="720"/>
              </w:tabs>
              <w:rPr>
                <w:rFonts w:ascii="宋体" w:hAnsi="宋体" w:cs="宋体"/>
                <w:color w:val="auto"/>
                <w:sz w:val="21"/>
                <w:szCs w:val="21"/>
                <w:highlight w:val="none"/>
                <w:lang w:eastAsia="en-US"/>
              </w:rPr>
            </w:pPr>
          </w:p>
        </w:tc>
        <w:tc>
          <w:tcPr>
            <w:tcW w:w="1559" w:type="dxa"/>
          </w:tcPr>
          <w:p>
            <w:pPr>
              <w:widowControl/>
              <w:tabs>
                <w:tab w:val="left" w:pos="720"/>
              </w:tabs>
              <w:rPr>
                <w:rFonts w:ascii="宋体" w:hAnsi="宋体" w:cs="宋体"/>
                <w:color w:val="auto"/>
                <w:sz w:val="21"/>
                <w:szCs w:val="21"/>
                <w:highlight w:val="none"/>
                <w:lang w:eastAsia="en-US"/>
              </w:rPr>
            </w:pPr>
          </w:p>
        </w:tc>
        <w:tc>
          <w:tcPr>
            <w:tcW w:w="2162" w:type="dxa"/>
          </w:tcPr>
          <w:p>
            <w:pPr>
              <w:widowControl/>
              <w:tabs>
                <w:tab w:val="left" w:pos="720"/>
              </w:tabs>
              <w:rPr>
                <w:rFonts w:ascii="宋体" w:hAnsi="宋体" w:cs="宋体"/>
                <w:color w:val="auto"/>
                <w:sz w:val="21"/>
                <w:szCs w:val="21"/>
                <w:highlight w:val="none"/>
                <w:lang w:eastAsia="en-US"/>
              </w:rPr>
            </w:pPr>
          </w:p>
        </w:tc>
        <w:tc>
          <w:tcPr>
            <w:tcW w:w="1243" w:type="dxa"/>
          </w:tcPr>
          <w:p>
            <w:pPr>
              <w:widowControl/>
              <w:tabs>
                <w:tab w:val="left" w:pos="720"/>
              </w:tabs>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continue"/>
            <w:vAlign w:val="center"/>
          </w:tcPr>
          <w:p>
            <w:pPr>
              <w:widowControl/>
              <w:tabs>
                <w:tab w:val="left" w:pos="720"/>
              </w:tabs>
              <w:jc w:val="center"/>
              <w:rPr>
                <w:rFonts w:ascii="宋体" w:hAnsi="宋体" w:cs="宋体"/>
                <w:color w:val="auto"/>
                <w:sz w:val="21"/>
                <w:szCs w:val="21"/>
                <w:highlight w:val="none"/>
                <w:lang w:eastAsia="en-US"/>
              </w:rPr>
            </w:pPr>
          </w:p>
        </w:tc>
        <w:tc>
          <w:tcPr>
            <w:tcW w:w="2268" w:type="dxa"/>
          </w:tcPr>
          <w:p>
            <w:pPr>
              <w:widowControl/>
              <w:tabs>
                <w:tab w:val="left" w:pos="720"/>
              </w:tabs>
              <w:rPr>
                <w:rFonts w:ascii="宋体" w:hAnsi="宋体" w:cs="宋体"/>
                <w:color w:val="auto"/>
                <w:sz w:val="21"/>
                <w:szCs w:val="21"/>
                <w:highlight w:val="none"/>
                <w:lang w:eastAsia="en-US"/>
              </w:rPr>
            </w:pPr>
          </w:p>
        </w:tc>
        <w:tc>
          <w:tcPr>
            <w:tcW w:w="1559" w:type="dxa"/>
          </w:tcPr>
          <w:p>
            <w:pPr>
              <w:widowControl/>
              <w:tabs>
                <w:tab w:val="left" w:pos="720"/>
              </w:tabs>
              <w:rPr>
                <w:rFonts w:ascii="宋体" w:hAnsi="宋体" w:cs="宋体"/>
                <w:color w:val="auto"/>
                <w:sz w:val="21"/>
                <w:szCs w:val="21"/>
                <w:highlight w:val="none"/>
                <w:lang w:eastAsia="en-US"/>
              </w:rPr>
            </w:pPr>
          </w:p>
        </w:tc>
        <w:tc>
          <w:tcPr>
            <w:tcW w:w="2162" w:type="dxa"/>
          </w:tcPr>
          <w:p>
            <w:pPr>
              <w:widowControl/>
              <w:tabs>
                <w:tab w:val="left" w:pos="720"/>
              </w:tabs>
              <w:rPr>
                <w:rFonts w:ascii="宋体" w:hAnsi="宋体" w:cs="宋体"/>
                <w:color w:val="auto"/>
                <w:sz w:val="21"/>
                <w:szCs w:val="21"/>
                <w:highlight w:val="none"/>
                <w:lang w:eastAsia="en-US"/>
              </w:rPr>
            </w:pPr>
          </w:p>
        </w:tc>
        <w:tc>
          <w:tcPr>
            <w:tcW w:w="1243" w:type="dxa"/>
          </w:tcPr>
          <w:p>
            <w:pPr>
              <w:widowControl/>
              <w:tabs>
                <w:tab w:val="left" w:pos="720"/>
              </w:tabs>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continue"/>
            <w:vAlign w:val="center"/>
          </w:tcPr>
          <w:p>
            <w:pPr>
              <w:widowControl/>
              <w:tabs>
                <w:tab w:val="left" w:pos="720"/>
              </w:tabs>
              <w:jc w:val="center"/>
              <w:rPr>
                <w:rFonts w:ascii="宋体" w:hAnsi="宋体" w:cs="宋体"/>
                <w:color w:val="auto"/>
                <w:sz w:val="21"/>
                <w:szCs w:val="21"/>
                <w:highlight w:val="none"/>
                <w:lang w:eastAsia="en-US"/>
              </w:rPr>
            </w:pPr>
          </w:p>
        </w:tc>
        <w:tc>
          <w:tcPr>
            <w:tcW w:w="2268" w:type="dxa"/>
          </w:tcPr>
          <w:p>
            <w:pPr>
              <w:widowControl/>
              <w:tabs>
                <w:tab w:val="left" w:pos="720"/>
              </w:tabs>
              <w:rPr>
                <w:rFonts w:ascii="宋体" w:hAnsi="宋体" w:cs="宋体"/>
                <w:color w:val="auto"/>
                <w:sz w:val="21"/>
                <w:szCs w:val="21"/>
                <w:highlight w:val="none"/>
                <w:lang w:eastAsia="en-US"/>
              </w:rPr>
            </w:pPr>
          </w:p>
        </w:tc>
        <w:tc>
          <w:tcPr>
            <w:tcW w:w="1559" w:type="dxa"/>
          </w:tcPr>
          <w:p>
            <w:pPr>
              <w:widowControl/>
              <w:tabs>
                <w:tab w:val="left" w:pos="720"/>
              </w:tabs>
              <w:rPr>
                <w:rFonts w:ascii="宋体" w:hAnsi="宋体" w:cs="宋体"/>
                <w:color w:val="auto"/>
                <w:sz w:val="21"/>
                <w:szCs w:val="21"/>
                <w:highlight w:val="none"/>
                <w:lang w:eastAsia="en-US"/>
              </w:rPr>
            </w:pPr>
          </w:p>
        </w:tc>
        <w:tc>
          <w:tcPr>
            <w:tcW w:w="2162" w:type="dxa"/>
          </w:tcPr>
          <w:p>
            <w:pPr>
              <w:widowControl/>
              <w:tabs>
                <w:tab w:val="left" w:pos="720"/>
              </w:tabs>
              <w:rPr>
                <w:rFonts w:ascii="宋体" w:hAnsi="宋体" w:cs="宋体"/>
                <w:color w:val="auto"/>
                <w:sz w:val="21"/>
                <w:szCs w:val="21"/>
                <w:highlight w:val="none"/>
                <w:lang w:eastAsia="en-US"/>
              </w:rPr>
            </w:pPr>
          </w:p>
        </w:tc>
        <w:tc>
          <w:tcPr>
            <w:tcW w:w="1243" w:type="dxa"/>
          </w:tcPr>
          <w:p>
            <w:pPr>
              <w:widowControl/>
              <w:tabs>
                <w:tab w:val="left" w:pos="720"/>
              </w:tabs>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continue"/>
            <w:vAlign w:val="center"/>
          </w:tcPr>
          <w:p>
            <w:pPr>
              <w:widowControl/>
              <w:tabs>
                <w:tab w:val="left" w:pos="720"/>
              </w:tabs>
              <w:jc w:val="center"/>
              <w:rPr>
                <w:rFonts w:ascii="宋体" w:hAnsi="宋体" w:cs="宋体"/>
                <w:color w:val="auto"/>
                <w:sz w:val="21"/>
                <w:szCs w:val="21"/>
                <w:highlight w:val="none"/>
                <w:lang w:eastAsia="en-US"/>
              </w:rPr>
            </w:pPr>
          </w:p>
        </w:tc>
        <w:tc>
          <w:tcPr>
            <w:tcW w:w="2268" w:type="dxa"/>
          </w:tcPr>
          <w:p>
            <w:pPr>
              <w:widowControl/>
              <w:tabs>
                <w:tab w:val="left" w:pos="720"/>
              </w:tabs>
              <w:rPr>
                <w:rFonts w:ascii="宋体" w:hAnsi="宋体" w:cs="宋体"/>
                <w:color w:val="auto"/>
                <w:sz w:val="21"/>
                <w:szCs w:val="21"/>
                <w:highlight w:val="none"/>
                <w:lang w:eastAsia="en-US"/>
              </w:rPr>
            </w:pPr>
          </w:p>
        </w:tc>
        <w:tc>
          <w:tcPr>
            <w:tcW w:w="1559" w:type="dxa"/>
          </w:tcPr>
          <w:p>
            <w:pPr>
              <w:widowControl/>
              <w:tabs>
                <w:tab w:val="left" w:pos="720"/>
              </w:tabs>
              <w:rPr>
                <w:rFonts w:ascii="宋体" w:hAnsi="宋体" w:cs="宋体"/>
                <w:color w:val="auto"/>
                <w:sz w:val="21"/>
                <w:szCs w:val="21"/>
                <w:highlight w:val="none"/>
                <w:lang w:eastAsia="en-US"/>
              </w:rPr>
            </w:pPr>
          </w:p>
        </w:tc>
        <w:tc>
          <w:tcPr>
            <w:tcW w:w="2162" w:type="dxa"/>
          </w:tcPr>
          <w:p>
            <w:pPr>
              <w:widowControl/>
              <w:tabs>
                <w:tab w:val="left" w:pos="720"/>
              </w:tabs>
              <w:rPr>
                <w:rFonts w:ascii="宋体" w:hAnsi="宋体" w:cs="宋体"/>
                <w:color w:val="auto"/>
                <w:sz w:val="21"/>
                <w:szCs w:val="21"/>
                <w:highlight w:val="none"/>
                <w:lang w:eastAsia="en-US"/>
              </w:rPr>
            </w:pPr>
          </w:p>
        </w:tc>
        <w:tc>
          <w:tcPr>
            <w:tcW w:w="1243" w:type="dxa"/>
          </w:tcPr>
          <w:p>
            <w:pPr>
              <w:widowControl/>
              <w:tabs>
                <w:tab w:val="left" w:pos="720"/>
              </w:tabs>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restart"/>
            <w:vAlign w:val="center"/>
          </w:tcPr>
          <w:p>
            <w:pPr>
              <w:widowControl/>
              <w:tabs>
                <w:tab w:val="left" w:pos="720"/>
              </w:tabs>
              <w:jc w:val="center"/>
              <w:rPr>
                <w:rFonts w:ascii="宋体" w:hAnsi="宋体" w:cs="宋体"/>
                <w:color w:val="auto"/>
                <w:sz w:val="21"/>
                <w:szCs w:val="21"/>
                <w:highlight w:val="none"/>
                <w:lang w:eastAsia="en-US"/>
              </w:rPr>
            </w:pPr>
            <w:r>
              <w:rPr>
                <w:rFonts w:hint="eastAsia" w:ascii="宋体" w:hAnsi="宋体" w:cs="宋体"/>
                <w:color w:val="auto"/>
                <w:sz w:val="21"/>
                <w:szCs w:val="21"/>
                <w:highlight w:val="none"/>
              </w:rPr>
              <w:t>质保期满后第4年</w:t>
            </w:r>
          </w:p>
        </w:tc>
        <w:tc>
          <w:tcPr>
            <w:tcW w:w="2268" w:type="dxa"/>
          </w:tcPr>
          <w:p>
            <w:pPr>
              <w:widowControl/>
              <w:tabs>
                <w:tab w:val="left" w:pos="720"/>
              </w:tabs>
              <w:rPr>
                <w:rFonts w:ascii="宋体" w:hAnsi="宋体" w:cs="宋体"/>
                <w:color w:val="auto"/>
                <w:sz w:val="21"/>
                <w:szCs w:val="21"/>
                <w:highlight w:val="none"/>
                <w:lang w:eastAsia="en-US"/>
              </w:rPr>
            </w:pPr>
          </w:p>
        </w:tc>
        <w:tc>
          <w:tcPr>
            <w:tcW w:w="1559" w:type="dxa"/>
          </w:tcPr>
          <w:p>
            <w:pPr>
              <w:widowControl/>
              <w:tabs>
                <w:tab w:val="left" w:pos="720"/>
              </w:tabs>
              <w:rPr>
                <w:rFonts w:ascii="宋体" w:hAnsi="宋体" w:cs="宋体"/>
                <w:color w:val="auto"/>
                <w:sz w:val="21"/>
                <w:szCs w:val="21"/>
                <w:highlight w:val="none"/>
                <w:lang w:eastAsia="en-US"/>
              </w:rPr>
            </w:pPr>
          </w:p>
        </w:tc>
        <w:tc>
          <w:tcPr>
            <w:tcW w:w="2162" w:type="dxa"/>
          </w:tcPr>
          <w:p>
            <w:pPr>
              <w:widowControl/>
              <w:tabs>
                <w:tab w:val="left" w:pos="720"/>
              </w:tabs>
              <w:rPr>
                <w:rFonts w:ascii="宋体" w:hAnsi="宋体" w:cs="宋体"/>
                <w:color w:val="auto"/>
                <w:sz w:val="21"/>
                <w:szCs w:val="21"/>
                <w:highlight w:val="none"/>
                <w:lang w:eastAsia="en-US"/>
              </w:rPr>
            </w:pPr>
          </w:p>
        </w:tc>
        <w:tc>
          <w:tcPr>
            <w:tcW w:w="1243" w:type="dxa"/>
          </w:tcPr>
          <w:p>
            <w:pPr>
              <w:widowControl/>
              <w:tabs>
                <w:tab w:val="left" w:pos="720"/>
              </w:tabs>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continue"/>
            <w:vAlign w:val="center"/>
          </w:tcPr>
          <w:p>
            <w:pPr>
              <w:widowControl/>
              <w:tabs>
                <w:tab w:val="left" w:pos="720"/>
              </w:tabs>
              <w:jc w:val="center"/>
              <w:rPr>
                <w:rFonts w:ascii="宋体" w:hAnsi="宋体" w:cs="宋体"/>
                <w:color w:val="auto"/>
                <w:sz w:val="21"/>
                <w:szCs w:val="21"/>
                <w:highlight w:val="none"/>
                <w:lang w:eastAsia="en-US"/>
              </w:rPr>
            </w:pPr>
          </w:p>
        </w:tc>
        <w:tc>
          <w:tcPr>
            <w:tcW w:w="2268" w:type="dxa"/>
          </w:tcPr>
          <w:p>
            <w:pPr>
              <w:widowControl/>
              <w:tabs>
                <w:tab w:val="left" w:pos="720"/>
              </w:tabs>
              <w:rPr>
                <w:rFonts w:ascii="宋体" w:hAnsi="宋体" w:cs="宋体"/>
                <w:color w:val="auto"/>
                <w:sz w:val="21"/>
                <w:szCs w:val="21"/>
                <w:highlight w:val="none"/>
                <w:lang w:eastAsia="en-US"/>
              </w:rPr>
            </w:pPr>
          </w:p>
        </w:tc>
        <w:tc>
          <w:tcPr>
            <w:tcW w:w="1559" w:type="dxa"/>
          </w:tcPr>
          <w:p>
            <w:pPr>
              <w:widowControl/>
              <w:tabs>
                <w:tab w:val="left" w:pos="720"/>
              </w:tabs>
              <w:rPr>
                <w:rFonts w:ascii="宋体" w:hAnsi="宋体" w:cs="宋体"/>
                <w:color w:val="auto"/>
                <w:sz w:val="21"/>
                <w:szCs w:val="21"/>
                <w:highlight w:val="none"/>
                <w:lang w:eastAsia="en-US"/>
              </w:rPr>
            </w:pPr>
          </w:p>
        </w:tc>
        <w:tc>
          <w:tcPr>
            <w:tcW w:w="2162" w:type="dxa"/>
          </w:tcPr>
          <w:p>
            <w:pPr>
              <w:widowControl/>
              <w:tabs>
                <w:tab w:val="left" w:pos="720"/>
              </w:tabs>
              <w:rPr>
                <w:rFonts w:ascii="宋体" w:hAnsi="宋体" w:cs="宋体"/>
                <w:color w:val="auto"/>
                <w:sz w:val="21"/>
                <w:szCs w:val="21"/>
                <w:highlight w:val="none"/>
                <w:lang w:eastAsia="en-US"/>
              </w:rPr>
            </w:pPr>
          </w:p>
        </w:tc>
        <w:tc>
          <w:tcPr>
            <w:tcW w:w="1243" w:type="dxa"/>
          </w:tcPr>
          <w:p>
            <w:pPr>
              <w:widowControl/>
              <w:tabs>
                <w:tab w:val="left" w:pos="720"/>
              </w:tabs>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continue"/>
            <w:vAlign w:val="center"/>
          </w:tcPr>
          <w:p>
            <w:pPr>
              <w:widowControl/>
              <w:tabs>
                <w:tab w:val="left" w:pos="720"/>
              </w:tabs>
              <w:jc w:val="center"/>
              <w:rPr>
                <w:rFonts w:ascii="宋体" w:hAnsi="宋体" w:cs="宋体"/>
                <w:color w:val="auto"/>
                <w:sz w:val="21"/>
                <w:szCs w:val="21"/>
                <w:highlight w:val="none"/>
                <w:lang w:eastAsia="en-US"/>
              </w:rPr>
            </w:pPr>
          </w:p>
        </w:tc>
        <w:tc>
          <w:tcPr>
            <w:tcW w:w="2268" w:type="dxa"/>
          </w:tcPr>
          <w:p>
            <w:pPr>
              <w:widowControl/>
              <w:tabs>
                <w:tab w:val="left" w:pos="720"/>
              </w:tabs>
              <w:rPr>
                <w:rFonts w:ascii="宋体" w:hAnsi="宋体" w:cs="宋体"/>
                <w:color w:val="auto"/>
                <w:sz w:val="21"/>
                <w:szCs w:val="21"/>
                <w:highlight w:val="none"/>
                <w:lang w:eastAsia="en-US"/>
              </w:rPr>
            </w:pPr>
          </w:p>
        </w:tc>
        <w:tc>
          <w:tcPr>
            <w:tcW w:w="1559" w:type="dxa"/>
          </w:tcPr>
          <w:p>
            <w:pPr>
              <w:widowControl/>
              <w:tabs>
                <w:tab w:val="left" w:pos="720"/>
              </w:tabs>
              <w:rPr>
                <w:rFonts w:ascii="宋体" w:hAnsi="宋体" w:cs="宋体"/>
                <w:color w:val="auto"/>
                <w:sz w:val="21"/>
                <w:szCs w:val="21"/>
                <w:highlight w:val="none"/>
                <w:lang w:eastAsia="en-US"/>
              </w:rPr>
            </w:pPr>
          </w:p>
        </w:tc>
        <w:tc>
          <w:tcPr>
            <w:tcW w:w="2162" w:type="dxa"/>
          </w:tcPr>
          <w:p>
            <w:pPr>
              <w:widowControl/>
              <w:tabs>
                <w:tab w:val="left" w:pos="720"/>
              </w:tabs>
              <w:rPr>
                <w:rFonts w:ascii="宋体" w:hAnsi="宋体" w:cs="宋体"/>
                <w:color w:val="auto"/>
                <w:sz w:val="21"/>
                <w:szCs w:val="21"/>
                <w:highlight w:val="none"/>
                <w:lang w:eastAsia="en-US"/>
              </w:rPr>
            </w:pPr>
          </w:p>
        </w:tc>
        <w:tc>
          <w:tcPr>
            <w:tcW w:w="1243" w:type="dxa"/>
          </w:tcPr>
          <w:p>
            <w:pPr>
              <w:widowControl/>
              <w:tabs>
                <w:tab w:val="left" w:pos="720"/>
              </w:tabs>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continue"/>
            <w:vAlign w:val="center"/>
          </w:tcPr>
          <w:p>
            <w:pPr>
              <w:widowControl/>
              <w:tabs>
                <w:tab w:val="left" w:pos="720"/>
              </w:tabs>
              <w:jc w:val="center"/>
              <w:rPr>
                <w:rFonts w:ascii="宋体" w:hAnsi="宋体" w:cs="宋体"/>
                <w:color w:val="auto"/>
                <w:sz w:val="21"/>
                <w:szCs w:val="21"/>
                <w:highlight w:val="none"/>
                <w:lang w:eastAsia="en-US"/>
              </w:rPr>
            </w:pPr>
          </w:p>
        </w:tc>
        <w:tc>
          <w:tcPr>
            <w:tcW w:w="2268" w:type="dxa"/>
          </w:tcPr>
          <w:p>
            <w:pPr>
              <w:widowControl/>
              <w:tabs>
                <w:tab w:val="left" w:pos="720"/>
              </w:tabs>
              <w:rPr>
                <w:rFonts w:ascii="宋体" w:hAnsi="宋体" w:cs="宋体"/>
                <w:color w:val="auto"/>
                <w:sz w:val="21"/>
                <w:szCs w:val="21"/>
                <w:highlight w:val="none"/>
                <w:lang w:eastAsia="en-US"/>
              </w:rPr>
            </w:pPr>
          </w:p>
        </w:tc>
        <w:tc>
          <w:tcPr>
            <w:tcW w:w="1559" w:type="dxa"/>
          </w:tcPr>
          <w:p>
            <w:pPr>
              <w:widowControl/>
              <w:tabs>
                <w:tab w:val="left" w:pos="720"/>
              </w:tabs>
              <w:rPr>
                <w:rFonts w:ascii="宋体" w:hAnsi="宋体" w:cs="宋体"/>
                <w:color w:val="auto"/>
                <w:sz w:val="21"/>
                <w:szCs w:val="21"/>
                <w:highlight w:val="none"/>
                <w:lang w:eastAsia="en-US"/>
              </w:rPr>
            </w:pPr>
          </w:p>
        </w:tc>
        <w:tc>
          <w:tcPr>
            <w:tcW w:w="2162" w:type="dxa"/>
          </w:tcPr>
          <w:p>
            <w:pPr>
              <w:widowControl/>
              <w:tabs>
                <w:tab w:val="left" w:pos="720"/>
              </w:tabs>
              <w:rPr>
                <w:rFonts w:ascii="宋体" w:hAnsi="宋体" w:cs="宋体"/>
                <w:color w:val="auto"/>
                <w:sz w:val="21"/>
                <w:szCs w:val="21"/>
                <w:highlight w:val="none"/>
                <w:lang w:eastAsia="en-US"/>
              </w:rPr>
            </w:pPr>
          </w:p>
        </w:tc>
        <w:tc>
          <w:tcPr>
            <w:tcW w:w="1243" w:type="dxa"/>
          </w:tcPr>
          <w:p>
            <w:pPr>
              <w:widowControl/>
              <w:tabs>
                <w:tab w:val="left" w:pos="720"/>
              </w:tabs>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restart"/>
            <w:vAlign w:val="center"/>
          </w:tcPr>
          <w:p>
            <w:pPr>
              <w:widowControl/>
              <w:tabs>
                <w:tab w:val="left" w:pos="720"/>
              </w:tabs>
              <w:jc w:val="center"/>
              <w:rPr>
                <w:rFonts w:ascii="宋体" w:hAnsi="宋体" w:cs="宋体"/>
                <w:color w:val="auto"/>
                <w:sz w:val="21"/>
                <w:szCs w:val="21"/>
                <w:highlight w:val="none"/>
                <w:lang w:eastAsia="en-US"/>
              </w:rPr>
            </w:pPr>
            <w:r>
              <w:rPr>
                <w:rFonts w:hint="eastAsia" w:ascii="宋体" w:hAnsi="宋体" w:cs="宋体"/>
                <w:color w:val="auto"/>
                <w:sz w:val="21"/>
                <w:szCs w:val="21"/>
                <w:highlight w:val="none"/>
              </w:rPr>
              <w:t>质保期满后第5年</w:t>
            </w:r>
          </w:p>
        </w:tc>
        <w:tc>
          <w:tcPr>
            <w:tcW w:w="2268" w:type="dxa"/>
          </w:tcPr>
          <w:p>
            <w:pPr>
              <w:widowControl/>
              <w:tabs>
                <w:tab w:val="left" w:pos="720"/>
              </w:tabs>
              <w:rPr>
                <w:rFonts w:ascii="宋体" w:hAnsi="宋体" w:cs="宋体"/>
                <w:color w:val="auto"/>
                <w:sz w:val="21"/>
                <w:szCs w:val="21"/>
                <w:highlight w:val="none"/>
                <w:lang w:eastAsia="en-US"/>
              </w:rPr>
            </w:pPr>
          </w:p>
        </w:tc>
        <w:tc>
          <w:tcPr>
            <w:tcW w:w="1559" w:type="dxa"/>
          </w:tcPr>
          <w:p>
            <w:pPr>
              <w:widowControl/>
              <w:tabs>
                <w:tab w:val="left" w:pos="720"/>
              </w:tabs>
              <w:rPr>
                <w:rFonts w:ascii="宋体" w:hAnsi="宋体" w:cs="宋体"/>
                <w:color w:val="auto"/>
                <w:sz w:val="21"/>
                <w:szCs w:val="21"/>
                <w:highlight w:val="none"/>
                <w:lang w:eastAsia="en-US"/>
              </w:rPr>
            </w:pPr>
          </w:p>
        </w:tc>
        <w:tc>
          <w:tcPr>
            <w:tcW w:w="2162" w:type="dxa"/>
          </w:tcPr>
          <w:p>
            <w:pPr>
              <w:widowControl/>
              <w:tabs>
                <w:tab w:val="left" w:pos="720"/>
              </w:tabs>
              <w:rPr>
                <w:rFonts w:ascii="宋体" w:hAnsi="宋体" w:cs="宋体"/>
                <w:color w:val="auto"/>
                <w:sz w:val="21"/>
                <w:szCs w:val="21"/>
                <w:highlight w:val="none"/>
                <w:lang w:eastAsia="en-US"/>
              </w:rPr>
            </w:pPr>
          </w:p>
        </w:tc>
        <w:tc>
          <w:tcPr>
            <w:tcW w:w="1243" w:type="dxa"/>
          </w:tcPr>
          <w:p>
            <w:pPr>
              <w:widowControl/>
              <w:tabs>
                <w:tab w:val="left" w:pos="720"/>
              </w:tabs>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continue"/>
            <w:vAlign w:val="center"/>
          </w:tcPr>
          <w:p>
            <w:pPr>
              <w:widowControl/>
              <w:tabs>
                <w:tab w:val="left" w:pos="720"/>
              </w:tabs>
              <w:jc w:val="center"/>
              <w:rPr>
                <w:rFonts w:ascii="宋体" w:hAnsi="宋体" w:cs="宋体"/>
                <w:color w:val="auto"/>
                <w:sz w:val="21"/>
                <w:szCs w:val="21"/>
                <w:highlight w:val="none"/>
                <w:lang w:eastAsia="en-US"/>
              </w:rPr>
            </w:pPr>
          </w:p>
        </w:tc>
        <w:tc>
          <w:tcPr>
            <w:tcW w:w="2268" w:type="dxa"/>
          </w:tcPr>
          <w:p>
            <w:pPr>
              <w:widowControl/>
              <w:tabs>
                <w:tab w:val="left" w:pos="720"/>
              </w:tabs>
              <w:rPr>
                <w:rFonts w:ascii="宋体" w:hAnsi="宋体" w:cs="宋体"/>
                <w:color w:val="auto"/>
                <w:sz w:val="21"/>
                <w:szCs w:val="21"/>
                <w:highlight w:val="none"/>
                <w:lang w:eastAsia="en-US"/>
              </w:rPr>
            </w:pPr>
          </w:p>
        </w:tc>
        <w:tc>
          <w:tcPr>
            <w:tcW w:w="1559" w:type="dxa"/>
          </w:tcPr>
          <w:p>
            <w:pPr>
              <w:widowControl/>
              <w:tabs>
                <w:tab w:val="left" w:pos="720"/>
              </w:tabs>
              <w:rPr>
                <w:rFonts w:ascii="宋体" w:hAnsi="宋体" w:cs="宋体"/>
                <w:color w:val="auto"/>
                <w:sz w:val="21"/>
                <w:szCs w:val="21"/>
                <w:highlight w:val="none"/>
                <w:lang w:eastAsia="en-US"/>
              </w:rPr>
            </w:pPr>
          </w:p>
        </w:tc>
        <w:tc>
          <w:tcPr>
            <w:tcW w:w="2162" w:type="dxa"/>
          </w:tcPr>
          <w:p>
            <w:pPr>
              <w:widowControl/>
              <w:tabs>
                <w:tab w:val="left" w:pos="720"/>
              </w:tabs>
              <w:rPr>
                <w:rFonts w:ascii="宋体" w:hAnsi="宋体" w:cs="宋体"/>
                <w:color w:val="auto"/>
                <w:sz w:val="21"/>
                <w:szCs w:val="21"/>
                <w:highlight w:val="none"/>
                <w:lang w:eastAsia="en-US"/>
              </w:rPr>
            </w:pPr>
          </w:p>
        </w:tc>
        <w:tc>
          <w:tcPr>
            <w:tcW w:w="1243" w:type="dxa"/>
          </w:tcPr>
          <w:p>
            <w:pPr>
              <w:widowControl/>
              <w:tabs>
                <w:tab w:val="left" w:pos="720"/>
              </w:tabs>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continue"/>
            <w:vAlign w:val="center"/>
          </w:tcPr>
          <w:p>
            <w:pPr>
              <w:widowControl/>
              <w:tabs>
                <w:tab w:val="left" w:pos="720"/>
              </w:tabs>
              <w:jc w:val="center"/>
              <w:rPr>
                <w:rFonts w:ascii="宋体" w:hAnsi="宋体" w:cs="宋体"/>
                <w:color w:val="auto"/>
                <w:sz w:val="21"/>
                <w:szCs w:val="21"/>
                <w:highlight w:val="none"/>
                <w:lang w:eastAsia="en-US"/>
              </w:rPr>
            </w:pPr>
          </w:p>
        </w:tc>
        <w:tc>
          <w:tcPr>
            <w:tcW w:w="2268" w:type="dxa"/>
          </w:tcPr>
          <w:p>
            <w:pPr>
              <w:widowControl/>
              <w:tabs>
                <w:tab w:val="left" w:pos="720"/>
              </w:tabs>
              <w:rPr>
                <w:rFonts w:ascii="宋体" w:hAnsi="宋体" w:cs="宋体"/>
                <w:color w:val="auto"/>
                <w:sz w:val="21"/>
                <w:szCs w:val="21"/>
                <w:highlight w:val="none"/>
                <w:lang w:eastAsia="en-US"/>
              </w:rPr>
            </w:pPr>
          </w:p>
        </w:tc>
        <w:tc>
          <w:tcPr>
            <w:tcW w:w="1559" w:type="dxa"/>
          </w:tcPr>
          <w:p>
            <w:pPr>
              <w:widowControl/>
              <w:tabs>
                <w:tab w:val="left" w:pos="720"/>
              </w:tabs>
              <w:rPr>
                <w:rFonts w:ascii="宋体" w:hAnsi="宋体" w:cs="宋体"/>
                <w:color w:val="auto"/>
                <w:sz w:val="21"/>
                <w:szCs w:val="21"/>
                <w:highlight w:val="none"/>
                <w:lang w:eastAsia="en-US"/>
              </w:rPr>
            </w:pPr>
          </w:p>
        </w:tc>
        <w:tc>
          <w:tcPr>
            <w:tcW w:w="2162" w:type="dxa"/>
          </w:tcPr>
          <w:p>
            <w:pPr>
              <w:widowControl/>
              <w:tabs>
                <w:tab w:val="left" w:pos="720"/>
              </w:tabs>
              <w:rPr>
                <w:rFonts w:ascii="宋体" w:hAnsi="宋体" w:cs="宋体"/>
                <w:color w:val="auto"/>
                <w:sz w:val="21"/>
                <w:szCs w:val="21"/>
                <w:highlight w:val="none"/>
                <w:lang w:eastAsia="en-US"/>
              </w:rPr>
            </w:pPr>
          </w:p>
        </w:tc>
        <w:tc>
          <w:tcPr>
            <w:tcW w:w="1243" w:type="dxa"/>
          </w:tcPr>
          <w:p>
            <w:pPr>
              <w:widowControl/>
              <w:tabs>
                <w:tab w:val="left" w:pos="720"/>
              </w:tabs>
              <w:rPr>
                <w:rFonts w:ascii="宋体" w:hAnsi="宋体" w:cs="宋体"/>
                <w:color w:val="auto"/>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continue"/>
            <w:vAlign w:val="center"/>
          </w:tcPr>
          <w:p>
            <w:pPr>
              <w:widowControl/>
              <w:tabs>
                <w:tab w:val="left" w:pos="720"/>
              </w:tabs>
              <w:jc w:val="center"/>
              <w:rPr>
                <w:rFonts w:ascii="宋体" w:hAnsi="宋体" w:cs="宋体"/>
                <w:color w:val="auto"/>
                <w:sz w:val="21"/>
                <w:szCs w:val="21"/>
                <w:highlight w:val="none"/>
                <w:lang w:eastAsia="en-US"/>
              </w:rPr>
            </w:pPr>
          </w:p>
        </w:tc>
        <w:tc>
          <w:tcPr>
            <w:tcW w:w="2268" w:type="dxa"/>
          </w:tcPr>
          <w:p>
            <w:pPr>
              <w:widowControl/>
              <w:tabs>
                <w:tab w:val="left" w:pos="720"/>
              </w:tabs>
              <w:rPr>
                <w:rFonts w:ascii="宋体" w:hAnsi="宋体" w:cs="宋体"/>
                <w:color w:val="auto"/>
                <w:sz w:val="21"/>
                <w:szCs w:val="21"/>
                <w:highlight w:val="none"/>
                <w:lang w:eastAsia="en-US"/>
              </w:rPr>
            </w:pPr>
          </w:p>
        </w:tc>
        <w:tc>
          <w:tcPr>
            <w:tcW w:w="1559" w:type="dxa"/>
          </w:tcPr>
          <w:p>
            <w:pPr>
              <w:widowControl/>
              <w:tabs>
                <w:tab w:val="left" w:pos="720"/>
              </w:tabs>
              <w:rPr>
                <w:rFonts w:ascii="宋体" w:hAnsi="宋体" w:cs="宋体"/>
                <w:color w:val="auto"/>
                <w:sz w:val="21"/>
                <w:szCs w:val="21"/>
                <w:highlight w:val="none"/>
                <w:lang w:eastAsia="en-US"/>
              </w:rPr>
            </w:pPr>
          </w:p>
        </w:tc>
        <w:tc>
          <w:tcPr>
            <w:tcW w:w="2162" w:type="dxa"/>
          </w:tcPr>
          <w:p>
            <w:pPr>
              <w:widowControl/>
              <w:tabs>
                <w:tab w:val="left" w:pos="720"/>
              </w:tabs>
              <w:rPr>
                <w:rFonts w:ascii="宋体" w:hAnsi="宋体" w:cs="宋体"/>
                <w:color w:val="auto"/>
                <w:sz w:val="21"/>
                <w:szCs w:val="21"/>
                <w:highlight w:val="none"/>
                <w:lang w:eastAsia="en-US"/>
              </w:rPr>
            </w:pPr>
          </w:p>
        </w:tc>
        <w:tc>
          <w:tcPr>
            <w:tcW w:w="1243" w:type="dxa"/>
          </w:tcPr>
          <w:p>
            <w:pPr>
              <w:widowControl/>
              <w:tabs>
                <w:tab w:val="left" w:pos="720"/>
              </w:tabs>
              <w:rPr>
                <w:rFonts w:ascii="宋体" w:hAnsi="宋体" w:cs="宋体"/>
                <w:color w:val="auto"/>
                <w:sz w:val="21"/>
                <w:szCs w:val="21"/>
                <w:highlight w:val="none"/>
                <w:lang w:eastAsia="en-US"/>
              </w:rPr>
            </w:pPr>
          </w:p>
        </w:tc>
      </w:tr>
    </w:tbl>
    <w:p>
      <w:pPr>
        <w:widowControl/>
        <w:tabs>
          <w:tab w:val="left" w:pos="720"/>
        </w:tabs>
        <w:ind w:left="720" w:hanging="720" w:hangingChars="300"/>
        <w:rPr>
          <w:rFonts w:ascii="宋体" w:hAnsi="宋体" w:cs="宋体"/>
          <w:color w:val="auto"/>
          <w:highlight w:val="none"/>
          <w:lang w:eastAsia="en-US"/>
        </w:rPr>
      </w:pPr>
    </w:p>
    <w:p>
      <w:pPr>
        <w:widowControl/>
        <w:tabs>
          <w:tab w:val="left" w:pos="0"/>
        </w:tabs>
        <w:snapToGrid w:val="0"/>
        <w:spacing w:line="300" w:lineRule="auto"/>
        <w:rPr>
          <w:rFonts w:ascii="宋体" w:hAnsi="宋体" w:cs="宋体"/>
          <w:color w:val="auto"/>
          <w:sz w:val="21"/>
          <w:szCs w:val="21"/>
          <w:highlight w:val="none"/>
        </w:rPr>
      </w:pPr>
      <w:r>
        <w:rPr>
          <w:rFonts w:hint="eastAsia" w:ascii="宋体" w:hAnsi="宋体" w:cs="宋体"/>
          <w:color w:val="auto"/>
          <w:sz w:val="21"/>
          <w:szCs w:val="21"/>
          <w:highlight w:val="none"/>
        </w:rPr>
        <w:t>注： 1、投标人必须提交满足质保期后正常运行所要求备件明细表。</w:t>
      </w:r>
    </w:p>
    <w:p>
      <w:pPr>
        <w:widowControl/>
        <w:tabs>
          <w:tab w:val="left" w:pos="0"/>
        </w:tabs>
        <w:snapToGrid w:val="0"/>
        <w:spacing w:line="300" w:lineRule="auto"/>
        <w:ind w:firstLine="497" w:firstLineChars="237"/>
        <w:rPr>
          <w:rFonts w:ascii="宋体" w:hAnsi="宋体" w:cs="宋体"/>
          <w:color w:val="auto"/>
          <w:sz w:val="21"/>
          <w:szCs w:val="21"/>
          <w:highlight w:val="none"/>
        </w:rPr>
      </w:pPr>
      <w:r>
        <w:rPr>
          <w:rFonts w:hint="eastAsia" w:ascii="宋体" w:hAnsi="宋体" w:cs="宋体"/>
          <w:color w:val="auto"/>
          <w:sz w:val="21"/>
          <w:szCs w:val="21"/>
          <w:highlight w:val="none"/>
        </w:rPr>
        <w:t>2、投标人必须提交质保期满后5年的维修保养费用。</w:t>
      </w:r>
    </w:p>
    <w:p>
      <w:pPr>
        <w:widowControl/>
        <w:tabs>
          <w:tab w:val="left" w:pos="0"/>
        </w:tabs>
        <w:snapToGrid w:val="0"/>
        <w:spacing w:line="300" w:lineRule="auto"/>
        <w:ind w:firstLine="497" w:firstLineChars="237"/>
        <w:rPr>
          <w:rFonts w:ascii="宋体" w:hAnsi="宋体" w:cs="宋体"/>
          <w:color w:val="auto"/>
          <w:sz w:val="21"/>
          <w:szCs w:val="21"/>
          <w:highlight w:val="none"/>
        </w:rPr>
      </w:pPr>
      <w:r>
        <w:rPr>
          <w:rFonts w:hint="eastAsia" w:ascii="宋体" w:hAnsi="宋体" w:cs="宋体"/>
          <w:color w:val="auto"/>
          <w:sz w:val="21"/>
          <w:szCs w:val="21"/>
          <w:highlight w:val="none"/>
        </w:rPr>
        <w:t>3、此费用不计入投标总价。供招标人选择（如果是免费提供或不需提供的，在备注中说明详细情况）。如招标人愿意与投标人签订质保期后维修保养合同，投标人价格应不高于此价格。</w:t>
      </w:r>
    </w:p>
    <w:p>
      <w:pPr>
        <w:widowControl/>
        <w:tabs>
          <w:tab w:val="left" w:pos="0"/>
        </w:tabs>
        <w:snapToGrid w:val="0"/>
        <w:spacing w:line="300" w:lineRule="auto"/>
        <w:ind w:firstLine="497" w:firstLineChars="237"/>
        <w:rPr>
          <w:rFonts w:ascii="宋体" w:hAnsi="宋体" w:cs="宋体"/>
          <w:color w:val="auto"/>
          <w:sz w:val="21"/>
          <w:szCs w:val="21"/>
          <w:highlight w:val="none"/>
        </w:rPr>
      </w:pPr>
      <w:r>
        <w:rPr>
          <w:rFonts w:hint="eastAsia" w:ascii="宋体" w:hAnsi="宋体" w:cs="宋体"/>
          <w:color w:val="auto"/>
          <w:sz w:val="21"/>
          <w:szCs w:val="21"/>
          <w:highlight w:val="none"/>
        </w:rPr>
        <w:t>4、维修保养费为全费用包干，包括但不限于人工费、材料费、交通费、管理费、利润、税金等为完成电梯维修保养所发生的一切费用。</w:t>
      </w:r>
    </w:p>
    <w:p>
      <w:pPr>
        <w:widowControl/>
        <w:tabs>
          <w:tab w:val="left" w:pos="720"/>
        </w:tabs>
        <w:snapToGrid w:val="0"/>
        <w:spacing w:line="300" w:lineRule="auto"/>
        <w:rPr>
          <w:rFonts w:ascii="宋体" w:hAnsi="宋体" w:cs="宋体"/>
          <w:color w:val="auto"/>
          <w:sz w:val="21"/>
          <w:szCs w:val="21"/>
          <w:highlight w:val="none"/>
        </w:rPr>
      </w:pPr>
    </w:p>
    <w:p>
      <w:pPr>
        <w:widowControl/>
        <w:snapToGrid w:val="0"/>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投标人（盖章）：</w:t>
      </w:r>
    </w:p>
    <w:p>
      <w:pPr>
        <w:spacing w:line="360" w:lineRule="auto"/>
        <w:rPr>
          <w:color w:val="auto"/>
          <w:sz w:val="21"/>
          <w:szCs w:val="21"/>
          <w:highlight w:val="none"/>
        </w:rPr>
      </w:pPr>
      <w:r>
        <w:rPr>
          <w:rFonts w:hint="eastAsia"/>
          <w:color w:val="auto"/>
          <w:sz w:val="21"/>
          <w:szCs w:val="21"/>
          <w:highlight w:val="none"/>
        </w:rPr>
        <w:t>法定代表人或其授权代理人（签名或盖章）：</w:t>
      </w:r>
    </w:p>
    <w:p>
      <w:pPr>
        <w:spacing w:line="360" w:lineRule="auto"/>
        <w:rPr>
          <w:color w:val="auto"/>
          <w:sz w:val="21"/>
          <w:szCs w:val="21"/>
          <w:highlight w:val="none"/>
        </w:rPr>
      </w:pPr>
      <w:r>
        <w:rPr>
          <w:rFonts w:hint="eastAsia"/>
          <w:color w:val="auto"/>
          <w:sz w:val="21"/>
          <w:szCs w:val="21"/>
          <w:highlight w:val="none"/>
        </w:rPr>
        <w:t>日   期：</w:t>
      </w:r>
    </w:p>
    <w:p>
      <w:pPr>
        <w:widowControl/>
        <w:snapToGrid w:val="0"/>
        <w:rPr>
          <w:color w:val="auto"/>
          <w:highlight w:val="none"/>
        </w:rPr>
      </w:pPr>
      <w:r>
        <w:rPr>
          <w:rFonts w:hint="eastAsia"/>
          <w:color w:val="auto"/>
          <w:highlight w:val="none"/>
        </w:rPr>
        <w:t xml:space="preserve"> </w:t>
      </w:r>
    </w:p>
    <w:p>
      <w:pPr>
        <w:pStyle w:val="7"/>
        <w:overflowPunct w:val="0"/>
        <w:spacing w:line="443" w:lineRule="exact"/>
        <w:ind w:left="0" w:right="17"/>
        <w:rPr>
          <w:rFonts w:ascii="宋体" w:hAnsi="宋体" w:eastAsia="宋体" w:cs="宋体"/>
          <w:color w:val="auto"/>
          <w:sz w:val="24"/>
          <w:szCs w:val="16"/>
          <w:highlight w:val="none"/>
        </w:rPr>
      </w:pPr>
      <w:r>
        <w:rPr>
          <w:rFonts w:ascii="宋体" w:hAnsi="宋体" w:cs="宋体"/>
          <w:color w:val="auto"/>
          <w:highlight w:val="none"/>
        </w:rPr>
        <w:br w:type="page"/>
      </w:r>
      <w:bookmarkStart w:id="200" w:name="_Toc31644"/>
      <w:bookmarkStart w:id="201" w:name="_Toc83210341"/>
      <w:r>
        <w:rPr>
          <w:rFonts w:hint="eastAsia" w:ascii="宋体" w:hAnsi="宋体" w:eastAsia="宋体" w:cs="宋体"/>
          <w:color w:val="auto"/>
          <w:sz w:val="24"/>
          <w:szCs w:val="16"/>
          <w:highlight w:val="none"/>
        </w:rPr>
        <w:t>附件</w:t>
      </w:r>
      <w:r>
        <w:rPr>
          <w:rFonts w:ascii="宋体" w:hAnsi="宋体" w:eastAsia="宋体" w:cs="宋体"/>
          <w:color w:val="auto"/>
          <w:sz w:val="24"/>
          <w:szCs w:val="16"/>
          <w:highlight w:val="none"/>
        </w:rPr>
        <w:t>3：法定代表人</w:t>
      </w:r>
      <w:r>
        <w:rPr>
          <w:rFonts w:hint="eastAsia" w:ascii="宋体" w:hAnsi="宋体" w:eastAsia="宋体" w:cs="宋体"/>
          <w:color w:val="auto"/>
          <w:sz w:val="24"/>
          <w:szCs w:val="16"/>
          <w:highlight w:val="none"/>
        </w:rPr>
        <w:t>（单位负责人）</w:t>
      </w:r>
      <w:r>
        <w:rPr>
          <w:rFonts w:ascii="宋体" w:hAnsi="宋体" w:eastAsia="宋体" w:cs="宋体"/>
          <w:color w:val="auto"/>
          <w:sz w:val="24"/>
          <w:szCs w:val="16"/>
          <w:highlight w:val="none"/>
        </w:rPr>
        <w:t>证明书</w:t>
      </w:r>
      <w:bookmarkEnd w:id="200"/>
      <w:bookmarkEnd w:id="201"/>
    </w:p>
    <w:p>
      <w:pPr>
        <w:pStyle w:val="48"/>
        <w:spacing w:line="360" w:lineRule="auto"/>
        <w:ind w:left="480" w:firstLine="0"/>
        <w:jc w:val="center"/>
        <w:rPr>
          <w:rFonts w:hint="default" w:cs="宋体"/>
          <w:b/>
          <w:color w:val="auto"/>
          <w:sz w:val="36"/>
          <w:szCs w:val="36"/>
          <w:highlight w:val="none"/>
        </w:rPr>
      </w:pPr>
    </w:p>
    <w:p>
      <w:pPr>
        <w:pStyle w:val="48"/>
        <w:spacing w:line="360" w:lineRule="auto"/>
        <w:ind w:left="480" w:firstLine="0"/>
        <w:jc w:val="center"/>
        <w:rPr>
          <w:rFonts w:hint="default" w:cs="宋体"/>
          <w:b/>
          <w:color w:val="auto"/>
          <w:sz w:val="36"/>
          <w:szCs w:val="36"/>
          <w:highlight w:val="none"/>
        </w:rPr>
      </w:pPr>
      <w:r>
        <w:rPr>
          <w:rFonts w:cs="宋体"/>
          <w:b/>
          <w:color w:val="auto"/>
          <w:sz w:val="36"/>
          <w:szCs w:val="36"/>
          <w:highlight w:val="none"/>
        </w:rPr>
        <w:t>法定代表人（单位负责人）证明书</w:t>
      </w:r>
    </w:p>
    <w:p>
      <w:pPr>
        <w:pStyle w:val="48"/>
        <w:spacing w:line="360" w:lineRule="auto"/>
        <w:ind w:left="480" w:firstLine="0"/>
        <w:jc w:val="center"/>
        <w:rPr>
          <w:rFonts w:hint="default" w:cs="宋体"/>
          <w:color w:val="auto"/>
          <w:highlight w:val="none"/>
        </w:rPr>
      </w:pPr>
    </w:p>
    <w:p>
      <w:pPr>
        <w:pStyle w:val="48"/>
        <w:spacing w:line="360" w:lineRule="auto"/>
        <w:ind w:left="480" w:firstLine="0"/>
        <w:jc w:val="center"/>
        <w:rPr>
          <w:rFonts w:hint="default" w:cs="宋体"/>
          <w:color w:val="auto"/>
          <w:highlight w:val="none"/>
        </w:rPr>
      </w:pPr>
    </w:p>
    <w:p>
      <w:pPr>
        <w:pStyle w:val="48"/>
        <w:spacing w:line="360" w:lineRule="auto"/>
        <w:ind w:left="480" w:firstLine="0"/>
        <w:jc w:val="right"/>
        <w:rPr>
          <w:rFonts w:hint="default" w:cs="宋体"/>
          <w:color w:val="auto"/>
          <w:highlight w:val="none"/>
        </w:rPr>
      </w:pPr>
      <w:r>
        <w:rPr>
          <w:rFonts w:cs="宋体"/>
          <w:color w:val="auto"/>
          <w:highlight w:val="none"/>
        </w:rPr>
        <w:t>（可采用工商局印制的格式）</w:t>
      </w:r>
    </w:p>
    <w:p>
      <w:pPr>
        <w:spacing w:line="360" w:lineRule="auto"/>
        <w:ind w:left="-2"/>
        <w:rPr>
          <w:rFonts w:ascii="宋体" w:hAnsi="宋体" w:cs="宋体"/>
          <w:color w:val="auto"/>
          <w:highlight w:val="none"/>
        </w:rPr>
      </w:pPr>
      <w:r>
        <w:rPr>
          <w:rFonts w:hint="eastAsia" w:ascii="宋体" w:hAnsi="宋体" w:cs="宋体"/>
          <w:color w:val="auto"/>
          <w:highlight w:val="none"/>
        </w:rPr>
        <w:t>单位名称：</w:t>
      </w:r>
      <w:r>
        <w:rPr>
          <w:rFonts w:ascii="宋体" w:hAnsi="宋体" w:cs="宋体"/>
          <w:color w:val="auto"/>
          <w:highlight w:val="none"/>
          <w:u w:val="single"/>
        </w:rPr>
        <w:t xml:space="preserve">              </w:t>
      </w:r>
      <w:r>
        <w:rPr>
          <w:rFonts w:hint="eastAsia" w:ascii="宋体" w:hAnsi="宋体" w:cs="宋体"/>
          <w:color w:val="auto"/>
          <w:highlight w:val="none"/>
        </w:rPr>
        <w:t>单位性质：</w:t>
      </w:r>
      <w:r>
        <w:rPr>
          <w:rFonts w:ascii="宋体" w:hAnsi="宋体" w:cs="宋体"/>
          <w:color w:val="auto"/>
          <w:highlight w:val="none"/>
          <w:u w:val="single"/>
        </w:rPr>
        <w:t xml:space="preserve">                             </w:t>
      </w:r>
    </w:p>
    <w:p>
      <w:pPr>
        <w:spacing w:line="360" w:lineRule="auto"/>
        <w:ind w:left="-2"/>
        <w:rPr>
          <w:rFonts w:ascii="宋体" w:hAnsi="宋体" w:cs="宋体"/>
          <w:color w:val="auto"/>
          <w:highlight w:val="none"/>
        </w:rPr>
      </w:pPr>
      <w:r>
        <w:rPr>
          <w:rFonts w:hint="eastAsia" w:ascii="宋体" w:hAnsi="宋体" w:cs="宋体"/>
          <w:color w:val="auto"/>
          <w:highlight w:val="none"/>
        </w:rPr>
        <w:t>地</w:t>
      </w:r>
      <w:r>
        <w:rPr>
          <w:rFonts w:ascii="宋体" w:hAnsi="宋体" w:cs="宋体"/>
          <w:color w:val="auto"/>
          <w:highlight w:val="none"/>
        </w:rPr>
        <w:t xml:space="preserve">    </w:t>
      </w:r>
      <w:r>
        <w:rPr>
          <w:rFonts w:hint="eastAsia" w:ascii="宋体" w:hAnsi="宋体" w:cs="宋体"/>
          <w:color w:val="auto"/>
          <w:highlight w:val="none"/>
        </w:rPr>
        <w:t>址：</w:t>
      </w:r>
      <w:r>
        <w:rPr>
          <w:rFonts w:ascii="宋体" w:hAnsi="宋体" w:cs="宋体"/>
          <w:color w:val="auto"/>
          <w:highlight w:val="none"/>
          <w:u w:val="single"/>
        </w:rPr>
        <w:t xml:space="preserve">                     </w:t>
      </w:r>
      <w:r>
        <w:rPr>
          <w:rFonts w:hint="eastAsia" w:ascii="宋体" w:hAnsi="宋体" w:cs="宋体"/>
          <w:color w:val="auto"/>
          <w:highlight w:val="none"/>
        </w:rPr>
        <w:t>成立时间：</w:t>
      </w:r>
      <w:r>
        <w:rPr>
          <w:rFonts w:ascii="宋体" w:hAnsi="宋体" w:cs="宋体"/>
          <w:color w:val="auto"/>
          <w:highlight w:val="none"/>
          <w:u w:val="single"/>
        </w:rPr>
        <w:t xml:space="preserve">                     </w:t>
      </w:r>
    </w:p>
    <w:p>
      <w:pPr>
        <w:spacing w:line="360" w:lineRule="auto"/>
        <w:ind w:left="-2"/>
        <w:rPr>
          <w:rFonts w:ascii="宋体" w:hAnsi="宋体" w:cs="宋体"/>
          <w:color w:val="auto"/>
          <w:highlight w:val="none"/>
        </w:rPr>
      </w:pPr>
      <w:r>
        <w:rPr>
          <w:rFonts w:hint="eastAsia" w:ascii="宋体" w:hAnsi="宋体" w:cs="宋体"/>
          <w:color w:val="auto"/>
          <w:highlight w:val="none"/>
        </w:rPr>
        <w:t>经营期限：</w:t>
      </w:r>
      <w:r>
        <w:rPr>
          <w:rFonts w:ascii="宋体" w:hAnsi="宋体" w:cs="宋体"/>
          <w:color w:val="auto"/>
          <w:highlight w:val="none"/>
          <w:u w:val="single"/>
        </w:rPr>
        <w:t xml:space="preserve">                        </w:t>
      </w:r>
    </w:p>
    <w:p>
      <w:pPr>
        <w:spacing w:line="360" w:lineRule="auto"/>
        <w:ind w:left="-2"/>
        <w:rPr>
          <w:rFonts w:ascii="宋体" w:hAnsi="宋体" w:cs="宋体"/>
          <w:color w:val="auto"/>
          <w:highlight w:val="none"/>
        </w:rPr>
      </w:pPr>
      <w:r>
        <w:rPr>
          <w:rFonts w:hint="eastAsia" w:ascii="宋体" w:hAnsi="宋体" w:cs="宋体"/>
          <w:color w:val="auto"/>
          <w:highlight w:val="none"/>
        </w:rPr>
        <w:t>姓</w:t>
      </w:r>
      <w:r>
        <w:rPr>
          <w:rFonts w:ascii="宋体" w:hAnsi="宋体" w:cs="宋体"/>
          <w:color w:val="auto"/>
          <w:highlight w:val="none"/>
        </w:rPr>
        <w:t xml:space="preserve">    </w:t>
      </w:r>
      <w:r>
        <w:rPr>
          <w:rFonts w:hint="eastAsia" w:ascii="宋体" w:hAnsi="宋体" w:cs="宋体"/>
          <w:color w:val="auto"/>
          <w:highlight w:val="none"/>
        </w:rPr>
        <w:t>名：</w:t>
      </w:r>
      <w:r>
        <w:rPr>
          <w:rFonts w:ascii="宋体" w:hAnsi="宋体" w:cs="宋体"/>
          <w:color w:val="auto"/>
          <w:highlight w:val="none"/>
          <w:u w:val="single"/>
        </w:rPr>
        <w:t xml:space="preserve">               </w:t>
      </w:r>
      <w:r>
        <w:rPr>
          <w:rFonts w:hint="eastAsia" w:ascii="宋体" w:hAnsi="宋体" w:cs="宋体"/>
          <w:color w:val="auto"/>
          <w:highlight w:val="none"/>
        </w:rPr>
        <w:t>性别：</w:t>
      </w:r>
      <w:r>
        <w:rPr>
          <w:rFonts w:ascii="宋体" w:hAnsi="宋体" w:cs="宋体"/>
          <w:color w:val="auto"/>
          <w:highlight w:val="none"/>
          <w:u w:val="single"/>
        </w:rPr>
        <w:t xml:space="preserve">            </w:t>
      </w:r>
      <w:r>
        <w:rPr>
          <w:rFonts w:ascii="宋体" w:hAnsi="宋体" w:cs="宋体"/>
          <w:color w:val="auto"/>
          <w:highlight w:val="none"/>
        </w:rPr>
        <w:t xml:space="preserve"> 年龄：</w:t>
      </w:r>
      <w:r>
        <w:rPr>
          <w:rFonts w:ascii="宋体" w:hAnsi="宋体" w:cs="宋体"/>
          <w:color w:val="auto"/>
          <w:highlight w:val="none"/>
          <w:u w:val="single"/>
        </w:rPr>
        <w:t xml:space="preserve">            </w:t>
      </w:r>
      <w:r>
        <w:rPr>
          <w:rFonts w:hint="eastAsia" w:ascii="宋体" w:hAnsi="宋体" w:cs="宋体"/>
          <w:color w:val="auto"/>
          <w:highlight w:val="none"/>
        </w:rPr>
        <w:t>职务：</w:t>
      </w:r>
      <w:r>
        <w:rPr>
          <w:rFonts w:ascii="宋体" w:hAnsi="宋体" w:cs="宋体"/>
          <w:color w:val="auto"/>
          <w:highlight w:val="none"/>
          <w:u w:val="single"/>
        </w:rPr>
        <w:t xml:space="preserve">       </w:t>
      </w:r>
    </w:p>
    <w:p>
      <w:pPr>
        <w:spacing w:line="360" w:lineRule="auto"/>
        <w:ind w:left="-2"/>
        <w:rPr>
          <w:rFonts w:ascii="宋体" w:hAnsi="宋体" w:cs="宋体"/>
          <w:color w:val="auto"/>
          <w:highlight w:val="none"/>
        </w:rPr>
      </w:pPr>
      <w:r>
        <w:rPr>
          <w:rFonts w:hint="eastAsia" w:ascii="宋体" w:hAnsi="宋体" w:cs="宋体"/>
          <w:color w:val="auto"/>
          <w:highlight w:val="none"/>
        </w:rPr>
        <w:t>为我单位法定代表人（单位负责人），特此证明。</w:t>
      </w:r>
    </w:p>
    <w:p>
      <w:pPr>
        <w:spacing w:line="360" w:lineRule="auto"/>
        <w:ind w:left="-2"/>
        <w:rPr>
          <w:rFonts w:ascii="宋体" w:hAnsi="宋体" w:cs="宋体"/>
          <w:color w:val="auto"/>
          <w:highlight w:val="none"/>
        </w:rPr>
      </w:pPr>
    </w:p>
    <w:p>
      <w:pPr>
        <w:spacing w:line="360" w:lineRule="auto"/>
        <w:ind w:left="-2" w:right="2151"/>
        <w:rPr>
          <w:rFonts w:ascii="宋体" w:hAnsi="宋体" w:cs="宋体"/>
          <w:color w:val="auto"/>
          <w:highlight w:val="none"/>
        </w:rPr>
      </w:pPr>
    </w:p>
    <w:p>
      <w:pPr>
        <w:spacing w:line="360" w:lineRule="auto"/>
        <w:ind w:left="-2" w:right="-9" w:firstLine="3360" w:firstLineChars="1400"/>
        <w:jc w:val="right"/>
        <w:rPr>
          <w:rFonts w:ascii="宋体" w:hAnsi="宋体" w:cs="宋体"/>
          <w:color w:val="auto"/>
          <w:highlight w:val="none"/>
        </w:rPr>
      </w:pPr>
      <w:r>
        <w:rPr>
          <w:rFonts w:hint="eastAsia" w:ascii="宋体" w:hAnsi="宋体"/>
          <w:color w:val="auto"/>
          <w:highlight w:val="none"/>
        </w:rPr>
        <w:t>投标单位：（单位全称）</w:t>
      </w:r>
      <w:r>
        <w:rPr>
          <w:rFonts w:ascii="宋体" w:hAnsi="宋体"/>
          <w:color w:val="auto"/>
          <w:highlight w:val="none"/>
          <w:u w:val="single"/>
        </w:rPr>
        <w:t xml:space="preserve">               </w:t>
      </w:r>
      <w:r>
        <w:rPr>
          <w:rFonts w:ascii="宋体" w:hAnsi="宋体"/>
          <w:color w:val="auto"/>
          <w:highlight w:val="none"/>
        </w:rPr>
        <w:t>(</w:t>
      </w:r>
      <w:r>
        <w:rPr>
          <w:rFonts w:hint="eastAsia" w:ascii="宋体" w:hAnsi="宋体"/>
          <w:color w:val="auto"/>
          <w:highlight w:val="none"/>
        </w:rPr>
        <w:t>盖章</w:t>
      </w:r>
      <w:r>
        <w:rPr>
          <w:rFonts w:ascii="宋体" w:hAnsi="宋体"/>
          <w:color w:val="auto"/>
          <w:highlight w:val="none"/>
        </w:rPr>
        <w:t>)</w:t>
      </w:r>
    </w:p>
    <w:p>
      <w:pPr>
        <w:spacing w:line="360" w:lineRule="auto"/>
        <w:ind w:left="-2" w:right="-9" w:firstLine="3360" w:firstLineChars="1400"/>
        <w:jc w:val="right"/>
        <w:rPr>
          <w:rFonts w:ascii="宋体" w:hAnsi="宋体" w:cs="宋体"/>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hAnsi="宋体" w:cs="宋体"/>
          <w:color w:val="auto"/>
          <w:highlight w:val="none"/>
          <w:u w:val="single"/>
        </w:rPr>
        <w:t xml:space="preserve">      </w:t>
      </w:r>
      <w:r>
        <w:rPr>
          <w:rFonts w:hint="eastAsia" w:ascii="宋体" w:hAnsi="宋体" w:cs="宋体"/>
          <w:color w:val="auto"/>
          <w:highlight w:val="none"/>
        </w:rPr>
        <w:t>年</w:t>
      </w:r>
      <w:r>
        <w:rPr>
          <w:rFonts w:ascii="宋体" w:hAnsi="宋体" w:cs="宋体"/>
          <w:color w:val="auto"/>
          <w:highlight w:val="none"/>
          <w:u w:val="single"/>
        </w:rPr>
        <w:t xml:space="preserve">    </w:t>
      </w:r>
      <w:r>
        <w:rPr>
          <w:rFonts w:hint="eastAsia" w:ascii="宋体" w:hAnsi="宋体" w:cs="宋体"/>
          <w:color w:val="auto"/>
          <w:highlight w:val="none"/>
        </w:rPr>
        <w:t>月</w:t>
      </w:r>
      <w:r>
        <w:rPr>
          <w:rFonts w:ascii="宋体" w:hAnsi="宋体" w:cs="宋体"/>
          <w:color w:val="auto"/>
          <w:highlight w:val="none"/>
          <w:u w:val="single"/>
        </w:rPr>
        <w:t xml:space="preserve">    </w:t>
      </w:r>
      <w:r>
        <w:rPr>
          <w:rFonts w:hint="eastAsia" w:ascii="宋体" w:hAnsi="宋体" w:cs="宋体"/>
          <w:color w:val="auto"/>
          <w:highlight w:val="none"/>
        </w:rPr>
        <w:t>日</w:t>
      </w:r>
    </w:p>
    <w:p>
      <w:pPr>
        <w:spacing w:line="360" w:lineRule="auto"/>
        <w:ind w:left="-2" w:right="-9" w:firstLine="3360" w:firstLineChars="1400"/>
        <w:rPr>
          <w:rFonts w:ascii="宋体" w:hAnsi="宋体" w:cs="宋体"/>
          <w:color w:val="auto"/>
          <w:highlight w:val="none"/>
        </w:rPr>
      </w:pPr>
    </w:p>
    <w:p>
      <w:pPr>
        <w:spacing w:line="360" w:lineRule="auto"/>
        <w:ind w:right="-9"/>
        <w:rPr>
          <w:rFonts w:ascii="宋体" w:hAnsi="宋体" w:cs="宋体"/>
          <w:color w:val="auto"/>
          <w:highlight w:val="none"/>
        </w:rPr>
      </w:pPr>
      <w:r>
        <w:rPr>
          <w:rFonts w:hint="eastAsia" w:ascii="宋体" w:hAnsi="宋体" w:cs="宋体"/>
          <w:color w:val="auto"/>
          <w:highlight w:val="none"/>
        </w:rPr>
        <w:t>附：法定代表人（单位负责人）身份证扫描件。</w:t>
      </w:r>
    </w:p>
    <w:p>
      <w:pPr>
        <w:spacing w:line="360" w:lineRule="auto"/>
        <w:ind w:right="-9"/>
        <w:rPr>
          <w:rFonts w:ascii="宋体" w:hAnsi="宋体" w:cs="宋体"/>
          <w:color w:val="auto"/>
          <w:highlight w:val="none"/>
        </w:rPr>
      </w:pPr>
      <w:r>
        <w:rPr>
          <w:rFonts w:hint="eastAsia" w:ascii="宋体" w:hAnsi="宋体" w:cs="宋体"/>
          <w:color w:val="auto"/>
          <w:highlight w:val="none"/>
        </w:rPr>
        <w:t>注：法定代表人（单位负责人）证明书也可以采用工商行政管理局统一印制的格式。</w:t>
      </w:r>
    </w:p>
    <w:p>
      <w:pPr>
        <w:pStyle w:val="7"/>
        <w:overflowPunct w:val="0"/>
        <w:spacing w:line="443" w:lineRule="exact"/>
        <w:ind w:left="8" w:right="1034" w:hanging="8"/>
        <w:rPr>
          <w:rFonts w:ascii="宋体" w:hAnsi="宋体" w:eastAsia="宋体" w:cs="宋体"/>
          <w:color w:val="auto"/>
          <w:sz w:val="24"/>
          <w:szCs w:val="24"/>
          <w:highlight w:val="none"/>
        </w:rPr>
      </w:pPr>
      <w:r>
        <w:rPr>
          <w:rFonts w:cs="宋体"/>
          <w:color w:val="auto"/>
          <w:spacing w:val="-8"/>
          <w:szCs w:val="22"/>
          <w:highlight w:val="none"/>
        </w:rPr>
        <w:br w:type="page"/>
      </w:r>
      <w:bookmarkStart w:id="202" w:name="_Toc83210342"/>
      <w:r>
        <w:rPr>
          <w:rFonts w:ascii="宋体" w:hAnsi="宋体" w:eastAsia="宋体" w:cs="宋体"/>
          <w:color w:val="auto"/>
          <w:sz w:val="24"/>
          <w:szCs w:val="16"/>
          <w:highlight w:val="none"/>
        </w:rPr>
        <w:t>附件4：</w:t>
      </w:r>
      <w:r>
        <w:rPr>
          <w:rFonts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rPr>
        <w:t>（单位负责人）</w:t>
      </w:r>
      <w:bookmarkEnd w:id="202"/>
      <w:r>
        <w:rPr>
          <w:rFonts w:hint="eastAsia" w:ascii="宋体" w:hAnsi="宋体" w:eastAsia="宋体" w:cs="宋体"/>
          <w:color w:val="auto"/>
          <w:sz w:val="24"/>
          <w:szCs w:val="24"/>
          <w:highlight w:val="none"/>
        </w:rPr>
        <w:t>授权委托书</w:t>
      </w:r>
    </w:p>
    <w:p>
      <w:pPr>
        <w:rPr>
          <w:b/>
          <w:color w:val="auto"/>
          <w:szCs w:val="24"/>
          <w:highlight w:val="none"/>
        </w:rPr>
      </w:pPr>
    </w:p>
    <w:p>
      <w:pPr>
        <w:rPr>
          <w:b/>
          <w:color w:val="auto"/>
          <w:szCs w:val="24"/>
          <w:highlight w:val="none"/>
        </w:rPr>
      </w:pPr>
    </w:p>
    <w:p>
      <w:pPr>
        <w:pStyle w:val="48"/>
        <w:spacing w:line="360" w:lineRule="auto"/>
        <w:ind w:left="480" w:firstLine="0"/>
        <w:jc w:val="center"/>
        <w:rPr>
          <w:rFonts w:hint="default" w:cs="宋体"/>
          <w:b/>
          <w:color w:val="auto"/>
          <w:sz w:val="36"/>
          <w:szCs w:val="36"/>
          <w:highlight w:val="none"/>
        </w:rPr>
      </w:pPr>
      <w:r>
        <w:rPr>
          <w:rFonts w:cs="宋体"/>
          <w:b/>
          <w:color w:val="auto"/>
          <w:sz w:val="36"/>
          <w:szCs w:val="36"/>
          <w:highlight w:val="none"/>
        </w:rPr>
        <w:t>法定代表人（单位负责人）授权委托书</w:t>
      </w:r>
    </w:p>
    <w:p>
      <w:pPr>
        <w:pStyle w:val="48"/>
        <w:spacing w:line="360" w:lineRule="auto"/>
        <w:ind w:left="480" w:firstLine="0"/>
        <w:jc w:val="center"/>
        <w:rPr>
          <w:rFonts w:hint="default" w:cs="宋体"/>
          <w:b/>
          <w:color w:val="auto"/>
          <w:sz w:val="36"/>
          <w:szCs w:val="36"/>
          <w:highlight w:val="none"/>
        </w:rPr>
      </w:pPr>
    </w:p>
    <w:p>
      <w:pPr>
        <w:spacing w:line="360" w:lineRule="auto"/>
        <w:ind w:left="1294" w:leftChars="465" w:hanging="178" w:hangingChars="85"/>
        <w:jc w:val="right"/>
        <w:rPr>
          <w:rFonts w:ascii="宋体" w:hAnsi="宋体" w:cs="宋体"/>
          <w:color w:val="auto"/>
          <w:sz w:val="21"/>
          <w:szCs w:val="21"/>
          <w:highlight w:val="none"/>
        </w:rPr>
      </w:pPr>
      <w:r>
        <w:rPr>
          <w:rFonts w:hint="eastAsia" w:ascii="宋体" w:hAnsi="宋体" w:cs="宋体"/>
          <w:color w:val="auto"/>
          <w:sz w:val="21"/>
          <w:szCs w:val="21"/>
          <w:highlight w:val="none"/>
        </w:rPr>
        <w:t>（可采用工商局印制的格式）</w:t>
      </w:r>
    </w:p>
    <w:p>
      <w:pPr>
        <w:spacing w:line="360" w:lineRule="auto"/>
        <w:rPr>
          <w:rFonts w:ascii="宋体" w:hAnsi="宋体" w:cs="宋体"/>
          <w:color w:val="auto"/>
          <w:highlight w:val="none"/>
        </w:rPr>
      </w:pPr>
      <w:r>
        <w:rPr>
          <w:rFonts w:hint="eastAsia" w:ascii="宋体" w:hAnsi="宋体" w:cs="宋体"/>
          <w:color w:val="auto"/>
          <w:highlight w:val="none"/>
        </w:rPr>
        <w:t>（招标人）</w:t>
      </w:r>
      <w:r>
        <w:rPr>
          <w:rFonts w:ascii="宋体" w:hAnsi="宋体" w:cs="宋体"/>
          <w:color w:val="auto"/>
          <w:highlight w:val="none"/>
          <w:u w:val="single"/>
        </w:rPr>
        <w:t xml:space="preserve">            </w:t>
      </w:r>
      <w:r>
        <w:rPr>
          <w:rFonts w:hint="eastAsia" w:ascii="宋体" w:hAnsi="宋体" w:cs="宋体"/>
          <w:color w:val="auto"/>
          <w:highlight w:val="none"/>
        </w:rPr>
        <w:t>：</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现委派参加贵司组织的项目招标活动，全权代表我司处理招标活动中的一切事宜。</w:t>
      </w:r>
    </w:p>
    <w:p>
      <w:pPr>
        <w:spacing w:line="360" w:lineRule="auto"/>
        <w:rPr>
          <w:rFonts w:ascii="宋体" w:hAnsi="宋体" w:cs="宋体"/>
          <w:color w:val="auto"/>
          <w:highlight w:val="none"/>
        </w:rPr>
      </w:pPr>
      <w:r>
        <w:rPr>
          <w:rFonts w:hint="eastAsia" w:ascii="宋体" w:hAnsi="宋体" w:cs="宋体"/>
          <w:color w:val="auto"/>
          <w:highlight w:val="none"/>
        </w:rPr>
        <w:t>本授权有效期：</w:t>
      </w:r>
      <w:r>
        <w:rPr>
          <w:rFonts w:ascii="宋体" w:hAnsi="宋体" w:cs="宋体"/>
          <w:color w:val="auto"/>
          <w:highlight w:val="none"/>
          <w:u w:val="single"/>
        </w:rPr>
        <w:t xml:space="preserve">    </w:t>
      </w:r>
      <w:r>
        <w:rPr>
          <w:rFonts w:hint="eastAsia" w:ascii="宋体" w:hAnsi="宋体" w:cs="宋体"/>
          <w:color w:val="auto"/>
          <w:highlight w:val="none"/>
        </w:rPr>
        <w:t>年</w:t>
      </w:r>
      <w:r>
        <w:rPr>
          <w:rFonts w:ascii="宋体" w:hAnsi="宋体" w:cs="宋体"/>
          <w:color w:val="auto"/>
          <w:highlight w:val="none"/>
          <w:u w:val="single"/>
        </w:rPr>
        <w:t xml:space="preserve">    </w:t>
      </w:r>
      <w:r>
        <w:rPr>
          <w:rFonts w:hint="eastAsia" w:ascii="宋体" w:hAnsi="宋体" w:cs="宋体"/>
          <w:color w:val="auto"/>
          <w:highlight w:val="none"/>
        </w:rPr>
        <w:t>月</w:t>
      </w:r>
      <w:r>
        <w:rPr>
          <w:rFonts w:ascii="宋体" w:hAnsi="宋体" w:cs="宋体"/>
          <w:color w:val="auto"/>
          <w:highlight w:val="none"/>
          <w:u w:val="single"/>
        </w:rPr>
        <w:t xml:space="preserve">    </w:t>
      </w:r>
      <w:r>
        <w:rPr>
          <w:rFonts w:hint="eastAsia" w:ascii="宋体" w:hAnsi="宋体" w:cs="宋体"/>
          <w:color w:val="auto"/>
          <w:highlight w:val="none"/>
        </w:rPr>
        <w:t>日至</w:t>
      </w:r>
      <w:r>
        <w:rPr>
          <w:rFonts w:ascii="宋体" w:hAnsi="宋体" w:cs="宋体"/>
          <w:color w:val="auto"/>
          <w:highlight w:val="none"/>
          <w:u w:val="single"/>
        </w:rPr>
        <w:t xml:space="preserve">    </w:t>
      </w:r>
      <w:r>
        <w:rPr>
          <w:rFonts w:hint="eastAsia" w:ascii="宋体" w:hAnsi="宋体" w:cs="宋体"/>
          <w:color w:val="auto"/>
          <w:highlight w:val="none"/>
        </w:rPr>
        <w:t>年</w:t>
      </w:r>
      <w:r>
        <w:rPr>
          <w:rFonts w:ascii="宋体" w:hAnsi="宋体" w:cs="宋体"/>
          <w:color w:val="auto"/>
          <w:highlight w:val="none"/>
          <w:u w:val="single"/>
        </w:rPr>
        <w:t xml:space="preserve">    </w:t>
      </w:r>
      <w:r>
        <w:rPr>
          <w:rFonts w:hint="eastAsia" w:ascii="宋体" w:hAnsi="宋体" w:cs="宋体"/>
          <w:color w:val="auto"/>
          <w:highlight w:val="none"/>
        </w:rPr>
        <w:t>月</w:t>
      </w:r>
      <w:r>
        <w:rPr>
          <w:rFonts w:ascii="宋体" w:hAnsi="宋体" w:cs="宋体"/>
          <w:color w:val="auto"/>
          <w:highlight w:val="none"/>
          <w:u w:val="single"/>
        </w:rPr>
        <w:t xml:space="preserve">    </w:t>
      </w:r>
      <w:r>
        <w:rPr>
          <w:rFonts w:hint="eastAsia" w:ascii="宋体" w:hAnsi="宋体" w:cs="宋体"/>
          <w:color w:val="auto"/>
          <w:highlight w:val="none"/>
        </w:rPr>
        <w:t>日</w:t>
      </w:r>
    </w:p>
    <w:p>
      <w:pPr>
        <w:spacing w:line="360" w:lineRule="auto"/>
        <w:rPr>
          <w:rFonts w:ascii="宋体" w:hAnsi="宋体" w:cs="宋体"/>
          <w:color w:val="auto"/>
          <w:highlight w:val="none"/>
        </w:rPr>
      </w:pPr>
      <w:r>
        <w:rPr>
          <w:rFonts w:hint="eastAsia" w:ascii="宋体" w:hAnsi="宋体" w:cs="宋体"/>
          <w:color w:val="auto"/>
          <w:highlight w:val="none"/>
        </w:rPr>
        <w:t>附：全权代表姓名：</w:t>
      </w:r>
      <w:r>
        <w:rPr>
          <w:rFonts w:ascii="宋体" w:hAnsi="宋体" w:cs="宋体"/>
          <w:color w:val="auto"/>
          <w:highlight w:val="none"/>
          <w:u w:val="single"/>
        </w:rPr>
        <w:t xml:space="preserve">           </w:t>
      </w:r>
      <w:r>
        <w:rPr>
          <w:rFonts w:hint="eastAsia" w:ascii="宋体" w:hAnsi="宋体" w:cs="宋体"/>
          <w:color w:val="auto"/>
          <w:highlight w:val="none"/>
        </w:rPr>
        <w:t>性别：</w:t>
      </w:r>
      <w:r>
        <w:rPr>
          <w:rFonts w:ascii="宋体" w:hAnsi="宋体" w:cs="宋体"/>
          <w:color w:val="auto"/>
          <w:highlight w:val="none"/>
          <w:u w:val="single"/>
        </w:rPr>
        <w:t xml:space="preserve">          </w:t>
      </w:r>
      <w:r>
        <w:rPr>
          <w:rFonts w:hint="eastAsia" w:ascii="宋体" w:hAnsi="宋体" w:cs="宋体"/>
          <w:color w:val="auto"/>
          <w:highlight w:val="none"/>
        </w:rPr>
        <w:t>年龄：</w:t>
      </w:r>
      <w:r>
        <w:rPr>
          <w:rFonts w:ascii="宋体" w:hAnsi="宋体" w:cs="宋体"/>
          <w:color w:val="auto"/>
          <w:highlight w:val="none"/>
          <w:u w:val="single"/>
        </w:rPr>
        <w:t xml:space="preserve">       </w:t>
      </w:r>
    </w:p>
    <w:p>
      <w:pPr>
        <w:spacing w:line="360" w:lineRule="auto"/>
        <w:rPr>
          <w:rFonts w:ascii="宋体" w:hAnsi="宋体" w:cs="宋体"/>
          <w:color w:val="auto"/>
          <w:highlight w:val="none"/>
        </w:rPr>
      </w:pPr>
      <w:r>
        <w:rPr>
          <w:rFonts w:hint="eastAsia" w:ascii="宋体" w:hAnsi="宋体" w:cs="宋体"/>
          <w:color w:val="auto"/>
          <w:highlight w:val="none"/>
        </w:rPr>
        <w:t>职务：</w:t>
      </w:r>
      <w:r>
        <w:rPr>
          <w:rFonts w:ascii="宋体" w:hAnsi="宋体" w:cs="宋体"/>
          <w:color w:val="auto"/>
          <w:highlight w:val="none"/>
          <w:u w:val="single"/>
        </w:rPr>
        <w:t xml:space="preserve">            </w:t>
      </w:r>
      <w:r>
        <w:rPr>
          <w:rFonts w:hint="eastAsia" w:ascii="宋体" w:hAnsi="宋体" w:cs="宋体"/>
          <w:color w:val="auto"/>
          <w:highlight w:val="none"/>
        </w:rPr>
        <w:t>身份证号码：</w:t>
      </w:r>
      <w:r>
        <w:rPr>
          <w:rFonts w:ascii="宋体" w:hAnsi="宋体" w:cs="宋体"/>
          <w:color w:val="auto"/>
          <w:highlight w:val="none"/>
          <w:u w:val="single"/>
        </w:rPr>
        <w:t xml:space="preserve">                            </w:t>
      </w:r>
    </w:p>
    <w:p>
      <w:pPr>
        <w:spacing w:line="360" w:lineRule="auto"/>
        <w:rPr>
          <w:rFonts w:ascii="宋体" w:hAnsi="宋体" w:cs="宋体"/>
          <w:color w:val="auto"/>
          <w:highlight w:val="none"/>
        </w:rPr>
      </w:pPr>
      <w:r>
        <w:rPr>
          <w:rFonts w:hint="eastAsia" w:ascii="宋体" w:hAnsi="宋体" w:cs="宋体"/>
          <w:color w:val="auto"/>
          <w:highlight w:val="none"/>
        </w:rPr>
        <w:t>通讯地址：</w:t>
      </w:r>
      <w:r>
        <w:rPr>
          <w:rFonts w:ascii="宋体" w:hAnsi="宋体" w:cs="宋体"/>
          <w:color w:val="auto"/>
          <w:highlight w:val="none"/>
          <w:u w:val="single"/>
        </w:rPr>
        <w:t xml:space="preserve">                                                </w:t>
      </w:r>
    </w:p>
    <w:p>
      <w:pPr>
        <w:spacing w:line="360" w:lineRule="auto"/>
        <w:rPr>
          <w:rFonts w:ascii="宋体" w:hAnsi="宋体" w:cs="宋体"/>
          <w:color w:val="auto"/>
          <w:highlight w:val="none"/>
        </w:rPr>
      </w:pPr>
      <w:r>
        <w:rPr>
          <w:rFonts w:hint="eastAsia" w:ascii="宋体" w:hAnsi="宋体" w:cs="宋体"/>
          <w:color w:val="auto"/>
          <w:highlight w:val="none"/>
        </w:rPr>
        <w:t>邮政编码：</w:t>
      </w:r>
      <w:r>
        <w:rPr>
          <w:rFonts w:ascii="宋体" w:hAnsi="宋体" w:cs="宋体"/>
          <w:color w:val="auto"/>
          <w:highlight w:val="none"/>
          <w:u w:val="single"/>
        </w:rPr>
        <w:t xml:space="preserve">                                </w:t>
      </w:r>
    </w:p>
    <w:p>
      <w:pPr>
        <w:spacing w:line="360" w:lineRule="auto"/>
        <w:rPr>
          <w:rFonts w:ascii="宋体" w:hAnsi="宋体" w:cs="宋体"/>
          <w:color w:val="auto"/>
          <w:highlight w:val="none"/>
        </w:rPr>
      </w:pPr>
      <w:r>
        <w:rPr>
          <w:rFonts w:hint="eastAsia" w:ascii="宋体" w:hAnsi="宋体" w:cs="宋体"/>
          <w:color w:val="auto"/>
          <w:highlight w:val="none"/>
        </w:rPr>
        <w:t>电话：</w:t>
      </w:r>
      <w:r>
        <w:rPr>
          <w:rFonts w:ascii="宋体" w:hAnsi="宋体" w:cs="宋体"/>
          <w:color w:val="auto"/>
          <w:highlight w:val="none"/>
          <w:u w:val="single"/>
        </w:rPr>
        <w:t xml:space="preserve">                        </w:t>
      </w:r>
      <w:r>
        <w:rPr>
          <w:rFonts w:hint="eastAsia" w:ascii="宋体" w:hAnsi="宋体" w:cs="宋体"/>
          <w:color w:val="auto"/>
          <w:highlight w:val="none"/>
        </w:rPr>
        <w:t>电传：</w:t>
      </w:r>
      <w:r>
        <w:rPr>
          <w:rFonts w:ascii="宋体" w:hAnsi="宋体" w:cs="宋体"/>
          <w:color w:val="auto"/>
          <w:highlight w:val="none"/>
          <w:u w:val="single"/>
        </w:rPr>
        <w:t xml:space="preserve">                                    </w:t>
      </w: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jc w:val="center"/>
        <w:rPr>
          <w:rFonts w:ascii="宋体" w:hAnsi="宋体" w:cs="宋体"/>
          <w:color w:val="auto"/>
          <w:highlight w:val="none"/>
          <w:u w:val="single"/>
        </w:rPr>
      </w:pPr>
      <w:r>
        <w:rPr>
          <w:rFonts w:ascii="宋体" w:hAnsi="宋体" w:cs="宋体"/>
          <w:color w:val="auto"/>
          <w:highlight w:val="none"/>
        </w:rPr>
        <w:t xml:space="preserve">                    </w:t>
      </w:r>
      <w:r>
        <w:rPr>
          <w:rFonts w:hint="eastAsia" w:ascii="宋体" w:hAnsi="宋体"/>
          <w:color w:val="auto"/>
          <w:highlight w:val="none"/>
        </w:rPr>
        <w:t>投标单位：（单位全称）</w:t>
      </w:r>
      <w:r>
        <w:rPr>
          <w:rFonts w:ascii="宋体" w:hAnsi="宋体"/>
          <w:color w:val="auto"/>
          <w:highlight w:val="none"/>
          <w:u w:val="single"/>
        </w:rPr>
        <w:t xml:space="preserve">               </w:t>
      </w:r>
      <w:r>
        <w:rPr>
          <w:rFonts w:ascii="宋体" w:hAnsi="宋体"/>
          <w:color w:val="auto"/>
          <w:highlight w:val="none"/>
        </w:rPr>
        <w:t>(</w:t>
      </w:r>
      <w:r>
        <w:rPr>
          <w:rFonts w:hint="eastAsia" w:ascii="宋体" w:hAnsi="宋体"/>
          <w:color w:val="auto"/>
          <w:highlight w:val="none"/>
        </w:rPr>
        <w:t>盖章</w:t>
      </w:r>
      <w:r>
        <w:rPr>
          <w:rFonts w:ascii="宋体" w:hAnsi="宋体"/>
          <w:color w:val="auto"/>
          <w:highlight w:val="none"/>
        </w:rPr>
        <w:t>)</w:t>
      </w:r>
    </w:p>
    <w:p>
      <w:pPr>
        <w:spacing w:line="360" w:lineRule="auto"/>
        <w:jc w:val="center"/>
        <w:rPr>
          <w:rFonts w:ascii="宋体" w:hAnsi="宋体" w:cs="宋体"/>
          <w:color w:val="auto"/>
          <w:highlight w:val="none"/>
        </w:rPr>
      </w:pPr>
      <w:r>
        <w:rPr>
          <w:rFonts w:ascii="宋体" w:hAnsi="宋体" w:cs="宋体"/>
          <w:color w:val="auto"/>
          <w:highlight w:val="none"/>
        </w:rPr>
        <w:t xml:space="preserve">            法定代表人</w:t>
      </w:r>
      <w:r>
        <w:rPr>
          <w:rFonts w:hint="eastAsia" w:ascii="宋体" w:hAnsi="宋体" w:cs="宋体"/>
          <w:color w:val="auto"/>
          <w:szCs w:val="24"/>
          <w:highlight w:val="none"/>
        </w:rPr>
        <w:t>（单位负责人）</w:t>
      </w:r>
      <w:r>
        <w:rPr>
          <w:rFonts w:ascii="宋体" w:hAnsi="宋体" w:cs="宋体"/>
          <w:color w:val="auto"/>
          <w:highlight w:val="none"/>
        </w:rPr>
        <w:t>（签字或盖章）：</w:t>
      </w:r>
      <w:r>
        <w:rPr>
          <w:rFonts w:ascii="宋体" w:hAnsi="宋体" w:cs="宋体"/>
          <w:color w:val="auto"/>
          <w:highlight w:val="none"/>
          <w:u w:val="single"/>
        </w:rPr>
        <w:t xml:space="preserve">                </w:t>
      </w:r>
    </w:p>
    <w:p>
      <w:pPr>
        <w:spacing w:line="360" w:lineRule="auto"/>
        <w:ind w:right="360"/>
        <w:jc w:val="center"/>
        <w:rPr>
          <w:rFonts w:ascii="宋体" w:hAnsi="宋体" w:cs="宋体"/>
          <w:color w:val="auto"/>
          <w:highlight w:val="none"/>
        </w:rPr>
      </w:pPr>
      <w:r>
        <w:rPr>
          <w:rFonts w:hint="eastAsia" w:ascii="宋体" w:hAnsi="宋体" w:cs="宋体"/>
          <w:color w:val="auto"/>
          <w:highlight w:val="none"/>
        </w:rPr>
        <w:t xml:space="preserve">                日</w:t>
      </w:r>
      <w:r>
        <w:rPr>
          <w:rFonts w:ascii="宋体" w:hAnsi="宋体" w:cs="宋体"/>
          <w:color w:val="auto"/>
          <w:highlight w:val="none"/>
        </w:rPr>
        <w:t xml:space="preserve">  </w:t>
      </w:r>
      <w:r>
        <w:rPr>
          <w:rFonts w:hint="eastAsia" w:ascii="宋体" w:hAnsi="宋体" w:cs="宋体"/>
          <w:color w:val="auto"/>
          <w:highlight w:val="none"/>
        </w:rPr>
        <w:t>期：</w:t>
      </w:r>
      <w:r>
        <w:rPr>
          <w:rFonts w:ascii="宋体" w:hAnsi="宋体" w:cs="宋体"/>
          <w:color w:val="auto"/>
          <w:highlight w:val="none"/>
          <w:u w:val="single"/>
        </w:rPr>
        <w:t xml:space="preserve">    </w:t>
      </w:r>
      <w:r>
        <w:rPr>
          <w:rFonts w:hint="eastAsia" w:ascii="宋体" w:hAnsi="宋体" w:cs="宋体"/>
          <w:color w:val="auto"/>
          <w:highlight w:val="none"/>
        </w:rPr>
        <w:t>年</w:t>
      </w:r>
      <w:r>
        <w:rPr>
          <w:rFonts w:ascii="宋体" w:hAnsi="宋体" w:cs="宋体"/>
          <w:color w:val="auto"/>
          <w:highlight w:val="none"/>
          <w:u w:val="single"/>
        </w:rPr>
        <w:t xml:space="preserve">    </w:t>
      </w:r>
      <w:r>
        <w:rPr>
          <w:rFonts w:hint="eastAsia" w:ascii="宋体" w:hAnsi="宋体" w:cs="宋体"/>
          <w:color w:val="auto"/>
          <w:highlight w:val="none"/>
        </w:rPr>
        <w:t>月</w:t>
      </w:r>
      <w:r>
        <w:rPr>
          <w:rFonts w:ascii="宋体" w:hAnsi="宋体" w:cs="宋体"/>
          <w:color w:val="auto"/>
          <w:highlight w:val="none"/>
          <w:u w:val="single"/>
        </w:rPr>
        <w:t xml:space="preserve">    </w:t>
      </w:r>
      <w:r>
        <w:rPr>
          <w:rFonts w:hint="eastAsia" w:ascii="宋体" w:hAnsi="宋体" w:cs="宋体"/>
          <w:color w:val="auto"/>
          <w:highlight w:val="none"/>
        </w:rPr>
        <w:t>日</w:t>
      </w:r>
    </w:p>
    <w:p>
      <w:pPr>
        <w:spacing w:line="360" w:lineRule="auto"/>
        <w:ind w:right="360"/>
        <w:jc w:val="right"/>
        <w:rPr>
          <w:rFonts w:ascii="宋体" w:hAnsi="宋体" w:cs="宋体"/>
          <w:color w:val="auto"/>
          <w:highlight w:val="none"/>
        </w:rPr>
      </w:pPr>
    </w:p>
    <w:p>
      <w:pPr>
        <w:pStyle w:val="49"/>
        <w:ind w:left="480" w:firstLine="420"/>
        <w:rPr>
          <w:rFonts w:ascii="宋体" w:hAnsi="宋体" w:cs="宋体"/>
          <w:color w:val="auto"/>
          <w:highlight w:val="none"/>
        </w:rPr>
      </w:pPr>
    </w:p>
    <w:p>
      <w:pPr>
        <w:spacing w:line="360" w:lineRule="auto"/>
        <w:ind w:right="360"/>
        <w:rPr>
          <w:rFonts w:ascii="宋体" w:hAnsi="宋体" w:cs="宋体"/>
          <w:color w:val="auto"/>
          <w:highlight w:val="none"/>
        </w:rPr>
      </w:pPr>
      <w:r>
        <w:rPr>
          <w:rFonts w:hint="eastAsia" w:ascii="宋体" w:hAnsi="宋体" w:cs="宋体"/>
          <w:color w:val="auto"/>
          <w:highlight w:val="none"/>
        </w:rPr>
        <w:t>附：委托代理人身份证扫描件</w:t>
      </w:r>
    </w:p>
    <w:p>
      <w:pPr>
        <w:rPr>
          <w:rFonts w:ascii="宋体" w:hAnsi="宋体" w:cs="宋体"/>
          <w:color w:val="auto"/>
          <w:highlight w:val="none"/>
        </w:rPr>
      </w:pPr>
      <w:r>
        <w:rPr>
          <w:rFonts w:hint="eastAsia" w:ascii="宋体" w:hAnsi="宋体" w:cs="宋体"/>
          <w:color w:val="auto"/>
          <w:highlight w:val="none"/>
        </w:rPr>
        <w:t>注：法定代表人</w:t>
      </w:r>
      <w:r>
        <w:rPr>
          <w:rFonts w:hint="eastAsia" w:ascii="宋体" w:hAnsi="宋体" w:cs="宋体"/>
          <w:color w:val="auto"/>
          <w:szCs w:val="24"/>
          <w:highlight w:val="none"/>
        </w:rPr>
        <w:t>（单位负责人）</w:t>
      </w:r>
      <w:r>
        <w:rPr>
          <w:rFonts w:hint="eastAsia" w:ascii="宋体" w:hAnsi="宋体" w:cs="宋体"/>
          <w:color w:val="auto"/>
          <w:highlight w:val="none"/>
        </w:rPr>
        <w:t>授权委托书也可以采用工商行政管理局统一印制的格式。</w:t>
      </w:r>
    </w:p>
    <w:p>
      <w:pPr>
        <w:pStyle w:val="7"/>
        <w:overflowPunct w:val="0"/>
        <w:spacing w:line="443" w:lineRule="exact"/>
        <w:ind w:left="8" w:right="1034" w:hanging="8"/>
        <w:rPr>
          <w:rFonts w:cs="宋体"/>
          <w:color w:val="auto"/>
          <w:sz w:val="24"/>
          <w:szCs w:val="16"/>
          <w:highlight w:val="none"/>
        </w:rPr>
      </w:pPr>
      <w:bookmarkStart w:id="203" w:name="bookmark159"/>
      <w:bookmarkEnd w:id="203"/>
      <w:bookmarkStart w:id="204" w:name="_Toc83210343"/>
      <w:r>
        <w:rPr>
          <w:rFonts w:ascii="宋体" w:hAnsi="宋体" w:eastAsia="宋体" w:cs="宋体"/>
          <w:color w:val="auto"/>
          <w:sz w:val="24"/>
          <w:szCs w:val="16"/>
          <w:highlight w:val="none"/>
        </w:rPr>
        <w:br w:type="column"/>
      </w:r>
      <w:r>
        <w:rPr>
          <w:rFonts w:hint="eastAsia" w:ascii="宋体" w:hAnsi="宋体" w:eastAsia="宋体" w:cs="宋体"/>
          <w:color w:val="auto"/>
          <w:sz w:val="24"/>
          <w:szCs w:val="16"/>
          <w:highlight w:val="none"/>
        </w:rPr>
        <w:t>附件</w:t>
      </w:r>
      <w:r>
        <w:rPr>
          <w:rFonts w:ascii="宋体" w:hAnsi="宋体" w:eastAsia="宋体" w:cs="宋体"/>
          <w:color w:val="auto"/>
          <w:sz w:val="24"/>
          <w:szCs w:val="16"/>
          <w:highlight w:val="none"/>
        </w:rPr>
        <w:t>5：投标人基本情况表</w:t>
      </w:r>
      <w:bookmarkEnd w:id="204"/>
    </w:p>
    <w:p>
      <w:pPr>
        <w:pStyle w:val="48"/>
        <w:spacing w:line="360" w:lineRule="auto"/>
        <w:ind w:left="480" w:firstLine="0"/>
        <w:jc w:val="center"/>
        <w:rPr>
          <w:rFonts w:hint="default" w:cs="宋体"/>
          <w:b/>
          <w:bCs/>
          <w:color w:val="auto"/>
          <w:sz w:val="32"/>
          <w:szCs w:val="32"/>
          <w:highlight w:val="none"/>
        </w:rPr>
      </w:pPr>
      <w:r>
        <w:rPr>
          <w:rFonts w:cs="宋体"/>
          <w:b/>
          <w:bCs/>
          <w:color w:val="auto"/>
          <w:sz w:val="32"/>
          <w:szCs w:val="32"/>
          <w:highlight w:val="none"/>
        </w:rPr>
        <w:t>投标人基本情况表</w:t>
      </w:r>
    </w:p>
    <w:tbl>
      <w:tblPr>
        <w:tblStyle w:val="26"/>
        <w:tblW w:w="0" w:type="auto"/>
        <w:jc w:val="center"/>
        <w:tblLayout w:type="fixed"/>
        <w:tblCellMar>
          <w:top w:w="0" w:type="dxa"/>
          <w:left w:w="108" w:type="dxa"/>
          <w:bottom w:w="0" w:type="dxa"/>
          <w:right w:w="108" w:type="dxa"/>
        </w:tblCellMar>
      </w:tblPr>
      <w:tblGrid>
        <w:gridCol w:w="2175"/>
        <w:gridCol w:w="944"/>
        <w:gridCol w:w="2410"/>
        <w:gridCol w:w="1135"/>
        <w:gridCol w:w="2268"/>
      </w:tblGrid>
      <w:tr>
        <w:tblPrEx>
          <w:tblCellMar>
            <w:top w:w="0" w:type="dxa"/>
            <w:left w:w="108" w:type="dxa"/>
            <w:bottom w:w="0" w:type="dxa"/>
            <w:right w:w="108" w:type="dxa"/>
          </w:tblCellMar>
        </w:tblPrEx>
        <w:trPr>
          <w:trHeight w:val="451" w:hRule="exact"/>
          <w:jc w:val="center"/>
        </w:trPr>
        <w:tc>
          <w:tcPr>
            <w:tcW w:w="2175"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07"/>
              <w:jc w:val="center"/>
              <w:rPr>
                <w:rFonts w:ascii="宋体" w:hAnsi="宋体" w:cs="宋体"/>
                <w:color w:val="auto"/>
                <w:highlight w:val="none"/>
              </w:rPr>
            </w:pPr>
            <w:r>
              <w:rPr>
                <w:rFonts w:hint="eastAsia" w:ascii="宋体" w:hAnsi="宋体" w:cs="宋体"/>
                <w:color w:val="auto"/>
                <w:sz w:val="21"/>
                <w:highlight w:val="none"/>
              </w:rPr>
              <w:t>投标人名称</w:t>
            </w:r>
          </w:p>
        </w:tc>
        <w:tc>
          <w:tcPr>
            <w:tcW w:w="6757"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449" w:hRule="exact"/>
          <w:jc w:val="center"/>
        </w:trPr>
        <w:tc>
          <w:tcPr>
            <w:tcW w:w="2175"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07"/>
              <w:jc w:val="center"/>
              <w:rPr>
                <w:rFonts w:ascii="宋体" w:hAnsi="宋体" w:cs="宋体"/>
                <w:color w:val="auto"/>
                <w:highlight w:val="none"/>
              </w:rPr>
            </w:pPr>
            <w:r>
              <w:rPr>
                <w:rFonts w:hint="eastAsia" w:ascii="宋体" w:hAnsi="宋体" w:cs="宋体"/>
                <w:color w:val="auto"/>
                <w:sz w:val="21"/>
                <w:highlight w:val="none"/>
              </w:rPr>
              <w:t>注册资金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07"/>
              <w:jc w:val="center"/>
              <w:rPr>
                <w:rFonts w:ascii="宋体" w:hAnsi="宋体" w:cs="宋体"/>
                <w:color w:val="auto"/>
                <w:highlight w:val="none"/>
              </w:rPr>
            </w:pPr>
            <w:r>
              <w:rPr>
                <w:rFonts w:hint="eastAsia" w:ascii="宋体" w:hAnsi="宋体" w:cs="宋体"/>
                <w:color w:val="auto"/>
                <w:sz w:val="21"/>
                <w:highlight w:val="none"/>
              </w:rPr>
              <w:t>成立时间</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451" w:hRule="exact"/>
          <w:jc w:val="center"/>
        </w:trPr>
        <w:tc>
          <w:tcPr>
            <w:tcW w:w="2175"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07"/>
              <w:jc w:val="center"/>
              <w:rPr>
                <w:rFonts w:ascii="宋体" w:hAnsi="宋体" w:cs="宋体"/>
                <w:color w:val="auto"/>
                <w:highlight w:val="none"/>
              </w:rPr>
            </w:pPr>
            <w:r>
              <w:rPr>
                <w:rFonts w:hint="eastAsia" w:ascii="宋体" w:hAnsi="宋体" w:cs="宋体"/>
                <w:color w:val="auto"/>
                <w:sz w:val="21"/>
                <w:highlight w:val="none"/>
              </w:rPr>
              <w:t>注册地址</w:t>
            </w:r>
          </w:p>
        </w:tc>
        <w:tc>
          <w:tcPr>
            <w:tcW w:w="6757"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449" w:hRule="exact"/>
          <w:jc w:val="center"/>
        </w:trPr>
        <w:tc>
          <w:tcPr>
            <w:tcW w:w="2175"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08"/>
              <w:jc w:val="center"/>
              <w:rPr>
                <w:rFonts w:ascii="宋体" w:hAnsi="宋体" w:cs="宋体"/>
                <w:color w:val="auto"/>
                <w:highlight w:val="none"/>
              </w:rPr>
            </w:pPr>
            <w:r>
              <w:rPr>
                <w:rFonts w:hint="eastAsia" w:ascii="宋体" w:hAnsi="宋体" w:cs="宋体"/>
                <w:color w:val="auto"/>
                <w:sz w:val="21"/>
                <w:highlight w:val="none"/>
              </w:rPr>
              <w:t>邮政编码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08"/>
              <w:jc w:val="center"/>
              <w:rPr>
                <w:rFonts w:ascii="宋体" w:hAnsi="宋体" w:cs="宋体"/>
                <w:color w:val="auto"/>
                <w:highlight w:val="none"/>
              </w:rPr>
            </w:pPr>
            <w:r>
              <w:rPr>
                <w:rFonts w:hint="eastAsia" w:ascii="宋体" w:hAnsi="宋体" w:cs="宋体"/>
                <w:color w:val="auto"/>
                <w:sz w:val="21"/>
                <w:highlight w:val="none"/>
              </w:rPr>
              <w:t>员工总数</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451" w:hRule="exact"/>
          <w:jc w:val="center"/>
        </w:trPr>
        <w:tc>
          <w:tcPr>
            <w:tcW w:w="2175" w:type="dxa"/>
            <w:vMerge w:val="restart"/>
            <w:tcBorders>
              <w:top w:val="single" w:color="000000" w:sz="4" w:space="0"/>
              <w:left w:val="single" w:color="000000" w:sz="4" w:space="0"/>
              <w:bottom w:val="single" w:color="000000" w:sz="4" w:space="0"/>
              <w:right w:val="single" w:color="000000" w:sz="4" w:space="0"/>
            </w:tcBorders>
            <w:vAlign w:val="center"/>
          </w:tcPr>
          <w:p>
            <w:pPr>
              <w:pStyle w:val="52"/>
              <w:overflowPunct w:val="0"/>
              <w:jc w:val="center"/>
              <w:rPr>
                <w:rFonts w:ascii="宋体" w:hAnsi="宋体" w:cs="宋体"/>
                <w:color w:val="auto"/>
                <w:highlight w:val="none"/>
              </w:rPr>
            </w:pPr>
            <w:r>
              <w:rPr>
                <w:rFonts w:hint="eastAsia" w:ascii="宋体" w:hAnsi="宋体" w:cs="宋体"/>
                <w:color w:val="auto"/>
                <w:sz w:val="21"/>
                <w:highlight w:val="none"/>
              </w:rPr>
              <w:t>联系方式</w:t>
            </w: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07"/>
              <w:jc w:val="center"/>
              <w:rPr>
                <w:rFonts w:ascii="宋体" w:hAnsi="宋体" w:cs="宋体"/>
                <w:color w:val="auto"/>
                <w:highlight w:val="none"/>
              </w:rPr>
            </w:pPr>
            <w:r>
              <w:rPr>
                <w:rFonts w:hint="eastAsia" w:ascii="宋体" w:hAnsi="宋体" w:cs="宋体"/>
                <w:color w:val="auto"/>
                <w:sz w:val="21"/>
                <w:highlight w:val="none"/>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07"/>
              <w:jc w:val="center"/>
              <w:rPr>
                <w:rFonts w:ascii="宋体" w:hAnsi="宋体" w:cs="宋体"/>
                <w:color w:val="auto"/>
                <w:highlight w:val="none"/>
              </w:rPr>
            </w:pPr>
            <w:r>
              <w:rPr>
                <w:rFonts w:hint="eastAsia" w:ascii="宋体" w:hAnsi="宋体" w:cs="宋体"/>
                <w:color w:val="auto"/>
                <w:sz w:val="21"/>
                <w:highlight w:val="none"/>
              </w:rPr>
              <w:t>电话</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449" w:hRule="exact"/>
          <w:jc w:val="center"/>
        </w:trPr>
        <w:tc>
          <w:tcPr>
            <w:tcW w:w="2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07"/>
              <w:jc w:val="center"/>
              <w:rPr>
                <w:rFonts w:ascii="宋体" w:hAnsi="宋体" w:cs="宋体"/>
                <w:color w:val="auto"/>
                <w:highlight w:val="none"/>
              </w:rPr>
            </w:pPr>
            <w:r>
              <w:rPr>
                <w:rFonts w:hint="eastAsia" w:ascii="宋体" w:hAnsi="宋体" w:cs="宋体"/>
                <w:color w:val="auto"/>
                <w:sz w:val="21"/>
                <w:highlight w:val="none"/>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07"/>
              <w:jc w:val="center"/>
              <w:rPr>
                <w:rFonts w:ascii="宋体" w:hAnsi="宋体" w:cs="宋体"/>
                <w:color w:val="auto"/>
                <w:highlight w:val="none"/>
              </w:rPr>
            </w:pPr>
            <w:r>
              <w:rPr>
                <w:rFonts w:hint="eastAsia" w:ascii="宋体" w:hAnsi="宋体" w:cs="宋体"/>
                <w:color w:val="auto"/>
                <w:sz w:val="21"/>
                <w:highlight w:val="none"/>
              </w:rPr>
              <w:t>传真</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890" w:hRule="exact"/>
          <w:jc w:val="center"/>
        </w:trPr>
        <w:tc>
          <w:tcPr>
            <w:tcW w:w="2175"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07"/>
              <w:ind w:left="2"/>
              <w:jc w:val="center"/>
              <w:rPr>
                <w:rFonts w:ascii="宋体" w:hAnsi="宋体" w:cs="宋体"/>
                <w:color w:val="auto"/>
                <w:highlight w:val="none"/>
              </w:rPr>
            </w:pPr>
            <w:r>
              <w:rPr>
                <w:rFonts w:hint="eastAsia" w:ascii="宋体" w:hAnsi="宋体" w:cs="宋体"/>
                <w:color w:val="auto"/>
                <w:sz w:val="21"/>
                <w:highlight w:val="none"/>
              </w:rPr>
              <w:t>法定代表人（单位负责人）</w:t>
            </w: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52"/>
              <w:overflowPunct w:val="0"/>
              <w:jc w:val="center"/>
              <w:rPr>
                <w:rFonts w:ascii="宋体" w:hAnsi="宋体" w:cs="宋体"/>
                <w:color w:val="auto"/>
                <w:highlight w:val="none"/>
              </w:rPr>
            </w:pPr>
            <w:r>
              <w:rPr>
                <w:rFonts w:hint="eastAsia" w:ascii="宋体" w:hAnsi="宋体" w:cs="宋体"/>
                <w:color w:val="auto"/>
                <w:sz w:val="21"/>
                <w:highlight w:val="none"/>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pStyle w:val="52"/>
              <w:overflowPunct w:val="0"/>
              <w:jc w:val="center"/>
              <w:rPr>
                <w:rFonts w:ascii="宋体" w:hAnsi="宋体" w:cs="宋体"/>
                <w:color w:val="auto"/>
                <w:highlight w:val="none"/>
              </w:rPr>
            </w:pPr>
            <w:r>
              <w:rPr>
                <w:rFonts w:hint="eastAsia" w:ascii="宋体" w:hAnsi="宋体" w:cs="宋体"/>
                <w:color w:val="auto"/>
                <w:sz w:val="21"/>
                <w:highlight w:val="none"/>
              </w:rPr>
              <w:t>电话</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1330" w:hRule="exact"/>
          <w:jc w:val="center"/>
        </w:trPr>
        <w:tc>
          <w:tcPr>
            <w:tcW w:w="2175"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07"/>
              <w:ind w:left="2"/>
              <w:jc w:val="center"/>
              <w:rPr>
                <w:rFonts w:ascii="宋体" w:hAnsi="宋体" w:cs="宋体"/>
                <w:color w:val="auto"/>
                <w:highlight w:val="none"/>
              </w:rPr>
            </w:pPr>
            <w:r>
              <w:rPr>
                <w:rFonts w:hint="eastAsia" w:ascii="宋体" w:hAnsi="宋体" w:cs="宋体"/>
                <w:color w:val="auto"/>
                <w:sz w:val="21"/>
                <w:highlight w:val="none"/>
              </w:rPr>
              <w:t>投标人须知要求投标</w:t>
            </w:r>
            <w:r>
              <w:rPr>
                <w:rFonts w:hint="eastAsia" w:ascii="宋体" w:hAnsi="宋体" w:cs="宋体"/>
                <w:color w:val="auto"/>
                <w:spacing w:val="-1"/>
                <w:sz w:val="21"/>
                <w:highlight w:val="none"/>
              </w:rPr>
              <w:t>人需具有的各类资质</w:t>
            </w:r>
            <w:r>
              <w:rPr>
                <w:rFonts w:hint="eastAsia" w:ascii="宋体" w:hAnsi="宋体" w:cs="宋体"/>
                <w:color w:val="auto"/>
                <w:sz w:val="21"/>
                <w:highlight w:val="none"/>
              </w:rPr>
              <w:t>证书</w:t>
            </w:r>
          </w:p>
        </w:tc>
        <w:tc>
          <w:tcPr>
            <w:tcW w:w="6757" w:type="dxa"/>
            <w:gridSpan w:val="4"/>
            <w:tcBorders>
              <w:top w:val="single" w:color="000000" w:sz="4" w:space="0"/>
              <w:left w:val="single" w:color="000000" w:sz="4" w:space="0"/>
              <w:bottom w:val="single" w:color="000000" w:sz="4" w:space="0"/>
              <w:right w:val="single" w:color="000000" w:sz="4" w:space="0"/>
            </w:tcBorders>
            <w:vAlign w:val="center"/>
          </w:tcPr>
          <w:p>
            <w:pPr>
              <w:pStyle w:val="52"/>
              <w:tabs>
                <w:tab w:val="left" w:pos="2309"/>
                <w:tab w:val="left" w:pos="4409"/>
              </w:tabs>
              <w:overflowPunct w:val="0"/>
              <w:jc w:val="both"/>
              <w:rPr>
                <w:rFonts w:ascii="宋体" w:hAnsi="宋体" w:cs="宋体"/>
                <w:color w:val="auto"/>
                <w:highlight w:val="none"/>
              </w:rPr>
            </w:pPr>
            <w:r>
              <w:rPr>
                <w:rFonts w:hint="eastAsia" w:ascii="宋体" w:hAnsi="宋体" w:cs="宋体"/>
                <w:color w:val="auto"/>
                <w:sz w:val="21"/>
                <w:highlight w:val="none"/>
              </w:rPr>
              <w:t>类型：</w:t>
            </w:r>
            <w:r>
              <w:rPr>
                <w:rFonts w:ascii="宋体" w:hAnsi="宋体" w:cs="宋体"/>
                <w:color w:val="auto"/>
                <w:sz w:val="21"/>
                <w:highlight w:val="none"/>
              </w:rPr>
              <w:t xml:space="preserve">               </w:t>
            </w:r>
            <w:r>
              <w:rPr>
                <w:rFonts w:hint="eastAsia" w:ascii="宋体" w:hAnsi="宋体" w:cs="宋体"/>
                <w:color w:val="auto"/>
                <w:spacing w:val="-1"/>
                <w:sz w:val="21"/>
                <w:highlight w:val="none"/>
              </w:rPr>
              <w:t>等级：</w:t>
            </w:r>
            <w:r>
              <w:rPr>
                <w:rFonts w:ascii="宋体" w:hAnsi="宋体" w:cs="宋体"/>
                <w:color w:val="auto"/>
                <w:spacing w:val="-1"/>
                <w:sz w:val="21"/>
                <w:highlight w:val="none"/>
              </w:rPr>
              <w:t xml:space="preserve">                 证书号：          </w:t>
            </w:r>
          </w:p>
        </w:tc>
      </w:tr>
      <w:tr>
        <w:tblPrEx>
          <w:tblCellMar>
            <w:top w:w="0" w:type="dxa"/>
            <w:left w:w="108" w:type="dxa"/>
            <w:bottom w:w="0" w:type="dxa"/>
            <w:right w:w="108" w:type="dxa"/>
          </w:tblCellMar>
        </w:tblPrEx>
        <w:trPr>
          <w:trHeight w:val="451" w:hRule="exact"/>
          <w:jc w:val="center"/>
        </w:trPr>
        <w:tc>
          <w:tcPr>
            <w:tcW w:w="2175"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07"/>
              <w:jc w:val="center"/>
              <w:rPr>
                <w:rFonts w:ascii="宋体" w:hAnsi="宋体" w:cs="宋体"/>
                <w:color w:val="auto"/>
                <w:highlight w:val="none"/>
              </w:rPr>
            </w:pPr>
            <w:r>
              <w:rPr>
                <w:rFonts w:hint="eastAsia" w:ascii="宋体" w:hAnsi="宋体" w:cs="宋体"/>
                <w:color w:val="auto"/>
                <w:sz w:val="21"/>
                <w:highlight w:val="none"/>
              </w:rPr>
              <w:t>基本账户开户银行</w:t>
            </w:r>
          </w:p>
        </w:tc>
        <w:tc>
          <w:tcPr>
            <w:tcW w:w="6757"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449" w:hRule="exact"/>
          <w:jc w:val="center"/>
        </w:trPr>
        <w:tc>
          <w:tcPr>
            <w:tcW w:w="2175"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07"/>
              <w:jc w:val="center"/>
              <w:rPr>
                <w:rFonts w:ascii="宋体" w:hAnsi="宋体" w:cs="宋体"/>
                <w:color w:val="auto"/>
                <w:highlight w:val="none"/>
              </w:rPr>
            </w:pPr>
            <w:r>
              <w:rPr>
                <w:rFonts w:hint="eastAsia" w:ascii="宋体" w:hAnsi="宋体" w:cs="宋体"/>
                <w:color w:val="auto"/>
                <w:sz w:val="21"/>
                <w:highlight w:val="none"/>
              </w:rPr>
              <w:t>基本账户银行账号</w:t>
            </w:r>
          </w:p>
        </w:tc>
        <w:tc>
          <w:tcPr>
            <w:tcW w:w="6757"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1750" w:hRule="exact"/>
          <w:jc w:val="center"/>
        </w:trPr>
        <w:tc>
          <w:tcPr>
            <w:tcW w:w="2175"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07"/>
              <w:jc w:val="center"/>
              <w:rPr>
                <w:rFonts w:ascii="宋体" w:hAnsi="宋体" w:cs="宋体"/>
                <w:color w:val="auto"/>
                <w:highlight w:val="none"/>
              </w:rPr>
            </w:pPr>
            <w:r>
              <w:rPr>
                <w:rFonts w:hint="eastAsia" w:ascii="宋体" w:hAnsi="宋体" w:cs="宋体"/>
                <w:color w:val="auto"/>
                <w:sz w:val="21"/>
                <w:highlight w:val="none"/>
              </w:rPr>
              <w:t>投标人关联企业情况（包括但不限于与投标人法定代表人（单位负责人）为同一人或者存在控股、管理关系的不同单位）</w:t>
            </w:r>
          </w:p>
        </w:tc>
        <w:tc>
          <w:tcPr>
            <w:tcW w:w="6757"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449" w:hRule="exact"/>
          <w:jc w:val="center"/>
        </w:trPr>
        <w:tc>
          <w:tcPr>
            <w:tcW w:w="2175"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07"/>
              <w:jc w:val="center"/>
              <w:rPr>
                <w:rFonts w:ascii="宋体" w:hAnsi="宋体" w:cs="宋体"/>
                <w:color w:val="auto"/>
                <w:highlight w:val="none"/>
              </w:rPr>
            </w:pPr>
            <w:r>
              <w:rPr>
                <w:rFonts w:hint="eastAsia" w:ascii="宋体" w:hAnsi="宋体" w:cs="宋体"/>
                <w:color w:val="auto"/>
                <w:sz w:val="21"/>
                <w:highlight w:val="none"/>
              </w:rPr>
              <w:t>投标设备制造商名称</w:t>
            </w:r>
          </w:p>
        </w:tc>
        <w:tc>
          <w:tcPr>
            <w:tcW w:w="6757"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1222" w:hRule="exact"/>
          <w:jc w:val="center"/>
        </w:trPr>
        <w:tc>
          <w:tcPr>
            <w:tcW w:w="2175"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10" w:line="384" w:lineRule="auto"/>
              <w:ind w:right="132"/>
              <w:jc w:val="center"/>
              <w:rPr>
                <w:rFonts w:ascii="宋体" w:hAnsi="宋体" w:cs="宋体"/>
                <w:color w:val="auto"/>
                <w:highlight w:val="none"/>
              </w:rPr>
            </w:pPr>
            <w:r>
              <w:rPr>
                <w:rFonts w:hint="eastAsia" w:ascii="宋体" w:hAnsi="宋体" w:cs="宋体"/>
                <w:color w:val="auto"/>
                <w:sz w:val="21"/>
                <w:highlight w:val="none"/>
              </w:rPr>
              <w:t>投标人须知要求</w:t>
            </w:r>
            <w:r>
              <w:rPr>
                <w:rFonts w:hint="eastAsia" w:ascii="宋体" w:hAnsi="宋体" w:cs="宋体"/>
                <w:color w:val="auto"/>
                <w:spacing w:val="-2"/>
                <w:sz w:val="21"/>
                <w:highlight w:val="none"/>
              </w:rPr>
              <w:t>投标设备制造商需具</w:t>
            </w:r>
            <w:r>
              <w:rPr>
                <w:rFonts w:hint="eastAsia" w:ascii="宋体" w:hAnsi="宋体" w:cs="宋体"/>
                <w:color w:val="auto"/>
                <w:sz w:val="21"/>
                <w:highlight w:val="none"/>
              </w:rPr>
              <w:t>有的资质证书</w:t>
            </w:r>
          </w:p>
        </w:tc>
        <w:tc>
          <w:tcPr>
            <w:tcW w:w="6757"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449" w:hRule="exact"/>
          <w:jc w:val="center"/>
        </w:trPr>
        <w:tc>
          <w:tcPr>
            <w:tcW w:w="2175" w:type="dxa"/>
            <w:tcBorders>
              <w:top w:val="single" w:color="000000" w:sz="4" w:space="0"/>
              <w:left w:val="single" w:color="000000" w:sz="4" w:space="0"/>
              <w:bottom w:val="single" w:color="000000" w:sz="4" w:space="0"/>
              <w:right w:val="single" w:color="000000" w:sz="4" w:space="0"/>
            </w:tcBorders>
            <w:vAlign w:val="center"/>
          </w:tcPr>
          <w:p>
            <w:pPr>
              <w:pStyle w:val="52"/>
              <w:overflowPunct w:val="0"/>
              <w:spacing w:before="107"/>
              <w:jc w:val="center"/>
              <w:rPr>
                <w:rFonts w:ascii="宋体" w:hAnsi="宋体" w:cs="宋体"/>
                <w:color w:val="auto"/>
                <w:highlight w:val="none"/>
              </w:rPr>
            </w:pPr>
            <w:r>
              <w:rPr>
                <w:rFonts w:hint="eastAsia" w:ascii="宋体" w:hAnsi="宋体" w:cs="宋体"/>
                <w:color w:val="auto"/>
                <w:sz w:val="21"/>
                <w:highlight w:val="none"/>
              </w:rPr>
              <w:t>备注</w:t>
            </w:r>
          </w:p>
        </w:tc>
        <w:tc>
          <w:tcPr>
            <w:tcW w:w="6757"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r>
    </w:tbl>
    <w:p>
      <w:pPr>
        <w:pStyle w:val="15"/>
        <w:overflowPunct w:val="0"/>
        <w:spacing w:before="14" w:line="276" w:lineRule="auto"/>
        <w:ind w:right="113"/>
        <w:rPr>
          <w:rFonts w:hint="default" w:cs="宋体"/>
          <w:color w:val="auto"/>
          <w:highlight w:val="none"/>
        </w:rPr>
      </w:pPr>
      <w:r>
        <w:rPr>
          <w:rFonts w:cs="宋体"/>
          <w:color w:val="auto"/>
          <w:highlight w:val="none"/>
        </w:rPr>
        <w:t>注：</w:t>
      </w:r>
      <w:r>
        <w:rPr>
          <w:rFonts w:hint="default" w:cs="宋体"/>
          <w:color w:val="auto"/>
          <w:highlight w:val="none"/>
        </w:rPr>
        <w:t>1.投标人应根据投标人须知第 3.5.1</w:t>
      </w:r>
      <w:r>
        <w:rPr>
          <w:rFonts w:hint="default" w:cs="宋体"/>
          <w:color w:val="auto"/>
          <w:spacing w:val="19"/>
          <w:highlight w:val="none"/>
        </w:rPr>
        <w:t xml:space="preserve"> </w:t>
      </w:r>
      <w:r>
        <w:rPr>
          <w:rFonts w:cs="宋体"/>
          <w:color w:val="auto"/>
          <w:highlight w:val="none"/>
        </w:rPr>
        <w:t>项的要求在本表后附相关证明材料。境内投标人以现金或者支票形式提交投标保证金的，还应附基本账户开户许可证扫描件。</w:t>
      </w:r>
    </w:p>
    <w:p>
      <w:pPr>
        <w:pStyle w:val="15"/>
        <w:tabs>
          <w:tab w:val="left" w:pos="6434"/>
          <w:tab w:val="left" w:pos="7483"/>
          <w:tab w:val="left" w:pos="8533"/>
        </w:tabs>
        <w:overflowPunct w:val="0"/>
        <w:spacing w:before="36" w:line="276" w:lineRule="auto"/>
        <w:ind w:left="10" w:firstLine="535" w:firstLineChars="255"/>
        <w:rPr>
          <w:rFonts w:hint="default" w:cs="宋体"/>
          <w:color w:val="auto"/>
          <w:highlight w:val="none"/>
        </w:rPr>
      </w:pPr>
      <w:r>
        <w:rPr>
          <w:rFonts w:hint="default" w:cs="宋体"/>
          <w:color w:val="auto"/>
          <w:highlight w:val="none"/>
        </w:rPr>
        <w:t>2.如果投标人须知第 1.4.1</w:t>
      </w:r>
      <w:r>
        <w:rPr>
          <w:rFonts w:hint="default" w:cs="宋体"/>
          <w:color w:val="auto"/>
          <w:spacing w:val="24"/>
          <w:highlight w:val="none"/>
        </w:rPr>
        <w:t xml:space="preserve"> </w:t>
      </w:r>
      <w:r>
        <w:rPr>
          <w:rFonts w:cs="宋体"/>
          <w:color w:val="auto"/>
          <w:highlight w:val="none"/>
        </w:rPr>
        <w:t>项对投标设备制造商的资质提出了要求，投标人应根据投标人须知第</w:t>
      </w:r>
      <w:r>
        <w:rPr>
          <w:rFonts w:hint="default" w:cs="宋体"/>
          <w:color w:val="auto"/>
          <w:spacing w:val="-56"/>
          <w:highlight w:val="none"/>
        </w:rPr>
        <w:t xml:space="preserve"> </w:t>
      </w:r>
      <w:r>
        <w:rPr>
          <w:rFonts w:hint="default" w:cs="宋体"/>
          <w:color w:val="auto"/>
          <w:highlight w:val="none"/>
        </w:rPr>
        <w:t>3.5.1</w:t>
      </w:r>
      <w:r>
        <w:rPr>
          <w:rFonts w:hint="default" w:cs="宋体"/>
          <w:color w:val="auto"/>
          <w:spacing w:val="-3"/>
          <w:highlight w:val="none"/>
        </w:rPr>
        <w:t xml:space="preserve"> </w:t>
      </w:r>
      <w:r>
        <w:rPr>
          <w:rFonts w:cs="宋体"/>
          <w:color w:val="auto"/>
          <w:highlight w:val="none"/>
        </w:rPr>
        <w:t>项的要求在本表后附相关资质证书扫描件。</w:t>
      </w:r>
      <w:bookmarkStart w:id="205" w:name="bookmark161"/>
      <w:bookmarkEnd w:id="205"/>
      <w:bookmarkStart w:id="206" w:name="_Toc83210344"/>
    </w:p>
    <w:p>
      <w:pPr>
        <w:pStyle w:val="15"/>
        <w:tabs>
          <w:tab w:val="left" w:pos="6434"/>
          <w:tab w:val="left" w:pos="7483"/>
          <w:tab w:val="left" w:pos="8533"/>
        </w:tabs>
        <w:overflowPunct w:val="0"/>
        <w:spacing w:before="36" w:line="276" w:lineRule="auto"/>
        <w:rPr>
          <w:rFonts w:hint="default" w:cs="宋体"/>
          <w:color w:val="auto"/>
          <w:sz w:val="24"/>
          <w:szCs w:val="16"/>
          <w:highlight w:val="none"/>
        </w:rPr>
      </w:pPr>
    </w:p>
    <w:p>
      <w:pPr>
        <w:pStyle w:val="15"/>
        <w:tabs>
          <w:tab w:val="left" w:pos="6434"/>
          <w:tab w:val="left" w:pos="7483"/>
          <w:tab w:val="left" w:pos="8533"/>
        </w:tabs>
        <w:overflowPunct w:val="0"/>
        <w:spacing w:before="36" w:line="276" w:lineRule="auto"/>
        <w:rPr>
          <w:rFonts w:hint="default" w:cs="宋体"/>
          <w:color w:val="auto"/>
          <w:sz w:val="24"/>
          <w:szCs w:val="16"/>
          <w:highlight w:val="none"/>
        </w:rPr>
      </w:pPr>
    </w:p>
    <w:p>
      <w:pPr>
        <w:pStyle w:val="7"/>
        <w:overflowPunct w:val="0"/>
        <w:spacing w:line="443" w:lineRule="exact"/>
        <w:ind w:left="8" w:right="1034" w:hanging="8"/>
        <w:rPr>
          <w:rFonts w:ascii="宋体" w:hAnsi="宋体" w:eastAsia="宋体" w:cs="宋体"/>
          <w:color w:val="auto"/>
          <w:sz w:val="24"/>
          <w:szCs w:val="16"/>
          <w:highlight w:val="none"/>
        </w:rPr>
      </w:pPr>
      <w:r>
        <w:rPr>
          <w:rFonts w:ascii="宋体" w:hAnsi="宋体" w:eastAsia="宋体" w:cs="宋体"/>
          <w:color w:val="auto"/>
          <w:sz w:val="24"/>
          <w:szCs w:val="16"/>
          <w:highlight w:val="none"/>
        </w:rPr>
        <w:br w:type="column"/>
      </w:r>
      <w:r>
        <w:rPr>
          <w:rFonts w:ascii="宋体" w:hAnsi="宋体" w:eastAsia="宋体" w:cs="宋体"/>
          <w:color w:val="auto"/>
          <w:sz w:val="24"/>
          <w:szCs w:val="16"/>
          <w:highlight w:val="none"/>
        </w:rPr>
        <w:t>附件6：投标申请人声明</w:t>
      </w:r>
      <w:bookmarkEnd w:id="206"/>
      <w:r>
        <w:rPr>
          <w:rFonts w:ascii="宋体" w:hAnsi="宋体" w:eastAsia="宋体" w:cs="宋体"/>
          <w:color w:val="auto"/>
          <w:sz w:val="24"/>
          <w:szCs w:val="16"/>
          <w:highlight w:val="none"/>
        </w:rPr>
        <w:t>（格式按招标公告附件一：《投标申请人声明》）</w:t>
      </w:r>
    </w:p>
    <w:p>
      <w:pPr>
        <w:pStyle w:val="49"/>
        <w:ind w:left="480" w:firstLine="420"/>
        <w:rPr>
          <w:rFonts w:ascii="宋体" w:hAnsi="宋体"/>
          <w:color w:val="auto"/>
          <w:highlight w:val="none"/>
        </w:rPr>
      </w:pPr>
    </w:p>
    <w:p>
      <w:pPr>
        <w:pStyle w:val="49"/>
        <w:ind w:left="480" w:firstLine="420"/>
        <w:rPr>
          <w:rFonts w:ascii="宋体" w:hAnsi="宋体"/>
          <w:color w:val="auto"/>
          <w:highlight w:val="none"/>
        </w:rPr>
      </w:pPr>
    </w:p>
    <w:p>
      <w:pPr>
        <w:pStyle w:val="15"/>
        <w:tabs>
          <w:tab w:val="left" w:pos="6434"/>
          <w:tab w:val="left" w:pos="7483"/>
          <w:tab w:val="left" w:pos="8533"/>
        </w:tabs>
        <w:overflowPunct w:val="0"/>
        <w:spacing w:before="36" w:line="276" w:lineRule="auto"/>
        <w:rPr>
          <w:rFonts w:hint="default" w:cs="宋体"/>
          <w:color w:val="auto"/>
          <w:sz w:val="24"/>
          <w:szCs w:val="16"/>
          <w:highlight w:val="none"/>
        </w:rPr>
      </w:pPr>
    </w:p>
    <w:p>
      <w:pPr>
        <w:pStyle w:val="7"/>
        <w:overflowPunct w:val="0"/>
        <w:spacing w:line="443" w:lineRule="exact"/>
        <w:ind w:left="8" w:right="1034" w:hanging="8"/>
        <w:rPr>
          <w:rFonts w:cs="宋体"/>
          <w:color w:val="auto"/>
          <w:sz w:val="24"/>
          <w:szCs w:val="16"/>
          <w:highlight w:val="none"/>
        </w:rPr>
      </w:pPr>
      <w:bookmarkStart w:id="207" w:name="_Toc83210345"/>
      <w:r>
        <w:rPr>
          <w:rFonts w:hint="eastAsia" w:ascii="宋体" w:hAnsi="宋体" w:eastAsia="宋体" w:cs="宋体"/>
          <w:color w:val="auto"/>
          <w:sz w:val="24"/>
          <w:szCs w:val="16"/>
          <w:highlight w:val="none"/>
        </w:rPr>
        <w:t>附件</w:t>
      </w:r>
      <w:r>
        <w:rPr>
          <w:rFonts w:ascii="宋体" w:hAnsi="宋体" w:eastAsia="宋体" w:cs="宋体"/>
          <w:color w:val="auto"/>
          <w:sz w:val="24"/>
          <w:szCs w:val="16"/>
          <w:highlight w:val="none"/>
        </w:rPr>
        <w:t>7：7.1</w:t>
      </w:r>
      <w:r>
        <w:rPr>
          <w:rFonts w:hint="eastAsia" w:ascii="宋体" w:hAnsi="宋体" w:eastAsia="宋体" w:cs="宋体"/>
          <w:color w:val="auto"/>
          <w:sz w:val="24"/>
          <w:szCs w:val="16"/>
          <w:highlight w:val="none"/>
        </w:rPr>
        <w:t xml:space="preserve"> </w:t>
      </w:r>
      <w:bookmarkEnd w:id="207"/>
      <w:r>
        <w:rPr>
          <w:rFonts w:hint="eastAsia" w:ascii="宋体" w:hAnsi="宋体" w:eastAsia="宋体" w:cs="宋体"/>
          <w:color w:val="auto"/>
          <w:sz w:val="24"/>
          <w:szCs w:val="16"/>
          <w:highlight w:val="none"/>
        </w:rPr>
        <w:t>2018年1月1日至今类似项目业绩（用于资格审查）</w:t>
      </w:r>
    </w:p>
    <w:p>
      <w:pPr>
        <w:pStyle w:val="15"/>
        <w:overflowPunct w:val="0"/>
        <w:spacing w:before="15"/>
        <w:ind w:left="0"/>
        <w:rPr>
          <w:rFonts w:hint="default" w:cs="宋体"/>
          <w:b/>
          <w:color w:val="auto"/>
          <w:sz w:val="24"/>
          <w:szCs w:val="16"/>
          <w:highlight w:val="none"/>
        </w:rPr>
      </w:pPr>
    </w:p>
    <w:p>
      <w:pPr>
        <w:spacing w:line="276" w:lineRule="auto"/>
        <w:jc w:val="center"/>
        <w:rPr>
          <w:rFonts w:ascii="宋体" w:hAnsi="宋体" w:cs="宋体"/>
          <w:b/>
          <w:bCs/>
          <w:color w:val="auto"/>
          <w:sz w:val="28"/>
          <w:szCs w:val="28"/>
          <w:highlight w:val="none"/>
        </w:rPr>
      </w:pPr>
      <w:r>
        <w:rPr>
          <w:rFonts w:ascii="宋体" w:hAnsi="宋体" w:cs="宋体"/>
          <w:b/>
          <w:bCs/>
          <w:color w:val="auto"/>
          <w:sz w:val="28"/>
          <w:szCs w:val="28"/>
          <w:highlight w:val="none"/>
        </w:rPr>
        <w:t>2018</w:t>
      </w:r>
      <w:r>
        <w:rPr>
          <w:rFonts w:hint="eastAsia" w:ascii="宋体" w:hAnsi="宋体" w:cs="宋体"/>
          <w:b/>
          <w:bCs/>
          <w:color w:val="auto"/>
          <w:sz w:val="28"/>
          <w:szCs w:val="28"/>
          <w:highlight w:val="none"/>
        </w:rPr>
        <w:t>年</w:t>
      </w:r>
      <w:r>
        <w:rPr>
          <w:rFonts w:ascii="宋体" w:hAnsi="宋体" w:cs="宋体"/>
          <w:b/>
          <w:bCs/>
          <w:color w:val="auto"/>
          <w:sz w:val="28"/>
          <w:szCs w:val="28"/>
          <w:highlight w:val="none"/>
        </w:rPr>
        <w:t>1月1日至今类似</w:t>
      </w:r>
      <w:r>
        <w:rPr>
          <w:rFonts w:hint="eastAsia" w:ascii="宋体" w:hAnsi="宋体" w:cs="宋体"/>
          <w:b/>
          <w:bCs/>
          <w:color w:val="auto"/>
          <w:sz w:val="28"/>
          <w:szCs w:val="28"/>
          <w:highlight w:val="none"/>
        </w:rPr>
        <w:t>项目</w:t>
      </w:r>
      <w:r>
        <w:rPr>
          <w:rFonts w:ascii="宋体" w:hAnsi="宋体" w:cs="宋体"/>
          <w:b/>
          <w:bCs/>
          <w:color w:val="auto"/>
          <w:sz w:val="28"/>
          <w:szCs w:val="28"/>
          <w:highlight w:val="none"/>
        </w:rPr>
        <w:t>业绩</w:t>
      </w:r>
      <w:r>
        <w:rPr>
          <w:rFonts w:hint="eastAsia" w:ascii="宋体" w:hAnsi="宋体" w:cs="宋体"/>
          <w:b/>
          <w:bCs/>
          <w:color w:val="auto"/>
          <w:sz w:val="28"/>
          <w:szCs w:val="28"/>
          <w:highlight w:val="none"/>
        </w:rPr>
        <w:t>（用于资格审查）</w:t>
      </w:r>
    </w:p>
    <w:tbl>
      <w:tblPr>
        <w:tblStyle w:val="26"/>
        <w:tblW w:w="5000" w:type="pct"/>
        <w:tblInd w:w="0" w:type="dxa"/>
        <w:tblLayout w:type="autofit"/>
        <w:tblCellMar>
          <w:top w:w="0" w:type="dxa"/>
          <w:left w:w="108" w:type="dxa"/>
          <w:bottom w:w="0" w:type="dxa"/>
          <w:right w:w="108" w:type="dxa"/>
        </w:tblCellMar>
      </w:tblPr>
      <w:tblGrid>
        <w:gridCol w:w="937"/>
        <w:gridCol w:w="264"/>
        <w:gridCol w:w="1191"/>
        <w:gridCol w:w="1345"/>
        <w:gridCol w:w="1770"/>
        <w:gridCol w:w="1391"/>
        <w:gridCol w:w="1191"/>
        <w:gridCol w:w="1198"/>
      </w:tblGrid>
      <w:tr>
        <w:tblPrEx>
          <w:tblCellMar>
            <w:top w:w="0" w:type="dxa"/>
            <w:left w:w="108" w:type="dxa"/>
            <w:bottom w:w="0" w:type="dxa"/>
            <w:right w:w="108" w:type="dxa"/>
          </w:tblCellMar>
        </w:tblPrEx>
        <w:trPr>
          <w:gridAfter w:val="5"/>
          <w:wAfter w:w="3712" w:type="pct"/>
          <w:trHeight w:val="270" w:hRule="atLeast"/>
        </w:trPr>
        <w:tc>
          <w:tcPr>
            <w:tcW w:w="647" w:type="pct"/>
            <w:gridSpan w:val="2"/>
            <w:tcBorders>
              <w:top w:val="nil"/>
              <w:left w:val="nil"/>
              <w:bottom w:val="single" w:color="auto" w:sz="4" w:space="0"/>
              <w:right w:val="nil"/>
            </w:tcBorders>
          </w:tcPr>
          <w:p>
            <w:pPr>
              <w:widowControl/>
              <w:jc w:val="center"/>
              <w:rPr>
                <w:rFonts w:ascii="宋体" w:hAnsi="宋体" w:cs="宋体"/>
                <w:b/>
                <w:bCs/>
                <w:color w:val="auto"/>
                <w:sz w:val="21"/>
                <w:szCs w:val="21"/>
                <w:highlight w:val="none"/>
              </w:rPr>
            </w:pPr>
          </w:p>
        </w:tc>
        <w:tc>
          <w:tcPr>
            <w:tcW w:w="641" w:type="pct"/>
            <w:tcBorders>
              <w:top w:val="nil"/>
              <w:left w:val="nil"/>
              <w:bottom w:val="single" w:color="auto" w:sz="4" w:space="0"/>
              <w:right w:val="nil"/>
            </w:tcBorders>
          </w:tcPr>
          <w:p>
            <w:pPr>
              <w:widowControl/>
              <w:jc w:val="center"/>
              <w:rPr>
                <w:rFonts w:ascii="宋体" w:hAnsi="宋体" w:cs="宋体"/>
                <w:b/>
                <w:bCs/>
                <w:color w:val="auto"/>
                <w:sz w:val="21"/>
                <w:szCs w:val="21"/>
                <w:highlight w:val="none"/>
              </w:rPr>
            </w:pPr>
          </w:p>
        </w:tc>
      </w:tr>
      <w:tr>
        <w:tblPrEx>
          <w:tblCellMar>
            <w:top w:w="0" w:type="dxa"/>
            <w:left w:w="108" w:type="dxa"/>
            <w:bottom w:w="0" w:type="dxa"/>
            <w:right w:w="108" w:type="dxa"/>
          </w:tblCellMar>
        </w:tblPrEx>
        <w:trPr>
          <w:trHeight w:val="990" w:hRule="atLeast"/>
        </w:trPr>
        <w:tc>
          <w:tcPr>
            <w:tcW w:w="505"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序号</w:t>
            </w:r>
          </w:p>
        </w:tc>
        <w:tc>
          <w:tcPr>
            <w:tcW w:w="1507"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项目名称</w:t>
            </w:r>
          </w:p>
        </w:tc>
        <w:tc>
          <w:tcPr>
            <w:tcW w:w="95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合同金额</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（元）</w:t>
            </w:r>
          </w:p>
        </w:tc>
        <w:tc>
          <w:tcPr>
            <w:tcW w:w="7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额定速度（</w:t>
            </w:r>
            <w:r>
              <w:rPr>
                <w:rFonts w:ascii="宋体" w:hAnsi="宋体" w:cs="宋体"/>
                <w:color w:val="auto"/>
                <w:sz w:val="21"/>
                <w:szCs w:val="21"/>
                <w:highlight w:val="none"/>
              </w:rPr>
              <w:t>m/s</w:t>
            </w:r>
            <w:r>
              <w:rPr>
                <w:rFonts w:hint="eastAsia" w:ascii="宋体" w:hAnsi="宋体" w:cs="宋体"/>
                <w:color w:val="auto"/>
                <w:sz w:val="21"/>
                <w:szCs w:val="21"/>
                <w:highlight w:val="none"/>
              </w:rPr>
              <w:t>）</w:t>
            </w:r>
          </w:p>
        </w:tc>
        <w:tc>
          <w:tcPr>
            <w:tcW w:w="64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验收</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时间</w:t>
            </w:r>
          </w:p>
        </w:tc>
        <w:tc>
          <w:tcPr>
            <w:tcW w:w="64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备注</w:t>
            </w: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bl>
    <w:p>
      <w:pPr>
        <w:widowControl/>
        <w:snapToGrid w:val="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注：（1）类似项目业绩是投标人自2018年1月1日至今独立完成过质量合格的（须含最大额定速度不少于6.0m/s的垂直电梯）的电梯供货业绩。</w:t>
      </w:r>
    </w:p>
    <w:p>
      <w:pPr>
        <w:widowControl/>
        <w:snapToGrid w:val="0"/>
        <w:ind w:firstLine="420" w:firstLineChars="20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（2）需同时提供采购合同、技术监督部门或建设单位确认的验收报告或验收证明（供货业绩时间以验收时间为准，如业绩证明材料不能体现指标参数（电梯类型和电梯速度）的，视为不符合业绩要求。</w:t>
      </w:r>
    </w:p>
    <w:p>
      <w:pPr>
        <w:pStyle w:val="49"/>
        <w:ind w:left="480" w:firstLine="420"/>
        <w:rPr>
          <w:color w:val="auto"/>
          <w:highlight w:val="none"/>
        </w:rPr>
      </w:pPr>
    </w:p>
    <w:p>
      <w:pPr>
        <w:widowControl/>
        <w:snapToGrid w:val="0"/>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投标人（盖章）：</w:t>
      </w:r>
    </w:p>
    <w:p>
      <w:pPr>
        <w:spacing w:line="360" w:lineRule="auto"/>
        <w:rPr>
          <w:color w:val="auto"/>
          <w:sz w:val="21"/>
          <w:szCs w:val="21"/>
          <w:highlight w:val="none"/>
        </w:rPr>
      </w:pPr>
      <w:r>
        <w:rPr>
          <w:rFonts w:hint="eastAsia"/>
          <w:color w:val="auto"/>
          <w:sz w:val="21"/>
          <w:szCs w:val="21"/>
          <w:highlight w:val="none"/>
        </w:rPr>
        <w:t>法定代表人或其授权代理人（签名或盖章）：</w:t>
      </w:r>
    </w:p>
    <w:p>
      <w:pPr>
        <w:spacing w:line="360" w:lineRule="auto"/>
        <w:rPr>
          <w:color w:val="auto"/>
          <w:sz w:val="21"/>
          <w:szCs w:val="21"/>
          <w:highlight w:val="none"/>
        </w:rPr>
      </w:pPr>
      <w:r>
        <w:rPr>
          <w:rFonts w:hint="eastAsia"/>
          <w:color w:val="auto"/>
          <w:sz w:val="21"/>
          <w:szCs w:val="21"/>
          <w:highlight w:val="none"/>
        </w:rPr>
        <w:t>日   期：</w:t>
      </w:r>
    </w:p>
    <w:p>
      <w:pPr>
        <w:pStyle w:val="7"/>
        <w:overflowPunct w:val="0"/>
        <w:spacing w:line="443" w:lineRule="exact"/>
        <w:ind w:left="8" w:right="1034" w:hanging="8"/>
        <w:rPr>
          <w:rFonts w:ascii="宋体" w:hAnsi="宋体" w:eastAsia="宋体" w:cs="宋体"/>
          <w:color w:val="auto"/>
          <w:sz w:val="24"/>
          <w:szCs w:val="16"/>
          <w:highlight w:val="none"/>
        </w:rPr>
      </w:pPr>
      <w:r>
        <w:rPr>
          <w:rFonts w:ascii="宋体" w:hAnsi="宋体" w:cs="宋体"/>
          <w:b w:val="0"/>
          <w:bCs/>
          <w:color w:val="auto"/>
          <w:sz w:val="28"/>
          <w:szCs w:val="28"/>
          <w:highlight w:val="none"/>
        </w:rPr>
        <w:br w:type="page"/>
      </w:r>
      <w:r>
        <w:rPr>
          <w:rFonts w:hint="eastAsia" w:ascii="宋体" w:hAnsi="宋体" w:eastAsia="宋体" w:cs="宋体"/>
          <w:color w:val="auto"/>
          <w:sz w:val="24"/>
          <w:szCs w:val="16"/>
          <w:highlight w:val="none"/>
        </w:rPr>
        <w:t>附件</w:t>
      </w:r>
      <w:r>
        <w:rPr>
          <w:rFonts w:ascii="宋体" w:hAnsi="宋体" w:eastAsia="宋体" w:cs="宋体"/>
          <w:color w:val="auto"/>
          <w:sz w:val="24"/>
          <w:szCs w:val="16"/>
          <w:highlight w:val="none"/>
        </w:rPr>
        <w:t>7：7.2</w:t>
      </w:r>
      <w:r>
        <w:rPr>
          <w:rFonts w:hint="eastAsia" w:ascii="宋体" w:hAnsi="宋体" w:eastAsia="宋体" w:cs="宋体"/>
          <w:color w:val="auto"/>
          <w:sz w:val="24"/>
          <w:szCs w:val="16"/>
          <w:highlight w:val="none"/>
        </w:rPr>
        <w:t xml:space="preserve"> 电梯业绩（用于定标因素评审）</w:t>
      </w:r>
    </w:p>
    <w:p>
      <w:pPr>
        <w:spacing w:before="240" w:line="276" w:lineRule="auto"/>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电梯业绩（用于定标因素评审）</w:t>
      </w:r>
    </w:p>
    <w:tbl>
      <w:tblPr>
        <w:tblStyle w:val="26"/>
        <w:tblW w:w="5000" w:type="pct"/>
        <w:tblInd w:w="0" w:type="dxa"/>
        <w:tblLayout w:type="autofit"/>
        <w:tblCellMar>
          <w:top w:w="0" w:type="dxa"/>
          <w:left w:w="108" w:type="dxa"/>
          <w:bottom w:w="0" w:type="dxa"/>
          <w:right w:w="108" w:type="dxa"/>
        </w:tblCellMar>
      </w:tblPr>
      <w:tblGrid>
        <w:gridCol w:w="937"/>
        <w:gridCol w:w="264"/>
        <w:gridCol w:w="1191"/>
        <w:gridCol w:w="1345"/>
        <w:gridCol w:w="1770"/>
        <w:gridCol w:w="1391"/>
        <w:gridCol w:w="1191"/>
        <w:gridCol w:w="1198"/>
      </w:tblGrid>
      <w:tr>
        <w:tblPrEx>
          <w:tblCellMar>
            <w:top w:w="0" w:type="dxa"/>
            <w:left w:w="108" w:type="dxa"/>
            <w:bottom w:w="0" w:type="dxa"/>
            <w:right w:w="108" w:type="dxa"/>
          </w:tblCellMar>
        </w:tblPrEx>
        <w:trPr>
          <w:gridAfter w:val="5"/>
          <w:wAfter w:w="3712" w:type="pct"/>
          <w:trHeight w:val="270" w:hRule="atLeast"/>
        </w:trPr>
        <w:tc>
          <w:tcPr>
            <w:tcW w:w="647" w:type="pct"/>
            <w:gridSpan w:val="2"/>
            <w:tcBorders>
              <w:top w:val="nil"/>
              <w:left w:val="nil"/>
              <w:bottom w:val="single" w:color="auto" w:sz="4" w:space="0"/>
              <w:right w:val="nil"/>
            </w:tcBorders>
          </w:tcPr>
          <w:p>
            <w:pPr>
              <w:widowControl/>
              <w:jc w:val="center"/>
              <w:rPr>
                <w:rFonts w:ascii="宋体" w:hAnsi="宋体" w:cs="宋体"/>
                <w:b/>
                <w:bCs/>
                <w:color w:val="auto"/>
                <w:sz w:val="21"/>
                <w:szCs w:val="21"/>
                <w:highlight w:val="none"/>
              </w:rPr>
            </w:pPr>
          </w:p>
        </w:tc>
        <w:tc>
          <w:tcPr>
            <w:tcW w:w="641" w:type="pct"/>
            <w:tcBorders>
              <w:top w:val="nil"/>
              <w:left w:val="nil"/>
              <w:bottom w:val="single" w:color="auto" w:sz="4" w:space="0"/>
              <w:right w:val="nil"/>
            </w:tcBorders>
          </w:tcPr>
          <w:p>
            <w:pPr>
              <w:widowControl/>
              <w:jc w:val="center"/>
              <w:rPr>
                <w:rFonts w:ascii="宋体" w:hAnsi="宋体" w:cs="宋体"/>
                <w:b/>
                <w:bCs/>
                <w:color w:val="auto"/>
                <w:sz w:val="21"/>
                <w:szCs w:val="21"/>
                <w:highlight w:val="none"/>
              </w:rPr>
            </w:pPr>
          </w:p>
        </w:tc>
      </w:tr>
      <w:tr>
        <w:tblPrEx>
          <w:tblCellMar>
            <w:top w:w="0" w:type="dxa"/>
            <w:left w:w="108" w:type="dxa"/>
            <w:bottom w:w="0" w:type="dxa"/>
            <w:right w:w="108" w:type="dxa"/>
          </w:tblCellMar>
        </w:tblPrEx>
        <w:trPr>
          <w:trHeight w:val="990" w:hRule="atLeast"/>
        </w:trPr>
        <w:tc>
          <w:tcPr>
            <w:tcW w:w="505"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序号</w:t>
            </w:r>
          </w:p>
        </w:tc>
        <w:tc>
          <w:tcPr>
            <w:tcW w:w="1507"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项目名称</w:t>
            </w:r>
          </w:p>
        </w:tc>
        <w:tc>
          <w:tcPr>
            <w:tcW w:w="95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合同金额</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（元）</w:t>
            </w:r>
          </w:p>
        </w:tc>
        <w:tc>
          <w:tcPr>
            <w:tcW w:w="7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额定速度（</w:t>
            </w:r>
            <w:r>
              <w:rPr>
                <w:rFonts w:ascii="宋体" w:hAnsi="宋体" w:cs="宋体"/>
                <w:color w:val="auto"/>
                <w:sz w:val="21"/>
                <w:szCs w:val="21"/>
                <w:highlight w:val="none"/>
              </w:rPr>
              <w:t>m/s</w:t>
            </w:r>
            <w:r>
              <w:rPr>
                <w:rFonts w:hint="eastAsia" w:ascii="宋体" w:hAnsi="宋体" w:cs="宋体"/>
                <w:color w:val="auto"/>
                <w:sz w:val="21"/>
                <w:szCs w:val="21"/>
                <w:highlight w:val="none"/>
              </w:rPr>
              <w:t>）</w:t>
            </w:r>
          </w:p>
        </w:tc>
        <w:tc>
          <w:tcPr>
            <w:tcW w:w="64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验收</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时间</w:t>
            </w:r>
          </w:p>
        </w:tc>
        <w:tc>
          <w:tcPr>
            <w:tcW w:w="64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备注</w:t>
            </w: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04" w:hRule="atLeast"/>
        </w:trPr>
        <w:tc>
          <w:tcPr>
            <w:tcW w:w="50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1507" w:type="pct"/>
            <w:gridSpan w:val="3"/>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953"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749"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1"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c>
          <w:tcPr>
            <w:tcW w:w="645" w:type="pct"/>
            <w:tcBorders>
              <w:top w:val="single" w:color="auto" w:sz="4" w:space="0"/>
              <w:left w:val="single" w:color="auto" w:sz="4" w:space="0"/>
              <w:bottom w:val="single" w:color="auto" w:sz="4" w:space="0"/>
              <w:right w:val="single" w:color="auto" w:sz="4" w:space="0"/>
            </w:tcBorders>
          </w:tcPr>
          <w:p>
            <w:pPr>
              <w:rPr>
                <w:rFonts w:ascii="宋体" w:hAnsi="宋体" w:cs="宋体"/>
                <w:color w:val="auto"/>
                <w:sz w:val="21"/>
                <w:szCs w:val="21"/>
                <w:highlight w:val="none"/>
              </w:rPr>
            </w:pPr>
          </w:p>
        </w:tc>
      </w:tr>
    </w:tbl>
    <w:p>
      <w:pPr>
        <w:widowControl/>
        <w:snapToGrid w:val="0"/>
        <w:rPr>
          <w:rFonts w:cs="宋体" w:asciiTheme="minorEastAsia" w:hAnsiTheme="minorEastAsia" w:eastAsiaTheme="minorEastAsia"/>
          <w:color w:val="auto"/>
          <w:sz w:val="21"/>
          <w:szCs w:val="21"/>
          <w:highlight w:val="none"/>
        </w:rPr>
      </w:pPr>
      <w:r>
        <w:rPr>
          <w:rFonts w:hint="eastAsia" w:ascii="宋体" w:hAnsi="宋体" w:cs="宋体"/>
          <w:color w:val="auto"/>
          <w:sz w:val="21"/>
          <w:szCs w:val="21"/>
          <w:highlight w:val="none"/>
        </w:rPr>
        <w:t>注：（1）电梯</w:t>
      </w:r>
      <w:r>
        <w:rPr>
          <w:rFonts w:hint="eastAsia" w:cs="宋体" w:asciiTheme="minorEastAsia" w:hAnsiTheme="minorEastAsia" w:eastAsiaTheme="minorEastAsia"/>
          <w:color w:val="auto"/>
          <w:sz w:val="21"/>
          <w:szCs w:val="21"/>
          <w:highlight w:val="none"/>
        </w:rPr>
        <w:t>业绩是投标人自2018年1月1日至今独立完成过质量合格的（须含最大额定速度不少于6.0m/s的垂直电梯）的电梯供货业绩。</w:t>
      </w:r>
    </w:p>
    <w:p>
      <w:pPr>
        <w:widowControl/>
        <w:snapToGrid w:val="0"/>
        <w:spacing w:line="360" w:lineRule="auto"/>
        <w:ind w:firstLine="420" w:firstLineChars="200"/>
        <w:rPr>
          <w:rFonts w:ascii="宋体" w:hAnsi="宋体" w:cs="宋体"/>
          <w:color w:val="auto"/>
          <w:sz w:val="21"/>
          <w:szCs w:val="21"/>
          <w:highlight w:val="none"/>
        </w:rPr>
      </w:pPr>
      <w:r>
        <w:rPr>
          <w:rFonts w:hint="eastAsia" w:cs="宋体" w:asciiTheme="minorEastAsia" w:hAnsiTheme="minorEastAsia" w:eastAsiaTheme="minorEastAsia"/>
          <w:color w:val="auto"/>
          <w:sz w:val="21"/>
          <w:szCs w:val="21"/>
          <w:highlight w:val="none"/>
        </w:rPr>
        <w:t>（2）需同时提供采购合同、技术监督部门或建设单位确认的验收报告或验收证明（供货业绩时间以验收时间为准，如业绩证明材料不能体现指标参数（电梯类型和电梯速度）的，视为不符合业绩要求。</w:t>
      </w:r>
    </w:p>
    <w:p>
      <w:pPr>
        <w:widowControl/>
        <w:snapToGrid w:val="0"/>
        <w:spacing w:line="360" w:lineRule="auto"/>
        <w:ind w:firstLine="405" w:firstLineChars="193"/>
        <w:rPr>
          <w:rFonts w:ascii="宋体" w:hAns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3</w:t>
      </w:r>
      <w:r>
        <w:rPr>
          <w:rFonts w:hint="eastAsia" w:ascii="宋体" w:hAnsi="宋体" w:cs="宋体"/>
          <w:color w:val="auto"/>
          <w:sz w:val="21"/>
          <w:szCs w:val="21"/>
          <w:highlight w:val="none"/>
        </w:rPr>
        <w:t>）投标文件中提供不多于</w:t>
      </w:r>
      <w:r>
        <w:rPr>
          <w:rFonts w:ascii="宋体" w:hAnsi="宋体" w:cs="宋体"/>
          <w:color w:val="auto"/>
          <w:sz w:val="21"/>
          <w:szCs w:val="21"/>
          <w:highlight w:val="none"/>
        </w:rPr>
        <w:t>5</w:t>
      </w:r>
      <w:r>
        <w:rPr>
          <w:rFonts w:hint="eastAsia" w:ascii="宋体" w:hAnsi="宋体" w:cs="宋体"/>
          <w:color w:val="auto"/>
          <w:sz w:val="21"/>
          <w:szCs w:val="21"/>
          <w:highlight w:val="none"/>
        </w:rPr>
        <w:t>项相关业绩证明材料，超过</w:t>
      </w:r>
      <w:r>
        <w:rPr>
          <w:rFonts w:ascii="宋体" w:hAnsi="宋体" w:cs="宋体"/>
          <w:color w:val="auto"/>
          <w:sz w:val="21"/>
          <w:szCs w:val="21"/>
          <w:highlight w:val="none"/>
        </w:rPr>
        <w:t>5项的，</w:t>
      </w:r>
      <w:r>
        <w:rPr>
          <w:rFonts w:hint="eastAsia" w:ascii="宋体" w:hAnsi="宋体" w:cs="宋体"/>
          <w:color w:val="auto"/>
          <w:sz w:val="21"/>
          <w:szCs w:val="21"/>
          <w:highlight w:val="none"/>
        </w:rPr>
        <w:t>取符合要求的前</w:t>
      </w:r>
      <w:r>
        <w:rPr>
          <w:rFonts w:ascii="宋体" w:hAnsi="宋体" w:cs="宋体"/>
          <w:color w:val="auto"/>
          <w:sz w:val="21"/>
          <w:szCs w:val="21"/>
          <w:highlight w:val="none"/>
        </w:rPr>
        <w:t>5项进行评审</w:t>
      </w:r>
      <w:r>
        <w:rPr>
          <w:rFonts w:hint="eastAsia" w:ascii="宋体" w:hAnsi="宋体" w:cs="宋体"/>
          <w:color w:val="auto"/>
          <w:sz w:val="21"/>
          <w:szCs w:val="21"/>
          <w:highlight w:val="none"/>
        </w:rPr>
        <w:t>。</w:t>
      </w:r>
    </w:p>
    <w:p>
      <w:pPr>
        <w:pStyle w:val="49"/>
        <w:ind w:left="480" w:firstLine="420"/>
        <w:rPr>
          <w:color w:val="auto"/>
          <w:highlight w:val="none"/>
        </w:rPr>
      </w:pPr>
    </w:p>
    <w:p>
      <w:pPr>
        <w:widowControl/>
        <w:snapToGrid w:val="0"/>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投标人（盖章）：</w:t>
      </w:r>
    </w:p>
    <w:p>
      <w:pPr>
        <w:widowControl/>
        <w:snapToGrid w:val="0"/>
        <w:spacing w:line="360" w:lineRule="auto"/>
        <w:rPr>
          <w:rFonts w:ascii="宋体" w:hAnsi="宋体" w:cs="宋体"/>
          <w:color w:val="auto"/>
          <w:sz w:val="21"/>
          <w:szCs w:val="21"/>
          <w:highlight w:val="none"/>
        </w:rPr>
      </w:pPr>
      <w:r>
        <w:rPr>
          <w:rFonts w:hint="eastAsia"/>
          <w:color w:val="auto"/>
          <w:sz w:val="21"/>
          <w:szCs w:val="21"/>
          <w:highlight w:val="none"/>
        </w:rPr>
        <w:t>法定代表人或其授权代理人（签名或盖章）：</w:t>
      </w:r>
      <w:r>
        <w:rPr>
          <w:rFonts w:ascii="宋体" w:hAnsi="宋体" w:cs="宋体"/>
          <w:color w:val="auto"/>
          <w:sz w:val="21"/>
          <w:szCs w:val="21"/>
          <w:highlight w:val="none"/>
        </w:rPr>
        <w:t xml:space="preserve"> </w:t>
      </w:r>
    </w:p>
    <w:p>
      <w:pPr>
        <w:spacing w:line="360" w:lineRule="auto"/>
        <w:rPr>
          <w:color w:val="auto"/>
          <w:sz w:val="21"/>
          <w:szCs w:val="21"/>
          <w:highlight w:val="none"/>
        </w:rPr>
      </w:pPr>
      <w:r>
        <w:rPr>
          <w:rFonts w:hint="eastAsia"/>
          <w:color w:val="auto"/>
          <w:sz w:val="21"/>
          <w:szCs w:val="21"/>
          <w:highlight w:val="none"/>
        </w:rPr>
        <w:t>日   期：</w:t>
      </w:r>
    </w:p>
    <w:p>
      <w:pPr>
        <w:pStyle w:val="7"/>
        <w:overflowPunct w:val="0"/>
        <w:spacing w:line="443" w:lineRule="exact"/>
        <w:ind w:left="0" w:right="1034"/>
        <w:rPr>
          <w:rFonts w:ascii="宋体" w:hAnsi="宋体" w:cs="宋体"/>
          <w:color w:val="auto"/>
          <w:szCs w:val="16"/>
          <w:highlight w:val="none"/>
        </w:rPr>
      </w:pPr>
      <w:r>
        <w:rPr>
          <w:rFonts w:ascii="宋体" w:hAnsi="宋体" w:cs="宋体"/>
          <w:b w:val="0"/>
          <w:bCs/>
          <w:color w:val="auto"/>
          <w:sz w:val="28"/>
          <w:szCs w:val="28"/>
          <w:highlight w:val="none"/>
        </w:rPr>
        <w:br w:type="page"/>
      </w:r>
      <w:bookmarkStart w:id="208" w:name="_Toc83210346"/>
      <w:bookmarkStart w:id="209" w:name="_Toc3791"/>
      <w:r>
        <w:rPr>
          <w:rFonts w:hint="eastAsia" w:ascii="宋体" w:hAnsi="宋体" w:eastAsia="宋体" w:cs="宋体"/>
          <w:color w:val="auto"/>
          <w:sz w:val="24"/>
          <w:szCs w:val="16"/>
          <w:highlight w:val="none"/>
        </w:rPr>
        <w:t>附件</w:t>
      </w:r>
      <w:r>
        <w:rPr>
          <w:rFonts w:ascii="宋体" w:hAnsi="宋体" w:eastAsia="宋体" w:cs="宋体"/>
          <w:color w:val="auto"/>
          <w:sz w:val="24"/>
          <w:szCs w:val="16"/>
          <w:highlight w:val="none"/>
        </w:rPr>
        <w:t>8</w:t>
      </w:r>
      <w:r>
        <w:rPr>
          <w:rFonts w:hint="eastAsia" w:ascii="宋体" w:hAnsi="宋体" w:eastAsia="宋体" w:cs="宋体"/>
          <w:color w:val="auto"/>
          <w:sz w:val="24"/>
          <w:szCs w:val="16"/>
          <w:highlight w:val="none"/>
        </w:rPr>
        <w:t>：用户所在地售后网点及仓库情况</w:t>
      </w:r>
      <w:bookmarkEnd w:id="208"/>
      <w:bookmarkEnd w:id="209"/>
    </w:p>
    <w:p>
      <w:pPr>
        <w:spacing w:line="480" w:lineRule="exact"/>
        <w:jc w:val="center"/>
        <w:rPr>
          <w:rFonts w:ascii="宋体" w:hAnsi="宋体" w:cs="宋体"/>
          <w:b/>
          <w:color w:val="auto"/>
          <w:sz w:val="28"/>
          <w:szCs w:val="28"/>
          <w:highlight w:val="none"/>
        </w:rPr>
      </w:pPr>
    </w:p>
    <w:p>
      <w:pPr>
        <w:spacing w:line="48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用户所在地售后网点及仓库情况</w:t>
      </w:r>
    </w:p>
    <w:p>
      <w:pPr>
        <w:spacing w:line="480" w:lineRule="exact"/>
        <w:jc w:val="center"/>
        <w:rPr>
          <w:rFonts w:ascii="宋体" w:hAnsi="宋体" w:cs="宋体"/>
          <w:b/>
          <w:color w:val="auto"/>
          <w:sz w:val="28"/>
          <w:szCs w:val="28"/>
          <w:highlight w:val="none"/>
        </w:rPr>
      </w:pPr>
    </w:p>
    <w:tbl>
      <w:tblPr>
        <w:tblStyle w:val="26"/>
        <w:tblW w:w="0" w:type="auto"/>
        <w:jc w:val="center"/>
        <w:tblLayout w:type="fixed"/>
        <w:tblCellMar>
          <w:top w:w="0" w:type="dxa"/>
          <w:left w:w="108" w:type="dxa"/>
          <w:bottom w:w="0" w:type="dxa"/>
          <w:right w:w="108" w:type="dxa"/>
        </w:tblCellMar>
      </w:tblPr>
      <w:tblGrid>
        <w:gridCol w:w="581"/>
        <w:gridCol w:w="2127"/>
        <w:gridCol w:w="1984"/>
        <w:gridCol w:w="1744"/>
        <w:gridCol w:w="2650"/>
      </w:tblGrid>
      <w:tr>
        <w:tblPrEx>
          <w:tblCellMar>
            <w:top w:w="0" w:type="dxa"/>
            <w:left w:w="108" w:type="dxa"/>
            <w:bottom w:w="0" w:type="dxa"/>
            <w:right w:w="108" w:type="dxa"/>
          </w:tblCellMar>
        </w:tblPrEx>
        <w:trPr>
          <w:trHeight w:val="810"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序号</w:t>
            </w:r>
          </w:p>
        </w:tc>
        <w:tc>
          <w:tcPr>
            <w:tcW w:w="2127" w:type="dxa"/>
            <w:tcBorders>
              <w:top w:val="single" w:color="auto" w:sz="4" w:space="0"/>
              <w:left w:val="nil"/>
              <w:bottom w:val="single" w:color="auto" w:sz="4" w:space="0"/>
              <w:right w:val="single" w:color="auto" w:sz="4" w:space="0"/>
            </w:tcBorders>
            <w:vAlign w:val="center"/>
          </w:tcPr>
          <w:p>
            <w:pPr>
              <w:widowControl/>
              <w:ind w:firstLine="27" w:firstLineChars="12"/>
              <w:jc w:val="center"/>
              <w:rPr>
                <w:rFonts w:ascii="宋体" w:hAnsi="宋体" w:cs="宋体"/>
                <w:b/>
                <w:bCs/>
                <w:color w:val="auto"/>
                <w:sz w:val="22"/>
                <w:highlight w:val="none"/>
              </w:rPr>
            </w:pPr>
            <w:r>
              <w:rPr>
                <w:rFonts w:hint="eastAsia" w:ascii="宋体" w:hAnsi="宋体" w:cs="宋体"/>
                <w:b/>
                <w:bCs/>
                <w:color w:val="auto"/>
                <w:sz w:val="22"/>
                <w:highlight w:val="none"/>
              </w:rPr>
              <w:t>售后网点</w:t>
            </w:r>
          </w:p>
          <w:p>
            <w:pPr>
              <w:widowControl/>
              <w:ind w:firstLine="27" w:firstLineChars="12"/>
              <w:jc w:val="center"/>
              <w:rPr>
                <w:rFonts w:ascii="宋体" w:hAnsi="宋体" w:cs="宋体"/>
                <w:b/>
                <w:bCs/>
                <w:color w:val="auto"/>
                <w:sz w:val="22"/>
                <w:highlight w:val="none"/>
              </w:rPr>
            </w:pPr>
            <w:r>
              <w:rPr>
                <w:rFonts w:hint="eastAsia" w:ascii="宋体" w:hAnsi="宋体" w:cs="宋体"/>
                <w:b/>
                <w:bCs/>
                <w:color w:val="auto"/>
                <w:sz w:val="22"/>
                <w:highlight w:val="none"/>
              </w:rPr>
              <w:t>名称</w:t>
            </w:r>
            <w:r>
              <w:rPr>
                <w:rFonts w:hint="eastAsia" w:ascii="宋体" w:hAnsi="宋体" w:cs="宋体"/>
                <w:b/>
                <w:bCs/>
                <w:color w:val="auto"/>
                <w:sz w:val="22"/>
                <w:highlight w:val="none"/>
              </w:rPr>
              <w:t>、地址</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是否有自己的专业维修队伍</w:t>
            </w:r>
          </w:p>
        </w:tc>
        <w:tc>
          <w:tcPr>
            <w:tcW w:w="174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是否有零配件仓库</w:t>
            </w:r>
          </w:p>
        </w:tc>
        <w:tc>
          <w:tcPr>
            <w:tcW w:w="26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快速响应用户需求，能解决电梯故障的措施、保障</w:t>
            </w:r>
          </w:p>
        </w:tc>
      </w:tr>
      <w:tr>
        <w:tblPrEx>
          <w:tblCellMar>
            <w:top w:w="0" w:type="dxa"/>
            <w:left w:w="108" w:type="dxa"/>
            <w:bottom w:w="0" w:type="dxa"/>
            <w:right w:w="108" w:type="dxa"/>
          </w:tblCellMar>
        </w:tblPrEx>
        <w:trPr>
          <w:trHeight w:val="810"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174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26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r>
      <w:tr>
        <w:tblPrEx>
          <w:tblCellMar>
            <w:top w:w="0" w:type="dxa"/>
            <w:left w:w="108" w:type="dxa"/>
            <w:bottom w:w="0" w:type="dxa"/>
            <w:right w:w="108" w:type="dxa"/>
          </w:tblCellMar>
        </w:tblPrEx>
        <w:trPr>
          <w:trHeight w:val="810"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highlight w:val="none"/>
              </w:rPr>
            </w:pPr>
          </w:p>
          <w:p>
            <w:pPr>
              <w:pStyle w:val="49"/>
              <w:ind w:left="480" w:firstLine="420"/>
              <w:rPr>
                <w:rFonts w:ascii="宋体" w:hAnsi="宋体" w:cs="宋体"/>
                <w:color w:val="auto"/>
                <w:highlight w:val="none"/>
              </w:rPr>
            </w:pP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174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26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r>
      <w:tr>
        <w:tblPrEx>
          <w:tblCellMar>
            <w:top w:w="0" w:type="dxa"/>
            <w:left w:w="108" w:type="dxa"/>
            <w:bottom w:w="0" w:type="dxa"/>
            <w:right w:w="108" w:type="dxa"/>
          </w:tblCellMar>
        </w:tblPrEx>
        <w:trPr>
          <w:trHeight w:val="810"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174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26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r>
      <w:tr>
        <w:tblPrEx>
          <w:tblCellMar>
            <w:top w:w="0" w:type="dxa"/>
            <w:left w:w="108" w:type="dxa"/>
            <w:bottom w:w="0" w:type="dxa"/>
            <w:right w:w="108" w:type="dxa"/>
          </w:tblCellMar>
        </w:tblPrEx>
        <w:trPr>
          <w:trHeight w:val="810"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174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26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r>
      <w:tr>
        <w:tblPrEx>
          <w:tblCellMar>
            <w:top w:w="0" w:type="dxa"/>
            <w:left w:w="108" w:type="dxa"/>
            <w:bottom w:w="0" w:type="dxa"/>
            <w:right w:w="108" w:type="dxa"/>
          </w:tblCellMar>
        </w:tblPrEx>
        <w:trPr>
          <w:trHeight w:val="810"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174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26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r>
      <w:tr>
        <w:tblPrEx>
          <w:tblCellMar>
            <w:top w:w="0" w:type="dxa"/>
            <w:left w:w="108" w:type="dxa"/>
            <w:bottom w:w="0" w:type="dxa"/>
            <w:right w:w="108" w:type="dxa"/>
          </w:tblCellMar>
        </w:tblPrEx>
        <w:trPr>
          <w:trHeight w:val="810"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174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26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r>
      <w:tr>
        <w:tblPrEx>
          <w:tblCellMar>
            <w:top w:w="0" w:type="dxa"/>
            <w:left w:w="108" w:type="dxa"/>
            <w:bottom w:w="0" w:type="dxa"/>
            <w:right w:w="108" w:type="dxa"/>
          </w:tblCellMar>
        </w:tblPrEx>
        <w:trPr>
          <w:trHeight w:val="810"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174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26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r>
      <w:tr>
        <w:tblPrEx>
          <w:tblCellMar>
            <w:top w:w="0" w:type="dxa"/>
            <w:left w:w="108" w:type="dxa"/>
            <w:bottom w:w="0" w:type="dxa"/>
            <w:right w:w="108" w:type="dxa"/>
          </w:tblCellMar>
        </w:tblPrEx>
        <w:trPr>
          <w:trHeight w:val="810"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174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c>
          <w:tcPr>
            <w:tcW w:w="26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p>
        </w:tc>
      </w:tr>
    </w:tbl>
    <w:p>
      <w:pPr>
        <w:spacing w:line="480" w:lineRule="exact"/>
        <w:rPr>
          <w:rFonts w:ascii="宋体" w:hAnsi="宋体" w:cs="宋体"/>
          <w:bCs/>
          <w:color w:val="auto"/>
          <w:sz w:val="21"/>
          <w:szCs w:val="21"/>
          <w:highlight w:val="none"/>
        </w:rPr>
      </w:pPr>
      <w:bookmarkStart w:id="210" w:name="_Toc1425"/>
      <w:r>
        <w:rPr>
          <w:rFonts w:ascii="宋体" w:hAnsi="宋体" w:cs="宋体"/>
          <w:bCs/>
          <w:color w:val="auto"/>
          <w:sz w:val="21"/>
          <w:szCs w:val="21"/>
          <w:highlight w:val="none"/>
        </w:rPr>
        <w:t>注：需提供售后网点的营业执照</w:t>
      </w:r>
      <w:r>
        <w:rPr>
          <w:rFonts w:hint="eastAsia" w:ascii="宋体" w:hAnsi="宋体" w:cs="宋体"/>
          <w:bCs/>
          <w:color w:val="auto"/>
          <w:sz w:val="21"/>
          <w:szCs w:val="21"/>
          <w:highlight w:val="none"/>
        </w:rPr>
        <w:t>或场地租赁合同扫描件</w:t>
      </w:r>
      <w:r>
        <w:rPr>
          <w:rFonts w:ascii="宋体" w:hAnsi="宋体" w:cs="宋体"/>
          <w:bCs/>
          <w:color w:val="auto"/>
          <w:sz w:val="21"/>
          <w:szCs w:val="21"/>
          <w:highlight w:val="none"/>
        </w:rPr>
        <w:t>并</w:t>
      </w:r>
      <w:bookmarkEnd w:id="210"/>
      <w:r>
        <w:rPr>
          <w:rFonts w:hint="eastAsia" w:ascii="宋体" w:hAnsi="宋体" w:cs="宋体"/>
          <w:bCs/>
          <w:color w:val="auto"/>
          <w:sz w:val="21"/>
          <w:szCs w:val="21"/>
          <w:highlight w:val="none"/>
        </w:rPr>
        <w:t>盖章</w:t>
      </w:r>
      <w:r>
        <w:rPr>
          <w:rFonts w:hint="eastAsia" w:ascii="宋体" w:hAnsi="宋体" w:cs="宋体"/>
          <w:bCs/>
          <w:color w:val="auto"/>
          <w:sz w:val="21"/>
          <w:szCs w:val="21"/>
          <w:highlight w:val="none"/>
        </w:rPr>
        <w:t>，售后网点应便于快速响应用户需求，地址须明确到XX市XX区XX街XX号</w:t>
      </w:r>
      <w:r>
        <w:rPr>
          <w:rFonts w:hint="eastAsia" w:ascii="宋体" w:hAnsi="宋体" w:cs="宋体"/>
          <w:bCs/>
          <w:color w:val="auto"/>
          <w:sz w:val="21"/>
          <w:szCs w:val="21"/>
          <w:highlight w:val="none"/>
        </w:rPr>
        <w:t>。</w:t>
      </w:r>
    </w:p>
    <w:p>
      <w:pPr>
        <w:pStyle w:val="49"/>
        <w:ind w:left="480" w:firstLine="420"/>
        <w:rPr>
          <w:color w:val="auto"/>
          <w:szCs w:val="21"/>
          <w:highlight w:val="none"/>
        </w:rPr>
      </w:pPr>
    </w:p>
    <w:p>
      <w:pPr>
        <w:rPr>
          <w:color w:val="auto"/>
          <w:sz w:val="21"/>
          <w:szCs w:val="21"/>
          <w:highlight w:val="none"/>
        </w:rPr>
      </w:pPr>
    </w:p>
    <w:p>
      <w:pPr>
        <w:widowControl/>
        <w:snapToGrid w:val="0"/>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投标人（盖章）：</w:t>
      </w:r>
    </w:p>
    <w:p>
      <w:pPr>
        <w:spacing w:line="360" w:lineRule="auto"/>
        <w:rPr>
          <w:color w:val="auto"/>
          <w:sz w:val="21"/>
          <w:szCs w:val="21"/>
          <w:highlight w:val="none"/>
        </w:rPr>
      </w:pPr>
      <w:r>
        <w:rPr>
          <w:rFonts w:hint="eastAsia"/>
          <w:color w:val="auto"/>
          <w:sz w:val="21"/>
          <w:szCs w:val="21"/>
          <w:highlight w:val="none"/>
        </w:rPr>
        <w:t>法定代表人或其授权代理人（签名或盖章）：</w:t>
      </w:r>
    </w:p>
    <w:p>
      <w:pPr>
        <w:spacing w:line="360" w:lineRule="auto"/>
        <w:rPr>
          <w:color w:val="auto"/>
          <w:sz w:val="21"/>
          <w:szCs w:val="21"/>
          <w:highlight w:val="none"/>
        </w:rPr>
      </w:pPr>
      <w:r>
        <w:rPr>
          <w:rFonts w:hint="eastAsia"/>
          <w:color w:val="auto"/>
          <w:sz w:val="21"/>
          <w:szCs w:val="21"/>
          <w:highlight w:val="none"/>
        </w:rPr>
        <w:t>日   期：</w:t>
      </w:r>
    </w:p>
    <w:p>
      <w:pPr>
        <w:pStyle w:val="7"/>
        <w:overflowPunct w:val="0"/>
        <w:spacing w:line="443" w:lineRule="exact"/>
        <w:ind w:left="8" w:right="1034" w:hanging="8"/>
        <w:rPr>
          <w:rFonts w:ascii="宋体" w:hAnsi="宋体" w:eastAsia="宋体" w:cs="宋体"/>
          <w:color w:val="auto"/>
          <w:sz w:val="24"/>
          <w:szCs w:val="16"/>
          <w:highlight w:val="none"/>
        </w:rPr>
      </w:pPr>
      <w:r>
        <w:rPr>
          <w:rFonts w:ascii="宋体" w:hAnsi="宋体" w:eastAsia="宋体" w:cs="宋体"/>
          <w:bCs/>
          <w:color w:val="auto"/>
          <w:szCs w:val="32"/>
          <w:highlight w:val="none"/>
        </w:rPr>
        <w:br w:type="page"/>
      </w:r>
      <w:bookmarkStart w:id="211" w:name="_Toc83210347"/>
      <w:bookmarkStart w:id="212" w:name="_Toc557"/>
      <w:bookmarkStart w:id="213" w:name="_Toc34835518"/>
      <w:r>
        <w:rPr>
          <w:rFonts w:hint="eastAsia" w:ascii="宋体" w:hAnsi="宋体" w:eastAsia="宋体" w:cs="宋体"/>
          <w:color w:val="auto"/>
          <w:sz w:val="24"/>
          <w:szCs w:val="16"/>
          <w:highlight w:val="none"/>
        </w:rPr>
        <w:t>附件</w:t>
      </w:r>
      <w:r>
        <w:rPr>
          <w:rFonts w:ascii="宋体" w:hAnsi="宋体" w:eastAsia="宋体" w:cs="宋体"/>
          <w:color w:val="auto"/>
          <w:sz w:val="24"/>
          <w:szCs w:val="16"/>
          <w:highlight w:val="none"/>
        </w:rPr>
        <w:t>9</w:t>
      </w:r>
      <w:r>
        <w:rPr>
          <w:rFonts w:hint="eastAsia" w:ascii="宋体" w:hAnsi="宋体" w:eastAsia="宋体" w:cs="宋体"/>
          <w:color w:val="auto"/>
          <w:sz w:val="24"/>
          <w:szCs w:val="16"/>
          <w:highlight w:val="none"/>
        </w:rPr>
        <w:t>：商务</w:t>
      </w:r>
      <w:r>
        <w:rPr>
          <w:rFonts w:hint="eastAsia" w:ascii="宋体" w:hAnsi="宋体" w:eastAsia="宋体" w:cs="宋体"/>
          <w:color w:val="auto"/>
          <w:sz w:val="24"/>
          <w:szCs w:val="16"/>
          <w:highlight w:val="none"/>
        </w:rPr>
        <w:t>响应</w:t>
      </w:r>
      <w:r>
        <w:rPr>
          <w:rFonts w:hint="eastAsia" w:ascii="宋体" w:hAnsi="宋体" w:eastAsia="宋体" w:cs="宋体"/>
          <w:color w:val="auto"/>
          <w:sz w:val="24"/>
          <w:szCs w:val="16"/>
          <w:highlight w:val="none"/>
        </w:rPr>
        <w:t>表、电梯技术要求及参数响应表</w:t>
      </w:r>
      <w:bookmarkEnd w:id="211"/>
      <w:bookmarkEnd w:id="212"/>
    </w:p>
    <w:p>
      <w:pPr>
        <w:rPr>
          <w:rFonts w:ascii="宋体" w:hAnsi="宋体"/>
          <w:b/>
          <w:bCs/>
          <w:color w:val="auto"/>
          <w:szCs w:val="24"/>
          <w:highlight w:val="none"/>
        </w:rPr>
      </w:pPr>
    </w:p>
    <w:p>
      <w:pPr>
        <w:rPr>
          <w:b/>
          <w:color w:val="auto"/>
          <w:highlight w:val="none"/>
        </w:rPr>
      </w:pPr>
      <w:r>
        <w:rPr>
          <w:rFonts w:hint="eastAsia" w:ascii="宋体" w:hAnsi="宋体"/>
          <w:b/>
          <w:bCs/>
          <w:color w:val="auto"/>
          <w:szCs w:val="24"/>
          <w:highlight w:val="none"/>
        </w:rPr>
        <w:t>（一）</w:t>
      </w:r>
      <w:r>
        <w:rPr>
          <w:rFonts w:ascii="宋体" w:hAnsi="宋体"/>
          <w:b/>
          <w:bCs/>
          <w:color w:val="auto"/>
          <w:szCs w:val="24"/>
          <w:highlight w:val="none"/>
        </w:rPr>
        <w:t>商务</w:t>
      </w:r>
      <w:r>
        <w:rPr>
          <w:rFonts w:hint="eastAsia" w:ascii="宋体" w:hAnsi="宋体"/>
          <w:b/>
          <w:bCs/>
          <w:color w:val="auto"/>
          <w:szCs w:val="24"/>
          <w:highlight w:val="none"/>
        </w:rPr>
        <w:t>响应</w:t>
      </w:r>
      <w:r>
        <w:rPr>
          <w:rFonts w:ascii="宋体" w:hAnsi="宋体"/>
          <w:b/>
          <w:bCs/>
          <w:color w:val="auto"/>
          <w:szCs w:val="24"/>
          <w:highlight w:val="none"/>
        </w:rPr>
        <w:t>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116"/>
        <w:gridCol w:w="2693"/>
        <w:gridCol w:w="320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序号</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名称</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kern w:val="0"/>
                <w:sz w:val="21"/>
                <w:szCs w:val="21"/>
                <w:highlight w:val="none"/>
              </w:rPr>
              <w:t>需求说明</w:t>
            </w:r>
          </w:p>
        </w:tc>
        <w:tc>
          <w:tcPr>
            <w:tcW w:w="32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kern w:val="0"/>
                <w:sz w:val="21"/>
                <w:szCs w:val="21"/>
                <w:highlight w:val="none"/>
              </w:rPr>
              <w:t>是否响应</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kern w:val="0"/>
                <w:sz w:val="21"/>
                <w:szCs w:val="21"/>
                <w:highlight w:val="none"/>
              </w:rPr>
              <w:t>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kern w:val="0"/>
                <w:sz w:val="21"/>
                <w:szCs w:val="21"/>
                <w:highlight w:val="none"/>
              </w:rPr>
              <w:t>一</w:t>
            </w:r>
          </w:p>
        </w:tc>
        <w:tc>
          <w:tcPr>
            <w:tcW w:w="8079"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sz w:val="21"/>
                <w:szCs w:val="21"/>
                <w:highlight w:val="none"/>
              </w:rPr>
            </w:pPr>
            <w:r>
              <w:rPr>
                <w:rFonts w:hint="eastAsia" w:ascii="宋体" w:hAnsi="宋体"/>
                <w:b/>
                <w:color w:val="auto"/>
                <w:kern w:val="0"/>
                <w:sz w:val="21"/>
                <w:szCs w:val="21"/>
                <w:highlight w:val="none"/>
              </w:rPr>
              <w:t>商务部分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ascii="宋体" w:hAnsi="宋体"/>
                <w:color w:val="auto"/>
                <w:kern w:val="0"/>
                <w:sz w:val="21"/>
                <w:szCs w:val="21"/>
                <w:highlight w:val="none"/>
              </w:rPr>
              <w:t>1</w:t>
            </w:r>
          </w:p>
        </w:tc>
        <w:tc>
          <w:tcPr>
            <w:tcW w:w="1116" w:type="dxa"/>
            <w:tcBorders>
              <w:top w:val="single" w:color="auto" w:sz="4" w:space="0"/>
              <w:left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kern w:val="0"/>
                <w:sz w:val="21"/>
                <w:szCs w:val="21"/>
                <w:highlight w:val="none"/>
              </w:rPr>
              <w:t>招标合同内容条款</w:t>
            </w:r>
          </w:p>
        </w:tc>
        <w:tc>
          <w:tcPr>
            <w:tcW w:w="2693" w:type="dxa"/>
            <w:tcBorders>
              <w:top w:val="single" w:color="auto" w:sz="4" w:space="0"/>
              <w:left w:val="single" w:color="auto" w:sz="4" w:space="0"/>
              <w:right w:val="single" w:color="auto" w:sz="4" w:space="0"/>
            </w:tcBorders>
            <w:vAlign w:val="center"/>
          </w:tcPr>
          <w:p>
            <w:pPr>
              <w:jc w:val="center"/>
              <w:rPr>
                <w:rFonts w:ascii="宋体" w:hAnsi="宋体"/>
                <w:b/>
                <w:bCs/>
                <w:color w:val="auto"/>
                <w:sz w:val="21"/>
                <w:szCs w:val="21"/>
                <w:highlight w:val="none"/>
              </w:rPr>
            </w:pPr>
            <w:r>
              <w:rPr>
                <w:rFonts w:hint="eastAsia" w:ascii="宋体" w:hAnsi="宋体"/>
                <w:b/>
                <w:bCs/>
                <w:color w:val="auto"/>
                <w:kern w:val="0"/>
                <w:sz w:val="21"/>
                <w:szCs w:val="21"/>
                <w:highlight w:val="none"/>
              </w:rPr>
              <w:t>合同条款全部响应</w:t>
            </w:r>
          </w:p>
        </w:tc>
        <w:tc>
          <w:tcPr>
            <w:tcW w:w="32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完全响应</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olor w:val="auto"/>
                <w:kern w:val="0"/>
                <w:sz w:val="21"/>
                <w:szCs w:val="21"/>
                <w:highlight w:val="none"/>
              </w:rPr>
              <w:t>无</w:t>
            </w:r>
          </w:p>
        </w:tc>
      </w:tr>
    </w:tbl>
    <w:p>
      <w:pPr>
        <w:rPr>
          <w:rFonts w:ascii="宋体" w:hAnsi="宋体"/>
          <w:color w:val="auto"/>
          <w:highlight w:val="none"/>
        </w:rPr>
      </w:pPr>
    </w:p>
    <w:p>
      <w:pPr>
        <w:rPr>
          <w:rFonts w:ascii="宋体" w:hAnsi="宋体"/>
          <w:color w:val="auto"/>
          <w:sz w:val="21"/>
          <w:szCs w:val="21"/>
          <w:highlight w:val="none"/>
        </w:rPr>
      </w:pPr>
      <w:r>
        <w:rPr>
          <w:rFonts w:hint="eastAsia" w:ascii="宋体" w:hAnsi="宋体"/>
          <w:color w:val="auto"/>
          <w:sz w:val="21"/>
          <w:szCs w:val="21"/>
          <w:highlight w:val="none"/>
        </w:rPr>
        <w:t>注：投标人须完全响应合同条款。</w:t>
      </w:r>
    </w:p>
    <w:p>
      <w:pPr>
        <w:pStyle w:val="49"/>
        <w:ind w:left="480" w:firstLine="420"/>
        <w:rPr>
          <w:color w:val="auto"/>
          <w:highlight w:val="none"/>
        </w:rPr>
      </w:pPr>
    </w:p>
    <w:p>
      <w:pPr>
        <w:pStyle w:val="49"/>
        <w:ind w:left="480" w:firstLine="420"/>
        <w:rPr>
          <w:color w:val="auto"/>
          <w:szCs w:val="21"/>
          <w:highlight w:val="none"/>
        </w:rPr>
        <w:sectPr>
          <w:footerReference r:id="rId5" w:type="default"/>
          <w:pgSz w:w="11907" w:h="16840"/>
          <w:pgMar w:top="1418" w:right="1418" w:bottom="1418" w:left="1418" w:header="0" w:footer="1225" w:gutter="0"/>
          <w:pgNumType w:start="1"/>
          <w:cols w:space="720" w:num="1"/>
        </w:sectPr>
      </w:pPr>
    </w:p>
    <w:p>
      <w:pPr>
        <w:widowControl/>
        <w:autoSpaceDE/>
        <w:autoSpaceDN/>
        <w:adjustRightInd/>
        <w:rPr>
          <w:rFonts w:ascii="宋体" w:hAnsi="宋体"/>
          <w:b/>
          <w:bCs/>
          <w:color w:val="auto"/>
          <w:szCs w:val="24"/>
          <w:highlight w:val="none"/>
        </w:rPr>
      </w:pPr>
      <w:r>
        <w:rPr>
          <w:rFonts w:hint="eastAsia" w:ascii="宋体" w:hAnsi="宋体"/>
          <w:b/>
          <w:bCs/>
          <w:color w:val="auto"/>
          <w:szCs w:val="24"/>
          <w:highlight w:val="none"/>
        </w:rPr>
        <w:t>（二</w:t>
      </w:r>
      <w:bookmarkEnd w:id="213"/>
      <w:r>
        <w:rPr>
          <w:rFonts w:hint="eastAsia" w:ascii="宋体" w:hAnsi="宋体"/>
          <w:b/>
          <w:bCs/>
          <w:color w:val="auto"/>
          <w:szCs w:val="24"/>
          <w:highlight w:val="none"/>
        </w:rPr>
        <w:t>）电梯技术要求及参数响应表</w:t>
      </w:r>
    </w:p>
    <w:tbl>
      <w:tblPr>
        <w:tblStyle w:val="26"/>
        <w:tblW w:w="14516" w:type="dxa"/>
        <w:jc w:val="center"/>
        <w:tblLayout w:type="fixed"/>
        <w:tblCellMar>
          <w:top w:w="0" w:type="dxa"/>
          <w:left w:w="108" w:type="dxa"/>
          <w:bottom w:w="0" w:type="dxa"/>
          <w:right w:w="108" w:type="dxa"/>
        </w:tblCellMar>
      </w:tblPr>
      <w:tblGrid>
        <w:gridCol w:w="483"/>
        <w:gridCol w:w="992"/>
        <w:gridCol w:w="1418"/>
        <w:gridCol w:w="4252"/>
        <w:gridCol w:w="1276"/>
        <w:gridCol w:w="992"/>
        <w:gridCol w:w="1134"/>
        <w:gridCol w:w="1134"/>
        <w:gridCol w:w="2835"/>
      </w:tblGrid>
      <w:tr>
        <w:tblPrEx>
          <w:tblCellMar>
            <w:top w:w="0" w:type="dxa"/>
            <w:left w:w="108" w:type="dxa"/>
            <w:bottom w:w="0" w:type="dxa"/>
            <w:right w:w="108" w:type="dxa"/>
          </w:tblCellMar>
        </w:tblPrEx>
        <w:trPr>
          <w:trHeight w:val="270" w:hRule="atLeast"/>
          <w:tblHeader/>
          <w:jc w:val="center"/>
        </w:trPr>
        <w:tc>
          <w:tcPr>
            <w:tcW w:w="48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 xml:space="preserve">序号 </w:t>
            </w:r>
          </w:p>
        </w:tc>
        <w:tc>
          <w:tcPr>
            <w:tcW w:w="992"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 xml:space="preserve">需求名称 </w:t>
            </w:r>
          </w:p>
        </w:tc>
        <w:tc>
          <w:tcPr>
            <w:tcW w:w="5670" w:type="dxa"/>
            <w:gridSpan w:val="2"/>
            <w:vMerge w:val="restart"/>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需求说明</w:t>
            </w:r>
          </w:p>
        </w:tc>
        <w:tc>
          <w:tcPr>
            <w:tcW w:w="1276" w:type="dxa"/>
            <w:vMerge w:val="restart"/>
            <w:tcBorders>
              <w:top w:val="single" w:color="auto" w:sz="4" w:space="0"/>
              <w:left w:val="nil"/>
              <w:right w:val="single" w:color="auto" w:sz="4" w:space="0"/>
            </w:tcBorders>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4号地块</w:t>
            </w:r>
            <w:r>
              <w:rPr>
                <w:rFonts w:ascii="宋体" w:hAnsi="宋体" w:cs="宋体"/>
                <w:color w:val="auto"/>
                <w:sz w:val="18"/>
                <w:szCs w:val="18"/>
                <w:highlight w:val="none"/>
              </w:rPr>
              <w:br w:type="textWrapping"/>
            </w:r>
            <w:r>
              <w:rPr>
                <w:rFonts w:hint="eastAsia" w:ascii="宋体" w:hAnsi="宋体" w:cs="宋体"/>
                <w:color w:val="auto"/>
                <w:sz w:val="18"/>
                <w:szCs w:val="18"/>
                <w:highlight w:val="none"/>
              </w:rPr>
              <w:t>（正</w:t>
            </w:r>
            <w:r>
              <w:rPr>
                <w:rFonts w:hint="eastAsia" w:ascii="宋体" w:hAnsi="宋体" w:cs="宋体"/>
                <w:color w:val="auto"/>
                <w:sz w:val="18"/>
                <w:szCs w:val="18"/>
                <w:highlight w:val="none"/>
              </w:rPr>
              <w:t>偏差</w:t>
            </w:r>
            <w:r>
              <w:rPr>
                <w:rFonts w:hint="eastAsia" w:ascii="宋体" w:hAnsi="宋体" w:cs="宋体"/>
                <w:color w:val="auto"/>
                <w:sz w:val="18"/>
                <w:szCs w:val="18"/>
                <w:highlight w:val="none"/>
              </w:rPr>
              <w:t>/响应/负</w:t>
            </w:r>
            <w:r>
              <w:rPr>
                <w:rFonts w:hint="eastAsia" w:ascii="宋体" w:hAnsi="宋体" w:cs="宋体"/>
                <w:color w:val="auto"/>
                <w:sz w:val="18"/>
                <w:szCs w:val="18"/>
                <w:highlight w:val="none"/>
              </w:rPr>
              <w:t>偏差</w:t>
            </w:r>
            <w:r>
              <w:rPr>
                <w:rFonts w:hint="eastAsia" w:ascii="宋体" w:hAnsi="宋体" w:cs="宋体"/>
                <w:color w:val="auto"/>
                <w:sz w:val="18"/>
                <w:szCs w:val="18"/>
                <w:highlight w:val="none"/>
              </w:rPr>
              <w:t>）</w:t>
            </w:r>
          </w:p>
        </w:tc>
        <w:tc>
          <w:tcPr>
            <w:tcW w:w="2126"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偏</w:t>
            </w:r>
            <w:r>
              <w:rPr>
                <w:rFonts w:hint="eastAsia" w:ascii="宋体" w:hAnsi="宋体" w:cs="宋体"/>
                <w:color w:val="auto"/>
                <w:sz w:val="18"/>
                <w:szCs w:val="18"/>
                <w:highlight w:val="none"/>
              </w:rPr>
              <w:t>差</w:t>
            </w:r>
            <w:r>
              <w:rPr>
                <w:rFonts w:hint="eastAsia" w:ascii="宋体" w:hAnsi="宋体" w:cs="宋体"/>
                <w:color w:val="auto"/>
                <w:sz w:val="18"/>
                <w:szCs w:val="18"/>
                <w:highlight w:val="none"/>
              </w:rPr>
              <w:t>说明</w:t>
            </w:r>
          </w:p>
        </w:tc>
        <w:tc>
          <w:tcPr>
            <w:tcW w:w="1134" w:type="dxa"/>
            <w:vMerge w:val="restart"/>
            <w:tcBorders>
              <w:top w:val="single" w:color="auto" w:sz="4" w:space="0"/>
              <w:left w:val="nil"/>
              <w:right w:val="single" w:color="auto" w:sz="4" w:space="0"/>
            </w:tcBorders>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证明材料详见页码</w:t>
            </w:r>
          </w:p>
        </w:tc>
        <w:tc>
          <w:tcPr>
            <w:tcW w:w="2835" w:type="dxa"/>
            <w:vMerge w:val="restart"/>
            <w:tcBorders>
              <w:top w:val="single" w:color="auto" w:sz="4" w:space="0"/>
              <w:left w:val="nil"/>
              <w:right w:val="single" w:color="auto" w:sz="4" w:space="0"/>
            </w:tcBorders>
            <w:vAlign w:val="center"/>
          </w:tcPr>
          <w:p>
            <w:pPr>
              <w:jc w:val="center"/>
              <w:rPr>
                <w:rFonts w:ascii="宋体" w:hAnsi="宋体" w:cs="宋体"/>
                <w:color w:val="auto"/>
                <w:sz w:val="18"/>
                <w:szCs w:val="18"/>
                <w:highlight w:val="none"/>
              </w:rPr>
            </w:pPr>
            <w:r>
              <w:rPr>
                <w:rFonts w:ascii="宋体" w:hAnsi="宋体" w:cs="宋体"/>
                <w:color w:val="auto"/>
                <w:sz w:val="18"/>
                <w:szCs w:val="18"/>
                <w:highlight w:val="none"/>
              </w:rPr>
              <w:t>备注</w:t>
            </w:r>
          </w:p>
        </w:tc>
      </w:tr>
      <w:tr>
        <w:tblPrEx>
          <w:tblCellMar>
            <w:top w:w="0" w:type="dxa"/>
            <w:left w:w="108" w:type="dxa"/>
            <w:bottom w:w="0" w:type="dxa"/>
            <w:right w:w="108" w:type="dxa"/>
          </w:tblCellMar>
        </w:tblPrEx>
        <w:trPr>
          <w:trHeight w:val="395" w:hRule="atLeast"/>
          <w:tblHeader/>
          <w:jc w:val="center"/>
        </w:trPr>
        <w:tc>
          <w:tcPr>
            <w:tcW w:w="48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18"/>
                <w:szCs w:val="18"/>
                <w:highlight w:val="none"/>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18"/>
                <w:szCs w:val="18"/>
                <w:highlight w:val="none"/>
              </w:rPr>
            </w:pPr>
          </w:p>
        </w:tc>
        <w:tc>
          <w:tcPr>
            <w:tcW w:w="567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18"/>
                <w:szCs w:val="18"/>
                <w:highlight w:val="none"/>
              </w:rPr>
            </w:pPr>
          </w:p>
        </w:tc>
        <w:tc>
          <w:tcPr>
            <w:tcW w:w="1276" w:type="dxa"/>
            <w:vMerge w:val="continue"/>
            <w:tcBorders>
              <w:left w:val="nil"/>
              <w:bottom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992" w:type="dxa"/>
            <w:tcBorders>
              <w:top w:val="single" w:color="auto" w:sz="4" w:space="0"/>
              <w:left w:val="nil"/>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正偏</w:t>
            </w:r>
            <w:r>
              <w:rPr>
                <w:rFonts w:hint="eastAsia"/>
                <w:color w:val="auto"/>
                <w:sz w:val="18"/>
                <w:szCs w:val="18"/>
                <w:highlight w:val="none"/>
              </w:rPr>
              <w:t>差</w:t>
            </w:r>
          </w:p>
          <w:p>
            <w:pPr>
              <w:jc w:val="center"/>
              <w:rPr>
                <w:color w:val="auto"/>
                <w:sz w:val="18"/>
                <w:szCs w:val="18"/>
                <w:highlight w:val="none"/>
              </w:rPr>
            </w:pPr>
            <w:r>
              <w:rPr>
                <w:rFonts w:hint="eastAsia"/>
                <w:color w:val="auto"/>
                <w:sz w:val="18"/>
                <w:szCs w:val="18"/>
                <w:highlight w:val="none"/>
              </w:rPr>
              <w:t>说明</w:t>
            </w:r>
          </w:p>
        </w:tc>
        <w:tc>
          <w:tcPr>
            <w:tcW w:w="1134" w:type="dxa"/>
            <w:tcBorders>
              <w:top w:val="single" w:color="auto" w:sz="4" w:space="0"/>
              <w:left w:val="nil"/>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负偏</w:t>
            </w:r>
            <w:r>
              <w:rPr>
                <w:rFonts w:hint="eastAsia"/>
                <w:color w:val="auto"/>
                <w:sz w:val="18"/>
                <w:szCs w:val="18"/>
                <w:highlight w:val="none"/>
              </w:rPr>
              <w:t>差</w:t>
            </w:r>
          </w:p>
          <w:p>
            <w:pPr>
              <w:jc w:val="center"/>
              <w:rPr>
                <w:color w:val="auto"/>
                <w:sz w:val="18"/>
                <w:szCs w:val="18"/>
                <w:highlight w:val="none"/>
              </w:rPr>
            </w:pPr>
            <w:r>
              <w:rPr>
                <w:rFonts w:hint="eastAsia"/>
                <w:color w:val="auto"/>
                <w:sz w:val="18"/>
                <w:szCs w:val="18"/>
                <w:highlight w:val="none"/>
              </w:rPr>
              <w:t>说明</w:t>
            </w:r>
          </w:p>
        </w:tc>
        <w:tc>
          <w:tcPr>
            <w:tcW w:w="1134" w:type="dxa"/>
            <w:vMerge w:val="continue"/>
            <w:tcBorders>
              <w:left w:val="nil"/>
              <w:bottom w:val="single" w:color="auto" w:sz="4" w:space="0"/>
              <w:right w:val="single" w:color="auto" w:sz="4" w:space="0"/>
            </w:tcBorders>
          </w:tcPr>
          <w:p>
            <w:pPr>
              <w:jc w:val="center"/>
              <w:rPr>
                <w:rFonts w:ascii="宋体" w:hAnsi="宋体" w:cs="宋体"/>
                <w:color w:val="auto"/>
                <w:sz w:val="18"/>
                <w:szCs w:val="18"/>
                <w:highlight w:val="none"/>
              </w:rPr>
            </w:pPr>
          </w:p>
        </w:tc>
        <w:tc>
          <w:tcPr>
            <w:tcW w:w="2835" w:type="dxa"/>
            <w:vMerge w:val="continue"/>
            <w:tcBorders>
              <w:left w:val="nil"/>
              <w:bottom w:val="single" w:color="auto" w:sz="4" w:space="0"/>
              <w:right w:val="single" w:color="auto" w:sz="4" w:space="0"/>
            </w:tcBorders>
          </w:tcPr>
          <w:p>
            <w:pPr>
              <w:jc w:val="center"/>
              <w:rPr>
                <w:rFonts w:ascii="宋体" w:hAnsi="宋体" w:cs="宋体"/>
                <w:color w:val="auto"/>
                <w:sz w:val="18"/>
                <w:szCs w:val="18"/>
                <w:highlight w:val="none"/>
              </w:rPr>
            </w:pPr>
          </w:p>
        </w:tc>
      </w:tr>
      <w:tr>
        <w:tblPrEx>
          <w:tblCellMar>
            <w:top w:w="0" w:type="dxa"/>
            <w:left w:w="108" w:type="dxa"/>
            <w:bottom w:w="0" w:type="dxa"/>
            <w:right w:w="108" w:type="dxa"/>
          </w:tblCellMar>
        </w:tblPrEx>
        <w:trPr>
          <w:trHeight w:val="567" w:hRule="atLeast"/>
          <w:jc w:val="center"/>
        </w:trPr>
        <w:tc>
          <w:tcPr>
            <w:tcW w:w="483" w:type="dxa"/>
            <w:vMerge w:val="restart"/>
            <w:tcBorders>
              <w:left w:val="single" w:color="auto" w:sz="4" w:space="0"/>
              <w:right w:val="single" w:color="auto" w:sz="4" w:space="0"/>
            </w:tcBorders>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c>
          <w:tcPr>
            <w:tcW w:w="992" w:type="dxa"/>
            <w:vMerge w:val="restart"/>
            <w:tcBorders>
              <w:left w:val="single" w:color="auto" w:sz="4" w:space="0"/>
              <w:right w:val="single" w:color="auto" w:sz="4" w:space="0"/>
            </w:tcBorders>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电梯相关参数</w:t>
            </w:r>
          </w:p>
        </w:tc>
        <w:tc>
          <w:tcPr>
            <w:tcW w:w="1418" w:type="dxa"/>
            <w:tcBorders>
              <w:top w:val="nil"/>
              <w:left w:val="nil"/>
              <w:bottom w:val="single" w:color="auto" w:sz="4" w:space="0"/>
              <w:right w:val="single" w:color="auto" w:sz="4" w:space="0"/>
            </w:tcBorders>
            <w:vAlign w:val="center"/>
          </w:tcPr>
          <w:p>
            <w:pPr>
              <w:jc w:val="center"/>
              <w:rPr>
                <w:rFonts w:ascii="宋体" w:hAnsi="宋体" w:cs="宋体"/>
                <w:color w:val="auto"/>
                <w:sz w:val="18"/>
                <w:szCs w:val="18"/>
                <w:highlight w:val="none"/>
              </w:rPr>
            </w:pPr>
            <w:r>
              <w:rPr>
                <w:rFonts w:hint="eastAsia" w:ascii="宋体" w:hAnsi="宋体" w:cs="宋体"/>
                <w:color w:val="auto"/>
                <w:sz w:val="21"/>
                <w:szCs w:val="21"/>
                <w:highlight w:val="none"/>
              </w:rPr>
              <w:t>▲</w:t>
            </w:r>
            <w:r>
              <w:rPr>
                <w:rFonts w:hint="eastAsia" w:ascii="宋体" w:hAnsi="宋体" w:cs="宋体"/>
                <w:color w:val="auto"/>
                <w:sz w:val="18"/>
                <w:szCs w:val="18"/>
                <w:highlight w:val="none"/>
              </w:rPr>
              <w:t>底坑深度</w:t>
            </w:r>
          </w:p>
        </w:tc>
        <w:tc>
          <w:tcPr>
            <w:tcW w:w="4252" w:type="dxa"/>
            <w:tcBorders>
              <w:top w:val="nil"/>
              <w:left w:val="nil"/>
              <w:bottom w:val="single" w:color="auto" w:sz="4" w:space="0"/>
              <w:right w:val="single" w:color="auto" w:sz="4" w:space="0"/>
            </w:tcBorders>
            <w:vAlign w:val="center"/>
          </w:tcPr>
          <w:p>
            <w:pPr>
              <w:jc w:val="both"/>
              <w:rPr>
                <w:rFonts w:cs="宋体"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各电梯底坑深度等于《粤海云港城项目4号地电梯选型表》要求</w:t>
            </w:r>
          </w:p>
        </w:tc>
        <w:tc>
          <w:tcPr>
            <w:tcW w:w="1276" w:type="dxa"/>
            <w:tcBorders>
              <w:top w:val="nil"/>
              <w:left w:val="single" w:color="auto" w:sz="4" w:space="0"/>
              <w:bottom w:val="single" w:color="auto" w:sz="4" w:space="0"/>
              <w:right w:val="single" w:color="auto" w:sz="4" w:space="0"/>
            </w:tcBorders>
          </w:tcPr>
          <w:p>
            <w:pPr>
              <w:jc w:val="center"/>
              <w:rPr>
                <w:rFonts w:ascii="宋体" w:hAnsi="宋体" w:cs="宋体"/>
                <w:color w:val="auto"/>
                <w:sz w:val="18"/>
                <w:szCs w:val="18"/>
                <w:highlight w:val="none"/>
              </w:rPr>
            </w:pPr>
          </w:p>
        </w:tc>
        <w:tc>
          <w:tcPr>
            <w:tcW w:w="992" w:type="dxa"/>
            <w:tcBorders>
              <w:top w:val="nil"/>
              <w:left w:val="single" w:color="auto" w:sz="4" w:space="0"/>
              <w:bottom w:val="single" w:color="auto" w:sz="4" w:space="0"/>
              <w:right w:val="single" w:color="auto" w:sz="4" w:space="0"/>
            </w:tcBorders>
          </w:tcPr>
          <w:p>
            <w:pPr>
              <w:jc w:val="center"/>
              <w:rPr>
                <w:rFonts w:ascii="宋体" w:hAnsi="宋体" w:cs="宋体"/>
                <w:color w:val="auto"/>
                <w:sz w:val="18"/>
                <w:szCs w:val="18"/>
                <w:highlight w:val="none"/>
              </w:rPr>
            </w:pPr>
          </w:p>
        </w:tc>
        <w:tc>
          <w:tcPr>
            <w:tcW w:w="1134" w:type="dxa"/>
            <w:tcBorders>
              <w:top w:val="nil"/>
              <w:left w:val="single" w:color="auto" w:sz="4" w:space="0"/>
              <w:bottom w:val="single" w:color="auto" w:sz="4" w:space="0"/>
              <w:right w:val="single" w:color="auto" w:sz="4" w:space="0"/>
            </w:tcBorders>
          </w:tcPr>
          <w:p>
            <w:pPr>
              <w:jc w:val="center"/>
              <w:rPr>
                <w:rFonts w:ascii="宋体" w:hAnsi="宋体" w:cs="宋体"/>
                <w:color w:val="auto"/>
                <w:sz w:val="18"/>
                <w:szCs w:val="18"/>
                <w:highlight w:val="none"/>
              </w:rPr>
            </w:pPr>
          </w:p>
        </w:tc>
        <w:tc>
          <w:tcPr>
            <w:tcW w:w="1134" w:type="dxa"/>
            <w:tcBorders>
              <w:top w:val="nil"/>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ascii="宋体" w:hAnsi="宋体" w:cs="宋体"/>
                <w:color w:val="auto"/>
                <w:sz w:val="18"/>
                <w:szCs w:val="18"/>
                <w:highlight w:val="none"/>
              </w:rPr>
              <w:t>第（）页</w:t>
            </w:r>
          </w:p>
        </w:tc>
        <w:tc>
          <w:tcPr>
            <w:tcW w:w="2835" w:type="dxa"/>
            <w:tcBorders>
              <w:top w:val="nil"/>
              <w:left w:val="single" w:color="auto" w:sz="4" w:space="0"/>
              <w:bottom w:val="single" w:color="auto" w:sz="4" w:space="0"/>
              <w:right w:val="single" w:color="auto" w:sz="4" w:space="0"/>
            </w:tcBorders>
            <w:vAlign w:val="center"/>
          </w:tcPr>
          <w:p>
            <w:pPr>
              <w:jc w:val="both"/>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底坑的深度小于要求为正偏</w:t>
            </w:r>
            <w:r>
              <w:rPr>
                <w:rFonts w:hint="eastAsia" w:asciiTheme="minorEastAsia" w:hAnsiTheme="minorEastAsia" w:eastAsiaTheme="minorEastAsia"/>
                <w:color w:val="auto"/>
                <w:sz w:val="18"/>
                <w:szCs w:val="18"/>
                <w:highlight w:val="none"/>
              </w:rPr>
              <w:t>差</w:t>
            </w:r>
            <w:r>
              <w:rPr>
                <w:rFonts w:hint="eastAsia" w:asciiTheme="minorEastAsia" w:hAnsiTheme="minorEastAsia" w:eastAsiaTheme="minorEastAsia"/>
                <w:color w:val="auto"/>
                <w:sz w:val="18"/>
                <w:szCs w:val="18"/>
                <w:highlight w:val="none"/>
              </w:rPr>
              <w:t>，大于要求为负偏</w:t>
            </w:r>
            <w:r>
              <w:rPr>
                <w:rFonts w:hint="eastAsia" w:asciiTheme="minorEastAsia" w:hAnsiTheme="minorEastAsia" w:eastAsiaTheme="minorEastAsia"/>
                <w:color w:val="auto"/>
                <w:sz w:val="18"/>
                <w:szCs w:val="18"/>
                <w:highlight w:val="none"/>
              </w:rPr>
              <w:t>差</w:t>
            </w:r>
            <w:r>
              <w:rPr>
                <w:rFonts w:hint="eastAsia" w:asciiTheme="minorEastAsia" w:hAnsiTheme="minorEastAsia" w:eastAsiaTheme="minorEastAsia"/>
                <w:color w:val="auto"/>
                <w:sz w:val="18"/>
                <w:szCs w:val="18"/>
                <w:highlight w:val="none"/>
              </w:rPr>
              <w:t>。(此项不接受负偏</w:t>
            </w:r>
            <w:r>
              <w:rPr>
                <w:rFonts w:hint="eastAsia" w:asciiTheme="minorEastAsia" w:hAnsiTheme="minorEastAsia" w:eastAsiaTheme="minorEastAsia"/>
                <w:color w:val="auto"/>
                <w:sz w:val="18"/>
                <w:szCs w:val="18"/>
                <w:highlight w:val="none"/>
              </w:rPr>
              <w:t>差</w:t>
            </w:r>
            <w:r>
              <w:rPr>
                <w:rFonts w:hint="eastAsia" w:asciiTheme="minorEastAsia" w:hAnsiTheme="minorEastAsia" w:eastAsiaTheme="minorEastAsia"/>
                <w:color w:val="auto"/>
                <w:sz w:val="18"/>
                <w:szCs w:val="18"/>
                <w:highlight w:val="none"/>
              </w:rPr>
              <w:t>)</w:t>
            </w:r>
          </w:p>
        </w:tc>
      </w:tr>
      <w:tr>
        <w:tblPrEx>
          <w:tblCellMar>
            <w:top w:w="0" w:type="dxa"/>
            <w:left w:w="108" w:type="dxa"/>
            <w:bottom w:w="0" w:type="dxa"/>
            <w:right w:w="108" w:type="dxa"/>
          </w:tblCellMar>
        </w:tblPrEx>
        <w:trPr>
          <w:trHeight w:val="561" w:hRule="atLeast"/>
          <w:jc w:val="center"/>
        </w:trPr>
        <w:tc>
          <w:tcPr>
            <w:tcW w:w="483" w:type="dxa"/>
            <w:vMerge w:val="continue"/>
            <w:tcBorders>
              <w:left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992" w:type="dxa"/>
            <w:vMerge w:val="continue"/>
            <w:tcBorders>
              <w:left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1418" w:type="dxa"/>
            <w:tcBorders>
              <w:top w:val="nil"/>
              <w:left w:val="nil"/>
              <w:bottom w:val="single" w:color="auto" w:sz="4" w:space="0"/>
              <w:right w:val="single" w:color="auto" w:sz="4" w:space="0"/>
            </w:tcBorders>
            <w:vAlign w:val="center"/>
          </w:tcPr>
          <w:p>
            <w:pPr>
              <w:jc w:val="center"/>
              <w:rPr>
                <w:rFonts w:ascii="宋体" w:hAnsi="宋体" w:cs="宋体"/>
                <w:color w:val="auto"/>
                <w:sz w:val="18"/>
                <w:szCs w:val="18"/>
                <w:highlight w:val="none"/>
              </w:rPr>
            </w:pPr>
            <w:r>
              <w:rPr>
                <w:rFonts w:hint="eastAsia" w:ascii="宋体" w:hAnsi="宋体" w:cs="宋体"/>
                <w:color w:val="auto"/>
                <w:sz w:val="21"/>
                <w:szCs w:val="21"/>
                <w:highlight w:val="none"/>
              </w:rPr>
              <w:t>▲</w:t>
            </w:r>
            <w:r>
              <w:rPr>
                <w:rFonts w:hint="eastAsia" w:ascii="宋体" w:hAnsi="宋体" w:cs="宋体"/>
                <w:color w:val="auto"/>
                <w:sz w:val="18"/>
                <w:szCs w:val="18"/>
                <w:highlight w:val="none"/>
              </w:rPr>
              <w:t>井道净尺寸</w:t>
            </w:r>
          </w:p>
        </w:tc>
        <w:tc>
          <w:tcPr>
            <w:tcW w:w="4252" w:type="dxa"/>
            <w:tcBorders>
              <w:top w:val="nil"/>
              <w:left w:val="nil"/>
              <w:bottom w:val="single" w:color="auto" w:sz="4" w:space="0"/>
              <w:right w:val="single" w:color="auto" w:sz="4" w:space="0"/>
            </w:tcBorders>
            <w:vAlign w:val="center"/>
          </w:tcPr>
          <w:p>
            <w:pPr>
              <w:jc w:val="both"/>
              <w:rPr>
                <w:rFonts w:cs="宋体"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各电梯井道净尺寸等于《粤海云港城项目4号地电梯选型表》要求</w:t>
            </w:r>
          </w:p>
        </w:tc>
        <w:tc>
          <w:tcPr>
            <w:tcW w:w="1276" w:type="dxa"/>
            <w:tcBorders>
              <w:top w:val="nil"/>
              <w:left w:val="single" w:color="auto" w:sz="4" w:space="0"/>
              <w:bottom w:val="single" w:color="auto" w:sz="4" w:space="0"/>
              <w:right w:val="single" w:color="auto" w:sz="4" w:space="0"/>
            </w:tcBorders>
          </w:tcPr>
          <w:p>
            <w:pPr>
              <w:jc w:val="center"/>
              <w:rPr>
                <w:rFonts w:ascii="宋体" w:hAnsi="宋体" w:cs="宋体"/>
                <w:color w:val="auto"/>
                <w:sz w:val="18"/>
                <w:szCs w:val="18"/>
                <w:highlight w:val="none"/>
              </w:rPr>
            </w:pPr>
          </w:p>
        </w:tc>
        <w:tc>
          <w:tcPr>
            <w:tcW w:w="992" w:type="dxa"/>
            <w:tcBorders>
              <w:top w:val="nil"/>
              <w:left w:val="single" w:color="auto" w:sz="4" w:space="0"/>
              <w:bottom w:val="single" w:color="auto" w:sz="4" w:space="0"/>
              <w:right w:val="single" w:color="auto" w:sz="4" w:space="0"/>
            </w:tcBorders>
          </w:tcPr>
          <w:p>
            <w:pPr>
              <w:jc w:val="center"/>
              <w:rPr>
                <w:rFonts w:ascii="宋体" w:hAnsi="宋体" w:cs="宋体"/>
                <w:color w:val="auto"/>
                <w:sz w:val="18"/>
                <w:szCs w:val="18"/>
                <w:highlight w:val="none"/>
              </w:rPr>
            </w:pPr>
          </w:p>
        </w:tc>
        <w:tc>
          <w:tcPr>
            <w:tcW w:w="1134" w:type="dxa"/>
            <w:tcBorders>
              <w:top w:val="nil"/>
              <w:left w:val="single" w:color="auto" w:sz="4" w:space="0"/>
              <w:bottom w:val="single" w:color="auto" w:sz="4" w:space="0"/>
              <w:right w:val="single" w:color="auto" w:sz="4" w:space="0"/>
            </w:tcBorders>
          </w:tcPr>
          <w:p>
            <w:pPr>
              <w:jc w:val="center"/>
              <w:rPr>
                <w:rFonts w:ascii="宋体" w:hAnsi="宋体" w:cs="宋体"/>
                <w:color w:val="auto"/>
                <w:sz w:val="18"/>
                <w:szCs w:val="18"/>
                <w:highlight w:val="none"/>
              </w:rPr>
            </w:pPr>
          </w:p>
        </w:tc>
        <w:tc>
          <w:tcPr>
            <w:tcW w:w="1134" w:type="dxa"/>
            <w:tcBorders>
              <w:top w:val="nil"/>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ascii="宋体" w:hAnsi="宋体" w:cs="宋体"/>
                <w:color w:val="auto"/>
                <w:sz w:val="18"/>
                <w:szCs w:val="18"/>
                <w:highlight w:val="none"/>
              </w:rPr>
              <w:t>第（）页</w:t>
            </w:r>
          </w:p>
        </w:tc>
        <w:tc>
          <w:tcPr>
            <w:tcW w:w="2835" w:type="dxa"/>
            <w:tcBorders>
              <w:top w:val="nil"/>
              <w:left w:val="single" w:color="auto" w:sz="4" w:space="0"/>
              <w:bottom w:val="single" w:color="auto" w:sz="4" w:space="0"/>
              <w:right w:val="single" w:color="auto" w:sz="4" w:space="0"/>
            </w:tcBorders>
            <w:vAlign w:val="center"/>
          </w:tcPr>
          <w:p>
            <w:pPr>
              <w:jc w:val="both"/>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井道净尺寸小于要求为正偏</w:t>
            </w:r>
            <w:r>
              <w:rPr>
                <w:rFonts w:hint="eastAsia" w:asciiTheme="minorEastAsia" w:hAnsiTheme="minorEastAsia" w:eastAsiaTheme="minorEastAsia"/>
                <w:color w:val="auto"/>
                <w:sz w:val="18"/>
                <w:szCs w:val="18"/>
                <w:highlight w:val="none"/>
              </w:rPr>
              <w:t>差</w:t>
            </w:r>
            <w:r>
              <w:rPr>
                <w:rFonts w:hint="eastAsia" w:asciiTheme="minorEastAsia" w:hAnsiTheme="minorEastAsia" w:eastAsiaTheme="minorEastAsia"/>
                <w:color w:val="auto"/>
                <w:sz w:val="18"/>
                <w:szCs w:val="18"/>
                <w:highlight w:val="none"/>
              </w:rPr>
              <w:t>，大于要求为负偏</w:t>
            </w:r>
            <w:r>
              <w:rPr>
                <w:rFonts w:hint="eastAsia" w:asciiTheme="minorEastAsia" w:hAnsiTheme="minorEastAsia" w:eastAsiaTheme="minorEastAsia"/>
                <w:color w:val="auto"/>
                <w:sz w:val="18"/>
                <w:szCs w:val="18"/>
                <w:highlight w:val="none"/>
              </w:rPr>
              <w:t>差</w:t>
            </w:r>
            <w:r>
              <w:rPr>
                <w:rFonts w:hint="eastAsia" w:asciiTheme="minorEastAsia" w:hAnsiTheme="minorEastAsia" w:eastAsiaTheme="minorEastAsia"/>
                <w:color w:val="auto"/>
                <w:sz w:val="18"/>
                <w:szCs w:val="18"/>
                <w:highlight w:val="none"/>
              </w:rPr>
              <w:t>。(此项不接受负偏</w:t>
            </w:r>
            <w:r>
              <w:rPr>
                <w:rFonts w:hint="eastAsia" w:asciiTheme="minorEastAsia" w:hAnsiTheme="minorEastAsia" w:eastAsiaTheme="minorEastAsia"/>
                <w:color w:val="auto"/>
                <w:sz w:val="18"/>
                <w:szCs w:val="18"/>
                <w:highlight w:val="none"/>
              </w:rPr>
              <w:t>差</w:t>
            </w:r>
            <w:r>
              <w:rPr>
                <w:rFonts w:hint="eastAsia" w:asciiTheme="minorEastAsia" w:hAnsiTheme="minorEastAsia" w:eastAsiaTheme="minorEastAsia"/>
                <w:color w:val="auto"/>
                <w:sz w:val="18"/>
                <w:szCs w:val="18"/>
                <w:highlight w:val="none"/>
              </w:rPr>
              <w:t>)</w:t>
            </w:r>
          </w:p>
        </w:tc>
      </w:tr>
      <w:tr>
        <w:tblPrEx>
          <w:tblCellMar>
            <w:top w:w="0" w:type="dxa"/>
            <w:left w:w="108" w:type="dxa"/>
            <w:bottom w:w="0" w:type="dxa"/>
            <w:right w:w="108" w:type="dxa"/>
          </w:tblCellMar>
        </w:tblPrEx>
        <w:trPr>
          <w:trHeight w:val="560" w:hRule="atLeast"/>
          <w:jc w:val="center"/>
        </w:trPr>
        <w:tc>
          <w:tcPr>
            <w:tcW w:w="483" w:type="dxa"/>
            <w:vMerge w:val="continue"/>
            <w:tcBorders>
              <w:left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992" w:type="dxa"/>
            <w:vMerge w:val="continue"/>
            <w:tcBorders>
              <w:left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1418" w:type="dxa"/>
            <w:tcBorders>
              <w:top w:val="nil"/>
              <w:left w:val="nil"/>
              <w:bottom w:val="single" w:color="auto" w:sz="4" w:space="0"/>
              <w:right w:val="single" w:color="auto" w:sz="4" w:space="0"/>
            </w:tcBorders>
            <w:vAlign w:val="center"/>
          </w:tcPr>
          <w:p>
            <w:pPr>
              <w:jc w:val="center"/>
              <w:rPr>
                <w:rFonts w:ascii="宋体" w:hAnsi="宋体" w:cs="宋体"/>
                <w:color w:val="auto"/>
                <w:sz w:val="18"/>
                <w:szCs w:val="18"/>
                <w:highlight w:val="none"/>
              </w:rPr>
            </w:pPr>
            <w:r>
              <w:rPr>
                <w:rFonts w:hint="eastAsia" w:ascii="宋体" w:hAnsi="宋体" w:cs="宋体"/>
                <w:color w:val="auto"/>
                <w:sz w:val="21"/>
                <w:szCs w:val="21"/>
                <w:highlight w:val="none"/>
              </w:rPr>
              <w:t>▲</w:t>
            </w:r>
            <w:r>
              <w:rPr>
                <w:rFonts w:hint="eastAsia" w:ascii="宋体" w:hAnsi="宋体" w:cs="宋体"/>
                <w:color w:val="auto"/>
                <w:sz w:val="18"/>
                <w:szCs w:val="18"/>
                <w:highlight w:val="none"/>
              </w:rPr>
              <w:t>额定速度</w:t>
            </w:r>
          </w:p>
        </w:tc>
        <w:tc>
          <w:tcPr>
            <w:tcW w:w="4252" w:type="dxa"/>
            <w:tcBorders>
              <w:top w:val="nil"/>
              <w:left w:val="nil"/>
              <w:bottom w:val="single" w:color="auto" w:sz="4" w:space="0"/>
              <w:right w:val="single" w:color="auto" w:sz="4" w:space="0"/>
            </w:tcBorders>
            <w:vAlign w:val="center"/>
          </w:tcPr>
          <w:p>
            <w:pPr>
              <w:jc w:val="both"/>
              <w:rPr>
                <w:rFonts w:cs="宋体"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各电梯额定速度等于《粤海云港城项目4号地电梯选型表》要求</w:t>
            </w:r>
          </w:p>
        </w:tc>
        <w:tc>
          <w:tcPr>
            <w:tcW w:w="1276" w:type="dxa"/>
            <w:tcBorders>
              <w:top w:val="nil"/>
              <w:left w:val="single" w:color="auto" w:sz="4" w:space="0"/>
              <w:bottom w:val="single" w:color="auto" w:sz="4" w:space="0"/>
              <w:right w:val="single" w:color="auto" w:sz="4" w:space="0"/>
            </w:tcBorders>
          </w:tcPr>
          <w:p>
            <w:pPr>
              <w:jc w:val="center"/>
              <w:rPr>
                <w:rFonts w:ascii="宋体" w:hAnsi="宋体" w:cs="宋体"/>
                <w:color w:val="auto"/>
                <w:sz w:val="18"/>
                <w:szCs w:val="18"/>
                <w:highlight w:val="none"/>
              </w:rPr>
            </w:pPr>
          </w:p>
        </w:tc>
        <w:tc>
          <w:tcPr>
            <w:tcW w:w="992" w:type="dxa"/>
            <w:tcBorders>
              <w:top w:val="nil"/>
              <w:left w:val="single" w:color="auto" w:sz="4" w:space="0"/>
              <w:bottom w:val="single" w:color="auto" w:sz="4" w:space="0"/>
              <w:right w:val="single" w:color="auto" w:sz="4" w:space="0"/>
            </w:tcBorders>
          </w:tcPr>
          <w:p>
            <w:pPr>
              <w:jc w:val="center"/>
              <w:rPr>
                <w:rFonts w:ascii="宋体" w:hAnsi="宋体" w:cs="宋体"/>
                <w:color w:val="auto"/>
                <w:sz w:val="18"/>
                <w:szCs w:val="18"/>
                <w:highlight w:val="none"/>
              </w:rPr>
            </w:pPr>
          </w:p>
        </w:tc>
        <w:tc>
          <w:tcPr>
            <w:tcW w:w="1134" w:type="dxa"/>
            <w:tcBorders>
              <w:top w:val="nil"/>
              <w:left w:val="single" w:color="auto" w:sz="4" w:space="0"/>
              <w:bottom w:val="single" w:color="auto" w:sz="4" w:space="0"/>
              <w:right w:val="single" w:color="auto" w:sz="4" w:space="0"/>
            </w:tcBorders>
          </w:tcPr>
          <w:p>
            <w:pPr>
              <w:jc w:val="center"/>
              <w:rPr>
                <w:rFonts w:ascii="宋体" w:hAnsi="宋体" w:cs="宋体"/>
                <w:color w:val="auto"/>
                <w:sz w:val="18"/>
                <w:szCs w:val="18"/>
                <w:highlight w:val="none"/>
              </w:rPr>
            </w:pPr>
          </w:p>
        </w:tc>
        <w:tc>
          <w:tcPr>
            <w:tcW w:w="1134" w:type="dxa"/>
            <w:tcBorders>
              <w:top w:val="nil"/>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ascii="宋体" w:hAnsi="宋体" w:cs="宋体"/>
                <w:color w:val="auto"/>
                <w:sz w:val="18"/>
                <w:szCs w:val="18"/>
                <w:highlight w:val="none"/>
              </w:rPr>
              <w:t>第（）页</w:t>
            </w:r>
          </w:p>
        </w:tc>
        <w:tc>
          <w:tcPr>
            <w:tcW w:w="2835" w:type="dxa"/>
            <w:tcBorders>
              <w:top w:val="nil"/>
              <w:left w:val="single" w:color="auto" w:sz="4" w:space="0"/>
              <w:bottom w:val="single" w:color="auto" w:sz="4" w:space="0"/>
              <w:right w:val="single" w:color="auto" w:sz="4" w:space="0"/>
            </w:tcBorders>
            <w:vAlign w:val="center"/>
          </w:tcPr>
          <w:p>
            <w:pPr>
              <w:jc w:val="both"/>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电梯额定速度大于要求为正偏</w:t>
            </w:r>
            <w:r>
              <w:rPr>
                <w:rFonts w:hint="eastAsia" w:asciiTheme="minorEastAsia" w:hAnsiTheme="minorEastAsia" w:eastAsiaTheme="minorEastAsia"/>
                <w:color w:val="auto"/>
                <w:sz w:val="18"/>
                <w:szCs w:val="18"/>
                <w:highlight w:val="none"/>
              </w:rPr>
              <w:t>差</w:t>
            </w:r>
            <w:r>
              <w:rPr>
                <w:rFonts w:hint="eastAsia" w:asciiTheme="minorEastAsia" w:hAnsiTheme="minorEastAsia" w:eastAsiaTheme="minorEastAsia"/>
                <w:color w:val="auto"/>
                <w:sz w:val="18"/>
                <w:szCs w:val="18"/>
                <w:highlight w:val="none"/>
              </w:rPr>
              <w:t>，小于要求为负偏</w:t>
            </w:r>
            <w:r>
              <w:rPr>
                <w:rFonts w:hint="eastAsia" w:asciiTheme="minorEastAsia" w:hAnsiTheme="minorEastAsia" w:eastAsiaTheme="minorEastAsia"/>
                <w:color w:val="auto"/>
                <w:sz w:val="18"/>
                <w:szCs w:val="18"/>
                <w:highlight w:val="none"/>
              </w:rPr>
              <w:t>差</w:t>
            </w:r>
            <w:r>
              <w:rPr>
                <w:rFonts w:hint="eastAsia" w:asciiTheme="minorEastAsia" w:hAnsiTheme="minorEastAsia" w:eastAsiaTheme="minorEastAsia"/>
                <w:color w:val="auto"/>
                <w:sz w:val="18"/>
                <w:szCs w:val="18"/>
                <w:highlight w:val="none"/>
              </w:rPr>
              <w:t>。(此项不接受负偏</w:t>
            </w:r>
            <w:r>
              <w:rPr>
                <w:rFonts w:hint="eastAsia" w:asciiTheme="minorEastAsia" w:hAnsiTheme="minorEastAsia" w:eastAsiaTheme="minorEastAsia"/>
                <w:color w:val="auto"/>
                <w:sz w:val="18"/>
                <w:szCs w:val="18"/>
                <w:highlight w:val="none"/>
              </w:rPr>
              <w:t>差</w:t>
            </w:r>
            <w:r>
              <w:rPr>
                <w:rFonts w:hint="eastAsia" w:asciiTheme="minorEastAsia" w:hAnsiTheme="minorEastAsia" w:eastAsiaTheme="minorEastAsia"/>
                <w:color w:val="auto"/>
                <w:sz w:val="18"/>
                <w:szCs w:val="18"/>
                <w:highlight w:val="none"/>
              </w:rPr>
              <w:t>)</w:t>
            </w:r>
          </w:p>
        </w:tc>
      </w:tr>
      <w:tr>
        <w:tblPrEx>
          <w:tblCellMar>
            <w:top w:w="0" w:type="dxa"/>
            <w:left w:w="108" w:type="dxa"/>
            <w:bottom w:w="0" w:type="dxa"/>
            <w:right w:w="108" w:type="dxa"/>
          </w:tblCellMar>
        </w:tblPrEx>
        <w:trPr>
          <w:trHeight w:val="548" w:hRule="atLeast"/>
          <w:jc w:val="center"/>
        </w:trPr>
        <w:tc>
          <w:tcPr>
            <w:tcW w:w="483" w:type="dxa"/>
            <w:vMerge w:val="continue"/>
            <w:tcBorders>
              <w:left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992" w:type="dxa"/>
            <w:vMerge w:val="continue"/>
            <w:tcBorders>
              <w:left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1418" w:type="dxa"/>
            <w:tcBorders>
              <w:top w:val="nil"/>
              <w:left w:val="nil"/>
              <w:bottom w:val="single" w:color="auto" w:sz="4" w:space="0"/>
              <w:right w:val="single" w:color="auto" w:sz="4" w:space="0"/>
            </w:tcBorders>
            <w:vAlign w:val="center"/>
          </w:tcPr>
          <w:p>
            <w:pPr>
              <w:jc w:val="center"/>
              <w:rPr>
                <w:rFonts w:ascii="宋体" w:hAnsi="宋体" w:cs="宋体"/>
                <w:color w:val="auto"/>
                <w:sz w:val="18"/>
                <w:szCs w:val="18"/>
                <w:highlight w:val="none"/>
              </w:rPr>
            </w:pPr>
            <w:r>
              <w:rPr>
                <w:rFonts w:hint="eastAsia" w:ascii="宋体" w:hAnsi="宋体" w:cs="宋体"/>
                <w:color w:val="auto"/>
                <w:sz w:val="21"/>
                <w:szCs w:val="21"/>
                <w:highlight w:val="none"/>
              </w:rPr>
              <w:t>▲</w:t>
            </w:r>
            <w:r>
              <w:rPr>
                <w:rFonts w:hint="eastAsia" w:ascii="宋体" w:hAnsi="宋体" w:cs="宋体"/>
                <w:color w:val="auto"/>
                <w:sz w:val="18"/>
                <w:szCs w:val="18"/>
                <w:highlight w:val="none"/>
              </w:rPr>
              <w:t>净载重量</w:t>
            </w:r>
          </w:p>
        </w:tc>
        <w:tc>
          <w:tcPr>
            <w:tcW w:w="4252" w:type="dxa"/>
            <w:tcBorders>
              <w:top w:val="nil"/>
              <w:left w:val="nil"/>
              <w:bottom w:val="single" w:color="auto" w:sz="4" w:space="0"/>
              <w:right w:val="single" w:color="auto" w:sz="4" w:space="0"/>
            </w:tcBorders>
            <w:vAlign w:val="center"/>
          </w:tcPr>
          <w:p>
            <w:pPr>
              <w:jc w:val="both"/>
              <w:rPr>
                <w:rFonts w:cs="宋体"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各电梯净载重量等于《粤海云港城项目4号地电梯选型表》要求</w:t>
            </w:r>
          </w:p>
        </w:tc>
        <w:tc>
          <w:tcPr>
            <w:tcW w:w="1276" w:type="dxa"/>
            <w:tcBorders>
              <w:top w:val="nil"/>
              <w:left w:val="single" w:color="auto" w:sz="4" w:space="0"/>
              <w:bottom w:val="single" w:color="auto" w:sz="4" w:space="0"/>
              <w:right w:val="single" w:color="auto" w:sz="4" w:space="0"/>
            </w:tcBorders>
          </w:tcPr>
          <w:p>
            <w:pPr>
              <w:jc w:val="center"/>
              <w:rPr>
                <w:rFonts w:ascii="宋体" w:hAnsi="宋体" w:cs="宋体"/>
                <w:color w:val="auto"/>
                <w:sz w:val="18"/>
                <w:szCs w:val="18"/>
                <w:highlight w:val="none"/>
              </w:rPr>
            </w:pPr>
          </w:p>
        </w:tc>
        <w:tc>
          <w:tcPr>
            <w:tcW w:w="992" w:type="dxa"/>
            <w:tcBorders>
              <w:top w:val="nil"/>
              <w:left w:val="single" w:color="auto" w:sz="4" w:space="0"/>
              <w:bottom w:val="single" w:color="auto" w:sz="4" w:space="0"/>
              <w:right w:val="single" w:color="auto" w:sz="4" w:space="0"/>
            </w:tcBorders>
          </w:tcPr>
          <w:p>
            <w:pPr>
              <w:jc w:val="center"/>
              <w:rPr>
                <w:rFonts w:ascii="宋体" w:hAnsi="宋体" w:cs="宋体"/>
                <w:color w:val="auto"/>
                <w:sz w:val="18"/>
                <w:szCs w:val="18"/>
                <w:highlight w:val="none"/>
              </w:rPr>
            </w:pPr>
          </w:p>
        </w:tc>
        <w:tc>
          <w:tcPr>
            <w:tcW w:w="1134" w:type="dxa"/>
            <w:tcBorders>
              <w:top w:val="nil"/>
              <w:left w:val="single" w:color="auto" w:sz="4" w:space="0"/>
              <w:bottom w:val="single" w:color="auto" w:sz="4" w:space="0"/>
              <w:right w:val="single" w:color="auto" w:sz="4" w:space="0"/>
            </w:tcBorders>
          </w:tcPr>
          <w:p>
            <w:pPr>
              <w:jc w:val="center"/>
              <w:rPr>
                <w:rFonts w:ascii="宋体" w:hAnsi="宋体" w:cs="宋体"/>
                <w:color w:val="auto"/>
                <w:sz w:val="18"/>
                <w:szCs w:val="18"/>
                <w:highlight w:val="none"/>
              </w:rPr>
            </w:pPr>
          </w:p>
        </w:tc>
        <w:tc>
          <w:tcPr>
            <w:tcW w:w="1134" w:type="dxa"/>
            <w:tcBorders>
              <w:top w:val="nil"/>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ascii="宋体" w:hAnsi="宋体" w:cs="宋体"/>
                <w:color w:val="auto"/>
                <w:sz w:val="18"/>
                <w:szCs w:val="18"/>
                <w:highlight w:val="none"/>
              </w:rPr>
              <w:t>第（）页</w:t>
            </w:r>
          </w:p>
        </w:tc>
        <w:tc>
          <w:tcPr>
            <w:tcW w:w="2835" w:type="dxa"/>
            <w:tcBorders>
              <w:top w:val="nil"/>
              <w:left w:val="single" w:color="auto" w:sz="4" w:space="0"/>
              <w:bottom w:val="single" w:color="auto" w:sz="4" w:space="0"/>
              <w:right w:val="single" w:color="auto" w:sz="4" w:space="0"/>
            </w:tcBorders>
            <w:vAlign w:val="center"/>
          </w:tcPr>
          <w:p>
            <w:pPr>
              <w:jc w:val="both"/>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净载重量大于要求为正偏</w:t>
            </w:r>
            <w:r>
              <w:rPr>
                <w:rFonts w:hint="eastAsia" w:asciiTheme="minorEastAsia" w:hAnsiTheme="minorEastAsia" w:eastAsiaTheme="minorEastAsia"/>
                <w:color w:val="auto"/>
                <w:sz w:val="18"/>
                <w:szCs w:val="18"/>
                <w:highlight w:val="none"/>
              </w:rPr>
              <w:t>差</w:t>
            </w:r>
            <w:r>
              <w:rPr>
                <w:rFonts w:hint="eastAsia" w:asciiTheme="minorEastAsia" w:hAnsiTheme="minorEastAsia" w:eastAsiaTheme="minorEastAsia"/>
                <w:color w:val="auto"/>
                <w:sz w:val="18"/>
                <w:szCs w:val="18"/>
                <w:highlight w:val="none"/>
              </w:rPr>
              <w:t>，小于要求为负偏</w:t>
            </w:r>
            <w:r>
              <w:rPr>
                <w:rFonts w:hint="eastAsia" w:asciiTheme="minorEastAsia" w:hAnsiTheme="minorEastAsia" w:eastAsiaTheme="minorEastAsia"/>
                <w:color w:val="auto"/>
                <w:sz w:val="18"/>
                <w:szCs w:val="18"/>
                <w:highlight w:val="none"/>
              </w:rPr>
              <w:t>差</w:t>
            </w:r>
            <w:r>
              <w:rPr>
                <w:rFonts w:hint="eastAsia" w:asciiTheme="minorEastAsia" w:hAnsiTheme="minorEastAsia" w:eastAsiaTheme="minorEastAsia"/>
                <w:color w:val="auto"/>
                <w:sz w:val="18"/>
                <w:szCs w:val="18"/>
                <w:highlight w:val="none"/>
              </w:rPr>
              <w:t>。(此项不接受负偏</w:t>
            </w:r>
            <w:r>
              <w:rPr>
                <w:rFonts w:hint="eastAsia" w:asciiTheme="minorEastAsia" w:hAnsiTheme="minorEastAsia" w:eastAsiaTheme="minorEastAsia"/>
                <w:color w:val="auto"/>
                <w:sz w:val="18"/>
                <w:szCs w:val="18"/>
                <w:highlight w:val="none"/>
              </w:rPr>
              <w:t>差</w:t>
            </w:r>
            <w:r>
              <w:rPr>
                <w:rFonts w:hint="eastAsia" w:asciiTheme="minorEastAsia" w:hAnsiTheme="minorEastAsia" w:eastAsiaTheme="minorEastAsia"/>
                <w:color w:val="auto"/>
                <w:sz w:val="18"/>
                <w:szCs w:val="18"/>
                <w:highlight w:val="none"/>
              </w:rPr>
              <w:t>)</w:t>
            </w:r>
          </w:p>
        </w:tc>
      </w:tr>
      <w:tr>
        <w:tblPrEx>
          <w:tblCellMar>
            <w:top w:w="0" w:type="dxa"/>
            <w:left w:w="108" w:type="dxa"/>
            <w:bottom w:w="0" w:type="dxa"/>
            <w:right w:w="108" w:type="dxa"/>
          </w:tblCellMar>
        </w:tblPrEx>
        <w:trPr>
          <w:trHeight w:val="556" w:hRule="atLeast"/>
          <w:jc w:val="center"/>
        </w:trPr>
        <w:tc>
          <w:tcPr>
            <w:tcW w:w="483" w:type="dxa"/>
            <w:vMerge w:val="continue"/>
            <w:tcBorders>
              <w:left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992" w:type="dxa"/>
            <w:vMerge w:val="continue"/>
            <w:tcBorders>
              <w:left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1418" w:type="dxa"/>
            <w:tcBorders>
              <w:top w:val="nil"/>
              <w:left w:val="nil"/>
              <w:bottom w:val="single" w:color="auto" w:sz="4" w:space="0"/>
              <w:right w:val="single" w:color="auto" w:sz="4" w:space="0"/>
            </w:tcBorders>
            <w:vAlign w:val="center"/>
          </w:tcPr>
          <w:p>
            <w:pPr>
              <w:jc w:val="center"/>
              <w:rPr>
                <w:rFonts w:ascii="宋体" w:hAnsi="宋体" w:cs="宋体"/>
                <w:color w:val="auto"/>
                <w:sz w:val="18"/>
                <w:szCs w:val="18"/>
                <w:highlight w:val="none"/>
              </w:rPr>
            </w:pPr>
            <w:r>
              <w:rPr>
                <w:rFonts w:hint="eastAsia" w:ascii="宋体" w:hAnsi="宋体" w:cs="宋体"/>
                <w:color w:val="auto"/>
                <w:sz w:val="21"/>
                <w:szCs w:val="21"/>
                <w:highlight w:val="none"/>
              </w:rPr>
              <w:t>▲</w:t>
            </w:r>
            <w:r>
              <w:rPr>
                <w:rFonts w:hint="eastAsia" w:ascii="宋体" w:hAnsi="宋体" w:cs="宋体"/>
                <w:color w:val="auto"/>
                <w:sz w:val="18"/>
                <w:szCs w:val="18"/>
                <w:highlight w:val="none"/>
              </w:rPr>
              <w:t>轿厢尺寸</w:t>
            </w:r>
          </w:p>
        </w:tc>
        <w:tc>
          <w:tcPr>
            <w:tcW w:w="4252" w:type="dxa"/>
            <w:tcBorders>
              <w:top w:val="nil"/>
              <w:left w:val="nil"/>
              <w:bottom w:val="single" w:color="auto" w:sz="4" w:space="0"/>
              <w:right w:val="single" w:color="auto" w:sz="4" w:space="0"/>
            </w:tcBorders>
            <w:vAlign w:val="center"/>
          </w:tcPr>
          <w:p>
            <w:pPr>
              <w:jc w:val="both"/>
              <w:rPr>
                <w:rFonts w:cs="宋体"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各电梯轿厢的宽度、深度、高度等净尺寸均等于《粤海云港城项目4号地电梯选型表》要求</w:t>
            </w:r>
          </w:p>
        </w:tc>
        <w:tc>
          <w:tcPr>
            <w:tcW w:w="1276" w:type="dxa"/>
            <w:tcBorders>
              <w:top w:val="nil"/>
              <w:left w:val="single" w:color="auto" w:sz="4" w:space="0"/>
              <w:bottom w:val="single" w:color="auto" w:sz="4" w:space="0"/>
              <w:right w:val="single" w:color="auto" w:sz="4" w:space="0"/>
            </w:tcBorders>
          </w:tcPr>
          <w:p>
            <w:pPr>
              <w:jc w:val="center"/>
              <w:rPr>
                <w:rFonts w:ascii="宋体" w:hAnsi="宋体" w:cs="宋体"/>
                <w:color w:val="auto"/>
                <w:sz w:val="18"/>
                <w:szCs w:val="18"/>
                <w:highlight w:val="none"/>
              </w:rPr>
            </w:pPr>
          </w:p>
        </w:tc>
        <w:tc>
          <w:tcPr>
            <w:tcW w:w="992" w:type="dxa"/>
            <w:tcBorders>
              <w:top w:val="nil"/>
              <w:left w:val="single" w:color="auto" w:sz="4" w:space="0"/>
              <w:bottom w:val="single" w:color="auto" w:sz="4" w:space="0"/>
              <w:right w:val="single" w:color="auto" w:sz="4" w:space="0"/>
            </w:tcBorders>
          </w:tcPr>
          <w:p>
            <w:pPr>
              <w:jc w:val="center"/>
              <w:rPr>
                <w:rFonts w:ascii="宋体" w:hAnsi="宋体" w:cs="宋体"/>
                <w:color w:val="auto"/>
                <w:sz w:val="18"/>
                <w:szCs w:val="18"/>
                <w:highlight w:val="none"/>
              </w:rPr>
            </w:pPr>
          </w:p>
        </w:tc>
        <w:tc>
          <w:tcPr>
            <w:tcW w:w="1134" w:type="dxa"/>
            <w:tcBorders>
              <w:top w:val="nil"/>
              <w:left w:val="single" w:color="auto" w:sz="4" w:space="0"/>
              <w:bottom w:val="single" w:color="auto" w:sz="4" w:space="0"/>
              <w:right w:val="single" w:color="auto" w:sz="4" w:space="0"/>
            </w:tcBorders>
          </w:tcPr>
          <w:p>
            <w:pPr>
              <w:jc w:val="center"/>
              <w:rPr>
                <w:rFonts w:ascii="宋体" w:hAnsi="宋体" w:cs="宋体"/>
                <w:color w:val="auto"/>
                <w:sz w:val="18"/>
                <w:szCs w:val="18"/>
                <w:highlight w:val="none"/>
              </w:rPr>
            </w:pPr>
          </w:p>
        </w:tc>
        <w:tc>
          <w:tcPr>
            <w:tcW w:w="1134" w:type="dxa"/>
            <w:tcBorders>
              <w:top w:val="nil"/>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ascii="宋体" w:hAnsi="宋体" w:cs="宋体"/>
                <w:color w:val="auto"/>
                <w:sz w:val="18"/>
                <w:szCs w:val="18"/>
                <w:highlight w:val="none"/>
              </w:rPr>
              <w:t>第（）页</w:t>
            </w:r>
          </w:p>
        </w:tc>
        <w:tc>
          <w:tcPr>
            <w:tcW w:w="2835" w:type="dxa"/>
            <w:tcBorders>
              <w:top w:val="nil"/>
              <w:left w:val="single" w:color="auto" w:sz="4" w:space="0"/>
              <w:bottom w:val="single" w:color="auto" w:sz="4" w:space="0"/>
              <w:right w:val="single" w:color="auto" w:sz="4" w:space="0"/>
            </w:tcBorders>
            <w:vAlign w:val="center"/>
          </w:tcPr>
          <w:p>
            <w:pPr>
              <w:jc w:val="both"/>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轿厢尺寸大于要求为正偏</w:t>
            </w:r>
            <w:r>
              <w:rPr>
                <w:rFonts w:hint="eastAsia" w:asciiTheme="minorEastAsia" w:hAnsiTheme="minorEastAsia" w:eastAsiaTheme="minorEastAsia"/>
                <w:color w:val="auto"/>
                <w:sz w:val="18"/>
                <w:szCs w:val="18"/>
                <w:highlight w:val="none"/>
              </w:rPr>
              <w:t>差</w:t>
            </w:r>
            <w:r>
              <w:rPr>
                <w:rFonts w:hint="eastAsia" w:asciiTheme="minorEastAsia" w:hAnsiTheme="minorEastAsia" w:eastAsiaTheme="minorEastAsia"/>
                <w:color w:val="auto"/>
                <w:sz w:val="18"/>
                <w:szCs w:val="18"/>
                <w:highlight w:val="none"/>
              </w:rPr>
              <w:t>，小于要求为负偏</w:t>
            </w:r>
            <w:r>
              <w:rPr>
                <w:rFonts w:hint="eastAsia" w:asciiTheme="minorEastAsia" w:hAnsiTheme="minorEastAsia" w:eastAsiaTheme="minorEastAsia"/>
                <w:color w:val="auto"/>
                <w:sz w:val="18"/>
                <w:szCs w:val="18"/>
                <w:highlight w:val="none"/>
              </w:rPr>
              <w:t>差</w:t>
            </w:r>
            <w:r>
              <w:rPr>
                <w:rFonts w:hint="eastAsia" w:asciiTheme="minorEastAsia" w:hAnsiTheme="minorEastAsia" w:eastAsiaTheme="minorEastAsia"/>
                <w:color w:val="auto"/>
                <w:sz w:val="18"/>
                <w:szCs w:val="18"/>
                <w:highlight w:val="none"/>
              </w:rPr>
              <w:t>。(此项不接受负偏</w:t>
            </w:r>
            <w:r>
              <w:rPr>
                <w:rFonts w:hint="eastAsia" w:asciiTheme="minorEastAsia" w:hAnsiTheme="minorEastAsia" w:eastAsiaTheme="minorEastAsia"/>
                <w:color w:val="auto"/>
                <w:sz w:val="18"/>
                <w:szCs w:val="18"/>
                <w:highlight w:val="none"/>
              </w:rPr>
              <w:t>差</w:t>
            </w:r>
            <w:r>
              <w:rPr>
                <w:rFonts w:hint="eastAsia" w:asciiTheme="minorEastAsia" w:hAnsiTheme="minorEastAsia" w:eastAsiaTheme="minorEastAsia"/>
                <w:color w:val="auto"/>
                <w:sz w:val="18"/>
                <w:szCs w:val="18"/>
                <w:highlight w:val="none"/>
              </w:rPr>
              <w:t>)</w:t>
            </w:r>
          </w:p>
        </w:tc>
      </w:tr>
      <w:tr>
        <w:tblPrEx>
          <w:tblCellMar>
            <w:top w:w="0" w:type="dxa"/>
            <w:left w:w="108" w:type="dxa"/>
            <w:bottom w:w="0" w:type="dxa"/>
            <w:right w:w="108" w:type="dxa"/>
          </w:tblCellMar>
        </w:tblPrEx>
        <w:trPr>
          <w:trHeight w:val="413" w:hRule="atLeast"/>
          <w:jc w:val="center"/>
        </w:trPr>
        <w:tc>
          <w:tcPr>
            <w:tcW w:w="483"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992"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1418" w:type="dxa"/>
            <w:tcBorders>
              <w:top w:val="nil"/>
              <w:left w:val="nil"/>
              <w:bottom w:val="single" w:color="auto" w:sz="4" w:space="0"/>
              <w:right w:val="single" w:color="auto" w:sz="4" w:space="0"/>
            </w:tcBorders>
            <w:vAlign w:val="center"/>
          </w:tcPr>
          <w:p>
            <w:pPr>
              <w:jc w:val="center"/>
              <w:rPr>
                <w:rFonts w:ascii="宋体" w:hAnsi="宋体" w:cs="宋体"/>
                <w:color w:val="auto"/>
                <w:sz w:val="18"/>
                <w:szCs w:val="18"/>
                <w:highlight w:val="none"/>
              </w:rPr>
            </w:pPr>
            <w:r>
              <w:rPr>
                <w:rFonts w:hint="eastAsia" w:ascii="宋体" w:hAnsi="宋体" w:cs="宋体"/>
                <w:color w:val="auto"/>
                <w:sz w:val="21"/>
                <w:szCs w:val="21"/>
                <w:highlight w:val="none"/>
              </w:rPr>
              <w:t>▲</w:t>
            </w:r>
            <w:r>
              <w:rPr>
                <w:rFonts w:hint="eastAsia" w:ascii="宋体" w:hAnsi="宋体" w:cs="宋体"/>
                <w:color w:val="auto"/>
                <w:sz w:val="18"/>
                <w:szCs w:val="18"/>
                <w:highlight w:val="none"/>
              </w:rPr>
              <w:t>装修预留重量（不包含空调设备重量）</w:t>
            </w:r>
          </w:p>
        </w:tc>
        <w:tc>
          <w:tcPr>
            <w:tcW w:w="4252" w:type="dxa"/>
            <w:tcBorders>
              <w:top w:val="nil"/>
              <w:left w:val="nil"/>
              <w:bottom w:val="single" w:color="auto" w:sz="4" w:space="0"/>
              <w:right w:val="single" w:color="auto" w:sz="4" w:space="0"/>
            </w:tcBorders>
            <w:vAlign w:val="center"/>
          </w:tcPr>
          <w:p>
            <w:pPr>
              <w:jc w:val="both"/>
              <w:rPr>
                <w:rFonts w:cs="宋体"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各电梯装修预留重量等于《粤海云港城项目4号地电梯选型表》要求</w:t>
            </w:r>
          </w:p>
        </w:tc>
        <w:tc>
          <w:tcPr>
            <w:tcW w:w="1276" w:type="dxa"/>
            <w:tcBorders>
              <w:top w:val="nil"/>
              <w:left w:val="single" w:color="auto" w:sz="4" w:space="0"/>
              <w:bottom w:val="single" w:color="auto" w:sz="4" w:space="0"/>
              <w:right w:val="single" w:color="auto" w:sz="4" w:space="0"/>
            </w:tcBorders>
          </w:tcPr>
          <w:p>
            <w:pPr>
              <w:jc w:val="center"/>
              <w:rPr>
                <w:rFonts w:ascii="宋体" w:hAnsi="宋体" w:cs="宋体"/>
                <w:color w:val="auto"/>
                <w:sz w:val="18"/>
                <w:szCs w:val="18"/>
                <w:highlight w:val="none"/>
              </w:rPr>
            </w:pPr>
          </w:p>
        </w:tc>
        <w:tc>
          <w:tcPr>
            <w:tcW w:w="992" w:type="dxa"/>
            <w:tcBorders>
              <w:top w:val="nil"/>
              <w:left w:val="single" w:color="auto" w:sz="4" w:space="0"/>
              <w:bottom w:val="single" w:color="auto" w:sz="4" w:space="0"/>
              <w:right w:val="single" w:color="auto" w:sz="4" w:space="0"/>
            </w:tcBorders>
          </w:tcPr>
          <w:p>
            <w:pPr>
              <w:jc w:val="center"/>
              <w:rPr>
                <w:rFonts w:ascii="宋体" w:hAnsi="宋体" w:cs="宋体"/>
                <w:color w:val="auto"/>
                <w:sz w:val="18"/>
                <w:szCs w:val="18"/>
                <w:highlight w:val="none"/>
              </w:rPr>
            </w:pPr>
          </w:p>
        </w:tc>
        <w:tc>
          <w:tcPr>
            <w:tcW w:w="1134" w:type="dxa"/>
            <w:tcBorders>
              <w:top w:val="nil"/>
              <w:left w:val="single" w:color="auto" w:sz="4" w:space="0"/>
              <w:bottom w:val="single" w:color="auto" w:sz="4" w:space="0"/>
              <w:right w:val="single" w:color="auto" w:sz="4" w:space="0"/>
            </w:tcBorders>
          </w:tcPr>
          <w:p>
            <w:pPr>
              <w:jc w:val="center"/>
              <w:rPr>
                <w:rFonts w:ascii="宋体" w:hAnsi="宋体" w:cs="宋体"/>
                <w:color w:val="auto"/>
                <w:sz w:val="18"/>
                <w:szCs w:val="18"/>
                <w:highlight w:val="none"/>
              </w:rPr>
            </w:pPr>
          </w:p>
        </w:tc>
        <w:tc>
          <w:tcPr>
            <w:tcW w:w="1134" w:type="dxa"/>
            <w:tcBorders>
              <w:top w:val="nil"/>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ascii="宋体" w:hAnsi="宋体" w:cs="宋体"/>
                <w:color w:val="auto"/>
                <w:sz w:val="18"/>
                <w:szCs w:val="18"/>
                <w:highlight w:val="none"/>
              </w:rPr>
              <w:t>第（）页</w:t>
            </w:r>
          </w:p>
        </w:tc>
        <w:tc>
          <w:tcPr>
            <w:tcW w:w="2835" w:type="dxa"/>
            <w:tcBorders>
              <w:top w:val="nil"/>
              <w:left w:val="single" w:color="auto" w:sz="4" w:space="0"/>
              <w:bottom w:val="single" w:color="auto" w:sz="4" w:space="0"/>
              <w:right w:val="single" w:color="auto" w:sz="4" w:space="0"/>
            </w:tcBorders>
            <w:vAlign w:val="center"/>
          </w:tcPr>
          <w:p>
            <w:pPr>
              <w:jc w:val="both"/>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装修预留重量大于要求为正偏</w:t>
            </w:r>
            <w:r>
              <w:rPr>
                <w:rFonts w:hint="eastAsia" w:asciiTheme="minorEastAsia" w:hAnsiTheme="minorEastAsia" w:eastAsiaTheme="minorEastAsia"/>
                <w:color w:val="auto"/>
                <w:sz w:val="18"/>
                <w:szCs w:val="18"/>
                <w:highlight w:val="none"/>
              </w:rPr>
              <w:t>差</w:t>
            </w:r>
            <w:r>
              <w:rPr>
                <w:rFonts w:hint="eastAsia" w:asciiTheme="minorEastAsia" w:hAnsiTheme="minorEastAsia" w:eastAsiaTheme="minorEastAsia"/>
                <w:color w:val="auto"/>
                <w:sz w:val="18"/>
                <w:szCs w:val="18"/>
                <w:highlight w:val="none"/>
              </w:rPr>
              <w:t>，小于要求为负偏</w:t>
            </w:r>
            <w:r>
              <w:rPr>
                <w:rFonts w:hint="eastAsia" w:asciiTheme="minorEastAsia" w:hAnsiTheme="minorEastAsia" w:eastAsiaTheme="minorEastAsia"/>
                <w:color w:val="auto"/>
                <w:sz w:val="18"/>
                <w:szCs w:val="18"/>
                <w:highlight w:val="none"/>
              </w:rPr>
              <w:t>差</w:t>
            </w:r>
            <w:r>
              <w:rPr>
                <w:rFonts w:hint="eastAsia" w:asciiTheme="minorEastAsia" w:hAnsiTheme="minorEastAsia" w:eastAsiaTheme="minorEastAsia"/>
                <w:color w:val="auto"/>
                <w:sz w:val="18"/>
                <w:szCs w:val="18"/>
                <w:highlight w:val="none"/>
              </w:rPr>
              <w:t>。(此项不接受负偏</w:t>
            </w:r>
            <w:r>
              <w:rPr>
                <w:rFonts w:hint="eastAsia" w:asciiTheme="minorEastAsia" w:hAnsiTheme="minorEastAsia" w:eastAsiaTheme="minorEastAsia"/>
                <w:color w:val="auto"/>
                <w:sz w:val="18"/>
                <w:szCs w:val="18"/>
                <w:highlight w:val="none"/>
              </w:rPr>
              <w:t>差</w:t>
            </w:r>
            <w:r>
              <w:rPr>
                <w:rFonts w:hint="eastAsia" w:asciiTheme="minorEastAsia" w:hAnsiTheme="minorEastAsia" w:eastAsiaTheme="minorEastAsia"/>
                <w:color w:val="auto"/>
                <w:sz w:val="18"/>
                <w:szCs w:val="18"/>
                <w:highlight w:val="none"/>
              </w:rPr>
              <w:t>)</w:t>
            </w:r>
          </w:p>
        </w:tc>
      </w:tr>
      <w:tr>
        <w:tblPrEx>
          <w:tblCellMar>
            <w:top w:w="0" w:type="dxa"/>
            <w:left w:w="108" w:type="dxa"/>
            <w:bottom w:w="0" w:type="dxa"/>
            <w:right w:w="108" w:type="dxa"/>
          </w:tblCellMar>
        </w:tblPrEx>
        <w:trPr>
          <w:trHeight w:val="762" w:hRule="atLeast"/>
          <w:jc w:val="center"/>
        </w:trPr>
        <w:tc>
          <w:tcPr>
            <w:tcW w:w="483"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992"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附加要求</w:t>
            </w:r>
          </w:p>
        </w:tc>
        <w:tc>
          <w:tcPr>
            <w:tcW w:w="141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操作系统要求</w:t>
            </w:r>
          </w:p>
        </w:tc>
        <w:tc>
          <w:tcPr>
            <w:tcW w:w="4252" w:type="dxa"/>
            <w:tcBorders>
              <w:top w:val="single" w:color="auto" w:sz="4" w:space="0"/>
              <w:left w:val="nil"/>
              <w:bottom w:val="single" w:color="auto" w:sz="4" w:space="0"/>
              <w:right w:val="single" w:color="auto" w:sz="4" w:space="0"/>
            </w:tcBorders>
            <w:vAlign w:val="center"/>
          </w:tcPr>
          <w:p>
            <w:pPr>
              <w:jc w:val="both"/>
              <w:rPr>
                <w:rFonts w:cs="宋体"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电梯的操作系统能满足《粤海云港城项目4#地块电梯招标技术文件》中对电梯的操作系统的要求。</w:t>
            </w:r>
          </w:p>
        </w:tc>
        <w:tc>
          <w:tcPr>
            <w:tcW w:w="1276" w:type="dxa"/>
            <w:tcBorders>
              <w:top w:val="single" w:color="auto" w:sz="4" w:space="0"/>
              <w:left w:val="nil"/>
              <w:bottom w:val="single" w:color="auto" w:sz="4" w:space="0"/>
              <w:right w:val="single" w:color="auto" w:sz="4" w:space="0"/>
            </w:tcBorders>
          </w:tcPr>
          <w:p>
            <w:pPr>
              <w:jc w:val="center"/>
              <w:rPr>
                <w:rFonts w:ascii="宋体" w:hAnsi="宋体" w:cs="宋体"/>
                <w:color w:val="auto"/>
                <w:sz w:val="18"/>
                <w:szCs w:val="18"/>
                <w:highlight w:val="none"/>
              </w:rPr>
            </w:pPr>
          </w:p>
        </w:tc>
        <w:tc>
          <w:tcPr>
            <w:tcW w:w="992" w:type="dxa"/>
            <w:tcBorders>
              <w:top w:val="single" w:color="auto" w:sz="4" w:space="0"/>
              <w:left w:val="nil"/>
              <w:bottom w:val="single" w:color="auto" w:sz="4" w:space="0"/>
              <w:right w:val="single" w:color="auto" w:sz="4" w:space="0"/>
            </w:tcBorders>
          </w:tcPr>
          <w:p>
            <w:pPr>
              <w:jc w:val="center"/>
              <w:rPr>
                <w:rFonts w:ascii="宋体" w:hAnsi="宋体" w:cs="宋体"/>
                <w:color w:val="auto"/>
                <w:sz w:val="18"/>
                <w:szCs w:val="18"/>
                <w:highlight w:val="none"/>
              </w:rPr>
            </w:pPr>
          </w:p>
        </w:tc>
        <w:tc>
          <w:tcPr>
            <w:tcW w:w="1134" w:type="dxa"/>
            <w:tcBorders>
              <w:top w:val="single" w:color="auto" w:sz="4" w:space="0"/>
              <w:left w:val="nil"/>
              <w:bottom w:val="single" w:color="auto" w:sz="4" w:space="0"/>
              <w:right w:val="single" w:color="auto" w:sz="4" w:space="0"/>
            </w:tcBorders>
          </w:tcPr>
          <w:p>
            <w:pPr>
              <w:jc w:val="center"/>
              <w:rPr>
                <w:rFonts w:ascii="宋体" w:hAnsi="宋体" w:cs="宋体"/>
                <w:color w:val="auto"/>
                <w:sz w:val="18"/>
                <w:szCs w:val="18"/>
                <w:highlight w:val="none"/>
              </w:rPr>
            </w:pPr>
          </w:p>
        </w:tc>
        <w:tc>
          <w:tcPr>
            <w:tcW w:w="1134" w:type="dxa"/>
            <w:tcBorders>
              <w:top w:val="single" w:color="auto" w:sz="4" w:space="0"/>
              <w:left w:val="nil"/>
              <w:bottom w:val="single" w:color="auto" w:sz="4" w:space="0"/>
              <w:right w:val="single" w:color="auto" w:sz="4" w:space="0"/>
            </w:tcBorders>
            <w:vAlign w:val="center"/>
          </w:tcPr>
          <w:p>
            <w:pPr>
              <w:jc w:val="center"/>
              <w:rPr>
                <w:color w:val="auto"/>
                <w:sz w:val="18"/>
                <w:szCs w:val="18"/>
                <w:highlight w:val="none"/>
              </w:rPr>
            </w:pPr>
            <w:r>
              <w:rPr>
                <w:rFonts w:hint="eastAsia" w:ascii="宋体" w:hAnsi="宋体" w:cs="宋体"/>
                <w:color w:val="auto"/>
                <w:sz w:val="18"/>
                <w:szCs w:val="18"/>
                <w:highlight w:val="none"/>
              </w:rPr>
              <w:t>第（）页</w:t>
            </w:r>
          </w:p>
        </w:tc>
        <w:tc>
          <w:tcPr>
            <w:tcW w:w="2835" w:type="dxa"/>
            <w:tcBorders>
              <w:top w:val="single" w:color="auto" w:sz="4" w:space="0"/>
              <w:left w:val="nil"/>
              <w:bottom w:val="single" w:color="auto" w:sz="4" w:space="0"/>
              <w:right w:val="single" w:color="auto" w:sz="4" w:space="0"/>
            </w:tcBorders>
          </w:tcPr>
          <w:p>
            <w:pPr>
              <w:jc w:val="center"/>
              <w:rPr>
                <w:color w:val="auto"/>
                <w:sz w:val="18"/>
                <w:szCs w:val="18"/>
                <w:highlight w:val="none"/>
              </w:rPr>
            </w:pPr>
          </w:p>
        </w:tc>
      </w:tr>
      <w:tr>
        <w:tblPrEx>
          <w:tblCellMar>
            <w:top w:w="0" w:type="dxa"/>
            <w:left w:w="108" w:type="dxa"/>
            <w:bottom w:w="0" w:type="dxa"/>
            <w:right w:w="108" w:type="dxa"/>
          </w:tblCellMar>
        </w:tblPrEx>
        <w:trPr>
          <w:trHeight w:val="840" w:hRule="atLeast"/>
          <w:jc w:val="center"/>
        </w:trPr>
        <w:tc>
          <w:tcPr>
            <w:tcW w:w="483" w:type="dxa"/>
            <w:vMerge w:val="continue"/>
            <w:tcBorders>
              <w:left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992" w:type="dxa"/>
            <w:vMerge w:val="continue"/>
            <w:tcBorders>
              <w:left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141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土建参数要求</w:t>
            </w:r>
          </w:p>
        </w:tc>
        <w:tc>
          <w:tcPr>
            <w:tcW w:w="4252" w:type="dxa"/>
            <w:tcBorders>
              <w:top w:val="single" w:color="auto" w:sz="4" w:space="0"/>
              <w:left w:val="nil"/>
              <w:bottom w:val="single" w:color="auto" w:sz="4" w:space="0"/>
              <w:right w:val="single" w:color="auto" w:sz="4" w:space="0"/>
            </w:tcBorders>
            <w:vAlign w:val="center"/>
          </w:tcPr>
          <w:p>
            <w:pPr>
              <w:jc w:val="both"/>
              <w:rPr>
                <w:rFonts w:cs="宋体"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土建参数能满足《粤海云港城项目4号地垂直梯选型表》中对土建参数的要求。</w:t>
            </w:r>
          </w:p>
        </w:tc>
        <w:tc>
          <w:tcPr>
            <w:tcW w:w="1276" w:type="dxa"/>
            <w:tcBorders>
              <w:top w:val="single" w:color="auto" w:sz="4" w:space="0"/>
              <w:left w:val="nil"/>
              <w:bottom w:val="single" w:color="auto" w:sz="4" w:space="0"/>
              <w:right w:val="single" w:color="auto" w:sz="4" w:space="0"/>
            </w:tcBorders>
          </w:tcPr>
          <w:p>
            <w:pPr>
              <w:jc w:val="center"/>
              <w:rPr>
                <w:rFonts w:ascii="宋体" w:hAnsi="宋体" w:cs="宋体"/>
                <w:color w:val="auto"/>
                <w:sz w:val="18"/>
                <w:szCs w:val="18"/>
                <w:highlight w:val="none"/>
              </w:rPr>
            </w:pPr>
          </w:p>
        </w:tc>
        <w:tc>
          <w:tcPr>
            <w:tcW w:w="992" w:type="dxa"/>
            <w:tcBorders>
              <w:top w:val="single" w:color="auto" w:sz="4" w:space="0"/>
              <w:left w:val="nil"/>
              <w:bottom w:val="single" w:color="auto" w:sz="4" w:space="0"/>
              <w:right w:val="single" w:color="auto" w:sz="4" w:space="0"/>
            </w:tcBorders>
          </w:tcPr>
          <w:p>
            <w:pPr>
              <w:jc w:val="center"/>
              <w:rPr>
                <w:rFonts w:ascii="宋体" w:hAnsi="宋体" w:cs="宋体"/>
                <w:color w:val="auto"/>
                <w:sz w:val="18"/>
                <w:szCs w:val="18"/>
                <w:highlight w:val="none"/>
              </w:rPr>
            </w:pPr>
          </w:p>
        </w:tc>
        <w:tc>
          <w:tcPr>
            <w:tcW w:w="1134" w:type="dxa"/>
            <w:tcBorders>
              <w:top w:val="single" w:color="auto" w:sz="4" w:space="0"/>
              <w:left w:val="nil"/>
              <w:bottom w:val="single" w:color="auto" w:sz="4" w:space="0"/>
              <w:right w:val="single" w:color="auto" w:sz="4" w:space="0"/>
            </w:tcBorders>
          </w:tcPr>
          <w:p>
            <w:pPr>
              <w:jc w:val="center"/>
              <w:rPr>
                <w:rFonts w:ascii="宋体" w:hAnsi="宋体" w:cs="宋体"/>
                <w:color w:val="auto"/>
                <w:sz w:val="18"/>
                <w:szCs w:val="18"/>
                <w:highlight w:val="none"/>
              </w:rPr>
            </w:pPr>
          </w:p>
        </w:tc>
        <w:tc>
          <w:tcPr>
            <w:tcW w:w="1134" w:type="dxa"/>
            <w:tcBorders>
              <w:top w:val="single" w:color="auto" w:sz="4" w:space="0"/>
              <w:left w:val="nil"/>
              <w:bottom w:val="single" w:color="auto" w:sz="4" w:space="0"/>
              <w:right w:val="single" w:color="auto" w:sz="4" w:space="0"/>
            </w:tcBorders>
            <w:vAlign w:val="center"/>
          </w:tcPr>
          <w:p>
            <w:pPr>
              <w:jc w:val="center"/>
              <w:rPr>
                <w:color w:val="auto"/>
                <w:sz w:val="18"/>
                <w:szCs w:val="18"/>
                <w:highlight w:val="none"/>
              </w:rPr>
            </w:pPr>
            <w:r>
              <w:rPr>
                <w:rFonts w:hint="eastAsia" w:ascii="宋体" w:hAnsi="宋体" w:cs="宋体"/>
                <w:color w:val="auto"/>
                <w:sz w:val="18"/>
                <w:szCs w:val="18"/>
                <w:highlight w:val="none"/>
              </w:rPr>
              <w:t>第（）页</w:t>
            </w:r>
          </w:p>
        </w:tc>
        <w:tc>
          <w:tcPr>
            <w:tcW w:w="2835" w:type="dxa"/>
            <w:tcBorders>
              <w:top w:val="single" w:color="auto" w:sz="4" w:space="0"/>
              <w:left w:val="nil"/>
              <w:bottom w:val="single" w:color="auto" w:sz="4" w:space="0"/>
              <w:right w:val="single" w:color="auto" w:sz="4" w:space="0"/>
            </w:tcBorders>
          </w:tcPr>
          <w:p>
            <w:pPr>
              <w:jc w:val="center"/>
              <w:rPr>
                <w:color w:val="auto"/>
                <w:sz w:val="18"/>
                <w:szCs w:val="18"/>
                <w:highlight w:val="none"/>
              </w:rPr>
            </w:pPr>
          </w:p>
        </w:tc>
      </w:tr>
      <w:tr>
        <w:tblPrEx>
          <w:tblCellMar>
            <w:top w:w="0" w:type="dxa"/>
            <w:left w:w="108" w:type="dxa"/>
            <w:bottom w:w="0" w:type="dxa"/>
            <w:right w:w="108" w:type="dxa"/>
          </w:tblCellMar>
        </w:tblPrEx>
        <w:trPr>
          <w:trHeight w:val="852" w:hRule="atLeast"/>
          <w:jc w:val="center"/>
        </w:trPr>
        <w:tc>
          <w:tcPr>
            <w:tcW w:w="483" w:type="dxa"/>
            <w:vMerge w:val="continue"/>
            <w:tcBorders>
              <w:left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992" w:type="dxa"/>
            <w:vMerge w:val="continue"/>
            <w:tcBorders>
              <w:left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141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装修配置要求</w:t>
            </w:r>
          </w:p>
        </w:tc>
        <w:tc>
          <w:tcPr>
            <w:tcW w:w="4252" w:type="dxa"/>
            <w:tcBorders>
              <w:top w:val="single" w:color="auto" w:sz="4" w:space="0"/>
              <w:left w:val="nil"/>
              <w:bottom w:val="single" w:color="auto" w:sz="4" w:space="0"/>
              <w:right w:val="single" w:color="auto" w:sz="4" w:space="0"/>
            </w:tcBorders>
            <w:vAlign w:val="center"/>
          </w:tcPr>
          <w:p>
            <w:pPr>
              <w:jc w:val="both"/>
              <w:rPr>
                <w:rFonts w:cs="宋体"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装修配置能满足《粤海云港城项目4号地垂直梯选型表》中对装修配置(包含各侧壁的要求及装修预留)的要求。</w:t>
            </w:r>
          </w:p>
        </w:tc>
        <w:tc>
          <w:tcPr>
            <w:tcW w:w="1276" w:type="dxa"/>
            <w:tcBorders>
              <w:top w:val="single" w:color="auto" w:sz="4" w:space="0"/>
              <w:left w:val="nil"/>
              <w:bottom w:val="single" w:color="auto" w:sz="4" w:space="0"/>
              <w:right w:val="single" w:color="auto" w:sz="4" w:space="0"/>
            </w:tcBorders>
          </w:tcPr>
          <w:p>
            <w:pPr>
              <w:jc w:val="center"/>
              <w:rPr>
                <w:rFonts w:ascii="宋体" w:hAnsi="宋体" w:cs="宋体"/>
                <w:color w:val="auto"/>
                <w:sz w:val="18"/>
                <w:szCs w:val="18"/>
                <w:highlight w:val="none"/>
              </w:rPr>
            </w:pPr>
          </w:p>
        </w:tc>
        <w:tc>
          <w:tcPr>
            <w:tcW w:w="992" w:type="dxa"/>
            <w:tcBorders>
              <w:top w:val="single" w:color="auto" w:sz="4" w:space="0"/>
              <w:left w:val="nil"/>
              <w:bottom w:val="single" w:color="auto" w:sz="4" w:space="0"/>
              <w:right w:val="single" w:color="auto" w:sz="4" w:space="0"/>
            </w:tcBorders>
          </w:tcPr>
          <w:p>
            <w:pPr>
              <w:jc w:val="center"/>
              <w:rPr>
                <w:rFonts w:ascii="宋体" w:hAnsi="宋体" w:cs="宋体"/>
                <w:color w:val="auto"/>
                <w:sz w:val="18"/>
                <w:szCs w:val="18"/>
                <w:highlight w:val="none"/>
              </w:rPr>
            </w:pPr>
          </w:p>
        </w:tc>
        <w:tc>
          <w:tcPr>
            <w:tcW w:w="1134" w:type="dxa"/>
            <w:tcBorders>
              <w:top w:val="single" w:color="auto" w:sz="4" w:space="0"/>
              <w:left w:val="nil"/>
              <w:bottom w:val="single" w:color="auto" w:sz="4" w:space="0"/>
              <w:right w:val="single" w:color="auto" w:sz="4" w:space="0"/>
            </w:tcBorders>
          </w:tcPr>
          <w:p>
            <w:pPr>
              <w:jc w:val="center"/>
              <w:rPr>
                <w:rFonts w:ascii="宋体" w:hAnsi="宋体" w:cs="宋体"/>
                <w:color w:val="auto"/>
                <w:sz w:val="18"/>
                <w:szCs w:val="18"/>
                <w:highlight w:val="none"/>
              </w:rPr>
            </w:pPr>
          </w:p>
        </w:tc>
        <w:tc>
          <w:tcPr>
            <w:tcW w:w="1134" w:type="dxa"/>
            <w:tcBorders>
              <w:top w:val="single" w:color="auto" w:sz="4" w:space="0"/>
              <w:left w:val="nil"/>
              <w:bottom w:val="single" w:color="auto" w:sz="4" w:space="0"/>
              <w:right w:val="single" w:color="auto" w:sz="4" w:space="0"/>
            </w:tcBorders>
            <w:vAlign w:val="center"/>
          </w:tcPr>
          <w:p>
            <w:pPr>
              <w:jc w:val="center"/>
              <w:rPr>
                <w:color w:val="auto"/>
                <w:sz w:val="18"/>
                <w:szCs w:val="18"/>
                <w:highlight w:val="none"/>
              </w:rPr>
            </w:pPr>
            <w:r>
              <w:rPr>
                <w:rFonts w:hint="eastAsia" w:ascii="宋体" w:hAnsi="宋体" w:cs="宋体"/>
                <w:color w:val="auto"/>
                <w:sz w:val="18"/>
                <w:szCs w:val="18"/>
                <w:highlight w:val="none"/>
              </w:rPr>
              <w:t>第（）页</w:t>
            </w:r>
          </w:p>
        </w:tc>
        <w:tc>
          <w:tcPr>
            <w:tcW w:w="2835" w:type="dxa"/>
            <w:tcBorders>
              <w:top w:val="single" w:color="auto" w:sz="4" w:space="0"/>
              <w:left w:val="nil"/>
              <w:bottom w:val="single" w:color="auto" w:sz="4" w:space="0"/>
              <w:right w:val="single" w:color="auto" w:sz="4" w:space="0"/>
            </w:tcBorders>
            <w:vAlign w:val="center"/>
          </w:tcPr>
          <w:p>
            <w:pPr>
              <w:jc w:val="center"/>
              <w:rPr>
                <w:color w:val="auto"/>
                <w:sz w:val="18"/>
                <w:szCs w:val="18"/>
                <w:highlight w:val="none"/>
              </w:rPr>
            </w:pPr>
          </w:p>
        </w:tc>
      </w:tr>
      <w:tr>
        <w:tblPrEx>
          <w:tblCellMar>
            <w:top w:w="0" w:type="dxa"/>
            <w:left w:w="108" w:type="dxa"/>
            <w:bottom w:w="0" w:type="dxa"/>
            <w:right w:w="108" w:type="dxa"/>
          </w:tblCellMar>
        </w:tblPrEx>
        <w:trPr>
          <w:trHeight w:val="852" w:hRule="atLeast"/>
          <w:jc w:val="center"/>
        </w:trPr>
        <w:tc>
          <w:tcPr>
            <w:tcW w:w="483" w:type="dxa"/>
            <w:vMerge w:val="continue"/>
            <w:tcBorders>
              <w:left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992" w:type="dxa"/>
            <w:vMerge w:val="continue"/>
            <w:tcBorders>
              <w:left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141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运行要求</w:t>
            </w:r>
          </w:p>
        </w:tc>
        <w:tc>
          <w:tcPr>
            <w:tcW w:w="4252" w:type="dxa"/>
            <w:tcBorders>
              <w:top w:val="single" w:color="auto" w:sz="4" w:space="0"/>
              <w:left w:val="nil"/>
              <w:bottom w:val="single" w:color="auto" w:sz="4" w:space="0"/>
              <w:right w:val="single" w:color="auto" w:sz="4" w:space="0"/>
            </w:tcBorders>
            <w:vAlign w:val="center"/>
          </w:tcPr>
          <w:p>
            <w:pPr>
              <w:jc w:val="both"/>
              <w:rPr>
                <w:rFonts w:cs="宋体"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电梯的运行能满足《粤海云港城项目4#地块电梯招标技术文件》中对电梯的运行的要求。</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第（）页</w:t>
            </w:r>
          </w:p>
        </w:tc>
        <w:tc>
          <w:tcPr>
            <w:tcW w:w="2835" w:type="dxa"/>
            <w:tcBorders>
              <w:top w:val="single" w:color="auto" w:sz="4" w:space="0"/>
              <w:left w:val="nil"/>
              <w:bottom w:val="single" w:color="auto" w:sz="4" w:space="0"/>
              <w:right w:val="single" w:color="auto" w:sz="4" w:space="0"/>
            </w:tcBorders>
            <w:vAlign w:val="center"/>
          </w:tcPr>
          <w:p>
            <w:pPr>
              <w:jc w:val="center"/>
              <w:rPr>
                <w:color w:val="auto"/>
                <w:sz w:val="18"/>
                <w:szCs w:val="18"/>
                <w:highlight w:val="none"/>
              </w:rPr>
            </w:pPr>
          </w:p>
        </w:tc>
      </w:tr>
      <w:tr>
        <w:tblPrEx>
          <w:tblCellMar>
            <w:top w:w="0" w:type="dxa"/>
            <w:left w:w="108" w:type="dxa"/>
            <w:bottom w:w="0" w:type="dxa"/>
            <w:right w:w="108" w:type="dxa"/>
          </w:tblCellMar>
        </w:tblPrEx>
        <w:trPr>
          <w:trHeight w:val="852" w:hRule="atLeast"/>
          <w:jc w:val="center"/>
        </w:trPr>
        <w:tc>
          <w:tcPr>
            <w:tcW w:w="483"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992"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141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智能化配置要求</w:t>
            </w:r>
          </w:p>
        </w:tc>
        <w:tc>
          <w:tcPr>
            <w:tcW w:w="4252" w:type="dxa"/>
            <w:tcBorders>
              <w:top w:val="single" w:color="auto" w:sz="4" w:space="0"/>
              <w:left w:val="nil"/>
              <w:bottom w:val="single" w:color="auto" w:sz="4" w:space="0"/>
              <w:right w:val="single" w:color="auto" w:sz="4" w:space="0"/>
            </w:tcBorders>
            <w:vAlign w:val="center"/>
          </w:tcPr>
          <w:p>
            <w:pPr>
              <w:jc w:val="both"/>
              <w:rPr>
                <w:rFonts w:cs="宋体"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电梯的智能化配置要求满足《粤海云港城项目4#地块电梯招标技术文件》中对电梯的智能化配置的要求。</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18"/>
                <w:szCs w:val="18"/>
                <w:highlight w:val="none"/>
              </w:rPr>
            </w:pP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第（）页</w:t>
            </w:r>
          </w:p>
        </w:tc>
        <w:tc>
          <w:tcPr>
            <w:tcW w:w="2835" w:type="dxa"/>
            <w:tcBorders>
              <w:top w:val="single" w:color="auto" w:sz="4" w:space="0"/>
              <w:left w:val="nil"/>
              <w:bottom w:val="single" w:color="auto" w:sz="4" w:space="0"/>
              <w:right w:val="single" w:color="auto" w:sz="4" w:space="0"/>
            </w:tcBorders>
            <w:vAlign w:val="center"/>
          </w:tcPr>
          <w:p>
            <w:pPr>
              <w:jc w:val="center"/>
              <w:rPr>
                <w:color w:val="auto"/>
                <w:sz w:val="18"/>
                <w:szCs w:val="18"/>
                <w:highlight w:val="none"/>
              </w:rPr>
            </w:pPr>
          </w:p>
        </w:tc>
      </w:tr>
    </w:tbl>
    <w:p>
      <w:pPr>
        <w:spacing w:before="120" w:beforeLines="50" w:line="360" w:lineRule="auto"/>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说明：</w:t>
      </w:r>
      <w:r>
        <w:rPr>
          <w:rFonts w:hint="eastAsia" w:asciiTheme="minorEastAsia" w:hAnsiTheme="minorEastAsia" w:eastAsiaTheme="minorEastAsia"/>
          <w:color w:val="auto"/>
          <w:sz w:val="21"/>
          <w:szCs w:val="21"/>
          <w:highlight w:val="none"/>
        </w:rPr>
        <w:t>1</w:t>
      </w:r>
      <w:r>
        <w:rPr>
          <w:rFonts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rPr>
        <w:t>投标人</w:t>
      </w:r>
      <w:r>
        <w:rPr>
          <w:rFonts w:asciiTheme="minorEastAsia" w:hAnsiTheme="minorEastAsia" w:eastAsiaTheme="minorEastAsia"/>
          <w:color w:val="auto"/>
          <w:sz w:val="21"/>
          <w:szCs w:val="21"/>
          <w:highlight w:val="none"/>
        </w:rPr>
        <w:t>应根据投标的实际情况对招标文件中的</w:t>
      </w:r>
      <w:r>
        <w:rPr>
          <w:rFonts w:hint="eastAsia" w:asciiTheme="minorEastAsia" w:hAnsiTheme="minorEastAsia" w:eastAsiaTheme="minorEastAsia"/>
          <w:color w:val="auto"/>
          <w:sz w:val="21"/>
          <w:szCs w:val="21"/>
          <w:highlight w:val="none"/>
        </w:rPr>
        <w:t>电梯技术要求及参数表</w:t>
      </w:r>
      <w:r>
        <w:rPr>
          <w:rFonts w:asciiTheme="minorEastAsia" w:hAnsiTheme="minorEastAsia" w:eastAsiaTheme="minorEastAsia"/>
          <w:color w:val="auto"/>
          <w:sz w:val="21"/>
          <w:szCs w:val="21"/>
          <w:highlight w:val="none"/>
        </w:rPr>
        <w:t>作全面响应。</w:t>
      </w:r>
    </w:p>
    <w:p>
      <w:pPr>
        <w:spacing w:line="360" w:lineRule="auto"/>
        <w:ind w:firstLine="630" w:firstLineChars="3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w:t>
      </w:r>
      <w:r>
        <w:rPr>
          <w:rFonts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rPr>
        <w:t>如</w:t>
      </w:r>
      <w:r>
        <w:rPr>
          <w:rFonts w:asciiTheme="minorEastAsia" w:hAnsiTheme="minorEastAsia" w:eastAsiaTheme="minorEastAsia"/>
          <w:color w:val="auto"/>
          <w:sz w:val="21"/>
          <w:szCs w:val="21"/>
          <w:highlight w:val="none"/>
        </w:rPr>
        <w:t>有偏</w:t>
      </w:r>
      <w:r>
        <w:rPr>
          <w:rFonts w:asciiTheme="minorEastAsia" w:hAnsiTheme="minorEastAsia" w:eastAsiaTheme="minorEastAsia"/>
          <w:color w:val="auto"/>
          <w:sz w:val="21"/>
          <w:szCs w:val="21"/>
          <w:highlight w:val="none"/>
        </w:rPr>
        <w:t>差</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须在偏</w:t>
      </w:r>
      <w:r>
        <w:rPr>
          <w:rFonts w:asciiTheme="minorEastAsia" w:hAnsiTheme="minorEastAsia" w:eastAsiaTheme="minorEastAsia"/>
          <w:color w:val="auto"/>
          <w:sz w:val="21"/>
          <w:szCs w:val="21"/>
          <w:highlight w:val="none"/>
        </w:rPr>
        <w:t>差</w:t>
      </w:r>
      <w:r>
        <w:rPr>
          <w:rFonts w:asciiTheme="minorEastAsia" w:hAnsiTheme="minorEastAsia" w:eastAsiaTheme="minorEastAsia"/>
          <w:color w:val="auto"/>
          <w:sz w:val="21"/>
          <w:szCs w:val="21"/>
          <w:highlight w:val="none"/>
        </w:rPr>
        <w:t>说明中详细说明正</w:t>
      </w:r>
      <w:r>
        <w:rPr>
          <w:rFonts w:hint="eastAsia" w:asciiTheme="minorEastAsia" w:hAnsiTheme="minorEastAsia" w:eastAsiaTheme="minorEastAsia"/>
          <w:color w:val="auto"/>
          <w:sz w:val="21"/>
          <w:szCs w:val="21"/>
          <w:highlight w:val="none"/>
        </w:rPr>
        <w:t>/负偏</w:t>
      </w:r>
      <w:r>
        <w:rPr>
          <w:rFonts w:hint="eastAsia" w:asciiTheme="minorEastAsia" w:hAnsiTheme="minorEastAsia" w:eastAsiaTheme="minorEastAsia"/>
          <w:color w:val="auto"/>
          <w:sz w:val="21"/>
          <w:szCs w:val="21"/>
          <w:highlight w:val="none"/>
        </w:rPr>
        <w:t>差</w:t>
      </w:r>
      <w:r>
        <w:rPr>
          <w:rFonts w:hint="eastAsia" w:asciiTheme="minorEastAsia" w:hAnsiTheme="minorEastAsia" w:eastAsiaTheme="minorEastAsia"/>
          <w:color w:val="auto"/>
          <w:sz w:val="21"/>
          <w:szCs w:val="21"/>
          <w:highlight w:val="none"/>
        </w:rPr>
        <w:t>的内容。</w:t>
      </w:r>
    </w:p>
    <w:p>
      <w:pPr>
        <w:spacing w:line="360" w:lineRule="auto"/>
        <w:ind w:firstLine="630" w:firstLineChars="3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 w:val="21"/>
          <w:szCs w:val="21"/>
          <w:highlight w:val="none"/>
        </w:rPr>
        <w:t>3、上表带▲为重要技术参数。</w:t>
      </w:r>
    </w:p>
    <w:p>
      <w:pPr>
        <w:widowControl/>
        <w:snapToGrid w:val="0"/>
        <w:spacing w:line="360" w:lineRule="auto"/>
        <w:rPr>
          <w:rFonts w:ascii="宋体" w:hAnsi="宋体" w:cs="宋体"/>
          <w:color w:val="auto"/>
          <w:sz w:val="21"/>
          <w:szCs w:val="21"/>
          <w:highlight w:val="none"/>
        </w:rPr>
      </w:pPr>
    </w:p>
    <w:p>
      <w:pPr>
        <w:widowControl/>
        <w:snapToGrid w:val="0"/>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投标人（盖章）：</w:t>
      </w:r>
    </w:p>
    <w:p>
      <w:pPr>
        <w:spacing w:line="360" w:lineRule="auto"/>
        <w:rPr>
          <w:color w:val="auto"/>
          <w:sz w:val="21"/>
          <w:szCs w:val="21"/>
          <w:highlight w:val="none"/>
        </w:rPr>
      </w:pPr>
      <w:r>
        <w:rPr>
          <w:rFonts w:hint="eastAsia"/>
          <w:color w:val="auto"/>
          <w:sz w:val="21"/>
          <w:szCs w:val="21"/>
          <w:highlight w:val="none"/>
        </w:rPr>
        <w:t>法定代表人或其授权代理人（签名或盖章）：</w:t>
      </w:r>
    </w:p>
    <w:p>
      <w:pPr>
        <w:spacing w:line="360" w:lineRule="auto"/>
        <w:rPr>
          <w:color w:val="auto"/>
          <w:sz w:val="21"/>
          <w:szCs w:val="21"/>
          <w:highlight w:val="none"/>
        </w:rPr>
      </w:pPr>
      <w:r>
        <w:rPr>
          <w:rFonts w:hint="eastAsia"/>
          <w:color w:val="auto"/>
          <w:sz w:val="21"/>
          <w:szCs w:val="21"/>
          <w:highlight w:val="none"/>
        </w:rPr>
        <w:t>日   期：</w:t>
      </w:r>
    </w:p>
    <w:p>
      <w:pPr>
        <w:pStyle w:val="7"/>
        <w:overflowPunct w:val="0"/>
        <w:spacing w:line="443" w:lineRule="exact"/>
        <w:ind w:left="8" w:right="1034" w:hanging="8"/>
        <w:rPr>
          <w:rFonts w:ascii="宋体" w:hAnsi="宋体"/>
          <w:color w:val="auto"/>
          <w:sz w:val="21"/>
          <w:szCs w:val="21"/>
          <w:highlight w:val="none"/>
        </w:rPr>
        <w:sectPr>
          <w:pgSz w:w="16840" w:h="11907" w:orient="landscape"/>
          <w:pgMar w:top="1134" w:right="1361" w:bottom="1134" w:left="1361" w:header="0" w:footer="1225" w:gutter="0"/>
          <w:cols w:space="720" w:num="1"/>
        </w:sectPr>
      </w:pPr>
    </w:p>
    <w:p>
      <w:pPr>
        <w:pStyle w:val="7"/>
        <w:overflowPunct w:val="0"/>
        <w:spacing w:line="443" w:lineRule="exact"/>
        <w:ind w:left="8" w:right="1034" w:hanging="8"/>
        <w:rPr>
          <w:rFonts w:ascii="宋体" w:hAnsi="宋体" w:cs="宋体"/>
          <w:color w:val="auto"/>
          <w:szCs w:val="16"/>
          <w:highlight w:val="none"/>
        </w:rPr>
      </w:pPr>
      <w:bookmarkStart w:id="214" w:name="_Toc83210348"/>
      <w:r>
        <w:rPr>
          <w:rFonts w:hint="eastAsia" w:ascii="宋体" w:hAnsi="宋体" w:eastAsia="宋体" w:cs="宋体"/>
          <w:color w:val="auto"/>
          <w:sz w:val="24"/>
          <w:szCs w:val="16"/>
          <w:highlight w:val="none"/>
        </w:rPr>
        <w:t>附件</w:t>
      </w:r>
      <w:r>
        <w:rPr>
          <w:rFonts w:ascii="宋体" w:hAnsi="宋体" w:eastAsia="宋体" w:cs="宋体"/>
          <w:color w:val="auto"/>
          <w:sz w:val="24"/>
          <w:szCs w:val="16"/>
          <w:highlight w:val="none"/>
        </w:rPr>
        <w:t>10</w:t>
      </w:r>
      <w:r>
        <w:rPr>
          <w:rFonts w:hint="eastAsia" w:ascii="宋体" w:hAnsi="宋体" w:eastAsia="宋体" w:cs="宋体"/>
          <w:color w:val="auto"/>
          <w:sz w:val="24"/>
          <w:szCs w:val="16"/>
          <w:highlight w:val="none"/>
        </w:rPr>
        <w:t>：项目负责人及拟投入的电梯安装人员一览表</w:t>
      </w:r>
      <w:bookmarkEnd w:id="214"/>
    </w:p>
    <w:p>
      <w:pPr>
        <w:widowControl/>
        <w:ind w:firstLine="360"/>
        <w:jc w:val="center"/>
        <w:rPr>
          <w:rFonts w:ascii="Arial" w:hAnsi="Times New Roman"/>
          <w:b/>
          <w:color w:val="auto"/>
          <w:sz w:val="28"/>
          <w:szCs w:val="28"/>
          <w:highlight w:val="none"/>
        </w:rPr>
      </w:pPr>
    </w:p>
    <w:p>
      <w:pPr>
        <w:widowControl/>
        <w:ind w:firstLine="360"/>
        <w:jc w:val="center"/>
        <w:rPr>
          <w:rFonts w:ascii="Arial" w:hAnsi="Times New Roman"/>
          <w:b/>
          <w:color w:val="auto"/>
          <w:sz w:val="28"/>
          <w:szCs w:val="28"/>
          <w:highlight w:val="none"/>
        </w:rPr>
      </w:pPr>
      <w:r>
        <w:rPr>
          <w:rFonts w:hint="eastAsia" w:ascii="Arial" w:hAnsi="Times New Roman"/>
          <w:b/>
          <w:color w:val="auto"/>
          <w:sz w:val="28"/>
          <w:szCs w:val="28"/>
          <w:highlight w:val="none"/>
        </w:rPr>
        <w:t>项目负责人及拟投入的电梯安装人员一览表</w:t>
      </w:r>
    </w:p>
    <w:p>
      <w:pPr>
        <w:rPr>
          <w:rFonts w:ascii="宋体" w:hAnsi="Times New Roman"/>
          <w:color w:val="auto"/>
          <w:spacing w:val="20"/>
          <w:highlight w:val="none"/>
        </w:rPr>
      </w:pPr>
      <w:r>
        <w:rPr>
          <w:rFonts w:hint="eastAsia" w:ascii="宋体" w:hAnsi="Times New Roman"/>
          <w:color w:val="auto"/>
          <w:spacing w:val="20"/>
          <w:highlight w:val="none"/>
        </w:rPr>
        <w:t>项目名称：</w:t>
      </w:r>
    </w:p>
    <w:tbl>
      <w:tblPr>
        <w:tblStyle w:val="26"/>
        <w:tblW w:w="9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508"/>
        <w:gridCol w:w="816"/>
        <w:gridCol w:w="696"/>
        <w:gridCol w:w="1040"/>
        <w:gridCol w:w="996"/>
        <w:gridCol w:w="812"/>
        <w:gridCol w:w="156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91" w:type="dxa"/>
            <w:vAlign w:val="center"/>
          </w:tcPr>
          <w:p>
            <w:pPr>
              <w:jc w:val="center"/>
              <w:rPr>
                <w:rFonts w:ascii="宋体" w:hAnsi="Times New Roman"/>
                <w:b/>
                <w:color w:val="auto"/>
                <w:sz w:val="21"/>
                <w:szCs w:val="21"/>
                <w:highlight w:val="none"/>
              </w:rPr>
            </w:pPr>
            <w:r>
              <w:rPr>
                <w:rFonts w:hint="eastAsia" w:ascii="宋体" w:hAnsi="宋体"/>
                <w:b/>
                <w:color w:val="auto"/>
                <w:sz w:val="21"/>
                <w:szCs w:val="21"/>
                <w:highlight w:val="none"/>
              </w:rPr>
              <w:t>序号</w:t>
            </w:r>
          </w:p>
        </w:tc>
        <w:tc>
          <w:tcPr>
            <w:tcW w:w="1508" w:type="dxa"/>
            <w:vAlign w:val="center"/>
          </w:tcPr>
          <w:p>
            <w:pPr>
              <w:ind w:right="-170" w:rightChars="-71"/>
              <w:jc w:val="center"/>
              <w:rPr>
                <w:rFonts w:ascii="宋体" w:hAnsi="Times New Roman"/>
                <w:b/>
                <w:color w:val="auto"/>
                <w:sz w:val="21"/>
                <w:szCs w:val="21"/>
                <w:highlight w:val="none"/>
              </w:rPr>
            </w:pPr>
            <w:r>
              <w:rPr>
                <w:rFonts w:hint="eastAsia" w:ascii="宋体" w:hAnsi="Times New Roman"/>
                <w:b/>
                <w:color w:val="auto"/>
                <w:sz w:val="21"/>
                <w:szCs w:val="21"/>
                <w:highlight w:val="none"/>
              </w:rPr>
              <w:t>姓名</w:t>
            </w:r>
          </w:p>
        </w:tc>
        <w:tc>
          <w:tcPr>
            <w:tcW w:w="816" w:type="dxa"/>
            <w:vAlign w:val="center"/>
          </w:tcPr>
          <w:p>
            <w:pPr>
              <w:jc w:val="center"/>
              <w:rPr>
                <w:rFonts w:ascii="宋体" w:hAnsi="Times New Roman"/>
                <w:b/>
                <w:color w:val="auto"/>
                <w:sz w:val="21"/>
                <w:szCs w:val="21"/>
                <w:highlight w:val="none"/>
              </w:rPr>
            </w:pPr>
            <w:r>
              <w:rPr>
                <w:rFonts w:hint="eastAsia" w:ascii="宋体" w:hAnsi="Times New Roman"/>
                <w:b/>
                <w:color w:val="auto"/>
                <w:sz w:val="21"/>
                <w:szCs w:val="21"/>
                <w:highlight w:val="none"/>
              </w:rPr>
              <w:t>性别</w:t>
            </w:r>
          </w:p>
        </w:tc>
        <w:tc>
          <w:tcPr>
            <w:tcW w:w="696" w:type="dxa"/>
            <w:vAlign w:val="center"/>
          </w:tcPr>
          <w:p>
            <w:pPr>
              <w:jc w:val="center"/>
              <w:rPr>
                <w:rFonts w:ascii="宋体" w:hAnsi="Times New Roman"/>
                <w:b/>
                <w:color w:val="auto"/>
                <w:sz w:val="21"/>
                <w:szCs w:val="21"/>
                <w:highlight w:val="none"/>
              </w:rPr>
            </w:pPr>
            <w:r>
              <w:rPr>
                <w:rFonts w:hint="eastAsia" w:ascii="宋体" w:hAnsi="Times New Roman"/>
                <w:b/>
                <w:color w:val="auto"/>
                <w:sz w:val="21"/>
                <w:szCs w:val="21"/>
                <w:highlight w:val="none"/>
              </w:rPr>
              <w:t>年龄</w:t>
            </w:r>
          </w:p>
        </w:tc>
        <w:tc>
          <w:tcPr>
            <w:tcW w:w="1040" w:type="dxa"/>
            <w:vAlign w:val="center"/>
          </w:tcPr>
          <w:p>
            <w:pPr>
              <w:jc w:val="center"/>
              <w:rPr>
                <w:rFonts w:ascii="宋体" w:hAnsi="Times New Roman"/>
                <w:b/>
                <w:color w:val="auto"/>
                <w:sz w:val="21"/>
                <w:szCs w:val="21"/>
                <w:highlight w:val="none"/>
              </w:rPr>
            </w:pPr>
            <w:r>
              <w:rPr>
                <w:rFonts w:hint="eastAsia" w:ascii="宋体" w:hAnsi="Times New Roman"/>
                <w:b/>
                <w:color w:val="auto"/>
                <w:sz w:val="21"/>
                <w:szCs w:val="21"/>
                <w:highlight w:val="none"/>
              </w:rPr>
              <w:t>职位</w:t>
            </w:r>
          </w:p>
        </w:tc>
        <w:tc>
          <w:tcPr>
            <w:tcW w:w="996" w:type="dxa"/>
            <w:vAlign w:val="center"/>
          </w:tcPr>
          <w:p>
            <w:pPr>
              <w:jc w:val="center"/>
              <w:rPr>
                <w:rFonts w:ascii="宋体" w:hAnsi="Times New Roman"/>
                <w:b/>
                <w:color w:val="auto"/>
                <w:sz w:val="21"/>
                <w:szCs w:val="21"/>
                <w:highlight w:val="none"/>
              </w:rPr>
            </w:pPr>
            <w:r>
              <w:rPr>
                <w:rFonts w:hint="eastAsia" w:ascii="宋体" w:hAnsi="Times New Roman"/>
                <w:b/>
                <w:color w:val="auto"/>
                <w:sz w:val="21"/>
                <w:szCs w:val="21"/>
                <w:highlight w:val="none"/>
              </w:rPr>
              <w:t>专业</w:t>
            </w:r>
          </w:p>
        </w:tc>
        <w:tc>
          <w:tcPr>
            <w:tcW w:w="812" w:type="dxa"/>
            <w:vAlign w:val="center"/>
          </w:tcPr>
          <w:p>
            <w:pPr>
              <w:jc w:val="center"/>
              <w:rPr>
                <w:rFonts w:ascii="宋体" w:hAnsi="Times New Roman"/>
                <w:b/>
                <w:color w:val="auto"/>
                <w:sz w:val="21"/>
                <w:szCs w:val="21"/>
                <w:highlight w:val="none"/>
              </w:rPr>
            </w:pPr>
            <w:r>
              <w:rPr>
                <w:rFonts w:hint="eastAsia" w:ascii="宋体" w:hAnsi="Times New Roman"/>
                <w:b/>
                <w:color w:val="auto"/>
                <w:sz w:val="21"/>
                <w:szCs w:val="21"/>
                <w:highlight w:val="none"/>
              </w:rPr>
              <w:t>最高学历</w:t>
            </w:r>
          </w:p>
        </w:tc>
        <w:tc>
          <w:tcPr>
            <w:tcW w:w="1565" w:type="dxa"/>
            <w:vAlign w:val="center"/>
          </w:tcPr>
          <w:p>
            <w:pPr>
              <w:jc w:val="center"/>
              <w:rPr>
                <w:rFonts w:ascii="宋体" w:hAnsi="Times New Roman"/>
                <w:b/>
                <w:color w:val="auto"/>
                <w:sz w:val="21"/>
                <w:szCs w:val="21"/>
                <w:highlight w:val="none"/>
              </w:rPr>
            </w:pPr>
            <w:r>
              <w:rPr>
                <w:rFonts w:hint="eastAsia" w:ascii="宋体" w:hAnsi="Times New Roman"/>
                <w:b/>
                <w:color w:val="auto"/>
                <w:sz w:val="21"/>
                <w:szCs w:val="21"/>
                <w:highlight w:val="none"/>
              </w:rPr>
              <w:t>相关资格证</w:t>
            </w:r>
          </w:p>
        </w:tc>
        <w:tc>
          <w:tcPr>
            <w:tcW w:w="1418" w:type="dxa"/>
            <w:vAlign w:val="center"/>
          </w:tcPr>
          <w:p>
            <w:pPr>
              <w:rPr>
                <w:rFonts w:ascii="宋体" w:hAnsi="Times New Roman"/>
                <w:b/>
                <w:color w:val="auto"/>
                <w:sz w:val="21"/>
                <w:szCs w:val="21"/>
                <w:highlight w:val="none"/>
              </w:rPr>
            </w:pPr>
            <w:r>
              <w:rPr>
                <w:rFonts w:hint="eastAsia" w:ascii="宋体" w:hAnsi="Times New Roman"/>
                <w:b/>
                <w:color w:val="auto"/>
                <w:sz w:val="21"/>
                <w:szCs w:val="21"/>
                <w:highlight w:val="none"/>
              </w:rPr>
              <w:t>拟承担工作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91" w:type="dxa"/>
            <w:vAlign w:val="center"/>
          </w:tcPr>
          <w:p>
            <w:pPr>
              <w:jc w:val="center"/>
              <w:rPr>
                <w:rFonts w:ascii="宋体" w:hAnsi="Times New Roman"/>
                <w:color w:val="auto"/>
                <w:sz w:val="21"/>
                <w:szCs w:val="21"/>
                <w:highlight w:val="none"/>
              </w:rPr>
            </w:pPr>
            <w:r>
              <w:rPr>
                <w:rFonts w:ascii="宋体" w:hAnsi="宋体"/>
                <w:color w:val="auto"/>
                <w:sz w:val="21"/>
                <w:szCs w:val="21"/>
                <w:highlight w:val="none"/>
              </w:rPr>
              <w:t>1</w:t>
            </w:r>
          </w:p>
        </w:tc>
        <w:tc>
          <w:tcPr>
            <w:tcW w:w="1508" w:type="dxa"/>
            <w:vAlign w:val="center"/>
          </w:tcPr>
          <w:p>
            <w:pPr>
              <w:jc w:val="center"/>
              <w:rPr>
                <w:rFonts w:ascii="宋体" w:hAnsi="Times New Roman"/>
                <w:color w:val="auto"/>
                <w:sz w:val="21"/>
                <w:szCs w:val="21"/>
                <w:highlight w:val="none"/>
              </w:rPr>
            </w:pPr>
          </w:p>
        </w:tc>
        <w:tc>
          <w:tcPr>
            <w:tcW w:w="816" w:type="dxa"/>
            <w:vAlign w:val="center"/>
          </w:tcPr>
          <w:p>
            <w:pPr>
              <w:jc w:val="center"/>
              <w:rPr>
                <w:rFonts w:ascii="宋体" w:hAnsi="Times New Roman"/>
                <w:color w:val="auto"/>
                <w:sz w:val="21"/>
                <w:szCs w:val="21"/>
                <w:highlight w:val="none"/>
              </w:rPr>
            </w:pPr>
          </w:p>
        </w:tc>
        <w:tc>
          <w:tcPr>
            <w:tcW w:w="696" w:type="dxa"/>
            <w:vAlign w:val="center"/>
          </w:tcPr>
          <w:p>
            <w:pPr>
              <w:keepNext/>
              <w:keepLines/>
              <w:jc w:val="center"/>
              <w:outlineLvl w:val="0"/>
              <w:rPr>
                <w:rFonts w:ascii="宋体" w:hAnsi="Times New Roman"/>
                <w:color w:val="auto"/>
                <w:sz w:val="21"/>
                <w:szCs w:val="21"/>
                <w:highlight w:val="none"/>
              </w:rPr>
            </w:pPr>
          </w:p>
        </w:tc>
        <w:tc>
          <w:tcPr>
            <w:tcW w:w="1040" w:type="dxa"/>
            <w:vAlign w:val="center"/>
          </w:tcPr>
          <w:p>
            <w:pPr>
              <w:keepNext/>
              <w:keepLines/>
              <w:jc w:val="center"/>
              <w:outlineLvl w:val="0"/>
              <w:rPr>
                <w:rFonts w:ascii="宋体" w:hAnsi="Times New Roman"/>
                <w:color w:val="auto"/>
                <w:sz w:val="21"/>
                <w:szCs w:val="21"/>
                <w:highlight w:val="none"/>
              </w:rPr>
            </w:pPr>
          </w:p>
        </w:tc>
        <w:tc>
          <w:tcPr>
            <w:tcW w:w="996" w:type="dxa"/>
            <w:vAlign w:val="center"/>
          </w:tcPr>
          <w:p>
            <w:pPr>
              <w:keepNext/>
              <w:keepLines/>
              <w:jc w:val="center"/>
              <w:outlineLvl w:val="0"/>
              <w:rPr>
                <w:rFonts w:ascii="宋体" w:hAnsi="Times New Roman"/>
                <w:color w:val="auto"/>
                <w:sz w:val="21"/>
                <w:szCs w:val="21"/>
                <w:highlight w:val="none"/>
              </w:rPr>
            </w:pPr>
          </w:p>
        </w:tc>
        <w:tc>
          <w:tcPr>
            <w:tcW w:w="812" w:type="dxa"/>
            <w:vAlign w:val="center"/>
          </w:tcPr>
          <w:p>
            <w:pPr>
              <w:keepNext/>
              <w:keepLines/>
              <w:jc w:val="center"/>
              <w:outlineLvl w:val="0"/>
              <w:rPr>
                <w:rFonts w:ascii="宋体" w:hAnsi="Times New Roman"/>
                <w:color w:val="auto"/>
                <w:sz w:val="21"/>
                <w:szCs w:val="21"/>
                <w:highlight w:val="none"/>
              </w:rPr>
            </w:pPr>
          </w:p>
        </w:tc>
        <w:tc>
          <w:tcPr>
            <w:tcW w:w="1565" w:type="dxa"/>
            <w:vAlign w:val="center"/>
          </w:tcPr>
          <w:p>
            <w:pPr>
              <w:keepNext/>
              <w:keepLines/>
              <w:jc w:val="center"/>
              <w:outlineLvl w:val="0"/>
              <w:rPr>
                <w:rFonts w:ascii="宋体" w:hAnsi="Times New Roman"/>
                <w:color w:val="auto"/>
                <w:sz w:val="21"/>
                <w:szCs w:val="21"/>
                <w:highlight w:val="none"/>
              </w:rPr>
            </w:pPr>
          </w:p>
        </w:tc>
        <w:tc>
          <w:tcPr>
            <w:tcW w:w="1418" w:type="dxa"/>
            <w:vAlign w:val="center"/>
          </w:tcPr>
          <w:p>
            <w:pPr>
              <w:keepNext/>
              <w:keepLines/>
              <w:jc w:val="center"/>
              <w:outlineLvl w:val="0"/>
              <w:rPr>
                <w:rFonts w:ascii="宋体" w:hAnsi="Times New Roman"/>
                <w:color w:val="auto"/>
                <w:sz w:val="21"/>
                <w:szCs w:val="21"/>
                <w:highlight w:val="none"/>
              </w:rPr>
            </w:pPr>
            <w:r>
              <w:rPr>
                <w:rFonts w:hint="eastAsia" w:ascii="宋体" w:hAnsi="Times New Roman"/>
                <w:color w:val="auto"/>
                <w:sz w:val="21"/>
                <w:szCs w:val="21"/>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91" w:type="dxa"/>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508" w:type="dxa"/>
            <w:vAlign w:val="center"/>
          </w:tcPr>
          <w:p>
            <w:pPr>
              <w:jc w:val="center"/>
              <w:rPr>
                <w:rFonts w:ascii="宋体" w:hAnsi="Times New Roman"/>
                <w:color w:val="auto"/>
                <w:sz w:val="21"/>
                <w:szCs w:val="21"/>
                <w:highlight w:val="none"/>
              </w:rPr>
            </w:pPr>
          </w:p>
        </w:tc>
        <w:tc>
          <w:tcPr>
            <w:tcW w:w="816" w:type="dxa"/>
            <w:vAlign w:val="center"/>
          </w:tcPr>
          <w:p>
            <w:pPr>
              <w:jc w:val="center"/>
              <w:rPr>
                <w:rFonts w:ascii="宋体" w:hAnsi="Times New Roman"/>
                <w:color w:val="auto"/>
                <w:sz w:val="21"/>
                <w:szCs w:val="21"/>
                <w:highlight w:val="none"/>
              </w:rPr>
            </w:pPr>
          </w:p>
        </w:tc>
        <w:tc>
          <w:tcPr>
            <w:tcW w:w="696" w:type="dxa"/>
            <w:vAlign w:val="center"/>
          </w:tcPr>
          <w:p>
            <w:pPr>
              <w:keepNext/>
              <w:keepLines/>
              <w:jc w:val="center"/>
              <w:outlineLvl w:val="0"/>
              <w:rPr>
                <w:rFonts w:ascii="宋体" w:hAnsi="Times New Roman"/>
                <w:color w:val="auto"/>
                <w:sz w:val="21"/>
                <w:szCs w:val="21"/>
                <w:highlight w:val="none"/>
              </w:rPr>
            </w:pPr>
          </w:p>
        </w:tc>
        <w:tc>
          <w:tcPr>
            <w:tcW w:w="1040" w:type="dxa"/>
            <w:vAlign w:val="center"/>
          </w:tcPr>
          <w:p>
            <w:pPr>
              <w:keepNext/>
              <w:keepLines/>
              <w:jc w:val="center"/>
              <w:outlineLvl w:val="0"/>
              <w:rPr>
                <w:rFonts w:ascii="宋体" w:hAnsi="Times New Roman"/>
                <w:color w:val="auto"/>
                <w:sz w:val="21"/>
                <w:szCs w:val="21"/>
                <w:highlight w:val="none"/>
              </w:rPr>
            </w:pPr>
          </w:p>
        </w:tc>
        <w:tc>
          <w:tcPr>
            <w:tcW w:w="996" w:type="dxa"/>
            <w:vAlign w:val="center"/>
          </w:tcPr>
          <w:p>
            <w:pPr>
              <w:keepNext/>
              <w:keepLines/>
              <w:jc w:val="center"/>
              <w:outlineLvl w:val="0"/>
              <w:rPr>
                <w:rFonts w:ascii="宋体" w:hAnsi="Times New Roman"/>
                <w:color w:val="auto"/>
                <w:sz w:val="21"/>
                <w:szCs w:val="21"/>
                <w:highlight w:val="none"/>
              </w:rPr>
            </w:pPr>
          </w:p>
        </w:tc>
        <w:tc>
          <w:tcPr>
            <w:tcW w:w="812" w:type="dxa"/>
            <w:vAlign w:val="center"/>
          </w:tcPr>
          <w:p>
            <w:pPr>
              <w:keepNext/>
              <w:keepLines/>
              <w:jc w:val="center"/>
              <w:outlineLvl w:val="0"/>
              <w:rPr>
                <w:rFonts w:ascii="宋体" w:hAnsi="Times New Roman"/>
                <w:color w:val="auto"/>
                <w:sz w:val="21"/>
                <w:szCs w:val="21"/>
                <w:highlight w:val="none"/>
              </w:rPr>
            </w:pPr>
          </w:p>
        </w:tc>
        <w:tc>
          <w:tcPr>
            <w:tcW w:w="1565" w:type="dxa"/>
            <w:vAlign w:val="center"/>
          </w:tcPr>
          <w:p>
            <w:pPr>
              <w:keepNext/>
              <w:keepLines/>
              <w:jc w:val="center"/>
              <w:outlineLvl w:val="0"/>
              <w:rPr>
                <w:rFonts w:ascii="宋体" w:hAnsi="Times New Roman"/>
                <w:color w:val="auto"/>
                <w:sz w:val="21"/>
                <w:szCs w:val="21"/>
                <w:highlight w:val="none"/>
              </w:rPr>
            </w:pPr>
          </w:p>
        </w:tc>
        <w:tc>
          <w:tcPr>
            <w:tcW w:w="1418" w:type="dxa"/>
            <w:vAlign w:val="center"/>
          </w:tcPr>
          <w:p>
            <w:pPr>
              <w:keepNext/>
              <w:keepLines/>
              <w:jc w:val="center"/>
              <w:outlineLvl w:val="0"/>
              <w:rPr>
                <w:rFonts w:ascii="宋体" w:hAnsi="Times New Roman"/>
                <w:color w:val="auto"/>
                <w:sz w:val="21"/>
                <w:szCs w:val="21"/>
                <w:highlight w:val="none"/>
              </w:rPr>
            </w:pPr>
            <w:r>
              <w:rPr>
                <w:rFonts w:ascii="宋体" w:hAnsi="Times New Roman"/>
                <w:color w:val="auto"/>
                <w:sz w:val="21"/>
                <w:szCs w:val="21"/>
                <w:highlight w:val="none"/>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91" w:type="dxa"/>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508" w:type="dxa"/>
            <w:vAlign w:val="center"/>
          </w:tcPr>
          <w:p>
            <w:pPr>
              <w:jc w:val="center"/>
              <w:rPr>
                <w:rFonts w:ascii="宋体" w:hAnsi="Times New Roman"/>
                <w:color w:val="auto"/>
                <w:sz w:val="21"/>
                <w:szCs w:val="21"/>
                <w:highlight w:val="none"/>
              </w:rPr>
            </w:pPr>
          </w:p>
        </w:tc>
        <w:tc>
          <w:tcPr>
            <w:tcW w:w="816" w:type="dxa"/>
            <w:vAlign w:val="center"/>
          </w:tcPr>
          <w:p>
            <w:pPr>
              <w:jc w:val="center"/>
              <w:rPr>
                <w:rFonts w:ascii="宋体" w:hAnsi="Times New Roman"/>
                <w:color w:val="auto"/>
                <w:sz w:val="21"/>
                <w:szCs w:val="21"/>
                <w:highlight w:val="none"/>
              </w:rPr>
            </w:pPr>
          </w:p>
        </w:tc>
        <w:tc>
          <w:tcPr>
            <w:tcW w:w="696" w:type="dxa"/>
            <w:vAlign w:val="center"/>
          </w:tcPr>
          <w:p>
            <w:pPr>
              <w:keepNext/>
              <w:keepLines/>
              <w:jc w:val="center"/>
              <w:outlineLvl w:val="0"/>
              <w:rPr>
                <w:rFonts w:ascii="宋体" w:hAnsi="Times New Roman"/>
                <w:color w:val="auto"/>
                <w:sz w:val="21"/>
                <w:szCs w:val="21"/>
                <w:highlight w:val="none"/>
              </w:rPr>
            </w:pPr>
          </w:p>
        </w:tc>
        <w:tc>
          <w:tcPr>
            <w:tcW w:w="1040" w:type="dxa"/>
            <w:vAlign w:val="center"/>
          </w:tcPr>
          <w:p>
            <w:pPr>
              <w:keepNext/>
              <w:keepLines/>
              <w:jc w:val="center"/>
              <w:outlineLvl w:val="0"/>
              <w:rPr>
                <w:rFonts w:ascii="宋体" w:hAnsi="Times New Roman"/>
                <w:color w:val="auto"/>
                <w:sz w:val="21"/>
                <w:szCs w:val="21"/>
                <w:highlight w:val="none"/>
              </w:rPr>
            </w:pPr>
          </w:p>
        </w:tc>
        <w:tc>
          <w:tcPr>
            <w:tcW w:w="996" w:type="dxa"/>
            <w:vAlign w:val="center"/>
          </w:tcPr>
          <w:p>
            <w:pPr>
              <w:keepNext/>
              <w:keepLines/>
              <w:jc w:val="center"/>
              <w:outlineLvl w:val="0"/>
              <w:rPr>
                <w:rFonts w:ascii="宋体" w:hAnsi="Times New Roman"/>
                <w:color w:val="auto"/>
                <w:sz w:val="21"/>
                <w:szCs w:val="21"/>
                <w:highlight w:val="none"/>
              </w:rPr>
            </w:pPr>
          </w:p>
        </w:tc>
        <w:tc>
          <w:tcPr>
            <w:tcW w:w="812" w:type="dxa"/>
            <w:vAlign w:val="center"/>
          </w:tcPr>
          <w:p>
            <w:pPr>
              <w:keepNext/>
              <w:keepLines/>
              <w:jc w:val="center"/>
              <w:outlineLvl w:val="0"/>
              <w:rPr>
                <w:rFonts w:ascii="宋体" w:hAnsi="Times New Roman"/>
                <w:color w:val="auto"/>
                <w:sz w:val="21"/>
                <w:szCs w:val="21"/>
                <w:highlight w:val="none"/>
              </w:rPr>
            </w:pPr>
          </w:p>
        </w:tc>
        <w:tc>
          <w:tcPr>
            <w:tcW w:w="1565" w:type="dxa"/>
            <w:vAlign w:val="center"/>
          </w:tcPr>
          <w:p>
            <w:pPr>
              <w:keepNext/>
              <w:keepLines/>
              <w:jc w:val="center"/>
              <w:outlineLvl w:val="0"/>
              <w:rPr>
                <w:rFonts w:ascii="宋体" w:hAnsi="Times New Roman"/>
                <w:color w:val="auto"/>
                <w:sz w:val="21"/>
                <w:szCs w:val="21"/>
                <w:highlight w:val="none"/>
              </w:rPr>
            </w:pPr>
          </w:p>
        </w:tc>
        <w:tc>
          <w:tcPr>
            <w:tcW w:w="1418" w:type="dxa"/>
            <w:vAlign w:val="center"/>
          </w:tcPr>
          <w:p>
            <w:pPr>
              <w:keepNext/>
              <w:keepLines/>
              <w:jc w:val="center"/>
              <w:outlineLvl w:val="0"/>
              <w:rPr>
                <w:rFonts w:ascii="宋体" w:hAnsi="Times New Roman"/>
                <w:color w:val="auto"/>
                <w:sz w:val="21"/>
                <w:szCs w:val="21"/>
                <w:highlight w:val="none"/>
              </w:rPr>
            </w:pPr>
            <w:r>
              <w:rPr>
                <w:rFonts w:ascii="宋体" w:hAnsi="Times New Roman"/>
                <w:color w:val="auto"/>
                <w:sz w:val="21"/>
                <w:szCs w:val="21"/>
                <w:highlight w:val="none"/>
              </w:rPr>
              <w:t>主要安装人员</w:t>
            </w:r>
            <w:r>
              <w:rPr>
                <w:rFonts w:hint="eastAsia" w:ascii="宋体" w:hAnsi="Times New Roman"/>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91" w:type="dxa"/>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508" w:type="dxa"/>
            <w:vAlign w:val="center"/>
          </w:tcPr>
          <w:p>
            <w:pPr>
              <w:jc w:val="center"/>
              <w:rPr>
                <w:rFonts w:ascii="宋体" w:hAnsi="Times New Roman"/>
                <w:color w:val="auto"/>
                <w:sz w:val="21"/>
                <w:szCs w:val="21"/>
                <w:highlight w:val="none"/>
              </w:rPr>
            </w:pPr>
          </w:p>
        </w:tc>
        <w:tc>
          <w:tcPr>
            <w:tcW w:w="816" w:type="dxa"/>
            <w:vAlign w:val="center"/>
          </w:tcPr>
          <w:p>
            <w:pPr>
              <w:jc w:val="center"/>
              <w:rPr>
                <w:rFonts w:ascii="宋体" w:hAnsi="Times New Roman"/>
                <w:color w:val="auto"/>
                <w:sz w:val="21"/>
                <w:szCs w:val="21"/>
                <w:highlight w:val="none"/>
              </w:rPr>
            </w:pPr>
          </w:p>
        </w:tc>
        <w:tc>
          <w:tcPr>
            <w:tcW w:w="696" w:type="dxa"/>
            <w:vAlign w:val="center"/>
          </w:tcPr>
          <w:p>
            <w:pPr>
              <w:keepNext/>
              <w:keepLines/>
              <w:jc w:val="center"/>
              <w:outlineLvl w:val="0"/>
              <w:rPr>
                <w:rFonts w:ascii="宋体" w:hAnsi="Times New Roman"/>
                <w:color w:val="auto"/>
                <w:sz w:val="21"/>
                <w:szCs w:val="21"/>
                <w:highlight w:val="none"/>
              </w:rPr>
            </w:pPr>
          </w:p>
        </w:tc>
        <w:tc>
          <w:tcPr>
            <w:tcW w:w="1040" w:type="dxa"/>
            <w:vAlign w:val="center"/>
          </w:tcPr>
          <w:p>
            <w:pPr>
              <w:keepNext/>
              <w:keepLines/>
              <w:jc w:val="center"/>
              <w:outlineLvl w:val="0"/>
              <w:rPr>
                <w:rFonts w:ascii="宋体" w:hAnsi="Times New Roman"/>
                <w:color w:val="auto"/>
                <w:sz w:val="21"/>
                <w:szCs w:val="21"/>
                <w:highlight w:val="none"/>
              </w:rPr>
            </w:pPr>
          </w:p>
        </w:tc>
        <w:tc>
          <w:tcPr>
            <w:tcW w:w="996" w:type="dxa"/>
            <w:vAlign w:val="center"/>
          </w:tcPr>
          <w:p>
            <w:pPr>
              <w:keepNext/>
              <w:keepLines/>
              <w:jc w:val="center"/>
              <w:outlineLvl w:val="0"/>
              <w:rPr>
                <w:rFonts w:ascii="宋体" w:hAnsi="Times New Roman"/>
                <w:color w:val="auto"/>
                <w:sz w:val="21"/>
                <w:szCs w:val="21"/>
                <w:highlight w:val="none"/>
              </w:rPr>
            </w:pPr>
          </w:p>
        </w:tc>
        <w:tc>
          <w:tcPr>
            <w:tcW w:w="812" w:type="dxa"/>
            <w:vAlign w:val="center"/>
          </w:tcPr>
          <w:p>
            <w:pPr>
              <w:keepNext/>
              <w:keepLines/>
              <w:jc w:val="center"/>
              <w:outlineLvl w:val="0"/>
              <w:rPr>
                <w:rFonts w:ascii="宋体" w:hAnsi="Times New Roman"/>
                <w:color w:val="auto"/>
                <w:sz w:val="21"/>
                <w:szCs w:val="21"/>
                <w:highlight w:val="none"/>
              </w:rPr>
            </w:pPr>
          </w:p>
        </w:tc>
        <w:tc>
          <w:tcPr>
            <w:tcW w:w="1565" w:type="dxa"/>
            <w:vAlign w:val="center"/>
          </w:tcPr>
          <w:p>
            <w:pPr>
              <w:keepNext/>
              <w:keepLines/>
              <w:jc w:val="center"/>
              <w:outlineLvl w:val="0"/>
              <w:rPr>
                <w:rFonts w:ascii="宋体" w:hAnsi="Times New Roman"/>
                <w:color w:val="auto"/>
                <w:sz w:val="21"/>
                <w:szCs w:val="21"/>
                <w:highlight w:val="none"/>
              </w:rPr>
            </w:pPr>
          </w:p>
        </w:tc>
        <w:tc>
          <w:tcPr>
            <w:tcW w:w="1418" w:type="dxa"/>
            <w:vAlign w:val="center"/>
          </w:tcPr>
          <w:p>
            <w:pPr>
              <w:keepNext/>
              <w:keepLines/>
              <w:jc w:val="center"/>
              <w:outlineLvl w:val="0"/>
              <w:rPr>
                <w:rFonts w:ascii="宋体" w:hAnsi="Times New Roman"/>
                <w:color w:val="auto"/>
                <w:sz w:val="21"/>
                <w:szCs w:val="21"/>
                <w:highlight w:val="none"/>
              </w:rPr>
            </w:pPr>
            <w:r>
              <w:rPr>
                <w:rFonts w:ascii="宋体" w:hAnsi="Times New Roman"/>
                <w:color w:val="auto"/>
                <w:sz w:val="21"/>
                <w:szCs w:val="21"/>
                <w:highlight w:val="none"/>
              </w:rPr>
              <w:t>主要安装人员</w:t>
            </w:r>
            <w:r>
              <w:rPr>
                <w:rFonts w:hint="eastAsia" w:ascii="宋体" w:hAnsi="Times New Roman"/>
                <w:color w:val="auto"/>
                <w:sz w:val="21"/>
                <w:szCs w:val="21"/>
                <w:highlight w:val="none"/>
              </w:rPr>
              <w:t>2</w:t>
            </w:r>
            <w:r>
              <w:rPr>
                <w:rFonts w:ascii="宋体" w:hAnsi="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91" w:type="dxa"/>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5</w:t>
            </w:r>
          </w:p>
        </w:tc>
        <w:tc>
          <w:tcPr>
            <w:tcW w:w="1508" w:type="dxa"/>
            <w:vAlign w:val="center"/>
          </w:tcPr>
          <w:p>
            <w:pPr>
              <w:jc w:val="center"/>
              <w:rPr>
                <w:rFonts w:ascii="宋体" w:hAnsi="Times New Roman"/>
                <w:color w:val="auto"/>
                <w:sz w:val="21"/>
                <w:szCs w:val="21"/>
                <w:highlight w:val="none"/>
              </w:rPr>
            </w:pPr>
          </w:p>
        </w:tc>
        <w:tc>
          <w:tcPr>
            <w:tcW w:w="816" w:type="dxa"/>
            <w:vAlign w:val="center"/>
          </w:tcPr>
          <w:p>
            <w:pPr>
              <w:jc w:val="center"/>
              <w:rPr>
                <w:rFonts w:ascii="宋体" w:hAnsi="Times New Roman"/>
                <w:color w:val="auto"/>
                <w:sz w:val="21"/>
                <w:szCs w:val="21"/>
                <w:highlight w:val="none"/>
              </w:rPr>
            </w:pPr>
          </w:p>
        </w:tc>
        <w:tc>
          <w:tcPr>
            <w:tcW w:w="696" w:type="dxa"/>
            <w:vAlign w:val="center"/>
          </w:tcPr>
          <w:p>
            <w:pPr>
              <w:keepNext/>
              <w:keepLines/>
              <w:jc w:val="center"/>
              <w:outlineLvl w:val="0"/>
              <w:rPr>
                <w:rFonts w:ascii="宋体" w:hAnsi="Times New Roman"/>
                <w:color w:val="auto"/>
                <w:sz w:val="21"/>
                <w:szCs w:val="21"/>
                <w:highlight w:val="none"/>
              </w:rPr>
            </w:pPr>
          </w:p>
        </w:tc>
        <w:tc>
          <w:tcPr>
            <w:tcW w:w="1040" w:type="dxa"/>
            <w:vAlign w:val="center"/>
          </w:tcPr>
          <w:p>
            <w:pPr>
              <w:keepNext/>
              <w:keepLines/>
              <w:jc w:val="center"/>
              <w:outlineLvl w:val="0"/>
              <w:rPr>
                <w:rFonts w:ascii="宋体" w:hAnsi="Times New Roman"/>
                <w:color w:val="auto"/>
                <w:sz w:val="21"/>
                <w:szCs w:val="21"/>
                <w:highlight w:val="none"/>
              </w:rPr>
            </w:pPr>
          </w:p>
        </w:tc>
        <w:tc>
          <w:tcPr>
            <w:tcW w:w="996" w:type="dxa"/>
            <w:vAlign w:val="center"/>
          </w:tcPr>
          <w:p>
            <w:pPr>
              <w:keepNext/>
              <w:keepLines/>
              <w:jc w:val="center"/>
              <w:outlineLvl w:val="0"/>
              <w:rPr>
                <w:rFonts w:ascii="宋体" w:hAnsi="Times New Roman"/>
                <w:color w:val="auto"/>
                <w:sz w:val="21"/>
                <w:szCs w:val="21"/>
                <w:highlight w:val="none"/>
              </w:rPr>
            </w:pPr>
          </w:p>
        </w:tc>
        <w:tc>
          <w:tcPr>
            <w:tcW w:w="812" w:type="dxa"/>
            <w:vAlign w:val="center"/>
          </w:tcPr>
          <w:p>
            <w:pPr>
              <w:keepNext/>
              <w:keepLines/>
              <w:jc w:val="center"/>
              <w:outlineLvl w:val="0"/>
              <w:rPr>
                <w:rFonts w:ascii="宋体" w:hAnsi="Times New Roman"/>
                <w:color w:val="auto"/>
                <w:sz w:val="21"/>
                <w:szCs w:val="21"/>
                <w:highlight w:val="none"/>
              </w:rPr>
            </w:pPr>
          </w:p>
        </w:tc>
        <w:tc>
          <w:tcPr>
            <w:tcW w:w="1565" w:type="dxa"/>
            <w:vAlign w:val="center"/>
          </w:tcPr>
          <w:p>
            <w:pPr>
              <w:keepNext/>
              <w:keepLines/>
              <w:jc w:val="center"/>
              <w:outlineLvl w:val="0"/>
              <w:rPr>
                <w:rFonts w:ascii="宋体" w:hAnsi="Times New Roman"/>
                <w:color w:val="auto"/>
                <w:sz w:val="21"/>
                <w:szCs w:val="21"/>
                <w:highlight w:val="none"/>
              </w:rPr>
            </w:pPr>
          </w:p>
        </w:tc>
        <w:tc>
          <w:tcPr>
            <w:tcW w:w="1418" w:type="dxa"/>
            <w:vAlign w:val="center"/>
          </w:tcPr>
          <w:p>
            <w:pPr>
              <w:keepNext/>
              <w:keepLines/>
              <w:jc w:val="center"/>
              <w:outlineLvl w:val="0"/>
              <w:rPr>
                <w:rFonts w:ascii="宋体" w:hAnsi="Times New Roman"/>
                <w:color w:val="auto"/>
                <w:sz w:val="21"/>
                <w:szCs w:val="21"/>
                <w:highlight w:val="none"/>
              </w:rPr>
            </w:pPr>
            <w:r>
              <w:rPr>
                <w:rFonts w:ascii="宋体" w:hAnsi="Times New Roman"/>
                <w:color w:val="auto"/>
                <w:sz w:val="21"/>
                <w:szCs w:val="21"/>
                <w:highlight w:val="none"/>
              </w:rPr>
              <w:t>主要安装人员…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91" w:type="dxa"/>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6</w:t>
            </w:r>
          </w:p>
        </w:tc>
        <w:tc>
          <w:tcPr>
            <w:tcW w:w="1508" w:type="dxa"/>
            <w:vAlign w:val="center"/>
          </w:tcPr>
          <w:p>
            <w:pPr>
              <w:jc w:val="center"/>
              <w:rPr>
                <w:rFonts w:ascii="宋体" w:hAnsi="Times New Roman"/>
                <w:color w:val="auto"/>
                <w:sz w:val="21"/>
                <w:szCs w:val="21"/>
                <w:highlight w:val="none"/>
              </w:rPr>
            </w:pPr>
          </w:p>
        </w:tc>
        <w:tc>
          <w:tcPr>
            <w:tcW w:w="816" w:type="dxa"/>
            <w:vAlign w:val="center"/>
          </w:tcPr>
          <w:p>
            <w:pPr>
              <w:jc w:val="center"/>
              <w:rPr>
                <w:rFonts w:ascii="宋体" w:hAnsi="Times New Roman"/>
                <w:color w:val="auto"/>
                <w:sz w:val="21"/>
                <w:szCs w:val="21"/>
                <w:highlight w:val="none"/>
              </w:rPr>
            </w:pPr>
          </w:p>
        </w:tc>
        <w:tc>
          <w:tcPr>
            <w:tcW w:w="696" w:type="dxa"/>
            <w:vAlign w:val="center"/>
          </w:tcPr>
          <w:p>
            <w:pPr>
              <w:keepNext/>
              <w:keepLines/>
              <w:jc w:val="center"/>
              <w:outlineLvl w:val="0"/>
              <w:rPr>
                <w:rFonts w:ascii="宋体" w:hAnsi="Times New Roman"/>
                <w:color w:val="auto"/>
                <w:sz w:val="21"/>
                <w:szCs w:val="21"/>
                <w:highlight w:val="none"/>
              </w:rPr>
            </w:pPr>
          </w:p>
        </w:tc>
        <w:tc>
          <w:tcPr>
            <w:tcW w:w="1040" w:type="dxa"/>
            <w:vAlign w:val="center"/>
          </w:tcPr>
          <w:p>
            <w:pPr>
              <w:keepNext/>
              <w:keepLines/>
              <w:jc w:val="center"/>
              <w:outlineLvl w:val="0"/>
              <w:rPr>
                <w:rFonts w:ascii="宋体" w:hAnsi="Times New Roman"/>
                <w:color w:val="auto"/>
                <w:sz w:val="21"/>
                <w:szCs w:val="21"/>
                <w:highlight w:val="none"/>
              </w:rPr>
            </w:pPr>
          </w:p>
        </w:tc>
        <w:tc>
          <w:tcPr>
            <w:tcW w:w="996" w:type="dxa"/>
            <w:vAlign w:val="center"/>
          </w:tcPr>
          <w:p>
            <w:pPr>
              <w:keepNext/>
              <w:keepLines/>
              <w:jc w:val="center"/>
              <w:outlineLvl w:val="0"/>
              <w:rPr>
                <w:rFonts w:ascii="宋体" w:hAnsi="Times New Roman"/>
                <w:color w:val="auto"/>
                <w:sz w:val="21"/>
                <w:szCs w:val="21"/>
                <w:highlight w:val="none"/>
              </w:rPr>
            </w:pPr>
          </w:p>
        </w:tc>
        <w:tc>
          <w:tcPr>
            <w:tcW w:w="812" w:type="dxa"/>
            <w:vAlign w:val="center"/>
          </w:tcPr>
          <w:p>
            <w:pPr>
              <w:keepNext/>
              <w:keepLines/>
              <w:jc w:val="center"/>
              <w:outlineLvl w:val="0"/>
              <w:rPr>
                <w:rFonts w:ascii="宋体" w:hAnsi="Times New Roman"/>
                <w:color w:val="auto"/>
                <w:sz w:val="21"/>
                <w:szCs w:val="21"/>
                <w:highlight w:val="none"/>
              </w:rPr>
            </w:pPr>
          </w:p>
        </w:tc>
        <w:tc>
          <w:tcPr>
            <w:tcW w:w="1565" w:type="dxa"/>
            <w:vAlign w:val="center"/>
          </w:tcPr>
          <w:p>
            <w:pPr>
              <w:keepNext/>
              <w:keepLines/>
              <w:jc w:val="center"/>
              <w:outlineLvl w:val="0"/>
              <w:rPr>
                <w:rFonts w:ascii="宋体" w:hAnsi="Times New Roman"/>
                <w:color w:val="auto"/>
                <w:sz w:val="21"/>
                <w:szCs w:val="21"/>
                <w:highlight w:val="none"/>
              </w:rPr>
            </w:pPr>
          </w:p>
        </w:tc>
        <w:tc>
          <w:tcPr>
            <w:tcW w:w="1418" w:type="dxa"/>
            <w:vAlign w:val="center"/>
          </w:tcPr>
          <w:p>
            <w:pPr>
              <w:keepNext/>
              <w:keepLines/>
              <w:jc w:val="center"/>
              <w:outlineLvl w:val="0"/>
              <w:rPr>
                <w:rFonts w:ascii="宋体" w:hAnsi="Times New Roman"/>
                <w:color w:val="auto"/>
                <w:sz w:val="21"/>
                <w:szCs w:val="21"/>
                <w:highlight w:val="none"/>
              </w:rPr>
            </w:pPr>
            <w:r>
              <w:rPr>
                <w:rFonts w:ascii="宋体" w:hAnsi="Times New Roman"/>
                <w:color w:val="auto"/>
                <w:sz w:val="21"/>
                <w:szCs w:val="21"/>
                <w:highlight w:val="none"/>
              </w:rPr>
              <w:t>调试人员</w:t>
            </w:r>
            <w:r>
              <w:rPr>
                <w:rFonts w:hint="eastAsia" w:ascii="宋体" w:hAnsi="Times New Roman"/>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91" w:type="dxa"/>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7</w:t>
            </w:r>
          </w:p>
        </w:tc>
        <w:tc>
          <w:tcPr>
            <w:tcW w:w="1508" w:type="dxa"/>
            <w:vAlign w:val="center"/>
          </w:tcPr>
          <w:p>
            <w:pPr>
              <w:jc w:val="center"/>
              <w:rPr>
                <w:rFonts w:ascii="宋体" w:hAnsi="Times New Roman"/>
                <w:color w:val="auto"/>
                <w:sz w:val="21"/>
                <w:szCs w:val="21"/>
                <w:highlight w:val="none"/>
              </w:rPr>
            </w:pPr>
          </w:p>
        </w:tc>
        <w:tc>
          <w:tcPr>
            <w:tcW w:w="816" w:type="dxa"/>
            <w:vAlign w:val="center"/>
          </w:tcPr>
          <w:p>
            <w:pPr>
              <w:jc w:val="center"/>
              <w:rPr>
                <w:rFonts w:ascii="宋体" w:hAnsi="Times New Roman"/>
                <w:color w:val="auto"/>
                <w:sz w:val="21"/>
                <w:szCs w:val="21"/>
                <w:highlight w:val="none"/>
              </w:rPr>
            </w:pPr>
          </w:p>
        </w:tc>
        <w:tc>
          <w:tcPr>
            <w:tcW w:w="696" w:type="dxa"/>
            <w:vAlign w:val="center"/>
          </w:tcPr>
          <w:p>
            <w:pPr>
              <w:keepNext/>
              <w:keepLines/>
              <w:jc w:val="center"/>
              <w:outlineLvl w:val="0"/>
              <w:rPr>
                <w:rFonts w:ascii="宋体" w:hAnsi="Times New Roman"/>
                <w:color w:val="auto"/>
                <w:sz w:val="21"/>
                <w:szCs w:val="21"/>
                <w:highlight w:val="none"/>
              </w:rPr>
            </w:pPr>
          </w:p>
        </w:tc>
        <w:tc>
          <w:tcPr>
            <w:tcW w:w="1040" w:type="dxa"/>
            <w:vAlign w:val="center"/>
          </w:tcPr>
          <w:p>
            <w:pPr>
              <w:keepNext/>
              <w:keepLines/>
              <w:jc w:val="center"/>
              <w:outlineLvl w:val="0"/>
              <w:rPr>
                <w:rFonts w:ascii="宋体" w:hAnsi="Times New Roman"/>
                <w:color w:val="auto"/>
                <w:sz w:val="21"/>
                <w:szCs w:val="21"/>
                <w:highlight w:val="none"/>
              </w:rPr>
            </w:pPr>
          </w:p>
        </w:tc>
        <w:tc>
          <w:tcPr>
            <w:tcW w:w="996" w:type="dxa"/>
            <w:vAlign w:val="center"/>
          </w:tcPr>
          <w:p>
            <w:pPr>
              <w:keepNext/>
              <w:keepLines/>
              <w:jc w:val="center"/>
              <w:outlineLvl w:val="0"/>
              <w:rPr>
                <w:rFonts w:ascii="宋体" w:hAnsi="Times New Roman"/>
                <w:color w:val="auto"/>
                <w:sz w:val="21"/>
                <w:szCs w:val="21"/>
                <w:highlight w:val="none"/>
              </w:rPr>
            </w:pPr>
          </w:p>
        </w:tc>
        <w:tc>
          <w:tcPr>
            <w:tcW w:w="812" w:type="dxa"/>
            <w:vAlign w:val="center"/>
          </w:tcPr>
          <w:p>
            <w:pPr>
              <w:keepNext/>
              <w:keepLines/>
              <w:jc w:val="center"/>
              <w:outlineLvl w:val="0"/>
              <w:rPr>
                <w:rFonts w:ascii="宋体" w:hAnsi="Times New Roman"/>
                <w:color w:val="auto"/>
                <w:sz w:val="21"/>
                <w:szCs w:val="21"/>
                <w:highlight w:val="none"/>
              </w:rPr>
            </w:pPr>
          </w:p>
        </w:tc>
        <w:tc>
          <w:tcPr>
            <w:tcW w:w="1565" w:type="dxa"/>
            <w:vAlign w:val="center"/>
          </w:tcPr>
          <w:p>
            <w:pPr>
              <w:keepNext/>
              <w:keepLines/>
              <w:jc w:val="center"/>
              <w:outlineLvl w:val="0"/>
              <w:rPr>
                <w:rFonts w:ascii="宋体" w:hAnsi="Times New Roman"/>
                <w:color w:val="auto"/>
                <w:sz w:val="21"/>
                <w:szCs w:val="21"/>
                <w:highlight w:val="none"/>
              </w:rPr>
            </w:pPr>
          </w:p>
        </w:tc>
        <w:tc>
          <w:tcPr>
            <w:tcW w:w="1418" w:type="dxa"/>
            <w:vAlign w:val="center"/>
          </w:tcPr>
          <w:p>
            <w:pPr>
              <w:keepNext/>
              <w:keepLines/>
              <w:jc w:val="center"/>
              <w:outlineLvl w:val="0"/>
              <w:rPr>
                <w:rFonts w:ascii="宋体" w:hAnsi="Times New Roman"/>
                <w:color w:val="auto"/>
                <w:sz w:val="21"/>
                <w:szCs w:val="21"/>
                <w:highlight w:val="none"/>
              </w:rPr>
            </w:pPr>
            <w:r>
              <w:rPr>
                <w:rFonts w:ascii="宋体" w:hAnsi="Times New Roman"/>
                <w:color w:val="auto"/>
                <w:sz w:val="21"/>
                <w:szCs w:val="21"/>
                <w:highlight w:val="none"/>
              </w:rPr>
              <w:t>调试人员</w:t>
            </w:r>
            <w:r>
              <w:rPr>
                <w:rFonts w:hint="eastAsia" w:ascii="宋体" w:hAnsi="Times New Roman"/>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91" w:type="dxa"/>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8</w:t>
            </w:r>
          </w:p>
        </w:tc>
        <w:tc>
          <w:tcPr>
            <w:tcW w:w="1508" w:type="dxa"/>
            <w:vAlign w:val="center"/>
          </w:tcPr>
          <w:p>
            <w:pPr>
              <w:jc w:val="center"/>
              <w:rPr>
                <w:rFonts w:ascii="宋体" w:hAnsi="Times New Roman"/>
                <w:color w:val="auto"/>
                <w:sz w:val="21"/>
                <w:szCs w:val="21"/>
                <w:highlight w:val="none"/>
              </w:rPr>
            </w:pPr>
          </w:p>
        </w:tc>
        <w:tc>
          <w:tcPr>
            <w:tcW w:w="816" w:type="dxa"/>
            <w:vAlign w:val="center"/>
          </w:tcPr>
          <w:p>
            <w:pPr>
              <w:jc w:val="center"/>
              <w:rPr>
                <w:rFonts w:ascii="宋体" w:hAnsi="Times New Roman"/>
                <w:color w:val="auto"/>
                <w:sz w:val="21"/>
                <w:szCs w:val="21"/>
                <w:highlight w:val="none"/>
              </w:rPr>
            </w:pPr>
          </w:p>
        </w:tc>
        <w:tc>
          <w:tcPr>
            <w:tcW w:w="696" w:type="dxa"/>
            <w:vAlign w:val="center"/>
          </w:tcPr>
          <w:p>
            <w:pPr>
              <w:keepNext/>
              <w:keepLines/>
              <w:jc w:val="center"/>
              <w:outlineLvl w:val="0"/>
              <w:rPr>
                <w:rFonts w:ascii="宋体" w:hAnsi="Times New Roman"/>
                <w:color w:val="auto"/>
                <w:sz w:val="21"/>
                <w:szCs w:val="21"/>
                <w:highlight w:val="none"/>
              </w:rPr>
            </w:pPr>
          </w:p>
        </w:tc>
        <w:tc>
          <w:tcPr>
            <w:tcW w:w="1040" w:type="dxa"/>
            <w:vAlign w:val="center"/>
          </w:tcPr>
          <w:p>
            <w:pPr>
              <w:keepNext/>
              <w:keepLines/>
              <w:jc w:val="center"/>
              <w:outlineLvl w:val="0"/>
              <w:rPr>
                <w:rFonts w:ascii="宋体" w:hAnsi="Times New Roman"/>
                <w:color w:val="auto"/>
                <w:sz w:val="21"/>
                <w:szCs w:val="21"/>
                <w:highlight w:val="none"/>
              </w:rPr>
            </w:pPr>
          </w:p>
        </w:tc>
        <w:tc>
          <w:tcPr>
            <w:tcW w:w="996" w:type="dxa"/>
            <w:vAlign w:val="center"/>
          </w:tcPr>
          <w:p>
            <w:pPr>
              <w:keepNext/>
              <w:keepLines/>
              <w:jc w:val="center"/>
              <w:outlineLvl w:val="0"/>
              <w:rPr>
                <w:rFonts w:ascii="宋体" w:hAnsi="Times New Roman"/>
                <w:color w:val="auto"/>
                <w:sz w:val="21"/>
                <w:szCs w:val="21"/>
                <w:highlight w:val="none"/>
              </w:rPr>
            </w:pPr>
          </w:p>
        </w:tc>
        <w:tc>
          <w:tcPr>
            <w:tcW w:w="812" w:type="dxa"/>
            <w:vAlign w:val="center"/>
          </w:tcPr>
          <w:p>
            <w:pPr>
              <w:keepNext/>
              <w:keepLines/>
              <w:jc w:val="center"/>
              <w:outlineLvl w:val="0"/>
              <w:rPr>
                <w:rFonts w:ascii="宋体" w:hAnsi="Times New Roman"/>
                <w:color w:val="auto"/>
                <w:sz w:val="21"/>
                <w:szCs w:val="21"/>
                <w:highlight w:val="none"/>
              </w:rPr>
            </w:pPr>
          </w:p>
        </w:tc>
        <w:tc>
          <w:tcPr>
            <w:tcW w:w="1565" w:type="dxa"/>
            <w:vAlign w:val="center"/>
          </w:tcPr>
          <w:p>
            <w:pPr>
              <w:keepNext/>
              <w:keepLines/>
              <w:jc w:val="center"/>
              <w:outlineLvl w:val="0"/>
              <w:rPr>
                <w:rFonts w:ascii="宋体" w:hAnsi="Times New Roman"/>
                <w:color w:val="auto"/>
                <w:sz w:val="21"/>
                <w:szCs w:val="21"/>
                <w:highlight w:val="none"/>
              </w:rPr>
            </w:pPr>
          </w:p>
        </w:tc>
        <w:tc>
          <w:tcPr>
            <w:tcW w:w="1418" w:type="dxa"/>
            <w:vAlign w:val="center"/>
          </w:tcPr>
          <w:p>
            <w:pPr>
              <w:keepNext/>
              <w:keepLines/>
              <w:jc w:val="center"/>
              <w:outlineLvl w:val="0"/>
              <w:rPr>
                <w:rFonts w:ascii="宋体" w:hAnsi="Times New Roman"/>
                <w:color w:val="auto"/>
                <w:sz w:val="21"/>
                <w:szCs w:val="21"/>
                <w:highlight w:val="none"/>
              </w:rPr>
            </w:pPr>
            <w:r>
              <w:rPr>
                <w:rFonts w:ascii="宋体" w:hAnsi="Times New Roman"/>
                <w:color w:val="auto"/>
                <w:sz w:val="21"/>
                <w:szCs w:val="21"/>
                <w:highlight w:val="none"/>
              </w:rPr>
              <w:t>调试人员…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91" w:type="dxa"/>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w:t>
            </w:r>
          </w:p>
        </w:tc>
        <w:tc>
          <w:tcPr>
            <w:tcW w:w="1508" w:type="dxa"/>
            <w:vAlign w:val="center"/>
          </w:tcPr>
          <w:p>
            <w:pPr>
              <w:jc w:val="center"/>
              <w:rPr>
                <w:rFonts w:ascii="宋体" w:hAnsi="Times New Roman"/>
                <w:color w:val="auto"/>
                <w:sz w:val="21"/>
                <w:szCs w:val="21"/>
                <w:highlight w:val="none"/>
              </w:rPr>
            </w:pPr>
          </w:p>
        </w:tc>
        <w:tc>
          <w:tcPr>
            <w:tcW w:w="816" w:type="dxa"/>
            <w:vAlign w:val="center"/>
          </w:tcPr>
          <w:p>
            <w:pPr>
              <w:jc w:val="center"/>
              <w:rPr>
                <w:rFonts w:ascii="宋体" w:hAnsi="Times New Roman"/>
                <w:color w:val="auto"/>
                <w:sz w:val="21"/>
                <w:szCs w:val="21"/>
                <w:highlight w:val="none"/>
              </w:rPr>
            </w:pPr>
          </w:p>
        </w:tc>
        <w:tc>
          <w:tcPr>
            <w:tcW w:w="696" w:type="dxa"/>
            <w:vAlign w:val="center"/>
          </w:tcPr>
          <w:p>
            <w:pPr>
              <w:keepNext/>
              <w:keepLines/>
              <w:jc w:val="center"/>
              <w:outlineLvl w:val="0"/>
              <w:rPr>
                <w:rFonts w:ascii="宋体" w:hAnsi="Times New Roman"/>
                <w:color w:val="auto"/>
                <w:sz w:val="21"/>
                <w:szCs w:val="21"/>
                <w:highlight w:val="none"/>
              </w:rPr>
            </w:pPr>
          </w:p>
        </w:tc>
        <w:tc>
          <w:tcPr>
            <w:tcW w:w="1040" w:type="dxa"/>
            <w:vAlign w:val="center"/>
          </w:tcPr>
          <w:p>
            <w:pPr>
              <w:keepNext/>
              <w:keepLines/>
              <w:jc w:val="center"/>
              <w:outlineLvl w:val="0"/>
              <w:rPr>
                <w:rFonts w:ascii="宋体" w:hAnsi="Times New Roman"/>
                <w:color w:val="auto"/>
                <w:sz w:val="21"/>
                <w:szCs w:val="21"/>
                <w:highlight w:val="none"/>
              </w:rPr>
            </w:pPr>
          </w:p>
        </w:tc>
        <w:tc>
          <w:tcPr>
            <w:tcW w:w="996" w:type="dxa"/>
            <w:vAlign w:val="center"/>
          </w:tcPr>
          <w:p>
            <w:pPr>
              <w:keepNext/>
              <w:keepLines/>
              <w:jc w:val="center"/>
              <w:outlineLvl w:val="0"/>
              <w:rPr>
                <w:rFonts w:ascii="宋体" w:hAnsi="Times New Roman"/>
                <w:color w:val="auto"/>
                <w:sz w:val="21"/>
                <w:szCs w:val="21"/>
                <w:highlight w:val="none"/>
              </w:rPr>
            </w:pPr>
          </w:p>
        </w:tc>
        <w:tc>
          <w:tcPr>
            <w:tcW w:w="812" w:type="dxa"/>
            <w:vAlign w:val="center"/>
          </w:tcPr>
          <w:p>
            <w:pPr>
              <w:keepNext/>
              <w:keepLines/>
              <w:jc w:val="center"/>
              <w:outlineLvl w:val="0"/>
              <w:rPr>
                <w:rFonts w:ascii="宋体" w:hAnsi="Times New Roman"/>
                <w:color w:val="auto"/>
                <w:sz w:val="21"/>
                <w:szCs w:val="21"/>
                <w:highlight w:val="none"/>
              </w:rPr>
            </w:pPr>
          </w:p>
        </w:tc>
        <w:tc>
          <w:tcPr>
            <w:tcW w:w="1565" w:type="dxa"/>
            <w:vAlign w:val="center"/>
          </w:tcPr>
          <w:p>
            <w:pPr>
              <w:keepNext/>
              <w:keepLines/>
              <w:jc w:val="center"/>
              <w:outlineLvl w:val="0"/>
              <w:rPr>
                <w:rFonts w:ascii="宋体" w:hAnsi="Times New Roman"/>
                <w:color w:val="auto"/>
                <w:sz w:val="21"/>
                <w:szCs w:val="21"/>
                <w:highlight w:val="none"/>
              </w:rPr>
            </w:pPr>
          </w:p>
        </w:tc>
        <w:tc>
          <w:tcPr>
            <w:tcW w:w="1418" w:type="dxa"/>
            <w:vAlign w:val="center"/>
          </w:tcPr>
          <w:p>
            <w:pPr>
              <w:keepNext/>
              <w:keepLines/>
              <w:jc w:val="center"/>
              <w:outlineLvl w:val="0"/>
              <w:rPr>
                <w:rFonts w:ascii="宋体" w:hAnsi="Times New Roman"/>
                <w:color w:val="auto"/>
                <w:sz w:val="21"/>
                <w:szCs w:val="21"/>
                <w:highlight w:val="none"/>
              </w:rPr>
            </w:pPr>
            <w:r>
              <w:rPr>
                <w:rFonts w:hint="eastAsia" w:ascii="宋体" w:hAnsi="Times New Roman"/>
                <w:color w:val="auto"/>
                <w:sz w:val="21"/>
                <w:szCs w:val="21"/>
                <w:highlight w:val="none"/>
              </w:rPr>
              <w:t>…</w:t>
            </w:r>
          </w:p>
        </w:tc>
      </w:tr>
    </w:tbl>
    <w:p>
      <w:pPr>
        <w:spacing w:line="360" w:lineRule="auto"/>
        <w:rPr>
          <w:rFonts w:ascii="宋体" w:hAnsi="Times New Roman"/>
          <w:color w:val="auto"/>
          <w:sz w:val="21"/>
          <w:szCs w:val="21"/>
          <w:highlight w:val="none"/>
        </w:rPr>
      </w:pPr>
      <w:r>
        <w:rPr>
          <w:rFonts w:hint="eastAsia" w:ascii="宋体" w:hAnsi="Times New Roman"/>
          <w:color w:val="auto"/>
          <w:sz w:val="21"/>
          <w:szCs w:val="21"/>
          <w:highlight w:val="none"/>
        </w:rPr>
        <w:t>备注：</w:t>
      </w:r>
    </w:p>
    <w:p>
      <w:pPr>
        <w:spacing w:line="360" w:lineRule="auto"/>
        <w:ind w:firstLine="420" w:firstLineChars="200"/>
        <w:rPr>
          <w:rFonts w:ascii="宋体" w:hAnsi="宋体"/>
          <w:color w:val="auto"/>
          <w:sz w:val="21"/>
          <w:szCs w:val="21"/>
          <w:highlight w:val="none"/>
        </w:rPr>
      </w:pPr>
      <w:r>
        <w:rPr>
          <w:rFonts w:ascii="宋体" w:hAnsi="Times New Roman"/>
          <w:color w:val="auto"/>
          <w:sz w:val="21"/>
          <w:szCs w:val="21"/>
          <w:highlight w:val="none"/>
        </w:rPr>
        <w:t>1</w:t>
      </w:r>
      <w:r>
        <w:rPr>
          <w:rFonts w:hint="eastAsia" w:ascii="宋体" w:hAnsi="Times New Roman"/>
          <w:color w:val="auto"/>
          <w:sz w:val="21"/>
          <w:szCs w:val="21"/>
          <w:highlight w:val="none"/>
        </w:rPr>
        <w:t>.上述人员需提供身份证、职称证等证明文件扫描件，并盖章。</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2.</w:t>
      </w:r>
      <w:r>
        <w:rPr>
          <w:rFonts w:hint="eastAsia"/>
          <w:color w:val="auto"/>
          <w:highlight w:val="none"/>
        </w:rPr>
        <w:t xml:space="preserve"> </w:t>
      </w:r>
      <w:r>
        <w:rPr>
          <w:rFonts w:hint="eastAsia" w:ascii="宋体" w:hAnsi="Times New Roman"/>
          <w:color w:val="auto"/>
          <w:sz w:val="21"/>
          <w:szCs w:val="21"/>
          <w:highlight w:val="none"/>
        </w:rPr>
        <w:t>须提供以上人员相关证件扫描件，并提供以上人员投标单位近期（扣除发布招标公告当月往前顺推1个月，即</w:t>
      </w:r>
      <w:r>
        <w:rPr>
          <w:rFonts w:ascii="宋体" w:hAnsi="Times New Roman"/>
          <w:color w:val="auto"/>
          <w:sz w:val="21"/>
          <w:szCs w:val="21"/>
          <w:highlight w:val="none"/>
        </w:rPr>
        <w:t>2023</w:t>
      </w:r>
      <w:r>
        <w:rPr>
          <w:rFonts w:hint="eastAsia" w:ascii="宋体" w:hAnsi="Times New Roman"/>
          <w:color w:val="auto"/>
          <w:sz w:val="21"/>
          <w:szCs w:val="21"/>
          <w:highlight w:val="none"/>
        </w:rPr>
        <w:t>年</w:t>
      </w:r>
      <w:r>
        <w:rPr>
          <w:rFonts w:ascii="宋体" w:hAnsi="Times New Roman"/>
          <w:color w:val="auto"/>
          <w:sz w:val="21"/>
          <w:szCs w:val="21"/>
          <w:highlight w:val="none"/>
        </w:rPr>
        <w:t xml:space="preserve">  </w:t>
      </w:r>
      <w:r>
        <w:rPr>
          <w:rFonts w:hint="eastAsia" w:ascii="宋体" w:hAnsi="Times New Roman"/>
          <w:color w:val="auto"/>
          <w:sz w:val="21"/>
          <w:szCs w:val="21"/>
          <w:highlight w:val="none"/>
        </w:rPr>
        <w:t>月）为其购买社保的社保证明材料扫描件。若当地政府部门允许企业在疫情期间缓缴社会保险费且投标人未缴纳的，投标人可提供当地政府部门允许缓缴社保的相关文件作为缴纳社保的证明。确定中标人后，招标人将核实后续中标人项目经理部组成人员的社保补缴情况。</w:t>
      </w:r>
    </w:p>
    <w:p>
      <w:pPr>
        <w:spacing w:line="360" w:lineRule="auto"/>
        <w:ind w:firstLine="420" w:firstLineChars="200"/>
        <w:rPr>
          <w:rFonts w:ascii="宋体" w:hAnsi="Times New Roman"/>
          <w:color w:val="auto"/>
          <w:sz w:val="21"/>
          <w:szCs w:val="21"/>
          <w:highlight w:val="none"/>
        </w:rPr>
      </w:pPr>
      <w:r>
        <w:rPr>
          <w:rFonts w:hint="eastAsia" w:ascii="宋体" w:hAnsi="Times New Roman"/>
          <w:color w:val="auto"/>
          <w:sz w:val="21"/>
          <w:szCs w:val="21"/>
          <w:highlight w:val="none"/>
        </w:rPr>
        <w:t>3.表中的“拟担任工作”包括：项目负责人、技术负责人、主要安装人员、调试人员等。</w:t>
      </w:r>
    </w:p>
    <w:p>
      <w:pPr>
        <w:spacing w:line="360" w:lineRule="auto"/>
        <w:ind w:firstLine="420" w:firstLineChars="200"/>
        <w:rPr>
          <w:color w:val="auto"/>
          <w:highlight w:val="none"/>
        </w:rPr>
      </w:pPr>
      <w:r>
        <w:rPr>
          <w:rFonts w:hint="eastAsia" w:ascii="宋体" w:hAnsi="Times New Roman"/>
          <w:color w:val="auto"/>
          <w:sz w:val="21"/>
          <w:szCs w:val="21"/>
          <w:highlight w:val="none"/>
        </w:rPr>
        <w:t>4.</w:t>
      </w:r>
      <w:r>
        <w:rPr>
          <w:rFonts w:hint="eastAsia"/>
          <w:color w:val="auto"/>
          <w:highlight w:val="none"/>
        </w:rPr>
        <w:t xml:space="preserve"> </w:t>
      </w:r>
      <w:r>
        <w:rPr>
          <w:rFonts w:hint="eastAsia" w:ascii="宋体" w:hAnsi="Times New Roman"/>
          <w:color w:val="auto"/>
          <w:sz w:val="21"/>
          <w:szCs w:val="21"/>
          <w:highlight w:val="none"/>
        </w:rPr>
        <w:t>拟投人员须包括项目负责人1人、技术负责人1人、主要安装人员2人，调试人员2人，拟投人员最低要求共计6人。</w:t>
      </w:r>
    </w:p>
    <w:p>
      <w:pPr>
        <w:pStyle w:val="49"/>
        <w:ind w:left="480" w:firstLine="420"/>
        <w:rPr>
          <w:color w:val="auto"/>
          <w:highlight w:val="none"/>
        </w:rPr>
      </w:pPr>
    </w:p>
    <w:p>
      <w:pPr>
        <w:widowControl/>
        <w:snapToGrid w:val="0"/>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投标人（盖章）：</w:t>
      </w:r>
    </w:p>
    <w:p>
      <w:pPr>
        <w:spacing w:line="360" w:lineRule="auto"/>
        <w:rPr>
          <w:color w:val="auto"/>
          <w:sz w:val="21"/>
          <w:szCs w:val="21"/>
          <w:highlight w:val="none"/>
        </w:rPr>
      </w:pPr>
      <w:r>
        <w:rPr>
          <w:rFonts w:hint="eastAsia"/>
          <w:color w:val="auto"/>
          <w:sz w:val="21"/>
          <w:szCs w:val="21"/>
          <w:highlight w:val="none"/>
        </w:rPr>
        <w:t>法定代表人或其授权代理人（签名或盖章）：</w:t>
      </w:r>
    </w:p>
    <w:p>
      <w:pPr>
        <w:spacing w:line="360" w:lineRule="auto"/>
        <w:rPr>
          <w:rFonts w:ascii="Times New Roman" w:hAnsi="Times New Roman"/>
          <w:color w:val="auto"/>
          <w:highlight w:val="none"/>
        </w:rPr>
      </w:pPr>
      <w:r>
        <w:rPr>
          <w:rFonts w:hint="eastAsia"/>
          <w:color w:val="auto"/>
          <w:sz w:val="21"/>
          <w:szCs w:val="21"/>
          <w:highlight w:val="none"/>
        </w:rPr>
        <w:t>日   期：</w:t>
      </w:r>
      <w:r>
        <w:rPr>
          <w:color w:val="auto"/>
          <w:szCs w:val="24"/>
          <w:highlight w:val="none"/>
        </w:rPr>
        <w:t xml:space="preserve"> </w:t>
      </w:r>
    </w:p>
    <w:p>
      <w:pPr>
        <w:pStyle w:val="49"/>
        <w:ind w:left="480" w:firstLine="420"/>
        <w:rPr>
          <w:color w:val="auto"/>
          <w:highlight w:val="none"/>
        </w:rPr>
      </w:pPr>
    </w:p>
    <w:p>
      <w:pPr>
        <w:pStyle w:val="7"/>
        <w:overflowPunct w:val="0"/>
        <w:spacing w:line="443" w:lineRule="exact"/>
        <w:ind w:left="8" w:right="1034" w:hanging="8"/>
        <w:rPr>
          <w:rFonts w:ascii="宋体" w:hAnsi="宋体" w:eastAsia="宋体" w:cs="宋体"/>
          <w:color w:val="auto"/>
          <w:sz w:val="24"/>
          <w:szCs w:val="16"/>
          <w:highlight w:val="none"/>
        </w:rPr>
      </w:pPr>
      <w:r>
        <w:rPr>
          <w:rFonts w:ascii="宋体" w:hAnsi="宋体" w:cs="宋体"/>
          <w:b w:val="0"/>
          <w:color w:val="auto"/>
          <w:sz w:val="28"/>
          <w:szCs w:val="32"/>
          <w:highlight w:val="none"/>
        </w:rPr>
        <w:br w:type="page"/>
      </w:r>
      <w:r>
        <w:rPr>
          <w:rFonts w:hint="eastAsia" w:ascii="宋体" w:hAnsi="宋体" w:eastAsia="宋体" w:cs="宋体"/>
          <w:color w:val="auto"/>
          <w:sz w:val="24"/>
          <w:szCs w:val="16"/>
          <w:highlight w:val="none"/>
        </w:rPr>
        <w:t>附件11：服务方案</w:t>
      </w:r>
    </w:p>
    <w:p>
      <w:pPr>
        <w:pStyle w:val="51"/>
        <w:spacing w:before="240"/>
        <w:ind w:firstLine="562"/>
        <w:jc w:val="center"/>
        <w:rPr>
          <w:rFonts w:ascii="宋体" w:hAnsi="宋体" w:cs="宋体"/>
          <w:b/>
          <w:color w:val="auto"/>
          <w:spacing w:val="0"/>
          <w:sz w:val="28"/>
          <w:szCs w:val="21"/>
          <w:highlight w:val="none"/>
        </w:rPr>
      </w:pPr>
      <w:r>
        <w:rPr>
          <w:rFonts w:hint="eastAsia" w:ascii="宋体" w:hAnsi="宋体" w:cs="宋体"/>
          <w:b/>
          <w:color w:val="auto"/>
          <w:spacing w:val="0"/>
          <w:sz w:val="28"/>
          <w:szCs w:val="21"/>
          <w:highlight w:val="none"/>
        </w:rPr>
        <w:t>服务方案</w:t>
      </w:r>
    </w:p>
    <w:p>
      <w:pPr>
        <w:pStyle w:val="51"/>
        <w:ind w:firstLine="420"/>
        <w:rPr>
          <w:rFonts w:ascii="宋体" w:hAnsi="宋体" w:cs="宋体"/>
          <w:color w:val="auto"/>
          <w:spacing w:val="0"/>
          <w:sz w:val="21"/>
          <w:szCs w:val="21"/>
          <w:highlight w:val="none"/>
        </w:rPr>
      </w:pPr>
    </w:p>
    <w:p>
      <w:pPr>
        <w:spacing w:line="360" w:lineRule="auto"/>
        <w:ind w:firstLine="525" w:firstLineChars="250"/>
        <w:jc w:val="both"/>
        <w:rPr>
          <w:rFonts w:ascii="宋体" w:hAnsi="宋体"/>
          <w:color w:val="auto"/>
          <w:sz w:val="21"/>
          <w:highlight w:val="none"/>
        </w:rPr>
      </w:pPr>
      <w:r>
        <w:rPr>
          <w:rFonts w:hint="eastAsia" w:ascii="宋体" w:hAnsi="宋体"/>
          <w:color w:val="auto"/>
          <w:sz w:val="21"/>
          <w:highlight w:val="none"/>
        </w:rPr>
        <w:t>电梯工程实施方案及售后服务必须科学合理、真实可行，能充分体现出自身技术和专业优势。其要点和主要内容包括但不限于：</w:t>
      </w:r>
    </w:p>
    <w:p>
      <w:pPr>
        <w:widowControl/>
        <w:numPr>
          <w:ilvl w:val="0"/>
          <w:numId w:val="3"/>
        </w:numPr>
        <w:autoSpaceDE/>
        <w:autoSpaceDN/>
        <w:adjustRightInd/>
        <w:spacing w:line="360" w:lineRule="auto"/>
        <w:jc w:val="both"/>
        <w:rPr>
          <w:rFonts w:ascii="宋体" w:hAnsi="宋体"/>
          <w:color w:val="auto"/>
          <w:sz w:val="21"/>
          <w:highlight w:val="none"/>
        </w:rPr>
      </w:pPr>
      <w:r>
        <w:rPr>
          <w:rFonts w:hint="eastAsia" w:ascii="宋体" w:hAnsi="宋体"/>
          <w:color w:val="auto"/>
          <w:sz w:val="21"/>
          <w:highlight w:val="none"/>
        </w:rPr>
        <w:t>电梯供货、安装、调试、验收方案及进度计划；</w:t>
      </w:r>
    </w:p>
    <w:p>
      <w:pPr>
        <w:widowControl/>
        <w:numPr>
          <w:ilvl w:val="0"/>
          <w:numId w:val="3"/>
        </w:numPr>
        <w:autoSpaceDE/>
        <w:autoSpaceDN/>
        <w:adjustRightInd/>
        <w:spacing w:line="360" w:lineRule="auto"/>
        <w:jc w:val="both"/>
        <w:rPr>
          <w:color w:val="auto"/>
          <w:highlight w:val="none"/>
        </w:rPr>
      </w:pPr>
      <w:r>
        <w:rPr>
          <w:rFonts w:hint="eastAsia" w:ascii="宋体" w:hAnsi="宋体" w:cs="宋体"/>
          <w:color w:val="auto"/>
          <w:sz w:val="21"/>
          <w:szCs w:val="21"/>
          <w:highlight w:val="none"/>
        </w:rPr>
        <w:t>售后服务方案（包括但不限于：是否有项目所在地售后服务机构的专业维修队伍、是否有零配件仓库、配件供应能力，紧急维修服务响应时间等）；</w:t>
      </w:r>
    </w:p>
    <w:p>
      <w:pPr>
        <w:widowControl/>
        <w:numPr>
          <w:ilvl w:val="0"/>
          <w:numId w:val="3"/>
        </w:numPr>
        <w:autoSpaceDE/>
        <w:autoSpaceDN/>
        <w:adjustRightInd/>
        <w:spacing w:line="360" w:lineRule="auto"/>
        <w:jc w:val="both"/>
        <w:rPr>
          <w:color w:val="auto"/>
          <w:sz w:val="21"/>
          <w:szCs w:val="21"/>
          <w:highlight w:val="none"/>
        </w:rPr>
      </w:pPr>
      <w:r>
        <w:rPr>
          <w:rFonts w:hint="eastAsia"/>
          <w:color w:val="auto"/>
          <w:sz w:val="21"/>
          <w:szCs w:val="21"/>
          <w:highlight w:val="none"/>
        </w:rPr>
        <w:t>其他（投标人认为需要提供的资料）。</w:t>
      </w:r>
    </w:p>
    <w:p>
      <w:pPr>
        <w:pStyle w:val="7"/>
        <w:overflowPunct w:val="0"/>
        <w:spacing w:line="443" w:lineRule="exact"/>
        <w:ind w:left="8" w:right="1034" w:hanging="8"/>
        <w:rPr>
          <w:color w:val="auto"/>
          <w:highlight w:val="none"/>
        </w:rPr>
      </w:pPr>
      <w:r>
        <w:rPr>
          <w:color w:val="auto"/>
          <w:highlight w:val="none"/>
        </w:rPr>
        <w:br w:type="page"/>
      </w:r>
      <w:r>
        <w:rPr>
          <w:rFonts w:hint="eastAsia" w:ascii="宋体" w:hAnsi="宋体" w:eastAsia="宋体" w:cs="宋体"/>
          <w:color w:val="auto"/>
          <w:sz w:val="24"/>
          <w:szCs w:val="16"/>
          <w:highlight w:val="none"/>
        </w:rPr>
        <w:t>附件12：关于响应土建尺寸的承诺函</w:t>
      </w:r>
    </w:p>
    <w:p>
      <w:pPr>
        <w:pStyle w:val="49"/>
        <w:ind w:left="480" w:firstLine="420"/>
        <w:rPr>
          <w:rFonts w:ascii="宋体" w:hAnsi="宋体" w:cs="宋体"/>
          <w:color w:val="auto"/>
          <w:highlight w:val="none"/>
        </w:rPr>
      </w:pPr>
    </w:p>
    <w:p>
      <w:pPr>
        <w:pStyle w:val="49"/>
        <w:ind w:left="480" w:firstLine="420"/>
        <w:rPr>
          <w:rFonts w:ascii="宋体" w:hAnsi="宋体" w:cs="宋体"/>
          <w:color w:val="auto"/>
          <w:highlight w:val="none"/>
        </w:rPr>
      </w:pPr>
    </w:p>
    <w:p>
      <w:pPr>
        <w:pStyle w:val="49"/>
        <w:spacing w:line="480" w:lineRule="auto"/>
        <w:ind w:left="480" w:firstLine="643"/>
        <w:jc w:val="center"/>
        <w:rPr>
          <w:rFonts w:ascii="宋体" w:hAnsi="宋体" w:cs="宋体"/>
          <w:b/>
          <w:color w:val="auto"/>
          <w:sz w:val="32"/>
          <w:szCs w:val="36"/>
          <w:highlight w:val="none"/>
        </w:rPr>
      </w:pPr>
      <w:r>
        <w:rPr>
          <w:rFonts w:hint="eastAsia" w:ascii="宋体" w:hAnsi="宋体" w:cs="宋体"/>
          <w:b/>
          <w:color w:val="auto"/>
          <w:sz w:val="32"/>
          <w:szCs w:val="36"/>
          <w:highlight w:val="none"/>
        </w:rPr>
        <w:t>关于响应土建尺寸的承诺函</w:t>
      </w:r>
    </w:p>
    <w:p>
      <w:pPr>
        <w:pStyle w:val="49"/>
        <w:spacing w:line="360" w:lineRule="auto"/>
        <w:ind w:left="199" w:leftChars="83" w:firstLine="199" w:firstLineChars="83"/>
        <w:rPr>
          <w:rFonts w:ascii="宋体" w:hAnsi="宋体" w:cs="宋体"/>
          <w:color w:val="auto"/>
          <w:sz w:val="24"/>
          <w:highlight w:val="none"/>
        </w:rPr>
      </w:pPr>
      <w:r>
        <w:rPr>
          <w:rFonts w:hint="eastAsia" w:ascii="宋体" w:hAnsi="宋体" w:cs="宋体"/>
          <w:color w:val="auto"/>
          <w:sz w:val="24"/>
          <w:highlight w:val="none"/>
        </w:rPr>
        <w:t>致招标人：</w:t>
      </w:r>
    </w:p>
    <w:p>
      <w:pPr>
        <w:pStyle w:val="49"/>
        <w:spacing w:line="360" w:lineRule="auto"/>
        <w:ind w:left="425" w:leftChars="177" w:firstLine="532" w:firstLineChars="222"/>
        <w:rPr>
          <w:rFonts w:ascii="宋体" w:hAnsi="宋体" w:cs="宋体"/>
          <w:color w:val="auto"/>
          <w:sz w:val="24"/>
          <w:highlight w:val="none"/>
        </w:rPr>
      </w:pPr>
      <w:r>
        <w:rPr>
          <w:rFonts w:hint="eastAsia" w:ascii="宋体" w:hAnsi="宋体" w:cs="宋体"/>
          <w:color w:val="auto"/>
          <w:sz w:val="24"/>
          <w:highlight w:val="none"/>
        </w:rPr>
        <w:t>我公司已收到</w:t>
      </w:r>
      <w:r>
        <w:rPr>
          <w:rFonts w:hint="eastAsia" w:ascii="宋体" w:hAnsi="宋体" w:cs="宋体"/>
          <w:color w:val="auto"/>
          <w:sz w:val="24"/>
          <w:highlight w:val="none"/>
          <w:u w:val="single"/>
        </w:rPr>
        <w:t xml:space="preserve">      （招标项目名称）  </w:t>
      </w:r>
      <w:r>
        <w:rPr>
          <w:rFonts w:hint="eastAsia" w:ascii="宋体" w:hAnsi="宋体" w:cs="宋体"/>
          <w:color w:val="auto"/>
          <w:sz w:val="24"/>
          <w:highlight w:val="none"/>
        </w:rPr>
        <w:t>项目（招标编号：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）的招标土建尺寸，现作出以下承诺：若我公司中标，我方提供的产品无条件满足本项目的招标土建尺寸要求。如我司违背上述承诺，我司同意招标人取消我司的中标资格。</w:t>
      </w:r>
    </w:p>
    <w:p>
      <w:pPr>
        <w:pStyle w:val="49"/>
        <w:spacing w:line="360" w:lineRule="auto"/>
        <w:ind w:left="480" w:firstLine="480"/>
        <w:rPr>
          <w:rFonts w:ascii="宋体" w:hAnsi="宋体" w:cs="宋体"/>
          <w:color w:val="auto"/>
          <w:sz w:val="24"/>
          <w:highlight w:val="none"/>
        </w:rPr>
      </w:pPr>
    </w:p>
    <w:p>
      <w:pPr>
        <w:pStyle w:val="49"/>
        <w:spacing w:line="360" w:lineRule="auto"/>
        <w:ind w:left="480" w:firstLine="480"/>
        <w:rPr>
          <w:rFonts w:ascii="宋体" w:hAnsi="宋体" w:cs="宋体"/>
          <w:color w:val="auto"/>
          <w:sz w:val="24"/>
          <w:highlight w:val="none"/>
        </w:rPr>
      </w:pPr>
    </w:p>
    <w:p>
      <w:pPr>
        <w:spacing w:line="360" w:lineRule="auto"/>
        <w:ind w:left="425" w:leftChars="177"/>
        <w:rPr>
          <w:color w:val="auto"/>
          <w:szCs w:val="24"/>
          <w:highlight w:val="none"/>
        </w:rPr>
      </w:pPr>
      <w:r>
        <w:rPr>
          <w:rFonts w:hint="eastAsia"/>
          <w:color w:val="auto"/>
          <w:szCs w:val="24"/>
          <w:highlight w:val="none"/>
        </w:rPr>
        <w:t>投标单位（盖章）：</w:t>
      </w:r>
    </w:p>
    <w:p>
      <w:pPr>
        <w:pStyle w:val="49"/>
        <w:spacing w:line="360" w:lineRule="auto"/>
        <w:ind w:left="425" w:leftChars="177" w:firstLine="0" w:firstLineChars="0"/>
        <w:rPr>
          <w:rFonts w:ascii="宋体" w:hAnsi="宋体" w:cs="宋体"/>
          <w:color w:val="auto"/>
          <w:sz w:val="24"/>
          <w:highlight w:val="none"/>
        </w:rPr>
      </w:pPr>
      <w:r>
        <w:rPr>
          <w:rFonts w:hint="eastAsia" w:ascii="宋体" w:hAnsi="宋体" w:cs="宋体"/>
          <w:color w:val="auto"/>
          <w:sz w:val="24"/>
          <w:highlight w:val="none"/>
        </w:rPr>
        <w:t>法定代表人或其授权代理人（签字或盖章）：</w:t>
      </w:r>
    </w:p>
    <w:p>
      <w:pPr>
        <w:pStyle w:val="49"/>
        <w:spacing w:line="360" w:lineRule="auto"/>
        <w:ind w:left="425" w:leftChars="177" w:firstLine="0" w:firstLineChars="0"/>
        <w:rPr>
          <w:rFonts w:ascii="宋体" w:hAnsi="宋体" w:cs="宋体"/>
          <w:color w:val="auto"/>
          <w:sz w:val="24"/>
          <w:highlight w:val="none"/>
        </w:rPr>
      </w:pPr>
      <w:r>
        <w:rPr>
          <w:rFonts w:hint="eastAsia" w:ascii="宋体" w:hAnsi="宋体" w:cs="宋体"/>
          <w:color w:val="auto"/>
          <w:sz w:val="24"/>
          <w:highlight w:val="none"/>
        </w:rPr>
        <w:t>日期：</w:t>
      </w:r>
    </w:p>
    <w:p>
      <w:pPr>
        <w:pStyle w:val="7"/>
        <w:overflowPunct w:val="0"/>
        <w:spacing w:line="443" w:lineRule="exact"/>
        <w:ind w:left="8" w:right="1034" w:hanging="8"/>
        <w:rPr>
          <w:rFonts w:ascii="宋体" w:hAnsi="宋体" w:eastAsia="宋体" w:cs="宋体"/>
          <w:color w:val="auto"/>
          <w:sz w:val="24"/>
          <w:szCs w:val="16"/>
          <w:highlight w:val="none"/>
        </w:rPr>
      </w:pPr>
      <w:r>
        <w:rPr>
          <w:rFonts w:ascii="宋体" w:hAnsi="宋体" w:cs="宋体"/>
          <w:color w:val="auto"/>
          <w:sz w:val="24"/>
          <w:highlight w:val="none"/>
        </w:rPr>
        <w:br w:type="page"/>
      </w:r>
      <w:r>
        <w:rPr>
          <w:rFonts w:hint="eastAsia" w:ascii="宋体" w:hAnsi="宋体" w:eastAsia="宋体" w:cs="宋体"/>
          <w:color w:val="auto"/>
          <w:sz w:val="24"/>
          <w:szCs w:val="16"/>
          <w:highlight w:val="none"/>
        </w:rPr>
        <w:t>附件13：投标保证金（格式可自定）</w:t>
      </w:r>
    </w:p>
    <w:p>
      <w:pPr>
        <w:spacing w:line="1" w:lineRule="exact"/>
        <w:rPr>
          <w:rFonts w:ascii="宋体" w:hAnsi="宋体"/>
          <w:color w:val="auto"/>
          <w:sz w:val="21"/>
          <w:szCs w:val="21"/>
          <w:highlight w:val="none"/>
        </w:rPr>
      </w:pPr>
      <w:r>
        <w:rPr>
          <w:rFonts w:hint="eastAsia" w:ascii="宋体" w:hAnsi="宋体"/>
          <w:color w:val="auto"/>
          <w:highlight w:val="none"/>
        </w:rPr>
        <w:t xml:space="preserve"> </w:t>
      </w:r>
    </w:p>
    <w:p>
      <w:pPr>
        <w:ind w:firstLine="480"/>
        <w:rPr>
          <w:rFonts w:ascii="宋体" w:hAnsi="宋体"/>
          <w:color w:val="auto"/>
          <w:highlight w:val="none"/>
        </w:rPr>
      </w:pPr>
      <w:r>
        <w:rPr>
          <w:rFonts w:hint="eastAsia" w:ascii="宋体" w:hAnsi="宋体"/>
          <w:color w:val="auto"/>
          <w:highlight w:val="none"/>
        </w:rPr>
        <w:t xml:space="preserve"> </w:t>
      </w:r>
    </w:p>
    <w:p>
      <w:pPr>
        <w:spacing w:line="360" w:lineRule="auto"/>
        <w:ind w:firstLine="480" w:firstLineChars="200"/>
        <w:rPr>
          <w:rFonts w:ascii="宋体" w:hAnsi="宋体"/>
          <w:color w:val="auto"/>
          <w:highlight w:val="none"/>
        </w:rPr>
      </w:pPr>
      <w:r>
        <w:rPr>
          <w:rFonts w:hint="eastAsia" w:ascii="宋体" w:hAnsi="宋体"/>
          <w:color w:val="auto"/>
          <w:highlight w:val="none"/>
        </w:rPr>
        <w:t>（注：投标人采用投标保函或投标保证保险的形式提交投标保证金的，应提交投标保函或投标保证保险文本的扫描件并加盖投标人电子印章。）</w:t>
      </w:r>
    </w:p>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 xml:space="preserve"> </w:t>
      </w:r>
    </w:p>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投标保证金</w:t>
      </w:r>
    </w:p>
    <w:p>
      <w:pPr>
        <w:spacing w:line="200" w:lineRule="exact"/>
        <w:rPr>
          <w:rFonts w:ascii="宋体" w:hAnsi="宋体"/>
          <w:color w:val="auto"/>
          <w:sz w:val="21"/>
          <w:szCs w:val="21"/>
          <w:highlight w:val="none"/>
        </w:rPr>
      </w:pPr>
      <w:r>
        <w:rPr>
          <w:rFonts w:hint="eastAsia" w:ascii="宋体" w:hAnsi="宋体"/>
          <w:color w:val="auto"/>
          <w:highlight w:val="none"/>
        </w:rPr>
        <w:t xml:space="preserve"> </w:t>
      </w:r>
    </w:p>
    <w:p>
      <w:pPr>
        <w:spacing w:line="360" w:lineRule="auto"/>
        <w:rPr>
          <w:rFonts w:ascii="宋体" w:hAnsi="宋体"/>
          <w:color w:val="auto"/>
          <w:szCs w:val="24"/>
          <w:highlight w:val="none"/>
          <w:u w:val="single"/>
        </w:rPr>
      </w:pPr>
      <w:r>
        <w:rPr>
          <w:rFonts w:hint="eastAsia" w:ascii="宋体" w:hAnsi="宋体"/>
          <w:color w:val="auto"/>
          <w:szCs w:val="24"/>
          <w:highlight w:val="none"/>
          <w:u w:val="single"/>
        </w:rPr>
        <w:tab/>
      </w:r>
      <w:r>
        <w:rPr>
          <w:rFonts w:hint="eastAsia" w:ascii="宋体" w:hAnsi="宋体"/>
          <w:color w:val="auto"/>
          <w:szCs w:val="24"/>
          <w:highlight w:val="none"/>
          <w:u w:val="single"/>
        </w:rPr>
        <w:tab/>
      </w:r>
      <w:r>
        <w:rPr>
          <w:rFonts w:hint="eastAsia" w:ascii="宋体" w:hAnsi="宋体"/>
          <w:color w:val="auto"/>
          <w:szCs w:val="24"/>
          <w:highlight w:val="none"/>
          <w:u w:val="single"/>
        </w:rPr>
        <w:t>（招标人名称）：</w:t>
      </w:r>
    </w:p>
    <w:p>
      <w:pPr>
        <w:spacing w:line="360" w:lineRule="auto"/>
        <w:rPr>
          <w:rFonts w:ascii="宋体" w:hAnsi="宋体"/>
          <w:color w:val="auto"/>
          <w:szCs w:val="24"/>
          <w:highlight w:val="none"/>
          <w:u w:val="single"/>
        </w:rPr>
      </w:pPr>
    </w:p>
    <w:p>
      <w:pPr>
        <w:spacing w:line="360" w:lineRule="auto"/>
        <w:ind w:firstLine="480" w:firstLineChars="200"/>
        <w:rPr>
          <w:rFonts w:ascii="宋体" w:hAnsi="宋体"/>
          <w:color w:val="auto"/>
          <w:szCs w:val="24"/>
          <w:highlight w:val="none"/>
          <w:u w:val="single"/>
        </w:rPr>
      </w:pPr>
      <w:r>
        <w:rPr>
          <w:rFonts w:hint="eastAsia" w:ascii="宋体" w:hAnsi="宋体"/>
          <w:color w:val="auto"/>
          <w:szCs w:val="24"/>
          <w:highlight w:val="none"/>
          <w:u w:val="single"/>
        </w:rPr>
        <w:t>我方于  年  月  日参加          （项目名称）的投标，现保证：我方在规定的投标有效期内撤销或修改投标文件的，或者在收到中标通知书后无正当理由拒签合同或拒交规定履约担保的，投标保证金不予退还。</w:t>
      </w:r>
    </w:p>
    <w:p>
      <w:pPr>
        <w:spacing w:line="440" w:lineRule="exact"/>
        <w:rPr>
          <w:rFonts w:ascii="宋体" w:hAnsi="宋体"/>
          <w:color w:val="auto"/>
          <w:sz w:val="21"/>
          <w:szCs w:val="21"/>
          <w:highlight w:val="none"/>
          <w:u w:val="single"/>
        </w:rPr>
      </w:pPr>
    </w:p>
    <w:tbl>
      <w:tblPr>
        <w:tblStyle w:val="26"/>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s="Calibri"/>
                <w:color w:val="auto"/>
                <w:kern w:val="2"/>
                <w:szCs w:val="24"/>
                <w:highlight w:val="none"/>
              </w:rPr>
            </w:pPr>
          </w:p>
          <w:p>
            <w:pPr>
              <w:spacing w:line="440" w:lineRule="exact"/>
              <w:rPr>
                <w:rFonts w:ascii="宋体" w:hAnsi="宋体"/>
                <w:color w:val="auto"/>
                <w:szCs w:val="24"/>
                <w:highlight w:val="none"/>
              </w:rPr>
            </w:pPr>
          </w:p>
          <w:p>
            <w:pPr>
              <w:spacing w:line="440" w:lineRule="exact"/>
              <w:rPr>
                <w:rFonts w:ascii="宋体" w:hAnsi="宋体"/>
                <w:color w:val="auto"/>
                <w:szCs w:val="24"/>
                <w:highlight w:val="none"/>
              </w:rPr>
            </w:pPr>
          </w:p>
          <w:p>
            <w:pPr>
              <w:spacing w:line="440" w:lineRule="exact"/>
              <w:rPr>
                <w:rFonts w:ascii="宋体" w:hAnsi="宋体"/>
                <w:color w:val="auto"/>
                <w:szCs w:val="24"/>
                <w:highlight w:val="none"/>
              </w:rPr>
            </w:pPr>
          </w:p>
          <w:p>
            <w:pPr>
              <w:spacing w:line="360" w:lineRule="auto"/>
              <w:jc w:val="center"/>
              <w:rPr>
                <w:rFonts w:ascii="宋体" w:hAnsi="宋体"/>
                <w:b/>
                <w:color w:val="auto"/>
                <w:sz w:val="48"/>
                <w:szCs w:val="48"/>
                <w:highlight w:val="none"/>
              </w:rPr>
            </w:pPr>
            <w:r>
              <w:rPr>
                <w:rFonts w:hint="eastAsia" w:ascii="宋体" w:hAnsi="宋体"/>
                <w:b/>
                <w:color w:val="auto"/>
                <w:sz w:val="48"/>
                <w:szCs w:val="48"/>
                <w:highlight w:val="none"/>
              </w:rPr>
              <w:t xml:space="preserve">附 扫 描 件 </w:t>
            </w:r>
          </w:p>
          <w:p>
            <w:pPr>
              <w:spacing w:line="440" w:lineRule="exact"/>
              <w:rPr>
                <w:rFonts w:ascii="宋体" w:hAnsi="宋体"/>
                <w:color w:val="auto"/>
                <w:szCs w:val="24"/>
                <w:highlight w:val="none"/>
              </w:rPr>
            </w:pPr>
          </w:p>
          <w:p>
            <w:pPr>
              <w:spacing w:line="440" w:lineRule="exact"/>
              <w:rPr>
                <w:rFonts w:ascii="宋体" w:hAnsi="宋体"/>
                <w:color w:val="auto"/>
                <w:szCs w:val="24"/>
                <w:highlight w:val="none"/>
              </w:rPr>
            </w:pPr>
          </w:p>
          <w:p>
            <w:pPr>
              <w:spacing w:line="440" w:lineRule="exact"/>
              <w:rPr>
                <w:rFonts w:ascii="宋体" w:hAnsi="宋体"/>
                <w:color w:val="auto"/>
                <w:szCs w:val="24"/>
                <w:highlight w:val="none"/>
              </w:rPr>
            </w:pPr>
          </w:p>
          <w:p>
            <w:pPr>
              <w:spacing w:line="440" w:lineRule="exact"/>
              <w:jc w:val="both"/>
              <w:rPr>
                <w:rFonts w:ascii="宋体" w:hAnsi="宋体" w:cs="Calibri"/>
                <w:color w:val="auto"/>
                <w:kern w:val="2"/>
                <w:szCs w:val="24"/>
                <w:highlight w:val="none"/>
              </w:rPr>
            </w:pPr>
          </w:p>
        </w:tc>
      </w:tr>
    </w:tbl>
    <w:p>
      <w:pPr>
        <w:pStyle w:val="49"/>
        <w:spacing w:line="360" w:lineRule="auto"/>
        <w:ind w:left="425" w:leftChars="177" w:firstLine="0" w:firstLineChars="0"/>
        <w:rPr>
          <w:rFonts w:ascii="宋体" w:hAnsi="宋体" w:cs="宋体"/>
          <w:color w:val="auto"/>
          <w:sz w:val="24"/>
          <w:highlight w:val="none"/>
        </w:rPr>
      </w:pPr>
    </w:p>
    <w:p>
      <w:pPr>
        <w:pStyle w:val="7"/>
        <w:overflowPunct w:val="0"/>
        <w:spacing w:line="443" w:lineRule="exact"/>
        <w:ind w:left="8" w:right="-234" w:hanging="8"/>
        <w:rPr>
          <w:rFonts w:ascii="宋体" w:hAnsi="宋体" w:eastAsia="宋体" w:cs="宋体"/>
          <w:color w:val="auto"/>
          <w:sz w:val="24"/>
          <w:szCs w:val="16"/>
          <w:highlight w:val="none"/>
        </w:rPr>
      </w:pPr>
      <w:r>
        <w:rPr>
          <w:color w:val="auto"/>
          <w:highlight w:val="none"/>
        </w:rPr>
        <w:br w:type="page"/>
      </w:r>
      <w:r>
        <w:rPr>
          <w:rFonts w:hint="eastAsia" w:ascii="宋体" w:hAnsi="宋体" w:eastAsia="宋体" w:cs="宋体"/>
          <w:color w:val="auto"/>
          <w:sz w:val="24"/>
          <w:szCs w:val="16"/>
          <w:highlight w:val="none"/>
        </w:rPr>
        <w:t>附件14：</w:t>
      </w:r>
      <w:r>
        <w:rPr>
          <w:rFonts w:hint="eastAsia" w:ascii="宋体" w:hAnsi="宋体" w:eastAsia="宋体" w:cs="宋体"/>
          <w:color w:val="auto"/>
          <w:spacing w:val="-10"/>
          <w:sz w:val="24"/>
          <w:szCs w:val="16"/>
          <w:highlight w:val="none"/>
        </w:rPr>
        <w:t>危险性较大的分部分项工程清单及超过一定规模的危险性较大的分部分项工程清单</w:t>
      </w:r>
    </w:p>
    <w:p>
      <w:pPr>
        <w:spacing w:before="120" w:line="276" w:lineRule="auto"/>
        <w:jc w:val="center"/>
        <w:rPr>
          <w:b/>
          <w:color w:val="auto"/>
          <w:sz w:val="28"/>
          <w:highlight w:val="none"/>
        </w:rPr>
      </w:pPr>
      <w:r>
        <w:rPr>
          <w:rFonts w:hint="eastAsia"/>
          <w:b/>
          <w:color w:val="auto"/>
          <w:sz w:val="28"/>
          <w:highlight w:val="none"/>
        </w:rPr>
        <w:t>危险性较大的分部分项工程清单及</w:t>
      </w:r>
    </w:p>
    <w:p>
      <w:pPr>
        <w:spacing w:line="276" w:lineRule="auto"/>
        <w:jc w:val="center"/>
        <w:rPr>
          <w:b/>
          <w:color w:val="auto"/>
          <w:sz w:val="28"/>
          <w:highlight w:val="none"/>
        </w:rPr>
      </w:pPr>
      <w:r>
        <w:rPr>
          <w:rFonts w:hint="eastAsia"/>
          <w:b/>
          <w:color w:val="auto"/>
          <w:sz w:val="28"/>
          <w:highlight w:val="none"/>
        </w:rPr>
        <w:t>超过一定规模的危险性较大的分部分项工程清单</w:t>
      </w:r>
    </w:p>
    <w:p>
      <w:pPr>
        <w:spacing w:before="240" w:line="340" w:lineRule="exact"/>
        <w:ind w:firstLine="420" w:firstLineChars="200"/>
        <w:jc w:val="both"/>
        <w:rPr>
          <w:rFonts w:ascii="宋体" w:hAnsi="宋体"/>
          <w:color w:val="auto"/>
          <w:sz w:val="21"/>
          <w:szCs w:val="24"/>
          <w:highlight w:val="none"/>
        </w:rPr>
      </w:pPr>
      <w:r>
        <w:rPr>
          <w:rFonts w:hint="eastAsia" w:ascii="宋体" w:hAnsi="宋体"/>
          <w:color w:val="auto"/>
          <w:sz w:val="21"/>
          <w:szCs w:val="24"/>
          <w:highlight w:val="none"/>
        </w:rPr>
        <w:t>1、根据中华人民共和国住房和城乡建设部令第37号《危险性较大的分部分项工程安全管理规定》（以下简称“37号文”），投标人在投标时须补充完善危大工程清单并明确相应的安全管理措施。</w:t>
      </w:r>
    </w:p>
    <w:p>
      <w:pPr>
        <w:spacing w:line="340" w:lineRule="exact"/>
        <w:ind w:firstLine="420" w:firstLineChars="200"/>
        <w:jc w:val="both"/>
        <w:rPr>
          <w:rFonts w:ascii="宋体" w:hAnsi="宋体"/>
          <w:color w:val="auto"/>
          <w:sz w:val="21"/>
          <w:szCs w:val="24"/>
          <w:highlight w:val="none"/>
        </w:rPr>
      </w:pPr>
      <w:r>
        <w:rPr>
          <w:rFonts w:hint="eastAsia" w:ascii="宋体" w:hAnsi="宋体"/>
          <w:color w:val="auto"/>
          <w:sz w:val="21"/>
          <w:szCs w:val="24"/>
          <w:highlight w:val="none"/>
        </w:rPr>
        <w:t>2、招标人根据设计文件的要求及37号文的规定列出“危险性较大的分部分项工程清单及超过一定规模的危险性较大的分部分项工程清单”中与本招标项目相关的清单项，具体详第5点“打√”标识。</w:t>
      </w:r>
    </w:p>
    <w:p>
      <w:pPr>
        <w:spacing w:line="340" w:lineRule="exact"/>
        <w:ind w:firstLine="420" w:firstLineChars="200"/>
        <w:jc w:val="both"/>
        <w:rPr>
          <w:rFonts w:ascii="宋体" w:hAnsi="宋体"/>
          <w:color w:val="auto"/>
          <w:sz w:val="21"/>
          <w:szCs w:val="24"/>
          <w:highlight w:val="none"/>
        </w:rPr>
      </w:pPr>
      <w:r>
        <w:rPr>
          <w:rFonts w:hint="eastAsia" w:ascii="宋体" w:hAnsi="宋体"/>
          <w:color w:val="auto"/>
          <w:sz w:val="21"/>
          <w:szCs w:val="24"/>
          <w:highlight w:val="none"/>
        </w:rPr>
        <w:t>（1）投标单位同意建设单位在清单中标识的该项请在对应项打“√”标识，并与投标文件中提供相应的安全管理措施。</w:t>
      </w:r>
    </w:p>
    <w:p>
      <w:pPr>
        <w:spacing w:line="340" w:lineRule="exact"/>
        <w:ind w:firstLine="420" w:firstLineChars="200"/>
        <w:jc w:val="both"/>
        <w:rPr>
          <w:rFonts w:ascii="宋体" w:hAnsi="宋体"/>
          <w:color w:val="auto"/>
          <w:sz w:val="21"/>
          <w:szCs w:val="24"/>
          <w:highlight w:val="none"/>
        </w:rPr>
      </w:pPr>
      <w:r>
        <w:rPr>
          <w:rFonts w:hint="eastAsia" w:ascii="宋体" w:hAnsi="宋体"/>
          <w:color w:val="auto"/>
          <w:sz w:val="21"/>
          <w:szCs w:val="24"/>
          <w:highlight w:val="none"/>
        </w:rPr>
        <w:t>（2）投标单位对清单中认为需要补充的该项请在对应项打“√”标识，并与投标文件中提供相应的安全管理措施。</w:t>
      </w:r>
    </w:p>
    <w:p>
      <w:pPr>
        <w:spacing w:line="340" w:lineRule="exact"/>
        <w:ind w:firstLine="420" w:firstLineChars="200"/>
        <w:jc w:val="both"/>
        <w:rPr>
          <w:rFonts w:ascii="宋体" w:hAnsi="宋体"/>
          <w:color w:val="auto"/>
          <w:sz w:val="21"/>
          <w:szCs w:val="24"/>
          <w:highlight w:val="none"/>
        </w:rPr>
      </w:pPr>
      <w:r>
        <w:rPr>
          <w:rFonts w:hint="eastAsia" w:ascii="宋体" w:hAnsi="宋体"/>
          <w:color w:val="auto"/>
          <w:sz w:val="21"/>
          <w:szCs w:val="24"/>
          <w:highlight w:val="none"/>
        </w:rPr>
        <w:t>（3）投标单位不同意建设单位在清单中标识的该项请在对应项打“×”标识，并在备注栏填上相关说明。</w:t>
      </w:r>
    </w:p>
    <w:p>
      <w:pPr>
        <w:spacing w:line="340" w:lineRule="exact"/>
        <w:ind w:firstLine="420" w:firstLineChars="200"/>
        <w:jc w:val="both"/>
        <w:rPr>
          <w:rFonts w:ascii="宋体" w:hAnsi="宋体"/>
          <w:color w:val="auto"/>
          <w:sz w:val="21"/>
          <w:szCs w:val="24"/>
          <w:highlight w:val="none"/>
        </w:rPr>
      </w:pPr>
      <w:r>
        <w:rPr>
          <w:rFonts w:hint="eastAsia" w:ascii="宋体" w:hAnsi="宋体"/>
          <w:color w:val="auto"/>
          <w:sz w:val="21"/>
          <w:szCs w:val="24"/>
          <w:highlight w:val="none"/>
        </w:rPr>
        <w:t>3、投标单位应当在投标时根据招标人提供的下述第5点清单，在投标施工组织中编制专项施工方案。</w:t>
      </w:r>
    </w:p>
    <w:p>
      <w:pPr>
        <w:spacing w:line="340" w:lineRule="exact"/>
        <w:ind w:firstLine="420" w:firstLineChars="200"/>
        <w:jc w:val="both"/>
        <w:rPr>
          <w:rFonts w:ascii="宋体" w:hAnsi="宋体"/>
          <w:color w:val="auto"/>
          <w:sz w:val="21"/>
          <w:szCs w:val="24"/>
          <w:highlight w:val="none"/>
        </w:rPr>
      </w:pPr>
      <w:r>
        <w:rPr>
          <w:rFonts w:hint="eastAsia" w:ascii="宋体" w:hAnsi="宋体"/>
          <w:color w:val="auto"/>
          <w:sz w:val="21"/>
          <w:szCs w:val="24"/>
          <w:highlight w:val="none"/>
        </w:rPr>
        <w:t>4、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pPr>
        <w:spacing w:after="60" w:line="340" w:lineRule="exact"/>
        <w:ind w:firstLine="420" w:firstLineChars="200"/>
        <w:jc w:val="both"/>
        <w:rPr>
          <w:rFonts w:ascii="宋体" w:hAnsi="宋体"/>
          <w:color w:val="auto"/>
          <w:sz w:val="22"/>
          <w:szCs w:val="28"/>
          <w:highlight w:val="none"/>
        </w:rPr>
      </w:pPr>
      <w:r>
        <w:rPr>
          <w:rFonts w:hint="eastAsia" w:ascii="宋体" w:hAnsi="宋体"/>
          <w:color w:val="auto"/>
          <w:sz w:val="21"/>
          <w:szCs w:val="24"/>
          <w:highlight w:val="none"/>
        </w:rPr>
        <w:t>5、危险性较大的分部分项工程清单及超过一定规模的危险性较大的分部分项工程清单：</w:t>
      </w:r>
    </w:p>
    <w:tbl>
      <w:tblPr>
        <w:tblStyle w:val="2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7"/>
        <w:gridCol w:w="1081"/>
        <w:gridCol w:w="1134"/>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37" w:type="dxa"/>
            <w:shd w:val="clear" w:color="auto" w:fill="auto"/>
            <w:vAlign w:val="center"/>
          </w:tcPr>
          <w:p>
            <w:pPr>
              <w:spacing w:line="320" w:lineRule="exact"/>
              <w:jc w:val="center"/>
              <w:rPr>
                <w:rFonts w:ascii="宋体" w:hAnsi="宋体"/>
                <w:b/>
                <w:color w:val="auto"/>
                <w:sz w:val="21"/>
                <w:szCs w:val="24"/>
                <w:highlight w:val="none"/>
              </w:rPr>
            </w:pPr>
            <w:r>
              <w:rPr>
                <w:rFonts w:hint="eastAsia" w:ascii="宋体" w:hAnsi="宋体"/>
                <w:b/>
                <w:color w:val="auto"/>
                <w:sz w:val="21"/>
                <w:szCs w:val="24"/>
                <w:highlight w:val="none"/>
              </w:rPr>
              <w:t>一、危险性较大的分部分项工程清单</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建设单位</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投标单位</w:t>
            </w:r>
          </w:p>
        </w:tc>
        <w:tc>
          <w:tcPr>
            <w:tcW w:w="1328" w:type="dxa"/>
            <w:shd w:val="clear" w:color="auto" w:fill="auto"/>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一、基坑支护</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（一）开挖深度超过3m（含3m）的基坑（槽）的土方开挖、支护、降水工程。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（二）开挖深度虽未超过3m，但地质条件、周围环境和地下管线复杂，或影响毗邻建、构筑物安全的基坑（槽）的土方开挖、支护、降水工程。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二、模板工程及支撑体系</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（一）各类工具式模板工程：包括滑模、爬模、飞模、隧道模等工程。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widowControl/>
              <w:spacing w:line="320" w:lineRule="exact"/>
              <w:rPr>
                <w:rFonts w:ascii="宋体" w:hAnsi="宋体" w:cs="宋体"/>
                <w:color w:val="auto"/>
                <w:sz w:val="21"/>
                <w:szCs w:val="24"/>
                <w:highlight w:val="none"/>
              </w:rPr>
            </w:pPr>
            <w:r>
              <w:rPr>
                <w:rFonts w:hint="eastAsia" w:ascii="宋体" w:hAnsi="宋体" w:cs="宋体"/>
                <w:color w:val="auto"/>
                <w:sz w:val="21"/>
                <w:szCs w:val="24"/>
                <w:highlight w:val="none"/>
              </w:rPr>
              <w:t>（三）承重支撑体系：用于钢结构安装等满堂支撑体系。</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widowControl/>
              <w:spacing w:line="320" w:lineRule="exact"/>
              <w:rPr>
                <w:rFonts w:ascii="宋体" w:hAnsi="宋体" w:cs="宋体"/>
                <w:color w:val="auto"/>
                <w:sz w:val="21"/>
                <w:szCs w:val="24"/>
                <w:highlight w:val="none"/>
              </w:rPr>
            </w:pPr>
            <w:r>
              <w:rPr>
                <w:rFonts w:hint="eastAsia" w:ascii="宋体" w:hAnsi="宋体" w:cs="宋体"/>
                <w:color w:val="auto"/>
                <w:sz w:val="21"/>
                <w:szCs w:val="24"/>
                <w:highlight w:val="none"/>
              </w:rPr>
              <w:t>三、起重吊装及起重机械安装拆卸工程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widowControl/>
              <w:spacing w:line="320" w:lineRule="exact"/>
              <w:rPr>
                <w:rFonts w:ascii="宋体" w:hAnsi="宋体" w:cs="宋体"/>
                <w:color w:val="auto"/>
                <w:sz w:val="21"/>
                <w:szCs w:val="24"/>
                <w:highlight w:val="none"/>
              </w:rPr>
            </w:pPr>
            <w:r>
              <w:rPr>
                <w:rFonts w:hint="eastAsia" w:ascii="宋体" w:hAnsi="宋体" w:cs="宋体"/>
                <w:color w:val="auto"/>
                <w:sz w:val="21"/>
                <w:szCs w:val="24"/>
                <w:highlight w:val="none"/>
              </w:rPr>
              <w:t>（一）采用非常规起重设备、方法，且单件起吊重量在10kN及以上的起重吊装工程。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w:t>
            </w:r>
            <w:r>
              <w:rPr>
                <w:rFonts w:hint="eastAsia" w:ascii="宋体" w:hAnsi="宋体"/>
                <w:color w:val="auto"/>
                <w:sz w:val="21"/>
                <w:szCs w:val="21"/>
                <w:highlight w:val="none"/>
              </w:rPr>
              <w:t>√</w:t>
            </w:r>
            <w:r>
              <w:rPr>
                <w:rFonts w:ascii="宋体" w:hAnsi="宋体"/>
                <w:color w:val="auto"/>
                <w:sz w:val="21"/>
                <w:szCs w:val="36"/>
                <w:highlight w:val="none"/>
              </w:rPr>
              <w:t xml:space="preserve"> </w:t>
            </w:r>
            <w:r>
              <w:rPr>
                <w:rFonts w:hint="eastAsia" w:ascii="宋体" w:hAnsi="宋体"/>
                <w:color w:val="auto"/>
                <w:sz w:val="21"/>
                <w:szCs w:val="36"/>
                <w:highlight w:val="none"/>
              </w:rPr>
              <w:t>)</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szCs w:val="21"/>
                <w:highlight w:val="none"/>
              </w:rPr>
            </w:pPr>
            <w:r>
              <w:rPr>
                <w:rFonts w:hint="eastAsia"/>
                <w:color w:val="auto"/>
                <w:sz w:val="21"/>
                <w:szCs w:val="21"/>
                <w:highlight w:val="none"/>
              </w:rPr>
              <w:t>部分电梯的曳引主机超过1</w:t>
            </w:r>
            <w:r>
              <w:rPr>
                <w:color w:val="auto"/>
                <w:sz w:val="21"/>
                <w:szCs w:val="21"/>
                <w:highlight w:val="none"/>
              </w:rPr>
              <w:t>0KN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s="宋体"/>
                <w:color w:val="auto"/>
                <w:sz w:val="21"/>
                <w:szCs w:val="24"/>
                <w:highlight w:val="none"/>
              </w:rPr>
              <w:t>（二）采用起重机械进行安装的工程。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w:t>
            </w:r>
            <w:r>
              <w:rPr>
                <w:rFonts w:hint="eastAsia" w:asciiTheme="minorEastAsia" w:hAnsiTheme="minorEastAsia" w:eastAsiaTheme="minorEastAsia"/>
                <w:color w:val="auto"/>
                <w:sz w:val="21"/>
                <w:szCs w:val="21"/>
                <w:highlight w:val="none"/>
              </w:rPr>
              <w:t>√</w:t>
            </w:r>
            <w:r>
              <w:rPr>
                <w:rFonts w:hint="eastAsia" w:ascii="宋体" w:hAnsi="宋体"/>
                <w:color w:val="auto"/>
                <w:sz w:val="21"/>
                <w:szCs w:val="36"/>
                <w:highlight w:val="none"/>
              </w:rPr>
              <w:t xml:space="preserve">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s="宋体"/>
                <w:color w:val="auto"/>
                <w:sz w:val="21"/>
                <w:szCs w:val="24"/>
                <w:highlight w:val="none"/>
              </w:rPr>
            </w:pPr>
            <w:r>
              <w:rPr>
                <w:rFonts w:hint="eastAsia" w:ascii="宋体" w:hAnsi="宋体" w:cs="宋体"/>
                <w:color w:val="auto"/>
                <w:sz w:val="21"/>
                <w:szCs w:val="24"/>
                <w:highlight w:val="none"/>
              </w:rPr>
              <w:t>（三）起重机械安装和拆卸工程。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四、脚手架工程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（一）搭设高度24m及以上的落地式钢管脚手架工程（包括采光井、电梯井脚手架）。</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xml:space="preserve">(  </w:t>
            </w:r>
            <w:r>
              <w:rPr>
                <w:rFonts w:hint="eastAsia" w:ascii="宋体 ，Arial" w:eastAsia="宋体 ，Arial"/>
                <w:color w:val="auto"/>
                <w:szCs w:val="24"/>
                <w:highlight w:val="none"/>
              </w:rPr>
              <w:t>√</w:t>
            </w:r>
            <w:r>
              <w:rPr>
                <w:rFonts w:ascii="宋体" w:hAnsi="宋体"/>
                <w:color w:val="auto"/>
                <w:sz w:val="21"/>
                <w:szCs w:val="36"/>
                <w:highlight w:val="none"/>
              </w:rPr>
              <w:t xml:space="preserve"> </w:t>
            </w:r>
            <w:r>
              <w:rPr>
                <w:rFonts w:hint="eastAsia" w:ascii="宋体" w:hAnsi="宋体"/>
                <w:color w:val="auto"/>
                <w:sz w:val="21"/>
                <w:szCs w:val="36"/>
                <w:highlight w:val="none"/>
              </w:rPr>
              <w:t>)</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w:t>
            </w:r>
            <w:r>
              <w:rPr>
                <w:rFonts w:hint="eastAsia" w:ascii="宋体" w:hAnsi="宋体"/>
                <w:color w:val="auto"/>
                <w:sz w:val="21"/>
                <w:szCs w:val="24"/>
                <w:highlight w:val="none"/>
              </w:rPr>
              <w:t xml:space="preserve"> </w:t>
            </w:r>
            <w:r>
              <w:rPr>
                <w:rFonts w:ascii="宋体" w:hAnsi="宋体"/>
                <w:color w:val="auto"/>
                <w:sz w:val="21"/>
                <w:szCs w:val="24"/>
                <w:highlight w:val="none"/>
              </w:rPr>
              <w:t xml:space="preserve">  </w:t>
            </w:r>
            <w:r>
              <w:rPr>
                <w:rFonts w:hint="eastAsia" w:ascii="宋体" w:hAnsi="宋体"/>
                <w:color w:val="auto"/>
                <w:sz w:val="21"/>
                <w:szCs w:val="36"/>
                <w:highlight w:val="none"/>
              </w:rPr>
              <w:t xml:space="preserve"> )</w:t>
            </w:r>
          </w:p>
        </w:tc>
        <w:tc>
          <w:tcPr>
            <w:tcW w:w="1328" w:type="dxa"/>
            <w:shd w:val="clear" w:color="auto" w:fill="auto"/>
            <w:vAlign w:val="center"/>
          </w:tcPr>
          <w:p>
            <w:pPr>
              <w:spacing w:line="320" w:lineRule="exact"/>
              <w:jc w:val="center"/>
              <w:rPr>
                <w:rFonts w:ascii="宋体" w:hAnsi="宋体"/>
                <w:color w:val="auto"/>
                <w:sz w:val="21"/>
                <w:szCs w:val="21"/>
                <w:highlight w:val="none"/>
              </w:rPr>
            </w:pPr>
            <w:r>
              <w:rPr>
                <w:rFonts w:hint="eastAsia"/>
                <w:color w:val="auto"/>
                <w:sz w:val="21"/>
                <w:szCs w:val="21"/>
                <w:highlight w:val="none"/>
              </w:rPr>
              <w:t>电梯井道安装需脚手架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（二）附着式升降脚手架工程。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w:t>
            </w:r>
            <w:r>
              <w:rPr>
                <w:rFonts w:hint="eastAsia" w:ascii="宋体" w:hAnsi="宋体"/>
                <w:color w:val="auto"/>
                <w:sz w:val="21"/>
                <w:szCs w:val="24"/>
                <w:highlight w:val="none"/>
              </w:rPr>
              <w:t xml:space="preserve"> </w:t>
            </w:r>
            <w:r>
              <w:rPr>
                <w:rFonts w:ascii="宋体" w:hAnsi="宋体"/>
                <w:color w:val="auto"/>
                <w:sz w:val="21"/>
                <w:szCs w:val="24"/>
                <w:highlight w:val="none"/>
              </w:rPr>
              <w:t xml:space="preserve">  </w:t>
            </w:r>
            <w:r>
              <w:rPr>
                <w:rFonts w:hint="eastAsia" w:ascii="宋体" w:hAnsi="宋体"/>
                <w:color w:val="auto"/>
                <w:sz w:val="21"/>
                <w:szCs w:val="36"/>
                <w:highlight w:val="none"/>
              </w:rPr>
              <w:t xml:space="preserve"> )</w:t>
            </w:r>
          </w:p>
        </w:tc>
        <w:tc>
          <w:tcPr>
            <w:tcW w:w="1328" w:type="dxa"/>
            <w:shd w:val="clear" w:color="auto" w:fill="auto"/>
            <w:vAlign w:val="center"/>
          </w:tcPr>
          <w:p>
            <w:pPr>
              <w:spacing w:line="32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（三）悬挑式脚手架工程。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w:t>
            </w:r>
            <w:r>
              <w:rPr>
                <w:rFonts w:hint="eastAsia" w:ascii="宋体" w:hAnsi="宋体"/>
                <w:color w:val="auto"/>
                <w:sz w:val="21"/>
                <w:szCs w:val="24"/>
                <w:highlight w:val="none"/>
              </w:rPr>
              <w:t xml:space="preserve"> </w:t>
            </w:r>
            <w:r>
              <w:rPr>
                <w:rFonts w:ascii="宋体" w:hAnsi="宋体"/>
                <w:color w:val="auto"/>
                <w:sz w:val="21"/>
                <w:szCs w:val="24"/>
                <w:highlight w:val="none"/>
              </w:rPr>
              <w:t xml:space="preserve">  </w:t>
            </w:r>
            <w:r>
              <w:rPr>
                <w:rFonts w:hint="eastAsia" w:ascii="宋体" w:hAnsi="宋体"/>
                <w:color w:val="auto"/>
                <w:sz w:val="21"/>
                <w:szCs w:val="36"/>
                <w:highlight w:val="none"/>
              </w:rPr>
              <w:t xml:space="preserve">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（四）高处作业吊篮。</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xml:space="preserve">(  </w:t>
            </w:r>
            <w:r>
              <w:rPr>
                <w:rFonts w:ascii="宋体" w:hAnsi="宋体"/>
                <w:color w:val="auto"/>
                <w:sz w:val="21"/>
                <w:szCs w:val="36"/>
                <w:highlight w:val="none"/>
              </w:rPr>
              <w:t xml:space="preserve"> </w:t>
            </w:r>
            <w:r>
              <w:rPr>
                <w:rFonts w:hint="eastAsia" w:ascii="宋体" w:hAnsi="宋体"/>
                <w:color w:val="auto"/>
                <w:sz w:val="21"/>
                <w:szCs w:val="36"/>
                <w:highlight w:val="none"/>
              </w:rPr>
              <w:t xml:space="preserve">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w:t>
            </w:r>
            <w:r>
              <w:rPr>
                <w:rFonts w:hint="eastAsia" w:ascii="宋体" w:hAnsi="宋体"/>
                <w:color w:val="auto"/>
                <w:sz w:val="21"/>
                <w:szCs w:val="24"/>
                <w:highlight w:val="none"/>
              </w:rPr>
              <w:t xml:space="preserve"> </w:t>
            </w:r>
            <w:r>
              <w:rPr>
                <w:rFonts w:ascii="宋体" w:hAnsi="宋体"/>
                <w:color w:val="auto"/>
                <w:sz w:val="21"/>
                <w:szCs w:val="24"/>
                <w:highlight w:val="none"/>
              </w:rPr>
              <w:t xml:space="preserve">  </w:t>
            </w:r>
            <w:r>
              <w:rPr>
                <w:rFonts w:hint="eastAsia" w:ascii="宋体" w:hAnsi="宋体"/>
                <w:color w:val="auto"/>
                <w:sz w:val="21"/>
                <w:szCs w:val="36"/>
                <w:highlight w:val="none"/>
              </w:rPr>
              <w:t xml:space="preserve">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（五）卸料平台、操作平台工程。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xml:space="preserve">(  </w:t>
            </w:r>
            <w:r>
              <w:rPr>
                <w:rFonts w:ascii="宋体" w:hAnsi="宋体"/>
                <w:color w:val="auto"/>
                <w:sz w:val="21"/>
                <w:szCs w:val="36"/>
                <w:highlight w:val="none"/>
              </w:rPr>
              <w:t xml:space="preserve"> </w:t>
            </w:r>
            <w:r>
              <w:rPr>
                <w:rFonts w:hint="eastAsia" w:ascii="宋体" w:hAnsi="宋体"/>
                <w:color w:val="auto"/>
                <w:sz w:val="21"/>
                <w:szCs w:val="36"/>
                <w:highlight w:val="none"/>
              </w:rPr>
              <w:t xml:space="preserve">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w:t>
            </w:r>
            <w:r>
              <w:rPr>
                <w:rFonts w:hint="eastAsia" w:ascii="宋体" w:hAnsi="宋体"/>
                <w:color w:val="auto"/>
                <w:sz w:val="21"/>
                <w:szCs w:val="24"/>
                <w:highlight w:val="none"/>
              </w:rPr>
              <w:t xml:space="preserve"> </w:t>
            </w:r>
            <w:r>
              <w:rPr>
                <w:rFonts w:ascii="宋体" w:hAnsi="宋体"/>
                <w:color w:val="auto"/>
                <w:sz w:val="21"/>
                <w:szCs w:val="24"/>
                <w:highlight w:val="none"/>
              </w:rPr>
              <w:t xml:space="preserve">  </w:t>
            </w:r>
            <w:r>
              <w:rPr>
                <w:rFonts w:hint="eastAsia" w:ascii="宋体" w:hAnsi="宋体"/>
                <w:color w:val="auto"/>
                <w:sz w:val="21"/>
                <w:szCs w:val="36"/>
                <w:highlight w:val="none"/>
              </w:rPr>
              <w:t xml:space="preserve">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（六）异型脚手架工程。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w:t>
            </w:r>
            <w:r>
              <w:rPr>
                <w:rFonts w:hint="eastAsia" w:ascii="宋体" w:hAnsi="宋体"/>
                <w:color w:val="auto"/>
                <w:sz w:val="21"/>
                <w:szCs w:val="24"/>
                <w:highlight w:val="none"/>
              </w:rPr>
              <w:t xml:space="preserve"> </w:t>
            </w:r>
            <w:r>
              <w:rPr>
                <w:rFonts w:ascii="宋体" w:hAnsi="宋体"/>
                <w:color w:val="auto"/>
                <w:sz w:val="21"/>
                <w:szCs w:val="24"/>
                <w:highlight w:val="none"/>
              </w:rPr>
              <w:t xml:space="preserve"> </w:t>
            </w:r>
            <w:r>
              <w:rPr>
                <w:rFonts w:hint="eastAsia" w:ascii="宋体" w:hAnsi="宋体"/>
                <w:color w:val="auto"/>
                <w:sz w:val="21"/>
                <w:szCs w:val="36"/>
                <w:highlight w:val="none"/>
              </w:rPr>
              <w:t xml:space="preserve">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五、拆除工程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可能影响行人、交通、电力设施、通讯设施或其它建、构筑物安全的拆除工程。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六、暗挖工程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采用矿山法、盾构法、顶管法施工的隧道、洞室工程。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七、其它</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（一）建筑幕墙安装工程。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xml:space="preserve">( </w:t>
            </w:r>
            <w:r>
              <w:rPr>
                <w:rFonts w:hint="eastAsia" w:ascii="宋体" w:hAnsi="宋体"/>
                <w:color w:val="auto"/>
                <w:sz w:val="21"/>
                <w:szCs w:val="24"/>
                <w:highlight w:val="none"/>
              </w:rPr>
              <w:t xml:space="preserve">  </w:t>
            </w:r>
            <w:r>
              <w:rPr>
                <w:rFonts w:hint="eastAsia" w:ascii="宋体" w:hAnsi="宋体"/>
                <w:color w:val="auto"/>
                <w:sz w:val="21"/>
                <w:szCs w:val="36"/>
                <w:highlight w:val="none"/>
              </w:rPr>
              <w:t xml:space="preserve">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（二）钢结构、网架和索膜结构安装工程。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w:t>
            </w:r>
            <w:r>
              <w:rPr>
                <w:rFonts w:hint="eastAsia" w:ascii="宋体" w:hAnsi="宋体"/>
                <w:color w:val="auto"/>
                <w:sz w:val="21"/>
                <w:szCs w:val="24"/>
                <w:highlight w:val="none"/>
              </w:rPr>
              <w:t xml:space="preserve"> </w:t>
            </w:r>
            <w:r>
              <w:rPr>
                <w:rFonts w:ascii="宋体" w:hAnsi="宋体"/>
                <w:color w:val="auto"/>
                <w:sz w:val="21"/>
                <w:szCs w:val="24"/>
                <w:highlight w:val="none"/>
              </w:rPr>
              <w:t xml:space="preserve">  </w:t>
            </w:r>
            <w:r>
              <w:rPr>
                <w:rFonts w:hint="eastAsia" w:ascii="宋体" w:hAnsi="宋体"/>
                <w:color w:val="auto"/>
                <w:sz w:val="21"/>
                <w:szCs w:val="36"/>
                <w:highlight w:val="none"/>
              </w:rPr>
              <w:t xml:space="preserve">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（三）人工挖孔桩工程。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（四）水下作业工程。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（五）装配式建筑混凝土预制构件安装工程。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（六）采用新技术、新工艺、新材料、新设备可能影响工程施工安全，尚无国家、行业及地方技术标准的分部分项工程。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widowControl/>
              <w:spacing w:line="320" w:lineRule="exact"/>
              <w:jc w:val="center"/>
              <w:rPr>
                <w:rFonts w:ascii="宋体" w:hAnsi="宋体" w:cs="宋体"/>
                <w:b/>
                <w:color w:val="auto"/>
                <w:sz w:val="21"/>
                <w:szCs w:val="24"/>
                <w:highlight w:val="none"/>
              </w:rPr>
            </w:pPr>
            <w:r>
              <w:rPr>
                <w:rFonts w:hint="eastAsia" w:ascii="宋体" w:hAnsi="宋体" w:cs="宋体"/>
                <w:b/>
                <w:bCs/>
                <w:color w:val="auto"/>
                <w:sz w:val="21"/>
                <w:szCs w:val="24"/>
                <w:highlight w:val="none"/>
              </w:rPr>
              <w:t>二、超过一定规模的危险性较大的分部分项工程清单</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一、深基坑工程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开挖深度超过5m（含5m）的基坑（槽）的土方开挖、支护、降水工程。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二、模板工程及支撑体系</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（一）各类工具式模板工程：包括滑模、爬模、飞模、隧道模等工程。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（二）混凝土模板支撑工程：搭设高度8m及以上，或搭设跨度18m及以上，或施工总荷载（设计值）15kN/m</w:t>
            </w:r>
            <w:r>
              <w:rPr>
                <w:rFonts w:hint="eastAsia" w:ascii="宋体" w:hAnsi="宋体"/>
                <w:color w:val="auto"/>
                <w:sz w:val="21"/>
                <w:szCs w:val="24"/>
                <w:highlight w:val="none"/>
                <w:vertAlign w:val="superscript"/>
              </w:rPr>
              <w:t>2</w:t>
            </w:r>
            <w:r>
              <w:rPr>
                <w:rFonts w:hint="eastAsia" w:ascii="宋体" w:hAnsi="宋体"/>
                <w:color w:val="auto"/>
                <w:sz w:val="21"/>
                <w:szCs w:val="24"/>
                <w:highlight w:val="none"/>
              </w:rPr>
              <w:t>及以上，或集中线荷载（设计值）20kN/m及以上。</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（三）承重支撑体系：用于钢结构安装等满堂支撑体系，承受单点集中荷载7kN及以上。</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　三、起重吊装及起重机械安装拆卸工程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（一）采用非常规起重设备、方法，且单件起吊重量在100kN及以上的起重吊装工程。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（二）起重量300kN及以上，或搭设总高度200m及以上，或搭设基础标高在200m及以上的起重机械安装和拆卸工程。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四、脚手架工程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（一）搭设高度50m及以上的落地式钢管脚手架工程。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w:t>
            </w:r>
            <w:r>
              <w:rPr>
                <w:rFonts w:hint="eastAsia" w:ascii="宋体 ，Arial" w:eastAsia="宋体 ，Arial"/>
                <w:color w:val="auto"/>
                <w:sz w:val="21"/>
                <w:szCs w:val="21"/>
                <w:highlight w:val="none"/>
              </w:rPr>
              <w:t>√</w:t>
            </w:r>
            <w:r>
              <w:rPr>
                <w:rFonts w:hint="eastAsia" w:ascii="宋体" w:hAnsi="宋体"/>
                <w:color w:val="auto"/>
                <w:sz w:val="21"/>
                <w:szCs w:val="36"/>
                <w:highlight w:val="none"/>
              </w:rPr>
              <w:t xml:space="preserve">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xml:space="preserve">(  </w:t>
            </w:r>
            <w:r>
              <w:rPr>
                <w:rFonts w:hint="eastAsia" w:ascii="宋体" w:hAnsi="宋体"/>
                <w:color w:val="auto"/>
                <w:sz w:val="21"/>
                <w:szCs w:val="24"/>
                <w:highlight w:val="none"/>
              </w:rPr>
              <w:t xml:space="preserve"> </w:t>
            </w:r>
            <w:r>
              <w:rPr>
                <w:rFonts w:hint="eastAsia" w:ascii="宋体" w:hAnsi="宋体"/>
                <w:color w:val="auto"/>
                <w:sz w:val="21"/>
                <w:szCs w:val="36"/>
                <w:highlight w:val="none"/>
              </w:rPr>
              <w:t xml:space="preserve"> )</w:t>
            </w:r>
          </w:p>
        </w:tc>
        <w:tc>
          <w:tcPr>
            <w:tcW w:w="1328" w:type="dxa"/>
            <w:shd w:val="clear" w:color="auto" w:fill="auto"/>
            <w:vAlign w:val="center"/>
          </w:tcPr>
          <w:p>
            <w:pPr>
              <w:spacing w:line="320" w:lineRule="exact"/>
              <w:jc w:val="center"/>
              <w:rPr>
                <w:rFonts w:ascii="宋体" w:hAnsi="宋体"/>
                <w:color w:val="auto"/>
                <w:sz w:val="21"/>
                <w:highlight w:val="none"/>
              </w:rPr>
            </w:pPr>
            <w:r>
              <w:rPr>
                <w:rFonts w:hint="eastAsia" w:ascii="宋体" w:hAnsi="宋体"/>
                <w:color w:val="auto"/>
                <w:sz w:val="21"/>
                <w:highlight w:val="none"/>
              </w:rPr>
              <w:t>电梯井道安装需脚手架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（二）提升高度在150m及以上的附着式升降脚手架工程或附着式升降操作平台工程。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（三）分段架体搭设高度20m及以上的悬挑式脚手架工程。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xml:space="preserve">(  </w:t>
            </w:r>
            <w:r>
              <w:rPr>
                <w:rFonts w:hint="eastAsia" w:ascii="宋体" w:hAnsi="宋体"/>
                <w:color w:val="auto"/>
                <w:sz w:val="21"/>
                <w:szCs w:val="24"/>
                <w:highlight w:val="none"/>
              </w:rPr>
              <w:t xml:space="preserve"> </w:t>
            </w:r>
            <w:r>
              <w:rPr>
                <w:rFonts w:hint="eastAsia" w:ascii="宋体" w:hAnsi="宋体"/>
                <w:color w:val="auto"/>
                <w:sz w:val="21"/>
                <w:szCs w:val="36"/>
                <w:highlight w:val="none"/>
              </w:rPr>
              <w:t xml:space="preserve">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五、拆除工程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（一）码头、桥梁、高架、烟囱、水塔或拆除中容易引起有毒有害气（液）体或粉尘扩散、易燃易爆事故发生的特殊建、构筑物的拆除工程。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（二）文物保护建筑、优秀历史建筑或历史文化风貌区影响范围内的拆除工程。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六、暗挖工程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采用矿山法、盾构法、顶管法施工的隧道、洞室工程。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七、其它</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（一）施工高度50m及以上的建筑幕墙安装工程。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（二）跨度36m及以上的钢结构安装工程，或跨度60m及以上的网架和索膜结构安装工程。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（三）开挖深度16m及以上的人工挖孔桩工程。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（四）水下作业工程。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（五）重量1000kN及以上的大型结构整体顶升、平移、转体等施工工艺。</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shd w:val="clear" w:color="auto" w:fill="auto"/>
          </w:tcPr>
          <w:p>
            <w:pPr>
              <w:spacing w:line="320" w:lineRule="exact"/>
              <w:rPr>
                <w:rFonts w:ascii="宋体" w:hAnsi="宋体"/>
                <w:color w:val="auto"/>
                <w:sz w:val="21"/>
                <w:szCs w:val="24"/>
                <w:highlight w:val="none"/>
              </w:rPr>
            </w:pPr>
            <w:r>
              <w:rPr>
                <w:rFonts w:hint="eastAsia" w:ascii="宋体" w:hAnsi="宋体"/>
                <w:color w:val="auto"/>
                <w:sz w:val="21"/>
                <w:szCs w:val="24"/>
                <w:highlight w:val="none"/>
              </w:rPr>
              <w:t>（六）采用新技术、新工艺、新材料、新设备可能影响工程施工安全，尚无国家、行业及地方技术标准的分部分项工程。</w:t>
            </w:r>
          </w:p>
        </w:tc>
        <w:tc>
          <w:tcPr>
            <w:tcW w:w="1081"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134" w:type="dxa"/>
            <w:vAlign w:val="center"/>
          </w:tcPr>
          <w:p>
            <w:pPr>
              <w:spacing w:line="320" w:lineRule="exact"/>
              <w:jc w:val="center"/>
              <w:rPr>
                <w:rFonts w:ascii="宋体" w:hAnsi="宋体"/>
                <w:color w:val="auto"/>
                <w:sz w:val="21"/>
                <w:szCs w:val="36"/>
                <w:highlight w:val="none"/>
              </w:rPr>
            </w:pPr>
            <w:r>
              <w:rPr>
                <w:rFonts w:hint="eastAsia" w:ascii="宋体" w:hAnsi="宋体"/>
                <w:color w:val="auto"/>
                <w:sz w:val="21"/>
                <w:szCs w:val="36"/>
                <w:highlight w:val="none"/>
              </w:rPr>
              <w:t>(    )</w:t>
            </w:r>
          </w:p>
        </w:tc>
        <w:tc>
          <w:tcPr>
            <w:tcW w:w="1328" w:type="dxa"/>
            <w:shd w:val="clear" w:color="auto" w:fill="auto"/>
            <w:vAlign w:val="center"/>
          </w:tcPr>
          <w:p>
            <w:pPr>
              <w:spacing w:line="320" w:lineRule="exact"/>
              <w:jc w:val="center"/>
              <w:rPr>
                <w:rFonts w:ascii="宋体" w:hAnsi="宋体"/>
                <w:color w:val="auto"/>
                <w:sz w:val="21"/>
                <w:highlight w:val="none"/>
              </w:rPr>
            </w:pPr>
          </w:p>
        </w:tc>
      </w:tr>
    </w:tbl>
    <w:p>
      <w:pPr>
        <w:pStyle w:val="49"/>
        <w:ind w:left="0" w:leftChars="0" w:firstLine="0" w:firstLineChars="0"/>
        <w:rPr>
          <w:rFonts w:ascii="宋体" w:hAnsi="宋体"/>
          <w:b/>
          <w:color w:val="auto"/>
          <w:kern w:val="0"/>
          <w:sz w:val="28"/>
          <w:szCs w:val="36"/>
          <w:highlight w:val="none"/>
        </w:rPr>
      </w:pPr>
    </w:p>
    <w:p>
      <w:pPr>
        <w:pStyle w:val="49"/>
        <w:ind w:left="0" w:leftChars="0" w:firstLine="0" w:firstLineChars="0"/>
        <w:rPr>
          <w:color w:val="auto"/>
          <w:highlight w:val="none"/>
        </w:rPr>
      </w:pPr>
    </w:p>
    <w:p>
      <w:pPr>
        <w:spacing w:line="360" w:lineRule="auto"/>
        <w:ind w:left="425" w:leftChars="177"/>
        <w:rPr>
          <w:color w:val="auto"/>
          <w:sz w:val="21"/>
          <w:szCs w:val="21"/>
          <w:highlight w:val="none"/>
        </w:rPr>
      </w:pPr>
      <w:r>
        <w:rPr>
          <w:rFonts w:hint="eastAsia"/>
          <w:color w:val="auto"/>
          <w:sz w:val="21"/>
          <w:szCs w:val="21"/>
          <w:highlight w:val="none"/>
        </w:rPr>
        <w:t>投标单位（盖章）：</w:t>
      </w:r>
    </w:p>
    <w:p>
      <w:pPr>
        <w:pStyle w:val="49"/>
        <w:spacing w:line="360" w:lineRule="auto"/>
        <w:ind w:left="425" w:leftChars="177" w:firstLine="0" w:firstLineChars="0"/>
        <w:rPr>
          <w:rFonts w:ascii="宋体" w:hAnsi="宋体" w:cs="宋体"/>
          <w:color w:val="auto"/>
          <w:szCs w:val="21"/>
          <w:highlight w:val="none"/>
        </w:rPr>
      </w:pPr>
      <w:r>
        <w:rPr>
          <w:rFonts w:hint="eastAsia" w:ascii="宋体" w:hAnsi="宋体" w:cs="宋体"/>
          <w:color w:val="auto"/>
          <w:szCs w:val="21"/>
          <w:highlight w:val="none"/>
        </w:rPr>
        <w:t>法定代表人或其授权代理人（签字或盖章）：</w:t>
      </w:r>
    </w:p>
    <w:p>
      <w:pPr>
        <w:pStyle w:val="49"/>
        <w:spacing w:line="360" w:lineRule="auto"/>
        <w:ind w:left="425" w:leftChars="177" w:firstLine="0" w:firstLineChars="0"/>
        <w:rPr>
          <w:rFonts w:ascii="宋体" w:hAnsi="宋体" w:cs="宋体"/>
          <w:color w:val="auto"/>
          <w:szCs w:val="21"/>
          <w:highlight w:val="none"/>
        </w:rPr>
      </w:pPr>
      <w:r>
        <w:rPr>
          <w:rFonts w:hint="eastAsia" w:ascii="宋体" w:hAnsi="宋体" w:cs="宋体"/>
          <w:color w:val="auto"/>
          <w:szCs w:val="21"/>
          <w:highlight w:val="none"/>
        </w:rPr>
        <w:t>日期：</w:t>
      </w:r>
    </w:p>
    <w:sectPr>
      <w:pgSz w:w="11907" w:h="16840"/>
      <w:pgMar w:top="1418" w:right="1418" w:bottom="1418" w:left="1418" w:header="0" w:footer="122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Microsoft YaHei UI">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等线">
    <w:panose1 w:val="02010600030101010101"/>
    <w:charset w:val="86"/>
    <w:family w:val="auto"/>
    <w:pitch w:val="default"/>
    <w:sig w:usb0="A00002BF" w:usb1="38CF7CFA" w:usb2="00000016" w:usb3="00000000" w:csb0="0004000F" w:csb1="00000000"/>
  </w:font>
  <w:font w:name="仿宋体">
    <w:altName w:val="宋体"/>
    <w:panose1 w:val="00000000000000000000"/>
    <w:charset w:val="86"/>
    <w:family w:val="roma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宋体 ，Arial">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insoku w:val="0"/>
      <w:overflowPunct w:val="0"/>
      <w:spacing w:line="14" w:lineRule="auto"/>
      <w:ind w:left="0"/>
      <w:rPr>
        <w:rFonts w:hint="default"/>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insoku w:val="0"/>
      <w:overflowPunct w:val="0"/>
      <w:spacing w:line="14" w:lineRule="auto"/>
      <w:ind w:left="0"/>
      <w:rPr>
        <w:rFonts w:hint="default"/>
        <w:sz w:val="20"/>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6" name="文本框 32"/>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9"/>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txbxContent>
                    </wps:txbx>
                    <wps:bodyPr rot="0" vert="horz" wrap="none" lIns="0" tIns="0" rIns="0" bIns="0" anchor="t" anchorCtr="0" upright="1">
                      <a:spAutoFit/>
                    </wps:bodyPr>
                  </wps:wsp>
                </a:graphicData>
              </a:graphic>
            </wp:anchor>
          </w:drawing>
        </mc:Choice>
        <mc:Fallback>
          <w:pict>
            <v:shape id="文本框 32"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K1dd/oLAgAAAwQAAA4AAABkcnMvZTJvRG9jLnhtbK1TzY7TMBC+I/EO&#10;lu80aVcUiJqulq2KkJYfaeEBXMdpLGKPNXablAeAN+C0F+48V5+DsdOUZbnsgYs1tsfffN8348Vl&#10;b1q2V+g12JJPJzlnykqotN2W/POn9bOXnPkgbCVasKrkB+X55fLpk0XnCjWDBtpKISMQ64vOlbwJ&#10;wRVZ5mWjjPATcMrSZQ1oRKAtbrMKRUfops1meT7POsDKIUjlPZ2uhkt+QsTHAEJda6lWIHdG2TCg&#10;ompFIEm+0c7zZWJb10qGD3XtVWBtyUlpSCsVoXgT12y5EMUWhWu0PFEQj6HwQJMR2lLRM9RKBMF2&#10;qP+BMloieKjDRILJBiHJEVIxzR94c9sIp5IWstq7s+n+/8HK9/uPyHRV8jlnVhhq+PHH9+Pdr+PP&#10;b+xiFv3pnC8o7dZRYuhfQ09Tk7R6dwPyi2cWrhtht+oKEbpGiYr4TePL7N7TAcdHkE33DioqJHYB&#10;ElBfo4nmkR2M0Kk3h3NvVB+YjCWn81n+nDNJV9OLVy/y1LtMFONjhz68UWBYDEqO1PoELvY3PkQy&#10;ohhTYi0La922qf2t/euAEuNJIh/5DsxDv+lPZmygOpAMhGGa6C9R0AB+5ayjSSq5pY/DWfvWkhFx&#10;6MYAx2AzBsJKeljywNkQXodhOHcO9bYh3NHqKzJrrZOQ6OrA4cSSZiPpO81xHL77+5T15+8u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GLpYU0AAAAAMBAAAPAAAAAAAAAAEAIAAAACIAAABkcnMv&#10;ZG93bnJldi54bWxQSwECFAAUAAAACACHTuJArV13+gsCAAADBAAADgAAAAAAAAABACAAAAAfAQAA&#10;ZHJzL2Uyb0RvYy54bWxQSwUGAAAAAAYABgBZAQAAnAUAAAAA&#10;">
              <v:fill on="f" focussize="0,0"/>
              <v:stroke on="f"/>
              <v:imagedata o:title=""/>
              <o:lock v:ext="edit" aspectratio="f"/>
              <v:textbox inset="0mm,0mm,0mm,0mm" style="mso-fit-shape-to-text:t;">
                <w:txbxContent>
                  <w:p>
                    <w:pPr>
                      <w:pStyle w:val="19"/>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A"/>
    <w:multiLevelType w:val="multilevel"/>
    <w:tmpl w:val="0000001A"/>
    <w:lvl w:ilvl="0" w:tentative="0">
      <w:start w:val="1"/>
      <w:numFmt w:val="chineseCountingThousand"/>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
    <w:nsid w:val="0DF11079"/>
    <w:multiLevelType w:val="multilevel"/>
    <w:tmpl w:val="0DF1107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7272FCA"/>
    <w:multiLevelType w:val="multilevel"/>
    <w:tmpl w:val="27272FCA"/>
    <w:lvl w:ilvl="0" w:tentative="0">
      <w:start w:val="7"/>
      <w:numFmt w:val="decimal"/>
      <w:lvlText w:val="%1"/>
      <w:lvlJc w:val="left"/>
      <w:pPr>
        <w:ind w:left="450" w:hanging="450"/>
      </w:pPr>
      <w:rPr>
        <w:rFonts w:hint="default"/>
        <w:b/>
      </w:rPr>
    </w:lvl>
    <w:lvl w:ilvl="1" w:tentative="0">
      <w:start w:val="8"/>
      <w:numFmt w:val="decimal"/>
      <w:lvlText w:val="%1.%2"/>
      <w:lvlJc w:val="left"/>
      <w:pPr>
        <w:ind w:left="687" w:hanging="450"/>
      </w:pPr>
      <w:rPr>
        <w:rFonts w:hint="default"/>
        <w:b/>
      </w:rPr>
    </w:lvl>
    <w:lvl w:ilvl="2" w:tentative="0">
      <w:start w:val="1"/>
      <w:numFmt w:val="decimal"/>
      <w:lvlText w:val="%1.%2.%3"/>
      <w:lvlJc w:val="left"/>
      <w:pPr>
        <w:ind w:left="1194" w:hanging="720"/>
      </w:pPr>
      <w:rPr>
        <w:rFonts w:hint="default"/>
        <w:b/>
      </w:rPr>
    </w:lvl>
    <w:lvl w:ilvl="3" w:tentative="0">
      <w:start w:val="1"/>
      <w:numFmt w:val="decimal"/>
      <w:lvlText w:val="%1.%2.%3.%4"/>
      <w:lvlJc w:val="left"/>
      <w:pPr>
        <w:ind w:left="1791" w:hanging="1080"/>
      </w:pPr>
      <w:rPr>
        <w:rFonts w:hint="default"/>
        <w:b/>
      </w:rPr>
    </w:lvl>
    <w:lvl w:ilvl="4" w:tentative="0">
      <w:start w:val="1"/>
      <w:numFmt w:val="decimal"/>
      <w:lvlText w:val="%1.%2.%3.%4.%5"/>
      <w:lvlJc w:val="left"/>
      <w:pPr>
        <w:ind w:left="2028" w:hanging="1080"/>
      </w:pPr>
      <w:rPr>
        <w:rFonts w:hint="default"/>
        <w:b/>
      </w:rPr>
    </w:lvl>
    <w:lvl w:ilvl="5" w:tentative="0">
      <w:start w:val="1"/>
      <w:numFmt w:val="decimal"/>
      <w:lvlText w:val="%1.%2.%3.%4.%5.%6"/>
      <w:lvlJc w:val="left"/>
      <w:pPr>
        <w:ind w:left="2625" w:hanging="1440"/>
      </w:pPr>
      <w:rPr>
        <w:rFonts w:hint="default"/>
        <w:b/>
      </w:rPr>
    </w:lvl>
    <w:lvl w:ilvl="6" w:tentative="0">
      <w:start w:val="1"/>
      <w:numFmt w:val="decimal"/>
      <w:lvlText w:val="%1.%2.%3.%4.%5.%6.%7"/>
      <w:lvlJc w:val="left"/>
      <w:pPr>
        <w:ind w:left="2862" w:hanging="1440"/>
      </w:pPr>
      <w:rPr>
        <w:rFonts w:hint="default"/>
        <w:b/>
      </w:rPr>
    </w:lvl>
    <w:lvl w:ilvl="7" w:tentative="0">
      <w:start w:val="1"/>
      <w:numFmt w:val="decimal"/>
      <w:lvlText w:val="%1.%2.%3.%4.%5.%6.%7.%8"/>
      <w:lvlJc w:val="left"/>
      <w:pPr>
        <w:ind w:left="3459" w:hanging="1800"/>
      </w:pPr>
      <w:rPr>
        <w:rFonts w:hint="default"/>
        <w:b/>
      </w:rPr>
    </w:lvl>
    <w:lvl w:ilvl="8" w:tentative="0">
      <w:start w:val="1"/>
      <w:numFmt w:val="decimal"/>
      <w:lvlText w:val="%1.%2.%3.%4.%5.%6.%7.%8.%9"/>
      <w:lvlJc w:val="left"/>
      <w:pPr>
        <w:ind w:left="3696" w:hanging="180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0"/>
  <w:drawingGridHorizontalSpacing w:val="120"/>
  <w:drawingGridVerticalSpacing w:val="120"/>
  <w:doNotUseMarginsForDrawingGridOrigin w:val="1"/>
  <w:drawingGridHorizontalOrigin w:val="1800"/>
  <w:drawingGridVerticalOrigin w:val="1440"/>
  <w:doNotShadeFormData w:val="1"/>
  <w:noPunctuationKerning w:val="1"/>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YzhjMjRlZTFmOWZiMjdmMzIxZWFhNDUyNzI2ZjcifQ=="/>
  </w:docVars>
  <w:rsids>
    <w:rsidRoot w:val="00172A27"/>
    <w:rsid w:val="00000E71"/>
    <w:rsid w:val="00011042"/>
    <w:rsid w:val="00013C29"/>
    <w:rsid w:val="00016044"/>
    <w:rsid w:val="00016ADE"/>
    <w:rsid w:val="00020197"/>
    <w:rsid w:val="000227F1"/>
    <w:rsid w:val="00022A2D"/>
    <w:rsid w:val="000231EB"/>
    <w:rsid w:val="000270ED"/>
    <w:rsid w:val="000324BD"/>
    <w:rsid w:val="000377F5"/>
    <w:rsid w:val="000419EF"/>
    <w:rsid w:val="00043614"/>
    <w:rsid w:val="00052E83"/>
    <w:rsid w:val="000533D1"/>
    <w:rsid w:val="00060A90"/>
    <w:rsid w:val="00062EF7"/>
    <w:rsid w:val="00064C84"/>
    <w:rsid w:val="00067275"/>
    <w:rsid w:val="00070B93"/>
    <w:rsid w:val="000753E8"/>
    <w:rsid w:val="00075AFC"/>
    <w:rsid w:val="00092CAC"/>
    <w:rsid w:val="00093DA7"/>
    <w:rsid w:val="000A3393"/>
    <w:rsid w:val="000A3746"/>
    <w:rsid w:val="000A3CFB"/>
    <w:rsid w:val="000A52A9"/>
    <w:rsid w:val="000B1096"/>
    <w:rsid w:val="000B3049"/>
    <w:rsid w:val="000B3538"/>
    <w:rsid w:val="000B3EE1"/>
    <w:rsid w:val="000B54F7"/>
    <w:rsid w:val="000B5A90"/>
    <w:rsid w:val="000C350A"/>
    <w:rsid w:val="000C424A"/>
    <w:rsid w:val="000D54D4"/>
    <w:rsid w:val="000E1B01"/>
    <w:rsid w:val="000F0108"/>
    <w:rsid w:val="000F54A5"/>
    <w:rsid w:val="000F7C44"/>
    <w:rsid w:val="001015B2"/>
    <w:rsid w:val="001031BF"/>
    <w:rsid w:val="00105D0A"/>
    <w:rsid w:val="00107936"/>
    <w:rsid w:val="00111B97"/>
    <w:rsid w:val="00114A43"/>
    <w:rsid w:val="001153FB"/>
    <w:rsid w:val="00115517"/>
    <w:rsid w:val="00120C37"/>
    <w:rsid w:val="00121201"/>
    <w:rsid w:val="00121893"/>
    <w:rsid w:val="00122236"/>
    <w:rsid w:val="00123014"/>
    <w:rsid w:val="0012378A"/>
    <w:rsid w:val="00134144"/>
    <w:rsid w:val="001350FE"/>
    <w:rsid w:val="00143ABF"/>
    <w:rsid w:val="0014620A"/>
    <w:rsid w:val="00153D34"/>
    <w:rsid w:val="00164175"/>
    <w:rsid w:val="001654FD"/>
    <w:rsid w:val="00166761"/>
    <w:rsid w:val="00170452"/>
    <w:rsid w:val="00171E4A"/>
    <w:rsid w:val="00172A27"/>
    <w:rsid w:val="001750DA"/>
    <w:rsid w:val="00180B76"/>
    <w:rsid w:val="00181781"/>
    <w:rsid w:val="00181CC5"/>
    <w:rsid w:val="0018384D"/>
    <w:rsid w:val="00184342"/>
    <w:rsid w:val="001948D9"/>
    <w:rsid w:val="001A21F9"/>
    <w:rsid w:val="001A2C68"/>
    <w:rsid w:val="001A33A1"/>
    <w:rsid w:val="001B20BB"/>
    <w:rsid w:val="001B4FE8"/>
    <w:rsid w:val="001B735E"/>
    <w:rsid w:val="001B7B88"/>
    <w:rsid w:val="001C0791"/>
    <w:rsid w:val="001C2001"/>
    <w:rsid w:val="001C230C"/>
    <w:rsid w:val="001C3990"/>
    <w:rsid w:val="001C3E96"/>
    <w:rsid w:val="001C3F14"/>
    <w:rsid w:val="001C413D"/>
    <w:rsid w:val="001C45F2"/>
    <w:rsid w:val="001C601A"/>
    <w:rsid w:val="001C651B"/>
    <w:rsid w:val="001C6C7A"/>
    <w:rsid w:val="001D3CB2"/>
    <w:rsid w:val="001D4A37"/>
    <w:rsid w:val="001D505E"/>
    <w:rsid w:val="001D54E7"/>
    <w:rsid w:val="001D62CF"/>
    <w:rsid w:val="001E3CF2"/>
    <w:rsid w:val="001F05C5"/>
    <w:rsid w:val="001F0DC6"/>
    <w:rsid w:val="001F4117"/>
    <w:rsid w:val="0020760B"/>
    <w:rsid w:val="00214278"/>
    <w:rsid w:val="002151CB"/>
    <w:rsid w:val="00216D32"/>
    <w:rsid w:val="00220478"/>
    <w:rsid w:val="002209EB"/>
    <w:rsid w:val="002231ED"/>
    <w:rsid w:val="00225885"/>
    <w:rsid w:val="002279A2"/>
    <w:rsid w:val="00232313"/>
    <w:rsid w:val="00236C3D"/>
    <w:rsid w:val="002446A0"/>
    <w:rsid w:val="0024606F"/>
    <w:rsid w:val="002471AC"/>
    <w:rsid w:val="00250118"/>
    <w:rsid w:val="002517DE"/>
    <w:rsid w:val="002572D4"/>
    <w:rsid w:val="00257E8D"/>
    <w:rsid w:val="00261ADE"/>
    <w:rsid w:val="0026499B"/>
    <w:rsid w:val="00267020"/>
    <w:rsid w:val="00270CDF"/>
    <w:rsid w:val="002728D1"/>
    <w:rsid w:val="00273196"/>
    <w:rsid w:val="0027368C"/>
    <w:rsid w:val="00274DBE"/>
    <w:rsid w:val="002765C7"/>
    <w:rsid w:val="00277955"/>
    <w:rsid w:val="002808E3"/>
    <w:rsid w:val="00280C93"/>
    <w:rsid w:val="00282EBA"/>
    <w:rsid w:val="00286C31"/>
    <w:rsid w:val="00290C63"/>
    <w:rsid w:val="002937EA"/>
    <w:rsid w:val="002A29AE"/>
    <w:rsid w:val="002A48AC"/>
    <w:rsid w:val="002A5582"/>
    <w:rsid w:val="002B0373"/>
    <w:rsid w:val="002B0C6B"/>
    <w:rsid w:val="002B289F"/>
    <w:rsid w:val="002B3C50"/>
    <w:rsid w:val="002B5CC7"/>
    <w:rsid w:val="002C00D0"/>
    <w:rsid w:val="002C2B6A"/>
    <w:rsid w:val="002D1C1D"/>
    <w:rsid w:val="002D40EE"/>
    <w:rsid w:val="002D48D0"/>
    <w:rsid w:val="002D54AD"/>
    <w:rsid w:val="002D63E7"/>
    <w:rsid w:val="002D743F"/>
    <w:rsid w:val="002D7FD9"/>
    <w:rsid w:val="002E2A95"/>
    <w:rsid w:val="002E4D60"/>
    <w:rsid w:val="002F133B"/>
    <w:rsid w:val="002F4300"/>
    <w:rsid w:val="00300E59"/>
    <w:rsid w:val="0030241B"/>
    <w:rsid w:val="003045FA"/>
    <w:rsid w:val="00305188"/>
    <w:rsid w:val="003159CF"/>
    <w:rsid w:val="00317164"/>
    <w:rsid w:val="003177AD"/>
    <w:rsid w:val="003259B8"/>
    <w:rsid w:val="00327DE8"/>
    <w:rsid w:val="00330BA2"/>
    <w:rsid w:val="00331904"/>
    <w:rsid w:val="00332490"/>
    <w:rsid w:val="00332D93"/>
    <w:rsid w:val="00340430"/>
    <w:rsid w:val="00341220"/>
    <w:rsid w:val="00341953"/>
    <w:rsid w:val="00342BAB"/>
    <w:rsid w:val="00343A9C"/>
    <w:rsid w:val="00344273"/>
    <w:rsid w:val="003454DB"/>
    <w:rsid w:val="003503F2"/>
    <w:rsid w:val="00351505"/>
    <w:rsid w:val="00351CF4"/>
    <w:rsid w:val="003542A0"/>
    <w:rsid w:val="00355607"/>
    <w:rsid w:val="00360654"/>
    <w:rsid w:val="00361076"/>
    <w:rsid w:val="00376597"/>
    <w:rsid w:val="00376BCD"/>
    <w:rsid w:val="0038073A"/>
    <w:rsid w:val="003817A7"/>
    <w:rsid w:val="0038303A"/>
    <w:rsid w:val="003834D1"/>
    <w:rsid w:val="00387436"/>
    <w:rsid w:val="0039186A"/>
    <w:rsid w:val="0039417C"/>
    <w:rsid w:val="003A38A7"/>
    <w:rsid w:val="003A607B"/>
    <w:rsid w:val="003A6667"/>
    <w:rsid w:val="003A66B2"/>
    <w:rsid w:val="003A75F0"/>
    <w:rsid w:val="003B268D"/>
    <w:rsid w:val="003B5B9B"/>
    <w:rsid w:val="003B79CA"/>
    <w:rsid w:val="003C412C"/>
    <w:rsid w:val="003C688F"/>
    <w:rsid w:val="003C6DB2"/>
    <w:rsid w:val="003C6DC8"/>
    <w:rsid w:val="003C71AE"/>
    <w:rsid w:val="003C75DC"/>
    <w:rsid w:val="003D1B89"/>
    <w:rsid w:val="003D365B"/>
    <w:rsid w:val="003D3D19"/>
    <w:rsid w:val="003E148B"/>
    <w:rsid w:val="003E3125"/>
    <w:rsid w:val="003E5B98"/>
    <w:rsid w:val="003E5F77"/>
    <w:rsid w:val="003F29BD"/>
    <w:rsid w:val="003F4797"/>
    <w:rsid w:val="003F63F4"/>
    <w:rsid w:val="00401CDC"/>
    <w:rsid w:val="00404537"/>
    <w:rsid w:val="00406D01"/>
    <w:rsid w:val="0040726B"/>
    <w:rsid w:val="0040777E"/>
    <w:rsid w:val="00407B58"/>
    <w:rsid w:val="004119B1"/>
    <w:rsid w:val="00417B2D"/>
    <w:rsid w:val="00424475"/>
    <w:rsid w:val="004265AA"/>
    <w:rsid w:val="004269D1"/>
    <w:rsid w:val="00430543"/>
    <w:rsid w:val="00435F2A"/>
    <w:rsid w:val="004409FA"/>
    <w:rsid w:val="00445957"/>
    <w:rsid w:val="00452660"/>
    <w:rsid w:val="00454410"/>
    <w:rsid w:val="0045595A"/>
    <w:rsid w:val="004575D1"/>
    <w:rsid w:val="00457E3B"/>
    <w:rsid w:val="00461063"/>
    <w:rsid w:val="004673E4"/>
    <w:rsid w:val="00467547"/>
    <w:rsid w:val="00471F26"/>
    <w:rsid w:val="00474456"/>
    <w:rsid w:val="00481B6A"/>
    <w:rsid w:val="00491988"/>
    <w:rsid w:val="00491B64"/>
    <w:rsid w:val="004952E8"/>
    <w:rsid w:val="00495359"/>
    <w:rsid w:val="00496737"/>
    <w:rsid w:val="00496BD1"/>
    <w:rsid w:val="0049725C"/>
    <w:rsid w:val="004A10BB"/>
    <w:rsid w:val="004A1538"/>
    <w:rsid w:val="004A4036"/>
    <w:rsid w:val="004B4658"/>
    <w:rsid w:val="004C330A"/>
    <w:rsid w:val="004C55E2"/>
    <w:rsid w:val="004C65C0"/>
    <w:rsid w:val="004C736A"/>
    <w:rsid w:val="004D0E15"/>
    <w:rsid w:val="004D10CE"/>
    <w:rsid w:val="004D785B"/>
    <w:rsid w:val="004E23A6"/>
    <w:rsid w:val="004E3A07"/>
    <w:rsid w:val="004E4FC7"/>
    <w:rsid w:val="004F1CF6"/>
    <w:rsid w:val="004F2C26"/>
    <w:rsid w:val="005006AE"/>
    <w:rsid w:val="005053C7"/>
    <w:rsid w:val="005072DA"/>
    <w:rsid w:val="005075DC"/>
    <w:rsid w:val="0050798A"/>
    <w:rsid w:val="00510183"/>
    <w:rsid w:val="00511F34"/>
    <w:rsid w:val="0052348A"/>
    <w:rsid w:val="00526403"/>
    <w:rsid w:val="005300FF"/>
    <w:rsid w:val="00534309"/>
    <w:rsid w:val="00535F31"/>
    <w:rsid w:val="00540CF6"/>
    <w:rsid w:val="00544922"/>
    <w:rsid w:val="0054521A"/>
    <w:rsid w:val="00545C53"/>
    <w:rsid w:val="00550C0B"/>
    <w:rsid w:val="005515EE"/>
    <w:rsid w:val="0055180F"/>
    <w:rsid w:val="00551F98"/>
    <w:rsid w:val="005530D7"/>
    <w:rsid w:val="00553194"/>
    <w:rsid w:val="00555B95"/>
    <w:rsid w:val="005564D5"/>
    <w:rsid w:val="00560C35"/>
    <w:rsid w:val="0056268E"/>
    <w:rsid w:val="00562E2B"/>
    <w:rsid w:val="0056506B"/>
    <w:rsid w:val="00570357"/>
    <w:rsid w:val="005714B3"/>
    <w:rsid w:val="0057324D"/>
    <w:rsid w:val="005732DA"/>
    <w:rsid w:val="00574235"/>
    <w:rsid w:val="00576968"/>
    <w:rsid w:val="00580B62"/>
    <w:rsid w:val="005834E9"/>
    <w:rsid w:val="00584378"/>
    <w:rsid w:val="00587077"/>
    <w:rsid w:val="005877A5"/>
    <w:rsid w:val="00591D3E"/>
    <w:rsid w:val="005924F3"/>
    <w:rsid w:val="0059726E"/>
    <w:rsid w:val="005A4403"/>
    <w:rsid w:val="005A7FE1"/>
    <w:rsid w:val="005B4F26"/>
    <w:rsid w:val="005B7C87"/>
    <w:rsid w:val="005C0312"/>
    <w:rsid w:val="005C2FC9"/>
    <w:rsid w:val="005C4178"/>
    <w:rsid w:val="005C7CF6"/>
    <w:rsid w:val="005E0B18"/>
    <w:rsid w:val="005E1515"/>
    <w:rsid w:val="005E3431"/>
    <w:rsid w:val="005E67C1"/>
    <w:rsid w:val="005F2EB9"/>
    <w:rsid w:val="005F41EC"/>
    <w:rsid w:val="005F4432"/>
    <w:rsid w:val="0060041D"/>
    <w:rsid w:val="006100D3"/>
    <w:rsid w:val="006125CB"/>
    <w:rsid w:val="006134FE"/>
    <w:rsid w:val="0061675D"/>
    <w:rsid w:val="006178B4"/>
    <w:rsid w:val="006179F3"/>
    <w:rsid w:val="00621F1B"/>
    <w:rsid w:val="00631ADB"/>
    <w:rsid w:val="0063410A"/>
    <w:rsid w:val="006455BB"/>
    <w:rsid w:val="00647ADF"/>
    <w:rsid w:val="00650D79"/>
    <w:rsid w:val="00651687"/>
    <w:rsid w:val="0065241B"/>
    <w:rsid w:val="00653C48"/>
    <w:rsid w:val="00655972"/>
    <w:rsid w:val="006566F8"/>
    <w:rsid w:val="00667DE8"/>
    <w:rsid w:val="0067018D"/>
    <w:rsid w:val="00673080"/>
    <w:rsid w:val="00681DF1"/>
    <w:rsid w:val="00683174"/>
    <w:rsid w:val="0068499A"/>
    <w:rsid w:val="006869A3"/>
    <w:rsid w:val="006920C2"/>
    <w:rsid w:val="00694939"/>
    <w:rsid w:val="006A1305"/>
    <w:rsid w:val="006A3123"/>
    <w:rsid w:val="006A32FF"/>
    <w:rsid w:val="006A3CFE"/>
    <w:rsid w:val="006A48BE"/>
    <w:rsid w:val="006A4DB7"/>
    <w:rsid w:val="006B5B67"/>
    <w:rsid w:val="006B5D17"/>
    <w:rsid w:val="006C157C"/>
    <w:rsid w:val="006C245A"/>
    <w:rsid w:val="006C464B"/>
    <w:rsid w:val="006C5116"/>
    <w:rsid w:val="006C5786"/>
    <w:rsid w:val="006C57F1"/>
    <w:rsid w:val="006C66F2"/>
    <w:rsid w:val="006C7B61"/>
    <w:rsid w:val="006D0CD4"/>
    <w:rsid w:val="006D1AEA"/>
    <w:rsid w:val="006D2618"/>
    <w:rsid w:val="006D380B"/>
    <w:rsid w:val="006D3CCF"/>
    <w:rsid w:val="006D4235"/>
    <w:rsid w:val="006D5F29"/>
    <w:rsid w:val="006E1EC9"/>
    <w:rsid w:val="006E6789"/>
    <w:rsid w:val="006F02C6"/>
    <w:rsid w:val="006F3198"/>
    <w:rsid w:val="006F4A2F"/>
    <w:rsid w:val="006F72C7"/>
    <w:rsid w:val="007061F9"/>
    <w:rsid w:val="0070620D"/>
    <w:rsid w:val="00712EEE"/>
    <w:rsid w:val="007139CC"/>
    <w:rsid w:val="0071554B"/>
    <w:rsid w:val="00715B97"/>
    <w:rsid w:val="0071691F"/>
    <w:rsid w:val="0072000E"/>
    <w:rsid w:val="0072324F"/>
    <w:rsid w:val="00724883"/>
    <w:rsid w:val="00732518"/>
    <w:rsid w:val="00732B59"/>
    <w:rsid w:val="007345B6"/>
    <w:rsid w:val="007404C2"/>
    <w:rsid w:val="00743685"/>
    <w:rsid w:val="00744D87"/>
    <w:rsid w:val="00746805"/>
    <w:rsid w:val="00746960"/>
    <w:rsid w:val="00752797"/>
    <w:rsid w:val="007532A2"/>
    <w:rsid w:val="00756CD3"/>
    <w:rsid w:val="00760448"/>
    <w:rsid w:val="00761A75"/>
    <w:rsid w:val="00761CFE"/>
    <w:rsid w:val="00771E6A"/>
    <w:rsid w:val="007731ED"/>
    <w:rsid w:val="007744AC"/>
    <w:rsid w:val="00783338"/>
    <w:rsid w:val="007872F7"/>
    <w:rsid w:val="00796DFC"/>
    <w:rsid w:val="00797F6F"/>
    <w:rsid w:val="007A0D19"/>
    <w:rsid w:val="007A206D"/>
    <w:rsid w:val="007A4418"/>
    <w:rsid w:val="007A4E91"/>
    <w:rsid w:val="007A53DC"/>
    <w:rsid w:val="007A7613"/>
    <w:rsid w:val="007B043A"/>
    <w:rsid w:val="007B1634"/>
    <w:rsid w:val="007B534E"/>
    <w:rsid w:val="007C02F4"/>
    <w:rsid w:val="007C1A15"/>
    <w:rsid w:val="007C2137"/>
    <w:rsid w:val="007C2A38"/>
    <w:rsid w:val="007C55F3"/>
    <w:rsid w:val="007D35F3"/>
    <w:rsid w:val="007D5BB4"/>
    <w:rsid w:val="007D64B2"/>
    <w:rsid w:val="007E0A61"/>
    <w:rsid w:val="008013F5"/>
    <w:rsid w:val="00801BE6"/>
    <w:rsid w:val="008022CB"/>
    <w:rsid w:val="008035DE"/>
    <w:rsid w:val="008068C9"/>
    <w:rsid w:val="008078C9"/>
    <w:rsid w:val="00810513"/>
    <w:rsid w:val="00811126"/>
    <w:rsid w:val="00813CD8"/>
    <w:rsid w:val="00813CFB"/>
    <w:rsid w:val="00814B29"/>
    <w:rsid w:val="008155B0"/>
    <w:rsid w:val="00815CD6"/>
    <w:rsid w:val="00820AD9"/>
    <w:rsid w:val="0082516D"/>
    <w:rsid w:val="008256DA"/>
    <w:rsid w:val="00830D78"/>
    <w:rsid w:val="00833165"/>
    <w:rsid w:val="00834E68"/>
    <w:rsid w:val="00840FE2"/>
    <w:rsid w:val="0084398D"/>
    <w:rsid w:val="00845FF4"/>
    <w:rsid w:val="00850757"/>
    <w:rsid w:val="00852316"/>
    <w:rsid w:val="008625EA"/>
    <w:rsid w:val="0086268B"/>
    <w:rsid w:val="008651A4"/>
    <w:rsid w:val="00866FB7"/>
    <w:rsid w:val="00867379"/>
    <w:rsid w:val="00867BB3"/>
    <w:rsid w:val="008737CD"/>
    <w:rsid w:val="008738DA"/>
    <w:rsid w:val="008747A7"/>
    <w:rsid w:val="00876D9A"/>
    <w:rsid w:val="00886100"/>
    <w:rsid w:val="008902B0"/>
    <w:rsid w:val="0089452A"/>
    <w:rsid w:val="0089639A"/>
    <w:rsid w:val="008A1130"/>
    <w:rsid w:val="008B44E3"/>
    <w:rsid w:val="008B59AD"/>
    <w:rsid w:val="008C6816"/>
    <w:rsid w:val="008D3F60"/>
    <w:rsid w:val="008D7710"/>
    <w:rsid w:val="008D7EB0"/>
    <w:rsid w:val="008E0414"/>
    <w:rsid w:val="008E0E30"/>
    <w:rsid w:val="008E300E"/>
    <w:rsid w:val="008E505F"/>
    <w:rsid w:val="008E5F55"/>
    <w:rsid w:val="008F04DB"/>
    <w:rsid w:val="008F4615"/>
    <w:rsid w:val="009009D0"/>
    <w:rsid w:val="00900BAF"/>
    <w:rsid w:val="00900CED"/>
    <w:rsid w:val="0090168D"/>
    <w:rsid w:val="00901E57"/>
    <w:rsid w:val="0090340C"/>
    <w:rsid w:val="00904F79"/>
    <w:rsid w:val="00907172"/>
    <w:rsid w:val="00907F7D"/>
    <w:rsid w:val="0091497B"/>
    <w:rsid w:val="00916949"/>
    <w:rsid w:val="00917DC2"/>
    <w:rsid w:val="00920409"/>
    <w:rsid w:val="00920619"/>
    <w:rsid w:val="00920F68"/>
    <w:rsid w:val="00921715"/>
    <w:rsid w:val="00924D23"/>
    <w:rsid w:val="009250F6"/>
    <w:rsid w:val="00925126"/>
    <w:rsid w:val="0092650D"/>
    <w:rsid w:val="00926F49"/>
    <w:rsid w:val="009325A6"/>
    <w:rsid w:val="00934499"/>
    <w:rsid w:val="009354CC"/>
    <w:rsid w:val="00935910"/>
    <w:rsid w:val="00937613"/>
    <w:rsid w:val="0093793B"/>
    <w:rsid w:val="00940FD0"/>
    <w:rsid w:val="0094193D"/>
    <w:rsid w:val="00941BF1"/>
    <w:rsid w:val="00943BDC"/>
    <w:rsid w:val="0094498C"/>
    <w:rsid w:val="00945508"/>
    <w:rsid w:val="009521DC"/>
    <w:rsid w:val="00953500"/>
    <w:rsid w:val="009605BE"/>
    <w:rsid w:val="00962885"/>
    <w:rsid w:val="00965F47"/>
    <w:rsid w:val="0096738A"/>
    <w:rsid w:val="009709CF"/>
    <w:rsid w:val="00974476"/>
    <w:rsid w:val="00974DA1"/>
    <w:rsid w:val="00975DB0"/>
    <w:rsid w:val="00981B9B"/>
    <w:rsid w:val="00991A7A"/>
    <w:rsid w:val="0099494E"/>
    <w:rsid w:val="00996E5E"/>
    <w:rsid w:val="009974A8"/>
    <w:rsid w:val="009A19A4"/>
    <w:rsid w:val="009A52EC"/>
    <w:rsid w:val="009A566C"/>
    <w:rsid w:val="009A5752"/>
    <w:rsid w:val="009B17B4"/>
    <w:rsid w:val="009B4E59"/>
    <w:rsid w:val="009C07E7"/>
    <w:rsid w:val="009C152B"/>
    <w:rsid w:val="009C1F72"/>
    <w:rsid w:val="009C7204"/>
    <w:rsid w:val="009D6C23"/>
    <w:rsid w:val="009E0133"/>
    <w:rsid w:val="009E0BBD"/>
    <w:rsid w:val="009E2CAA"/>
    <w:rsid w:val="009E38FB"/>
    <w:rsid w:val="009E39D3"/>
    <w:rsid w:val="009E5142"/>
    <w:rsid w:val="009E64B7"/>
    <w:rsid w:val="009F5144"/>
    <w:rsid w:val="009F5DFA"/>
    <w:rsid w:val="009F69A4"/>
    <w:rsid w:val="009F733E"/>
    <w:rsid w:val="00A00F3F"/>
    <w:rsid w:val="00A036BE"/>
    <w:rsid w:val="00A06A9F"/>
    <w:rsid w:val="00A07C88"/>
    <w:rsid w:val="00A10048"/>
    <w:rsid w:val="00A10978"/>
    <w:rsid w:val="00A11B78"/>
    <w:rsid w:val="00A15091"/>
    <w:rsid w:val="00A1738F"/>
    <w:rsid w:val="00A217F0"/>
    <w:rsid w:val="00A23055"/>
    <w:rsid w:val="00A23880"/>
    <w:rsid w:val="00A25292"/>
    <w:rsid w:val="00A26676"/>
    <w:rsid w:val="00A27814"/>
    <w:rsid w:val="00A27E06"/>
    <w:rsid w:val="00A3404C"/>
    <w:rsid w:val="00A35444"/>
    <w:rsid w:val="00A35661"/>
    <w:rsid w:val="00A42C32"/>
    <w:rsid w:val="00A50D3D"/>
    <w:rsid w:val="00A510B0"/>
    <w:rsid w:val="00A5192C"/>
    <w:rsid w:val="00A520B4"/>
    <w:rsid w:val="00A619FF"/>
    <w:rsid w:val="00A6316C"/>
    <w:rsid w:val="00A65D60"/>
    <w:rsid w:val="00A70D00"/>
    <w:rsid w:val="00A70DC0"/>
    <w:rsid w:val="00A72ECB"/>
    <w:rsid w:val="00A73042"/>
    <w:rsid w:val="00A77446"/>
    <w:rsid w:val="00A80D6C"/>
    <w:rsid w:val="00A82A80"/>
    <w:rsid w:val="00A82E20"/>
    <w:rsid w:val="00A847F7"/>
    <w:rsid w:val="00A87A2D"/>
    <w:rsid w:val="00A87E7C"/>
    <w:rsid w:val="00A936E3"/>
    <w:rsid w:val="00A9373E"/>
    <w:rsid w:val="00A95BAA"/>
    <w:rsid w:val="00AA2A33"/>
    <w:rsid w:val="00AA3396"/>
    <w:rsid w:val="00AA485D"/>
    <w:rsid w:val="00AA6ABC"/>
    <w:rsid w:val="00AA763B"/>
    <w:rsid w:val="00AA7AEF"/>
    <w:rsid w:val="00AB31AA"/>
    <w:rsid w:val="00AB4A17"/>
    <w:rsid w:val="00AB4BC2"/>
    <w:rsid w:val="00AC4552"/>
    <w:rsid w:val="00AC5A04"/>
    <w:rsid w:val="00AC5A2D"/>
    <w:rsid w:val="00AC60D8"/>
    <w:rsid w:val="00AC66A8"/>
    <w:rsid w:val="00AC7F0C"/>
    <w:rsid w:val="00AD051A"/>
    <w:rsid w:val="00AD0E6B"/>
    <w:rsid w:val="00AD5945"/>
    <w:rsid w:val="00AD67FD"/>
    <w:rsid w:val="00AD7118"/>
    <w:rsid w:val="00AE335D"/>
    <w:rsid w:val="00AE3E95"/>
    <w:rsid w:val="00B02F53"/>
    <w:rsid w:val="00B12DD4"/>
    <w:rsid w:val="00B1418A"/>
    <w:rsid w:val="00B1545E"/>
    <w:rsid w:val="00B15780"/>
    <w:rsid w:val="00B15CEB"/>
    <w:rsid w:val="00B20C75"/>
    <w:rsid w:val="00B23026"/>
    <w:rsid w:val="00B2630B"/>
    <w:rsid w:val="00B43294"/>
    <w:rsid w:val="00B4575B"/>
    <w:rsid w:val="00B45C5D"/>
    <w:rsid w:val="00B55BB5"/>
    <w:rsid w:val="00B576D7"/>
    <w:rsid w:val="00B62840"/>
    <w:rsid w:val="00B64387"/>
    <w:rsid w:val="00B734CE"/>
    <w:rsid w:val="00B83398"/>
    <w:rsid w:val="00B871DA"/>
    <w:rsid w:val="00B930FC"/>
    <w:rsid w:val="00B93EE7"/>
    <w:rsid w:val="00B97065"/>
    <w:rsid w:val="00B972DF"/>
    <w:rsid w:val="00BA0793"/>
    <w:rsid w:val="00BA14AF"/>
    <w:rsid w:val="00BA19BF"/>
    <w:rsid w:val="00BA1C7D"/>
    <w:rsid w:val="00BA230F"/>
    <w:rsid w:val="00BA67FA"/>
    <w:rsid w:val="00BB362A"/>
    <w:rsid w:val="00BB45D7"/>
    <w:rsid w:val="00BD1F13"/>
    <w:rsid w:val="00BD751B"/>
    <w:rsid w:val="00BE3BE2"/>
    <w:rsid w:val="00BF38F1"/>
    <w:rsid w:val="00BF4F29"/>
    <w:rsid w:val="00BF6A1F"/>
    <w:rsid w:val="00C03375"/>
    <w:rsid w:val="00C04C29"/>
    <w:rsid w:val="00C07277"/>
    <w:rsid w:val="00C1222A"/>
    <w:rsid w:val="00C12531"/>
    <w:rsid w:val="00C13D57"/>
    <w:rsid w:val="00C24AFF"/>
    <w:rsid w:val="00C250F9"/>
    <w:rsid w:val="00C2574C"/>
    <w:rsid w:val="00C303D6"/>
    <w:rsid w:val="00C31578"/>
    <w:rsid w:val="00C31F7C"/>
    <w:rsid w:val="00C353DA"/>
    <w:rsid w:val="00C41854"/>
    <w:rsid w:val="00C47800"/>
    <w:rsid w:val="00C50273"/>
    <w:rsid w:val="00C504BE"/>
    <w:rsid w:val="00C528BE"/>
    <w:rsid w:val="00C534B1"/>
    <w:rsid w:val="00C53AF5"/>
    <w:rsid w:val="00C54C9C"/>
    <w:rsid w:val="00C60EEB"/>
    <w:rsid w:val="00C61284"/>
    <w:rsid w:val="00C6321B"/>
    <w:rsid w:val="00C6567E"/>
    <w:rsid w:val="00C65EB9"/>
    <w:rsid w:val="00C70085"/>
    <w:rsid w:val="00C75AAA"/>
    <w:rsid w:val="00C76DB7"/>
    <w:rsid w:val="00C8137D"/>
    <w:rsid w:val="00C8556E"/>
    <w:rsid w:val="00C90A94"/>
    <w:rsid w:val="00C91EC7"/>
    <w:rsid w:val="00C9316E"/>
    <w:rsid w:val="00C95C48"/>
    <w:rsid w:val="00C96AC2"/>
    <w:rsid w:val="00CA40C4"/>
    <w:rsid w:val="00CB1BD2"/>
    <w:rsid w:val="00CB344B"/>
    <w:rsid w:val="00CB6E43"/>
    <w:rsid w:val="00CC12B6"/>
    <w:rsid w:val="00CC4D73"/>
    <w:rsid w:val="00CC6BDE"/>
    <w:rsid w:val="00CD05FD"/>
    <w:rsid w:val="00CD17EF"/>
    <w:rsid w:val="00CD434A"/>
    <w:rsid w:val="00CE0A02"/>
    <w:rsid w:val="00CE1176"/>
    <w:rsid w:val="00CE3131"/>
    <w:rsid w:val="00CF2B90"/>
    <w:rsid w:val="00CF398B"/>
    <w:rsid w:val="00CF5C63"/>
    <w:rsid w:val="00CF5E01"/>
    <w:rsid w:val="00CF7058"/>
    <w:rsid w:val="00CF7B5B"/>
    <w:rsid w:val="00CF7D56"/>
    <w:rsid w:val="00D005A7"/>
    <w:rsid w:val="00D00698"/>
    <w:rsid w:val="00D01D0D"/>
    <w:rsid w:val="00D032BC"/>
    <w:rsid w:val="00D03B81"/>
    <w:rsid w:val="00D1212B"/>
    <w:rsid w:val="00D132B4"/>
    <w:rsid w:val="00D20E75"/>
    <w:rsid w:val="00D226E7"/>
    <w:rsid w:val="00D24BBF"/>
    <w:rsid w:val="00D271AE"/>
    <w:rsid w:val="00D32BDC"/>
    <w:rsid w:val="00D3789B"/>
    <w:rsid w:val="00D551FC"/>
    <w:rsid w:val="00D57461"/>
    <w:rsid w:val="00D652D1"/>
    <w:rsid w:val="00D65BF2"/>
    <w:rsid w:val="00D7703B"/>
    <w:rsid w:val="00D77269"/>
    <w:rsid w:val="00D807AD"/>
    <w:rsid w:val="00D842EB"/>
    <w:rsid w:val="00D84461"/>
    <w:rsid w:val="00D84B7C"/>
    <w:rsid w:val="00D87125"/>
    <w:rsid w:val="00D874AE"/>
    <w:rsid w:val="00D87A1D"/>
    <w:rsid w:val="00D95C73"/>
    <w:rsid w:val="00D96C29"/>
    <w:rsid w:val="00DA0FD5"/>
    <w:rsid w:val="00DB4EE8"/>
    <w:rsid w:val="00DB765C"/>
    <w:rsid w:val="00DC0B8F"/>
    <w:rsid w:val="00DC306E"/>
    <w:rsid w:val="00DD6322"/>
    <w:rsid w:val="00DE0A69"/>
    <w:rsid w:val="00DE30D7"/>
    <w:rsid w:val="00DE6153"/>
    <w:rsid w:val="00DF0715"/>
    <w:rsid w:val="00DF0FC4"/>
    <w:rsid w:val="00DF31B2"/>
    <w:rsid w:val="00DF560F"/>
    <w:rsid w:val="00DF5F07"/>
    <w:rsid w:val="00E0353B"/>
    <w:rsid w:val="00E05D8F"/>
    <w:rsid w:val="00E070FE"/>
    <w:rsid w:val="00E155FD"/>
    <w:rsid w:val="00E175BF"/>
    <w:rsid w:val="00E22FF7"/>
    <w:rsid w:val="00E2409F"/>
    <w:rsid w:val="00E24F47"/>
    <w:rsid w:val="00E26DDA"/>
    <w:rsid w:val="00E27238"/>
    <w:rsid w:val="00E30F6A"/>
    <w:rsid w:val="00E33CE8"/>
    <w:rsid w:val="00E3720E"/>
    <w:rsid w:val="00E3731F"/>
    <w:rsid w:val="00E4044A"/>
    <w:rsid w:val="00E4245E"/>
    <w:rsid w:val="00E43952"/>
    <w:rsid w:val="00E46A70"/>
    <w:rsid w:val="00E47110"/>
    <w:rsid w:val="00E50261"/>
    <w:rsid w:val="00E50C75"/>
    <w:rsid w:val="00E52008"/>
    <w:rsid w:val="00E53413"/>
    <w:rsid w:val="00E5765D"/>
    <w:rsid w:val="00E6500C"/>
    <w:rsid w:val="00E73268"/>
    <w:rsid w:val="00E75B06"/>
    <w:rsid w:val="00E75BB6"/>
    <w:rsid w:val="00E80CFA"/>
    <w:rsid w:val="00E83803"/>
    <w:rsid w:val="00E85ED4"/>
    <w:rsid w:val="00E8681C"/>
    <w:rsid w:val="00E97341"/>
    <w:rsid w:val="00E97489"/>
    <w:rsid w:val="00EA0A9B"/>
    <w:rsid w:val="00EA3AFE"/>
    <w:rsid w:val="00EA633A"/>
    <w:rsid w:val="00EB041D"/>
    <w:rsid w:val="00EB12D4"/>
    <w:rsid w:val="00EC0038"/>
    <w:rsid w:val="00EC3B93"/>
    <w:rsid w:val="00EC6D90"/>
    <w:rsid w:val="00EC7385"/>
    <w:rsid w:val="00EC77F4"/>
    <w:rsid w:val="00EC7E4A"/>
    <w:rsid w:val="00ED5C8B"/>
    <w:rsid w:val="00ED5E4D"/>
    <w:rsid w:val="00EF1B62"/>
    <w:rsid w:val="00EF2008"/>
    <w:rsid w:val="00EF558E"/>
    <w:rsid w:val="00EF5FA6"/>
    <w:rsid w:val="00EF6861"/>
    <w:rsid w:val="00F012B7"/>
    <w:rsid w:val="00F01E61"/>
    <w:rsid w:val="00F03A7B"/>
    <w:rsid w:val="00F04A98"/>
    <w:rsid w:val="00F10D25"/>
    <w:rsid w:val="00F11A56"/>
    <w:rsid w:val="00F13185"/>
    <w:rsid w:val="00F266AD"/>
    <w:rsid w:val="00F27D93"/>
    <w:rsid w:val="00F33422"/>
    <w:rsid w:val="00F335B6"/>
    <w:rsid w:val="00F33B9A"/>
    <w:rsid w:val="00F352CE"/>
    <w:rsid w:val="00F375BB"/>
    <w:rsid w:val="00F41188"/>
    <w:rsid w:val="00F43B82"/>
    <w:rsid w:val="00F45670"/>
    <w:rsid w:val="00F46A78"/>
    <w:rsid w:val="00F46C3D"/>
    <w:rsid w:val="00F505B2"/>
    <w:rsid w:val="00F51A85"/>
    <w:rsid w:val="00F53657"/>
    <w:rsid w:val="00F54FC9"/>
    <w:rsid w:val="00F55C59"/>
    <w:rsid w:val="00F563DC"/>
    <w:rsid w:val="00F57E87"/>
    <w:rsid w:val="00F631D3"/>
    <w:rsid w:val="00F65A05"/>
    <w:rsid w:val="00F661F9"/>
    <w:rsid w:val="00F70BD4"/>
    <w:rsid w:val="00F72306"/>
    <w:rsid w:val="00F73622"/>
    <w:rsid w:val="00F738A0"/>
    <w:rsid w:val="00F75AF6"/>
    <w:rsid w:val="00F8053A"/>
    <w:rsid w:val="00F81B2C"/>
    <w:rsid w:val="00F84A2F"/>
    <w:rsid w:val="00F85F4B"/>
    <w:rsid w:val="00F86CD3"/>
    <w:rsid w:val="00F901A7"/>
    <w:rsid w:val="00F92617"/>
    <w:rsid w:val="00F93500"/>
    <w:rsid w:val="00F93ABC"/>
    <w:rsid w:val="00FA1533"/>
    <w:rsid w:val="00FA489D"/>
    <w:rsid w:val="00FA771E"/>
    <w:rsid w:val="00FB053E"/>
    <w:rsid w:val="00FB2439"/>
    <w:rsid w:val="00FB2A1A"/>
    <w:rsid w:val="00FB3118"/>
    <w:rsid w:val="00FB567F"/>
    <w:rsid w:val="00FB6889"/>
    <w:rsid w:val="00FB72B3"/>
    <w:rsid w:val="00FB7B60"/>
    <w:rsid w:val="00FB7FAF"/>
    <w:rsid w:val="00FC23A4"/>
    <w:rsid w:val="00FC33FC"/>
    <w:rsid w:val="00FC5440"/>
    <w:rsid w:val="00FC6866"/>
    <w:rsid w:val="00FC6CE9"/>
    <w:rsid w:val="00FD02CE"/>
    <w:rsid w:val="00FD3680"/>
    <w:rsid w:val="00FD4AC5"/>
    <w:rsid w:val="00FD5CBB"/>
    <w:rsid w:val="00FE1495"/>
    <w:rsid w:val="00FE16FD"/>
    <w:rsid w:val="00FE2DBE"/>
    <w:rsid w:val="01033211"/>
    <w:rsid w:val="012B31AB"/>
    <w:rsid w:val="01341B1D"/>
    <w:rsid w:val="013F5A7F"/>
    <w:rsid w:val="01401ACE"/>
    <w:rsid w:val="014204DD"/>
    <w:rsid w:val="015E4265"/>
    <w:rsid w:val="016C075A"/>
    <w:rsid w:val="016C6BDA"/>
    <w:rsid w:val="017658E5"/>
    <w:rsid w:val="01814C97"/>
    <w:rsid w:val="0183344F"/>
    <w:rsid w:val="01992BD2"/>
    <w:rsid w:val="01AF002E"/>
    <w:rsid w:val="01C346AE"/>
    <w:rsid w:val="01C52961"/>
    <w:rsid w:val="01CB647B"/>
    <w:rsid w:val="01EA0E26"/>
    <w:rsid w:val="01EF2F24"/>
    <w:rsid w:val="01F176B1"/>
    <w:rsid w:val="01FF3570"/>
    <w:rsid w:val="02134C56"/>
    <w:rsid w:val="02162D3F"/>
    <w:rsid w:val="021E77B6"/>
    <w:rsid w:val="02207EC4"/>
    <w:rsid w:val="023237E9"/>
    <w:rsid w:val="023251F7"/>
    <w:rsid w:val="02394F32"/>
    <w:rsid w:val="025A5B2A"/>
    <w:rsid w:val="026806CE"/>
    <w:rsid w:val="02717A18"/>
    <w:rsid w:val="02727DC5"/>
    <w:rsid w:val="027E093B"/>
    <w:rsid w:val="028A5906"/>
    <w:rsid w:val="02A720CE"/>
    <w:rsid w:val="02A74605"/>
    <w:rsid w:val="02AC2FB9"/>
    <w:rsid w:val="02B1087C"/>
    <w:rsid w:val="02B96E5A"/>
    <w:rsid w:val="02BD622C"/>
    <w:rsid w:val="02C65687"/>
    <w:rsid w:val="02D02817"/>
    <w:rsid w:val="02D04571"/>
    <w:rsid w:val="02D1236A"/>
    <w:rsid w:val="02D80ECB"/>
    <w:rsid w:val="02EC532D"/>
    <w:rsid w:val="02F32EEF"/>
    <w:rsid w:val="02F501F8"/>
    <w:rsid w:val="02FB3A71"/>
    <w:rsid w:val="02FD7AC6"/>
    <w:rsid w:val="02FE5FF2"/>
    <w:rsid w:val="030A0681"/>
    <w:rsid w:val="030F5BFB"/>
    <w:rsid w:val="03155817"/>
    <w:rsid w:val="031807BB"/>
    <w:rsid w:val="03193C1E"/>
    <w:rsid w:val="031A6F2C"/>
    <w:rsid w:val="0330091F"/>
    <w:rsid w:val="03346851"/>
    <w:rsid w:val="037122D9"/>
    <w:rsid w:val="037675DF"/>
    <w:rsid w:val="038628FC"/>
    <w:rsid w:val="03885B74"/>
    <w:rsid w:val="039C6C34"/>
    <w:rsid w:val="03A648E1"/>
    <w:rsid w:val="03B711D5"/>
    <w:rsid w:val="03C02DBF"/>
    <w:rsid w:val="03F75E87"/>
    <w:rsid w:val="04164C9C"/>
    <w:rsid w:val="0420337F"/>
    <w:rsid w:val="0422519F"/>
    <w:rsid w:val="04236110"/>
    <w:rsid w:val="043B1B61"/>
    <w:rsid w:val="04467556"/>
    <w:rsid w:val="044C568E"/>
    <w:rsid w:val="045946C8"/>
    <w:rsid w:val="045975DF"/>
    <w:rsid w:val="046E75AD"/>
    <w:rsid w:val="048626E6"/>
    <w:rsid w:val="049A71F0"/>
    <w:rsid w:val="04CD212E"/>
    <w:rsid w:val="04E54FC4"/>
    <w:rsid w:val="04FD09A8"/>
    <w:rsid w:val="05044C3B"/>
    <w:rsid w:val="05193381"/>
    <w:rsid w:val="051F07A7"/>
    <w:rsid w:val="051F40F7"/>
    <w:rsid w:val="05423014"/>
    <w:rsid w:val="05497339"/>
    <w:rsid w:val="054E16EA"/>
    <w:rsid w:val="055E4995"/>
    <w:rsid w:val="05686FC2"/>
    <w:rsid w:val="0578068F"/>
    <w:rsid w:val="05832BDE"/>
    <w:rsid w:val="059E6FCB"/>
    <w:rsid w:val="05A3038E"/>
    <w:rsid w:val="05A639DB"/>
    <w:rsid w:val="05B236FF"/>
    <w:rsid w:val="05B44CE9"/>
    <w:rsid w:val="05B52AE6"/>
    <w:rsid w:val="05C87F7D"/>
    <w:rsid w:val="05E44FE3"/>
    <w:rsid w:val="05E92F95"/>
    <w:rsid w:val="06117B2E"/>
    <w:rsid w:val="06155A23"/>
    <w:rsid w:val="061A0EDE"/>
    <w:rsid w:val="061C54CF"/>
    <w:rsid w:val="06427152"/>
    <w:rsid w:val="06461F55"/>
    <w:rsid w:val="068B36A9"/>
    <w:rsid w:val="068E08F7"/>
    <w:rsid w:val="06924A70"/>
    <w:rsid w:val="069343E1"/>
    <w:rsid w:val="06A000B9"/>
    <w:rsid w:val="06AC3985"/>
    <w:rsid w:val="06AD2573"/>
    <w:rsid w:val="06BD010B"/>
    <w:rsid w:val="06BE20B5"/>
    <w:rsid w:val="06CA483A"/>
    <w:rsid w:val="06CE3812"/>
    <w:rsid w:val="06CF6A9F"/>
    <w:rsid w:val="06EE36CF"/>
    <w:rsid w:val="06F702EE"/>
    <w:rsid w:val="07060815"/>
    <w:rsid w:val="07063079"/>
    <w:rsid w:val="07115CFB"/>
    <w:rsid w:val="071A1B45"/>
    <w:rsid w:val="072E3F89"/>
    <w:rsid w:val="07425361"/>
    <w:rsid w:val="075C1B21"/>
    <w:rsid w:val="075D544B"/>
    <w:rsid w:val="076C43C5"/>
    <w:rsid w:val="076E6A4B"/>
    <w:rsid w:val="077F3D36"/>
    <w:rsid w:val="07943AE2"/>
    <w:rsid w:val="07A255BD"/>
    <w:rsid w:val="07A65DC1"/>
    <w:rsid w:val="07BA72FE"/>
    <w:rsid w:val="07CE230D"/>
    <w:rsid w:val="07D13465"/>
    <w:rsid w:val="08076909"/>
    <w:rsid w:val="080B6919"/>
    <w:rsid w:val="08131533"/>
    <w:rsid w:val="081E3F8F"/>
    <w:rsid w:val="082D386E"/>
    <w:rsid w:val="08335FFB"/>
    <w:rsid w:val="08387736"/>
    <w:rsid w:val="084776DB"/>
    <w:rsid w:val="084B0FA3"/>
    <w:rsid w:val="084B1D61"/>
    <w:rsid w:val="08581B84"/>
    <w:rsid w:val="08604673"/>
    <w:rsid w:val="088A21E4"/>
    <w:rsid w:val="08AD1D45"/>
    <w:rsid w:val="08B64EB9"/>
    <w:rsid w:val="08CE329F"/>
    <w:rsid w:val="08D769CA"/>
    <w:rsid w:val="090E0DF8"/>
    <w:rsid w:val="090F1B75"/>
    <w:rsid w:val="09182C2A"/>
    <w:rsid w:val="091D530D"/>
    <w:rsid w:val="0920608F"/>
    <w:rsid w:val="09311320"/>
    <w:rsid w:val="0944227A"/>
    <w:rsid w:val="09491C4A"/>
    <w:rsid w:val="0960390A"/>
    <w:rsid w:val="09684BB8"/>
    <w:rsid w:val="097D447A"/>
    <w:rsid w:val="098137A0"/>
    <w:rsid w:val="09854E52"/>
    <w:rsid w:val="09CF0700"/>
    <w:rsid w:val="09D9119E"/>
    <w:rsid w:val="09EE5F00"/>
    <w:rsid w:val="09F3073C"/>
    <w:rsid w:val="09F6765F"/>
    <w:rsid w:val="0A0E4555"/>
    <w:rsid w:val="0A3807B0"/>
    <w:rsid w:val="0A4145A4"/>
    <w:rsid w:val="0A496FF8"/>
    <w:rsid w:val="0A5C3B3F"/>
    <w:rsid w:val="0A617E59"/>
    <w:rsid w:val="0A7B5F44"/>
    <w:rsid w:val="0A7E0BED"/>
    <w:rsid w:val="0A852362"/>
    <w:rsid w:val="0A9629CF"/>
    <w:rsid w:val="0A963C34"/>
    <w:rsid w:val="0AB525B9"/>
    <w:rsid w:val="0AC65AAD"/>
    <w:rsid w:val="0AE2760D"/>
    <w:rsid w:val="0AE53CA4"/>
    <w:rsid w:val="0AF2204E"/>
    <w:rsid w:val="0AF71D87"/>
    <w:rsid w:val="0B0B2C01"/>
    <w:rsid w:val="0B1769D3"/>
    <w:rsid w:val="0B1C2740"/>
    <w:rsid w:val="0B1E232A"/>
    <w:rsid w:val="0B257191"/>
    <w:rsid w:val="0B2B5525"/>
    <w:rsid w:val="0B3603A9"/>
    <w:rsid w:val="0B3E5902"/>
    <w:rsid w:val="0B577D81"/>
    <w:rsid w:val="0B8C0FB7"/>
    <w:rsid w:val="0B912583"/>
    <w:rsid w:val="0B9E409F"/>
    <w:rsid w:val="0BA81923"/>
    <w:rsid w:val="0BAD05E4"/>
    <w:rsid w:val="0BCC46A5"/>
    <w:rsid w:val="0BD1017F"/>
    <w:rsid w:val="0BD66144"/>
    <w:rsid w:val="0BD86C97"/>
    <w:rsid w:val="0BD97552"/>
    <w:rsid w:val="0BE92495"/>
    <w:rsid w:val="0BEE4B44"/>
    <w:rsid w:val="0BF27657"/>
    <w:rsid w:val="0BF96E86"/>
    <w:rsid w:val="0C06531E"/>
    <w:rsid w:val="0C215DC5"/>
    <w:rsid w:val="0C336966"/>
    <w:rsid w:val="0C445163"/>
    <w:rsid w:val="0C4E08D1"/>
    <w:rsid w:val="0C5C6D8F"/>
    <w:rsid w:val="0C99045F"/>
    <w:rsid w:val="0C9D59E0"/>
    <w:rsid w:val="0CAE5982"/>
    <w:rsid w:val="0CBD68D8"/>
    <w:rsid w:val="0CCE33BA"/>
    <w:rsid w:val="0CD40271"/>
    <w:rsid w:val="0CEE3203"/>
    <w:rsid w:val="0D09037B"/>
    <w:rsid w:val="0D0908A5"/>
    <w:rsid w:val="0D141EB8"/>
    <w:rsid w:val="0D162F34"/>
    <w:rsid w:val="0D237BF2"/>
    <w:rsid w:val="0D247C42"/>
    <w:rsid w:val="0D4A28CC"/>
    <w:rsid w:val="0D5D128D"/>
    <w:rsid w:val="0D691D0A"/>
    <w:rsid w:val="0D840167"/>
    <w:rsid w:val="0DAA3911"/>
    <w:rsid w:val="0DC023D1"/>
    <w:rsid w:val="0DD16331"/>
    <w:rsid w:val="0DD56F03"/>
    <w:rsid w:val="0DD926E5"/>
    <w:rsid w:val="0DEF4262"/>
    <w:rsid w:val="0DF835D0"/>
    <w:rsid w:val="0E0A16EA"/>
    <w:rsid w:val="0E0B190F"/>
    <w:rsid w:val="0E0E010B"/>
    <w:rsid w:val="0E1971CA"/>
    <w:rsid w:val="0E1A5B6C"/>
    <w:rsid w:val="0E1A69D2"/>
    <w:rsid w:val="0E211700"/>
    <w:rsid w:val="0E312108"/>
    <w:rsid w:val="0E3A4DB1"/>
    <w:rsid w:val="0E571A3C"/>
    <w:rsid w:val="0E6168B2"/>
    <w:rsid w:val="0E6D0108"/>
    <w:rsid w:val="0E6D7174"/>
    <w:rsid w:val="0E722487"/>
    <w:rsid w:val="0E7F3BDB"/>
    <w:rsid w:val="0E8C4C86"/>
    <w:rsid w:val="0E987D2A"/>
    <w:rsid w:val="0EA06274"/>
    <w:rsid w:val="0EAB3C87"/>
    <w:rsid w:val="0EC01EDB"/>
    <w:rsid w:val="0EDC6FCC"/>
    <w:rsid w:val="0EEF46B8"/>
    <w:rsid w:val="0EF27BAD"/>
    <w:rsid w:val="0EF72F19"/>
    <w:rsid w:val="0EFC1054"/>
    <w:rsid w:val="0EFE4F99"/>
    <w:rsid w:val="0F014133"/>
    <w:rsid w:val="0F130A55"/>
    <w:rsid w:val="0F286B8C"/>
    <w:rsid w:val="0F315E37"/>
    <w:rsid w:val="0F341EF6"/>
    <w:rsid w:val="0F3E4663"/>
    <w:rsid w:val="0F4F78BC"/>
    <w:rsid w:val="0F511260"/>
    <w:rsid w:val="0F6236C8"/>
    <w:rsid w:val="0F6523D1"/>
    <w:rsid w:val="0F791384"/>
    <w:rsid w:val="0F7A2228"/>
    <w:rsid w:val="0F864715"/>
    <w:rsid w:val="0F8A6FFB"/>
    <w:rsid w:val="0F9634D6"/>
    <w:rsid w:val="0FA929EF"/>
    <w:rsid w:val="0FAA0700"/>
    <w:rsid w:val="0FB57ADA"/>
    <w:rsid w:val="0FD4609C"/>
    <w:rsid w:val="0FDB0612"/>
    <w:rsid w:val="0FDF4ED6"/>
    <w:rsid w:val="0FE94D41"/>
    <w:rsid w:val="0FED64EE"/>
    <w:rsid w:val="100C1333"/>
    <w:rsid w:val="102A453A"/>
    <w:rsid w:val="102D2504"/>
    <w:rsid w:val="10305932"/>
    <w:rsid w:val="105B7283"/>
    <w:rsid w:val="106016B4"/>
    <w:rsid w:val="10616562"/>
    <w:rsid w:val="106B2F2E"/>
    <w:rsid w:val="10792628"/>
    <w:rsid w:val="109544D1"/>
    <w:rsid w:val="10BC29F4"/>
    <w:rsid w:val="10BD449C"/>
    <w:rsid w:val="10C728B4"/>
    <w:rsid w:val="10CC6D07"/>
    <w:rsid w:val="10DC5BE7"/>
    <w:rsid w:val="10E1653F"/>
    <w:rsid w:val="10FE78B5"/>
    <w:rsid w:val="11160D5F"/>
    <w:rsid w:val="111A13AD"/>
    <w:rsid w:val="111F3DC3"/>
    <w:rsid w:val="1147577A"/>
    <w:rsid w:val="115649DB"/>
    <w:rsid w:val="11594BD7"/>
    <w:rsid w:val="115B6867"/>
    <w:rsid w:val="118254F8"/>
    <w:rsid w:val="1191151B"/>
    <w:rsid w:val="11B15CC6"/>
    <w:rsid w:val="11B20D2E"/>
    <w:rsid w:val="11B81C78"/>
    <w:rsid w:val="11B94231"/>
    <w:rsid w:val="11D812CC"/>
    <w:rsid w:val="11E22F05"/>
    <w:rsid w:val="11F53138"/>
    <w:rsid w:val="12033B82"/>
    <w:rsid w:val="12202F89"/>
    <w:rsid w:val="12214A5E"/>
    <w:rsid w:val="122E4FFA"/>
    <w:rsid w:val="123F108A"/>
    <w:rsid w:val="125A3A01"/>
    <w:rsid w:val="125A6A3A"/>
    <w:rsid w:val="126344A8"/>
    <w:rsid w:val="127F2B7B"/>
    <w:rsid w:val="129210DB"/>
    <w:rsid w:val="129E31B9"/>
    <w:rsid w:val="12B8699D"/>
    <w:rsid w:val="12CA5043"/>
    <w:rsid w:val="12CA7612"/>
    <w:rsid w:val="12E10199"/>
    <w:rsid w:val="12EC4AD7"/>
    <w:rsid w:val="12F16926"/>
    <w:rsid w:val="12F8570A"/>
    <w:rsid w:val="13040F72"/>
    <w:rsid w:val="13054CB6"/>
    <w:rsid w:val="1321742D"/>
    <w:rsid w:val="13220F75"/>
    <w:rsid w:val="133D09F9"/>
    <w:rsid w:val="134D5DEC"/>
    <w:rsid w:val="134E6A87"/>
    <w:rsid w:val="135801B5"/>
    <w:rsid w:val="135F1CE7"/>
    <w:rsid w:val="136066CA"/>
    <w:rsid w:val="13620456"/>
    <w:rsid w:val="13746A73"/>
    <w:rsid w:val="1375510E"/>
    <w:rsid w:val="13763438"/>
    <w:rsid w:val="13940BC4"/>
    <w:rsid w:val="13C84B29"/>
    <w:rsid w:val="13D41322"/>
    <w:rsid w:val="13DD3CCD"/>
    <w:rsid w:val="13EE12DB"/>
    <w:rsid w:val="13EF6DFD"/>
    <w:rsid w:val="13F17D7F"/>
    <w:rsid w:val="13F606D1"/>
    <w:rsid w:val="1403704D"/>
    <w:rsid w:val="141618BC"/>
    <w:rsid w:val="141E2478"/>
    <w:rsid w:val="142E596E"/>
    <w:rsid w:val="145B18E0"/>
    <w:rsid w:val="14646D1C"/>
    <w:rsid w:val="1469520A"/>
    <w:rsid w:val="14706D10"/>
    <w:rsid w:val="14746485"/>
    <w:rsid w:val="14771105"/>
    <w:rsid w:val="147C26AC"/>
    <w:rsid w:val="14972977"/>
    <w:rsid w:val="14BC011A"/>
    <w:rsid w:val="14C5770B"/>
    <w:rsid w:val="14CB72FF"/>
    <w:rsid w:val="14D402BE"/>
    <w:rsid w:val="14E53D1D"/>
    <w:rsid w:val="14F10A24"/>
    <w:rsid w:val="15136B11"/>
    <w:rsid w:val="153A2E58"/>
    <w:rsid w:val="153B384D"/>
    <w:rsid w:val="154828C7"/>
    <w:rsid w:val="1563028B"/>
    <w:rsid w:val="15635DE3"/>
    <w:rsid w:val="15673EE6"/>
    <w:rsid w:val="159455A7"/>
    <w:rsid w:val="159D6AB9"/>
    <w:rsid w:val="15A351F0"/>
    <w:rsid w:val="15AA5D2D"/>
    <w:rsid w:val="15AB1FC7"/>
    <w:rsid w:val="15AC7B15"/>
    <w:rsid w:val="15BD7F8A"/>
    <w:rsid w:val="15DD77FA"/>
    <w:rsid w:val="15FB67D9"/>
    <w:rsid w:val="16014AE4"/>
    <w:rsid w:val="160F1384"/>
    <w:rsid w:val="160F4A24"/>
    <w:rsid w:val="1614704E"/>
    <w:rsid w:val="161959D5"/>
    <w:rsid w:val="161B7211"/>
    <w:rsid w:val="161B7DE1"/>
    <w:rsid w:val="1621387A"/>
    <w:rsid w:val="162216A5"/>
    <w:rsid w:val="1633428B"/>
    <w:rsid w:val="16423833"/>
    <w:rsid w:val="166F5173"/>
    <w:rsid w:val="16826ACC"/>
    <w:rsid w:val="16996672"/>
    <w:rsid w:val="16AA77C5"/>
    <w:rsid w:val="16AB400D"/>
    <w:rsid w:val="16C610D5"/>
    <w:rsid w:val="16C7704F"/>
    <w:rsid w:val="16C9009E"/>
    <w:rsid w:val="16C97D26"/>
    <w:rsid w:val="16CB70EC"/>
    <w:rsid w:val="16D1501C"/>
    <w:rsid w:val="16E46098"/>
    <w:rsid w:val="17146749"/>
    <w:rsid w:val="1716492E"/>
    <w:rsid w:val="1725230F"/>
    <w:rsid w:val="17262056"/>
    <w:rsid w:val="172B1F79"/>
    <w:rsid w:val="172B49C7"/>
    <w:rsid w:val="17557870"/>
    <w:rsid w:val="176509AC"/>
    <w:rsid w:val="17696AA1"/>
    <w:rsid w:val="17720B46"/>
    <w:rsid w:val="177872BD"/>
    <w:rsid w:val="17834C1E"/>
    <w:rsid w:val="178A3CF3"/>
    <w:rsid w:val="179F2C15"/>
    <w:rsid w:val="17A047FB"/>
    <w:rsid w:val="17BD73E6"/>
    <w:rsid w:val="17C84E5D"/>
    <w:rsid w:val="17DF26C3"/>
    <w:rsid w:val="17E46A90"/>
    <w:rsid w:val="17EE0F2E"/>
    <w:rsid w:val="17EE471D"/>
    <w:rsid w:val="17F96C99"/>
    <w:rsid w:val="17FE29D8"/>
    <w:rsid w:val="181235A1"/>
    <w:rsid w:val="182D5F7F"/>
    <w:rsid w:val="182F637B"/>
    <w:rsid w:val="183435EC"/>
    <w:rsid w:val="18665D44"/>
    <w:rsid w:val="187D4EAC"/>
    <w:rsid w:val="188A2A1D"/>
    <w:rsid w:val="189438C0"/>
    <w:rsid w:val="18B812B2"/>
    <w:rsid w:val="18CD2265"/>
    <w:rsid w:val="18D22152"/>
    <w:rsid w:val="18D2795E"/>
    <w:rsid w:val="18E43CF9"/>
    <w:rsid w:val="18E56908"/>
    <w:rsid w:val="19097CAB"/>
    <w:rsid w:val="19122ACA"/>
    <w:rsid w:val="19256FFD"/>
    <w:rsid w:val="193121EB"/>
    <w:rsid w:val="19336131"/>
    <w:rsid w:val="193402F4"/>
    <w:rsid w:val="19386385"/>
    <w:rsid w:val="194044FC"/>
    <w:rsid w:val="194F6D87"/>
    <w:rsid w:val="197307D8"/>
    <w:rsid w:val="197366E6"/>
    <w:rsid w:val="197F2643"/>
    <w:rsid w:val="19A5662C"/>
    <w:rsid w:val="19AB6B92"/>
    <w:rsid w:val="19AE7D16"/>
    <w:rsid w:val="19BD4550"/>
    <w:rsid w:val="19CF260E"/>
    <w:rsid w:val="19E53FC6"/>
    <w:rsid w:val="19F10DE1"/>
    <w:rsid w:val="19F84EBB"/>
    <w:rsid w:val="1A02129F"/>
    <w:rsid w:val="1A11365E"/>
    <w:rsid w:val="1A381E83"/>
    <w:rsid w:val="1A3D442F"/>
    <w:rsid w:val="1A3D7F8B"/>
    <w:rsid w:val="1A6E4BAE"/>
    <w:rsid w:val="1A736247"/>
    <w:rsid w:val="1A7A44BB"/>
    <w:rsid w:val="1A861FA1"/>
    <w:rsid w:val="1A87314C"/>
    <w:rsid w:val="1A8E4184"/>
    <w:rsid w:val="1A9247E7"/>
    <w:rsid w:val="1A930F77"/>
    <w:rsid w:val="1A943EEC"/>
    <w:rsid w:val="1AA61E59"/>
    <w:rsid w:val="1ADB6253"/>
    <w:rsid w:val="1AE14698"/>
    <w:rsid w:val="1AF84B4E"/>
    <w:rsid w:val="1AF92F67"/>
    <w:rsid w:val="1AFF27DB"/>
    <w:rsid w:val="1B0371E7"/>
    <w:rsid w:val="1B0870CD"/>
    <w:rsid w:val="1B0F3A37"/>
    <w:rsid w:val="1B1A79B9"/>
    <w:rsid w:val="1B1E2614"/>
    <w:rsid w:val="1B257D1C"/>
    <w:rsid w:val="1B517C1F"/>
    <w:rsid w:val="1B5916F7"/>
    <w:rsid w:val="1B6B248C"/>
    <w:rsid w:val="1B802ADC"/>
    <w:rsid w:val="1B811695"/>
    <w:rsid w:val="1B8B43CD"/>
    <w:rsid w:val="1BA500F1"/>
    <w:rsid w:val="1BA864F0"/>
    <w:rsid w:val="1BAF2D81"/>
    <w:rsid w:val="1BB450BE"/>
    <w:rsid w:val="1BBA39B3"/>
    <w:rsid w:val="1BCB5177"/>
    <w:rsid w:val="1BCF4252"/>
    <w:rsid w:val="1BD4712D"/>
    <w:rsid w:val="1BE7737A"/>
    <w:rsid w:val="1BEB0F6F"/>
    <w:rsid w:val="1BF34265"/>
    <w:rsid w:val="1BFE4A09"/>
    <w:rsid w:val="1C0657A0"/>
    <w:rsid w:val="1C184AA3"/>
    <w:rsid w:val="1C3533E4"/>
    <w:rsid w:val="1C377EBF"/>
    <w:rsid w:val="1C390A02"/>
    <w:rsid w:val="1C403EE8"/>
    <w:rsid w:val="1C546931"/>
    <w:rsid w:val="1C5F20BE"/>
    <w:rsid w:val="1C6E3BE2"/>
    <w:rsid w:val="1CA27DB6"/>
    <w:rsid w:val="1CAF543C"/>
    <w:rsid w:val="1CE60F50"/>
    <w:rsid w:val="1CF10CD6"/>
    <w:rsid w:val="1CF8286F"/>
    <w:rsid w:val="1CFA47BF"/>
    <w:rsid w:val="1CFE67DE"/>
    <w:rsid w:val="1D0B6872"/>
    <w:rsid w:val="1D1772ED"/>
    <w:rsid w:val="1D1F1B81"/>
    <w:rsid w:val="1D1F4F08"/>
    <w:rsid w:val="1D286A89"/>
    <w:rsid w:val="1D471212"/>
    <w:rsid w:val="1D54119B"/>
    <w:rsid w:val="1D614692"/>
    <w:rsid w:val="1D6A6CB2"/>
    <w:rsid w:val="1D6C3140"/>
    <w:rsid w:val="1D6D53AE"/>
    <w:rsid w:val="1D6E79F7"/>
    <w:rsid w:val="1D771A0F"/>
    <w:rsid w:val="1D7D790A"/>
    <w:rsid w:val="1D8160E5"/>
    <w:rsid w:val="1D9A6CA6"/>
    <w:rsid w:val="1DA210E9"/>
    <w:rsid w:val="1DA611B2"/>
    <w:rsid w:val="1DA754D9"/>
    <w:rsid w:val="1DB72919"/>
    <w:rsid w:val="1DB83441"/>
    <w:rsid w:val="1DC312DF"/>
    <w:rsid w:val="1DCA3189"/>
    <w:rsid w:val="1DD961C1"/>
    <w:rsid w:val="1DDB48FA"/>
    <w:rsid w:val="1DE43D6E"/>
    <w:rsid w:val="1DE943A1"/>
    <w:rsid w:val="1DEB6338"/>
    <w:rsid w:val="1DF332AB"/>
    <w:rsid w:val="1DF91F71"/>
    <w:rsid w:val="1E011224"/>
    <w:rsid w:val="1E021B45"/>
    <w:rsid w:val="1E025863"/>
    <w:rsid w:val="1E0F199A"/>
    <w:rsid w:val="1E1238A7"/>
    <w:rsid w:val="1E302974"/>
    <w:rsid w:val="1E354576"/>
    <w:rsid w:val="1E4B48FA"/>
    <w:rsid w:val="1E4F3CEA"/>
    <w:rsid w:val="1E5A03B2"/>
    <w:rsid w:val="1E693AAF"/>
    <w:rsid w:val="1E6F5B85"/>
    <w:rsid w:val="1E832515"/>
    <w:rsid w:val="1E986243"/>
    <w:rsid w:val="1EB03321"/>
    <w:rsid w:val="1EC0097D"/>
    <w:rsid w:val="1EC84D80"/>
    <w:rsid w:val="1ED9311C"/>
    <w:rsid w:val="1EED4CE9"/>
    <w:rsid w:val="1EF0748C"/>
    <w:rsid w:val="1F0E35FD"/>
    <w:rsid w:val="1F0F594C"/>
    <w:rsid w:val="1F293A44"/>
    <w:rsid w:val="1F3E6732"/>
    <w:rsid w:val="1F454545"/>
    <w:rsid w:val="1F557593"/>
    <w:rsid w:val="1F59658E"/>
    <w:rsid w:val="1F6B0410"/>
    <w:rsid w:val="1F7506C2"/>
    <w:rsid w:val="1F7875FB"/>
    <w:rsid w:val="1F851156"/>
    <w:rsid w:val="1F9409FE"/>
    <w:rsid w:val="1FA118AF"/>
    <w:rsid w:val="1FA177F2"/>
    <w:rsid w:val="1FBD1BDE"/>
    <w:rsid w:val="1FC14D44"/>
    <w:rsid w:val="1FC555EA"/>
    <w:rsid w:val="1FCB6B21"/>
    <w:rsid w:val="1FCC4293"/>
    <w:rsid w:val="1FD3437D"/>
    <w:rsid w:val="1FD40341"/>
    <w:rsid w:val="1FD4785D"/>
    <w:rsid w:val="1FE16581"/>
    <w:rsid w:val="1FE33A11"/>
    <w:rsid w:val="1FFA3E89"/>
    <w:rsid w:val="1FFB29E2"/>
    <w:rsid w:val="1FFB5EF5"/>
    <w:rsid w:val="1FFF7110"/>
    <w:rsid w:val="20073271"/>
    <w:rsid w:val="20092726"/>
    <w:rsid w:val="200A1EA2"/>
    <w:rsid w:val="2016001A"/>
    <w:rsid w:val="20195517"/>
    <w:rsid w:val="201C2DFC"/>
    <w:rsid w:val="202A41A8"/>
    <w:rsid w:val="202C3954"/>
    <w:rsid w:val="20313DE3"/>
    <w:rsid w:val="203D001A"/>
    <w:rsid w:val="203F3013"/>
    <w:rsid w:val="20515E09"/>
    <w:rsid w:val="20554A72"/>
    <w:rsid w:val="20580998"/>
    <w:rsid w:val="205C0475"/>
    <w:rsid w:val="20692EC2"/>
    <w:rsid w:val="206A446A"/>
    <w:rsid w:val="20710797"/>
    <w:rsid w:val="207B44B8"/>
    <w:rsid w:val="208F52EB"/>
    <w:rsid w:val="20903E59"/>
    <w:rsid w:val="20D33868"/>
    <w:rsid w:val="20D41959"/>
    <w:rsid w:val="20D4512D"/>
    <w:rsid w:val="20F07B6B"/>
    <w:rsid w:val="20F82CDF"/>
    <w:rsid w:val="21142B71"/>
    <w:rsid w:val="213C2139"/>
    <w:rsid w:val="214168B6"/>
    <w:rsid w:val="21604A7E"/>
    <w:rsid w:val="21650763"/>
    <w:rsid w:val="2165753A"/>
    <w:rsid w:val="217210AB"/>
    <w:rsid w:val="21836C0D"/>
    <w:rsid w:val="21870846"/>
    <w:rsid w:val="21924AC2"/>
    <w:rsid w:val="21956A7E"/>
    <w:rsid w:val="21A11F19"/>
    <w:rsid w:val="21A91823"/>
    <w:rsid w:val="21AA18C6"/>
    <w:rsid w:val="21AA42A7"/>
    <w:rsid w:val="21CF2598"/>
    <w:rsid w:val="21E31071"/>
    <w:rsid w:val="21FC4CDC"/>
    <w:rsid w:val="2205092A"/>
    <w:rsid w:val="22373655"/>
    <w:rsid w:val="22381361"/>
    <w:rsid w:val="224B07CF"/>
    <w:rsid w:val="225B0AFB"/>
    <w:rsid w:val="22713E2A"/>
    <w:rsid w:val="22A36DDC"/>
    <w:rsid w:val="22AA213D"/>
    <w:rsid w:val="22AA3F50"/>
    <w:rsid w:val="22B3308A"/>
    <w:rsid w:val="22B40B75"/>
    <w:rsid w:val="22B5412A"/>
    <w:rsid w:val="22B60BC1"/>
    <w:rsid w:val="22C548B9"/>
    <w:rsid w:val="22CA4A48"/>
    <w:rsid w:val="22CD0398"/>
    <w:rsid w:val="22D521ED"/>
    <w:rsid w:val="22E36641"/>
    <w:rsid w:val="22E42C35"/>
    <w:rsid w:val="22E84676"/>
    <w:rsid w:val="22EE0018"/>
    <w:rsid w:val="22FD30DF"/>
    <w:rsid w:val="23037460"/>
    <w:rsid w:val="23043F86"/>
    <w:rsid w:val="230B1022"/>
    <w:rsid w:val="231D7C52"/>
    <w:rsid w:val="232042E9"/>
    <w:rsid w:val="233260AF"/>
    <w:rsid w:val="233B2F56"/>
    <w:rsid w:val="234731A8"/>
    <w:rsid w:val="23706F2A"/>
    <w:rsid w:val="23754D13"/>
    <w:rsid w:val="2378008A"/>
    <w:rsid w:val="237A3E3A"/>
    <w:rsid w:val="238C720A"/>
    <w:rsid w:val="239F7901"/>
    <w:rsid w:val="23A103E4"/>
    <w:rsid w:val="23A149DE"/>
    <w:rsid w:val="23B73C87"/>
    <w:rsid w:val="23BC6988"/>
    <w:rsid w:val="23C65B76"/>
    <w:rsid w:val="23CA17BD"/>
    <w:rsid w:val="23D617D4"/>
    <w:rsid w:val="23EB5B71"/>
    <w:rsid w:val="23F55ACD"/>
    <w:rsid w:val="240476E2"/>
    <w:rsid w:val="24051AE6"/>
    <w:rsid w:val="24067C86"/>
    <w:rsid w:val="2408222E"/>
    <w:rsid w:val="241824D9"/>
    <w:rsid w:val="241A59E0"/>
    <w:rsid w:val="241E73ED"/>
    <w:rsid w:val="242C4612"/>
    <w:rsid w:val="243C5C09"/>
    <w:rsid w:val="24630115"/>
    <w:rsid w:val="247412F2"/>
    <w:rsid w:val="24893EB6"/>
    <w:rsid w:val="24B813A3"/>
    <w:rsid w:val="24B90B1D"/>
    <w:rsid w:val="24C96B72"/>
    <w:rsid w:val="24FD4BA0"/>
    <w:rsid w:val="250055DE"/>
    <w:rsid w:val="250A4233"/>
    <w:rsid w:val="250A46B3"/>
    <w:rsid w:val="251033FB"/>
    <w:rsid w:val="253F6ECF"/>
    <w:rsid w:val="25532066"/>
    <w:rsid w:val="256F3D36"/>
    <w:rsid w:val="257720E5"/>
    <w:rsid w:val="258F5520"/>
    <w:rsid w:val="259A7A07"/>
    <w:rsid w:val="25A86DD2"/>
    <w:rsid w:val="25AC4F4D"/>
    <w:rsid w:val="25CB4419"/>
    <w:rsid w:val="25CE1B4A"/>
    <w:rsid w:val="25D27773"/>
    <w:rsid w:val="25DB6DCD"/>
    <w:rsid w:val="25DE17FD"/>
    <w:rsid w:val="25E4208F"/>
    <w:rsid w:val="25EE79F3"/>
    <w:rsid w:val="260773DA"/>
    <w:rsid w:val="260853A6"/>
    <w:rsid w:val="26146B58"/>
    <w:rsid w:val="263F243A"/>
    <w:rsid w:val="2666666B"/>
    <w:rsid w:val="26695D08"/>
    <w:rsid w:val="266D6E43"/>
    <w:rsid w:val="26701DD7"/>
    <w:rsid w:val="26745616"/>
    <w:rsid w:val="26B36CA1"/>
    <w:rsid w:val="26BD6307"/>
    <w:rsid w:val="26BF532F"/>
    <w:rsid w:val="26DC67D4"/>
    <w:rsid w:val="26E06D76"/>
    <w:rsid w:val="26FD327D"/>
    <w:rsid w:val="27327FE8"/>
    <w:rsid w:val="27372E5D"/>
    <w:rsid w:val="274D6AC8"/>
    <w:rsid w:val="27556687"/>
    <w:rsid w:val="27657807"/>
    <w:rsid w:val="276677C8"/>
    <w:rsid w:val="276730EC"/>
    <w:rsid w:val="276C13F5"/>
    <w:rsid w:val="27727899"/>
    <w:rsid w:val="27A820F6"/>
    <w:rsid w:val="27AB6E22"/>
    <w:rsid w:val="27B00F32"/>
    <w:rsid w:val="27B46812"/>
    <w:rsid w:val="27BB4F1E"/>
    <w:rsid w:val="281E44D5"/>
    <w:rsid w:val="282E2B83"/>
    <w:rsid w:val="282E4925"/>
    <w:rsid w:val="283A5D18"/>
    <w:rsid w:val="28441166"/>
    <w:rsid w:val="285301BF"/>
    <w:rsid w:val="285D25E3"/>
    <w:rsid w:val="289E287F"/>
    <w:rsid w:val="28A549A8"/>
    <w:rsid w:val="28B358B3"/>
    <w:rsid w:val="28BD1477"/>
    <w:rsid w:val="28CB24E2"/>
    <w:rsid w:val="28CE30E9"/>
    <w:rsid w:val="28D864E3"/>
    <w:rsid w:val="28DD4F89"/>
    <w:rsid w:val="28E2429D"/>
    <w:rsid w:val="28F524E2"/>
    <w:rsid w:val="29032C2F"/>
    <w:rsid w:val="29091F56"/>
    <w:rsid w:val="290D30EB"/>
    <w:rsid w:val="290F6022"/>
    <w:rsid w:val="29227CD4"/>
    <w:rsid w:val="29314E61"/>
    <w:rsid w:val="295669DF"/>
    <w:rsid w:val="296B246C"/>
    <w:rsid w:val="29916954"/>
    <w:rsid w:val="29975542"/>
    <w:rsid w:val="29C311C1"/>
    <w:rsid w:val="29C95154"/>
    <w:rsid w:val="29D90CB2"/>
    <w:rsid w:val="29E5353F"/>
    <w:rsid w:val="29F23797"/>
    <w:rsid w:val="2A03769C"/>
    <w:rsid w:val="2A1569D4"/>
    <w:rsid w:val="2A29669E"/>
    <w:rsid w:val="2A2F26CD"/>
    <w:rsid w:val="2A452D53"/>
    <w:rsid w:val="2A4A27A8"/>
    <w:rsid w:val="2A4D6DD2"/>
    <w:rsid w:val="2A671383"/>
    <w:rsid w:val="2A680762"/>
    <w:rsid w:val="2A6F5072"/>
    <w:rsid w:val="2ABA211A"/>
    <w:rsid w:val="2AD171E7"/>
    <w:rsid w:val="2AE654F7"/>
    <w:rsid w:val="2AEE45F3"/>
    <w:rsid w:val="2AFE707C"/>
    <w:rsid w:val="2B236E16"/>
    <w:rsid w:val="2B62340F"/>
    <w:rsid w:val="2B6C3C70"/>
    <w:rsid w:val="2B6F62B7"/>
    <w:rsid w:val="2B865140"/>
    <w:rsid w:val="2B9010C4"/>
    <w:rsid w:val="2BA50EF4"/>
    <w:rsid w:val="2BB13CCF"/>
    <w:rsid w:val="2BC858EF"/>
    <w:rsid w:val="2BCC2396"/>
    <w:rsid w:val="2BD83908"/>
    <w:rsid w:val="2BDB122E"/>
    <w:rsid w:val="2BEE454B"/>
    <w:rsid w:val="2BEF1920"/>
    <w:rsid w:val="2BF535EE"/>
    <w:rsid w:val="2BF541BB"/>
    <w:rsid w:val="2C053165"/>
    <w:rsid w:val="2C0F1011"/>
    <w:rsid w:val="2C200647"/>
    <w:rsid w:val="2C263722"/>
    <w:rsid w:val="2C2A6F36"/>
    <w:rsid w:val="2C2C31CF"/>
    <w:rsid w:val="2C3B0069"/>
    <w:rsid w:val="2C3B5B15"/>
    <w:rsid w:val="2C456AE4"/>
    <w:rsid w:val="2C58699B"/>
    <w:rsid w:val="2C5D5A6E"/>
    <w:rsid w:val="2C604569"/>
    <w:rsid w:val="2C6D0D45"/>
    <w:rsid w:val="2C734EE3"/>
    <w:rsid w:val="2C765D1A"/>
    <w:rsid w:val="2C7E603F"/>
    <w:rsid w:val="2C823CB3"/>
    <w:rsid w:val="2C86757E"/>
    <w:rsid w:val="2CAD5AF4"/>
    <w:rsid w:val="2CAD6960"/>
    <w:rsid w:val="2CB57EAF"/>
    <w:rsid w:val="2CE57817"/>
    <w:rsid w:val="2CEB1DE3"/>
    <w:rsid w:val="2CEE6E6C"/>
    <w:rsid w:val="2CF874F6"/>
    <w:rsid w:val="2D046A4E"/>
    <w:rsid w:val="2D0B2CBF"/>
    <w:rsid w:val="2D253864"/>
    <w:rsid w:val="2D3101F1"/>
    <w:rsid w:val="2D43459B"/>
    <w:rsid w:val="2D5645AB"/>
    <w:rsid w:val="2D63377C"/>
    <w:rsid w:val="2D677D51"/>
    <w:rsid w:val="2D71611E"/>
    <w:rsid w:val="2D7D2A0F"/>
    <w:rsid w:val="2D893DEC"/>
    <w:rsid w:val="2D98563D"/>
    <w:rsid w:val="2D9F292F"/>
    <w:rsid w:val="2DA566E7"/>
    <w:rsid w:val="2DAF25E6"/>
    <w:rsid w:val="2DB526DD"/>
    <w:rsid w:val="2DBA314D"/>
    <w:rsid w:val="2DCF3047"/>
    <w:rsid w:val="2DD60AF5"/>
    <w:rsid w:val="2DE04453"/>
    <w:rsid w:val="2DE77AEE"/>
    <w:rsid w:val="2DF73754"/>
    <w:rsid w:val="2E0E3428"/>
    <w:rsid w:val="2E36521C"/>
    <w:rsid w:val="2E3878A1"/>
    <w:rsid w:val="2E4903D5"/>
    <w:rsid w:val="2E4C1156"/>
    <w:rsid w:val="2E555BC0"/>
    <w:rsid w:val="2E8A1598"/>
    <w:rsid w:val="2E8F19FE"/>
    <w:rsid w:val="2E8F28DF"/>
    <w:rsid w:val="2E9635AF"/>
    <w:rsid w:val="2E9C41B1"/>
    <w:rsid w:val="2EA06ECC"/>
    <w:rsid w:val="2EA5785A"/>
    <w:rsid w:val="2ECA6595"/>
    <w:rsid w:val="2ED5164A"/>
    <w:rsid w:val="2EE5772A"/>
    <w:rsid w:val="2EE81570"/>
    <w:rsid w:val="2EF53E29"/>
    <w:rsid w:val="2EF77444"/>
    <w:rsid w:val="2EFA015C"/>
    <w:rsid w:val="2F147766"/>
    <w:rsid w:val="2F1F5349"/>
    <w:rsid w:val="2F247878"/>
    <w:rsid w:val="2F533503"/>
    <w:rsid w:val="2F734C68"/>
    <w:rsid w:val="2F8E3769"/>
    <w:rsid w:val="2FCE5832"/>
    <w:rsid w:val="2FD20227"/>
    <w:rsid w:val="2FD37CA6"/>
    <w:rsid w:val="2FEA5CD2"/>
    <w:rsid w:val="30043770"/>
    <w:rsid w:val="300B5E53"/>
    <w:rsid w:val="301D3F11"/>
    <w:rsid w:val="30224F97"/>
    <w:rsid w:val="302A6342"/>
    <w:rsid w:val="303E033E"/>
    <w:rsid w:val="304E4384"/>
    <w:rsid w:val="30560E66"/>
    <w:rsid w:val="30567178"/>
    <w:rsid w:val="305F6E71"/>
    <w:rsid w:val="306550B1"/>
    <w:rsid w:val="307A0C60"/>
    <w:rsid w:val="308A32CF"/>
    <w:rsid w:val="308E6CEE"/>
    <w:rsid w:val="30957A0F"/>
    <w:rsid w:val="30A324C5"/>
    <w:rsid w:val="30A52BCD"/>
    <w:rsid w:val="30A54FC7"/>
    <w:rsid w:val="30AA0EFC"/>
    <w:rsid w:val="30B63E25"/>
    <w:rsid w:val="30E0187E"/>
    <w:rsid w:val="30E10037"/>
    <w:rsid w:val="30F66D23"/>
    <w:rsid w:val="30FD3BFB"/>
    <w:rsid w:val="31004387"/>
    <w:rsid w:val="31084651"/>
    <w:rsid w:val="31160799"/>
    <w:rsid w:val="31163B88"/>
    <w:rsid w:val="312538B8"/>
    <w:rsid w:val="313213AE"/>
    <w:rsid w:val="314D0004"/>
    <w:rsid w:val="31A73F19"/>
    <w:rsid w:val="31AB1D20"/>
    <w:rsid w:val="31C07773"/>
    <w:rsid w:val="31CC285F"/>
    <w:rsid w:val="31FC6C3A"/>
    <w:rsid w:val="320E23AA"/>
    <w:rsid w:val="321925F1"/>
    <w:rsid w:val="321C249A"/>
    <w:rsid w:val="321E655B"/>
    <w:rsid w:val="32204899"/>
    <w:rsid w:val="322E26B5"/>
    <w:rsid w:val="324A4B3F"/>
    <w:rsid w:val="327E20D9"/>
    <w:rsid w:val="32896786"/>
    <w:rsid w:val="329C573E"/>
    <w:rsid w:val="32A44D4C"/>
    <w:rsid w:val="32A8660E"/>
    <w:rsid w:val="32A97D01"/>
    <w:rsid w:val="32BF11D2"/>
    <w:rsid w:val="32CB7A1D"/>
    <w:rsid w:val="32D104D9"/>
    <w:rsid w:val="32EF3AE9"/>
    <w:rsid w:val="331C4F3C"/>
    <w:rsid w:val="332B59C2"/>
    <w:rsid w:val="333623B9"/>
    <w:rsid w:val="333A513E"/>
    <w:rsid w:val="33447735"/>
    <w:rsid w:val="334B570D"/>
    <w:rsid w:val="3361216D"/>
    <w:rsid w:val="33690A3B"/>
    <w:rsid w:val="337A6A10"/>
    <w:rsid w:val="339F075E"/>
    <w:rsid w:val="33A117BF"/>
    <w:rsid w:val="33A70743"/>
    <w:rsid w:val="33B4777E"/>
    <w:rsid w:val="33E615CC"/>
    <w:rsid w:val="33F82161"/>
    <w:rsid w:val="341975CD"/>
    <w:rsid w:val="3420716B"/>
    <w:rsid w:val="34421D60"/>
    <w:rsid w:val="34434EBD"/>
    <w:rsid w:val="344A0A45"/>
    <w:rsid w:val="345622B0"/>
    <w:rsid w:val="347210B7"/>
    <w:rsid w:val="34991191"/>
    <w:rsid w:val="34A10A79"/>
    <w:rsid w:val="34A35DB9"/>
    <w:rsid w:val="34AA1D3F"/>
    <w:rsid w:val="34BA5577"/>
    <w:rsid w:val="34BD4A6A"/>
    <w:rsid w:val="34C5426A"/>
    <w:rsid w:val="34D057AD"/>
    <w:rsid w:val="34D441DF"/>
    <w:rsid w:val="34DB0B7A"/>
    <w:rsid w:val="34E20CBE"/>
    <w:rsid w:val="34E40688"/>
    <w:rsid w:val="34E43B09"/>
    <w:rsid w:val="350C4C58"/>
    <w:rsid w:val="352C3DFA"/>
    <w:rsid w:val="355677B0"/>
    <w:rsid w:val="356264E8"/>
    <w:rsid w:val="35731528"/>
    <w:rsid w:val="35A441E6"/>
    <w:rsid w:val="35BC2499"/>
    <w:rsid w:val="35C26272"/>
    <w:rsid w:val="35DA05AD"/>
    <w:rsid w:val="35E16551"/>
    <w:rsid w:val="35E30B44"/>
    <w:rsid w:val="36031956"/>
    <w:rsid w:val="360E2726"/>
    <w:rsid w:val="361639E3"/>
    <w:rsid w:val="361C786D"/>
    <w:rsid w:val="36210DA8"/>
    <w:rsid w:val="364B74F3"/>
    <w:rsid w:val="366F6984"/>
    <w:rsid w:val="36703F33"/>
    <w:rsid w:val="368A306D"/>
    <w:rsid w:val="368F6D46"/>
    <w:rsid w:val="369D2833"/>
    <w:rsid w:val="36A608EF"/>
    <w:rsid w:val="36A66C4F"/>
    <w:rsid w:val="36AA37C1"/>
    <w:rsid w:val="36BF7326"/>
    <w:rsid w:val="36C03234"/>
    <w:rsid w:val="36EA5AA3"/>
    <w:rsid w:val="36F2630B"/>
    <w:rsid w:val="37032811"/>
    <w:rsid w:val="371362D3"/>
    <w:rsid w:val="37221740"/>
    <w:rsid w:val="37654BA0"/>
    <w:rsid w:val="37864035"/>
    <w:rsid w:val="378725EF"/>
    <w:rsid w:val="37C4758C"/>
    <w:rsid w:val="37C65F34"/>
    <w:rsid w:val="37D00717"/>
    <w:rsid w:val="37F35905"/>
    <w:rsid w:val="38055E6E"/>
    <w:rsid w:val="380B0EB4"/>
    <w:rsid w:val="382E3482"/>
    <w:rsid w:val="38350C4E"/>
    <w:rsid w:val="3843739E"/>
    <w:rsid w:val="38467ED5"/>
    <w:rsid w:val="385E1239"/>
    <w:rsid w:val="386D0E4C"/>
    <w:rsid w:val="386E4BAF"/>
    <w:rsid w:val="387D0B1C"/>
    <w:rsid w:val="38D04E5A"/>
    <w:rsid w:val="38EF4EEC"/>
    <w:rsid w:val="38F67AAD"/>
    <w:rsid w:val="38F82B3F"/>
    <w:rsid w:val="3906190B"/>
    <w:rsid w:val="39062113"/>
    <w:rsid w:val="391544C0"/>
    <w:rsid w:val="391A3BF9"/>
    <w:rsid w:val="391A613C"/>
    <w:rsid w:val="392E6AF0"/>
    <w:rsid w:val="39311B31"/>
    <w:rsid w:val="39623FE7"/>
    <w:rsid w:val="399D7B9D"/>
    <w:rsid w:val="39AD4688"/>
    <w:rsid w:val="39B81631"/>
    <w:rsid w:val="39D26AE4"/>
    <w:rsid w:val="39D3135D"/>
    <w:rsid w:val="39D8567D"/>
    <w:rsid w:val="39EF7E5B"/>
    <w:rsid w:val="39F17FEC"/>
    <w:rsid w:val="39F7268F"/>
    <w:rsid w:val="3A057518"/>
    <w:rsid w:val="3A1703F4"/>
    <w:rsid w:val="3A182D08"/>
    <w:rsid w:val="3A235FC6"/>
    <w:rsid w:val="3A262559"/>
    <w:rsid w:val="3A35486F"/>
    <w:rsid w:val="3A3A6DB6"/>
    <w:rsid w:val="3A577B93"/>
    <w:rsid w:val="3A5A0B27"/>
    <w:rsid w:val="3A721EFE"/>
    <w:rsid w:val="3A7630D8"/>
    <w:rsid w:val="3A845300"/>
    <w:rsid w:val="3A8843EB"/>
    <w:rsid w:val="3A9E0B7C"/>
    <w:rsid w:val="3AA25256"/>
    <w:rsid w:val="3AA411B7"/>
    <w:rsid w:val="3AA5006A"/>
    <w:rsid w:val="3AA93B81"/>
    <w:rsid w:val="3ABA47C8"/>
    <w:rsid w:val="3AD802B6"/>
    <w:rsid w:val="3AD9016F"/>
    <w:rsid w:val="3AF60042"/>
    <w:rsid w:val="3B0C59F3"/>
    <w:rsid w:val="3B1B03AD"/>
    <w:rsid w:val="3B2D3DF6"/>
    <w:rsid w:val="3B67122F"/>
    <w:rsid w:val="3B6A1889"/>
    <w:rsid w:val="3B7057CE"/>
    <w:rsid w:val="3B7477DA"/>
    <w:rsid w:val="3B9328D8"/>
    <w:rsid w:val="3B9F2E3D"/>
    <w:rsid w:val="3BA0536F"/>
    <w:rsid w:val="3BAA31CE"/>
    <w:rsid w:val="3BAB627F"/>
    <w:rsid w:val="3BC52A40"/>
    <w:rsid w:val="3BD41BC3"/>
    <w:rsid w:val="3BE66B6F"/>
    <w:rsid w:val="3BE7358C"/>
    <w:rsid w:val="3BF37B76"/>
    <w:rsid w:val="3C0F7367"/>
    <w:rsid w:val="3C150DCB"/>
    <w:rsid w:val="3C255529"/>
    <w:rsid w:val="3C2C126C"/>
    <w:rsid w:val="3C2C60D0"/>
    <w:rsid w:val="3C417B47"/>
    <w:rsid w:val="3C6E5FDF"/>
    <w:rsid w:val="3C7A4B98"/>
    <w:rsid w:val="3C7E48E2"/>
    <w:rsid w:val="3C8138D7"/>
    <w:rsid w:val="3C826976"/>
    <w:rsid w:val="3C963283"/>
    <w:rsid w:val="3C9860CB"/>
    <w:rsid w:val="3CA06BA9"/>
    <w:rsid w:val="3CAB3717"/>
    <w:rsid w:val="3CB16AE9"/>
    <w:rsid w:val="3CBB65D9"/>
    <w:rsid w:val="3CD2152A"/>
    <w:rsid w:val="3CD407C1"/>
    <w:rsid w:val="3CDD1EFE"/>
    <w:rsid w:val="3CF77CAD"/>
    <w:rsid w:val="3CFA77C9"/>
    <w:rsid w:val="3CFB4978"/>
    <w:rsid w:val="3CFE4407"/>
    <w:rsid w:val="3D012AF0"/>
    <w:rsid w:val="3D021D85"/>
    <w:rsid w:val="3D043870"/>
    <w:rsid w:val="3D233BDD"/>
    <w:rsid w:val="3D4029F2"/>
    <w:rsid w:val="3D425396"/>
    <w:rsid w:val="3D4B3636"/>
    <w:rsid w:val="3D510737"/>
    <w:rsid w:val="3D5B4CCD"/>
    <w:rsid w:val="3D671117"/>
    <w:rsid w:val="3D6D670D"/>
    <w:rsid w:val="3D71340C"/>
    <w:rsid w:val="3D732896"/>
    <w:rsid w:val="3D870B86"/>
    <w:rsid w:val="3D8F06A0"/>
    <w:rsid w:val="3D8F6D43"/>
    <w:rsid w:val="3D93696A"/>
    <w:rsid w:val="3D9C4A6D"/>
    <w:rsid w:val="3D9F4727"/>
    <w:rsid w:val="3DA12BCC"/>
    <w:rsid w:val="3DD02E9C"/>
    <w:rsid w:val="3DE12919"/>
    <w:rsid w:val="3DFC707E"/>
    <w:rsid w:val="3E2C7070"/>
    <w:rsid w:val="3E411549"/>
    <w:rsid w:val="3E7026CD"/>
    <w:rsid w:val="3E750A7E"/>
    <w:rsid w:val="3E752E27"/>
    <w:rsid w:val="3E854322"/>
    <w:rsid w:val="3E8F34A1"/>
    <w:rsid w:val="3EB12775"/>
    <w:rsid w:val="3EC87140"/>
    <w:rsid w:val="3ED40EA4"/>
    <w:rsid w:val="3ED73529"/>
    <w:rsid w:val="3EF040A3"/>
    <w:rsid w:val="3EF51CD7"/>
    <w:rsid w:val="3EFD4A49"/>
    <w:rsid w:val="3F024F5C"/>
    <w:rsid w:val="3F3B700F"/>
    <w:rsid w:val="3F3F59DC"/>
    <w:rsid w:val="3F437A78"/>
    <w:rsid w:val="3F446FC3"/>
    <w:rsid w:val="3F5C62AE"/>
    <w:rsid w:val="3F5E40F5"/>
    <w:rsid w:val="3F6823A6"/>
    <w:rsid w:val="3F6F675C"/>
    <w:rsid w:val="3F7412A6"/>
    <w:rsid w:val="3F806E1F"/>
    <w:rsid w:val="3F895E71"/>
    <w:rsid w:val="3F8A0F6C"/>
    <w:rsid w:val="3FA109B4"/>
    <w:rsid w:val="3FA1572B"/>
    <w:rsid w:val="3FA169DA"/>
    <w:rsid w:val="3FA82F6F"/>
    <w:rsid w:val="3FAC6431"/>
    <w:rsid w:val="3FAF5683"/>
    <w:rsid w:val="3FB36D43"/>
    <w:rsid w:val="3FBA08CD"/>
    <w:rsid w:val="3FD56370"/>
    <w:rsid w:val="3FDF1988"/>
    <w:rsid w:val="3FFD355C"/>
    <w:rsid w:val="4004310E"/>
    <w:rsid w:val="40141E71"/>
    <w:rsid w:val="40463037"/>
    <w:rsid w:val="40476055"/>
    <w:rsid w:val="40497527"/>
    <w:rsid w:val="404C1051"/>
    <w:rsid w:val="404E65A4"/>
    <w:rsid w:val="405E394D"/>
    <w:rsid w:val="405F7537"/>
    <w:rsid w:val="40690232"/>
    <w:rsid w:val="409847D2"/>
    <w:rsid w:val="40A02FB3"/>
    <w:rsid w:val="40A11198"/>
    <w:rsid w:val="40B245CA"/>
    <w:rsid w:val="40BD29AA"/>
    <w:rsid w:val="40C34586"/>
    <w:rsid w:val="40C750D9"/>
    <w:rsid w:val="40D54822"/>
    <w:rsid w:val="40D9063E"/>
    <w:rsid w:val="40E52C8F"/>
    <w:rsid w:val="40EA564A"/>
    <w:rsid w:val="41007188"/>
    <w:rsid w:val="411F44C9"/>
    <w:rsid w:val="41290F1B"/>
    <w:rsid w:val="41447A0D"/>
    <w:rsid w:val="4150279D"/>
    <w:rsid w:val="4154021A"/>
    <w:rsid w:val="415A359B"/>
    <w:rsid w:val="41674145"/>
    <w:rsid w:val="416A6C76"/>
    <w:rsid w:val="417365E2"/>
    <w:rsid w:val="41832684"/>
    <w:rsid w:val="41AA3309"/>
    <w:rsid w:val="41B16F4A"/>
    <w:rsid w:val="41B6312C"/>
    <w:rsid w:val="41B7678E"/>
    <w:rsid w:val="41BC6E19"/>
    <w:rsid w:val="41CE0661"/>
    <w:rsid w:val="41D85283"/>
    <w:rsid w:val="41EE03DD"/>
    <w:rsid w:val="41FD2992"/>
    <w:rsid w:val="420117BB"/>
    <w:rsid w:val="421E1FAE"/>
    <w:rsid w:val="4226636B"/>
    <w:rsid w:val="425D6494"/>
    <w:rsid w:val="42783A00"/>
    <w:rsid w:val="4279540F"/>
    <w:rsid w:val="42980B43"/>
    <w:rsid w:val="42A16816"/>
    <w:rsid w:val="42A604C2"/>
    <w:rsid w:val="42AA25BA"/>
    <w:rsid w:val="42BF162B"/>
    <w:rsid w:val="42C4547D"/>
    <w:rsid w:val="42D85C69"/>
    <w:rsid w:val="42D913ED"/>
    <w:rsid w:val="42EC4859"/>
    <w:rsid w:val="42EE2F6E"/>
    <w:rsid w:val="42F27127"/>
    <w:rsid w:val="42F40C90"/>
    <w:rsid w:val="42F865C6"/>
    <w:rsid w:val="42F97E71"/>
    <w:rsid w:val="42FB489C"/>
    <w:rsid w:val="43014D8D"/>
    <w:rsid w:val="43073630"/>
    <w:rsid w:val="430A7B4E"/>
    <w:rsid w:val="432C53A8"/>
    <w:rsid w:val="43485108"/>
    <w:rsid w:val="434E62B2"/>
    <w:rsid w:val="43540D6D"/>
    <w:rsid w:val="43686770"/>
    <w:rsid w:val="438763CC"/>
    <w:rsid w:val="439260CB"/>
    <w:rsid w:val="439F173B"/>
    <w:rsid w:val="43AE76FE"/>
    <w:rsid w:val="43F07AEA"/>
    <w:rsid w:val="43F5206D"/>
    <w:rsid w:val="44087840"/>
    <w:rsid w:val="441E3C5E"/>
    <w:rsid w:val="44503573"/>
    <w:rsid w:val="4451663F"/>
    <w:rsid w:val="445A42E3"/>
    <w:rsid w:val="445B245A"/>
    <w:rsid w:val="44666762"/>
    <w:rsid w:val="44895C20"/>
    <w:rsid w:val="44A22A5F"/>
    <w:rsid w:val="44A35215"/>
    <w:rsid w:val="44B15924"/>
    <w:rsid w:val="44BF693A"/>
    <w:rsid w:val="44CE0D26"/>
    <w:rsid w:val="44E5560E"/>
    <w:rsid w:val="4528105D"/>
    <w:rsid w:val="4545383D"/>
    <w:rsid w:val="45617629"/>
    <w:rsid w:val="45622339"/>
    <w:rsid w:val="456D5D60"/>
    <w:rsid w:val="457C57DD"/>
    <w:rsid w:val="459C4998"/>
    <w:rsid w:val="45B36DEC"/>
    <w:rsid w:val="45BA2DC3"/>
    <w:rsid w:val="45BE5808"/>
    <w:rsid w:val="45C20C4A"/>
    <w:rsid w:val="45E225AE"/>
    <w:rsid w:val="45E574D5"/>
    <w:rsid w:val="460D2063"/>
    <w:rsid w:val="46124341"/>
    <w:rsid w:val="46275133"/>
    <w:rsid w:val="46306C5F"/>
    <w:rsid w:val="46310DF4"/>
    <w:rsid w:val="46335B87"/>
    <w:rsid w:val="463D69FE"/>
    <w:rsid w:val="464455BB"/>
    <w:rsid w:val="46467BE6"/>
    <w:rsid w:val="46576C6E"/>
    <w:rsid w:val="466C3880"/>
    <w:rsid w:val="466C4D06"/>
    <w:rsid w:val="467C3957"/>
    <w:rsid w:val="46851811"/>
    <w:rsid w:val="46A90DFB"/>
    <w:rsid w:val="46AE69A3"/>
    <w:rsid w:val="46CB2445"/>
    <w:rsid w:val="46CB2E14"/>
    <w:rsid w:val="47055F03"/>
    <w:rsid w:val="470A7EDD"/>
    <w:rsid w:val="470F2591"/>
    <w:rsid w:val="47123D1F"/>
    <w:rsid w:val="471C5A92"/>
    <w:rsid w:val="47220DC7"/>
    <w:rsid w:val="4729176A"/>
    <w:rsid w:val="473547AA"/>
    <w:rsid w:val="474B53C3"/>
    <w:rsid w:val="475C217B"/>
    <w:rsid w:val="47860140"/>
    <w:rsid w:val="478A5651"/>
    <w:rsid w:val="478F53A6"/>
    <w:rsid w:val="47A478B9"/>
    <w:rsid w:val="47A675CB"/>
    <w:rsid w:val="47BE21C5"/>
    <w:rsid w:val="47C57CEF"/>
    <w:rsid w:val="47D40E7E"/>
    <w:rsid w:val="47D9791E"/>
    <w:rsid w:val="47DF2FC2"/>
    <w:rsid w:val="47DF7A77"/>
    <w:rsid w:val="48150371"/>
    <w:rsid w:val="48226128"/>
    <w:rsid w:val="48233545"/>
    <w:rsid w:val="482902C1"/>
    <w:rsid w:val="482E6204"/>
    <w:rsid w:val="48325883"/>
    <w:rsid w:val="483C3390"/>
    <w:rsid w:val="48604858"/>
    <w:rsid w:val="48707A4E"/>
    <w:rsid w:val="4885258C"/>
    <w:rsid w:val="488615BE"/>
    <w:rsid w:val="48A51224"/>
    <w:rsid w:val="48AE505F"/>
    <w:rsid w:val="48B81C5E"/>
    <w:rsid w:val="48CA4032"/>
    <w:rsid w:val="48D77EFD"/>
    <w:rsid w:val="48DE4319"/>
    <w:rsid w:val="48E55CF8"/>
    <w:rsid w:val="490140B0"/>
    <w:rsid w:val="49124B83"/>
    <w:rsid w:val="491277B1"/>
    <w:rsid w:val="49170FDF"/>
    <w:rsid w:val="491C7DE0"/>
    <w:rsid w:val="491D7937"/>
    <w:rsid w:val="49324540"/>
    <w:rsid w:val="493462E5"/>
    <w:rsid w:val="494F0ED7"/>
    <w:rsid w:val="4950203A"/>
    <w:rsid w:val="495B0DB8"/>
    <w:rsid w:val="49627794"/>
    <w:rsid w:val="49790A7A"/>
    <w:rsid w:val="498C2AA5"/>
    <w:rsid w:val="498F2869"/>
    <w:rsid w:val="499446E0"/>
    <w:rsid w:val="49A92F58"/>
    <w:rsid w:val="49B71B56"/>
    <w:rsid w:val="49C12960"/>
    <w:rsid w:val="49C2530E"/>
    <w:rsid w:val="49D455DD"/>
    <w:rsid w:val="49E93EF6"/>
    <w:rsid w:val="4A030D05"/>
    <w:rsid w:val="4A1D45A3"/>
    <w:rsid w:val="4A505206"/>
    <w:rsid w:val="4A53263A"/>
    <w:rsid w:val="4A5E124A"/>
    <w:rsid w:val="4A6E7D9C"/>
    <w:rsid w:val="4A714763"/>
    <w:rsid w:val="4A962E9F"/>
    <w:rsid w:val="4A9862D1"/>
    <w:rsid w:val="4A9A28B8"/>
    <w:rsid w:val="4A9E4995"/>
    <w:rsid w:val="4AA71318"/>
    <w:rsid w:val="4AB53AE1"/>
    <w:rsid w:val="4ABA19D7"/>
    <w:rsid w:val="4ABE3B53"/>
    <w:rsid w:val="4AC31802"/>
    <w:rsid w:val="4ACE0B5F"/>
    <w:rsid w:val="4AD75CD9"/>
    <w:rsid w:val="4ADD07C3"/>
    <w:rsid w:val="4ADE534E"/>
    <w:rsid w:val="4B137682"/>
    <w:rsid w:val="4B16416D"/>
    <w:rsid w:val="4B3125B9"/>
    <w:rsid w:val="4B39208A"/>
    <w:rsid w:val="4B665CAB"/>
    <w:rsid w:val="4B6C2E4F"/>
    <w:rsid w:val="4B6C311D"/>
    <w:rsid w:val="4B880932"/>
    <w:rsid w:val="4B8A2C8A"/>
    <w:rsid w:val="4BCB136C"/>
    <w:rsid w:val="4BE40DE9"/>
    <w:rsid w:val="4BF01BCF"/>
    <w:rsid w:val="4C6A5BDB"/>
    <w:rsid w:val="4C6A61C4"/>
    <w:rsid w:val="4C7F6BAB"/>
    <w:rsid w:val="4CAD1CCD"/>
    <w:rsid w:val="4CB62137"/>
    <w:rsid w:val="4CB9707A"/>
    <w:rsid w:val="4CBE62E1"/>
    <w:rsid w:val="4CD51567"/>
    <w:rsid w:val="4CDE2042"/>
    <w:rsid w:val="4D071B69"/>
    <w:rsid w:val="4D256A56"/>
    <w:rsid w:val="4D2724C0"/>
    <w:rsid w:val="4D336062"/>
    <w:rsid w:val="4D357E26"/>
    <w:rsid w:val="4D406853"/>
    <w:rsid w:val="4D735DD1"/>
    <w:rsid w:val="4D762B37"/>
    <w:rsid w:val="4D82176C"/>
    <w:rsid w:val="4D967EF0"/>
    <w:rsid w:val="4DAF1A60"/>
    <w:rsid w:val="4DB6249A"/>
    <w:rsid w:val="4DB73B9B"/>
    <w:rsid w:val="4DBE73AB"/>
    <w:rsid w:val="4DCD030F"/>
    <w:rsid w:val="4DDA30AA"/>
    <w:rsid w:val="4DE73A08"/>
    <w:rsid w:val="4DF05FF6"/>
    <w:rsid w:val="4DFD5AA5"/>
    <w:rsid w:val="4E074366"/>
    <w:rsid w:val="4E0F2161"/>
    <w:rsid w:val="4E0F3074"/>
    <w:rsid w:val="4E22050A"/>
    <w:rsid w:val="4E493835"/>
    <w:rsid w:val="4E4E6C8A"/>
    <w:rsid w:val="4E51562A"/>
    <w:rsid w:val="4E691AD8"/>
    <w:rsid w:val="4E7D6235"/>
    <w:rsid w:val="4E80589F"/>
    <w:rsid w:val="4E8647BC"/>
    <w:rsid w:val="4E9266CD"/>
    <w:rsid w:val="4E966D58"/>
    <w:rsid w:val="4ECB0E69"/>
    <w:rsid w:val="4EDD1A15"/>
    <w:rsid w:val="4EE82CA9"/>
    <w:rsid w:val="4EF04036"/>
    <w:rsid w:val="4EF6690F"/>
    <w:rsid w:val="4F093152"/>
    <w:rsid w:val="4F0C0730"/>
    <w:rsid w:val="4F1A5690"/>
    <w:rsid w:val="4F347F43"/>
    <w:rsid w:val="4F4154B6"/>
    <w:rsid w:val="4F4641AC"/>
    <w:rsid w:val="4F47347C"/>
    <w:rsid w:val="4F517754"/>
    <w:rsid w:val="4F687812"/>
    <w:rsid w:val="4F8A1193"/>
    <w:rsid w:val="4F963C77"/>
    <w:rsid w:val="4FB555B7"/>
    <w:rsid w:val="4FC20B7A"/>
    <w:rsid w:val="4FDC6F45"/>
    <w:rsid w:val="4FDC74A1"/>
    <w:rsid w:val="4FE56DEF"/>
    <w:rsid w:val="4FF72246"/>
    <w:rsid w:val="50015D7C"/>
    <w:rsid w:val="500420D4"/>
    <w:rsid w:val="5004599C"/>
    <w:rsid w:val="50121508"/>
    <w:rsid w:val="501C4122"/>
    <w:rsid w:val="5033503B"/>
    <w:rsid w:val="504F4ABB"/>
    <w:rsid w:val="50580F84"/>
    <w:rsid w:val="505A412A"/>
    <w:rsid w:val="50651E0B"/>
    <w:rsid w:val="50654821"/>
    <w:rsid w:val="50853ED0"/>
    <w:rsid w:val="509627B3"/>
    <w:rsid w:val="509803D1"/>
    <w:rsid w:val="5098366F"/>
    <w:rsid w:val="509D5725"/>
    <w:rsid w:val="50BC0C86"/>
    <w:rsid w:val="50BF55F7"/>
    <w:rsid w:val="50C940ED"/>
    <w:rsid w:val="50DA4CD3"/>
    <w:rsid w:val="50EF3A8D"/>
    <w:rsid w:val="50FE761E"/>
    <w:rsid w:val="510156AA"/>
    <w:rsid w:val="510C0623"/>
    <w:rsid w:val="51146F8C"/>
    <w:rsid w:val="513074C1"/>
    <w:rsid w:val="5138243A"/>
    <w:rsid w:val="515C00D3"/>
    <w:rsid w:val="515E1C40"/>
    <w:rsid w:val="51602897"/>
    <w:rsid w:val="51634FDD"/>
    <w:rsid w:val="516E141E"/>
    <w:rsid w:val="51841451"/>
    <w:rsid w:val="51AF38AD"/>
    <w:rsid w:val="51B709DC"/>
    <w:rsid w:val="51BC67DB"/>
    <w:rsid w:val="51CA2F74"/>
    <w:rsid w:val="51CD06F8"/>
    <w:rsid w:val="51E57F8A"/>
    <w:rsid w:val="51E8099A"/>
    <w:rsid w:val="51F03D31"/>
    <w:rsid w:val="51F5333C"/>
    <w:rsid w:val="51F87A39"/>
    <w:rsid w:val="521A4352"/>
    <w:rsid w:val="521F2A93"/>
    <w:rsid w:val="52223942"/>
    <w:rsid w:val="522D4167"/>
    <w:rsid w:val="522D76D9"/>
    <w:rsid w:val="523C1897"/>
    <w:rsid w:val="52586B03"/>
    <w:rsid w:val="52607565"/>
    <w:rsid w:val="527063DF"/>
    <w:rsid w:val="528953E3"/>
    <w:rsid w:val="52A176A6"/>
    <w:rsid w:val="52A91621"/>
    <w:rsid w:val="52AA6491"/>
    <w:rsid w:val="52B669A8"/>
    <w:rsid w:val="52CC5718"/>
    <w:rsid w:val="52E00B75"/>
    <w:rsid w:val="52E7215B"/>
    <w:rsid w:val="5301147D"/>
    <w:rsid w:val="530E156A"/>
    <w:rsid w:val="5312129C"/>
    <w:rsid w:val="53275A40"/>
    <w:rsid w:val="53315F51"/>
    <w:rsid w:val="53365FD5"/>
    <w:rsid w:val="535523BF"/>
    <w:rsid w:val="535D263D"/>
    <w:rsid w:val="536E7607"/>
    <w:rsid w:val="53737078"/>
    <w:rsid w:val="53777104"/>
    <w:rsid w:val="538C6AE8"/>
    <w:rsid w:val="53903F89"/>
    <w:rsid w:val="53956B8E"/>
    <w:rsid w:val="53997680"/>
    <w:rsid w:val="53B038DC"/>
    <w:rsid w:val="53DD0746"/>
    <w:rsid w:val="53E138DF"/>
    <w:rsid w:val="53EA5925"/>
    <w:rsid w:val="53EF7712"/>
    <w:rsid w:val="53F561A1"/>
    <w:rsid w:val="541428DD"/>
    <w:rsid w:val="54163A1C"/>
    <w:rsid w:val="542C0B43"/>
    <w:rsid w:val="542E2F65"/>
    <w:rsid w:val="54334AA1"/>
    <w:rsid w:val="54481022"/>
    <w:rsid w:val="544B0D3C"/>
    <w:rsid w:val="5450064B"/>
    <w:rsid w:val="54655BC0"/>
    <w:rsid w:val="546730C4"/>
    <w:rsid w:val="54932894"/>
    <w:rsid w:val="5499201B"/>
    <w:rsid w:val="549E3FC5"/>
    <w:rsid w:val="54AC6B63"/>
    <w:rsid w:val="54B43614"/>
    <w:rsid w:val="54BD1178"/>
    <w:rsid w:val="54CB1CD2"/>
    <w:rsid w:val="54CF6C8D"/>
    <w:rsid w:val="54D30F58"/>
    <w:rsid w:val="54D5104A"/>
    <w:rsid w:val="54E524E2"/>
    <w:rsid w:val="54F0294A"/>
    <w:rsid w:val="54FB6D36"/>
    <w:rsid w:val="55042F7C"/>
    <w:rsid w:val="550444DE"/>
    <w:rsid w:val="55062B7F"/>
    <w:rsid w:val="55291662"/>
    <w:rsid w:val="552D4563"/>
    <w:rsid w:val="555A78A5"/>
    <w:rsid w:val="555E0680"/>
    <w:rsid w:val="555F1794"/>
    <w:rsid w:val="55767BCD"/>
    <w:rsid w:val="55814E7D"/>
    <w:rsid w:val="5582693F"/>
    <w:rsid w:val="558D01CD"/>
    <w:rsid w:val="55930766"/>
    <w:rsid w:val="55BC0405"/>
    <w:rsid w:val="55D254D5"/>
    <w:rsid w:val="55D66FA6"/>
    <w:rsid w:val="55DC5681"/>
    <w:rsid w:val="55E81FCD"/>
    <w:rsid w:val="55F90ACE"/>
    <w:rsid w:val="56073D45"/>
    <w:rsid w:val="560D12C8"/>
    <w:rsid w:val="56220765"/>
    <w:rsid w:val="56314A53"/>
    <w:rsid w:val="5634502D"/>
    <w:rsid w:val="564F6219"/>
    <w:rsid w:val="56543AC8"/>
    <w:rsid w:val="56666A23"/>
    <w:rsid w:val="56727B71"/>
    <w:rsid w:val="56744155"/>
    <w:rsid w:val="56754E8B"/>
    <w:rsid w:val="56784727"/>
    <w:rsid w:val="567B1EEF"/>
    <w:rsid w:val="568A3F14"/>
    <w:rsid w:val="56AC22DA"/>
    <w:rsid w:val="56BD210C"/>
    <w:rsid w:val="56BE0587"/>
    <w:rsid w:val="56C53924"/>
    <w:rsid w:val="56E229D7"/>
    <w:rsid w:val="56EA4DE9"/>
    <w:rsid w:val="56EF7154"/>
    <w:rsid w:val="56F229F2"/>
    <w:rsid w:val="57003D4A"/>
    <w:rsid w:val="571353EA"/>
    <w:rsid w:val="571E636C"/>
    <w:rsid w:val="57224B15"/>
    <w:rsid w:val="572E6F34"/>
    <w:rsid w:val="5732156D"/>
    <w:rsid w:val="5740746F"/>
    <w:rsid w:val="574915AE"/>
    <w:rsid w:val="574B5F44"/>
    <w:rsid w:val="57536C53"/>
    <w:rsid w:val="5756543E"/>
    <w:rsid w:val="57580A90"/>
    <w:rsid w:val="575D7BF8"/>
    <w:rsid w:val="576D6568"/>
    <w:rsid w:val="57A553A4"/>
    <w:rsid w:val="57C976CC"/>
    <w:rsid w:val="57D54E17"/>
    <w:rsid w:val="57E71B9D"/>
    <w:rsid w:val="57E80424"/>
    <w:rsid w:val="57E87300"/>
    <w:rsid w:val="57F46BBD"/>
    <w:rsid w:val="57FB33CC"/>
    <w:rsid w:val="580C5578"/>
    <w:rsid w:val="5813774B"/>
    <w:rsid w:val="58267CA6"/>
    <w:rsid w:val="584E2D0F"/>
    <w:rsid w:val="58591CD6"/>
    <w:rsid w:val="5863757B"/>
    <w:rsid w:val="58763CC1"/>
    <w:rsid w:val="587C291B"/>
    <w:rsid w:val="58901436"/>
    <w:rsid w:val="58905165"/>
    <w:rsid w:val="58C0197A"/>
    <w:rsid w:val="58C70F28"/>
    <w:rsid w:val="58C73850"/>
    <w:rsid w:val="58D96676"/>
    <w:rsid w:val="58E247B6"/>
    <w:rsid w:val="59055E98"/>
    <w:rsid w:val="5913078D"/>
    <w:rsid w:val="59205E22"/>
    <w:rsid w:val="59325E4C"/>
    <w:rsid w:val="5945725F"/>
    <w:rsid w:val="59476A95"/>
    <w:rsid w:val="594B60FF"/>
    <w:rsid w:val="59590422"/>
    <w:rsid w:val="596F0C06"/>
    <w:rsid w:val="59841EC5"/>
    <w:rsid w:val="59BC3B69"/>
    <w:rsid w:val="59BD4023"/>
    <w:rsid w:val="59C06063"/>
    <w:rsid w:val="59CB47F8"/>
    <w:rsid w:val="59CF5ADF"/>
    <w:rsid w:val="59D12623"/>
    <w:rsid w:val="59D76F8C"/>
    <w:rsid w:val="5A010713"/>
    <w:rsid w:val="5A1057AD"/>
    <w:rsid w:val="5A2D1175"/>
    <w:rsid w:val="5A444050"/>
    <w:rsid w:val="5A4A7EA8"/>
    <w:rsid w:val="5A4C52F5"/>
    <w:rsid w:val="5A4F3DC1"/>
    <w:rsid w:val="5A5927E9"/>
    <w:rsid w:val="5A717D5C"/>
    <w:rsid w:val="5A7569FB"/>
    <w:rsid w:val="5A7C4100"/>
    <w:rsid w:val="5A940E69"/>
    <w:rsid w:val="5AD733AC"/>
    <w:rsid w:val="5ADB6A3E"/>
    <w:rsid w:val="5AE42ADF"/>
    <w:rsid w:val="5AEF4D51"/>
    <w:rsid w:val="5AF2207F"/>
    <w:rsid w:val="5B010C3A"/>
    <w:rsid w:val="5B1238B1"/>
    <w:rsid w:val="5B1A00B2"/>
    <w:rsid w:val="5B3132BA"/>
    <w:rsid w:val="5B370564"/>
    <w:rsid w:val="5B38179E"/>
    <w:rsid w:val="5B534656"/>
    <w:rsid w:val="5B5A18E3"/>
    <w:rsid w:val="5B7A064E"/>
    <w:rsid w:val="5B7F20B8"/>
    <w:rsid w:val="5B8D005F"/>
    <w:rsid w:val="5B9D5A5A"/>
    <w:rsid w:val="5BA35E6A"/>
    <w:rsid w:val="5BA63CD8"/>
    <w:rsid w:val="5BB05D6F"/>
    <w:rsid w:val="5BBE451B"/>
    <w:rsid w:val="5BEC14C2"/>
    <w:rsid w:val="5BEC2A0D"/>
    <w:rsid w:val="5BF05D23"/>
    <w:rsid w:val="5BF2571F"/>
    <w:rsid w:val="5BF47856"/>
    <w:rsid w:val="5BF925A6"/>
    <w:rsid w:val="5C0B5A33"/>
    <w:rsid w:val="5C1221F2"/>
    <w:rsid w:val="5C1A2DC4"/>
    <w:rsid w:val="5C1B1112"/>
    <w:rsid w:val="5C1B6B64"/>
    <w:rsid w:val="5C6B5B12"/>
    <w:rsid w:val="5C6C33CB"/>
    <w:rsid w:val="5C6F4E68"/>
    <w:rsid w:val="5C7C007A"/>
    <w:rsid w:val="5C8901B5"/>
    <w:rsid w:val="5CA41A09"/>
    <w:rsid w:val="5CB065CD"/>
    <w:rsid w:val="5CB151E6"/>
    <w:rsid w:val="5CD74C23"/>
    <w:rsid w:val="5CDD4EDD"/>
    <w:rsid w:val="5D0507A9"/>
    <w:rsid w:val="5D073EBE"/>
    <w:rsid w:val="5D136B5A"/>
    <w:rsid w:val="5D240D9E"/>
    <w:rsid w:val="5D2730B1"/>
    <w:rsid w:val="5D32249A"/>
    <w:rsid w:val="5D3706DC"/>
    <w:rsid w:val="5D3732D5"/>
    <w:rsid w:val="5D424F93"/>
    <w:rsid w:val="5D4B747F"/>
    <w:rsid w:val="5D4D5199"/>
    <w:rsid w:val="5D5600B4"/>
    <w:rsid w:val="5D64203B"/>
    <w:rsid w:val="5D6E21FC"/>
    <w:rsid w:val="5D7353B9"/>
    <w:rsid w:val="5D8139E7"/>
    <w:rsid w:val="5D8D5977"/>
    <w:rsid w:val="5D966DC9"/>
    <w:rsid w:val="5DA45BBD"/>
    <w:rsid w:val="5DA56684"/>
    <w:rsid w:val="5DBE3BE9"/>
    <w:rsid w:val="5DC77DF1"/>
    <w:rsid w:val="5DCC3148"/>
    <w:rsid w:val="5DD634F9"/>
    <w:rsid w:val="5DD76E54"/>
    <w:rsid w:val="5DF706F8"/>
    <w:rsid w:val="5E043509"/>
    <w:rsid w:val="5E0767A7"/>
    <w:rsid w:val="5E124F53"/>
    <w:rsid w:val="5E2A5D0B"/>
    <w:rsid w:val="5E3570B1"/>
    <w:rsid w:val="5E483C84"/>
    <w:rsid w:val="5E5A67DC"/>
    <w:rsid w:val="5E6168FF"/>
    <w:rsid w:val="5E6B1097"/>
    <w:rsid w:val="5E882847"/>
    <w:rsid w:val="5E8B10B7"/>
    <w:rsid w:val="5E900799"/>
    <w:rsid w:val="5EE1033D"/>
    <w:rsid w:val="5EFB3B2F"/>
    <w:rsid w:val="5F001776"/>
    <w:rsid w:val="5F05345C"/>
    <w:rsid w:val="5F144098"/>
    <w:rsid w:val="5F1743AA"/>
    <w:rsid w:val="5F1B314B"/>
    <w:rsid w:val="5F4534D4"/>
    <w:rsid w:val="5F49116A"/>
    <w:rsid w:val="5F553556"/>
    <w:rsid w:val="5F583889"/>
    <w:rsid w:val="5F5F709B"/>
    <w:rsid w:val="5F6736F7"/>
    <w:rsid w:val="5F69285B"/>
    <w:rsid w:val="5F811704"/>
    <w:rsid w:val="5F8213FB"/>
    <w:rsid w:val="5F871508"/>
    <w:rsid w:val="5F8B217D"/>
    <w:rsid w:val="5FA67393"/>
    <w:rsid w:val="5FAD38A5"/>
    <w:rsid w:val="5FB02E36"/>
    <w:rsid w:val="5FB84231"/>
    <w:rsid w:val="5FD01540"/>
    <w:rsid w:val="5FD26716"/>
    <w:rsid w:val="5FE962BE"/>
    <w:rsid w:val="5FEB6A98"/>
    <w:rsid w:val="5FFD1FBD"/>
    <w:rsid w:val="5FFD4CAA"/>
    <w:rsid w:val="600F2E50"/>
    <w:rsid w:val="602705F6"/>
    <w:rsid w:val="60285AEF"/>
    <w:rsid w:val="602C302A"/>
    <w:rsid w:val="60464478"/>
    <w:rsid w:val="60546F6C"/>
    <w:rsid w:val="60574C28"/>
    <w:rsid w:val="605805F5"/>
    <w:rsid w:val="605C2A15"/>
    <w:rsid w:val="60721CFC"/>
    <w:rsid w:val="6074023B"/>
    <w:rsid w:val="607961A8"/>
    <w:rsid w:val="607E22B0"/>
    <w:rsid w:val="608E78BF"/>
    <w:rsid w:val="60921F22"/>
    <w:rsid w:val="609441D7"/>
    <w:rsid w:val="60AE5FE1"/>
    <w:rsid w:val="60AF328F"/>
    <w:rsid w:val="60B350A2"/>
    <w:rsid w:val="60C12AE7"/>
    <w:rsid w:val="60C271CF"/>
    <w:rsid w:val="60C34B76"/>
    <w:rsid w:val="60CE2179"/>
    <w:rsid w:val="60D267C9"/>
    <w:rsid w:val="60D52680"/>
    <w:rsid w:val="60D74F08"/>
    <w:rsid w:val="60D81DFC"/>
    <w:rsid w:val="60E05AE3"/>
    <w:rsid w:val="60F05D85"/>
    <w:rsid w:val="60F25B43"/>
    <w:rsid w:val="6103156B"/>
    <w:rsid w:val="610617F8"/>
    <w:rsid w:val="610D52BB"/>
    <w:rsid w:val="61130DB8"/>
    <w:rsid w:val="6115435B"/>
    <w:rsid w:val="611701F3"/>
    <w:rsid w:val="61221480"/>
    <w:rsid w:val="612D1DBC"/>
    <w:rsid w:val="61334759"/>
    <w:rsid w:val="61407286"/>
    <w:rsid w:val="615C42CA"/>
    <w:rsid w:val="61682A80"/>
    <w:rsid w:val="618A06A7"/>
    <w:rsid w:val="61A2404F"/>
    <w:rsid w:val="61B679E8"/>
    <w:rsid w:val="61D020EC"/>
    <w:rsid w:val="61D448C0"/>
    <w:rsid w:val="61D74F71"/>
    <w:rsid w:val="61E1625D"/>
    <w:rsid w:val="61FF18AD"/>
    <w:rsid w:val="6203066A"/>
    <w:rsid w:val="620B45D8"/>
    <w:rsid w:val="621051F7"/>
    <w:rsid w:val="62122FC4"/>
    <w:rsid w:val="622873B2"/>
    <w:rsid w:val="622D7159"/>
    <w:rsid w:val="624B2CF9"/>
    <w:rsid w:val="62514782"/>
    <w:rsid w:val="625C7566"/>
    <w:rsid w:val="62681015"/>
    <w:rsid w:val="626A726E"/>
    <w:rsid w:val="626C3ED7"/>
    <w:rsid w:val="626C7548"/>
    <w:rsid w:val="62970DD5"/>
    <w:rsid w:val="62A94D7A"/>
    <w:rsid w:val="62B46C3A"/>
    <w:rsid w:val="62B666EC"/>
    <w:rsid w:val="62CC296D"/>
    <w:rsid w:val="62FB0C55"/>
    <w:rsid w:val="62FC6DE1"/>
    <w:rsid w:val="63034311"/>
    <w:rsid w:val="630B2DEC"/>
    <w:rsid w:val="6315625A"/>
    <w:rsid w:val="63264DD1"/>
    <w:rsid w:val="632D7BAB"/>
    <w:rsid w:val="63300258"/>
    <w:rsid w:val="63324A86"/>
    <w:rsid w:val="633F34A7"/>
    <w:rsid w:val="635F7B0E"/>
    <w:rsid w:val="63645A9E"/>
    <w:rsid w:val="636C7B02"/>
    <w:rsid w:val="63745A74"/>
    <w:rsid w:val="639343D4"/>
    <w:rsid w:val="63ED7154"/>
    <w:rsid w:val="63F53906"/>
    <w:rsid w:val="64107DAF"/>
    <w:rsid w:val="64126F3F"/>
    <w:rsid w:val="641F3640"/>
    <w:rsid w:val="641F4900"/>
    <w:rsid w:val="642C119F"/>
    <w:rsid w:val="64300396"/>
    <w:rsid w:val="64343066"/>
    <w:rsid w:val="644F3E56"/>
    <w:rsid w:val="64970E90"/>
    <w:rsid w:val="64DF3F0D"/>
    <w:rsid w:val="64E14C17"/>
    <w:rsid w:val="64E66F32"/>
    <w:rsid w:val="64ED6838"/>
    <w:rsid w:val="650201B3"/>
    <w:rsid w:val="651370A6"/>
    <w:rsid w:val="65192785"/>
    <w:rsid w:val="651B629D"/>
    <w:rsid w:val="65322B42"/>
    <w:rsid w:val="65391840"/>
    <w:rsid w:val="65424FBE"/>
    <w:rsid w:val="65456E09"/>
    <w:rsid w:val="655B1544"/>
    <w:rsid w:val="655D2534"/>
    <w:rsid w:val="657644C5"/>
    <w:rsid w:val="65766045"/>
    <w:rsid w:val="658A3A56"/>
    <w:rsid w:val="659442D3"/>
    <w:rsid w:val="659A1E12"/>
    <w:rsid w:val="65A41533"/>
    <w:rsid w:val="65A47FCD"/>
    <w:rsid w:val="65B952ED"/>
    <w:rsid w:val="65ED4F73"/>
    <w:rsid w:val="661A72E2"/>
    <w:rsid w:val="662846FB"/>
    <w:rsid w:val="662B36C9"/>
    <w:rsid w:val="6640234F"/>
    <w:rsid w:val="66514336"/>
    <w:rsid w:val="66574350"/>
    <w:rsid w:val="665C6111"/>
    <w:rsid w:val="666107AE"/>
    <w:rsid w:val="666F5ED3"/>
    <w:rsid w:val="66814500"/>
    <w:rsid w:val="66840599"/>
    <w:rsid w:val="66920CA7"/>
    <w:rsid w:val="66986FD5"/>
    <w:rsid w:val="669C6F6D"/>
    <w:rsid w:val="669E36B7"/>
    <w:rsid w:val="66A472BE"/>
    <w:rsid w:val="66A77BBD"/>
    <w:rsid w:val="66CB05B0"/>
    <w:rsid w:val="66EB6435"/>
    <w:rsid w:val="67147BC5"/>
    <w:rsid w:val="673D78BE"/>
    <w:rsid w:val="67565E53"/>
    <w:rsid w:val="675A3567"/>
    <w:rsid w:val="676479AE"/>
    <w:rsid w:val="676E49C3"/>
    <w:rsid w:val="67822ED1"/>
    <w:rsid w:val="67916E65"/>
    <w:rsid w:val="67AE0D98"/>
    <w:rsid w:val="67AF1420"/>
    <w:rsid w:val="67B01288"/>
    <w:rsid w:val="67C55E1C"/>
    <w:rsid w:val="67EA28EF"/>
    <w:rsid w:val="67F438E1"/>
    <w:rsid w:val="68097828"/>
    <w:rsid w:val="68135373"/>
    <w:rsid w:val="681C5100"/>
    <w:rsid w:val="68211BFA"/>
    <w:rsid w:val="682535C1"/>
    <w:rsid w:val="682A5C76"/>
    <w:rsid w:val="6866729A"/>
    <w:rsid w:val="68680DF4"/>
    <w:rsid w:val="688039D7"/>
    <w:rsid w:val="689451F7"/>
    <w:rsid w:val="68982E72"/>
    <w:rsid w:val="68AE36A4"/>
    <w:rsid w:val="68BC7EE6"/>
    <w:rsid w:val="68D8454C"/>
    <w:rsid w:val="68EB4F96"/>
    <w:rsid w:val="68EC1417"/>
    <w:rsid w:val="6901129A"/>
    <w:rsid w:val="69100C34"/>
    <w:rsid w:val="69112B84"/>
    <w:rsid w:val="6914165E"/>
    <w:rsid w:val="69200450"/>
    <w:rsid w:val="69213B17"/>
    <w:rsid w:val="693536FB"/>
    <w:rsid w:val="69521841"/>
    <w:rsid w:val="698E15C8"/>
    <w:rsid w:val="69A61CE7"/>
    <w:rsid w:val="69AB0CA1"/>
    <w:rsid w:val="69BB4554"/>
    <w:rsid w:val="69CB1F6E"/>
    <w:rsid w:val="69E46FBB"/>
    <w:rsid w:val="6A055E70"/>
    <w:rsid w:val="6A0E322D"/>
    <w:rsid w:val="6A4A0687"/>
    <w:rsid w:val="6A4C5690"/>
    <w:rsid w:val="6A510C8D"/>
    <w:rsid w:val="6A6C2FF5"/>
    <w:rsid w:val="6A864428"/>
    <w:rsid w:val="6A8B3B91"/>
    <w:rsid w:val="6A8E34A1"/>
    <w:rsid w:val="6A9101AA"/>
    <w:rsid w:val="6AA969BE"/>
    <w:rsid w:val="6AB17120"/>
    <w:rsid w:val="6AD832FA"/>
    <w:rsid w:val="6ADD2125"/>
    <w:rsid w:val="6AE21E0D"/>
    <w:rsid w:val="6AE576BF"/>
    <w:rsid w:val="6AED0ED0"/>
    <w:rsid w:val="6AF60D0A"/>
    <w:rsid w:val="6AF93C47"/>
    <w:rsid w:val="6B146CE2"/>
    <w:rsid w:val="6B231EAE"/>
    <w:rsid w:val="6B257C5F"/>
    <w:rsid w:val="6B5643FF"/>
    <w:rsid w:val="6B5B7203"/>
    <w:rsid w:val="6B6B1891"/>
    <w:rsid w:val="6B700D7F"/>
    <w:rsid w:val="6B74716E"/>
    <w:rsid w:val="6B801ACE"/>
    <w:rsid w:val="6BB17C1F"/>
    <w:rsid w:val="6BB61214"/>
    <w:rsid w:val="6BC05432"/>
    <w:rsid w:val="6BC52D37"/>
    <w:rsid w:val="6BC9130C"/>
    <w:rsid w:val="6BEB4AC5"/>
    <w:rsid w:val="6C0D5538"/>
    <w:rsid w:val="6C140536"/>
    <w:rsid w:val="6C21453C"/>
    <w:rsid w:val="6C327405"/>
    <w:rsid w:val="6C4F3825"/>
    <w:rsid w:val="6C541161"/>
    <w:rsid w:val="6C543955"/>
    <w:rsid w:val="6C641451"/>
    <w:rsid w:val="6C672B3C"/>
    <w:rsid w:val="6C7C7904"/>
    <w:rsid w:val="6C8302D6"/>
    <w:rsid w:val="6C857310"/>
    <w:rsid w:val="6C8B3337"/>
    <w:rsid w:val="6CAC364C"/>
    <w:rsid w:val="6CC54A3A"/>
    <w:rsid w:val="6CD25ED0"/>
    <w:rsid w:val="6CD95572"/>
    <w:rsid w:val="6CDE0ECD"/>
    <w:rsid w:val="6CFC710B"/>
    <w:rsid w:val="6D0107B5"/>
    <w:rsid w:val="6D094774"/>
    <w:rsid w:val="6D2F2851"/>
    <w:rsid w:val="6D440B1C"/>
    <w:rsid w:val="6D513D8B"/>
    <w:rsid w:val="6D542274"/>
    <w:rsid w:val="6D5A5CEF"/>
    <w:rsid w:val="6D6E3138"/>
    <w:rsid w:val="6D7012A9"/>
    <w:rsid w:val="6D741226"/>
    <w:rsid w:val="6D8F0420"/>
    <w:rsid w:val="6D906814"/>
    <w:rsid w:val="6D916F86"/>
    <w:rsid w:val="6D9342AA"/>
    <w:rsid w:val="6D9433C2"/>
    <w:rsid w:val="6D964FD1"/>
    <w:rsid w:val="6D9805E5"/>
    <w:rsid w:val="6DA81781"/>
    <w:rsid w:val="6DA907C2"/>
    <w:rsid w:val="6DAA52DD"/>
    <w:rsid w:val="6DAF78B9"/>
    <w:rsid w:val="6DB3044D"/>
    <w:rsid w:val="6DB94A67"/>
    <w:rsid w:val="6DDC579A"/>
    <w:rsid w:val="6DE676C8"/>
    <w:rsid w:val="6DF06A2C"/>
    <w:rsid w:val="6E2E7A99"/>
    <w:rsid w:val="6E3779AD"/>
    <w:rsid w:val="6E3C6DC3"/>
    <w:rsid w:val="6E4A3B2E"/>
    <w:rsid w:val="6E4A5830"/>
    <w:rsid w:val="6E4E3681"/>
    <w:rsid w:val="6E527A90"/>
    <w:rsid w:val="6E7C48F3"/>
    <w:rsid w:val="6E9244D1"/>
    <w:rsid w:val="6E931C46"/>
    <w:rsid w:val="6EB464CA"/>
    <w:rsid w:val="6EB52AAC"/>
    <w:rsid w:val="6EBB0496"/>
    <w:rsid w:val="6EBC3C26"/>
    <w:rsid w:val="6EC73922"/>
    <w:rsid w:val="6EDA7E8E"/>
    <w:rsid w:val="6EE447C1"/>
    <w:rsid w:val="6F027800"/>
    <w:rsid w:val="6F190F67"/>
    <w:rsid w:val="6F264810"/>
    <w:rsid w:val="6F280214"/>
    <w:rsid w:val="6F523024"/>
    <w:rsid w:val="6F54194A"/>
    <w:rsid w:val="6F551B5A"/>
    <w:rsid w:val="6F5B68A9"/>
    <w:rsid w:val="6F5C4B50"/>
    <w:rsid w:val="6F783005"/>
    <w:rsid w:val="6F7D0462"/>
    <w:rsid w:val="6F89573A"/>
    <w:rsid w:val="6F8B6D90"/>
    <w:rsid w:val="6F8C42D4"/>
    <w:rsid w:val="6FC404D4"/>
    <w:rsid w:val="6FC76242"/>
    <w:rsid w:val="6FD156B2"/>
    <w:rsid w:val="6FD72259"/>
    <w:rsid w:val="6FDE14CA"/>
    <w:rsid w:val="6FE8558E"/>
    <w:rsid w:val="6FE979D0"/>
    <w:rsid w:val="6FF34634"/>
    <w:rsid w:val="70110E5E"/>
    <w:rsid w:val="702929C7"/>
    <w:rsid w:val="702B17EA"/>
    <w:rsid w:val="703C5B6D"/>
    <w:rsid w:val="704C16B1"/>
    <w:rsid w:val="705B333A"/>
    <w:rsid w:val="705E06EA"/>
    <w:rsid w:val="70604FBA"/>
    <w:rsid w:val="706252FB"/>
    <w:rsid w:val="7068495E"/>
    <w:rsid w:val="70764924"/>
    <w:rsid w:val="70A81A81"/>
    <w:rsid w:val="70C378FA"/>
    <w:rsid w:val="70D309EC"/>
    <w:rsid w:val="70D46410"/>
    <w:rsid w:val="70E00300"/>
    <w:rsid w:val="70E11C41"/>
    <w:rsid w:val="70E2313A"/>
    <w:rsid w:val="70F27217"/>
    <w:rsid w:val="7105280C"/>
    <w:rsid w:val="7107096E"/>
    <w:rsid w:val="711B6AC7"/>
    <w:rsid w:val="71285E1C"/>
    <w:rsid w:val="712A6BFD"/>
    <w:rsid w:val="71335E47"/>
    <w:rsid w:val="7137717C"/>
    <w:rsid w:val="71500B77"/>
    <w:rsid w:val="71504D30"/>
    <w:rsid w:val="71505AB3"/>
    <w:rsid w:val="7154077B"/>
    <w:rsid w:val="716477F0"/>
    <w:rsid w:val="71652769"/>
    <w:rsid w:val="71896E92"/>
    <w:rsid w:val="719A78E8"/>
    <w:rsid w:val="71A13C7D"/>
    <w:rsid w:val="71B24E26"/>
    <w:rsid w:val="71CC3E30"/>
    <w:rsid w:val="71CE3C4E"/>
    <w:rsid w:val="71D97878"/>
    <w:rsid w:val="71DB6F7B"/>
    <w:rsid w:val="720204E3"/>
    <w:rsid w:val="724B6625"/>
    <w:rsid w:val="724E0446"/>
    <w:rsid w:val="724E0A50"/>
    <w:rsid w:val="724F0920"/>
    <w:rsid w:val="724F6709"/>
    <w:rsid w:val="72BF48A7"/>
    <w:rsid w:val="72C6517C"/>
    <w:rsid w:val="72C9753F"/>
    <w:rsid w:val="72CE5608"/>
    <w:rsid w:val="72D109BA"/>
    <w:rsid w:val="72D331EC"/>
    <w:rsid w:val="72DC14DB"/>
    <w:rsid w:val="72DD1FFA"/>
    <w:rsid w:val="72E027E9"/>
    <w:rsid w:val="72ED4ABF"/>
    <w:rsid w:val="731E2D2E"/>
    <w:rsid w:val="732E2143"/>
    <w:rsid w:val="73437653"/>
    <w:rsid w:val="734B1BB0"/>
    <w:rsid w:val="735045C8"/>
    <w:rsid w:val="735F15B9"/>
    <w:rsid w:val="73713D01"/>
    <w:rsid w:val="737E034F"/>
    <w:rsid w:val="73844559"/>
    <w:rsid w:val="738A1E50"/>
    <w:rsid w:val="741161BD"/>
    <w:rsid w:val="741E44B3"/>
    <w:rsid w:val="742C16BC"/>
    <w:rsid w:val="74324564"/>
    <w:rsid w:val="74326A41"/>
    <w:rsid w:val="7444617D"/>
    <w:rsid w:val="744F2B2B"/>
    <w:rsid w:val="74502C9F"/>
    <w:rsid w:val="746E4F61"/>
    <w:rsid w:val="749E4995"/>
    <w:rsid w:val="749F4D51"/>
    <w:rsid w:val="74EE3E41"/>
    <w:rsid w:val="75012202"/>
    <w:rsid w:val="75030223"/>
    <w:rsid w:val="751200E9"/>
    <w:rsid w:val="751E4D68"/>
    <w:rsid w:val="75211367"/>
    <w:rsid w:val="754D26DB"/>
    <w:rsid w:val="7551752C"/>
    <w:rsid w:val="755417FA"/>
    <w:rsid w:val="755A6145"/>
    <w:rsid w:val="757A1A36"/>
    <w:rsid w:val="75983365"/>
    <w:rsid w:val="75A2014E"/>
    <w:rsid w:val="75B52717"/>
    <w:rsid w:val="75B83D19"/>
    <w:rsid w:val="75BF6C99"/>
    <w:rsid w:val="75CD3AF8"/>
    <w:rsid w:val="75CF43B4"/>
    <w:rsid w:val="75D83E1E"/>
    <w:rsid w:val="76031899"/>
    <w:rsid w:val="760F2AA9"/>
    <w:rsid w:val="7610705E"/>
    <w:rsid w:val="76240A46"/>
    <w:rsid w:val="762C288F"/>
    <w:rsid w:val="762D0A00"/>
    <w:rsid w:val="763204AE"/>
    <w:rsid w:val="764D509D"/>
    <w:rsid w:val="765326C1"/>
    <w:rsid w:val="765C39F4"/>
    <w:rsid w:val="76812C07"/>
    <w:rsid w:val="768A090B"/>
    <w:rsid w:val="76A70142"/>
    <w:rsid w:val="76AC355C"/>
    <w:rsid w:val="76B442FF"/>
    <w:rsid w:val="76BE1C99"/>
    <w:rsid w:val="76BF644E"/>
    <w:rsid w:val="76DB0422"/>
    <w:rsid w:val="76DD0BBE"/>
    <w:rsid w:val="76F60B8B"/>
    <w:rsid w:val="77001659"/>
    <w:rsid w:val="770330B6"/>
    <w:rsid w:val="770C2C9B"/>
    <w:rsid w:val="771C497E"/>
    <w:rsid w:val="77214079"/>
    <w:rsid w:val="773F6FEB"/>
    <w:rsid w:val="77423B5E"/>
    <w:rsid w:val="774872F5"/>
    <w:rsid w:val="775B6E6C"/>
    <w:rsid w:val="776543E5"/>
    <w:rsid w:val="77777A21"/>
    <w:rsid w:val="777830C9"/>
    <w:rsid w:val="77793EBB"/>
    <w:rsid w:val="77936B49"/>
    <w:rsid w:val="779A206C"/>
    <w:rsid w:val="77AC0177"/>
    <w:rsid w:val="77B35FCE"/>
    <w:rsid w:val="77B4669D"/>
    <w:rsid w:val="77B90036"/>
    <w:rsid w:val="77BB1CE8"/>
    <w:rsid w:val="77BC7493"/>
    <w:rsid w:val="77C17260"/>
    <w:rsid w:val="77C20EF1"/>
    <w:rsid w:val="77CD71D9"/>
    <w:rsid w:val="77D112B7"/>
    <w:rsid w:val="77D30298"/>
    <w:rsid w:val="77D87795"/>
    <w:rsid w:val="77E02A2F"/>
    <w:rsid w:val="78035F61"/>
    <w:rsid w:val="78497BF0"/>
    <w:rsid w:val="784A6074"/>
    <w:rsid w:val="786D219F"/>
    <w:rsid w:val="786F7A13"/>
    <w:rsid w:val="788052F5"/>
    <w:rsid w:val="78855DA3"/>
    <w:rsid w:val="788B57D9"/>
    <w:rsid w:val="78B3024C"/>
    <w:rsid w:val="78BD5FD7"/>
    <w:rsid w:val="78CB01E6"/>
    <w:rsid w:val="78D73ACF"/>
    <w:rsid w:val="78E15D31"/>
    <w:rsid w:val="78E82CF5"/>
    <w:rsid w:val="79195BFD"/>
    <w:rsid w:val="793058F0"/>
    <w:rsid w:val="793D4DD1"/>
    <w:rsid w:val="79440766"/>
    <w:rsid w:val="794A7731"/>
    <w:rsid w:val="796B468C"/>
    <w:rsid w:val="796B5908"/>
    <w:rsid w:val="79724811"/>
    <w:rsid w:val="797E19FC"/>
    <w:rsid w:val="79935E85"/>
    <w:rsid w:val="799C271A"/>
    <w:rsid w:val="79B57D1F"/>
    <w:rsid w:val="79C02936"/>
    <w:rsid w:val="79C23C75"/>
    <w:rsid w:val="79C42583"/>
    <w:rsid w:val="79DE67DD"/>
    <w:rsid w:val="79E42FDC"/>
    <w:rsid w:val="79F906B1"/>
    <w:rsid w:val="7A042825"/>
    <w:rsid w:val="7A083838"/>
    <w:rsid w:val="7A0C6073"/>
    <w:rsid w:val="7A0E7A07"/>
    <w:rsid w:val="7A2662CB"/>
    <w:rsid w:val="7A2811B9"/>
    <w:rsid w:val="7A2E79F7"/>
    <w:rsid w:val="7A2F77BB"/>
    <w:rsid w:val="7A3476A7"/>
    <w:rsid w:val="7A394514"/>
    <w:rsid w:val="7A454E61"/>
    <w:rsid w:val="7A606AF5"/>
    <w:rsid w:val="7A661610"/>
    <w:rsid w:val="7A6F5755"/>
    <w:rsid w:val="7AAA2B70"/>
    <w:rsid w:val="7AB36A8C"/>
    <w:rsid w:val="7AB93602"/>
    <w:rsid w:val="7AC07F45"/>
    <w:rsid w:val="7AC20611"/>
    <w:rsid w:val="7B1C0D93"/>
    <w:rsid w:val="7B221AE5"/>
    <w:rsid w:val="7B2821C8"/>
    <w:rsid w:val="7B33580D"/>
    <w:rsid w:val="7B374668"/>
    <w:rsid w:val="7B6138F6"/>
    <w:rsid w:val="7B6B2F36"/>
    <w:rsid w:val="7B7C797B"/>
    <w:rsid w:val="7B805CE5"/>
    <w:rsid w:val="7B8A4834"/>
    <w:rsid w:val="7B9C205F"/>
    <w:rsid w:val="7BA91E7D"/>
    <w:rsid w:val="7BAC7BF0"/>
    <w:rsid w:val="7BC60CF6"/>
    <w:rsid w:val="7BCC1150"/>
    <w:rsid w:val="7BCD33F3"/>
    <w:rsid w:val="7BD13839"/>
    <w:rsid w:val="7BD961A7"/>
    <w:rsid w:val="7BDE7F49"/>
    <w:rsid w:val="7BE5775D"/>
    <w:rsid w:val="7BEA14F5"/>
    <w:rsid w:val="7BF05675"/>
    <w:rsid w:val="7BF070CA"/>
    <w:rsid w:val="7C1000CA"/>
    <w:rsid w:val="7C220650"/>
    <w:rsid w:val="7C323284"/>
    <w:rsid w:val="7C343A94"/>
    <w:rsid w:val="7C3A63E5"/>
    <w:rsid w:val="7C527DBC"/>
    <w:rsid w:val="7C5802C2"/>
    <w:rsid w:val="7C5A79E3"/>
    <w:rsid w:val="7C634CB3"/>
    <w:rsid w:val="7C6804F3"/>
    <w:rsid w:val="7C9F33A2"/>
    <w:rsid w:val="7CC710D6"/>
    <w:rsid w:val="7CCF0247"/>
    <w:rsid w:val="7CD2027A"/>
    <w:rsid w:val="7CD271D7"/>
    <w:rsid w:val="7CDF3FDE"/>
    <w:rsid w:val="7CE50DAD"/>
    <w:rsid w:val="7CE7286E"/>
    <w:rsid w:val="7CEC7A14"/>
    <w:rsid w:val="7D070BB6"/>
    <w:rsid w:val="7D1065B2"/>
    <w:rsid w:val="7D1A2047"/>
    <w:rsid w:val="7D1A379E"/>
    <w:rsid w:val="7D25099D"/>
    <w:rsid w:val="7D2754E8"/>
    <w:rsid w:val="7D2B7713"/>
    <w:rsid w:val="7D33696C"/>
    <w:rsid w:val="7D4B71C8"/>
    <w:rsid w:val="7D537106"/>
    <w:rsid w:val="7D574CE3"/>
    <w:rsid w:val="7D7B7020"/>
    <w:rsid w:val="7D8252A3"/>
    <w:rsid w:val="7D9112E7"/>
    <w:rsid w:val="7D917652"/>
    <w:rsid w:val="7DA83611"/>
    <w:rsid w:val="7DB52448"/>
    <w:rsid w:val="7DBD17CB"/>
    <w:rsid w:val="7DC74BFD"/>
    <w:rsid w:val="7DCF3423"/>
    <w:rsid w:val="7DF155DC"/>
    <w:rsid w:val="7DF35A77"/>
    <w:rsid w:val="7E072D58"/>
    <w:rsid w:val="7E09689B"/>
    <w:rsid w:val="7E1F54A3"/>
    <w:rsid w:val="7E2F3A76"/>
    <w:rsid w:val="7E4C2992"/>
    <w:rsid w:val="7E6C1371"/>
    <w:rsid w:val="7E6E762C"/>
    <w:rsid w:val="7E7C5ED2"/>
    <w:rsid w:val="7E8141B8"/>
    <w:rsid w:val="7E916EE6"/>
    <w:rsid w:val="7E9676AB"/>
    <w:rsid w:val="7EC752F7"/>
    <w:rsid w:val="7ED95B56"/>
    <w:rsid w:val="7EFE6F48"/>
    <w:rsid w:val="7F02602C"/>
    <w:rsid w:val="7F100D6A"/>
    <w:rsid w:val="7F1A4792"/>
    <w:rsid w:val="7F320F3B"/>
    <w:rsid w:val="7F443075"/>
    <w:rsid w:val="7F4E2C1B"/>
    <w:rsid w:val="7F621F1F"/>
    <w:rsid w:val="7F640A37"/>
    <w:rsid w:val="7F68337C"/>
    <w:rsid w:val="7F722053"/>
    <w:rsid w:val="7F8005BF"/>
    <w:rsid w:val="7F9B5164"/>
    <w:rsid w:val="7FA43C6F"/>
    <w:rsid w:val="7FA74634"/>
    <w:rsid w:val="7FB614C4"/>
    <w:rsid w:val="7FC61A58"/>
    <w:rsid w:val="7FCD084B"/>
    <w:rsid w:val="7FE96AD8"/>
    <w:rsid w:val="7FFD7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99" w:name="heading 6"/>
    <w:lsdException w:qFormat="1" w:uiPriority="99" w:name="heading 7"/>
    <w:lsdException w:qFormat="1" w:uiPriority="9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0" w:semiHidden="0" w:name="Normal Indent"/>
    <w:lsdException w:uiPriority="99" w:name="footnote text"/>
    <w:lsdException w:uiPriority="99" w:semiHidden="0" w:name="annotation text"/>
    <w:lsdException w:uiPriority="99" w:semiHidden="0" w:name="header"/>
    <w:lsdException w:qFormat="1" w:unhideWhenUsed="0" w:uiPriority="99" w:semiHidden="0" w:name="footer"/>
    <w:lsdException w:uiPriority="99" w:name="index heading"/>
    <w:lsdException w:qFormat="1" w:uiPriority="99"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99"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adjustRightInd w:val="0"/>
    </w:pPr>
    <w:rPr>
      <w:rFonts w:ascii="Calibri" w:hAnsi="Calibri" w:eastAsia="宋体" w:cs="Times New Roman"/>
      <w:sz w:val="24"/>
      <w:lang w:val="en-US" w:eastAsia="zh-CN" w:bidi="ar-SA"/>
    </w:rPr>
  </w:style>
  <w:style w:type="paragraph" w:styleId="5">
    <w:name w:val="heading 1"/>
    <w:basedOn w:val="1"/>
    <w:next w:val="1"/>
    <w:qFormat/>
    <w:uiPriority w:val="1"/>
    <w:pPr>
      <w:ind w:left="3"/>
      <w:outlineLvl w:val="0"/>
    </w:pPr>
    <w:rPr>
      <w:rFonts w:ascii="Microsoft JhengHei" w:hAnsi="Microsoft JhengHei" w:eastAsia="Microsoft JhengHei"/>
      <w:b/>
      <w:sz w:val="44"/>
    </w:rPr>
  </w:style>
  <w:style w:type="paragraph" w:styleId="6">
    <w:name w:val="heading 2"/>
    <w:basedOn w:val="1"/>
    <w:next w:val="1"/>
    <w:qFormat/>
    <w:uiPriority w:val="1"/>
    <w:pPr>
      <w:ind w:left="3"/>
      <w:outlineLvl w:val="1"/>
    </w:pPr>
    <w:rPr>
      <w:rFonts w:hint="eastAsia" w:ascii="宋体" w:hAnsi="宋体"/>
      <w:sz w:val="44"/>
    </w:rPr>
  </w:style>
  <w:style w:type="paragraph" w:styleId="7">
    <w:name w:val="heading 3"/>
    <w:basedOn w:val="1"/>
    <w:next w:val="1"/>
    <w:qFormat/>
    <w:uiPriority w:val="1"/>
    <w:pPr>
      <w:ind w:left="100"/>
      <w:outlineLvl w:val="2"/>
    </w:pPr>
    <w:rPr>
      <w:rFonts w:ascii="Microsoft JhengHei" w:hAnsi="Microsoft JhengHei" w:eastAsia="Microsoft JhengHei"/>
      <w:b/>
      <w:sz w:val="32"/>
    </w:rPr>
  </w:style>
  <w:style w:type="paragraph" w:styleId="8">
    <w:name w:val="heading 4"/>
    <w:basedOn w:val="1"/>
    <w:next w:val="1"/>
    <w:link w:val="63"/>
    <w:qFormat/>
    <w:uiPriority w:val="1"/>
    <w:pPr>
      <w:ind w:left="237"/>
      <w:outlineLvl w:val="3"/>
    </w:pPr>
    <w:rPr>
      <w:rFonts w:hint="eastAsia" w:ascii="宋体" w:hAnsi="宋体"/>
      <w:sz w:val="28"/>
    </w:rPr>
  </w:style>
  <w:style w:type="paragraph" w:styleId="9">
    <w:name w:val="heading 5"/>
    <w:basedOn w:val="1"/>
    <w:next w:val="1"/>
    <w:qFormat/>
    <w:uiPriority w:val="1"/>
    <w:pPr>
      <w:ind w:left="522"/>
      <w:outlineLvl w:val="4"/>
    </w:pPr>
    <w:rPr>
      <w:rFonts w:ascii="Times New Roman" w:hAnsi="Times New Roman" w:eastAsia="Times New Roman"/>
      <w:b/>
      <w:sz w:val="21"/>
    </w:rPr>
  </w:style>
  <w:style w:type="paragraph" w:styleId="10">
    <w:name w:val="heading 9"/>
    <w:basedOn w:val="1"/>
    <w:next w:val="11"/>
    <w:link w:val="40"/>
    <w:qFormat/>
    <w:uiPriority w:val="0"/>
    <w:pPr>
      <w:keepNext/>
      <w:keepLines/>
      <w:autoSpaceDE/>
      <w:autoSpaceDN/>
      <w:adjustRightInd/>
      <w:spacing w:before="240" w:after="64" w:line="320" w:lineRule="auto"/>
      <w:jc w:val="both"/>
      <w:outlineLvl w:val="8"/>
    </w:pPr>
    <w:rPr>
      <w:rFonts w:ascii="Arial" w:hAnsi="Arial" w:eastAsia="黑体"/>
      <w:kern w:val="2"/>
      <w:sz w:val="21"/>
    </w:rPr>
  </w:style>
  <w:style w:type="character" w:default="1" w:styleId="28">
    <w:name w:val="Default Paragraph Font"/>
    <w:semiHidden/>
    <w:unhideWhenUsed/>
    <w:qFormat/>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36"/>
    <w:qFormat/>
    <w:uiPriority w:val="0"/>
    <w:pPr>
      <w:ind w:firstLine="420" w:firstLineChars="200"/>
    </w:pPr>
  </w:style>
  <w:style w:type="paragraph" w:styleId="3">
    <w:name w:val="Body Text Indent"/>
    <w:basedOn w:val="1"/>
    <w:next w:val="4"/>
    <w:link w:val="46"/>
    <w:qFormat/>
    <w:uiPriority w:val="0"/>
    <w:pPr>
      <w:spacing w:after="120"/>
      <w:ind w:left="420" w:leftChars="200"/>
    </w:pPr>
  </w:style>
  <w:style w:type="paragraph" w:styleId="4">
    <w:name w:val="envelope return"/>
    <w:basedOn w:val="1"/>
    <w:qFormat/>
    <w:uiPriority w:val="0"/>
    <w:pPr>
      <w:snapToGrid w:val="0"/>
    </w:pPr>
    <w:rPr>
      <w:rFonts w:ascii="Arial" w:hAnsi="Arial"/>
      <w:szCs w:val="24"/>
    </w:rPr>
  </w:style>
  <w:style w:type="paragraph" w:styleId="11">
    <w:name w:val="Normal Indent"/>
    <w:basedOn w:val="1"/>
    <w:link w:val="68"/>
    <w:unhideWhenUsed/>
    <w:qFormat/>
    <w:uiPriority w:val="0"/>
    <w:pPr>
      <w:ind w:firstLine="420" w:firstLineChars="200"/>
    </w:pPr>
  </w:style>
  <w:style w:type="paragraph" w:styleId="12">
    <w:name w:val="Document Map"/>
    <w:basedOn w:val="1"/>
    <w:link w:val="39"/>
    <w:unhideWhenUsed/>
    <w:qFormat/>
    <w:uiPriority w:val="0"/>
    <w:rPr>
      <w:rFonts w:ascii="Microsoft YaHei UI" w:eastAsia="Microsoft YaHei UI"/>
      <w:sz w:val="18"/>
      <w:szCs w:val="18"/>
    </w:rPr>
  </w:style>
  <w:style w:type="paragraph" w:styleId="13">
    <w:name w:val="annotation text"/>
    <w:basedOn w:val="1"/>
    <w:link w:val="33"/>
    <w:unhideWhenUsed/>
    <w:uiPriority w:val="99"/>
  </w:style>
  <w:style w:type="paragraph" w:styleId="14">
    <w:name w:val="Body Text 3"/>
    <w:basedOn w:val="1"/>
    <w:link w:val="64"/>
    <w:unhideWhenUsed/>
    <w:qFormat/>
    <w:uiPriority w:val="0"/>
    <w:pPr>
      <w:autoSpaceDE/>
      <w:autoSpaceDN/>
      <w:adjustRightInd/>
      <w:jc w:val="both"/>
    </w:pPr>
    <w:rPr>
      <w:rFonts w:ascii="宋体" w:hAnsi="Times New Roman"/>
    </w:rPr>
  </w:style>
  <w:style w:type="paragraph" w:styleId="15">
    <w:name w:val="Body Text"/>
    <w:basedOn w:val="1"/>
    <w:link w:val="42"/>
    <w:unhideWhenUsed/>
    <w:qFormat/>
    <w:uiPriority w:val="1"/>
    <w:pPr>
      <w:ind w:left="100"/>
    </w:pPr>
    <w:rPr>
      <w:rFonts w:hint="eastAsia" w:ascii="宋体" w:hAnsi="宋体"/>
      <w:sz w:val="21"/>
    </w:rPr>
  </w:style>
  <w:style w:type="paragraph" w:styleId="16">
    <w:name w:val="toc 3"/>
    <w:basedOn w:val="1"/>
    <w:next w:val="1"/>
    <w:unhideWhenUsed/>
    <w:qFormat/>
    <w:uiPriority w:val="39"/>
    <w:pPr>
      <w:ind w:left="840" w:leftChars="400"/>
    </w:pPr>
  </w:style>
  <w:style w:type="paragraph" w:styleId="17">
    <w:name w:val="Plain Text"/>
    <w:basedOn w:val="1"/>
    <w:link w:val="45"/>
    <w:qFormat/>
    <w:uiPriority w:val="0"/>
    <w:rPr>
      <w:rFonts w:ascii="宋体"/>
    </w:rPr>
  </w:style>
  <w:style w:type="paragraph" w:styleId="18">
    <w:name w:val="Balloon Text"/>
    <w:basedOn w:val="1"/>
    <w:link w:val="44"/>
    <w:unhideWhenUsed/>
    <w:uiPriority w:val="99"/>
    <w:rPr>
      <w:sz w:val="18"/>
      <w:szCs w:val="18"/>
    </w:rPr>
  </w:style>
  <w:style w:type="paragraph" w:styleId="19">
    <w:name w:val="footer"/>
    <w:basedOn w:val="1"/>
    <w:link w:val="34"/>
    <w:qFormat/>
    <w:uiPriority w:val="99"/>
    <w:pPr>
      <w:tabs>
        <w:tab w:val="center" w:pos="4153"/>
        <w:tab w:val="right" w:pos="8306"/>
      </w:tabs>
      <w:snapToGrid w:val="0"/>
    </w:pPr>
    <w:rPr>
      <w:sz w:val="18"/>
      <w:szCs w:val="18"/>
    </w:rPr>
  </w:style>
  <w:style w:type="paragraph" w:styleId="20">
    <w:name w:val="header"/>
    <w:basedOn w:val="1"/>
    <w:link w:val="32"/>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21">
    <w:name w:val="toc 1"/>
    <w:basedOn w:val="1"/>
    <w:next w:val="1"/>
    <w:unhideWhenUsed/>
    <w:qFormat/>
    <w:uiPriority w:val="39"/>
  </w:style>
  <w:style w:type="paragraph" w:styleId="22">
    <w:name w:val="toc 2"/>
    <w:basedOn w:val="1"/>
    <w:next w:val="1"/>
    <w:unhideWhenUsed/>
    <w:qFormat/>
    <w:uiPriority w:val="39"/>
    <w:pPr>
      <w:ind w:left="420" w:leftChars="200"/>
    </w:pPr>
  </w:style>
  <w:style w:type="paragraph" w:styleId="23">
    <w:name w:val="Normal (Web)"/>
    <w:basedOn w:val="1"/>
    <w:qFormat/>
    <w:uiPriority w:val="99"/>
    <w:pPr>
      <w:widowControl/>
      <w:spacing w:before="100" w:beforeAutospacing="1" w:after="100" w:afterAutospacing="1"/>
    </w:pPr>
    <w:rPr>
      <w:rFonts w:ascii="宋体" w:hAnsi="宋体"/>
    </w:rPr>
  </w:style>
  <w:style w:type="paragraph" w:styleId="24">
    <w:name w:val="annotation subject"/>
    <w:basedOn w:val="13"/>
    <w:next w:val="13"/>
    <w:link w:val="47"/>
    <w:unhideWhenUsed/>
    <w:qFormat/>
    <w:uiPriority w:val="99"/>
    <w:rPr>
      <w:b/>
      <w:bCs/>
    </w:rPr>
  </w:style>
  <w:style w:type="paragraph" w:styleId="25">
    <w:name w:val="Body Text First Indent"/>
    <w:basedOn w:val="15"/>
    <w:link w:val="66"/>
    <w:qFormat/>
    <w:uiPriority w:val="0"/>
    <w:pPr>
      <w:spacing w:after="120"/>
      <w:ind w:left="0" w:firstLine="420" w:firstLineChars="100"/>
    </w:pPr>
    <w:rPr>
      <w:rFonts w:hint="default" w:ascii="Calibri" w:hAnsi="Calibri"/>
      <w:sz w:val="24"/>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Hyperlink"/>
    <w:qFormat/>
    <w:uiPriority w:val="99"/>
    <w:rPr>
      <w:color w:val="0000FF"/>
      <w:u w:val="single"/>
    </w:rPr>
  </w:style>
  <w:style w:type="character" w:styleId="31">
    <w:name w:val="annotation reference"/>
    <w:unhideWhenUsed/>
    <w:qFormat/>
    <w:uiPriority w:val="0"/>
    <w:rPr>
      <w:sz w:val="21"/>
      <w:szCs w:val="21"/>
    </w:rPr>
  </w:style>
  <w:style w:type="character" w:customStyle="1" w:styleId="32">
    <w:name w:val="页眉 Char"/>
    <w:link w:val="20"/>
    <w:qFormat/>
    <w:uiPriority w:val="99"/>
    <w:rPr>
      <w:sz w:val="18"/>
    </w:rPr>
  </w:style>
  <w:style w:type="character" w:customStyle="1" w:styleId="33">
    <w:name w:val="批注文字 Char"/>
    <w:link w:val="13"/>
    <w:uiPriority w:val="99"/>
    <w:rPr>
      <w:sz w:val="24"/>
    </w:rPr>
  </w:style>
  <w:style w:type="character" w:customStyle="1" w:styleId="34">
    <w:name w:val="页脚 Char"/>
    <w:link w:val="19"/>
    <w:qFormat/>
    <w:uiPriority w:val="99"/>
    <w:rPr>
      <w:sz w:val="18"/>
      <w:szCs w:val="18"/>
    </w:rPr>
  </w:style>
  <w:style w:type="character" w:customStyle="1" w:styleId="35">
    <w:name w:val="font31"/>
    <w:uiPriority w:val="0"/>
    <w:rPr>
      <w:rFonts w:hint="eastAsia" w:ascii="宋体" w:hAnsi="宋体" w:eastAsia="宋体" w:cs="宋体"/>
      <w:color w:val="000000"/>
      <w:sz w:val="22"/>
      <w:szCs w:val="22"/>
      <w:u w:val="none"/>
    </w:rPr>
  </w:style>
  <w:style w:type="character" w:customStyle="1" w:styleId="36">
    <w:name w:val="正文首行缩进 2 Char"/>
    <w:link w:val="2"/>
    <w:uiPriority w:val="0"/>
    <w:rPr>
      <w:sz w:val="24"/>
    </w:rPr>
  </w:style>
  <w:style w:type="character" w:customStyle="1" w:styleId="37">
    <w:name w:val="font01"/>
    <w:uiPriority w:val="0"/>
    <w:rPr>
      <w:rFonts w:hint="eastAsia" w:ascii="宋体" w:hAnsi="宋体" w:eastAsia="宋体" w:cs="宋体"/>
      <w:color w:val="000000"/>
      <w:sz w:val="20"/>
      <w:szCs w:val="20"/>
      <w:u w:val="none"/>
    </w:rPr>
  </w:style>
  <w:style w:type="character" w:customStyle="1" w:styleId="38">
    <w:name w:val="font11"/>
    <w:uiPriority w:val="0"/>
    <w:rPr>
      <w:rFonts w:hint="eastAsia" w:ascii="宋体" w:hAnsi="宋体" w:eastAsia="宋体" w:cs="宋体"/>
      <w:color w:val="000000"/>
      <w:sz w:val="22"/>
      <w:szCs w:val="22"/>
      <w:u w:val="none"/>
    </w:rPr>
  </w:style>
  <w:style w:type="character" w:customStyle="1" w:styleId="39">
    <w:name w:val="文档结构图 Char"/>
    <w:link w:val="12"/>
    <w:qFormat/>
    <w:uiPriority w:val="99"/>
    <w:rPr>
      <w:rFonts w:ascii="Microsoft YaHei UI" w:eastAsia="Microsoft YaHei UI"/>
      <w:sz w:val="18"/>
      <w:szCs w:val="18"/>
    </w:rPr>
  </w:style>
  <w:style w:type="character" w:customStyle="1" w:styleId="40">
    <w:name w:val="标题 9 Char"/>
    <w:link w:val="10"/>
    <w:qFormat/>
    <w:uiPriority w:val="0"/>
    <w:rPr>
      <w:rFonts w:ascii="Arial" w:hAnsi="Arial" w:eastAsia="黑体"/>
      <w:kern w:val="2"/>
      <w:sz w:val="21"/>
    </w:rPr>
  </w:style>
  <w:style w:type="character" w:customStyle="1" w:styleId="41">
    <w:name w:val="fontstyle01"/>
    <w:qFormat/>
    <w:uiPriority w:val="0"/>
    <w:rPr>
      <w:rFonts w:hint="eastAsia" w:ascii="宋体" w:hAnsi="宋体" w:eastAsia="宋体"/>
      <w:color w:val="000000"/>
      <w:sz w:val="22"/>
      <w:szCs w:val="22"/>
    </w:rPr>
  </w:style>
  <w:style w:type="character" w:customStyle="1" w:styleId="42">
    <w:name w:val="正文文本 Char"/>
    <w:link w:val="15"/>
    <w:qFormat/>
    <w:uiPriority w:val="1"/>
    <w:rPr>
      <w:rFonts w:ascii="宋体" w:hAnsi="宋体"/>
      <w:sz w:val="21"/>
    </w:rPr>
  </w:style>
  <w:style w:type="character" w:customStyle="1" w:styleId="43">
    <w:name w:val="font21"/>
    <w:uiPriority w:val="0"/>
    <w:rPr>
      <w:rFonts w:hint="eastAsia" w:ascii="宋体" w:hAnsi="宋体" w:eastAsia="宋体" w:cs="宋体"/>
      <w:color w:val="000000"/>
      <w:sz w:val="21"/>
      <w:szCs w:val="21"/>
      <w:u w:val="none"/>
    </w:rPr>
  </w:style>
  <w:style w:type="character" w:customStyle="1" w:styleId="44">
    <w:name w:val="批注框文本 Char"/>
    <w:link w:val="18"/>
    <w:semiHidden/>
    <w:qFormat/>
    <w:uiPriority w:val="99"/>
    <w:rPr>
      <w:sz w:val="18"/>
      <w:szCs w:val="18"/>
    </w:rPr>
  </w:style>
  <w:style w:type="character" w:customStyle="1" w:styleId="45">
    <w:name w:val="纯文本 Char"/>
    <w:link w:val="17"/>
    <w:qFormat/>
    <w:uiPriority w:val="0"/>
    <w:rPr>
      <w:rFonts w:ascii="宋体"/>
      <w:sz w:val="24"/>
    </w:rPr>
  </w:style>
  <w:style w:type="character" w:customStyle="1" w:styleId="46">
    <w:name w:val="正文文本缩进 Char"/>
    <w:link w:val="3"/>
    <w:qFormat/>
    <w:uiPriority w:val="0"/>
    <w:rPr>
      <w:sz w:val="24"/>
    </w:rPr>
  </w:style>
  <w:style w:type="character" w:customStyle="1" w:styleId="47">
    <w:name w:val="批注主题 Char"/>
    <w:link w:val="24"/>
    <w:semiHidden/>
    <w:qFormat/>
    <w:uiPriority w:val="99"/>
    <w:rPr>
      <w:b/>
      <w:bCs/>
      <w:sz w:val="24"/>
    </w:rPr>
  </w:style>
  <w:style w:type="paragraph" w:customStyle="1" w:styleId="48">
    <w:name w:val="正文首行缩进1"/>
    <w:basedOn w:val="15"/>
    <w:qFormat/>
    <w:uiPriority w:val="0"/>
    <w:pPr>
      <w:spacing w:line="312" w:lineRule="auto"/>
      <w:ind w:firstLine="420"/>
    </w:pPr>
    <w:rPr>
      <w:sz w:val="20"/>
    </w:rPr>
  </w:style>
  <w:style w:type="paragraph" w:customStyle="1" w:styleId="49">
    <w:name w:val="正文首行缩进 21"/>
    <w:basedOn w:val="3"/>
    <w:qFormat/>
    <w:uiPriority w:val="0"/>
    <w:pPr>
      <w:ind w:left="200" w:firstLine="200" w:firstLineChars="200"/>
    </w:pPr>
    <w:rPr>
      <w:kern w:val="2"/>
      <w:sz w:val="21"/>
      <w:szCs w:val="24"/>
    </w:rPr>
  </w:style>
  <w:style w:type="paragraph" w:customStyle="1" w:styleId="50">
    <w:name w:val="目录 31"/>
    <w:basedOn w:val="1"/>
    <w:next w:val="1"/>
    <w:unhideWhenUsed/>
    <w:qFormat/>
    <w:uiPriority w:val="99"/>
    <w:pPr>
      <w:ind w:left="840" w:leftChars="400"/>
    </w:pPr>
  </w:style>
  <w:style w:type="paragraph" w:customStyle="1" w:styleId="51">
    <w:name w:val="文一"/>
    <w:basedOn w:val="1"/>
    <w:link w:val="67"/>
    <w:qFormat/>
    <w:uiPriority w:val="0"/>
    <w:pPr>
      <w:topLinePunct/>
      <w:snapToGrid w:val="0"/>
      <w:spacing w:line="360" w:lineRule="auto"/>
      <w:ind w:firstLine="200" w:firstLineChars="200"/>
    </w:pPr>
    <w:rPr>
      <w:rFonts w:ascii="Times New Roman" w:hAnsi="Times New Roman"/>
      <w:snapToGrid w:val="0"/>
      <w:spacing w:val="4"/>
      <w:szCs w:val="24"/>
    </w:rPr>
  </w:style>
  <w:style w:type="paragraph" w:customStyle="1" w:styleId="52">
    <w:name w:val="Table Paragraph"/>
    <w:basedOn w:val="1"/>
    <w:unhideWhenUsed/>
    <w:qFormat/>
    <w:uiPriority w:val="1"/>
  </w:style>
  <w:style w:type="paragraph" w:customStyle="1" w:styleId="53">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54">
    <w:name w:val="正文1"/>
    <w:qFormat/>
    <w:uiPriority w:val="0"/>
    <w:pPr>
      <w:ind w:firstLine="360"/>
    </w:pPr>
    <w:rPr>
      <w:rFonts w:hint="eastAsia" w:ascii="Calibri" w:hAnsi="Calibri" w:eastAsia="宋体" w:cs="Times New Roman"/>
      <w:sz w:val="22"/>
      <w:lang w:val="en-US" w:eastAsia="en-US" w:bidi="ar-SA"/>
    </w:rPr>
  </w:style>
  <w:style w:type="paragraph" w:customStyle="1" w:styleId="55">
    <w:name w:val="修订1"/>
    <w:unhideWhenUsed/>
    <w:uiPriority w:val="99"/>
    <w:rPr>
      <w:rFonts w:ascii="Calibri" w:hAnsi="Calibri" w:eastAsia="宋体" w:cs="Times New Roman"/>
      <w:sz w:val="24"/>
      <w:lang w:val="en-US" w:eastAsia="zh-CN" w:bidi="ar-SA"/>
    </w:rPr>
  </w:style>
  <w:style w:type="paragraph" w:styleId="56">
    <w:name w:val="No Spacing"/>
    <w:qFormat/>
    <w:uiPriority w:val="1"/>
    <w:pPr>
      <w:widowControl w:val="0"/>
      <w:jc w:val="both"/>
    </w:pPr>
    <w:rPr>
      <w:rFonts w:ascii="Times New Roman" w:hAnsi="Times New Roman" w:eastAsia="等线" w:cs="Times New Roman"/>
      <w:kern w:val="2"/>
      <w:sz w:val="21"/>
      <w:szCs w:val="22"/>
      <w:lang w:val="en-US" w:eastAsia="zh-CN" w:bidi="ar-SA"/>
    </w:rPr>
  </w:style>
  <w:style w:type="paragraph" w:customStyle="1" w:styleId="57">
    <w:name w:val="Revision"/>
    <w:unhideWhenUsed/>
    <w:uiPriority w:val="99"/>
    <w:rPr>
      <w:rFonts w:ascii="Calibri" w:hAnsi="Calibri" w:eastAsia="宋体" w:cs="Times New Roman"/>
      <w:sz w:val="24"/>
      <w:lang w:val="en-US" w:eastAsia="zh-CN" w:bidi="ar-SA"/>
    </w:rPr>
  </w:style>
  <w:style w:type="paragraph" w:customStyle="1" w:styleId="58">
    <w:name w:val="目录 11"/>
    <w:basedOn w:val="1"/>
    <w:next w:val="1"/>
    <w:unhideWhenUsed/>
    <w:qFormat/>
    <w:uiPriority w:val="99"/>
  </w:style>
  <w:style w:type="paragraph" w:customStyle="1" w:styleId="59">
    <w:name w:val="table"/>
    <w:basedOn w:val="54"/>
    <w:qFormat/>
    <w:uiPriority w:val="0"/>
    <w:pPr>
      <w:overflowPunct w:val="0"/>
      <w:autoSpaceDE w:val="0"/>
      <w:autoSpaceDN w:val="0"/>
      <w:spacing w:before="60" w:after="60"/>
      <w:jc w:val="center"/>
    </w:pPr>
    <w:rPr>
      <w:rFonts w:ascii="仿宋体" w:eastAsia="仿宋体"/>
      <w:sz w:val="24"/>
    </w:rPr>
  </w:style>
  <w:style w:type="paragraph" w:styleId="60">
    <w:name w:val="List Paragraph"/>
    <w:basedOn w:val="1"/>
    <w:qFormat/>
    <w:uiPriority w:val="1"/>
    <w:pPr>
      <w:ind w:firstLine="420" w:firstLineChars="200"/>
    </w:pPr>
  </w:style>
  <w:style w:type="paragraph" w:customStyle="1" w:styleId="61">
    <w:name w:val="表格式样"/>
    <w:basedOn w:val="1"/>
    <w:qFormat/>
    <w:uiPriority w:val="0"/>
    <w:pPr>
      <w:autoSpaceDE/>
      <w:autoSpaceDN/>
      <w:adjustRightInd/>
      <w:spacing w:before="120" w:after="120" w:line="360" w:lineRule="auto"/>
      <w:jc w:val="center"/>
    </w:pPr>
    <w:rPr>
      <w:sz w:val="21"/>
    </w:rPr>
  </w:style>
  <w:style w:type="paragraph" w:customStyle="1" w:styleId="62">
    <w:name w:val="列出段落1"/>
    <w:basedOn w:val="1"/>
    <w:qFormat/>
    <w:uiPriority w:val="1"/>
  </w:style>
  <w:style w:type="character" w:customStyle="1" w:styleId="63">
    <w:name w:val="标题 4 Char"/>
    <w:link w:val="8"/>
    <w:uiPriority w:val="1"/>
    <w:rPr>
      <w:rFonts w:ascii="宋体" w:hAnsi="宋体"/>
      <w:sz w:val="28"/>
    </w:rPr>
  </w:style>
  <w:style w:type="character" w:customStyle="1" w:styleId="64">
    <w:name w:val="正文文本 3 Char"/>
    <w:link w:val="14"/>
    <w:qFormat/>
    <w:uiPriority w:val="0"/>
    <w:rPr>
      <w:rFonts w:ascii="宋体"/>
      <w:sz w:val="24"/>
    </w:rPr>
  </w:style>
  <w:style w:type="character" w:customStyle="1" w:styleId="65">
    <w:name w:val="正文文本 3 Char1"/>
    <w:semiHidden/>
    <w:uiPriority w:val="99"/>
    <w:rPr>
      <w:rFonts w:ascii="Calibri" w:hAnsi="Calibri"/>
      <w:sz w:val="16"/>
      <w:szCs w:val="16"/>
    </w:rPr>
  </w:style>
  <w:style w:type="character" w:customStyle="1" w:styleId="66">
    <w:name w:val="正文首行缩进 Char"/>
    <w:link w:val="25"/>
    <w:uiPriority w:val="0"/>
    <w:rPr>
      <w:rFonts w:ascii="Calibri" w:hAnsi="Calibri"/>
      <w:sz w:val="24"/>
    </w:rPr>
  </w:style>
  <w:style w:type="character" w:customStyle="1" w:styleId="67">
    <w:name w:val="文一 Char Char"/>
    <w:link w:val="51"/>
    <w:qFormat/>
    <w:uiPriority w:val="0"/>
    <w:rPr>
      <w:snapToGrid w:val="0"/>
      <w:spacing w:val="4"/>
      <w:sz w:val="24"/>
      <w:szCs w:val="24"/>
    </w:rPr>
  </w:style>
  <w:style w:type="character" w:customStyle="1" w:styleId="68">
    <w:name w:val="正文缩进 Char"/>
    <w:link w:val="11"/>
    <w:uiPriority w:val="0"/>
    <w:rPr>
      <w:rFonts w:ascii="Calibri" w:hAnsi="Calibri"/>
      <w:sz w:val="24"/>
    </w:rPr>
  </w:style>
  <w:style w:type="character" w:customStyle="1" w:styleId="69">
    <w:name w:val="cf01"/>
    <w:basedOn w:val="28"/>
    <w:uiPriority w:val="0"/>
    <w:rPr>
      <w:rFonts w:hint="eastAsia" w:ascii="Microsoft YaHei UI" w:hAnsi="Microsoft YaHei UI" w:eastAsia="Microsoft YaHei UI"/>
      <w:sz w:val="18"/>
      <w:szCs w:val="18"/>
    </w:rPr>
  </w:style>
  <w:style w:type="character" w:customStyle="1" w:styleId="70">
    <w:name w:val="cf11"/>
    <w:basedOn w:val="28"/>
    <w:uiPriority w:val="0"/>
    <w:rPr>
      <w:rFonts w:hint="eastAsia" w:ascii="Microsoft YaHei UI" w:hAnsi="Microsoft YaHei UI" w:eastAsia="Microsoft YaHei UI"/>
      <w:b/>
      <w:bCs/>
      <w:sz w:val="18"/>
      <w:szCs w:val="18"/>
      <w:shd w:val="clear" w:color="auto" w:fill="FFFF00"/>
    </w:rPr>
  </w:style>
  <w:style w:type="character" w:customStyle="1" w:styleId="71">
    <w:name w:val="cf21"/>
    <w:basedOn w:val="28"/>
    <w:uiPriority w:val="0"/>
    <w:rPr>
      <w:rFonts w:hint="eastAsia" w:ascii="Microsoft YaHei UI" w:hAnsi="Microsoft YaHei UI" w:eastAsia="Microsoft YaHei UI"/>
      <w:sz w:val="18"/>
      <w:szCs w:val="18"/>
      <w:shd w:val="clear" w:color="auto" w:fill="00FF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720D6D-A72C-4D67-A8A0-20300F8EC652}">
  <ds:schemaRefs/>
</ds:datastoreItem>
</file>

<file path=docProps/app.xml><?xml version="1.0" encoding="utf-8"?>
<Properties xmlns="http://schemas.openxmlformats.org/officeDocument/2006/extended-properties" xmlns:vt="http://schemas.openxmlformats.org/officeDocument/2006/docPropsVTypes">
  <Template>Normal</Template>
  <Pages>60</Pages>
  <Words>26986</Words>
  <Characters>28351</Characters>
  <Lines>235</Lines>
  <Paragraphs>66</Paragraphs>
  <TotalTime>3</TotalTime>
  <ScaleCrop>false</ScaleCrop>
  <LinksUpToDate>false</LinksUpToDate>
  <CharactersWithSpaces>30235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2022-12-21T08:49:00Z</dcterms:created>
  <dc:creator>Administrator</dc:creator>
  <cp:lastModifiedBy>NTKO</cp:lastModifiedBy>
  <cp:lastPrinted>2022-12-22T10:31:00Z</cp:lastPrinted>
  <dcterms:modified xsi:type="dcterms:W3CDTF">2023-03-31T03:58:37Z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0A2ED22590624964AA3230DA76A260A6</vt:lpwstr>
  </property>
</Properties>
</file>