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auto"/>
          <w:sz w:val="44"/>
          <w:szCs w:val="48"/>
          <w:highlight w:val="none"/>
        </w:rPr>
      </w:pPr>
      <w:bookmarkStart w:id="0" w:name="_Toc32827928"/>
    </w:p>
    <w:p>
      <w:pPr>
        <w:spacing w:line="360" w:lineRule="auto"/>
        <w:jc w:val="center"/>
        <w:rPr>
          <w:b/>
          <w:color w:val="auto"/>
          <w:sz w:val="44"/>
          <w:szCs w:val="48"/>
          <w:highlight w:val="none"/>
        </w:rPr>
      </w:pPr>
    </w:p>
    <w:p>
      <w:pPr>
        <w:spacing w:line="360" w:lineRule="auto"/>
        <w:jc w:val="center"/>
        <w:rPr>
          <w:b/>
          <w:color w:val="auto"/>
          <w:sz w:val="84"/>
          <w:szCs w:val="84"/>
          <w:highlight w:val="none"/>
        </w:rPr>
      </w:pPr>
      <w:r>
        <w:rPr>
          <w:rFonts w:hint="eastAsia"/>
          <w:b/>
          <w:color w:val="auto"/>
          <w:sz w:val="44"/>
          <w:szCs w:val="48"/>
          <w:highlight w:val="none"/>
        </w:rPr>
        <w:t>越秀区城市更新改造补短板项目（二期）——中心城区品质化提升项目（东山街老旧小区改造）勘察设计</w:t>
      </w:r>
    </w:p>
    <w:p>
      <w:pPr>
        <w:jc w:val="center"/>
        <w:rPr>
          <w:b/>
          <w:color w:val="auto"/>
          <w:sz w:val="84"/>
          <w:szCs w:val="84"/>
          <w:highlight w:val="none"/>
        </w:rPr>
      </w:pPr>
    </w:p>
    <w:p>
      <w:pPr>
        <w:jc w:val="center"/>
        <w:rPr>
          <w:b/>
          <w:color w:val="auto"/>
          <w:sz w:val="84"/>
          <w:szCs w:val="84"/>
          <w:highlight w:val="none"/>
        </w:rPr>
      </w:pPr>
    </w:p>
    <w:p>
      <w:pPr>
        <w:spacing w:line="360" w:lineRule="auto"/>
        <w:jc w:val="center"/>
        <w:rPr>
          <w:b/>
          <w:bCs/>
          <w:color w:val="auto"/>
          <w:spacing w:val="26"/>
          <w:sz w:val="110"/>
          <w:szCs w:val="110"/>
          <w:highlight w:val="none"/>
        </w:rPr>
      </w:pPr>
      <w:r>
        <w:rPr>
          <w:rFonts w:hint="eastAsia"/>
          <w:b/>
          <w:bCs/>
          <w:color w:val="auto"/>
          <w:spacing w:val="26"/>
          <w:sz w:val="110"/>
          <w:szCs w:val="110"/>
          <w:highlight w:val="none"/>
        </w:rPr>
        <w:t>招标公告</w:t>
      </w:r>
    </w:p>
    <w:p>
      <w:pPr>
        <w:jc w:val="center"/>
        <w:rPr>
          <w:b/>
          <w:color w:val="auto"/>
          <w:sz w:val="84"/>
          <w:szCs w:val="84"/>
          <w:highlight w:val="none"/>
        </w:rPr>
      </w:pPr>
    </w:p>
    <w:p>
      <w:pPr>
        <w:rPr>
          <w:b/>
          <w:color w:val="auto"/>
          <w:sz w:val="84"/>
          <w:szCs w:val="84"/>
          <w:highlight w:val="none"/>
        </w:rPr>
      </w:pPr>
    </w:p>
    <w:p>
      <w:pPr>
        <w:jc w:val="center"/>
        <w:rPr>
          <w:b/>
          <w:color w:val="auto"/>
          <w:sz w:val="84"/>
          <w:szCs w:val="84"/>
          <w:highlight w:val="none"/>
        </w:rPr>
      </w:pPr>
    </w:p>
    <w:p>
      <w:pPr>
        <w:spacing w:line="360" w:lineRule="auto"/>
        <w:ind w:firstLine="1200" w:firstLineChars="400"/>
        <w:rPr>
          <w:rFonts w:hint="eastAsia" w:eastAsia="宋体"/>
          <w:color w:val="auto"/>
          <w:sz w:val="30"/>
          <w:szCs w:val="30"/>
          <w:highlight w:val="none"/>
          <w:u w:val="single"/>
          <w:lang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广东广建项目管理有限公司</w:t>
      </w:r>
    </w:p>
    <w:p>
      <w:pPr>
        <w:spacing w:line="360" w:lineRule="auto"/>
        <w:ind w:firstLine="1200" w:firstLineChars="400"/>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广州市广州工程建设监理有限公司</w:t>
      </w:r>
    </w:p>
    <w:p>
      <w:pPr>
        <w:spacing w:line="360" w:lineRule="auto"/>
        <w:ind w:firstLine="1200" w:firstLineChars="400"/>
        <w:rPr>
          <w:color w:val="auto"/>
          <w:sz w:val="30"/>
          <w:szCs w:val="30"/>
          <w:highlight w:val="none"/>
        </w:rPr>
      </w:pPr>
      <w:r>
        <w:rPr>
          <w:rFonts w:hint="eastAsia"/>
          <w:color w:val="auto"/>
          <w:sz w:val="30"/>
          <w:szCs w:val="30"/>
          <w:highlight w:val="none"/>
        </w:rPr>
        <w:t>日</w:t>
      </w:r>
      <w:r>
        <w:rPr>
          <w:color w:val="auto"/>
          <w:sz w:val="30"/>
          <w:szCs w:val="30"/>
          <w:highlight w:val="none"/>
        </w:rPr>
        <w:t xml:space="preserve">       </w:t>
      </w:r>
      <w:r>
        <w:rPr>
          <w:rFonts w:hint="eastAsia"/>
          <w:color w:val="auto"/>
          <w:sz w:val="30"/>
          <w:szCs w:val="30"/>
          <w:highlight w:val="none"/>
        </w:rPr>
        <w:t>期：</w:t>
      </w:r>
      <w:r>
        <w:rPr>
          <w:color w:val="auto"/>
          <w:sz w:val="30"/>
          <w:szCs w:val="30"/>
          <w:highlight w:val="none"/>
        </w:rPr>
        <w:t>202</w:t>
      </w:r>
      <w:r>
        <w:rPr>
          <w:rFonts w:hint="eastAsia"/>
          <w:color w:val="auto"/>
          <w:sz w:val="30"/>
          <w:szCs w:val="30"/>
          <w:highlight w:val="none"/>
        </w:rPr>
        <w:t>3年</w:t>
      </w:r>
      <w:r>
        <w:rPr>
          <w:rFonts w:hint="eastAsia"/>
          <w:color w:val="auto"/>
          <w:sz w:val="30"/>
          <w:szCs w:val="30"/>
          <w:highlight w:val="none"/>
          <w:lang w:val="en-US" w:eastAsia="zh-CN"/>
        </w:rPr>
        <w:t xml:space="preserve">  </w:t>
      </w:r>
      <w:r>
        <w:rPr>
          <w:rFonts w:hint="eastAsia"/>
          <w:color w:val="auto"/>
          <w:sz w:val="30"/>
          <w:szCs w:val="30"/>
          <w:highlight w:val="none"/>
        </w:rPr>
        <w:t>月</w:t>
      </w:r>
      <w:r>
        <w:rPr>
          <w:color w:val="auto"/>
          <w:sz w:val="30"/>
          <w:szCs w:val="30"/>
          <w:highlight w:val="none"/>
        </w:rPr>
        <w:br w:type="page"/>
      </w:r>
    </w:p>
    <w:p>
      <w:pPr>
        <w:pStyle w:val="2"/>
        <w:spacing w:line="360" w:lineRule="auto"/>
        <w:jc w:val="center"/>
        <w:rPr>
          <w:rFonts w:ascii="宋体" w:hAnsi="宋体"/>
          <w:color w:val="auto"/>
          <w:sz w:val="24"/>
          <w:highlight w:val="none"/>
        </w:rPr>
      </w:pPr>
      <w:r>
        <w:rPr>
          <w:rFonts w:hint="eastAsia"/>
          <w:color w:val="auto"/>
          <w:sz w:val="36"/>
          <w:szCs w:val="36"/>
          <w:highlight w:val="none"/>
        </w:rPr>
        <w:t>越秀区城市更新改造补短板项目（二期）——中心城区品质化提升项目（东山街老旧小区改造）勘察设计招标公告</w:t>
      </w:r>
      <w:bookmarkEnd w:id="0"/>
    </w:p>
    <w:p>
      <w:pPr>
        <w:spacing w:line="360" w:lineRule="auto"/>
        <w:rPr>
          <w:rFonts w:ascii="宋体" w:hAnsi="宋体"/>
          <w:b/>
          <w:color w:val="auto"/>
          <w:sz w:val="24"/>
          <w:highlight w:val="none"/>
        </w:rPr>
      </w:pPr>
      <w:r>
        <w:rPr>
          <w:rFonts w:hint="eastAsia" w:ascii="宋体" w:hAnsi="宋体"/>
          <w:b/>
          <w:color w:val="auto"/>
          <w:sz w:val="24"/>
          <w:highlight w:val="none"/>
        </w:rPr>
        <w:t>1.1    招标目的</w:t>
      </w:r>
    </w:p>
    <w:p>
      <w:pPr>
        <w:spacing w:line="360" w:lineRule="auto"/>
        <w:ind w:left="821" w:hanging="820" w:hangingChars="342"/>
        <w:rPr>
          <w:rFonts w:ascii="宋体" w:hAnsi="宋体"/>
          <w:color w:val="auto"/>
          <w:sz w:val="24"/>
          <w:highlight w:val="none"/>
        </w:rPr>
      </w:pPr>
    </w:p>
    <w:p>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1.1.1  为了获得工程勘察设计方案，招标人以公开招标方式，在给定任务书、投标人满足投标资格的前提下，通过评标委员会的评审推荐，确定最佳勘察设计方案及其勘察设计承包人。</w:t>
      </w:r>
    </w:p>
    <w:p>
      <w:pPr>
        <w:spacing w:line="360" w:lineRule="auto"/>
        <w:rPr>
          <w:rFonts w:ascii="宋体" w:hAnsi="宋体"/>
          <w:color w:val="auto"/>
          <w:sz w:val="24"/>
          <w:highlight w:val="none"/>
        </w:rPr>
      </w:pPr>
    </w:p>
    <w:p>
      <w:pPr>
        <w:spacing w:line="360" w:lineRule="auto"/>
        <w:jc w:val="left"/>
        <w:rPr>
          <w:rFonts w:ascii="宋体" w:hAnsi="宋体"/>
          <w:b/>
          <w:color w:val="auto"/>
          <w:sz w:val="24"/>
          <w:highlight w:val="none"/>
        </w:rPr>
      </w:pPr>
      <w:r>
        <w:rPr>
          <w:rFonts w:hint="eastAsia" w:ascii="宋体" w:hAnsi="宋体"/>
          <w:b/>
          <w:color w:val="auto"/>
          <w:sz w:val="24"/>
          <w:highlight w:val="none"/>
        </w:rPr>
        <w:t>1.2    项目概况</w:t>
      </w: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1.2.1  工程名称：</w:t>
      </w:r>
      <w:r>
        <w:rPr>
          <w:rFonts w:hint="eastAsia" w:ascii="宋体" w:hAnsi="宋体"/>
          <w:color w:val="auto"/>
          <w:sz w:val="24"/>
          <w:highlight w:val="none"/>
          <w:u w:val="single"/>
        </w:rPr>
        <w:t>越秀区城市更新改造补短板项目（二期）——中心城区品质化提升项目（东山街老旧小区改造）勘察设计</w:t>
      </w:r>
      <w:r>
        <w:rPr>
          <w:rFonts w:hint="eastAsia" w:ascii="宋体" w:hAnsi="宋体"/>
          <w:color w:val="auto"/>
          <w:sz w:val="24"/>
          <w:highlight w:val="none"/>
        </w:rPr>
        <w:t>。</w:t>
      </w:r>
    </w:p>
    <w:p>
      <w:pPr>
        <w:spacing w:line="360" w:lineRule="auto"/>
        <w:jc w:val="left"/>
        <w:rPr>
          <w:rFonts w:ascii="宋体" w:hAnsi="宋体"/>
          <w:color w:val="auto"/>
          <w:sz w:val="24"/>
          <w:highlight w:val="none"/>
        </w:rPr>
      </w:pPr>
      <w:r>
        <w:rPr>
          <w:rFonts w:hint="eastAsia" w:ascii="宋体" w:hAnsi="宋体"/>
          <w:color w:val="auto"/>
          <w:sz w:val="24"/>
          <w:highlight w:val="none"/>
        </w:rPr>
        <w:t>1.2.2  工程位置：</w:t>
      </w:r>
      <w:r>
        <w:rPr>
          <w:rFonts w:hint="eastAsia" w:ascii="宋体" w:hAnsi="宋体"/>
          <w:color w:val="auto"/>
          <w:sz w:val="24"/>
          <w:highlight w:val="none"/>
          <w:u w:val="single"/>
        </w:rPr>
        <w:t>广州市越秀区东山街</w:t>
      </w:r>
      <w:r>
        <w:rPr>
          <w:rFonts w:hint="eastAsia" w:ascii="宋体" w:hAnsi="宋体"/>
          <w:color w:val="auto"/>
          <w:sz w:val="24"/>
          <w:highlight w:val="none"/>
        </w:rPr>
        <w:t>。</w:t>
      </w:r>
    </w:p>
    <w:p>
      <w:pPr>
        <w:spacing w:line="360" w:lineRule="auto"/>
        <w:jc w:val="left"/>
        <w:rPr>
          <w:rFonts w:ascii="宋体" w:hAnsi="宋体"/>
          <w:color w:val="auto"/>
          <w:sz w:val="24"/>
          <w:highlight w:val="none"/>
        </w:rPr>
      </w:pPr>
      <w:r>
        <w:rPr>
          <w:rFonts w:hint="eastAsia" w:ascii="宋体" w:hAnsi="宋体"/>
          <w:color w:val="auto"/>
          <w:sz w:val="24"/>
          <w:highlight w:val="none"/>
        </w:rPr>
        <w:t>1.2.3  工程范围：</w:t>
      </w:r>
      <w:r>
        <w:rPr>
          <w:rFonts w:hint="eastAsia" w:ascii="宋体" w:hAnsi="宋体"/>
          <w:color w:val="auto"/>
          <w:sz w:val="24"/>
          <w:highlight w:val="none"/>
          <w:u w:val="single"/>
        </w:rPr>
        <w:t>项目提升范围面积约</w:t>
      </w:r>
      <w:r>
        <w:rPr>
          <w:rFonts w:ascii="宋体" w:hAnsi="宋体"/>
          <w:color w:val="auto"/>
          <w:sz w:val="24"/>
          <w:highlight w:val="none"/>
          <w:u w:val="single"/>
        </w:rPr>
        <w:t>37.36公顷（不含2016年至2022年曾实施老旧小区微改造的范围）。</w:t>
      </w:r>
      <w:r>
        <w:rPr>
          <w:rFonts w:hint="eastAsia" w:ascii="宋体" w:hAnsi="宋体"/>
          <w:b/>
          <w:bCs/>
          <w:color w:val="auto"/>
          <w:sz w:val="24"/>
          <w:highlight w:val="none"/>
          <w:u w:val="single"/>
        </w:rPr>
        <w:t>本项目规模属于一般公共建筑复杂程度中型：一般标准的建筑环境设计和室外工程。</w:t>
      </w:r>
      <w:r>
        <w:rPr>
          <w:rFonts w:ascii="宋体" w:hAnsi="宋体"/>
          <w:color w:val="auto"/>
          <w:sz w:val="24"/>
          <w:highlight w:val="none"/>
          <w:u w:val="single"/>
        </w:rPr>
        <w:t>主要开展小区内道路、供排水、雨污分流、“三线”整治、安防系统、消防设施、无障碍设施、环卫设施、公共空间、公共服务设施配套建设等</w:t>
      </w:r>
      <w:r>
        <w:rPr>
          <w:rFonts w:hint="eastAsia" w:ascii="宋体" w:hAnsi="宋体"/>
          <w:color w:val="auto"/>
          <w:sz w:val="24"/>
          <w:highlight w:val="none"/>
        </w:rPr>
        <w:t>。</w:t>
      </w:r>
    </w:p>
    <w:p>
      <w:pPr>
        <w:spacing w:line="360" w:lineRule="auto"/>
        <w:jc w:val="left"/>
        <w:rPr>
          <w:rFonts w:ascii="宋体" w:hAnsi="宋体"/>
          <w:color w:val="auto"/>
          <w:sz w:val="24"/>
          <w:highlight w:val="none"/>
        </w:rPr>
      </w:pPr>
      <w:r>
        <w:rPr>
          <w:rFonts w:hint="eastAsia" w:ascii="宋体" w:hAnsi="宋体"/>
          <w:color w:val="auto"/>
          <w:sz w:val="24"/>
          <w:highlight w:val="none"/>
        </w:rPr>
        <w:t>1.2.4  规划用地文件：</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spacing w:line="360" w:lineRule="auto"/>
        <w:jc w:val="left"/>
        <w:rPr>
          <w:rFonts w:ascii="宋体" w:hAnsi="宋体"/>
          <w:color w:val="auto"/>
          <w:sz w:val="24"/>
          <w:highlight w:val="none"/>
        </w:rPr>
      </w:pPr>
      <w:r>
        <w:rPr>
          <w:rFonts w:hint="eastAsia" w:ascii="宋体" w:hAnsi="宋体"/>
          <w:color w:val="auto"/>
          <w:sz w:val="24"/>
          <w:highlight w:val="none"/>
        </w:rPr>
        <w:t>1.2.5  项目批准文件：</w:t>
      </w:r>
      <w:r>
        <w:rPr>
          <w:rFonts w:hint="eastAsia" w:ascii="宋体" w:hAnsi="宋体"/>
          <w:color w:val="auto"/>
          <w:sz w:val="24"/>
          <w:highlight w:val="none"/>
          <w:u w:val="single"/>
        </w:rPr>
        <w:t>穗越发改投批〔</w:t>
      </w:r>
      <w:r>
        <w:rPr>
          <w:rFonts w:ascii="宋体" w:hAnsi="宋体"/>
          <w:color w:val="auto"/>
          <w:sz w:val="24"/>
          <w:highlight w:val="none"/>
          <w:u w:val="single"/>
        </w:rPr>
        <w:t>2022〕20号</w:t>
      </w:r>
      <w:r>
        <w:rPr>
          <w:rFonts w:hint="eastAsia" w:ascii="宋体" w:hAnsi="宋体"/>
          <w:color w:val="auto"/>
          <w:sz w:val="24"/>
          <w:highlight w:val="none"/>
        </w:rPr>
        <w:t>。</w:t>
      </w:r>
    </w:p>
    <w:p>
      <w:pPr>
        <w:spacing w:line="360" w:lineRule="auto"/>
        <w:jc w:val="left"/>
        <w:rPr>
          <w:rFonts w:ascii="宋体" w:hAnsi="宋体"/>
          <w:color w:val="auto"/>
          <w:sz w:val="24"/>
          <w:highlight w:val="none"/>
        </w:rPr>
      </w:pPr>
      <w:r>
        <w:rPr>
          <w:rFonts w:hint="eastAsia" w:ascii="宋体" w:hAnsi="宋体"/>
          <w:color w:val="auto"/>
          <w:sz w:val="24"/>
          <w:highlight w:val="none"/>
        </w:rPr>
        <w:t>1.2.6  资金来源：</w:t>
      </w:r>
      <w:r>
        <w:rPr>
          <w:rFonts w:hint="eastAsia" w:ascii="宋体" w:hAnsi="宋体"/>
          <w:color w:val="auto"/>
          <w:sz w:val="24"/>
          <w:highlight w:val="none"/>
          <w:u w:val="single"/>
        </w:rPr>
        <w:t>区</w:t>
      </w:r>
      <w:r>
        <w:rPr>
          <w:rFonts w:hint="eastAsia" w:ascii="宋体" w:hAnsi="宋体" w:cs="宋体"/>
          <w:color w:val="auto"/>
          <w:sz w:val="24"/>
          <w:highlight w:val="none"/>
          <w:u w:val="single"/>
        </w:rPr>
        <w:t>财政资金</w:t>
      </w:r>
      <w:r>
        <w:rPr>
          <w:rFonts w:hint="eastAsia" w:ascii="宋体" w:hAnsi="宋体"/>
          <w:color w:val="auto"/>
          <w:sz w:val="24"/>
          <w:highlight w:val="none"/>
        </w:rPr>
        <w:t>。</w:t>
      </w:r>
    </w:p>
    <w:p>
      <w:pPr>
        <w:spacing w:line="360" w:lineRule="auto"/>
        <w:jc w:val="left"/>
        <w:rPr>
          <w:rFonts w:ascii="宋体" w:hAnsi="宋体"/>
          <w:color w:val="auto"/>
          <w:sz w:val="24"/>
          <w:highlight w:val="none"/>
        </w:rPr>
      </w:pPr>
      <w:r>
        <w:rPr>
          <w:rFonts w:hint="eastAsia" w:ascii="宋体" w:hAnsi="宋体"/>
          <w:color w:val="auto"/>
          <w:sz w:val="24"/>
          <w:highlight w:val="none"/>
        </w:rPr>
        <w:t>1.2.7  投资总额：人民币</w:t>
      </w:r>
      <w:r>
        <w:rPr>
          <w:rFonts w:hint="eastAsia" w:ascii="宋体" w:hAnsi="宋体"/>
          <w:color w:val="auto"/>
          <w:sz w:val="24"/>
          <w:highlight w:val="none"/>
          <w:u w:val="single"/>
        </w:rPr>
        <w:t>2079.36</w:t>
      </w:r>
      <w:r>
        <w:rPr>
          <w:rFonts w:hint="eastAsia" w:ascii="宋体" w:hAnsi="宋体"/>
          <w:color w:val="auto"/>
          <w:sz w:val="24"/>
          <w:highlight w:val="none"/>
        </w:rPr>
        <w:t>万元。其中，工程费用限额：人民币</w:t>
      </w:r>
      <w:r>
        <w:rPr>
          <w:rFonts w:ascii="宋体" w:hAnsi="宋体"/>
          <w:color w:val="auto"/>
          <w:sz w:val="24"/>
          <w:highlight w:val="none"/>
          <w:u w:val="single"/>
        </w:rPr>
        <w:t>1641</w:t>
      </w:r>
      <w:r>
        <w:rPr>
          <w:rFonts w:hint="eastAsia" w:ascii="宋体" w:hAnsi="宋体"/>
          <w:color w:val="auto"/>
          <w:sz w:val="24"/>
          <w:highlight w:val="none"/>
        </w:rPr>
        <w:t>万元；</w:t>
      </w:r>
    </w:p>
    <w:p>
      <w:pPr>
        <w:spacing w:line="360" w:lineRule="auto"/>
        <w:jc w:val="left"/>
        <w:rPr>
          <w:rFonts w:ascii="宋体" w:hAnsi="宋体"/>
          <w:color w:val="auto"/>
          <w:sz w:val="24"/>
          <w:highlight w:val="none"/>
          <w:u w:val="single"/>
        </w:rPr>
      </w:pPr>
      <w:r>
        <w:rPr>
          <w:rFonts w:hint="eastAsia" w:ascii="宋体" w:hAnsi="宋体"/>
          <w:color w:val="auto"/>
          <w:sz w:val="24"/>
          <w:highlight w:val="none"/>
        </w:rPr>
        <w:t>1.2.8  招标内容：</w:t>
      </w:r>
      <w:r>
        <w:rPr>
          <w:rFonts w:hint="eastAsia" w:ascii="宋体" w:hAnsi="宋体"/>
          <w:color w:val="auto"/>
          <w:sz w:val="24"/>
          <w:highlight w:val="none"/>
          <w:u w:val="single"/>
        </w:rPr>
        <w:t>本项目完成范围内所有建设内容的勘察设计工作，主要包括：</w:t>
      </w:r>
    </w:p>
    <w:p>
      <w:pPr>
        <w:spacing w:line="360" w:lineRule="auto"/>
        <w:ind w:left="850" w:leftChars="405" w:firstLine="588" w:firstLineChars="245"/>
        <w:jc w:val="left"/>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ascii="宋体" w:hAnsi="宋体"/>
          <w:color w:val="auto"/>
          <w:sz w:val="24"/>
          <w:highlight w:val="none"/>
          <w:u w:val="single"/>
        </w:rPr>
        <w:t>1）工程勘察工作：</w:t>
      </w:r>
      <w:r>
        <w:rPr>
          <w:rFonts w:hint="eastAsia" w:ascii="宋体" w:hAnsi="宋体"/>
          <w:color w:val="auto"/>
          <w:sz w:val="24"/>
          <w:highlight w:val="none"/>
          <w:u w:val="single"/>
          <w:lang w:val="en-US" w:eastAsia="zh-CN"/>
        </w:rPr>
        <w:t>负责本项目红线范围内，及经招标人审批同意用于辅助项目建设所需的红线范围外的勘察工作，包括但不限于改造范围内进行工程勘察工作</w:t>
      </w:r>
      <w:r>
        <w:rPr>
          <w:rFonts w:hint="eastAsia" w:ascii="宋体" w:hAnsi="宋体" w:cs="宋体"/>
          <w:color w:val="auto"/>
          <w:sz w:val="24"/>
          <w:highlight w:val="none"/>
          <w:u w:val="single"/>
          <w:lang w:val="en-US" w:eastAsia="zh-CN"/>
        </w:rPr>
        <w:t>：①岩土工程勘察，包括初步勘察、详细勘察及施工阶段勘察（超前钻）（如有）；②工程物探（含管线探测）；③</w:t>
      </w:r>
      <w:r>
        <w:rPr>
          <w:rFonts w:hint="eastAsia" w:ascii="宋体" w:hAnsi="宋体"/>
          <w:color w:val="auto"/>
          <w:sz w:val="24"/>
          <w:highlight w:val="none"/>
          <w:u w:val="single"/>
          <w:lang w:val="en-US" w:eastAsia="zh-CN"/>
        </w:rPr>
        <w:t>工程测量（控制测量、房屋立面测量、地下管线测量、楼道测量、地形图修补测）</w:t>
      </w:r>
      <w:r>
        <w:rPr>
          <w:rFonts w:hint="eastAsia" w:ascii="宋体" w:hAnsi="宋体"/>
          <w:color w:val="auto"/>
          <w:sz w:val="24"/>
          <w:highlight w:val="none"/>
          <w:u w:val="single"/>
        </w:rPr>
        <w:t>。其中包括盲探范围面积暂定为59000万平方米，所有管线测量长度暂定为4.9千米，图根点数量暂定为 50个，外立面测量面积暂定为 5000 平方米、楼道测量暂定为8000平方米、地形图补测面积暂定为0.25平方公里</w:t>
      </w:r>
      <w:r>
        <w:rPr>
          <w:rFonts w:hint="eastAsia" w:ascii="宋体" w:hAnsi="宋体"/>
          <w:color w:val="auto"/>
          <w:sz w:val="24"/>
          <w:highlight w:val="none"/>
          <w:u w:val="single"/>
          <w:lang w:eastAsia="zh-CN"/>
        </w:rPr>
        <w:t>。</w:t>
      </w:r>
    </w:p>
    <w:p>
      <w:pPr>
        <w:spacing w:line="360" w:lineRule="auto"/>
        <w:ind w:left="850" w:leftChars="405" w:firstLine="588" w:firstLineChars="245"/>
        <w:jc w:val="left"/>
        <w:rPr>
          <w:rFonts w:ascii="宋体" w:hAnsi="宋体"/>
          <w:color w:val="auto"/>
          <w:sz w:val="24"/>
          <w:highlight w:val="none"/>
          <w:u w:val="single"/>
        </w:rPr>
      </w:pPr>
      <w:r>
        <w:rPr>
          <w:rFonts w:hint="eastAsia" w:ascii="宋体" w:hAnsi="宋体"/>
          <w:color w:val="auto"/>
          <w:sz w:val="24"/>
          <w:highlight w:val="none"/>
          <w:u w:val="single"/>
        </w:rPr>
        <w:t>（</w:t>
      </w:r>
      <w:r>
        <w:rPr>
          <w:rFonts w:ascii="宋体" w:hAnsi="宋体"/>
          <w:color w:val="auto"/>
          <w:sz w:val="24"/>
          <w:highlight w:val="none"/>
          <w:u w:val="single"/>
        </w:rPr>
        <w:t>2）设计方案报审工作（具体以招标人要求为准）。</w:t>
      </w:r>
    </w:p>
    <w:p>
      <w:pPr>
        <w:spacing w:line="360" w:lineRule="auto"/>
        <w:ind w:left="850" w:leftChars="405" w:firstLine="588" w:firstLineChars="245"/>
        <w:jc w:val="left"/>
        <w:rPr>
          <w:rFonts w:ascii="宋体" w:hAnsi="宋体"/>
          <w:color w:val="auto"/>
          <w:sz w:val="24"/>
          <w:highlight w:val="none"/>
          <w:u w:val="single"/>
        </w:rPr>
      </w:pPr>
      <w:r>
        <w:rPr>
          <w:rFonts w:hint="eastAsia" w:ascii="宋体" w:hAnsi="宋体"/>
          <w:color w:val="auto"/>
          <w:sz w:val="24"/>
          <w:highlight w:val="none"/>
          <w:u w:val="single"/>
        </w:rPr>
        <w:t>（</w:t>
      </w:r>
      <w:r>
        <w:rPr>
          <w:rFonts w:ascii="宋体" w:hAnsi="宋体"/>
          <w:color w:val="auto"/>
          <w:sz w:val="24"/>
          <w:highlight w:val="none"/>
          <w:u w:val="single"/>
        </w:rPr>
        <w:t>3）设计主要阶段：</w:t>
      </w:r>
      <w:r>
        <w:rPr>
          <w:rFonts w:hint="eastAsia" w:ascii="宋体" w:hAnsi="宋体"/>
          <w:color w:val="auto"/>
          <w:sz w:val="24"/>
          <w:highlight w:val="none"/>
          <w:u w:val="single"/>
          <w:lang w:val="en-US" w:eastAsia="zh-CN"/>
        </w:rPr>
        <w:t>方案设计、</w:t>
      </w:r>
      <w:r>
        <w:rPr>
          <w:rFonts w:hint="eastAsia" w:ascii="宋体" w:hAnsi="宋体"/>
          <w:color w:val="auto"/>
          <w:sz w:val="24"/>
          <w:highlight w:val="none"/>
          <w:u w:val="single"/>
        </w:rPr>
        <w:t>初步设计及概算编制、施工图</w:t>
      </w:r>
      <w:r>
        <w:rPr>
          <w:rFonts w:hint="eastAsia" w:ascii="宋体" w:hAnsi="宋体"/>
          <w:color w:val="auto"/>
          <w:sz w:val="24"/>
          <w:highlight w:val="none"/>
          <w:u w:val="single"/>
          <w:lang w:val="en-US" w:eastAsia="zh-CN"/>
        </w:rPr>
        <w:t>设计、预算编制、</w:t>
      </w:r>
      <w:r>
        <w:rPr>
          <w:rFonts w:hint="eastAsia" w:ascii="宋体" w:hAnsi="宋体"/>
          <w:color w:val="auto"/>
          <w:sz w:val="24"/>
          <w:highlight w:val="none"/>
          <w:u w:val="single"/>
          <w:lang w:val="en-US" w:eastAsia="zh-Hans"/>
        </w:rPr>
        <w:t>竣工图设计</w:t>
      </w:r>
      <w:r>
        <w:rPr>
          <w:rFonts w:hint="eastAsia" w:ascii="宋体" w:hAnsi="宋体"/>
          <w:color w:val="auto"/>
          <w:sz w:val="24"/>
          <w:highlight w:val="none"/>
          <w:u w:val="single"/>
          <w:lang w:val="en-US" w:eastAsia="zh-CN"/>
        </w:rPr>
        <w:t>及相关配合工作</w:t>
      </w:r>
      <w:r>
        <w:rPr>
          <w:rFonts w:hint="eastAsia" w:ascii="宋体" w:hAnsi="宋体"/>
          <w:color w:val="auto"/>
          <w:sz w:val="24"/>
          <w:highlight w:val="none"/>
          <w:u w:val="single"/>
        </w:rPr>
        <w:t>。包括但不限于</w:t>
      </w:r>
      <w:r>
        <w:rPr>
          <w:rFonts w:ascii="宋体" w:hAnsi="宋体"/>
          <w:color w:val="auto"/>
          <w:sz w:val="24"/>
          <w:highlight w:val="none"/>
          <w:u w:val="single"/>
        </w:rPr>
        <w:t>:</w:t>
      </w:r>
      <w:r>
        <w:rPr>
          <w:rFonts w:hint="eastAsia" w:ascii="宋体" w:hAnsi="宋体"/>
          <w:color w:val="auto"/>
          <w:sz w:val="24"/>
          <w:highlight w:val="none"/>
          <w:u w:val="single"/>
        </w:rPr>
        <w:t>建筑工程</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Hans"/>
        </w:rPr>
        <w:t>给排水</w:t>
      </w:r>
      <w:r>
        <w:rPr>
          <w:rFonts w:hint="eastAsia" w:ascii="宋体" w:hAnsi="宋体"/>
          <w:color w:val="auto"/>
          <w:sz w:val="24"/>
          <w:highlight w:val="none"/>
          <w:u w:val="single"/>
        </w:rPr>
        <w:t>工程、绿化工程、园林景观、</w:t>
      </w:r>
      <w:r>
        <w:rPr>
          <w:rFonts w:hint="eastAsia" w:ascii="宋体" w:hAnsi="宋体"/>
          <w:color w:val="auto"/>
          <w:sz w:val="24"/>
          <w:highlight w:val="none"/>
          <w:u w:val="single"/>
          <w:lang w:val="en-US" w:eastAsia="zh-Hans"/>
        </w:rPr>
        <w:t>室外工程</w:t>
      </w:r>
      <w:r>
        <w:rPr>
          <w:rFonts w:hint="eastAsia" w:ascii="宋体" w:hAnsi="宋体"/>
          <w:color w:val="auto"/>
          <w:sz w:val="24"/>
          <w:highlight w:val="none"/>
          <w:u w:val="single"/>
          <w:lang w:eastAsia="zh-Hans"/>
        </w:rPr>
        <w:t>、</w:t>
      </w:r>
      <w:r>
        <w:rPr>
          <w:rFonts w:hint="eastAsia" w:ascii="宋体" w:hAnsi="宋体"/>
          <w:color w:val="auto"/>
          <w:sz w:val="24"/>
          <w:highlight w:val="none"/>
          <w:u w:val="single"/>
        </w:rPr>
        <w:t>公共配套设施工程</w:t>
      </w:r>
      <w:r>
        <w:rPr>
          <w:rFonts w:ascii="宋体" w:hAnsi="宋体"/>
          <w:color w:val="auto"/>
          <w:sz w:val="24"/>
          <w:highlight w:val="none"/>
          <w:u w:val="single"/>
        </w:rPr>
        <w:t>等。</w:t>
      </w:r>
    </w:p>
    <w:p>
      <w:pPr>
        <w:spacing w:line="360" w:lineRule="auto"/>
        <w:ind w:left="850" w:leftChars="405" w:firstLine="588" w:firstLineChars="245"/>
        <w:jc w:val="left"/>
        <w:rPr>
          <w:rFonts w:ascii="宋体" w:hAnsi="宋体"/>
          <w:color w:val="auto"/>
          <w:sz w:val="24"/>
          <w:highlight w:val="none"/>
          <w:u w:val="single"/>
        </w:rPr>
      </w:pPr>
      <w:r>
        <w:rPr>
          <w:rFonts w:hint="eastAsia" w:ascii="宋体" w:hAnsi="宋体"/>
          <w:color w:val="auto"/>
          <w:sz w:val="24"/>
          <w:highlight w:val="none"/>
          <w:u w:val="single"/>
        </w:rPr>
        <w:t>（注：上述招标内容具体详见勘察设计任务书。）</w:t>
      </w:r>
    </w:p>
    <w:p>
      <w:pPr>
        <w:spacing w:line="360" w:lineRule="auto"/>
        <w:jc w:val="left"/>
        <w:rPr>
          <w:rFonts w:ascii="宋体" w:hAnsi="宋体"/>
          <w:color w:val="auto"/>
          <w:sz w:val="24"/>
          <w:highlight w:val="none"/>
        </w:rPr>
      </w:pPr>
    </w:p>
    <w:p>
      <w:pPr>
        <w:spacing w:line="360" w:lineRule="auto"/>
        <w:jc w:val="left"/>
        <w:rPr>
          <w:rFonts w:ascii="宋体" w:hAnsi="宋体"/>
          <w:b/>
          <w:color w:val="auto"/>
          <w:sz w:val="24"/>
          <w:highlight w:val="none"/>
        </w:rPr>
      </w:pPr>
      <w:r>
        <w:rPr>
          <w:rFonts w:hint="eastAsia" w:ascii="宋体" w:hAnsi="宋体"/>
          <w:b/>
          <w:color w:val="auto"/>
          <w:sz w:val="24"/>
          <w:highlight w:val="none"/>
        </w:rPr>
        <w:t>1.3    前期服务机构</w:t>
      </w: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1.3.1  机构名称：</w:t>
      </w:r>
      <w:r>
        <w:rPr>
          <w:rFonts w:hint="eastAsia" w:ascii="宋体" w:hAnsi="宋体"/>
          <w:color w:val="auto"/>
          <w:sz w:val="24"/>
          <w:highlight w:val="none"/>
          <w:u w:val="single"/>
        </w:rPr>
        <w:t>广州市城市规划勘测设计研究院</w:t>
      </w:r>
      <w:r>
        <w:rPr>
          <w:rFonts w:hint="eastAsia" w:ascii="宋体" w:hAnsi="宋体"/>
          <w:color w:val="auto"/>
          <w:sz w:val="24"/>
          <w:highlight w:val="none"/>
        </w:rPr>
        <w:t>。</w:t>
      </w:r>
    </w:p>
    <w:p>
      <w:pPr>
        <w:spacing w:line="360" w:lineRule="auto"/>
        <w:jc w:val="left"/>
        <w:rPr>
          <w:rFonts w:ascii="宋体" w:hAnsi="宋体"/>
          <w:color w:val="auto"/>
          <w:sz w:val="24"/>
          <w:highlight w:val="none"/>
        </w:rPr>
      </w:pPr>
      <w:r>
        <w:rPr>
          <w:rFonts w:hint="eastAsia" w:ascii="宋体" w:hAnsi="宋体"/>
          <w:color w:val="auto"/>
          <w:sz w:val="24"/>
          <w:highlight w:val="none"/>
        </w:rPr>
        <w:t>[注释] 如果有前期服务机构，应公开披露其名称。</w:t>
      </w:r>
    </w:p>
    <w:p>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1.3.2  如果前期服务机构参加本次投标，应将本公告发布前最终完成的工作成果（含电子文件）在投标人购买招标文件的同时提供给所有投标人参考，否则前期参与的服务机构中标无效。</w:t>
      </w:r>
    </w:p>
    <w:p>
      <w:pPr>
        <w:spacing w:line="360" w:lineRule="auto"/>
        <w:jc w:val="left"/>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1.4    投标资格</w:t>
      </w:r>
    </w:p>
    <w:p>
      <w:pPr>
        <w:spacing w:line="360" w:lineRule="auto"/>
        <w:rPr>
          <w:rFonts w:ascii="宋体" w:hAnsi="宋体"/>
          <w:color w:val="auto"/>
          <w:sz w:val="24"/>
          <w:highlight w:val="none"/>
        </w:rPr>
      </w:pPr>
    </w:p>
    <w:p>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1.4.1  申请人与招标人过去3年内无合同履约纠纷，没有不得参加投标的情形。</w:t>
      </w:r>
    </w:p>
    <w:p>
      <w:pPr>
        <w:spacing w:line="360" w:lineRule="auto"/>
        <w:ind w:left="719" w:leftChars="1" w:hanging="717" w:hangingChars="299"/>
        <w:jc w:val="left"/>
        <w:rPr>
          <w:rFonts w:ascii="宋体" w:hAnsi="宋体"/>
          <w:color w:val="auto"/>
          <w:sz w:val="24"/>
          <w:highlight w:val="none"/>
        </w:rPr>
      </w:pPr>
      <w:r>
        <w:rPr>
          <w:rFonts w:hint="eastAsia" w:ascii="宋体" w:hAnsi="宋体"/>
          <w:color w:val="auto"/>
          <w:sz w:val="24"/>
          <w:highlight w:val="none"/>
        </w:rPr>
        <w:t>[注释] 合同履约纠纷是指招标人过去3年内曾与申请人签订合同，并且对申请人不满意。不得参加投标的情形详见招标文件第三章第3.11条。</w:t>
      </w:r>
    </w:p>
    <w:p>
      <w:pPr>
        <w:autoSpaceDE w:val="0"/>
        <w:autoSpaceDN w:val="0"/>
        <w:adjustRightInd w:val="0"/>
        <w:spacing w:line="360" w:lineRule="auto"/>
        <w:ind w:left="720" w:hanging="720" w:hangingChars="300"/>
        <w:rPr>
          <w:rFonts w:ascii="宋体" w:hAnsi="宋体"/>
          <w:color w:val="auto"/>
          <w:spacing w:val="9"/>
          <w:kern w:val="0"/>
          <w:sz w:val="24"/>
          <w:highlight w:val="none"/>
          <w:u w:val="single"/>
        </w:rPr>
      </w:pPr>
      <w:r>
        <w:rPr>
          <w:rFonts w:hint="eastAsia" w:ascii="宋体" w:hAnsi="宋体"/>
          <w:color w:val="auto"/>
          <w:sz w:val="24"/>
          <w:highlight w:val="none"/>
        </w:rPr>
        <w:t>1.4.2  国内申请人</w:t>
      </w:r>
      <w:r>
        <w:rPr>
          <w:rFonts w:hint="eastAsia" w:ascii="宋体" w:hAnsi="宋体"/>
          <w:color w:val="auto"/>
          <w:spacing w:val="9"/>
          <w:kern w:val="0"/>
          <w:sz w:val="24"/>
          <w:highlight w:val="none"/>
          <w:u w:val="single"/>
        </w:rPr>
        <w:t>须同时具备建设行政主管部门颁发的以下①、②资质证书：</w:t>
      </w:r>
    </w:p>
    <w:p>
      <w:pPr>
        <w:autoSpaceDE w:val="0"/>
        <w:autoSpaceDN w:val="0"/>
        <w:adjustRightInd w:val="0"/>
        <w:spacing w:line="360" w:lineRule="auto"/>
        <w:ind w:left="630" w:leftChars="300" w:firstLine="516" w:firstLineChars="200"/>
        <w:rPr>
          <w:rFonts w:ascii="宋体" w:hAnsi="宋体"/>
          <w:color w:val="auto"/>
          <w:spacing w:val="9"/>
          <w:kern w:val="0"/>
          <w:sz w:val="24"/>
          <w:highlight w:val="none"/>
          <w:u w:val="single"/>
        </w:rPr>
      </w:pPr>
      <w:r>
        <w:rPr>
          <w:rFonts w:hint="eastAsia" w:ascii="宋体" w:hAnsi="宋体"/>
          <w:color w:val="auto"/>
          <w:spacing w:val="9"/>
          <w:kern w:val="0"/>
          <w:sz w:val="24"/>
          <w:highlight w:val="none"/>
          <w:u w:val="single"/>
        </w:rPr>
        <w:t>①工程勘察综合甲级资质，或同时具有岩土工程专业乙级（或以上）资质和工程测量专业乙级（或以上）资质；</w:t>
      </w:r>
    </w:p>
    <w:p>
      <w:pPr>
        <w:autoSpaceDE w:val="0"/>
        <w:autoSpaceDN w:val="0"/>
        <w:adjustRightInd w:val="0"/>
        <w:spacing w:line="360" w:lineRule="auto"/>
        <w:ind w:left="630" w:leftChars="300" w:firstLine="516" w:firstLineChars="200"/>
        <w:rPr>
          <w:rFonts w:ascii="宋体" w:hAnsi="宋体"/>
          <w:color w:val="auto"/>
          <w:spacing w:val="9"/>
          <w:kern w:val="0"/>
          <w:sz w:val="24"/>
          <w:highlight w:val="none"/>
          <w:u w:val="single"/>
        </w:rPr>
      </w:pPr>
      <w:r>
        <w:rPr>
          <w:rFonts w:hint="eastAsia" w:ascii="宋体" w:hAnsi="宋体"/>
          <w:color w:val="auto"/>
          <w:spacing w:val="9"/>
          <w:kern w:val="0"/>
          <w:sz w:val="24"/>
          <w:highlight w:val="none"/>
          <w:u w:val="single"/>
        </w:rPr>
        <w:t>②工程设计综合甲级资质，或工程设计（建筑行业）</w:t>
      </w:r>
      <w:r>
        <w:rPr>
          <w:rFonts w:hint="eastAsia" w:ascii="宋体" w:hAnsi="宋体"/>
          <w:color w:val="auto"/>
          <w:spacing w:val="9"/>
          <w:kern w:val="0"/>
          <w:sz w:val="24"/>
          <w:highlight w:val="none"/>
          <w:u w:val="single"/>
          <w:lang w:val="en-US" w:eastAsia="zh-CN"/>
        </w:rPr>
        <w:t>乙</w:t>
      </w:r>
      <w:r>
        <w:rPr>
          <w:rFonts w:hint="eastAsia" w:ascii="宋体" w:hAnsi="宋体"/>
          <w:color w:val="auto"/>
          <w:spacing w:val="9"/>
          <w:kern w:val="0"/>
          <w:sz w:val="24"/>
          <w:highlight w:val="none"/>
          <w:u w:val="single"/>
        </w:rPr>
        <w:t>级</w:t>
      </w:r>
      <w:r>
        <w:rPr>
          <w:rFonts w:hint="eastAsia" w:ascii="宋体" w:hAnsi="宋体"/>
          <w:color w:val="auto"/>
          <w:spacing w:val="9"/>
          <w:kern w:val="0"/>
          <w:sz w:val="24"/>
          <w:highlight w:val="none"/>
          <w:u w:val="single"/>
          <w:lang w:val="en-US" w:eastAsia="zh-CN"/>
        </w:rPr>
        <w:t>或以上</w:t>
      </w:r>
      <w:r>
        <w:rPr>
          <w:rFonts w:hint="eastAsia" w:ascii="宋体" w:hAnsi="宋体"/>
          <w:color w:val="auto"/>
          <w:spacing w:val="9"/>
          <w:kern w:val="0"/>
          <w:sz w:val="24"/>
          <w:highlight w:val="none"/>
          <w:u w:val="single"/>
        </w:rPr>
        <w:t>资质，或建筑行业（建筑工程）专业设计</w:t>
      </w:r>
      <w:r>
        <w:rPr>
          <w:rFonts w:hint="eastAsia" w:ascii="宋体" w:hAnsi="宋体"/>
          <w:color w:val="auto"/>
          <w:spacing w:val="9"/>
          <w:kern w:val="0"/>
          <w:sz w:val="24"/>
          <w:highlight w:val="none"/>
          <w:u w:val="single"/>
          <w:lang w:val="en-US" w:eastAsia="zh-CN"/>
        </w:rPr>
        <w:t>乙</w:t>
      </w:r>
      <w:r>
        <w:rPr>
          <w:rFonts w:hint="eastAsia" w:ascii="宋体" w:hAnsi="宋体"/>
          <w:color w:val="auto"/>
          <w:spacing w:val="9"/>
          <w:kern w:val="0"/>
          <w:sz w:val="24"/>
          <w:highlight w:val="none"/>
          <w:u w:val="single"/>
        </w:rPr>
        <w:t>级</w:t>
      </w:r>
      <w:r>
        <w:rPr>
          <w:rFonts w:hint="eastAsia" w:ascii="宋体" w:hAnsi="宋体"/>
          <w:color w:val="auto"/>
          <w:spacing w:val="9"/>
          <w:kern w:val="0"/>
          <w:sz w:val="24"/>
          <w:highlight w:val="none"/>
          <w:u w:val="single"/>
          <w:lang w:val="en-US" w:eastAsia="zh-CN"/>
        </w:rPr>
        <w:t>或以上</w:t>
      </w:r>
      <w:r>
        <w:rPr>
          <w:rFonts w:hint="eastAsia" w:ascii="宋体" w:hAnsi="宋体"/>
          <w:color w:val="auto"/>
          <w:spacing w:val="9"/>
          <w:kern w:val="0"/>
          <w:sz w:val="24"/>
          <w:highlight w:val="none"/>
          <w:u w:val="single"/>
        </w:rPr>
        <w:t>资质，或建筑设计事务所资质。</w:t>
      </w:r>
    </w:p>
    <w:p>
      <w:pPr>
        <w:autoSpaceDE w:val="0"/>
        <w:autoSpaceDN w:val="0"/>
        <w:adjustRightInd w:val="0"/>
        <w:spacing w:line="360" w:lineRule="auto"/>
        <w:ind w:left="630" w:leftChars="300" w:firstLine="516" w:firstLineChars="200"/>
        <w:rPr>
          <w:rFonts w:ascii="宋体" w:hAnsi="宋体"/>
          <w:color w:val="auto"/>
          <w:spacing w:val="9"/>
          <w:kern w:val="0"/>
          <w:sz w:val="24"/>
          <w:highlight w:val="none"/>
          <w:u w:val="single"/>
        </w:rPr>
      </w:pPr>
      <w:r>
        <w:rPr>
          <w:rFonts w:hint="eastAsia" w:ascii="宋体" w:hAnsi="宋体"/>
          <w:color w:val="auto"/>
          <w:spacing w:val="9"/>
          <w:kern w:val="0"/>
          <w:sz w:val="24"/>
          <w:highlight w:val="none"/>
          <w:u w:val="single"/>
        </w:rPr>
        <w:t>香港企业独立参加投标的，须在广东省住房和城乡建设主管部门备案且备案的业务范围满足本项目要求。</w:t>
      </w:r>
    </w:p>
    <w:p>
      <w:pPr>
        <w:autoSpaceDE w:val="0"/>
        <w:autoSpaceDN w:val="0"/>
        <w:adjustRightInd w:val="0"/>
        <w:spacing w:line="360" w:lineRule="auto"/>
        <w:ind w:left="630" w:leftChars="300" w:firstLine="516" w:firstLineChars="200"/>
        <w:rPr>
          <w:rFonts w:ascii="宋体" w:hAnsi="宋体"/>
          <w:color w:val="auto"/>
          <w:spacing w:val="9"/>
          <w:kern w:val="0"/>
          <w:sz w:val="24"/>
          <w:highlight w:val="none"/>
          <w:u w:val="single"/>
        </w:rPr>
      </w:pPr>
      <w:r>
        <w:rPr>
          <w:rFonts w:hint="eastAsia" w:ascii="宋体" w:hAnsi="宋体"/>
          <w:color w:val="auto"/>
          <w:spacing w:val="9"/>
          <w:kern w:val="0"/>
          <w:sz w:val="24"/>
          <w:highlight w:val="none"/>
          <w:u w:val="single"/>
        </w:rPr>
        <w:t>本次招标</w:t>
      </w:r>
      <w:r>
        <w:rPr>
          <w:rFonts w:hint="eastAsia" w:ascii="宋体" w:hAnsi="宋体"/>
          <w:b/>
          <w:color w:val="auto"/>
          <w:spacing w:val="9"/>
          <w:kern w:val="0"/>
          <w:sz w:val="24"/>
          <w:highlight w:val="none"/>
          <w:u w:val="single"/>
        </w:rPr>
        <w:t>接受</w:t>
      </w:r>
      <w:r>
        <w:rPr>
          <w:rFonts w:hint="eastAsia" w:ascii="宋体" w:hAnsi="宋体"/>
          <w:color w:val="auto"/>
          <w:spacing w:val="9"/>
          <w:kern w:val="0"/>
          <w:sz w:val="24"/>
          <w:highlight w:val="none"/>
          <w:u w:val="single"/>
        </w:rPr>
        <w:t>联合体投标，但只接受最多由2家单位（即一家勘察单位、一家设计单位）组成的联合体。联合体投标的，应满足下列要求：申请人可以组成联合体投标，并签订联合体共同投标协议（联合体共同投标协议应明确约定各方拟承担的工作和责任。投标登记截止后联合体增减、更换成员的，其投标无效）。以具有符合本招标项目要求的工程设计资质的一方为主办方。联合体各方（包括主办方及联合体成员）不得再单独或与其他单位组成联合体参与本项目投标</w:t>
      </w:r>
    </w:p>
    <w:p>
      <w:pPr>
        <w:spacing w:line="360" w:lineRule="auto"/>
        <w:ind w:left="818" w:hanging="818" w:hangingChars="341"/>
        <w:rPr>
          <w:rFonts w:ascii="宋体" w:hAnsi="宋体" w:cs="宋体"/>
          <w:color w:val="auto"/>
          <w:kern w:val="0"/>
          <w:sz w:val="24"/>
          <w:highlight w:val="none"/>
          <w:u w:val="single"/>
        </w:rPr>
      </w:pPr>
      <w:r>
        <w:rPr>
          <w:rFonts w:hint="eastAsia" w:ascii="宋体" w:hAnsi="宋体"/>
          <w:color w:val="auto"/>
          <w:sz w:val="24"/>
          <w:highlight w:val="none"/>
        </w:rPr>
        <w:t xml:space="preserve"> [注释] </w:t>
      </w:r>
      <w:r>
        <w:rPr>
          <w:rFonts w:hint="eastAsia" w:ascii="宋体" w:hAnsi="宋体"/>
          <w:color w:val="auto"/>
          <w:sz w:val="24"/>
          <w:highlight w:val="none"/>
          <w:u w:val="single"/>
        </w:rPr>
        <w:t>1、</w:t>
      </w:r>
      <w:r>
        <w:rPr>
          <w:rFonts w:hint="eastAsia" w:ascii="宋体" w:hAnsi="宋体" w:cs="宋体"/>
          <w:color w:val="auto"/>
          <w:kern w:val="0"/>
          <w:sz w:val="24"/>
          <w:highlight w:val="none"/>
          <w:u w:val="single"/>
        </w:rPr>
        <w:t>国内申请人具体资质要求按照《建设工程勘察设计资质管理规定》（建设部令第160号）、《工程勘察资质标准》（建市[2013]9号）、《工程设计资质标准》（建市〔2007〕86号）、《建设工程勘察设计资质管理规定实施意见》（建市[2007]202号）、《住房城乡建设部关于促进建筑工程设计事务所发展有关事项的通知》（建市（2016）261号）填写。要求同时具备2项或以上资质证书的，申请人可以组成联合体投标。</w:t>
      </w:r>
    </w:p>
    <w:p>
      <w:pPr>
        <w:spacing w:line="360" w:lineRule="auto"/>
        <w:ind w:left="630" w:leftChars="300"/>
        <w:rPr>
          <w:rFonts w:ascii="宋体" w:hAnsi="宋体"/>
          <w:color w:val="auto"/>
          <w:sz w:val="24"/>
          <w:highlight w:val="none"/>
          <w:u w:val="single"/>
        </w:rPr>
      </w:pPr>
      <w:r>
        <w:rPr>
          <w:rFonts w:hint="eastAsia" w:ascii="宋体" w:hAnsi="宋体"/>
          <w:color w:val="auto"/>
          <w:sz w:val="24"/>
          <w:highlight w:val="none"/>
          <w:u w:val="single"/>
        </w:rPr>
        <w:t>2、工程勘察、工程设计企业资质证书有效期按《住房和城乡建设部办公厅关于建设工程企业资质延续有关事项的通知》（建办市函〔2020〕334号）、《广东省住房和城乡建设厅关于建设工程企业资质延续有关事项的通知》（粤建许函〔2020〕298号）、《广州市住房和城乡建设局关于建设工程企业资质有效期顺延的通知》（穗建审批〔2020〕295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执行。</w:t>
      </w:r>
    </w:p>
    <w:p>
      <w:pPr>
        <w:spacing w:line="360" w:lineRule="auto"/>
        <w:ind w:left="630" w:leftChars="300"/>
        <w:rPr>
          <w:rFonts w:ascii="宋体" w:hAnsi="宋体"/>
          <w:color w:val="auto"/>
          <w:sz w:val="24"/>
          <w:highlight w:val="none"/>
          <w:u w:val="single"/>
        </w:rPr>
      </w:pPr>
      <w:r>
        <w:rPr>
          <w:rFonts w:hint="eastAsia" w:ascii="宋体" w:hAnsi="宋体"/>
          <w:color w:val="auto"/>
          <w:sz w:val="24"/>
          <w:highlight w:val="none"/>
          <w:u w:val="single"/>
        </w:rPr>
        <w:t>3、香港企业备案的业务范围依据《广东省住房和城乡建设厅关于印发香港工程建设咨询企业和专业人士在粤港澳大湾区内地城市开业执业试点管理暂行办法的通知》（粤建规范〔2021〕1号，详见链接：http://zfcxjst.gd.gov.cn/xxgk/wjtz/content/post_3137220.html）确定。香港企业须提供满足招标文件要求的相应资质证书及备案证明资料扫描件。</w:t>
      </w:r>
    </w:p>
    <w:p>
      <w:pPr>
        <w:spacing w:line="360" w:lineRule="auto"/>
        <w:ind w:left="818" w:hanging="818" w:hangingChars="341"/>
        <w:rPr>
          <w:rFonts w:ascii="宋体" w:hAnsi="宋体"/>
          <w:color w:val="auto"/>
          <w:sz w:val="24"/>
          <w:highlight w:val="none"/>
        </w:rPr>
      </w:pPr>
      <w:r>
        <w:rPr>
          <w:rFonts w:hint="eastAsia" w:ascii="宋体" w:hAnsi="宋体"/>
          <w:color w:val="auto"/>
          <w:sz w:val="24"/>
          <w:highlight w:val="none"/>
        </w:rPr>
        <w:t>1.4.3 外国或澳门、台湾的设计企业必须选择一家符合上述条件的企业进行合作设计。香港企业如不单独参加投标，也必须选择一家符合上述条件的企业进行合作设计。</w:t>
      </w:r>
    </w:p>
    <w:p>
      <w:pPr>
        <w:spacing w:line="360" w:lineRule="auto"/>
        <w:ind w:left="960" w:hanging="960" w:hangingChars="400"/>
        <w:jc w:val="left"/>
        <w:rPr>
          <w:rFonts w:ascii="宋体" w:hAnsi="宋体"/>
          <w:color w:val="auto"/>
          <w:spacing w:val="7"/>
          <w:kern w:val="0"/>
          <w:sz w:val="24"/>
          <w:highlight w:val="none"/>
          <w:u w:val="single"/>
        </w:rPr>
      </w:pPr>
      <w:r>
        <w:rPr>
          <w:rFonts w:hint="eastAsia" w:ascii="宋体" w:hAnsi="宋体"/>
          <w:color w:val="auto"/>
          <w:sz w:val="24"/>
          <w:highlight w:val="none"/>
        </w:rPr>
        <w:t>1.4.4  申请人</w:t>
      </w:r>
      <w:r>
        <w:rPr>
          <w:rFonts w:hint="eastAsia" w:ascii="宋体" w:hAnsi="宋体"/>
          <w:color w:val="auto"/>
          <w:spacing w:val="7"/>
          <w:kern w:val="0"/>
          <w:sz w:val="24"/>
          <w:highlight w:val="none"/>
          <w:u w:val="single"/>
        </w:rPr>
        <w:t>已在广州市住房和城乡建设局建立企业信用档案，拟委派的项目负责人须是本企业信用档案中的在册人员。（信用档案办理详见《广州市住建行业信用管理平台勘察企业信息录入办理指引》</w:t>
      </w:r>
    </w:p>
    <w:p>
      <w:pPr>
        <w:autoSpaceDE w:val="0"/>
        <w:autoSpaceDN w:val="0"/>
        <w:adjustRightInd w:val="0"/>
        <w:spacing w:line="360" w:lineRule="auto"/>
        <w:ind w:left="1050" w:leftChars="500"/>
        <w:rPr>
          <w:rFonts w:ascii="宋体" w:hAnsi="宋体"/>
          <w:color w:val="auto"/>
          <w:spacing w:val="7"/>
          <w:kern w:val="0"/>
          <w:sz w:val="24"/>
          <w:highlight w:val="none"/>
          <w:u w:val="single"/>
        </w:rPr>
      </w:pPr>
      <w:r>
        <w:rPr>
          <w:rFonts w:hint="eastAsia"/>
          <w:color w:val="auto"/>
          <w:highlight w:val="none"/>
        </w:rPr>
        <w:t>http://zfcj.gz.gov.cn/zwgk/zsdwxxgkzl/gzsjzyglfwzx/bszy/content/post_8077254.html</w:t>
      </w:r>
      <w:r>
        <w:rPr>
          <w:rFonts w:hint="eastAsia" w:ascii="宋体" w:hAnsi="宋体"/>
          <w:color w:val="auto"/>
          <w:spacing w:val="7"/>
          <w:kern w:val="0"/>
          <w:sz w:val="24"/>
          <w:highlight w:val="none"/>
          <w:u w:val="single"/>
        </w:rPr>
        <w:t>、《广州市住建行业信用管理平台设计企业信息录入指引》</w:t>
      </w:r>
    </w:p>
    <w:p>
      <w:pPr>
        <w:autoSpaceDE w:val="0"/>
        <w:autoSpaceDN w:val="0"/>
        <w:adjustRightInd w:val="0"/>
        <w:spacing w:line="360" w:lineRule="auto"/>
        <w:ind w:left="1050" w:leftChars="500"/>
        <w:rPr>
          <w:rStyle w:val="13"/>
          <w:color w:val="auto"/>
          <w:highlight w:val="none"/>
        </w:rPr>
      </w:pPr>
      <w:r>
        <w:rPr>
          <w:rStyle w:val="13"/>
          <w:color w:val="auto"/>
          <w:highlight w:val="none"/>
        </w:rPr>
        <w:t>http://zfcj.gz.gov.cn/zwgk/zsdwxxgkzl/gzsjzyglfwzx/bszy/content/post_8077285.html</w:t>
      </w:r>
      <w:r>
        <w:rPr>
          <w:rStyle w:val="13"/>
          <w:rFonts w:hint="eastAsia"/>
          <w:color w:val="auto"/>
          <w:highlight w:val="none"/>
        </w:rPr>
        <w:t>）</w:t>
      </w:r>
    </w:p>
    <w:p>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1.4.5  申请人委派的项目负责人须具备</w:t>
      </w:r>
      <w:r>
        <w:rPr>
          <w:rFonts w:hint="eastAsia" w:ascii="宋体" w:hAnsi="宋体"/>
          <w:color w:val="auto"/>
          <w:spacing w:val="7"/>
          <w:kern w:val="0"/>
          <w:sz w:val="24"/>
          <w:highlight w:val="none"/>
          <w:u w:val="single"/>
        </w:rPr>
        <w:t>一级注册建筑师或备案的业务范围相当于一级注册建筑师的香港专业人士</w:t>
      </w:r>
      <w:r>
        <w:rPr>
          <w:rFonts w:hint="eastAsia" w:ascii="宋体" w:hAnsi="宋体"/>
          <w:color w:val="auto"/>
          <w:sz w:val="24"/>
          <w:highlight w:val="none"/>
        </w:rPr>
        <w:t>。</w:t>
      </w:r>
    </w:p>
    <w:p>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[注释] 1、招标人</w:t>
      </w:r>
      <w:r>
        <w:rPr>
          <w:rFonts w:ascii="宋体" w:hAnsi="宋体"/>
          <w:color w:val="auto"/>
          <w:sz w:val="24"/>
          <w:highlight w:val="none"/>
        </w:rPr>
        <w:t>编制招标文件时，根据项目需要</w:t>
      </w:r>
      <w:r>
        <w:rPr>
          <w:rFonts w:hint="eastAsia" w:ascii="宋体" w:hAnsi="宋体"/>
          <w:color w:val="auto"/>
          <w:sz w:val="24"/>
          <w:highlight w:val="none"/>
        </w:rPr>
        <w:t>从下列资格中选一项：</w:t>
      </w:r>
    </w:p>
    <w:p>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 xml:space="preserve">       一级/二级或以上注册建筑师或备案的业务范围相当于一级注册建筑师的香港专业人士（根据项目规模确定）。</w:t>
      </w:r>
    </w:p>
    <w:p>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 xml:space="preserve">       注册土木工程师（岩土）或备案的业务范围相当于一级注册建筑师的香港专业人士（适用于单独招标的勘察项目）。</w:t>
      </w:r>
    </w:p>
    <w:p>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 xml:space="preserve">       本专业（含相近专业）高级工程师或从事本专业工作10年以上的工程师。</w:t>
      </w:r>
    </w:p>
    <w:p>
      <w:pPr>
        <w:spacing w:line="360" w:lineRule="auto"/>
        <w:ind w:left="819" w:leftChars="390" w:firstLine="28" w:firstLineChars="12"/>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7"/>
          <w:kern w:val="0"/>
          <w:sz w:val="24"/>
          <w:highlight w:val="none"/>
          <w:u w:val="single"/>
        </w:rPr>
        <w:t>香港专业人士的备案业务范围依据《广东省住房和城乡建设厅关于印发香港工程建设咨询企业和专业人士在粤港澳大湾区内地城市开业执业试点管理暂行办法的通知》（粤建规范〔2021〕1号）确定）。香港专业人士须提供满足招标文件要求的相应执业证书及备案证明资料扫描件。</w:t>
      </w:r>
    </w:p>
    <w:p>
      <w:pPr>
        <w:spacing w:line="360" w:lineRule="auto"/>
        <w:ind w:left="821" w:hanging="820" w:hangingChars="342"/>
        <w:rPr>
          <w:rFonts w:ascii="宋体" w:hAnsi="宋体"/>
          <w:color w:val="auto"/>
          <w:sz w:val="24"/>
          <w:highlight w:val="none"/>
          <w:u w:val="single"/>
        </w:rPr>
      </w:pPr>
      <w:r>
        <w:rPr>
          <w:rFonts w:hint="eastAsia" w:ascii="宋体" w:hAnsi="宋体"/>
          <w:color w:val="auto"/>
          <w:sz w:val="24"/>
          <w:highlight w:val="none"/>
        </w:rPr>
        <w:t>1.4.6  信誉要求：</w:t>
      </w:r>
      <w:r>
        <w:rPr>
          <w:rFonts w:hint="eastAsia" w:ascii="宋体" w:hAnsi="宋体"/>
          <w:color w:val="auto"/>
          <w:sz w:val="24"/>
          <w:highlight w:val="none"/>
          <w:u w:val="single"/>
        </w:rPr>
        <w:t>投标人（如为联合体，则联合体各方）</w:t>
      </w:r>
      <w:r>
        <w:rPr>
          <w:rFonts w:hint="eastAsia" w:ascii="宋体" w:hAnsi="宋体" w:cs="宋体"/>
          <w:color w:val="auto"/>
          <w:sz w:val="24"/>
          <w:highlight w:val="none"/>
          <w:u w:val="single"/>
        </w:rPr>
        <w:t>未被纳入失信联合惩戒名单且被限制参加财政投资工程或政府投资工程或建设工程投标的（具体名单以递交投标文件截止时间“信用广州”https://credit1.gz.gov.cn/sgs/sgsXkNew公布的“失信黑名单”为准）</w:t>
      </w:r>
      <w:r>
        <w:rPr>
          <w:rFonts w:hint="eastAsia" w:ascii="宋体" w:hAnsi="宋体"/>
          <w:color w:val="auto"/>
          <w:sz w:val="24"/>
          <w:highlight w:val="none"/>
          <w:u w:val="single"/>
        </w:rPr>
        <w:t>（按广州公共资源交易中心交易系统比对结果进行评审）</w:t>
      </w:r>
      <w:r>
        <w:rPr>
          <w:rFonts w:hint="eastAsia" w:ascii="宋体" w:hAnsi="宋体" w:cs="宋体"/>
          <w:color w:val="auto"/>
          <w:sz w:val="24"/>
          <w:highlight w:val="none"/>
          <w:u w:val="single"/>
        </w:rPr>
        <w:t>。</w:t>
      </w:r>
    </w:p>
    <w:p>
      <w:pPr>
        <w:spacing w:line="360" w:lineRule="auto"/>
        <w:ind w:left="730" w:leftChars="300" w:hanging="100" w:hangingChars="42"/>
        <w:rPr>
          <w:rFonts w:ascii="宋体" w:hAnsi="宋体"/>
          <w:color w:val="auto"/>
          <w:sz w:val="24"/>
          <w:highlight w:val="none"/>
        </w:rPr>
      </w:pPr>
      <w:r>
        <w:rPr>
          <w:rFonts w:hint="eastAsia" w:ascii="宋体" w:hAnsi="宋体"/>
          <w:color w:val="auto"/>
          <w:sz w:val="24"/>
          <w:highlight w:val="none"/>
        </w:rPr>
        <w:t>注：因联合惩戒措施表述存在细微差别，惩戒措施与上文不完全一致但措施内容相同的，也应属于被限制参与相关项目的投标。</w:t>
      </w:r>
    </w:p>
    <w:p>
      <w:pPr>
        <w:spacing w:line="360" w:lineRule="auto"/>
        <w:ind w:left="821" w:hanging="820" w:hangingChars="342"/>
        <w:rPr>
          <w:rFonts w:ascii="宋体" w:hAnsi="宋体"/>
          <w:color w:val="auto"/>
          <w:sz w:val="24"/>
          <w:highlight w:val="none"/>
        </w:rPr>
      </w:pPr>
    </w:p>
    <w:p>
      <w:pPr>
        <w:spacing w:line="360" w:lineRule="auto"/>
        <w:jc w:val="left"/>
        <w:rPr>
          <w:rFonts w:ascii="宋体" w:hAnsi="宋体"/>
          <w:b/>
          <w:color w:val="auto"/>
          <w:sz w:val="24"/>
          <w:highlight w:val="none"/>
        </w:rPr>
      </w:pPr>
      <w:r>
        <w:rPr>
          <w:rFonts w:hint="eastAsia" w:ascii="宋体" w:hAnsi="宋体"/>
          <w:b/>
          <w:color w:val="auto"/>
          <w:sz w:val="24"/>
          <w:highlight w:val="none"/>
        </w:rPr>
        <w:t>1.5   招标文件的获取及</w:t>
      </w:r>
      <w:r>
        <w:rPr>
          <w:rFonts w:ascii="宋体" w:hAnsi="宋体"/>
          <w:b/>
          <w:color w:val="auto"/>
          <w:sz w:val="24"/>
          <w:highlight w:val="none"/>
        </w:rPr>
        <w:t>资格审查</w:t>
      </w:r>
    </w:p>
    <w:p>
      <w:pPr>
        <w:spacing w:line="360" w:lineRule="auto"/>
        <w:jc w:val="left"/>
        <w:rPr>
          <w:rFonts w:ascii="宋体" w:hAnsi="宋体"/>
          <w:color w:val="auto"/>
          <w:sz w:val="24"/>
          <w:highlight w:val="none"/>
        </w:rPr>
      </w:pPr>
    </w:p>
    <w:p>
      <w:pPr>
        <w:spacing w:line="360" w:lineRule="auto"/>
        <w:ind w:left="816" w:leftChars="-1" w:hanging="818" w:hangingChars="341"/>
        <w:jc w:val="left"/>
        <w:rPr>
          <w:color w:val="auto"/>
          <w:sz w:val="24"/>
          <w:highlight w:val="none"/>
        </w:rPr>
      </w:pPr>
      <w:r>
        <w:rPr>
          <w:rFonts w:hint="eastAsia" w:ascii="宋体" w:hAnsi="宋体"/>
          <w:color w:val="auto"/>
          <w:sz w:val="24"/>
          <w:highlight w:val="none"/>
        </w:rPr>
        <w:t xml:space="preserve">1.5.1  </w:t>
      </w:r>
      <w:r>
        <w:rPr>
          <w:rFonts w:hint="eastAsia"/>
          <w:color w:val="auto"/>
          <w:sz w:val="24"/>
          <w:highlight w:val="none"/>
        </w:rPr>
        <w:t>公告发布时间：</w:t>
      </w:r>
      <w:r>
        <w:rPr>
          <w:rFonts w:hint="eastAsia" w:asciiTheme="majorEastAsia" w:hAnsiTheme="majorEastAsia" w:eastAsiaTheme="majorEastAsia"/>
          <w:color w:val="auto"/>
          <w:sz w:val="24"/>
          <w:highlight w:val="none"/>
          <w:u w:val="single"/>
        </w:rPr>
        <w:t>2023</w:t>
      </w:r>
      <w:r>
        <w:rPr>
          <w:rFonts w:hint="eastAsia" w:asciiTheme="majorEastAsia" w:hAnsiTheme="majorEastAsia" w:eastAsiaTheme="majorEastAsia"/>
          <w:color w:val="auto"/>
          <w:sz w:val="24"/>
          <w:highlight w:val="none"/>
        </w:rPr>
        <w:t>年</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月</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日</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时</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分至</w:t>
      </w:r>
      <w:r>
        <w:rPr>
          <w:rFonts w:hint="eastAsia" w:asciiTheme="majorEastAsia" w:hAnsiTheme="majorEastAsia" w:eastAsiaTheme="majorEastAsia"/>
          <w:color w:val="auto"/>
          <w:sz w:val="24"/>
          <w:highlight w:val="none"/>
          <w:u w:val="single"/>
        </w:rPr>
        <w:t>2023</w:t>
      </w:r>
      <w:r>
        <w:rPr>
          <w:rFonts w:hint="eastAsia" w:asciiTheme="majorEastAsia" w:hAnsiTheme="majorEastAsia" w:eastAsiaTheme="majorEastAsia"/>
          <w:color w:val="auto"/>
          <w:sz w:val="24"/>
          <w:highlight w:val="none"/>
        </w:rPr>
        <w:t>年</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月</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日</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时</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分（北京时间，</w:t>
      </w:r>
      <w:r>
        <w:rPr>
          <w:rFonts w:hint="eastAsia"/>
          <w:color w:val="auto"/>
          <w:sz w:val="24"/>
          <w:highlight w:val="none"/>
        </w:rPr>
        <w:t>下同）</w:t>
      </w:r>
    </w:p>
    <w:p>
      <w:pPr>
        <w:spacing w:line="360" w:lineRule="auto"/>
        <w:ind w:left="712" w:leftChars="337" w:hanging="4" w:hangingChars="2"/>
        <w:jc w:val="left"/>
        <w:rPr>
          <w:color w:val="auto"/>
          <w:sz w:val="24"/>
          <w:highlight w:val="none"/>
        </w:rPr>
      </w:pPr>
      <w:r>
        <w:rPr>
          <w:rFonts w:hint="eastAsia" w:ascii="宋体" w:hAnsi="宋体" w:cs="宋体"/>
          <w:color w:val="auto"/>
          <w:sz w:val="24"/>
          <w:highlight w:val="none"/>
        </w:rPr>
        <w:t>凡有意参加投标者，请登录</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rPr>
        <w:t>交易平台网站（网址：http://www.gzggzy.cn）下载电子招标文件。</w:t>
      </w:r>
    </w:p>
    <w:p>
      <w:pPr>
        <w:spacing w:line="360" w:lineRule="auto"/>
        <w:ind w:left="712" w:leftChars="337" w:hanging="4" w:hangingChars="2"/>
        <w:jc w:val="left"/>
        <w:rPr>
          <w:color w:val="auto"/>
          <w:sz w:val="24"/>
          <w:highlight w:val="none"/>
        </w:rPr>
      </w:pPr>
      <w:r>
        <w:rPr>
          <w:rFonts w:hint="eastAsia"/>
          <w:color w:val="auto"/>
          <w:sz w:val="24"/>
          <w:highlight w:val="none"/>
        </w:rPr>
        <w:t>注：发布招标公告的时间为招标公告发出之日起至递交投标文件截止时间止。</w:t>
      </w:r>
    </w:p>
    <w:p>
      <w:pPr>
        <w:spacing w:line="360" w:lineRule="auto"/>
        <w:ind w:left="840" w:hanging="840" w:hangingChars="350"/>
        <w:jc w:val="left"/>
        <w:rPr>
          <w:rFonts w:ascii="宋体" w:hAnsi="宋体"/>
          <w:color w:val="auto"/>
          <w:sz w:val="24"/>
          <w:highlight w:val="none"/>
        </w:rPr>
      </w:pPr>
      <w:r>
        <w:rPr>
          <w:rFonts w:hint="eastAsia" w:ascii="宋体" w:hAnsi="宋体"/>
          <w:color w:val="auto"/>
          <w:sz w:val="24"/>
          <w:highlight w:val="none"/>
        </w:rPr>
        <w:t>1.5.2</w:t>
      </w:r>
      <w:r>
        <w:rPr>
          <w:rFonts w:ascii="宋体" w:hAnsi="宋体"/>
          <w:color w:val="auto"/>
          <w:sz w:val="24"/>
          <w:highlight w:val="none"/>
        </w:rPr>
        <w:t xml:space="preserve">  </w:t>
      </w:r>
      <w:r>
        <w:rPr>
          <w:rFonts w:hint="eastAsia" w:ascii="宋体" w:hAnsi="宋体" w:cs="宋体"/>
          <w:color w:val="auto"/>
          <w:sz w:val="24"/>
          <w:highlight w:val="none"/>
        </w:rPr>
        <w:t>本项目招标文件随招标公告一并在</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rPr>
        <w:t>交易平台网站发布。招标文件一经在交易平台发布，视为发出给投标人，招标文件</w:t>
      </w:r>
      <w:r>
        <w:rPr>
          <w:rFonts w:hint="eastAsia" w:ascii="宋体" w:hAnsi="宋体"/>
          <w:color w:val="auto"/>
          <w:sz w:val="24"/>
          <w:highlight w:val="none"/>
        </w:rPr>
        <w:t>由投标人自行在交易平台网站下载。</w:t>
      </w:r>
    </w:p>
    <w:p>
      <w:pPr>
        <w:spacing w:line="360" w:lineRule="auto"/>
        <w:rPr>
          <w:rFonts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3</w:t>
      </w:r>
      <w:r>
        <w:rPr>
          <w:rFonts w:hint="eastAsia" w:ascii="宋体" w:hAnsi="宋体"/>
          <w:color w:val="auto"/>
          <w:sz w:val="24"/>
          <w:highlight w:val="none"/>
        </w:rPr>
        <w:t xml:space="preserve">  本项目资格审查采用</w:t>
      </w:r>
      <w:r>
        <w:rPr>
          <w:rFonts w:hint="eastAsia" w:ascii="宋体" w:hAnsi="宋体"/>
          <w:color w:val="auto"/>
          <w:sz w:val="24"/>
          <w:highlight w:val="none"/>
          <w:u w:val="single"/>
        </w:rPr>
        <w:t xml:space="preserve">  方式一  </w:t>
      </w:r>
      <w:r>
        <w:rPr>
          <w:rFonts w:hint="eastAsia" w:ascii="宋体" w:hAnsi="宋体"/>
          <w:color w:val="auto"/>
          <w:sz w:val="24"/>
          <w:highlight w:val="none"/>
        </w:rPr>
        <w:t>：</w:t>
      </w:r>
    </w:p>
    <w:p>
      <w:pPr>
        <w:spacing w:line="360" w:lineRule="auto"/>
        <w:ind w:firstLine="720" w:firstLineChars="300"/>
        <w:rPr>
          <w:rFonts w:ascii="宋体" w:hAnsi="宋体"/>
          <w:color w:val="auto"/>
          <w:sz w:val="24"/>
          <w:highlight w:val="none"/>
        </w:rPr>
      </w:pPr>
      <w:r>
        <w:rPr>
          <w:rFonts w:hint="eastAsia" w:ascii="宋体" w:hAnsi="宋体"/>
          <w:color w:val="auto"/>
          <w:sz w:val="24"/>
          <w:highlight w:val="none"/>
        </w:rPr>
        <w:t>方式一、资格后审方式，由评标委员会负责资格审查；</w:t>
      </w:r>
    </w:p>
    <w:p>
      <w:pPr>
        <w:spacing w:line="360" w:lineRule="auto"/>
        <w:ind w:firstLine="720" w:firstLineChars="300"/>
        <w:rPr>
          <w:rFonts w:ascii="宋体" w:hAnsi="宋体"/>
          <w:color w:val="auto"/>
          <w:sz w:val="24"/>
          <w:highlight w:val="none"/>
        </w:rPr>
      </w:pPr>
    </w:p>
    <w:p>
      <w:pPr>
        <w:widowControl/>
        <w:tabs>
          <w:tab w:val="left" w:pos="760"/>
        </w:tabs>
        <w:spacing w:line="360" w:lineRule="auto"/>
        <w:jc w:val="left"/>
        <w:rPr>
          <w:rFonts w:ascii="宋体" w:hAnsi="宋体"/>
          <w:b/>
          <w:color w:val="auto"/>
          <w:sz w:val="24"/>
          <w:highlight w:val="none"/>
        </w:rPr>
      </w:pPr>
      <w:r>
        <w:rPr>
          <w:rFonts w:hint="eastAsia" w:ascii="宋体" w:hAnsi="宋体"/>
          <w:b/>
          <w:color w:val="auto"/>
          <w:sz w:val="24"/>
          <w:highlight w:val="none"/>
        </w:rPr>
        <w:t xml:space="preserve">1.6    </w:t>
      </w:r>
      <w:r>
        <w:rPr>
          <w:rFonts w:ascii="宋体" w:hAnsi="宋体"/>
          <w:b/>
          <w:color w:val="auto"/>
          <w:sz w:val="24"/>
          <w:highlight w:val="none"/>
        </w:rPr>
        <w:t>投标</w:t>
      </w:r>
      <w:r>
        <w:rPr>
          <w:rFonts w:hint="eastAsia" w:ascii="宋体" w:hAnsi="宋体"/>
          <w:b/>
          <w:color w:val="auto"/>
          <w:sz w:val="24"/>
          <w:highlight w:val="none"/>
        </w:rPr>
        <w:t>截止时间</w:t>
      </w:r>
    </w:p>
    <w:p>
      <w:pPr>
        <w:tabs>
          <w:tab w:val="left" w:pos="360"/>
        </w:tabs>
        <w:spacing w:line="360" w:lineRule="auto"/>
        <w:ind w:firstLine="482" w:firstLineChars="200"/>
        <w:rPr>
          <w:rFonts w:ascii="宋体" w:hAnsi="宋体"/>
          <w:b/>
          <w:color w:val="auto"/>
          <w:sz w:val="24"/>
          <w:highlight w:val="none"/>
        </w:rPr>
      </w:pPr>
    </w:p>
    <w:p>
      <w:pPr>
        <w:tabs>
          <w:tab w:val="left" w:pos="360"/>
        </w:tabs>
        <w:spacing w:line="360" w:lineRule="auto"/>
        <w:ind w:left="809" w:hanging="808" w:hangingChars="337"/>
        <w:rPr>
          <w:rFonts w:ascii="宋体" w:hAnsi="宋体" w:cs="仿宋_GB2312"/>
          <w:color w:val="auto"/>
          <w:sz w:val="24"/>
          <w:highlight w:val="none"/>
        </w:rPr>
      </w:pPr>
      <w:r>
        <w:rPr>
          <w:rFonts w:hint="eastAsia"/>
          <w:color w:val="auto"/>
          <w:sz w:val="24"/>
          <w:highlight w:val="none"/>
        </w:rPr>
        <w:t xml:space="preserve">1.6.1   </w:t>
      </w:r>
      <w:r>
        <w:rPr>
          <w:rFonts w:hint="eastAsia" w:ascii="宋体" w:hAnsi="宋体"/>
          <w:color w:val="auto"/>
          <w:sz w:val="24"/>
          <w:highlight w:val="none"/>
        </w:rPr>
        <w:t>投标</w:t>
      </w:r>
      <w:r>
        <w:rPr>
          <w:rFonts w:hint="eastAsia" w:ascii="宋体" w:hAnsi="宋体" w:cs="宋体"/>
          <w:color w:val="auto"/>
          <w:sz w:val="24"/>
          <w:highlight w:val="none"/>
        </w:rPr>
        <w:t>截止时间为</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分，投标人应在截止时间前通过</w:t>
      </w:r>
      <w:r>
        <w:rPr>
          <w:rFonts w:hint="eastAsia" w:ascii="宋体" w:hAnsi="宋体"/>
          <w:color w:val="auto"/>
          <w:sz w:val="24"/>
          <w:highlight w:val="none"/>
          <w:u w:val="single"/>
        </w:rPr>
        <w:t>广州公共资源交易中心</w:t>
      </w:r>
      <w:r>
        <w:rPr>
          <w:rFonts w:hint="eastAsia" w:ascii="宋体" w:hAnsi="宋体" w:cs="宋体"/>
          <w:color w:val="auto"/>
          <w:sz w:val="24"/>
          <w:highlight w:val="none"/>
        </w:rPr>
        <w:t>交易平台网站递交电子投标文件。投标人完成电子投</w:t>
      </w:r>
      <w:r>
        <w:rPr>
          <w:rFonts w:hint="eastAsia" w:ascii="宋体" w:hAnsi="宋体"/>
          <w:color w:val="auto"/>
          <w:sz w:val="24"/>
          <w:highlight w:val="none"/>
        </w:rPr>
        <w:t>标上传后，交易平台即时向投标人发出递交回执通知。递交时间以递交回执通知载明的传输时间为准。</w:t>
      </w:r>
    </w:p>
    <w:p>
      <w:pPr>
        <w:tabs>
          <w:tab w:val="left" w:pos="360"/>
        </w:tabs>
        <w:spacing w:line="360" w:lineRule="auto"/>
        <w:ind w:left="809" w:hanging="808" w:hangingChars="337"/>
        <w:rPr>
          <w:color w:val="auto"/>
          <w:sz w:val="24"/>
          <w:highlight w:val="none"/>
        </w:rPr>
      </w:pPr>
      <w:r>
        <w:rPr>
          <w:color w:val="auto"/>
          <w:sz w:val="24"/>
          <w:highlight w:val="none"/>
        </w:rPr>
        <w:t xml:space="preserve">1.6.2 </w:t>
      </w:r>
      <w:r>
        <w:rPr>
          <w:rFonts w:ascii="宋体" w:hAnsi="宋体" w:cs="仿宋_GB2312"/>
          <w:color w:val="auto"/>
          <w:sz w:val="24"/>
          <w:highlight w:val="none"/>
        </w:rPr>
        <w:t xml:space="preserve">  </w:t>
      </w:r>
      <w:r>
        <w:rPr>
          <w:rFonts w:hint="eastAsia" w:ascii="宋体" w:hAnsi="宋体" w:cs="仿宋_GB2312"/>
          <w:color w:val="auto"/>
          <w:sz w:val="24"/>
          <w:highlight w:val="none"/>
        </w:rPr>
        <w:t>投标人应在递交投标文件截止时间前，登录</w:t>
      </w:r>
      <w:r>
        <w:rPr>
          <w:rFonts w:hint="eastAsia" w:ascii="宋体" w:hAnsi="宋体"/>
          <w:color w:val="auto"/>
          <w:sz w:val="24"/>
          <w:highlight w:val="none"/>
        </w:rPr>
        <w:t>交易平台</w:t>
      </w:r>
      <w:r>
        <w:rPr>
          <w:rFonts w:hint="eastAsia" w:ascii="宋体" w:hAnsi="宋体" w:cs="仿宋_GB2312"/>
          <w:color w:val="auto"/>
          <w:sz w:val="24"/>
          <w:highlight w:val="none"/>
        </w:rPr>
        <w:t>网站办理网上投标登记手续。按照交易平台关于全流程电子化项目的相关指南进行操作。</w:t>
      </w:r>
    </w:p>
    <w:p>
      <w:pPr>
        <w:tabs>
          <w:tab w:val="left" w:pos="360"/>
        </w:tabs>
        <w:spacing w:line="360" w:lineRule="auto"/>
        <w:ind w:left="809" w:hanging="808" w:hangingChars="337"/>
        <w:rPr>
          <w:color w:val="auto"/>
          <w:sz w:val="24"/>
          <w:highlight w:val="none"/>
        </w:rPr>
      </w:pPr>
      <w:r>
        <w:rPr>
          <w:rFonts w:hint="eastAsia"/>
          <w:color w:val="auto"/>
          <w:sz w:val="24"/>
          <w:highlight w:val="none"/>
        </w:rPr>
        <w:t>1.6.</w:t>
      </w:r>
      <w:r>
        <w:rPr>
          <w:color w:val="auto"/>
          <w:sz w:val="24"/>
          <w:highlight w:val="none"/>
        </w:rPr>
        <w:t>3</w:t>
      </w:r>
      <w:r>
        <w:rPr>
          <w:rFonts w:hint="eastAsia"/>
          <w:color w:val="auto"/>
          <w:sz w:val="24"/>
          <w:highlight w:val="none"/>
        </w:rPr>
        <w:t xml:space="preserve">   提交投标文件光盘备用</w:t>
      </w:r>
    </w:p>
    <w:p>
      <w:pPr>
        <w:spacing w:line="360" w:lineRule="auto"/>
        <w:ind w:left="840" w:leftChars="400"/>
        <w:jc w:val="left"/>
        <w:rPr>
          <w:rFonts w:ascii="宋体" w:hAnsi="宋体"/>
          <w:color w:val="auto"/>
          <w:spacing w:val="-2"/>
          <w:kern w:val="0"/>
          <w:sz w:val="24"/>
          <w:highlight w:val="none"/>
        </w:rPr>
      </w:pPr>
      <w:r>
        <w:rPr>
          <w:rFonts w:hint="eastAsia" w:ascii="宋体" w:hAnsi="宋体"/>
          <w:color w:val="auto"/>
          <w:spacing w:val="-2"/>
          <w:kern w:val="0"/>
          <w:sz w:val="24"/>
          <w:highlight w:val="none"/>
        </w:rPr>
        <w:t>投标文件光盘（备用）递交时间：</w:t>
      </w:r>
      <w:r>
        <w:rPr>
          <w:rFonts w:hint="eastAsia" w:ascii="宋体" w:hAnsi="宋体"/>
          <w:color w:val="auto"/>
          <w:spacing w:val="-2"/>
          <w:kern w:val="0"/>
          <w:sz w:val="24"/>
          <w:highlight w:val="none"/>
          <w:u w:val="single"/>
        </w:rPr>
        <w:t xml:space="preserve">2023年 </w:t>
      </w:r>
      <w:r>
        <w:rPr>
          <w:rFonts w:hint="eastAsia" w:ascii="宋体" w:hAnsi="宋体"/>
          <w:color w:val="auto"/>
          <w:kern w:val="0"/>
          <w:sz w:val="24"/>
          <w:highlight w:val="none"/>
          <w:u w:val="single"/>
        </w:rPr>
        <w:t xml:space="preserve">   月  日  时 </w:t>
      </w:r>
      <w:r>
        <w:rPr>
          <w:rFonts w:hint="eastAsia" w:ascii="宋体" w:hAnsi="宋体"/>
          <w:color w:val="auto"/>
          <w:spacing w:val="-2"/>
          <w:kern w:val="0"/>
          <w:sz w:val="24"/>
          <w:highlight w:val="none"/>
          <w:u w:val="single"/>
        </w:rPr>
        <w:t xml:space="preserve">分至2023年 </w:t>
      </w:r>
      <w:r>
        <w:rPr>
          <w:rFonts w:hint="eastAsia" w:ascii="宋体" w:hAnsi="宋体"/>
          <w:color w:val="auto"/>
          <w:kern w:val="0"/>
          <w:sz w:val="24"/>
          <w:highlight w:val="none"/>
          <w:u w:val="single"/>
        </w:rPr>
        <w:t xml:space="preserve"> 月  日   时  </w:t>
      </w:r>
      <w:r>
        <w:rPr>
          <w:rFonts w:hint="eastAsia" w:ascii="宋体" w:hAnsi="宋体"/>
          <w:color w:val="auto"/>
          <w:spacing w:val="-2"/>
          <w:kern w:val="0"/>
          <w:sz w:val="24"/>
          <w:highlight w:val="none"/>
          <w:u w:val="single"/>
        </w:rPr>
        <w:t xml:space="preserve"> 分</w:t>
      </w:r>
      <w:r>
        <w:rPr>
          <w:rFonts w:hint="eastAsia" w:ascii="宋体" w:hAnsi="宋体"/>
          <w:color w:val="auto"/>
          <w:spacing w:val="-2"/>
          <w:kern w:val="0"/>
          <w:sz w:val="24"/>
          <w:highlight w:val="none"/>
        </w:rPr>
        <w:t>；地点：</w:t>
      </w:r>
      <w:r>
        <w:rPr>
          <w:rFonts w:hint="eastAsia" w:ascii="宋体" w:hAnsi="宋体"/>
          <w:color w:val="auto"/>
          <w:spacing w:val="-2"/>
          <w:kern w:val="0"/>
          <w:sz w:val="24"/>
          <w:highlight w:val="none"/>
          <w:u w:val="single"/>
        </w:rPr>
        <w:t>广州公共资源交易中心（广州市天河区天润路333号）第  开标室。</w:t>
      </w:r>
    </w:p>
    <w:p>
      <w:pPr>
        <w:tabs>
          <w:tab w:val="left" w:pos="360"/>
        </w:tabs>
        <w:spacing w:line="360" w:lineRule="auto"/>
        <w:ind w:left="809" w:hanging="808" w:hangingChars="337"/>
        <w:rPr>
          <w:color w:val="auto"/>
          <w:sz w:val="24"/>
          <w:highlight w:val="none"/>
        </w:rPr>
      </w:pPr>
      <w:r>
        <w:rPr>
          <w:rFonts w:hint="eastAsia"/>
          <w:color w:val="auto"/>
          <w:sz w:val="24"/>
          <w:highlight w:val="none"/>
        </w:rPr>
        <w:t>1.6.</w:t>
      </w:r>
      <w:r>
        <w:rPr>
          <w:color w:val="auto"/>
          <w:sz w:val="24"/>
          <w:highlight w:val="none"/>
        </w:rPr>
        <w:t>4</w:t>
      </w:r>
      <w:r>
        <w:rPr>
          <w:rFonts w:hint="eastAsia"/>
          <w:color w:val="auto"/>
          <w:sz w:val="24"/>
          <w:highlight w:val="none"/>
        </w:rPr>
        <w:t xml:space="preserve">   逾期送达的投标文件，交易平台将予以拒收。</w:t>
      </w:r>
    </w:p>
    <w:p>
      <w:pPr>
        <w:spacing w:line="360" w:lineRule="auto"/>
        <w:jc w:val="left"/>
        <w:rPr>
          <w:rFonts w:ascii="宋体" w:hAnsi="宋体"/>
          <w:b/>
          <w:color w:val="auto"/>
          <w:sz w:val="24"/>
          <w:highlight w:val="none"/>
        </w:rPr>
      </w:pPr>
    </w:p>
    <w:p>
      <w:pPr>
        <w:spacing w:line="360" w:lineRule="auto"/>
        <w:jc w:val="left"/>
        <w:rPr>
          <w:rFonts w:ascii="宋体" w:hAnsi="宋体"/>
          <w:b/>
          <w:color w:val="auto"/>
          <w:sz w:val="24"/>
          <w:highlight w:val="none"/>
        </w:rPr>
      </w:pPr>
      <w:r>
        <w:rPr>
          <w:rFonts w:hint="eastAsia" w:ascii="宋体" w:hAnsi="宋体"/>
          <w:b/>
          <w:color w:val="auto"/>
          <w:sz w:val="24"/>
          <w:highlight w:val="none"/>
        </w:rPr>
        <w:t>1.7    开标开始时间和地点</w:t>
      </w:r>
    </w:p>
    <w:p>
      <w:pPr>
        <w:spacing w:line="360" w:lineRule="auto"/>
        <w:jc w:val="left"/>
        <w:rPr>
          <w:rFonts w:ascii="宋体" w:hAnsi="宋体"/>
          <w:b/>
          <w:color w:val="auto"/>
          <w:sz w:val="24"/>
          <w:highlight w:val="none"/>
        </w:rPr>
      </w:pPr>
    </w:p>
    <w:p>
      <w:pPr>
        <w:spacing w:line="360" w:lineRule="auto"/>
        <w:ind w:left="708" w:hanging="708" w:hangingChars="295"/>
        <w:rPr>
          <w:rFonts w:ascii="宋体" w:hAnsi="宋体"/>
          <w:color w:val="auto"/>
          <w:sz w:val="24"/>
          <w:highlight w:val="none"/>
        </w:rPr>
      </w:pPr>
      <w:r>
        <w:rPr>
          <w:rFonts w:hint="eastAsia" w:ascii="宋体" w:hAnsi="宋体"/>
          <w:color w:val="auto"/>
          <w:sz w:val="24"/>
          <w:highlight w:val="none"/>
        </w:rPr>
        <w:t>1.7.1 本项目采用电子开标，在广州公共资源交易中心交易平台上公开进行。开标开始时间：</w:t>
      </w:r>
      <w:r>
        <w:rPr>
          <w:rFonts w:hint="eastAsia" w:ascii="宋体" w:hAnsi="宋体"/>
          <w:color w:val="auto"/>
          <w:sz w:val="24"/>
          <w:highlight w:val="none"/>
          <w:u w:val="single"/>
        </w:rPr>
        <w:t>2023</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分（与</w:t>
      </w:r>
      <w:r>
        <w:rPr>
          <w:rFonts w:ascii="宋体" w:hAnsi="宋体"/>
          <w:color w:val="auto"/>
          <w:sz w:val="24"/>
          <w:highlight w:val="none"/>
        </w:rPr>
        <w:t>投标截止时间</w:t>
      </w:r>
      <w:r>
        <w:rPr>
          <w:rFonts w:hint="eastAsia" w:ascii="宋体" w:hAnsi="宋体"/>
          <w:color w:val="auto"/>
          <w:sz w:val="24"/>
          <w:highlight w:val="none"/>
        </w:rPr>
        <w:t>为</w:t>
      </w:r>
      <w:r>
        <w:rPr>
          <w:rFonts w:ascii="宋体" w:hAnsi="宋体"/>
          <w:color w:val="auto"/>
          <w:sz w:val="24"/>
          <w:highlight w:val="none"/>
        </w:rPr>
        <w:t>同一时间</w:t>
      </w:r>
      <w:r>
        <w:rPr>
          <w:rFonts w:hint="eastAsia" w:ascii="宋体" w:hAnsi="宋体"/>
          <w:color w:val="auto"/>
          <w:sz w:val="24"/>
          <w:highlight w:val="none"/>
        </w:rPr>
        <w:t>）。所有投标人均应当准时在线参加开标。</w:t>
      </w:r>
      <w:r>
        <w:rPr>
          <w:rFonts w:ascii="宋体" w:hAnsi="宋体"/>
          <w:color w:val="auto"/>
          <w:sz w:val="24"/>
          <w:highlight w:val="none"/>
        </w:rPr>
        <w:t>投标人</w:t>
      </w:r>
      <w:r>
        <w:rPr>
          <w:rFonts w:hint="eastAsia" w:ascii="宋体" w:hAnsi="宋体"/>
          <w:color w:val="auto"/>
          <w:sz w:val="24"/>
          <w:highlight w:val="none"/>
        </w:rPr>
        <w:t>参与电子</w:t>
      </w:r>
      <w:r>
        <w:rPr>
          <w:rFonts w:ascii="宋体" w:hAnsi="宋体"/>
          <w:color w:val="auto"/>
          <w:sz w:val="24"/>
          <w:highlight w:val="none"/>
        </w:rPr>
        <w:t>开标</w:t>
      </w:r>
      <w:r>
        <w:rPr>
          <w:rFonts w:hint="eastAsia" w:ascii="宋体" w:hAnsi="宋体"/>
          <w:color w:val="auto"/>
          <w:sz w:val="24"/>
          <w:highlight w:val="none"/>
        </w:rPr>
        <w:t>的</w:t>
      </w:r>
      <w:r>
        <w:rPr>
          <w:rFonts w:ascii="宋体" w:hAnsi="宋体"/>
          <w:color w:val="auto"/>
          <w:sz w:val="24"/>
          <w:highlight w:val="none"/>
        </w:rPr>
        <w:t>具体操作详见交易平台</w:t>
      </w:r>
      <w:r>
        <w:rPr>
          <w:rFonts w:hint="eastAsia" w:ascii="宋体" w:hAnsi="宋体"/>
          <w:color w:val="auto"/>
          <w:sz w:val="24"/>
          <w:highlight w:val="none"/>
        </w:rPr>
        <w:t>发布</w:t>
      </w:r>
      <w:r>
        <w:rPr>
          <w:rFonts w:ascii="宋体" w:hAnsi="宋体"/>
          <w:color w:val="auto"/>
          <w:sz w:val="24"/>
          <w:highlight w:val="none"/>
        </w:rPr>
        <w:t>的相关操作指引</w:t>
      </w:r>
      <w:r>
        <w:rPr>
          <w:rFonts w:hint="eastAsia" w:ascii="宋体" w:hAnsi="宋体"/>
          <w:color w:val="auto"/>
          <w:sz w:val="24"/>
          <w:highlight w:val="none"/>
        </w:rPr>
        <w:t>。</w:t>
      </w:r>
    </w:p>
    <w:p>
      <w:pPr>
        <w:spacing w:line="360" w:lineRule="auto"/>
        <w:ind w:left="708" w:hanging="708" w:hangingChars="295"/>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1.8    现场考察</w:t>
      </w:r>
    </w:p>
    <w:p>
      <w:pPr>
        <w:spacing w:line="360" w:lineRule="auto"/>
        <w:jc w:val="left"/>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1.8.1  时间：</w:t>
      </w:r>
      <w:r>
        <w:rPr>
          <w:rFonts w:hint="eastAsia" w:ascii="宋体" w:hAnsi="宋体"/>
          <w:color w:val="auto"/>
          <w:sz w:val="24"/>
          <w:highlight w:val="none"/>
          <w:u w:val="single"/>
        </w:rPr>
        <w:t xml:space="preserve">  不安排统一考察，由投标人自行考察   </w:t>
      </w:r>
      <w:r>
        <w:rPr>
          <w:rFonts w:hint="eastAsia" w:ascii="宋体" w:hAnsi="宋体"/>
          <w:color w:val="auto"/>
          <w:sz w:val="24"/>
          <w:highlight w:val="none"/>
        </w:rPr>
        <w:t>。</w:t>
      </w:r>
    </w:p>
    <w:p>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1.8.2  地点：</w:t>
      </w:r>
      <w:r>
        <w:rPr>
          <w:rFonts w:hint="eastAsia" w:ascii="宋体" w:hAnsi="宋体"/>
          <w:color w:val="auto"/>
          <w:sz w:val="24"/>
          <w:highlight w:val="none"/>
          <w:u w:val="single"/>
        </w:rPr>
        <w:t xml:space="preserve">  不安排统一考察，由投标人自行考察   </w:t>
      </w:r>
      <w:r>
        <w:rPr>
          <w:rFonts w:hint="eastAsia" w:ascii="宋体" w:hAnsi="宋体"/>
          <w:color w:val="auto"/>
          <w:sz w:val="24"/>
          <w:highlight w:val="none"/>
        </w:rPr>
        <w:t>。</w:t>
      </w:r>
    </w:p>
    <w:p>
      <w:pPr>
        <w:spacing w:line="360" w:lineRule="auto"/>
        <w:jc w:val="left"/>
        <w:rPr>
          <w:rFonts w:ascii="宋体" w:hAnsi="宋体"/>
          <w:color w:val="auto"/>
          <w:sz w:val="24"/>
          <w:highlight w:val="none"/>
        </w:rPr>
      </w:pPr>
    </w:p>
    <w:p>
      <w:pPr>
        <w:spacing w:line="360" w:lineRule="auto"/>
        <w:jc w:val="left"/>
        <w:rPr>
          <w:rFonts w:ascii="宋体" w:hAnsi="宋体"/>
          <w:b/>
          <w:color w:val="auto"/>
          <w:sz w:val="24"/>
          <w:highlight w:val="none"/>
        </w:rPr>
      </w:pPr>
      <w:r>
        <w:rPr>
          <w:rFonts w:hint="eastAsia" w:ascii="宋体" w:hAnsi="宋体"/>
          <w:b/>
          <w:color w:val="auto"/>
          <w:sz w:val="24"/>
          <w:highlight w:val="none"/>
        </w:rPr>
        <w:t>1.9    费用</w:t>
      </w:r>
    </w:p>
    <w:p>
      <w:pPr>
        <w:spacing w:line="360" w:lineRule="auto"/>
        <w:ind w:left="821" w:hanging="820" w:hangingChars="342"/>
        <w:jc w:val="left"/>
        <w:rPr>
          <w:rFonts w:ascii="宋体" w:hAnsi="宋体"/>
          <w:color w:val="auto"/>
          <w:sz w:val="24"/>
          <w:highlight w:val="none"/>
        </w:rPr>
      </w:pPr>
    </w:p>
    <w:p>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1.9.1  本项目最高投标限价总价为</w:t>
      </w:r>
      <w:r>
        <w:rPr>
          <w:rFonts w:hint="eastAsia" w:ascii="宋体" w:hAnsi="宋体"/>
          <w:color w:val="auto"/>
          <w:sz w:val="24"/>
          <w:highlight w:val="none"/>
          <w:u w:val="single"/>
          <w:lang w:val="en-US" w:eastAsia="zh-CN"/>
        </w:rPr>
        <w:t>102.13</w:t>
      </w:r>
      <w:r>
        <w:rPr>
          <w:rFonts w:hint="eastAsia" w:ascii="宋体" w:hAnsi="宋体"/>
          <w:color w:val="auto"/>
          <w:sz w:val="24"/>
          <w:highlight w:val="none"/>
        </w:rPr>
        <w:t>万元。其中：</w:t>
      </w:r>
    </w:p>
    <w:p>
      <w:pPr>
        <w:spacing w:line="360" w:lineRule="auto"/>
        <w:ind w:left="730" w:leftChars="300" w:hanging="100" w:hangingChars="42"/>
        <w:jc w:val="left"/>
        <w:rPr>
          <w:rFonts w:ascii="宋体" w:hAnsi="宋体"/>
          <w:color w:val="auto"/>
          <w:sz w:val="24"/>
          <w:highlight w:val="none"/>
        </w:rPr>
      </w:pPr>
      <w:r>
        <w:rPr>
          <w:rFonts w:hint="eastAsia" w:ascii="宋体" w:hAnsi="宋体"/>
          <w:color w:val="auto"/>
          <w:sz w:val="24"/>
          <w:highlight w:val="none"/>
        </w:rPr>
        <w:t>（1）工程勘察费：最高投标限价为</w:t>
      </w:r>
      <w:r>
        <w:rPr>
          <w:rFonts w:hint="eastAsia" w:ascii="宋体" w:hAnsi="宋体"/>
          <w:color w:val="auto"/>
          <w:sz w:val="24"/>
          <w:highlight w:val="none"/>
          <w:u w:val="single"/>
          <w:lang w:val="en-US" w:eastAsia="zh-CN"/>
        </w:rPr>
        <w:t>13.13</w:t>
      </w:r>
      <w:r>
        <w:rPr>
          <w:rFonts w:hint="eastAsia" w:ascii="宋体" w:hAnsi="宋体"/>
          <w:color w:val="auto"/>
          <w:sz w:val="24"/>
          <w:highlight w:val="none"/>
        </w:rPr>
        <w:t>万元，</w:t>
      </w:r>
    </w:p>
    <w:p>
      <w:pPr>
        <w:spacing w:line="360" w:lineRule="auto"/>
        <w:ind w:left="730" w:leftChars="300" w:hanging="100" w:hangingChars="42"/>
        <w:jc w:val="left"/>
        <w:rPr>
          <w:rFonts w:ascii="宋体" w:hAnsi="宋体"/>
          <w:color w:val="auto"/>
          <w:sz w:val="24"/>
          <w:highlight w:val="none"/>
        </w:rPr>
      </w:pPr>
      <w:r>
        <w:rPr>
          <w:rFonts w:hint="eastAsia" w:ascii="宋体" w:hAnsi="宋体"/>
          <w:color w:val="auto"/>
          <w:sz w:val="24"/>
          <w:highlight w:val="none"/>
        </w:rPr>
        <w:t>（2）设计费：最高投标限价为</w:t>
      </w:r>
      <w:r>
        <w:rPr>
          <w:rFonts w:hint="eastAsia" w:ascii="宋体" w:hAnsi="宋体"/>
          <w:color w:val="auto"/>
          <w:sz w:val="24"/>
          <w:highlight w:val="none"/>
          <w:u w:val="single"/>
          <w:lang w:val="en-US" w:eastAsia="zh-CN"/>
        </w:rPr>
        <w:t>89</w:t>
      </w:r>
      <w:r>
        <w:rPr>
          <w:rFonts w:hint="eastAsia" w:ascii="宋体" w:hAnsi="宋体"/>
          <w:color w:val="auto"/>
          <w:sz w:val="24"/>
          <w:highlight w:val="none"/>
        </w:rPr>
        <w:t>万元。</w:t>
      </w:r>
    </w:p>
    <w:p>
      <w:pPr>
        <w:spacing w:line="360" w:lineRule="auto"/>
        <w:ind w:left="630" w:leftChars="300" w:firstLine="482" w:firstLineChars="200"/>
        <w:jc w:val="left"/>
        <w:rPr>
          <w:rFonts w:hint="eastAsia" w:ascii="宋体" w:hAnsi="宋体"/>
          <w:b/>
          <w:color w:val="auto"/>
          <w:sz w:val="24"/>
          <w:highlight w:val="none"/>
          <w:u w:val="single"/>
        </w:rPr>
      </w:pPr>
      <w:r>
        <w:rPr>
          <w:rFonts w:hint="eastAsia" w:ascii="宋体" w:hAnsi="宋体"/>
          <w:b/>
          <w:color w:val="auto"/>
          <w:sz w:val="24"/>
          <w:highlight w:val="none"/>
          <w:u w:val="single"/>
          <w:lang w:val="en-US" w:eastAsia="zh-CN"/>
        </w:rPr>
        <w:t>注：1.</w:t>
      </w:r>
      <w:r>
        <w:rPr>
          <w:rFonts w:hint="eastAsia" w:ascii="宋体" w:hAnsi="宋体"/>
          <w:b/>
          <w:color w:val="auto"/>
          <w:sz w:val="24"/>
          <w:highlight w:val="none"/>
          <w:u w:val="single"/>
        </w:rPr>
        <w:t>投标报价不得高于最高投标限价总价、各分项限价及投标单价限价，否则由评标委员作废标处理。</w:t>
      </w:r>
    </w:p>
    <w:p>
      <w:pPr>
        <w:spacing w:line="360" w:lineRule="auto"/>
        <w:ind w:left="630" w:leftChars="300" w:firstLine="482" w:firstLineChars="200"/>
        <w:jc w:val="left"/>
        <w:rPr>
          <w:rFonts w:hint="default" w:ascii="宋体" w:hAnsi="宋体" w:eastAsia="宋体"/>
          <w:b/>
          <w:color w:val="auto"/>
          <w:sz w:val="24"/>
          <w:highlight w:val="none"/>
          <w:u w:val="single"/>
          <w:lang w:val="en-US" w:eastAsia="zh-CN"/>
        </w:rPr>
      </w:pPr>
      <w:r>
        <w:rPr>
          <w:rFonts w:hint="eastAsia" w:ascii="宋体" w:hAnsi="宋体"/>
          <w:b/>
          <w:color w:val="auto"/>
          <w:sz w:val="24"/>
          <w:highlight w:val="none"/>
          <w:u w:val="single"/>
          <w:lang w:val="en-US" w:eastAsia="zh-CN"/>
        </w:rPr>
        <w:t>2.本项目中标费用为暂定勘察设计费，工程建设期间如遇概算调整，则设计费也应做相应调整，最终结算价以有关部门审定的概算价为准。项目实施过程中，中标的工程设计费计算方式和下浮率不作调整。</w:t>
      </w:r>
    </w:p>
    <w:p>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1.9.2  财政投资项目应实行限额设计，初步设计的建设内容和建设标准不得超过可行性研究报告批复的范围，编制初步设计概算原则上</w:t>
      </w:r>
      <w:r>
        <w:rPr>
          <w:rFonts w:ascii="宋体" w:hAnsi="宋体"/>
          <w:color w:val="auto"/>
          <w:sz w:val="24"/>
          <w:highlight w:val="none"/>
        </w:rPr>
        <w:t>应控制在经批准的可行性研究报告中总投资以内</w:t>
      </w:r>
      <w:r>
        <w:rPr>
          <w:rFonts w:hint="eastAsia" w:ascii="宋体" w:hAnsi="宋体"/>
          <w:color w:val="auto"/>
          <w:sz w:val="24"/>
          <w:highlight w:val="none"/>
        </w:rPr>
        <w:t>。</w:t>
      </w:r>
    </w:p>
    <w:p>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1.9.3  未中标单位经济补偿及补偿金额</w:t>
      </w:r>
    </w:p>
    <w:p>
      <w:pPr>
        <w:spacing w:line="360" w:lineRule="auto"/>
        <w:ind w:left="630" w:leftChars="300"/>
        <w:jc w:val="left"/>
        <w:rPr>
          <w:rFonts w:ascii="宋体" w:hAnsi="宋体"/>
          <w:color w:val="auto"/>
          <w:sz w:val="24"/>
          <w:highlight w:val="none"/>
        </w:rPr>
      </w:pPr>
      <w:r>
        <w:rPr>
          <w:rFonts w:hint="eastAsia" w:ascii="宋体" w:hAnsi="宋体"/>
          <w:color w:val="auto"/>
          <w:spacing w:val="7"/>
          <w:kern w:val="0"/>
          <w:sz w:val="24"/>
          <w:highlight w:val="none"/>
          <w:u w:val="single"/>
        </w:rPr>
        <w:t>本工程不设投标补偿，投标费用由投标人自理。</w:t>
      </w:r>
    </w:p>
    <w:p>
      <w:pPr>
        <w:spacing w:line="360" w:lineRule="auto"/>
        <w:ind w:left="821" w:hanging="820" w:hangingChars="342"/>
        <w:jc w:val="left"/>
        <w:rPr>
          <w:rFonts w:ascii="宋体" w:hAnsi="宋体"/>
          <w:color w:val="auto"/>
          <w:sz w:val="24"/>
          <w:highlight w:val="none"/>
        </w:rPr>
      </w:pPr>
    </w:p>
    <w:p>
      <w:pPr>
        <w:spacing w:line="360" w:lineRule="auto"/>
        <w:jc w:val="left"/>
        <w:rPr>
          <w:rFonts w:ascii="宋体" w:hAnsi="宋体"/>
          <w:b/>
          <w:color w:val="auto"/>
          <w:sz w:val="24"/>
          <w:highlight w:val="none"/>
        </w:rPr>
      </w:pPr>
      <w:r>
        <w:rPr>
          <w:rFonts w:hint="eastAsia" w:ascii="宋体" w:hAnsi="宋体"/>
          <w:b/>
          <w:color w:val="auto"/>
          <w:sz w:val="24"/>
          <w:highlight w:val="none"/>
        </w:rPr>
        <w:t>1.10    工期</w:t>
      </w:r>
    </w:p>
    <w:p>
      <w:pPr>
        <w:spacing w:line="360" w:lineRule="auto"/>
        <w:ind w:left="821" w:hanging="820" w:hangingChars="342"/>
        <w:jc w:val="left"/>
        <w:rPr>
          <w:rFonts w:ascii="宋体" w:hAnsi="宋体"/>
          <w:color w:val="auto"/>
          <w:sz w:val="24"/>
          <w:highlight w:val="none"/>
        </w:rPr>
      </w:pPr>
    </w:p>
    <w:p>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1.10.1 设计工期：中标人应在设计合同签订后15日内完成方案修改，方案确定后</w:t>
      </w:r>
      <w:r>
        <w:rPr>
          <w:rFonts w:ascii="宋体" w:hAnsi="宋体"/>
          <w:color w:val="auto"/>
          <w:sz w:val="24"/>
          <w:highlight w:val="none"/>
        </w:rPr>
        <w:t>20</w:t>
      </w:r>
      <w:r>
        <w:rPr>
          <w:rFonts w:hint="eastAsia" w:ascii="宋体" w:hAnsi="宋体"/>
          <w:color w:val="auto"/>
          <w:sz w:val="24"/>
          <w:highlight w:val="none"/>
        </w:rPr>
        <w:t>日内完成初步设计，初步设计评审通过后2</w:t>
      </w:r>
      <w:r>
        <w:rPr>
          <w:rFonts w:ascii="宋体" w:hAnsi="宋体"/>
          <w:color w:val="auto"/>
          <w:sz w:val="24"/>
          <w:highlight w:val="none"/>
        </w:rPr>
        <w:t>0</w:t>
      </w:r>
      <w:r>
        <w:rPr>
          <w:rFonts w:hint="eastAsia" w:ascii="宋体" w:hAnsi="宋体"/>
          <w:color w:val="auto"/>
          <w:sz w:val="24"/>
          <w:highlight w:val="none"/>
        </w:rPr>
        <w:t>日完成施工图设计。如果延误工期，承包人向发包人支付的误期损害赔偿费每天为最终设计合同价格的0.2%；误期损害赔偿费的最高限额为最终设计合同价格的30%。</w:t>
      </w:r>
    </w:p>
    <w:p>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1.10.2勘察工期：合同签订后，承包人收到发包人发出的进场通知起计</w:t>
      </w:r>
      <w:r>
        <w:rPr>
          <w:rFonts w:ascii="宋体" w:hAnsi="宋体"/>
          <w:color w:val="auto"/>
          <w:sz w:val="24"/>
          <w:highlight w:val="none"/>
        </w:rPr>
        <w:t>20</w:t>
      </w:r>
      <w:r>
        <w:rPr>
          <w:rFonts w:hint="eastAsia" w:ascii="宋体" w:hAnsi="宋体"/>
          <w:color w:val="auto"/>
          <w:sz w:val="24"/>
          <w:highlight w:val="none"/>
        </w:rPr>
        <w:t>日内提交勘察成果文件。如果延误工期，承包人向发包人支付的误期损害赔偿费每天为最终勘察合同价格的0.2%；误期损害赔偿费的最高限额为最终勘察合同价格的30%</w:t>
      </w:r>
    </w:p>
    <w:p>
      <w:pPr>
        <w:spacing w:line="360" w:lineRule="auto"/>
        <w:ind w:left="1031" w:hanging="1031" w:hangingChars="428"/>
        <w:jc w:val="left"/>
        <w:rPr>
          <w:rFonts w:ascii="宋体" w:hAnsi="宋体"/>
          <w:b/>
          <w:color w:val="auto"/>
          <w:sz w:val="24"/>
          <w:highlight w:val="none"/>
        </w:rPr>
      </w:pPr>
    </w:p>
    <w:p>
      <w:pPr>
        <w:spacing w:line="360" w:lineRule="auto"/>
        <w:ind w:left="1031" w:hanging="1031" w:hangingChars="428"/>
        <w:jc w:val="left"/>
        <w:rPr>
          <w:rFonts w:ascii="宋体" w:hAnsi="宋体"/>
          <w:b/>
          <w:color w:val="auto"/>
          <w:sz w:val="24"/>
          <w:highlight w:val="none"/>
        </w:rPr>
      </w:pPr>
      <w:r>
        <w:rPr>
          <w:rFonts w:hint="eastAsia" w:ascii="宋体" w:hAnsi="宋体"/>
          <w:b/>
          <w:color w:val="auto"/>
          <w:sz w:val="24"/>
          <w:highlight w:val="none"/>
        </w:rPr>
        <w:t>1.11    其他事项</w:t>
      </w:r>
    </w:p>
    <w:p>
      <w:pPr>
        <w:spacing w:line="360" w:lineRule="auto"/>
        <w:ind w:left="1027" w:hanging="1027" w:hangingChars="428"/>
        <w:jc w:val="left"/>
        <w:rPr>
          <w:rFonts w:ascii="宋体" w:hAnsi="宋体"/>
          <w:color w:val="auto"/>
          <w:sz w:val="24"/>
          <w:highlight w:val="none"/>
        </w:rPr>
      </w:pPr>
    </w:p>
    <w:p>
      <w:pPr>
        <w:spacing w:line="360" w:lineRule="auto"/>
        <w:ind w:left="1027" w:hanging="1027" w:hangingChars="428"/>
        <w:jc w:val="left"/>
        <w:rPr>
          <w:rFonts w:ascii="宋体" w:hAnsi="宋体"/>
          <w:color w:val="auto"/>
          <w:sz w:val="24"/>
          <w:highlight w:val="none"/>
        </w:rPr>
      </w:pPr>
      <w:r>
        <w:rPr>
          <w:rFonts w:hint="eastAsia" w:ascii="宋体" w:hAnsi="宋体"/>
          <w:color w:val="auto"/>
          <w:sz w:val="24"/>
          <w:highlight w:val="none"/>
        </w:rPr>
        <w:t>1.11.</w:t>
      </w:r>
      <w:r>
        <w:rPr>
          <w:rFonts w:ascii="宋体" w:hAnsi="宋体"/>
          <w:color w:val="auto"/>
          <w:sz w:val="24"/>
          <w:highlight w:val="none"/>
        </w:rPr>
        <w:t>1</w:t>
      </w:r>
      <w:r>
        <w:rPr>
          <w:rFonts w:hint="eastAsia" w:ascii="宋体" w:hAnsi="宋体"/>
          <w:color w:val="auto"/>
          <w:sz w:val="24"/>
          <w:highlight w:val="none"/>
        </w:rPr>
        <w:t xml:space="preserve">  招标代理费用由招标人直接支付给招标代理机构，不占用勘察设计费。</w:t>
      </w:r>
    </w:p>
    <w:p>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1.11.</w:t>
      </w:r>
      <w:r>
        <w:rPr>
          <w:rFonts w:ascii="宋体" w:hAnsi="宋体"/>
          <w:color w:val="auto"/>
          <w:sz w:val="24"/>
          <w:highlight w:val="none"/>
        </w:rPr>
        <w:t>2</w:t>
      </w:r>
      <w:r>
        <w:rPr>
          <w:rFonts w:hint="eastAsia" w:ascii="宋体" w:hAnsi="宋体"/>
          <w:color w:val="auto"/>
          <w:sz w:val="24"/>
          <w:highlight w:val="none"/>
        </w:rPr>
        <w:t xml:space="preserve">  </w:t>
      </w:r>
      <w:r>
        <w:rPr>
          <w:rFonts w:hint="eastAsia" w:hAnsi="宋体"/>
          <w:color w:val="auto"/>
          <w:sz w:val="24"/>
          <w:highlight w:val="none"/>
        </w:rPr>
        <w:t>招标项目的电子地形图由招标人到广州市建设大马路10号广州市城市规划勘测设计研究院统一购买后分发给投标人。投标人可通过</w:t>
      </w:r>
      <w:r>
        <w:rPr>
          <w:color w:val="auto"/>
          <w:highlight w:val="none"/>
        </w:rPr>
        <w:fldChar w:fldCharType="begin"/>
      </w:r>
      <w:r>
        <w:rPr>
          <w:color w:val="auto"/>
          <w:highlight w:val="none"/>
        </w:rPr>
        <w:instrText xml:space="preserve"> HYPERLINK "http://maps.google.com" </w:instrText>
      </w:r>
      <w:r>
        <w:rPr>
          <w:color w:val="auto"/>
          <w:highlight w:val="none"/>
        </w:rPr>
        <w:fldChar w:fldCharType="separate"/>
      </w:r>
      <w:r>
        <w:rPr>
          <w:rStyle w:val="13"/>
          <w:rFonts w:hint="eastAsia" w:hAnsi="宋体"/>
          <w:color w:val="auto"/>
          <w:sz w:val="24"/>
          <w:highlight w:val="none"/>
        </w:rPr>
        <w:t>http://maps.google.com</w:t>
      </w:r>
      <w:r>
        <w:rPr>
          <w:rStyle w:val="13"/>
          <w:rFonts w:hint="eastAsia" w:hAnsi="宋体"/>
          <w:color w:val="auto"/>
          <w:sz w:val="24"/>
          <w:highlight w:val="none"/>
        </w:rPr>
        <w:fldChar w:fldCharType="end"/>
      </w:r>
      <w:r>
        <w:rPr>
          <w:rFonts w:hint="eastAsia" w:hAnsi="宋体"/>
          <w:color w:val="auto"/>
          <w:sz w:val="24"/>
          <w:highlight w:val="none"/>
        </w:rPr>
        <w:t>选择satellite（卫星图象）观察本项目的周边环境。</w:t>
      </w:r>
    </w:p>
    <w:p>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1.11.</w:t>
      </w:r>
      <w:r>
        <w:rPr>
          <w:rFonts w:ascii="宋体" w:hAnsi="宋体"/>
          <w:color w:val="auto"/>
          <w:sz w:val="24"/>
          <w:highlight w:val="none"/>
        </w:rPr>
        <w:t>3</w:t>
      </w:r>
      <w:r>
        <w:rPr>
          <w:rFonts w:hint="eastAsia" w:ascii="宋体" w:hAnsi="宋体"/>
          <w:color w:val="auto"/>
          <w:sz w:val="24"/>
          <w:highlight w:val="none"/>
        </w:rPr>
        <w:t xml:space="preserve">  项目的其他情况在设计任务书中详细介绍。本公告为招标文件的组成部分，更详细的信息以招标文件为准。</w:t>
      </w:r>
    </w:p>
    <w:p>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1.11.</w:t>
      </w:r>
      <w:r>
        <w:rPr>
          <w:rFonts w:ascii="宋体" w:hAnsi="宋体"/>
          <w:color w:val="auto"/>
          <w:sz w:val="24"/>
          <w:highlight w:val="none"/>
        </w:rPr>
        <w:t>4</w:t>
      </w:r>
      <w:r>
        <w:rPr>
          <w:rFonts w:hint="eastAsia" w:ascii="宋体" w:hAnsi="宋体"/>
          <w:color w:val="auto"/>
          <w:sz w:val="24"/>
          <w:highlight w:val="none"/>
        </w:rPr>
        <w:t xml:space="preserve"> 投标人</w:t>
      </w:r>
      <w:r>
        <w:rPr>
          <w:rFonts w:ascii="宋体" w:hAnsi="宋体"/>
          <w:color w:val="auto"/>
          <w:sz w:val="24"/>
          <w:highlight w:val="none"/>
        </w:rPr>
        <w:t>可通过交易</w:t>
      </w:r>
      <w:r>
        <w:rPr>
          <w:rFonts w:hint="eastAsia" w:ascii="宋体" w:hAnsi="宋体"/>
          <w:color w:val="auto"/>
          <w:sz w:val="24"/>
          <w:highlight w:val="none"/>
        </w:rPr>
        <w:t>电子招投标操作流程详见广州公共资源交易中心交易平台发布的相关操作指引。</w:t>
      </w:r>
    </w:p>
    <w:p>
      <w:pPr>
        <w:shd w:val="clear" w:color="auto" w:fill="FFFFFF"/>
        <w:adjustRightInd w:val="0"/>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1.11.</w:t>
      </w:r>
      <w:r>
        <w:rPr>
          <w:rFonts w:ascii="宋体" w:hAnsi="宋体"/>
          <w:color w:val="auto"/>
          <w:sz w:val="24"/>
          <w:highlight w:val="none"/>
        </w:rPr>
        <w:t>5</w:t>
      </w:r>
      <w:r>
        <w:rPr>
          <w:rFonts w:hint="eastAsia" w:ascii="宋体" w:hAnsi="宋体"/>
          <w:color w:val="auto"/>
          <w:sz w:val="24"/>
          <w:highlight w:val="none"/>
        </w:rPr>
        <w:t xml:space="preserve"> </w:t>
      </w:r>
      <w:r>
        <w:rPr>
          <w:rFonts w:ascii="宋体" w:hAnsi="宋体"/>
          <w:color w:val="auto"/>
          <w:sz w:val="24"/>
          <w:highlight w:val="none"/>
        </w:rPr>
        <w:t>潜在投标人或利害关系人对本招标公告及招标文件有异议的，向招标人书面提出。</w:t>
      </w:r>
    </w:p>
    <w:p>
      <w:pPr>
        <w:widowControl/>
        <w:shd w:val="clear" w:color="auto" w:fill="FFFFFF"/>
        <w:adjustRightInd w:val="0"/>
        <w:spacing w:line="360" w:lineRule="auto"/>
        <w:ind w:firstLine="720" w:firstLineChars="300"/>
        <w:jc w:val="left"/>
        <w:rPr>
          <w:rFonts w:hint="eastAsia" w:ascii="宋体" w:hAnsi="宋体" w:eastAsia="宋体"/>
          <w:color w:val="auto"/>
          <w:sz w:val="24"/>
          <w:highlight w:val="none"/>
          <w:lang w:eastAsia="zh-CN"/>
        </w:rPr>
      </w:pPr>
      <w:r>
        <w:rPr>
          <w:rFonts w:hint="eastAsia" w:ascii="宋体" w:hAnsi="宋体"/>
          <w:color w:val="auto"/>
          <w:sz w:val="24"/>
          <w:highlight w:val="none"/>
        </w:rPr>
        <w:t>异议受理部门：</w:t>
      </w:r>
      <w:r>
        <w:rPr>
          <w:rFonts w:hint="eastAsia" w:ascii="宋体" w:hAnsi="宋体"/>
          <w:color w:val="auto"/>
          <w:sz w:val="24"/>
          <w:highlight w:val="none"/>
          <w:u w:val="single"/>
          <w:lang w:eastAsia="zh-CN"/>
        </w:rPr>
        <w:t>广东广建项目管理有限公司</w:t>
      </w:r>
    </w:p>
    <w:p>
      <w:pPr>
        <w:widowControl/>
        <w:shd w:val="clear" w:color="auto" w:fill="FFFFFF"/>
        <w:adjustRightInd w:val="0"/>
        <w:spacing w:line="360" w:lineRule="auto"/>
        <w:ind w:firstLine="720" w:firstLineChars="300"/>
        <w:jc w:val="left"/>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丘工</w:t>
      </w:r>
    </w:p>
    <w:p>
      <w:pPr>
        <w:widowControl/>
        <w:shd w:val="clear" w:color="auto" w:fill="FFFFFF"/>
        <w:adjustRightInd w:val="0"/>
        <w:spacing w:line="360" w:lineRule="auto"/>
        <w:ind w:firstLine="720" w:firstLineChars="300"/>
        <w:jc w:val="left"/>
        <w:rPr>
          <w:rFonts w:ascii="宋体" w:hAnsi="宋体"/>
          <w:color w:val="auto"/>
          <w:sz w:val="24"/>
          <w:highlight w:val="none"/>
          <w:u w:val="single"/>
        </w:rPr>
      </w:pPr>
      <w:r>
        <w:rPr>
          <w:rFonts w:hint="eastAsia" w:ascii="宋体" w:hAnsi="宋体"/>
          <w:color w:val="auto"/>
          <w:sz w:val="24"/>
          <w:highlight w:val="none"/>
        </w:rPr>
        <w:t>电话：</w:t>
      </w:r>
      <w:r>
        <w:rPr>
          <w:rFonts w:hint="eastAsia" w:ascii="宋体" w:hAnsi="宋体"/>
          <w:b w:val="0"/>
          <w:bCs w:val="0"/>
          <w:color w:val="auto"/>
          <w:sz w:val="24"/>
          <w:highlight w:val="none"/>
          <w:u w:val="single"/>
        </w:rPr>
        <w:t>020-83335512-854</w:t>
      </w:r>
    </w:p>
    <w:p>
      <w:pPr>
        <w:widowControl/>
        <w:shd w:val="clear" w:color="auto" w:fill="FFFFFF"/>
        <w:adjustRightInd w:val="0"/>
        <w:spacing w:line="360" w:lineRule="auto"/>
        <w:ind w:firstLine="720" w:firstLineChars="300"/>
        <w:jc w:val="left"/>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广州市越秀区广卫路1号广仁大厦自编1302、1303、1304室</w:t>
      </w:r>
    </w:p>
    <w:p>
      <w:pPr>
        <w:pStyle w:val="4"/>
        <w:spacing w:line="360" w:lineRule="auto"/>
        <w:ind w:left="720" w:hanging="720" w:hangingChars="300"/>
        <w:rPr>
          <w:color w:val="auto"/>
          <w:sz w:val="24"/>
          <w:highlight w:val="none"/>
        </w:rPr>
      </w:pPr>
      <w:r>
        <w:rPr>
          <w:rFonts w:hint="eastAsia" w:ascii="宋体" w:hAnsi="宋体"/>
          <w:color w:val="auto"/>
          <w:sz w:val="24"/>
          <w:highlight w:val="none"/>
        </w:rPr>
        <w:t>1.11.</w:t>
      </w:r>
      <w:r>
        <w:rPr>
          <w:rFonts w:ascii="宋体" w:hAnsi="宋体"/>
          <w:color w:val="auto"/>
          <w:sz w:val="24"/>
          <w:highlight w:val="none"/>
        </w:rPr>
        <w:t>6</w:t>
      </w:r>
      <w:r>
        <w:rPr>
          <w:rFonts w:hint="eastAsia" w:ascii="宋体" w:hAnsi="宋体"/>
          <w:color w:val="auto"/>
          <w:sz w:val="24"/>
          <w:highlight w:val="none"/>
        </w:rPr>
        <w:t xml:space="preserve"> </w:t>
      </w:r>
      <w:r>
        <w:rPr>
          <w:rFonts w:ascii="宋体" w:hAnsi="宋体"/>
          <w:color w:val="auto"/>
          <w:sz w:val="24"/>
          <w:highlight w:val="none"/>
        </w:rPr>
        <w:t>本公告在</w:t>
      </w:r>
      <w:r>
        <w:rPr>
          <w:rFonts w:hint="eastAsia" w:ascii="宋体" w:hAnsi="宋体"/>
          <w:color w:val="auto"/>
          <w:sz w:val="24"/>
          <w:highlight w:val="none"/>
          <w:u w:val="single"/>
        </w:rPr>
        <w:t>广州公共资源交易中心</w:t>
      </w:r>
      <w:r>
        <w:rPr>
          <w:rFonts w:hint="eastAsia" w:ascii="宋体" w:hAnsi="宋体"/>
          <w:color w:val="auto"/>
          <w:sz w:val="24"/>
          <w:highlight w:val="none"/>
        </w:rPr>
        <w:t>交易平台网站</w:t>
      </w:r>
      <w:r>
        <w:rPr>
          <w:rFonts w:ascii="宋体" w:hAnsi="宋体"/>
          <w:color w:val="auto"/>
          <w:sz w:val="24"/>
          <w:highlight w:val="none"/>
        </w:rPr>
        <w:t>（网址：</w:t>
      </w:r>
      <w:r>
        <w:rPr>
          <w:rFonts w:hint="eastAsia" w:ascii="宋体" w:hAnsi="宋体" w:cs="宋体"/>
          <w:color w:val="auto"/>
          <w:sz w:val="24"/>
          <w:highlight w:val="none"/>
        </w:rPr>
        <w:t>http://www.gzggzy.cn</w:t>
      </w:r>
      <w:r>
        <w:rPr>
          <w:rFonts w:ascii="宋体" w:hAnsi="宋体"/>
          <w:color w:val="auto"/>
          <w:sz w:val="24"/>
          <w:highlight w:val="none"/>
        </w:rPr>
        <w:t>）、广东省招标投标监管网（网址：</w:t>
      </w:r>
      <w:r>
        <w:rPr>
          <w:rFonts w:hint="eastAsia" w:ascii="宋体" w:hAnsi="宋体"/>
          <w:color w:val="auto"/>
          <w:sz w:val="24"/>
          <w:highlight w:val="none"/>
        </w:rPr>
        <w:t>http://zbtb.gd.gov.cn/</w:t>
      </w:r>
      <w:r>
        <w:rPr>
          <w:rFonts w:ascii="宋体" w:hAnsi="宋体"/>
          <w:color w:val="auto"/>
          <w:sz w:val="24"/>
          <w:highlight w:val="none"/>
        </w:rPr>
        <w:t>）和中国招标投标公共服务平台（网址：http://www.cebpubservice.com/）发布，本公告的修改、补充，在</w:t>
      </w:r>
      <w:r>
        <w:rPr>
          <w:rFonts w:hint="eastAsia" w:ascii="宋体" w:hAnsi="宋体"/>
          <w:color w:val="auto"/>
          <w:sz w:val="24"/>
          <w:highlight w:val="none"/>
        </w:rPr>
        <w:t>广州公共资源交易中心交易平台网站</w:t>
      </w:r>
      <w:r>
        <w:rPr>
          <w:rFonts w:ascii="宋体" w:hAnsi="宋体"/>
          <w:color w:val="auto"/>
          <w:sz w:val="24"/>
          <w:highlight w:val="none"/>
        </w:rPr>
        <w:t>发布。</w:t>
      </w:r>
    </w:p>
    <w:p>
      <w:pPr>
        <w:spacing w:line="360" w:lineRule="auto"/>
        <w:ind w:left="821" w:hanging="820" w:hangingChars="342"/>
        <w:jc w:val="left"/>
        <w:rPr>
          <w:rFonts w:ascii="宋体" w:hAnsi="宋体"/>
          <w:strike/>
          <w:color w:val="auto"/>
          <w:sz w:val="24"/>
          <w:highlight w:val="none"/>
        </w:rPr>
      </w:pPr>
      <w:r>
        <w:rPr>
          <w:rFonts w:hint="eastAsia" w:ascii="宋体" w:hAnsi="宋体"/>
          <w:strike/>
          <w:color w:val="auto"/>
          <w:sz w:val="24"/>
          <w:highlight w:val="none"/>
        </w:rPr>
        <w:t>1.11.</w:t>
      </w:r>
      <w:r>
        <w:rPr>
          <w:rFonts w:ascii="宋体" w:hAnsi="宋体"/>
          <w:strike/>
          <w:color w:val="auto"/>
          <w:sz w:val="24"/>
          <w:highlight w:val="none"/>
        </w:rPr>
        <w:t>7</w:t>
      </w:r>
      <w:r>
        <w:rPr>
          <w:rFonts w:hint="eastAsia" w:ascii="宋体" w:hAnsi="宋体"/>
          <w:strike/>
          <w:color w:val="auto"/>
          <w:sz w:val="24"/>
          <w:highlight w:val="none"/>
        </w:rPr>
        <w:t xml:space="preserve"> 《投诉处理决定书》和《行政处理决定书》在广州市住房和城乡建设局网站上公布的，视为送达其他与决定书有关的当事人。</w:t>
      </w:r>
    </w:p>
    <w:p>
      <w:pPr>
        <w:spacing w:line="360" w:lineRule="auto"/>
        <w:ind w:left="708" w:hanging="708" w:hangingChars="295"/>
        <w:jc w:val="left"/>
        <w:rPr>
          <w:rFonts w:ascii="宋体" w:hAnsi="宋体"/>
          <w:color w:val="auto"/>
          <w:sz w:val="24"/>
          <w:highlight w:val="none"/>
        </w:rPr>
      </w:pPr>
      <w:r>
        <w:rPr>
          <w:rFonts w:hint="eastAsia" w:ascii="宋体" w:hAnsi="宋体"/>
          <w:color w:val="auto"/>
          <w:sz w:val="24"/>
          <w:highlight w:val="none"/>
        </w:rPr>
        <w:t>1.11.</w:t>
      </w:r>
      <w:r>
        <w:rPr>
          <w:rFonts w:ascii="宋体" w:hAnsi="宋体"/>
          <w:color w:val="auto"/>
          <w:sz w:val="24"/>
          <w:highlight w:val="none"/>
        </w:rPr>
        <w:t>8</w:t>
      </w:r>
      <w:r>
        <w:rPr>
          <w:rFonts w:hint="eastAsia" w:ascii="宋体" w:hAnsi="宋体"/>
          <w:color w:val="auto"/>
          <w:sz w:val="24"/>
          <w:highlight w:val="none"/>
        </w:rPr>
        <w:t xml:space="preserve"> 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360" w:lineRule="auto"/>
        <w:ind w:left="1275" w:leftChars="270" w:hanging="708" w:hangingChars="295"/>
        <w:jc w:val="left"/>
        <w:rPr>
          <w:rFonts w:ascii="宋体" w:hAnsi="宋体"/>
          <w:color w:val="auto"/>
          <w:sz w:val="24"/>
          <w:highlight w:val="none"/>
          <w:lang w:val="zh-CN"/>
        </w:rPr>
      </w:pPr>
      <w:r>
        <w:rPr>
          <w:rFonts w:hint="eastAsia" w:ascii="宋体" w:hAnsi="宋体"/>
          <w:color w:val="auto"/>
          <w:sz w:val="24"/>
          <w:highlight w:val="none"/>
          <w:lang w:val="zh-CN"/>
        </w:rPr>
        <w:t>（</w:t>
      </w:r>
      <w:r>
        <w:rPr>
          <w:rFonts w:hint="eastAsia" w:ascii="宋体" w:hAnsi="宋体"/>
          <w:color w:val="auto"/>
          <w:sz w:val="24"/>
          <w:highlight w:val="none"/>
        </w:rPr>
        <w:t>1</w:t>
      </w:r>
      <w:r>
        <w:rPr>
          <w:rFonts w:hint="eastAsia" w:ascii="宋体" w:hAnsi="宋体"/>
          <w:color w:val="auto"/>
          <w:sz w:val="24"/>
          <w:highlight w:val="none"/>
          <w:lang w:val="zh-CN"/>
        </w:rPr>
        <w:t>）将中标工程转包或者违法分包的;</w:t>
      </w:r>
    </w:p>
    <w:p>
      <w:pPr>
        <w:spacing w:line="360" w:lineRule="auto"/>
        <w:ind w:left="1275" w:leftChars="270" w:hanging="708" w:hangingChars="295"/>
        <w:jc w:val="left"/>
        <w:rPr>
          <w:rFonts w:ascii="宋体" w:hAnsi="宋体"/>
          <w:color w:val="auto"/>
          <w:sz w:val="24"/>
          <w:highlight w:val="none"/>
          <w:lang w:val="zh-CN"/>
        </w:rPr>
      </w:pPr>
      <w:r>
        <w:rPr>
          <w:rFonts w:hint="eastAsia" w:ascii="宋体" w:hAnsi="宋体"/>
          <w:color w:val="auto"/>
          <w:sz w:val="24"/>
          <w:highlight w:val="none"/>
          <w:lang w:val="zh-CN"/>
        </w:rPr>
        <w:t>（</w:t>
      </w:r>
      <w:r>
        <w:rPr>
          <w:rFonts w:ascii="宋体" w:hAnsi="宋体"/>
          <w:color w:val="auto"/>
          <w:sz w:val="24"/>
          <w:highlight w:val="none"/>
        </w:rPr>
        <w:t>2</w:t>
      </w:r>
      <w:r>
        <w:rPr>
          <w:rFonts w:hint="eastAsia" w:ascii="宋体" w:hAnsi="宋体"/>
          <w:color w:val="auto"/>
          <w:sz w:val="24"/>
          <w:highlight w:val="none"/>
          <w:lang w:val="zh-CN"/>
        </w:rPr>
        <w:t>）存在串通投标情形的;</w:t>
      </w:r>
    </w:p>
    <w:p>
      <w:pPr>
        <w:spacing w:line="360" w:lineRule="auto"/>
        <w:ind w:left="1275" w:leftChars="270" w:hanging="708" w:hangingChars="295"/>
        <w:jc w:val="left"/>
        <w:rPr>
          <w:rFonts w:ascii="宋体" w:hAnsi="宋体"/>
          <w:color w:val="auto"/>
          <w:sz w:val="24"/>
          <w:highlight w:val="none"/>
        </w:rPr>
      </w:pPr>
      <w:r>
        <w:rPr>
          <w:rFonts w:hint="eastAsia" w:ascii="宋体" w:hAnsi="宋体"/>
          <w:color w:val="auto"/>
          <w:sz w:val="24"/>
          <w:highlight w:val="none"/>
          <w:lang w:val="zh-CN"/>
        </w:rPr>
        <w:t>（</w:t>
      </w:r>
      <w:r>
        <w:rPr>
          <w:rFonts w:ascii="宋体" w:hAnsi="宋体"/>
          <w:color w:val="auto"/>
          <w:sz w:val="24"/>
          <w:highlight w:val="none"/>
        </w:rPr>
        <w:t>3</w:t>
      </w:r>
      <w:r>
        <w:rPr>
          <w:rFonts w:hint="eastAsia" w:ascii="宋体" w:hAnsi="宋体"/>
          <w:color w:val="auto"/>
          <w:sz w:val="24"/>
          <w:highlight w:val="none"/>
          <w:lang w:val="zh-CN"/>
        </w:rPr>
        <w:t>）存在弄虚作假骗取中标情形的;</w:t>
      </w:r>
    </w:p>
    <w:p>
      <w:pPr>
        <w:spacing w:line="360" w:lineRule="auto"/>
        <w:ind w:left="1275" w:leftChars="270" w:hanging="708" w:hangingChars="295"/>
        <w:jc w:val="left"/>
        <w:rPr>
          <w:color w:val="auto"/>
          <w:sz w:val="24"/>
          <w:highlight w:val="none"/>
        </w:rPr>
      </w:pPr>
      <w:r>
        <w:rPr>
          <w:rFonts w:hint="eastAsia" w:ascii="宋体" w:hAnsi="宋体"/>
          <w:color w:val="auto"/>
          <w:sz w:val="24"/>
          <w:highlight w:val="none"/>
          <w:lang w:val="zh-CN"/>
        </w:rPr>
        <w:t>（</w:t>
      </w:r>
      <w:r>
        <w:rPr>
          <w:rFonts w:ascii="宋体" w:hAnsi="宋体"/>
          <w:color w:val="auto"/>
          <w:sz w:val="24"/>
          <w:highlight w:val="none"/>
        </w:rPr>
        <w:t>4</w:t>
      </w:r>
      <w:r>
        <w:rPr>
          <w:rFonts w:hint="eastAsia" w:ascii="宋体" w:hAnsi="宋体"/>
          <w:color w:val="auto"/>
          <w:sz w:val="24"/>
          <w:highlight w:val="none"/>
          <w:lang w:val="zh-CN"/>
        </w:rPr>
        <w:t>）其他（有则添加，无则删除）。</w:t>
      </w:r>
    </w:p>
    <w:p>
      <w:pPr>
        <w:spacing w:line="360" w:lineRule="auto"/>
        <w:ind w:left="708" w:hanging="708" w:hangingChars="295"/>
        <w:jc w:val="left"/>
        <w:rPr>
          <w:rFonts w:hint="default" w:ascii="宋体" w:hAnsi="宋体" w:eastAsia="宋体"/>
          <w:b w:val="0"/>
          <w:color w:val="auto"/>
          <w:sz w:val="24"/>
          <w:highlight w:val="none"/>
          <w:u w:val="single"/>
          <w:lang w:val="en-US" w:eastAsia="zh-CN"/>
        </w:rPr>
      </w:pPr>
      <w:r>
        <w:rPr>
          <w:rFonts w:hint="eastAsia" w:ascii="宋体" w:hAnsi="宋体"/>
          <w:b w:val="0"/>
          <w:color w:val="auto"/>
          <w:sz w:val="24"/>
          <w:highlight w:val="none"/>
          <w:u w:val="single"/>
          <w:lang w:val="en-US" w:eastAsia="zh-CN"/>
        </w:rPr>
        <w:t>1.11.9本项目建设单位为广州市越秀区人民政府东山街道办事处，本项目确定中标单位后，由建设单位、招标人（代建单位）和中标单位签订三方合同。</w:t>
      </w:r>
    </w:p>
    <w:p>
      <w:pPr>
        <w:spacing w:line="360" w:lineRule="auto"/>
        <w:jc w:val="left"/>
        <w:rPr>
          <w:rFonts w:hint="eastAsia" w:ascii="宋体" w:hAnsi="宋体"/>
          <w:b/>
          <w:color w:val="auto"/>
          <w:sz w:val="24"/>
          <w:highlight w:val="none"/>
        </w:rPr>
      </w:pPr>
    </w:p>
    <w:p>
      <w:pPr>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1.12   </w:t>
      </w:r>
      <w:r>
        <w:rPr>
          <w:rFonts w:hint="eastAsia" w:ascii="宋体" w:hAnsi="宋体"/>
          <w:b/>
          <w:bCs/>
          <w:color w:val="auto"/>
          <w:sz w:val="24"/>
          <w:highlight w:val="none"/>
        </w:rPr>
        <w:t>招标人</w:t>
      </w:r>
    </w:p>
    <w:p>
      <w:pPr>
        <w:spacing w:line="360" w:lineRule="auto"/>
        <w:jc w:val="left"/>
        <w:rPr>
          <w:rFonts w:ascii="宋体" w:hAnsi="宋体"/>
          <w:b/>
          <w:color w:val="auto"/>
          <w:sz w:val="24"/>
          <w:highlight w:val="none"/>
        </w:rPr>
      </w:pP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1.12.1 名称：</w:t>
      </w:r>
      <w:r>
        <w:rPr>
          <w:rFonts w:hint="eastAsia" w:ascii="宋体" w:hAnsi="宋体"/>
          <w:color w:val="auto"/>
          <w:sz w:val="24"/>
          <w:highlight w:val="none"/>
          <w:u w:val="single"/>
          <w:lang w:eastAsia="zh-CN"/>
        </w:rPr>
        <w:t>广东广建项目管理有限公司</w:t>
      </w:r>
    </w:p>
    <w:p>
      <w:pPr>
        <w:spacing w:line="360" w:lineRule="auto"/>
        <w:rPr>
          <w:rFonts w:ascii="宋体" w:hAnsi="宋体"/>
          <w:color w:val="auto"/>
          <w:sz w:val="24"/>
          <w:highlight w:val="none"/>
        </w:rPr>
      </w:pPr>
      <w:r>
        <w:rPr>
          <w:rFonts w:hint="eastAsia" w:ascii="宋体" w:hAnsi="宋体"/>
          <w:color w:val="auto"/>
          <w:sz w:val="24"/>
          <w:highlight w:val="none"/>
        </w:rPr>
        <w:t>1.12.2 邮政编码、地址：</w:t>
      </w:r>
      <w:r>
        <w:rPr>
          <w:rFonts w:hint="eastAsia" w:ascii="宋体" w:hAnsi="宋体"/>
          <w:color w:val="auto"/>
          <w:sz w:val="24"/>
          <w:highlight w:val="none"/>
          <w:u w:val="single"/>
          <w:lang w:val="en-US" w:eastAsia="zh-CN"/>
        </w:rPr>
        <w:t>510000、</w:t>
      </w:r>
      <w:r>
        <w:rPr>
          <w:rFonts w:hint="eastAsia" w:ascii="宋体" w:hAnsi="宋体"/>
          <w:color w:val="auto"/>
          <w:sz w:val="24"/>
          <w:highlight w:val="none"/>
          <w:u w:val="single"/>
        </w:rPr>
        <w:t>广州市越秀区广卫路1号广仁大厦自编1302、1303、1304室</w:t>
      </w:r>
    </w:p>
    <w:p>
      <w:pPr>
        <w:spacing w:line="360" w:lineRule="auto"/>
        <w:jc w:val="left"/>
        <w:rPr>
          <w:rFonts w:ascii="宋体" w:hAnsi="宋体"/>
          <w:color w:val="auto"/>
          <w:sz w:val="24"/>
          <w:highlight w:val="none"/>
        </w:rPr>
      </w:pPr>
      <w:r>
        <w:rPr>
          <w:rFonts w:hint="eastAsia" w:ascii="宋体" w:hAnsi="宋体"/>
          <w:color w:val="auto"/>
          <w:sz w:val="24"/>
          <w:highlight w:val="none"/>
        </w:rPr>
        <w:t>1.12.3 电话（手机）号码：</w:t>
      </w:r>
      <w:r>
        <w:rPr>
          <w:rFonts w:hint="eastAsia" w:ascii="宋体" w:hAnsi="宋体"/>
          <w:color w:val="auto"/>
          <w:sz w:val="24"/>
          <w:highlight w:val="none"/>
          <w:u w:val="single"/>
        </w:rPr>
        <w:t>020-83335512-854</w:t>
      </w:r>
      <w:bookmarkStart w:id="1" w:name="_GoBack"/>
      <w:bookmarkEnd w:id="1"/>
    </w:p>
    <w:p>
      <w:pPr>
        <w:spacing w:line="360" w:lineRule="auto"/>
        <w:jc w:val="left"/>
        <w:rPr>
          <w:rFonts w:ascii="宋体" w:hAnsi="宋体"/>
          <w:color w:val="auto"/>
          <w:sz w:val="24"/>
          <w:highlight w:val="none"/>
        </w:rPr>
      </w:pPr>
      <w:r>
        <w:rPr>
          <w:rFonts w:hint="eastAsia" w:ascii="宋体" w:hAnsi="宋体"/>
          <w:color w:val="auto"/>
          <w:sz w:val="24"/>
          <w:highlight w:val="none"/>
        </w:rPr>
        <w:t>1.12.4 传真号码：</w:t>
      </w:r>
      <w:r>
        <w:rPr>
          <w:rFonts w:hint="eastAsia" w:ascii="宋体" w:hAnsi="宋体"/>
          <w:color w:val="auto"/>
          <w:sz w:val="24"/>
          <w:highlight w:val="none"/>
          <w:u w:val="single"/>
        </w:rPr>
        <w:t>/</w:t>
      </w:r>
    </w:p>
    <w:p>
      <w:pPr>
        <w:spacing w:line="360" w:lineRule="auto"/>
        <w:rPr>
          <w:rFonts w:ascii="宋体" w:hAnsi="宋体"/>
          <w:color w:val="auto"/>
          <w:sz w:val="24"/>
          <w:highlight w:val="none"/>
          <w:u w:val="single"/>
        </w:rPr>
      </w:pPr>
      <w:r>
        <w:rPr>
          <w:rFonts w:hint="eastAsia" w:ascii="宋体" w:hAnsi="宋体"/>
          <w:color w:val="auto"/>
          <w:sz w:val="24"/>
          <w:highlight w:val="none"/>
        </w:rPr>
        <w:t>1.12.5 电子邮箱：</w:t>
      </w:r>
      <w:r>
        <w:rPr>
          <w:rFonts w:hint="eastAsia" w:ascii="宋体" w:hAnsi="宋体"/>
          <w:color w:val="auto"/>
          <w:sz w:val="24"/>
          <w:highlight w:val="none"/>
          <w:u w:val="single"/>
        </w:rPr>
        <w:t>/</w:t>
      </w:r>
    </w:p>
    <w:p>
      <w:pPr>
        <w:spacing w:line="360" w:lineRule="auto"/>
        <w:jc w:val="left"/>
        <w:rPr>
          <w:rFonts w:ascii="宋体" w:hAnsi="宋体"/>
          <w:b/>
          <w:color w:val="auto"/>
          <w:sz w:val="24"/>
          <w:highlight w:val="none"/>
        </w:rPr>
      </w:pPr>
    </w:p>
    <w:p>
      <w:pPr>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1.13   </w:t>
      </w:r>
      <w:r>
        <w:rPr>
          <w:rFonts w:hint="eastAsia" w:ascii="宋体" w:hAnsi="宋体"/>
          <w:b/>
          <w:bCs/>
          <w:color w:val="auto"/>
          <w:sz w:val="24"/>
          <w:highlight w:val="none"/>
        </w:rPr>
        <w:t>招标代理机构</w:t>
      </w:r>
    </w:p>
    <w:p>
      <w:pPr>
        <w:spacing w:line="360" w:lineRule="auto"/>
        <w:jc w:val="left"/>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1.13.1 名称：</w:t>
      </w:r>
      <w:r>
        <w:rPr>
          <w:rFonts w:hint="eastAsia" w:ascii="宋体" w:hAnsi="宋体"/>
          <w:color w:val="auto"/>
          <w:sz w:val="24"/>
          <w:highlight w:val="none"/>
          <w:u w:val="single"/>
        </w:rPr>
        <w:t>广州市广州工程建设监理有限公司</w:t>
      </w:r>
    </w:p>
    <w:p>
      <w:pPr>
        <w:spacing w:line="360" w:lineRule="auto"/>
        <w:rPr>
          <w:rFonts w:ascii="宋体" w:hAnsi="宋体"/>
          <w:color w:val="auto"/>
          <w:sz w:val="24"/>
          <w:highlight w:val="none"/>
        </w:rPr>
      </w:pPr>
      <w:r>
        <w:rPr>
          <w:rFonts w:hint="eastAsia" w:ascii="宋体" w:hAnsi="宋体"/>
          <w:color w:val="auto"/>
          <w:sz w:val="24"/>
          <w:highlight w:val="none"/>
        </w:rPr>
        <w:t>1.13.2 邮政编码、地址：</w:t>
      </w:r>
      <w:r>
        <w:rPr>
          <w:rFonts w:hint="eastAsia" w:ascii="宋体" w:hAnsi="宋体"/>
          <w:color w:val="auto"/>
          <w:sz w:val="24"/>
          <w:highlight w:val="none"/>
          <w:u w:val="single"/>
        </w:rPr>
        <w:t>510000、广州市白云区白云大道南685号（阁屏商务大厦）8楼808室</w:t>
      </w:r>
    </w:p>
    <w:p>
      <w:pPr>
        <w:spacing w:line="360" w:lineRule="auto"/>
        <w:jc w:val="left"/>
        <w:rPr>
          <w:rFonts w:ascii="宋体" w:hAnsi="宋体"/>
          <w:color w:val="auto"/>
          <w:sz w:val="24"/>
          <w:highlight w:val="none"/>
        </w:rPr>
      </w:pPr>
      <w:r>
        <w:rPr>
          <w:rFonts w:hint="eastAsia" w:ascii="宋体" w:hAnsi="宋体"/>
          <w:color w:val="auto"/>
          <w:sz w:val="24"/>
          <w:highlight w:val="none"/>
        </w:rPr>
        <w:t>1.13.3 电话（手机）号码：</w:t>
      </w:r>
      <w:r>
        <w:rPr>
          <w:rFonts w:hint="eastAsia" w:ascii="宋体" w:hAnsi="宋体"/>
          <w:color w:val="auto"/>
          <w:sz w:val="24"/>
          <w:highlight w:val="none"/>
          <w:u w:val="single"/>
        </w:rPr>
        <w:t>020-37608020</w:t>
      </w:r>
    </w:p>
    <w:p>
      <w:pPr>
        <w:spacing w:line="360" w:lineRule="auto"/>
        <w:jc w:val="left"/>
        <w:rPr>
          <w:rFonts w:ascii="宋体" w:hAnsi="宋体"/>
          <w:color w:val="auto"/>
          <w:sz w:val="24"/>
          <w:highlight w:val="none"/>
        </w:rPr>
      </w:pPr>
      <w:r>
        <w:rPr>
          <w:rFonts w:hint="eastAsia" w:ascii="宋体" w:hAnsi="宋体"/>
          <w:color w:val="auto"/>
          <w:sz w:val="24"/>
          <w:highlight w:val="none"/>
        </w:rPr>
        <w:t>1.13.4 传真号码：</w:t>
      </w:r>
      <w:r>
        <w:rPr>
          <w:rFonts w:hint="eastAsia" w:ascii="宋体" w:hAnsi="宋体"/>
          <w:color w:val="auto"/>
          <w:sz w:val="24"/>
          <w:highlight w:val="none"/>
          <w:u w:val="single"/>
        </w:rPr>
        <w:t>020-37604619</w:t>
      </w:r>
    </w:p>
    <w:p>
      <w:pPr>
        <w:spacing w:line="360" w:lineRule="auto"/>
        <w:rPr>
          <w:rFonts w:ascii="宋体" w:hAnsi="宋体"/>
          <w:color w:val="auto"/>
          <w:sz w:val="24"/>
          <w:highlight w:val="none"/>
        </w:rPr>
      </w:pPr>
      <w:r>
        <w:rPr>
          <w:rFonts w:hint="eastAsia" w:ascii="宋体" w:hAnsi="宋体"/>
          <w:color w:val="auto"/>
          <w:sz w:val="24"/>
          <w:highlight w:val="none"/>
        </w:rPr>
        <w:t>1.13.5</w:t>
      </w:r>
      <w:r>
        <w:rPr>
          <w:rFonts w:hint="eastAsia" w:ascii="宋体" w:hAnsi="宋体" w:cs="宋体"/>
          <w:color w:val="auto"/>
          <w:sz w:val="24"/>
          <w:highlight w:val="none"/>
        </w:rPr>
        <w:t>电子</w:t>
      </w:r>
      <w:r>
        <w:rPr>
          <w:rFonts w:hint="eastAsia" w:ascii="宋体" w:hAnsi="宋体"/>
          <w:color w:val="auto"/>
          <w:sz w:val="24"/>
          <w:highlight w:val="none"/>
        </w:rPr>
        <w:t>邮</w:t>
      </w:r>
      <w:r>
        <w:rPr>
          <w:rFonts w:hint="eastAsia" w:ascii="宋体" w:hAnsi="宋体" w:cs="宋体"/>
          <w:color w:val="auto"/>
          <w:sz w:val="24"/>
          <w:highlight w:val="none"/>
        </w:rPr>
        <w:t>箱</w:t>
      </w:r>
      <w:r>
        <w:rPr>
          <w:rFonts w:hint="eastAsia" w:ascii="宋体" w:hAnsi="宋体"/>
          <w:color w:val="auto"/>
          <w:sz w:val="24"/>
          <w:highlight w:val="none"/>
        </w:rPr>
        <w:t>：</w:t>
      </w:r>
      <w:r>
        <w:rPr>
          <w:rFonts w:hint="eastAsia" w:ascii="宋体" w:hAnsi="宋体"/>
          <w:color w:val="auto"/>
          <w:sz w:val="24"/>
          <w:highlight w:val="none"/>
          <w:u w:val="single"/>
        </w:rPr>
        <w:t>gzjlzb@126.com</w:t>
      </w:r>
    </w:p>
    <w:p>
      <w:pPr>
        <w:spacing w:line="360" w:lineRule="auto"/>
        <w:jc w:val="left"/>
        <w:rPr>
          <w:rFonts w:ascii="宋体" w:hAnsi="宋体"/>
          <w:b/>
          <w:color w:val="auto"/>
          <w:sz w:val="24"/>
          <w:highlight w:val="none"/>
        </w:rPr>
      </w:pPr>
    </w:p>
    <w:p>
      <w:pPr>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1.14   </w:t>
      </w:r>
      <w:r>
        <w:rPr>
          <w:rFonts w:hint="eastAsia" w:ascii="宋体" w:hAnsi="宋体"/>
          <w:b/>
          <w:bCs/>
          <w:color w:val="auto"/>
          <w:sz w:val="24"/>
          <w:highlight w:val="none"/>
        </w:rPr>
        <w:t>交易服务机构</w:t>
      </w:r>
    </w:p>
    <w:p>
      <w:pPr>
        <w:spacing w:line="360" w:lineRule="auto"/>
        <w:jc w:val="left"/>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1.14.1 名称：</w:t>
      </w:r>
      <w:r>
        <w:rPr>
          <w:rFonts w:hint="eastAsia" w:ascii="宋体" w:hAnsi="宋体"/>
          <w:color w:val="auto"/>
          <w:sz w:val="24"/>
          <w:highlight w:val="none"/>
          <w:u w:val="single"/>
        </w:rPr>
        <w:t>广州公共资源交易中心</w:t>
      </w:r>
    </w:p>
    <w:p>
      <w:pPr>
        <w:spacing w:line="360" w:lineRule="auto"/>
        <w:rPr>
          <w:rFonts w:ascii="宋体" w:hAnsi="宋体"/>
          <w:color w:val="auto"/>
          <w:sz w:val="24"/>
          <w:highlight w:val="none"/>
        </w:rPr>
      </w:pPr>
      <w:r>
        <w:rPr>
          <w:rFonts w:hint="eastAsia" w:ascii="宋体" w:hAnsi="宋体"/>
          <w:color w:val="auto"/>
          <w:sz w:val="24"/>
          <w:highlight w:val="none"/>
        </w:rPr>
        <w:t>1.14.2 邮政编码、地址：</w:t>
      </w:r>
      <w:r>
        <w:rPr>
          <w:rFonts w:ascii="宋体" w:hAnsi="宋体"/>
          <w:color w:val="auto"/>
          <w:sz w:val="24"/>
          <w:highlight w:val="none"/>
          <w:u w:val="single"/>
        </w:rPr>
        <w:t>510635</w:t>
      </w:r>
      <w:r>
        <w:rPr>
          <w:rFonts w:hint="eastAsia" w:ascii="宋体" w:hAnsi="宋体"/>
          <w:color w:val="auto"/>
          <w:sz w:val="24"/>
          <w:highlight w:val="none"/>
          <w:u w:val="single"/>
        </w:rPr>
        <w:t xml:space="preserve">   广州市天河区天润路333号4楼</w:t>
      </w:r>
    </w:p>
    <w:p>
      <w:pPr>
        <w:spacing w:line="360" w:lineRule="auto"/>
        <w:jc w:val="left"/>
        <w:rPr>
          <w:rFonts w:ascii="宋体" w:hAnsi="宋体"/>
          <w:color w:val="auto"/>
          <w:sz w:val="24"/>
          <w:highlight w:val="none"/>
        </w:rPr>
      </w:pPr>
      <w:r>
        <w:rPr>
          <w:rFonts w:hint="eastAsia" w:ascii="宋体" w:hAnsi="宋体"/>
          <w:color w:val="auto"/>
          <w:sz w:val="24"/>
          <w:highlight w:val="none"/>
        </w:rPr>
        <w:t>1.14.3 电话（手机）号码：</w:t>
      </w:r>
      <w:r>
        <w:rPr>
          <w:rFonts w:hint="eastAsia" w:ascii="宋体" w:hAnsi="宋体"/>
          <w:color w:val="auto"/>
          <w:sz w:val="24"/>
          <w:highlight w:val="none"/>
          <w:u w:val="single"/>
        </w:rPr>
        <w:t>020-</w:t>
      </w:r>
      <w:r>
        <w:rPr>
          <w:rFonts w:hint="eastAsia" w:ascii="宋体" w:hAnsi="宋体"/>
          <w:bCs/>
          <w:color w:val="auto"/>
          <w:sz w:val="24"/>
          <w:highlight w:val="none"/>
          <w:u w:val="single"/>
        </w:rPr>
        <w:t>28866076</w:t>
      </w:r>
    </w:p>
    <w:p>
      <w:pPr>
        <w:spacing w:line="360" w:lineRule="auto"/>
        <w:jc w:val="left"/>
        <w:rPr>
          <w:rFonts w:ascii="宋体" w:hAnsi="宋体"/>
          <w:color w:val="auto"/>
          <w:sz w:val="24"/>
          <w:highlight w:val="none"/>
        </w:rPr>
      </w:pPr>
      <w:r>
        <w:rPr>
          <w:rFonts w:hint="eastAsia" w:ascii="宋体" w:hAnsi="宋体"/>
          <w:color w:val="auto"/>
          <w:sz w:val="24"/>
          <w:highlight w:val="none"/>
        </w:rPr>
        <w:t>1.14.4 传真号码：</w:t>
      </w:r>
      <w:r>
        <w:rPr>
          <w:rFonts w:hint="eastAsia" w:ascii="宋体" w:hAnsi="宋体"/>
          <w:color w:val="auto"/>
          <w:sz w:val="24"/>
          <w:highlight w:val="none"/>
          <w:u w:val="single"/>
        </w:rPr>
        <w:t>020-28866141</w:t>
      </w:r>
    </w:p>
    <w:p>
      <w:pPr>
        <w:spacing w:line="360" w:lineRule="auto"/>
        <w:rPr>
          <w:rFonts w:ascii="宋体" w:hAnsi="宋体"/>
          <w:color w:val="auto"/>
          <w:sz w:val="24"/>
          <w:highlight w:val="none"/>
        </w:rPr>
      </w:pPr>
      <w:r>
        <w:rPr>
          <w:rFonts w:hint="eastAsia" w:ascii="宋体" w:hAnsi="宋体"/>
          <w:color w:val="auto"/>
          <w:sz w:val="24"/>
          <w:highlight w:val="none"/>
        </w:rPr>
        <w:t>1.14.5 网址：</w:t>
      </w:r>
      <w:r>
        <w:rPr>
          <w:color w:val="auto"/>
          <w:highlight w:val="none"/>
        </w:rPr>
        <w:fldChar w:fldCharType="begin"/>
      </w:r>
      <w:r>
        <w:rPr>
          <w:color w:val="auto"/>
          <w:highlight w:val="none"/>
        </w:rPr>
        <w:instrText xml:space="preserve"> HYPERLINK "http://www.gzzb.gd.cn" </w:instrText>
      </w:r>
      <w:r>
        <w:rPr>
          <w:color w:val="auto"/>
          <w:highlight w:val="none"/>
        </w:rPr>
        <w:fldChar w:fldCharType="separate"/>
      </w:r>
      <w:r>
        <w:rPr>
          <w:color w:val="auto"/>
          <w:highlight w:val="none"/>
        </w:rPr>
        <w:fldChar w:fldCharType="end"/>
      </w:r>
      <w:r>
        <w:rPr>
          <w:rFonts w:ascii="宋体" w:hAnsi="宋体"/>
          <w:color w:val="auto"/>
          <w:sz w:val="24"/>
          <w:highlight w:val="none"/>
          <w:u w:val="single"/>
        </w:rPr>
        <w:t>http://www.gzggzy.cn</w:t>
      </w:r>
    </w:p>
    <w:p>
      <w:pPr>
        <w:spacing w:line="360" w:lineRule="auto"/>
        <w:jc w:val="left"/>
        <w:rPr>
          <w:rFonts w:ascii="宋体" w:hAnsi="宋体"/>
          <w:color w:val="auto"/>
          <w:sz w:val="24"/>
          <w:highlight w:val="none"/>
        </w:rPr>
      </w:pPr>
    </w:p>
    <w:p>
      <w:pPr>
        <w:spacing w:line="360" w:lineRule="auto"/>
        <w:jc w:val="left"/>
        <w:rPr>
          <w:rFonts w:ascii="宋体" w:hAnsi="宋体"/>
          <w:b/>
          <w:bCs/>
          <w:color w:val="auto"/>
          <w:sz w:val="24"/>
          <w:highlight w:val="none"/>
        </w:rPr>
      </w:pPr>
      <w:r>
        <w:rPr>
          <w:rFonts w:hint="eastAsia" w:ascii="宋体" w:hAnsi="宋体"/>
          <w:b/>
          <w:bCs/>
          <w:color w:val="auto"/>
          <w:sz w:val="24"/>
          <w:highlight w:val="none"/>
        </w:rPr>
        <w:t>1.15   招标管理机构</w:t>
      </w:r>
    </w:p>
    <w:p>
      <w:pPr>
        <w:spacing w:line="360" w:lineRule="auto"/>
        <w:jc w:val="left"/>
        <w:rPr>
          <w:rFonts w:ascii="宋体" w:hAnsi="宋体"/>
          <w:b/>
          <w:bCs/>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1.15.1 名称：</w:t>
      </w:r>
      <w:r>
        <w:rPr>
          <w:rFonts w:hint="eastAsia" w:ascii="宋体" w:hAnsi="宋体"/>
          <w:color w:val="auto"/>
          <w:sz w:val="24"/>
          <w:highlight w:val="none"/>
          <w:u w:val="single"/>
        </w:rPr>
        <w:t xml:space="preserve">广州市越秀区建设工程招投标管理中心 </w:t>
      </w:r>
      <w:r>
        <w:rPr>
          <w:rFonts w:hint="eastAsia" w:ascii="宋体" w:hAnsi="宋体"/>
          <w:color w:val="auto"/>
          <w:sz w:val="24"/>
          <w:highlight w:val="none"/>
        </w:rPr>
        <w:t xml:space="preserve">                          </w:t>
      </w:r>
    </w:p>
    <w:p>
      <w:pPr>
        <w:spacing w:line="360" w:lineRule="auto"/>
        <w:jc w:val="left"/>
        <w:rPr>
          <w:rFonts w:ascii="宋体" w:hAnsi="宋体"/>
          <w:color w:val="auto"/>
          <w:sz w:val="24"/>
          <w:highlight w:val="none"/>
        </w:rPr>
      </w:pPr>
      <w:r>
        <w:rPr>
          <w:rFonts w:hint="eastAsia" w:ascii="宋体" w:hAnsi="宋体"/>
          <w:color w:val="auto"/>
          <w:sz w:val="24"/>
          <w:highlight w:val="none"/>
        </w:rPr>
        <w:t>1.15.2 邮政编码、地址：</w:t>
      </w:r>
      <w:r>
        <w:rPr>
          <w:rFonts w:ascii="宋体" w:hAnsi="宋体"/>
          <w:color w:val="auto"/>
          <w:sz w:val="24"/>
          <w:highlight w:val="none"/>
          <w:u w:val="single"/>
        </w:rPr>
        <w:t>510</w:t>
      </w:r>
      <w:r>
        <w:rPr>
          <w:rFonts w:hint="eastAsia" w:ascii="宋体" w:hAnsi="宋体"/>
          <w:color w:val="auto"/>
          <w:sz w:val="24"/>
          <w:highlight w:val="none"/>
          <w:u w:val="single"/>
        </w:rPr>
        <w:t>000</w:t>
      </w:r>
      <w:r>
        <w:rPr>
          <w:rFonts w:ascii="宋体" w:hAnsi="宋体"/>
          <w:color w:val="auto"/>
          <w:sz w:val="24"/>
          <w:highlight w:val="none"/>
          <w:u w:val="single"/>
        </w:rPr>
        <w:t xml:space="preserve"> </w:t>
      </w:r>
      <w:r>
        <w:rPr>
          <w:rFonts w:hint="eastAsia" w:ascii="宋体" w:hAnsi="宋体"/>
          <w:color w:val="auto"/>
          <w:sz w:val="24"/>
          <w:highlight w:val="none"/>
          <w:u w:val="single"/>
        </w:rPr>
        <w:t>广州市越秀区东华东路353号锦桦荟336室</w:t>
      </w:r>
      <w:r>
        <w:rPr>
          <w:rFonts w:hint="eastAsia" w:ascii="宋体" w:hAnsi="宋体"/>
          <w:color w:val="auto"/>
          <w:sz w:val="24"/>
          <w:highlight w:val="none"/>
        </w:rPr>
        <w:t xml:space="preserve">              </w:t>
      </w:r>
    </w:p>
    <w:p>
      <w:pPr>
        <w:spacing w:line="360" w:lineRule="auto"/>
        <w:jc w:val="left"/>
        <w:rPr>
          <w:rFonts w:ascii="宋体" w:hAnsi="宋体"/>
          <w:color w:val="auto"/>
          <w:sz w:val="24"/>
          <w:highlight w:val="none"/>
        </w:rPr>
      </w:pPr>
      <w:r>
        <w:rPr>
          <w:rFonts w:hint="eastAsia" w:ascii="宋体" w:hAnsi="宋体"/>
          <w:color w:val="auto"/>
          <w:sz w:val="24"/>
          <w:highlight w:val="none"/>
        </w:rPr>
        <w:t>1.15.3 电话号码：</w:t>
      </w:r>
      <w:r>
        <w:rPr>
          <w:rFonts w:ascii="宋体" w:hAnsi="宋体"/>
          <w:color w:val="auto"/>
          <w:sz w:val="24"/>
          <w:highlight w:val="none"/>
          <w:u w:val="single"/>
        </w:rPr>
        <w:t>020-</w:t>
      </w:r>
      <w:r>
        <w:rPr>
          <w:rFonts w:hint="eastAsia" w:ascii="宋体" w:hAnsi="宋体"/>
          <w:color w:val="auto"/>
          <w:sz w:val="24"/>
          <w:highlight w:val="none"/>
          <w:u w:val="single"/>
        </w:rPr>
        <w:t xml:space="preserve">37668902 </w:t>
      </w:r>
    </w:p>
    <w:p>
      <w:pPr>
        <w:rPr>
          <w:color w:val="auto"/>
          <w:highlight w:val="none"/>
        </w:rPr>
      </w:pPr>
      <w:r>
        <w:rPr>
          <w:rFonts w:hint="eastAsia" w:ascii="宋体" w:hAnsi="宋体"/>
          <w:color w:val="auto"/>
          <w:sz w:val="24"/>
          <w:highlight w:val="none"/>
        </w:rPr>
        <w:t>1.15.4 传真号码：</w:t>
      </w:r>
      <w:r>
        <w:rPr>
          <w:rFonts w:hint="eastAsia" w:ascii="宋体" w:hAnsi="宋体"/>
          <w:color w:val="auto"/>
          <w:sz w:val="24"/>
          <w:highlight w:val="none"/>
          <w:u w:val="single"/>
        </w:rPr>
        <w:t xml:space="preserve"> / </w:t>
      </w:r>
      <w:r>
        <w:rPr>
          <w:rFonts w:hint="eastAsia" w:ascii="宋体" w:hAnsi="宋体"/>
          <w:color w:val="auto"/>
          <w:sz w:val="24"/>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MDZhMTk0NjA0ZGQ3YmRjYWE4YmIzOWQ3ZTg3MzIifQ=="/>
    <w:docVar w:name="KSO_WPS_MARK_KEY" w:val="ddc7f138-5ae1-4308-aac4-a44a2b441cb3"/>
  </w:docVars>
  <w:rsids>
    <w:rsidRoot w:val="008A1806"/>
    <w:rsid w:val="00000071"/>
    <w:rsid w:val="00005452"/>
    <w:rsid w:val="00010824"/>
    <w:rsid w:val="00010ACB"/>
    <w:rsid w:val="0001430A"/>
    <w:rsid w:val="00021EEC"/>
    <w:rsid w:val="0002720B"/>
    <w:rsid w:val="0003065A"/>
    <w:rsid w:val="00030D47"/>
    <w:rsid w:val="00033B38"/>
    <w:rsid w:val="00035B8E"/>
    <w:rsid w:val="000368D8"/>
    <w:rsid w:val="000433AF"/>
    <w:rsid w:val="000468BE"/>
    <w:rsid w:val="0005372B"/>
    <w:rsid w:val="00054077"/>
    <w:rsid w:val="00056092"/>
    <w:rsid w:val="000571BE"/>
    <w:rsid w:val="00065C19"/>
    <w:rsid w:val="0006708F"/>
    <w:rsid w:val="00067D7C"/>
    <w:rsid w:val="000709E2"/>
    <w:rsid w:val="00071D68"/>
    <w:rsid w:val="00075C68"/>
    <w:rsid w:val="00076A55"/>
    <w:rsid w:val="00077623"/>
    <w:rsid w:val="0008153A"/>
    <w:rsid w:val="00083447"/>
    <w:rsid w:val="00086FEF"/>
    <w:rsid w:val="00087086"/>
    <w:rsid w:val="00087C57"/>
    <w:rsid w:val="00091A4F"/>
    <w:rsid w:val="000A0BB9"/>
    <w:rsid w:val="000A179E"/>
    <w:rsid w:val="000A28AD"/>
    <w:rsid w:val="000A362F"/>
    <w:rsid w:val="000A3D49"/>
    <w:rsid w:val="000A4504"/>
    <w:rsid w:val="000A5309"/>
    <w:rsid w:val="000A6116"/>
    <w:rsid w:val="000B1C4D"/>
    <w:rsid w:val="000B3296"/>
    <w:rsid w:val="000B44EA"/>
    <w:rsid w:val="000B45AE"/>
    <w:rsid w:val="000C1EF2"/>
    <w:rsid w:val="000C3126"/>
    <w:rsid w:val="000D0D10"/>
    <w:rsid w:val="000D1354"/>
    <w:rsid w:val="000D4B8E"/>
    <w:rsid w:val="000D6B47"/>
    <w:rsid w:val="000D6C3C"/>
    <w:rsid w:val="000E07C1"/>
    <w:rsid w:val="000E1A07"/>
    <w:rsid w:val="000E4990"/>
    <w:rsid w:val="000E6885"/>
    <w:rsid w:val="000E6D57"/>
    <w:rsid w:val="000F0406"/>
    <w:rsid w:val="000F2A3D"/>
    <w:rsid w:val="000F35DF"/>
    <w:rsid w:val="000F55D5"/>
    <w:rsid w:val="000F5BD1"/>
    <w:rsid w:val="00100DEC"/>
    <w:rsid w:val="00101A05"/>
    <w:rsid w:val="0010441C"/>
    <w:rsid w:val="00105D88"/>
    <w:rsid w:val="00105DAB"/>
    <w:rsid w:val="00105EB4"/>
    <w:rsid w:val="001122D8"/>
    <w:rsid w:val="00121FF2"/>
    <w:rsid w:val="0012356E"/>
    <w:rsid w:val="001252E8"/>
    <w:rsid w:val="00125CF4"/>
    <w:rsid w:val="00127AA1"/>
    <w:rsid w:val="00133E39"/>
    <w:rsid w:val="0013446D"/>
    <w:rsid w:val="00135EF4"/>
    <w:rsid w:val="001361EF"/>
    <w:rsid w:val="00137B69"/>
    <w:rsid w:val="00137FB9"/>
    <w:rsid w:val="001436BB"/>
    <w:rsid w:val="00145812"/>
    <w:rsid w:val="00153541"/>
    <w:rsid w:val="001554EE"/>
    <w:rsid w:val="00163427"/>
    <w:rsid w:val="00163C2A"/>
    <w:rsid w:val="00163C37"/>
    <w:rsid w:val="0016412A"/>
    <w:rsid w:val="001662D4"/>
    <w:rsid w:val="00167159"/>
    <w:rsid w:val="00167C1E"/>
    <w:rsid w:val="00172E9D"/>
    <w:rsid w:val="0017475C"/>
    <w:rsid w:val="001762F9"/>
    <w:rsid w:val="001778E6"/>
    <w:rsid w:val="0018165E"/>
    <w:rsid w:val="0018699D"/>
    <w:rsid w:val="00187E43"/>
    <w:rsid w:val="00187EDE"/>
    <w:rsid w:val="001900E3"/>
    <w:rsid w:val="001A0EFE"/>
    <w:rsid w:val="001A1EAE"/>
    <w:rsid w:val="001A3159"/>
    <w:rsid w:val="001A3633"/>
    <w:rsid w:val="001A5B95"/>
    <w:rsid w:val="001A6397"/>
    <w:rsid w:val="001A64B0"/>
    <w:rsid w:val="001B03C8"/>
    <w:rsid w:val="001B44BD"/>
    <w:rsid w:val="001B7D43"/>
    <w:rsid w:val="001C2F22"/>
    <w:rsid w:val="001D07A8"/>
    <w:rsid w:val="001D0D06"/>
    <w:rsid w:val="001D7DF8"/>
    <w:rsid w:val="001F1CF9"/>
    <w:rsid w:val="001F2F07"/>
    <w:rsid w:val="001F30F4"/>
    <w:rsid w:val="001F3D92"/>
    <w:rsid w:val="001F7881"/>
    <w:rsid w:val="00202004"/>
    <w:rsid w:val="00204375"/>
    <w:rsid w:val="00204AAB"/>
    <w:rsid w:val="00205125"/>
    <w:rsid w:val="002073D9"/>
    <w:rsid w:val="00211414"/>
    <w:rsid w:val="0021171E"/>
    <w:rsid w:val="002119EC"/>
    <w:rsid w:val="002137BE"/>
    <w:rsid w:val="00214834"/>
    <w:rsid w:val="002162DB"/>
    <w:rsid w:val="00223BFC"/>
    <w:rsid w:val="00231A0D"/>
    <w:rsid w:val="002339F6"/>
    <w:rsid w:val="00235AF0"/>
    <w:rsid w:val="002371A0"/>
    <w:rsid w:val="00242DA7"/>
    <w:rsid w:val="00255748"/>
    <w:rsid w:val="00255931"/>
    <w:rsid w:val="00262576"/>
    <w:rsid w:val="0026510A"/>
    <w:rsid w:val="00270F3B"/>
    <w:rsid w:val="002740A3"/>
    <w:rsid w:val="002744AD"/>
    <w:rsid w:val="00274FEE"/>
    <w:rsid w:val="00275353"/>
    <w:rsid w:val="00277CEC"/>
    <w:rsid w:val="00287ED5"/>
    <w:rsid w:val="002921B8"/>
    <w:rsid w:val="00294246"/>
    <w:rsid w:val="002974ED"/>
    <w:rsid w:val="0029799B"/>
    <w:rsid w:val="002A2EBC"/>
    <w:rsid w:val="002B10C3"/>
    <w:rsid w:val="002B5F40"/>
    <w:rsid w:val="002B6F71"/>
    <w:rsid w:val="002C12A8"/>
    <w:rsid w:val="002C58E4"/>
    <w:rsid w:val="002C6B29"/>
    <w:rsid w:val="002C75A9"/>
    <w:rsid w:val="002D2A8B"/>
    <w:rsid w:val="002D3310"/>
    <w:rsid w:val="002D3E3F"/>
    <w:rsid w:val="002D5349"/>
    <w:rsid w:val="002E1E69"/>
    <w:rsid w:val="002E3777"/>
    <w:rsid w:val="002E4AF9"/>
    <w:rsid w:val="002E7093"/>
    <w:rsid w:val="002F592E"/>
    <w:rsid w:val="002F6C8F"/>
    <w:rsid w:val="002F7B59"/>
    <w:rsid w:val="00300CA4"/>
    <w:rsid w:val="003034A7"/>
    <w:rsid w:val="003036A7"/>
    <w:rsid w:val="00310ADD"/>
    <w:rsid w:val="00312F7C"/>
    <w:rsid w:val="003138E1"/>
    <w:rsid w:val="00314115"/>
    <w:rsid w:val="00316168"/>
    <w:rsid w:val="003166B5"/>
    <w:rsid w:val="0031764B"/>
    <w:rsid w:val="0031798E"/>
    <w:rsid w:val="003206C4"/>
    <w:rsid w:val="003207E8"/>
    <w:rsid w:val="003218B0"/>
    <w:rsid w:val="00321D5D"/>
    <w:rsid w:val="00321FA5"/>
    <w:rsid w:val="00322134"/>
    <w:rsid w:val="00322C49"/>
    <w:rsid w:val="003254EF"/>
    <w:rsid w:val="003263ED"/>
    <w:rsid w:val="00327DD9"/>
    <w:rsid w:val="00334841"/>
    <w:rsid w:val="0033749D"/>
    <w:rsid w:val="003429E0"/>
    <w:rsid w:val="0034348F"/>
    <w:rsid w:val="00344455"/>
    <w:rsid w:val="00344604"/>
    <w:rsid w:val="0034641A"/>
    <w:rsid w:val="003465D1"/>
    <w:rsid w:val="0035041F"/>
    <w:rsid w:val="0035199D"/>
    <w:rsid w:val="00351B42"/>
    <w:rsid w:val="00354920"/>
    <w:rsid w:val="00355C00"/>
    <w:rsid w:val="00355D37"/>
    <w:rsid w:val="00355F01"/>
    <w:rsid w:val="00362863"/>
    <w:rsid w:val="0036323D"/>
    <w:rsid w:val="00363967"/>
    <w:rsid w:val="00363E9F"/>
    <w:rsid w:val="00364651"/>
    <w:rsid w:val="00370E1D"/>
    <w:rsid w:val="00372333"/>
    <w:rsid w:val="00374D15"/>
    <w:rsid w:val="0037616D"/>
    <w:rsid w:val="00376D5E"/>
    <w:rsid w:val="00382C69"/>
    <w:rsid w:val="00383587"/>
    <w:rsid w:val="00392A99"/>
    <w:rsid w:val="00395D2D"/>
    <w:rsid w:val="0039725F"/>
    <w:rsid w:val="00397D80"/>
    <w:rsid w:val="003A0676"/>
    <w:rsid w:val="003A2761"/>
    <w:rsid w:val="003A40A1"/>
    <w:rsid w:val="003A5F2B"/>
    <w:rsid w:val="003B2AE7"/>
    <w:rsid w:val="003C12BB"/>
    <w:rsid w:val="003C76A4"/>
    <w:rsid w:val="003D2FFE"/>
    <w:rsid w:val="003D6EEE"/>
    <w:rsid w:val="003E1CE7"/>
    <w:rsid w:val="003E340F"/>
    <w:rsid w:val="003E3D3F"/>
    <w:rsid w:val="003E7A91"/>
    <w:rsid w:val="003F3ADC"/>
    <w:rsid w:val="004002DC"/>
    <w:rsid w:val="00401B7B"/>
    <w:rsid w:val="004050A4"/>
    <w:rsid w:val="00405974"/>
    <w:rsid w:val="00406713"/>
    <w:rsid w:val="0041012B"/>
    <w:rsid w:val="004110C9"/>
    <w:rsid w:val="004122BA"/>
    <w:rsid w:val="00414B6F"/>
    <w:rsid w:val="00414CAF"/>
    <w:rsid w:val="00416BF9"/>
    <w:rsid w:val="00421B27"/>
    <w:rsid w:val="004269BE"/>
    <w:rsid w:val="00431640"/>
    <w:rsid w:val="004331C6"/>
    <w:rsid w:val="0043401F"/>
    <w:rsid w:val="00434C18"/>
    <w:rsid w:val="004357CB"/>
    <w:rsid w:val="00440B8E"/>
    <w:rsid w:val="00444274"/>
    <w:rsid w:val="0044541A"/>
    <w:rsid w:val="004470D8"/>
    <w:rsid w:val="004472F1"/>
    <w:rsid w:val="0044746D"/>
    <w:rsid w:val="00447503"/>
    <w:rsid w:val="0045230A"/>
    <w:rsid w:val="0045589A"/>
    <w:rsid w:val="00456056"/>
    <w:rsid w:val="00460C02"/>
    <w:rsid w:val="00461587"/>
    <w:rsid w:val="0046388A"/>
    <w:rsid w:val="004640E7"/>
    <w:rsid w:val="00464759"/>
    <w:rsid w:val="00466608"/>
    <w:rsid w:val="00466EB2"/>
    <w:rsid w:val="00473070"/>
    <w:rsid w:val="004739AF"/>
    <w:rsid w:val="004756C1"/>
    <w:rsid w:val="00480383"/>
    <w:rsid w:val="004817A0"/>
    <w:rsid w:val="0048245E"/>
    <w:rsid w:val="0048295F"/>
    <w:rsid w:val="00483EB8"/>
    <w:rsid w:val="0048573D"/>
    <w:rsid w:val="00486A3D"/>
    <w:rsid w:val="0049064A"/>
    <w:rsid w:val="0049071A"/>
    <w:rsid w:val="0049214F"/>
    <w:rsid w:val="004958F8"/>
    <w:rsid w:val="00496BAB"/>
    <w:rsid w:val="00497764"/>
    <w:rsid w:val="00497806"/>
    <w:rsid w:val="004A054A"/>
    <w:rsid w:val="004A3BBF"/>
    <w:rsid w:val="004A40CB"/>
    <w:rsid w:val="004A46E0"/>
    <w:rsid w:val="004A4886"/>
    <w:rsid w:val="004A55E3"/>
    <w:rsid w:val="004A7EA9"/>
    <w:rsid w:val="004B0DF7"/>
    <w:rsid w:val="004B2D11"/>
    <w:rsid w:val="004B420B"/>
    <w:rsid w:val="004B6A89"/>
    <w:rsid w:val="004C083D"/>
    <w:rsid w:val="004C0B08"/>
    <w:rsid w:val="004C13CB"/>
    <w:rsid w:val="004C22AA"/>
    <w:rsid w:val="004C39B1"/>
    <w:rsid w:val="004C565C"/>
    <w:rsid w:val="004D3AF3"/>
    <w:rsid w:val="004D60A9"/>
    <w:rsid w:val="004D78F7"/>
    <w:rsid w:val="004D7CF1"/>
    <w:rsid w:val="004E126A"/>
    <w:rsid w:val="004E671F"/>
    <w:rsid w:val="004F075E"/>
    <w:rsid w:val="004F0826"/>
    <w:rsid w:val="004F248F"/>
    <w:rsid w:val="004F323E"/>
    <w:rsid w:val="004F7626"/>
    <w:rsid w:val="00505787"/>
    <w:rsid w:val="00506FE9"/>
    <w:rsid w:val="00511F8A"/>
    <w:rsid w:val="00524A7A"/>
    <w:rsid w:val="0053292F"/>
    <w:rsid w:val="00536F1F"/>
    <w:rsid w:val="00536FDC"/>
    <w:rsid w:val="00543C0B"/>
    <w:rsid w:val="00545CB0"/>
    <w:rsid w:val="0054672A"/>
    <w:rsid w:val="00547C2C"/>
    <w:rsid w:val="00547DA7"/>
    <w:rsid w:val="005517C4"/>
    <w:rsid w:val="005558FD"/>
    <w:rsid w:val="00557D30"/>
    <w:rsid w:val="00561484"/>
    <w:rsid w:val="00565419"/>
    <w:rsid w:val="00566E5A"/>
    <w:rsid w:val="0056736A"/>
    <w:rsid w:val="005674FB"/>
    <w:rsid w:val="00570B4A"/>
    <w:rsid w:val="00570CDE"/>
    <w:rsid w:val="00573115"/>
    <w:rsid w:val="00574AA8"/>
    <w:rsid w:val="00577809"/>
    <w:rsid w:val="00581364"/>
    <w:rsid w:val="005817A0"/>
    <w:rsid w:val="0058389C"/>
    <w:rsid w:val="00585324"/>
    <w:rsid w:val="00586603"/>
    <w:rsid w:val="00586D03"/>
    <w:rsid w:val="0058747C"/>
    <w:rsid w:val="00590DBD"/>
    <w:rsid w:val="005915C2"/>
    <w:rsid w:val="00591F0E"/>
    <w:rsid w:val="00592EAB"/>
    <w:rsid w:val="0059567D"/>
    <w:rsid w:val="00596F5E"/>
    <w:rsid w:val="005A4751"/>
    <w:rsid w:val="005A6DA7"/>
    <w:rsid w:val="005A70E2"/>
    <w:rsid w:val="005B17DC"/>
    <w:rsid w:val="005B72A8"/>
    <w:rsid w:val="005C55ED"/>
    <w:rsid w:val="005C5A82"/>
    <w:rsid w:val="005C5C73"/>
    <w:rsid w:val="005C6214"/>
    <w:rsid w:val="005C757C"/>
    <w:rsid w:val="005D0C1F"/>
    <w:rsid w:val="005D5C96"/>
    <w:rsid w:val="005D6198"/>
    <w:rsid w:val="005D7217"/>
    <w:rsid w:val="005E1C58"/>
    <w:rsid w:val="005E4F4C"/>
    <w:rsid w:val="005E5CA3"/>
    <w:rsid w:val="005E6F7B"/>
    <w:rsid w:val="005F345A"/>
    <w:rsid w:val="005F54D1"/>
    <w:rsid w:val="005F5DB5"/>
    <w:rsid w:val="005F60DA"/>
    <w:rsid w:val="0060171A"/>
    <w:rsid w:val="00601DEB"/>
    <w:rsid w:val="006022E8"/>
    <w:rsid w:val="0060490E"/>
    <w:rsid w:val="00604AEC"/>
    <w:rsid w:val="0060724C"/>
    <w:rsid w:val="006116ED"/>
    <w:rsid w:val="00612F5F"/>
    <w:rsid w:val="00616D5D"/>
    <w:rsid w:val="006172B0"/>
    <w:rsid w:val="0061778E"/>
    <w:rsid w:val="00620DB3"/>
    <w:rsid w:val="00621C2D"/>
    <w:rsid w:val="006307D9"/>
    <w:rsid w:val="00630B33"/>
    <w:rsid w:val="00633BD9"/>
    <w:rsid w:val="00640119"/>
    <w:rsid w:val="00642293"/>
    <w:rsid w:val="00646439"/>
    <w:rsid w:val="00646B58"/>
    <w:rsid w:val="00656552"/>
    <w:rsid w:val="006567CB"/>
    <w:rsid w:val="00664CE7"/>
    <w:rsid w:val="00665B65"/>
    <w:rsid w:val="006662FC"/>
    <w:rsid w:val="00666C43"/>
    <w:rsid w:val="00666C4B"/>
    <w:rsid w:val="00670A03"/>
    <w:rsid w:val="006816FF"/>
    <w:rsid w:val="00681B23"/>
    <w:rsid w:val="00686763"/>
    <w:rsid w:val="00687840"/>
    <w:rsid w:val="00690925"/>
    <w:rsid w:val="006909DC"/>
    <w:rsid w:val="00693EEC"/>
    <w:rsid w:val="00695517"/>
    <w:rsid w:val="006A0BBC"/>
    <w:rsid w:val="006A31D9"/>
    <w:rsid w:val="006A6067"/>
    <w:rsid w:val="006A7644"/>
    <w:rsid w:val="006A7AC2"/>
    <w:rsid w:val="006A7B4B"/>
    <w:rsid w:val="006B1264"/>
    <w:rsid w:val="006B221B"/>
    <w:rsid w:val="006B29DD"/>
    <w:rsid w:val="006B7CC6"/>
    <w:rsid w:val="006C46E2"/>
    <w:rsid w:val="006C5B6E"/>
    <w:rsid w:val="006C7CA3"/>
    <w:rsid w:val="006D1B4E"/>
    <w:rsid w:val="006D3248"/>
    <w:rsid w:val="006D7374"/>
    <w:rsid w:val="006E03E9"/>
    <w:rsid w:val="006E16F3"/>
    <w:rsid w:val="006E1F94"/>
    <w:rsid w:val="006E367E"/>
    <w:rsid w:val="006E3741"/>
    <w:rsid w:val="006E4F24"/>
    <w:rsid w:val="006E737A"/>
    <w:rsid w:val="006E76E5"/>
    <w:rsid w:val="006E7A73"/>
    <w:rsid w:val="006E7C6B"/>
    <w:rsid w:val="006F1EE1"/>
    <w:rsid w:val="006F30B9"/>
    <w:rsid w:val="006F7A1F"/>
    <w:rsid w:val="007010C1"/>
    <w:rsid w:val="00702C01"/>
    <w:rsid w:val="00702F7D"/>
    <w:rsid w:val="00702FA0"/>
    <w:rsid w:val="007032AB"/>
    <w:rsid w:val="00703B06"/>
    <w:rsid w:val="0070426B"/>
    <w:rsid w:val="00704EE1"/>
    <w:rsid w:val="007052D7"/>
    <w:rsid w:val="007056E6"/>
    <w:rsid w:val="00705D59"/>
    <w:rsid w:val="00706A21"/>
    <w:rsid w:val="00711C0D"/>
    <w:rsid w:val="00712700"/>
    <w:rsid w:val="007134BB"/>
    <w:rsid w:val="007152E6"/>
    <w:rsid w:val="007175C5"/>
    <w:rsid w:val="00717C08"/>
    <w:rsid w:val="00724FD1"/>
    <w:rsid w:val="0072736B"/>
    <w:rsid w:val="007316F8"/>
    <w:rsid w:val="0073265B"/>
    <w:rsid w:val="00733C18"/>
    <w:rsid w:val="00734848"/>
    <w:rsid w:val="007378B8"/>
    <w:rsid w:val="00741ABE"/>
    <w:rsid w:val="007424D3"/>
    <w:rsid w:val="00742EC4"/>
    <w:rsid w:val="00752620"/>
    <w:rsid w:val="007529D0"/>
    <w:rsid w:val="00757E56"/>
    <w:rsid w:val="00761EC1"/>
    <w:rsid w:val="00766878"/>
    <w:rsid w:val="00770DAF"/>
    <w:rsid w:val="007713C3"/>
    <w:rsid w:val="00771E42"/>
    <w:rsid w:val="00772092"/>
    <w:rsid w:val="00773447"/>
    <w:rsid w:val="00777EEB"/>
    <w:rsid w:val="0078197B"/>
    <w:rsid w:val="00781D42"/>
    <w:rsid w:val="00782508"/>
    <w:rsid w:val="007847E1"/>
    <w:rsid w:val="00785357"/>
    <w:rsid w:val="00785416"/>
    <w:rsid w:val="0079103C"/>
    <w:rsid w:val="00792D87"/>
    <w:rsid w:val="007943C1"/>
    <w:rsid w:val="00794A75"/>
    <w:rsid w:val="00795723"/>
    <w:rsid w:val="007A1D26"/>
    <w:rsid w:val="007A2694"/>
    <w:rsid w:val="007B00F7"/>
    <w:rsid w:val="007B0740"/>
    <w:rsid w:val="007B1BB5"/>
    <w:rsid w:val="007B7A92"/>
    <w:rsid w:val="007C0926"/>
    <w:rsid w:val="007C2FF2"/>
    <w:rsid w:val="007C3A29"/>
    <w:rsid w:val="007C4401"/>
    <w:rsid w:val="007C7A25"/>
    <w:rsid w:val="007D3CFA"/>
    <w:rsid w:val="007E7513"/>
    <w:rsid w:val="007F27B5"/>
    <w:rsid w:val="007F35C2"/>
    <w:rsid w:val="007F3C35"/>
    <w:rsid w:val="007F6423"/>
    <w:rsid w:val="00805B6F"/>
    <w:rsid w:val="00812252"/>
    <w:rsid w:val="0081604E"/>
    <w:rsid w:val="00820596"/>
    <w:rsid w:val="008270F7"/>
    <w:rsid w:val="00830B8C"/>
    <w:rsid w:val="00831EA3"/>
    <w:rsid w:val="0083290E"/>
    <w:rsid w:val="00834AD7"/>
    <w:rsid w:val="00837F2E"/>
    <w:rsid w:val="008426B2"/>
    <w:rsid w:val="008432D8"/>
    <w:rsid w:val="00844B96"/>
    <w:rsid w:val="0084579D"/>
    <w:rsid w:val="00845A2F"/>
    <w:rsid w:val="00846853"/>
    <w:rsid w:val="00846FC5"/>
    <w:rsid w:val="008517D8"/>
    <w:rsid w:val="00851F01"/>
    <w:rsid w:val="0085347A"/>
    <w:rsid w:val="00866BB3"/>
    <w:rsid w:val="00867C30"/>
    <w:rsid w:val="008700C8"/>
    <w:rsid w:val="00870304"/>
    <w:rsid w:val="00871E23"/>
    <w:rsid w:val="008758A0"/>
    <w:rsid w:val="0087764A"/>
    <w:rsid w:val="00883005"/>
    <w:rsid w:val="00885822"/>
    <w:rsid w:val="008864A2"/>
    <w:rsid w:val="00887387"/>
    <w:rsid w:val="00887614"/>
    <w:rsid w:val="008923BC"/>
    <w:rsid w:val="008939F0"/>
    <w:rsid w:val="008A0CE8"/>
    <w:rsid w:val="008A1806"/>
    <w:rsid w:val="008A3952"/>
    <w:rsid w:val="008A5379"/>
    <w:rsid w:val="008A6C1E"/>
    <w:rsid w:val="008B0F1D"/>
    <w:rsid w:val="008B12B0"/>
    <w:rsid w:val="008B2344"/>
    <w:rsid w:val="008B35FE"/>
    <w:rsid w:val="008B5F80"/>
    <w:rsid w:val="008B611D"/>
    <w:rsid w:val="008C4B19"/>
    <w:rsid w:val="008C60BB"/>
    <w:rsid w:val="008C6694"/>
    <w:rsid w:val="008D1C43"/>
    <w:rsid w:val="008E0B34"/>
    <w:rsid w:val="008E18E0"/>
    <w:rsid w:val="008E2F80"/>
    <w:rsid w:val="008E42CD"/>
    <w:rsid w:val="008E474E"/>
    <w:rsid w:val="008E4F9D"/>
    <w:rsid w:val="008E65CC"/>
    <w:rsid w:val="008F248D"/>
    <w:rsid w:val="008F5E3B"/>
    <w:rsid w:val="00900130"/>
    <w:rsid w:val="00903051"/>
    <w:rsid w:val="00903C6F"/>
    <w:rsid w:val="009042F8"/>
    <w:rsid w:val="00906EB7"/>
    <w:rsid w:val="00912701"/>
    <w:rsid w:val="00912C78"/>
    <w:rsid w:val="009166AA"/>
    <w:rsid w:val="00921F8A"/>
    <w:rsid w:val="00922297"/>
    <w:rsid w:val="0092362E"/>
    <w:rsid w:val="00924B03"/>
    <w:rsid w:val="00924D13"/>
    <w:rsid w:val="0092615F"/>
    <w:rsid w:val="00926F16"/>
    <w:rsid w:val="009270BB"/>
    <w:rsid w:val="00930BCB"/>
    <w:rsid w:val="00931FC3"/>
    <w:rsid w:val="009350A7"/>
    <w:rsid w:val="00942DE6"/>
    <w:rsid w:val="00945A7D"/>
    <w:rsid w:val="00945FFF"/>
    <w:rsid w:val="00953BB0"/>
    <w:rsid w:val="009558A6"/>
    <w:rsid w:val="009561CD"/>
    <w:rsid w:val="00956C0E"/>
    <w:rsid w:val="00961A9A"/>
    <w:rsid w:val="009621C1"/>
    <w:rsid w:val="00971913"/>
    <w:rsid w:val="00972B64"/>
    <w:rsid w:val="00973E1E"/>
    <w:rsid w:val="009753B7"/>
    <w:rsid w:val="00977421"/>
    <w:rsid w:val="00983685"/>
    <w:rsid w:val="009906F7"/>
    <w:rsid w:val="009911F0"/>
    <w:rsid w:val="00994A5C"/>
    <w:rsid w:val="00995C26"/>
    <w:rsid w:val="009A0D91"/>
    <w:rsid w:val="009A1E6F"/>
    <w:rsid w:val="009A4A68"/>
    <w:rsid w:val="009A4CB2"/>
    <w:rsid w:val="009A6069"/>
    <w:rsid w:val="009B2BEE"/>
    <w:rsid w:val="009B728C"/>
    <w:rsid w:val="009C05F2"/>
    <w:rsid w:val="009C550F"/>
    <w:rsid w:val="009C61C5"/>
    <w:rsid w:val="009C656C"/>
    <w:rsid w:val="009D314A"/>
    <w:rsid w:val="009D4FE9"/>
    <w:rsid w:val="009D6E75"/>
    <w:rsid w:val="009D790C"/>
    <w:rsid w:val="009E016B"/>
    <w:rsid w:val="009E3747"/>
    <w:rsid w:val="009F0A18"/>
    <w:rsid w:val="009F4654"/>
    <w:rsid w:val="009F7F73"/>
    <w:rsid w:val="00A04BD1"/>
    <w:rsid w:val="00A05580"/>
    <w:rsid w:val="00A06550"/>
    <w:rsid w:val="00A11563"/>
    <w:rsid w:val="00A12035"/>
    <w:rsid w:val="00A14C10"/>
    <w:rsid w:val="00A2042C"/>
    <w:rsid w:val="00A210C8"/>
    <w:rsid w:val="00A217CB"/>
    <w:rsid w:val="00A229AF"/>
    <w:rsid w:val="00A24268"/>
    <w:rsid w:val="00A27233"/>
    <w:rsid w:val="00A30F69"/>
    <w:rsid w:val="00A30F6E"/>
    <w:rsid w:val="00A31C7A"/>
    <w:rsid w:val="00A3294F"/>
    <w:rsid w:val="00A3372E"/>
    <w:rsid w:val="00A357B4"/>
    <w:rsid w:val="00A35B3F"/>
    <w:rsid w:val="00A3700A"/>
    <w:rsid w:val="00A37A74"/>
    <w:rsid w:val="00A42E57"/>
    <w:rsid w:val="00A504B6"/>
    <w:rsid w:val="00A513CB"/>
    <w:rsid w:val="00A66364"/>
    <w:rsid w:val="00A6649E"/>
    <w:rsid w:val="00A802B7"/>
    <w:rsid w:val="00A8176B"/>
    <w:rsid w:val="00A951E7"/>
    <w:rsid w:val="00A966E3"/>
    <w:rsid w:val="00A974B7"/>
    <w:rsid w:val="00A97D9B"/>
    <w:rsid w:val="00AA3977"/>
    <w:rsid w:val="00AA3E6E"/>
    <w:rsid w:val="00AA7C57"/>
    <w:rsid w:val="00AB0128"/>
    <w:rsid w:val="00AB184A"/>
    <w:rsid w:val="00AB40E7"/>
    <w:rsid w:val="00AB570D"/>
    <w:rsid w:val="00AC2067"/>
    <w:rsid w:val="00AC35ED"/>
    <w:rsid w:val="00AC5ED2"/>
    <w:rsid w:val="00AC68F2"/>
    <w:rsid w:val="00AC6ECF"/>
    <w:rsid w:val="00AD11F0"/>
    <w:rsid w:val="00AD1705"/>
    <w:rsid w:val="00AD20B8"/>
    <w:rsid w:val="00AD443D"/>
    <w:rsid w:val="00AD44CC"/>
    <w:rsid w:val="00AD4C1F"/>
    <w:rsid w:val="00AD4E56"/>
    <w:rsid w:val="00AD500E"/>
    <w:rsid w:val="00AD7532"/>
    <w:rsid w:val="00AE1A72"/>
    <w:rsid w:val="00AE4F38"/>
    <w:rsid w:val="00AF2208"/>
    <w:rsid w:val="00AF5746"/>
    <w:rsid w:val="00AF6532"/>
    <w:rsid w:val="00B00C05"/>
    <w:rsid w:val="00B06CC0"/>
    <w:rsid w:val="00B102A3"/>
    <w:rsid w:val="00B11A2B"/>
    <w:rsid w:val="00B11DE1"/>
    <w:rsid w:val="00B12179"/>
    <w:rsid w:val="00B14046"/>
    <w:rsid w:val="00B1404A"/>
    <w:rsid w:val="00B14BAD"/>
    <w:rsid w:val="00B1652A"/>
    <w:rsid w:val="00B21DB9"/>
    <w:rsid w:val="00B2727F"/>
    <w:rsid w:val="00B3170D"/>
    <w:rsid w:val="00B336B2"/>
    <w:rsid w:val="00B35627"/>
    <w:rsid w:val="00B3624E"/>
    <w:rsid w:val="00B42B8A"/>
    <w:rsid w:val="00B438C5"/>
    <w:rsid w:val="00B45B07"/>
    <w:rsid w:val="00B46A9F"/>
    <w:rsid w:val="00B46D20"/>
    <w:rsid w:val="00B47C05"/>
    <w:rsid w:val="00B51320"/>
    <w:rsid w:val="00B520D2"/>
    <w:rsid w:val="00B64FF8"/>
    <w:rsid w:val="00B6554E"/>
    <w:rsid w:val="00B66C11"/>
    <w:rsid w:val="00B674F8"/>
    <w:rsid w:val="00B71DB3"/>
    <w:rsid w:val="00B74153"/>
    <w:rsid w:val="00B75CE4"/>
    <w:rsid w:val="00B77288"/>
    <w:rsid w:val="00B77E97"/>
    <w:rsid w:val="00B82519"/>
    <w:rsid w:val="00B91165"/>
    <w:rsid w:val="00B91D06"/>
    <w:rsid w:val="00B92801"/>
    <w:rsid w:val="00B92FE0"/>
    <w:rsid w:val="00B941F0"/>
    <w:rsid w:val="00B9467F"/>
    <w:rsid w:val="00B97088"/>
    <w:rsid w:val="00BA59B1"/>
    <w:rsid w:val="00BA760A"/>
    <w:rsid w:val="00BB14E7"/>
    <w:rsid w:val="00BB2741"/>
    <w:rsid w:val="00BC053C"/>
    <w:rsid w:val="00BC0A78"/>
    <w:rsid w:val="00BC40B5"/>
    <w:rsid w:val="00BD17B5"/>
    <w:rsid w:val="00BD2470"/>
    <w:rsid w:val="00BD2AB0"/>
    <w:rsid w:val="00BD4B9F"/>
    <w:rsid w:val="00BD7317"/>
    <w:rsid w:val="00BD7C8A"/>
    <w:rsid w:val="00BD7CE1"/>
    <w:rsid w:val="00BE1ACF"/>
    <w:rsid w:val="00BE2F15"/>
    <w:rsid w:val="00BE3000"/>
    <w:rsid w:val="00BE3D50"/>
    <w:rsid w:val="00BE4117"/>
    <w:rsid w:val="00BE436D"/>
    <w:rsid w:val="00BE49B9"/>
    <w:rsid w:val="00BE613A"/>
    <w:rsid w:val="00BE6407"/>
    <w:rsid w:val="00BF22B5"/>
    <w:rsid w:val="00BF2A9D"/>
    <w:rsid w:val="00BF3662"/>
    <w:rsid w:val="00BF56DD"/>
    <w:rsid w:val="00BF7651"/>
    <w:rsid w:val="00C01652"/>
    <w:rsid w:val="00C025FF"/>
    <w:rsid w:val="00C0626D"/>
    <w:rsid w:val="00C06B42"/>
    <w:rsid w:val="00C071BE"/>
    <w:rsid w:val="00C14E5F"/>
    <w:rsid w:val="00C16020"/>
    <w:rsid w:val="00C204B1"/>
    <w:rsid w:val="00C31F73"/>
    <w:rsid w:val="00C329DD"/>
    <w:rsid w:val="00C34234"/>
    <w:rsid w:val="00C351E0"/>
    <w:rsid w:val="00C3605B"/>
    <w:rsid w:val="00C36242"/>
    <w:rsid w:val="00C37B13"/>
    <w:rsid w:val="00C423E1"/>
    <w:rsid w:val="00C463E5"/>
    <w:rsid w:val="00C46CEA"/>
    <w:rsid w:val="00C524F4"/>
    <w:rsid w:val="00C5578A"/>
    <w:rsid w:val="00C55E82"/>
    <w:rsid w:val="00C5657D"/>
    <w:rsid w:val="00C57078"/>
    <w:rsid w:val="00C5772A"/>
    <w:rsid w:val="00C60C9E"/>
    <w:rsid w:val="00C621B2"/>
    <w:rsid w:val="00C6231C"/>
    <w:rsid w:val="00C63F54"/>
    <w:rsid w:val="00C66C56"/>
    <w:rsid w:val="00C66DDD"/>
    <w:rsid w:val="00C67B31"/>
    <w:rsid w:val="00C70D1E"/>
    <w:rsid w:val="00C71844"/>
    <w:rsid w:val="00C72C66"/>
    <w:rsid w:val="00C7631B"/>
    <w:rsid w:val="00C849AC"/>
    <w:rsid w:val="00C85664"/>
    <w:rsid w:val="00C857AB"/>
    <w:rsid w:val="00C86B2B"/>
    <w:rsid w:val="00C9150A"/>
    <w:rsid w:val="00C92A3F"/>
    <w:rsid w:val="00CA0296"/>
    <w:rsid w:val="00CA0476"/>
    <w:rsid w:val="00CA2FE9"/>
    <w:rsid w:val="00CA33C1"/>
    <w:rsid w:val="00CA41B6"/>
    <w:rsid w:val="00CA73A7"/>
    <w:rsid w:val="00CB1BA6"/>
    <w:rsid w:val="00CB3541"/>
    <w:rsid w:val="00CB5722"/>
    <w:rsid w:val="00CB5BBA"/>
    <w:rsid w:val="00CB5FAE"/>
    <w:rsid w:val="00CB64D4"/>
    <w:rsid w:val="00CC0C1B"/>
    <w:rsid w:val="00CD123A"/>
    <w:rsid w:val="00CD1D9C"/>
    <w:rsid w:val="00CD267D"/>
    <w:rsid w:val="00CD27BF"/>
    <w:rsid w:val="00CD4D34"/>
    <w:rsid w:val="00CE1C52"/>
    <w:rsid w:val="00D02A85"/>
    <w:rsid w:val="00D031C3"/>
    <w:rsid w:val="00D03629"/>
    <w:rsid w:val="00D046CF"/>
    <w:rsid w:val="00D04E0F"/>
    <w:rsid w:val="00D151D1"/>
    <w:rsid w:val="00D17B42"/>
    <w:rsid w:val="00D2587D"/>
    <w:rsid w:val="00D32D3A"/>
    <w:rsid w:val="00D33CD8"/>
    <w:rsid w:val="00D33D8A"/>
    <w:rsid w:val="00D33D8F"/>
    <w:rsid w:val="00D34985"/>
    <w:rsid w:val="00D41623"/>
    <w:rsid w:val="00D4334C"/>
    <w:rsid w:val="00D457DE"/>
    <w:rsid w:val="00D52CC9"/>
    <w:rsid w:val="00D6033B"/>
    <w:rsid w:val="00D60F7B"/>
    <w:rsid w:val="00D6115A"/>
    <w:rsid w:val="00D65DFD"/>
    <w:rsid w:val="00D67172"/>
    <w:rsid w:val="00D673A1"/>
    <w:rsid w:val="00D708D5"/>
    <w:rsid w:val="00D72AD6"/>
    <w:rsid w:val="00D75FD5"/>
    <w:rsid w:val="00D76745"/>
    <w:rsid w:val="00D907F3"/>
    <w:rsid w:val="00D9176D"/>
    <w:rsid w:val="00D96718"/>
    <w:rsid w:val="00DA07B3"/>
    <w:rsid w:val="00DA1C54"/>
    <w:rsid w:val="00DA383B"/>
    <w:rsid w:val="00DA413C"/>
    <w:rsid w:val="00DA47E6"/>
    <w:rsid w:val="00DA5B30"/>
    <w:rsid w:val="00DB074B"/>
    <w:rsid w:val="00DB47E0"/>
    <w:rsid w:val="00DB593D"/>
    <w:rsid w:val="00DB6009"/>
    <w:rsid w:val="00DC212B"/>
    <w:rsid w:val="00DD3393"/>
    <w:rsid w:val="00DD35D8"/>
    <w:rsid w:val="00DD38E5"/>
    <w:rsid w:val="00DD5F58"/>
    <w:rsid w:val="00DD61C2"/>
    <w:rsid w:val="00DE18BD"/>
    <w:rsid w:val="00DE4D0E"/>
    <w:rsid w:val="00DE6D9A"/>
    <w:rsid w:val="00DF04AE"/>
    <w:rsid w:val="00DF2363"/>
    <w:rsid w:val="00DF3869"/>
    <w:rsid w:val="00E00753"/>
    <w:rsid w:val="00E01ED7"/>
    <w:rsid w:val="00E049BC"/>
    <w:rsid w:val="00E05EF7"/>
    <w:rsid w:val="00E06A74"/>
    <w:rsid w:val="00E1034B"/>
    <w:rsid w:val="00E11144"/>
    <w:rsid w:val="00E14E5C"/>
    <w:rsid w:val="00E21A8E"/>
    <w:rsid w:val="00E223C3"/>
    <w:rsid w:val="00E22875"/>
    <w:rsid w:val="00E2294A"/>
    <w:rsid w:val="00E24485"/>
    <w:rsid w:val="00E258CD"/>
    <w:rsid w:val="00E26EE7"/>
    <w:rsid w:val="00E30930"/>
    <w:rsid w:val="00E356C9"/>
    <w:rsid w:val="00E36E01"/>
    <w:rsid w:val="00E40CAD"/>
    <w:rsid w:val="00E41D60"/>
    <w:rsid w:val="00E454AF"/>
    <w:rsid w:val="00E4695B"/>
    <w:rsid w:val="00E5036E"/>
    <w:rsid w:val="00E5331B"/>
    <w:rsid w:val="00E5568C"/>
    <w:rsid w:val="00E64F51"/>
    <w:rsid w:val="00E668F9"/>
    <w:rsid w:val="00E720F8"/>
    <w:rsid w:val="00E72955"/>
    <w:rsid w:val="00E73E79"/>
    <w:rsid w:val="00E773DC"/>
    <w:rsid w:val="00E80768"/>
    <w:rsid w:val="00E90514"/>
    <w:rsid w:val="00E90C05"/>
    <w:rsid w:val="00E92A1D"/>
    <w:rsid w:val="00E9558B"/>
    <w:rsid w:val="00E97E5D"/>
    <w:rsid w:val="00EA0807"/>
    <w:rsid w:val="00EA1663"/>
    <w:rsid w:val="00EA18B7"/>
    <w:rsid w:val="00EA1C2C"/>
    <w:rsid w:val="00EA4108"/>
    <w:rsid w:val="00EA737D"/>
    <w:rsid w:val="00EA786F"/>
    <w:rsid w:val="00EB2245"/>
    <w:rsid w:val="00EB3034"/>
    <w:rsid w:val="00EB4D24"/>
    <w:rsid w:val="00EC34E4"/>
    <w:rsid w:val="00EC5135"/>
    <w:rsid w:val="00EC5F92"/>
    <w:rsid w:val="00EC6A55"/>
    <w:rsid w:val="00ED1011"/>
    <w:rsid w:val="00ED17B1"/>
    <w:rsid w:val="00ED18A2"/>
    <w:rsid w:val="00ED2B60"/>
    <w:rsid w:val="00ED4093"/>
    <w:rsid w:val="00ED49F8"/>
    <w:rsid w:val="00ED4E08"/>
    <w:rsid w:val="00EE1FF5"/>
    <w:rsid w:val="00EE2482"/>
    <w:rsid w:val="00EE37FE"/>
    <w:rsid w:val="00EE4463"/>
    <w:rsid w:val="00EE50E1"/>
    <w:rsid w:val="00EE5599"/>
    <w:rsid w:val="00EE55B1"/>
    <w:rsid w:val="00EE5974"/>
    <w:rsid w:val="00EE5F0F"/>
    <w:rsid w:val="00EE780C"/>
    <w:rsid w:val="00EF07CD"/>
    <w:rsid w:val="00EF38AD"/>
    <w:rsid w:val="00EF7B55"/>
    <w:rsid w:val="00F02F06"/>
    <w:rsid w:val="00F0792F"/>
    <w:rsid w:val="00F0796A"/>
    <w:rsid w:val="00F07B9C"/>
    <w:rsid w:val="00F13C1A"/>
    <w:rsid w:val="00F16197"/>
    <w:rsid w:val="00F23568"/>
    <w:rsid w:val="00F259B2"/>
    <w:rsid w:val="00F26303"/>
    <w:rsid w:val="00F271D1"/>
    <w:rsid w:val="00F30F36"/>
    <w:rsid w:val="00F32CDC"/>
    <w:rsid w:val="00F33252"/>
    <w:rsid w:val="00F33F5F"/>
    <w:rsid w:val="00F34D77"/>
    <w:rsid w:val="00F35562"/>
    <w:rsid w:val="00F36F13"/>
    <w:rsid w:val="00F4097D"/>
    <w:rsid w:val="00F431A4"/>
    <w:rsid w:val="00F438A6"/>
    <w:rsid w:val="00F44DF8"/>
    <w:rsid w:val="00F5094C"/>
    <w:rsid w:val="00F54B8F"/>
    <w:rsid w:val="00F61374"/>
    <w:rsid w:val="00F61570"/>
    <w:rsid w:val="00F62A35"/>
    <w:rsid w:val="00F644B9"/>
    <w:rsid w:val="00F72210"/>
    <w:rsid w:val="00F72B32"/>
    <w:rsid w:val="00F74D0A"/>
    <w:rsid w:val="00F76B65"/>
    <w:rsid w:val="00F818BC"/>
    <w:rsid w:val="00F81C07"/>
    <w:rsid w:val="00F83C1E"/>
    <w:rsid w:val="00F86BB7"/>
    <w:rsid w:val="00F87E71"/>
    <w:rsid w:val="00F91CF5"/>
    <w:rsid w:val="00F91F9A"/>
    <w:rsid w:val="00F9211A"/>
    <w:rsid w:val="00F96BA9"/>
    <w:rsid w:val="00FA0333"/>
    <w:rsid w:val="00FA4283"/>
    <w:rsid w:val="00FB3AE7"/>
    <w:rsid w:val="00FB6A11"/>
    <w:rsid w:val="00FC0823"/>
    <w:rsid w:val="00FC57CE"/>
    <w:rsid w:val="00FC71F3"/>
    <w:rsid w:val="00FD13F7"/>
    <w:rsid w:val="00FE04CE"/>
    <w:rsid w:val="00FE2360"/>
    <w:rsid w:val="00FE406C"/>
    <w:rsid w:val="00FE661C"/>
    <w:rsid w:val="00FF516E"/>
    <w:rsid w:val="00FF5AF0"/>
    <w:rsid w:val="00FF6667"/>
    <w:rsid w:val="00FF720A"/>
    <w:rsid w:val="00FF79AA"/>
    <w:rsid w:val="02754B7F"/>
    <w:rsid w:val="0A3178ED"/>
    <w:rsid w:val="1D422AB2"/>
    <w:rsid w:val="252D0D63"/>
    <w:rsid w:val="435F7843"/>
    <w:rsid w:val="454B5B1D"/>
    <w:rsid w:val="457A0B94"/>
    <w:rsid w:val="479C1FAF"/>
    <w:rsid w:val="4D4204D2"/>
    <w:rsid w:val="53AA706E"/>
    <w:rsid w:val="55DF7CF9"/>
    <w:rsid w:val="5A3148DE"/>
    <w:rsid w:val="601B0D3D"/>
    <w:rsid w:val="65BB6984"/>
    <w:rsid w:val="66A156F5"/>
    <w:rsid w:val="675806B4"/>
    <w:rsid w:val="7B8F72C2"/>
    <w:rsid w:val="7C977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rPr>
      <w:szCs w:val="22"/>
    </w:rPr>
  </w:style>
  <w:style w:type="paragraph" w:styleId="4">
    <w:name w:val="annotation text"/>
    <w:basedOn w:val="1"/>
    <w:link w:val="16"/>
    <w:semiHidden/>
    <w:qFormat/>
    <w:uiPriority w:val="0"/>
    <w:pPr>
      <w:jc w:val="left"/>
    </w:pPr>
  </w:style>
  <w:style w:type="paragraph" w:styleId="5">
    <w:name w:val="Body Text Indent"/>
    <w:basedOn w:val="1"/>
    <w:link w:val="17"/>
    <w:semiHidden/>
    <w:unhideWhenUsed/>
    <w:qFormat/>
    <w:uiPriority w:val="99"/>
    <w:pPr>
      <w:spacing w:after="120"/>
      <w:ind w:left="420" w:leftChars="200"/>
    </w:pPr>
  </w:style>
  <w:style w:type="paragraph" w:styleId="6">
    <w:name w:val="Balloon Text"/>
    <w:basedOn w:val="1"/>
    <w:link w:val="22"/>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paragraph" w:styleId="10">
    <w:name w:val="Body Text First Indent 2"/>
    <w:basedOn w:val="5"/>
    <w:link w:val="18"/>
    <w:qFormat/>
    <w:uiPriority w:val="0"/>
    <w:pPr>
      <w:ind w:left="200" w:firstLine="200" w:firstLineChars="200"/>
    </w:pPr>
    <w:rPr>
      <w:rFonts w:ascii="Calibri" w:hAnsi="Calibri"/>
    </w:rPr>
  </w:style>
  <w:style w:type="character" w:styleId="13">
    <w:name w:val="Hyperlink"/>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标题 1 字符"/>
    <w:basedOn w:val="12"/>
    <w:link w:val="2"/>
    <w:qFormat/>
    <w:uiPriority w:val="0"/>
    <w:rPr>
      <w:rFonts w:ascii="Times New Roman" w:hAnsi="Times New Roman" w:eastAsia="宋体" w:cs="Times New Roman"/>
      <w:b/>
      <w:bCs/>
      <w:kern w:val="44"/>
      <w:sz w:val="44"/>
      <w:szCs w:val="44"/>
    </w:rPr>
  </w:style>
  <w:style w:type="character" w:customStyle="1" w:styleId="16">
    <w:name w:val="批注文字 字符"/>
    <w:basedOn w:val="12"/>
    <w:link w:val="4"/>
    <w:semiHidden/>
    <w:qFormat/>
    <w:uiPriority w:val="0"/>
    <w:rPr>
      <w:rFonts w:ascii="Times New Roman" w:hAnsi="Times New Roman" w:eastAsia="宋体" w:cs="Times New Roman"/>
      <w:szCs w:val="24"/>
    </w:rPr>
  </w:style>
  <w:style w:type="character" w:customStyle="1" w:styleId="17">
    <w:name w:val="正文文本缩进 字符"/>
    <w:basedOn w:val="12"/>
    <w:link w:val="5"/>
    <w:semiHidden/>
    <w:qFormat/>
    <w:uiPriority w:val="99"/>
    <w:rPr>
      <w:rFonts w:ascii="Times New Roman" w:hAnsi="Times New Roman" w:eastAsia="宋体" w:cs="Times New Roman"/>
      <w:szCs w:val="24"/>
    </w:rPr>
  </w:style>
  <w:style w:type="character" w:customStyle="1" w:styleId="18">
    <w:name w:val="正文文本首行缩进 2 字符"/>
    <w:basedOn w:val="17"/>
    <w:link w:val="10"/>
    <w:qFormat/>
    <w:uiPriority w:val="0"/>
    <w:rPr>
      <w:rFonts w:ascii="Calibri" w:hAnsi="Calibri" w:eastAsia="宋体" w:cs="Times New Roman"/>
      <w:szCs w:val="24"/>
    </w:rPr>
  </w:style>
  <w:style w:type="character" w:customStyle="1" w:styleId="19">
    <w:name w:val="页眉 字符"/>
    <w:basedOn w:val="12"/>
    <w:link w:val="8"/>
    <w:qFormat/>
    <w:uiPriority w:val="99"/>
    <w:rPr>
      <w:rFonts w:ascii="Times New Roman" w:hAnsi="Times New Roman" w:eastAsia="宋体" w:cs="Times New Roman"/>
      <w:sz w:val="18"/>
      <w:szCs w:val="18"/>
    </w:rPr>
  </w:style>
  <w:style w:type="character" w:customStyle="1" w:styleId="20">
    <w:name w:val="页脚 字符"/>
    <w:basedOn w:val="12"/>
    <w:link w:val="7"/>
    <w:qFormat/>
    <w:uiPriority w:val="99"/>
    <w:rPr>
      <w:rFonts w:ascii="Times New Roman" w:hAnsi="Times New Roman" w:eastAsia="宋体" w:cs="Times New Roman"/>
      <w:sz w:val="18"/>
      <w:szCs w:val="18"/>
    </w:rPr>
  </w:style>
  <w:style w:type="character" w:customStyle="1" w:styleId="21">
    <w:name w:val="批注主题 字符"/>
    <w:basedOn w:val="16"/>
    <w:link w:val="9"/>
    <w:semiHidden/>
    <w:qFormat/>
    <w:uiPriority w:val="99"/>
    <w:rPr>
      <w:rFonts w:ascii="Times New Roman" w:hAnsi="Times New Roman" w:eastAsia="宋体" w:cs="Times New Roman"/>
      <w:b/>
      <w:bCs/>
      <w:szCs w:val="24"/>
    </w:rPr>
  </w:style>
  <w:style w:type="character" w:customStyle="1" w:styleId="22">
    <w:name w:val="批注框文本 字符"/>
    <w:basedOn w:val="12"/>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703F-FB77-4A97-8FCB-FB369270E351}">
  <ds:schemaRefs/>
</ds:datastoreItem>
</file>

<file path=docProps/app.xml><?xml version="1.0" encoding="utf-8"?>
<Properties xmlns="http://schemas.openxmlformats.org/officeDocument/2006/extended-properties" xmlns:vt="http://schemas.openxmlformats.org/officeDocument/2006/docPropsVTypes">
  <Template>Normal</Template>
  <Pages>10</Pages>
  <Words>5053</Words>
  <Characters>6042</Characters>
  <Lines>50</Lines>
  <Paragraphs>14</Paragraphs>
  <TotalTime>20</TotalTime>
  <ScaleCrop>false</ScaleCrop>
  <LinksUpToDate>false</LinksUpToDate>
  <CharactersWithSpaces>6382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2022-05-16T01:55:00Z</dcterms:created>
  <dc:creator>广州建筑工程监理有限公司</dc:creator>
  <cp:lastModifiedBy>桦</cp:lastModifiedBy>
  <dcterms:modified xsi:type="dcterms:W3CDTF">2023-03-31T06:40:47Z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C37481C1B4CF49439FB45954AC596181</vt:lpwstr>
  </property>
</Properties>
</file>