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highlight w:val="none"/>
        </w:rPr>
      </w:pPr>
      <w:r>
        <w:rPr>
          <w:rFonts w:hint="eastAsia"/>
          <w:highlight w:val="none"/>
        </w:rPr>
        <w:t xml:space="preserve"> </w:t>
      </w:r>
    </w:p>
    <w:p>
      <w:pPr>
        <w:spacing w:before="120" w:after="120" w:line="360" w:lineRule="auto"/>
        <w:jc w:val="center"/>
        <w:rPr>
          <w:rFonts w:ascii="宋体" w:hAnsi="宋体"/>
          <w:b/>
          <w:color w:val="auto"/>
          <w:sz w:val="40"/>
          <w:szCs w:val="40"/>
          <w:highlight w:val="none"/>
          <w:u w:val="single"/>
        </w:rPr>
      </w:pPr>
    </w:p>
    <w:p>
      <w:pPr>
        <w:spacing w:before="120" w:after="120" w:line="360" w:lineRule="auto"/>
        <w:jc w:val="center"/>
        <w:rPr>
          <w:rFonts w:hint="eastAsia" w:ascii="宋体" w:hAnsi="宋体"/>
          <w:b/>
          <w:color w:val="auto"/>
          <w:sz w:val="40"/>
          <w:szCs w:val="40"/>
          <w:highlight w:val="none"/>
          <w:u w:val="single"/>
        </w:rPr>
      </w:pPr>
      <w:r>
        <w:rPr>
          <w:rFonts w:hint="eastAsia" w:ascii="宋体" w:hAnsi="宋体"/>
          <w:b/>
          <w:color w:val="auto"/>
          <w:sz w:val="40"/>
          <w:szCs w:val="40"/>
          <w:highlight w:val="none"/>
          <w:u w:val="single"/>
        </w:rPr>
        <w:t>广州国际企业孵化器五期工程改扩建项目</w:t>
      </w:r>
    </w:p>
    <w:p>
      <w:pPr>
        <w:spacing w:before="120" w:after="120" w:line="360" w:lineRule="auto"/>
        <w:jc w:val="center"/>
        <w:rPr>
          <w:rFonts w:ascii="宋体" w:hAnsi="宋体"/>
          <w:b/>
          <w:color w:val="auto"/>
          <w:sz w:val="40"/>
          <w:szCs w:val="40"/>
          <w:highlight w:val="none"/>
        </w:rPr>
      </w:pPr>
      <w:r>
        <w:rPr>
          <w:rFonts w:hint="eastAsia" w:ascii="宋体" w:hAnsi="宋体"/>
          <w:b/>
          <w:color w:val="auto"/>
          <w:sz w:val="40"/>
          <w:szCs w:val="40"/>
          <w:highlight w:val="none"/>
          <w:u w:val="single"/>
        </w:rPr>
        <w:t>全过程造价咨询服务</w:t>
      </w:r>
    </w:p>
    <w:p>
      <w:pPr>
        <w:spacing w:line="360" w:lineRule="auto"/>
        <w:rPr>
          <w:rFonts w:ascii="宋体" w:hAnsi="宋体"/>
          <w:b/>
          <w:color w:val="auto"/>
          <w:sz w:val="56"/>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合同文件</w:t>
      </w:r>
    </w:p>
    <w:p>
      <w:pPr>
        <w:pStyle w:val="17"/>
        <w:rPr>
          <w:color w:val="auto"/>
          <w:highlight w:val="none"/>
        </w:rPr>
      </w:pPr>
    </w:p>
    <w:p>
      <w:pPr>
        <w:spacing w:before="120" w:after="120" w:line="360" w:lineRule="auto"/>
        <w:ind w:firstLine="1680" w:firstLineChars="600"/>
        <w:rPr>
          <w:rFonts w:ascii="宋体" w:hAnsi="宋体"/>
          <w:b/>
          <w:snapToGrid w:val="0"/>
          <w:color w:val="auto"/>
          <w:kern w:val="0"/>
          <w:sz w:val="28"/>
          <w:szCs w:val="28"/>
          <w:highlight w:val="none"/>
        </w:rPr>
      </w:pPr>
      <w:r>
        <w:rPr>
          <w:rFonts w:hint="eastAsia" w:ascii="宋体" w:hAnsi="宋体" w:cs="宋体"/>
          <w:color w:val="auto"/>
          <w:sz w:val="28"/>
          <w:szCs w:val="28"/>
          <w:highlight w:val="none"/>
        </w:rPr>
        <w:t>合同编号：</w:t>
      </w:r>
    </w:p>
    <w:p>
      <w:pPr>
        <w:adjustRightInd w:val="0"/>
        <w:snapToGrid w:val="0"/>
        <w:spacing w:line="360" w:lineRule="auto"/>
        <w:rPr>
          <w:rFonts w:ascii="宋体" w:hAnsi="宋体"/>
          <w:b/>
          <w:snapToGrid w:val="0"/>
          <w:color w:val="auto"/>
          <w:kern w:val="0"/>
          <w:sz w:val="28"/>
          <w:szCs w:val="28"/>
          <w:highlight w:val="none"/>
        </w:rPr>
      </w:pPr>
    </w:p>
    <w:p>
      <w:pPr>
        <w:adjustRightInd w:val="0"/>
        <w:snapToGrid w:val="0"/>
        <w:spacing w:line="360" w:lineRule="auto"/>
        <w:rPr>
          <w:rFonts w:ascii="宋体" w:hAnsi="宋体"/>
          <w:b/>
          <w:snapToGrid w:val="0"/>
          <w:color w:val="auto"/>
          <w:kern w:val="0"/>
          <w:sz w:val="28"/>
          <w:szCs w:val="28"/>
          <w:highlight w:val="none"/>
        </w:rPr>
      </w:pPr>
    </w:p>
    <w:p>
      <w:pPr>
        <w:pStyle w:val="17"/>
        <w:adjustRightInd w:val="0"/>
        <w:snapToGrid w:val="0"/>
        <w:spacing w:line="360" w:lineRule="auto"/>
        <w:rPr>
          <w:rFonts w:ascii="宋体" w:hAnsi="宋体"/>
          <w:b/>
          <w:snapToGrid w:val="0"/>
          <w:color w:val="auto"/>
          <w:kern w:val="0"/>
          <w:sz w:val="28"/>
          <w:szCs w:val="28"/>
          <w:highlight w:val="none"/>
        </w:rPr>
      </w:pPr>
    </w:p>
    <w:p>
      <w:pPr>
        <w:adjustRightInd w:val="0"/>
        <w:snapToGrid w:val="0"/>
        <w:spacing w:line="360" w:lineRule="auto"/>
        <w:rPr>
          <w:rFonts w:ascii="宋体" w:hAnsi="宋体"/>
          <w:b/>
          <w:snapToGrid w:val="0"/>
          <w:color w:val="auto"/>
          <w:kern w:val="0"/>
          <w:sz w:val="28"/>
          <w:szCs w:val="28"/>
          <w:highlight w:val="none"/>
        </w:rPr>
      </w:pPr>
    </w:p>
    <w:p>
      <w:pPr>
        <w:adjustRightInd w:val="0"/>
        <w:snapToGrid w:val="0"/>
        <w:spacing w:line="360" w:lineRule="auto"/>
        <w:jc w:val="center"/>
        <w:rPr>
          <w:rFonts w:ascii="宋体" w:hAnsi="宋体" w:cs="宋体"/>
          <w:b/>
          <w:color w:val="auto"/>
          <w:sz w:val="32"/>
          <w:szCs w:val="28"/>
          <w:highlight w:val="none"/>
        </w:rPr>
      </w:pPr>
    </w:p>
    <w:p>
      <w:pPr>
        <w:adjustRightInd w:val="0"/>
        <w:snapToGrid w:val="0"/>
        <w:spacing w:line="360" w:lineRule="auto"/>
        <w:jc w:val="center"/>
        <w:rPr>
          <w:rFonts w:ascii="宋体" w:hAnsi="宋体" w:cs="宋体"/>
          <w:b/>
          <w:color w:val="auto"/>
          <w:sz w:val="32"/>
          <w:szCs w:val="28"/>
          <w:highlight w:val="none"/>
        </w:rPr>
      </w:pPr>
    </w:p>
    <w:p>
      <w:pPr>
        <w:pStyle w:val="17"/>
        <w:rPr>
          <w:color w:val="auto"/>
          <w:highlight w:val="none"/>
        </w:rPr>
      </w:pPr>
    </w:p>
    <w:p>
      <w:pPr>
        <w:pStyle w:val="17"/>
        <w:rPr>
          <w:color w:val="auto"/>
          <w:highlight w:val="none"/>
        </w:rPr>
      </w:pPr>
    </w:p>
    <w:p>
      <w:pPr>
        <w:adjustRightInd w:val="0"/>
        <w:snapToGrid w:val="0"/>
        <w:spacing w:line="360" w:lineRule="auto"/>
        <w:ind w:firstLine="1285" w:firstLineChars="400"/>
        <w:rPr>
          <w:rFonts w:ascii="宋体" w:hAnsi="宋体" w:cs="宋体"/>
          <w:b/>
          <w:color w:val="auto"/>
          <w:sz w:val="32"/>
          <w:szCs w:val="28"/>
          <w:highlight w:val="none"/>
        </w:rPr>
      </w:pPr>
      <w:r>
        <w:rPr>
          <w:rFonts w:hint="eastAsia" w:ascii="宋体" w:hAnsi="宋体" w:cs="宋体"/>
          <w:b/>
          <w:color w:val="auto"/>
          <w:sz w:val="32"/>
          <w:szCs w:val="28"/>
          <w:highlight w:val="none"/>
        </w:rPr>
        <w:t>甲方：</w:t>
      </w:r>
      <w:r>
        <w:rPr>
          <w:rFonts w:hint="eastAsia" w:ascii="宋体" w:hAnsi="宋体" w:cs="宋体"/>
          <w:b/>
          <w:color w:val="auto"/>
          <w:sz w:val="32"/>
          <w:szCs w:val="28"/>
          <w:highlight w:val="none"/>
          <w:u w:val="single"/>
        </w:rPr>
        <w:t>广州国际企业孵化器有限公司</w:t>
      </w:r>
    </w:p>
    <w:p>
      <w:pPr>
        <w:adjustRightInd w:val="0"/>
        <w:snapToGrid w:val="0"/>
        <w:spacing w:line="360" w:lineRule="auto"/>
        <w:ind w:firstLine="1285" w:firstLineChars="400"/>
        <w:rPr>
          <w:rFonts w:ascii="宋体" w:hAnsi="宋体" w:cs="宋体"/>
          <w:b/>
          <w:color w:val="auto"/>
          <w:sz w:val="32"/>
          <w:szCs w:val="28"/>
          <w:highlight w:val="none"/>
          <w:u w:val="single"/>
        </w:rPr>
      </w:pPr>
      <w:r>
        <w:rPr>
          <w:rFonts w:hint="eastAsia" w:ascii="宋体" w:hAnsi="宋体"/>
          <w:b/>
          <w:snapToGrid w:val="0"/>
          <w:color w:val="auto"/>
          <w:kern w:val="0"/>
          <w:sz w:val="32"/>
          <w:szCs w:val="28"/>
          <w:highlight w:val="none"/>
        </w:rPr>
        <w:t>乙方：</w:t>
      </w:r>
      <w:r>
        <w:rPr>
          <w:rFonts w:hint="eastAsia" w:ascii="宋体" w:hAnsi="宋体"/>
          <w:b/>
          <w:snapToGrid w:val="0"/>
          <w:color w:val="auto"/>
          <w:kern w:val="0"/>
          <w:sz w:val="32"/>
          <w:szCs w:val="28"/>
          <w:highlight w:val="none"/>
          <w:u w:val="single"/>
        </w:rPr>
        <w:t>*公司</w:t>
      </w:r>
    </w:p>
    <w:p>
      <w:pPr>
        <w:adjustRightInd w:val="0"/>
        <w:snapToGrid w:val="0"/>
        <w:spacing w:line="360" w:lineRule="auto"/>
        <w:rPr>
          <w:rFonts w:ascii="宋体" w:hAnsi="宋体" w:cs="宋体"/>
          <w:b/>
          <w:color w:val="auto"/>
          <w:sz w:val="32"/>
          <w:szCs w:val="28"/>
          <w:highlight w:val="none"/>
          <w:u w:val="single"/>
        </w:rPr>
      </w:pPr>
    </w:p>
    <w:p>
      <w:pPr>
        <w:spacing w:line="320" w:lineRule="exact"/>
        <w:jc w:val="center"/>
        <w:rPr>
          <w:rFonts w:ascii="宋体" w:hAnsi="宋体"/>
          <w:color w:val="auto"/>
          <w:sz w:val="28"/>
          <w:highlight w:val="none"/>
        </w:rPr>
      </w:pPr>
      <w:r>
        <w:rPr>
          <w:rFonts w:hint="eastAsia" w:ascii="宋体" w:hAnsi="宋体"/>
          <w:color w:val="auto"/>
          <w:sz w:val="28"/>
          <w:highlight w:val="none"/>
        </w:rPr>
        <w:t>二○二</w:t>
      </w:r>
      <w:r>
        <w:rPr>
          <w:rFonts w:hint="eastAsia" w:ascii="宋体" w:hAnsi="宋体"/>
          <w:color w:val="auto"/>
          <w:sz w:val="28"/>
          <w:highlight w:val="none"/>
          <w:lang w:val="en-US" w:eastAsia="zh-CN"/>
        </w:rPr>
        <w:t>三</w:t>
      </w:r>
      <w:r>
        <w:rPr>
          <w:rFonts w:hint="eastAsia" w:ascii="宋体" w:hAnsi="宋体"/>
          <w:color w:val="auto"/>
          <w:sz w:val="28"/>
          <w:highlight w:val="none"/>
        </w:rPr>
        <w:t>年</w:t>
      </w:r>
      <w:r>
        <w:rPr>
          <w:rFonts w:hint="eastAsia" w:ascii="宋体" w:hAnsi="宋体"/>
          <w:color w:val="auto"/>
          <w:sz w:val="28"/>
          <w:highlight w:val="none"/>
          <w:u w:val="none"/>
          <w:lang w:eastAsia="zh-CN"/>
        </w:rPr>
        <w:t xml:space="preserve"> </w:t>
      </w:r>
      <w:r>
        <w:rPr>
          <w:rFonts w:hint="eastAsia" w:ascii="宋体" w:hAnsi="宋体"/>
          <w:color w:val="auto"/>
          <w:sz w:val="28"/>
          <w:highlight w:val="none"/>
          <w:u w:val="none"/>
          <w:lang w:val="en-US" w:eastAsia="zh-CN"/>
        </w:rPr>
        <w:t xml:space="preserve"> </w:t>
      </w:r>
      <w:r>
        <w:rPr>
          <w:rFonts w:hint="eastAsia" w:ascii="宋体" w:hAnsi="宋体"/>
          <w:color w:val="auto"/>
          <w:sz w:val="28"/>
          <w:highlight w:val="none"/>
        </w:rPr>
        <w:t>月</w:t>
      </w:r>
      <w:r>
        <w:rPr>
          <w:rFonts w:ascii="宋体" w:hAnsi="宋体"/>
          <w:color w:val="auto"/>
          <w:sz w:val="28"/>
          <w:highlight w:val="none"/>
        </w:rPr>
        <w:br w:type="page"/>
      </w:r>
    </w:p>
    <w:p>
      <w:pPr>
        <w:spacing w:line="320" w:lineRule="exact"/>
        <w:jc w:val="center"/>
        <w:rPr>
          <w:rFonts w:ascii="宋体" w:hAnsi="宋体"/>
          <w:color w:val="auto"/>
          <w:sz w:val="28"/>
          <w:highlight w:val="none"/>
        </w:rPr>
      </w:pPr>
    </w:p>
    <w:p>
      <w:pPr>
        <w:pStyle w:val="50"/>
        <w:spacing w:line="360" w:lineRule="auto"/>
        <w:rPr>
          <w:rFonts w:ascii="宋体" w:hAnsi="宋体" w:cs="宋体"/>
          <w:b w:val="0"/>
          <w:color w:val="auto"/>
          <w:szCs w:val="28"/>
          <w:highlight w:val="none"/>
        </w:rPr>
      </w:pPr>
      <w:r>
        <w:rPr>
          <w:rFonts w:ascii="宋体" w:hAnsi="宋体" w:cs="宋体"/>
          <w:b w:val="0"/>
          <w:color w:val="auto"/>
          <w:szCs w:val="28"/>
          <w:highlight w:val="none"/>
        </w:rPr>
        <w:br w:type="page"/>
      </w:r>
    </w:p>
    <w:p>
      <w:pPr>
        <w:pStyle w:val="50"/>
        <w:spacing w:line="360" w:lineRule="auto"/>
        <w:rPr>
          <w:rFonts w:ascii="宋体" w:hAnsi="宋体"/>
          <w:color w:val="auto"/>
          <w:sz w:val="28"/>
          <w:szCs w:val="28"/>
          <w:highlight w:val="none"/>
        </w:rPr>
      </w:pPr>
      <w:r>
        <w:rPr>
          <w:rFonts w:hint="eastAsia" w:ascii="宋体" w:hAnsi="宋体"/>
          <w:color w:val="auto"/>
          <w:sz w:val="28"/>
          <w:szCs w:val="28"/>
          <w:highlight w:val="none"/>
          <w:lang w:val="zh-CN"/>
        </w:rPr>
        <w:t>目录</w:t>
      </w:r>
    </w:p>
    <w:p>
      <w:pPr>
        <w:pStyle w:val="31"/>
        <w:tabs>
          <w:tab w:val="right" w:leader="dot" w:pos="8912"/>
        </w:tabs>
        <w:rPr>
          <w:color w:val="auto"/>
          <w:highlight w:val="none"/>
        </w:rPr>
      </w:pPr>
      <w:r>
        <w:rPr>
          <w:rFonts w:ascii="宋体" w:hAnsi="宋体"/>
          <w:color w:val="auto"/>
          <w:sz w:val="24"/>
          <w:highlight w:val="none"/>
        </w:rPr>
        <w:fldChar w:fldCharType="begin"/>
      </w:r>
      <w:r>
        <w:rPr>
          <w:rFonts w:ascii="宋体" w:hAnsi="宋体"/>
          <w:color w:val="auto"/>
          <w:sz w:val="24"/>
          <w:highlight w:val="none"/>
        </w:rPr>
        <w:instrText xml:space="preserve"> TOC \h \z \t "</w:instrText>
      </w:r>
      <w:r>
        <w:rPr>
          <w:rFonts w:hint="eastAsia" w:ascii="宋体" w:hAnsi="宋体"/>
          <w:color w:val="auto"/>
          <w:sz w:val="24"/>
          <w:highlight w:val="none"/>
        </w:rPr>
        <w:instrText xml:space="preserve">标题</w:instrText>
      </w:r>
      <w:r>
        <w:rPr>
          <w:rFonts w:ascii="宋体" w:hAnsi="宋体"/>
          <w:color w:val="auto"/>
          <w:sz w:val="24"/>
          <w:highlight w:val="none"/>
        </w:rPr>
        <w:instrText xml:space="preserve"> 1,2,</w:instrText>
      </w:r>
      <w:r>
        <w:rPr>
          <w:rFonts w:hint="eastAsia" w:ascii="宋体" w:hAnsi="宋体"/>
          <w:color w:val="auto"/>
          <w:sz w:val="24"/>
          <w:highlight w:val="none"/>
        </w:rPr>
        <w:instrText xml:space="preserve">标题</w:instrText>
      </w:r>
      <w:r>
        <w:rPr>
          <w:rFonts w:ascii="宋体" w:hAnsi="宋体"/>
          <w:color w:val="auto"/>
          <w:sz w:val="24"/>
          <w:highlight w:val="none"/>
        </w:rPr>
        <w:instrText xml:space="preserve">,1"</w:instrText>
      </w:r>
      <w:r>
        <w:rPr>
          <w:rFonts w:ascii="宋体" w:hAnsi="宋体"/>
          <w:color w:val="auto"/>
          <w:sz w:val="24"/>
          <w:highlight w:val="none"/>
        </w:rPr>
        <w:fldChar w:fldCharType="separate"/>
      </w:r>
      <w:r>
        <w:rPr>
          <w:color w:val="auto"/>
          <w:highlight w:val="none"/>
        </w:rPr>
        <w:fldChar w:fldCharType="begin"/>
      </w:r>
      <w:r>
        <w:rPr>
          <w:color w:val="auto"/>
          <w:highlight w:val="none"/>
        </w:rPr>
        <w:instrText xml:space="preserve"> HYPERLINK \l "_Toc7751" </w:instrText>
      </w:r>
      <w:r>
        <w:rPr>
          <w:color w:val="auto"/>
          <w:highlight w:val="none"/>
        </w:rPr>
        <w:fldChar w:fldCharType="separate"/>
      </w:r>
      <w:r>
        <w:rPr>
          <w:rFonts w:hint="eastAsia" w:ascii="宋体" w:hAnsi="宋体"/>
          <w:color w:val="auto"/>
          <w:highlight w:val="none"/>
        </w:rPr>
        <w:t>第一部分合同协议书</w:t>
      </w:r>
      <w:r>
        <w:rPr>
          <w:color w:val="auto"/>
          <w:highlight w:val="none"/>
        </w:rPr>
        <w:tab/>
      </w:r>
      <w:r>
        <w:rPr>
          <w:color w:val="auto"/>
          <w:highlight w:val="none"/>
        </w:rPr>
        <w:fldChar w:fldCharType="end"/>
      </w:r>
      <w:r>
        <w:rPr>
          <w:color w:val="auto"/>
          <w:highlight w:val="none"/>
        </w:rPr>
        <w:t>1</w:t>
      </w:r>
    </w:p>
    <w:p>
      <w:pPr>
        <w:pStyle w:val="31"/>
        <w:tabs>
          <w:tab w:val="right" w:leader="dot" w:pos="8912"/>
        </w:tabs>
        <w:rPr>
          <w:color w:val="auto"/>
          <w:highlight w:val="none"/>
        </w:rPr>
      </w:pPr>
      <w:r>
        <w:rPr>
          <w:color w:val="auto"/>
          <w:highlight w:val="none"/>
        </w:rPr>
        <w:fldChar w:fldCharType="begin"/>
      </w:r>
      <w:r>
        <w:rPr>
          <w:color w:val="auto"/>
          <w:highlight w:val="none"/>
        </w:rPr>
        <w:instrText xml:space="preserve"> HYPERLINK \l "_Toc1139" </w:instrText>
      </w:r>
      <w:r>
        <w:rPr>
          <w:color w:val="auto"/>
          <w:highlight w:val="none"/>
        </w:rPr>
        <w:fldChar w:fldCharType="separate"/>
      </w:r>
      <w:r>
        <w:rPr>
          <w:rFonts w:hint="eastAsia" w:ascii="宋体" w:hAnsi="宋体"/>
          <w:snapToGrid w:val="0"/>
          <w:color w:val="auto"/>
          <w:highlight w:val="none"/>
        </w:rPr>
        <w:t>第二部分合同附件</w:t>
      </w:r>
      <w:r>
        <w:rPr>
          <w:color w:val="auto"/>
          <w:highlight w:val="none"/>
        </w:rPr>
        <w:tab/>
      </w:r>
      <w:r>
        <w:rPr>
          <w:color w:val="auto"/>
          <w:highlight w:val="none"/>
        </w:rPr>
        <w:fldChar w:fldCharType="end"/>
      </w:r>
      <w:r>
        <w:rPr>
          <w:color w:val="auto"/>
          <w:highlight w:val="none"/>
        </w:rPr>
        <w:t>14</w:t>
      </w:r>
    </w:p>
    <w:p>
      <w:pPr>
        <w:pStyle w:val="35"/>
        <w:tabs>
          <w:tab w:val="right" w:leader="dot" w:pos="8912"/>
        </w:tabs>
        <w:spacing w:line="360" w:lineRule="auto"/>
        <w:rPr>
          <w:rFonts w:ascii="宋体" w:hAnsi="宋体"/>
          <w:color w:val="auto"/>
          <w:highlight w:val="none"/>
        </w:rPr>
      </w:pPr>
      <w:r>
        <w:rPr>
          <w:rFonts w:ascii="宋体" w:hAnsi="宋体"/>
          <w:color w:val="auto"/>
          <w:sz w:val="24"/>
          <w:highlight w:val="none"/>
        </w:rPr>
        <w:fldChar w:fldCharType="end"/>
      </w:r>
    </w:p>
    <w:p>
      <w:pPr>
        <w:pStyle w:val="23"/>
        <w:tabs>
          <w:tab w:val="left" w:pos="4002"/>
        </w:tabs>
        <w:spacing w:line="360" w:lineRule="auto"/>
        <w:rPr>
          <w:rFonts w:hAnsi="宋体" w:eastAsiaTheme="minorEastAsia"/>
          <w:color w:val="auto"/>
          <w:sz w:val="24"/>
          <w:highlight w:val="none"/>
        </w:rPr>
      </w:pPr>
      <w:r>
        <w:rPr>
          <w:rFonts w:hAnsi="宋体"/>
          <w:color w:val="auto"/>
          <w:sz w:val="24"/>
          <w:highlight w:val="none"/>
        </w:rPr>
        <w:tab/>
      </w:r>
    </w:p>
    <w:p>
      <w:pPr>
        <w:pStyle w:val="23"/>
        <w:tabs>
          <w:tab w:val="left" w:pos="4002"/>
        </w:tabs>
        <w:spacing w:line="360" w:lineRule="auto"/>
        <w:rPr>
          <w:rFonts w:hAnsi="宋体" w:eastAsiaTheme="minorEastAsia"/>
          <w:color w:val="auto"/>
          <w:sz w:val="24"/>
          <w:highlight w:val="none"/>
        </w:rPr>
      </w:pPr>
    </w:p>
    <w:p>
      <w:pPr>
        <w:pStyle w:val="23"/>
        <w:tabs>
          <w:tab w:val="left" w:pos="4002"/>
        </w:tabs>
        <w:spacing w:line="360" w:lineRule="auto"/>
        <w:rPr>
          <w:rFonts w:hAnsi="宋体" w:eastAsiaTheme="minorEastAsia"/>
          <w:color w:val="auto"/>
          <w:sz w:val="24"/>
          <w:highlight w:val="none"/>
        </w:rPr>
      </w:pPr>
    </w:p>
    <w:p>
      <w:pPr>
        <w:pStyle w:val="23"/>
        <w:tabs>
          <w:tab w:val="left" w:pos="4002"/>
        </w:tabs>
        <w:spacing w:line="360" w:lineRule="auto"/>
        <w:rPr>
          <w:rFonts w:hAnsi="宋体" w:eastAsiaTheme="minorEastAsia"/>
          <w:color w:val="auto"/>
          <w:sz w:val="24"/>
          <w:highlight w:val="none"/>
        </w:rPr>
      </w:pPr>
    </w:p>
    <w:p>
      <w:pPr>
        <w:pStyle w:val="23"/>
        <w:tabs>
          <w:tab w:val="left" w:pos="4002"/>
        </w:tabs>
        <w:spacing w:line="360" w:lineRule="auto"/>
        <w:rPr>
          <w:rFonts w:hAnsi="宋体" w:eastAsiaTheme="minorEastAsia"/>
          <w:color w:val="auto"/>
          <w:sz w:val="24"/>
          <w:highlight w:val="none"/>
        </w:rPr>
      </w:pPr>
    </w:p>
    <w:p>
      <w:pPr>
        <w:pStyle w:val="23"/>
        <w:tabs>
          <w:tab w:val="left" w:pos="4002"/>
        </w:tabs>
        <w:spacing w:line="360" w:lineRule="auto"/>
        <w:rPr>
          <w:rFonts w:hAnsi="宋体" w:eastAsiaTheme="minorEastAsia"/>
          <w:color w:val="auto"/>
          <w:sz w:val="24"/>
          <w:highlight w:val="none"/>
        </w:rPr>
      </w:pPr>
    </w:p>
    <w:p>
      <w:pPr>
        <w:pStyle w:val="23"/>
        <w:tabs>
          <w:tab w:val="left" w:pos="4002"/>
        </w:tabs>
        <w:spacing w:line="360" w:lineRule="auto"/>
        <w:rPr>
          <w:rFonts w:hAnsi="宋体" w:eastAsiaTheme="minorEastAsia"/>
          <w:color w:val="auto"/>
          <w:sz w:val="24"/>
          <w:highlight w:val="none"/>
        </w:rPr>
      </w:pPr>
    </w:p>
    <w:p>
      <w:pPr>
        <w:pStyle w:val="23"/>
        <w:tabs>
          <w:tab w:val="left" w:pos="4002"/>
        </w:tabs>
        <w:spacing w:line="360" w:lineRule="auto"/>
        <w:rPr>
          <w:rFonts w:hAnsi="宋体" w:eastAsiaTheme="minorEastAsia"/>
          <w:color w:val="auto"/>
          <w:sz w:val="24"/>
          <w:highlight w:val="none"/>
        </w:rPr>
      </w:pPr>
    </w:p>
    <w:p>
      <w:pPr>
        <w:pStyle w:val="23"/>
        <w:tabs>
          <w:tab w:val="left" w:pos="4002"/>
        </w:tabs>
        <w:spacing w:line="360" w:lineRule="auto"/>
        <w:rPr>
          <w:rFonts w:hAnsi="宋体" w:eastAsiaTheme="minorEastAsia"/>
          <w:color w:val="auto"/>
          <w:sz w:val="24"/>
          <w:highlight w:val="none"/>
        </w:rPr>
      </w:pPr>
    </w:p>
    <w:p>
      <w:pPr>
        <w:pStyle w:val="23"/>
        <w:tabs>
          <w:tab w:val="left" w:pos="4002"/>
        </w:tabs>
        <w:spacing w:line="360" w:lineRule="auto"/>
        <w:rPr>
          <w:rFonts w:hAnsi="宋体" w:eastAsiaTheme="minorEastAsia"/>
          <w:color w:val="auto"/>
          <w:sz w:val="24"/>
          <w:highlight w:val="none"/>
        </w:rPr>
      </w:pPr>
    </w:p>
    <w:p>
      <w:pPr>
        <w:pStyle w:val="23"/>
        <w:tabs>
          <w:tab w:val="left" w:pos="4002"/>
        </w:tabs>
        <w:spacing w:line="360" w:lineRule="auto"/>
        <w:rPr>
          <w:rFonts w:hAnsi="宋体" w:eastAsiaTheme="minorEastAsia"/>
          <w:color w:val="auto"/>
          <w:sz w:val="24"/>
          <w:highlight w:val="none"/>
        </w:rPr>
      </w:pPr>
    </w:p>
    <w:p>
      <w:pPr>
        <w:pStyle w:val="23"/>
        <w:tabs>
          <w:tab w:val="left" w:pos="4002"/>
        </w:tabs>
        <w:spacing w:line="360" w:lineRule="auto"/>
        <w:rPr>
          <w:rFonts w:hAnsi="宋体" w:eastAsiaTheme="minorEastAsia"/>
          <w:color w:val="auto"/>
          <w:sz w:val="24"/>
          <w:highlight w:val="none"/>
        </w:rPr>
      </w:pPr>
    </w:p>
    <w:p>
      <w:pPr>
        <w:pStyle w:val="23"/>
        <w:tabs>
          <w:tab w:val="left" w:pos="4002"/>
        </w:tabs>
        <w:spacing w:line="360" w:lineRule="auto"/>
        <w:rPr>
          <w:rFonts w:hAnsi="宋体" w:eastAsiaTheme="minorEastAsia"/>
          <w:color w:val="auto"/>
          <w:sz w:val="24"/>
          <w:highlight w:val="none"/>
        </w:rPr>
      </w:pPr>
    </w:p>
    <w:p>
      <w:pPr>
        <w:spacing w:line="360" w:lineRule="auto"/>
        <w:rPr>
          <w:rFonts w:hAnsi="宋体"/>
          <w:color w:val="auto"/>
          <w:sz w:val="24"/>
          <w:highlight w:val="none"/>
        </w:rPr>
      </w:pPr>
    </w:p>
    <w:p>
      <w:pPr>
        <w:spacing w:line="360" w:lineRule="auto"/>
        <w:rPr>
          <w:rFonts w:hAnsi="宋体"/>
          <w:color w:val="auto"/>
          <w:sz w:val="24"/>
          <w:highlight w:val="none"/>
        </w:rPr>
      </w:pPr>
    </w:p>
    <w:p>
      <w:pPr>
        <w:spacing w:line="360" w:lineRule="auto"/>
        <w:rPr>
          <w:rFonts w:hAnsi="宋体"/>
          <w:color w:val="auto"/>
          <w:sz w:val="24"/>
          <w:highlight w:val="none"/>
        </w:rPr>
      </w:pPr>
    </w:p>
    <w:p>
      <w:pPr>
        <w:spacing w:line="360" w:lineRule="auto"/>
        <w:jc w:val="center"/>
        <w:rPr>
          <w:rFonts w:hAnsi="宋体"/>
          <w:color w:val="auto"/>
          <w:sz w:val="24"/>
          <w:highlight w:val="none"/>
        </w:rPr>
      </w:pPr>
    </w:p>
    <w:p>
      <w:pPr>
        <w:tabs>
          <w:tab w:val="center" w:pos="4456"/>
        </w:tabs>
        <w:spacing w:line="360" w:lineRule="auto"/>
        <w:rPr>
          <w:rFonts w:ascii="宋体" w:hAnsi="宋体" w:eastAsia="Times New Roman"/>
          <w:color w:val="auto"/>
          <w:sz w:val="24"/>
          <w:szCs w:val="20"/>
          <w:highlight w:val="none"/>
        </w:rPr>
        <w:sectPr>
          <w:pgSz w:w="11906" w:h="16838"/>
          <w:pgMar w:top="1531" w:right="1463" w:bottom="1531" w:left="1531" w:header="851" w:footer="992" w:gutter="0"/>
          <w:cols w:space="720" w:num="1"/>
          <w:docGrid w:linePitch="312" w:charSpace="0"/>
        </w:sectPr>
      </w:pPr>
      <w:r>
        <w:rPr>
          <w:color w:val="auto"/>
          <w:highlight w:val="none"/>
        </w:rPr>
        <w:tab/>
      </w:r>
    </w:p>
    <w:p>
      <w:pPr>
        <w:pStyle w:val="5"/>
        <w:spacing w:line="360" w:lineRule="auto"/>
        <w:rPr>
          <w:rFonts w:ascii="宋体" w:hAnsi="宋体"/>
          <w:color w:val="auto"/>
          <w:highlight w:val="none"/>
        </w:rPr>
      </w:pPr>
      <w:bookmarkStart w:id="0" w:name="_Toc15926"/>
      <w:bookmarkStart w:id="1" w:name="_Toc30024"/>
      <w:bookmarkStart w:id="2" w:name="_Toc7751"/>
      <w:bookmarkStart w:id="3" w:name="_Toc10705"/>
      <w:bookmarkStart w:id="4" w:name="_Toc8721560"/>
      <w:r>
        <w:rPr>
          <w:rFonts w:hint="eastAsia" w:ascii="宋体" w:hAnsi="宋体"/>
          <w:color w:val="auto"/>
          <w:highlight w:val="none"/>
        </w:rPr>
        <w:t>第一部分合同协议书</w:t>
      </w:r>
      <w:bookmarkEnd w:id="0"/>
      <w:bookmarkEnd w:id="1"/>
      <w:bookmarkEnd w:id="2"/>
      <w:bookmarkEnd w:id="3"/>
      <w:bookmarkEnd w:id="4"/>
    </w:p>
    <w:p>
      <w:pPr>
        <w:pStyle w:val="23"/>
        <w:spacing w:line="360" w:lineRule="auto"/>
        <w:rPr>
          <w:rFonts w:hAnsi="宋体" w:eastAsia="宋体"/>
          <w:color w:val="auto"/>
          <w:sz w:val="24"/>
          <w:highlight w:val="none"/>
          <w:u w:val="single"/>
        </w:rPr>
      </w:pPr>
      <w:r>
        <w:rPr>
          <w:rFonts w:hAnsi="宋体" w:eastAsia="宋体"/>
          <w:color w:val="auto"/>
          <w:sz w:val="24"/>
          <w:highlight w:val="none"/>
        </w:rPr>
        <w:t>甲方：</w:t>
      </w:r>
      <w:r>
        <w:rPr>
          <w:rFonts w:hint="eastAsia" w:hAnsi="宋体" w:eastAsia="宋体"/>
          <w:color w:val="auto"/>
          <w:sz w:val="24"/>
          <w:highlight w:val="none"/>
          <w:u w:val="single"/>
        </w:rPr>
        <w:t>广州国际企业孵化器有限公司</w:t>
      </w:r>
    </w:p>
    <w:p>
      <w:pPr>
        <w:spacing w:line="360" w:lineRule="auto"/>
        <w:rPr>
          <w:rFonts w:ascii="宋体" w:hAnsi="宋体"/>
          <w:color w:val="auto"/>
          <w:sz w:val="24"/>
          <w:szCs w:val="20"/>
          <w:highlight w:val="none"/>
          <w:u w:val="single"/>
        </w:rPr>
      </w:pPr>
      <w:r>
        <w:rPr>
          <w:rFonts w:hint="eastAsia" w:ascii="宋体" w:hAnsi="宋体"/>
          <w:color w:val="auto"/>
          <w:sz w:val="24"/>
          <w:highlight w:val="none"/>
        </w:rPr>
        <w:t>乙方</w:t>
      </w:r>
      <w:r>
        <w:rPr>
          <w:rFonts w:ascii="宋体" w:hAnsi="宋体"/>
          <w:color w:val="auto"/>
          <w:sz w:val="24"/>
          <w:highlight w:val="none"/>
        </w:rPr>
        <w:t>：</w:t>
      </w:r>
      <w:r>
        <w:rPr>
          <w:rFonts w:hint="eastAsia" w:ascii="宋体" w:hAnsi="宋体"/>
          <w:color w:val="auto"/>
          <w:sz w:val="24"/>
          <w:highlight w:val="none"/>
          <w:u w:val="single"/>
        </w:rPr>
        <w:t>*公司</w:t>
      </w:r>
    </w:p>
    <w:p>
      <w:pPr>
        <w:adjustRightInd w:val="0"/>
        <w:snapToGrid w:val="0"/>
        <w:spacing w:before="120" w:beforeLines="50" w:line="360" w:lineRule="auto"/>
        <w:ind w:firstLine="480" w:firstLineChars="200"/>
        <w:jc w:val="left"/>
        <w:rPr>
          <w:rFonts w:ascii="宋体" w:hAnsi="宋体"/>
          <w:color w:val="auto"/>
          <w:sz w:val="24"/>
          <w:szCs w:val="20"/>
          <w:highlight w:val="none"/>
          <w:u w:val="single"/>
        </w:rPr>
      </w:pPr>
    </w:p>
    <w:p>
      <w:pPr>
        <w:spacing w:line="360" w:lineRule="auto"/>
        <w:ind w:firstLine="480" w:firstLineChars="200"/>
        <w:jc w:val="left"/>
        <w:rPr>
          <w:rFonts w:ascii="宋体" w:hAnsi="宋体"/>
          <w:color w:val="auto"/>
          <w:sz w:val="24"/>
          <w:highlight w:val="none"/>
          <w:u w:val="single"/>
        </w:rPr>
      </w:pPr>
      <w:r>
        <w:rPr>
          <w:rFonts w:hint="eastAsia" w:ascii="宋体" w:hAnsi="宋体"/>
          <w:color w:val="auto"/>
          <w:sz w:val="24"/>
          <w:highlight w:val="none"/>
        </w:rPr>
        <w:t>经甲方</w:t>
      </w:r>
      <w:r>
        <w:rPr>
          <w:rFonts w:hint="eastAsia" w:ascii="宋体" w:hAnsi="宋体"/>
          <w:color w:val="auto"/>
          <w:sz w:val="24"/>
          <w:highlight w:val="none"/>
          <w:u w:val="single"/>
        </w:rPr>
        <w:t>公开招标</w:t>
      </w:r>
      <w:r>
        <w:rPr>
          <w:rFonts w:hint="eastAsia" w:ascii="宋体" w:hAnsi="宋体"/>
          <w:color w:val="auto"/>
          <w:sz w:val="24"/>
          <w:highlight w:val="none"/>
        </w:rPr>
        <w:t>，确定乙方</w:t>
      </w:r>
      <w:r>
        <w:rPr>
          <w:rFonts w:hint="eastAsia" w:ascii="宋体" w:hAnsi="宋体"/>
          <w:color w:val="auto"/>
          <w:sz w:val="24"/>
          <w:highlight w:val="none"/>
          <w:u w:val="single"/>
        </w:rPr>
        <w:t>*公司</w:t>
      </w:r>
      <w:r>
        <w:rPr>
          <w:rFonts w:hint="eastAsia" w:ascii="宋体" w:hAnsi="宋体"/>
          <w:color w:val="auto"/>
          <w:sz w:val="24"/>
          <w:highlight w:val="none"/>
        </w:rPr>
        <w:t>为</w:t>
      </w:r>
      <w:r>
        <w:rPr>
          <w:rFonts w:hint="eastAsia" w:ascii="宋体" w:hAnsi="宋体" w:eastAsia="宋体" w:cs="宋体"/>
          <w:color w:val="000000"/>
          <w:sz w:val="24"/>
          <w:highlight w:val="none"/>
        </w:rPr>
        <w:t>广州国际企业孵化器五期工程改扩建项目</w:t>
      </w:r>
      <w:r>
        <w:rPr>
          <w:rFonts w:hint="default" w:ascii="宋体" w:hAnsi="宋体" w:eastAsia="宋体" w:cs="宋体"/>
          <w:color w:val="000000"/>
          <w:sz w:val="24"/>
          <w:highlight w:val="none"/>
        </w:rPr>
        <w:t>全过程造价咨询服务</w:t>
      </w:r>
      <w:r>
        <w:rPr>
          <w:rFonts w:hint="eastAsia" w:ascii="宋体" w:hAnsi="宋体"/>
          <w:color w:val="auto"/>
          <w:sz w:val="24"/>
          <w:highlight w:val="none"/>
        </w:rPr>
        <w:t>的中标单位（中标通知书编号为：</w:t>
      </w:r>
      <w:r>
        <w:rPr>
          <w:rFonts w:hint="eastAsia" w:ascii="宋体" w:hAnsi="宋体"/>
          <w:color w:val="auto"/>
          <w:sz w:val="24"/>
          <w:highlight w:val="none"/>
          <w:u w:val="single"/>
        </w:rPr>
        <w:t>*号</w:t>
      </w:r>
      <w:r>
        <w:rPr>
          <w:rFonts w:hint="eastAsia" w:ascii="宋体" w:hAnsi="宋体"/>
          <w:color w:val="auto"/>
          <w:sz w:val="24"/>
          <w:highlight w:val="none"/>
        </w:rPr>
        <w:t>）。根据《中华人民共和国民法典》、《中华人民共和国招标投标法》及相关法律、行政法规，遵循平等、自愿、公平和诚信原则，合同双方就</w:t>
      </w:r>
      <w:r>
        <w:rPr>
          <w:rFonts w:hint="eastAsia" w:ascii="宋体" w:hAnsi="宋体" w:eastAsia="宋体" w:cs="宋体"/>
          <w:color w:val="000000"/>
          <w:sz w:val="24"/>
          <w:highlight w:val="none"/>
        </w:rPr>
        <w:t>广州国际企业孵化器五期工程改扩建项目</w:t>
      </w:r>
      <w:r>
        <w:rPr>
          <w:rFonts w:hint="default" w:ascii="宋体" w:hAnsi="宋体" w:eastAsia="宋体" w:cs="宋体"/>
          <w:color w:val="000000"/>
          <w:sz w:val="24"/>
          <w:highlight w:val="none"/>
        </w:rPr>
        <w:t>全过程造价咨询服务</w:t>
      </w:r>
      <w:r>
        <w:rPr>
          <w:rFonts w:hint="eastAsia" w:ascii="宋体" w:hAnsi="宋体"/>
          <w:color w:val="auto"/>
          <w:sz w:val="24"/>
          <w:highlight w:val="none"/>
        </w:rPr>
        <w:t>事宜经协商一致，订立本合同。</w:t>
      </w:r>
    </w:p>
    <w:p>
      <w:pPr>
        <w:pStyle w:val="48"/>
        <w:rPr>
          <w:color w:val="auto"/>
          <w:kern w:val="2"/>
          <w:szCs w:val="24"/>
          <w:highlight w:val="none"/>
        </w:rPr>
      </w:pPr>
      <w:r>
        <w:rPr>
          <w:rFonts w:hint="eastAsia"/>
          <w:color w:val="auto"/>
          <w:highlight w:val="none"/>
        </w:rPr>
        <w:t>第一条　甲方委托乙方的工程规模、工作内容和要求</w:t>
      </w:r>
    </w:p>
    <w:p>
      <w:pPr>
        <w:pStyle w:val="48"/>
        <w:numPr>
          <w:ilvl w:val="0"/>
          <w:numId w:val="3"/>
        </w:numPr>
        <w:rPr>
          <w:color w:val="auto"/>
          <w:kern w:val="2"/>
          <w:szCs w:val="24"/>
          <w:highlight w:val="none"/>
        </w:rPr>
      </w:pPr>
      <w:r>
        <w:rPr>
          <w:rFonts w:hint="eastAsia"/>
          <w:color w:val="auto"/>
          <w:kern w:val="2"/>
          <w:szCs w:val="24"/>
          <w:highlight w:val="none"/>
        </w:rPr>
        <w:t>工程规模</w:t>
      </w:r>
    </w:p>
    <w:p>
      <w:pPr>
        <w:pStyle w:val="48"/>
        <w:numPr>
          <w:ilvl w:val="255"/>
          <w:numId w:val="0"/>
        </w:numPr>
        <w:ind w:firstLine="723" w:firstLineChars="300"/>
        <w:rPr>
          <w:rFonts w:hint="default" w:eastAsia="宋体"/>
          <w:color w:val="auto"/>
          <w:kern w:val="2"/>
          <w:szCs w:val="24"/>
          <w:highlight w:val="none"/>
          <w:u w:val="single"/>
          <w:lang w:val="en-US" w:eastAsia="zh-CN"/>
        </w:rPr>
      </w:pPr>
      <w:r>
        <w:rPr>
          <w:rFonts w:hint="eastAsia"/>
          <w:color w:val="auto"/>
          <w:kern w:val="2"/>
          <w:szCs w:val="24"/>
          <w:highlight w:val="none"/>
          <w:u w:val="single"/>
        </w:rPr>
        <w:t>本项目五期建筑总建筑面积为57920平方米，其中，计容面积为42215.00平方米，地下室15705平方米。最终建设规模以审批部门审批通过的方案为准。项目建设内容：二期用地现有建筑部分的拆除工程（G栋及地下室）、改造工程、加固工程、管线迁改工程、周边建筑或路基等安全鉴定及保护；新建五期工程，室外工程（道路、绿化、广场）、停车场工程、装修工程（公共空间）以及公用工程（电气、照明、给排水、消防、弱电等工程）等。</w:t>
      </w:r>
      <w:r>
        <w:rPr>
          <w:rFonts w:hint="eastAsia"/>
          <w:color w:val="auto"/>
          <w:kern w:val="2"/>
          <w:szCs w:val="24"/>
          <w:highlight w:val="none"/>
          <w:u w:val="single"/>
          <w:lang w:eastAsia="zh-CN"/>
        </w:rPr>
        <w:t>本项目投资额约为</w:t>
      </w:r>
      <w:r>
        <w:rPr>
          <w:rFonts w:hint="eastAsia"/>
          <w:color w:val="auto"/>
          <w:kern w:val="2"/>
          <w:szCs w:val="24"/>
          <w:highlight w:val="none"/>
          <w:u w:val="single"/>
          <w:lang w:val="en-US" w:eastAsia="zh-CN"/>
        </w:rPr>
        <w:t>36610.29万元。</w:t>
      </w:r>
    </w:p>
    <w:p>
      <w:pPr>
        <w:widowControl/>
        <w:snapToGrid w:val="0"/>
        <w:spacing w:line="360" w:lineRule="auto"/>
        <w:ind w:firstLine="480" w:firstLineChars="200"/>
        <w:jc w:val="left"/>
        <w:rPr>
          <w:rFonts w:ascii="宋体" w:hAnsi="宋体"/>
          <w:snapToGrid w:val="0"/>
          <w:color w:val="auto"/>
          <w:kern w:val="0"/>
          <w:sz w:val="24"/>
          <w:highlight w:val="none"/>
          <w:u w:val="single"/>
        </w:rPr>
      </w:pPr>
      <w:r>
        <w:rPr>
          <w:rFonts w:hint="eastAsia" w:ascii="宋体" w:hAnsi="宋体"/>
          <w:snapToGrid w:val="0"/>
          <w:color w:val="auto"/>
          <w:kern w:val="0"/>
          <w:sz w:val="24"/>
          <w:highlight w:val="none"/>
          <w:u w:val="single"/>
        </w:rPr>
        <w:t>（具体数据以施工图为准，具体名称以有关部门或文件最终确定的名称为准。）</w:t>
      </w:r>
    </w:p>
    <w:p>
      <w:pPr>
        <w:widowControl/>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color w:val="auto"/>
          <w:sz w:val="24"/>
          <w:highlight w:val="none"/>
        </w:rPr>
        <w:t>根据</w:t>
      </w:r>
      <w:r>
        <w:rPr>
          <w:rFonts w:hint="eastAsia" w:ascii="宋体" w:hAnsi="宋体" w:cs="宋体"/>
          <w:b/>
          <w:color w:val="auto"/>
          <w:sz w:val="24"/>
          <w:highlight w:val="none"/>
          <w:u w:val="single"/>
        </w:rPr>
        <w:t>广州国际企业孵化器五期工程改扩建项目</w:t>
      </w:r>
      <w:r>
        <w:rPr>
          <w:rFonts w:hint="eastAsia" w:ascii="宋体" w:hAnsi="宋体" w:cs="宋体"/>
          <w:b/>
          <w:color w:val="auto"/>
          <w:sz w:val="24"/>
          <w:highlight w:val="none"/>
        </w:rPr>
        <w:t>规划实施的具体情况，如遇该项目的投资规模、结构形式、项目名称或者造价等发生调整（或变更，或增减），也可能会新增或减少、甚至取消部分子项工程，乙方已充分理解此风险并无条件接受不得拒绝，</w:t>
      </w:r>
      <w:r>
        <w:rPr>
          <w:rFonts w:hint="eastAsia" w:ascii="宋体" w:hAnsi="宋体" w:cs="宋体"/>
          <w:b/>
          <w:bCs/>
          <w:color w:val="auto"/>
          <w:sz w:val="24"/>
          <w:highlight w:val="none"/>
        </w:rPr>
        <w:t>如遇政策变化取消该全部工程，则本合同自行失效，乙方已充分理解此风险并不得向甲方索赔。</w:t>
      </w:r>
    </w:p>
    <w:p>
      <w:pPr>
        <w:pStyle w:val="51"/>
        <w:spacing w:after="0" w:line="360" w:lineRule="auto"/>
        <w:ind w:firstLine="482" w:firstLineChars="200"/>
        <w:jc w:val="left"/>
        <w:rPr>
          <w:rFonts w:ascii="宋体" w:eastAsia="宋体"/>
          <w:color w:val="auto"/>
          <w:kern w:val="2"/>
          <w:sz w:val="24"/>
          <w:szCs w:val="24"/>
          <w:highlight w:val="none"/>
        </w:rPr>
      </w:pPr>
      <w:r>
        <w:rPr>
          <w:rFonts w:hint="eastAsia" w:ascii="宋体" w:eastAsia="宋体"/>
          <w:color w:val="auto"/>
          <w:kern w:val="2"/>
          <w:sz w:val="24"/>
          <w:szCs w:val="24"/>
          <w:highlight w:val="none"/>
        </w:rPr>
        <w:t>（二）工作内容</w:t>
      </w:r>
    </w:p>
    <w:p>
      <w:pPr>
        <w:spacing w:line="360" w:lineRule="auto"/>
        <w:ind w:firstLine="480" w:firstLineChars="200"/>
        <w:rPr>
          <w:rFonts w:ascii="宋体" w:hAnsi="宋体"/>
          <w:color w:val="auto"/>
          <w:kern w:val="0"/>
          <w:sz w:val="24"/>
          <w:highlight w:val="none"/>
          <w:shd w:val="clear" w:color="auto" w:fill="FFFFFF"/>
        </w:rPr>
      </w:pPr>
      <w:r>
        <w:rPr>
          <w:rFonts w:hint="eastAsia" w:ascii="宋体" w:hAnsi="宋体"/>
          <w:color w:val="auto"/>
          <w:kern w:val="0"/>
          <w:sz w:val="24"/>
          <w:highlight w:val="none"/>
          <w:shd w:val="clear" w:color="auto" w:fill="FFFFFF"/>
        </w:rPr>
        <w:t>乙方工作的内容</w:t>
      </w:r>
      <w:r>
        <w:rPr>
          <w:rFonts w:hint="eastAsia" w:ascii="宋体" w:hAnsi="宋体"/>
          <w:color w:val="auto"/>
          <w:kern w:val="0"/>
          <w:sz w:val="24"/>
          <w:highlight w:val="none"/>
          <w:u w:val="single"/>
          <w:shd w:val="clear" w:color="auto" w:fill="FFFFFF"/>
        </w:rPr>
        <w:t>包括但不限于本项目设计阶段、施工阶段、结算阶段及其他阶段等造价咨询服务（造价咨询服务包括但不限于下表内容）：</w:t>
      </w:r>
      <w:r>
        <w:rPr>
          <w:rFonts w:hint="eastAsia" w:ascii="宋体" w:hAnsi="宋体"/>
          <w:color w:val="auto"/>
          <w:kern w:val="0"/>
          <w:sz w:val="24"/>
          <w:highlight w:val="none"/>
          <w:shd w:val="clear" w:color="auto" w:fill="FFFFFF"/>
        </w:rPr>
        <w:t>（甲方保留调整工作范围和内容的权利）</w:t>
      </w:r>
      <w:r>
        <w:rPr>
          <w:rFonts w:ascii="宋体" w:hAnsi="宋体"/>
          <w:color w:val="auto"/>
          <w:kern w:val="0"/>
          <w:sz w:val="24"/>
          <w:highlight w:val="none"/>
          <w:shd w:val="clear" w:color="auto" w:fill="FFFFFF"/>
        </w:rPr>
        <w:t>。</w:t>
      </w:r>
    </w:p>
    <w:tbl>
      <w:tblPr>
        <w:tblStyle w:val="40"/>
        <w:tblW w:w="8944" w:type="dxa"/>
        <w:tblInd w:w="-17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294"/>
        <w:gridCol w:w="694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0"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94"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阶段</w:t>
            </w:r>
          </w:p>
        </w:tc>
        <w:tc>
          <w:tcPr>
            <w:tcW w:w="6940"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工作内容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0"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94"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设计阶段</w:t>
            </w:r>
          </w:p>
        </w:tc>
        <w:tc>
          <w:tcPr>
            <w:tcW w:w="6940"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numPr>
                <w:ilvl w:val="0"/>
                <w:numId w:val="4"/>
              </w:num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负责审核并完成初步设计概算评审（含</w:t>
            </w:r>
            <w:r>
              <w:rPr>
                <w:rFonts w:hint="eastAsia" w:ascii="宋体" w:hAnsi="宋体" w:eastAsia="宋体" w:cs="宋体"/>
                <w:color w:val="auto"/>
                <w:sz w:val="24"/>
                <w:highlight w:val="none"/>
                <w:lang w:val="en-US" w:eastAsia="zh-CN"/>
              </w:rPr>
              <w:t>工程量计算和计价等</w:t>
            </w:r>
            <w:r>
              <w:rPr>
                <w:rFonts w:hint="eastAsia" w:ascii="宋体" w:hAnsi="宋体" w:eastAsia="宋体" w:cs="宋体"/>
                <w:color w:val="auto"/>
                <w:sz w:val="24"/>
                <w:highlight w:val="none"/>
              </w:rPr>
              <w:t>），提出专业意见及合理化建议，并与设计施工总承包单位完成对数（含核对项、量及价格</w:t>
            </w:r>
            <w:r>
              <w:rPr>
                <w:rFonts w:hint="eastAsia" w:ascii="宋体" w:hAnsi="宋体" w:eastAsia="宋体" w:cs="宋体"/>
                <w:color w:val="auto"/>
                <w:sz w:val="24"/>
                <w:highlight w:val="none"/>
                <w:lang w:val="en-US" w:eastAsia="zh-CN"/>
              </w:rPr>
              <w:t>和费用</w:t>
            </w:r>
            <w:r>
              <w:rPr>
                <w:rFonts w:hint="eastAsia" w:ascii="宋体" w:hAnsi="宋体" w:eastAsia="宋体" w:cs="宋体"/>
                <w:color w:val="auto"/>
                <w:sz w:val="24"/>
                <w:highlight w:val="none"/>
              </w:rPr>
              <w:t>等），并提交概算审核报告。</w:t>
            </w:r>
          </w:p>
          <w:p>
            <w:pPr>
              <w:numPr>
                <w:ilvl w:val="0"/>
                <w:numId w:val="4"/>
              </w:num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负责对设计中采用的主材、设备等提供市场信息，进行方案比较，提出优化建议。</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.负责根据批准的设计概算，提出工程项目的各专业工程和各阶段造价限额指标。</w:t>
            </w:r>
          </w:p>
          <w:p>
            <w:pPr>
              <w:rPr>
                <w:color w:val="auto"/>
                <w:highlight w:val="none"/>
              </w:rPr>
            </w:pP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4.负责审核并完成施工图预算评审（含</w:t>
            </w:r>
            <w:r>
              <w:rPr>
                <w:rFonts w:hint="eastAsia" w:ascii="宋体" w:hAnsi="宋体" w:eastAsia="宋体" w:cs="宋体"/>
                <w:color w:val="auto"/>
                <w:sz w:val="24"/>
                <w:highlight w:val="none"/>
                <w:lang w:val="en-US" w:eastAsia="zh-CN"/>
              </w:rPr>
              <w:t>工程量计算和计价等</w:t>
            </w:r>
            <w:r>
              <w:rPr>
                <w:rFonts w:hint="eastAsia" w:ascii="宋体" w:hAnsi="宋体" w:eastAsia="宋体" w:cs="宋体"/>
                <w:color w:val="auto"/>
                <w:sz w:val="24"/>
                <w:highlight w:val="none"/>
              </w:rPr>
              <w:t>），提出专业意见及合理化建议，并与设计施工总承包单位完成对数（含核对项、量及价格</w:t>
            </w:r>
            <w:r>
              <w:rPr>
                <w:rFonts w:hint="eastAsia" w:ascii="宋体" w:hAnsi="宋体" w:eastAsia="宋体" w:cs="宋体"/>
                <w:color w:val="auto"/>
                <w:sz w:val="24"/>
                <w:highlight w:val="none"/>
                <w:lang w:val="en-US" w:eastAsia="zh-CN"/>
              </w:rPr>
              <w:t>和费用</w:t>
            </w:r>
            <w:r>
              <w:rPr>
                <w:rFonts w:hint="eastAsia" w:ascii="宋体" w:hAnsi="宋体" w:eastAsia="宋体" w:cs="宋体"/>
                <w:color w:val="auto"/>
                <w:sz w:val="24"/>
                <w:highlight w:val="none"/>
              </w:rPr>
              <w:t>等），并提交预算审核报告。</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5.负责参加设计方案论证会议、工程图纸会审、工程款审核专题会、变更论证等专题会，提出造价专业意见，必须有项目负责人和具体经办的各相关专业造价工程师等人员参加会议。</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6.根据确定的设计方案编制详细的工程成本预测和资金流量预测分析，以作为进度和成本控制的目标；随设计的深入定期分析工程成本、定期修正资金流量预测。</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7.负责按甲方要求编制清单计价模式等各类造价管理文件。</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8.负责工程其他费用的预算审核（含</w:t>
            </w:r>
            <w:r>
              <w:rPr>
                <w:rFonts w:hint="eastAsia" w:ascii="宋体" w:hAnsi="宋体" w:eastAsia="宋体" w:cs="宋体"/>
                <w:color w:val="auto"/>
                <w:sz w:val="24"/>
                <w:highlight w:val="none"/>
                <w:lang w:val="en-US" w:eastAsia="zh-CN"/>
              </w:rPr>
              <w:t>工程量计算和计价等</w:t>
            </w:r>
            <w:r>
              <w:rPr>
                <w:rFonts w:hint="eastAsia" w:ascii="宋体" w:hAnsi="宋体" w:eastAsia="宋体" w:cs="宋体"/>
                <w:color w:val="auto"/>
                <w:sz w:val="24"/>
                <w:highlight w:val="none"/>
              </w:rPr>
              <w:t>），并按时提交审核报告。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0"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94"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施工阶段</w:t>
            </w:r>
          </w:p>
        </w:tc>
        <w:tc>
          <w:tcPr>
            <w:tcW w:w="6940"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1.负责按甲方要求编制各类造价管理文件，包括工程变更程序、工程款支付程序等。</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2.制定项目总体投资进度计划，每月底提交投资控制报告，含项目整体资金使用情况、结算价预估分析、动态成本（须与目标成本对比分析偏差原因及解决方案建议）等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分析成本超支的原因和修正项目投资进度计划。</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3.负责施工过程造价控制，审核工程量与进度款。</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4.根据经验主动地、有预见性地提醒甲方节约费用，防范工期索赔，负责协助甲方合同索赔处理，参加合同变更谈判，负责处理合同变更，向甲方提供专业评估意见及估算书，维护甲方的合法权益。</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负责建立合同台账、支付台账、工程变更管理台账（按变更原因分类）、签证台账、动态投资台账，负责每个月月底前提交工程项目整体结算价预估分析、动态成本（须与目标成本对比分析偏差原因及解决方案），统计分析工程投资情况，定期向甲方汇报，为投资控制提供依据，确保工程总投资控制在合理范围内。</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6. 项目负责人会同具体经办的各相关专业造价工程师等人员负责定期召开造价控制会议，参与选择技术经济性最佳的方案，控制好技术设计和施工图设计的不合理变更，集中会审现场签证、工程变更的工程量和造价预算，确认变更价款。负责提交工程变更（包括：图纸会审、图纸修改、工程洽商等）对造价影响分析，及成本控制报告。</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7.发生现场签证时，项目负责人和具体经办的相关专业造价工程师等人员须与甲方、工程监理、施工单位一起进行工程量现场核查，各方签认后作为签证依据。</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8.负责定期收集和整理有关设备材料的市场价格动态信息，对施工方案、材料选用提供成本控制建议。每月提交人工机械主材设备价格造价影响分析。</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9.根据甲方的需要参与合同谈判、合同价款修正及调整的审核，必须有项目负责人和具体经办的相关专业造价工程师等人员参加。</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10.工程建设其他费用合同的审核以及报价方案的审核。</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11．负责审核承包方施工单位报送的计量报表（即验工计价）。</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12．每周参加工程现场例会，并深入施工现场了解实际情况，必要时保留影像资料。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0"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94"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结算阶段</w:t>
            </w:r>
          </w:p>
        </w:tc>
        <w:tc>
          <w:tcPr>
            <w:tcW w:w="6940"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1.负责收集结算资料，按甲方要求编制结算管理文件，开展工程结算审核工作（含</w:t>
            </w:r>
            <w:r>
              <w:rPr>
                <w:rFonts w:hint="eastAsia" w:ascii="宋体" w:hAnsi="宋体" w:eastAsia="宋体" w:cs="宋体"/>
                <w:color w:val="auto"/>
                <w:sz w:val="24"/>
                <w:highlight w:val="none"/>
                <w:lang w:val="en-US" w:eastAsia="zh-CN"/>
              </w:rPr>
              <w:t>工程量计算和计价等</w:t>
            </w:r>
            <w:r>
              <w:rPr>
                <w:rFonts w:hint="eastAsia" w:ascii="宋体" w:hAnsi="宋体" w:eastAsia="宋体" w:cs="宋体"/>
                <w:color w:val="auto"/>
                <w:sz w:val="24"/>
                <w:highlight w:val="none"/>
              </w:rPr>
              <w:t>），编制审核后的工程结算文件，并与设计施工总承包单位对数（含核对项、量及价格</w:t>
            </w:r>
            <w:r>
              <w:rPr>
                <w:rFonts w:hint="eastAsia" w:ascii="宋体" w:hAnsi="宋体" w:eastAsia="宋体" w:cs="宋体"/>
                <w:color w:val="auto"/>
                <w:sz w:val="24"/>
                <w:highlight w:val="none"/>
                <w:lang w:val="en-US" w:eastAsia="zh-CN"/>
              </w:rPr>
              <w:t>和费用</w:t>
            </w:r>
            <w:r>
              <w:rPr>
                <w:rFonts w:hint="eastAsia" w:ascii="宋体" w:hAnsi="宋体" w:eastAsia="宋体" w:cs="宋体"/>
                <w:color w:val="auto"/>
                <w:sz w:val="24"/>
                <w:highlight w:val="none"/>
              </w:rPr>
              <w:t>等），出具结算审核报告，配合甲方的结算送评审、核对项、量及价格</w:t>
            </w:r>
            <w:r>
              <w:rPr>
                <w:rFonts w:hint="eastAsia" w:ascii="宋体" w:hAnsi="宋体" w:eastAsia="宋体" w:cs="宋体"/>
                <w:color w:val="auto"/>
                <w:sz w:val="24"/>
                <w:highlight w:val="none"/>
                <w:lang w:val="en-US" w:eastAsia="zh-CN"/>
              </w:rPr>
              <w:t>和费用</w:t>
            </w:r>
            <w:r>
              <w:rPr>
                <w:rFonts w:hint="eastAsia" w:ascii="宋体" w:hAnsi="宋体" w:eastAsia="宋体" w:cs="宋体"/>
                <w:color w:val="auto"/>
                <w:sz w:val="24"/>
                <w:highlight w:val="none"/>
              </w:rPr>
              <w:t>等工作。</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2.负责收集和整理结算依据资料，收集有关工程费用方面的签证资料，核对单据并及时归档。</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3.负责收集建设工程其他费用相关资料，汇总并审核，出具审核报告，配合甲方的结算送评审、核对项、量及价格等工作。</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4.负责建立结算台账，编制结算计划。</w:t>
            </w:r>
          </w:p>
          <w:p>
            <w:pPr>
              <w:wordWrap/>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结算后进行资料汇总、提交结算后评估分析，包括对项目及实施过程的描述、估算、概算、预算、合同价及结算价进行比较，编制单体、各项各专业等工程建筑技术经济指标，对产生偏差的原因及投资控制的效果进行分析，提交合同管理及执行情况的专题报告。</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.在审计部门或有关单位开展本项目审计工作时，负责准备审计所需材料，做好审计答疑工作，协助做好审计部门及相关单位审计工作，确保审计工作顺利完成。</w:t>
            </w:r>
          </w:p>
          <w:p>
            <w:pPr>
              <w:wordWrap w:val="0"/>
              <w:spacing w:line="36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配合甲方实施决算工作。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10"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94"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其他阶段</w:t>
            </w:r>
          </w:p>
        </w:tc>
        <w:tc>
          <w:tcPr>
            <w:tcW w:w="6940"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1.项目负责人会同具体经办的相关专业造价工程师等人员负责组织或参加相关造价控制评审、变更专题等会议，包括邀请相应的经济专家。</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2.视情况邀请高级经济顾问对造价问题进行咨询把关。</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3.向甲方提出专业性建议并提供相关的服务，协助甲方解决与第三方的合同。</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4、在招标限价、合同价、结算等关键节点审核时，应及时合理安排能满足以上各关键节点的造价团队，专业配置齐全，确保按甲方要求时间完成相关审核工作（含</w:t>
            </w:r>
            <w:r>
              <w:rPr>
                <w:rFonts w:hint="eastAsia" w:ascii="宋体" w:hAnsi="宋体" w:eastAsia="宋体" w:cs="宋体"/>
                <w:color w:val="auto"/>
                <w:sz w:val="24"/>
                <w:highlight w:val="none"/>
                <w:lang w:val="en-US" w:eastAsia="zh-CN"/>
              </w:rPr>
              <w:t>工程量计算和计价等</w:t>
            </w:r>
            <w:r>
              <w:rPr>
                <w:rFonts w:hint="eastAsia" w:ascii="宋体" w:hAnsi="宋体" w:eastAsia="宋体" w:cs="宋体"/>
                <w:color w:val="auto"/>
                <w:sz w:val="24"/>
                <w:highlight w:val="none"/>
              </w:rPr>
              <w:t>），出具审核报告。</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5.项目推进过程中，协助甲方完成相关的专业评审工作，评审的相关费用已包含在合同价款内。</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6.拆迁、管线、绿化迁移及</w:t>
            </w:r>
            <w:r>
              <w:rPr>
                <w:rFonts w:hint="eastAsia" w:ascii="宋体" w:hAnsi="宋体" w:eastAsia="宋体" w:cs="宋体"/>
                <w:color w:val="auto"/>
                <w:sz w:val="24"/>
                <w:highlight w:val="none"/>
                <w:lang w:val="en-US" w:eastAsia="zh-CN"/>
              </w:rPr>
              <w:t>设计费、监理费、检测监测等与本项目</w:t>
            </w:r>
            <w:r>
              <w:rPr>
                <w:rFonts w:hint="eastAsia" w:ascii="宋体" w:hAnsi="宋体" w:eastAsia="宋体" w:cs="宋体"/>
                <w:color w:val="auto"/>
                <w:sz w:val="24"/>
                <w:highlight w:val="none"/>
              </w:rPr>
              <w:t>相关的</w:t>
            </w:r>
            <w:r>
              <w:rPr>
                <w:rFonts w:hint="eastAsia" w:ascii="宋体" w:hAnsi="宋体" w:eastAsia="宋体" w:cs="宋体"/>
                <w:color w:val="auto"/>
                <w:sz w:val="24"/>
                <w:highlight w:val="none"/>
                <w:lang w:val="en-US" w:eastAsia="zh-CN"/>
              </w:rPr>
              <w:t>各项</w:t>
            </w:r>
            <w:r>
              <w:rPr>
                <w:rFonts w:hint="eastAsia" w:ascii="宋体" w:hAnsi="宋体" w:eastAsia="宋体" w:cs="宋体"/>
                <w:color w:val="auto"/>
                <w:sz w:val="24"/>
                <w:highlight w:val="none"/>
              </w:rPr>
              <w:t>造价审核工作。</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7. 甲方安排的其他造价管理工作。</w:t>
            </w:r>
          </w:p>
          <w:p>
            <w:pPr>
              <w:wordWrap w:val="0"/>
              <w:spacing w:line="3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8. 甲方要求的本工程其他造价咨询及投资控制事项，随时接受甲方对本工程的造价咨询。</w:t>
            </w:r>
          </w:p>
        </w:tc>
      </w:tr>
    </w:tbl>
    <w:p>
      <w:pPr>
        <w:pStyle w:val="51"/>
        <w:spacing w:after="0" w:line="360" w:lineRule="auto"/>
        <w:ind w:firstLine="482" w:firstLineChars="200"/>
        <w:jc w:val="left"/>
        <w:rPr>
          <w:rFonts w:ascii="宋体" w:eastAsia="宋体"/>
          <w:color w:val="auto"/>
          <w:kern w:val="2"/>
          <w:sz w:val="24"/>
          <w:szCs w:val="24"/>
          <w:highlight w:val="none"/>
        </w:rPr>
      </w:pPr>
      <w:r>
        <w:rPr>
          <w:rFonts w:hint="eastAsia" w:ascii="宋体" w:eastAsia="宋体"/>
          <w:color w:val="auto"/>
          <w:kern w:val="2"/>
          <w:sz w:val="24"/>
          <w:szCs w:val="24"/>
          <w:highlight w:val="none"/>
        </w:rPr>
        <w:t>（三）乙方工作要求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1）按照本合同及项目工作要求做好各项工作，按时、按质量要求向甲方提交工作成果，直接对甲方负责。</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2）对本工程造价咨询的结论和质量负责。</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3）向甲方提交的工作成果须为书面形式，并须得到甲方的书面认可，但甲方不对其认可的造价咨询质量负责。</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4）乙方不得</w:t>
      </w:r>
      <w:r>
        <w:rPr>
          <w:rFonts w:hint="eastAsia" w:ascii="宋体" w:hAnsi="宋体"/>
          <w:color w:val="auto"/>
          <w:sz w:val="24"/>
          <w:highlight w:val="none"/>
        </w:rPr>
        <w:t>做出其他有损甲方和业主利益的行为。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5）按照甲方项目工作进度的安排，保证咨询人员按时到位。应建设管理单位的要求委派</w:t>
      </w:r>
      <w:r>
        <w:rPr>
          <w:rFonts w:hint="eastAsia" w:ascii="宋体" w:hAnsi="宋体"/>
          <w:color w:val="auto"/>
          <w:sz w:val="24"/>
          <w:highlight w:val="none"/>
          <w:u w:val="single"/>
          <w:lang w:val="en-US" w:eastAsia="zh-CN"/>
        </w:rPr>
        <w:t>1</w:t>
      </w:r>
      <w:r>
        <w:rPr>
          <w:rFonts w:ascii="宋体" w:hAnsi="宋体"/>
          <w:color w:val="auto"/>
          <w:sz w:val="24"/>
          <w:highlight w:val="none"/>
        </w:rPr>
        <w:t>名造价咨询代表常驻建设管理单位负责工程造价咨询协调工作。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6）负责对造价咨询报告的内容及结论提供答疑。对甲方及财政评审相关部门所提出的问题不能及时核对或答复，导致合同不能全部或部分履行，乙方应承担责任。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7）应秉公办事，不得利用其造价咨询的身份进行不正当活动，一经发现，甲方有权解除合同，并追究其责任。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8）提供的造价咨询成果能通过招标及财政评审的相应规范要求。</w:t>
      </w:r>
    </w:p>
    <w:p>
      <w:pPr>
        <w:spacing w:line="360" w:lineRule="auto"/>
        <w:ind w:firstLine="48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9）提供与工程造价咨询业务有关的资料，包括工程造价咨询的资质证书及承担本合同业务的专业人员名单、咨询工作计划等，并按合同专用条件中约定的范围实施咨询业务。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10）在履行合同期间或合同规定期限内，不得泄露与本合同规定业务活动有关的保密资料。</w:t>
      </w:r>
    </w:p>
    <w:p>
      <w:pPr>
        <w:pStyle w:val="48"/>
        <w:rPr>
          <w:b w:val="0"/>
          <w:bCs w:val="0"/>
          <w:color w:val="auto"/>
          <w:highlight w:val="none"/>
        </w:rPr>
      </w:pPr>
      <w:r>
        <w:rPr>
          <w:rFonts w:hint="eastAsia"/>
          <w:color w:val="auto"/>
          <w:highlight w:val="none"/>
        </w:rPr>
        <w:t>第二条　甲方义务</w:t>
      </w:r>
    </w:p>
    <w:p>
      <w:pPr>
        <w:pStyle w:val="19"/>
        <w:adjustRightInd w:val="0"/>
        <w:snapToGrid w:val="0"/>
        <w:spacing w:line="360" w:lineRule="auto"/>
        <w:ind w:left="0" w:leftChars="0" w:firstLine="480" w:firstLineChars="200"/>
        <w:rPr>
          <w:rFonts w:ascii="宋体" w:hAnsi="宋体"/>
          <w:color w:val="auto"/>
          <w:sz w:val="24"/>
          <w:szCs w:val="24"/>
          <w:highlight w:val="none"/>
        </w:rPr>
      </w:pPr>
      <w:r>
        <w:rPr>
          <w:rFonts w:hint="eastAsia" w:ascii="宋体" w:hAnsi="宋体"/>
          <w:color w:val="auto"/>
          <w:sz w:val="24"/>
          <w:highlight w:val="none"/>
        </w:rPr>
        <w:t>（一）甲方项目联系人由甲方另行指定</w:t>
      </w:r>
      <w:r>
        <w:rPr>
          <w:rFonts w:ascii="宋体" w:hAnsi="宋体"/>
          <w:color w:val="auto"/>
          <w:sz w:val="24"/>
          <w:szCs w:val="24"/>
          <w:highlight w:val="none"/>
        </w:rPr>
        <w:t>。</w:t>
      </w:r>
    </w:p>
    <w:p>
      <w:pPr>
        <w:pStyle w:val="19"/>
        <w:adjustRightInd w:val="0"/>
        <w:snapToGrid w:val="0"/>
        <w:spacing w:line="360" w:lineRule="auto"/>
        <w:ind w:left="0" w:leftChars="0" w:firstLine="480" w:firstLineChars="200"/>
        <w:rPr>
          <w:rFonts w:ascii="宋体" w:hAnsi="宋体"/>
          <w:color w:val="auto"/>
          <w:sz w:val="24"/>
          <w:szCs w:val="24"/>
          <w:highlight w:val="none"/>
        </w:rPr>
      </w:pPr>
      <w:r>
        <w:rPr>
          <w:rFonts w:ascii="宋体" w:hAnsi="宋体"/>
          <w:color w:val="auto"/>
          <w:sz w:val="24"/>
          <w:szCs w:val="24"/>
          <w:highlight w:val="none"/>
        </w:rPr>
        <w:t>若甲方需变更项目联系人，应及时以书面形式通知乙方。若甲方未履行及时通知义务，影响本合同的履行或造成损失的，应承担相应的法律责任。</w:t>
      </w:r>
    </w:p>
    <w:p>
      <w:pPr>
        <w:pStyle w:val="19"/>
        <w:adjustRightInd w:val="0"/>
        <w:snapToGrid w:val="0"/>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（二）甲方应当向乙方提供以下协作事项：</w:t>
      </w:r>
    </w:p>
    <w:p>
      <w:pPr>
        <w:pStyle w:val="19"/>
        <w:adjustRightInd w:val="0"/>
        <w:snapToGrid w:val="0"/>
        <w:spacing w:line="360" w:lineRule="auto"/>
        <w:ind w:left="0" w:leftChars="0"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、提供相关资料</w:t>
      </w:r>
    </w:p>
    <w:p>
      <w:pPr>
        <w:pStyle w:val="19"/>
        <w:adjustRightInd w:val="0"/>
        <w:snapToGrid w:val="0"/>
        <w:spacing w:line="360" w:lineRule="auto"/>
        <w:ind w:left="0" w:leftChars="0"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向乙方提供本工程造价咨询业务应具备的相关工程前期资料及资金落实情况资料。</w:t>
      </w:r>
    </w:p>
    <w:p>
      <w:pPr>
        <w:pStyle w:val="19"/>
        <w:adjustRightInd w:val="0"/>
        <w:snapToGrid w:val="0"/>
        <w:spacing w:line="360" w:lineRule="auto"/>
        <w:ind w:left="0" w:leftChars="0"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提供工作条件</w:t>
      </w:r>
    </w:p>
    <w:p>
      <w:pPr>
        <w:pStyle w:val="19"/>
        <w:adjustRightInd w:val="0"/>
        <w:snapToGrid w:val="0"/>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协助乙方与相关的部门沟通，协助解决驻场人员办公场地，相关费用由乙方自行解决。</w:t>
      </w:r>
    </w:p>
    <w:p>
      <w:pPr>
        <w:pStyle w:val="19"/>
        <w:adjustRightInd w:val="0"/>
        <w:snapToGrid w:val="0"/>
        <w:spacing w:line="360" w:lineRule="auto"/>
        <w:ind w:left="0" w:leftChars="0" w:firstLine="480" w:firstLineChars="200"/>
        <w:rPr>
          <w:rFonts w:ascii="宋体" w:hAnsi="宋体"/>
          <w:color w:val="auto"/>
          <w:sz w:val="24"/>
          <w:highlight w:val="none"/>
        </w:rPr>
      </w:pPr>
      <w:r>
        <w:rPr>
          <w:rFonts w:ascii="宋体" w:hAnsi="宋体"/>
          <w:color w:val="auto"/>
          <w:sz w:val="24"/>
          <w:highlight w:val="none"/>
        </w:rPr>
        <w:t>3、其他：</w:t>
      </w:r>
      <w:r>
        <w:rPr>
          <w:rFonts w:hint="eastAsia" w:ascii="宋体" w:hAnsi="宋体"/>
          <w:bCs/>
          <w:snapToGrid w:val="0"/>
          <w:color w:val="auto"/>
          <w:kern w:val="0"/>
          <w:sz w:val="24"/>
          <w:highlight w:val="none"/>
        </w:rPr>
        <w:t>造价咨询业务</w:t>
      </w:r>
      <w:r>
        <w:rPr>
          <w:rFonts w:hint="eastAsia" w:ascii="宋体" w:hAnsi="宋体"/>
          <w:color w:val="auto"/>
          <w:sz w:val="24"/>
          <w:highlight w:val="none"/>
        </w:rPr>
        <w:t>所需的有关资料。</w:t>
      </w:r>
    </w:p>
    <w:p>
      <w:pPr>
        <w:pStyle w:val="19"/>
        <w:adjustRightInd w:val="0"/>
        <w:snapToGrid w:val="0"/>
        <w:spacing w:line="360" w:lineRule="auto"/>
        <w:ind w:left="0" w:leftChars="0" w:firstLine="480" w:firstLineChars="200"/>
        <w:rPr>
          <w:rFonts w:ascii="宋体" w:hAnsi="宋体"/>
          <w:color w:val="auto"/>
          <w:sz w:val="24"/>
          <w:highlight w:val="none"/>
          <w:u w:val="single"/>
        </w:rPr>
      </w:pPr>
      <w:r>
        <w:rPr>
          <w:rFonts w:hint="eastAsia" w:ascii="宋体" w:hAnsi="宋体"/>
          <w:color w:val="auto"/>
          <w:sz w:val="24"/>
          <w:highlight w:val="none"/>
        </w:rPr>
        <w:t>甲方提供上述协作事项的时间及方式：</w:t>
      </w:r>
      <w:r>
        <w:rPr>
          <w:rFonts w:hint="eastAsia" w:ascii="宋体" w:hAnsi="宋体"/>
          <w:color w:val="auto"/>
          <w:sz w:val="24"/>
          <w:highlight w:val="none"/>
          <w:u w:val="single"/>
        </w:rPr>
        <w:t>自签订本合同之日起至完成全部服务内容完成日止。</w:t>
      </w:r>
    </w:p>
    <w:p>
      <w:pPr>
        <w:pStyle w:val="19"/>
        <w:adjustRightInd w:val="0"/>
        <w:snapToGrid w:val="0"/>
        <w:spacing w:line="360" w:lineRule="auto"/>
        <w:ind w:left="0" w:leftChars="0" w:firstLine="480" w:firstLineChars="200"/>
        <w:rPr>
          <w:rFonts w:ascii="宋体" w:hAnsi="宋体"/>
          <w:bCs/>
          <w:snapToGrid w:val="0"/>
          <w:color w:val="auto"/>
          <w:kern w:val="0"/>
          <w:sz w:val="24"/>
          <w:highlight w:val="none"/>
        </w:rPr>
      </w:pPr>
      <w:r>
        <w:rPr>
          <w:rFonts w:hint="eastAsia" w:ascii="宋体" w:hAnsi="宋体"/>
          <w:color w:val="auto"/>
          <w:sz w:val="24"/>
          <w:highlight w:val="none"/>
        </w:rPr>
        <w:t>（三）甲方须按照本合同约定向乙方支付造价咨询</w:t>
      </w:r>
      <w:r>
        <w:rPr>
          <w:rFonts w:hint="eastAsia" w:ascii="宋体" w:hAnsi="宋体"/>
          <w:bCs/>
          <w:snapToGrid w:val="0"/>
          <w:color w:val="auto"/>
          <w:kern w:val="0"/>
          <w:sz w:val="24"/>
          <w:highlight w:val="none"/>
        </w:rPr>
        <w:t>的工作报酬。</w:t>
      </w:r>
    </w:p>
    <w:p>
      <w:pPr>
        <w:pStyle w:val="48"/>
        <w:rPr>
          <w:color w:val="auto"/>
          <w:highlight w:val="none"/>
        </w:rPr>
      </w:pPr>
      <w:r>
        <w:rPr>
          <w:rFonts w:hint="eastAsia"/>
          <w:color w:val="auto"/>
          <w:highlight w:val="none"/>
        </w:rPr>
        <w:t>第三条　乙方义务</w:t>
      </w:r>
    </w:p>
    <w:p>
      <w:pPr>
        <w:adjustRightInd w:val="0"/>
        <w:snapToGrid w:val="0"/>
        <w:spacing w:line="360" w:lineRule="auto"/>
        <w:ind w:firstLine="360" w:firstLineChars="150"/>
        <w:rPr>
          <w:rFonts w:ascii="宋体" w:hAnsi="宋体"/>
          <w:bCs/>
          <w:snapToGrid w:val="0"/>
          <w:color w:val="auto"/>
          <w:kern w:val="0"/>
          <w:sz w:val="24"/>
          <w:highlight w:val="none"/>
        </w:rPr>
      </w:pPr>
      <w:r>
        <w:rPr>
          <w:rFonts w:hint="eastAsia" w:ascii="宋体" w:hAnsi="宋体"/>
          <w:snapToGrid w:val="0"/>
          <w:color w:val="auto"/>
          <w:kern w:val="0"/>
          <w:sz w:val="24"/>
          <w:highlight w:val="none"/>
        </w:rPr>
        <w:t>（一）乙方指定</w:t>
      </w:r>
      <w:r>
        <w:rPr>
          <w:rFonts w:hint="eastAsia" w:ascii="宋体" w:hAnsi="宋体"/>
          <w:snapToGrid w:val="0"/>
          <w:color w:val="auto"/>
          <w:kern w:val="0"/>
          <w:sz w:val="24"/>
          <w:highlight w:val="none"/>
          <w:u w:val="single"/>
        </w:rPr>
        <w:t>**</w:t>
      </w:r>
      <w:r>
        <w:rPr>
          <w:rFonts w:ascii="宋体" w:hAnsi="宋体"/>
          <w:snapToGrid w:val="0"/>
          <w:color w:val="auto"/>
          <w:kern w:val="0"/>
          <w:sz w:val="24"/>
          <w:highlight w:val="none"/>
          <w:u w:val="single"/>
        </w:rPr>
        <w:t>（身份证号码：</w:t>
      </w:r>
      <w:r>
        <w:rPr>
          <w:rFonts w:hint="eastAsia" w:ascii="宋体" w:hAnsi="宋体" w:cs="宋体"/>
          <w:color w:val="auto"/>
          <w:sz w:val="24"/>
          <w:highlight w:val="none"/>
          <w:u w:val="single"/>
        </w:rPr>
        <w:t>**</w:t>
      </w:r>
      <w:r>
        <w:rPr>
          <w:rFonts w:ascii="宋体" w:hAnsi="宋体"/>
          <w:snapToGrid w:val="0"/>
          <w:color w:val="auto"/>
          <w:kern w:val="0"/>
          <w:sz w:val="24"/>
          <w:highlight w:val="none"/>
          <w:u w:val="single"/>
        </w:rPr>
        <w:t>）</w:t>
      </w:r>
      <w:r>
        <w:rPr>
          <w:rFonts w:hint="eastAsia" w:ascii="宋体" w:hAnsi="宋体"/>
          <w:snapToGrid w:val="0"/>
          <w:color w:val="auto"/>
          <w:kern w:val="0"/>
          <w:sz w:val="24"/>
          <w:highlight w:val="none"/>
        </w:rPr>
        <w:t>为乙方项目联系人，</w:t>
      </w:r>
      <w:r>
        <w:rPr>
          <w:rFonts w:hint="eastAsia" w:ascii="宋体" w:hAnsi="宋体"/>
          <w:bCs/>
          <w:snapToGrid w:val="0"/>
          <w:color w:val="auto"/>
          <w:kern w:val="0"/>
          <w:sz w:val="24"/>
          <w:highlight w:val="none"/>
        </w:rPr>
        <w:t>联系电话：</w:t>
      </w:r>
      <w:r>
        <w:rPr>
          <w:rFonts w:hint="eastAsia" w:ascii="宋体" w:hAnsi="宋体"/>
          <w:bCs/>
          <w:snapToGrid w:val="0"/>
          <w:color w:val="auto"/>
          <w:kern w:val="0"/>
          <w:sz w:val="24"/>
          <w:highlight w:val="none"/>
          <w:u w:val="single"/>
        </w:rPr>
        <w:t>**</w:t>
      </w:r>
      <w:r>
        <w:rPr>
          <w:rFonts w:hint="eastAsia" w:ascii="宋体" w:hAnsi="宋体"/>
          <w:bCs/>
          <w:snapToGrid w:val="0"/>
          <w:color w:val="auto"/>
          <w:kern w:val="0"/>
          <w:sz w:val="24"/>
          <w:highlight w:val="none"/>
        </w:rPr>
        <w:t>，负责</w:t>
      </w:r>
      <w:r>
        <w:rPr>
          <w:rFonts w:hint="eastAsia" w:ascii="宋体" w:hAnsi="宋体"/>
          <w:bCs/>
          <w:snapToGrid w:val="0"/>
          <w:color w:val="auto"/>
          <w:kern w:val="0"/>
          <w:sz w:val="24"/>
          <w:highlight w:val="none"/>
          <w:u w:val="single"/>
        </w:rPr>
        <w:t>本项目工作事项的联络沟通</w:t>
      </w:r>
      <w:r>
        <w:rPr>
          <w:rFonts w:hint="eastAsia" w:ascii="宋体" w:hAnsi="宋体"/>
          <w:snapToGrid w:val="0"/>
          <w:color w:val="auto"/>
          <w:kern w:val="0"/>
          <w:sz w:val="24"/>
          <w:highlight w:val="none"/>
        </w:rPr>
        <w:t>。</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若乙方需变更项目联系人，应及时以邮件或书面形式通知甲方。若乙方未履行及时通知义务，影响本合同的履行或造成损失的，应承担相应的法律责任。</w:t>
      </w:r>
    </w:p>
    <w:p>
      <w:pPr>
        <w:adjustRightInd w:val="0"/>
        <w:snapToGrid w:val="0"/>
        <w:spacing w:line="360" w:lineRule="auto"/>
        <w:ind w:firstLine="360" w:firstLineChars="150"/>
        <w:rPr>
          <w:rFonts w:ascii="宋体" w:hAnsi="宋体"/>
          <w:bCs/>
          <w:snapToGrid w:val="0"/>
          <w:color w:val="auto"/>
          <w:kern w:val="0"/>
          <w:sz w:val="24"/>
          <w:highlight w:val="none"/>
        </w:rPr>
      </w:pPr>
      <w:r>
        <w:rPr>
          <w:rFonts w:hint="eastAsia" w:ascii="宋体" w:hAnsi="宋体"/>
          <w:bCs/>
          <w:snapToGrid w:val="0"/>
          <w:color w:val="auto"/>
          <w:kern w:val="0"/>
          <w:sz w:val="24"/>
          <w:highlight w:val="none"/>
        </w:rPr>
        <w:t>（二）乙方须按照下列进度进行造价咨询工作：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1）开展</w:t>
      </w:r>
      <w:r>
        <w:rPr>
          <w:rFonts w:hint="eastAsia" w:ascii="宋体" w:hAnsi="宋体"/>
          <w:bCs/>
          <w:snapToGrid w:val="0"/>
          <w:color w:val="auto"/>
          <w:kern w:val="0"/>
          <w:sz w:val="24"/>
          <w:highlight w:val="none"/>
        </w:rPr>
        <w:t>造价咨询</w:t>
      </w:r>
      <w:r>
        <w:rPr>
          <w:rFonts w:hint="eastAsia" w:ascii="宋体" w:hAnsi="宋体"/>
          <w:color w:val="auto"/>
          <w:sz w:val="24"/>
          <w:highlight w:val="none"/>
        </w:rPr>
        <w:t>工作，具体开始日期以收到甲方的通知为准。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甲方</w:t>
      </w:r>
      <w:r>
        <w:rPr>
          <w:rFonts w:ascii="宋体" w:hAnsi="宋体"/>
          <w:color w:val="auto"/>
          <w:sz w:val="24"/>
          <w:highlight w:val="none"/>
        </w:rPr>
        <w:t>根据实际情况，有权对本项目</w:t>
      </w:r>
      <w:r>
        <w:rPr>
          <w:rFonts w:hint="eastAsia" w:ascii="宋体" w:hAnsi="宋体"/>
          <w:bCs/>
          <w:snapToGrid w:val="0"/>
          <w:color w:val="auto"/>
          <w:kern w:val="0"/>
          <w:sz w:val="24"/>
          <w:highlight w:val="none"/>
        </w:rPr>
        <w:t>造价咨询</w:t>
      </w:r>
      <w:r>
        <w:rPr>
          <w:rFonts w:hint="eastAsia" w:ascii="宋体" w:hAnsi="宋体"/>
          <w:color w:val="auto"/>
          <w:sz w:val="24"/>
          <w:highlight w:val="none"/>
        </w:rPr>
        <w:t>工作的履行期（包括关键节点日期和完成日期）进行适当调整，乙方必须采取一切有效措施保证完成造价咨询工作，不得延误。</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3）在可</w:t>
      </w:r>
      <w:r>
        <w:rPr>
          <w:rFonts w:hint="eastAsia" w:ascii="宋体" w:hAnsi="宋体"/>
          <w:color w:val="auto"/>
          <w:sz w:val="24"/>
          <w:highlight w:val="none"/>
        </w:rPr>
        <w:t>研、概算、预算、招标限价、结算等关键节点审核时，应及时安排</w:t>
      </w:r>
      <w:r>
        <w:rPr>
          <w:rFonts w:hint="eastAsia" w:ascii="宋体" w:hAnsi="宋体"/>
          <w:color w:val="auto"/>
          <w:sz w:val="24"/>
          <w:highlight w:val="none"/>
          <w:u w:val="single"/>
        </w:rPr>
        <w:t>不少于6人</w:t>
      </w:r>
      <w:r>
        <w:rPr>
          <w:rFonts w:ascii="宋体" w:hAnsi="宋体"/>
          <w:color w:val="auto"/>
          <w:sz w:val="24"/>
          <w:highlight w:val="none"/>
          <w:u w:val="single"/>
        </w:rPr>
        <w:t>造价专业配置齐全的技术人员</w:t>
      </w:r>
      <w:r>
        <w:rPr>
          <w:rFonts w:ascii="宋体" w:hAnsi="宋体"/>
          <w:color w:val="auto"/>
          <w:sz w:val="24"/>
          <w:highlight w:val="none"/>
        </w:rPr>
        <w:t>组成</w:t>
      </w:r>
      <w:r>
        <w:rPr>
          <w:rFonts w:hint="eastAsia" w:ascii="宋体" w:hAnsi="宋体"/>
          <w:color w:val="auto"/>
          <w:sz w:val="24"/>
          <w:highlight w:val="none"/>
        </w:rPr>
        <w:t>造服务团队，原则上应确保在15个工作日内完成相关审核工作，出具审核报告。如遇工作量特别大的特殊情况，在不影响项目开展的情况下，经甲方同意可适当延长。</w:t>
      </w:r>
    </w:p>
    <w:p>
      <w:pPr>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（三）工作协调事项</w:t>
      </w:r>
    </w:p>
    <w:p>
      <w:pPr>
        <w:spacing w:line="360" w:lineRule="auto"/>
        <w:ind w:firstLine="570"/>
        <w:rPr>
          <w:rFonts w:ascii="宋体" w:hAnsi="宋体"/>
          <w:color w:val="auto"/>
          <w:sz w:val="24"/>
          <w:highlight w:val="none"/>
        </w:rPr>
      </w:pPr>
      <w:r>
        <w:rPr>
          <w:rFonts w:hint="eastAsia" w:ascii="宋体" w:hAnsi="宋体"/>
          <w:color w:val="auto"/>
          <w:sz w:val="24"/>
          <w:highlight w:val="none"/>
        </w:rPr>
        <w:t>合同履行过程中，如乙方影响项目的正常实施的，甲方有权随时约见乙方的法定代表人，并要求法定代表人驻场协调工作。</w:t>
      </w:r>
    </w:p>
    <w:p>
      <w:pPr>
        <w:spacing w:line="360" w:lineRule="auto"/>
        <w:ind w:firstLine="570"/>
        <w:rPr>
          <w:rFonts w:ascii="宋体" w:hAnsi="宋体"/>
          <w:color w:val="auto"/>
          <w:sz w:val="24"/>
          <w:highlight w:val="none"/>
        </w:rPr>
      </w:pPr>
      <w:r>
        <w:rPr>
          <w:rFonts w:hint="eastAsia" w:ascii="宋体" w:hAnsi="宋体"/>
          <w:color w:val="auto"/>
          <w:sz w:val="24"/>
          <w:highlight w:val="none"/>
          <w:u w:val="single"/>
        </w:rPr>
        <w:t>为实现项目的投资控制目标，由造价咨询单位</w:t>
      </w:r>
      <w:r>
        <w:rPr>
          <w:rFonts w:hint="eastAsia" w:ascii="宋体" w:hAnsi="宋体"/>
          <w:color w:val="auto"/>
          <w:sz w:val="24"/>
          <w:highlight w:val="none"/>
          <w:u w:val="single"/>
          <w:lang w:eastAsia="zh-CN"/>
        </w:rPr>
        <w:t>根据项目不同阶段需求</w:t>
      </w:r>
      <w:r>
        <w:rPr>
          <w:rFonts w:hint="eastAsia" w:ascii="宋体" w:hAnsi="宋体"/>
          <w:color w:val="auto"/>
          <w:sz w:val="24"/>
          <w:highlight w:val="none"/>
          <w:u w:val="single"/>
        </w:rPr>
        <w:t>作为派驻驻场造价人员组成项目组，拟派驻人员见合同</w:t>
      </w:r>
      <w:r>
        <w:rPr>
          <w:rFonts w:hint="eastAsia" w:ascii="宋体" w:hAnsi="宋体"/>
          <w:b/>
          <w:bCs/>
          <w:color w:val="auto"/>
          <w:sz w:val="24"/>
          <w:highlight w:val="none"/>
          <w:u w:val="single"/>
        </w:rPr>
        <w:t>附件6</w:t>
      </w:r>
      <w:r>
        <w:rPr>
          <w:rFonts w:hint="eastAsia" w:ascii="宋体" w:hAnsi="宋体"/>
          <w:color w:val="auto"/>
          <w:sz w:val="24"/>
          <w:highlight w:val="none"/>
          <w:u w:val="single"/>
        </w:rPr>
        <w:t>《造价咨询人员配置一览表》，如需更换人员需提前通知并取得甲方的同意。办公场地及其他如办公设备（如电脑、打印机、复印机、打印纸、造价软件等）、办公用品、就餐、住宿、现场踏勘、差旅费、驻场人员费、税费等一切支出由乙方自行解决，费用已包含在合同价款内。</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（四）驻场人员</w:t>
      </w:r>
    </w:p>
    <w:p>
      <w:pPr>
        <w:adjustRightInd w:val="0"/>
        <w:snapToGrid w:val="0"/>
        <w:spacing w:line="360" w:lineRule="auto"/>
        <w:ind w:firstLine="480" w:firstLineChars="200"/>
        <w:rPr>
          <w:rFonts w:ascii="宋体" w:hAnsi="宋体"/>
          <w:snapToGrid w:val="0"/>
          <w:color w:val="auto"/>
          <w:kern w:val="0"/>
          <w:sz w:val="24"/>
          <w:highlight w:val="none"/>
          <w:u w:val="single"/>
        </w:rPr>
      </w:pPr>
      <w:r>
        <w:rPr>
          <w:rFonts w:hint="eastAsia" w:ascii="宋体" w:hAnsi="宋体"/>
          <w:snapToGrid w:val="0"/>
          <w:color w:val="auto"/>
          <w:kern w:val="0"/>
          <w:sz w:val="24"/>
          <w:highlight w:val="none"/>
          <w:u w:val="single"/>
        </w:rPr>
        <w:t>乙方</w:t>
      </w:r>
      <w:r>
        <w:rPr>
          <w:rFonts w:ascii="宋体" w:hAnsi="宋体"/>
          <w:snapToGrid w:val="0"/>
          <w:color w:val="auto"/>
          <w:kern w:val="0"/>
          <w:sz w:val="24"/>
          <w:highlight w:val="none"/>
          <w:u w:val="single"/>
        </w:rPr>
        <w:t>需承诺保证</w:t>
      </w:r>
      <w:r>
        <w:rPr>
          <w:rFonts w:hint="eastAsia" w:ascii="宋体" w:hAnsi="宋体"/>
          <w:snapToGrid w:val="0"/>
          <w:color w:val="auto"/>
          <w:kern w:val="0"/>
          <w:sz w:val="24"/>
          <w:highlight w:val="none"/>
          <w:u w:val="single"/>
        </w:rPr>
        <w:t>1</w:t>
      </w:r>
      <w:r>
        <w:rPr>
          <w:rFonts w:ascii="宋体" w:hAnsi="宋体"/>
          <w:snapToGrid w:val="0"/>
          <w:color w:val="auto"/>
          <w:kern w:val="0"/>
          <w:sz w:val="24"/>
          <w:highlight w:val="none"/>
          <w:u w:val="single"/>
        </w:rPr>
        <w:t>名造价</w:t>
      </w:r>
      <w:r>
        <w:rPr>
          <w:rFonts w:hint="eastAsia" w:ascii="宋体" w:hAnsi="宋体"/>
          <w:snapToGrid w:val="0"/>
          <w:color w:val="auto"/>
          <w:kern w:val="0"/>
          <w:sz w:val="24"/>
          <w:highlight w:val="none"/>
          <w:u w:val="single"/>
        </w:rPr>
        <w:t>人员</w:t>
      </w:r>
      <w:r>
        <w:rPr>
          <w:rFonts w:ascii="宋体" w:hAnsi="宋体"/>
          <w:snapToGrid w:val="0"/>
          <w:color w:val="auto"/>
          <w:kern w:val="0"/>
          <w:sz w:val="24"/>
          <w:highlight w:val="none"/>
          <w:u w:val="single"/>
        </w:rPr>
        <w:t>（</w:t>
      </w:r>
      <w:r>
        <w:rPr>
          <w:rFonts w:hint="eastAsia" w:ascii="宋体" w:hAnsi="宋体"/>
          <w:snapToGrid w:val="0"/>
          <w:color w:val="auto"/>
          <w:kern w:val="0"/>
          <w:sz w:val="24"/>
          <w:highlight w:val="none"/>
          <w:u w:val="single"/>
        </w:rPr>
        <w:t>土建注册造价师</w:t>
      </w:r>
      <w:r>
        <w:rPr>
          <w:rFonts w:ascii="宋体" w:hAnsi="宋体"/>
          <w:snapToGrid w:val="0"/>
          <w:color w:val="auto"/>
          <w:kern w:val="0"/>
          <w:sz w:val="24"/>
          <w:highlight w:val="none"/>
          <w:u w:val="single"/>
        </w:rPr>
        <w:t>）驻场，驻场的主要人员必须有类似的项目管理经验，其他人员</w:t>
      </w:r>
      <w:r>
        <w:rPr>
          <w:rFonts w:hint="eastAsia" w:ascii="宋体" w:hAnsi="宋体"/>
          <w:snapToGrid w:val="0"/>
          <w:color w:val="auto"/>
          <w:kern w:val="0"/>
          <w:sz w:val="24"/>
          <w:highlight w:val="none"/>
          <w:u w:val="single"/>
        </w:rPr>
        <w:t>根据项目推进实际情况，甲方有权要求乙方</w:t>
      </w:r>
      <w:r>
        <w:rPr>
          <w:rFonts w:ascii="宋体" w:hAnsi="宋体"/>
          <w:snapToGrid w:val="0"/>
          <w:color w:val="auto"/>
          <w:kern w:val="0"/>
          <w:sz w:val="24"/>
          <w:highlight w:val="none"/>
          <w:u w:val="single"/>
        </w:rPr>
        <w:t>按专业分阶段</w:t>
      </w:r>
      <w:r>
        <w:rPr>
          <w:rFonts w:hint="eastAsia" w:ascii="宋体" w:hAnsi="宋体"/>
          <w:snapToGrid w:val="0"/>
          <w:color w:val="auto"/>
          <w:kern w:val="0"/>
          <w:sz w:val="24"/>
          <w:highlight w:val="none"/>
          <w:u w:val="single"/>
          <w:lang w:eastAsia="zh-CN"/>
        </w:rPr>
        <w:t>临时</w:t>
      </w:r>
      <w:r>
        <w:rPr>
          <w:rFonts w:ascii="宋体" w:hAnsi="宋体"/>
          <w:snapToGrid w:val="0"/>
          <w:color w:val="auto"/>
          <w:kern w:val="0"/>
          <w:sz w:val="24"/>
          <w:highlight w:val="none"/>
          <w:u w:val="single"/>
        </w:rPr>
        <w:t>驻现场</w:t>
      </w:r>
      <w:r>
        <w:rPr>
          <w:rFonts w:hint="eastAsia" w:ascii="宋体" w:hAnsi="宋体"/>
          <w:snapToGrid w:val="0"/>
          <w:color w:val="auto"/>
          <w:kern w:val="0"/>
          <w:sz w:val="24"/>
          <w:highlight w:val="none"/>
          <w:u w:val="single"/>
          <w:lang w:eastAsia="zh-CN"/>
        </w:rPr>
        <w:t>加快造价审核工作</w:t>
      </w:r>
      <w:r>
        <w:rPr>
          <w:rFonts w:ascii="宋体" w:hAnsi="宋体"/>
          <w:snapToGrid w:val="0"/>
          <w:color w:val="auto"/>
          <w:kern w:val="0"/>
          <w:sz w:val="24"/>
          <w:highlight w:val="none"/>
          <w:u w:val="single"/>
        </w:rPr>
        <w:t>，</w:t>
      </w:r>
      <w:r>
        <w:rPr>
          <w:rFonts w:hint="eastAsia" w:ascii="宋体" w:hAnsi="宋体"/>
          <w:snapToGrid w:val="0"/>
          <w:color w:val="auto"/>
          <w:kern w:val="0"/>
          <w:sz w:val="24"/>
          <w:highlight w:val="none"/>
          <w:u w:val="single"/>
        </w:rPr>
        <w:t>并</w:t>
      </w:r>
      <w:r>
        <w:rPr>
          <w:rFonts w:ascii="宋体" w:hAnsi="宋体"/>
          <w:snapToGrid w:val="0"/>
          <w:color w:val="auto"/>
          <w:kern w:val="0"/>
          <w:sz w:val="24"/>
          <w:highlight w:val="none"/>
          <w:u w:val="single"/>
        </w:rPr>
        <w:t>服从</w:t>
      </w:r>
      <w:r>
        <w:rPr>
          <w:rFonts w:hint="eastAsia" w:ascii="宋体" w:hAnsi="宋体"/>
          <w:snapToGrid w:val="0"/>
          <w:color w:val="auto"/>
          <w:kern w:val="0"/>
          <w:sz w:val="24"/>
          <w:highlight w:val="none"/>
          <w:u w:val="single"/>
        </w:rPr>
        <w:t>甲方</w:t>
      </w:r>
      <w:r>
        <w:rPr>
          <w:rFonts w:ascii="宋体" w:hAnsi="宋体"/>
          <w:snapToGrid w:val="0"/>
          <w:color w:val="auto"/>
          <w:kern w:val="0"/>
          <w:sz w:val="24"/>
          <w:highlight w:val="none"/>
          <w:u w:val="single"/>
        </w:rPr>
        <w:t>管理和工作分配。各阶段按</w:t>
      </w:r>
      <w:r>
        <w:rPr>
          <w:rFonts w:hint="eastAsia" w:ascii="宋体" w:hAnsi="宋体"/>
          <w:snapToGrid w:val="0"/>
          <w:color w:val="auto"/>
          <w:kern w:val="0"/>
          <w:sz w:val="24"/>
          <w:highlight w:val="none"/>
          <w:u w:val="single"/>
          <w:lang w:eastAsia="zh-CN"/>
        </w:rPr>
        <w:t>项目进度</w:t>
      </w:r>
      <w:r>
        <w:rPr>
          <w:rFonts w:ascii="宋体" w:hAnsi="宋体"/>
          <w:snapToGrid w:val="0"/>
          <w:color w:val="auto"/>
          <w:kern w:val="0"/>
          <w:sz w:val="24"/>
          <w:highlight w:val="none"/>
          <w:u w:val="single"/>
        </w:rPr>
        <w:t>要求</w:t>
      </w:r>
      <w:r>
        <w:rPr>
          <w:rFonts w:hint="eastAsia" w:ascii="宋体" w:hAnsi="宋体"/>
          <w:snapToGrid w:val="0"/>
          <w:color w:val="auto"/>
          <w:kern w:val="0"/>
          <w:sz w:val="24"/>
          <w:highlight w:val="none"/>
          <w:u w:val="single"/>
          <w:lang w:eastAsia="zh-CN"/>
        </w:rPr>
        <w:t>临时</w:t>
      </w:r>
      <w:r>
        <w:rPr>
          <w:rFonts w:ascii="宋体" w:hAnsi="宋体"/>
          <w:snapToGrid w:val="0"/>
          <w:color w:val="auto"/>
          <w:kern w:val="0"/>
          <w:sz w:val="24"/>
          <w:highlight w:val="none"/>
          <w:u w:val="single"/>
        </w:rPr>
        <w:t>驻场，全过程保证至少</w:t>
      </w:r>
      <w:r>
        <w:rPr>
          <w:rFonts w:hint="eastAsia" w:ascii="宋体" w:hAnsi="宋体"/>
          <w:snapToGrid w:val="0"/>
          <w:color w:val="auto"/>
          <w:kern w:val="0"/>
          <w:sz w:val="24"/>
          <w:highlight w:val="none"/>
          <w:u w:val="single"/>
        </w:rPr>
        <w:t>1</w:t>
      </w:r>
      <w:r>
        <w:rPr>
          <w:rFonts w:ascii="宋体" w:hAnsi="宋体"/>
          <w:snapToGrid w:val="0"/>
          <w:color w:val="auto"/>
          <w:kern w:val="0"/>
          <w:sz w:val="24"/>
          <w:highlight w:val="none"/>
          <w:u w:val="single"/>
        </w:rPr>
        <w:t>人常驻现场。工作任务多时，</w:t>
      </w:r>
      <w:r>
        <w:rPr>
          <w:rFonts w:hint="eastAsia" w:ascii="宋体" w:hAnsi="宋体"/>
          <w:snapToGrid w:val="0"/>
          <w:color w:val="auto"/>
          <w:kern w:val="0"/>
          <w:sz w:val="24"/>
          <w:highlight w:val="none"/>
          <w:u w:val="single"/>
        </w:rPr>
        <w:t>甲方</w:t>
      </w:r>
      <w:r>
        <w:rPr>
          <w:rFonts w:ascii="宋体" w:hAnsi="宋体"/>
          <w:snapToGrid w:val="0"/>
          <w:color w:val="auto"/>
          <w:kern w:val="0"/>
          <w:sz w:val="24"/>
          <w:highlight w:val="none"/>
          <w:u w:val="single"/>
        </w:rPr>
        <w:t>有权要求咨询服务单位增加合格的造价专业驻场人员，服从甲方管理，常驻甲方场地开展项目相关造价服务工作以及甲方安排的其他工作。</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乙方应保证驻场人员的相对固定，并保证其工作时间和工作连贯性，更换人员需书面告知甲方，未经甲方同意不得更换人员，对于未达到甲方工作要求的派遣人员，乙方必须在</w:t>
      </w:r>
      <w:r>
        <w:rPr>
          <w:rFonts w:ascii="宋体" w:hAnsi="宋体"/>
          <w:snapToGrid w:val="0"/>
          <w:color w:val="auto"/>
          <w:kern w:val="0"/>
          <w:sz w:val="24"/>
          <w:highlight w:val="none"/>
          <w:u w:val="single"/>
        </w:rPr>
        <w:t>10</w:t>
      </w:r>
      <w:r>
        <w:rPr>
          <w:rFonts w:ascii="宋体" w:hAnsi="宋体"/>
          <w:snapToGrid w:val="0"/>
          <w:color w:val="auto"/>
          <w:kern w:val="0"/>
          <w:sz w:val="24"/>
          <w:highlight w:val="none"/>
        </w:rPr>
        <w:t>个工作日内进行更换，更换的派遣人员应符合工作要求。</w:t>
      </w:r>
    </w:p>
    <w:p>
      <w:pPr>
        <w:numPr>
          <w:ilvl w:val="0"/>
          <w:numId w:val="5"/>
        </w:num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工作成果审核。甲方有权了解项目咨询进展情况，并对乙方提供的成果资料组织专家评审，如审核结果与乙方提交成果存在误差，给甲方造成损失，相关评审费用包括在合同金额中，由乙方支付，甲方不另行支付。</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（六）乙方应在合同生效20个工作日内提交履约保函，履约保证金的金额为中标价的</w:t>
      </w:r>
      <w:r>
        <w:rPr>
          <w:rFonts w:ascii="宋体" w:hAnsi="宋体"/>
          <w:snapToGrid w:val="0"/>
          <w:color w:val="auto"/>
          <w:kern w:val="0"/>
          <w:sz w:val="24"/>
          <w:highlight w:val="none"/>
          <w:u w:val="single"/>
        </w:rPr>
        <w:t>10</w:t>
      </w:r>
      <w:r>
        <w:rPr>
          <w:rFonts w:ascii="宋体" w:hAnsi="宋体"/>
          <w:snapToGrid w:val="0"/>
          <w:color w:val="auto"/>
          <w:kern w:val="0"/>
          <w:sz w:val="24"/>
          <w:highlight w:val="none"/>
        </w:rPr>
        <w:t>%，履约保函由</w:t>
      </w:r>
      <w:r>
        <w:rPr>
          <w:rFonts w:ascii="宋体" w:hAnsi="宋体"/>
          <w:snapToGrid w:val="0"/>
          <w:color w:val="auto"/>
          <w:kern w:val="0"/>
          <w:sz w:val="24"/>
          <w:highlight w:val="none"/>
          <w:u w:val="single"/>
        </w:rPr>
        <w:t>中国注册且营业地点在</w:t>
      </w:r>
      <w:r>
        <w:rPr>
          <w:rFonts w:hint="eastAsia" w:ascii="宋体" w:hAnsi="宋体"/>
          <w:snapToGrid w:val="0"/>
          <w:color w:val="auto"/>
          <w:kern w:val="0"/>
          <w:sz w:val="24"/>
          <w:highlight w:val="none"/>
          <w:u w:val="single"/>
        </w:rPr>
        <w:t>广州</w:t>
      </w:r>
      <w:r>
        <w:rPr>
          <w:rFonts w:ascii="宋体" w:hAnsi="宋体"/>
          <w:snapToGrid w:val="0"/>
          <w:color w:val="auto"/>
          <w:kern w:val="0"/>
          <w:sz w:val="24"/>
          <w:highlight w:val="none"/>
          <w:u w:val="single"/>
        </w:rPr>
        <w:t>行政辖区内</w:t>
      </w:r>
      <w:r>
        <w:rPr>
          <w:color w:val="auto"/>
          <w:sz w:val="24"/>
          <w:highlight w:val="none"/>
          <w:u w:val="single"/>
        </w:rPr>
        <w:t>分行级别或以上</w:t>
      </w:r>
      <w:r>
        <w:rPr>
          <w:rFonts w:ascii="宋体" w:hAnsi="宋体"/>
          <w:snapToGrid w:val="0"/>
          <w:color w:val="auto"/>
          <w:kern w:val="0"/>
          <w:sz w:val="24"/>
          <w:highlight w:val="none"/>
          <w:u w:val="single"/>
        </w:rPr>
        <w:t>的国有</w:t>
      </w:r>
      <w:r>
        <w:rPr>
          <w:rFonts w:hint="eastAsia" w:ascii="宋体" w:hAnsi="宋体"/>
          <w:snapToGrid w:val="0"/>
          <w:color w:val="auto"/>
          <w:kern w:val="0"/>
          <w:sz w:val="24"/>
          <w:highlight w:val="none"/>
          <w:u w:val="single"/>
          <w:lang w:eastAsia="zh-CN"/>
        </w:rPr>
        <w:t>（或国有控股）</w:t>
      </w:r>
      <w:r>
        <w:rPr>
          <w:rFonts w:ascii="宋体" w:hAnsi="宋体"/>
          <w:snapToGrid w:val="0"/>
          <w:color w:val="auto"/>
          <w:kern w:val="0"/>
          <w:sz w:val="24"/>
          <w:highlight w:val="none"/>
          <w:u w:val="single"/>
        </w:rPr>
        <w:t>商业银行开具，是不可撤销的保函</w:t>
      </w:r>
      <w:r>
        <w:rPr>
          <w:rFonts w:ascii="宋体" w:hAnsi="宋体"/>
          <w:snapToGrid w:val="0"/>
          <w:color w:val="auto"/>
          <w:kern w:val="0"/>
          <w:sz w:val="24"/>
          <w:highlight w:val="none"/>
        </w:rPr>
        <w:t>。</w:t>
      </w:r>
      <w:r>
        <w:rPr>
          <w:rFonts w:hint="eastAsia" w:ascii="宋体" w:hAnsi="宋体"/>
          <w:snapToGrid w:val="0"/>
          <w:color w:val="auto"/>
          <w:kern w:val="0"/>
          <w:sz w:val="24"/>
          <w:highlight w:val="none"/>
          <w:u w:val="single"/>
        </w:rPr>
        <w:t>乙方</w:t>
      </w:r>
      <w:r>
        <w:rPr>
          <w:rFonts w:ascii="宋体" w:hAnsi="宋体"/>
          <w:snapToGrid w:val="0"/>
          <w:color w:val="auto"/>
          <w:kern w:val="0"/>
          <w:sz w:val="24"/>
          <w:highlight w:val="none"/>
          <w:u w:val="single"/>
        </w:rPr>
        <w:t>应保证其履约担保在合同服务工作全部完成前一直有效，期限不少于叁年。每当保函的有效期已满达2年但项目未达到退保函条件时，</w:t>
      </w:r>
      <w:r>
        <w:rPr>
          <w:rFonts w:hint="eastAsia" w:ascii="宋体" w:hAnsi="宋体"/>
          <w:snapToGrid w:val="0"/>
          <w:color w:val="auto"/>
          <w:kern w:val="0"/>
          <w:sz w:val="24"/>
          <w:highlight w:val="none"/>
          <w:u w:val="single"/>
        </w:rPr>
        <w:t>乙方</w:t>
      </w:r>
      <w:r>
        <w:rPr>
          <w:rFonts w:ascii="宋体" w:hAnsi="宋体"/>
          <w:snapToGrid w:val="0"/>
          <w:color w:val="auto"/>
          <w:kern w:val="0"/>
          <w:sz w:val="24"/>
          <w:highlight w:val="none"/>
          <w:u w:val="single"/>
        </w:rPr>
        <w:t>应主动办理新保函续保，且新保函有效期不低于</w:t>
      </w:r>
      <w:r>
        <w:rPr>
          <w:rFonts w:hint="eastAsia" w:ascii="宋体" w:hAnsi="宋体"/>
          <w:snapToGrid w:val="0"/>
          <w:color w:val="auto"/>
          <w:kern w:val="0"/>
          <w:sz w:val="24"/>
          <w:highlight w:val="none"/>
          <w:u w:val="single"/>
        </w:rPr>
        <w:t>2</w:t>
      </w:r>
      <w:r>
        <w:rPr>
          <w:rFonts w:ascii="宋体" w:hAnsi="宋体"/>
          <w:snapToGrid w:val="0"/>
          <w:color w:val="auto"/>
          <w:kern w:val="0"/>
          <w:sz w:val="24"/>
          <w:highlight w:val="none"/>
          <w:u w:val="single"/>
        </w:rPr>
        <w:t>年，甲方不</w:t>
      </w:r>
      <w:r>
        <w:rPr>
          <w:rFonts w:hint="eastAsia" w:ascii="宋体" w:hAnsi="宋体"/>
          <w:snapToGrid w:val="0"/>
          <w:color w:val="auto"/>
          <w:kern w:val="0"/>
          <w:sz w:val="24"/>
          <w:highlight w:val="none"/>
          <w:u w:val="single"/>
        </w:rPr>
        <w:t>承担因</w:t>
      </w:r>
      <w:r>
        <w:rPr>
          <w:rFonts w:ascii="宋体" w:hAnsi="宋体"/>
          <w:snapToGrid w:val="0"/>
          <w:color w:val="auto"/>
          <w:kern w:val="0"/>
          <w:sz w:val="24"/>
          <w:highlight w:val="none"/>
          <w:u w:val="single"/>
        </w:rPr>
        <w:t>增加办理保函延期所产生的相关费用</w:t>
      </w:r>
      <w:r>
        <w:rPr>
          <w:rFonts w:ascii="宋体" w:hAnsi="宋体"/>
          <w:snapToGrid w:val="0"/>
          <w:color w:val="auto"/>
          <w:kern w:val="0"/>
          <w:sz w:val="24"/>
          <w:highlight w:val="none"/>
        </w:rPr>
        <w:t>。履约保证金在满足退还条件时不计息退还</w:t>
      </w:r>
      <w:r>
        <w:rPr>
          <w:rFonts w:hint="eastAsia" w:ascii="宋体" w:hAnsi="宋体"/>
          <w:snapToGrid w:val="0"/>
          <w:color w:val="auto"/>
          <w:kern w:val="0"/>
          <w:sz w:val="24"/>
          <w:highlight w:val="none"/>
        </w:rPr>
        <w:t>。</w:t>
      </w:r>
    </w:p>
    <w:p>
      <w:pPr>
        <w:pStyle w:val="48"/>
        <w:rPr>
          <w:color w:val="auto"/>
          <w:highlight w:val="none"/>
        </w:rPr>
      </w:pPr>
      <w:r>
        <w:rPr>
          <w:rFonts w:hint="eastAsia"/>
          <w:color w:val="auto"/>
          <w:highlight w:val="none"/>
        </w:rPr>
        <w:t>第四条合同金额及支付方式</w:t>
      </w:r>
    </w:p>
    <w:p>
      <w:pPr>
        <w:adjustRightInd w:val="0"/>
        <w:snapToGrid w:val="0"/>
        <w:spacing w:line="360" w:lineRule="auto"/>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（一）合同价款金额包括但不限于</w:t>
      </w:r>
      <w:r>
        <w:rPr>
          <w:rFonts w:hint="eastAsia" w:ascii="宋体" w:hAnsi="宋体"/>
          <w:bCs/>
          <w:snapToGrid w:val="0"/>
          <w:color w:val="auto"/>
          <w:kern w:val="0"/>
          <w:sz w:val="24"/>
          <w:highlight w:val="none"/>
          <w:u w:val="single"/>
        </w:rPr>
        <w:t>造价咨询工作的所有成本、利润、税金以及项目变更和签证产生的服务费等</w:t>
      </w:r>
      <w:r>
        <w:rPr>
          <w:rFonts w:hint="eastAsia" w:ascii="宋体" w:hAnsi="宋体"/>
          <w:bCs/>
          <w:snapToGrid w:val="0"/>
          <w:color w:val="auto"/>
          <w:kern w:val="0"/>
          <w:sz w:val="24"/>
          <w:highlight w:val="none"/>
        </w:rPr>
        <w:t>，双方约定合同价款金额按以下约定执行：</w:t>
      </w:r>
    </w:p>
    <w:p>
      <w:pPr>
        <w:adjustRightInd w:val="0"/>
        <w:snapToGrid w:val="0"/>
        <w:spacing w:line="360" w:lineRule="auto"/>
        <w:ind w:firstLine="480" w:firstLineChars="200"/>
        <w:rPr>
          <w:rFonts w:ascii="宋体" w:hAnsi="宋体"/>
          <w:b/>
          <w:color w:val="auto"/>
          <w:sz w:val="24"/>
          <w:highlight w:val="none"/>
          <w:u w:val="single"/>
        </w:rPr>
      </w:pPr>
      <w:r>
        <w:rPr>
          <w:rFonts w:ascii="宋体" w:hAnsi="宋体"/>
          <w:color w:val="auto"/>
          <w:sz w:val="24"/>
          <w:highlight w:val="none"/>
        </w:rPr>
        <w:sym w:font="Wingdings" w:char="00FE"/>
      </w:r>
      <w:r>
        <w:rPr>
          <w:rFonts w:hint="eastAsia" w:ascii="宋体" w:hAnsi="宋体"/>
          <w:bCs/>
          <w:snapToGrid w:val="0"/>
          <w:color w:val="auto"/>
          <w:kern w:val="0"/>
          <w:sz w:val="24"/>
          <w:highlight w:val="none"/>
        </w:rPr>
        <w:t>方式一：</w:t>
      </w:r>
      <w:r>
        <w:rPr>
          <w:rFonts w:hint="eastAsia" w:ascii="宋体" w:hAnsi="宋体"/>
          <w:color w:val="auto"/>
          <w:sz w:val="24"/>
          <w:highlight w:val="none"/>
        </w:rPr>
        <w:t>本项目造价咨询服务费合同价格暂定（含税）为人民币</w:t>
      </w:r>
      <w:r>
        <w:rPr>
          <w:rFonts w:hint="eastAsia" w:ascii="宋体" w:hAnsi="宋体"/>
          <w:color w:val="auto"/>
          <w:sz w:val="24"/>
          <w:highlight w:val="none"/>
          <w:u w:val="single"/>
        </w:rPr>
        <w:t>***万</w:t>
      </w:r>
      <w:r>
        <w:rPr>
          <w:rFonts w:hint="eastAsia" w:ascii="宋体" w:hAnsi="宋体"/>
          <w:color w:val="auto"/>
          <w:sz w:val="24"/>
          <w:highlight w:val="none"/>
        </w:rPr>
        <w:t>元（大写：人民币</w:t>
      </w:r>
      <w:r>
        <w:rPr>
          <w:rFonts w:hint="eastAsia" w:ascii="宋体" w:hAnsi="宋体"/>
          <w:color w:val="auto"/>
          <w:sz w:val="24"/>
          <w:highlight w:val="none"/>
          <w:u w:val="single"/>
        </w:rPr>
        <w:t>****元整</w:t>
      </w:r>
      <w:r>
        <w:rPr>
          <w:rFonts w:hint="eastAsia" w:ascii="宋体" w:hAnsi="宋体"/>
          <w:color w:val="auto"/>
          <w:sz w:val="24"/>
          <w:highlight w:val="none"/>
        </w:rPr>
        <w:t>）</w:t>
      </w:r>
      <w:r>
        <w:rPr>
          <w:rFonts w:ascii="宋体" w:hAnsi="宋体"/>
          <w:color w:val="auto"/>
          <w:sz w:val="24"/>
          <w:highlight w:val="none"/>
        </w:rPr>
        <w:t>。</w:t>
      </w:r>
    </w:p>
    <w:p>
      <w:pPr>
        <w:adjustRightInd w:val="0"/>
        <w:snapToGrid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本项目全过程造价咨询服务费最终结算价按本工程甲方有审核权限部门审定的建安工程结算总费用（不包括建设用地费、预备费及未委托的工作内容）为计费基数，按照</w:t>
      </w:r>
      <w:r>
        <w:rPr>
          <w:rFonts w:hint="eastAsia" w:ascii="宋体" w:hAnsi="宋体"/>
          <w:color w:val="auto"/>
          <w:sz w:val="24"/>
          <w:highlight w:val="none"/>
          <w:u w:val="single"/>
          <w:lang w:eastAsia="zh-CN"/>
        </w:rPr>
        <w:t>以下</w:t>
      </w:r>
      <w:r>
        <w:rPr>
          <w:rFonts w:hint="eastAsia" w:ascii="宋体" w:hAnsi="宋体"/>
          <w:color w:val="auto"/>
          <w:sz w:val="24"/>
          <w:highlight w:val="none"/>
          <w:u w:val="single"/>
        </w:rPr>
        <w:t>计算方式结算造价咨询服务费，最终造价咨询服务费结算价以甲方审核意见为准。</w:t>
      </w:r>
    </w:p>
    <w:p>
      <w:pPr>
        <w:pStyle w:val="2"/>
        <w:rPr>
          <w:rFonts w:hint="eastAsia" w:ascii="宋体" w:hAnsi="宋体"/>
          <w:color w:val="auto"/>
          <w:sz w:val="24"/>
          <w:highlight w:val="none"/>
          <w:u w:val="single"/>
          <w:lang w:val="en-US" w:eastAsia="zh-CN"/>
        </w:rPr>
      </w:pPr>
      <w:r>
        <w:rPr>
          <w:rFonts w:hint="eastAsia" w:ascii="宋体" w:hAnsi="宋体"/>
          <w:color w:val="auto"/>
          <w:sz w:val="24"/>
          <w:highlight w:val="none"/>
          <w:u w:val="single"/>
          <w:lang w:eastAsia="zh-CN"/>
        </w:rPr>
        <w:t>造价咨询费结算价</w:t>
      </w:r>
      <w:r>
        <w:rPr>
          <w:rFonts w:hint="eastAsia" w:ascii="宋体" w:hAnsi="宋体"/>
          <w:color w:val="auto"/>
          <w:sz w:val="24"/>
          <w:highlight w:val="none"/>
          <w:u w:val="single"/>
          <w:lang w:val="en-US" w:eastAsia="zh-CN"/>
        </w:rPr>
        <w:t>=结算计费基数*咨询费率</w:t>
      </w:r>
    </w:p>
    <w:p>
      <w:pPr>
        <w:pStyle w:val="2"/>
        <w:rPr>
          <w:rFonts w:hint="eastAsia" w:ascii="宋体" w:hAnsi="宋体"/>
          <w:color w:val="auto"/>
          <w:sz w:val="24"/>
          <w:highlight w:val="none"/>
          <w:u w:val="single"/>
          <w:lang w:val="en-US" w:eastAsia="zh-CN"/>
        </w:rPr>
      </w:pPr>
      <w:r>
        <w:rPr>
          <w:rFonts w:hint="eastAsia" w:ascii="宋体" w:hAnsi="宋体"/>
          <w:color w:val="auto"/>
          <w:sz w:val="24"/>
          <w:highlight w:val="none"/>
          <w:u w:val="single"/>
          <w:lang w:val="en-US" w:eastAsia="zh-CN"/>
        </w:rPr>
        <w:t>咨询费率=全过程造价咨询服务中标价（万元）/可研建设投资额建安</w:t>
      </w:r>
      <w:bookmarkStart w:id="35" w:name="_GoBack"/>
      <w:bookmarkEnd w:id="35"/>
      <w:r>
        <w:rPr>
          <w:rFonts w:hint="eastAsia" w:ascii="宋体" w:hAnsi="宋体"/>
          <w:color w:val="auto"/>
          <w:sz w:val="24"/>
          <w:highlight w:val="none"/>
          <w:u w:val="single"/>
          <w:lang w:val="en-US" w:eastAsia="zh-CN"/>
        </w:rPr>
        <w:t>费*100%</w:t>
      </w:r>
    </w:p>
    <w:p>
      <w:pPr>
        <w:pStyle w:val="2"/>
        <w:rPr>
          <w:rFonts w:hint="default" w:ascii="宋体" w:hAnsi="宋体"/>
          <w:color w:val="auto"/>
          <w:sz w:val="24"/>
          <w:highlight w:val="none"/>
          <w:u w:val="single"/>
          <w:lang w:val="en-US" w:eastAsia="zh-CN"/>
        </w:rPr>
      </w:pPr>
      <w:r>
        <w:rPr>
          <w:rFonts w:hint="eastAsia" w:ascii="宋体" w:hAnsi="宋体"/>
          <w:color w:val="auto"/>
          <w:sz w:val="24"/>
          <w:highlight w:val="none"/>
          <w:u w:val="single"/>
          <w:lang w:val="en-US" w:eastAsia="zh-CN"/>
        </w:rPr>
        <w:t>其中，可研建设投资额为34483.06万元。</w:t>
      </w:r>
    </w:p>
    <w:p>
      <w:pPr>
        <w:adjustRightInd w:val="0"/>
        <w:snapToGrid w:val="0"/>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全过程造价咨询服务费结算总价不得超过本工程甲方有审核权限部门审定概算中的全过程造价咨询服务费合计，且不得超过招标限价***万元，如超，则按审定概算中全过程咨询服务费或招标限价（两者取价低者）结算。另外，本合同造价咨询费结算价结合甲方</w:t>
      </w:r>
      <w:r>
        <w:rPr>
          <w:rFonts w:hint="eastAsia" w:ascii="宋体" w:hAnsi="宋体"/>
          <w:color w:val="auto"/>
          <w:sz w:val="24"/>
          <w:highlight w:val="none"/>
          <w:u w:val="single"/>
          <w:lang w:eastAsia="zh-CN"/>
        </w:rPr>
        <w:t>相关考核制度</w:t>
      </w:r>
      <w:r>
        <w:rPr>
          <w:rFonts w:hint="eastAsia" w:ascii="宋体" w:hAnsi="宋体"/>
          <w:color w:val="auto"/>
          <w:sz w:val="24"/>
          <w:highlight w:val="none"/>
          <w:u w:val="single"/>
        </w:rPr>
        <w:t>和黄埔区相关管理制度执行。如甲方或黄埔区出台新的管理制度、办法则执行最新的管理制度、办法等。</w:t>
      </w:r>
      <w:r>
        <w:rPr>
          <w:rFonts w:ascii="宋体" w:hAnsi="宋体"/>
          <w:color w:val="auto"/>
          <w:sz w:val="24"/>
          <w:highlight w:val="none"/>
          <w:u w:val="single"/>
        </w:rPr>
        <w:t>乙方</w:t>
      </w:r>
      <w:r>
        <w:rPr>
          <w:rFonts w:hint="eastAsia" w:ascii="宋体" w:hAnsi="宋体"/>
          <w:color w:val="auto"/>
          <w:sz w:val="24"/>
          <w:highlight w:val="none"/>
          <w:u w:val="single"/>
        </w:rPr>
        <w:t>在签订本合同前已知悉甲方的上述相关管理规定并遵守执行。最终全过程造价咨询服务费结算总价以甲方有审核权限部门审核意见为准。</w:t>
      </w:r>
    </w:p>
    <w:p>
      <w:pPr>
        <w:adjustRightInd w:val="0"/>
        <w:snapToGrid w:val="0"/>
        <w:spacing w:line="360" w:lineRule="auto"/>
        <w:ind w:firstLine="570"/>
        <w:rPr>
          <w:rFonts w:ascii="宋体" w:hAnsi="宋体"/>
          <w:color w:val="auto"/>
          <w:sz w:val="24"/>
          <w:highlight w:val="none"/>
        </w:rPr>
      </w:pPr>
      <w:r>
        <w:rPr>
          <w:rFonts w:hint="eastAsia" w:ascii="宋体" w:hAnsi="宋体"/>
          <w:color w:val="auto"/>
          <w:sz w:val="24"/>
          <w:highlight w:val="none"/>
        </w:rPr>
        <w:t>□方式二：本项目合同金额价款为元（大写：人民币），总价包干。</w:t>
      </w:r>
    </w:p>
    <w:p>
      <w:pPr>
        <w:adjustRightInd w:val="0"/>
        <w:snapToGrid w:val="0"/>
        <w:spacing w:line="360" w:lineRule="auto"/>
        <w:ind w:firstLine="360"/>
        <w:rPr>
          <w:rFonts w:ascii="宋体" w:hAnsi="宋体"/>
          <w:snapToGrid w:val="0"/>
          <w:color w:val="auto"/>
          <w:kern w:val="0"/>
          <w:sz w:val="24"/>
          <w:highlight w:val="none"/>
        </w:rPr>
      </w:pPr>
      <w:r>
        <w:rPr>
          <w:rFonts w:hint="eastAsia" w:ascii="宋体" w:hAnsi="宋体"/>
          <w:snapToGrid w:val="0"/>
          <w:color w:val="auto"/>
          <w:kern w:val="0"/>
          <w:sz w:val="24"/>
          <w:highlight w:val="none"/>
        </w:rPr>
        <w:t>（二）支付方式：</w:t>
      </w:r>
    </w:p>
    <w:p>
      <w:pPr>
        <w:adjustRightInd w:val="0"/>
        <w:snapToGrid w:val="0"/>
        <w:spacing w:line="360" w:lineRule="auto"/>
        <w:ind w:firstLine="480" w:firstLineChars="200"/>
        <w:rPr>
          <w:rFonts w:ascii="宋体" w:hAnsi="宋体"/>
          <w:snapToGrid w:val="0"/>
          <w:color w:val="auto"/>
          <w:kern w:val="0"/>
          <w:sz w:val="24"/>
          <w:highlight w:val="none"/>
        </w:rPr>
      </w:pPr>
      <w:r>
        <w:rPr>
          <w:rFonts w:ascii="宋体" w:hAnsi="宋体"/>
          <w:snapToGrid w:val="0"/>
          <w:color w:val="auto"/>
          <w:kern w:val="0"/>
          <w:sz w:val="24"/>
          <w:highlight w:val="none"/>
        </w:rPr>
        <w:t>1．本合同按方式二进行支付：</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snapToGrid w:val="0"/>
          <w:color w:val="auto"/>
          <w:kern w:val="0"/>
          <w:sz w:val="24"/>
          <w:highlight w:val="none"/>
        </w:rPr>
        <w:t>方式一：</w:t>
      </w:r>
      <w:r>
        <w:rPr>
          <w:rFonts w:hint="eastAsia" w:ascii="宋体" w:hAnsi="宋体"/>
          <w:color w:val="auto"/>
          <w:sz w:val="24"/>
          <w:highlight w:val="none"/>
        </w:rPr>
        <w:t>乙方在完成项目的造价咨询工作，提交造价咨询报告，造价咨询成果</w:t>
      </w:r>
      <w:r>
        <w:rPr>
          <w:rFonts w:hint="eastAsia" w:ascii="宋体" w:hAnsi="宋体"/>
          <w:snapToGrid w:val="0"/>
          <w:color w:val="auto"/>
          <w:kern w:val="0"/>
          <w:sz w:val="24"/>
          <w:highlight w:val="none"/>
        </w:rPr>
        <w:t>经</w:t>
      </w:r>
      <w:r>
        <w:rPr>
          <w:rFonts w:ascii="宋体" w:hAnsi="宋体"/>
          <w:color w:val="auto"/>
          <w:sz w:val="24"/>
          <w:highlight w:val="none"/>
        </w:rPr>
        <w:t>甲方</w:t>
      </w:r>
      <w:r>
        <w:rPr>
          <w:rFonts w:hint="eastAsia" w:ascii="宋体" w:hAnsi="宋体"/>
          <w:color w:val="auto"/>
          <w:sz w:val="24"/>
          <w:highlight w:val="none"/>
        </w:rPr>
        <w:t>有审核权限部门评审后，乙方</w:t>
      </w:r>
      <w:r>
        <w:rPr>
          <w:rFonts w:hint="eastAsia" w:ascii="宋体" w:hAnsi="宋体"/>
          <w:snapToGrid w:val="0"/>
          <w:color w:val="auto"/>
          <w:kern w:val="0"/>
          <w:sz w:val="24"/>
          <w:highlight w:val="none"/>
        </w:rPr>
        <w:t>按甲方的财务管理制度办理款项申请手续，经甲方和</w:t>
      </w:r>
      <w:r>
        <w:rPr>
          <w:rFonts w:hint="eastAsia" w:ascii="宋体" w:hAnsi="宋体"/>
          <w:color w:val="auto"/>
          <w:sz w:val="24"/>
          <w:highlight w:val="none"/>
        </w:rPr>
        <w:t>财政投资</w:t>
      </w:r>
      <w:r>
        <w:rPr>
          <w:rFonts w:hint="eastAsia" w:ascii="宋体" w:hAnsi="宋体"/>
          <w:snapToGrid w:val="0"/>
          <w:color w:val="auto"/>
          <w:kern w:val="0"/>
          <w:sz w:val="24"/>
          <w:highlight w:val="none"/>
        </w:rPr>
        <w:t>结算评审审定后向乙方支付本合同</w:t>
      </w:r>
      <w:r>
        <w:rPr>
          <w:rFonts w:hint="eastAsia" w:ascii="宋体" w:hAnsi="宋体"/>
          <w:color w:val="auto"/>
          <w:sz w:val="24"/>
          <w:highlight w:val="none"/>
        </w:rPr>
        <w:t>全额款项，不留尾款。</w:t>
      </w:r>
    </w:p>
    <w:p>
      <w:pPr>
        <w:adjustRightInd w:val="0"/>
        <w:snapToGrid w:val="0"/>
        <w:spacing w:line="360" w:lineRule="auto"/>
        <w:ind w:firstLine="420" w:firstLineChars="150"/>
        <w:rPr>
          <w:rFonts w:ascii="宋体" w:hAnsi="宋体"/>
          <w:color w:val="auto"/>
          <w:sz w:val="24"/>
          <w:highlight w:val="none"/>
        </w:rPr>
      </w:pPr>
      <w:r>
        <w:rPr>
          <w:rFonts w:ascii="宋体" w:hAnsi="宋体"/>
          <w:color w:val="auto"/>
          <w:sz w:val="28"/>
          <w:highlight w:val="none"/>
        </w:rPr>
        <w:sym w:font="Wingdings" w:char="00FE"/>
      </w:r>
      <w:r>
        <w:rPr>
          <w:rFonts w:hint="eastAsia" w:ascii="宋体" w:hAnsi="宋体"/>
          <w:snapToGrid w:val="0"/>
          <w:color w:val="auto"/>
          <w:kern w:val="0"/>
          <w:sz w:val="24"/>
          <w:highlight w:val="none"/>
        </w:rPr>
        <w:t>方式二：造价咨询费按</w:t>
      </w:r>
      <w:r>
        <w:rPr>
          <w:rFonts w:hint="eastAsia" w:ascii="宋体" w:hAnsi="宋体"/>
          <w:color w:val="auto"/>
          <w:sz w:val="24"/>
          <w:highlight w:val="none"/>
        </w:rPr>
        <w:t>以下阶段分次支付：</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（1）初步设计概算阶段。初步设计概算结果经甲方确认通过后15个工作日内，由甲方向乙方按照</w:t>
      </w:r>
      <w:r>
        <w:rPr>
          <w:rFonts w:hint="eastAsia" w:ascii="宋体" w:hAnsi="宋体"/>
          <w:color w:val="auto"/>
          <w:sz w:val="24"/>
          <w:highlight w:val="none"/>
          <w:lang w:eastAsia="zh-CN"/>
        </w:rPr>
        <w:t>经审核的</w:t>
      </w:r>
      <w:r>
        <w:rPr>
          <w:rFonts w:hint="eastAsia" w:ascii="宋体" w:hAnsi="宋体"/>
          <w:color w:val="auto"/>
          <w:sz w:val="24"/>
          <w:highlight w:val="none"/>
        </w:rPr>
        <w:t>初步设计概算建安工程费乘以咨询费率的</w:t>
      </w:r>
      <w:r>
        <w:rPr>
          <w:rFonts w:hint="eastAsia" w:ascii="宋体" w:hAnsi="宋体"/>
          <w:color w:val="auto"/>
          <w:sz w:val="24"/>
          <w:highlight w:val="none"/>
          <w:lang w:val="en-US" w:eastAsia="zh-CN"/>
        </w:rPr>
        <w:t>15</w:t>
      </w:r>
      <w:r>
        <w:rPr>
          <w:rFonts w:hint="eastAsia" w:ascii="宋体" w:hAnsi="宋体"/>
          <w:color w:val="auto"/>
          <w:sz w:val="24"/>
          <w:highlight w:val="none"/>
        </w:rPr>
        <w:t>%进行支付。本阶段咨询费不得超过合同暂定价的</w:t>
      </w:r>
      <w:r>
        <w:rPr>
          <w:rFonts w:hint="eastAsia" w:ascii="宋体" w:hAnsi="宋体"/>
          <w:color w:val="auto"/>
          <w:sz w:val="24"/>
          <w:highlight w:val="none"/>
          <w:lang w:val="en-US" w:eastAsia="zh-CN"/>
        </w:rPr>
        <w:t>15</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（2）施工图预算阶段。施工图预算结果经甲方确认通过后15个工作日内，由甲方向乙方按照已</w:t>
      </w:r>
      <w:r>
        <w:rPr>
          <w:rFonts w:hint="eastAsia" w:ascii="宋体" w:hAnsi="宋体"/>
          <w:color w:val="auto"/>
          <w:sz w:val="24"/>
          <w:highlight w:val="none"/>
          <w:lang w:eastAsia="zh-CN"/>
        </w:rPr>
        <w:t>审核</w:t>
      </w:r>
      <w:r>
        <w:rPr>
          <w:rFonts w:hint="eastAsia" w:ascii="宋体" w:hAnsi="宋体"/>
          <w:color w:val="auto"/>
          <w:sz w:val="24"/>
          <w:highlight w:val="none"/>
        </w:rPr>
        <w:t>的施工图预算建安工程费乘以咨询费率的</w:t>
      </w:r>
      <w:r>
        <w:rPr>
          <w:rFonts w:hint="eastAsia" w:ascii="宋体" w:hAnsi="宋体"/>
          <w:color w:val="auto"/>
          <w:sz w:val="24"/>
          <w:highlight w:val="none"/>
          <w:lang w:val="en-US" w:eastAsia="zh-CN"/>
        </w:rPr>
        <w:t>4</w:t>
      </w:r>
      <w:r>
        <w:rPr>
          <w:rFonts w:hint="eastAsia" w:ascii="宋体" w:hAnsi="宋体"/>
          <w:color w:val="auto"/>
          <w:sz w:val="24"/>
          <w:highlight w:val="none"/>
        </w:rPr>
        <w:t>0%进行支付。本阶段咨询费不得超过合同暂定价的</w:t>
      </w:r>
      <w:r>
        <w:rPr>
          <w:rFonts w:hint="eastAsia" w:ascii="宋体" w:hAnsi="宋体"/>
          <w:color w:val="auto"/>
          <w:sz w:val="24"/>
          <w:highlight w:val="none"/>
          <w:lang w:val="en-US" w:eastAsia="zh-CN"/>
        </w:rPr>
        <w:t>35</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（3）施工阶段。工程进度款审核结果经甲方确认通过后15个工作日内，由甲方向乙方按照</w:t>
      </w:r>
      <w:r>
        <w:rPr>
          <w:rFonts w:hint="eastAsia" w:ascii="宋体" w:hAnsi="宋体"/>
          <w:color w:val="auto"/>
          <w:sz w:val="24"/>
          <w:highlight w:val="none"/>
          <w:lang w:eastAsia="zh-CN"/>
        </w:rPr>
        <w:t>经审核</w:t>
      </w:r>
      <w:r>
        <w:rPr>
          <w:rFonts w:hint="eastAsia" w:ascii="宋体" w:hAnsi="宋体"/>
          <w:color w:val="auto"/>
          <w:sz w:val="24"/>
          <w:highlight w:val="none"/>
        </w:rPr>
        <w:t>的当期</w:t>
      </w:r>
      <w:r>
        <w:rPr>
          <w:rFonts w:hint="eastAsia" w:ascii="宋体" w:hAnsi="宋体"/>
          <w:color w:val="auto"/>
          <w:sz w:val="24"/>
          <w:highlight w:val="none"/>
          <w:lang w:eastAsia="zh-CN"/>
        </w:rPr>
        <w:t>实际</w:t>
      </w:r>
      <w:r>
        <w:rPr>
          <w:rFonts w:hint="eastAsia" w:ascii="宋体" w:hAnsi="宋体"/>
          <w:color w:val="auto"/>
          <w:sz w:val="24"/>
          <w:highlight w:val="none"/>
        </w:rPr>
        <w:t>支付</w:t>
      </w:r>
      <w:r>
        <w:rPr>
          <w:rFonts w:hint="eastAsia" w:ascii="宋体" w:hAnsi="宋体"/>
          <w:color w:val="auto"/>
          <w:sz w:val="24"/>
          <w:highlight w:val="none"/>
          <w:lang w:eastAsia="zh-CN"/>
        </w:rPr>
        <w:t>的</w:t>
      </w:r>
      <w:r>
        <w:rPr>
          <w:rFonts w:hint="eastAsia" w:ascii="宋体" w:hAnsi="宋体"/>
          <w:color w:val="auto"/>
          <w:sz w:val="24"/>
          <w:highlight w:val="none"/>
        </w:rPr>
        <w:t>工程进度款乘以咨询费率的</w:t>
      </w:r>
      <w:r>
        <w:rPr>
          <w:rFonts w:hint="eastAsia" w:ascii="宋体" w:hAnsi="宋体"/>
          <w:color w:val="auto"/>
          <w:sz w:val="24"/>
          <w:highlight w:val="none"/>
          <w:lang w:val="en-US" w:eastAsia="zh-CN"/>
        </w:rPr>
        <w:t>15</w:t>
      </w:r>
      <w:r>
        <w:rPr>
          <w:rFonts w:hint="eastAsia" w:ascii="宋体" w:hAnsi="宋体"/>
          <w:color w:val="auto"/>
          <w:sz w:val="24"/>
          <w:highlight w:val="none"/>
        </w:rPr>
        <w:t>%进行支付。本阶段咨询费不得超过合同暂定价的</w:t>
      </w:r>
      <w:r>
        <w:rPr>
          <w:rFonts w:hint="eastAsia" w:ascii="宋体" w:hAnsi="宋体"/>
          <w:color w:val="auto"/>
          <w:sz w:val="24"/>
          <w:highlight w:val="none"/>
          <w:lang w:val="en-US" w:eastAsia="zh-CN"/>
        </w:rPr>
        <w:t>15</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）竣工结算阶段，</w:t>
      </w:r>
      <w:r>
        <w:rPr>
          <w:rFonts w:hint="eastAsia" w:ascii="宋体" w:hAnsi="宋体"/>
          <w:color w:val="auto"/>
          <w:sz w:val="24"/>
          <w:highlight w:val="none"/>
          <w:lang w:eastAsia="zh-CN"/>
        </w:rPr>
        <w:t>乙方在完成本项目所有工程的</w:t>
      </w:r>
      <w:r>
        <w:rPr>
          <w:rFonts w:hint="eastAsia" w:ascii="宋体" w:hAnsi="宋体"/>
          <w:color w:val="auto"/>
          <w:sz w:val="24"/>
          <w:highlight w:val="none"/>
        </w:rPr>
        <w:t>竣工结算</w:t>
      </w:r>
      <w:r>
        <w:rPr>
          <w:rFonts w:hint="eastAsia" w:ascii="宋体" w:hAnsi="宋体"/>
          <w:color w:val="auto"/>
          <w:sz w:val="24"/>
          <w:highlight w:val="none"/>
          <w:lang w:eastAsia="zh-CN"/>
        </w:rPr>
        <w:t>审核且</w:t>
      </w:r>
      <w:r>
        <w:rPr>
          <w:rFonts w:hint="eastAsia" w:ascii="宋体" w:hAnsi="宋体"/>
          <w:color w:val="auto"/>
          <w:sz w:val="24"/>
          <w:highlight w:val="none"/>
        </w:rPr>
        <w:t>经甲方确认通过后15个工作日内，甲方向乙方</w:t>
      </w:r>
      <w:r>
        <w:rPr>
          <w:rFonts w:hint="eastAsia" w:ascii="宋体" w:hAnsi="宋体"/>
          <w:color w:val="auto"/>
          <w:sz w:val="24"/>
          <w:highlight w:val="none"/>
          <w:lang w:eastAsia="zh-CN"/>
        </w:rPr>
        <w:t>按照审定的竣工结算金额乘以咨询费率的</w:t>
      </w:r>
      <w:r>
        <w:rPr>
          <w:rFonts w:hint="eastAsia" w:ascii="宋体" w:hAnsi="宋体"/>
          <w:color w:val="auto"/>
          <w:sz w:val="24"/>
          <w:highlight w:val="none"/>
          <w:lang w:val="en-US" w:eastAsia="zh-CN"/>
        </w:rPr>
        <w:t>15%进行支付。</w:t>
      </w:r>
      <w:r>
        <w:rPr>
          <w:rFonts w:hint="eastAsia" w:ascii="宋体" w:hAnsi="宋体"/>
          <w:color w:val="auto"/>
          <w:sz w:val="24"/>
          <w:highlight w:val="none"/>
        </w:rPr>
        <w:t>本阶段咨询费不得超过合同暂定价的</w:t>
      </w:r>
      <w:r>
        <w:rPr>
          <w:rFonts w:hint="eastAsia" w:ascii="宋体" w:hAnsi="宋体"/>
          <w:color w:val="auto"/>
          <w:sz w:val="24"/>
          <w:highlight w:val="none"/>
          <w:lang w:val="en-US" w:eastAsia="zh-CN"/>
        </w:rPr>
        <w:t>15</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本工程的竣工决算完成且向甲方移交项目的全部归档材料后，进行本工程的造价咨询费结算（最终结算金额以有审核权限部门审核结果为准，后期根据本造价单位实际情况判断，是否还需另外进行最终结算价审核）甲方向乙方付清结算余款。</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）双方同意，甲方在按照本合同约定进度支付时，</w:t>
      </w:r>
      <w:r>
        <w:rPr>
          <w:rFonts w:hint="eastAsia" w:ascii="宋体" w:hAnsi="宋体"/>
          <w:bCs/>
          <w:color w:val="auto"/>
          <w:sz w:val="24"/>
          <w:highlight w:val="none"/>
          <w:lang w:eastAsia="zh-CN"/>
        </w:rPr>
        <w:t>如有必要可</w:t>
      </w:r>
      <w:r>
        <w:rPr>
          <w:rFonts w:hint="eastAsia" w:ascii="宋体" w:hAnsi="宋体"/>
          <w:color w:val="auto"/>
          <w:sz w:val="24"/>
          <w:highlight w:val="none"/>
        </w:rPr>
        <w:t>预留</w:t>
      </w:r>
      <w:r>
        <w:rPr>
          <w:rFonts w:hint="eastAsia" w:ascii="宋体" w:hAnsi="宋体"/>
          <w:color w:val="auto"/>
          <w:sz w:val="24"/>
          <w:highlight w:val="none"/>
          <w:lang w:val="en-US" w:eastAsia="zh-CN"/>
        </w:rPr>
        <w:t>当</w:t>
      </w:r>
      <w:r>
        <w:rPr>
          <w:rFonts w:hint="eastAsia" w:ascii="宋体" w:hAnsi="宋体"/>
          <w:color w:val="auto"/>
          <w:sz w:val="24"/>
          <w:highlight w:val="none"/>
        </w:rPr>
        <w:t>次咨询服务费的10%作为对咨询人的绩效考核金，绩效考核金在根据委托人届时对咨询人的绩效考核情况及结果支付。</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上述款项的支付乙方均需按照甲方要求提前提供税率为6%的等额增值税专用发票及请款函，并需按甲方相关管理办法执行，否则甲方有权不予付款。甲方在规定支付款项的时间内办理支付手续，因甲方审核延误支付的，不视为甲方违约，不计取延期付款滞纳金和利息等。</w:t>
      </w:r>
    </w:p>
    <w:p>
      <w:pPr>
        <w:adjustRightInd w:val="0"/>
        <w:snapToGrid w:val="0"/>
        <w:spacing w:line="360" w:lineRule="auto"/>
        <w:ind w:firstLine="480" w:firstLineChars="200"/>
        <w:rPr>
          <w:color w:val="auto"/>
          <w:highlight w:val="none"/>
        </w:rPr>
      </w:pPr>
      <w:r>
        <w:rPr>
          <w:rFonts w:hint="eastAsia" w:ascii="宋体" w:hAnsi="宋体"/>
          <w:color w:val="auto"/>
          <w:sz w:val="24"/>
          <w:highlight w:val="none"/>
        </w:rPr>
        <w:t>3.如遇国家相关税收法规发生重大变化，由此导致的税费按新政策执行，由此增减的税费，进行相应调整。</w:t>
      </w:r>
    </w:p>
    <w:p>
      <w:pPr>
        <w:pStyle w:val="48"/>
        <w:rPr>
          <w:color w:val="auto"/>
          <w:highlight w:val="none"/>
        </w:rPr>
      </w:pPr>
      <w:r>
        <w:rPr>
          <w:rFonts w:hint="eastAsia"/>
          <w:color w:val="auto"/>
          <w:highlight w:val="none"/>
        </w:rPr>
        <w:t>第五条服务期限</w:t>
      </w:r>
    </w:p>
    <w:p>
      <w:pPr>
        <w:adjustRightInd w:val="0"/>
        <w:snapToGrid w:val="0"/>
        <w:spacing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（一）本项目全过程造价咨询服务期限为：</w:t>
      </w:r>
      <w:r>
        <w:rPr>
          <w:rFonts w:ascii="宋体" w:hAnsi="宋体"/>
          <w:snapToGrid w:val="0"/>
          <w:color w:val="auto"/>
          <w:kern w:val="0"/>
          <w:sz w:val="24"/>
          <w:highlight w:val="none"/>
          <w:u w:val="single"/>
        </w:rPr>
        <w:t>自</w:t>
      </w:r>
      <w:r>
        <w:rPr>
          <w:rFonts w:hint="eastAsia" w:ascii="宋体" w:hAnsi="宋体"/>
          <w:snapToGrid w:val="0"/>
          <w:color w:val="auto"/>
          <w:kern w:val="0"/>
          <w:sz w:val="24"/>
          <w:highlight w:val="none"/>
          <w:u w:val="single"/>
        </w:rPr>
        <w:t>签订本合同</w:t>
      </w:r>
      <w:r>
        <w:rPr>
          <w:rFonts w:ascii="宋体" w:hAnsi="宋体"/>
          <w:snapToGrid w:val="0"/>
          <w:color w:val="auto"/>
          <w:kern w:val="0"/>
          <w:sz w:val="24"/>
          <w:highlight w:val="none"/>
          <w:u w:val="single"/>
        </w:rPr>
        <w:t>之日起至完成全部服务内容完成日止。</w:t>
      </w:r>
    </w:p>
    <w:p>
      <w:pPr>
        <w:adjustRightInd w:val="0"/>
        <w:snapToGrid w:val="0"/>
        <w:spacing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（二）因甲方原因导致项目工期调整，乙方无条件接受，并因此产生的费用已包含在合同款项中，不另行计取。</w:t>
      </w:r>
    </w:p>
    <w:p>
      <w:pPr>
        <w:pStyle w:val="48"/>
        <w:rPr>
          <w:b w:val="0"/>
          <w:bCs w:val="0"/>
          <w:color w:val="auto"/>
          <w:highlight w:val="none"/>
        </w:rPr>
      </w:pPr>
      <w:r>
        <w:rPr>
          <w:rFonts w:hint="eastAsia"/>
          <w:color w:val="auto"/>
          <w:highlight w:val="none"/>
        </w:rPr>
        <w:t>第六条</w:t>
      </w:r>
      <w:r>
        <w:rPr>
          <w:color w:val="auto"/>
          <w:highlight w:val="none"/>
        </w:rPr>
        <w:t>违约责任</w:t>
      </w:r>
    </w:p>
    <w:p>
      <w:pPr>
        <w:adjustRightInd w:val="0"/>
        <w:snapToGrid w:val="0"/>
        <w:spacing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（一）本合同一经生效，除法律、法规规定或本合同约定外，不得擅自解除。</w:t>
      </w:r>
    </w:p>
    <w:p>
      <w:pPr>
        <w:adjustRightInd w:val="0"/>
        <w:snapToGrid w:val="0"/>
        <w:spacing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二）若甲方未按合同约定及时提供乙方开展编制工作所需要准确有效的技术资料、基础资料等相关资料，或者由于甲方变更计划，致使乙方不能按本合同约定时间完成造价咨询工作的，甲方应按乙方的实际情况顺延时间。</w:t>
      </w:r>
    </w:p>
    <w:p>
      <w:pPr>
        <w:adjustRightInd w:val="0"/>
        <w:snapToGrid w:val="0"/>
        <w:spacing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（三）若因乙方自身的原因未按本合同第三条约定的期限内完成造价咨询工作，属于违约行为。乙方每逾期</w:t>
      </w:r>
      <w:r>
        <w:rPr>
          <w:rFonts w:ascii="宋体" w:hAnsi="宋体"/>
          <w:snapToGrid w:val="0"/>
          <w:color w:val="auto"/>
          <w:kern w:val="0"/>
          <w:sz w:val="24"/>
          <w:highlight w:val="none"/>
          <w:u w:val="single"/>
        </w:rPr>
        <w:t>3</w:t>
      </w:r>
      <w:r>
        <w:rPr>
          <w:rFonts w:ascii="宋体" w:hAnsi="宋体"/>
          <w:snapToGrid w:val="0"/>
          <w:color w:val="auto"/>
          <w:kern w:val="0"/>
          <w:sz w:val="24"/>
          <w:highlight w:val="none"/>
        </w:rPr>
        <w:t>个日历天，甲方有权扣减本</w:t>
      </w:r>
      <w:r>
        <w:rPr>
          <w:rFonts w:hint="eastAsia" w:ascii="宋体" w:hAnsi="宋体"/>
          <w:snapToGrid w:val="0"/>
          <w:color w:val="auto"/>
          <w:kern w:val="0"/>
          <w:sz w:val="24"/>
          <w:highlight w:val="none"/>
        </w:rPr>
        <w:t>合同暂定价的</w:t>
      </w:r>
      <w:r>
        <w:rPr>
          <w:rFonts w:ascii="宋体" w:hAnsi="宋体"/>
          <w:snapToGrid w:val="0"/>
          <w:color w:val="auto"/>
          <w:kern w:val="0"/>
          <w:sz w:val="24"/>
          <w:highlight w:val="none"/>
          <w:u w:val="single"/>
        </w:rPr>
        <w:t>2</w:t>
      </w:r>
      <w:r>
        <w:rPr>
          <w:rFonts w:hint="eastAsia" w:ascii="宋体" w:hAnsi="宋体"/>
          <w:snapToGrid w:val="0"/>
          <w:color w:val="auto"/>
          <w:kern w:val="0"/>
          <w:sz w:val="24"/>
          <w:highlight w:val="none"/>
        </w:rPr>
        <w:t>‰作为违约金；逾期满</w:t>
      </w:r>
      <w:r>
        <w:rPr>
          <w:rFonts w:ascii="宋体" w:hAnsi="宋体"/>
          <w:snapToGrid w:val="0"/>
          <w:color w:val="auto"/>
          <w:kern w:val="0"/>
          <w:sz w:val="24"/>
          <w:highlight w:val="none"/>
          <w:u w:val="single"/>
        </w:rPr>
        <w:t>15</w:t>
      </w:r>
      <w:r>
        <w:rPr>
          <w:rFonts w:hint="eastAsia" w:ascii="宋体" w:hAnsi="宋体"/>
          <w:snapToGrid w:val="0"/>
          <w:color w:val="auto"/>
          <w:kern w:val="0"/>
          <w:sz w:val="24"/>
          <w:highlight w:val="none"/>
        </w:rPr>
        <w:t>个日历天或是乙方实际工作进度滞后合同规定进度要求的</w:t>
      </w:r>
      <w:r>
        <w:rPr>
          <w:rFonts w:ascii="宋体" w:hAnsi="宋体"/>
          <w:snapToGrid w:val="0"/>
          <w:color w:val="auto"/>
          <w:kern w:val="0"/>
          <w:sz w:val="24"/>
          <w:highlight w:val="none"/>
          <w:u w:val="single"/>
        </w:rPr>
        <w:t>50</w:t>
      </w:r>
      <w:r>
        <w:rPr>
          <w:rFonts w:ascii="宋体" w:hAnsi="宋体"/>
          <w:snapToGrid w:val="0"/>
          <w:color w:val="auto"/>
          <w:kern w:val="0"/>
          <w:sz w:val="24"/>
          <w:highlight w:val="none"/>
        </w:rPr>
        <w:t>%时</w:t>
      </w:r>
      <w:r>
        <w:rPr>
          <w:rFonts w:hint="eastAsia" w:ascii="宋体" w:hAnsi="宋体"/>
          <w:snapToGrid w:val="0"/>
          <w:color w:val="auto"/>
          <w:kern w:val="0"/>
          <w:sz w:val="24"/>
          <w:highlight w:val="none"/>
        </w:rPr>
        <w:t>，甲方有权单方面解除合同，要求乙方退还所有服务费用并支付本合同暂定价的</w:t>
      </w:r>
      <w:r>
        <w:rPr>
          <w:rFonts w:ascii="宋体" w:hAnsi="宋体"/>
          <w:snapToGrid w:val="0"/>
          <w:color w:val="auto"/>
          <w:kern w:val="0"/>
          <w:sz w:val="24"/>
          <w:highlight w:val="none"/>
          <w:u w:val="single"/>
        </w:rPr>
        <w:t>20</w:t>
      </w:r>
      <w:r>
        <w:rPr>
          <w:rFonts w:ascii="宋体" w:hAnsi="宋体"/>
          <w:snapToGrid w:val="0"/>
          <w:color w:val="auto"/>
          <w:kern w:val="0"/>
          <w:sz w:val="24"/>
          <w:highlight w:val="none"/>
        </w:rPr>
        <w:t>%作为违约金。</w:t>
      </w:r>
    </w:p>
    <w:p>
      <w:pPr>
        <w:adjustRightInd w:val="0"/>
        <w:snapToGrid w:val="0"/>
        <w:spacing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（四）乙方不得私自转包、分包造价咨询工作任务。若乙方私自转包、分包造价咨询工作任务，视为违约，甲方有权解除本合同，除扣除全额费用外，乙方应按合同暂定价的</w:t>
      </w:r>
      <w:r>
        <w:rPr>
          <w:rFonts w:hint="eastAsia" w:ascii="宋体" w:hAnsi="宋体"/>
          <w:snapToGrid w:val="0"/>
          <w:color w:val="auto"/>
          <w:kern w:val="0"/>
          <w:sz w:val="24"/>
          <w:highlight w:val="none"/>
          <w:u w:val="single"/>
        </w:rPr>
        <w:t>20</w:t>
      </w:r>
      <w:r>
        <w:rPr>
          <w:rFonts w:hint="eastAsia" w:ascii="宋体" w:hAnsi="宋体"/>
          <w:snapToGrid w:val="0"/>
          <w:color w:val="auto"/>
          <w:kern w:val="0"/>
          <w:sz w:val="24"/>
          <w:highlight w:val="none"/>
        </w:rPr>
        <w:t>%向甲方支付违约金，并且还需承担由此造成的工期、技术及其它一切损失。</w:t>
      </w:r>
    </w:p>
    <w:p>
      <w:pPr>
        <w:spacing w:line="360" w:lineRule="auto"/>
        <w:ind w:firstLine="360" w:firstLineChars="150"/>
        <w:rPr>
          <w:rFonts w:ascii="宋体" w:hAnsi="宋体"/>
          <w:strike/>
          <w:color w:val="auto"/>
          <w:sz w:val="24"/>
          <w:highlight w:val="none"/>
        </w:rPr>
      </w:pPr>
      <w:r>
        <w:rPr>
          <w:rFonts w:hint="eastAsia" w:ascii="宋体" w:hAnsi="宋体"/>
          <w:snapToGrid w:val="0"/>
          <w:color w:val="auto"/>
          <w:kern w:val="0"/>
          <w:sz w:val="24"/>
          <w:highlight w:val="none"/>
        </w:rPr>
        <w:t>（五）</w:t>
      </w:r>
      <w:r>
        <w:rPr>
          <w:rFonts w:hint="eastAsia" w:ascii="宋体" w:hAnsi="宋体"/>
          <w:color w:val="auto"/>
          <w:sz w:val="24"/>
          <w:highlight w:val="none"/>
        </w:rPr>
        <w:t>在造价咨询过程中，乙方有失职行为，在造价咨询责任范围内出现重大问题造成经济损失的，</w:t>
      </w:r>
      <w:r>
        <w:rPr>
          <w:rFonts w:hint="eastAsia" w:ascii="宋体" w:hAnsi="宋体"/>
          <w:snapToGrid w:val="0"/>
          <w:color w:val="auto"/>
          <w:kern w:val="0"/>
          <w:sz w:val="24"/>
          <w:highlight w:val="none"/>
        </w:rPr>
        <w:t>乙方</w:t>
      </w:r>
      <w:r>
        <w:rPr>
          <w:rFonts w:hint="eastAsia" w:ascii="宋体" w:hAnsi="宋体"/>
          <w:color w:val="auto"/>
          <w:sz w:val="24"/>
          <w:highlight w:val="none"/>
        </w:rPr>
        <w:t>应承担相应责任，除免收损失部分咨询费外，还应付与直接损失部分咨询费等额的赔偿金。</w:t>
      </w:r>
    </w:p>
    <w:p>
      <w:pPr>
        <w:spacing w:line="360" w:lineRule="auto"/>
        <w:ind w:firstLine="480" w:firstLineChars="200"/>
        <w:rPr>
          <w:rFonts w:ascii="宋体" w:hAnsi="宋体"/>
          <w:color w:val="auto"/>
          <w:sz w:val="24"/>
          <w:highlight w:val="none"/>
        </w:rPr>
      </w:pPr>
      <w:r>
        <w:rPr>
          <w:rFonts w:hint="eastAsia" w:ascii="宋体" w:hAnsi="宋体"/>
          <w:snapToGrid w:val="0"/>
          <w:color w:val="auto"/>
          <w:kern w:val="0"/>
          <w:sz w:val="24"/>
          <w:highlight w:val="none"/>
        </w:rPr>
        <w:t>（六）乙方</w:t>
      </w:r>
      <w:r>
        <w:rPr>
          <w:rFonts w:hint="eastAsia" w:ascii="宋体" w:hAnsi="宋体"/>
          <w:color w:val="auto"/>
          <w:sz w:val="24"/>
          <w:highlight w:val="none"/>
        </w:rPr>
        <w:t>应当对造价咨询成果质量负相应的咨询责任，但不代替设计单位承担设计质量责任。对玩忽职守、徇私舞弊、贪污受贿的咨询人员和机构，由建设行政主管部门依法给予暂停或者吊销其咨询审查资格，并处以相应的经济处罚；同时造成甲方损失的，由</w:t>
      </w:r>
      <w:r>
        <w:rPr>
          <w:rFonts w:hint="eastAsia" w:ascii="宋体" w:hAnsi="宋体"/>
          <w:snapToGrid w:val="0"/>
          <w:color w:val="auto"/>
          <w:kern w:val="0"/>
          <w:sz w:val="24"/>
          <w:highlight w:val="none"/>
        </w:rPr>
        <w:t>乙方</w:t>
      </w:r>
      <w:r>
        <w:rPr>
          <w:rFonts w:hint="eastAsia" w:ascii="宋体" w:hAnsi="宋体"/>
          <w:color w:val="auto"/>
          <w:sz w:val="24"/>
          <w:highlight w:val="none"/>
        </w:rPr>
        <w:t>承担赔偿责任。构成犯罪的，依法追究其刑事责任。</w:t>
      </w:r>
    </w:p>
    <w:p>
      <w:pPr>
        <w:spacing w:line="360" w:lineRule="auto"/>
        <w:ind w:firstLine="480" w:firstLineChars="200"/>
        <w:rPr>
          <w:rFonts w:ascii="宋体" w:hAnsi="宋体"/>
          <w:color w:val="auto"/>
          <w:sz w:val="24"/>
          <w:highlight w:val="none"/>
        </w:rPr>
      </w:pPr>
      <w:r>
        <w:rPr>
          <w:rFonts w:hint="eastAsia" w:ascii="宋体" w:hAnsi="宋体"/>
          <w:snapToGrid w:val="0"/>
          <w:color w:val="auto"/>
          <w:kern w:val="0"/>
          <w:sz w:val="24"/>
          <w:highlight w:val="none"/>
        </w:rPr>
        <w:t>（七）乙方</w:t>
      </w:r>
      <w:r>
        <w:rPr>
          <w:rFonts w:hint="eastAsia" w:ascii="宋体" w:hAnsi="宋体"/>
          <w:color w:val="auto"/>
          <w:sz w:val="24"/>
          <w:highlight w:val="none"/>
        </w:rPr>
        <w:t>向甲方提出赔偿要求不能成立时，则应补偿由于该赔偿或其他要求所导致的各种费用的支出。</w:t>
      </w:r>
    </w:p>
    <w:p>
      <w:pPr>
        <w:spacing w:line="360" w:lineRule="auto"/>
        <w:ind w:firstLine="480" w:firstLineChars="200"/>
        <w:rPr>
          <w:rFonts w:ascii="宋体" w:hAnsi="宋体"/>
          <w:color w:val="auto"/>
          <w:sz w:val="24"/>
          <w:highlight w:val="none"/>
        </w:rPr>
      </w:pPr>
      <w:r>
        <w:rPr>
          <w:rFonts w:hint="eastAsia" w:ascii="宋体" w:hAnsi="宋体"/>
          <w:snapToGrid w:val="0"/>
          <w:color w:val="auto"/>
          <w:kern w:val="0"/>
          <w:sz w:val="24"/>
          <w:highlight w:val="none"/>
        </w:rPr>
        <w:t>（八）</w:t>
      </w:r>
      <w:r>
        <w:rPr>
          <w:rFonts w:hint="eastAsia" w:ascii="宋体" w:hAnsi="宋体"/>
          <w:color w:val="auto"/>
          <w:sz w:val="24"/>
          <w:highlight w:val="none"/>
        </w:rPr>
        <w:t>甲方将对乙方提交的成果资料进行复核审查，乙方应积极配合甲方复核工作，并根据审查结果承担违约责任并支付违约金。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在乙方审核完施工图预算后，甲方若对乙方提交的成果资料存在异议，有权就有异议部分另行委托造价咨询单位进行二次审核，偏差率在2%（含本数）～3%（不含本数）的，扣除造价咨询服务费的5％作为违约金；偏差率在3%（含本数）～5%（不含本数）的，扣除造价咨询服务费的10％作为违约金；偏差率超过5%（含本数）的，扣除造价咨询服务费的20％作为违约金。</w:t>
      </w:r>
    </w:p>
    <w:p>
      <w:pPr>
        <w:pStyle w:val="2"/>
        <w:rPr>
          <w:rFonts w:ascii="宋体" w:hAnsi="宋体"/>
          <w:color w:val="auto"/>
          <w:sz w:val="24"/>
          <w:szCs w:val="24"/>
          <w:highlight w:val="none"/>
        </w:rPr>
      </w:pPr>
      <w:r>
        <w:rPr>
          <w:rFonts w:hint="eastAsia" w:ascii="宋体" w:hAnsi="宋体"/>
          <w:color w:val="auto"/>
          <w:sz w:val="24"/>
          <w:szCs w:val="24"/>
          <w:highlight w:val="none"/>
        </w:rPr>
        <w:t>偏差率=二次审核单位的核减金额/评审审定金额*100%</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乙方对甲方提交的经监理审核的工程结算书（结算资料）进行复核并出具成果，甲方若对乙方提交的成果资料存在异议，有权就有异议部分另行委托造价咨询单位进行二次审核，如二次审核审定的结算金额较由乙方审定的结算金额的差值大于正负3‰，则由乙方按下列计算方法向甲方支付违约金，累计最多不超过本合同项目竣工结算阶段咨询服务费的20%：如因非乙方原因导致的造价核减，可同时申请减免相应的违约责任，经甲方审核确认后，在合同结算时可根据审核结果减免相应的违约责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违约金=[ㄧ（A－B）/A ㄧ-3‰]×C</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其中：A 为乙方审定的工程结算金额；</w:t>
      </w:r>
    </w:p>
    <w:p>
      <w:pPr>
        <w:spacing w:line="360" w:lineRule="auto"/>
        <w:ind w:firstLine="1200" w:firstLineChars="500"/>
        <w:rPr>
          <w:rFonts w:ascii="宋体" w:hAnsi="宋体"/>
          <w:color w:val="auto"/>
          <w:sz w:val="24"/>
          <w:highlight w:val="none"/>
        </w:rPr>
      </w:pPr>
      <w:r>
        <w:rPr>
          <w:rFonts w:hint="eastAsia" w:ascii="宋体" w:hAnsi="宋体"/>
          <w:color w:val="auto"/>
          <w:sz w:val="24"/>
          <w:highlight w:val="none"/>
        </w:rPr>
        <w:t>B 为二次审核审定的工程结算金额；</w:t>
      </w:r>
    </w:p>
    <w:p>
      <w:pPr>
        <w:spacing w:line="360" w:lineRule="auto"/>
        <w:ind w:firstLine="1200" w:firstLineChars="500"/>
        <w:rPr>
          <w:rFonts w:ascii="宋体" w:hAnsi="宋体"/>
          <w:color w:val="auto"/>
          <w:sz w:val="24"/>
          <w:highlight w:val="none"/>
        </w:rPr>
      </w:pPr>
      <w:r>
        <w:rPr>
          <w:rFonts w:hint="eastAsia" w:ascii="宋体" w:hAnsi="宋体"/>
          <w:color w:val="auto"/>
          <w:sz w:val="24"/>
          <w:highlight w:val="none"/>
        </w:rPr>
        <w:t>C 为本合同项目竣工结算阶段咨询服务费。</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（十）合同履行过程中，甲方有权随时发函约见乙方的法定代表人，乙方的法定代表人</w:t>
      </w:r>
      <w:r>
        <w:rPr>
          <w:rFonts w:ascii="宋体" w:hAnsi="宋体"/>
          <w:snapToGrid w:val="0"/>
          <w:color w:val="auto"/>
          <w:kern w:val="0"/>
          <w:sz w:val="24"/>
          <w:highlight w:val="none"/>
        </w:rPr>
        <w:t>无正当理由拒绝</w:t>
      </w:r>
      <w:r>
        <w:rPr>
          <w:rFonts w:hint="eastAsia" w:ascii="宋体" w:hAnsi="宋体"/>
          <w:snapToGrid w:val="0"/>
          <w:color w:val="auto"/>
          <w:kern w:val="0"/>
          <w:sz w:val="24"/>
          <w:highlight w:val="none"/>
        </w:rPr>
        <w:t>约见的，每次乙方应按本合同约定合同暂定价的</w:t>
      </w:r>
      <w:r>
        <w:rPr>
          <w:rFonts w:ascii="宋体" w:hAnsi="宋体"/>
          <w:snapToGrid w:val="0"/>
          <w:color w:val="auto"/>
          <w:kern w:val="0"/>
          <w:sz w:val="24"/>
          <w:highlight w:val="none"/>
          <w:u w:val="single"/>
        </w:rPr>
        <w:t>5</w:t>
      </w:r>
      <w:r>
        <w:rPr>
          <w:rFonts w:ascii="宋体" w:hAnsi="宋体"/>
          <w:snapToGrid w:val="0"/>
          <w:color w:val="auto"/>
          <w:kern w:val="0"/>
          <w:sz w:val="24"/>
          <w:highlight w:val="none"/>
        </w:rPr>
        <w:t>%向甲方支付违约金。</w:t>
      </w:r>
      <w:r>
        <w:rPr>
          <w:rFonts w:hint="eastAsia" w:ascii="宋体" w:hAnsi="宋体"/>
          <w:snapToGrid w:val="0"/>
          <w:color w:val="auto"/>
          <w:kern w:val="0"/>
          <w:sz w:val="24"/>
          <w:highlight w:val="none"/>
        </w:rPr>
        <w:t>乙方的法定代表人</w:t>
      </w:r>
      <w:r>
        <w:rPr>
          <w:rFonts w:ascii="宋体" w:hAnsi="宋体"/>
          <w:snapToGrid w:val="0"/>
          <w:color w:val="auto"/>
          <w:kern w:val="0"/>
          <w:sz w:val="24"/>
          <w:highlight w:val="none"/>
        </w:rPr>
        <w:t>无正当理由拒绝</w:t>
      </w:r>
      <w:r>
        <w:rPr>
          <w:rFonts w:hint="eastAsia" w:ascii="宋体" w:hAnsi="宋体"/>
          <w:snapToGrid w:val="0"/>
          <w:color w:val="auto"/>
          <w:kern w:val="0"/>
          <w:sz w:val="24"/>
          <w:highlight w:val="none"/>
        </w:rPr>
        <w:t>约见累计</w:t>
      </w:r>
      <w:r>
        <w:rPr>
          <w:rFonts w:ascii="宋体" w:hAnsi="宋体"/>
          <w:snapToGrid w:val="0"/>
          <w:color w:val="auto"/>
          <w:kern w:val="0"/>
          <w:sz w:val="24"/>
          <w:highlight w:val="none"/>
          <w:u w:val="single"/>
        </w:rPr>
        <w:t>3</w:t>
      </w:r>
      <w:r>
        <w:rPr>
          <w:rFonts w:ascii="宋体" w:hAnsi="宋体"/>
          <w:snapToGrid w:val="0"/>
          <w:color w:val="auto"/>
          <w:kern w:val="0"/>
          <w:sz w:val="24"/>
          <w:highlight w:val="none"/>
        </w:rPr>
        <w:t>次及以上的，甲方有权解除合同，将本工程另行发包，并不免除乙方的违约赔偿责任，甲方有权书面通知乙方或者在相关网站上公示并抄送行政监督部门，拒绝乙方参与以后甲方所负责的工程系统内投标资格。</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（十一）若项目造价咨询过程中乙方达不到甲方的要求，甲方</w:t>
      </w:r>
      <w:r>
        <w:rPr>
          <w:rFonts w:hint="eastAsia" w:ascii="宋体" w:hAnsi="宋体"/>
          <w:snapToGrid w:val="0"/>
          <w:color w:val="auto"/>
          <w:kern w:val="0"/>
          <w:sz w:val="24"/>
          <w:highlight w:val="none"/>
          <w:u w:val="single"/>
        </w:rPr>
        <w:t>有权随时要求乙方撤换工作不力及不合格的项目负责人和专业技术人员，并有权要求乙方每人每次支付本合同暂定价的</w:t>
      </w:r>
      <w:r>
        <w:rPr>
          <w:rFonts w:ascii="宋体" w:hAnsi="宋体"/>
          <w:snapToGrid w:val="0"/>
          <w:color w:val="auto"/>
          <w:kern w:val="0"/>
          <w:sz w:val="24"/>
          <w:highlight w:val="none"/>
          <w:u w:val="single"/>
        </w:rPr>
        <w:t>2%作为违约金</w:t>
      </w:r>
      <w:r>
        <w:rPr>
          <w:rFonts w:hint="eastAsia" w:ascii="宋体" w:hAnsi="宋体"/>
          <w:snapToGrid w:val="0"/>
          <w:color w:val="auto"/>
          <w:kern w:val="0"/>
          <w:sz w:val="24"/>
          <w:highlight w:val="none"/>
          <w:u w:val="single"/>
        </w:rPr>
        <w:t>。若乙方经更换人员三次或三次以上仍未达到甲方要求的（因重大疾病不能胜任工作及离职者除外），有权要求乙方每人每次支付本合同暂定价的5</w:t>
      </w:r>
      <w:r>
        <w:rPr>
          <w:rFonts w:ascii="宋体" w:hAnsi="宋体"/>
          <w:snapToGrid w:val="0"/>
          <w:color w:val="auto"/>
          <w:kern w:val="0"/>
          <w:sz w:val="24"/>
          <w:highlight w:val="none"/>
          <w:u w:val="single"/>
        </w:rPr>
        <w:t>%作为违约金</w:t>
      </w:r>
      <w:r>
        <w:rPr>
          <w:rFonts w:hint="eastAsia" w:ascii="宋体" w:hAnsi="宋体"/>
          <w:snapToGrid w:val="0"/>
          <w:color w:val="auto"/>
          <w:kern w:val="0"/>
          <w:sz w:val="24"/>
          <w:highlight w:val="none"/>
          <w:u w:val="single"/>
        </w:rPr>
        <w:t>,</w:t>
      </w:r>
      <w:r>
        <w:rPr>
          <w:rFonts w:hint="eastAsia" w:ascii="宋体" w:hAnsi="宋体"/>
          <w:color w:val="auto"/>
          <w:sz w:val="24"/>
          <w:highlight w:val="none"/>
          <w:u w:val="single"/>
        </w:rPr>
        <w:t>甲</w:t>
      </w:r>
      <w:r>
        <w:rPr>
          <w:rFonts w:hint="eastAsia" w:ascii="宋体" w:hAnsi="宋体"/>
          <w:snapToGrid w:val="0"/>
          <w:color w:val="auto"/>
          <w:kern w:val="0"/>
          <w:sz w:val="24"/>
          <w:highlight w:val="none"/>
          <w:u w:val="single"/>
        </w:rPr>
        <w:t>方有权书面通知乙方或者在相关网站上公示并抄送行政监督部门，拒绝乙方参与以后甲方所负责的工程系统内投标资格</w:t>
      </w:r>
      <w:r>
        <w:rPr>
          <w:rFonts w:hint="eastAsia" w:ascii="宋体" w:hAnsi="宋体"/>
          <w:snapToGrid w:val="0"/>
          <w:color w:val="auto"/>
          <w:kern w:val="0"/>
          <w:sz w:val="24"/>
          <w:highlight w:val="none"/>
        </w:rPr>
        <w:t>。</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（十二）因一方的违约行为致使对方损失的，违约方应承担相应的赔偿责任。</w:t>
      </w:r>
    </w:p>
    <w:p>
      <w:pPr>
        <w:adjustRightInd w:val="0"/>
        <w:snapToGrid w:val="0"/>
        <w:spacing w:line="360" w:lineRule="auto"/>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十三）如乙方实际工作人员在审核（编制）概算、预算、招标限价、工程进度款、工程变更、结算等阶段能力不足或工作中出现重大错漏，甲方有权将该阶段审核（审核）任务另行委托有资质的社会机构承担，对应该阶段费用一次性扣除，作为甲方另外委托其他单位进行该阶段工作的费用。</w:t>
      </w:r>
    </w:p>
    <w:p>
      <w:pPr>
        <w:adjustRightInd w:val="0"/>
        <w:snapToGrid w:val="0"/>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（十四）合同生效后，乙方应履行合同义务及参建单位职责，并同意接受及执行甲方各项相关建设管理规定，</w:t>
      </w:r>
      <w:r>
        <w:rPr>
          <w:rFonts w:hint="eastAsia" w:ascii="宋体" w:hAnsi="宋体"/>
          <w:color w:val="auto"/>
          <w:sz w:val="24"/>
          <w:highlight w:val="none"/>
          <w:u w:val="single"/>
        </w:rPr>
        <w:t>如有更新按照最新的相关办法执行。乙方在签订本合同前已知悉甲方的上述相关管理规定，如乙方若未达到甲方相关建设管理要求，甲方有权依据相关管理规定要求乙方承担违约责任及赔偿损失。</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（十五）如乙方违约，甲方有权在履约银行保函金或合同金额中扣除相应款项。</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（十六）乙方提供伪造、变造资料、文件的，甲方有权解除合同、不予支付任何费用、追回已支付费用，并保留追究乙方行为导致工期延误等一切法律责任的权利。</w:t>
      </w:r>
    </w:p>
    <w:p>
      <w:pPr>
        <w:pStyle w:val="2"/>
        <w:rPr>
          <w:color w:val="auto"/>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十七）乙方承担违约金累计不超过相应阶段服务费的100%。</w:t>
      </w:r>
    </w:p>
    <w:p>
      <w:pPr>
        <w:pStyle w:val="48"/>
        <w:rPr>
          <w:bCs w:val="0"/>
          <w:color w:val="auto"/>
          <w:highlight w:val="none"/>
        </w:rPr>
      </w:pPr>
      <w:r>
        <w:rPr>
          <w:rFonts w:hint="eastAsia"/>
          <w:color w:val="auto"/>
          <w:highlight w:val="none"/>
        </w:rPr>
        <w:t>第七条　保密义务</w:t>
      </w:r>
    </w:p>
    <w:p>
      <w:pPr>
        <w:spacing w:line="360" w:lineRule="auto"/>
        <w:ind w:firstLine="480" w:firstLineChars="200"/>
        <w:rPr>
          <w:rFonts w:ascii="宋体" w:hAnsi="宋体"/>
          <w:color w:val="auto"/>
          <w:sz w:val="24"/>
          <w:highlight w:val="none"/>
        </w:rPr>
      </w:pPr>
      <w:r>
        <w:rPr>
          <w:rFonts w:hint="eastAsia" w:ascii="宋体" w:hAnsi="宋体"/>
          <w:snapToGrid w:val="0"/>
          <w:color w:val="auto"/>
          <w:kern w:val="0"/>
          <w:sz w:val="24"/>
          <w:highlight w:val="none"/>
        </w:rPr>
        <w:t>乙方在本合同履行期间及履行完毕后</w:t>
      </w:r>
      <w:r>
        <w:rPr>
          <w:rFonts w:ascii="宋体" w:hAnsi="宋体"/>
          <w:snapToGrid w:val="0"/>
          <w:color w:val="auto"/>
          <w:kern w:val="0"/>
          <w:sz w:val="24"/>
          <w:highlight w:val="none"/>
          <w:u w:val="single"/>
        </w:rPr>
        <w:t>3</w:t>
      </w:r>
      <w:r>
        <w:rPr>
          <w:rFonts w:ascii="宋体" w:hAnsi="宋体"/>
          <w:snapToGrid w:val="0"/>
          <w:color w:val="auto"/>
          <w:kern w:val="0"/>
          <w:sz w:val="24"/>
          <w:highlight w:val="none"/>
        </w:rPr>
        <w:t>年内，所有涉密人员（包括但不限于项目小组人员及乙方内部有关人员）将严守甲方秘密，</w:t>
      </w:r>
      <w:r>
        <w:rPr>
          <w:rFonts w:hint="eastAsia" w:ascii="宋体" w:hAnsi="宋体"/>
          <w:color w:val="auto"/>
          <w:sz w:val="24"/>
          <w:highlight w:val="none"/>
        </w:rPr>
        <w:t>对甲方提供的资料负责保密，不得泄露与本合同工程相关的任何不应泄露的招标资料和情况，不得公开发表和交流。</w:t>
      </w:r>
      <w:r>
        <w:rPr>
          <w:rFonts w:hint="eastAsia" w:ascii="宋体" w:hAnsi="宋体"/>
          <w:snapToGrid w:val="0"/>
          <w:color w:val="auto"/>
          <w:kern w:val="0"/>
          <w:sz w:val="24"/>
          <w:highlight w:val="none"/>
        </w:rPr>
        <w:t>如有违反，乙方保证承担其相应的法律责任。</w:t>
      </w:r>
      <w:r>
        <w:rPr>
          <w:rFonts w:hint="eastAsia" w:ascii="宋体" w:hAnsi="宋体"/>
          <w:color w:val="auto"/>
          <w:sz w:val="24"/>
          <w:highlight w:val="none"/>
        </w:rPr>
        <w:t>不论本合同是否变更、解除、终止，本条款长期有效。</w:t>
      </w:r>
    </w:p>
    <w:p>
      <w:pPr>
        <w:adjustRightInd w:val="0"/>
        <w:snapToGrid w:val="0"/>
        <w:spacing w:before="120" w:beforeLines="50" w:line="360" w:lineRule="auto"/>
        <w:ind w:firstLine="472" w:firstLineChars="196"/>
        <w:rPr>
          <w:rFonts w:ascii="宋体" w:hAnsi="宋体"/>
          <w:snapToGrid w:val="0"/>
          <w:color w:val="auto"/>
          <w:kern w:val="0"/>
          <w:sz w:val="24"/>
          <w:highlight w:val="none"/>
        </w:rPr>
      </w:pPr>
      <w:r>
        <w:rPr>
          <w:rFonts w:hint="eastAsia" w:ascii="宋体" w:hAnsi="宋体"/>
          <w:b/>
          <w:bCs/>
          <w:snapToGrid w:val="0"/>
          <w:color w:val="auto"/>
          <w:kern w:val="0"/>
          <w:sz w:val="24"/>
          <w:highlight w:val="none"/>
        </w:rPr>
        <w:t>第</w:t>
      </w:r>
      <w:r>
        <w:rPr>
          <w:rFonts w:hint="eastAsia" w:ascii="宋体" w:hAnsi="宋体"/>
          <w:b/>
          <w:snapToGrid w:val="0"/>
          <w:color w:val="auto"/>
          <w:kern w:val="0"/>
          <w:sz w:val="24"/>
          <w:highlight w:val="none"/>
        </w:rPr>
        <w:t>八</w:t>
      </w:r>
      <w:r>
        <w:rPr>
          <w:rFonts w:hint="eastAsia" w:ascii="宋体" w:hAnsi="宋体"/>
          <w:b/>
          <w:bCs/>
          <w:snapToGrid w:val="0"/>
          <w:color w:val="auto"/>
          <w:kern w:val="0"/>
          <w:sz w:val="24"/>
          <w:highlight w:val="none"/>
        </w:rPr>
        <w:t>条</w:t>
      </w:r>
      <w:r>
        <w:rPr>
          <w:rFonts w:hint="eastAsia" w:ascii="宋体" w:hAnsi="宋体"/>
          <w:snapToGrid w:val="0"/>
          <w:color w:val="auto"/>
          <w:kern w:val="0"/>
          <w:sz w:val="24"/>
          <w:highlight w:val="none"/>
        </w:rPr>
        <w:t>　如需变更本合同之条款，应当经甲乙双方协商一致，以书面形式签署补充、修改协议。一方以书面形式向另一方提出变更合同请求的，另一方应当在</w:t>
      </w:r>
      <w:r>
        <w:rPr>
          <w:rFonts w:ascii="宋体" w:hAnsi="宋体"/>
          <w:snapToGrid w:val="0"/>
          <w:color w:val="auto"/>
          <w:kern w:val="0"/>
          <w:sz w:val="24"/>
          <w:highlight w:val="none"/>
          <w:u w:val="single"/>
        </w:rPr>
        <w:t>15</w:t>
      </w:r>
      <w:r>
        <w:rPr>
          <w:rFonts w:ascii="宋体" w:hAnsi="宋体"/>
          <w:snapToGrid w:val="0"/>
          <w:color w:val="auto"/>
          <w:kern w:val="0"/>
          <w:sz w:val="24"/>
          <w:highlight w:val="none"/>
        </w:rPr>
        <w:t>个日历日内予以书面答复；逾期未予答复的，视为不同意变更。</w:t>
      </w:r>
    </w:p>
    <w:p>
      <w:pPr>
        <w:adjustRightInd w:val="0"/>
        <w:snapToGrid w:val="0"/>
        <w:spacing w:before="120" w:beforeLines="50" w:line="360" w:lineRule="auto"/>
        <w:ind w:firstLine="472" w:firstLineChars="196"/>
        <w:rPr>
          <w:rFonts w:ascii="宋体" w:hAnsi="宋体"/>
          <w:snapToGrid w:val="0"/>
          <w:color w:val="auto"/>
          <w:kern w:val="0"/>
          <w:sz w:val="24"/>
          <w:highlight w:val="none"/>
        </w:rPr>
      </w:pPr>
      <w:r>
        <w:rPr>
          <w:rFonts w:hint="eastAsia" w:ascii="宋体" w:hAnsi="宋体"/>
          <w:b/>
          <w:snapToGrid w:val="0"/>
          <w:color w:val="auto"/>
          <w:kern w:val="0"/>
          <w:sz w:val="24"/>
          <w:highlight w:val="none"/>
        </w:rPr>
        <w:t>第</w:t>
      </w:r>
      <w:r>
        <w:rPr>
          <w:rFonts w:hint="eastAsia" w:ascii="宋体" w:hAnsi="宋体"/>
          <w:b/>
          <w:bCs/>
          <w:snapToGrid w:val="0"/>
          <w:color w:val="auto"/>
          <w:kern w:val="0"/>
          <w:sz w:val="24"/>
          <w:highlight w:val="none"/>
        </w:rPr>
        <w:t>九</w:t>
      </w:r>
      <w:r>
        <w:rPr>
          <w:rFonts w:hint="eastAsia" w:ascii="宋体" w:hAnsi="宋体"/>
          <w:b/>
          <w:snapToGrid w:val="0"/>
          <w:color w:val="auto"/>
          <w:kern w:val="0"/>
          <w:sz w:val="24"/>
          <w:highlight w:val="none"/>
        </w:rPr>
        <w:t>条</w:t>
      </w:r>
      <w:r>
        <w:rPr>
          <w:rFonts w:hint="eastAsia" w:ascii="宋体" w:hAnsi="宋体"/>
          <w:snapToGrid w:val="0"/>
          <w:color w:val="auto"/>
          <w:kern w:val="0"/>
          <w:sz w:val="24"/>
          <w:highlight w:val="none"/>
        </w:rPr>
        <w:t>如因政策调整或政府部门工作部署调整，导致本项目建设主体发生变化时，甲方不再负责本项目建设时，甲方有权单方面解除本合同或通过主体变更协议形式由新的项目建设主体继承甲方在本合同的所有权利义务，乙方需无条件接受，甲方无须给予乙方任何补偿或赔偿。</w:t>
      </w:r>
    </w:p>
    <w:p>
      <w:pPr>
        <w:spacing w:line="360" w:lineRule="auto"/>
        <w:ind w:firstLine="482" w:firstLineChars="200"/>
        <w:rPr>
          <w:rFonts w:ascii="宋体" w:hAnsi="宋体"/>
          <w:color w:val="auto"/>
          <w:sz w:val="24"/>
          <w:highlight w:val="none"/>
        </w:rPr>
      </w:pPr>
      <w:r>
        <w:rPr>
          <w:rFonts w:hint="eastAsia" w:ascii="宋体" w:hAnsi="宋体"/>
          <w:b/>
          <w:bCs/>
          <w:snapToGrid w:val="0"/>
          <w:color w:val="auto"/>
          <w:kern w:val="0"/>
          <w:sz w:val="24"/>
          <w:highlight w:val="none"/>
        </w:rPr>
        <w:t>第十条</w:t>
      </w:r>
      <w:r>
        <w:rPr>
          <w:rFonts w:ascii="宋体" w:hAnsi="宋体"/>
          <w:snapToGrid w:val="0"/>
          <w:color w:val="auto"/>
          <w:kern w:val="0"/>
          <w:sz w:val="24"/>
          <w:highlight w:val="none"/>
        </w:rPr>
        <w:t>双方因履行本合同而发生的或与本合同有关的一切争议，应首先</w:t>
      </w:r>
      <w:r>
        <w:rPr>
          <w:rFonts w:hint="eastAsia" w:ascii="宋体" w:hAnsi="宋体"/>
          <w:snapToGrid w:val="0"/>
          <w:color w:val="auto"/>
          <w:kern w:val="0"/>
          <w:sz w:val="24"/>
          <w:highlight w:val="none"/>
        </w:rPr>
        <w:t>双方</w:t>
      </w:r>
      <w:r>
        <w:rPr>
          <w:rFonts w:ascii="宋体" w:hAnsi="宋体"/>
          <w:snapToGrid w:val="0"/>
          <w:color w:val="auto"/>
          <w:kern w:val="0"/>
          <w:sz w:val="24"/>
          <w:highlight w:val="none"/>
        </w:rPr>
        <w:t>协商解决。协商不成的，任何一方均可将争议</w:t>
      </w:r>
      <w:r>
        <w:rPr>
          <w:rFonts w:hint="eastAsia" w:ascii="宋体" w:hAnsi="宋体"/>
          <w:color w:val="auto"/>
          <w:sz w:val="24"/>
          <w:highlight w:val="none"/>
        </w:rPr>
        <w:t>选择以下方式解决：</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□向项目所在地人民法院提起诉讼解决。</w:t>
      </w:r>
    </w:p>
    <w:p>
      <w:pPr>
        <w:spacing w:line="360" w:lineRule="auto"/>
        <w:ind w:firstLine="480" w:firstLineChars="200"/>
        <w:rPr>
          <w:rFonts w:ascii="宋体" w:hAnsi="宋体"/>
          <w:color w:val="auto"/>
          <w:sz w:val="24"/>
          <w:highlight w:val="none"/>
        </w:rPr>
      </w:pPr>
      <w:r>
        <w:rPr>
          <w:rFonts w:ascii="宋体" w:hAnsi="宋体"/>
          <w:color w:val="auto"/>
          <w:sz w:val="24"/>
          <w:highlight w:val="none"/>
        </w:rPr>
        <w:sym w:font="Wingdings 2" w:char="F052"/>
      </w:r>
      <w:r>
        <w:rPr>
          <w:rFonts w:hint="eastAsia" w:ascii="宋体" w:hAnsi="宋体"/>
          <w:color w:val="auto"/>
          <w:sz w:val="24"/>
          <w:highlight w:val="none"/>
        </w:rPr>
        <w:t>提交广州仲裁委员会仲裁解决。</w:t>
      </w:r>
    </w:p>
    <w:p>
      <w:pPr>
        <w:pStyle w:val="52"/>
        <w:spacing w:line="360" w:lineRule="auto"/>
        <w:ind w:firstLine="542" w:firstLineChars="225"/>
        <w:rPr>
          <w:rFonts w:ascii="宋体" w:hAnsi="宋体"/>
          <w:color w:val="auto"/>
          <w:sz w:val="24"/>
          <w:highlight w:val="none"/>
        </w:rPr>
      </w:pPr>
      <w:r>
        <w:rPr>
          <w:rFonts w:hint="eastAsia" w:ascii="宋体" w:hAnsi="宋体"/>
          <w:b/>
          <w:color w:val="auto"/>
          <w:sz w:val="24"/>
          <w:highlight w:val="none"/>
        </w:rPr>
        <w:t>第十一条</w:t>
      </w:r>
      <w:r>
        <w:rPr>
          <w:rFonts w:hint="eastAsia" w:ascii="宋体" w:hAnsi="宋体"/>
          <w:color w:val="auto"/>
          <w:sz w:val="24"/>
          <w:highlight w:val="none"/>
        </w:rPr>
        <w:t>下列文件均为本合同的组成部分：</w:t>
      </w:r>
    </w:p>
    <w:p>
      <w:pPr>
        <w:pStyle w:val="52"/>
        <w:spacing w:line="360" w:lineRule="auto"/>
        <w:ind w:firstLine="540" w:firstLineChars="0"/>
        <w:rPr>
          <w:rFonts w:ascii="宋体" w:hAnsi="宋体"/>
          <w:color w:val="auto"/>
          <w:sz w:val="24"/>
          <w:highlight w:val="none"/>
        </w:rPr>
      </w:pPr>
      <w:r>
        <w:rPr>
          <w:rFonts w:hint="eastAsia" w:ascii="宋体" w:hAnsi="宋体"/>
          <w:color w:val="auto"/>
          <w:sz w:val="24"/>
          <w:highlight w:val="none"/>
        </w:rPr>
        <w:t>（一）合同实施期间双方签订的补充或修正文件；（如有则附）</w:t>
      </w:r>
    </w:p>
    <w:p>
      <w:pPr>
        <w:pStyle w:val="52"/>
        <w:spacing w:line="360" w:lineRule="auto"/>
        <w:ind w:firstLine="540" w:firstLineChars="0"/>
        <w:rPr>
          <w:rFonts w:ascii="宋体" w:hAnsi="宋体"/>
          <w:color w:val="auto"/>
          <w:sz w:val="24"/>
          <w:highlight w:val="none"/>
        </w:rPr>
      </w:pPr>
      <w:r>
        <w:rPr>
          <w:rFonts w:hint="eastAsia" w:ascii="宋体" w:hAnsi="宋体"/>
          <w:color w:val="auto"/>
          <w:sz w:val="24"/>
          <w:highlight w:val="none"/>
        </w:rPr>
        <w:t>（二）本合同协议书；</w:t>
      </w:r>
    </w:p>
    <w:p>
      <w:pPr>
        <w:pStyle w:val="52"/>
        <w:spacing w:line="360" w:lineRule="auto"/>
        <w:ind w:firstLine="540" w:firstLineChars="0"/>
        <w:rPr>
          <w:rFonts w:ascii="宋体" w:hAnsi="宋体"/>
          <w:color w:val="auto"/>
          <w:sz w:val="24"/>
          <w:highlight w:val="none"/>
        </w:rPr>
      </w:pPr>
      <w:r>
        <w:rPr>
          <w:rFonts w:hint="eastAsia" w:ascii="宋体" w:hAnsi="宋体"/>
          <w:color w:val="auto"/>
          <w:sz w:val="24"/>
          <w:highlight w:val="none"/>
        </w:rPr>
        <w:t>（三）中标通知书；</w:t>
      </w:r>
    </w:p>
    <w:p>
      <w:pPr>
        <w:pStyle w:val="52"/>
        <w:spacing w:line="360" w:lineRule="auto"/>
        <w:ind w:firstLine="540" w:firstLineChars="0"/>
        <w:rPr>
          <w:rFonts w:ascii="宋体" w:hAnsi="宋体"/>
          <w:color w:val="auto"/>
          <w:sz w:val="24"/>
          <w:highlight w:val="none"/>
        </w:rPr>
      </w:pPr>
      <w:r>
        <w:rPr>
          <w:rFonts w:hint="eastAsia" w:ascii="宋体" w:hAnsi="宋体"/>
          <w:color w:val="auto"/>
          <w:sz w:val="24"/>
          <w:highlight w:val="none"/>
        </w:rPr>
        <w:t>（四）招标文件及有关问题澄清；</w:t>
      </w:r>
    </w:p>
    <w:p>
      <w:pPr>
        <w:pStyle w:val="52"/>
        <w:spacing w:line="360" w:lineRule="auto"/>
        <w:ind w:firstLine="540" w:firstLineChars="0"/>
        <w:rPr>
          <w:rFonts w:ascii="宋体" w:hAnsi="宋体"/>
          <w:color w:val="auto"/>
          <w:sz w:val="24"/>
          <w:highlight w:val="none"/>
        </w:rPr>
      </w:pPr>
      <w:r>
        <w:rPr>
          <w:rFonts w:hint="eastAsia" w:ascii="宋体" w:hAnsi="宋体"/>
          <w:color w:val="auto"/>
          <w:sz w:val="24"/>
          <w:highlight w:val="none"/>
        </w:rPr>
        <w:t>（五）投标文件及投标文件问题澄清；</w:t>
      </w:r>
    </w:p>
    <w:p>
      <w:pPr>
        <w:pStyle w:val="52"/>
        <w:spacing w:line="360" w:lineRule="auto"/>
        <w:ind w:firstLine="540" w:firstLineChars="0"/>
        <w:rPr>
          <w:rFonts w:ascii="宋体" w:hAnsi="宋体"/>
          <w:color w:val="auto"/>
          <w:sz w:val="24"/>
          <w:highlight w:val="none"/>
        </w:rPr>
      </w:pPr>
      <w:r>
        <w:rPr>
          <w:rFonts w:hint="eastAsia" w:ascii="宋体" w:hAnsi="宋体"/>
          <w:color w:val="auto"/>
          <w:sz w:val="24"/>
          <w:highlight w:val="none"/>
        </w:rPr>
        <w:t>（六）合同附件及经双方确认进入合同的其他文件。</w:t>
      </w:r>
    </w:p>
    <w:p>
      <w:pPr>
        <w:pStyle w:val="52"/>
        <w:spacing w:line="360" w:lineRule="auto"/>
        <w:ind w:firstLine="540" w:firstLineChars="0"/>
        <w:rPr>
          <w:rFonts w:ascii="宋体" w:hAnsi="宋体"/>
          <w:color w:val="auto"/>
          <w:sz w:val="24"/>
          <w:highlight w:val="none"/>
        </w:rPr>
      </w:pPr>
      <w:r>
        <w:rPr>
          <w:rFonts w:hint="eastAsia" w:ascii="宋体" w:hAnsi="宋体"/>
          <w:color w:val="auto"/>
          <w:sz w:val="24"/>
          <w:highlight w:val="none"/>
        </w:rPr>
        <w:t>上述文件汇集并代替了本协议书签订前双方为本合同签订的所有协议、会谈记录以及相互承诺的一切文件，且应被实质上响应招标文件并认为是互为补充和解释的，如上述各部分存在不一致之处，以先后排列次序为准。</w:t>
      </w:r>
    </w:p>
    <w:p>
      <w:pPr>
        <w:adjustRightInd w:val="0"/>
        <w:snapToGrid w:val="0"/>
        <w:spacing w:before="120" w:beforeLines="50" w:after="120" w:afterLines="50" w:line="360" w:lineRule="auto"/>
        <w:ind w:firstLine="482" w:firstLineChars="200"/>
        <w:rPr>
          <w:rFonts w:ascii="宋体" w:hAnsi="宋体"/>
          <w:snapToGrid w:val="0"/>
          <w:color w:val="auto"/>
          <w:kern w:val="0"/>
          <w:sz w:val="24"/>
          <w:highlight w:val="none"/>
        </w:rPr>
      </w:pPr>
      <w:r>
        <w:rPr>
          <w:rFonts w:hint="eastAsia" w:ascii="宋体" w:hAnsi="宋体"/>
          <w:b/>
          <w:bCs/>
          <w:snapToGrid w:val="0"/>
          <w:color w:val="auto"/>
          <w:kern w:val="0"/>
          <w:sz w:val="24"/>
          <w:highlight w:val="none"/>
        </w:rPr>
        <w:t>第十二条</w:t>
      </w:r>
      <w:r>
        <w:rPr>
          <w:rFonts w:hint="eastAsia" w:ascii="宋体" w:hAnsi="宋体"/>
          <w:snapToGrid w:val="0"/>
          <w:color w:val="auto"/>
          <w:kern w:val="0"/>
          <w:sz w:val="24"/>
          <w:highlight w:val="none"/>
        </w:rPr>
        <w:t>　本合同正本一式</w:t>
      </w:r>
      <w:r>
        <w:rPr>
          <w:rFonts w:hint="eastAsia" w:ascii="宋体" w:hAnsi="宋体"/>
          <w:snapToGrid w:val="0"/>
          <w:color w:val="auto"/>
          <w:kern w:val="0"/>
          <w:sz w:val="24"/>
          <w:highlight w:val="none"/>
          <w:u w:val="single"/>
        </w:rPr>
        <w:t>肆</w:t>
      </w:r>
      <w:r>
        <w:rPr>
          <w:rFonts w:hint="eastAsia" w:ascii="宋体" w:hAnsi="宋体"/>
          <w:snapToGrid w:val="0"/>
          <w:color w:val="auto"/>
          <w:kern w:val="0"/>
          <w:sz w:val="24"/>
          <w:highlight w:val="none"/>
        </w:rPr>
        <w:t>份，</w:t>
      </w:r>
      <w:r>
        <w:rPr>
          <w:rFonts w:hint="eastAsia" w:ascii="宋体" w:hAnsi="宋体"/>
          <w:color w:val="auto"/>
          <w:sz w:val="24"/>
          <w:highlight w:val="none"/>
        </w:rPr>
        <w:t>签约各方各</w:t>
      </w:r>
      <w:r>
        <w:rPr>
          <w:rFonts w:hint="eastAsia" w:ascii="宋体" w:hAnsi="宋体"/>
          <w:snapToGrid w:val="0"/>
          <w:color w:val="auto"/>
          <w:kern w:val="0"/>
          <w:sz w:val="24"/>
          <w:highlight w:val="none"/>
        </w:rPr>
        <w:t>执</w:t>
      </w:r>
      <w:r>
        <w:rPr>
          <w:rFonts w:hint="eastAsia" w:ascii="宋体" w:hAnsi="宋体"/>
          <w:snapToGrid w:val="0"/>
          <w:color w:val="auto"/>
          <w:kern w:val="0"/>
          <w:sz w:val="24"/>
          <w:highlight w:val="none"/>
          <w:u w:val="single"/>
        </w:rPr>
        <w:t>贰</w:t>
      </w:r>
      <w:r>
        <w:rPr>
          <w:rFonts w:hint="eastAsia" w:ascii="宋体" w:hAnsi="宋体"/>
          <w:snapToGrid w:val="0"/>
          <w:color w:val="auto"/>
          <w:kern w:val="0"/>
          <w:sz w:val="24"/>
          <w:highlight w:val="none"/>
        </w:rPr>
        <w:t>份；副本一式</w:t>
      </w:r>
      <w:r>
        <w:rPr>
          <w:rFonts w:hint="eastAsia" w:ascii="宋体" w:hAnsi="宋体"/>
          <w:snapToGrid w:val="0"/>
          <w:color w:val="auto"/>
          <w:kern w:val="0"/>
          <w:sz w:val="24"/>
          <w:highlight w:val="none"/>
          <w:u w:val="single"/>
        </w:rPr>
        <w:t>陆</w:t>
      </w:r>
      <w:r>
        <w:rPr>
          <w:rFonts w:hint="eastAsia" w:ascii="宋体" w:hAnsi="宋体"/>
          <w:snapToGrid w:val="0"/>
          <w:color w:val="auto"/>
          <w:kern w:val="0"/>
          <w:sz w:val="24"/>
          <w:highlight w:val="none"/>
        </w:rPr>
        <w:t>份，</w:t>
      </w:r>
      <w:r>
        <w:rPr>
          <w:rFonts w:hint="eastAsia" w:ascii="宋体" w:hAnsi="宋体"/>
          <w:color w:val="auto"/>
          <w:sz w:val="24"/>
          <w:highlight w:val="none"/>
        </w:rPr>
        <w:t>签约各方各</w:t>
      </w:r>
      <w:r>
        <w:rPr>
          <w:rFonts w:hint="eastAsia" w:ascii="宋体" w:hAnsi="宋体"/>
          <w:snapToGrid w:val="0"/>
          <w:color w:val="auto"/>
          <w:kern w:val="0"/>
          <w:sz w:val="24"/>
          <w:highlight w:val="none"/>
        </w:rPr>
        <w:t>执</w:t>
      </w:r>
      <w:r>
        <w:rPr>
          <w:rFonts w:hint="eastAsia" w:ascii="宋体" w:hAnsi="宋体"/>
          <w:snapToGrid w:val="0"/>
          <w:color w:val="auto"/>
          <w:kern w:val="0"/>
          <w:sz w:val="24"/>
          <w:highlight w:val="none"/>
          <w:u w:val="single"/>
        </w:rPr>
        <w:t>叁</w:t>
      </w:r>
      <w:r>
        <w:rPr>
          <w:rFonts w:hint="eastAsia" w:ascii="宋体" w:hAnsi="宋体"/>
          <w:snapToGrid w:val="0"/>
          <w:color w:val="auto"/>
          <w:kern w:val="0"/>
          <w:sz w:val="24"/>
          <w:highlight w:val="none"/>
        </w:rPr>
        <w:t>份。合同正本与副本具有同等法律效力。</w:t>
      </w:r>
    </w:p>
    <w:p>
      <w:pPr>
        <w:adjustRightInd w:val="0"/>
        <w:snapToGrid w:val="0"/>
        <w:spacing w:before="120" w:beforeLines="50" w:after="120" w:afterLines="50" w:line="360" w:lineRule="auto"/>
        <w:ind w:firstLine="482" w:firstLineChars="200"/>
        <w:rPr>
          <w:rFonts w:ascii="宋体" w:hAnsi="宋体"/>
          <w:snapToGrid w:val="0"/>
          <w:color w:val="auto"/>
          <w:kern w:val="0"/>
          <w:sz w:val="24"/>
          <w:highlight w:val="none"/>
        </w:rPr>
      </w:pPr>
      <w:r>
        <w:rPr>
          <w:rFonts w:hint="eastAsia" w:ascii="宋体" w:hAnsi="宋体"/>
          <w:b/>
          <w:bCs/>
          <w:snapToGrid w:val="0"/>
          <w:color w:val="auto"/>
          <w:kern w:val="0"/>
          <w:sz w:val="24"/>
          <w:highlight w:val="none"/>
        </w:rPr>
        <w:t>第十三条</w:t>
      </w:r>
      <w:r>
        <w:rPr>
          <w:rFonts w:hint="eastAsia" w:ascii="宋体" w:hAnsi="宋体"/>
          <w:snapToGrid w:val="0"/>
          <w:color w:val="auto"/>
          <w:kern w:val="0"/>
          <w:sz w:val="24"/>
          <w:highlight w:val="none"/>
        </w:rPr>
        <w:t>　本合同经甲、乙双方法定代表人签字并经单位盖章后生效，</w:t>
      </w:r>
      <w:r>
        <w:rPr>
          <w:rFonts w:hint="eastAsia" w:hAnsi="宋体" w:cs="宋体"/>
          <w:color w:val="auto"/>
          <w:sz w:val="24"/>
          <w:highlight w:val="none"/>
        </w:rPr>
        <w:t>合同生效之后，双方就中标通知书发出之日起至合同生效之日期间按合同约定的履约行为予以追认</w:t>
      </w:r>
      <w:r>
        <w:rPr>
          <w:rFonts w:ascii="宋体" w:hAnsi="宋体" w:cs="宋体"/>
          <w:color w:val="auto"/>
          <w:sz w:val="24"/>
          <w:highlight w:val="none"/>
        </w:rPr>
        <w:t>。</w:t>
      </w:r>
      <w:r>
        <w:rPr>
          <w:rFonts w:hint="eastAsia" w:hAnsi="宋体" w:cs="宋体"/>
          <w:color w:val="auto"/>
          <w:sz w:val="24"/>
          <w:highlight w:val="none"/>
        </w:rPr>
        <w:t>双方</w:t>
      </w:r>
      <w:r>
        <w:rPr>
          <w:rStyle w:val="136"/>
          <w:rFonts w:hint="eastAsia"/>
          <w:color w:val="auto"/>
          <w:sz w:val="24"/>
          <w:szCs w:val="28"/>
          <w:highlight w:val="none"/>
        </w:rPr>
        <w:t>确认本合同中约定的联系方式真实有效，</w:t>
      </w:r>
      <w:r>
        <w:rPr>
          <w:rFonts w:hint="eastAsia" w:hAnsi="宋体" w:cs="宋体"/>
          <w:color w:val="auto"/>
          <w:sz w:val="24"/>
          <w:highlight w:val="none"/>
        </w:rPr>
        <w:t>双方</w:t>
      </w:r>
      <w:r>
        <w:rPr>
          <w:rStyle w:val="136"/>
          <w:rFonts w:hint="eastAsia"/>
          <w:color w:val="auto"/>
          <w:sz w:val="24"/>
          <w:szCs w:val="28"/>
          <w:highlight w:val="none"/>
        </w:rPr>
        <w:t>依此向对方发出的所有通知、文件、资料均视为送达</w:t>
      </w:r>
      <w:r>
        <w:rPr>
          <w:rFonts w:hint="eastAsia" w:ascii="宋体" w:hAnsi="宋体"/>
          <w:snapToGrid w:val="0"/>
          <w:color w:val="auto"/>
          <w:kern w:val="0"/>
          <w:sz w:val="24"/>
          <w:highlight w:val="none"/>
        </w:rPr>
        <w:t>。</w:t>
      </w:r>
    </w:p>
    <w:p>
      <w:pPr>
        <w:adjustRightInd w:val="0"/>
        <w:snapToGrid w:val="0"/>
        <w:spacing w:before="120" w:beforeLines="50" w:after="120" w:afterLines="50" w:line="360" w:lineRule="auto"/>
        <w:ind w:firstLine="360" w:firstLineChars="150"/>
        <w:rPr>
          <w:rFonts w:ascii="宋体" w:hAnsi="宋体"/>
          <w:snapToGrid w:val="0"/>
          <w:color w:val="auto"/>
          <w:kern w:val="0"/>
          <w:sz w:val="24"/>
          <w:highlight w:val="none"/>
        </w:rPr>
      </w:pPr>
      <w:r>
        <w:rPr>
          <w:rFonts w:hint="eastAsia" w:ascii="宋体" w:hAnsi="宋体"/>
          <w:snapToGrid w:val="0"/>
          <w:color w:val="auto"/>
          <w:kern w:val="0"/>
          <w:sz w:val="24"/>
          <w:highlight w:val="none"/>
        </w:rPr>
        <w:t>（以下无正文）</w:t>
      </w:r>
    </w:p>
    <w:p>
      <w:pPr>
        <w:pStyle w:val="23"/>
        <w:rPr>
          <w:rFonts w:hAnsi="宋体"/>
          <w:snapToGrid w:val="0"/>
          <w:color w:val="auto"/>
          <w:kern w:val="0"/>
          <w:sz w:val="24"/>
          <w:highlight w:val="none"/>
        </w:rPr>
      </w:pPr>
    </w:p>
    <w:p>
      <w:pPr>
        <w:pStyle w:val="23"/>
        <w:rPr>
          <w:rFonts w:hAnsi="宋体"/>
          <w:snapToGrid w:val="0"/>
          <w:color w:val="auto"/>
          <w:kern w:val="0"/>
          <w:sz w:val="24"/>
          <w:highlight w:val="none"/>
        </w:rPr>
      </w:pPr>
    </w:p>
    <w:p>
      <w:pPr>
        <w:pStyle w:val="23"/>
        <w:rPr>
          <w:rFonts w:hAnsi="宋体"/>
          <w:snapToGrid w:val="0"/>
          <w:color w:val="auto"/>
          <w:kern w:val="0"/>
          <w:sz w:val="24"/>
          <w:highlight w:val="none"/>
        </w:rPr>
      </w:pPr>
    </w:p>
    <w:p>
      <w:pPr>
        <w:pStyle w:val="23"/>
        <w:rPr>
          <w:rFonts w:hAnsi="宋体"/>
          <w:snapToGrid w:val="0"/>
          <w:color w:val="auto"/>
          <w:kern w:val="0"/>
          <w:sz w:val="24"/>
          <w:highlight w:val="none"/>
        </w:rPr>
      </w:pPr>
    </w:p>
    <w:p>
      <w:pPr>
        <w:pStyle w:val="23"/>
        <w:rPr>
          <w:rFonts w:hAnsi="宋体"/>
          <w:snapToGrid w:val="0"/>
          <w:color w:val="auto"/>
          <w:kern w:val="0"/>
          <w:sz w:val="24"/>
          <w:highlight w:val="none"/>
        </w:rPr>
      </w:pPr>
    </w:p>
    <w:p>
      <w:pPr>
        <w:pStyle w:val="23"/>
        <w:rPr>
          <w:rFonts w:hAnsi="宋体"/>
          <w:snapToGrid w:val="0"/>
          <w:color w:val="auto"/>
          <w:kern w:val="0"/>
          <w:sz w:val="24"/>
          <w:highlight w:val="none"/>
        </w:rPr>
      </w:pPr>
    </w:p>
    <w:p>
      <w:pPr>
        <w:pStyle w:val="23"/>
        <w:rPr>
          <w:rFonts w:hAnsi="宋体"/>
          <w:snapToGrid w:val="0"/>
          <w:color w:val="auto"/>
          <w:kern w:val="0"/>
          <w:sz w:val="24"/>
          <w:highlight w:val="none"/>
        </w:rPr>
      </w:pPr>
    </w:p>
    <w:p>
      <w:pPr>
        <w:widowControl/>
        <w:jc w:val="left"/>
        <w:rPr>
          <w:rFonts w:ascii="宋体" w:hAnsi="宋体" w:eastAsia="Times New Roman"/>
          <w:snapToGrid w:val="0"/>
          <w:color w:val="auto"/>
          <w:kern w:val="0"/>
          <w:sz w:val="24"/>
          <w:szCs w:val="20"/>
          <w:highlight w:val="none"/>
        </w:rPr>
      </w:pPr>
      <w:r>
        <w:rPr>
          <w:rFonts w:hAnsi="宋体"/>
          <w:snapToGrid w:val="0"/>
          <w:color w:val="auto"/>
          <w:kern w:val="0"/>
          <w:sz w:val="24"/>
          <w:highlight w:val="none"/>
        </w:rPr>
        <w:br w:type="page"/>
      </w:r>
    </w:p>
    <w:p>
      <w:pPr>
        <w:pStyle w:val="23"/>
        <w:ind w:firstLine="960" w:firstLineChars="400"/>
        <w:rPr>
          <w:rFonts w:asciiTheme="minorEastAsia" w:hAnsiTheme="minorEastAsia" w:eastAsiaTheme="minorEastAsia"/>
          <w:snapToGrid w:val="0"/>
          <w:color w:val="auto"/>
          <w:kern w:val="0"/>
          <w:sz w:val="24"/>
          <w:highlight w:val="none"/>
        </w:rPr>
      </w:pPr>
      <w:r>
        <w:rPr>
          <w:rFonts w:hint="eastAsia" w:asciiTheme="minorEastAsia" w:hAnsiTheme="minorEastAsia" w:eastAsiaTheme="minorEastAsia"/>
          <w:snapToGrid w:val="0"/>
          <w:color w:val="auto"/>
          <w:kern w:val="0"/>
          <w:sz w:val="24"/>
          <w:highlight w:val="none"/>
        </w:rPr>
        <w:t>（签署页）</w:t>
      </w:r>
    </w:p>
    <w:p>
      <w:pPr>
        <w:pStyle w:val="23"/>
        <w:ind w:firstLine="960" w:firstLineChars="400"/>
        <w:rPr>
          <w:rFonts w:asciiTheme="minorEastAsia" w:hAnsiTheme="minorEastAsia" w:eastAsiaTheme="minorEastAsia"/>
          <w:snapToGrid w:val="0"/>
          <w:color w:val="auto"/>
          <w:kern w:val="0"/>
          <w:sz w:val="24"/>
          <w:highlight w:val="none"/>
        </w:rPr>
      </w:pPr>
    </w:p>
    <w:tbl>
      <w:tblPr>
        <w:tblStyle w:val="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26"/>
        <w:gridCol w:w="3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3" w:hRule="atLeast"/>
        </w:trPr>
        <w:tc>
          <w:tcPr>
            <w:tcW w:w="4564" w:type="dxa"/>
          </w:tcPr>
          <w:p>
            <w:pPr>
              <w:spacing w:line="276" w:lineRule="auto"/>
              <w:ind w:left="5520" w:hanging="5520" w:hangingChars="2300"/>
              <w:rPr>
                <w:rFonts w:ascii="宋体" w:hAnsi="宋体"/>
                <w:color w:val="auto"/>
                <w:highlight w:val="none"/>
              </w:rPr>
            </w:pPr>
            <w:r>
              <w:rPr>
                <w:rFonts w:hint="eastAsia" w:ascii="宋体" w:hAnsi="宋体"/>
                <w:color w:val="auto"/>
                <w:sz w:val="24"/>
                <w:highlight w:val="none"/>
              </w:rPr>
              <w:t>甲方：广州国际企业孵化器有限公司</w:t>
            </w:r>
          </w:p>
          <w:p>
            <w:pPr>
              <w:spacing w:line="276" w:lineRule="auto"/>
              <w:ind w:firstLine="720" w:firstLineChars="300"/>
              <w:rPr>
                <w:rFonts w:ascii="宋体" w:hAnsi="宋体"/>
                <w:color w:val="auto"/>
                <w:sz w:val="24"/>
                <w:highlight w:val="none"/>
              </w:rPr>
            </w:pPr>
            <w:r>
              <w:rPr>
                <w:rFonts w:hint="eastAsia" w:ascii="宋体" w:hAnsi="宋体"/>
                <w:color w:val="auto"/>
                <w:sz w:val="24"/>
                <w:highlight w:val="none"/>
              </w:rPr>
              <w:t xml:space="preserve">（公章）         </w:t>
            </w:r>
          </w:p>
        </w:tc>
        <w:tc>
          <w:tcPr>
            <w:tcW w:w="4564" w:type="dxa"/>
          </w:tcPr>
          <w:p>
            <w:pPr>
              <w:spacing w:line="276" w:lineRule="auto"/>
              <w:rPr>
                <w:rFonts w:ascii="宋体" w:hAnsi="宋体"/>
                <w:color w:val="auto"/>
                <w:sz w:val="24"/>
                <w:highlight w:val="none"/>
              </w:rPr>
            </w:pPr>
            <w:r>
              <w:rPr>
                <w:rFonts w:hint="eastAsia" w:ascii="宋体" w:hAnsi="宋体"/>
                <w:snapToGrid w:val="0"/>
                <w:color w:val="auto"/>
                <w:kern w:val="0"/>
                <w:sz w:val="24"/>
                <w:highlight w:val="none"/>
              </w:rPr>
              <w:t>乙方：*公司</w:t>
            </w:r>
          </w:p>
          <w:p>
            <w:pPr>
              <w:spacing w:line="276" w:lineRule="auto"/>
              <w:ind w:firstLine="720" w:firstLineChars="300"/>
              <w:rPr>
                <w:rFonts w:ascii="宋体" w:hAnsi="宋体"/>
                <w:snapToGrid w:val="0"/>
                <w:color w:val="auto"/>
                <w:kern w:val="0"/>
                <w:sz w:val="24"/>
                <w:highlight w:val="none"/>
              </w:rPr>
            </w:pPr>
            <w:r>
              <w:rPr>
                <w:rFonts w:hint="eastAsia" w:ascii="宋体" w:hAnsi="宋体"/>
                <w:snapToGrid w:val="0"/>
                <w:color w:val="auto"/>
                <w:kern w:val="0"/>
                <w:sz w:val="24"/>
                <w:highlight w:val="none"/>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4564" w:type="dxa"/>
            <w:vAlign w:val="center"/>
          </w:tcPr>
          <w:p>
            <w:pPr>
              <w:pStyle w:val="23"/>
              <w:rPr>
                <w:rFonts w:asciiTheme="minorEastAsia" w:hAnsiTheme="minorEastAsia" w:eastAsiaTheme="minorEastAsia"/>
                <w:snapToGrid w:val="0"/>
                <w:color w:val="auto"/>
                <w:kern w:val="0"/>
                <w:sz w:val="24"/>
                <w:highlight w:val="none"/>
              </w:rPr>
            </w:pPr>
            <w:r>
              <w:rPr>
                <w:rFonts w:hint="eastAsia" w:hAnsi="宋体"/>
                <w:color w:val="auto"/>
                <w:sz w:val="24"/>
                <w:highlight w:val="none"/>
              </w:rPr>
              <w:t>法定代表</w:t>
            </w:r>
            <w:r>
              <w:rPr>
                <w:rFonts w:hAnsi="宋体"/>
                <w:color w:val="auto"/>
                <w:sz w:val="24"/>
                <w:highlight w:val="none"/>
              </w:rPr>
              <w:t>人：</w:t>
            </w:r>
          </w:p>
        </w:tc>
        <w:tc>
          <w:tcPr>
            <w:tcW w:w="4564" w:type="dxa"/>
            <w:vAlign w:val="center"/>
          </w:tcPr>
          <w:p>
            <w:pPr>
              <w:pStyle w:val="23"/>
              <w:rPr>
                <w:rFonts w:asciiTheme="minorEastAsia" w:hAnsiTheme="minorEastAsia" w:eastAsiaTheme="minorEastAsia"/>
                <w:snapToGrid w:val="0"/>
                <w:color w:val="auto"/>
                <w:kern w:val="0"/>
                <w:sz w:val="24"/>
                <w:highlight w:val="none"/>
              </w:rPr>
            </w:pPr>
            <w:r>
              <w:rPr>
                <w:rFonts w:hint="eastAsia" w:hAnsi="宋体"/>
                <w:color w:val="auto"/>
                <w:sz w:val="24"/>
                <w:highlight w:val="none"/>
              </w:rPr>
              <w:t>法定代表</w:t>
            </w:r>
            <w:r>
              <w:rPr>
                <w:rFonts w:hAnsi="宋体"/>
                <w:color w:val="auto"/>
                <w:sz w:val="24"/>
                <w:highlight w:val="none"/>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564" w:type="dxa"/>
            <w:vAlign w:val="center"/>
          </w:tcPr>
          <w:p>
            <w:pPr>
              <w:spacing w:line="276" w:lineRule="auto"/>
              <w:rPr>
                <w:rFonts w:ascii="宋体" w:hAnsi="宋体"/>
                <w:color w:val="auto"/>
                <w:sz w:val="24"/>
                <w:highlight w:val="none"/>
              </w:rPr>
            </w:pPr>
            <w:r>
              <w:rPr>
                <w:rFonts w:hint="eastAsia" w:ascii="宋体" w:hAnsi="宋体"/>
                <w:color w:val="auto"/>
                <w:sz w:val="24"/>
                <w:highlight w:val="none"/>
              </w:rPr>
              <w:t>委托代理人：</w:t>
            </w:r>
          </w:p>
        </w:tc>
        <w:tc>
          <w:tcPr>
            <w:tcW w:w="4564" w:type="dxa"/>
            <w:vAlign w:val="center"/>
          </w:tcPr>
          <w:p>
            <w:pPr>
              <w:spacing w:line="276" w:lineRule="auto"/>
              <w:rPr>
                <w:rFonts w:ascii="宋体" w:hAnsi="宋体"/>
                <w:color w:val="auto"/>
                <w:sz w:val="24"/>
                <w:highlight w:val="none"/>
              </w:rPr>
            </w:pPr>
            <w:r>
              <w:rPr>
                <w:rFonts w:hint="eastAsia" w:ascii="宋体" w:hAnsi="宋体"/>
                <w:color w:val="auto"/>
                <w:sz w:val="24"/>
                <w:highlight w:val="none"/>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564" w:type="dxa"/>
            <w:vAlign w:val="center"/>
          </w:tcPr>
          <w:p>
            <w:pPr>
              <w:pStyle w:val="23"/>
              <w:rPr>
                <w:rFonts w:hAnsi="宋体" w:eastAsiaTheme="minorEastAsia"/>
                <w:color w:val="auto"/>
                <w:sz w:val="24"/>
                <w:highlight w:val="none"/>
              </w:rPr>
            </w:pPr>
            <w:r>
              <w:rPr>
                <w:rFonts w:hint="eastAsia" w:hAnsi="宋体"/>
                <w:color w:val="auto"/>
                <w:sz w:val="24"/>
                <w:highlight w:val="none"/>
              </w:rPr>
              <w:t>联系地</w:t>
            </w:r>
            <w:r>
              <w:rPr>
                <w:rFonts w:hAnsi="宋体"/>
                <w:color w:val="auto"/>
                <w:sz w:val="24"/>
                <w:highlight w:val="none"/>
              </w:rPr>
              <w:t>址：</w:t>
            </w:r>
          </w:p>
        </w:tc>
        <w:tc>
          <w:tcPr>
            <w:tcW w:w="4564" w:type="dxa"/>
            <w:vAlign w:val="center"/>
          </w:tcPr>
          <w:p>
            <w:pPr>
              <w:pStyle w:val="23"/>
              <w:rPr>
                <w:rFonts w:hAnsi="宋体" w:eastAsiaTheme="minorEastAsia"/>
                <w:color w:val="auto"/>
                <w:sz w:val="24"/>
                <w:highlight w:val="none"/>
              </w:rPr>
            </w:pPr>
            <w:r>
              <w:rPr>
                <w:rFonts w:hint="eastAsia" w:hAnsi="宋体"/>
                <w:color w:val="auto"/>
                <w:sz w:val="24"/>
                <w:highlight w:val="none"/>
              </w:rPr>
              <w:t>联系</w:t>
            </w:r>
            <w:r>
              <w:rPr>
                <w:rFonts w:hint="eastAsia" w:hAnsi="宋体"/>
                <w:snapToGrid w:val="0"/>
                <w:color w:val="auto"/>
                <w:kern w:val="0"/>
                <w:sz w:val="24"/>
                <w:highlight w:val="none"/>
              </w:rPr>
              <w:t>地址</w:t>
            </w:r>
            <w:r>
              <w:rPr>
                <w:rFonts w:hint="eastAsia" w:hAnsi="宋体" w:cs="宋体"/>
                <w:color w:val="auto"/>
                <w:sz w:val="24"/>
                <w:highlight w:val="none"/>
              </w:rPr>
              <w:t>：</w:t>
            </w:r>
          </w:p>
          <w:p>
            <w:pPr>
              <w:pStyle w:val="23"/>
              <w:rPr>
                <w:rFonts w:hAnsi="宋体" w:eastAsiaTheme="minorEastAsia"/>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564" w:type="dxa"/>
            <w:vAlign w:val="center"/>
          </w:tcPr>
          <w:p>
            <w:pPr>
              <w:spacing w:line="276"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联系人：</w:t>
            </w:r>
          </w:p>
        </w:tc>
        <w:tc>
          <w:tcPr>
            <w:tcW w:w="4564" w:type="dxa"/>
            <w:vAlign w:val="center"/>
          </w:tcPr>
          <w:p>
            <w:pPr>
              <w:spacing w:line="276"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联系人：</w:t>
            </w:r>
            <w:r>
              <w:rPr>
                <w:rFonts w:ascii="宋体" w:hAnsi="宋体"/>
                <w:snapToGrid w:val="0"/>
                <w:color w:val="auto"/>
                <w:kern w:val="0"/>
                <w:sz w:val="24"/>
                <w:highlight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564" w:type="dxa"/>
            <w:vAlign w:val="center"/>
          </w:tcPr>
          <w:p>
            <w:pPr>
              <w:pStyle w:val="23"/>
              <w:rPr>
                <w:rFonts w:asciiTheme="minorEastAsia" w:hAnsiTheme="minorEastAsia" w:eastAsiaTheme="minorEastAsia"/>
                <w:snapToGrid w:val="0"/>
                <w:color w:val="auto"/>
                <w:kern w:val="0"/>
                <w:sz w:val="24"/>
                <w:highlight w:val="none"/>
              </w:rPr>
            </w:pPr>
            <w:r>
              <w:rPr>
                <w:rFonts w:hint="eastAsia" w:hAnsi="宋体"/>
                <w:snapToGrid w:val="0"/>
                <w:color w:val="auto"/>
                <w:kern w:val="0"/>
                <w:sz w:val="24"/>
                <w:highlight w:val="none"/>
              </w:rPr>
              <w:t>联系电话：</w:t>
            </w:r>
          </w:p>
        </w:tc>
        <w:tc>
          <w:tcPr>
            <w:tcW w:w="4564" w:type="dxa"/>
            <w:vAlign w:val="center"/>
          </w:tcPr>
          <w:p>
            <w:pPr>
              <w:pStyle w:val="23"/>
              <w:rPr>
                <w:rFonts w:asciiTheme="minorEastAsia" w:hAnsiTheme="minorEastAsia" w:eastAsiaTheme="minorEastAsia"/>
                <w:snapToGrid w:val="0"/>
                <w:color w:val="auto"/>
                <w:kern w:val="0"/>
                <w:sz w:val="24"/>
                <w:highlight w:val="none"/>
              </w:rPr>
            </w:pPr>
            <w:r>
              <w:rPr>
                <w:rFonts w:hint="eastAsia" w:hAnsi="宋体"/>
                <w:snapToGrid w:val="0"/>
                <w:color w:val="auto"/>
                <w:kern w:val="0"/>
                <w:sz w:val="24"/>
                <w:highlight w:val="none"/>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564" w:type="dxa"/>
            <w:vAlign w:val="center"/>
          </w:tcPr>
          <w:p>
            <w:pPr>
              <w:pStyle w:val="23"/>
              <w:rPr>
                <w:rFonts w:asciiTheme="minorEastAsia" w:hAnsiTheme="minorEastAsia" w:eastAsiaTheme="minorEastAsia"/>
                <w:snapToGrid w:val="0"/>
                <w:color w:val="auto"/>
                <w:kern w:val="0"/>
                <w:sz w:val="24"/>
                <w:highlight w:val="none"/>
              </w:rPr>
            </w:pPr>
            <w:r>
              <w:rPr>
                <w:rFonts w:hint="eastAsia" w:hAnsi="宋体"/>
                <w:snapToGrid w:val="0"/>
                <w:color w:val="auto"/>
                <w:kern w:val="0"/>
                <w:sz w:val="24"/>
                <w:highlight w:val="none"/>
              </w:rPr>
              <w:t>开户银行：</w:t>
            </w:r>
          </w:p>
        </w:tc>
        <w:tc>
          <w:tcPr>
            <w:tcW w:w="4564" w:type="dxa"/>
            <w:vAlign w:val="center"/>
          </w:tcPr>
          <w:p>
            <w:pPr>
              <w:pStyle w:val="23"/>
              <w:rPr>
                <w:rFonts w:asciiTheme="minorEastAsia" w:hAnsiTheme="minorEastAsia" w:eastAsiaTheme="minorEastAsia"/>
                <w:snapToGrid w:val="0"/>
                <w:color w:val="auto"/>
                <w:kern w:val="0"/>
                <w:sz w:val="24"/>
                <w:highlight w:val="none"/>
              </w:rPr>
            </w:pPr>
            <w:r>
              <w:rPr>
                <w:rFonts w:hint="eastAsia" w:hAnsi="宋体"/>
                <w:snapToGrid w:val="0"/>
                <w:color w:val="auto"/>
                <w:kern w:val="0"/>
                <w:sz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4564" w:type="dxa"/>
            <w:vAlign w:val="center"/>
          </w:tcPr>
          <w:p>
            <w:pPr>
              <w:pStyle w:val="23"/>
              <w:rPr>
                <w:rFonts w:asciiTheme="minorEastAsia" w:hAnsiTheme="minorEastAsia" w:eastAsiaTheme="minorEastAsia"/>
                <w:snapToGrid w:val="0"/>
                <w:color w:val="auto"/>
                <w:kern w:val="0"/>
                <w:sz w:val="24"/>
                <w:highlight w:val="none"/>
              </w:rPr>
            </w:pPr>
            <w:r>
              <w:rPr>
                <w:rFonts w:hint="eastAsia" w:hAnsi="宋体"/>
                <w:snapToGrid w:val="0"/>
                <w:color w:val="auto"/>
                <w:kern w:val="0"/>
                <w:sz w:val="24"/>
                <w:highlight w:val="none"/>
              </w:rPr>
              <w:t>银行帐号：</w:t>
            </w:r>
          </w:p>
        </w:tc>
        <w:tc>
          <w:tcPr>
            <w:tcW w:w="4564" w:type="dxa"/>
            <w:vAlign w:val="center"/>
          </w:tcPr>
          <w:p>
            <w:pPr>
              <w:pStyle w:val="23"/>
              <w:rPr>
                <w:rFonts w:asciiTheme="minorEastAsia" w:hAnsiTheme="minorEastAsia" w:eastAsiaTheme="minorEastAsia"/>
                <w:snapToGrid w:val="0"/>
                <w:color w:val="auto"/>
                <w:kern w:val="0"/>
                <w:sz w:val="24"/>
                <w:highlight w:val="none"/>
              </w:rPr>
            </w:pPr>
            <w:r>
              <w:rPr>
                <w:rFonts w:hint="eastAsia" w:hAnsi="宋体"/>
                <w:snapToGrid w:val="0"/>
                <w:color w:val="auto"/>
                <w:kern w:val="0"/>
                <w:sz w:val="24"/>
                <w:highlight w:val="none"/>
              </w:rPr>
              <w:t>银行帐号：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4" w:type="dxa"/>
            <w:vAlign w:val="center"/>
          </w:tcPr>
          <w:p>
            <w:pPr>
              <w:spacing w:line="276" w:lineRule="auto"/>
              <w:rPr>
                <w:rFonts w:ascii="宋体" w:hAnsi="宋体"/>
                <w:color w:val="auto"/>
                <w:sz w:val="24"/>
                <w:highlight w:val="none"/>
              </w:rPr>
            </w:pPr>
            <w:r>
              <w:rPr>
                <w:rFonts w:hint="eastAsia"/>
                <w:color w:val="auto"/>
                <w:sz w:val="24"/>
                <w:highlight w:val="none"/>
              </w:rPr>
              <w:t>签订日期：    年   月   日</w:t>
            </w:r>
          </w:p>
        </w:tc>
        <w:tc>
          <w:tcPr>
            <w:tcW w:w="4564" w:type="dxa"/>
            <w:vAlign w:val="center"/>
          </w:tcPr>
          <w:p>
            <w:pPr>
              <w:spacing w:line="276" w:lineRule="auto"/>
              <w:rPr>
                <w:rFonts w:ascii="宋体" w:hAnsi="宋体"/>
                <w:color w:val="auto"/>
                <w:sz w:val="24"/>
                <w:highlight w:val="none"/>
              </w:rPr>
            </w:pPr>
            <w:r>
              <w:rPr>
                <w:rFonts w:hint="eastAsia"/>
                <w:color w:val="auto"/>
                <w:sz w:val="24"/>
                <w:highlight w:val="none"/>
              </w:rPr>
              <w:t>签订日期：    年   月   日</w:t>
            </w:r>
          </w:p>
        </w:tc>
      </w:tr>
    </w:tbl>
    <w:p>
      <w:pPr>
        <w:pStyle w:val="23"/>
        <w:rPr>
          <w:rFonts w:asciiTheme="minorEastAsia" w:hAnsiTheme="minorEastAsia" w:eastAsiaTheme="minorEastAsia"/>
          <w:snapToGrid w:val="0"/>
          <w:color w:val="auto"/>
          <w:kern w:val="0"/>
          <w:sz w:val="24"/>
          <w:highlight w:val="none"/>
        </w:rPr>
      </w:pPr>
    </w:p>
    <w:p>
      <w:pPr>
        <w:pStyle w:val="23"/>
        <w:rPr>
          <w:rFonts w:asciiTheme="minorEastAsia" w:hAnsiTheme="minorEastAsia" w:eastAsiaTheme="minorEastAsia"/>
          <w:snapToGrid w:val="0"/>
          <w:color w:val="auto"/>
          <w:kern w:val="0"/>
          <w:sz w:val="24"/>
          <w:highlight w:val="none"/>
        </w:rPr>
      </w:pPr>
    </w:p>
    <w:p>
      <w:pPr>
        <w:pStyle w:val="23"/>
        <w:rPr>
          <w:rFonts w:hAnsi="宋体" w:eastAsiaTheme="minorEastAsia"/>
          <w:snapToGrid w:val="0"/>
          <w:color w:val="auto"/>
          <w:kern w:val="0"/>
          <w:sz w:val="24"/>
          <w:highlight w:val="none"/>
        </w:rPr>
      </w:pPr>
    </w:p>
    <w:p>
      <w:pPr>
        <w:pStyle w:val="17"/>
        <w:widowControl/>
        <w:jc w:val="left"/>
        <w:rPr>
          <w:rFonts w:ascii="宋体" w:hAnsi="宋体"/>
          <w:snapToGrid w:val="0"/>
          <w:color w:val="auto"/>
          <w:kern w:val="0"/>
          <w:highlight w:val="none"/>
        </w:rPr>
      </w:pPr>
      <w:bookmarkStart w:id="5" w:name="_Hlk515239577"/>
      <w:bookmarkEnd w:id="5"/>
    </w:p>
    <w:p>
      <w:pPr>
        <w:widowControl/>
        <w:spacing w:line="360" w:lineRule="auto"/>
        <w:jc w:val="left"/>
        <w:rPr>
          <w:rFonts w:ascii="宋体" w:hAnsi="宋体"/>
          <w:snapToGrid w:val="0"/>
          <w:color w:val="auto"/>
          <w:kern w:val="0"/>
          <w:sz w:val="24"/>
          <w:highlight w:val="none"/>
        </w:rPr>
      </w:pPr>
    </w:p>
    <w:p>
      <w:pPr>
        <w:widowControl/>
        <w:spacing w:line="360" w:lineRule="auto"/>
        <w:jc w:val="left"/>
        <w:rPr>
          <w:rFonts w:ascii="宋体" w:hAnsi="宋体"/>
          <w:snapToGrid w:val="0"/>
          <w:color w:val="auto"/>
          <w:kern w:val="0"/>
          <w:sz w:val="24"/>
          <w:highlight w:val="none"/>
        </w:rPr>
      </w:pPr>
    </w:p>
    <w:p>
      <w:pPr>
        <w:widowControl/>
        <w:spacing w:line="360" w:lineRule="auto"/>
        <w:jc w:val="left"/>
        <w:rPr>
          <w:rFonts w:ascii="宋体" w:hAnsi="宋体"/>
          <w:snapToGrid w:val="0"/>
          <w:color w:val="auto"/>
          <w:kern w:val="0"/>
          <w:sz w:val="24"/>
          <w:highlight w:val="none"/>
        </w:rPr>
      </w:pPr>
    </w:p>
    <w:p>
      <w:pPr>
        <w:widowControl/>
        <w:spacing w:line="360" w:lineRule="auto"/>
        <w:jc w:val="left"/>
        <w:rPr>
          <w:rFonts w:ascii="宋体" w:hAnsi="宋体"/>
          <w:snapToGrid w:val="0"/>
          <w:color w:val="auto"/>
          <w:kern w:val="0"/>
          <w:sz w:val="24"/>
          <w:highlight w:val="none"/>
        </w:rPr>
      </w:pPr>
    </w:p>
    <w:p>
      <w:pPr>
        <w:widowControl/>
        <w:spacing w:line="360" w:lineRule="auto"/>
        <w:jc w:val="left"/>
        <w:rPr>
          <w:rFonts w:ascii="宋体" w:hAnsi="宋体"/>
          <w:snapToGrid w:val="0"/>
          <w:color w:val="auto"/>
          <w:kern w:val="0"/>
          <w:highlight w:val="none"/>
        </w:rPr>
      </w:pPr>
    </w:p>
    <w:p>
      <w:pPr>
        <w:widowControl/>
        <w:jc w:val="left"/>
        <w:rPr>
          <w:rFonts w:ascii="宋体" w:hAnsi="宋体"/>
          <w:b/>
          <w:snapToGrid w:val="0"/>
          <w:color w:val="auto"/>
          <w:kern w:val="0"/>
          <w:sz w:val="24"/>
          <w:szCs w:val="20"/>
          <w:highlight w:val="none"/>
        </w:rPr>
      </w:pPr>
      <w:r>
        <w:rPr>
          <w:rFonts w:ascii="宋体" w:hAnsi="宋体"/>
          <w:snapToGrid w:val="0"/>
          <w:color w:val="auto"/>
          <w:kern w:val="0"/>
          <w:sz w:val="24"/>
          <w:highlight w:val="none"/>
        </w:rPr>
        <w:br w:type="page"/>
      </w:r>
    </w:p>
    <w:p>
      <w:pPr>
        <w:pStyle w:val="5"/>
        <w:spacing w:line="360" w:lineRule="auto"/>
        <w:rPr>
          <w:rFonts w:ascii="宋体" w:hAnsi="宋体"/>
          <w:snapToGrid w:val="0"/>
          <w:color w:val="auto"/>
          <w:highlight w:val="none"/>
        </w:rPr>
      </w:pPr>
      <w:bookmarkStart w:id="6" w:name="_Toc7613"/>
      <w:bookmarkStart w:id="7" w:name="_Toc8721561"/>
      <w:bookmarkStart w:id="8" w:name="_Toc1273"/>
      <w:bookmarkStart w:id="9" w:name="_Toc11668"/>
      <w:bookmarkStart w:id="10" w:name="_Toc1139"/>
      <w:r>
        <w:rPr>
          <w:rFonts w:hint="eastAsia" w:ascii="宋体" w:hAnsi="宋体"/>
          <w:snapToGrid w:val="0"/>
          <w:color w:val="auto"/>
          <w:highlight w:val="none"/>
        </w:rPr>
        <w:t>第二部分合同附件</w:t>
      </w:r>
      <w:bookmarkEnd w:id="6"/>
      <w:bookmarkEnd w:id="7"/>
      <w:bookmarkEnd w:id="8"/>
      <w:bookmarkEnd w:id="9"/>
      <w:bookmarkEnd w:id="10"/>
    </w:p>
    <w:p>
      <w:pPr>
        <w:adjustRightInd w:val="0"/>
        <w:snapToGrid w:val="0"/>
        <w:spacing w:line="360" w:lineRule="auto"/>
        <w:rPr>
          <w:rFonts w:ascii="宋体" w:hAnsi="宋体"/>
          <w:snapToGrid w:val="0"/>
          <w:color w:val="auto"/>
          <w:kern w:val="0"/>
          <w:sz w:val="24"/>
          <w:highlight w:val="none"/>
        </w:rPr>
      </w:pPr>
    </w:p>
    <w:p>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附件</w:t>
      </w:r>
      <w:r>
        <w:rPr>
          <w:rFonts w:ascii="宋体" w:hAnsi="宋体"/>
          <w:snapToGrid w:val="0"/>
          <w:color w:val="auto"/>
          <w:kern w:val="0"/>
          <w:sz w:val="24"/>
          <w:highlight w:val="none"/>
        </w:rPr>
        <w:t>1</w:t>
      </w:r>
      <w:bookmarkStart w:id="11" w:name="_Hlk515234631"/>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工程建设项目廉政责任书</w:t>
      </w:r>
      <w:bookmarkEnd w:id="11"/>
    </w:p>
    <w:p>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附件</w:t>
      </w:r>
      <w:r>
        <w:rPr>
          <w:rFonts w:ascii="宋体" w:hAnsi="宋体"/>
          <w:snapToGrid w:val="0"/>
          <w:color w:val="auto"/>
          <w:kern w:val="0"/>
          <w:sz w:val="24"/>
          <w:highlight w:val="none"/>
        </w:rPr>
        <w:t>2</w:t>
      </w:r>
      <w:r>
        <w:rPr>
          <w:rFonts w:hint="eastAsia" w:ascii="宋体" w:hAnsi="宋体"/>
          <w:snapToGrid w:val="0"/>
          <w:color w:val="auto"/>
          <w:kern w:val="0"/>
          <w:sz w:val="24"/>
          <w:highlight w:val="none"/>
        </w:rPr>
        <w:t xml:space="preserve"> 中标通知书</w:t>
      </w:r>
    </w:p>
    <w:p>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附件</w:t>
      </w:r>
      <w:r>
        <w:rPr>
          <w:rFonts w:ascii="宋体" w:hAnsi="宋体"/>
          <w:snapToGrid w:val="0"/>
          <w:color w:val="auto"/>
          <w:kern w:val="0"/>
          <w:sz w:val="24"/>
          <w:highlight w:val="none"/>
        </w:rPr>
        <w:t>3</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银行履约保函及承诺书</w:t>
      </w:r>
      <w:r>
        <w:rPr>
          <w:rFonts w:hint="eastAsia" w:ascii="宋体" w:hAnsi="宋体"/>
          <w:snapToGrid w:val="0"/>
          <w:color w:val="auto"/>
          <w:kern w:val="0"/>
          <w:sz w:val="24"/>
          <w:highlight w:val="none"/>
        </w:rPr>
        <w:t>（版本）</w:t>
      </w:r>
    </w:p>
    <w:p>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附件</w:t>
      </w:r>
      <w:r>
        <w:rPr>
          <w:rFonts w:ascii="宋体" w:hAnsi="宋体"/>
          <w:snapToGrid w:val="0"/>
          <w:color w:val="auto"/>
          <w:kern w:val="0"/>
          <w:sz w:val="24"/>
          <w:highlight w:val="none"/>
        </w:rPr>
        <w:t>4</w:t>
      </w:r>
      <w:r>
        <w:rPr>
          <w:rFonts w:hint="eastAsia" w:ascii="宋体" w:hAnsi="宋体"/>
          <w:snapToGrid w:val="0"/>
          <w:color w:val="auto"/>
          <w:kern w:val="0"/>
          <w:sz w:val="24"/>
          <w:highlight w:val="none"/>
        </w:rPr>
        <w:t xml:space="preserve"> 招标限价、投标报价书及投标函</w:t>
      </w:r>
    </w:p>
    <w:p>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附件</w:t>
      </w:r>
      <w:r>
        <w:rPr>
          <w:rFonts w:ascii="宋体" w:hAnsi="宋体"/>
          <w:snapToGrid w:val="0"/>
          <w:color w:val="auto"/>
          <w:kern w:val="0"/>
          <w:sz w:val="24"/>
          <w:highlight w:val="none"/>
        </w:rPr>
        <w:t>5</w:t>
      </w:r>
      <w:r>
        <w:rPr>
          <w:rFonts w:hint="eastAsia" w:ascii="宋体" w:hAnsi="宋体"/>
          <w:snapToGrid w:val="0"/>
          <w:color w:val="auto"/>
          <w:kern w:val="0"/>
          <w:sz w:val="24"/>
          <w:highlight w:val="none"/>
        </w:rPr>
        <w:t xml:space="preserve"> </w:t>
      </w:r>
      <w:r>
        <w:rPr>
          <w:rFonts w:ascii="宋体" w:hAnsi="宋体"/>
          <w:snapToGrid w:val="0"/>
          <w:color w:val="auto"/>
          <w:kern w:val="0"/>
          <w:sz w:val="24"/>
          <w:highlight w:val="none"/>
        </w:rPr>
        <w:t>招标答疑及澄清</w:t>
      </w:r>
    </w:p>
    <w:p>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附件</w:t>
      </w:r>
      <w:r>
        <w:rPr>
          <w:rFonts w:ascii="宋体" w:hAnsi="宋体"/>
          <w:snapToGrid w:val="0"/>
          <w:color w:val="auto"/>
          <w:kern w:val="0"/>
          <w:sz w:val="24"/>
          <w:highlight w:val="none"/>
        </w:rPr>
        <w:t>6</w:t>
      </w:r>
      <w:r>
        <w:rPr>
          <w:rFonts w:hint="eastAsia" w:ascii="宋体" w:hAnsi="宋体"/>
          <w:snapToGrid w:val="0"/>
          <w:color w:val="auto"/>
          <w:kern w:val="0"/>
          <w:sz w:val="24"/>
          <w:highlight w:val="none"/>
        </w:rPr>
        <w:t xml:space="preserve"> 拟投入本项目造价人员一览表及项目负责人资质证明</w:t>
      </w:r>
    </w:p>
    <w:p>
      <w:pPr>
        <w:adjustRightInd w:val="0"/>
        <w:snapToGrid w:val="0"/>
        <w:spacing w:line="360" w:lineRule="auto"/>
        <w:rPr>
          <w:rFonts w:ascii="宋体" w:hAnsi="宋体"/>
          <w:snapToGrid w:val="0"/>
          <w:color w:val="auto"/>
          <w:kern w:val="0"/>
          <w:sz w:val="24"/>
          <w:highlight w:val="none"/>
        </w:rPr>
      </w:pPr>
      <w:r>
        <w:rPr>
          <w:rFonts w:hint="eastAsia" w:ascii="宋体" w:hAnsi="宋体"/>
          <w:snapToGrid w:val="0"/>
          <w:color w:val="auto"/>
          <w:kern w:val="0"/>
          <w:sz w:val="24"/>
          <w:highlight w:val="none"/>
        </w:rPr>
        <w:t>附件</w:t>
      </w:r>
      <w:r>
        <w:rPr>
          <w:rFonts w:ascii="宋体" w:hAnsi="宋体"/>
          <w:snapToGrid w:val="0"/>
          <w:color w:val="auto"/>
          <w:kern w:val="0"/>
          <w:sz w:val="24"/>
          <w:highlight w:val="none"/>
        </w:rPr>
        <w:t>7</w:t>
      </w:r>
      <w:r>
        <w:rPr>
          <w:rFonts w:hint="eastAsia" w:ascii="宋体" w:hAnsi="宋体"/>
          <w:snapToGrid w:val="0"/>
          <w:color w:val="auto"/>
          <w:kern w:val="0"/>
          <w:sz w:val="24"/>
          <w:highlight w:val="none"/>
        </w:rPr>
        <w:t xml:space="preserve"> 备案证</w:t>
      </w:r>
    </w:p>
    <w:p>
      <w:pPr>
        <w:pStyle w:val="23"/>
        <w:rPr>
          <w:color w:val="auto"/>
          <w:highlight w:val="none"/>
        </w:rPr>
      </w:pPr>
    </w:p>
    <w:p>
      <w:pPr>
        <w:pStyle w:val="23"/>
        <w:rPr>
          <w:color w:val="auto"/>
          <w:highlight w:val="none"/>
        </w:rPr>
        <w:sectPr>
          <w:headerReference r:id="rId3" w:type="default"/>
          <w:footerReference r:id="rId4" w:type="default"/>
          <w:pgSz w:w="11906" w:h="16838"/>
          <w:pgMar w:top="1531" w:right="1463" w:bottom="1531" w:left="1531" w:header="851" w:footer="992" w:gutter="0"/>
          <w:pgNumType w:start="1"/>
          <w:cols w:space="720" w:num="1"/>
          <w:docGrid w:linePitch="312" w:charSpace="0"/>
        </w:sectPr>
      </w:pPr>
    </w:p>
    <w:p>
      <w:pPr>
        <w:pStyle w:val="4"/>
        <w:spacing w:line="360" w:lineRule="auto"/>
        <w:jc w:val="both"/>
        <w:rPr>
          <w:rFonts w:ascii="黑体" w:hAnsi="黑体" w:eastAsia="黑体"/>
          <w:bCs w:val="0"/>
          <w:snapToGrid w:val="0"/>
          <w:color w:val="auto"/>
          <w:kern w:val="0"/>
          <w:sz w:val="32"/>
          <w:szCs w:val="32"/>
          <w:highlight w:val="none"/>
        </w:rPr>
      </w:pPr>
      <w:bookmarkStart w:id="12" w:name="_Toc22559"/>
      <w:bookmarkStart w:id="13" w:name="_Toc12582"/>
      <w:bookmarkStart w:id="14" w:name="_Toc1624"/>
      <w:bookmarkStart w:id="15" w:name="_Toc12968"/>
      <w:bookmarkStart w:id="16" w:name="_Toc8721562"/>
      <w:r>
        <w:rPr>
          <w:rFonts w:hint="eastAsia" w:ascii="黑体" w:hAnsi="黑体" w:eastAsia="黑体"/>
          <w:bCs w:val="0"/>
          <w:snapToGrid w:val="0"/>
          <w:color w:val="auto"/>
          <w:kern w:val="0"/>
          <w:sz w:val="32"/>
          <w:szCs w:val="32"/>
          <w:highlight w:val="none"/>
        </w:rPr>
        <w:t xml:space="preserve">附件1 </w:t>
      </w:r>
      <w:r>
        <w:rPr>
          <w:rFonts w:ascii="黑体" w:hAnsi="黑体" w:eastAsia="黑体"/>
          <w:bCs w:val="0"/>
          <w:snapToGrid w:val="0"/>
          <w:color w:val="auto"/>
          <w:kern w:val="0"/>
          <w:sz w:val="32"/>
          <w:szCs w:val="32"/>
          <w:highlight w:val="none"/>
        </w:rPr>
        <w:t>工程建设项目</w:t>
      </w:r>
      <w:r>
        <w:rPr>
          <w:rFonts w:hint="eastAsia" w:ascii="黑体" w:hAnsi="黑体" w:eastAsia="黑体"/>
          <w:bCs w:val="0"/>
          <w:snapToGrid w:val="0"/>
          <w:color w:val="auto"/>
          <w:kern w:val="0"/>
          <w:sz w:val="32"/>
          <w:szCs w:val="32"/>
          <w:highlight w:val="none"/>
        </w:rPr>
        <w:t>廉政责任书</w:t>
      </w:r>
    </w:p>
    <w:p>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工程建设项目廉政责任书</w:t>
      </w:r>
    </w:p>
    <w:p>
      <w:pPr>
        <w:spacing w:line="360" w:lineRule="auto"/>
        <w:rPr>
          <w:rFonts w:ascii="宋体" w:hAnsi="宋体"/>
          <w:color w:val="auto"/>
          <w:highlight w:val="none"/>
        </w:rPr>
      </w:pPr>
    </w:p>
    <w:p>
      <w:pPr>
        <w:pStyle w:val="53"/>
        <w:spacing w:line="360" w:lineRule="auto"/>
        <w:ind w:left="0" w:right="0"/>
        <w:rPr>
          <w:rFonts w:ascii="宋体" w:hAnsi="宋体"/>
          <w:color w:val="auto"/>
          <w:sz w:val="21"/>
          <w:szCs w:val="21"/>
          <w:highlight w:val="none"/>
          <w:u w:val="single"/>
        </w:rPr>
      </w:pPr>
      <w:r>
        <w:rPr>
          <w:rFonts w:hint="eastAsia" w:ascii="宋体" w:hAnsi="宋体"/>
          <w:color w:val="auto"/>
          <w:highlight w:val="none"/>
        </w:rPr>
        <w:t>工程项目名称：广州国际企业孵化器五期工程改扩建项目全过程造价咨询服务</w:t>
      </w:r>
    </w:p>
    <w:p>
      <w:pPr>
        <w:spacing w:line="360" w:lineRule="auto"/>
        <w:rPr>
          <w:rFonts w:ascii="宋体" w:hAnsi="宋体"/>
          <w:color w:val="auto"/>
          <w:sz w:val="24"/>
          <w:highlight w:val="none"/>
          <w:u w:val="single"/>
        </w:rPr>
      </w:pPr>
      <w:r>
        <w:rPr>
          <w:rFonts w:hint="eastAsia" w:ascii="宋体" w:hAnsi="宋体"/>
          <w:color w:val="auto"/>
          <w:sz w:val="24"/>
          <w:highlight w:val="none"/>
        </w:rPr>
        <w:t>工程项目地址：广州科学城揽月路3号孵化器园区二期用地</w:t>
      </w:r>
    </w:p>
    <w:p>
      <w:pPr>
        <w:spacing w:line="360" w:lineRule="auto"/>
        <w:rPr>
          <w:rFonts w:ascii="宋体" w:hAnsi="宋体"/>
          <w:color w:val="auto"/>
          <w:sz w:val="24"/>
          <w:highlight w:val="none"/>
        </w:rPr>
      </w:pPr>
      <w:r>
        <w:rPr>
          <w:rFonts w:hint="eastAsia" w:ascii="宋体" w:hAnsi="宋体"/>
          <w:color w:val="auto"/>
          <w:sz w:val="24"/>
          <w:highlight w:val="none"/>
        </w:rPr>
        <w:t>甲方：*公司</w:t>
      </w:r>
    </w:p>
    <w:p>
      <w:pPr>
        <w:spacing w:line="360" w:lineRule="auto"/>
        <w:rPr>
          <w:rFonts w:ascii="宋体" w:hAnsi="宋体"/>
          <w:color w:val="auto"/>
          <w:sz w:val="24"/>
          <w:highlight w:val="none"/>
          <w:u w:val="single"/>
        </w:rPr>
      </w:pPr>
      <w:r>
        <w:rPr>
          <w:rFonts w:hint="eastAsia" w:ascii="宋体" w:hAnsi="宋体"/>
          <w:color w:val="auto"/>
          <w:sz w:val="24"/>
          <w:highlight w:val="none"/>
        </w:rPr>
        <w:t>乙方：*公司</w:t>
      </w:r>
    </w:p>
    <w:p>
      <w:pPr>
        <w:spacing w:line="360" w:lineRule="auto"/>
        <w:rPr>
          <w:rFonts w:ascii="宋体" w:hAnsi="宋体"/>
          <w:color w:val="auto"/>
          <w:sz w:val="24"/>
          <w:highlight w:val="none"/>
        </w:rPr>
      </w:pPr>
    </w:p>
    <w:p>
      <w:pPr>
        <w:spacing w:line="360" w:lineRule="auto"/>
        <w:ind w:firstLine="480"/>
        <w:rPr>
          <w:rFonts w:ascii="宋体" w:hAnsi="宋体"/>
          <w:color w:val="auto"/>
          <w:sz w:val="24"/>
          <w:highlight w:val="none"/>
        </w:rPr>
      </w:pPr>
      <w:r>
        <w:rPr>
          <w:rFonts w:hint="eastAsia" w:ascii="宋体" w:hAnsi="宋体"/>
          <w:color w:val="auto"/>
          <w:sz w:val="24"/>
          <w:highlight w:val="none"/>
        </w:rPr>
        <w:t>为加强工程建设中的廉政建设，规范甲乙双方的各项活动，防止发生各种谋取不正当利益的违法违纪行为，保护当事人的合法权益，促进高效廉洁运行及建设资金的安全使用，根据国家有关工程建设的法律法规和廉政建设责任制规定，特订立本廉政协议书。经甲乙双方确认一致，甲乙双方各自的法人代表人（委托人）签署本责任书后，本责任书作为甲乙双方所有业务往来合同的附件。</w:t>
      </w:r>
    </w:p>
    <w:p>
      <w:pPr>
        <w:numPr>
          <w:ilvl w:val="0"/>
          <w:numId w:val="6"/>
        </w:numPr>
        <w:spacing w:line="360" w:lineRule="auto"/>
        <w:rPr>
          <w:rFonts w:ascii="宋体" w:hAnsi="宋体"/>
          <w:color w:val="auto"/>
          <w:sz w:val="24"/>
          <w:highlight w:val="none"/>
        </w:rPr>
      </w:pPr>
      <w:r>
        <w:rPr>
          <w:rFonts w:hint="eastAsia" w:ascii="宋体" w:hAnsi="宋体"/>
          <w:color w:val="auto"/>
          <w:sz w:val="24"/>
          <w:highlight w:val="none"/>
        </w:rPr>
        <w:t>甲乙双方的责任</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（一）严格遵守国家关于市场准入、项目招标投标、工程建设、施工安装和市场活动等有关法律、法规，相关政策，以及廉政建设的各项规定。</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（二）严格执行甲乙方合同文件，自觉按合同办事。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（三）业务活动必须坚持公开、公平、公正、诚信、透明的原则（项目涉及保密、法律法规另有规定者除外），不得为获取不正当的利益，损害国家、集体和对方利益，不得违反相关的规章制度。</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（四）发现对方在业务活动中有违规、违纪、违法行为的，应及时提醒对方，情节严重的，应向其上级主管部门或纪检监察、司法等有关机关举报。</w:t>
      </w:r>
    </w:p>
    <w:p>
      <w:pPr>
        <w:numPr>
          <w:ilvl w:val="0"/>
          <w:numId w:val="6"/>
        </w:numPr>
        <w:spacing w:line="360" w:lineRule="auto"/>
        <w:rPr>
          <w:rFonts w:ascii="宋体" w:hAnsi="宋体"/>
          <w:color w:val="auto"/>
          <w:sz w:val="24"/>
          <w:highlight w:val="none"/>
        </w:rPr>
      </w:pPr>
      <w:r>
        <w:rPr>
          <w:rFonts w:hint="eastAsia" w:ascii="宋体" w:hAnsi="宋体"/>
          <w:color w:val="auto"/>
          <w:sz w:val="24"/>
          <w:highlight w:val="none"/>
        </w:rPr>
        <w:t>甲方的责任</w:t>
      </w:r>
    </w:p>
    <w:p>
      <w:pPr>
        <w:spacing w:line="360" w:lineRule="auto"/>
        <w:ind w:firstLine="480"/>
        <w:rPr>
          <w:rFonts w:ascii="宋体" w:hAnsi="宋体"/>
          <w:color w:val="auto"/>
          <w:sz w:val="24"/>
          <w:highlight w:val="none"/>
        </w:rPr>
      </w:pPr>
      <w:r>
        <w:rPr>
          <w:rFonts w:hint="eastAsia" w:ascii="宋体" w:hAnsi="宋体"/>
          <w:color w:val="auto"/>
          <w:sz w:val="24"/>
          <w:highlight w:val="none"/>
        </w:rPr>
        <w:t>甲方的领导和从事项目的工作人员，应遵守以下规定：</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（一）不得向乙方和相关单位索要或接受回扣、礼金、有价证券、贵重物品和好处费、感谢费等。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（二）不得在乙方和相关单位报销任何应由甲方或甲方个人支付的费用。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（三）不得要求、暗示和接受乙方和相关单位为个人装修住房、婚丧嫁娶、配偶子女的工作安排以及出国（境）、旅游等提供方便。</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（四）不得参加有可能影响公正执行公务的乙方和相关单位的宴请和健身、娱乐等活动。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（五）不得向乙方介绍或为配偶、子女、亲属参与同甲方项目有关的设备、材料、工程分包、劳务等经济活动。不得以任何理由向乙方和相关单位推荐或要求乙方提供合同规定以外服务等。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（六）不得有违反法律法规、廉政政策规范、合同约定等的违法违规行为。</w:t>
      </w:r>
    </w:p>
    <w:p>
      <w:pPr>
        <w:numPr>
          <w:ilvl w:val="0"/>
          <w:numId w:val="6"/>
        </w:numPr>
        <w:spacing w:line="360" w:lineRule="auto"/>
        <w:rPr>
          <w:rFonts w:ascii="宋体" w:hAnsi="宋体"/>
          <w:color w:val="auto"/>
          <w:sz w:val="24"/>
          <w:highlight w:val="none"/>
        </w:rPr>
      </w:pPr>
      <w:r>
        <w:rPr>
          <w:rFonts w:hint="eastAsia" w:ascii="宋体" w:hAnsi="宋体"/>
          <w:color w:val="auto"/>
          <w:sz w:val="24"/>
          <w:highlight w:val="none"/>
        </w:rPr>
        <w:t>乙方的责任</w:t>
      </w:r>
    </w:p>
    <w:p>
      <w:pPr>
        <w:spacing w:line="360" w:lineRule="auto"/>
        <w:ind w:firstLine="480"/>
        <w:rPr>
          <w:rFonts w:ascii="宋体" w:hAnsi="宋体"/>
          <w:color w:val="auto"/>
          <w:sz w:val="24"/>
          <w:highlight w:val="none"/>
        </w:rPr>
      </w:pPr>
      <w:r>
        <w:rPr>
          <w:rFonts w:hint="eastAsia" w:ascii="宋体" w:hAnsi="宋体"/>
          <w:color w:val="auto"/>
          <w:sz w:val="24"/>
          <w:highlight w:val="none"/>
        </w:rPr>
        <w:t>应与甲方保持正常的业务往来，按照有关法律法规和程序开展业务工作，严格执行的有关方针、政策，并遵守以下规定：</w:t>
      </w:r>
    </w:p>
    <w:p>
      <w:pPr>
        <w:spacing w:line="360" w:lineRule="auto"/>
        <w:ind w:left="-27" w:leftChars="-13" w:firstLine="480" w:firstLineChars="200"/>
        <w:rPr>
          <w:rFonts w:ascii="宋体" w:hAnsi="宋体"/>
          <w:color w:val="auto"/>
          <w:sz w:val="24"/>
          <w:highlight w:val="none"/>
        </w:rPr>
      </w:pPr>
      <w:r>
        <w:rPr>
          <w:rFonts w:hint="eastAsia" w:ascii="宋体" w:hAnsi="宋体"/>
          <w:color w:val="auto"/>
          <w:sz w:val="24"/>
          <w:highlight w:val="none"/>
        </w:rPr>
        <w:t>（一）不得以任何理由向甲方、相关单位及其工作人员索要、接收或赠送礼金、有价证券、贵重物品和回扣、好处费、感谢费等。</w:t>
      </w:r>
    </w:p>
    <w:p>
      <w:pPr>
        <w:spacing w:line="360" w:lineRule="auto"/>
        <w:ind w:left="-27" w:leftChars="-13" w:firstLine="480" w:firstLineChars="200"/>
        <w:rPr>
          <w:rFonts w:ascii="宋体" w:hAnsi="宋体"/>
          <w:color w:val="auto"/>
          <w:sz w:val="24"/>
          <w:highlight w:val="none"/>
        </w:rPr>
      </w:pPr>
      <w:r>
        <w:rPr>
          <w:rFonts w:hint="eastAsia" w:ascii="宋体" w:hAnsi="宋体"/>
          <w:color w:val="auto"/>
          <w:sz w:val="24"/>
          <w:highlight w:val="none"/>
        </w:rPr>
        <w:t>（二）不得以任何理由为甲方和相关单位报销应由对方或甲方个人支付的费用。</w:t>
      </w:r>
    </w:p>
    <w:p>
      <w:pPr>
        <w:spacing w:line="360" w:lineRule="auto"/>
        <w:ind w:left="-27" w:leftChars="-13" w:firstLine="480" w:firstLineChars="200"/>
        <w:rPr>
          <w:rFonts w:ascii="宋体" w:hAnsi="宋体"/>
          <w:color w:val="auto"/>
          <w:sz w:val="24"/>
          <w:highlight w:val="none"/>
        </w:rPr>
      </w:pPr>
      <w:r>
        <w:rPr>
          <w:rFonts w:hint="eastAsia" w:ascii="宋体" w:hAnsi="宋体"/>
          <w:color w:val="auto"/>
          <w:sz w:val="24"/>
          <w:highlight w:val="none"/>
        </w:rPr>
        <w:t>（三）不得接受或暗示为甲方、相关单位或甲方个人装修住房、婚丧嫁娶、配偶子女的工作安排以及出国（境）、旅游等提供方便。</w:t>
      </w:r>
    </w:p>
    <w:p>
      <w:pPr>
        <w:spacing w:line="360" w:lineRule="auto"/>
        <w:ind w:left="-27" w:leftChars="-13" w:firstLine="480" w:firstLineChars="200"/>
        <w:rPr>
          <w:rFonts w:ascii="宋体" w:hAnsi="宋体"/>
          <w:color w:val="auto"/>
          <w:sz w:val="24"/>
          <w:highlight w:val="none"/>
        </w:rPr>
      </w:pPr>
      <w:r>
        <w:rPr>
          <w:rFonts w:hint="eastAsia" w:ascii="宋体" w:hAnsi="宋体"/>
          <w:color w:val="auto"/>
          <w:sz w:val="24"/>
          <w:highlight w:val="none"/>
        </w:rPr>
        <w:t>（四）不得以任何理由为甲方、相关单位或甲方个人组织有可能影响公正执行公务的宴请、健身、娱乐等活动。</w:t>
      </w:r>
    </w:p>
    <w:p>
      <w:pPr>
        <w:spacing w:line="360" w:lineRule="auto"/>
        <w:ind w:left="-27" w:leftChars="-13" w:firstLine="480" w:firstLineChars="200"/>
        <w:rPr>
          <w:rFonts w:ascii="宋体" w:hAnsi="宋体"/>
          <w:color w:val="auto"/>
          <w:sz w:val="24"/>
          <w:highlight w:val="none"/>
        </w:rPr>
      </w:pPr>
      <w:r>
        <w:rPr>
          <w:rFonts w:hint="eastAsia" w:ascii="宋体" w:hAnsi="宋体"/>
          <w:color w:val="auto"/>
          <w:sz w:val="24"/>
          <w:highlight w:val="none"/>
        </w:rPr>
        <w:t>（五）不得有违反法律法规、廉政政策规范、合同约定等的违法违规行为。</w:t>
      </w:r>
    </w:p>
    <w:p>
      <w:pPr>
        <w:numPr>
          <w:ilvl w:val="0"/>
          <w:numId w:val="6"/>
        </w:numPr>
        <w:spacing w:line="360" w:lineRule="auto"/>
        <w:rPr>
          <w:rFonts w:ascii="宋体" w:hAnsi="宋体"/>
          <w:color w:val="auto"/>
          <w:sz w:val="24"/>
          <w:highlight w:val="none"/>
        </w:rPr>
      </w:pPr>
      <w:r>
        <w:rPr>
          <w:rFonts w:hint="eastAsia" w:ascii="宋体" w:hAnsi="宋体"/>
          <w:color w:val="auto"/>
          <w:sz w:val="24"/>
          <w:highlight w:val="none"/>
        </w:rPr>
        <w:t>违约责任</w:t>
      </w:r>
    </w:p>
    <w:p>
      <w:pPr>
        <w:spacing w:line="360" w:lineRule="auto"/>
        <w:ind w:left="-27" w:leftChars="-13" w:firstLine="480" w:firstLineChars="200"/>
        <w:rPr>
          <w:rFonts w:ascii="宋体" w:hAnsi="宋体"/>
          <w:color w:val="auto"/>
          <w:sz w:val="24"/>
          <w:highlight w:val="none"/>
        </w:rPr>
      </w:pPr>
      <w:r>
        <w:rPr>
          <w:rFonts w:hint="eastAsia" w:ascii="宋体" w:hAnsi="宋体"/>
          <w:color w:val="auto"/>
          <w:sz w:val="24"/>
          <w:highlight w:val="none"/>
        </w:rPr>
        <w:t>（一）甲方工作人员有违反本责任书第一、二条责任行为的，按照管理权限，依据有关法律法规和规定给与党纪、政纪处分或组织处理；涉嫌犯罪的，移交司法机关追究刑事责任；给乙方造成经济损失的，应予以赔偿。</w:t>
      </w:r>
    </w:p>
    <w:p>
      <w:pPr>
        <w:spacing w:line="360" w:lineRule="auto"/>
        <w:ind w:left="-27" w:leftChars="-13" w:firstLine="480" w:firstLineChars="200"/>
        <w:rPr>
          <w:rFonts w:ascii="宋体" w:hAnsi="宋体"/>
          <w:color w:val="auto"/>
          <w:sz w:val="24"/>
          <w:highlight w:val="none"/>
        </w:rPr>
      </w:pPr>
      <w:r>
        <w:rPr>
          <w:rFonts w:hint="eastAsia" w:ascii="宋体" w:hAnsi="宋体"/>
          <w:color w:val="auto"/>
          <w:sz w:val="24"/>
          <w:highlight w:val="none"/>
        </w:rPr>
        <w:t>（二）乙方工作人员有违反本责任书第一、三条责任行为的，按照管理权限，依据有关法律法规和规定给与党纪、政纪处分或组织处理；涉嫌犯罪的，移交司法机关追究刑事责任；给甲方造成经济损失的，应予以赔偿。</w:t>
      </w:r>
    </w:p>
    <w:p>
      <w:pPr>
        <w:numPr>
          <w:ilvl w:val="0"/>
          <w:numId w:val="6"/>
        </w:numPr>
        <w:tabs>
          <w:tab w:val="left" w:pos="0"/>
          <w:tab w:val="clear" w:pos="1680"/>
        </w:tabs>
        <w:spacing w:line="360" w:lineRule="auto"/>
        <w:ind w:left="0" w:firstLine="480"/>
        <w:rPr>
          <w:rFonts w:ascii="宋体" w:hAnsi="宋体"/>
          <w:color w:val="auto"/>
          <w:sz w:val="24"/>
          <w:highlight w:val="none"/>
        </w:rPr>
      </w:pPr>
      <w:r>
        <w:rPr>
          <w:rFonts w:hint="eastAsia" w:ascii="宋体" w:hAnsi="宋体"/>
          <w:color w:val="auto"/>
          <w:sz w:val="24"/>
          <w:highlight w:val="none"/>
        </w:rPr>
        <w:t>本责任书作为</w:t>
      </w:r>
      <w:r>
        <w:rPr>
          <w:rFonts w:hint="eastAsia" w:ascii="宋体" w:hAnsi="宋体"/>
          <w:color w:val="auto"/>
          <w:sz w:val="24"/>
          <w:highlight w:val="none"/>
          <w:u w:val="single"/>
        </w:rPr>
        <w:t>本</w:t>
      </w:r>
      <w:r>
        <w:rPr>
          <w:rFonts w:hint="eastAsia" w:ascii="宋体" w:hAnsi="宋体"/>
          <w:color w:val="auto"/>
          <w:sz w:val="24"/>
          <w:highlight w:val="none"/>
        </w:rPr>
        <w:t>合同的附件，与</w:t>
      </w:r>
      <w:r>
        <w:rPr>
          <w:rFonts w:hint="eastAsia" w:ascii="宋体" w:hAnsi="宋体"/>
          <w:color w:val="auto"/>
          <w:sz w:val="24"/>
          <w:highlight w:val="none"/>
          <w:u w:val="single"/>
        </w:rPr>
        <w:t>本</w:t>
      </w:r>
      <w:r>
        <w:rPr>
          <w:rFonts w:hint="eastAsia" w:ascii="宋体" w:hAnsi="宋体"/>
          <w:color w:val="auto"/>
          <w:sz w:val="24"/>
          <w:highlight w:val="none"/>
        </w:rPr>
        <w:t>合同具有同等法律效力。经双方签署后立即生效。</w:t>
      </w:r>
    </w:p>
    <w:p>
      <w:pPr>
        <w:numPr>
          <w:ilvl w:val="0"/>
          <w:numId w:val="6"/>
        </w:numPr>
        <w:tabs>
          <w:tab w:val="left" w:pos="0"/>
          <w:tab w:val="clear" w:pos="1680"/>
        </w:tabs>
        <w:spacing w:line="360" w:lineRule="auto"/>
        <w:ind w:left="0" w:firstLine="480"/>
        <w:rPr>
          <w:rFonts w:ascii="宋体" w:hAnsi="宋体"/>
          <w:color w:val="auto"/>
          <w:sz w:val="24"/>
          <w:highlight w:val="none"/>
        </w:rPr>
      </w:pPr>
      <w:r>
        <w:rPr>
          <w:rFonts w:hint="eastAsia" w:ascii="宋体" w:hAnsi="宋体"/>
          <w:color w:val="auto"/>
          <w:sz w:val="24"/>
          <w:highlight w:val="none"/>
        </w:rPr>
        <w:t>本责任书的有效期与</w:t>
      </w:r>
      <w:r>
        <w:rPr>
          <w:rFonts w:hint="eastAsia" w:ascii="宋体" w:hAnsi="宋体"/>
          <w:color w:val="auto"/>
          <w:sz w:val="24"/>
          <w:highlight w:val="none"/>
          <w:u w:val="single"/>
        </w:rPr>
        <w:t>本</w:t>
      </w:r>
      <w:r>
        <w:rPr>
          <w:rFonts w:hint="eastAsia" w:ascii="宋体" w:hAnsi="宋体"/>
          <w:color w:val="auto"/>
          <w:sz w:val="24"/>
          <w:highlight w:val="none"/>
        </w:rPr>
        <w:t>合同一致。</w:t>
      </w:r>
    </w:p>
    <w:p>
      <w:pPr>
        <w:tabs>
          <w:tab w:val="left" w:pos="0"/>
        </w:tabs>
        <w:spacing w:line="360" w:lineRule="auto"/>
        <w:jc w:val="center"/>
        <w:rPr>
          <w:rFonts w:ascii="宋体" w:hAnsi="宋体"/>
          <w:color w:val="auto"/>
          <w:sz w:val="24"/>
          <w:highlight w:val="none"/>
        </w:rPr>
      </w:pPr>
      <w:r>
        <w:rPr>
          <w:rFonts w:hint="eastAsia" w:ascii="宋体" w:hAnsi="宋体"/>
          <w:color w:val="auto"/>
          <w:sz w:val="24"/>
          <w:highlight w:val="none"/>
        </w:rPr>
        <w:t>（签署页）</w:t>
      </w:r>
    </w:p>
    <w:p>
      <w:pPr>
        <w:pStyle w:val="23"/>
        <w:rPr>
          <w:rFonts w:eastAsiaTheme="minorEastAsia"/>
          <w:color w:val="auto"/>
          <w:highlight w:val="none"/>
        </w:rPr>
      </w:pPr>
    </w:p>
    <w:p>
      <w:pPr>
        <w:pStyle w:val="23"/>
        <w:rPr>
          <w:rFonts w:eastAsiaTheme="minorEastAsia"/>
          <w:color w:val="auto"/>
          <w:highlight w:val="none"/>
        </w:rPr>
      </w:pPr>
    </w:p>
    <w:tbl>
      <w:tblPr>
        <w:tblStyle w:val="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26"/>
        <w:gridCol w:w="3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3" w:hRule="atLeast"/>
        </w:trPr>
        <w:tc>
          <w:tcPr>
            <w:tcW w:w="4352" w:type="dxa"/>
          </w:tcPr>
          <w:p>
            <w:pPr>
              <w:spacing w:line="276" w:lineRule="auto"/>
              <w:ind w:left="5520" w:hanging="5520" w:hangingChars="2300"/>
              <w:rPr>
                <w:rFonts w:ascii="宋体" w:hAnsi="宋体"/>
                <w:color w:val="auto"/>
                <w:highlight w:val="none"/>
              </w:rPr>
            </w:pPr>
            <w:r>
              <w:rPr>
                <w:rFonts w:hint="eastAsia" w:ascii="宋体" w:hAnsi="宋体"/>
                <w:color w:val="auto"/>
                <w:sz w:val="24"/>
                <w:highlight w:val="none"/>
              </w:rPr>
              <w:t>甲方：*公司</w:t>
            </w:r>
          </w:p>
          <w:p>
            <w:pPr>
              <w:spacing w:line="276" w:lineRule="auto"/>
              <w:ind w:firstLine="720" w:firstLineChars="300"/>
              <w:rPr>
                <w:rFonts w:ascii="宋体" w:hAnsi="宋体"/>
                <w:color w:val="auto"/>
                <w:sz w:val="24"/>
                <w:highlight w:val="none"/>
              </w:rPr>
            </w:pPr>
            <w:r>
              <w:rPr>
                <w:rFonts w:hint="eastAsia" w:ascii="宋体" w:hAnsi="宋体"/>
                <w:color w:val="auto"/>
                <w:sz w:val="24"/>
                <w:highlight w:val="none"/>
              </w:rPr>
              <w:t xml:space="preserve">（公章）         </w:t>
            </w:r>
          </w:p>
        </w:tc>
        <w:tc>
          <w:tcPr>
            <w:tcW w:w="4776" w:type="dxa"/>
          </w:tcPr>
          <w:p>
            <w:pPr>
              <w:spacing w:line="276" w:lineRule="auto"/>
              <w:rPr>
                <w:rFonts w:ascii="宋体" w:hAnsi="宋体"/>
                <w:color w:val="auto"/>
                <w:sz w:val="24"/>
                <w:highlight w:val="none"/>
              </w:rPr>
            </w:pPr>
            <w:r>
              <w:rPr>
                <w:rFonts w:hint="eastAsia" w:ascii="宋体" w:hAnsi="宋体"/>
                <w:snapToGrid w:val="0"/>
                <w:color w:val="auto"/>
                <w:kern w:val="0"/>
                <w:sz w:val="24"/>
                <w:highlight w:val="none"/>
              </w:rPr>
              <w:t>乙方：*公司</w:t>
            </w:r>
          </w:p>
          <w:p>
            <w:pPr>
              <w:spacing w:line="276" w:lineRule="auto"/>
              <w:ind w:firstLine="720" w:firstLineChars="300"/>
              <w:rPr>
                <w:rFonts w:ascii="宋体" w:hAnsi="宋体"/>
                <w:snapToGrid w:val="0"/>
                <w:color w:val="auto"/>
                <w:kern w:val="0"/>
                <w:sz w:val="24"/>
                <w:highlight w:val="none"/>
              </w:rPr>
            </w:pPr>
            <w:r>
              <w:rPr>
                <w:rFonts w:hint="eastAsia" w:ascii="宋体" w:hAnsi="宋体"/>
                <w:snapToGrid w:val="0"/>
                <w:color w:val="auto"/>
                <w:kern w:val="0"/>
                <w:sz w:val="24"/>
                <w:highlight w:val="none"/>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4352" w:type="dxa"/>
            <w:vAlign w:val="center"/>
          </w:tcPr>
          <w:p>
            <w:pPr>
              <w:pStyle w:val="23"/>
              <w:rPr>
                <w:rFonts w:asciiTheme="minorEastAsia" w:hAnsiTheme="minorEastAsia" w:eastAsiaTheme="minorEastAsia"/>
                <w:snapToGrid w:val="0"/>
                <w:color w:val="auto"/>
                <w:kern w:val="0"/>
                <w:sz w:val="24"/>
                <w:highlight w:val="none"/>
              </w:rPr>
            </w:pPr>
            <w:r>
              <w:rPr>
                <w:rFonts w:hint="eastAsia" w:hAnsi="宋体"/>
                <w:color w:val="auto"/>
                <w:sz w:val="24"/>
                <w:highlight w:val="none"/>
              </w:rPr>
              <w:t>法定代表</w:t>
            </w:r>
            <w:r>
              <w:rPr>
                <w:rFonts w:hAnsi="宋体"/>
                <w:color w:val="auto"/>
                <w:sz w:val="24"/>
                <w:highlight w:val="none"/>
              </w:rPr>
              <w:t>人：</w:t>
            </w:r>
          </w:p>
        </w:tc>
        <w:tc>
          <w:tcPr>
            <w:tcW w:w="4776" w:type="dxa"/>
            <w:vAlign w:val="center"/>
          </w:tcPr>
          <w:p>
            <w:pPr>
              <w:pStyle w:val="23"/>
              <w:rPr>
                <w:rFonts w:asciiTheme="minorEastAsia" w:hAnsiTheme="minorEastAsia" w:eastAsiaTheme="minorEastAsia"/>
                <w:snapToGrid w:val="0"/>
                <w:color w:val="auto"/>
                <w:kern w:val="0"/>
                <w:sz w:val="24"/>
                <w:highlight w:val="none"/>
              </w:rPr>
            </w:pPr>
            <w:r>
              <w:rPr>
                <w:rFonts w:hint="eastAsia" w:hAnsi="宋体"/>
                <w:color w:val="auto"/>
                <w:sz w:val="24"/>
                <w:highlight w:val="none"/>
              </w:rPr>
              <w:t>法定代表</w:t>
            </w:r>
            <w:r>
              <w:rPr>
                <w:rFonts w:hAnsi="宋体"/>
                <w:color w:val="auto"/>
                <w:sz w:val="24"/>
                <w:highlight w:val="none"/>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4352" w:type="dxa"/>
            <w:vAlign w:val="center"/>
          </w:tcPr>
          <w:p>
            <w:pPr>
              <w:spacing w:line="276" w:lineRule="auto"/>
              <w:rPr>
                <w:rFonts w:ascii="宋体" w:hAnsi="宋体"/>
                <w:color w:val="auto"/>
                <w:sz w:val="24"/>
                <w:highlight w:val="none"/>
              </w:rPr>
            </w:pPr>
            <w:r>
              <w:rPr>
                <w:rFonts w:hint="eastAsia" w:ascii="宋体" w:hAnsi="宋体"/>
                <w:color w:val="auto"/>
                <w:sz w:val="24"/>
                <w:highlight w:val="none"/>
              </w:rPr>
              <w:t>委托代理人：</w:t>
            </w:r>
          </w:p>
        </w:tc>
        <w:tc>
          <w:tcPr>
            <w:tcW w:w="4776" w:type="dxa"/>
            <w:vAlign w:val="center"/>
          </w:tcPr>
          <w:p>
            <w:pPr>
              <w:spacing w:line="276" w:lineRule="auto"/>
              <w:rPr>
                <w:rFonts w:ascii="宋体" w:hAnsi="宋体"/>
                <w:color w:val="auto"/>
                <w:sz w:val="24"/>
                <w:highlight w:val="none"/>
              </w:rPr>
            </w:pPr>
            <w:r>
              <w:rPr>
                <w:rFonts w:hint="eastAsia" w:ascii="宋体" w:hAnsi="宋体"/>
                <w:color w:val="auto"/>
                <w:sz w:val="24"/>
                <w:highlight w:val="none"/>
              </w:rPr>
              <w:t>委托代理人：</w:t>
            </w:r>
          </w:p>
        </w:tc>
      </w:tr>
    </w:tbl>
    <w:p>
      <w:pPr>
        <w:tabs>
          <w:tab w:val="left" w:pos="0"/>
        </w:tabs>
        <w:spacing w:line="360" w:lineRule="auto"/>
        <w:rPr>
          <w:rFonts w:ascii="宋体" w:hAnsi="宋体"/>
          <w:color w:val="auto"/>
          <w:sz w:val="24"/>
          <w:highlight w:val="none"/>
        </w:rPr>
      </w:pPr>
    </w:p>
    <w:p>
      <w:pPr>
        <w:tabs>
          <w:tab w:val="left" w:pos="0"/>
        </w:tabs>
        <w:spacing w:line="360" w:lineRule="auto"/>
        <w:rPr>
          <w:rFonts w:ascii="宋体" w:hAnsi="宋体"/>
          <w:color w:val="auto"/>
          <w:sz w:val="24"/>
          <w:highlight w:val="none"/>
        </w:rPr>
      </w:pPr>
    </w:p>
    <w:bookmarkEnd w:id="12"/>
    <w:bookmarkEnd w:id="13"/>
    <w:bookmarkEnd w:id="14"/>
    <w:bookmarkEnd w:id="15"/>
    <w:bookmarkEnd w:id="16"/>
    <w:p>
      <w:pPr>
        <w:adjustRightInd w:val="0"/>
        <w:snapToGrid w:val="0"/>
        <w:spacing w:line="360" w:lineRule="auto"/>
        <w:jc w:val="center"/>
        <w:rPr>
          <w:rFonts w:ascii="宋体" w:hAnsi="宋体"/>
          <w:b/>
          <w:color w:val="auto"/>
          <w:sz w:val="36"/>
          <w:szCs w:val="36"/>
          <w:highlight w:val="none"/>
        </w:rPr>
      </w:pPr>
    </w:p>
    <w:p>
      <w:pPr>
        <w:adjustRightInd w:val="0"/>
        <w:snapToGrid w:val="0"/>
        <w:spacing w:line="360" w:lineRule="auto"/>
        <w:jc w:val="center"/>
        <w:rPr>
          <w:rFonts w:ascii="宋体" w:hAnsi="宋体"/>
          <w:b/>
          <w:color w:val="auto"/>
          <w:sz w:val="36"/>
          <w:szCs w:val="36"/>
          <w:highlight w:val="none"/>
        </w:rPr>
      </w:pPr>
    </w:p>
    <w:p>
      <w:pPr>
        <w:adjustRightInd w:val="0"/>
        <w:snapToGrid w:val="0"/>
        <w:spacing w:line="360" w:lineRule="auto"/>
        <w:jc w:val="center"/>
        <w:rPr>
          <w:rFonts w:ascii="宋体" w:hAnsi="宋体"/>
          <w:b/>
          <w:color w:val="auto"/>
          <w:sz w:val="36"/>
          <w:szCs w:val="36"/>
          <w:highlight w:val="none"/>
        </w:rPr>
      </w:pPr>
    </w:p>
    <w:p>
      <w:pPr>
        <w:adjustRightInd w:val="0"/>
        <w:snapToGrid w:val="0"/>
        <w:spacing w:line="360" w:lineRule="auto"/>
        <w:jc w:val="center"/>
        <w:rPr>
          <w:rFonts w:ascii="宋体" w:hAnsi="宋体"/>
          <w:b/>
          <w:color w:val="auto"/>
          <w:sz w:val="36"/>
          <w:szCs w:val="36"/>
          <w:highlight w:val="none"/>
        </w:rPr>
      </w:pPr>
    </w:p>
    <w:p>
      <w:pPr>
        <w:adjustRightInd w:val="0"/>
        <w:snapToGrid w:val="0"/>
        <w:spacing w:line="360" w:lineRule="auto"/>
        <w:jc w:val="center"/>
        <w:rPr>
          <w:rFonts w:ascii="宋体" w:hAnsi="宋体"/>
          <w:b/>
          <w:color w:val="auto"/>
          <w:sz w:val="36"/>
          <w:szCs w:val="36"/>
          <w:highlight w:val="none"/>
        </w:rPr>
      </w:pPr>
    </w:p>
    <w:p>
      <w:pPr>
        <w:adjustRightInd w:val="0"/>
        <w:snapToGrid w:val="0"/>
        <w:spacing w:line="360" w:lineRule="auto"/>
        <w:jc w:val="center"/>
        <w:rPr>
          <w:rFonts w:ascii="宋体" w:hAnsi="宋体"/>
          <w:b/>
          <w:color w:val="auto"/>
          <w:sz w:val="36"/>
          <w:szCs w:val="36"/>
          <w:highlight w:val="none"/>
        </w:rPr>
      </w:pPr>
    </w:p>
    <w:p>
      <w:pPr>
        <w:adjustRightInd w:val="0"/>
        <w:snapToGrid w:val="0"/>
        <w:spacing w:line="360" w:lineRule="auto"/>
        <w:jc w:val="center"/>
        <w:rPr>
          <w:rFonts w:ascii="宋体" w:hAnsi="宋体"/>
          <w:b/>
          <w:color w:val="auto"/>
          <w:sz w:val="36"/>
          <w:szCs w:val="36"/>
          <w:highlight w:val="none"/>
        </w:rPr>
      </w:pPr>
    </w:p>
    <w:p>
      <w:pPr>
        <w:spacing w:line="360" w:lineRule="auto"/>
        <w:jc w:val="center"/>
        <w:rPr>
          <w:rFonts w:ascii="宋体" w:hAnsi="宋体"/>
          <w:color w:val="auto"/>
          <w:highlight w:val="none"/>
        </w:rPr>
      </w:pPr>
    </w:p>
    <w:p>
      <w:pPr>
        <w:pStyle w:val="4"/>
        <w:spacing w:line="360" w:lineRule="auto"/>
        <w:jc w:val="both"/>
        <w:rPr>
          <w:rFonts w:hint="eastAsia" w:ascii="黑体" w:hAnsi="黑体" w:eastAsia="黑体"/>
          <w:bCs w:val="0"/>
          <w:snapToGrid w:val="0"/>
          <w:color w:val="auto"/>
          <w:kern w:val="0"/>
          <w:sz w:val="32"/>
          <w:szCs w:val="32"/>
          <w:highlight w:val="none"/>
        </w:rPr>
      </w:pPr>
      <w:bookmarkStart w:id="17" w:name="_Toc25197"/>
      <w:bookmarkStart w:id="18" w:name="_Toc8721564"/>
      <w:bookmarkStart w:id="19" w:name="_Toc13262"/>
      <w:bookmarkStart w:id="20" w:name="_Toc10462"/>
    </w:p>
    <w:p>
      <w:pPr>
        <w:pStyle w:val="2"/>
        <w:rPr>
          <w:rFonts w:hint="eastAsia"/>
          <w:color w:val="auto"/>
          <w:highlight w:val="none"/>
        </w:rPr>
      </w:pPr>
    </w:p>
    <w:p>
      <w:pPr>
        <w:pStyle w:val="4"/>
        <w:spacing w:line="360" w:lineRule="auto"/>
        <w:jc w:val="both"/>
        <w:rPr>
          <w:rFonts w:hint="eastAsia" w:ascii="黑体" w:hAnsi="黑体" w:eastAsia="黑体"/>
          <w:bCs w:val="0"/>
          <w:snapToGrid w:val="0"/>
          <w:color w:val="auto"/>
          <w:kern w:val="0"/>
          <w:sz w:val="32"/>
          <w:szCs w:val="32"/>
          <w:highlight w:val="none"/>
        </w:rPr>
      </w:pPr>
    </w:p>
    <w:p>
      <w:pPr>
        <w:pStyle w:val="4"/>
        <w:spacing w:line="360" w:lineRule="auto"/>
        <w:jc w:val="both"/>
        <w:rPr>
          <w:rFonts w:hint="eastAsia" w:ascii="黑体" w:hAnsi="黑体" w:eastAsia="黑体"/>
          <w:bCs w:val="0"/>
          <w:snapToGrid w:val="0"/>
          <w:color w:val="auto"/>
          <w:kern w:val="0"/>
          <w:sz w:val="32"/>
          <w:szCs w:val="32"/>
          <w:highlight w:val="none"/>
        </w:rPr>
      </w:pPr>
    </w:p>
    <w:p>
      <w:pPr>
        <w:pStyle w:val="4"/>
        <w:spacing w:line="360" w:lineRule="auto"/>
        <w:jc w:val="both"/>
        <w:rPr>
          <w:rFonts w:ascii="黑体" w:hAnsi="黑体" w:eastAsia="黑体"/>
          <w:bCs w:val="0"/>
          <w:snapToGrid w:val="0"/>
          <w:color w:val="auto"/>
          <w:kern w:val="0"/>
          <w:sz w:val="32"/>
          <w:szCs w:val="32"/>
          <w:highlight w:val="none"/>
        </w:rPr>
      </w:pPr>
      <w:r>
        <w:rPr>
          <w:rFonts w:hint="eastAsia" w:ascii="黑体" w:hAnsi="黑体" w:eastAsia="黑体"/>
          <w:bCs w:val="0"/>
          <w:snapToGrid w:val="0"/>
          <w:color w:val="auto"/>
          <w:kern w:val="0"/>
          <w:sz w:val="32"/>
          <w:szCs w:val="32"/>
          <w:highlight w:val="none"/>
        </w:rPr>
        <w:t>附件2 中标通知书</w:t>
      </w:r>
    </w:p>
    <w:p>
      <w:pPr>
        <w:pStyle w:val="4"/>
        <w:spacing w:line="360" w:lineRule="auto"/>
        <w:jc w:val="both"/>
        <w:rPr>
          <w:rFonts w:ascii="黑体" w:hAnsi="黑体" w:eastAsia="黑体"/>
          <w:bCs w:val="0"/>
          <w:snapToGrid w:val="0"/>
          <w:color w:val="auto"/>
          <w:kern w:val="0"/>
          <w:sz w:val="32"/>
          <w:szCs w:val="32"/>
          <w:highlight w:val="none"/>
        </w:rPr>
      </w:pPr>
      <w:r>
        <w:rPr>
          <w:color w:val="auto"/>
          <w:highlight w:val="none"/>
        </w:rPr>
        <w:br w:type="page"/>
      </w:r>
      <w:r>
        <w:rPr>
          <w:rFonts w:hint="eastAsia" w:ascii="黑体" w:hAnsi="黑体" w:eastAsia="黑体"/>
          <w:bCs w:val="0"/>
          <w:snapToGrid w:val="0"/>
          <w:color w:val="auto"/>
          <w:kern w:val="0"/>
          <w:sz w:val="32"/>
          <w:szCs w:val="32"/>
          <w:highlight w:val="none"/>
        </w:rPr>
        <w:t>附件3 银行履约保函及承诺书</w:t>
      </w:r>
      <w:bookmarkEnd w:id="17"/>
      <w:bookmarkEnd w:id="18"/>
      <w:bookmarkEnd w:id="19"/>
      <w:bookmarkEnd w:id="20"/>
      <w:r>
        <w:rPr>
          <w:rFonts w:hint="eastAsia" w:ascii="黑体" w:hAnsi="黑体" w:eastAsia="黑体"/>
          <w:bCs w:val="0"/>
          <w:snapToGrid w:val="0"/>
          <w:color w:val="auto"/>
          <w:kern w:val="0"/>
          <w:sz w:val="32"/>
          <w:szCs w:val="32"/>
          <w:highlight w:val="none"/>
        </w:rPr>
        <w:t>（版本）</w:t>
      </w:r>
    </w:p>
    <w:p>
      <w:pPr>
        <w:adjustRightInd w:val="0"/>
        <w:snapToGrid w:val="0"/>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履约银行保函</w:t>
      </w:r>
    </w:p>
    <w:p>
      <w:pPr>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color w:val="auto"/>
          <w:sz w:val="32"/>
          <w:szCs w:val="32"/>
          <w:highlight w:val="none"/>
        </w:rPr>
        <w:t>（中标后提供）</w:t>
      </w:r>
    </w:p>
    <w:p>
      <w:pPr>
        <w:pStyle w:val="54"/>
        <w:snapToGrid w:val="0"/>
        <w:spacing w:line="360" w:lineRule="auto"/>
        <w:ind w:left="495" w:firstLine="480"/>
        <w:rPr>
          <w:rFonts w:ascii="宋体" w:hAnsi="宋体" w:cs="仿宋"/>
          <w:color w:val="auto"/>
          <w:sz w:val="24"/>
          <w:highlight w:val="none"/>
          <w:u w:val="single"/>
        </w:rPr>
      </w:pPr>
      <w:r>
        <w:rPr>
          <w:rFonts w:hint="eastAsia" w:ascii="宋体" w:hAnsi="宋体" w:cs="仿宋"/>
          <w:color w:val="auto"/>
          <w:sz w:val="24"/>
          <w:highlight w:val="none"/>
        </w:rPr>
        <w:t>致：</w:t>
      </w:r>
      <w:r>
        <w:rPr>
          <w:rFonts w:hint="eastAsia" w:ascii="宋体" w:hAnsi="宋体" w:cs="仿宋"/>
          <w:color w:val="auto"/>
          <w:sz w:val="24"/>
          <w:highlight w:val="none"/>
          <w:u w:val="single"/>
        </w:rPr>
        <w:t>广州国际企业孵化器有限公司</w:t>
      </w:r>
    </w:p>
    <w:p>
      <w:pPr>
        <w:pStyle w:val="54"/>
        <w:snapToGrid w:val="0"/>
        <w:spacing w:line="360" w:lineRule="auto"/>
        <w:ind w:left="491" w:leftChars="234" w:firstLine="960" w:firstLineChars="400"/>
        <w:rPr>
          <w:rFonts w:ascii="宋体" w:hAnsi="宋体" w:cs="仿宋"/>
          <w:color w:val="auto"/>
          <w:sz w:val="24"/>
          <w:highlight w:val="none"/>
          <w:u w:val="single"/>
        </w:rPr>
      </w:pPr>
      <w:r>
        <w:rPr>
          <w:rFonts w:hint="eastAsia" w:ascii="宋体" w:hAnsi="宋体"/>
          <w:color w:val="auto"/>
          <w:sz w:val="24"/>
          <w:highlight w:val="none"/>
          <w:u w:val="single"/>
        </w:rPr>
        <w:t>（地址）</w:t>
      </w:r>
    </w:p>
    <w:p>
      <w:pPr>
        <w:pStyle w:val="54"/>
        <w:snapToGrid w:val="0"/>
        <w:spacing w:line="360" w:lineRule="auto"/>
        <w:ind w:left="495" w:firstLine="480"/>
        <w:rPr>
          <w:rFonts w:ascii="宋体" w:hAnsi="宋体" w:cs="仿宋"/>
          <w:color w:val="auto"/>
          <w:sz w:val="24"/>
          <w:highlight w:val="none"/>
        </w:rPr>
      </w:pPr>
    </w:p>
    <w:p>
      <w:pPr>
        <w:pStyle w:val="54"/>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鉴于</w:t>
      </w:r>
      <w:r>
        <w:rPr>
          <w:rFonts w:hint="eastAsia" w:ascii="宋体" w:hAnsi="宋体" w:cs="仿宋"/>
          <w:color w:val="auto"/>
          <w:sz w:val="24"/>
          <w:highlight w:val="none"/>
          <w:u w:val="single"/>
        </w:rPr>
        <w:t>**公司、地址</w:t>
      </w:r>
      <w:r>
        <w:rPr>
          <w:rFonts w:ascii="宋体" w:hAnsi="宋体" w:cs="仿宋"/>
          <w:color w:val="auto"/>
          <w:sz w:val="24"/>
          <w:highlight w:val="none"/>
        </w:rPr>
        <w:t>[</w:t>
      </w:r>
      <w:r>
        <w:rPr>
          <w:rFonts w:hint="eastAsia" w:ascii="宋体" w:hAnsi="宋体" w:cs="仿宋"/>
          <w:color w:val="auto"/>
          <w:sz w:val="24"/>
          <w:highlight w:val="none"/>
        </w:rPr>
        <w:t>承包人的名称和地址</w:t>
      </w:r>
      <w:r>
        <w:rPr>
          <w:rFonts w:ascii="宋体" w:hAnsi="宋体" w:cs="仿宋"/>
          <w:color w:val="auto"/>
          <w:sz w:val="24"/>
          <w:highlight w:val="none"/>
        </w:rPr>
        <w:t>]（下称承包人）已保证按中标通知书（编号：）实施</w:t>
      </w:r>
      <w:r>
        <w:rPr>
          <w:rFonts w:hint="eastAsia" w:ascii="宋体" w:hAnsi="宋体" w:cs="仿宋"/>
          <w:color w:val="auto"/>
          <w:sz w:val="24"/>
          <w:highlight w:val="none"/>
          <w:u w:val="single"/>
        </w:rPr>
        <w:t>*项目</w:t>
      </w:r>
      <w:r>
        <w:rPr>
          <w:rFonts w:hint="eastAsia" w:ascii="宋体" w:hAnsi="宋体" w:cs="仿宋"/>
          <w:color w:val="auto"/>
          <w:sz w:val="24"/>
          <w:highlight w:val="none"/>
        </w:rPr>
        <w:t>，又鉴于你方在招标文件中要求承包人按规定金额提交一份已经认可的银行保函作履约担保，本行已同意为承包人出具保函。</w:t>
      </w:r>
    </w:p>
    <w:p>
      <w:pPr>
        <w:pStyle w:val="54"/>
        <w:snapToGrid w:val="0"/>
        <w:spacing w:line="360" w:lineRule="auto"/>
        <w:ind w:firstLine="480"/>
        <w:rPr>
          <w:rFonts w:ascii="宋体" w:hAnsi="宋体" w:cs="仿宋"/>
          <w:color w:val="auto"/>
          <w:sz w:val="24"/>
          <w:highlight w:val="none"/>
        </w:rPr>
      </w:pPr>
      <w:r>
        <w:rPr>
          <w:rFonts w:hint="eastAsia" w:ascii="宋体" w:hAnsi="宋体" w:cs="仿宋"/>
          <w:color w:val="auto"/>
          <w:sz w:val="24"/>
          <w:highlight w:val="none"/>
        </w:rPr>
        <w:t>本行作为保证人在此代表承包人向你方确认承担支付人民币（大写）</w:t>
      </w:r>
      <w:r>
        <w:rPr>
          <w:rFonts w:hint="eastAsia" w:ascii="宋体" w:hAnsi="宋体" w:cs="仿宋"/>
          <w:color w:val="auto"/>
          <w:sz w:val="24"/>
          <w:highlight w:val="none"/>
          <w:lang w:eastAsia="zh-CN"/>
        </w:rPr>
        <w:t>：</w:t>
      </w:r>
      <w:r>
        <w:rPr>
          <w:rFonts w:hint="eastAsia" w:ascii="宋体" w:hAnsi="宋体" w:cs="仿宋"/>
          <w:color w:val="auto"/>
          <w:sz w:val="24"/>
          <w:highlight w:val="none"/>
          <w:lang w:val="en-US" w:eastAsia="zh-CN"/>
        </w:rPr>
        <w:t xml:space="preserve">** </w:t>
      </w:r>
      <w:r>
        <w:rPr>
          <w:rFonts w:hint="eastAsia" w:ascii="宋体" w:hAnsi="宋体" w:cs="仿宋"/>
          <w:color w:val="auto"/>
          <w:sz w:val="24"/>
          <w:highlight w:val="none"/>
        </w:rPr>
        <w:t>的责任，在收到你方第一次书面付款要求后，不挑剔、不争辩、并不要求你方出具证明或说明理由，即在上述担保金范围内向你方支付。</w:t>
      </w:r>
    </w:p>
    <w:p>
      <w:pPr>
        <w:pStyle w:val="54"/>
        <w:snapToGrid w:val="0"/>
        <w:spacing w:line="360" w:lineRule="auto"/>
        <w:ind w:firstLine="480"/>
        <w:rPr>
          <w:rFonts w:ascii="宋体" w:hAnsi="宋体" w:cs="仿宋"/>
          <w:color w:val="auto"/>
          <w:sz w:val="24"/>
          <w:highlight w:val="none"/>
        </w:rPr>
      </w:pPr>
      <w:r>
        <w:rPr>
          <w:rFonts w:hint="eastAsia" w:ascii="宋体" w:hAnsi="宋体" w:cs="仿宋"/>
          <w:color w:val="auto"/>
          <w:sz w:val="24"/>
          <w:highlight w:val="none"/>
        </w:rPr>
        <w:t>本行放弃你方应先向承包人要求索赔上述金额然后再向本行提出要求的权利。</w:t>
      </w:r>
    </w:p>
    <w:p>
      <w:pPr>
        <w:pStyle w:val="54"/>
        <w:snapToGrid w:val="0"/>
        <w:spacing w:line="360" w:lineRule="auto"/>
        <w:ind w:firstLine="480"/>
        <w:rPr>
          <w:rFonts w:ascii="宋体" w:hAnsi="宋体" w:cs="仿宋"/>
          <w:color w:val="auto"/>
          <w:sz w:val="24"/>
          <w:highlight w:val="none"/>
        </w:rPr>
      </w:pPr>
      <w:r>
        <w:rPr>
          <w:rFonts w:hint="eastAsia" w:ascii="宋体" w:hAnsi="宋体" w:cs="仿宋"/>
          <w:color w:val="auto"/>
          <w:sz w:val="24"/>
          <w:highlight w:val="none"/>
        </w:rPr>
        <w:t>本行还同意，在你方和承包人之间的合同条件发生补充或修改后，本行所承担保函的责任不变，有关补充或修改亦无须通知本行。</w:t>
      </w:r>
    </w:p>
    <w:p>
      <w:pPr>
        <w:pStyle w:val="54"/>
        <w:snapToGrid w:val="0"/>
        <w:spacing w:line="360" w:lineRule="auto"/>
        <w:ind w:firstLine="480"/>
        <w:rPr>
          <w:rFonts w:ascii="宋体" w:hAnsi="宋体" w:cs="仿宋"/>
          <w:color w:val="auto"/>
          <w:sz w:val="24"/>
          <w:highlight w:val="none"/>
        </w:rPr>
      </w:pPr>
      <w:r>
        <w:rPr>
          <w:rFonts w:hint="eastAsia" w:ascii="宋体" w:hAnsi="宋体" w:cs="仿宋"/>
          <w:color w:val="auto"/>
          <w:sz w:val="24"/>
          <w:highlight w:val="none"/>
        </w:rPr>
        <w:t>本保函从合同生效之日起生效，有效期至</w:t>
      </w:r>
      <w:r>
        <w:rPr>
          <w:rFonts w:ascii="宋体" w:hAnsi="宋体" w:cs="仿宋"/>
          <w:color w:val="auto"/>
          <w:sz w:val="24"/>
          <w:highlight w:val="none"/>
          <w:u w:val="single"/>
        </w:rPr>
        <w:t>年月日</w:t>
      </w:r>
      <w:r>
        <w:rPr>
          <w:rFonts w:hint="eastAsia" w:ascii="宋体" w:hAnsi="宋体" w:cs="仿宋"/>
          <w:color w:val="auto"/>
          <w:sz w:val="24"/>
          <w:highlight w:val="none"/>
        </w:rPr>
        <w:t>止。</w:t>
      </w:r>
    </w:p>
    <w:p>
      <w:pPr>
        <w:pStyle w:val="54"/>
        <w:snapToGrid w:val="0"/>
        <w:spacing w:line="360" w:lineRule="auto"/>
        <w:ind w:left="493" w:firstLine="480"/>
        <w:rPr>
          <w:rFonts w:ascii="宋体" w:hAnsi="宋体" w:cs="仿宋"/>
          <w:color w:val="auto"/>
          <w:sz w:val="24"/>
          <w:highlight w:val="none"/>
        </w:rPr>
      </w:pPr>
    </w:p>
    <w:p>
      <w:pPr>
        <w:pStyle w:val="54"/>
        <w:snapToGrid w:val="0"/>
        <w:spacing w:line="360" w:lineRule="auto"/>
        <w:ind w:left="493" w:firstLine="480"/>
        <w:rPr>
          <w:rFonts w:ascii="宋体" w:hAnsi="宋体" w:cs="仿宋"/>
          <w:color w:val="auto"/>
          <w:sz w:val="24"/>
          <w:highlight w:val="none"/>
        </w:rPr>
      </w:pPr>
      <w:r>
        <w:rPr>
          <w:rFonts w:hint="eastAsia" w:ascii="宋体" w:hAnsi="宋体" w:cs="仿宋"/>
          <w:color w:val="auto"/>
          <w:sz w:val="24"/>
          <w:highlight w:val="none"/>
        </w:rPr>
        <w:t>担保银行名称（公章）：</w:t>
      </w:r>
    </w:p>
    <w:p>
      <w:pPr>
        <w:pStyle w:val="54"/>
        <w:snapToGrid w:val="0"/>
        <w:spacing w:line="360" w:lineRule="auto"/>
        <w:ind w:left="493" w:firstLine="480"/>
        <w:rPr>
          <w:rFonts w:ascii="宋体" w:hAnsi="宋体" w:cs="仿宋"/>
          <w:color w:val="auto"/>
          <w:sz w:val="24"/>
          <w:highlight w:val="none"/>
        </w:rPr>
      </w:pPr>
      <w:r>
        <w:rPr>
          <w:rFonts w:hint="eastAsia" w:ascii="宋体" w:hAnsi="宋体" w:cs="仿宋"/>
          <w:color w:val="auto"/>
          <w:sz w:val="24"/>
          <w:highlight w:val="none"/>
        </w:rPr>
        <w:t>法定代表人或其授权人（签章）：</w:t>
      </w:r>
    </w:p>
    <w:p>
      <w:pPr>
        <w:pStyle w:val="54"/>
        <w:snapToGrid w:val="0"/>
        <w:spacing w:line="360" w:lineRule="auto"/>
        <w:ind w:left="493" w:firstLine="480"/>
        <w:rPr>
          <w:rFonts w:ascii="宋体" w:hAnsi="宋体" w:cs="仿宋"/>
          <w:color w:val="auto"/>
          <w:sz w:val="24"/>
          <w:highlight w:val="none"/>
        </w:rPr>
      </w:pPr>
      <w:r>
        <w:rPr>
          <w:rFonts w:hint="eastAsia" w:ascii="宋体" w:hAnsi="宋体" w:cs="仿宋"/>
          <w:color w:val="auto"/>
          <w:sz w:val="24"/>
          <w:highlight w:val="none"/>
        </w:rPr>
        <w:t>联系人：</w:t>
      </w:r>
    </w:p>
    <w:p>
      <w:pPr>
        <w:pStyle w:val="54"/>
        <w:snapToGrid w:val="0"/>
        <w:spacing w:line="360" w:lineRule="auto"/>
        <w:ind w:left="493" w:firstLine="480"/>
        <w:rPr>
          <w:rFonts w:ascii="宋体" w:hAnsi="宋体" w:cs="仿宋"/>
          <w:color w:val="auto"/>
          <w:sz w:val="24"/>
          <w:highlight w:val="none"/>
        </w:rPr>
      </w:pPr>
      <w:r>
        <w:rPr>
          <w:rFonts w:hint="eastAsia" w:ascii="宋体" w:hAnsi="宋体" w:cs="仿宋"/>
          <w:color w:val="auto"/>
          <w:sz w:val="24"/>
          <w:highlight w:val="none"/>
        </w:rPr>
        <w:t>联系电话：</w:t>
      </w:r>
    </w:p>
    <w:p>
      <w:pPr>
        <w:pStyle w:val="54"/>
        <w:snapToGrid w:val="0"/>
        <w:spacing w:line="360" w:lineRule="auto"/>
        <w:ind w:left="493" w:firstLine="480"/>
        <w:rPr>
          <w:rFonts w:ascii="宋体" w:hAnsi="宋体" w:cs="仿宋"/>
          <w:color w:val="auto"/>
          <w:sz w:val="24"/>
          <w:highlight w:val="none"/>
        </w:rPr>
      </w:pPr>
      <w:r>
        <w:rPr>
          <w:rFonts w:hint="eastAsia" w:ascii="宋体" w:hAnsi="宋体" w:cs="仿宋"/>
          <w:color w:val="auto"/>
          <w:sz w:val="24"/>
          <w:highlight w:val="none"/>
        </w:rPr>
        <w:t>地址：*</w:t>
      </w:r>
    </w:p>
    <w:p>
      <w:pPr>
        <w:pStyle w:val="54"/>
        <w:snapToGrid w:val="0"/>
        <w:spacing w:line="360" w:lineRule="auto"/>
        <w:ind w:left="493" w:firstLine="480"/>
        <w:rPr>
          <w:rFonts w:ascii="宋体" w:hAnsi="宋体" w:cs="仿宋"/>
          <w:color w:val="auto"/>
          <w:sz w:val="24"/>
          <w:highlight w:val="none"/>
        </w:rPr>
      </w:pPr>
      <w:r>
        <w:rPr>
          <w:rFonts w:hint="eastAsia" w:ascii="宋体" w:hAnsi="宋体" w:cs="仿宋"/>
          <w:color w:val="auto"/>
          <w:sz w:val="24"/>
          <w:highlight w:val="none"/>
        </w:rPr>
        <w:t>日期：</w:t>
      </w:r>
    </w:p>
    <w:p>
      <w:pPr>
        <w:widowControl/>
        <w:jc w:val="left"/>
        <w:rPr>
          <w:rFonts w:ascii="宋体" w:hAnsi="宋体" w:cs="仿宋"/>
          <w:color w:val="auto"/>
          <w:sz w:val="24"/>
          <w:highlight w:val="none"/>
        </w:rPr>
      </w:pPr>
      <w:r>
        <w:rPr>
          <w:rFonts w:ascii="宋体" w:hAnsi="宋体" w:cs="仿宋"/>
          <w:color w:val="auto"/>
          <w:sz w:val="24"/>
          <w:highlight w:val="none"/>
        </w:rPr>
        <w:br w:type="page"/>
      </w:r>
    </w:p>
    <w:p>
      <w:pPr>
        <w:adjustRightInd w:val="0"/>
        <w:snapToGrid w:val="0"/>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承诺书</w:t>
      </w:r>
    </w:p>
    <w:p>
      <w:pPr>
        <w:adjustRightInd w:val="0"/>
        <w:snapToGrid w:val="0"/>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（中标后提供）</w:t>
      </w:r>
    </w:p>
    <w:p>
      <w:pPr>
        <w:spacing w:line="360" w:lineRule="auto"/>
        <w:rPr>
          <w:rFonts w:ascii="宋体" w:hAnsi="宋体" w:cs="仿宋_GB2312"/>
          <w:color w:val="auto"/>
          <w:spacing w:val="20"/>
          <w:sz w:val="28"/>
          <w:szCs w:val="28"/>
          <w:highlight w:val="none"/>
          <w:lang w:val="zh-CN" w:bidi="zh-CN"/>
        </w:rPr>
      </w:pPr>
    </w:p>
    <w:p>
      <w:pPr>
        <w:pStyle w:val="54"/>
        <w:snapToGrid w:val="0"/>
        <w:spacing w:line="360" w:lineRule="auto"/>
        <w:ind w:firstLine="480"/>
        <w:rPr>
          <w:rFonts w:ascii="宋体" w:hAnsi="宋体" w:cs="仿宋"/>
          <w:color w:val="auto"/>
          <w:sz w:val="24"/>
          <w:highlight w:val="none"/>
        </w:rPr>
      </w:pPr>
      <w:r>
        <w:rPr>
          <w:rFonts w:hint="eastAsia" w:ascii="宋体" w:hAnsi="宋体" w:cs="仿宋"/>
          <w:color w:val="auto"/>
          <w:sz w:val="24"/>
          <w:highlight w:val="none"/>
        </w:rPr>
        <w:t>致：*公司</w:t>
      </w:r>
    </w:p>
    <w:p>
      <w:pPr>
        <w:pStyle w:val="54"/>
        <w:snapToGrid w:val="0"/>
        <w:spacing w:line="360" w:lineRule="auto"/>
        <w:ind w:firstLine="480"/>
        <w:rPr>
          <w:rFonts w:ascii="宋体" w:hAnsi="宋体" w:cs="仿宋"/>
          <w:color w:val="auto"/>
          <w:sz w:val="24"/>
          <w:highlight w:val="none"/>
        </w:rPr>
      </w:pPr>
    </w:p>
    <w:p>
      <w:pPr>
        <w:pStyle w:val="54"/>
        <w:snapToGrid w:val="0"/>
        <w:spacing w:line="360" w:lineRule="auto"/>
        <w:ind w:firstLine="480"/>
        <w:rPr>
          <w:rFonts w:ascii="宋体" w:hAnsi="宋体" w:cs="仿宋"/>
          <w:color w:val="auto"/>
          <w:sz w:val="24"/>
          <w:highlight w:val="none"/>
        </w:rPr>
      </w:pPr>
      <w:r>
        <w:rPr>
          <w:rFonts w:hint="eastAsia" w:ascii="宋体" w:hAnsi="宋体" w:cs="仿宋"/>
          <w:color w:val="auto"/>
          <w:sz w:val="24"/>
          <w:highlight w:val="none"/>
        </w:rPr>
        <w:t>我方于</w:t>
      </w:r>
      <w:r>
        <w:rPr>
          <w:rFonts w:hint="eastAsia" w:ascii="宋体" w:hAnsi="宋体" w:cs="仿宋"/>
          <w:color w:val="auto"/>
          <w:sz w:val="24"/>
          <w:highlight w:val="none"/>
          <w:u w:val="single"/>
        </w:rPr>
        <w:t>202*</w:t>
      </w:r>
      <w:r>
        <w:rPr>
          <w:rFonts w:hint="eastAsia" w:ascii="宋体" w:hAnsi="宋体" w:cs="仿宋"/>
          <w:color w:val="auto"/>
          <w:sz w:val="24"/>
          <w:highlight w:val="none"/>
        </w:rPr>
        <w:t>年</w:t>
      </w:r>
      <w:r>
        <w:rPr>
          <w:rFonts w:hint="eastAsia" w:ascii="宋体" w:hAnsi="宋体" w:cs="仿宋"/>
          <w:color w:val="auto"/>
          <w:sz w:val="24"/>
          <w:highlight w:val="none"/>
          <w:u w:val="single"/>
        </w:rPr>
        <w:t>0*</w:t>
      </w:r>
      <w:r>
        <w:rPr>
          <w:rFonts w:hint="eastAsia" w:ascii="宋体" w:hAnsi="宋体" w:cs="仿宋"/>
          <w:color w:val="auto"/>
          <w:sz w:val="24"/>
          <w:highlight w:val="none"/>
        </w:rPr>
        <w:t>月</w:t>
      </w:r>
      <w:r>
        <w:rPr>
          <w:rFonts w:hint="eastAsia" w:ascii="宋体" w:hAnsi="宋体" w:cs="仿宋"/>
          <w:color w:val="auto"/>
          <w:sz w:val="24"/>
          <w:highlight w:val="none"/>
          <w:u w:val="single"/>
        </w:rPr>
        <w:t>*</w:t>
      </w:r>
      <w:r>
        <w:rPr>
          <w:rFonts w:hint="eastAsia" w:ascii="宋体" w:hAnsi="宋体" w:cs="仿宋"/>
          <w:color w:val="auto"/>
          <w:sz w:val="24"/>
          <w:highlight w:val="none"/>
        </w:rPr>
        <w:t>日中标</w:t>
      </w:r>
      <w:r>
        <w:rPr>
          <w:rFonts w:hint="eastAsia" w:ascii="宋体" w:hAnsi="宋体" w:cs="仿宋"/>
          <w:color w:val="auto"/>
          <w:sz w:val="24"/>
          <w:highlight w:val="none"/>
          <w:u w:val="single"/>
        </w:rPr>
        <w:t>*项目全过程造价咨询服务</w:t>
      </w:r>
      <w:r>
        <w:rPr>
          <w:rFonts w:hint="eastAsia" w:ascii="宋体" w:hAnsi="宋体" w:cs="仿宋"/>
          <w:color w:val="auto"/>
          <w:sz w:val="24"/>
          <w:highlight w:val="none"/>
        </w:rPr>
        <w:t>，按照招标文件要求按规定金额提交一份己经认可的银行保函作履约担保。因我方无法开具无固定期限的银行保函，现开具有效期不低于</w:t>
      </w:r>
      <w:r>
        <w:rPr>
          <w:rFonts w:ascii="宋体" w:hAnsi="宋体" w:cs="仿宋"/>
          <w:color w:val="auto"/>
          <w:sz w:val="24"/>
          <w:highlight w:val="none"/>
          <w:u w:val="single"/>
        </w:rPr>
        <w:t>2</w:t>
      </w:r>
      <w:r>
        <w:rPr>
          <w:rFonts w:hint="eastAsia" w:ascii="宋体" w:hAnsi="宋体" w:cs="仿宋"/>
          <w:color w:val="auto"/>
          <w:sz w:val="24"/>
          <w:highlight w:val="none"/>
        </w:rPr>
        <w:t>年的固定期限银行保函；并承诺每当保函的有效期己满达</w:t>
      </w:r>
      <w:r>
        <w:rPr>
          <w:rFonts w:hint="eastAsia" w:ascii="宋体" w:hAnsi="宋体" w:cs="仿宋"/>
          <w:color w:val="auto"/>
          <w:sz w:val="24"/>
          <w:highlight w:val="none"/>
          <w:u w:val="single"/>
        </w:rPr>
        <w:t>2</w:t>
      </w:r>
      <w:r>
        <w:rPr>
          <w:rFonts w:hint="eastAsia" w:ascii="宋体" w:hAnsi="宋体" w:cs="仿宋"/>
          <w:color w:val="auto"/>
          <w:sz w:val="24"/>
          <w:highlight w:val="none"/>
        </w:rPr>
        <w:t>年但项目未完工或未完成竣工验收时，我方不挑剔、不争辩，也不要求你方出具证明或说明理由，主动办理新保函续保，且新保函有效期不低于</w:t>
      </w:r>
      <w:r>
        <w:rPr>
          <w:rFonts w:hint="eastAsia" w:ascii="宋体" w:hAnsi="宋体" w:cs="仿宋"/>
          <w:color w:val="auto"/>
          <w:sz w:val="24"/>
          <w:highlight w:val="none"/>
          <w:u w:val="single"/>
          <w:lang w:val="en-US" w:eastAsia="zh-CN"/>
        </w:rPr>
        <w:t>2</w:t>
      </w:r>
      <w:r>
        <w:rPr>
          <w:rFonts w:hint="eastAsia" w:ascii="宋体" w:hAnsi="宋体" w:cs="仿宋"/>
          <w:color w:val="auto"/>
          <w:sz w:val="24"/>
          <w:highlight w:val="none"/>
        </w:rPr>
        <w:t>年。</w:t>
      </w:r>
    </w:p>
    <w:p>
      <w:pPr>
        <w:spacing w:line="360" w:lineRule="auto"/>
        <w:jc w:val="left"/>
        <w:rPr>
          <w:rFonts w:ascii="宋体" w:hAnsi="宋体" w:cs="仿宋"/>
          <w:color w:val="auto"/>
          <w:spacing w:val="20"/>
          <w:sz w:val="28"/>
          <w:szCs w:val="28"/>
          <w:highlight w:val="none"/>
          <w:lang w:val="zh-CN" w:bidi="zh-CN"/>
        </w:rPr>
      </w:pPr>
    </w:p>
    <w:p>
      <w:pPr>
        <w:spacing w:line="360" w:lineRule="auto"/>
        <w:ind w:firstLine="640" w:firstLineChars="200"/>
        <w:jc w:val="left"/>
        <w:rPr>
          <w:rFonts w:ascii="宋体" w:hAnsi="宋体" w:cs="仿宋"/>
          <w:color w:val="auto"/>
          <w:spacing w:val="20"/>
          <w:sz w:val="28"/>
          <w:szCs w:val="28"/>
          <w:highlight w:val="none"/>
          <w:lang w:val="zh-CN" w:bidi="zh-CN"/>
        </w:rPr>
      </w:pPr>
    </w:p>
    <w:p>
      <w:pPr>
        <w:pStyle w:val="54"/>
        <w:snapToGrid w:val="0"/>
        <w:spacing w:line="360" w:lineRule="auto"/>
        <w:ind w:firstLine="480"/>
        <w:rPr>
          <w:rFonts w:ascii="宋体" w:hAnsi="宋体" w:cs="仿宋"/>
          <w:color w:val="auto"/>
          <w:sz w:val="24"/>
          <w:highlight w:val="none"/>
        </w:rPr>
      </w:pPr>
      <w:r>
        <w:rPr>
          <w:rFonts w:hint="eastAsia" w:ascii="宋体" w:hAnsi="宋体" w:cs="仿宋"/>
          <w:color w:val="auto"/>
          <w:sz w:val="24"/>
          <w:highlight w:val="none"/>
        </w:rPr>
        <w:t>单位名称：*公司</w:t>
      </w:r>
    </w:p>
    <w:p>
      <w:pPr>
        <w:pStyle w:val="54"/>
        <w:snapToGrid w:val="0"/>
        <w:spacing w:line="360" w:lineRule="auto"/>
        <w:ind w:firstLine="480"/>
        <w:rPr>
          <w:rFonts w:ascii="宋体" w:hAnsi="宋体" w:cs="仿宋"/>
          <w:color w:val="auto"/>
          <w:sz w:val="24"/>
          <w:highlight w:val="none"/>
        </w:rPr>
      </w:pPr>
      <w:r>
        <w:rPr>
          <w:rFonts w:hint="eastAsia" w:ascii="宋体" w:hAnsi="宋体" w:cs="仿宋"/>
          <w:color w:val="auto"/>
          <w:sz w:val="24"/>
          <w:highlight w:val="none"/>
        </w:rPr>
        <w:t>法定代表人：</w:t>
      </w:r>
    </w:p>
    <w:p>
      <w:pPr>
        <w:pStyle w:val="54"/>
        <w:snapToGrid w:val="0"/>
        <w:spacing w:line="360" w:lineRule="auto"/>
        <w:ind w:firstLine="480"/>
        <w:rPr>
          <w:rFonts w:ascii="宋体" w:hAnsi="宋体" w:cs="仿宋"/>
          <w:color w:val="auto"/>
          <w:sz w:val="24"/>
          <w:highlight w:val="none"/>
        </w:rPr>
      </w:pPr>
      <w:r>
        <w:rPr>
          <w:rFonts w:hint="eastAsia" w:ascii="宋体" w:hAnsi="宋体" w:cs="仿宋"/>
          <w:color w:val="auto"/>
          <w:sz w:val="24"/>
          <w:highlight w:val="none"/>
        </w:rPr>
        <w:t>联系电话：*</w:t>
      </w:r>
    </w:p>
    <w:p>
      <w:pPr>
        <w:pStyle w:val="54"/>
        <w:snapToGrid w:val="0"/>
        <w:spacing w:line="360" w:lineRule="auto"/>
        <w:ind w:firstLine="480"/>
        <w:rPr>
          <w:rFonts w:ascii="宋体" w:hAnsi="宋体" w:cs="仿宋"/>
          <w:color w:val="auto"/>
          <w:sz w:val="24"/>
          <w:highlight w:val="none"/>
        </w:rPr>
      </w:pPr>
      <w:r>
        <w:rPr>
          <w:rFonts w:hint="eastAsia" w:ascii="宋体" w:hAnsi="宋体" w:cs="仿宋"/>
          <w:color w:val="auto"/>
          <w:sz w:val="24"/>
          <w:highlight w:val="none"/>
        </w:rPr>
        <w:t>地址：*</w:t>
      </w:r>
    </w:p>
    <w:p>
      <w:pPr>
        <w:pStyle w:val="54"/>
        <w:snapToGrid w:val="0"/>
        <w:spacing w:line="360" w:lineRule="auto"/>
        <w:ind w:firstLine="480"/>
        <w:rPr>
          <w:rFonts w:ascii="宋体" w:hAnsi="宋体" w:cs="仿宋"/>
          <w:color w:val="auto"/>
          <w:sz w:val="24"/>
          <w:highlight w:val="none"/>
        </w:rPr>
      </w:pPr>
      <w:r>
        <w:rPr>
          <w:rFonts w:hint="eastAsia" w:ascii="宋体" w:hAnsi="宋体" w:cs="仿宋"/>
          <w:color w:val="auto"/>
          <w:sz w:val="24"/>
          <w:highlight w:val="none"/>
        </w:rPr>
        <w:t xml:space="preserve">日期：    </w:t>
      </w:r>
      <w:r>
        <w:rPr>
          <w:rFonts w:ascii="宋体" w:hAnsi="宋体" w:cs="仿宋"/>
          <w:color w:val="auto"/>
          <w:sz w:val="24"/>
          <w:highlight w:val="none"/>
        </w:rPr>
        <w:t>年</w:t>
      </w:r>
      <w:r>
        <w:rPr>
          <w:rFonts w:hint="eastAsia" w:ascii="宋体" w:hAnsi="宋体" w:cs="仿宋"/>
          <w:color w:val="auto"/>
          <w:sz w:val="24"/>
          <w:highlight w:val="none"/>
        </w:rPr>
        <w:t xml:space="preserve">   </w:t>
      </w:r>
      <w:r>
        <w:rPr>
          <w:rFonts w:ascii="宋体" w:hAnsi="宋体" w:cs="仿宋"/>
          <w:color w:val="auto"/>
          <w:sz w:val="24"/>
          <w:highlight w:val="none"/>
        </w:rPr>
        <w:t>月</w:t>
      </w:r>
      <w:r>
        <w:rPr>
          <w:rFonts w:hint="eastAsia" w:ascii="宋体" w:hAnsi="宋体" w:cs="仿宋"/>
          <w:color w:val="auto"/>
          <w:sz w:val="24"/>
          <w:highlight w:val="none"/>
        </w:rPr>
        <w:t xml:space="preserve">   </w:t>
      </w:r>
      <w:r>
        <w:rPr>
          <w:rFonts w:ascii="宋体" w:hAnsi="宋体" w:cs="仿宋"/>
          <w:color w:val="auto"/>
          <w:sz w:val="24"/>
          <w:highlight w:val="none"/>
        </w:rPr>
        <w:t>日</w:t>
      </w:r>
    </w:p>
    <w:p>
      <w:pPr>
        <w:pStyle w:val="54"/>
        <w:snapToGrid w:val="0"/>
        <w:spacing w:line="360" w:lineRule="auto"/>
        <w:ind w:left="493" w:firstLine="480"/>
        <w:rPr>
          <w:rFonts w:ascii="宋体" w:hAnsi="宋体" w:eastAsia="仿宋" w:cs="仿宋"/>
          <w:color w:val="auto"/>
          <w:sz w:val="24"/>
          <w:szCs w:val="28"/>
          <w:highlight w:val="none"/>
        </w:rPr>
        <w:sectPr>
          <w:headerReference r:id="rId5" w:type="default"/>
          <w:footerReference r:id="rId6" w:type="default"/>
          <w:pgSz w:w="11906" w:h="16838"/>
          <w:pgMar w:top="1531" w:right="1463" w:bottom="1531" w:left="1531" w:header="851" w:footer="992" w:gutter="0"/>
          <w:cols w:space="720" w:num="1"/>
          <w:docGrid w:linePitch="312" w:charSpace="0"/>
        </w:sectPr>
      </w:pPr>
    </w:p>
    <w:p>
      <w:pPr>
        <w:pStyle w:val="4"/>
        <w:spacing w:line="360" w:lineRule="auto"/>
        <w:jc w:val="both"/>
        <w:rPr>
          <w:rFonts w:ascii="黑体" w:hAnsi="黑体" w:eastAsia="黑体"/>
          <w:bCs w:val="0"/>
          <w:snapToGrid w:val="0"/>
          <w:color w:val="auto"/>
          <w:kern w:val="0"/>
          <w:sz w:val="32"/>
          <w:szCs w:val="32"/>
          <w:highlight w:val="none"/>
        </w:rPr>
      </w:pPr>
      <w:bookmarkStart w:id="21" w:name="_Toc8721565"/>
      <w:bookmarkStart w:id="22" w:name="_Toc845"/>
      <w:bookmarkStart w:id="23" w:name="_Toc10073"/>
      <w:bookmarkStart w:id="24" w:name="_Toc25555"/>
      <w:r>
        <w:rPr>
          <w:rFonts w:hint="eastAsia" w:ascii="黑体" w:hAnsi="黑体" w:eastAsia="黑体"/>
          <w:bCs w:val="0"/>
          <w:snapToGrid w:val="0"/>
          <w:color w:val="auto"/>
          <w:kern w:val="0"/>
          <w:sz w:val="32"/>
          <w:szCs w:val="32"/>
          <w:highlight w:val="none"/>
        </w:rPr>
        <w:t xml:space="preserve">附件4 </w:t>
      </w:r>
      <w:bookmarkStart w:id="25" w:name="_Hlk8720980"/>
      <w:r>
        <w:rPr>
          <w:rFonts w:hint="eastAsia" w:ascii="黑体" w:hAnsi="黑体" w:eastAsia="黑体"/>
          <w:bCs w:val="0"/>
          <w:snapToGrid w:val="0"/>
          <w:color w:val="auto"/>
          <w:kern w:val="0"/>
          <w:sz w:val="32"/>
          <w:szCs w:val="32"/>
          <w:highlight w:val="none"/>
        </w:rPr>
        <w:t>招标限价、</w:t>
      </w:r>
      <w:bookmarkEnd w:id="25"/>
      <w:r>
        <w:rPr>
          <w:rFonts w:hint="eastAsia" w:ascii="黑体" w:hAnsi="黑体" w:eastAsia="黑体"/>
          <w:bCs w:val="0"/>
          <w:snapToGrid w:val="0"/>
          <w:color w:val="auto"/>
          <w:kern w:val="0"/>
          <w:sz w:val="32"/>
          <w:szCs w:val="32"/>
          <w:highlight w:val="none"/>
        </w:rPr>
        <w:t>投标报价书及投标函</w:t>
      </w:r>
      <w:bookmarkEnd w:id="21"/>
      <w:bookmarkEnd w:id="22"/>
      <w:bookmarkEnd w:id="23"/>
      <w:bookmarkEnd w:id="24"/>
    </w:p>
    <w:p>
      <w:pPr>
        <w:jc w:val="center"/>
        <w:rPr>
          <w:color w:val="auto"/>
          <w:highlight w:val="none"/>
        </w:rPr>
      </w:pPr>
    </w:p>
    <w:p>
      <w:pPr>
        <w:rPr>
          <w:rFonts w:ascii="宋体" w:hAnsi="宋体"/>
          <w:bCs/>
          <w:snapToGrid w:val="0"/>
          <w:color w:val="auto"/>
          <w:kern w:val="0"/>
          <w:highlight w:val="none"/>
        </w:rPr>
      </w:pPr>
      <w:bookmarkStart w:id="26" w:name="_Toc27995"/>
      <w:bookmarkStart w:id="27" w:name="_Toc24722"/>
      <w:bookmarkStart w:id="28" w:name="_Toc11939"/>
      <w:r>
        <w:rPr>
          <w:rFonts w:hint="eastAsia" w:ascii="宋体" w:hAnsi="宋体"/>
          <w:bCs/>
          <w:snapToGrid w:val="0"/>
          <w:color w:val="auto"/>
          <w:kern w:val="0"/>
          <w:highlight w:val="none"/>
        </w:rPr>
        <w:br w:type="page"/>
      </w:r>
    </w:p>
    <w:p>
      <w:pPr>
        <w:pStyle w:val="4"/>
        <w:spacing w:line="360" w:lineRule="auto"/>
        <w:jc w:val="both"/>
        <w:rPr>
          <w:rFonts w:ascii="黑体" w:hAnsi="黑体" w:eastAsia="黑体"/>
          <w:bCs w:val="0"/>
          <w:snapToGrid w:val="0"/>
          <w:color w:val="auto"/>
          <w:kern w:val="0"/>
          <w:sz w:val="32"/>
          <w:szCs w:val="32"/>
          <w:highlight w:val="none"/>
        </w:rPr>
      </w:pPr>
      <w:r>
        <w:rPr>
          <w:color w:val="auto"/>
          <w:highlight w:val="none"/>
        </w:rPr>
        <w:fldChar w:fldCharType="begin"/>
      </w:r>
      <w:r>
        <w:rPr>
          <w:color w:val="auto"/>
          <w:highlight w:val="none"/>
        </w:rPr>
        <w:instrText xml:space="preserve"> HYPERLINK \l "_Toc31808" </w:instrText>
      </w:r>
      <w:r>
        <w:rPr>
          <w:color w:val="auto"/>
          <w:highlight w:val="none"/>
        </w:rPr>
        <w:fldChar w:fldCharType="separate"/>
      </w:r>
      <w:bookmarkStart w:id="29" w:name="_Toc8721566"/>
      <w:r>
        <w:rPr>
          <w:rFonts w:hint="eastAsia" w:ascii="黑体" w:hAnsi="黑体" w:eastAsia="黑体"/>
          <w:bCs w:val="0"/>
          <w:snapToGrid w:val="0"/>
          <w:color w:val="auto"/>
          <w:kern w:val="0"/>
          <w:sz w:val="32"/>
          <w:szCs w:val="32"/>
          <w:highlight w:val="none"/>
        </w:rPr>
        <w:t>附件5 招标答疑及澄清</w:t>
      </w:r>
      <w:bookmarkEnd w:id="29"/>
      <w:r>
        <w:rPr>
          <w:rFonts w:hint="eastAsia" w:ascii="黑体" w:hAnsi="黑体" w:eastAsia="黑体"/>
          <w:bCs w:val="0"/>
          <w:snapToGrid w:val="0"/>
          <w:color w:val="auto"/>
          <w:kern w:val="0"/>
          <w:sz w:val="32"/>
          <w:szCs w:val="32"/>
          <w:highlight w:val="none"/>
        </w:rPr>
        <w:fldChar w:fldCharType="end"/>
      </w:r>
      <w:bookmarkEnd w:id="26"/>
      <w:bookmarkEnd w:id="27"/>
      <w:bookmarkEnd w:id="28"/>
    </w:p>
    <w:p>
      <w:pPr>
        <w:pStyle w:val="2"/>
        <w:ind w:firstLine="0"/>
        <w:rPr>
          <w:color w:val="auto"/>
          <w:highlight w:val="none"/>
        </w:rPr>
      </w:pPr>
    </w:p>
    <w:p>
      <w:pPr>
        <w:spacing w:line="360" w:lineRule="auto"/>
        <w:jc w:val="left"/>
        <w:rPr>
          <w:rFonts w:ascii="宋体" w:hAnsi="宋体"/>
          <w:bCs/>
          <w:snapToGrid w:val="0"/>
          <w:color w:val="auto"/>
          <w:kern w:val="0"/>
          <w:sz w:val="24"/>
          <w:highlight w:val="none"/>
        </w:rPr>
      </w:pPr>
      <w:r>
        <w:rPr>
          <w:rFonts w:ascii="宋体" w:hAnsi="宋体"/>
          <w:color w:val="auto"/>
          <w:highlight w:val="none"/>
        </w:rPr>
        <w:br w:type="page"/>
      </w:r>
      <w:bookmarkStart w:id="30" w:name="_Toc7032"/>
      <w:bookmarkStart w:id="31" w:name="_Toc28178"/>
      <w:bookmarkStart w:id="32" w:name="_Toc30702"/>
    </w:p>
    <w:p>
      <w:pPr>
        <w:pStyle w:val="4"/>
        <w:spacing w:line="360" w:lineRule="auto"/>
        <w:jc w:val="both"/>
        <w:rPr>
          <w:rFonts w:ascii="黑体" w:hAnsi="黑体" w:eastAsia="黑体"/>
          <w:bCs w:val="0"/>
          <w:snapToGrid w:val="0"/>
          <w:color w:val="auto"/>
          <w:kern w:val="0"/>
          <w:sz w:val="32"/>
          <w:szCs w:val="32"/>
          <w:highlight w:val="none"/>
        </w:rPr>
      </w:pPr>
      <w:r>
        <w:rPr>
          <w:color w:val="auto"/>
          <w:highlight w:val="none"/>
        </w:rPr>
        <w:fldChar w:fldCharType="begin"/>
      </w:r>
      <w:r>
        <w:rPr>
          <w:color w:val="auto"/>
          <w:highlight w:val="none"/>
        </w:rPr>
        <w:instrText xml:space="preserve"> HYPERLINK \l "_Toc1593" </w:instrText>
      </w:r>
      <w:r>
        <w:rPr>
          <w:color w:val="auto"/>
          <w:highlight w:val="none"/>
        </w:rPr>
        <w:fldChar w:fldCharType="separate"/>
      </w:r>
      <w:bookmarkStart w:id="33" w:name="_Toc8721567"/>
      <w:r>
        <w:rPr>
          <w:rFonts w:hint="eastAsia" w:ascii="黑体" w:hAnsi="黑体" w:eastAsia="黑体"/>
          <w:bCs w:val="0"/>
          <w:snapToGrid w:val="0"/>
          <w:color w:val="auto"/>
          <w:kern w:val="0"/>
          <w:sz w:val="32"/>
          <w:szCs w:val="32"/>
          <w:highlight w:val="none"/>
        </w:rPr>
        <w:t>附件6 拟投入本项目造价人员一览表</w:t>
      </w:r>
      <w:r>
        <w:rPr>
          <w:rFonts w:hint="eastAsia" w:ascii="黑体" w:hAnsi="黑体" w:eastAsia="黑体"/>
          <w:bCs w:val="0"/>
          <w:snapToGrid w:val="0"/>
          <w:color w:val="auto"/>
          <w:kern w:val="0"/>
          <w:sz w:val="32"/>
          <w:szCs w:val="32"/>
          <w:highlight w:val="none"/>
        </w:rPr>
        <w:fldChar w:fldCharType="end"/>
      </w:r>
      <w:r>
        <w:rPr>
          <w:rFonts w:hint="eastAsia" w:ascii="黑体" w:hAnsi="黑体" w:eastAsia="黑体"/>
          <w:bCs w:val="0"/>
          <w:snapToGrid w:val="0"/>
          <w:color w:val="auto"/>
          <w:kern w:val="0"/>
          <w:sz w:val="32"/>
          <w:szCs w:val="32"/>
          <w:highlight w:val="none"/>
        </w:rPr>
        <w:t>及负责人资质证明</w:t>
      </w:r>
      <w:bookmarkEnd w:id="30"/>
      <w:bookmarkEnd w:id="31"/>
      <w:bookmarkEnd w:id="32"/>
      <w:bookmarkEnd w:id="33"/>
    </w:p>
    <w:p>
      <w:pPr>
        <w:widowControl/>
        <w:jc w:val="left"/>
        <w:rPr>
          <w:color w:val="auto"/>
          <w:highlight w:val="none"/>
        </w:rPr>
      </w:pPr>
    </w:p>
    <w:p>
      <w:pPr>
        <w:widowControl/>
        <w:jc w:val="left"/>
        <w:rPr>
          <w:color w:val="auto"/>
          <w:highlight w:val="none"/>
        </w:rPr>
      </w:pPr>
    </w:p>
    <w:p>
      <w:pPr>
        <w:rPr>
          <w:color w:val="auto"/>
          <w:highlight w:val="none"/>
        </w:rPr>
      </w:pPr>
    </w:p>
    <w:p>
      <w:pPr>
        <w:rPr>
          <w:color w:val="auto"/>
          <w:highlight w:val="none"/>
        </w:rPr>
      </w:pPr>
    </w:p>
    <w:p>
      <w:pPr>
        <w:widowControl/>
        <w:jc w:val="left"/>
        <w:rPr>
          <w:color w:val="auto"/>
          <w:highlight w:val="none"/>
        </w:rPr>
      </w:pPr>
    </w:p>
    <w:p>
      <w:pPr>
        <w:jc w:val="center"/>
        <w:rPr>
          <w:rFonts w:ascii="宋体" w:hAnsi="宋体"/>
          <w:color w:val="auto"/>
          <w:highlight w:val="none"/>
        </w:rPr>
      </w:pPr>
    </w:p>
    <w:p>
      <w:pPr>
        <w:widowControl/>
        <w:jc w:val="left"/>
        <w:rPr>
          <w:color w:val="auto"/>
          <w:highlight w:val="none"/>
        </w:rPr>
      </w:pPr>
    </w:p>
    <w:p>
      <w:pPr>
        <w:widowControl/>
        <w:jc w:val="left"/>
        <w:rPr>
          <w:color w:val="auto"/>
          <w:highlight w:val="none"/>
        </w:rPr>
      </w:pPr>
    </w:p>
    <w:p>
      <w:pPr>
        <w:pStyle w:val="17"/>
        <w:jc w:val="center"/>
        <w:rPr>
          <w:rFonts w:ascii="宋体" w:hAnsi="宋体"/>
          <w:color w:val="auto"/>
          <w:highlight w:val="none"/>
        </w:rPr>
      </w:pPr>
    </w:p>
    <w:p>
      <w:pPr>
        <w:jc w:val="center"/>
        <w:rPr>
          <w:rFonts w:ascii="宋体" w:hAnsi="宋体"/>
          <w:color w:val="auto"/>
          <w:highlight w:val="none"/>
        </w:rPr>
      </w:pPr>
    </w:p>
    <w:p>
      <w:pPr>
        <w:pStyle w:val="17"/>
        <w:jc w:val="center"/>
        <w:rPr>
          <w:rFonts w:ascii="宋体" w:hAnsi="宋体"/>
          <w:color w:val="auto"/>
          <w:highlight w:val="none"/>
        </w:rPr>
      </w:pPr>
    </w:p>
    <w:p>
      <w:pPr>
        <w:rPr>
          <w:rFonts w:ascii="宋体" w:hAnsi="宋体"/>
          <w:color w:val="auto"/>
          <w:highlight w:val="none"/>
        </w:rPr>
      </w:pPr>
    </w:p>
    <w:p>
      <w:pPr>
        <w:pStyle w:val="2"/>
        <w:ind w:firstLine="0"/>
        <w:jc w:val="center"/>
        <w:rPr>
          <w:color w:val="auto"/>
          <w:highlight w:val="none"/>
        </w:rPr>
      </w:pPr>
    </w:p>
    <w:p>
      <w:pPr>
        <w:pStyle w:val="2"/>
        <w:widowControl/>
        <w:ind w:firstLine="0"/>
        <w:jc w:val="center"/>
        <w:rPr>
          <w:color w:val="auto"/>
          <w:highlight w:val="none"/>
        </w:rPr>
      </w:pPr>
    </w:p>
    <w:p>
      <w:pPr>
        <w:rPr>
          <w:rFonts w:ascii="宋体" w:hAnsi="宋体"/>
          <w:snapToGrid w:val="0"/>
          <w:color w:val="auto"/>
          <w:kern w:val="0"/>
          <w:sz w:val="24"/>
          <w:highlight w:val="none"/>
        </w:rPr>
      </w:pPr>
    </w:p>
    <w:p>
      <w:pPr>
        <w:rPr>
          <w:rFonts w:ascii="宋体" w:hAnsi="宋体"/>
          <w:snapToGrid w:val="0"/>
          <w:color w:val="auto"/>
          <w:kern w:val="0"/>
          <w:sz w:val="24"/>
          <w:highlight w:val="none"/>
        </w:rPr>
      </w:pPr>
      <w:r>
        <w:rPr>
          <w:rFonts w:hint="eastAsia" w:ascii="宋体" w:hAnsi="宋体"/>
          <w:snapToGrid w:val="0"/>
          <w:color w:val="auto"/>
          <w:kern w:val="0"/>
          <w:sz w:val="24"/>
          <w:highlight w:val="none"/>
        </w:rPr>
        <w:br w:type="page"/>
      </w:r>
    </w:p>
    <w:p>
      <w:pPr>
        <w:pStyle w:val="4"/>
        <w:spacing w:line="360" w:lineRule="auto"/>
        <w:jc w:val="both"/>
        <w:rPr>
          <w:rFonts w:ascii="黑体" w:hAnsi="黑体" w:eastAsia="黑体"/>
          <w:bCs w:val="0"/>
          <w:snapToGrid w:val="0"/>
          <w:color w:val="auto"/>
          <w:kern w:val="0"/>
          <w:sz w:val="32"/>
          <w:szCs w:val="32"/>
          <w:highlight w:val="none"/>
        </w:rPr>
      </w:pPr>
      <w:r>
        <w:rPr>
          <w:rFonts w:hint="eastAsia" w:ascii="黑体" w:hAnsi="黑体" w:eastAsia="黑体"/>
          <w:bCs w:val="0"/>
          <w:snapToGrid w:val="0"/>
          <w:color w:val="auto"/>
          <w:kern w:val="0"/>
          <w:sz w:val="32"/>
          <w:szCs w:val="32"/>
          <w:highlight w:val="none"/>
        </w:rPr>
        <w:t>附件7</w:t>
      </w:r>
      <w:bookmarkStart w:id="34" w:name="_Hlk515232297"/>
      <w:r>
        <w:rPr>
          <w:rFonts w:hint="eastAsia" w:ascii="黑体" w:hAnsi="黑体" w:eastAsia="黑体"/>
          <w:bCs w:val="0"/>
          <w:snapToGrid w:val="0"/>
          <w:color w:val="auto"/>
          <w:kern w:val="0"/>
          <w:sz w:val="32"/>
          <w:szCs w:val="32"/>
          <w:highlight w:val="none"/>
        </w:rPr>
        <w:t xml:space="preserve"> 备案证</w:t>
      </w:r>
    </w:p>
    <w:p>
      <w:pPr>
        <w:pStyle w:val="2"/>
        <w:ind w:firstLine="0"/>
        <w:rPr>
          <w:color w:val="auto"/>
          <w:highlight w:val="none"/>
        </w:rPr>
      </w:pPr>
    </w:p>
    <w:bookmarkEnd w:id="34"/>
    <w:p>
      <w:pPr>
        <w:pStyle w:val="23"/>
        <w:rPr>
          <w:rFonts w:eastAsiaTheme="minorEastAsia"/>
          <w:highlight w:val="none"/>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Microsoft YaHei UI">
    <w:panose1 w:val="020B0503020204020204"/>
    <w:charset w:val="86"/>
    <w:family w:val="swiss"/>
    <w:pitch w:val="default"/>
    <w:sig w:usb0="80000287" w:usb1="28CF3C50" w:usb2="00000016" w:usb3="00000000" w:csb0="0004001F" w:csb1="00000000"/>
  </w:font>
  <w:font w:name="CG Times (W1)">
    <w:altName w:val="Times New Roman"/>
    <w:panose1 w:val="00000000000000000000"/>
    <w:charset w:val="00"/>
    <w:family w:val="roman"/>
    <w:pitch w:val="default"/>
    <w:sig w:usb0="00000000" w:usb1="00000000" w:usb2="00000000" w:usb3="00000000" w:csb0="00000001" w:csb1="00000000"/>
  </w:font>
  <w:font w:name="Calisto MT">
    <w:altName w:val="Segoe Print"/>
    <w:panose1 w:val="02040603050505030304"/>
    <w:charset w:val="00"/>
    <w:family w:val="roman"/>
    <w:pitch w:val="default"/>
    <w:sig w:usb0="00000000" w:usb1="00000000" w:usb2="00000000" w:usb3="00000000" w:csb0="20000001" w:csb1="00000000"/>
  </w:font>
  <w:font w:name="PMingLiU">
    <w:altName w:val="PMingLiU-ExtB"/>
    <w:panose1 w:val="02020500000000000000"/>
    <w:charset w:val="88"/>
    <w:family w:val="auto"/>
    <w:pitch w:val="default"/>
    <w:sig w:usb0="00000000" w:usb1="00000000" w:usb2="00000016" w:usb3="00000000" w:csb0="00100001" w:csb1="00000000"/>
  </w:font>
  <w:font w:name="2">
    <w:altName w:val="Times New Roman"/>
    <w:panose1 w:val="00000000000000000000"/>
    <w:charset w:val="00"/>
    <w:family w:val="roman"/>
    <w:pitch w:val="default"/>
    <w:sig w:usb0="00000000" w:usb1="00000000" w:usb2="00000804" w:usb3="00000000" w:csb0="00000000" w:csb1="0062EF54"/>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posOffset>2804160</wp:posOffset>
              </wp:positionH>
              <wp:positionV relativeFrom="paragraph">
                <wp:posOffset>-1905</wp:posOffset>
              </wp:positionV>
              <wp:extent cx="247650" cy="131445"/>
              <wp:effectExtent l="0" t="0" r="0" b="1905"/>
              <wp:wrapNone/>
              <wp:docPr id="150" name="文本框 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wps:spPr>
                    <wps:txbx>
                      <w:txbxContent>
                        <w:p>
                          <w:pPr>
                            <w:pStyle w:val="29"/>
                            <w:jc w:val="center"/>
                          </w:pPr>
                          <w:r>
                            <w:fldChar w:fldCharType="begin"/>
                          </w:r>
                          <w:r>
                            <w:instrText xml:space="preserve">PAGE   \* MERGEFORMAT</w:instrText>
                          </w:r>
                          <w:r>
                            <w:fldChar w:fldCharType="separate"/>
                          </w:r>
                          <w:r>
                            <w:rPr>
                              <w:lang w:val="zh-CN"/>
                            </w:rPr>
                            <w:t>1</w:t>
                          </w:r>
                          <w:r>
                            <w:rPr>
                              <w:lang w:val="zh-CN"/>
                            </w:rPr>
                            <w:fldChar w:fldCharType="end"/>
                          </w:r>
                        </w:p>
                      </w:txbxContent>
                    </wps:txbx>
                    <wps:bodyPr lIns="0" tIns="0" rIns="0" bIns="0" upright="1">
                      <a:spAutoFit/>
                    </wps:bodyPr>
                  </wps:wsp>
                </a:graphicData>
              </a:graphic>
            </wp:anchor>
          </w:drawing>
        </mc:Choice>
        <mc:Fallback>
          <w:pict>
            <v:shape id="文本框 2" o:spid="_x0000_s1026" o:spt="202" type="#_x0000_t202" style="position:absolute;left:0pt;margin-left:220.8pt;margin-top:-0.15pt;height:10.35pt;width:19.5pt;mso-position-horizontal-relative:margin;z-index:251659264;mso-width-relative:page;mso-height-relative:page;" filled="f" stroked="f" coordsize="21600,21600" o:gfxdata="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DahPzVAAAACAEAAA8AAAAAAAAAAQAgAAAAIgAAAGRycy9kb3ducmV2&#10;LnhtbFBLAQIUABQAAAAIAIdO4kDwEE0OxgEAAI0DAAAOAAAAAAAAAAEAIAAAACQBAABkcnMvZTJv&#10;RG9jLnhtbFBLBQYAAAAABgAGAFkBAABcBQAAAAA=&#10;">
              <v:fill on="f" focussize="0,0"/>
              <v:stroke on="f"/>
              <v:imagedata o:title=""/>
              <o:lock v:ext="edit" aspectratio="f"/>
              <v:textbox inset="0mm,0mm,0mm,0mm" style="mso-fit-shape-to-text:t;">
                <w:txbxContent>
                  <w:p>
                    <w:pPr>
                      <w:pStyle w:val="29"/>
                      <w:jc w:val="center"/>
                    </w:pPr>
                    <w:r>
                      <w:fldChar w:fldCharType="begin"/>
                    </w:r>
                    <w:r>
                      <w:instrText xml:space="preserve">PAGE   \* MERGEFORMAT</w:instrText>
                    </w:r>
                    <w:r>
                      <w:fldChar w:fldCharType="separate"/>
                    </w:r>
                    <w:r>
                      <w:rPr>
                        <w:lang w:val="zh-CN"/>
                      </w:rPr>
                      <w:t>1</w:t>
                    </w:r>
                    <w:r>
                      <w:rPr>
                        <w:lang w:val="zh-CN"/>
                      </w:rPr>
                      <w:fldChar w:fldCharType="end"/>
                    </w:r>
                  </w:p>
                </w:txbxContent>
              </v:textbox>
            </v:shape>
          </w:pict>
        </mc:Fallback>
      </mc:AlternateContent>
    </w:r>
  </w:p>
  <w:p>
    <w:pPr>
      <w:pStyle w:val="29"/>
      <w:jc w:val="both"/>
      <w:rPr>
        <w:rStyle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-1905</wp:posOffset>
              </wp:positionV>
              <wp:extent cx="114935" cy="131445"/>
              <wp:effectExtent l="0" t="0" r="18415" b="1905"/>
              <wp:wrapNone/>
              <wp:docPr id="151"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29"/>
                            <w:jc w:val="center"/>
                          </w:pPr>
                          <w:r>
                            <w:fldChar w:fldCharType="begin"/>
                          </w:r>
                          <w:r>
                            <w:instrText xml:space="preserve">PAGE   \* MERGEFORMAT</w:instrText>
                          </w:r>
                          <w:r>
                            <w:fldChar w:fldCharType="separate"/>
                          </w:r>
                          <w:r>
                            <w:rPr>
                              <w:lang w:val="zh-CN"/>
                            </w:rPr>
                            <w:t>17</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15pt;height:10.35pt;width:9.05pt;mso-position-horizontal:center;mso-position-horizontal-relative:margin;mso-wrap-style:none;z-index:251660288;mso-width-relative:page;mso-height-relative:page;" filled="f" stroked="f" coordsize="21600,21600" o:gfxdata="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0yVtEAAAAEAQAADwAAAAAAAAABACAAAAAiAAAAZHJzL2Rv&#10;d25yZXYueG1sUEsBAhQAFAAAAAgAh07iQGQq7fnPAQAAmQMAAA4AAAAAAAAAAQAgAAAAIAEAAGRy&#10;cy9lMm9Eb2MueG1sUEsFBgAAAAAGAAYAWQEAAGEFAAAAAA==&#10;">
              <v:fill on="f" focussize="0,0"/>
              <v:stroke on="f"/>
              <v:imagedata o:title=""/>
              <o:lock v:ext="edit" aspectratio="f"/>
              <v:textbox inset="0mm,0mm,0mm,0mm" style="mso-fit-shape-to-text:t;">
                <w:txbxContent>
                  <w:p>
                    <w:pPr>
                      <w:pStyle w:val="29"/>
                      <w:jc w:val="center"/>
                    </w:pPr>
                    <w:r>
                      <w:fldChar w:fldCharType="begin"/>
                    </w:r>
                    <w:r>
                      <w:instrText xml:space="preserve">PAGE   \* MERGEFORMAT</w:instrText>
                    </w:r>
                    <w:r>
                      <w:fldChar w:fldCharType="separate"/>
                    </w:r>
                    <w:r>
                      <w:rPr>
                        <w:lang w:val="zh-CN"/>
                      </w:rPr>
                      <w:t>17</w:t>
                    </w:r>
                    <w:r>
                      <w:rPr>
                        <w:lang w:val="zh-CN"/>
                      </w:rPr>
                      <w:fldChar w:fldCharType="end"/>
                    </w:r>
                  </w:p>
                </w:txbxContent>
              </v:textbox>
            </v:shape>
          </w:pict>
        </mc:Fallback>
      </mc:AlternateContent>
    </w:r>
  </w:p>
  <w:p>
    <w:pPr>
      <w:pStyle w:val="29"/>
      <w:jc w:val="both"/>
      <w:rPr>
        <w:rStyle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1312" behindDoc="0" locked="0" layoutInCell="1" allowOverlap="1">
              <wp:simplePos x="0" y="0"/>
              <wp:positionH relativeFrom="margin">
                <wp:posOffset>2804160</wp:posOffset>
              </wp:positionH>
              <wp:positionV relativeFrom="paragraph">
                <wp:posOffset>-1905</wp:posOffset>
              </wp:positionV>
              <wp:extent cx="247650" cy="131445"/>
              <wp:effectExtent l="0" t="0" r="0" b="1905"/>
              <wp:wrapNone/>
              <wp:docPr id="154" name="文本框 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wps:spPr>
                    <wps:txbx>
                      <w:txbxContent>
                        <w:p>
                          <w:pPr>
                            <w:pStyle w:val="29"/>
                            <w:jc w:val="center"/>
                          </w:pPr>
                          <w:r>
                            <w:fldChar w:fldCharType="begin"/>
                          </w:r>
                          <w:r>
                            <w:instrText xml:space="preserve">PAGE   \* MERGEFORMAT</w:instrText>
                          </w:r>
                          <w:r>
                            <w:fldChar w:fldCharType="separate"/>
                          </w:r>
                          <w:r>
                            <w:rPr>
                              <w:lang w:val="zh-CN"/>
                            </w:rPr>
                            <w:t>23</w:t>
                          </w:r>
                          <w:r>
                            <w:rPr>
                              <w:lang w:val="zh-CN"/>
                            </w:rPr>
                            <w:fldChar w:fldCharType="end"/>
                          </w:r>
                        </w:p>
                      </w:txbxContent>
                    </wps:txbx>
                    <wps:bodyPr lIns="0" tIns="0" rIns="0" bIns="0" upright="1">
                      <a:spAutoFit/>
                    </wps:bodyPr>
                  </wps:wsp>
                </a:graphicData>
              </a:graphic>
            </wp:anchor>
          </w:drawing>
        </mc:Choice>
        <mc:Fallback>
          <w:pict>
            <v:shape id="文本框 2" o:spid="_x0000_s1026" o:spt="202" type="#_x0000_t202" style="position:absolute;left:0pt;margin-left:220.8pt;margin-top:-0.15pt;height:10.35pt;width:19.5pt;mso-position-horizontal-relative:margin;z-index:251661312;mso-width-relative:page;mso-height-relative:page;" filled="f" stroked="f" coordsize="21600,21600" o:gfxdata="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g2oT81QAAAAgBAAAPAAAAAAAAAAEAIAAAACIAAABkcnMvZG93bnJl&#10;di54bWxQSwECFAAUAAAACACHTuJAgX2njMcBAACNAwAADgAAAAAAAAABACAAAAAkAQAAZHJzL2Uy&#10;b0RvYy54bWxQSwUGAAAAAAYABgBZAQAAXQUAAAAA&#10;">
              <v:fill on="f" focussize="0,0"/>
              <v:stroke on="f"/>
              <v:imagedata o:title=""/>
              <o:lock v:ext="edit" aspectratio="f"/>
              <v:textbox inset="0mm,0mm,0mm,0mm" style="mso-fit-shape-to-text:t;">
                <w:txbxContent>
                  <w:p>
                    <w:pPr>
                      <w:pStyle w:val="29"/>
                      <w:jc w:val="center"/>
                    </w:pPr>
                    <w:r>
                      <w:fldChar w:fldCharType="begin"/>
                    </w:r>
                    <w:r>
                      <w:instrText xml:space="preserve">PAGE   \* MERGEFORMAT</w:instrText>
                    </w:r>
                    <w:r>
                      <w:fldChar w:fldCharType="separate"/>
                    </w:r>
                    <w:r>
                      <w:rPr>
                        <w:lang w:val="zh-CN"/>
                      </w:rPr>
                      <w:t>23</w:t>
                    </w:r>
                    <w:r>
                      <w:rPr>
                        <w:lang w:val="zh-CN"/>
                      </w:rPr>
                      <w:fldChar w:fldCharType="end"/>
                    </w:r>
                  </w:p>
                </w:txbxContent>
              </v:textbox>
            </v:shape>
          </w:pict>
        </mc:Fallback>
      </mc:AlternateContent>
    </w:r>
  </w:p>
  <w:p>
    <w:pPr>
      <w:pStyle w:val="29"/>
      <w:jc w:val="both"/>
      <w:rPr>
        <w:rStyle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64DB9"/>
    <w:multiLevelType w:val="singleLevel"/>
    <w:tmpl w:val="9A464DB9"/>
    <w:lvl w:ilvl="0" w:tentative="0">
      <w:start w:val="1"/>
      <w:numFmt w:val="chineseCounting"/>
      <w:suff w:val="nothing"/>
      <w:lvlText w:val="（%1）"/>
      <w:lvlJc w:val="left"/>
      <w:rPr>
        <w:rFonts w:hint="eastAsia"/>
      </w:rPr>
    </w:lvl>
  </w:abstractNum>
  <w:abstractNum w:abstractNumId="1">
    <w:nsid w:val="352BED88"/>
    <w:multiLevelType w:val="singleLevel"/>
    <w:tmpl w:val="352BED88"/>
    <w:lvl w:ilvl="0" w:tentative="0">
      <w:start w:val="5"/>
      <w:numFmt w:val="chineseCounting"/>
      <w:suff w:val="nothing"/>
      <w:lvlText w:val="（%1）"/>
      <w:lvlJc w:val="left"/>
      <w:rPr>
        <w:rFonts w:hint="eastAsia"/>
      </w:rPr>
    </w:lvl>
  </w:abstractNum>
  <w:abstractNum w:abstractNumId="2">
    <w:nsid w:val="514346EB"/>
    <w:multiLevelType w:val="multilevel"/>
    <w:tmpl w:val="514346EB"/>
    <w:lvl w:ilvl="0" w:tentative="0">
      <w:start w:val="6"/>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614CF6D"/>
    <w:multiLevelType w:val="singleLevel"/>
    <w:tmpl w:val="5614CF6D"/>
    <w:lvl w:ilvl="0" w:tentative="0">
      <w:start w:val="1"/>
      <w:numFmt w:val="decimal"/>
      <w:lvlText w:val="%1."/>
      <w:lvlJc w:val="left"/>
      <w:pPr>
        <w:tabs>
          <w:tab w:val="left" w:pos="312"/>
        </w:tabs>
      </w:pPr>
    </w:lvl>
  </w:abstractNum>
  <w:abstractNum w:abstractNumId="4">
    <w:nsid w:val="70CE6A0A"/>
    <w:multiLevelType w:val="multilevel"/>
    <w:tmpl w:val="70CE6A0A"/>
    <w:lvl w:ilvl="0" w:tentative="0">
      <w:start w:val="1"/>
      <w:numFmt w:val="japaneseCounting"/>
      <w:lvlText w:val="第%1条"/>
      <w:lvlJc w:val="left"/>
      <w:pPr>
        <w:tabs>
          <w:tab w:val="left" w:pos="1680"/>
        </w:tabs>
        <w:ind w:left="1680" w:hanging="12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71714A77"/>
    <w:multiLevelType w:val="multilevel"/>
    <w:tmpl w:val="71714A77"/>
    <w:lvl w:ilvl="0" w:tentative="0">
      <w:start w:val="1"/>
      <w:numFmt w:val="bullet"/>
      <w:pStyle w:val="20"/>
      <w:lvlText w:val="□"/>
      <w:lvlJc w:val="left"/>
      <w:pPr>
        <w:ind w:left="786" w:hanging="360"/>
      </w:pPr>
      <w:rPr>
        <w:rFonts w:hint="eastAsia" w:ascii="宋体" w:hAnsi="宋体" w:eastAsia="宋体" w:cs="Times New Roman"/>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YWNlOTlhNjM2YzhhZWMzYjYwOTg3OTU1ZmQwYzYifQ=="/>
  </w:docVars>
  <w:rsids>
    <w:rsidRoot w:val="505B6A39"/>
    <w:rsid w:val="000015E7"/>
    <w:rsid w:val="00005CB1"/>
    <w:rsid w:val="0003203C"/>
    <w:rsid w:val="000338A3"/>
    <w:rsid w:val="0006208C"/>
    <w:rsid w:val="00073499"/>
    <w:rsid w:val="00074830"/>
    <w:rsid w:val="00093DE3"/>
    <w:rsid w:val="000979E6"/>
    <w:rsid w:val="000B4E17"/>
    <w:rsid w:val="000C4571"/>
    <w:rsid w:val="000D5787"/>
    <w:rsid w:val="000E72E9"/>
    <w:rsid w:val="000F3EF8"/>
    <w:rsid w:val="00100F9A"/>
    <w:rsid w:val="00124348"/>
    <w:rsid w:val="00144160"/>
    <w:rsid w:val="001623DA"/>
    <w:rsid w:val="00172E91"/>
    <w:rsid w:val="00185FEE"/>
    <w:rsid w:val="00191F64"/>
    <w:rsid w:val="00193476"/>
    <w:rsid w:val="001A2473"/>
    <w:rsid w:val="001C2E2F"/>
    <w:rsid w:val="001C3038"/>
    <w:rsid w:val="001E203C"/>
    <w:rsid w:val="001F2284"/>
    <w:rsid w:val="001F650A"/>
    <w:rsid w:val="00204964"/>
    <w:rsid w:val="0020519A"/>
    <w:rsid w:val="002056D2"/>
    <w:rsid w:val="00217B86"/>
    <w:rsid w:val="0022579B"/>
    <w:rsid w:val="002309B0"/>
    <w:rsid w:val="0024598E"/>
    <w:rsid w:val="00261FB9"/>
    <w:rsid w:val="00267059"/>
    <w:rsid w:val="00271B19"/>
    <w:rsid w:val="0028709B"/>
    <w:rsid w:val="002900B9"/>
    <w:rsid w:val="002A2C7F"/>
    <w:rsid w:val="002C063F"/>
    <w:rsid w:val="002C0E43"/>
    <w:rsid w:val="002C5D5E"/>
    <w:rsid w:val="002C6EE2"/>
    <w:rsid w:val="002D65B0"/>
    <w:rsid w:val="002E12D7"/>
    <w:rsid w:val="002F0763"/>
    <w:rsid w:val="002F1FD2"/>
    <w:rsid w:val="002F42DC"/>
    <w:rsid w:val="002F5CB1"/>
    <w:rsid w:val="003035D6"/>
    <w:rsid w:val="00315CDC"/>
    <w:rsid w:val="0031679F"/>
    <w:rsid w:val="0032334B"/>
    <w:rsid w:val="003463F0"/>
    <w:rsid w:val="00361A4D"/>
    <w:rsid w:val="00365EE4"/>
    <w:rsid w:val="00382942"/>
    <w:rsid w:val="003937D6"/>
    <w:rsid w:val="003951B9"/>
    <w:rsid w:val="003A4CBD"/>
    <w:rsid w:val="003A65C9"/>
    <w:rsid w:val="003A73D5"/>
    <w:rsid w:val="003A789A"/>
    <w:rsid w:val="003B1FFC"/>
    <w:rsid w:val="003C3FD7"/>
    <w:rsid w:val="003C423C"/>
    <w:rsid w:val="003C685B"/>
    <w:rsid w:val="003F4482"/>
    <w:rsid w:val="0040376A"/>
    <w:rsid w:val="0040517E"/>
    <w:rsid w:val="00405861"/>
    <w:rsid w:val="00411265"/>
    <w:rsid w:val="004163A5"/>
    <w:rsid w:val="004215FF"/>
    <w:rsid w:val="00424ACF"/>
    <w:rsid w:val="00424C3D"/>
    <w:rsid w:val="004316C2"/>
    <w:rsid w:val="00437FAC"/>
    <w:rsid w:val="00442CD1"/>
    <w:rsid w:val="0044554D"/>
    <w:rsid w:val="00464CC7"/>
    <w:rsid w:val="0046783D"/>
    <w:rsid w:val="004734AA"/>
    <w:rsid w:val="0047724E"/>
    <w:rsid w:val="00490E34"/>
    <w:rsid w:val="0049492A"/>
    <w:rsid w:val="004A1F53"/>
    <w:rsid w:val="004B2D86"/>
    <w:rsid w:val="004B57C7"/>
    <w:rsid w:val="004D7FBC"/>
    <w:rsid w:val="004E0727"/>
    <w:rsid w:val="005722CA"/>
    <w:rsid w:val="0057578C"/>
    <w:rsid w:val="0057643A"/>
    <w:rsid w:val="00590B4F"/>
    <w:rsid w:val="00596A3E"/>
    <w:rsid w:val="005C0AE7"/>
    <w:rsid w:val="005C3EE1"/>
    <w:rsid w:val="005C63AB"/>
    <w:rsid w:val="005D46AF"/>
    <w:rsid w:val="005E28C3"/>
    <w:rsid w:val="005F1880"/>
    <w:rsid w:val="005F2A59"/>
    <w:rsid w:val="00622114"/>
    <w:rsid w:val="00641A5B"/>
    <w:rsid w:val="006424B8"/>
    <w:rsid w:val="0064702E"/>
    <w:rsid w:val="00650549"/>
    <w:rsid w:val="00651ED8"/>
    <w:rsid w:val="00671D54"/>
    <w:rsid w:val="006724BB"/>
    <w:rsid w:val="00676487"/>
    <w:rsid w:val="0068650B"/>
    <w:rsid w:val="006871A1"/>
    <w:rsid w:val="006922D5"/>
    <w:rsid w:val="006B031A"/>
    <w:rsid w:val="006C0087"/>
    <w:rsid w:val="006C1D5E"/>
    <w:rsid w:val="006C471A"/>
    <w:rsid w:val="006D0CA8"/>
    <w:rsid w:val="006D1AFD"/>
    <w:rsid w:val="006D4E23"/>
    <w:rsid w:val="006D5329"/>
    <w:rsid w:val="006D76D2"/>
    <w:rsid w:val="006E485C"/>
    <w:rsid w:val="006E49F1"/>
    <w:rsid w:val="006F04DB"/>
    <w:rsid w:val="006F3881"/>
    <w:rsid w:val="00702678"/>
    <w:rsid w:val="00702ECE"/>
    <w:rsid w:val="00711B79"/>
    <w:rsid w:val="007356EC"/>
    <w:rsid w:val="00737705"/>
    <w:rsid w:val="00757F7E"/>
    <w:rsid w:val="00782775"/>
    <w:rsid w:val="00796B80"/>
    <w:rsid w:val="007A4446"/>
    <w:rsid w:val="007B7CF5"/>
    <w:rsid w:val="007C15E4"/>
    <w:rsid w:val="007C24B7"/>
    <w:rsid w:val="007D1307"/>
    <w:rsid w:val="007E33BA"/>
    <w:rsid w:val="007F3C7A"/>
    <w:rsid w:val="00802920"/>
    <w:rsid w:val="008077E3"/>
    <w:rsid w:val="00821D3A"/>
    <w:rsid w:val="0083249C"/>
    <w:rsid w:val="008552DF"/>
    <w:rsid w:val="008661B4"/>
    <w:rsid w:val="00871139"/>
    <w:rsid w:val="0088655B"/>
    <w:rsid w:val="00890103"/>
    <w:rsid w:val="008B02B3"/>
    <w:rsid w:val="008B1459"/>
    <w:rsid w:val="008B1F74"/>
    <w:rsid w:val="008B3944"/>
    <w:rsid w:val="008D58FB"/>
    <w:rsid w:val="008D5A27"/>
    <w:rsid w:val="008F0C4B"/>
    <w:rsid w:val="008F381F"/>
    <w:rsid w:val="0090026A"/>
    <w:rsid w:val="009078E5"/>
    <w:rsid w:val="00914321"/>
    <w:rsid w:val="00930277"/>
    <w:rsid w:val="0094013B"/>
    <w:rsid w:val="00956AC8"/>
    <w:rsid w:val="009663E6"/>
    <w:rsid w:val="009706E5"/>
    <w:rsid w:val="009776BC"/>
    <w:rsid w:val="00995912"/>
    <w:rsid w:val="009A2270"/>
    <w:rsid w:val="009B01C1"/>
    <w:rsid w:val="009D2D9E"/>
    <w:rsid w:val="009E0674"/>
    <w:rsid w:val="009E50F0"/>
    <w:rsid w:val="009E565A"/>
    <w:rsid w:val="009F2906"/>
    <w:rsid w:val="009F48B8"/>
    <w:rsid w:val="009F6775"/>
    <w:rsid w:val="00A2371A"/>
    <w:rsid w:val="00A2561B"/>
    <w:rsid w:val="00A4600E"/>
    <w:rsid w:val="00A53739"/>
    <w:rsid w:val="00A5468C"/>
    <w:rsid w:val="00A61E8B"/>
    <w:rsid w:val="00A730DD"/>
    <w:rsid w:val="00A747AB"/>
    <w:rsid w:val="00A82012"/>
    <w:rsid w:val="00A909FA"/>
    <w:rsid w:val="00A95252"/>
    <w:rsid w:val="00AB3E0D"/>
    <w:rsid w:val="00AD1554"/>
    <w:rsid w:val="00AD5EDB"/>
    <w:rsid w:val="00AE019C"/>
    <w:rsid w:val="00AE01BF"/>
    <w:rsid w:val="00AE1255"/>
    <w:rsid w:val="00AF6ABA"/>
    <w:rsid w:val="00B004F2"/>
    <w:rsid w:val="00B02C7C"/>
    <w:rsid w:val="00B16B1C"/>
    <w:rsid w:val="00B20D28"/>
    <w:rsid w:val="00B42B78"/>
    <w:rsid w:val="00B54A62"/>
    <w:rsid w:val="00B8585D"/>
    <w:rsid w:val="00BB13AE"/>
    <w:rsid w:val="00BB20DB"/>
    <w:rsid w:val="00BC0018"/>
    <w:rsid w:val="00BC5111"/>
    <w:rsid w:val="00BC74E7"/>
    <w:rsid w:val="00BD6053"/>
    <w:rsid w:val="00BD76C7"/>
    <w:rsid w:val="00BE6882"/>
    <w:rsid w:val="00BF076B"/>
    <w:rsid w:val="00BF29AF"/>
    <w:rsid w:val="00C1665F"/>
    <w:rsid w:val="00C23CC7"/>
    <w:rsid w:val="00C25AAC"/>
    <w:rsid w:val="00C359F6"/>
    <w:rsid w:val="00C41F8E"/>
    <w:rsid w:val="00C45C4C"/>
    <w:rsid w:val="00C5001F"/>
    <w:rsid w:val="00C52873"/>
    <w:rsid w:val="00C56C99"/>
    <w:rsid w:val="00C579EF"/>
    <w:rsid w:val="00C610B3"/>
    <w:rsid w:val="00C61277"/>
    <w:rsid w:val="00C64B87"/>
    <w:rsid w:val="00C7155B"/>
    <w:rsid w:val="00C71BFE"/>
    <w:rsid w:val="00C816C6"/>
    <w:rsid w:val="00C83B23"/>
    <w:rsid w:val="00CA4AE3"/>
    <w:rsid w:val="00CA6423"/>
    <w:rsid w:val="00CB7922"/>
    <w:rsid w:val="00CC3A44"/>
    <w:rsid w:val="00CC3A87"/>
    <w:rsid w:val="00CD04FE"/>
    <w:rsid w:val="00CD19D9"/>
    <w:rsid w:val="00CD32D6"/>
    <w:rsid w:val="00CD57D3"/>
    <w:rsid w:val="00CE1B00"/>
    <w:rsid w:val="00CE26C6"/>
    <w:rsid w:val="00CE5E82"/>
    <w:rsid w:val="00D04231"/>
    <w:rsid w:val="00D052D8"/>
    <w:rsid w:val="00D137C6"/>
    <w:rsid w:val="00D13A7E"/>
    <w:rsid w:val="00D20955"/>
    <w:rsid w:val="00D354CC"/>
    <w:rsid w:val="00D559CA"/>
    <w:rsid w:val="00D64AC7"/>
    <w:rsid w:val="00D718E3"/>
    <w:rsid w:val="00D75A6A"/>
    <w:rsid w:val="00D76299"/>
    <w:rsid w:val="00D76FF2"/>
    <w:rsid w:val="00D83658"/>
    <w:rsid w:val="00D92494"/>
    <w:rsid w:val="00DA0703"/>
    <w:rsid w:val="00DA28B1"/>
    <w:rsid w:val="00DA4EEB"/>
    <w:rsid w:val="00DB4471"/>
    <w:rsid w:val="00DB4C23"/>
    <w:rsid w:val="00DE2B93"/>
    <w:rsid w:val="00DE4F40"/>
    <w:rsid w:val="00E0324A"/>
    <w:rsid w:val="00E03503"/>
    <w:rsid w:val="00E062DA"/>
    <w:rsid w:val="00E13A58"/>
    <w:rsid w:val="00E42FF7"/>
    <w:rsid w:val="00E46C9F"/>
    <w:rsid w:val="00E56E90"/>
    <w:rsid w:val="00E6353A"/>
    <w:rsid w:val="00E66974"/>
    <w:rsid w:val="00E670D2"/>
    <w:rsid w:val="00E714A5"/>
    <w:rsid w:val="00EA30D9"/>
    <w:rsid w:val="00EA376D"/>
    <w:rsid w:val="00EB5DDE"/>
    <w:rsid w:val="00EB6C25"/>
    <w:rsid w:val="00ED0DEC"/>
    <w:rsid w:val="00EE1700"/>
    <w:rsid w:val="00EE5CC4"/>
    <w:rsid w:val="00EE7689"/>
    <w:rsid w:val="00EF034E"/>
    <w:rsid w:val="00EF2B9A"/>
    <w:rsid w:val="00EF2E40"/>
    <w:rsid w:val="00EF4980"/>
    <w:rsid w:val="00EF4AD2"/>
    <w:rsid w:val="00EF6267"/>
    <w:rsid w:val="00EF6554"/>
    <w:rsid w:val="00F00A39"/>
    <w:rsid w:val="00F12B3C"/>
    <w:rsid w:val="00F246FC"/>
    <w:rsid w:val="00F25C77"/>
    <w:rsid w:val="00F50D7F"/>
    <w:rsid w:val="00F62827"/>
    <w:rsid w:val="00F876AD"/>
    <w:rsid w:val="00F93A52"/>
    <w:rsid w:val="00FC792E"/>
    <w:rsid w:val="00FE3CBB"/>
    <w:rsid w:val="00FE69C5"/>
    <w:rsid w:val="00FF2134"/>
    <w:rsid w:val="00FF2EA5"/>
    <w:rsid w:val="00FF47FA"/>
    <w:rsid w:val="01003E12"/>
    <w:rsid w:val="01D83C8A"/>
    <w:rsid w:val="01E016EE"/>
    <w:rsid w:val="0246650F"/>
    <w:rsid w:val="02F71282"/>
    <w:rsid w:val="04180141"/>
    <w:rsid w:val="0525378B"/>
    <w:rsid w:val="069937E0"/>
    <w:rsid w:val="06E26E45"/>
    <w:rsid w:val="06F02E77"/>
    <w:rsid w:val="07857B1F"/>
    <w:rsid w:val="0859552D"/>
    <w:rsid w:val="08C06582"/>
    <w:rsid w:val="0A307814"/>
    <w:rsid w:val="0B85419B"/>
    <w:rsid w:val="10B70857"/>
    <w:rsid w:val="10DE14CE"/>
    <w:rsid w:val="11323ECA"/>
    <w:rsid w:val="11507C36"/>
    <w:rsid w:val="11F34C13"/>
    <w:rsid w:val="1394610F"/>
    <w:rsid w:val="14011E9C"/>
    <w:rsid w:val="142442CE"/>
    <w:rsid w:val="14D00369"/>
    <w:rsid w:val="14E12814"/>
    <w:rsid w:val="153E1730"/>
    <w:rsid w:val="163813AF"/>
    <w:rsid w:val="17987C7E"/>
    <w:rsid w:val="179A4AD7"/>
    <w:rsid w:val="18013EBE"/>
    <w:rsid w:val="18D23F3A"/>
    <w:rsid w:val="19A365FC"/>
    <w:rsid w:val="1C1450AB"/>
    <w:rsid w:val="1D0B0CF7"/>
    <w:rsid w:val="1D883AC0"/>
    <w:rsid w:val="1DD52914"/>
    <w:rsid w:val="1EC2122B"/>
    <w:rsid w:val="1F1B413E"/>
    <w:rsid w:val="20750289"/>
    <w:rsid w:val="20B7665E"/>
    <w:rsid w:val="220B1548"/>
    <w:rsid w:val="22E64750"/>
    <w:rsid w:val="230975B1"/>
    <w:rsid w:val="234F2764"/>
    <w:rsid w:val="23515533"/>
    <w:rsid w:val="23AA1C51"/>
    <w:rsid w:val="245A7205"/>
    <w:rsid w:val="24C47376"/>
    <w:rsid w:val="25AD2FD3"/>
    <w:rsid w:val="25D77D94"/>
    <w:rsid w:val="25F01BCD"/>
    <w:rsid w:val="270536E7"/>
    <w:rsid w:val="276F548D"/>
    <w:rsid w:val="28530E16"/>
    <w:rsid w:val="28A44D1B"/>
    <w:rsid w:val="298D11C9"/>
    <w:rsid w:val="2A1557D9"/>
    <w:rsid w:val="2AEC116D"/>
    <w:rsid w:val="2AF43FE8"/>
    <w:rsid w:val="2BB510E1"/>
    <w:rsid w:val="2C516D63"/>
    <w:rsid w:val="2D967F06"/>
    <w:rsid w:val="2E1A7DF4"/>
    <w:rsid w:val="31966A4E"/>
    <w:rsid w:val="328B1754"/>
    <w:rsid w:val="355E5E3D"/>
    <w:rsid w:val="36167FBB"/>
    <w:rsid w:val="36942718"/>
    <w:rsid w:val="36AA22CC"/>
    <w:rsid w:val="37923E4E"/>
    <w:rsid w:val="37B9683C"/>
    <w:rsid w:val="38066044"/>
    <w:rsid w:val="382D344A"/>
    <w:rsid w:val="394474C2"/>
    <w:rsid w:val="3A072166"/>
    <w:rsid w:val="3A6B4F93"/>
    <w:rsid w:val="3AD968C0"/>
    <w:rsid w:val="3B2227C3"/>
    <w:rsid w:val="3B5120C5"/>
    <w:rsid w:val="3C85706F"/>
    <w:rsid w:val="3D9853C9"/>
    <w:rsid w:val="3F5C6238"/>
    <w:rsid w:val="3FAE2DB3"/>
    <w:rsid w:val="405A4338"/>
    <w:rsid w:val="40934154"/>
    <w:rsid w:val="40950AD4"/>
    <w:rsid w:val="40AD6027"/>
    <w:rsid w:val="40EE15F5"/>
    <w:rsid w:val="41233082"/>
    <w:rsid w:val="41B703AD"/>
    <w:rsid w:val="42707EAF"/>
    <w:rsid w:val="43B72D49"/>
    <w:rsid w:val="447C4C02"/>
    <w:rsid w:val="46596C0F"/>
    <w:rsid w:val="47382D65"/>
    <w:rsid w:val="4754306C"/>
    <w:rsid w:val="483B234D"/>
    <w:rsid w:val="4A3B26A5"/>
    <w:rsid w:val="4A617F8F"/>
    <w:rsid w:val="4BA601FC"/>
    <w:rsid w:val="4C303F79"/>
    <w:rsid w:val="4C5E1CD5"/>
    <w:rsid w:val="4C616C61"/>
    <w:rsid w:val="4D8A7D75"/>
    <w:rsid w:val="4E922FD6"/>
    <w:rsid w:val="4F8B0045"/>
    <w:rsid w:val="502471A0"/>
    <w:rsid w:val="505B6A39"/>
    <w:rsid w:val="50FC0BD7"/>
    <w:rsid w:val="51111CE4"/>
    <w:rsid w:val="53ED31F1"/>
    <w:rsid w:val="543939BF"/>
    <w:rsid w:val="54903E64"/>
    <w:rsid w:val="55B42C8A"/>
    <w:rsid w:val="577A20EB"/>
    <w:rsid w:val="59856595"/>
    <w:rsid w:val="59FA6F0C"/>
    <w:rsid w:val="5B066E54"/>
    <w:rsid w:val="5B217EC3"/>
    <w:rsid w:val="5BAC16F6"/>
    <w:rsid w:val="5C72060B"/>
    <w:rsid w:val="5D1C33D9"/>
    <w:rsid w:val="5DEF3867"/>
    <w:rsid w:val="5F123606"/>
    <w:rsid w:val="5F6F2470"/>
    <w:rsid w:val="5FE647A1"/>
    <w:rsid w:val="60912D2A"/>
    <w:rsid w:val="615464DA"/>
    <w:rsid w:val="61A86679"/>
    <w:rsid w:val="61BA2B40"/>
    <w:rsid w:val="61FF417C"/>
    <w:rsid w:val="62E77EF5"/>
    <w:rsid w:val="633F21CD"/>
    <w:rsid w:val="63F561DB"/>
    <w:rsid w:val="64415A80"/>
    <w:rsid w:val="66D47EC5"/>
    <w:rsid w:val="678A0A4F"/>
    <w:rsid w:val="67B97B96"/>
    <w:rsid w:val="6869520A"/>
    <w:rsid w:val="69FD4D0C"/>
    <w:rsid w:val="6B2705FC"/>
    <w:rsid w:val="6C375932"/>
    <w:rsid w:val="6C4304B6"/>
    <w:rsid w:val="6CA91877"/>
    <w:rsid w:val="6CCA5F4F"/>
    <w:rsid w:val="6FBD596D"/>
    <w:rsid w:val="6FEA304E"/>
    <w:rsid w:val="701A3A63"/>
    <w:rsid w:val="70562D72"/>
    <w:rsid w:val="7084073C"/>
    <w:rsid w:val="709D24D6"/>
    <w:rsid w:val="712F0CCB"/>
    <w:rsid w:val="716A100A"/>
    <w:rsid w:val="72365303"/>
    <w:rsid w:val="731A5E61"/>
    <w:rsid w:val="73267AB1"/>
    <w:rsid w:val="73F071B9"/>
    <w:rsid w:val="74BF544C"/>
    <w:rsid w:val="75813824"/>
    <w:rsid w:val="75C476DA"/>
    <w:rsid w:val="75DC1AAB"/>
    <w:rsid w:val="76674885"/>
    <w:rsid w:val="77381181"/>
    <w:rsid w:val="78FD6405"/>
    <w:rsid w:val="79F55F51"/>
    <w:rsid w:val="7BF30AE7"/>
    <w:rsid w:val="7D7C6A8D"/>
    <w:rsid w:val="7DCB68F6"/>
    <w:rsid w:val="7E386228"/>
    <w:rsid w:val="7FC31F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2"/>
    <w:link w:val="136"/>
    <w:qFormat/>
    <w:uiPriority w:val="0"/>
    <w:pPr>
      <w:keepNext/>
      <w:keepLines/>
      <w:spacing w:before="340" w:after="330" w:line="578" w:lineRule="auto"/>
      <w:outlineLvl w:val="0"/>
    </w:pPr>
    <w:rPr>
      <w:b w:val="0"/>
      <w:bCs/>
      <w:kern w:val="44"/>
      <w:szCs w:val="44"/>
    </w:rPr>
  </w:style>
  <w:style w:type="paragraph" w:styleId="6">
    <w:name w:val="heading 2"/>
    <w:basedOn w:val="1"/>
    <w:next w:val="1"/>
    <w:link w:val="78"/>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56"/>
    <w:qFormat/>
    <w:uiPriority w:val="0"/>
    <w:pPr>
      <w:keepNext/>
      <w:keepLines/>
      <w:spacing w:before="260" w:after="260" w:line="416" w:lineRule="auto"/>
      <w:outlineLvl w:val="2"/>
    </w:pPr>
    <w:rPr>
      <w:b/>
      <w:bCs/>
      <w:sz w:val="32"/>
      <w:szCs w:val="32"/>
    </w:rPr>
  </w:style>
  <w:style w:type="paragraph" w:styleId="8">
    <w:name w:val="heading 4"/>
    <w:basedOn w:val="1"/>
    <w:next w:val="1"/>
    <w:link w:val="49"/>
    <w:unhideWhenUsed/>
    <w:qFormat/>
    <w:uiPriority w:val="0"/>
    <w:pPr>
      <w:keepNext/>
      <w:keepLines/>
      <w:spacing w:before="100" w:after="100"/>
      <w:outlineLvl w:val="3"/>
    </w:pPr>
    <w:rPr>
      <w:rFonts w:ascii="Arial" w:hAnsi="Arial"/>
      <w:b/>
      <w:bCs/>
      <w:sz w:val="28"/>
      <w:szCs w:val="28"/>
    </w:rPr>
  </w:style>
  <w:style w:type="paragraph" w:styleId="9">
    <w:name w:val="heading 5"/>
    <w:basedOn w:val="1"/>
    <w:next w:val="1"/>
    <w:link w:val="69"/>
    <w:unhideWhenUsed/>
    <w:qFormat/>
    <w:uiPriority w:val="0"/>
    <w:pPr>
      <w:keepNext/>
      <w:keepLines/>
      <w:spacing w:before="100" w:after="100"/>
      <w:outlineLvl w:val="4"/>
    </w:pPr>
    <w:rPr>
      <w:rFonts w:ascii="Calibri" w:hAnsi="Calibri"/>
      <w:b/>
      <w:bCs/>
      <w:sz w:val="28"/>
      <w:szCs w:val="28"/>
    </w:rPr>
  </w:style>
  <w:style w:type="paragraph" w:styleId="10">
    <w:name w:val="heading 6"/>
    <w:basedOn w:val="1"/>
    <w:next w:val="1"/>
    <w:link w:val="57"/>
    <w:qFormat/>
    <w:uiPriority w:val="0"/>
    <w:pPr>
      <w:keepNext/>
      <w:keepLines/>
      <w:numPr>
        <w:ilvl w:val="5"/>
        <w:numId w:val="1"/>
      </w:numPr>
      <w:spacing w:before="240" w:after="64" w:line="319" w:lineRule="auto"/>
      <w:outlineLvl w:val="5"/>
    </w:pPr>
    <w:rPr>
      <w:rFonts w:ascii="Arial" w:hAnsi="Arial" w:eastAsia="黑体"/>
      <w:b/>
      <w:bCs/>
      <w:sz w:val="24"/>
    </w:rPr>
  </w:style>
  <w:style w:type="paragraph" w:styleId="11">
    <w:name w:val="heading 7"/>
    <w:basedOn w:val="1"/>
    <w:next w:val="12"/>
    <w:link w:val="58"/>
    <w:qFormat/>
    <w:uiPriority w:val="0"/>
    <w:pPr>
      <w:keepNext/>
      <w:keepLines/>
      <w:spacing w:before="240" w:after="64" w:line="319" w:lineRule="auto"/>
      <w:outlineLvl w:val="6"/>
    </w:pPr>
    <w:rPr>
      <w:rFonts w:ascii="Calibri" w:hAnsi="Calibri"/>
      <w:b/>
      <w:sz w:val="24"/>
      <w:szCs w:val="20"/>
    </w:rPr>
  </w:style>
  <w:style w:type="paragraph" w:styleId="13">
    <w:name w:val="heading 8"/>
    <w:basedOn w:val="1"/>
    <w:next w:val="12"/>
    <w:link w:val="59"/>
    <w:qFormat/>
    <w:uiPriority w:val="0"/>
    <w:pPr>
      <w:keepNext/>
      <w:keepLines/>
      <w:spacing w:before="240" w:after="64" w:line="319" w:lineRule="auto"/>
      <w:outlineLvl w:val="7"/>
    </w:pPr>
    <w:rPr>
      <w:rFonts w:ascii="Arial" w:hAnsi="Arial" w:eastAsia="黑体"/>
      <w:sz w:val="24"/>
      <w:szCs w:val="20"/>
    </w:rPr>
  </w:style>
  <w:style w:type="paragraph" w:styleId="14">
    <w:name w:val="heading 9"/>
    <w:basedOn w:val="1"/>
    <w:next w:val="12"/>
    <w:link w:val="60"/>
    <w:qFormat/>
    <w:uiPriority w:val="0"/>
    <w:pPr>
      <w:keepNext/>
      <w:keepLines/>
      <w:spacing w:before="240" w:after="64" w:line="319" w:lineRule="auto"/>
      <w:outlineLvl w:val="8"/>
    </w:pPr>
    <w:rPr>
      <w:rFonts w:ascii="Arial" w:hAnsi="Arial" w:eastAsia="黑体"/>
      <w:szCs w:val="2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70"/>
    <w:qFormat/>
    <w:uiPriority w:val="0"/>
    <w:pPr>
      <w:ind w:firstLine="420"/>
    </w:pPr>
  </w:style>
  <w:style w:type="paragraph" w:styleId="3">
    <w:name w:val="Body Text"/>
    <w:basedOn w:val="1"/>
    <w:link w:val="89"/>
    <w:qFormat/>
    <w:uiPriority w:val="0"/>
    <w:pPr>
      <w:spacing w:after="120"/>
    </w:pPr>
    <w:rPr>
      <w:szCs w:val="20"/>
    </w:rPr>
  </w:style>
  <w:style w:type="paragraph" w:styleId="5">
    <w:name w:val="Title"/>
    <w:basedOn w:val="1"/>
    <w:link w:val="76"/>
    <w:qFormat/>
    <w:uiPriority w:val="0"/>
    <w:pPr>
      <w:spacing w:before="120" w:after="60"/>
      <w:jc w:val="center"/>
    </w:pPr>
    <w:rPr>
      <w:rFonts w:ascii="Arial" w:hAnsi="Arial"/>
      <w:b/>
      <w:sz w:val="44"/>
      <w:szCs w:val="20"/>
    </w:rPr>
  </w:style>
  <w:style w:type="paragraph" w:styleId="12">
    <w:name w:val="Normal Indent"/>
    <w:basedOn w:val="1"/>
    <w:qFormat/>
    <w:uiPriority w:val="0"/>
    <w:pPr>
      <w:ind w:firstLine="420"/>
    </w:pPr>
    <w:rPr>
      <w:rFonts w:ascii="Calibri" w:hAnsi="Calibri"/>
      <w:szCs w:val="20"/>
    </w:rPr>
  </w:style>
  <w:style w:type="paragraph" w:styleId="15">
    <w:name w:val="toc 7"/>
    <w:basedOn w:val="1"/>
    <w:next w:val="1"/>
    <w:qFormat/>
    <w:uiPriority w:val="39"/>
    <w:pPr>
      <w:ind w:left="1260"/>
      <w:jc w:val="left"/>
    </w:pPr>
    <w:rPr>
      <w:rFonts w:ascii="Calibri" w:hAnsi="Calibri"/>
      <w:sz w:val="18"/>
      <w:szCs w:val="18"/>
    </w:rPr>
  </w:style>
  <w:style w:type="paragraph" w:styleId="16">
    <w:name w:val="Document Map"/>
    <w:basedOn w:val="1"/>
    <w:link w:val="88"/>
    <w:qFormat/>
    <w:uiPriority w:val="0"/>
    <w:pPr>
      <w:shd w:val="clear" w:color="auto" w:fill="000080"/>
    </w:pPr>
    <w:rPr>
      <w:rFonts w:ascii="Calibri" w:hAnsi="Calibri"/>
      <w:szCs w:val="20"/>
    </w:rPr>
  </w:style>
  <w:style w:type="paragraph" w:styleId="17">
    <w:name w:val="toa heading"/>
    <w:basedOn w:val="1"/>
    <w:next w:val="1"/>
    <w:qFormat/>
    <w:uiPriority w:val="0"/>
    <w:pPr>
      <w:spacing w:before="120"/>
    </w:pPr>
    <w:rPr>
      <w:rFonts w:ascii="Arial" w:hAnsi="Arial"/>
      <w:sz w:val="24"/>
    </w:rPr>
  </w:style>
  <w:style w:type="paragraph" w:styleId="18">
    <w:name w:val="annotation text"/>
    <w:basedOn w:val="1"/>
    <w:link w:val="92"/>
    <w:qFormat/>
    <w:uiPriority w:val="0"/>
    <w:pPr>
      <w:jc w:val="left"/>
    </w:pPr>
  </w:style>
  <w:style w:type="paragraph" w:styleId="19">
    <w:name w:val="Body Text Indent"/>
    <w:basedOn w:val="1"/>
    <w:link w:val="75"/>
    <w:qFormat/>
    <w:uiPriority w:val="0"/>
    <w:pPr>
      <w:spacing w:after="120"/>
      <w:ind w:left="420" w:leftChars="200"/>
    </w:pPr>
    <w:rPr>
      <w:rFonts w:ascii="Calibri" w:hAnsi="Calibri"/>
      <w:szCs w:val="20"/>
    </w:rPr>
  </w:style>
  <w:style w:type="paragraph" w:styleId="20">
    <w:name w:val="List Bullet 2"/>
    <w:basedOn w:val="1"/>
    <w:qFormat/>
    <w:uiPriority w:val="0"/>
    <w:pPr>
      <w:widowControl/>
      <w:numPr>
        <w:ilvl w:val="0"/>
        <w:numId w:val="2"/>
      </w:numPr>
      <w:tabs>
        <w:tab w:val="left" w:pos="720"/>
      </w:tabs>
      <w:ind w:left="720"/>
      <w:jc w:val="left"/>
    </w:pPr>
    <w:rPr>
      <w:rFonts w:ascii="Calibri" w:hAnsi="Calibri" w:eastAsia="Times New Roman"/>
      <w:kern w:val="0"/>
      <w:sz w:val="20"/>
      <w:szCs w:val="20"/>
    </w:rPr>
  </w:style>
  <w:style w:type="paragraph" w:styleId="21">
    <w:name w:val="toc 5"/>
    <w:basedOn w:val="1"/>
    <w:next w:val="1"/>
    <w:qFormat/>
    <w:uiPriority w:val="39"/>
    <w:pPr>
      <w:ind w:left="840"/>
      <w:jc w:val="left"/>
    </w:pPr>
    <w:rPr>
      <w:rFonts w:ascii="Calibri" w:hAnsi="Calibri"/>
      <w:sz w:val="18"/>
      <w:szCs w:val="18"/>
    </w:rPr>
  </w:style>
  <w:style w:type="paragraph" w:styleId="22">
    <w:name w:val="toc 3"/>
    <w:basedOn w:val="1"/>
    <w:next w:val="1"/>
    <w:qFormat/>
    <w:uiPriority w:val="39"/>
    <w:pPr>
      <w:ind w:left="840" w:leftChars="400"/>
    </w:pPr>
  </w:style>
  <w:style w:type="paragraph" w:styleId="23">
    <w:name w:val="Plain Text"/>
    <w:basedOn w:val="1"/>
    <w:link w:val="61"/>
    <w:qFormat/>
    <w:uiPriority w:val="0"/>
    <w:rPr>
      <w:rFonts w:ascii="宋体" w:hAnsi="Courier New" w:eastAsia="Times New Roman"/>
      <w:szCs w:val="20"/>
    </w:rPr>
  </w:style>
  <w:style w:type="paragraph" w:styleId="24">
    <w:name w:val="toc 8"/>
    <w:basedOn w:val="1"/>
    <w:next w:val="1"/>
    <w:qFormat/>
    <w:uiPriority w:val="39"/>
    <w:pPr>
      <w:ind w:left="1470"/>
      <w:jc w:val="left"/>
    </w:pPr>
    <w:rPr>
      <w:rFonts w:ascii="Calibri" w:hAnsi="Calibri"/>
      <w:sz w:val="18"/>
      <w:szCs w:val="18"/>
    </w:rPr>
  </w:style>
  <w:style w:type="paragraph" w:styleId="25">
    <w:name w:val="Date"/>
    <w:basedOn w:val="1"/>
    <w:next w:val="1"/>
    <w:link w:val="91"/>
    <w:qFormat/>
    <w:uiPriority w:val="0"/>
    <w:pPr>
      <w:ind w:left="100" w:leftChars="2500"/>
    </w:pPr>
  </w:style>
  <w:style w:type="paragraph" w:styleId="26">
    <w:name w:val="Body Text Indent 2"/>
    <w:basedOn w:val="1"/>
    <w:link w:val="80"/>
    <w:qFormat/>
    <w:uiPriority w:val="0"/>
    <w:pPr>
      <w:ind w:firstLine="720" w:firstLineChars="225"/>
    </w:pPr>
    <w:rPr>
      <w:rFonts w:ascii="仿宋_GB2312" w:hAnsi="Calibri" w:eastAsia="仿宋_GB2312"/>
      <w:sz w:val="32"/>
    </w:rPr>
  </w:style>
  <w:style w:type="paragraph" w:styleId="27">
    <w:name w:val="endnote text"/>
    <w:basedOn w:val="1"/>
    <w:link w:val="66"/>
    <w:qFormat/>
    <w:uiPriority w:val="0"/>
    <w:pPr>
      <w:snapToGrid w:val="0"/>
      <w:jc w:val="left"/>
    </w:pPr>
    <w:rPr>
      <w:rFonts w:ascii="宋体" w:hAnsi="宋体"/>
      <w:szCs w:val="20"/>
    </w:rPr>
  </w:style>
  <w:style w:type="paragraph" w:styleId="28">
    <w:name w:val="Balloon Text"/>
    <w:basedOn w:val="1"/>
    <w:link w:val="55"/>
    <w:qFormat/>
    <w:uiPriority w:val="0"/>
    <w:rPr>
      <w:sz w:val="18"/>
      <w:szCs w:val="18"/>
    </w:rPr>
  </w:style>
  <w:style w:type="paragraph" w:styleId="29">
    <w:name w:val="footer"/>
    <w:basedOn w:val="1"/>
    <w:qFormat/>
    <w:uiPriority w:val="0"/>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style>
  <w:style w:type="paragraph" w:styleId="32">
    <w:name w:val="toc 4"/>
    <w:basedOn w:val="1"/>
    <w:next w:val="1"/>
    <w:qFormat/>
    <w:uiPriority w:val="39"/>
    <w:pPr>
      <w:ind w:left="630"/>
      <w:jc w:val="left"/>
    </w:pPr>
    <w:rPr>
      <w:rFonts w:ascii="Calibri" w:hAnsi="Calibri"/>
      <w:sz w:val="18"/>
      <w:szCs w:val="18"/>
    </w:rPr>
  </w:style>
  <w:style w:type="paragraph" w:styleId="33">
    <w:name w:val="toc 6"/>
    <w:basedOn w:val="1"/>
    <w:next w:val="1"/>
    <w:qFormat/>
    <w:uiPriority w:val="39"/>
    <w:pPr>
      <w:ind w:left="1050"/>
      <w:jc w:val="left"/>
    </w:pPr>
    <w:rPr>
      <w:rFonts w:ascii="Calibri" w:hAnsi="Calibri"/>
      <w:sz w:val="18"/>
      <w:szCs w:val="18"/>
    </w:rPr>
  </w:style>
  <w:style w:type="paragraph" w:styleId="34">
    <w:name w:val="Body Text Indent 3"/>
    <w:basedOn w:val="1"/>
    <w:link w:val="77"/>
    <w:qFormat/>
    <w:uiPriority w:val="0"/>
    <w:pPr>
      <w:spacing w:after="120"/>
      <w:ind w:left="420" w:leftChars="200"/>
    </w:pPr>
    <w:rPr>
      <w:rFonts w:ascii="Calibri" w:hAnsi="Calibri"/>
      <w:sz w:val="16"/>
      <w:szCs w:val="16"/>
    </w:rPr>
  </w:style>
  <w:style w:type="paragraph" w:styleId="35">
    <w:name w:val="toc 2"/>
    <w:basedOn w:val="1"/>
    <w:next w:val="1"/>
    <w:qFormat/>
    <w:uiPriority w:val="39"/>
    <w:pPr>
      <w:ind w:left="420" w:leftChars="200"/>
    </w:pPr>
  </w:style>
  <w:style w:type="paragraph" w:styleId="36">
    <w:name w:val="toc 9"/>
    <w:basedOn w:val="1"/>
    <w:next w:val="1"/>
    <w:qFormat/>
    <w:uiPriority w:val="39"/>
    <w:pPr>
      <w:ind w:left="1680"/>
      <w:jc w:val="left"/>
    </w:pPr>
    <w:rPr>
      <w:rFonts w:ascii="Calibri" w:hAnsi="Calibri"/>
      <w:sz w:val="18"/>
      <w:szCs w:val="18"/>
    </w:rPr>
  </w:style>
  <w:style w:type="paragraph" w:styleId="37">
    <w:name w:val="Body Text 2"/>
    <w:basedOn w:val="1"/>
    <w:qFormat/>
    <w:uiPriority w:val="0"/>
    <w:pPr>
      <w:spacing w:line="280" w:lineRule="exact"/>
      <w:jc w:val="center"/>
    </w:pPr>
  </w:style>
  <w:style w:type="paragraph" w:styleId="38">
    <w:name w:val="Normal (Web)"/>
    <w:basedOn w:val="1"/>
    <w:qFormat/>
    <w:uiPriority w:val="99"/>
    <w:pPr>
      <w:widowControl/>
      <w:spacing w:before="100" w:beforeAutospacing="1" w:after="100" w:afterAutospacing="1"/>
      <w:jc w:val="left"/>
    </w:pPr>
    <w:rPr>
      <w:rFonts w:ascii="宋体" w:hAnsi="宋体"/>
      <w:kern w:val="0"/>
      <w:sz w:val="24"/>
    </w:rPr>
  </w:style>
  <w:style w:type="paragraph" w:styleId="39">
    <w:name w:val="annotation subject"/>
    <w:basedOn w:val="18"/>
    <w:next w:val="18"/>
    <w:link w:val="71"/>
    <w:qFormat/>
    <w:uiPriority w:val="0"/>
    <w:rPr>
      <w:b/>
      <w:bCs/>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0"/>
    <w:rPr>
      <w:color w:val="800080"/>
      <w:u w:val="single"/>
    </w:rPr>
  </w:style>
  <w:style w:type="character" w:styleId="46">
    <w:name w:val="Hyperlink"/>
    <w:basedOn w:val="42"/>
    <w:unhideWhenUsed/>
    <w:qFormat/>
    <w:uiPriority w:val="99"/>
    <w:rPr>
      <w:color w:val="0563C1" w:themeColor="hyperlink"/>
      <w:u w:val="single"/>
      <w14:textFill>
        <w14:solidFill>
          <w14:schemeClr w14:val="hlink"/>
        </w14:solidFill>
      </w14:textFill>
    </w:rPr>
  </w:style>
  <w:style w:type="character" w:styleId="47">
    <w:name w:val="annotation reference"/>
    <w:qFormat/>
    <w:uiPriority w:val="0"/>
    <w:rPr>
      <w:sz w:val="21"/>
      <w:szCs w:val="21"/>
    </w:rPr>
  </w:style>
  <w:style w:type="paragraph" w:customStyle="1" w:styleId="48">
    <w:name w:val="样式1"/>
    <w:basedOn w:val="1"/>
    <w:qFormat/>
    <w:uiPriority w:val="0"/>
    <w:pPr>
      <w:adjustRightInd w:val="0"/>
      <w:snapToGrid w:val="0"/>
      <w:spacing w:line="360" w:lineRule="auto"/>
      <w:ind w:firstLine="482" w:firstLineChars="200"/>
      <w:jc w:val="left"/>
    </w:pPr>
    <w:rPr>
      <w:rFonts w:ascii="宋体" w:hAnsi="宋体"/>
      <w:b/>
      <w:bCs/>
      <w:snapToGrid w:val="0"/>
      <w:kern w:val="0"/>
      <w:sz w:val="24"/>
      <w:szCs w:val="20"/>
    </w:rPr>
  </w:style>
  <w:style w:type="character" w:customStyle="1" w:styleId="49">
    <w:name w:val="标题 4 Char"/>
    <w:link w:val="8"/>
    <w:qFormat/>
    <w:uiPriority w:val="0"/>
    <w:rPr>
      <w:rFonts w:ascii="Arial" w:hAnsi="Arial"/>
      <w:b/>
      <w:bCs/>
      <w:kern w:val="2"/>
      <w:sz w:val="28"/>
      <w:szCs w:val="28"/>
    </w:rPr>
  </w:style>
  <w:style w:type="paragraph" w:customStyle="1" w:styleId="50">
    <w:name w:val="TOC 标题1"/>
    <w:basedOn w:val="4"/>
    <w:next w:val="1"/>
    <w:unhideWhenUsed/>
    <w:qFormat/>
    <w:uiPriority w:val="39"/>
    <w:pPr>
      <w:widowControl/>
      <w:spacing w:before="240" w:after="120" w:line="259" w:lineRule="auto"/>
      <w:outlineLvl w:val="9"/>
    </w:pPr>
    <w:rPr>
      <w:rFonts w:ascii="Cambria" w:hAnsi="Cambria"/>
      <w:b/>
      <w:bCs w:val="0"/>
      <w:color w:val="366091"/>
      <w:kern w:val="0"/>
      <w:sz w:val="32"/>
      <w:szCs w:val="32"/>
    </w:rPr>
  </w:style>
  <w:style w:type="paragraph" w:customStyle="1" w:styleId="51">
    <w:name w:val="样式2"/>
    <w:basedOn w:val="6"/>
    <w:qFormat/>
    <w:uiPriority w:val="0"/>
    <w:pPr>
      <w:spacing w:line="415" w:lineRule="auto"/>
      <w:jc w:val="center"/>
    </w:pPr>
    <w:rPr>
      <w:rFonts w:hAnsi="宋体" w:eastAsia="华文中宋"/>
      <w:kern w:val="28"/>
      <w:sz w:val="36"/>
      <w:szCs w:val="36"/>
    </w:rPr>
  </w:style>
  <w:style w:type="paragraph" w:customStyle="1" w:styleId="52">
    <w:name w:val="列出段落1"/>
    <w:basedOn w:val="1"/>
    <w:unhideWhenUsed/>
    <w:qFormat/>
    <w:uiPriority w:val="99"/>
    <w:pPr>
      <w:ind w:firstLine="420" w:firstLineChars="200"/>
    </w:pPr>
    <w:rPr>
      <w:rFonts w:ascii="Calibri" w:hAnsi="Calibri"/>
    </w:rPr>
  </w:style>
  <w:style w:type="paragraph" w:customStyle="1" w:styleId="53">
    <w:name w:val="Blockquote"/>
    <w:basedOn w:val="1"/>
    <w:qFormat/>
    <w:uiPriority w:val="0"/>
    <w:pPr>
      <w:autoSpaceDE w:val="0"/>
      <w:autoSpaceDN w:val="0"/>
      <w:adjustRightInd w:val="0"/>
      <w:spacing w:before="100" w:after="100"/>
      <w:ind w:left="360" w:right="360"/>
      <w:jc w:val="left"/>
    </w:pPr>
    <w:rPr>
      <w:rFonts w:ascii="Calibri" w:hAnsi="Calibri"/>
      <w:kern w:val="0"/>
      <w:sz w:val="24"/>
      <w:szCs w:val="20"/>
    </w:rPr>
  </w:style>
  <w:style w:type="paragraph" w:customStyle="1" w:styleId="54">
    <w:name w:val="正文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55">
    <w:name w:val="批注框文本 Char"/>
    <w:basedOn w:val="42"/>
    <w:link w:val="28"/>
    <w:qFormat/>
    <w:uiPriority w:val="0"/>
    <w:rPr>
      <w:kern w:val="2"/>
      <w:sz w:val="18"/>
      <w:szCs w:val="18"/>
    </w:rPr>
  </w:style>
  <w:style w:type="character" w:customStyle="1" w:styleId="56">
    <w:name w:val="标题 3 Char"/>
    <w:basedOn w:val="42"/>
    <w:link w:val="7"/>
    <w:qFormat/>
    <w:uiPriority w:val="0"/>
    <w:rPr>
      <w:b/>
      <w:bCs/>
      <w:kern w:val="2"/>
      <w:sz w:val="32"/>
      <w:szCs w:val="32"/>
    </w:rPr>
  </w:style>
  <w:style w:type="character" w:customStyle="1" w:styleId="57">
    <w:name w:val="标题 6 Char"/>
    <w:basedOn w:val="42"/>
    <w:link w:val="10"/>
    <w:qFormat/>
    <w:uiPriority w:val="0"/>
    <w:rPr>
      <w:rFonts w:ascii="Arial" w:hAnsi="Arial" w:eastAsia="黑体"/>
      <w:b/>
      <w:bCs/>
      <w:kern w:val="2"/>
      <w:sz w:val="24"/>
      <w:szCs w:val="24"/>
    </w:rPr>
  </w:style>
  <w:style w:type="character" w:customStyle="1" w:styleId="58">
    <w:name w:val="标题 7 Char"/>
    <w:basedOn w:val="42"/>
    <w:link w:val="11"/>
    <w:qFormat/>
    <w:uiPriority w:val="0"/>
    <w:rPr>
      <w:rFonts w:ascii="Calibri" w:hAnsi="Calibri"/>
      <w:b/>
      <w:kern w:val="2"/>
      <w:sz w:val="24"/>
    </w:rPr>
  </w:style>
  <w:style w:type="character" w:customStyle="1" w:styleId="59">
    <w:name w:val="标题 8 Char"/>
    <w:basedOn w:val="42"/>
    <w:link w:val="13"/>
    <w:qFormat/>
    <w:uiPriority w:val="0"/>
    <w:rPr>
      <w:rFonts w:ascii="Arial" w:hAnsi="Arial" w:eastAsia="黑体"/>
      <w:kern w:val="2"/>
      <w:sz w:val="24"/>
    </w:rPr>
  </w:style>
  <w:style w:type="character" w:customStyle="1" w:styleId="60">
    <w:name w:val="标题 9 Char"/>
    <w:basedOn w:val="42"/>
    <w:link w:val="14"/>
    <w:qFormat/>
    <w:uiPriority w:val="0"/>
    <w:rPr>
      <w:rFonts w:ascii="Arial" w:hAnsi="Arial" w:eastAsia="黑体"/>
      <w:kern w:val="2"/>
      <w:sz w:val="21"/>
    </w:rPr>
  </w:style>
  <w:style w:type="character" w:customStyle="1" w:styleId="61">
    <w:name w:val="纯文本 Char"/>
    <w:link w:val="23"/>
    <w:qFormat/>
    <w:uiPriority w:val="0"/>
    <w:rPr>
      <w:rFonts w:ascii="宋体" w:hAnsi="Courier New" w:eastAsia="Times New Roman"/>
      <w:kern w:val="2"/>
      <w:sz w:val="21"/>
    </w:rPr>
  </w:style>
  <w:style w:type="character" w:customStyle="1" w:styleId="62">
    <w:name w:val="表格文字 Char Char"/>
    <w:link w:val="63"/>
    <w:qFormat/>
    <w:uiPriority w:val="0"/>
    <w:rPr>
      <w:rFonts w:eastAsia="仿宋_GB2312"/>
      <w:kern w:val="2"/>
      <w:sz w:val="24"/>
      <w:szCs w:val="21"/>
    </w:rPr>
  </w:style>
  <w:style w:type="paragraph" w:customStyle="1" w:styleId="63">
    <w:name w:val="表格文字"/>
    <w:basedOn w:val="1"/>
    <w:link w:val="62"/>
    <w:qFormat/>
    <w:uiPriority w:val="0"/>
    <w:rPr>
      <w:rFonts w:eastAsia="仿宋_GB2312"/>
      <w:sz w:val="24"/>
      <w:szCs w:val="21"/>
    </w:rPr>
  </w:style>
  <w:style w:type="character" w:customStyle="1" w:styleId="64">
    <w:name w:val="标题 1 Char Char"/>
    <w:qFormat/>
    <w:uiPriority w:val="0"/>
    <w:rPr>
      <w:rFonts w:ascii="Arial" w:hAnsi="Arial" w:eastAsia="宋体"/>
      <w:b/>
      <w:bCs/>
      <w:kern w:val="44"/>
      <w:sz w:val="36"/>
      <w:szCs w:val="36"/>
      <w:lang w:val="en-US" w:eastAsia="zh-CN" w:bidi="ar-SA"/>
    </w:rPr>
  </w:style>
  <w:style w:type="character" w:customStyle="1" w:styleId="65">
    <w:name w:val="纯文本 Char1"/>
    <w:qFormat/>
    <w:uiPriority w:val="0"/>
    <w:rPr>
      <w:rFonts w:ascii="宋体" w:hAnsi="Courier New" w:eastAsia="宋体" w:cs="Courier New"/>
      <w:kern w:val="2"/>
      <w:sz w:val="21"/>
      <w:szCs w:val="21"/>
    </w:rPr>
  </w:style>
  <w:style w:type="character" w:customStyle="1" w:styleId="66">
    <w:name w:val="尾注文本 Char"/>
    <w:link w:val="27"/>
    <w:qFormat/>
    <w:uiPriority w:val="0"/>
    <w:rPr>
      <w:rFonts w:ascii="宋体" w:hAnsi="宋体"/>
      <w:kern w:val="2"/>
      <w:sz w:val="21"/>
    </w:rPr>
  </w:style>
  <w:style w:type="character" w:customStyle="1" w:styleId="67">
    <w:name w:val="Char Char2"/>
    <w:qFormat/>
    <w:uiPriority w:val="0"/>
    <w:rPr>
      <w:rFonts w:eastAsia="宋体"/>
      <w:kern w:val="2"/>
      <w:sz w:val="21"/>
      <w:lang w:val="en-US" w:eastAsia="zh-CN" w:bidi="ar-SA"/>
    </w:rPr>
  </w:style>
  <w:style w:type="character" w:customStyle="1" w:styleId="68">
    <w:name w:val="表格文字 Char"/>
    <w:qFormat/>
    <w:uiPriority w:val="0"/>
    <w:rPr>
      <w:rFonts w:ascii="宋体" w:hAnsi="Courier New" w:eastAsia="宋体"/>
      <w:kern w:val="2"/>
      <w:sz w:val="21"/>
      <w:lang w:val="en-US" w:eastAsia="zh-CN" w:bidi="ar-SA"/>
    </w:rPr>
  </w:style>
  <w:style w:type="character" w:customStyle="1" w:styleId="69">
    <w:name w:val="标题 5 Char"/>
    <w:link w:val="9"/>
    <w:qFormat/>
    <w:uiPriority w:val="0"/>
    <w:rPr>
      <w:rFonts w:ascii="Calibri" w:hAnsi="Calibri"/>
      <w:b/>
      <w:bCs/>
      <w:kern w:val="2"/>
      <w:sz w:val="28"/>
      <w:szCs w:val="28"/>
    </w:rPr>
  </w:style>
  <w:style w:type="character" w:customStyle="1" w:styleId="70">
    <w:name w:val="正文首行缩进 Char"/>
    <w:link w:val="2"/>
    <w:qFormat/>
    <w:uiPriority w:val="0"/>
    <w:rPr>
      <w:kern w:val="2"/>
      <w:sz w:val="21"/>
    </w:rPr>
  </w:style>
  <w:style w:type="character" w:customStyle="1" w:styleId="71">
    <w:name w:val="批注主题 Char"/>
    <w:link w:val="39"/>
    <w:qFormat/>
    <w:uiPriority w:val="0"/>
    <w:rPr>
      <w:b/>
      <w:bCs/>
      <w:kern w:val="2"/>
      <w:sz w:val="21"/>
      <w:szCs w:val="24"/>
    </w:rPr>
  </w:style>
  <w:style w:type="character" w:customStyle="1" w:styleId="72">
    <w:name w:val="图（居中） Char Char"/>
    <w:link w:val="73"/>
    <w:qFormat/>
    <w:uiPriority w:val="0"/>
    <w:rPr>
      <w:rFonts w:ascii="Verdana" w:hAnsi="Verdana" w:eastAsia="华文仿宋"/>
      <w:kern w:val="2"/>
      <w:sz w:val="28"/>
      <w:szCs w:val="28"/>
    </w:rPr>
  </w:style>
  <w:style w:type="paragraph" w:customStyle="1" w:styleId="73">
    <w:name w:val="图（居中）"/>
    <w:basedOn w:val="1"/>
    <w:link w:val="72"/>
    <w:qFormat/>
    <w:uiPriority w:val="0"/>
    <w:pPr>
      <w:adjustRightInd w:val="0"/>
      <w:spacing w:after="120" w:line="360" w:lineRule="auto"/>
      <w:jc w:val="center"/>
      <w:textAlignment w:val="baseline"/>
    </w:pPr>
    <w:rPr>
      <w:rFonts w:ascii="Verdana" w:hAnsi="Verdana" w:eastAsia="华文仿宋"/>
      <w:sz w:val="28"/>
      <w:szCs w:val="28"/>
    </w:rPr>
  </w:style>
  <w:style w:type="character" w:customStyle="1" w:styleId="74">
    <w:name w:val="正文文本 Char1"/>
    <w:qFormat/>
    <w:uiPriority w:val="0"/>
    <w:rPr>
      <w:kern w:val="2"/>
      <w:sz w:val="21"/>
      <w:szCs w:val="24"/>
    </w:rPr>
  </w:style>
  <w:style w:type="character" w:customStyle="1" w:styleId="75">
    <w:name w:val="正文文本缩进 Char"/>
    <w:link w:val="19"/>
    <w:qFormat/>
    <w:uiPriority w:val="0"/>
    <w:rPr>
      <w:rFonts w:ascii="Calibri" w:hAnsi="Calibri"/>
      <w:kern w:val="2"/>
      <w:sz w:val="21"/>
    </w:rPr>
  </w:style>
  <w:style w:type="character" w:customStyle="1" w:styleId="76">
    <w:name w:val="标题 Char"/>
    <w:link w:val="5"/>
    <w:qFormat/>
    <w:uiPriority w:val="0"/>
    <w:rPr>
      <w:rFonts w:ascii="Arial" w:hAnsi="Arial"/>
      <w:b/>
      <w:kern w:val="2"/>
      <w:sz w:val="44"/>
    </w:rPr>
  </w:style>
  <w:style w:type="character" w:customStyle="1" w:styleId="77">
    <w:name w:val="正文文本缩进 3 Char"/>
    <w:link w:val="34"/>
    <w:qFormat/>
    <w:uiPriority w:val="0"/>
    <w:rPr>
      <w:rFonts w:ascii="Calibri" w:hAnsi="Calibri"/>
      <w:kern w:val="2"/>
      <w:sz w:val="16"/>
      <w:szCs w:val="16"/>
    </w:rPr>
  </w:style>
  <w:style w:type="character" w:customStyle="1" w:styleId="78">
    <w:name w:val="标题 2 Char"/>
    <w:link w:val="6"/>
    <w:qFormat/>
    <w:uiPriority w:val="0"/>
    <w:rPr>
      <w:rFonts w:ascii="Arial" w:hAnsi="Arial" w:eastAsia="黑体"/>
      <w:b/>
      <w:bCs/>
      <w:kern w:val="2"/>
      <w:sz w:val="32"/>
      <w:szCs w:val="32"/>
    </w:rPr>
  </w:style>
  <w:style w:type="character" w:customStyle="1" w:styleId="79">
    <w:name w:val="批注文字 字符"/>
    <w:qFormat/>
    <w:uiPriority w:val="0"/>
    <w:rPr>
      <w:kern w:val="2"/>
      <w:sz w:val="21"/>
      <w:szCs w:val="24"/>
    </w:rPr>
  </w:style>
  <w:style w:type="character" w:customStyle="1" w:styleId="80">
    <w:name w:val="正文文本缩进 2 Char"/>
    <w:link w:val="26"/>
    <w:qFormat/>
    <w:uiPriority w:val="0"/>
    <w:rPr>
      <w:rFonts w:ascii="仿宋_GB2312" w:hAnsi="Calibri" w:eastAsia="仿宋_GB2312"/>
      <w:kern w:val="2"/>
      <w:sz w:val="32"/>
      <w:szCs w:val="24"/>
    </w:rPr>
  </w:style>
  <w:style w:type="character" w:customStyle="1" w:styleId="81">
    <w:name w:val="正文首行缩进 Char1"/>
    <w:basedOn w:val="74"/>
    <w:qFormat/>
    <w:uiPriority w:val="0"/>
    <w:rPr>
      <w:kern w:val="2"/>
      <w:sz w:val="21"/>
      <w:szCs w:val="24"/>
    </w:rPr>
  </w:style>
  <w:style w:type="character" w:customStyle="1" w:styleId="82">
    <w:name w:val="图表 Char1 Char Char Char"/>
    <w:link w:val="83"/>
    <w:qFormat/>
    <w:uiPriority w:val="0"/>
    <w:rPr>
      <w:rFonts w:eastAsia="华文中宋"/>
      <w:kern w:val="24"/>
      <w:sz w:val="24"/>
    </w:rPr>
  </w:style>
  <w:style w:type="paragraph" w:customStyle="1" w:styleId="83">
    <w:name w:val="图表 Char1 Char"/>
    <w:basedOn w:val="1"/>
    <w:link w:val="82"/>
    <w:qFormat/>
    <w:uiPriority w:val="0"/>
    <w:pPr>
      <w:snapToGrid w:val="0"/>
      <w:spacing w:line="360" w:lineRule="auto"/>
      <w:ind w:firstLine="200" w:firstLineChars="200"/>
      <w:jc w:val="center"/>
    </w:pPr>
    <w:rPr>
      <w:rFonts w:eastAsia="华文中宋"/>
      <w:kern w:val="24"/>
      <w:sz w:val="24"/>
      <w:szCs w:val="20"/>
    </w:rPr>
  </w:style>
  <w:style w:type="character" w:customStyle="1" w:styleId="84">
    <w:name w:val="文一 Char Char"/>
    <w:link w:val="85"/>
    <w:qFormat/>
    <w:uiPriority w:val="0"/>
    <w:rPr>
      <w:spacing w:val="4"/>
      <w:sz w:val="24"/>
      <w:szCs w:val="24"/>
    </w:rPr>
  </w:style>
  <w:style w:type="paragraph" w:customStyle="1" w:styleId="85">
    <w:name w:val="文一"/>
    <w:basedOn w:val="1"/>
    <w:link w:val="84"/>
    <w:qFormat/>
    <w:uiPriority w:val="0"/>
    <w:pPr>
      <w:topLinePunct/>
      <w:adjustRightInd w:val="0"/>
      <w:snapToGrid w:val="0"/>
      <w:spacing w:line="360" w:lineRule="auto"/>
      <w:ind w:firstLine="200" w:firstLineChars="200"/>
    </w:pPr>
    <w:rPr>
      <w:spacing w:val="4"/>
      <w:kern w:val="0"/>
      <w:sz w:val="24"/>
    </w:rPr>
  </w:style>
  <w:style w:type="character" w:customStyle="1" w:styleId="86">
    <w:name w:val="尾注文本 Char1"/>
    <w:qFormat/>
    <w:uiPriority w:val="0"/>
    <w:rPr>
      <w:kern w:val="2"/>
      <w:sz w:val="21"/>
      <w:szCs w:val="24"/>
    </w:rPr>
  </w:style>
  <w:style w:type="character" w:customStyle="1" w:styleId="87">
    <w:name w:val="标题 Char Char"/>
    <w:qFormat/>
    <w:uiPriority w:val="0"/>
    <w:rPr>
      <w:rFonts w:ascii="Arial" w:hAnsi="Arial" w:eastAsia="宋体"/>
      <w:b/>
      <w:kern w:val="2"/>
      <w:sz w:val="44"/>
      <w:lang w:val="en-US" w:eastAsia="zh-CN" w:bidi="ar-SA"/>
    </w:rPr>
  </w:style>
  <w:style w:type="character" w:customStyle="1" w:styleId="88">
    <w:name w:val="文档结构图 Char"/>
    <w:link w:val="16"/>
    <w:qFormat/>
    <w:uiPriority w:val="0"/>
    <w:rPr>
      <w:rFonts w:ascii="Calibri" w:hAnsi="Calibri"/>
      <w:kern w:val="2"/>
      <w:sz w:val="21"/>
      <w:shd w:val="clear" w:color="auto" w:fill="000080"/>
    </w:rPr>
  </w:style>
  <w:style w:type="character" w:customStyle="1" w:styleId="89">
    <w:name w:val="正文文本 Char"/>
    <w:link w:val="3"/>
    <w:qFormat/>
    <w:uiPriority w:val="0"/>
    <w:rPr>
      <w:kern w:val="2"/>
      <w:sz w:val="21"/>
    </w:rPr>
  </w:style>
  <w:style w:type="character" w:customStyle="1" w:styleId="90">
    <w:name w:val="文档结构图 字符1"/>
    <w:basedOn w:val="42"/>
    <w:qFormat/>
    <w:uiPriority w:val="0"/>
    <w:rPr>
      <w:rFonts w:ascii="Microsoft YaHei UI" w:eastAsia="Microsoft YaHei UI"/>
      <w:kern w:val="2"/>
      <w:sz w:val="18"/>
      <w:szCs w:val="18"/>
    </w:rPr>
  </w:style>
  <w:style w:type="character" w:customStyle="1" w:styleId="91">
    <w:name w:val="日期 Char"/>
    <w:basedOn w:val="42"/>
    <w:link w:val="25"/>
    <w:qFormat/>
    <w:uiPriority w:val="0"/>
    <w:rPr>
      <w:kern w:val="2"/>
      <w:sz w:val="21"/>
      <w:szCs w:val="24"/>
    </w:rPr>
  </w:style>
  <w:style w:type="character" w:customStyle="1" w:styleId="92">
    <w:name w:val="批注文字 Char"/>
    <w:basedOn w:val="42"/>
    <w:link w:val="18"/>
    <w:qFormat/>
    <w:uiPriority w:val="0"/>
    <w:rPr>
      <w:kern w:val="2"/>
      <w:sz w:val="21"/>
      <w:szCs w:val="24"/>
    </w:rPr>
  </w:style>
  <w:style w:type="character" w:customStyle="1" w:styleId="93">
    <w:name w:val="批注主题 字符1"/>
    <w:basedOn w:val="92"/>
    <w:qFormat/>
    <w:uiPriority w:val="0"/>
    <w:rPr>
      <w:b/>
      <w:bCs/>
      <w:kern w:val="2"/>
      <w:sz w:val="21"/>
      <w:szCs w:val="24"/>
    </w:rPr>
  </w:style>
  <w:style w:type="character" w:customStyle="1" w:styleId="94">
    <w:name w:val="尾注文本 字符1"/>
    <w:basedOn w:val="42"/>
    <w:qFormat/>
    <w:uiPriority w:val="0"/>
    <w:rPr>
      <w:kern w:val="2"/>
      <w:sz w:val="21"/>
      <w:szCs w:val="24"/>
    </w:rPr>
  </w:style>
  <w:style w:type="character" w:customStyle="1" w:styleId="95">
    <w:name w:val="正文文本缩进 2 字符1"/>
    <w:basedOn w:val="42"/>
    <w:qFormat/>
    <w:uiPriority w:val="0"/>
    <w:rPr>
      <w:kern w:val="2"/>
      <w:sz w:val="21"/>
      <w:szCs w:val="24"/>
    </w:rPr>
  </w:style>
  <w:style w:type="character" w:customStyle="1" w:styleId="96">
    <w:name w:val="正文文本缩进 3 字符1"/>
    <w:basedOn w:val="42"/>
    <w:qFormat/>
    <w:uiPriority w:val="0"/>
    <w:rPr>
      <w:kern w:val="2"/>
      <w:sz w:val="16"/>
      <w:szCs w:val="16"/>
    </w:rPr>
  </w:style>
  <w:style w:type="paragraph" w:customStyle="1" w:styleId="97">
    <w:name w:val="_Style 41"/>
    <w:basedOn w:val="1"/>
    <w:qFormat/>
    <w:uiPriority w:val="0"/>
    <w:rPr>
      <w:rFonts w:ascii="宋体" w:hAnsi="CG Times (W1)"/>
      <w:kern w:val="0"/>
      <w:szCs w:val="20"/>
    </w:rPr>
  </w:style>
  <w:style w:type="paragraph" w:customStyle="1" w:styleId="9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9">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0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0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02">
    <w:name w:val="默认段落字体 Para Char"/>
    <w:basedOn w:val="1"/>
    <w:qFormat/>
    <w:uiPriority w:val="0"/>
    <w:rPr>
      <w:rFonts w:ascii="Calibri" w:hAnsi="Calibri"/>
      <w:sz w:val="30"/>
    </w:rPr>
  </w:style>
  <w:style w:type="paragraph" w:customStyle="1" w:styleId="10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04">
    <w:name w:val="xl3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05">
    <w:name w:val="Header or footer|11"/>
    <w:basedOn w:val="1"/>
    <w:qFormat/>
    <w:uiPriority w:val="0"/>
    <w:pPr>
      <w:shd w:val="clear" w:color="auto" w:fill="FFFFFF"/>
      <w:spacing w:line="220" w:lineRule="exact"/>
    </w:pPr>
    <w:rPr>
      <w:rFonts w:ascii="PMingLiU" w:hAnsi="PMingLiU" w:eastAsia="PMingLiU" w:cs="PMingLiU"/>
      <w:spacing w:val="30"/>
      <w:sz w:val="22"/>
      <w:szCs w:val="22"/>
    </w:rPr>
  </w:style>
  <w:style w:type="paragraph" w:customStyle="1" w:styleId="106">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07">
    <w:name w:val="p0"/>
    <w:basedOn w:val="1"/>
    <w:qFormat/>
    <w:uiPriority w:val="0"/>
    <w:pPr>
      <w:widowControl/>
    </w:pPr>
    <w:rPr>
      <w:rFonts w:ascii="Calibri" w:hAnsi="Calibri"/>
      <w:kern w:val="0"/>
      <w:szCs w:val="21"/>
    </w:rPr>
  </w:style>
  <w:style w:type="paragraph" w:customStyle="1" w:styleId="108">
    <w:name w:val="Char1"/>
    <w:basedOn w:val="1"/>
    <w:qFormat/>
    <w:uiPriority w:val="0"/>
    <w:rPr>
      <w:rFonts w:ascii="Calibri" w:hAnsi="Calibri"/>
      <w:sz w:val="30"/>
    </w:rPr>
  </w:style>
  <w:style w:type="paragraph" w:customStyle="1" w:styleId="10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0">
    <w:name w:val="1"/>
    <w:basedOn w:val="1"/>
    <w:next w:val="23"/>
    <w:qFormat/>
    <w:uiPriority w:val="0"/>
    <w:rPr>
      <w:rFonts w:ascii="宋体" w:hAnsi="Courier New"/>
      <w:szCs w:val="20"/>
    </w:rPr>
  </w:style>
  <w:style w:type="paragraph" w:customStyle="1" w:styleId="111">
    <w:name w:val="Char11"/>
    <w:basedOn w:val="1"/>
    <w:qFormat/>
    <w:uiPriority w:val="0"/>
    <w:pPr>
      <w:snapToGrid w:val="0"/>
      <w:spacing w:line="420" w:lineRule="auto"/>
    </w:pPr>
    <w:rPr>
      <w:rFonts w:ascii="Calibri" w:hAnsi="Calibri"/>
      <w:szCs w:val="21"/>
    </w:rPr>
  </w:style>
  <w:style w:type="paragraph" w:customStyle="1" w:styleId="112">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13">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14">
    <w:name w:val="WPSOffice手动目录 1"/>
    <w:qFormat/>
    <w:uiPriority w:val="0"/>
    <w:rPr>
      <w:rFonts w:ascii="Times New Roman" w:hAnsi="Times New Roman" w:eastAsia="宋体" w:cs="Times New Roman"/>
      <w:lang w:val="en-US" w:eastAsia="zh-CN" w:bidi="ar-SA"/>
    </w:rPr>
  </w:style>
  <w:style w:type="paragraph" w:customStyle="1" w:styleId="115">
    <w:name w:val="标正文"/>
    <w:basedOn w:val="1"/>
    <w:qFormat/>
    <w:uiPriority w:val="0"/>
    <w:rPr>
      <w:rFonts w:ascii="仿宋_GB2312" w:hAnsi="Calibri" w:eastAsia="仿宋_GB2312"/>
      <w:sz w:val="32"/>
    </w:rPr>
  </w:style>
  <w:style w:type="paragraph" w:customStyle="1" w:styleId="11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7">
    <w:name w:val="样式"/>
    <w:basedOn w:val="1"/>
    <w:next w:val="19"/>
    <w:qFormat/>
    <w:uiPriority w:val="0"/>
    <w:pPr>
      <w:jc w:val="center"/>
    </w:pPr>
    <w:rPr>
      <w:rFonts w:ascii="宋体" w:hAnsi="宋体"/>
      <w:color w:val="FF0000"/>
      <w:sz w:val="24"/>
    </w:rPr>
  </w:style>
  <w:style w:type="paragraph" w:customStyle="1" w:styleId="118">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1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0">
    <w:name w:val="xl3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1">
    <w:name w:val="列出段落2"/>
    <w:basedOn w:val="1"/>
    <w:qFormat/>
    <w:uiPriority w:val="99"/>
    <w:pPr>
      <w:ind w:firstLine="420" w:firstLineChars="200"/>
    </w:pPr>
    <w:rPr>
      <w:rFonts w:ascii="Calibri" w:hAnsi="Calibri"/>
      <w:szCs w:val="20"/>
    </w:rPr>
  </w:style>
  <w:style w:type="paragraph" w:customStyle="1" w:styleId="122">
    <w:name w:val="xl3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23">
    <w:name w:val="Table Paragraph"/>
    <w:basedOn w:val="1"/>
    <w:qFormat/>
    <w:uiPriority w:val="1"/>
    <w:rPr>
      <w:rFonts w:ascii="Calibri" w:hAnsi="Calibri"/>
      <w:szCs w:val="20"/>
    </w:rPr>
  </w:style>
  <w:style w:type="paragraph" w:customStyle="1" w:styleId="124">
    <w:name w:val="2"/>
    <w:basedOn w:val="1"/>
    <w:qFormat/>
    <w:uiPriority w:val="0"/>
    <w:rPr>
      <w:rFonts w:ascii="2" w:hAnsi="2"/>
      <w:szCs w:val="20"/>
    </w:rPr>
  </w:style>
  <w:style w:type="paragraph" w:customStyle="1" w:styleId="125">
    <w:name w:val="修订1"/>
    <w:qFormat/>
    <w:uiPriority w:val="0"/>
    <w:rPr>
      <w:rFonts w:ascii="Times New Roman" w:hAnsi="Times New Roman" w:eastAsia="宋体" w:cs="Times New Roman"/>
      <w:kern w:val="2"/>
      <w:sz w:val="21"/>
      <w:szCs w:val="24"/>
      <w:lang w:val="en-US" w:eastAsia="zh-CN" w:bidi="ar-SA"/>
    </w:rPr>
  </w:style>
  <w:style w:type="paragraph" w:customStyle="1" w:styleId="126">
    <w:name w:val="xl2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27">
    <w:name w:val="Char Char Char Char"/>
    <w:basedOn w:val="1"/>
    <w:qFormat/>
    <w:uiPriority w:val="0"/>
    <w:rPr>
      <w:rFonts w:ascii="Calibri" w:hAnsi="Calibri"/>
      <w:sz w:val="24"/>
    </w:rPr>
  </w:style>
  <w:style w:type="paragraph" w:customStyle="1" w:styleId="128">
    <w:name w:val="WPS Plain"/>
    <w:qFormat/>
    <w:uiPriority w:val="0"/>
    <w:rPr>
      <w:rFonts w:ascii="Calibri" w:hAnsi="Calibri" w:eastAsia="宋体" w:cs="Times New Roman"/>
      <w:lang w:val="en-US" w:eastAsia="zh-CN" w:bidi="ar-SA"/>
    </w:rPr>
  </w:style>
  <w:style w:type="paragraph" w:customStyle="1" w:styleId="129">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3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31">
    <w:name w:val="1 Char Char Char Char Char Char Char"/>
    <w:basedOn w:val="1"/>
    <w:qFormat/>
    <w:uiPriority w:val="0"/>
    <w:rPr>
      <w:rFonts w:ascii="Calibri" w:hAnsi="Calibri"/>
      <w:sz w:val="30"/>
      <w:szCs w:val="20"/>
    </w:rPr>
  </w:style>
  <w:style w:type="paragraph" w:customStyle="1" w:styleId="132">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3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table" w:customStyle="1" w:styleId="135">
    <w:name w:val="Table Normal"/>
    <w:unhideWhenUsed/>
    <w:qFormat/>
    <w:uiPriority w:val="2"/>
    <w:rPr>
      <w:rFonts w:ascii="Calibri" w:hAnsi="Calibri"/>
    </w:rPr>
    <w:tblPr>
      <w:tblCellMar>
        <w:top w:w="0" w:type="dxa"/>
        <w:left w:w="0" w:type="dxa"/>
        <w:bottom w:w="0" w:type="dxa"/>
        <w:right w:w="0" w:type="dxa"/>
      </w:tblCellMar>
    </w:tblPr>
  </w:style>
  <w:style w:type="character" w:customStyle="1" w:styleId="136">
    <w:name w:val="标题 1 Char"/>
    <w:basedOn w:val="42"/>
    <w:link w:val="4"/>
    <w:qFormat/>
    <w:uiPriority w:val="0"/>
    <w:rPr>
      <w:rFonts w:ascii="Arial" w:hAnsi="Arial"/>
      <w:bCs/>
      <w:kern w:val="44"/>
      <w:sz w:val="44"/>
      <w:szCs w:val="44"/>
    </w:rPr>
  </w:style>
  <w:style w:type="paragraph" w:customStyle="1" w:styleId="13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38">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6A686-E552-4AB4-87A5-0D8DCAF0FEA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1813</Words>
  <Characters>10338</Characters>
  <Lines>86</Lines>
  <Paragraphs>24</Paragraphs>
  <TotalTime>4</TotalTime>
  <ScaleCrop>false</ScaleCrop>
  <LinksUpToDate>false</LinksUpToDate>
  <CharactersWithSpaces>12127</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2021-03-18T09:09:00Z</dcterms:created>
  <dc:creator>Administrator</dc:creator>
  <cp:lastModifiedBy>admin</cp:lastModifiedBy>
  <cp:lastPrinted>2020-08-03T01:30:00Z</cp:lastPrinted>
  <dcterms:modified xsi:type="dcterms:W3CDTF">2023-03-29T09:07:20Z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A2E576D2E6D844C7BE12AE354A067EEE</vt:lpwstr>
  </property>
</Properties>
</file>