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ind w:right="840"/>
        <w:jc w:val="both"/>
        <w:rPr>
          <w:rFonts w:ascii="楷体_GB2312" w:eastAsia="楷体_GB2312"/>
          <w:color w:val="auto"/>
          <w:sz w:val="21"/>
          <w:szCs w:val="21"/>
        </w:rPr>
      </w:pPr>
      <w:r>
        <w:rPr>
          <w:rFonts w:hint="eastAsia" w:ascii="楷体_GB2312" w:eastAsia="楷体_GB2312"/>
          <w:color w:val="auto"/>
          <w:sz w:val="21"/>
          <w:szCs w:val="21"/>
        </w:rPr>
        <w:t>合同编号：</w:t>
      </w:r>
    </w:p>
    <w:p>
      <w:pPr>
        <w:widowControl/>
        <w:snapToGrid w:val="0"/>
        <w:spacing w:line="360" w:lineRule="auto"/>
        <w:ind w:right="840"/>
        <w:jc w:val="both"/>
        <w:rPr>
          <w:rFonts w:ascii="楷体_GB2312" w:eastAsia="楷体_GB2312"/>
          <w:color w:val="auto"/>
          <w:sz w:val="21"/>
          <w:szCs w:val="21"/>
        </w:rPr>
      </w:pPr>
      <w:r>
        <w:rPr>
          <w:rFonts w:hint="eastAsia" w:ascii="楷体_GB2312" w:eastAsia="楷体_GB2312"/>
          <w:color w:val="auto"/>
          <w:sz w:val="21"/>
          <w:szCs w:val="21"/>
        </w:rPr>
        <w:t>合同编号：</w:t>
      </w:r>
    </w:p>
    <w:p>
      <w:pPr>
        <w:widowControl/>
        <w:snapToGrid w:val="0"/>
        <w:spacing w:before="2772" w:beforeLines="600" w:line="360" w:lineRule="auto"/>
        <w:jc w:val="center"/>
        <w:rPr>
          <w:rFonts w:ascii="楷体_GB2312" w:eastAsia="楷体_GB2312"/>
          <w:color w:val="auto"/>
          <w:sz w:val="52"/>
          <w:szCs w:val="52"/>
        </w:rPr>
      </w:pPr>
      <w:r>
        <w:rPr>
          <w:rFonts w:hint="eastAsia" w:ascii="楷体_GB2312" w:eastAsia="楷体_GB2312"/>
          <w:color w:val="auto"/>
          <w:sz w:val="52"/>
          <w:szCs w:val="52"/>
        </w:rPr>
        <w:t>云港城项目</w:t>
      </w:r>
    </w:p>
    <w:p>
      <w:pPr>
        <w:widowControl/>
        <w:snapToGrid w:val="0"/>
        <w:spacing w:line="360" w:lineRule="auto"/>
        <w:jc w:val="center"/>
        <w:rPr>
          <w:rFonts w:ascii="楷体_GB2312" w:eastAsia="楷体_GB2312"/>
          <w:color w:val="auto"/>
          <w:sz w:val="52"/>
          <w:szCs w:val="52"/>
        </w:rPr>
      </w:pPr>
      <w:r>
        <w:rPr>
          <w:rFonts w:hint="eastAsia" w:ascii="楷体_GB2312" w:eastAsia="楷体_GB2312"/>
          <w:color w:val="auto"/>
          <w:sz w:val="52"/>
          <w:szCs w:val="52"/>
        </w:rPr>
        <w:t>4#地块电梯安装工程合同</w:t>
      </w:r>
    </w:p>
    <w:p>
      <w:pPr>
        <w:widowControl/>
        <w:snapToGrid w:val="0"/>
        <w:spacing w:line="360" w:lineRule="auto"/>
        <w:jc w:val="center"/>
        <w:rPr>
          <w:rFonts w:ascii="楷体_GB2312" w:eastAsia="楷体_GB2312"/>
          <w:color w:val="auto"/>
          <w:sz w:val="52"/>
          <w:szCs w:val="52"/>
        </w:rPr>
      </w:pPr>
    </w:p>
    <w:p>
      <w:pPr>
        <w:widowControl/>
        <w:snapToGrid w:val="0"/>
        <w:spacing w:line="360" w:lineRule="auto"/>
        <w:jc w:val="center"/>
        <w:rPr>
          <w:rFonts w:ascii="楷体_GB2312" w:eastAsia="楷体_GB2312"/>
          <w:color w:val="auto"/>
          <w:sz w:val="52"/>
          <w:szCs w:val="52"/>
        </w:rPr>
      </w:pPr>
    </w:p>
    <w:p>
      <w:pPr>
        <w:widowControl/>
        <w:snapToGrid w:val="0"/>
        <w:spacing w:line="360" w:lineRule="auto"/>
        <w:jc w:val="center"/>
        <w:rPr>
          <w:rFonts w:ascii="楷体_GB2312" w:eastAsia="楷体_GB2312"/>
          <w:color w:val="auto"/>
          <w:sz w:val="52"/>
          <w:szCs w:val="52"/>
        </w:rPr>
      </w:pPr>
    </w:p>
    <w:p>
      <w:pPr>
        <w:widowControl/>
        <w:snapToGrid w:val="0"/>
        <w:spacing w:line="360" w:lineRule="auto"/>
        <w:jc w:val="center"/>
        <w:rPr>
          <w:rFonts w:ascii="楷体_GB2312" w:eastAsia="楷体_GB2312"/>
          <w:color w:val="auto"/>
          <w:sz w:val="52"/>
          <w:szCs w:val="52"/>
        </w:rPr>
      </w:pPr>
    </w:p>
    <w:p>
      <w:pPr>
        <w:widowControl/>
        <w:snapToGrid w:val="0"/>
        <w:spacing w:line="360" w:lineRule="auto"/>
        <w:jc w:val="center"/>
        <w:rPr>
          <w:rFonts w:ascii="楷体_GB2312" w:eastAsia="楷体_GB2312"/>
          <w:color w:val="auto"/>
          <w:sz w:val="52"/>
          <w:szCs w:val="52"/>
        </w:rPr>
      </w:pPr>
    </w:p>
    <w:p>
      <w:pPr>
        <w:snapToGrid w:val="0"/>
        <w:spacing w:line="360" w:lineRule="auto"/>
        <w:ind w:left="680" w:leftChars="200"/>
        <w:rPr>
          <w:rFonts w:ascii="楷体_GB2312" w:eastAsia="楷体_GB2312"/>
          <w:color w:val="auto"/>
          <w:sz w:val="28"/>
          <w:szCs w:val="28"/>
        </w:rPr>
      </w:pPr>
      <w:r>
        <w:rPr>
          <w:rFonts w:hint="eastAsia" w:ascii="楷体_GB2312" w:eastAsia="楷体_GB2312"/>
          <w:color w:val="auto"/>
          <w:sz w:val="28"/>
          <w:szCs w:val="28"/>
        </w:rPr>
        <w:t>承包人：中国建筑第五工程局有限公司</w:t>
      </w:r>
    </w:p>
    <w:p>
      <w:pPr>
        <w:snapToGrid w:val="0"/>
        <w:spacing w:line="360" w:lineRule="auto"/>
        <w:ind w:left="680" w:leftChars="200"/>
        <w:rPr>
          <w:rFonts w:ascii="楷体_GB2312" w:eastAsia="楷体_GB2312"/>
          <w:color w:val="auto"/>
          <w:sz w:val="28"/>
          <w:szCs w:val="28"/>
          <w:u w:val="single"/>
        </w:rPr>
      </w:pPr>
      <w:r>
        <w:rPr>
          <w:rFonts w:hint="eastAsia" w:ascii="楷体_GB2312" w:eastAsia="楷体_GB2312"/>
          <w:color w:val="auto"/>
          <w:sz w:val="28"/>
          <w:szCs w:val="28"/>
        </w:rPr>
        <w:t>住所：长沙市雨花区中意一路158号</w:t>
      </w:r>
    </w:p>
    <w:p>
      <w:pPr>
        <w:snapToGrid w:val="0"/>
        <w:spacing w:line="360" w:lineRule="auto"/>
        <w:ind w:left="680" w:leftChars="200"/>
        <w:rPr>
          <w:rFonts w:ascii="楷体_GB2312" w:eastAsia="楷体_GB2312"/>
          <w:color w:val="auto"/>
          <w:sz w:val="28"/>
          <w:szCs w:val="28"/>
          <w:u w:val="single"/>
        </w:rPr>
      </w:pPr>
      <w:r>
        <w:rPr>
          <w:rFonts w:hint="eastAsia" w:ascii="楷体_GB2312" w:eastAsia="楷体_GB2312"/>
          <w:color w:val="auto"/>
          <w:sz w:val="28"/>
          <w:szCs w:val="28"/>
        </w:rPr>
        <w:t>分包人（安装分包单位）：</w:t>
      </w:r>
      <w:r>
        <w:rPr>
          <w:rFonts w:hint="eastAsia" w:ascii="楷体_GB2312" w:eastAsia="楷体_GB2312"/>
          <w:color w:val="auto"/>
          <w:sz w:val="28"/>
          <w:szCs w:val="28"/>
          <w:u w:val="single"/>
        </w:rPr>
        <w:t xml:space="preserve">  </w:t>
      </w:r>
      <w:r>
        <w:rPr>
          <w:rFonts w:ascii="楷体_GB2312" w:eastAsia="楷体_GB2312"/>
          <w:color w:val="auto"/>
          <w:sz w:val="28"/>
          <w:szCs w:val="28"/>
          <w:u w:val="single"/>
        </w:rPr>
        <w:t xml:space="preserve"> </w:t>
      </w:r>
    </w:p>
    <w:p>
      <w:pPr>
        <w:snapToGrid w:val="0"/>
        <w:spacing w:line="360" w:lineRule="auto"/>
        <w:ind w:left="680" w:leftChars="200"/>
        <w:rPr>
          <w:rFonts w:ascii="楷体_GB2312" w:eastAsia="楷体_GB2312"/>
          <w:color w:val="auto"/>
          <w:sz w:val="28"/>
          <w:szCs w:val="28"/>
          <w:u w:val="single"/>
        </w:rPr>
      </w:pPr>
      <w:r>
        <w:rPr>
          <w:rFonts w:hint="eastAsia" w:ascii="楷体_GB2312" w:eastAsia="楷体_GB2312"/>
          <w:color w:val="auto"/>
          <w:sz w:val="28"/>
          <w:szCs w:val="28"/>
        </w:rPr>
        <w:t>住所：</w:t>
      </w:r>
      <w:r>
        <w:rPr>
          <w:rFonts w:ascii="楷体_GB2312" w:eastAsia="楷体_GB2312"/>
          <w:color w:val="auto"/>
          <w:sz w:val="28"/>
          <w:szCs w:val="28"/>
          <w:u w:val="single"/>
        </w:rPr>
        <w:t xml:space="preserve"> </w:t>
      </w:r>
    </w:p>
    <w:p>
      <w:pPr>
        <w:snapToGrid w:val="0"/>
        <w:spacing w:line="360" w:lineRule="auto"/>
        <w:ind w:left="680" w:leftChars="200"/>
        <w:rPr>
          <w:rFonts w:ascii="楷体_GB2312" w:eastAsia="楷体_GB2312"/>
          <w:color w:val="auto"/>
          <w:sz w:val="28"/>
          <w:szCs w:val="28"/>
          <w:u w:val="single"/>
        </w:rPr>
      </w:pPr>
    </w:p>
    <w:p>
      <w:pPr>
        <w:widowControl/>
        <w:autoSpaceDE/>
        <w:autoSpaceDN/>
        <w:adjustRightInd/>
        <w:rPr>
          <w:rFonts w:ascii="楷体_GB2312" w:eastAsia="楷体_GB2312"/>
          <w:color w:val="auto"/>
          <w:sz w:val="28"/>
          <w:szCs w:val="28"/>
          <w:u w:val="single"/>
        </w:rPr>
      </w:pPr>
      <w:r>
        <w:rPr>
          <w:rFonts w:ascii="楷体_GB2312" w:eastAsia="楷体_GB2312"/>
          <w:color w:val="auto"/>
          <w:sz w:val="28"/>
          <w:szCs w:val="28"/>
          <w:u w:val="single"/>
        </w:rPr>
        <w:br w:type="page"/>
      </w:r>
    </w:p>
    <w:p>
      <w:pPr>
        <w:pStyle w:val="16"/>
        <w:tabs>
          <w:tab w:val="left" w:pos="630"/>
          <w:tab w:val="right" w:leader="dot" w:pos="8296"/>
        </w:tabs>
        <w:jc w:val="center"/>
        <w:rPr>
          <w:rFonts w:ascii="楷体" w:hAnsi="楷体" w:eastAsia="楷体"/>
          <w:b/>
          <w:color w:val="auto"/>
          <w:sz w:val="36"/>
        </w:rPr>
      </w:pPr>
      <w:r>
        <w:rPr>
          <w:rFonts w:hint="eastAsia" w:ascii="楷体" w:hAnsi="楷体" w:eastAsia="楷体"/>
          <w:b/>
          <w:color w:val="auto"/>
          <w:sz w:val="36"/>
        </w:rPr>
        <w:t>目  录</w:t>
      </w:r>
    </w:p>
    <w:p>
      <w:pPr>
        <w:pStyle w:val="16"/>
        <w:tabs>
          <w:tab w:val="left" w:pos="630"/>
          <w:tab w:val="right" w:leader="dot" w:pos="9060"/>
        </w:tabs>
        <w:spacing w:line="560" w:lineRule="exact"/>
        <w:rPr>
          <w:rFonts w:ascii="楷体" w:hAnsi="楷体" w:eastAsia="楷体" w:cstheme="minorBidi"/>
          <w:color w:val="auto"/>
          <w:kern w:val="2"/>
          <w:sz w:val="24"/>
          <w:szCs w:val="24"/>
        </w:rPr>
      </w:pPr>
      <w:r>
        <w:rPr>
          <w:rFonts w:hint="eastAsia" w:ascii="楷体" w:hAnsi="楷体" w:eastAsia="楷体"/>
          <w:color w:val="auto"/>
          <w:sz w:val="21"/>
          <w:szCs w:val="21"/>
        </w:rPr>
        <w:fldChar w:fldCharType="begin"/>
      </w:r>
      <w:r>
        <w:rPr>
          <w:rFonts w:ascii="楷体" w:hAnsi="楷体" w:eastAsia="楷体"/>
          <w:color w:val="auto"/>
          <w:sz w:val="21"/>
          <w:szCs w:val="21"/>
        </w:rPr>
        <w:instrText xml:space="preserve"> TOC \o "1-1" \h \z \u </w:instrText>
      </w:r>
      <w:r>
        <w:rPr>
          <w:rFonts w:hint="eastAsia" w:ascii="楷体" w:hAnsi="楷体" w:eastAsia="楷体"/>
          <w:color w:val="auto"/>
          <w:sz w:val="21"/>
          <w:szCs w:val="21"/>
        </w:rPr>
        <w:fldChar w:fldCharType="separate"/>
      </w:r>
      <w:r>
        <w:rPr>
          <w:color w:val="auto"/>
        </w:rPr>
        <w:fldChar w:fldCharType="begin"/>
      </w:r>
      <w:r>
        <w:rPr>
          <w:color w:val="auto"/>
        </w:rPr>
        <w:instrText xml:space="preserve"> HYPERLINK \l "_Toc126962022" </w:instrText>
      </w:r>
      <w:r>
        <w:rPr>
          <w:color w:val="auto"/>
        </w:rPr>
        <w:fldChar w:fldCharType="separate"/>
      </w:r>
      <w:r>
        <w:rPr>
          <w:rStyle w:val="23"/>
          <w:rFonts w:ascii="楷体" w:hAnsi="楷体" w:eastAsia="楷体"/>
          <w:color w:val="auto"/>
          <w:sz w:val="24"/>
          <w:szCs w:val="24"/>
        </w:rPr>
        <w:t>1.</w:t>
      </w:r>
      <w:r>
        <w:rPr>
          <w:rStyle w:val="23"/>
          <w:rFonts w:hint="eastAsia" w:ascii="楷体" w:hAnsi="楷体" w:eastAsia="楷体"/>
          <w:color w:val="auto"/>
          <w:sz w:val="24"/>
          <w:szCs w:val="24"/>
        </w:rPr>
        <w:t>定义、解释</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_Toc126962022 \h </w:instrText>
      </w:r>
      <w:r>
        <w:rPr>
          <w:rFonts w:ascii="楷体" w:hAnsi="楷体" w:eastAsia="楷体"/>
          <w:color w:val="auto"/>
          <w:sz w:val="24"/>
          <w:szCs w:val="24"/>
        </w:rPr>
        <w:fldChar w:fldCharType="separate"/>
      </w:r>
      <w:r>
        <w:rPr>
          <w:rFonts w:ascii="楷体" w:hAnsi="楷体" w:eastAsia="楷体"/>
          <w:color w:val="auto"/>
          <w:sz w:val="24"/>
          <w:szCs w:val="24"/>
        </w:rPr>
        <w:t>4</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63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"_Toc126962023" </w:instrText>
      </w:r>
      <w:r>
        <w:rPr>
          <w:color w:val="auto"/>
        </w:rPr>
        <w:fldChar w:fldCharType="separate"/>
      </w:r>
      <w:r>
        <w:rPr>
          <w:rStyle w:val="23"/>
          <w:rFonts w:ascii="楷体" w:hAnsi="楷体" w:eastAsia="楷体"/>
          <w:color w:val="auto"/>
          <w:sz w:val="24"/>
          <w:szCs w:val="24"/>
        </w:rPr>
        <w:t>2.</w:t>
      </w:r>
      <w:r>
        <w:rPr>
          <w:rStyle w:val="23"/>
          <w:rFonts w:hint="eastAsia" w:ascii="楷体" w:hAnsi="楷体" w:eastAsia="楷体"/>
          <w:color w:val="auto"/>
          <w:sz w:val="24"/>
          <w:szCs w:val="24"/>
        </w:rPr>
        <w:t>合同范围</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_Toc126962023 \h </w:instrText>
      </w:r>
      <w:r>
        <w:rPr>
          <w:rFonts w:ascii="楷体" w:hAnsi="楷体" w:eastAsia="楷体"/>
          <w:color w:val="auto"/>
          <w:sz w:val="24"/>
          <w:szCs w:val="24"/>
        </w:rPr>
        <w:fldChar w:fldCharType="separate"/>
      </w:r>
      <w:r>
        <w:rPr>
          <w:rFonts w:ascii="楷体" w:hAnsi="楷体" w:eastAsia="楷体"/>
          <w:color w:val="auto"/>
          <w:sz w:val="24"/>
          <w:szCs w:val="24"/>
        </w:rPr>
        <w:t>4</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63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"_Toc126962024" </w:instrText>
      </w:r>
      <w:r>
        <w:rPr>
          <w:color w:val="auto"/>
        </w:rPr>
        <w:fldChar w:fldCharType="separate"/>
      </w:r>
      <w:r>
        <w:rPr>
          <w:rStyle w:val="23"/>
          <w:rFonts w:ascii="楷体" w:hAnsi="楷体" w:eastAsia="楷体"/>
          <w:color w:val="auto"/>
          <w:sz w:val="24"/>
          <w:szCs w:val="24"/>
        </w:rPr>
        <w:t>3.</w:t>
      </w:r>
      <w:r>
        <w:rPr>
          <w:rStyle w:val="23"/>
          <w:rFonts w:hint="eastAsia" w:ascii="楷体" w:hAnsi="楷体" w:eastAsia="楷体"/>
          <w:color w:val="auto"/>
          <w:sz w:val="24"/>
          <w:szCs w:val="24"/>
        </w:rPr>
        <w:t>分包人具体工作内容</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_Toc126962024 \h </w:instrText>
      </w:r>
      <w:r>
        <w:rPr>
          <w:rFonts w:ascii="楷体" w:hAnsi="楷体" w:eastAsia="楷体"/>
          <w:color w:val="auto"/>
          <w:sz w:val="24"/>
          <w:szCs w:val="24"/>
        </w:rPr>
        <w:fldChar w:fldCharType="separate"/>
      </w:r>
      <w:r>
        <w:rPr>
          <w:rFonts w:ascii="楷体" w:hAnsi="楷体" w:eastAsia="楷体"/>
          <w:color w:val="auto"/>
          <w:sz w:val="24"/>
          <w:szCs w:val="24"/>
        </w:rPr>
        <w:t>4</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63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"_Toc126962025" </w:instrText>
      </w:r>
      <w:r>
        <w:rPr>
          <w:color w:val="auto"/>
        </w:rPr>
        <w:fldChar w:fldCharType="separate"/>
      </w:r>
      <w:r>
        <w:rPr>
          <w:rStyle w:val="23"/>
          <w:rFonts w:ascii="楷体" w:hAnsi="楷体" w:eastAsia="楷体"/>
          <w:color w:val="auto"/>
          <w:sz w:val="24"/>
          <w:szCs w:val="24"/>
        </w:rPr>
        <w:t>4.</w:t>
      </w:r>
      <w:r>
        <w:rPr>
          <w:rStyle w:val="23"/>
          <w:rFonts w:hint="eastAsia" w:ascii="楷体" w:hAnsi="楷体" w:eastAsia="楷体"/>
          <w:color w:val="auto"/>
          <w:sz w:val="24"/>
          <w:szCs w:val="24"/>
        </w:rPr>
        <w:t>合同工期</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_Toc126962025 \h </w:instrText>
      </w:r>
      <w:r>
        <w:rPr>
          <w:rFonts w:ascii="楷体" w:hAnsi="楷体" w:eastAsia="楷体"/>
          <w:color w:val="auto"/>
          <w:sz w:val="24"/>
          <w:szCs w:val="24"/>
        </w:rPr>
        <w:fldChar w:fldCharType="separate"/>
      </w:r>
      <w:r>
        <w:rPr>
          <w:rFonts w:ascii="楷体" w:hAnsi="楷体" w:eastAsia="楷体"/>
          <w:color w:val="auto"/>
          <w:sz w:val="24"/>
          <w:szCs w:val="24"/>
        </w:rPr>
        <w:t>7</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63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"_Toc126962026" </w:instrText>
      </w:r>
      <w:r>
        <w:rPr>
          <w:color w:val="auto"/>
        </w:rPr>
        <w:fldChar w:fldCharType="separate"/>
      </w:r>
      <w:r>
        <w:rPr>
          <w:rStyle w:val="23"/>
          <w:rFonts w:ascii="楷体" w:hAnsi="楷体" w:eastAsia="楷体"/>
          <w:color w:val="auto"/>
          <w:sz w:val="24"/>
          <w:szCs w:val="24"/>
        </w:rPr>
        <w:t>5.</w:t>
      </w:r>
      <w:r>
        <w:rPr>
          <w:rStyle w:val="23"/>
          <w:rFonts w:hint="eastAsia" w:ascii="楷体" w:hAnsi="楷体" w:eastAsia="楷体"/>
          <w:color w:val="auto"/>
          <w:sz w:val="24"/>
          <w:szCs w:val="24"/>
        </w:rPr>
        <w:t>合同价款</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_Toc126962026 \h </w:instrText>
      </w:r>
      <w:r>
        <w:rPr>
          <w:rFonts w:ascii="楷体" w:hAnsi="楷体" w:eastAsia="楷体"/>
          <w:color w:val="auto"/>
          <w:sz w:val="24"/>
          <w:szCs w:val="24"/>
        </w:rPr>
        <w:fldChar w:fldCharType="separate"/>
      </w:r>
      <w:r>
        <w:rPr>
          <w:rFonts w:ascii="楷体" w:hAnsi="楷体" w:eastAsia="楷体"/>
          <w:color w:val="auto"/>
          <w:sz w:val="24"/>
          <w:szCs w:val="24"/>
        </w:rPr>
        <w:t>9</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63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"_Toc126962027" </w:instrText>
      </w:r>
      <w:r>
        <w:rPr>
          <w:color w:val="auto"/>
        </w:rPr>
        <w:fldChar w:fldCharType="separate"/>
      </w:r>
      <w:r>
        <w:rPr>
          <w:rStyle w:val="23"/>
          <w:rFonts w:ascii="楷体" w:hAnsi="楷体" w:eastAsia="楷体"/>
          <w:color w:val="auto"/>
          <w:sz w:val="24"/>
          <w:szCs w:val="24"/>
        </w:rPr>
        <w:t>6.</w:t>
      </w:r>
      <w:r>
        <w:rPr>
          <w:rStyle w:val="23"/>
          <w:rFonts w:hint="eastAsia" w:ascii="楷体" w:hAnsi="楷体" w:eastAsia="楷体"/>
          <w:color w:val="auto"/>
          <w:sz w:val="24"/>
          <w:szCs w:val="24"/>
        </w:rPr>
        <w:t>合同的价款支付、变更、结算</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_Toc126962027 \h </w:instrText>
      </w:r>
      <w:r>
        <w:rPr>
          <w:rFonts w:ascii="楷体" w:hAnsi="楷体" w:eastAsia="楷体"/>
          <w:color w:val="auto"/>
          <w:sz w:val="24"/>
          <w:szCs w:val="24"/>
        </w:rPr>
        <w:fldChar w:fldCharType="separate"/>
      </w:r>
      <w:r>
        <w:rPr>
          <w:rFonts w:ascii="楷体" w:hAnsi="楷体" w:eastAsia="楷体"/>
          <w:color w:val="auto"/>
          <w:sz w:val="24"/>
          <w:szCs w:val="24"/>
        </w:rPr>
        <w:t>10</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63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"_Toc126962028" </w:instrText>
      </w:r>
      <w:r>
        <w:rPr>
          <w:color w:val="auto"/>
        </w:rPr>
        <w:fldChar w:fldCharType="separate"/>
      </w:r>
      <w:r>
        <w:rPr>
          <w:rStyle w:val="23"/>
          <w:rFonts w:ascii="楷体" w:hAnsi="楷体" w:eastAsia="楷体"/>
          <w:color w:val="auto"/>
          <w:sz w:val="24"/>
          <w:szCs w:val="24"/>
        </w:rPr>
        <w:t>7.</w:t>
      </w:r>
      <w:r>
        <w:rPr>
          <w:rStyle w:val="23"/>
          <w:rFonts w:hint="eastAsia" w:ascii="楷体" w:hAnsi="楷体" w:eastAsia="楷体"/>
          <w:color w:val="auto"/>
          <w:sz w:val="24"/>
          <w:szCs w:val="24"/>
        </w:rPr>
        <w:t>竣工结算</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_Toc126962028 \h </w:instrText>
      </w:r>
      <w:r>
        <w:rPr>
          <w:rFonts w:ascii="楷体" w:hAnsi="楷体" w:eastAsia="楷体"/>
          <w:color w:val="auto"/>
          <w:sz w:val="24"/>
          <w:szCs w:val="24"/>
        </w:rPr>
        <w:fldChar w:fldCharType="separate"/>
      </w:r>
      <w:r>
        <w:rPr>
          <w:rFonts w:ascii="楷体" w:hAnsi="楷体" w:eastAsia="楷体"/>
          <w:color w:val="auto"/>
          <w:sz w:val="24"/>
          <w:szCs w:val="24"/>
        </w:rPr>
        <w:t>12</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63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"_Toc126962029" </w:instrText>
      </w:r>
      <w:r>
        <w:rPr>
          <w:color w:val="auto"/>
        </w:rPr>
        <w:fldChar w:fldCharType="separate"/>
      </w:r>
      <w:r>
        <w:rPr>
          <w:rStyle w:val="23"/>
          <w:rFonts w:ascii="楷体" w:hAnsi="楷体" w:eastAsia="楷体"/>
          <w:color w:val="auto"/>
          <w:sz w:val="24"/>
          <w:szCs w:val="24"/>
        </w:rPr>
        <w:t>8.</w:t>
      </w:r>
      <w:r>
        <w:rPr>
          <w:rStyle w:val="23"/>
          <w:rFonts w:hint="eastAsia" w:ascii="楷体" w:hAnsi="楷体" w:eastAsia="楷体"/>
          <w:color w:val="auto"/>
          <w:sz w:val="24"/>
          <w:szCs w:val="24"/>
        </w:rPr>
        <w:t>义务和责任</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_Toc126962029 \h </w:instrText>
      </w:r>
      <w:r>
        <w:rPr>
          <w:rFonts w:ascii="楷体" w:hAnsi="楷体" w:eastAsia="楷体"/>
          <w:color w:val="auto"/>
          <w:sz w:val="24"/>
          <w:szCs w:val="24"/>
        </w:rPr>
        <w:fldChar w:fldCharType="separate"/>
      </w:r>
      <w:r>
        <w:rPr>
          <w:rFonts w:ascii="楷体" w:hAnsi="楷体" w:eastAsia="楷体"/>
          <w:color w:val="auto"/>
          <w:sz w:val="24"/>
          <w:szCs w:val="24"/>
        </w:rPr>
        <w:t>15</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63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"_Toc126962030" </w:instrText>
      </w:r>
      <w:r>
        <w:rPr>
          <w:color w:val="auto"/>
        </w:rPr>
        <w:fldChar w:fldCharType="separate"/>
      </w:r>
      <w:r>
        <w:rPr>
          <w:rStyle w:val="23"/>
          <w:rFonts w:ascii="楷体" w:hAnsi="楷体" w:eastAsia="楷体"/>
          <w:color w:val="auto"/>
          <w:sz w:val="24"/>
          <w:szCs w:val="24"/>
        </w:rPr>
        <w:t>9.</w:t>
      </w:r>
      <w:r>
        <w:rPr>
          <w:rStyle w:val="23"/>
          <w:rFonts w:hint="eastAsia" w:ascii="楷体" w:hAnsi="楷体" w:eastAsia="楷体"/>
          <w:color w:val="auto"/>
          <w:sz w:val="24"/>
          <w:szCs w:val="24"/>
        </w:rPr>
        <w:t>施工现场及资料</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_Toc126962030 \h </w:instrText>
      </w:r>
      <w:r>
        <w:rPr>
          <w:rFonts w:ascii="楷体" w:hAnsi="楷体" w:eastAsia="楷体"/>
          <w:color w:val="auto"/>
          <w:sz w:val="24"/>
          <w:szCs w:val="24"/>
        </w:rPr>
        <w:fldChar w:fldCharType="separate"/>
      </w:r>
      <w:r>
        <w:rPr>
          <w:rFonts w:ascii="楷体" w:hAnsi="楷体" w:eastAsia="楷体"/>
          <w:color w:val="auto"/>
          <w:sz w:val="24"/>
          <w:szCs w:val="24"/>
        </w:rPr>
        <w:t>16</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"_Toc126962031" </w:instrText>
      </w:r>
      <w:r>
        <w:rPr>
          <w:color w:val="auto"/>
        </w:rPr>
        <w:fldChar w:fldCharType="separate"/>
      </w:r>
      <w:r>
        <w:rPr>
          <w:rStyle w:val="23"/>
          <w:rFonts w:ascii="楷体" w:hAnsi="楷体" w:eastAsia="楷体"/>
          <w:color w:val="auto"/>
          <w:sz w:val="24"/>
          <w:szCs w:val="24"/>
        </w:rPr>
        <w:t>10.</w:t>
      </w:r>
      <w:r>
        <w:rPr>
          <w:rStyle w:val="23"/>
          <w:rFonts w:hint="eastAsia" w:ascii="楷体" w:hAnsi="楷体" w:eastAsia="楷体"/>
          <w:color w:val="auto"/>
          <w:sz w:val="24"/>
          <w:szCs w:val="24"/>
        </w:rPr>
        <w:t>图纸</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_Toc126962031 \h </w:instrText>
      </w:r>
      <w:r>
        <w:rPr>
          <w:rFonts w:ascii="楷体" w:hAnsi="楷体" w:eastAsia="楷体"/>
          <w:color w:val="auto"/>
          <w:sz w:val="24"/>
          <w:szCs w:val="24"/>
        </w:rPr>
        <w:fldChar w:fldCharType="separate"/>
      </w:r>
      <w:r>
        <w:rPr>
          <w:rFonts w:ascii="楷体" w:hAnsi="楷体" w:eastAsia="楷体"/>
          <w:color w:val="auto"/>
          <w:sz w:val="24"/>
          <w:szCs w:val="24"/>
        </w:rPr>
        <w:t>17</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"_Toc126962032" </w:instrText>
      </w:r>
      <w:r>
        <w:rPr>
          <w:color w:val="auto"/>
        </w:rPr>
        <w:fldChar w:fldCharType="separate"/>
      </w:r>
      <w:r>
        <w:rPr>
          <w:rStyle w:val="23"/>
          <w:rFonts w:ascii="楷体" w:hAnsi="楷体" w:eastAsia="楷体"/>
          <w:color w:val="auto"/>
          <w:sz w:val="24"/>
          <w:szCs w:val="24"/>
        </w:rPr>
        <w:t>11.</w:t>
      </w:r>
      <w:r>
        <w:rPr>
          <w:rStyle w:val="23"/>
          <w:rFonts w:hint="eastAsia" w:ascii="楷体" w:hAnsi="楷体" w:eastAsia="楷体"/>
          <w:color w:val="auto"/>
          <w:sz w:val="24"/>
          <w:szCs w:val="24"/>
        </w:rPr>
        <w:t>涉及承包人工作及统筹</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_Toc126962032 \h </w:instrText>
      </w:r>
      <w:r>
        <w:rPr>
          <w:rFonts w:ascii="楷体" w:hAnsi="楷体" w:eastAsia="楷体"/>
          <w:color w:val="auto"/>
          <w:sz w:val="24"/>
          <w:szCs w:val="24"/>
        </w:rPr>
        <w:fldChar w:fldCharType="separate"/>
      </w:r>
      <w:r>
        <w:rPr>
          <w:rFonts w:ascii="楷体" w:hAnsi="楷体" w:eastAsia="楷体"/>
          <w:color w:val="auto"/>
          <w:sz w:val="24"/>
          <w:szCs w:val="24"/>
        </w:rPr>
        <w:t>18</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"_Toc126962033" </w:instrText>
      </w:r>
      <w:r>
        <w:rPr>
          <w:color w:val="auto"/>
        </w:rPr>
        <w:fldChar w:fldCharType="separate"/>
      </w:r>
      <w:r>
        <w:rPr>
          <w:rStyle w:val="23"/>
          <w:rFonts w:ascii="楷体" w:hAnsi="楷体" w:eastAsia="楷体"/>
          <w:color w:val="auto"/>
          <w:sz w:val="24"/>
          <w:szCs w:val="24"/>
        </w:rPr>
        <w:t>12.</w:t>
      </w:r>
      <w:r>
        <w:rPr>
          <w:rStyle w:val="23"/>
          <w:rFonts w:hint="eastAsia" w:ascii="楷体" w:hAnsi="楷体" w:eastAsia="楷体"/>
          <w:color w:val="auto"/>
          <w:sz w:val="24"/>
          <w:szCs w:val="24"/>
        </w:rPr>
        <w:t>调试、测试和检验</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_Toc126962033 \h </w:instrText>
      </w:r>
      <w:r>
        <w:rPr>
          <w:rFonts w:ascii="楷体" w:hAnsi="楷体" w:eastAsia="楷体"/>
          <w:color w:val="auto"/>
          <w:sz w:val="24"/>
          <w:szCs w:val="24"/>
        </w:rPr>
        <w:fldChar w:fldCharType="separate"/>
      </w:r>
      <w:r>
        <w:rPr>
          <w:rFonts w:ascii="楷体" w:hAnsi="楷体" w:eastAsia="楷体"/>
          <w:color w:val="auto"/>
          <w:sz w:val="24"/>
          <w:szCs w:val="24"/>
        </w:rPr>
        <w:t>20</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"_Toc126962034" </w:instrText>
      </w:r>
      <w:r>
        <w:rPr>
          <w:color w:val="auto"/>
        </w:rPr>
        <w:fldChar w:fldCharType="separate"/>
      </w:r>
      <w:r>
        <w:rPr>
          <w:rStyle w:val="23"/>
          <w:rFonts w:ascii="楷体" w:hAnsi="楷体" w:eastAsia="楷体"/>
          <w:color w:val="auto"/>
          <w:sz w:val="24"/>
          <w:szCs w:val="24"/>
        </w:rPr>
        <w:t>13.</w:t>
      </w:r>
      <w:r>
        <w:rPr>
          <w:rStyle w:val="23"/>
          <w:rFonts w:hint="eastAsia" w:ascii="楷体" w:hAnsi="楷体" w:eastAsia="楷体"/>
          <w:color w:val="auto"/>
          <w:sz w:val="24"/>
          <w:szCs w:val="24"/>
        </w:rPr>
        <w:t>安装及验收交付</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_Toc126962034 \h </w:instrText>
      </w:r>
      <w:r>
        <w:rPr>
          <w:rFonts w:ascii="楷体" w:hAnsi="楷体" w:eastAsia="楷体"/>
          <w:color w:val="auto"/>
          <w:sz w:val="24"/>
          <w:szCs w:val="24"/>
        </w:rPr>
        <w:fldChar w:fldCharType="separate"/>
      </w:r>
      <w:r>
        <w:rPr>
          <w:rFonts w:ascii="楷体" w:hAnsi="楷体" w:eastAsia="楷体"/>
          <w:color w:val="auto"/>
          <w:sz w:val="24"/>
          <w:szCs w:val="24"/>
        </w:rPr>
        <w:t>21</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"_Toc126962035" </w:instrText>
      </w:r>
      <w:r>
        <w:rPr>
          <w:color w:val="auto"/>
        </w:rPr>
        <w:fldChar w:fldCharType="separate"/>
      </w:r>
      <w:r>
        <w:rPr>
          <w:rStyle w:val="23"/>
          <w:rFonts w:ascii="楷体" w:hAnsi="楷体" w:eastAsia="楷体"/>
          <w:color w:val="auto"/>
          <w:sz w:val="24"/>
          <w:szCs w:val="24"/>
        </w:rPr>
        <w:t>14.</w:t>
      </w:r>
      <w:r>
        <w:rPr>
          <w:rStyle w:val="23"/>
          <w:rFonts w:hint="eastAsia" w:ascii="楷体" w:hAnsi="楷体" w:eastAsia="楷体"/>
          <w:color w:val="auto"/>
          <w:sz w:val="24"/>
          <w:szCs w:val="24"/>
        </w:rPr>
        <w:t>技术文件</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_Toc126962035 \h </w:instrText>
      </w:r>
      <w:r>
        <w:rPr>
          <w:rFonts w:ascii="楷体" w:hAnsi="楷体" w:eastAsia="楷体"/>
          <w:color w:val="auto"/>
          <w:sz w:val="24"/>
          <w:szCs w:val="24"/>
        </w:rPr>
        <w:fldChar w:fldCharType="separate"/>
      </w:r>
      <w:r>
        <w:rPr>
          <w:rFonts w:ascii="楷体" w:hAnsi="楷体" w:eastAsia="楷体"/>
          <w:color w:val="auto"/>
          <w:sz w:val="24"/>
          <w:szCs w:val="24"/>
        </w:rPr>
        <w:t>22</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"_Toc126962036" </w:instrText>
      </w:r>
      <w:r>
        <w:rPr>
          <w:color w:val="auto"/>
        </w:rPr>
        <w:fldChar w:fldCharType="separate"/>
      </w:r>
      <w:r>
        <w:rPr>
          <w:rStyle w:val="23"/>
          <w:rFonts w:ascii="楷体" w:hAnsi="楷体" w:eastAsia="楷体"/>
          <w:color w:val="auto"/>
          <w:sz w:val="24"/>
          <w:szCs w:val="24"/>
        </w:rPr>
        <w:t>15.</w:t>
      </w:r>
      <w:r>
        <w:rPr>
          <w:rStyle w:val="23"/>
          <w:rFonts w:hint="eastAsia" w:ascii="楷体" w:hAnsi="楷体" w:eastAsia="楷体"/>
          <w:color w:val="auto"/>
          <w:sz w:val="24"/>
          <w:szCs w:val="24"/>
        </w:rPr>
        <w:t>保修、保养及维护</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_Toc126962036 \h </w:instrText>
      </w:r>
      <w:r>
        <w:rPr>
          <w:rFonts w:ascii="楷体" w:hAnsi="楷体" w:eastAsia="楷体"/>
          <w:color w:val="auto"/>
          <w:sz w:val="24"/>
          <w:szCs w:val="24"/>
        </w:rPr>
        <w:fldChar w:fldCharType="separate"/>
      </w:r>
      <w:r>
        <w:rPr>
          <w:rFonts w:ascii="楷体" w:hAnsi="楷体" w:eastAsia="楷体"/>
          <w:color w:val="auto"/>
          <w:sz w:val="24"/>
          <w:szCs w:val="24"/>
        </w:rPr>
        <w:t>23</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"_Toc126962037" </w:instrText>
      </w:r>
      <w:r>
        <w:rPr>
          <w:color w:val="auto"/>
        </w:rPr>
        <w:fldChar w:fldCharType="separate"/>
      </w:r>
      <w:r>
        <w:rPr>
          <w:rStyle w:val="23"/>
          <w:rFonts w:ascii="楷体" w:hAnsi="楷体" w:eastAsia="楷体"/>
          <w:color w:val="auto"/>
          <w:sz w:val="24"/>
          <w:szCs w:val="24"/>
        </w:rPr>
        <w:t>16.</w:t>
      </w:r>
      <w:r>
        <w:rPr>
          <w:rStyle w:val="23"/>
          <w:rFonts w:hint="eastAsia" w:ascii="楷体" w:hAnsi="楷体" w:eastAsia="楷体"/>
          <w:color w:val="auto"/>
          <w:sz w:val="24"/>
          <w:szCs w:val="24"/>
        </w:rPr>
        <w:t>履约担保</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_Toc126962037 \h </w:instrText>
      </w:r>
      <w:r>
        <w:rPr>
          <w:rFonts w:ascii="楷体" w:hAnsi="楷体" w:eastAsia="楷体"/>
          <w:color w:val="auto"/>
          <w:sz w:val="24"/>
          <w:szCs w:val="24"/>
        </w:rPr>
        <w:fldChar w:fldCharType="separate"/>
      </w:r>
      <w:r>
        <w:rPr>
          <w:rFonts w:ascii="楷体" w:hAnsi="楷体" w:eastAsia="楷体"/>
          <w:color w:val="auto"/>
          <w:sz w:val="24"/>
          <w:szCs w:val="24"/>
        </w:rPr>
        <w:t>24</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"_Toc126962038" </w:instrText>
      </w:r>
      <w:r>
        <w:rPr>
          <w:color w:val="auto"/>
        </w:rPr>
        <w:fldChar w:fldCharType="separate"/>
      </w:r>
      <w:r>
        <w:rPr>
          <w:rStyle w:val="23"/>
          <w:rFonts w:ascii="楷体" w:hAnsi="楷体" w:eastAsia="楷体"/>
          <w:color w:val="auto"/>
          <w:sz w:val="24"/>
          <w:szCs w:val="24"/>
        </w:rPr>
        <w:t>17.</w:t>
      </w:r>
      <w:r>
        <w:rPr>
          <w:rStyle w:val="23"/>
          <w:rFonts w:hint="eastAsia" w:ascii="楷体" w:hAnsi="楷体" w:eastAsia="楷体"/>
          <w:color w:val="auto"/>
          <w:sz w:val="24"/>
          <w:szCs w:val="24"/>
        </w:rPr>
        <w:t>保险</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_Toc126962038 \h </w:instrText>
      </w:r>
      <w:r>
        <w:rPr>
          <w:rFonts w:ascii="楷体" w:hAnsi="楷体" w:eastAsia="楷体"/>
          <w:color w:val="auto"/>
          <w:sz w:val="24"/>
          <w:szCs w:val="24"/>
        </w:rPr>
        <w:fldChar w:fldCharType="separate"/>
      </w:r>
      <w:r>
        <w:rPr>
          <w:rFonts w:ascii="楷体" w:hAnsi="楷体" w:eastAsia="楷体"/>
          <w:color w:val="auto"/>
          <w:sz w:val="24"/>
          <w:szCs w:val="24"/>
        </w:rPr>
        <w:t>24</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"_Toc126962039" </w:instrText>
      </w:r>
      <w:r>
        <w:rPr>
          <w:color w:val="auto"/>
        </w:rPr>
        <w:fldChar w:fldCharType="separate"/>
      </w:r>
      <w:r>
        <w:rPr>
          <w:rStyle w:val="23"/>
          <w:rFonts w:ascii="楷体" w:hAnsi="楷体" w:eastAsia="楷体"/>
          <w:color w:val="auto"/>
          <w:sz w:val="24"/>
          <w:szCs w:val="24"/>
        </w:rPr>
        <w:t>18.</w:t>
      </w:r>
      <w:r>
        <w:rPr>
          <w:rStyle w:val="23"/>
          <w:rFonts w:hint="eastAsia" w:ascii="楷体" w:hAnsi="楷体" w:eastAsia="楷体"/>
          <w:color w:val="auto"/>
          <w:sz w:val="24"/>
          <w:szCs w:val="24"/>
        </w:rPr>
        <w:t>违约责任</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_Toc126962039 \h </w:instrText>
      </w:r>
      <w:r>
        <w:rPr>
          <w:rFonts w:ascii="楷体" w:hAnsi="楷体" w:eastAsia="楷体"/>
          <w:color w:val="auto"/>
          <w:sz w:val="24"/>
          <w:szCs w:val="24"/>
        </w:rPr>
        <w:fldChar w:fldCharType="separate"/>
      </w:r>
      <w:r>
        <w:rPr>
          <w:rFonts w:ascii="楷体" w:hAnsi="楷体" w:eastAsia="楷体"/>
          <w:color w:val="auto"/>
          <w:sz w:val="24"/>
          <w:szCs w:val="24"/>
        </w:rPr>
        <w:t>24</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"_Toc126962040" </w:instrText>
      </w:r>
      <w:r>
        <w:rPr>
          <w:color w:val="auto"/>
        </w:rPr>
        <w:fldChar w:fldCharType="separate"/>
      </w:r>
      <w:r>
        <w:rPr>
          <w:rStyle w:val="23"/>
          <w:rFonts w:ascii="楷体" w:hAnsi="楷体" w:eastAsia="楷体"/>
          <w:color w:val="auto"/>
          <w:sz w:val="24"/>
          <w:szCs w:val="24"/>
        </w:rPr>
        <w:t>19.</w:t>
      </w:r>
      <w:r>
        <w:rPr>
          <w:rStyle w:val="23"/>
          <w:rFonts w:hint="eastAsia" w:ascii="楷体" w:hAnsi="楷体" w:eastAsia="楷体"/>
          <w:color w:val="auto"/>
          <w:sz w:val="24"/>
          <w:szCs w:val="24"/>
        </w:rPr>
        <w:t>不可抗力</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_Toc126962040 \h </w:instrText>
      </w:r>
      <w:r>
        <w:rPr>
          <w:rFonts w:ascii="楷体" w:hAnsi="楷体" w:eastAsia="楷体"/>
          <w:color w:val="auto"/>
          <w:sz w:val="24"/>
          <w:szCs w:val="24"/>
        </w:rPr>
        <w:fldChar w:fldCharType="separate"/>
      </w:r>
      <w:r>
        <w:rPr>
          <w:rFonts w:ascii="楷体" w:hAnsi="楷体" w:eastAsia="楷体"/>
          <w:color w:val="auto"/>
          <w:sz w:val="24"/>
          <w:szCs w:val="24"/>
        </w:rPr>
        <w:t>27</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"_Toc126962041" </w:instrText>
      </w:r>
      <w:r>
        <w:rPr>
          <w:color w:val="auto"/>
        </w:rPr>
        <w:fldChar w:fldCharType="separate"/>
      </w:r>
      <w:r>
        <w:rPr>
          <w:rStyle w:val="23"/>
          <w:rFonts w:ascii="楷体" w:hAnsi="楷体" w:eastAsia="楷体" w:cs="Arial"/>
          <w:color w:val="auto"/>
          <w:sz w:val="24"/>
          <w:szCs w:val="24"/>
        </w:rPr>
        <w:t>20.</w:t>
      </w:r>
      <w:r>
        <w:rPr>
          <w:rStyle w:val="23"/>
          <w:rFonts w:hint="eastAsia" w:ascii="楷体" w:hAnsi="楷体" w:eastAsia="楷体"/>
          <w:color w:val="auto"/>
          <w:sz w:val="24"/>
          <w:szCs w:val="24"/>
        </w:rPr>
        <w:t>通知及送达</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_Toc126962041 \h </w:instrText>
      </w:r>
      <w:r>
        <w:rPr>
          <w:rFonts w:ascii="楷体" w:hAnsi="楷体" w:eastAsia="楷体"/>
          <w:color w:val="auto"/>
          <w:sz w:val="24"/>
          <w:szCs w:val="24"/>
        </w:rPr>
        <w:fldChar w:fldCharType="separate"/>
      </w:r>
      <w:r>
        <w:rPr>
          <w:rFonts w:ascii="楷体" w:hAnsi="楷体" w:eastAsia="楷体"/>
          <w:color w:val="auto"/>
          <w:sz w:val="24"/>
          <w:szCs w:val="24"/>
        </w:rPr>
        <w:t>27</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"_Toc126962042" </w:instrText>
      </w:r>
      <w:r>
        <w:rPr>
          <w:color w:val="auto"/>
        </w:rPr>
        <w:fldChar w:fldCharType="separate"/>
      </w:r>
      <w:r>
        <w:rPr>
          <w:rStyle w:val="23"/>
          <w:rFonts w:ascii="楷体" w:hAnsi="楷体" w:eastAsia="楷体"/>
          <w:color w:val="auto"/>
          <w:sz w:val="24"/>
          <w:szCs w:val="24"/>
        </w:rPr>
        <w:t>21.</w:t>
      </w:r>
      <w:r>
        <w:rPr>
          <w:rStyle w:val="23"/>
          <w:rFonts w:hint="eastAsia" w:ascii="楷体" w:hAnsi="楷体" w:eastAsia="楷体"/>
          <w:color w:val="auto"/>
          <w:sz w:val="24"/>
          <w:szCs w:val="24"/>
        </w:rPr>
        <w:t>争议的解决</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_Toc126962042 \h </w:instrText>
      </w:r>
      <w:r>
        <w:rPr>
          <w:rFonts w:ascii="楷体" w:hAnsi="楷体" w:eastAsia="楷体"/>
          <w:color w:val="auto"/>
          <w:sz w:val="24"/>
          <w:szCs w:val="24"/>
        </w:rPr>
        <w:fldChar w:fldCharType="separate"/>
      </w:r>
      <w:r>
        <w:rPr>
          <w:rFonts w:ascii="楷体" w:hAnsi="楷体" w:eastAsia="楷体"/>
          <w:color w:val="auto"/>
          <w:sz w:val="24"/>
          <w:szCs w:val="24"/>
        </w:rPr>
        <w:t>28</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"_Toc126962043" </w:instrText>
      </w:r>
      <w:r>
        <w:rPr>
          <w:color w:val="auto"/>
        </w:rPr>
        <w:fldChar w:fldCharType="separate"/>
      </w:r>
      <w:r>
        <w:rPr>
          <w:rStyle w:val="23"/>
          <w:rFonts w:ascii="楷体" w:hAnsi="楷体" w:eastAsia="楷体"/>
          <w:color w:val="auto"/>
          <w:sz w:val="24"/>
          <w:szCs w:val="24"/>
        </w:rPr>
        <w:t>22.</w:t>
      </w:r>
      <w:r>
        <w:rPr>
          <w:rStyle w:val="23"/>
          <w:rFonts w:hint="eastAsia" w:ascii="楷体" w:hAnsi="楷体" w:eastAsia="楷体"/>
          <w:color w:val="auto"/>
          <w:sz w:val="24"/>
          <w:szCs w:val="24"/>
        </w:rPr>
        <w:t>合同生效</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_Toc126962043 \h </w:instrText>
      </w:r>
      <w:r>
        <w:rPr>
          <w:rFonts w:ascii="楷体" w:hAnsi="楷体" w:eastAsia="楷体"/>
          <w:color w:val="auto"/>
          <w:sz w:val="24"/>
          <w:szCs w:val="24"/>
        </w:rPr>
        <w:fldChar w:fldCharType="separate"/>
      </w:r>
      <w:r>
        <w:rPr>
          <w:rFonts w:ascii="楷体" w:hAnsi="楷体" w:eastAsia="楷体"/>
          <w:color w:val="auto"/>
          <w:sz w:val="24"/>
          <w:szCs w:val="24"/>
        </w:rPr>
        <w:t>28</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left" w:pos="840"/>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"_Toc126962044" </w:instrText>
      </w:r>
      <w:r>
        <w:rPr>
          <w:color w:val="auto"/>
        </w:rPr>
        <w:fldChar w:fldCharType="separate"/>
      </w:r>
      <w:r>
        <w:rPr>
          <w:rStyle w:val="23"/>
          <w:rFonts w:ascii="楷体" w:hAnsi="楷体" w:eastAsia="楷体"/>
          <w:color w:val="auto"/>
          <w:sz w:val="24"/>
          <w:szCs w:val="24"/>
        </w:rPr>
        <w:t>23.</w:t>
      </w:r>
      <w:r>
        <w:rPr>
          <w:rStyle w:val="23"/>
          <w:rFonts w:hint="eastAsia" w:ascii="楷体" w:hAnsi="楷体" w:eastAsia="楷体"/>
          <w:color w:val="auto"/>
          <w:sz w:val="24"/>
          <w:szCs w:val="24"/>
        </w:rPr>
        <w:t>下列文件均为本合同不可分割部分：</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_Toc126962044 \h </w:instrText>
      </w:r>
      <w:r>
        <w:rPr>
          <w:rFonts w:ascii="楷体" w:hAnsi="楷体" w:eastAsia="楷体"/>
          <w:color w:val="auto"/>
          <w:sz w:val="24"/>
          <w:szCs w:val="24"/>
        </w:rPr>
        <w:fldChar w:fldCharType="separate"/>
      </w:r>
      <w:r>
        <w:rPr>
          <w:rFonts w:ascii="楷体" w:hAnsi="楷体" w:eastAsia="楷体"/>
          <w:color w:val="auto"/>
          <w:sz w:val="24"/>
          <w:szCs w:val="24"/>
        </w:rPr>
        <w:t>28</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"_Toc126962045" </w:instrText>
      </w:r>
      <w:r>
        <w:rPr>
          <w:color w:val="auto"/>
        </w:rPr>
        <w:fldChar w:fldCharType="separate"/>
      </w:r>
      <w:r>
        <w:rPr>
          <w:rStyle w:val="23"/>
          <w:rFonts w:hint="eastAsia" w:ascii="楷体" w:hAnsi="楷体" w:eastAsia="楷体"/>
          <w:color w:val="auto"/>
          <w:sz w:val="24"/>
          <w:szCs w:val="24"/>
        </w:rPr>
        <w:t>附件一：云港城项目</w:t>
      </w:r>
      <w:r>
        <w:rPr>
          <w:rStyle w:val="23"/>
          <w:rFonts w:ascii="楷体" w:hAnsi="楷体" w:eastAsia="楷体"/>
          <w:color w:val="auto"/>
          <w:sz w:val="24"/>
          <w:szCs w:val="24"/>
        </w:rPr>
        <w:t>4#</w:t>
      </w:r>
      <w:r>
        <w:rPr>
          <w:rStyle w:val="23"/>
          <w:rFonts w:hint="eastAsia" w:ascii="楷体" w:hAnsi="楷体" w:eastAsia="楷体"/>
          <w:color w:val="auto"/>
          <w:sz w:val="24"/>
          <w:szCs w:val="24"/>
        </w:rPr>
        <w:t>地块电梯合同界面</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_Toc126962045 \h </w:instrText>
      </w:r>
      <w:r>
        <w:rPr>
          <w:rFonts w:ascii="楷体" w:hAnsi="楷体" w:eastAsia="楷体"/>
          <w:color w:val="auto"/>
          <w:sz w:val="24"/>
          <w:szCs w:val="24"/>
        </w:rPr>
        <w:fldChar w:fldCharType="separate"/>
      </w:r>
      <w:r>
        <w:rPr>
          <w:rFonts w:ascii="楷体" w:hAnsi="楷体" w:eastAsia="楷体"/>
          <w:color w:val="auto"/>
          <w:sz w:val="24"/>
          <w:szCs w:val="24"/>
        </w:rPr>
        <w:t>31</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"_Toc126962046" </w:instrText>
      </w:r>
      <w:r>
        <w:rPr>
          <w:color w:val="auto"/>
        </w:rPr>
        <w:fldChar w:fldCharType="separate"/>
      </w:r>
      <w:r>
        <w:rPr>
          <w:rStyle w:val="23"/>
          <w:rFonts w:hint="eastAsia" w:ascii="楷体" w:hAnsi="楷体" w:eastAsia="楷体"/>
          <w:color w:val="auto"/>
          <w:sz w:val="24"/>
          <w:szCs w:val="24"/>
        </w:rPr>
        <w:t>附件二：云港城项目</w:t>
      </w:r>
      <w:r>
        <w:rPr>
          <w:rStyle w:val="23"/>
          <w:rFonts w:ascii="楷体" w:hAnsi="楷体" w:eastAsia="楷体"/>
          <w:color w:val="auto"/>
          <w:sz w:val="24"/>
          <w:szCs w:val="24"/>
        </w:rPr>
        <w:t>4</w:t>
      </w:r>
      <w:r>
        <w:rPr>
          <w:rStyle w:val="23"/>
          <w:rFonts w:hint="eastAsia" w:ascii="楷体" w:hAnsi="楷体" w:eastAsia="楷体"/>
          <w:color w:val="auto"/>
          <w:sz w:val="24"/>
          <w:szCs w:val="24"/>
        </w:rPr>
        <w:t>号地块电梯专业技术要求（含电梯参数表）</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_Toc126962046 \h </w:instrText>
      </w:r>
      <w:r>
        <w:rPr>
          <w:rFonts w:ascii="楷体" w:hAnsi="楷体" w:eastAsia="楷体"/>
          <w:color w:val="auto"/>
          <w:sz w:val="24"/>
          <w:szCs w:val="24"/>
        </w:rPr>
        <w:fldChar w:fldCharType="separate"/>
      </w:r>
      <w:r>
        <w:rPr>
          <w:rFonts w:ascii="楷体" w:hAnsi="楷体" w:eastAsia="楷体"/>
          <w:color w:val="auto"/>
          <w:sz w:val="24"/>
          <w:szCs w:val="24"/>
        </w:rPr>
        <w:t>32</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"_Toc126962052" </w:instrText>
      </w:r>
      <w:r>
        <w:rPr>
          <w:color w:val="auto"/>
        </w:rPr>
        <w:fldChar w:fldCharType="separate"/>
      </w:r>
      <w:r>
        <w:rPr>
          <w:rStyle w:val="23"/>
          <w:rFonts w:hint="eastAsia" w:ascii="楷体" w:hAnsi="楷体" w:eastAsia="楷体"/>
          <w:color w:val="auto"/>
          <w:sz w:val="24"/>
          <w:szCs w:val="24"/>
        </w:rPr>
        <w:t>附件三：云港城项目</w:t>
      </w:r>
      <w:r>
        <w:rPr>
          <w:rStyle w:val="23"/>
          <w:rFonts w:ascii="楷体" w:hAnsi="楷体" w:eastAsia="楷体"/>
          <w:color w:val="auto"/>
          <w:sz w:val="24"/>
          <w:szCs w:val="24"/>
        </w:rPr>
        <w:t>4#</w:t>
      </w:r>
      <w:r>
        <w:rPr>
          <w:rStyle w:val="23"/>
          <w:rFonts w:hint="eastAsia" w:ascii="楷体" w:hAnsi="楷体" w:eastAsia="楷体"/>
          <w:color w:val="auto"/>
          <w:sz w:val="24"/>
          <w:szCs w:val="24"/>
        </w:rPr>
        <w:t>地块电梯安装工程报价清单（另册）</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_Toc126962052 \h </w:instrText>
      </w:r>
      <w:r>
        <w:rPr>
          <w:rFonts w:ascii="楷体" w:hAnsi="楷体" w:eastAsia="楷体"/>
          <w:color w:val="auto"/>
          <w:sz w:val="24"/>
          <w:szCs w:val="24"/>
        </w:rPr>
        <w:fldChar w:fldCharType="separate"/>
      </w:r>
      <w:r>
        <w:rPr>
          <w:rFonts w:ascii="楷体" w:hAnsi="楷体" w:eastAsia="楷体"/>
          <w:color w:val="auto"/>
          <w:sz w:val="24"/>
          <w:szCs w:val="24"/>
        </w:rPr>
        <w:t>32</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"_Toc126962053" </w:instrText>
      </w:r>
      <w:r>
        <w:rPr>
          <w:color w:val="auto"/>
        </w:rPr>
        <w:fldChar w:fldCharType="separate"/>
      </w:r>
      <w:r>
        <w:rPr>
          <w:rStyle w:val="23"/>
          <w:rFonts w:hint="eastAsia" w:ascii="楷体" w:hAnsi="楷体" w:eastAsia="楷体"/>
          <w:color w:val="auto"/>
          <w:sz w:val="24"/>
          <w:szCs w:val="24"/>
        </w:rPr>
        <w:t>附件四：工程建设项目廉政责任书</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_Toc126962053 \h </w:instrText>
      </w:r>
      <w:r>
        <w:rPr>
          <w:rFonts w:ascii="楷体" w:hAnsi="楷体" w:eastAsia="楷体"/>
          <w:color w:val="auto"/>
          <w:sz w:val="24"/>
          <w:szCs w:val="24"/>
        </w:rPr>
        <w:fldChar w:fldCharType="separate"/>
      </w:r>
      <w:r>
        <w:rPr>
          <w:rFonts w:ascii="楷体" w:hAnsi="楷体" w:eastAsia="楷体"/>
          <w:color w:val="auto"/>
          <w:sz w:val="24"/>
          <w:szCs w:val="24"/>
        </w:rPr>
        <w:t>33</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"_Toc126962054" </w:instrText>
      </w:r>
      <w:r>
        <w:rPr>
          <w:color w:val="auto"/>
        </w:rPr>
        <w:fldChar w:fldCharType="separate"/>
      </w:r>
      <w:r>
        <w:rPr>
          <w:rStyle w:val="23"/>
          <w:rFonts w:hint="eastAsia" w:ascii="楷体" w:hAnsi="楷体" w:eastAsia="楷体"/>
          <w:color w:val="auto"/>
          <w:sz w:val="24"/>
          <w:szCs w:val="24"/>
        </w:rPr>
        <w:t>附件五：履约保函（样式）</w:t>
      </w:r>
      <w:r>
        <w:rPr>
          <w:rFonts w:ascii="楷体" w:hAnsi="楷体" w:eastAsia="楷体"/>
          <w:color w:val="auto"/>
          <w:sz w:val="24"/>
          <w:szCs w:val="24"/>
        </w:rPr>
        <w:tab/>
      </w:r>
      <w:r>
        <w:rPr>
          <w:rFonts w:ascii="楷体" w:hAnsi="楷体" w:eastAsia="楷体"/>
          <w:color w:val="auto"/>
          <w:sz w:val="24"/>
          <w:szCs w:val="24"/>
        </w:rPr>
        <w:fldChar w:fldCharType="end"/>
      </w:r>
      <w:r>
        <w:rPr>
          <w:color w:val="auto"/>
        </w:rPr>
        <w:fldChar w:fldCharType="begin"/>
      </w:r>
      <w:r>
        <w:rPr>
          <w:color w:val="auto"/>
        </w:rPr>
        <w:instrText xml:space="preserve"> HYPERLINK \l "_Toc126962055" </w:instrText>
      </w:r>
      <w:r>
        <w:rPr>
          <w:color w:val="auto"/>
        </w:rPr>
        <w:fldChar w:fldCharType="separate"/>
      </w:r>
      <w:r>
        <w:rPr>
          <w:color w:val="auto"/>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"_Toc126962056" </w:instrText>
      </w:r>
      <w:r>
        <w:rPr>
          <w:color w:val="auto"/>
        </w:rPr>
        <w:fldChar w:fldCharType="separate"/>
      </w:r>
      <w:r>
        <w:rPr>
          <w:rStyle w:val="23"/>
          <w:rFonts w:hint="eastAsia" w:ascii="楷体" w:hAnsi="楷体" w:eastAsia="楷体"/>
          <w:color w:val="auto"/>
          <w:sz w:val="24"/>
          <w:szCs w:val="24"/>
        </w:rPr>
        <w:t>附件六：工程质量保修书</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_Toc126962056 \h </w:instrText>
      </w:r>
      <w:r>
        <w:rPr>
          <w:rFonts w:ascii="楷体" w:hAnsi="楷体" w:eastAsia="楷体"/>
          <w:color w:val="auto"/>
          <w:sz w:val="24"/>
          <w:szCs w:val="24"/>
        </w:rPr>
        <w:fldChar w:fldCharType="separate"/>
      </w:r>
      <w:r>
        <w:rPr>
          <w:rFonts w:ascii="楷体" w:hAnsi="楷体" w:eastAsia="楷体"/>
          <w:color w:val="auto"/>
          <w:sz w:val="24"/>
          <w:szCs w:val="24"/>
        </w:rPr>
        <w:t>40</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"_Toc126962057" </w:instrText>
      </w:r>
      <w:r>
        <w:rPr>
          <w:color w:val="auto"/>
        </w:rPr>
        <w:fldChar w:fldCharType="separate"/>
      </w:r>
      <w:r>
        <w:rPr>
          <w:rStyle w:val="23"/>
          <w:rFonts w:hint="eastAsia" w:ascii="楷体" w:hAnsi="楷体" w:eastAsia="楷体"/>
          <w:color w:val="auto"/>
          <w:sz w:val="24"/>
          <w:szCs w:val="24"/>
        </w:rPr>
        <w:t>附件七：云港城项目施工现场管理办法</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_Toc126962057 \h </w:instrText>
      </w:r>
      <w:r>
        <w:rPr>
          <w:rFonts w:ascii="楷体" w:hAnsi="楷体" w:eastAsia="楷体"/>
          <w:color w:val="auto"/>
          <w:sz w:val="24"/>
          <w:szCs w:val="24"/>
        </w:rPr>
        <w:fldChar w:fldCharType="separate"/>
      </w:r>
      <w:r>
        <w:rPr>
          <w:rFonts w:ascii="楷体" w:hAnsi="楷体" w:eastAsia="楷体"/>
          <w:color w:val="auto"/>
          <w:sz w:val="24"/>
          <w:szCs w:val="24"/>
        </w:rPr>
        <w:t>42</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"_Toc126962058" </w:instrText>
      </w:r>
      <w:r>
        <w:rPr>
          <w:color w:val="auto"/>
        </w:rPr>
        <w:fldChar w:fldCharType="separate"/>
      </w:r>
      <w:r>
        <w:rPr>
          <w:rStyle w:val="23"/>
          <w:rFonts w:hint="eastAsia" w:ascii="楷体" w:hAnsi="楷体" w:eastAsia="楷体"/>
          <w:color w:val="auto"/>
          <w:sz w:val="24"/>
          <w:szCs w:val="24"/>
        </w:rPr>
        <w:t>附件八：</w:t>
      </w:r>
      <w:r>
        <w:rPr>
          <w:rStyle w:val="23"/>
          <w:rFonts w:ascii="楷体" w:hAnsi="楷体" w:eastAsia="楷体"/>
          <w:color w:val="auto"/>
          <w:sz w:val="24"/>
          <w:szCs w:val="24"/>
        </w:rPr>
        <w:t xml:space="preserve"> </w:t>
      </w:r>
      <w:r>
        <w:rPr>
          <w:rStyle w:val="23"/>
          <w:rFonts w:hint="eastAsia" w:ascii="楷体" w:hAnsi="楷体" w:eastAsia="楷体"/>
          <w:color w:val="auto"/>
          <w:sz w:val="24"/>
          <w:szCs w:val="24"/>
        </w:rPr>
        <w:t>总承包管理与配合服务管理要求</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_Toc126962058 \h </w:instrText>
      </w:r>
      <w:r>
        <w:rPr>
          <w:rFonts w:ascii="楷体" w:hAnsi="楷体" w:eastAsia="楷体"/>
          <w:color w:val="auto"/>
          <w:sz w:val="24"/>
          <w:szCs w:val="24"/>
        </w:rPr>
        <w:fldChar w:fldCharType="separate"/>
      </w:r>
      <w:r>
        <w:rPr>
          <w:rFonts w:ascii="楷体" w:hAnsi="楷体" w:eastAsia="楷体"/>
          <w:color w:val="auto"/>
          <w:sz w:val="24"/>
          <w:szCs w:val="24"/>
        </w:rPr>
        <w:t>55</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"_Toc126962059" </w:instrText>
      </w:r>
      <w:r>
        <w:rPr>
          <w:color w:val="auto"/>
        </w:rPr>
        <w:fldChar w:fldCharType="separate"/>
      </w:r>
      <w:r>
        <w:rPr>
          <w:rStyle w:val="23"/>
          <w:rFonts w:hint="eastAsia" w:ascii="楷体" w:hAnsi="楷体" w:eastAsia="楷体"/>
          <w:color w:val="auto"/>
          <w:sz w:val="24"/>
          <w:szCs w:val="24"/>
        </w:rPr>
        <w:t>附件九：电梯防护与运行管理要求</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_Toc126962059 \h </w:instrText>
      </w:r>
      <w:r>
        <w:rPr>
          <w:rFonts w:ascii="楷体" w:hAnsi="楷体" w:eastAsia="楷体"/>
          <w:color w:val="auto"/>
          <w:sz w:val="24"/>
          <w:szCs w:val="24"/>
        </w:rPr>
        <w:fldChar w:fldCharType="separate"/>
      </w:r>
      <w:r>
        <w:rPr>
          <w:rFonts w:ascii="楷体" w:hAnsi="楷体" w:eastAsia="楷体"/>
          <w:color w:val="auto"/>
          <w:sz w:val="24"/>
          <w:szCs w:val="24"/>
        </w:rPr>
        <w:t>76</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"_Toc126962060" </w:instrText>
      </w:r>
      <w:r>
        <w:rPr>
          <w:color w:val="auto"/>
        </w:rPr>
        <w:fldChar w:fldCharType="separate"/>
      </w:r>
      <w:r>
        <w:rPr>
          <w:rStyle w:val="23"/>
          <w:rFonts w:hint="eastAsia" w:ascii="楷体" w:hAnsi="楷体" w:eastAsia="楷体"/>
          <w:bCs/>
          <w:color w:val="auto"/>
          <w:sz w:val="24"/>
          <w:szCs w:val="24"/>
        </w:rPr>
        <w:t>附件十：安全管理专篇</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_Toc126962060 \h </w:instrText>
      </w:r>
      <w:r>
        <w:rPr>
          <w:rFonts w:ascii="楷体" w:hAnsi="楷体" w:eastAsia="楷体"/>
          <w:color w:val="auto"/>
          <w:sz w:val="24"/>
          <w:szCs w:val="24"/>
        </w:rPr>
        <w:fldChar w:fldCharType="separate"/>
      </w:r>
      <w:r>
        <w:rPr>
          <w:rFonts w:ascii="楷体" w:hAnsi="楷体" w:eastAsia="楷体"/>
          <w:color w:val="auto"/>
          <w:sz w:val="24"/>
          <w:szCs w:val="24"/>
        </w:rPr>
        <w:t>78</w:t>
      </w:r>
      <w:r>
        <w:rPr>
          <w:rFonts w:ascii="楷体" w:hAnsi="楷体" w:eastAsia="楷体"/>
          <w:color w:val="auto"/>
          <w:sz w:val="24"/>
          <w:szCs w:val="24"/>
        </w:rPr>
        <w:fldChar w:fldCharType="end"/>
      </w:r>
      <w:r>
        <w:rPr>
          <w:rFonts w:ascii="楷体" w:hAnsi="楷体" w:eastAsia="楷体"/>
          <w:color w:val="auto"/>
          <w:sz w:val="24"/>
          <w:szCs w:val="24"/>
        </w:rPr>
        <w:fldChar w:fldCharType="end"/>
      </w:r>
      <w:r>
        <w:rPr>
          <w:rFonts w:ascii="楷体" w:hAnsi="楷体" w:eastAsia="楷体" w:cstheme="minorBidi"/>
          <w:color w:val="auto"/>
          <w:kern w:val="2"/>
          <w:sz w:val="24"/>
          <w:szCs w:val="24"/>
        </w:rPr>
        <w:t xml:space="preserve"> </w:t>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"_Toc126962062" </w:instrText>
      </w:r>
      <w:r>
        <w:rPr>
          <w:color w:val="auto"/>
        </w:rPr>
        <w:fldChar w:fldCharType="separate"/>
      </w:r>
      <w:r>
        <w:rPr>
          <w:rStyle w:val="23"/>
          <w:rFonts w:hint="eastAsia" w:ascii="楷体" w:hAnsi="楷体" w:eastAsia="楷体"/>
          <w:bCs/>
          <w:color w:val="auto"/>
          <w:sz w:val="24"/>
          <w:szCs w:val="24"/>
        </w:rPr>
        <w:t>附件十一：工程建设承包商安全生产不良行为扣分条款</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_Toc126962062 \h </w:instrText>
      </w:r>
      <w:r>
        <w:rPr>
          <w:rFonts w:ascii="楷体" w:hAnsi="楷体" w:eastAsia="楷体"/>
          <w:color w:val="auto"/>
          <w:sz w:val="24"/>
          <w:szCs w:val="24"/>
        </w:rPr>
        <w:fldChar w:fldCharType="separate"/>
      </w:r>
      <w:r>
        <w:rPr>
          <w:rFonts w:ascii="楷体" w:hAnsi="楷体" w:eastAsia="楷体"/>
          <w:color w:val="auto"/>
          <w:sz w:val="24"/>
          <w:szCs w:val="24"/>
        </w:rPr>
        <w:t>91</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"_Toc126962063" </w:instrText>
      </w:r>
      <w:r>
        <w:rPr>
          <w:color w:val="auto"/>
        </w:rPr>
        <w:fldChar w:fldCharType="separate"/>
      </w:r>
      <w:r>
        <w:rPr>
          <w:rStyle w:val="23"/>
          <w:rFonts w:hint="eastAsia" w:ascii="楷体" w:hAnsi="楷体" w:eastAsia="楷体"/>
          <w:color w:val="auto"/>
          <w:sz w:val="24"/>
          <w:szCs w:val="24"/>
        </w:rPr>
        <w:t>附件十二：拟投电梯安装人员一览表</w:t>
      </w:r>
      <w:r>
        <w:rPr>
          <w:rStyle w:val="23"/>
          <w:rFonts w:ascii="楷体" w:hAnsi="楷体" w:eastAsia="楷体"/>
          <w:color w:val="auto"/>
          <w:sz w:val="24"/>
          <w:szCs w:val="24"/>
        </w:rPr>
        <w:t>(</w:t>
      </w:r>
      <w:r>
        <w:rPr>
          <w:rStyle w:val="23"/>
          <w:rFonts w:hint="eastAsia" w:ascii="楷体" w:hAnsi="楷体" w:eastAsia="楷体"/>
          <w:color w:val="auto"/>
          <w:sz w:val="24"/>
          <w:szCs w:val="24"/>
        </w:rPr>
        <w:t>按投标文件</w:t>
      </w:r>
      <w:r>
        <w:rPr>
          <w:rStyle w:val="23"/>
          <w:rFonts w:ascii="楷体" w:hAnsi="楷体" w:eastAsia="楷体"/>
          <w:color w:val="auto"/>
          <w:sz w:val="24"/>
          <w:szCs w:val="24"/>
        </w:rPr>
        <w:t>)</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_Toc126962063 \h </w:instrText>
      </w:r>
      <w:r>
        <w:rPr>
          <w:rFonts w:ascii="楷体" w:hAnsi="楷体" w:eastAsia="楷体"/>
          <w:color w:val="auto"/>
          <w:sz w:val="24"/>
          <w:szCs w:val="24"/>
        </w:rPr>
        <w:fldChar w:fldCharType="separate"/>
      </w:r>
      <w:r>
        <w:rPr>
          <w:rFonts w:ascii="楷体" w:hAnsi="楷体" w:eastAsia="楷体"/>
          <w:color w:val="auto"/>
          <w:sz w:val="24"/>
          <w:szCs w:val="24"/>
        </w:rPr>
        <w:t>98</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"_Toc126962064" </w:instrText>
      </w:r>
      <w:r>
        <w:rPr>
          <w:color w:val="auto"/>
        </w:rPr>
        <w:fldChar w:fldCharType="separate"/>
      </w:r>
      <w:r>
        <w:rPr>
          <w:rStyle w:val="23"/>
          <w:rFonts w:hint="eastAsia" w:ascii="楷体" w:hAnsi="楷体" w:eastAsia="楷体"/>
          <w:color w:val="auto"/>
          <w:sz w:val="24"/>
          <w:szCs w:val="24"/>
        </w:rPr>
        <w:t>附件十三：土建条件图（另册）</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_Toc126962064 \h </w:instrText>
      </w:r>
      <w:r>
        <w:rPr>
          <w:rFonts w:ascii="楷体" w:hAnsi="楷体" w:eastAsia="楷体"/>
          <w:color w:val="auto"/>
          <w:sz w:val="24"/>
          <w:szCs w:val="24"/>
        </w:rPr>
        <w:fldChar w:fldCharType="separate"/>
      </w:r>
      <w:r>
        <w:rPr>
          <w:rFonts w:ascii="楷体" w:hAnsi="楷体" w:eastAsia="楷体"/>
          <w:color w:val="auto"/>
          <w:sz w:val="24"/>
          <w:szCs w:val="24"/>
        </w:rPr>
        <w:t>98</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9060"/>
        </w:tabs>
        <w:spacing w:line="560" w:lineRule="exact"/>
        <w:rPr>
          <w:rFonts w:ascii="楷体" w:hAnsi="楷体" w:eastAsia="楷体" w:cstheme="minorBidi"/>
          <w:color w:val="auto"/>
          <w:kern w:val="2"/>
          <w:sz w:val="24"/>
          <w:szCs w:val="24"/>
        </w:rPr>
      </w:pPr>
      <w:r>
        <w:rPr>
          <w:color w:val="auto"/>
        </w:rPr>
        <w:fldChar w:fldCharType="begin"/>
      </w:r>
      <w:r>
        <w:rPr>
          <w:color w:val="auto"/>
        </w:rPr>
        <w:instrText xml:space="preserve"> HYPERLINK \l "_Toc126962065" </w:instrText>
      </w:r>
      <w:r>
        <w:rPr>
          <w:color w:val="auto"/>
        </w:rPr>
        <w:fldChar w:fldCharType="separate"/>
      </w:r>
      <w:r>
        <w:rPr>
          <w:rStyle w:val="23"/>
          <w:rFonts w:hint="eastAsia" w:ascii="楷体" w:hAnsi="楷体" w:eastAsia="楷体"/>
          <w:color w:val="auto"/>
          <w:sz w:val="24"/>
          <w:szCs w:val="24"/>
        </w:rPr>
        <w:t>附件十四：投标文件相关承诺等（另册）</w:t>
      </w:r>
      <w:r>
        <w:rPr>
          <w:rFonts w:ascii="楷体" w:hAnsi="楷体" w:eastAsia="楷体"/>
          <w:color w:val="auto"/>
          <w:sz w:val="24"/>
          <w:szCs w:val="24"/>
        </w:rPr>
        <w:tab/>
      </w:r>
      <w:r>
        <w:rPr>
          <w:rFonts w:ascii="楷体" w:hAnsi="楷体" w:eastAsia="楷体"/>
          <w:color w:val="auto"/>
          <w:sz w:val="24"/>
          <w:szCs w:val="24"/>
        </w:rPr>
        <w:fldChar w:fldCharType="begin"/>
      </w:r>
      <w:r>
        <w:rPr>
          <w:rFonts w:ascii="楷体" w:hAnsi="楷体" w:eastAsia="楷体"/>
          <w:color w:val="auto"/>
          <w:sz w:val="24"/>
          <w:szCs w:val="24"/>
        </w:rPr>
        <w:instrText xml:space="preserve"> PAGEREF _Toc126962065 \h </w:instrText>
      </w:r>
      <w:r>
        <w:rPr>
          <w:rFonts w:ascii="楷体" w:hAnsi="楷体" w:eastAsia="楷体"/>
          <w:color w:val="auto"/>
          <w:sz w:val="24"/>
          <w:szCs w:val="24"/>
        </w:rPr>
        <w:fldChar w:fldCharType="separate"/>
      </w:r>
      <w:r>
        <w:rPr>
          <w:rFonts w:ascii="楷体" w:hAnsi="楷体" w:eastAsia="楷体"/>
          <w:color w:val="auto"/>
          <w:sz w:val="24"/>
          <w:szCs w:val="24"/>
        </w:rPr>
        <w:t>98</w:t>
      </w:r>
      <w:r>
        <w:rPr>
          <w:rFonts w:ascii="楷体" w:hAnsi="楷体" w:eastAsia="楷体"/>
          <w:color w:val="auto"/>
          <w:sz w:val="24"/>
          <w:szCs w:val="24"/>
        </w:rPr>
        <w:fldChar w:fldCharType="end"/>
      </w:r>
      <w:r>
        <w:rPr>
          <w:rFonts w:ascii="楷体" w:hAnsi="楷体" w:eastAsia="楷体"/>
          <w:color w:val="auto"/>
          <w:sz w:val="24"/>
          <w:szCs w:val="24"/>
        </w:rPr>
        <w:fldChar w:fldCharType="end"/>
      </w:r>
    </w:p>
    <w:p>
      <w:pPr>
        <w:pStyle w:val="16"/>
        <w:tabs>
          <w:tab w:val="right" w:leader="dot" w:pos="8296"/>
        </w:tabs>
        <w:spacing w:line="560" w:lineRule="exact"/>
        <w:ind w:firstLine="482"/>
        <w:rPr>
          <w:rFonts w:ascii="仿宋" w:hAnsi="仿宋" w:eastAsia="仿宋"/>
          <w:color w:val="auto"/>
          <w:sz w:val="21"/>
          <w:szCs w:val="21"/>
        </w:rPr>
      </w:pPr>
      <w:r>
        <w:rPr>
          <w:rFonts w:hint="eastAsia" w:ascii="楷体" w:hAnsi="楷体" w:eastAsia="楷体"/>
          <w:color w:val="auto"/>
          <w:sz w:val="21"/>
          <w:szCs w:val="21"/>
        </w:rPr>
        <w:fldChar w:fldCharType="end"/>
      </w:r>
    </w:p>
    <w:p>
      <w:pPr>
        <w:widowControl/>
        <w:autoSpaceDE/>
        <w:autoSpaceDN/>
        <w:adjustRightInd/>
        <w:rPr>
          <w:rFonts w:ascii="仿宋" w:hAnsi="仿宋" w:eastAsia="仿宋"/>
          <w:color w:val="auto"/>
          <w:sz w:val="21"/>
          <w:szCs w:val="21"/>
        </w:rPr>
      </w:pPr>
      <w:r>
        <w:rPr>
          <w:rFonts w:ascii="仿宋" w:hAnsi="仿宋" w:eastAsia="仿宋"/>
          <w:color w:val="auto"/>
          <w:sz w:val="21"/>
          <w:szCs w:val="21"/>
        </w:rPr>
        <w:br w:type="page"/>
      </w:r>
    </w:p>
    <w:p>
      <w:pPr>
        <w:pStyle w:val="31"/>
        <w:numPr>
          <w:ilvl w:val="0"/>
          <w:numId w:val="2"/>
        </w:numPr>
        <w:spacing w:before="0" w:beforeLines="0"/>
        <w:ind w:left="351" w:hanging="351" w:hangingChars="125"/>
        <w:rPr>
          <w:color w:val="auto"/>
        </w:rPr>
      </w:pPr>
      <w:bookmarkStart w:id="0" w:name="_Toc126962022"/>
      <w:r>
        <w:rPr>
          <w:rFonts w:hint="eastAsia"/>
          <w:color w:val="auto"/>
        </w:rPr>
        <w:t>定义、解释</w:t>
      </w:r>
      <w:bookmarkEnd w:id="0"/>
    </w:p>
    <w:p>
      <w:pPr>
        <w:pStyle w:val="32"/>
        <w:numPr>
          <w:ilvl w:val="1"/>
          <w:numId w:val="3"/>
        </w:numPr>
        <w:spacing w:before="0" w:beforeLines="0"/>
        <w:ind w:left="0" w:firstLine="480" w:firstLineChars="200"/>
        <w:rPr>
          <w:b/>
          <w:color w:val="auto"/>
          <w:sz w:val="52"/>
          <w:szCs w:val="52"/>
        </w:rPr>
      </w:pPr>
      <w:r>
        <w:rPr>
          <w:rFonts w:hint="eastAsia"/>
          <w:color w:val="auto"/>
        </w:rPr>
        <w:t>发包人：是指项目的建设单位（广东粤海置地发展有限公司）；发包人与承包人签订《粤海</w:t>
      </w:r>
      <w:r>
        <w:rPr>
          <w:color w:val="auto"/>
        </w:rPr>
        <w:t>▪</w:t>
      </w:r>
      <w:r>
        <w:rPr>
          <w:rFonts w:hint="eastAsia"/>
          <w:color w:val="auto"/>
        </w:rPr>
        <w:t>云港城项目4#地块工程施工总承包合同》（下称总承包合同）；</w:t>
      </w:r>
    </w:p>
    <w:p>
      <w:pPr>
        <w:pStyle w:val="32"/>
        <w:numPr>
          <w:ilvl w:val="1"/>
          <w:numId w:val="3"/>
        </w:numPr>
        <w:spacing w:before="0" w:beforeLines="0"/>
        <w:ind w:left="0" w:firstLine="480" w:firstLineChars="200"/>
        <w:rPr>
          <w:b/>
          <w:color w:val="auto"/>
          <w:sz w:val="52"/>
          <w:szCs w:val="52"/>
        </w:rPr>
      </w:pPr>
      <w:r>
        <w:rPr>
          <w:rFonts w:hint="eastAsia"/>
          <w:color w:val="auto"/>
        </w:rPr>
        <w:t>承包人：是指本项目的总承包施工单位（中国建筑第五工程局有限公司），承包人与分包人签订《云港城项目4#地块电梯安装工程合同》（下称本合同）；</w:t>
      </w:r>
    </w:p>
    <w:p>
      <w:pPr>
        <w:pStyle w:val="32"/>
        <w:numPr>
          <w:ilvl w:val="1"/>
          <w:numId w:val="3"/>
        </w:numPr>
        <w:spacing w:before="0" w:beforeLines="0"/>
        <w:ind w:left="0" w:firstLine="480" w:firstLineChars="200"/>
        <w:rPr>
          <w:b/>
          <w:color w:val="auto"/>
          <w:sz w:val="52"/>
          <w:szCs w:val="52"/>
        </w:rPr>
      </w:pPr>
      <w:r>
        <w:rPr>
          <w:rFonts w:hint="eastAsia"/>
          <w:color w:val="auto"/>
        </w:rPr>
        <w:t>分包人：是指与承包人签订本合同的实施单位（</w:t>
      </w:r>
      <w:r>
        <w:rPr>
          <w:rFonts w:hint="eastAsia"/>
          <w:color w:val="auto"/>
          <w:u w:val="single"/>
        </w:rPr>
        <w:t xml:space="preserve">      </w:t>
      </w:r>
      <w:r>
        <w:rPr>
          <w:rFonts w:hint="eastAsia"/>
          <w:color w:val="auto"/>
        </w:rPr>
        <w:t>）</w:t>
      </w:r>
    </w:p>
    <w:p>
      <w:pPr>
        <w:pStyle w:val="32"/>
        <w:numPr>
          <w:ilvl w:val="1"/>
          <w:numId w:val="3"/>
        </w:numPr>
        <w:spacing w:before="0" w:beforeLines="0"/>
        <w:ind w:left="0" w:firstLine="480" w:firstLineChars="200"/>
        <w:rPr>
          <w:b/>
          <w:color w:val="auto"/>
          <w:sz w:val="52"/>
          <w:szCs w:val="52"/>
        </w:rPr>
      </w:pPr>
      <w:r>
        <w:rPr>
          <w:rFonts w:hint="eastAsia"/>
          <w:color w:val="auto"/>
        </w:rPr>
        <w:t>发包人（买方）与</w:t>
      </w:r>
      <w:r>
        <w:rPr>
          <w:rFonts w:hint="eastAsia"/>
          <w:color w:val="auto"/>
          <w:u w:val="single"/>
        </w:rPr>
        <w:t xml:space="preserve">      </w:t>
      </w:r>
      <w:r>
        <w:rPr>
          <w:rFonts w:hint="eastAsia"/>
          <w:color w:val="auto"/>
        </w:rPr>
        <w:t>（电梯设备供货单位名称）签订的《云港城项目4#地块电梯供货合同》，供应发包云港城项目</w:t>
      </w:r>
      <w:r>
        <w:rPr>
          <w:color w:val="auto"/>
        </w:rPr>
        <w:t>4#</w:t>
      </w:r>
      <w:r>
        <w:rPr>
          <w:rFonts w:hint="eastAsia"/>
          <w:color w:val="auto"/>
        </w:rPr>
        <w:t>地块（以下简称“本项目”）电梯（包括垂直梯、扶梯），上述电梯设备属于发包人与承包人签订的总承包合同中的甲供材料设备。</w:t>
      </w:r>
    </w:p>
    <w:p>
      <w:pPr>
        <w:pStyle w:val="32"/>
        <w:numPr>
          <w:ilvl w:val="1"/>
          <w:numId w:val="3"/>
        </w:numPr>
        <w:spacing w:before="0" w:beforeLines="0"/>
        <w:ind w:left="0" w:firstLine="480" w:firstLineChars="200"/>
        <w:rPr>
          <w:b/>
          <w:color w:val="auto"/>
          <w:sz w:val="52"/>
          <w:szCs w:val="52"/>
        </w:rPr>
      </w:pPr>
      <w:r>
        <w:rPr>
          <w:rFonts w:hint="eastAsia"/>
          <w:color w:val="auto"/>
        </w:rPr>
        <w:t>“合同条款”系指本合同条款。</w:t>
      </w:r>
    </w:p>
    <w:p>
      <w:pPr>
        <w:pStyle w:val="32"/>
        <w:numPr>
          <w:ilvl w:val="1"/>
          <w:numId w:val="3"/>
        </w:numPr>
        <w:spacing w:before="0" w:beforeLines="0"/>
        <w:ind w:left="0" w:firstLine="480" w:firstLineChars="200"/>
        <w:rPr>
          <w:b/>
          <w:color w:val="auto"/>
          <w:sz w:val="52"/>
          <w:szCs w:val="52"/>
        </w:rPr>
      </w:pPr>
      <w:r>
        <w:rPr>
          <w:rFonts w:hint="eastAsia"/>
          <w:color w:val="auto"/>
        </w:rPr>
        <w:t>合同价格</w:t>
      </w:r>
    </w:p>
    <w:p>
      <w:pPr>
        <w:pStyle w:val="32"/>
        <w:spacing w:before="0" w:beforeLines="0"/>
        <w:ind w:left="480"/>
        <w:rPr>
          <w:color w:val="auto"/>
        </w:rPr>
      </w:pPr>
      <w:r>
        <w:rPr>
          <w:rFonts w:hint="eastAsia"/>
          <w:color w:val="auto"/>
        </w:rPr>
        <w:t>1.6.1签约合同价格：是指承包人和分包人在合同中的总金额。</w:t>
      </w:r>
    </w:p>
    <w:p>
      <w:pPr>
        <w:pStyle w:val="32"/>
        <w:spacing w:before="0" w:beforeLines="0"/>
        <w:ind w:firstLine="480" w:firstLineChars="200"/>
        <w:rPr>
          <w:b/>
          <w:color w:val="auto"/>
          <w:sz w:val="52"/>
          <w:szCs w:val="52"/>
        </w:rPr>
      </w:pPr>
      <w:r>
        <w:rPr>
          <w:rFonts w:hint="eastAsia"/>
          <w:color w:val="auto"/>
        </w:rPr>
        <w:t>1.6.2合同价格：是指承包人用于支付分包人按照合同约定完成承包范围内全部工作的金额，包括合同履行过程中按合同约定发生的价格变化。</w:t>
      </w:r>
    </w:p>
    <w:p>
      <w:pPr>
        <w:pStyle w:val="31"/>
        <w:numPr>
          <w:ilvl w:val="0"/>
          <w:numId w:val="2"/>
        </w:numPr>
        <w:spacing w:before="0" w:beforeLines="0"/>
        <w:ind w:left="351" w:hanging="351" w:hangingChars="125"/>
        <w:rPr>
          <w:b w:val="0"/>
          <w:color w:val="auto"/>
          <w:sz w:val="52"/>
          <w:szCs w:val="52"/>
        </w:rPr>
      </w:pPr>
      <w:bookmarkStart w:id="1" w:name="_Toc126962023"/>
      <w:r>
        <w:rPr>
          <w:rFonts w:hint="eastAsia"/>
          <w:color w:val="auto"/>
        </w:rPr>
        <w:t>合同范围</w:t>
      </w:r>
      <w:bookmarkEnd w:id="1"/>
    </w:p>
    <w:p>
      <w:pPr>
        <w:pStyle w:val="32"/>
        <w:spacing w:before="0" w:beforeLines="0"/>
        <w:ind w:firstLine="480" w:firstLineChars="200"/>
        <w:rPr>
          <w:b/>
          <w:color w:val="auto"/>
          <w:sz w:val="52"/>
          <w:szCs w:val="52"/>
        </w:rPr>
      </w:pPr>
      <w:r>
        <w:rPr>
          <w:rFonts w:hint="eastAsia"/>
          <w:color w:val="auto"/>
        </w:rPr>
        <w:t>承包人委托分包人负责上述所有电梯设备的报装、安</w:t>
      </w:r>
      <w:r>
        <w:rPr>
          <w:rFonts w:hint="eastAsia" w:hAnsi="宋体" w:cs="宋体"/>
          <w:color w:val="auto"/>
        </w:rPr>
        <w:t>装、调试、辅助、验收等全部工作和服务（以下简称“本工程”）。电梯</w:t>
      </w:r>
      <w:r>
        <w:rPr>
          <w:rFonts w:hint="eastAsia"/>
          <w:color w:val="auto"/>
        </w:rPr>
        <w:t>设备</w:t>
      </w:r>
      <w:r>
        <w:rPr>
          <w:rFonts w:hint="eastAsia" w:hAnsi="宋体" w:cs="宋体"/>
          <w:color w:val="auto"/>
        </w:rPr>
        <w:t>的规格、数量等详见本合同附件三及</w:t>
      </w:r>
      <w:r>
        <w:rPr>
          <w:rFonts w:hint="eastAsia"/>
          <w:color w:val="auto"/>
        </w:rPr>
        <w:t>《云港城项目</w:t>
      </w:r>
      <w:r>
        <w:rPr>
          <w:color w:val="auto"/>
        </w:rPr>
        <w:t>4#</w:t>
      </w:r>
      <w:r>
        <w:rPr>
          <w:rFonts w:hint="eastAsia"/>
          <w:color w:val="auto"/>
        </w:rPr>
        <w:t>地块电梯供货合同》及其附件的相关规定（以下统称《供货合同》），分包人签订本合同时确认已仔细查阅《供货合同》的相关内容（承包人在签订本合同签应向发包人申请提供一份本项目的电梯供货合同复印件备查）。</w:t>
      </w:r>
    </w:p>
    <w:p>
      <w:pPr>
        <w:pStyle w:val="31"/>
        <w:numPr>
          <w:ilvl w:val="0"/>
          <w:numId w:val="2"/>
        </w:numPr>
        <w:spacing w:before="0" w:beforeLines="0"/>
        <w:ind w:left="351" w:hanging="351" w:hangingChars="125"/>
        <w:rPr>
          <w:rStyle w:val="35"/>
          <w:color w:val="auto"/>
        </w:rPr>
      </w:pPr>
      <w:bookmarkStart w:id="2" w:name="_Toc126962024"/>
      <w:r>
        <w:rPr>
          <w:rFonts w:hint="eastAsia"/>
          <w:color w:val="auto"/>
        </w:rPr>
        <w:t>分包人具体工作内容</w:t>
      </w:r>
      <w:bookmarkEnd w:id="2"/>
    </w:p>
    <w:p>
      <w:pPr>
        <w:pStyle w:val="32"/>
        <w:numPr>
          <w:ilvl w:val="1"/>
          <w:numId w:val="2"/>
        </w:numPr>
        <w:spacing w:before="0" w:beforeLines="0"/>
        <w:ind w:left="0" w:firstLine="480" w:firstLineChars="200"/>
        <w:rPr>
          <w:color w:val="auto"/>
        </w:rPr>
      </w:pPr>
      <w:r>
        <w:rPr>
          <w:rFonts w:hint="eastAsia"/>
          <w:color w:val="auto"/>
        </w:rPr>
        <w:t>本工程包括但不限于：</w:t>
      </w:r>
    </w:p>
    <w:p>
      <w:pPr>
        <w:pStyle w:val="32"/>
        <w:spacing w:before="0" w:beforeLines="0"/>
        <w:ind w:firstLine="480" w:firstLineChars="200"/>
        <w:rPr>
          <w:color w:val="auto"/>
        </w:rPr>
      </w:pPr>
      <w:r>
        <w:rPr>
          <w:rFonts w:hint="eastAsia"/>
          <w:color w:val="auto"/>
        </w:rPr>
        <w:t>（1）提供具有适当资格的人员按合同文件要求安装、试验、调校本</w:t>
      </w:r>
      <w:r>
        <w:rPr>
          <w:rFonts w:hint="eastAsia" w:hAnsi="楷体_GB2312" w:cs="楷体_GB2312"/>
          <w:color w:val="auto"/>
          <w:szCs w:val="24"/>
        </w:rPr>
        <w:t>项目</w:t>
      </w:r>
      <w:r>
        <w:rPr>
          <w:rFonts w:hint="eastAsia"/>
          <w:color w:val="auto"/>
        </w:rPr>
        <w:t>全部电梯系统;</w:t>
      </w:r>
    </w:p>
    <w:p>
      <w:pPr>
        <w:pStyle w:val="32"/>
        <w:spacing w:before="0" w:beforeLines="0"/>
        <w:ind w:firstLine="480" w:firstLineChars="200"/>
        <w:rPr>
          <w:color w:val="auto"/>
        </w:rPr>
      </w:pPr>
      <w:r>
        <w:rPr>
          <w:rFonts w:hint="eastAsia"/>
          <w:color w:val="auto"/>
        </w:rPr>
        <w:t>（2）负责安装井道范围内脚手架搭建及拆卸。</w:t>
      </w:r>
    </w:p>
    <w:p>
      <w:pPr>
        <w:pStyle w:val="32"/>
        <w:spacing w:before="0" w:beforeLines="0"/>
        <w:ind w:firstLine="480" w:firstLineChars="200"/>
        <w:rPr>
          <w:color w:val="auto"/>
        </w:rPr>
      </w:pPr>
      <w:r>
        <w:rPr>
          <w:rFonts w:hint="eastAsia"/>
          <w:color w:val="auto"/>
        </w:rPr>
        <w:t>（3）支承机械室内设备的钢梁、座板及垫板。</w:t>
      </w:r>
    </w:p>
    <w:p>
      <w:pPr>
        <w:pStyle w:val="32"/>
        <w:spacing w:before="0" w:beforeLines="0"/>
        <w:ind w:firstLine="480" w:firstLineChars="200"/>
        <w:rPr>
          <w:color w:val="auto"/>
        </w:rPr>
      </w:pPr>
      <w:r>
        <w:rPr>
          <w:rFonts w:hint="eastAsia"/>
          <w:color w:val="auto"/>
        </w:rPr>
        <w:t>（4）电梯坑内平衡重的保护遮板。</w:t>
      </w:r>
    </w:p>
    <w:p>
      <w:pPr>
        <w:pStyle w:val="32"/>
        <w:spacing w:before="0" w:beforeLines="0"/>
        <w:ind w:firstLine="480" w:firstLineChars="200"/>
        <w:rPr>
          <w:color w:val="auto"/>
        </w:rPr>
      </w:pPr>
      <w:r>
        <w:rPr>
          <w:rFonts w:hint="eastAsia"/>
          <w:color w:val="auto"/>
        </w:rPr>
        <w:t>（5）分隔电梯坑的保护间壁。</w:t>
      </w:r>
    </w:p>
    <w:p>
      <w:pPr>
        <w:pStyle w:val="32"/>
        <w:spacing w:before="0" w:beforeLines="0"/>
        <w:ind w:firstLine="480" w:firstLineChars="200"/>
        <w:rPr>
          <w:color w:val="auto"/>
        </w:rPr>
      </w:pPr>
      <w:r>
        <w:rPr>
          <w:rFonts w:hint="eastAsia"/>
          <w:color w:val="auto"/>
        </w:rPr>
        <w:t>（6）支承导轨支架。</w:t>
      </w:r>
    </w:p>
    <w:p>
      <w:pPr>
        <w:pStyle w:val="32"/>
        <w:spacing w:before="0" w:beforeLines="0"/>
        <w:ind w:firstLine="480" w:firstLineChars="200"/>
        <w:rPr>
          <w:color w:val="auto"/>
        </w:rPr>
      </w:pPr>
      <w:r>
        <w:rPr>
          <w:rFonts w:hint="eastAsia"/>
          <w:color w:val="auto"/>
        </w:rPr>
        <w:t>（7）支承机器及缓冲器的钢站台。</w:t>
      </w:r>
    </w:p>
    <w:p>
      <w:pPr>
        <w:pStyle w:val="32"/>
        <w:spacing w:before="0" w:beforeLines="0"/>
        <w:ind w:firstLine="480" w:firstLineChars="200"/>
        <w:rPr>
          <w:color w:val="auto"/>
        </w:rPr>
      </w:pPr>
      <w:r>
        <w:rPr>
          <w:rFonts w:hint="eastAsia"/>
          <w:color w:val="auto"/>
        </w:rPr>
        <w:t>（8）所有上述工程所需的面层涂料。</w:t>
      </w:r>
    </w:p>
    <w:p>
      <w:pPr>
        <w:pStyle w:val="32"/>
        <w:spacing w:before="0" w:beforeLines="0"/>
        <w:ind w:firstLine="480" w:firstLineChars="200"/>
        <w:rPr>
          <w:color w:val="auto"/>
        </w:rPr>
      </w:pPr>
      <w:r>
        <w:rPr>
          <w:rFonts w:hint="eastAsia"/>
          <w:color w:val="auto"/>
        </w:rPr>
        <w:t>（9）由前述独立开关至机器、控制板等之间所需的电线管及电线安装。</w:t>
      </w:r>
    </w:p>
    <w:p>
      <w:pPr>
        <w:pStyle w:val="32"/>
        <w:spacing w:before="0" w:beforeLines="0"/>
        <w:ind w:firstLine="480" w:firstLineChars="200"/>
        <w:rPr>
          <w:color w:val="auto"/>
        </w:rPr>
      </w:pPr>
      <w:r>
        <w:rPr>
          <w:rFonts w:hint="eastAsia"/>
          <w:color w:val="auto"/>
        </w:rPr>
        <w:t>（10）用认可的胶合料填充外露电线、电线管、管道、管道槽及电缆的周边及上涂料，修复受影响工程。</w:t>
      </w:r>
    </w:p>
    <w:p>
      <w:pPr>
        <w:pStyle w:val="32"/>
        <w:spacing w:before="0" w:beforeLines="0"/>
        <w:ind w:firstLine="480" w:firstLineChars="200"/>
        <w:rPr>
          <w:color w:val="auto"/>
        </w:rPr>
      </w:pPr>
      <w:r>
        <w:rPr>
          <w:rFonts w:hint="eastAsia"/>
          <w:color w:val="auto"/>
        </w:rPr>
        <w:t>（11）负责安装电梯井口保护栏，配合其他专业施工交叉作业时的安全保护措施。</w:t>
      </w:r>
    </w:p>
    <w:p>
      <w:pPr>
        <w:pStyle w:val="32"/>
        <w:spacing w:before="0" w:beforeLines="0"/>
        <w:ind w:firstLine="480" w:firstLineChars="200"/>
        <w:rPr>
          <w:color w:val="auto"/>
        </w:rPr>
      </w:pPr>
      <w:r>
        <w:rPr>
          <w:rFonts w:hint="eastAsia"/>
          <w:color w:val="auto"/>
        </w:rPr>
        <w:t>（12）在机房内，用以支承电梯机件的钢铁及金属工程、托座等（如需）；提供本工程所涉及的全部预埋件及预埋位置数据及图纸，由承包人在土建施工时预埋（特殊预埋件由分包人制作及安装）。</w:t>
      </w:r>
    </w:p>
    <w:p>
      <w:pPr>
        <w:pStyle w:val="32"/>
        <w:spacing w:before="0" w:beforeLines="0"/>
        <w:ind w:firstLine="480" w:firstLineChars="200"/>
        <w:rPr>
          <w:color w:val="auto"/>
        </w:rPr>
      </w:pPr>
      <w:r>
        <w:rPr>
          <w:rFonts w:hint="eastAsia"/>
          <w:color w:val="auto"/>
        </w:rPr>
        <w:t>（13）其它用以支撑升降机轨道的金属托座工程等。</w:t>
      </w:r>
    </w:p>
    <w:p>
      <w:pPr>
        <w:pStyle w:val="32"/>
        <w:spacing w:before="0" w:beforeLines="0"/>
        <w:ind w:firstLine="480" w:firstLineChars="200"/>
        <w:rPr>
          <w:color w:val="auto"/>
        </w:rPr>
      </w:pPr>
      <w:r>
        <w:rPr>
          <w:rFonts w:hint="eastAsia"/>
          <w:color w:val="auto"/>
        </w:rPr>
        <w:t>（14）完成的指定承包工程范围作出保护以防损坏，并作出防水防风雨的措施，包括但不限于为电梯门边线条板提供临时木板保护角及为电梯里面提供临时保护木板。</w:t>
      </w:r>
    </w:p>
    <w:p>
      <w:pPr>
        <w:pStyle w:val="32"/>
        <w:spacing w:before="0" w:beforeLines="0"/>
        <w:ind w:firstLine="480" w:firstLineChars="200"/>
        <w:rPr>
          <w:color w:val="auto"/>
        </w:rPr>
      </w:pPr>
      <w:r>
        <w:rPr>
          <w:rFonts w:hint="eastAsia"/>
          <w:color w:val="auto"/>
        </w:rPr>
        <w:t>（15）其它为安装所必须的辅助工程。</w:t>
      </w:r>
    </w:p>
    <w:p>
      <w:pPr>
        <w:pStyle w:val="32"/>
        <w:spacing w:before="0" w:beforeLines="0"/>
        <w:ind w:firstLine="480" w:firstLineChars="200"/>
        <w:rPr>
          <w:color w:val="auto"/>
        </w:rPr>
      </w:pPr>
      <w:r>
        <w:rPr>
          <w:rFonts w:hint="eastAsia"/>
          <w:color w:val="auto"/>
        </w:rPr>
        <w:t>（16）负责示范区临时电梯的安拆工作。</w:t>
      </w:r>
    </w:p>
    <w:p>
      <w:pPr>
        <w:pStyle w:val="32"/>
        <w:spacing w:before="0" w:beforeLines="0"/>
        <w:ind w:firstLine="480" w:firstLineChars="200"/>
        <w:rPr>
          <w:color w:val="auto"/>
        </w:rPr>
      </w:pPr>
      <w:r>
        <w:rPr>
          <w:rFonts w:hint="eastAsia"/>
          <w:color w:val="auto"/>
        </w:rPr>
        <w:t>（17）具体的承包范围及工作界面的划分详本合同附件一。</w:t>
      </w:r>
    </w:p>
    <w:p>
      <w:pPr>
        <w:pStyle w:val="32"/>
        <w:numPr>
          <w:ilvl w:val="1"/>
          <w:numId w:val="2"/>
        </w:numPr>
        <w:spacing w:before="0" w:beforeLines="0"/>
        <w:ind w:left="0" w:firstLine="480" w:firstLineChars="200"/>
        <w:rPr>
          <w:color w:val="auto"/>
        </w:rPr>
      </w:pPr>
      <w:r>
        <w:rPr>
          <w:rFonts w:hint="eastAsia"/>
          <w:color w:val="auto"/>
        </w:rPr>
        <w:t>收货及保管</w:t>
      </w:r>
    </w:p>
    <w:p>
      <w:pPr>
        <w:pStyle w:val="32"/>
        <w:spacing w:before="0" w:beforeLines="0"/>
        <w:ind w:firstLine="480" w:firstLineChars="200"/>
        <w:rPr>
          <w:color w:val="auto"/>
        </w:rPr>
      </w:pPr>
      <w:r>
        <w:rPr>
          <w:rFonts w:hint="eastAsia"/>
          <w:color w:val="auto"/>
        </w:rPr>
        <w:t>3</w:t>
      </w:r>
      <w:r>
        <w:rPr>
          <w:color w:val="auto"/>
        </w:rPr>
        <w:t>.2.1</w:t>
      </w:r>
      <w:r>
        <w:rPr>
          <w:rFonts w:hint="eastAsia"/>
          <w:color w:val="auto"/>
        </w:rPr>
        <w:t xml:space="preserve"> 所有电梯设备由</w:t>
      </w:r>
      <w:r>
        <w:rPr>
          <w:rFonts w:hint="eastAsia" w:hAnsi="宋体"/>
          <w:color w:val="auto"/>
          <w:szCs w:val="24"/>
        </w:rPr>
        <w:t>电梯设备供货单位</w:t>
      </w:r>
      <w:r>
        <w:rPr>
          <w:rFonts w:hint="eastAsia"/>
          <w:color w:val="auto"/>
        </w:rPr>
        <w:t>运抵本项目工地现场后，由承包人联合发包人组织分包人对电梯设备的外观和数量进行初步检验后交由分包人保管，并由分包人对电梯设备交付（交付标准以全部电梯设备安装、调试、测试、检验完毕，并取得检验合格报告书、安全检验合格证以及电梯设备使用登记证）发包人之前毁损、灭失的风险承担责任。分包人须负责其工程防护工作直至本电梯验收完成并交付发包人后才结束。</w:t>
      </w:r>
      <w:r>
        <w:rPr>
          <w:rFonts w:hint="eastAsia" w:hAnsi="宋体"/>
          <w:color w:val="auto"/>
          <w:szCs w:val="24"/>
        </w:rPr>
        <w:t>分包人应对进场电梯设备进行妥善的包装、围蔽、保护、储藏等，</w:t>
      </w:r>
      <w:r>
        <w:rPr>
          <w:rFonts w:hint="eastAsia"/>
          <w:color w:val="auto"/>
        </w:rPr>
        <w:t>此防护措施应包括在施工前，施工时及竣工后防止所有因为尘埃及湿气等的侵入而引致对绝缘及电源接触不良影响的方法，本合同总价已包含供应符合上述要求所有物料的价款，分包人不能据此要求增加任何费用。</w:t>
      </w:r>
    </w:p>
    <w:p>
      <w:pPr>
        <w:pStyle w:val="32"/>
        <w:spacing w:before="0" w:beforeLines="0"/>
        <w:ind w:firstLine="480" w:firstLineChars="200"/>
        <w:rPr>
          <w:color w:val="auto"/>
        </w:rPr>
      </w:pPr>
      <w:r>
        <w:rPr>
          <w:rFonts w:hint="eastAsia" w:hAnsi="宋体"/>
          <w:color w:val="auto"/>
          <w:szCs w:val="24"/>
        </w:rPr>
        <w:t>3.2.2</w:t>
      </w:r>
      <w:r>
        <w:rPr>
          <w:rFonts w:hint="eastAsia"/>
          <w:color w:val="auto"/>
        </w:rPr>
        <w:t xml:space="preserve"> 所有组合配件在运送至工地现场前皆不可随意堆放以避免导致不必要的拉力、变质等影响，分包人应确保那些经粉饰过的表面不受损坏、刮花。</w:t>
      </w:r>
    </w:p>
    <w:p>
      <w:pPr>
        <w:pStyle w:val="32"/>
        <w:spacing w:before="0" w:beforeLines="0"/>
        <w:ind w:firstLine="480" w:firstLineChars="200"/>
        <w:rPr>
          <w:color w:val="auto"/>
        </w:rPr>
      </w:pPr>
      <w:r>
        <w:rPr>
          <w:rFonts w:hint="eastAsia"/>
          <w:color w:val="auto"/>
        </w:rPr>
        <w:t>3.2.3 分包人须征得承包人及发包人准许后，才可在物料上加上其它标记。经发包人书面同意，承包人有权指示在电梯设备及物料安装后，要求分包人除去所有标记而无需支付任何额外费用。</w:t>
      </w:r>
    </w:p>
    <w:p>
      <w:pPr>
        <w:pStyle w:val="32"/>
        <w:numPr>
          <w:ilvl w:val="1"/>
          <w:numId w:val="2"/>
        </w:numPr>
        <w:spacing w:before="0" w:beforeLines="0"/>
        <w:ind w:left="0" w:firstLine="480" w:firstLineChars="200"/>
        <w:rPr>
          <w:color w:val="auto"/>
        </w:rPr>
      </w:pPr>
      <w:r>
        <w:rPr>
          <w:rFonts w:hint="eastAsia"/>
          <w:color w:val="auto"/>
        </w:rPr>
        <w:t>办理手续</w:t>
      </w:r>
    </w:p>
    <w:p>
      <w:pPr>
        <w:pStyle w:val="32"/>
        <w:spacing w:before="0" w:beforeLines="0"/>
        <w:ind w:firstLine="480" w:firstLineChars="200"/>
        <w:rPr>
          <w:color w:val="auto"/>
        </w:rPr>
      </w:pPr>
      <w:r>
        <w:rPr>
          <w:rFonts w:hint="eastAsia"/>
          <w:color w:val="auto"/>
        </w:rPr>
        <w:t>负责按工程所在地特种设备检验检测机构、质量技术监督局、消防部门的要求办理电梯安装施工报批及有关安全施工手续及竣工后的验收工作，保证取得电梯检验合格报告书、安全检验合格证、使用登记证及政府部门要求的其他证照，相关费用已全部包含在本合同价款内。</w:t>
      </w:r>
    </w:p>
    <w:p>
      <w:pPr>
        <w:pStyle w:val="32"/>
        <w:numPr>
          <w:ilvl w:val="1"/>
          <w:numId w:val="2"/>
        </w:numPr>
        <w:spacing w:before="0" w:beforeLines="0"/>
        <w:ind w:left="0" w:firstLine="480" w:firstLineChars="200"/>
        <w:rPr>
          <w:color w:val="auto"/>
        </w:rPr>
      </w:pPr>
      <w:r>
        <w:rPr>
          <w:rFonts w:hint="eastAsia"/>
          <w:color w:val="auto"/>
        </w:rPr>
        <w:t>人员配合</w:t>
      </w:r>
    </w:p>
    <w:p>
      <w:pPr>
        <w:pStyle w:val="32"/>
        <w:spacing w:before="0" w:beforeLines="0"/>
        <w:ind w:firstLine="480" w:firstLineChars="200"/>
        <w:rPr>
          <w:color w:val="auto"/>
        </w:rPr>
      </w:pPr>
      <w:r>
        <w:rPr>
          <w:rFonts w:hint="eastAsia"/>
          <w:color w:val="auto"/>
        </w:rPr>
        <w:t xml:space="preserve">3.4.1 现场派 </w:t>
      </w:r>
      <w:r>
        <w:rPr>
          <w:rFonts w:hint="eastAsia"/>
          <w:color w:val="auto"/>
          <w:u w:val="single"/>
        </w:rPr>
        <w:t xml:space="preserve">      </w:t>
      </w:r>
      <w:r>
        <w:rPr>
          <w:rFonts w:hint="eastAsia"/>
          <w:color w:val="auto"/>
        </w:rPr>
        <w:t>任工程技术负责人，对整个工程的安装质量负完全责任。</w:t>
      </w:r>
    </w:p>
    <w:p>
      <w:pPr>
        <w:pStyle w:val="32"/>
        <w:spacing w:before="0" w:beforeLines="0"/>
        <w:ind w:firstLine="480" w:firstLineChars="200"/>
        <w:rPr>
          <w:color w:val="auto"/>
        </w:rPr>
      </w:pPr>
      <w:r>
        <w:rPr>
          <w:rFonts w:hint="eastAsia"/>
          <w:color w:val="auto"/>
        </w:rPr>
        <w:t>3.4.2 在工程安装期间，分包人须派</w:t>
      </w:r>
      <w:r>
        <w:rPr>
          <w:rFonts w:hint="eastAsia"/>
          <w:color w:val="auto"/>
          <w:u w:val="single"/>
        </w:rPr>
        <w:t xml:space="preserve">     </w:t>
      </w:r>
      <w:r>
        <w:rPr>
          <w:rFonts w:hint="eastAsia"/>
          <w:color w:val="auto"/>
        </w:rPr>
        <w:t>为驻现场项目经理，对整个工程施工过程负全部责任，包括施工安全及现场消防安全。</w:t>
      </w:r>
    </w:p>
    <w:p>
      <w:pPr>
        <w:pStyle w:val="32"/>
        <w:spacing w:before="0" w:beforeLines="0"/>
        <w:ind w:firstLine="480" w:firstLineChars="200"/>
        <w:rPr>
          <w:rFonts w:hAnsi="宋体"/>
          <w:color w:val="auto"/>
          <w:szCs w:val="24"/>
        </w:rPr>
      </w:pPr>
      <w:r>
        <w:rPr>
          <w:rFonts w:hint="eastAsia" w:hAnsi="宋体"/>
          <w:color w:val="auto"/>
          <w:szCs w:val="24"/>
        </w:rPr>
        <w:t>3.4.3 分包人须具有电梯安装的相应资质，分包人项目经理/技术负责人、主要安装人员及调试人员应具备相关的特种设备作业人员资格、专业知识及技术水平，熟悉本合同所需电梯设备的规格、技术指标及工艺，有足够能力安装、调试本合同的电梯设备。分包人投标时所提交项目经理/技术负责人、主要安装人员及调试人员目录及资格清单，未经承包人及发包人书面同意不得变更，人员目录及资格清单详见本合同附件十二。上述人员在电梯安装期间须全职在现场，不得兼任其他项目的工作。因特殊情况需短暂离岗的，应当事先报承包人、发包人及监理单位书面批准，并妥善安排工地现场的工作交接。上述人员的实际工作能力和工作表现达不到合同要求、工作态度存在严重不足、不适应现场工作需要的，经发包人书面同意，承包人有权向分包人提出更换。分包人可以提出整改意见；如承包人不予接受，或认为整改效果不明显的，则分包人必须在7天内无条件更换。</w:t>
      </w:r>
    </w:p>
    <w:p>
      <w:pPr>
        <w:pStyle w:val="32"/>
        <w:spacing w:before="0" w:beforeLines="0"/>
        <w:ind w:firstLine="480" w:firstLineChars="200"/>
        <w:rPr>
          <w:rFonts w:hAnsi="宋体"/>
          <w:color w:val="auto"/>
          <w:szCs w:val="24"/>
        </w:rPr>
      </w:pPr>
      <w:r>
        <w:rPr>
          <w:rFonts w:hint="eastAsia" w:hAnsi="宋体"/>
          <w:color w:val="auto"/>
          <w:szCs w:val="24"/>
        </w:rPr>
        <w:t>3.4.4 经</w:t>
      </w:r>
      <w:r>
        <w:rPr>
          <w:rFonts w:hint="eastAsia"/>
          <w:color w:val="auto"/>
        </w:rPr>
        <w:t>承包人</w:t>
      </w:r>
      <w:r>
        <w:rPr>
          <w:rFonts w:hint="eastAsia" w:hAnsi="宋体"/>
          <w:color w:val="auto"/>
          <w:szCs w:val="24"/>
        </w:rPr>
        <w:t>或监理单位或通知，项目经理/技术负责人须出席与本项目有关的会议。</w:t>
      </w:r>
    </w:p>
    <w:p>
      <w:pPr>
        <w:pStyle w:val="32"/>
        <w:spacing w:before="0" w:beforeLines="0"/>
        <w:ind w:firstLine="480" w:firstLineChars="200"/>
        <w:rPr>
          <w:rFonts w:hAnsi="宋体"/>
          <w:color w:val="auto"/>
          <w:szCs w:val="24"/>
        </w:rPr>
      </w:pPr>
      <w:r>
        <w:rPr>
          <w:rFonts w:hint="eastAsia" w:hAnsi="宋体"/>
          <w:color w:val="auto"/>
          <w:szCs w:val="24"/>
        </w:rPr>
        <w:t xml:space="preserve">3.4.5 </w:t>
      </w:r>
      <w:r>
        <w:rPr>
          <w:rFonts w:hint="eastAsia"/>
          <w:color w:val="auto"/>
        </w:rPr>
        <w:t>分包人</w:t>
      </w:r>
      <w:r>
        <w:rPr>
          <w:rFonts w:hint="eastAsia" w:hAnsi="宋体"/>
          <w:color w:val="auto"/>
          <w:szCs w:val="24"/>
        </w:rPr>
        <w:t>应指定至少一人负责与发包人、承包人、监理单位及其他施工单位的配合协调工作，协调好与各施工单位的关系，以并保证相互间的资料、信息等能及时传递，以保证项目顺利、按时完工。分包人应于本合同生效后10个日历天内将该等人员的姓名、联系方式书面通知承包人。</w:t>
      </w:r>
    </w:p>
    <w:p>
      <w:pPr>
        <w:pStyle w:val="32"/>
        <w:numPr>
          <w:ilvl w:val="1"/>
          <w:numId w:val="2"/>
        </w:numPr>
        <w:spacing w:before="0" w:beforeLines="0"/>
        <w:ind w:left="0" w:firstLine="480" w:firstLineChars="200"/>
        <w:rPr>
          <w:color w:val="auto"/>
        </w:rPr>
      </w:pPr>
      <w:r>
        <w:rPr>
          <w:rFonts w:hint="eastAsia"/>
          <w:color w:val="auto"/>
        </w:rPr>
        <w:t>其他</w:t>
      </w:r>
    </w:p>
    <w:p>
      <w:pPr>
        <w:pStyle w:val="32"/>
        <w:spacing w:before="0" w:beforeLines="0"/>
        <w:ind w:firstLine="480" w:firstLineChars="200"/>
        <w:rPr>
          <w:color w:val="auto"/>
        </w:rPr>
      </w:pPr>
      <w:r>
        <w:rPr>
          <w:rFonts w:hint="eastAsia"/>
          <w:color w:val="auto"/>
        </w:rPr>
        <w:t>3.5.1 除上述所列，分包人负责的工程范围还包括完成整个工程所必须的物料、机械、设备、工具、附件等。</w:t>
      </w:r>
    </w:p>
    <w:p>
      <w:pPr>
        <w:pStyle w:val="32"/>
        <w:spacing w:before="0" w:beforeLines="0"/>
        <w:ind w:firstLine="480" w:firstLineChars="200"/>
        <w:rPr>
          <w:color w:val="auto"/>
        </w:rPr>
      </w:pPr>
      <w:r>
        <w:rPr>
          <w:rFonts w:hint="eastAsia"/>
          <w:color w:val="auto"/>
        </w:rPr>
        <w:t>3.5.2 为安装电梯设备而须使用的任何物料均由分包人提供且费用已包含在合同总价中，而所使用物料必须是全新的物料并符合一切设计、有关规范及本合同的要求。</w:t>
      </w:r>
    </w:p>
    <w:p>
      <w:pPr>
        <w:pStyle w:val="32"/>
        <w:spacing w:before="0" w:beforeLines="0"/>
        <w:ind w:firstLine="480" w:firstLineChars="200"/>
        <w:rPr>
          <w:color w:val="auto"/>
        </w:rPr>
      </w:pPr>
      <w:r>
        <w:rPr>
          <w:rFonts w:hint="eastAsia"/>
          <w:color w:val="auto"/>
        </w:rPr>
        <w:t xml:space="preserve">3.5.3 电梯设备安装期间，如出现任何零部件不足或毁损的，由分包人免费予以补充或更换。  </w:t>
      </w:r>
    </w:p>
    <w:p>
      <w:pPr>
        <w:pStyle w:val="32"/>
        <w:spacing w:before="0" w:beforeLines="0"/>
        <w:ind w:firstLine="480" w:firstLineChars="200"/>
        <w:rPr>
          <w:color w:val="auto"/>
        </w:rPr>
      </w:pPr>
      <w:r>
        <w:rPr>
          <w:rFonts w:hint="eastAsia"/>
          <w:color w:val="auto"/>
        </w:rPr>
        <w:t>3.5.4 分包人须对所有安装材料进行试验。其试验方案包括次数，方法及程序等均须符合工程所在地政府及有关单位规范、规定等，同时须符合承包人及发包人要求，相关费用已包含在合同价款内。</w:t>
      </w:r>
    </w:p>
    <w:p>
      <w:pPr>
        <w:pStyle w:val="32"/>
        <w:spacing w:before="0" w:beforeLines="0"/>
        <w:ind w:firstLine="480" w:firstLineChars="200"/>
        <w:rPr>
          <w:color w:val="auto"/>
        </w:rPr>
      </w:pPr>
      <w:r>
        <w:rPr>
          <w:rFonts w:hint="eastAsia"/>
          <w:color w:val="auto"/>
        </w:rPr>
        <w:t>3.5.5 若试验未能满足上述要求，分包人须负责更换物料及重新试验直至承包人及发包人满意为止，所有因此导致的费用、损失及工期延迟由分包人自行负责。</w:t>
      </w:r>
    </w:p>
    <w:p>
      <w:pPr>
        <w:pStyle w:val="32"/>
        <w:spacing w:before="0" w:beforeLines="0"/>
        <w:ind w:firstLine="480" w:firstLineChars="200"/>
        <w:rPr>
          <w:color w:val="auto"/>
        </w:rPr>
      </w:pPr>
      <w:r>
        <w:rPr>
          <w:rFonts w:hint="eastAsia"/>
          <w:color w:val="auto"/>
        </w:rPr>
        <w:t>3.5.6 分包人须确保所有选用的机械、物料及设备等的设计、制造及安装均适合工地现场的环境并能有效地运作。</w:t>
      </w:r>
    </w:p>
    <w:p>
      <w:pPr>
        <w:pStyle w:val="32"/>
        <w:spacing w:before="0" w:beforeLines="0"/>
        <w:ind w:firstLine="480" w:firstLineChars="200"/>
        <w:rPr>
          <w:color w:val="auto"/>
        </w:rPr>
      </w:pPr>
      <w:r>
        <w:rPr>
          <w:rFonts w:hint="eastAsia"/>
          <w:color w:val="auto"/>
        </w:rPr>
        <w:t>3.5.7 若电梯轿厢二次装修另行发包的，分包人须负责对电梯轿厢二次装修安装承包单位进行技术指导、管理、协调，并对电梯进行相应的对重或其它相关的调整、调试，使其满足国家和厂家标准，技术指导、管理、协调和相关工程费用均已包含在本合同总价中。</w:t>
      </w:r>
    </w:p>
    <w:p>
      <w:pPr>
        <w:pStyle w:val="31"/>
        <w:numPr>
          <w:ilvl w:val="0"/>
          <w:numId w:val="2"/>
        </w:numPr>
        <w:spacing w:before="0" w:beforeLines="0"/>
        <w:ind w:left="351" w:hanging="351" w:hangingChars="125"/>
        <w:rPr>
          <w:color w:val="auto"/>
        </w:rPr>
      </w:pPr>
      <w:bookmarkStart w:id="3" w:name="_Toc126962025"/>
      <w:r>
        <w:rPr>
          <w:rFonts w:hint="eastAsia"/>
          <w:color w:val="auto"/>
        </w:rPr>
        <w:t>合同工期</w:t>
      </w:r>
      <w:bookmarkEnd w:id="3"/>
    </w:p>
    <w:p>
      <w:pPr>
        <w:pStyle w:val="32"/>
        <w:numPr>
          <w:ilvl w:val="1"/>
          <w:numId w:val="2"/>
        </w:numPr>
        <w:spacing w:before="0" w:beforeLines="0"/>
        <w:ind w:left="0" w:firstLine="480" w:firstLineChars="200"/>
        <w:rPr>
          <w:color w:val="auto"/>
        </w:rPr>
      </w:pPr>
      <w:r>
        <w:rPr>
          <w:rFonts w:hint="eastAsia"/>
          <w:color w:val="auto"/>
        </w:rPr>
        <w:t>分包人保证在本合同生效且按合同的工期要求完成全部电梯的安装调试，经承包人报发包人进行验收 。具体工期如下：</w:t>
      </w:r>
    </w:p>
    <w:p>
      <w:pPr>
        <w:pStyle w:val="32"/>
        <w:spacing w:before="0" w:beforeLines="0"/>
        <w:ind w:firstLine="480" w:firstLineChars="200"/>
        <w:rPr>
          <w:color w:val="auto"/>
        </w:rPr>
      </w:pPr>
      <w:r>
        <w:rPr>
          <w:rFonts w:hint="eastAsia"/>
          <w:color w:val="auto"/>
        </w:rPr>
        <w:t>暂定开始时间为：2024年1月1日；暂定完成时间为：2025年11月30日；暂定总工期700日历天。</w:t>
      </w:r>
    </w:p>
    <w:tbl>
      <w:tblPr>
        <w:tblStyle w:val="19"/>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134"/>
        <w:gridCol w:w="1134"/>
        <w:gridCol w:w="2127"/>
        <w:gridCol w:w="1417"/>
        <w:gridCol w:w="127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事项名称</w:t>
            </w: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分区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楼栋</w:t>
            </w:r>
          </w:p>
        </w:tc>
        <w:tc>
          <w:tcPr>
            <w:tcW w:w="141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开始时间</w:t>
            </w: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完成时间</w:t>
            </w:r>
          </w:p>
        </w:tc>
        <w:tc>
          <w:tcPr>
            <w:tcW w:w="131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w:t>
            </w:r>
          </w:p>
        </w:tc>
        <w:tc>
          <w:tcPr>
            <w:tcW w:w="1134" w:type="dxa"/>
            <w:vMerge w:val="restart"/>
            <w:tcBorders>
              <w:top w:val="single" w:color="auto" w:sz="4" w:space="0"/>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电梯安装及调试</w:t>
            </w:r>
          </w:p>
        </w:tc>
        <w:tc>
          <w:tcPr>
            <w:tcW w:w="1134" w:type="dxa"/>
            <w:vMerge w:val="restart"/>
            <w:tcBorders>
              <w:top w:val="single" w:color="auto" w:sz="4" w:space="0"/>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olor w:val="auto"/>
                <w:sz w:val="21"/>
                <w:szCs w:val="21"/>
              </w:rPr>
              <w:t>首开区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olor w:val="auto"/>
                <w:sz w:val="21"/>
                <w:szCs w:val="21"/>
              </w:rPr>
              <w:t>T3及裙房地下室</w:t>
            </w:r>
          </w:p>
        </w:tc>
        <w:tc>
          <w:tcPr>
            <w:tcW w:w="1417" w:type="dxa"/>
            <w:vMerge w:val="restart"/>
            <w:tcBorders>
              <w:top w:val="single" w:color="auto" w:sz="4" w:space="0"/>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w:t>
            </w: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B+90</w:t>
            </w:r>
          </w:p>
        </w:tc>
        <w:tc>
          <w:tcPr>
            <w:tcW w:w="1314" w:type="dxa"/>
            <w:vMerge w:val="restart"/>
            <w:tcBorders>
              <w:top w:val="single" w:color="auto" w:sz="4" w:space="0"/>
              <w:left w:val="single" w:color="auto" w:sz="4" w:space="0"/>
              <w:right w:val="single" w:color="auto" w:sz="4" w:space="0"/>
            </w:tcBorders>
            <w:vAlign w:val="center"/>
          </w:tcPr>
          <w:p>
            <w:pPr>
              <w:keepLines/>
              <w:snapToGrid w:val="0"/>
              <w:jc w:val="both"/>
              <w:rPr>
                <w:rFonts w:ascii="楷体" w:hAnsi="楷体" w:eastAsia="楷体"/>
                <w:color w:val="auto"/>
                <w:sz w:val="21"/>
                <w:szCs w:val="21"/>
              </w:rPr>
            </w:pPr>
            <w:r>
              <w:rPr>
                <w:rFonts w:hint="eastAsia" w:ascii="楷体" w:hAnsi="楷体" w:eastAsia="楷体"/>
                <w:color w:val="auto"/>
                <w:sz w:val="21"/>
                <w:szCs w:val="21"/>
              </w:rPr>
              <w:t>分多批次安装，每批次安装时间不超过65天，数量具体以到货为准。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2</w:t>
            </w:r>
          </w:p>
        </w:tc>
        <w:tc>
          <w:tcPr>
            <w:tcW w:w="1134" w:type="dxa"/>
            <w:vMerge w:val="continue"/>
            <w:tcBorders>
              <w:left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1134"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olor w:val="auto"/>
                <w:sz w:val="21"/>
                <w:szCs w:val="21"/>
              </w:rPr>
              <w:t>T4</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B+160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3</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vMerge w:val="continue"/>
            <w:tcBorders>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olor w:val="auto"/>
                <w:sz w:val="21"/>
                <w:szCs w:val="21"/>
              </w:rPr>
              <w:t>T5</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B+200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4</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olor w:val="auto"/>
                <w:sz w:val="21"/>
                <w:szCs w:val="21"/>
              </w:rPr>
              <w:t>二开区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olor w:val="auto"/>
                <w:sz w:val="21"/>
                <w:szCs w:val="21"/>
              </w:rPr>
              <w:t>T6</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B+220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5</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vMerge w:val="restart"/>
            <w:tcBorders>
              <w:top w:val="single" w:color="auto" w:sz="4" w:space="0"/>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olor w:val="auto"/>
                <w:sz w:val="21"/>
                <w:szCs w:val="21"/>
              </w:rPr>
              <w:t>三开区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ascii="楷体" w:hAnsi="楷体" w:eastAsia="楷体"/>
                <w:color w:val="auto"/>
                <w:sz w:val="21"/>
                <w:szCs w:val="21"/>
              </w:rPr>
              <w:t>T1</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B+480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6</w:t>
            </w:r>
          </w:p>
        </w:tc>
        <w:tc>
          <w:tcPr>
            <w:tcW w:w="1134" w:type="dxa"/>
            <w:vMerge w:val="continue"/>
            <w:tcBorders>
              <w:left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1134" w:type="dxa"/>
            <w:vMerge w:val="continue"/>
            <w:tcBorders>
              <w:left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T2栋临时电梯（低区1台）</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B+100</w:t>
            </w:r>
          </w:p>
        </w:tc>
        <w:tc>
          <w:tcPr>
            <w:tcW w:w="1314" w:type="dxa"/>
            <w:vMerge w:val="continue"/>
            <w:tcBorders>
              <w:left w:val="single" w:color="auto" w:sz="4" w:space="0"/>
              <w:right w:val="single" w:color="auto" w:sz="4" w:space="0"/>
            </w:tcBorders>
            <w:vAlign w:val="center"/>
          </w:tcPr>
          <w:p>
            <w:pPr>
              <w:keepLines/>
              <w:snapToGrid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7</w:t>
            </w:r>
          </w:p>
        </w:tc>
        <w:tc>
          <w:tcPr>
            <w:tcW w:w="1134" w:type="dxa"/>
            <w:vMerge w:val="continue"/>
            <w:tcBorders>
              <w:left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1134" w:type="dxa"/>
            <w:vMerge w:val="continue"/>
            <w:tcBorders>
              <w:left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T2栋临时电梯（中区1台）</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B+280</w:t>
            </w:r>
          </w:p>
        </w:tc>
        <w:tc>
          <w:tcPr>
            <w:tcW w:w="1314" w:type="dxa"/>
            <w:vMerge w:val="continue"/>
            <w:tcBorders>
              <w:left w:val="single" w:color="auto" w:sz="4" w:space="0"/>
              <w:right w:val="single" w:color="auto" w:sz="4" w:space="0"/>
            </w:tcBorders>
            <w:vAlign w:val="center"/>
          </w:tcPr>
          <w:p>
            <w:pPr>
              <w:keepLines/>
              <w:snapToGrid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8</w:t>
            </w:r>
          </w:p>
        </w:tc>
        <w:tc>
          <w:tcPr>
            <w:tcW w:w="1134" w:type="dxa"/>
            <w:vMerge w:val="continue"/>
            <w:tcBorders>
              <w:left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1134" w:type="dxa"/>
            <w:vMerge w:val="continue"/>
            <w:tcBorders>
              <w:left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T2栋临时电梯（高区1台）</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B+340</w:t>
            </w:r>
          </w:p>
        </w:tc>
        <w:tc>
          <w:tcPr>
            <w:tcW w:w="1314" w:type="dxa"/>
            <w:vMerge w:val="continue"/>
            <w:tcBorders>
              <w:left w:val="single" w:color="auto" w:sz="4" w:space="0"/>
              <w:right w:val="single" w:color="auto" w:sz="4" w:space="0"/>
            </w:tcBorders>
            <w:vAlign w:val="center"/>
          </w:tcPr>
          <w:p>
            <w:pPr>
              <w:keepLines/>
              <w:snapToGrid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9</w:t>
            </w:r>
          </w:p>
        </w:tc>
        <w:tc>
          <w:tcPr>
            <w:tcW w:w="1134" w:type="dxa"/>
            <w:vMerge w:val="continue"/>
            <w:tcBorders>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vMerge w:val="continue"/>
            <w:tcBorders>
              <w:left w:val="single" w:color="auto" w:sz="4" w:space="0"/>
              <w:bottom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ascii="楷体" w:hAnsi="楷体" w:eastAsia="楷体"/>
                <w:color w:val="auto"/>
                <w:sz w:val="21"/>
                <w:szCs w:val="21"/>
              </w:rPr>
              <w:t>T2</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B+370</w:t>
            </w:r>
          </w:p>
        </w:tc>
        <w:tc>
          <w:tcPr>
            <w:tcW w:w="1314" w:type="dxa"/>
            <w:vMerge w:val="continue"/>
            <w:tcBorders>
              <w:left w:val="single" w:color="auto" w:sz="4" w:space="0"/>
              <w:bottom w:val="single" w:color="auto" w:sz="4" w:space="0"/>
              <w:right w:val="single" w:color="auto" w:sz="4" w:space="0"/>
            </w:tcBorders>
            <w:vAlign w:val="center"/>
          </w:tcPr>
          <w:p>
            <w:pPr>
              <w:keepLines/>
              <w:snapToGrid w:val="0"/>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10</w:t>
            </w:r>
          </w:p>
        </w:tc>
        <w:tc>
          <w:tcPr>
            <w:tcW w:w="1134" w:type="dxa"/>
            <w:vMerge w:val="restart"/>
            <w:tcBorders>
              <w:top w:val="single" w:color="auto" w:sz="4" w:space="0"/>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电梯调试、验收</w:t>
            </w:r>
          </w:p>
        </w:tc>
        <w:tc>
          <w:tcPr>
            <w:tcW w:w="1134" w:type="dxa"/>
            <w:vMerge w:val="restart"/>
            <w:tcBorders>
              <w:top w:val="single" w:color="auto" w:sz="4" w:space="0"/>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首开区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T3及裙房地下室</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B+110</w:t>
            </w:r>
          </w:p>
        </w:tc>
        <w:tc>
          <w:tcPr>
            <w:tcW w:w="1314" w:type="dxa"/>
            <w:vMerge w:val="restart"/>
            <w:tcBorders>
              <w:top w:val="single" w:color="auto" w:sz="4" w:space="0"/>
              <w:left w:val="single" w:color="auto" w:sz="4" w:space="0"/>
              <w:right w:val="single" w:color="auto" w:sz="4" w:space="0"/>
            </w:tcBorders>
            <w:vAlign w:val="center"/>
          </w:tcPr>
          <w:p>
            <w:pPr>
              <w:keepLines/>
              <w:snapToGrid w:val="0"/>
              <w:jc w:val="both"/>
              <w:rPr>
                <w:rFonts w:ascii="楷体" w:hAnsi="楷体" w:eastAsia="楷体"/>
                <w:color w:val="auto"/>
                <w:sz w:val="21"/>
                <w:szCs w:val="21"/>
              </w:rPr>
            </w:pPr>
            <w:r>
              <w:rPr>
                <w:rFonts w:hint="eastAsia" w:ascii="楷体" w:hAnsi="楷体" w:eastAsia="楷体"/>
                <w:color w:val="auto"/>
                <w:sz w:val="21"/>
                <w:szCs w:val="21"/>
              </w:rPr>
              <w:t>每批次验收时间不超过20天（含取得质检合格证）。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11</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vMerge w:val="continue"/>
            <w:tcBorders>
              <w:left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ascii="楷体" w:hAnsi="楷体" w:eastAsia="楷体"/>
                <w:color w:val="auto"/>
                <w:sz w:val="21"/>
                <w:szCs w:val="21"/>
              </w:rPr>
              <w:t>T4</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B+180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12</w:t>
            </w:r>
          </w:p>
        </w:tc>
        <w:tc>
          <w:tcPr>
            <w:tcW w:w="1134" w:type="dxa"/>
            <w:vMerge w:val="continue"/>
            <w:tcBorders>
              <w:left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1134" w:type="dxa"/>
            <w:vMerge w:val="continue"/>
            <w:tcBorders>
              <w:left w:val="single" w:color="auto" w:sz="4" w:space="0"/>
              <w:bottom w:val="single" w:color="auto" w:sz="4" w:space="0"/>
              <w:right w:val="single" w:color="auto" w:sz="4" w:space="0"/>
            </w:tcBorders>
            <w:vAlign w:val="center"/>
          </w:tcPr>
          <w:p>
            <w:pPr>
              <w:keepLines/>
              <w:snapToGrid w:val="0"/>
              <w:jc w:val="both"/>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ascii="楷体" w:hAnsi="楷体" w:eastAsia="楷体"/>
                <w:color w:val="auto"/>
                <w:sz w:val="21"/>
                <w:szCs w:val="21"/>
              </w:rPr>
              <w:t>T5</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B+220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13</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二开区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ascii="楷体" w:hAnsi="楷体" w:eastAsia="楷体"/>
                <w:color w:val="auto"/>
                <w:sz w:val="21"/>
                <w:szCs w:val="21"/>
              </w:rPr>
              <w:t>T6</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B+240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14</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vMerge w:val="restart"/>
            <w:tcBorders>
              <w:top w:val="single" w:color="auto" w:sz="4" w:space="0"/>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三开区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ascii="楷体" w:hAnsi="楷体" w:eastAsia="楷体"/>
                <w:color w:val="auto"/>
                <w:sz w:val="21"/>
                <w:szCs w:val="21"/>
              </w:rPr>
              <w:t>T1</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B+500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15</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vMerge w:val="continue"/>
            <w:tcBorders>
              <w:left w:val="single" w:color="auto" w:sz="4" w:space="0"/>
              <w:right w:val="single" w:color="auto" w:sz="4" w:space="0"/>
            </w:tcBorders>
            <w:vAlign w:val="center"/>
          </w:tcPr>
          <w:p>
            <w:pPr>
              <w:keepLines/>
              <w:snapToGrid w:val="0"/>
              <w:jc w:val="both"/>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T2栋临时电梯（低区1台）</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B+120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16</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vMerge w:val="continue"/>
            <w:tcBorders>
              <w:left w:val="single" w:color="auto" w:sz="4" w:space="0"/>
              <w:right w:val="single" w:color="auto" w:sz="4" w:space="0"/>
            </w:tcBorders>
            <w:vAlign w:val="center"/>
          </w:tcPr>
          <w:p>
            <w:pPr>
              <w:keepLines/>
              <w:snapToGrid w:val="0"/>
              <w:jc w:val="both"/>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T2栋临时电梯（中区1台）</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B+300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17</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vMerge w:val="continue"/>
            <w:tcBorders>
              <w:left w:val="single" w:color="auto" w:sz="4" w:space="0"/>
              <w:right w:val="single" w:color="auto" w:sz="4" w:space="0"/>
            </w:tcBorders>
            <w:vAlign w:val="center"/>
          </w:tcPr>
          <w:p>
            <w:pPr>
              <w:keepLines/>
              <w:snapToGrid w:val="0"/>
              <w:jc w:val="both"/>
              <w:rPr>
                <w:rFonts w:ascii="楷体" w:hAnsi="楷体" w:eastAsia="楷体" w:cs="仿宋"/>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T2栋临时电梯（高区1台）</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B+360</w:t>
            </w:r>
          </w:p>
        </w:tc>
        <w:tc>
          <w:tcPr>
            <w:tcW w:w="1314" w:type="dxa"/>
            <w:vMerge w:val="continue"/>
            <w:tcBorders>
              <w:left w:val="single" w:color="auto" w:sz="4" w:space="0"/>
              <w:right w:val="single" w:color="auto" w:sz="4" w:space="0"/>
            </w:tcBorders>
            <w:vAlign w:val="center"/>
          </w:tcPr>
          <w:p>
            <w:pPr>
              <w:keepLines/>
              <w:snapToGrid w:val="0"/>
              <w:spacing w:line="360" w:lineRule="auto"/>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18</w:t>
            </w:r>
          </w:p>
        </w:tc>
        <w:tc>
          <w:tcPr>
            <w:tcW w:w="1134" w:type="dxa"/>
            <w:vMerge w:val="continue"/>
            <w:tcBorders>
              <w:left w:val="single" w:color="auto" w:sz="4" w:space="0"/>
              <w:bottom w:val="single" w:color="auto" w:sz="4" w:space="0"/>
              <w:right w:val="single" w:color="auto" w:sz="4" w:space="0"/>
            </w:tcBorders>
            <w:vAlign w:val="center"/>
          </w:tcPr>
          <w:p>
            <w:pPr>
              <w:keepLines/>
              <w:snapToGrid w:val="0"/>
              <w:rPr>
                <w:rFonts w:ascii="楷体" w:hAnsi="楷体" w:eastAsia="楷体" w:cs="仿宋"/>
                <w:color w:val="auto"/>
                <w:sz w:val="21"/>
                <w:szCs w:val="21"/>
              </w:rPr>
            </w:pPr>
          </w:p>
        </w:tc>
        <w:tc>
          <w:tcPr>
            <w:tcW w:w="1134" w:type="dxa"/>
            <w:vMerge w:val="continue"/>
            <w:tcBorders>
              <w:left w:val="single" w:color="auto" w:sz="4" w:space="0"/>
              <w:bottom w:val="single" w:color="auto" w:sz="4" w:space="0"/>
              <w:right w:val="single" w:color="auto" w:sz="4" w:space="0"/>
            </w:tcBorders>
            <w:vAlign w:val="center"/>
          </w:tcPr>
          <w:p>
            <w:pPr>
              <w:keepLines/>
              <w:snapToGrid w:val="0"/>
              <w:jc w:val="both"/>
              <w:rPr>
                <w:rFonts w:ascii="楷体" w:hAnsi="楷体" w:eastAsia="楷体"/>
                <w:color w:val="auto"/>
                <w:sz w:val="21"/>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ascii="楷体" w:hAnsi="楷体" w:eastAsia="楷体"/>
                <w:color w:val="auto"/>
                <w:sz w:val="21"/>
                <w:szCs w:val="21"/>
              </w:rPr>
              <w:t>T2</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B+490</w:t>
            </w:r>
          </w:p>
        </w:tc>
        <w:tc>
          <w:tcPr>
            <w:tcW w:w="1314" w:type="dxa"/>
            <w:vMerge w:val="continue"/>
            <w:tcBorders>
              <w:left w:val="single" w:color="auto" w:sz="4" w:space="0"/>
              <w:bottom w:val="single" w:color="auto" w:sz="4" w:space="0"/>
              <w:right w:val="single" w:color="auto" w:sz="4" w:space="0"/>
            </w:tcBorders>
            <w:vAlign w:val="center"/>
          </w:tcPr>
          <w:p>
            <w:pPr>
              <w:keepLines/>
              <w:snapToGrid w:val="0"/>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19</w:t>
            </w:r>
          </w:p>
        </w:tc>
        <w:tc>
          <w:tcPr>
            <w:tcW w:w="1134" w:type="dxa"/>
            <w:vMerge w:val="restart"/>
            <w:tcBorders>
              <w:top w:val="single" w:color="auto" w:sz="4" w:space="0"/>
              <w:left w:val="single" w:color="auto" w:sz="4" w:space="0"/>
              <w:right w:val="single" w:color="auto" w:sz="4" w:space="0"/>
            </w:tcBorders>
            <w:vAlign w:val="center"/>
          </w:tcPr>
          <w:p>
            <w:pPr>
              <w:widowControl/>
              <w:autoSpaceDE/>
              <w:autoSpaceDN/>
              <w:adjustRightInd/>
              <w:jc w:val="center"/>
              <w:rPr>
                <w:rFonts w:ascii="楷体" w:hAnsi="楷体" w:eastAsia="楷体" w:cs="仿宋"/>
                <w:color w:val="auto"/>
                <w:sz w:val="21"/>
                <w:szCs w:val="21"/>
              </w:rPr>
            </w:pPr>
            <w:r>
              <w:rPr>
                <w:rFonts w:hint="eastAsia" w:ascii="楷体" w:hAnsi="楷体" w:eastAsia="楷体" w:cs="仿宋"/>
                <w:color w:val="auto"/>
                <w:sz w:val="21"/>
                <w:szCs w:val="21"/>
              </w:rPr>
              <w:t>竣工验收</w:t>
            </w: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首开区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T3~T5及裙房地下室</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B+310</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20</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二开区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ascii="楷体" w:hAnsi="楷体" w:eastAsia="楷体"/>
                <w:color w:val="auto"/>
                <w:sz w:val="21"/>
                <w:szCs w:val="21"/>
              </w:rPr>
              <w:t>T6</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B+340</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21</w:t>
            </w:r>
          </w:p>
        </w:tc>
        <w:tc>
          <w:tcPr>
            <w:tcW w:w="1134" w:type="dxa"/>
            <w:vMerge w:val="continue"/>
            <w:tcBorders>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三开区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T1、T2</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B+660</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22</w:t>
            </w:r>
          </w:p>
        </w:tc>
        <w:tc>
          <w:tcPr>
            <w:tcW w:w="1134" w:type="dxa"/>
            <w:vMerge w:val="restart"/>
            <w:tcBorders>
              <w:top w:val="single" w:color="auto" w:sz="4" w:space="0"/>
              <w:left w:val="single" w:color="auto" w:sz="4" w:space="0"/>
              <w:right w:val="single" w:color="auto" w:sz="4" w:space="0"/>
            </w:tcBorders>
            <w:vAlign w:val="center"/>
          </w:tcPr>
          <w:p>
            <w:pPr>
              <w:widowControl/>
              <w:autoSpaceDE/>
              <w:autoSpaceDN/>
              <w:adjustRightInd/>
              <w:jc w:val="center"/>
              <w:rPr>
                <w:rFonts w:ascii="楷体" w:hAnsi="楷体" w:eastAsia="楷体" w:cs="仿宋"/>
                <w:color w:val="auto"/>
                <w:sz w:val="21"/>
                <w:szCs w:val="21"/>
              </w:rPr>
            </w:pPr>
            <w:r>
              <w:rPr>
                <w:rFonts w:hint="eastAsia" w:ascii="楷体" w:hAnsi="楷体" w:eastAsia="楷体" w:cs="仿宋"/>
                <w:color w:val="auto"/>
                <w:sz w:val="21"/>
                <w:szCs w:val="21"/>
              </w:rPr>
              <w:t>竣工备案</w:t>
            </w: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首开区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T3~T5及裙房地下室</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B+335</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23</w:t>
            </w:r>
          </w:p>
        </w:tc>
        <w:tc>
          <w:tcPr>
            <w:tcW w:w="1134" w:type="dxa"/>
            <w:vMerge w:val="continue"/>
            <w:tcBorders>
              <w:left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二开区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ascii="楷体" w:hAnsi="楷体" w:eastAsia="楷体"/>
                <w:color w:val="auto"/>
                <w:sz w:val="21"/>
                <w:szCs w:val="21"/>
              </w:rPr>
              <w:t>T6</w:t>
            </w:r>
          </w:p>
        </w:tc>
        <w:tc>
          <w:tcPr>
            <w:tcW w:w="1417" w:type="dxa"/>
            <w:vMerge w:val="continue"/>
            <w:tcBorders>
              <w:left w:val="single" w:color="auto" w:sz="4" w:space="0"/>
              <w:right w:val="single" w:color="auto" w:sz="4" w:space="0"/>
            </w:tcBorders>
            <w:vAlign w:val="center"/>
          </w:tcPr>
          <w:p>
            <w:pPr>
              <w:keepLines/>
              <w:snapToGrid w:val="0"/>
              <w:jc w:val="center"/>
              <w:rPr>
                <w:rFonts w:ascii="楷体" w:hAnsi="楷体" w:eastAsia="楷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B+365</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4"/>
                <w:szCs w:val="24"/>
              </w:rPr>
            </w:pPr>
            <w:r>
              <w:rPr>
                <w:rFonts w:hint="eastAsia" w:ascii="楷体" w:hAnsi="楷体" w:eastAsia="楷体" w:cs="仿宋"/>
                <w:color w:val="auto"/>
                <w:sz w:val="24"/>
                <w:szCs w:val="24"/>
              </w:rPr>
              <w:t>24</w:t>
            </w:r>
          </w:p>
        </w:tc>
        <w:tc>
          <w:tcPr>
            <w:tcW w:w="1134" w:type="dxa"/>
            <w:vMerge w:val="continue"/>
            <w:tcBorders>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s="仿宋"/>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hint="eastAsia" w:ascii="楷体" w:hAnsi="楷体" w:eastAsia="楷体" w:cs="仿宋"/>
                <w:color w:val="auto"/>
                <w:sz w:val="21"/>
                <w:szCs w:val="21"/>
              </w:rPr>
              <w:t>三开区</w:t>
            </w:r>
          </w:p>
        </w:tc>
        <w:tc>
          <w:tcPr>
            <w:tcW w:w="2127"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r>
              <w:rPr>
                <w:rFonts w:hint="eastAsia" w:ascii="楷体" w:hAnsi="楷体" w:eastAsia="楷体"/>
                <w:color w:val="auto"/>
                <w:sz w:val="21"/>
                <w:szCs w:val="21"/>
              </w:rPr>
              <w:t>T1、T2</w:t>
            </w:r>
          </w:p>
        </w:tc>
        <w:tc>
          <w:tcPr>
            <w:tcW w:w="1417" w:type="dxa"/>
            <w:vMerge w:val="continue"/>
            <w:tcBorders>
              <w:left w:val="single" w:color="auto" w:sz="4" w:space="0"/>
              <w:bottom w:val="single" w:color="auto" w:sz="4" w:space="0"/>
              <w:right w:val="single" w:color="auto" w:sz="4" w:space="0"/>
            </w:tcBorders>
            <w:vAlign w:val="center"/>
          </w:tcPr>
          <w:p>
            <w:pPr>
              <w:keepLines/>
              <w:snapToGrid w:val="0"/>
              <w:jc w:val="center"/>
              <w:rPr>
                <w:rFonts w:ascii="楷体" w:hAnsi="楷体" w:eastAsia="楷体"/>
                <w:color w:val="auto"/>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keepLines/>
              <w:snapToGrid w:val="0"/>
              <w:jc w:val="center"/>
              <w:rPr>
                <w:rFonts w:ascii="楷体" w:hAnsi="楷体" w:eastAsia="楷体" w:cs="仿宋"/>
                <w:color w:val="auto"/>
                <w:sz w:val="21"/>
                <w:szCs w:val="21"/>
              </w:rPr>
            </w:pPr>
            <w:r>
              <w:rPr>
                <w:rFonts w:ascii="楷体" w:hAnsi="楷体" w:eastAsia="楷体" w:cs="仿宋"/>
                <w:color w:val="auto"/>
                <w:sz w:val="21"/>
                <w:szCs w:val="21"/>
              </w:rPr>
              <w:t>B+700</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color w:val="auto"/>
                <w:sz w:val="22"/>
                <w:szCs w:val="22"/>
              </w:rPr>
            </w:pPr>
          </w:p>
        </w:tc>
      </w:tr>
    </w:tbl>
    <w:p>
      <w:pPr>
        <w:pStyle w:val="32"/>
        <w:spacing w:before="0" w:beforeLines="0"/>
        <w:ind w:firstLine="480" w:firstLineChars="200"/>
        <w:rPr>
          <w:color w:val="auto"/>
        </w:rPr>
      </w:pPr>
      <w:r>
        <w:rPr>
          <w:rFonts w:hint="eastAsia"/>
          <w:color w:val="auto"/>
        </w:rPr>
        <w:t>注：电梯安装开始时间B暂定为2024年1月1日，具体以承包单位书面通知为准；2）临时电梯的安装具体以承包单位书面通知为准。</w:t>
      </w:r>
    </w:p>
    <w:p>
      <w:pPr>
        <w:pStyle w:val="32"/>
        <w:numPr>
          <w:ilvl w:val="1"/>
          <w:numId w:val="2"/>
        </w:numPr>
        <w:spacing w:before="0" w:beforeLines="0"/>
        <w:ind w:left="0" w:firstLine="480" w:firstLineChars="200"/>
        <w:rPr>
          <w:color w:val="auto"/>
        </w:rPr>
      </w:pPr>
      <w:r>
        <w:rPr>
          <w:rFonts w:hint="eastAsia"/>
          <w:color w:val="auto"/>
        </w:rPr>
        <w:t>分包人保证在本合同生效且电梯设备到货后</w:t>
      </w:r>
      <w:r>
        <w:rPr>
          <w:rFonts w:hint="eastAsia"/>
          <w:color w:val="auto"/>
          <w:u w:val="single"/>
        </w:rPr>
        <w:t>65</w:t>
      </w:r>
      <w:r>
        <w:rPr>
          <w:rFonts w:hint="eastAsia"/>
          <w:color w:val="auto"/>
        </w:rPr>
        <w:t>个日历天内完成全部电梯设备的安装调试（电梯如分批到货，则分批计算工期），报相关政府主管部门进行验收，并取得有资质的电梯检测检验机构或政府主管部门颁发的电梯检验合格报告书、安全检验合格证和电梯设备使用登记证。</w:t>
      </w:r>
    </w:p>
    <w:p>
      <w:pPr>
        <w:pStyle w:val="32"/>
        <w:spacing w:before="0" w:beforeLines="0"/>
        <w:ind w:firstLine="480" w:firstLineChars="200"/>
        <w:rPr>
          <w:color w:val="auto"/>
        </w:rPr>
      </w:pPr>
      <w:r>
        <w:rPr>
          <w:rFonts w:hint="eastAsia"/>
          <w:color w:val="auto"/>
        </w:rPr>
        <w:t>如收到整改要求，若该整改属于分包人原因，分包人确保在收到整改要求后按照承包人及发包人规定期限内整改完成。同时须负责因上述原因引起的一切费用、损失及延长工期时间的赔偿责任。</w:t>
      </w:r>
    </w:p>
    <w:p>
      <w:pPr>
        <w:pStyle w:val="32"/>
        <w:numPr>
          <w:ilvl w:val="1"/>
          <w:numId w:val="2"/>
        </w:numPr>
        <w:spacing w:before="0" w:beforeLines="0"/>
        <w:ind w:left="0" w:firstLine="480" w:firstLineChars="200"/>
        <w:rPr>
          <w:color w:val="auto"/>
        </w:rPr>
      </w:pPr>
      <w:r>
        <w:rPr>
          <w:rFonts w:hint="eastAsia"/>
          <w:color w:val="auto"/>
        </w:rPr>
        <w:t>电梯设备安装工期必须满足工程进度及工程总进度要求，若需要随承包人的工程进度作调整的，具体安装开始时间或安装过程中的时间调整以经发包人书面同意的书面通知为准，安装工期作相应的顺延调整，但总承包工程的总工期不变，分包人必须无条件配合且不调整合同价款、也不得提出任何索赔或增加任何费用。若本工程因</w:t>
      </w:r>
      <w:r>
        <w:rPr>
          <w:rFonts w:hint="eastAsia" w:hAnsi="宋体"/>
          <w:color w:val="auto"/>
          <w:szCs w:val="24"/>
        </w:rPr>
        <w:t>承包人</w:t>
      </w:r>
      <w:r>
        <w:rPr>
          <w:rFonts w:hint="eastAsia"/>
          <w:color w:val="auto"/>
        </w:rPr>
        <w:t>责任而有可能延误时，分包人或会被指示先完成某部分工程。分包人于接到指示后，应遵从指示完成指定部分及所余下工程，所延误工期根据实际延长时间而顺延，分包人不得提出其他任何索赔或增加任何费用。若分包人与</w:t>
      </w:r>
      <w:r>
        <w:rPr>
          <w:rFonts w:hint="eastAsia" w:hAnsi="宋体"/>
          <w:color w:val="auto"/>
          <w:szCs w:val="24"/>
        </w:rPr>
        <w:t>承包人</w:t>
      </w:r>
      <w:r>
        <w:rPr>
          <w:rFonts w:hint="eastAsia"/>
          <w:color w:val="auto"/>
        </w:rPr>
        <w:t>之间发生争议，分包人应主动与承包人协调解决。</w:t>
      </w:r>
    </w:p>
    <w:p>
      <w:pPr>
        <w:pStyle w:val="32"/>
        <w:numPr>
          <w:ilvl w:val="1"/>
          <w:numId w:val="2"/>
        </w:numPr>
        <w:spacing w:before="0" w:beforeLines="0"/>
        <w:ind w:left="0" w:firstLine="480" w:firstLineChars="200"/>
        <w:rPr>
          <w:color w:val="auto"/>
        </w:rPr>
      </w:pPr>
      <w:r>
        <w:rPr>
          <w:rFonts w:hint="eastAsia"/>
          <w:color w:val="auto"/>
        </w:rPr>
        <w:t>如果发包人或监理单位认为本合同工程进度过慢，可能不能按预定的工期竣工时，监理单位经发包人同意后可以通过承包人要求分包人采取加快进度的措施，以使工程能在预定的工期内竣工。因此发生的费用已包含在合同总价内，分包人不能据此要求增加任何费用。</w:t>
      </w:r>
    </w:p>
    <w:p>
      <w:pPr>
        <w:pStyle w:val="32"/>
        <w:numPr>
          <w:ilvl w:val="1"/>
          <w:numId w:val="2"/>
        </w:numPr>
        <w:spacing w:before="0" w:beforeLines="0"/>
        <w:ind w:left="0" w:firstLine="480" w:firstLineChars="200"/>
        <w:rPr>
          <w:color w:val="auto"/>
        </w:rPr>
      </w:pPr>
      <w:r>
        <w:rPr>
          <w:rFonts w:hint="eastAsia"/>
          <w:color w:val="auto"/>
        </w:rPr>
        <w:t>若本工程进度受阻时，分包人应立刻通过承包人书面通知发包人并说明本工程或其中部分工程进度受阻的原因。若发包人、承包人收到上述通知后，认为工程进度受阻原因是由于发包人、承包人或其他施工单位引起的，则经发包人书面同意，承包人与分包人根据实际情况进行磋商，承包人最终书面同意适当延长分包人工期的，合同价款不作任何调整，分包人也不得提出任何索赔或增加任何费用。</w:t>
      </w:r>
    </w:p>
    <w:p>
      <w:pPr>
        <w:pStyle w:val="31"/>
        <w:numPr>
          <w:ilvl w:val="0"/>
          <w:numId w:val="2"/>
        </w:numPr>
        <w:spacing w:before="0" w:beforeLines="0"/>
        <w:ind w:left="351" w:hanging="351" w:hangingChars="125"/>
        <w:rPr>
          <w:color w:val="auto"/>
        </w:rPr>
      </w:pPr>
      <w:bookmarkStart w:id="4" w:name="_Toc126962026"/>
      <w:r>
        <w:rPr>
          <w:rFonts w:hint="eastAsia"/>
          <w:color w:val="auto"/>
        </w:rPr>
        <w:t>合同价款</w:t>
      </w:r>
      <w:bookmarkEnd w:id="4"/>
    </w:p>
    <w:p>
      <w:pPr>
        <w:pStyle w:val="32"/>
        <w:numPr>
          <w:ilvl w:val="1"/>
          <w:numId w:val="2"/>
        </w:numPr>
        <w:spacing w:before="0" w:beforeLines="0"/>
        <w:ind w:left="0" w:firstLine="480" w:firstLineChars="200"/>
        <w:rPr>
          <w:rFonts w:hAnsi="宋体"/>
          <w:color w:val="auto"/>
          <w:szCs w:val="24"/>
        </w:rPr>
      </w:pPr>
      <w:r>
        <w:rPr>
          <w:rFonts w:hint="eastAsia"/>
          <w:color w:val="auto"/>
        </w:rPr>
        <w:t>签约合同价格暂定为￥    元，大写：人民币    其中不含税签约合同价格为￥   元，税费为￥   元，税率为     %（详附件3：云港城项目4#地块电梯安装报价明细清单）。签约</w:t>
      </w:r>
      <w:r>
        <w:rPr>
          <w:rFonts w:hint="eastAsia" w:hAnsi="宋体"/>
          <w:color w:val="auto"/>
          <w:szCs w:val="24"/>
        </w:rPr>
        <w:t>合同价格包括但不限于：安装人工费、管理费、安装耗材费、机械设备使用费、培训费、测试调试费、报装报验费（包括政府有关部门、发包人、承包人、分包人及分包人提出并经发包人、承包人书面同意的有资质的电梯检测机构的检验测试）、施工措施费、赶工费、保修费用、电梯提前使用费（包括电梯提前使用的维修、维保费用、开梯人员费用等）、其他工程费用、规费、税费、劳保基金、利润等从电梯安装到验收符合合同要求、交付发包人合法使用、保修期内所需的产品、其零部件及服务等的全部费用。</w:t>
      </w:r>
      <w:r>
        <w:rPr>
          <w:rFonts w:hint="eastAsia"/>
          <w:color w:val="auto"/>
        </w:rPr>
        <w:t>一切有关本工程及与本工程有关的一切配合，衔接、返工、修复、遗漏等工程费用，亦被视为已包括在合同价内。本合同按综合单价包干不调整，按经发包人确认的数量结算。</w:t>
      </w:r>
    </w:p>
    <w:p>
      <w:pPr>
        <w:pStyle w:val="32"/>
        <w:numPr>
          <w:ilvl w:val="1"/>
          <w:numId w:val="2"/>
        </w:numPr>
        <w:spacing w:before="0" w:beforeLines="0"/>
        <w:ind w:left="0" w:firstLine="480" w:firstLineChars="200"/>
        <w:rPr>
          <w:color w:val="auto"/>
        </w:rPr>
      </w:pPr>
      <w:r>
        <w:rPr>
          <w:rFonts w:hint="eastAsia"/>
          <w:color w:val="auto"/>
        </w:rPr>
        <w:t>合同总价已包括所有为完成本工程所必需的费用，不论有关工程是否在规范、图纸或本合同里有无特别说明。</w:t>
      </w:r>
    </w:p>
    <w:p>
      <w:pPr>
        <w:pStyle w:val="32"/>
        <w:numPr>
          <w:ilvl w:val="1"/>
          <w:numId w:val="2"/>
        </w:numPr>
        <w:spacing w:before="0" w:beforeLines="0"/>
        <w:ind w:left="0" w:firstLine="480" w:firstLineChars="200"/>
        <w:rPr>
          <w:color w:val="auto"/>
        </w:rPr>
      </w:pPr>
      <w:r>
        <w:rPr>
          <w:rFonts w:hint="eastAsia"/>
          <w:color w:val="auto"/>
        </w:rPr>
        <w:t>电梯安装价款、计算标准及计算方法，详见附件三。</w:t>
      </w:r>
    </w:p>
    <w:p>
      <w:pPr>
        <w:pStyle w:val="32"/>
        <w:numPr>
          <w:ilvl w:val="1"/>
          <w:numId w:val="2"/>
        </w:numPr>
        <w:spacing w:before="0" w:beforeLines="0"/>
        <w:ind w:left="0" w:firstLine="480" w:firstLineChars="200"/>
        <w:rPr>
          <w:color w:val="auto"/>
        </w:rPr>
      </w:pPr>
      <w:r>
        <w:rPr>
          <w:rFonts w:hint="eastAsia"/>
          <w:color w:val="auto"/>
        </w:rPr>
        <w:t>分包人须对报价的错误估计所导致的损失负责。</w:t>
      </w:r>
    </w:p>
    <w:p>
      <w:pPr>
        <w:pStyle w:val="32"/>
        <w:numPr>
          <w:ilvl w:val="1"/>
          <w:numId w:val="2"/>
        </w:numPr>
        <w:spacing w:before="0" w:beforeLines="0"/>
        <w:ind w:left="0" w:firstLine="480" w:firstLineChars="200"/>
        <w:rPr>
          <w:color w:val="auto"/>
        </w:rPr>
      </w:pPr>
      <w:r>
        <w:rPr>
          <w:rFonts w:hint="eastAsia"/>
          <w:color w:val="auto"/>
        </w:rPr>
        <w:t>分包人须注意本工程招标图纸及规范绘示及说明中的基本设计概念，在合同总价中已包括所有为完成整个本工程的全部费用。因分包人原因造成的工程质量不及格或不符合规范/图纸的要求，所产生的费用均由分包人负完全责任，与承包人无关。工期不因分包人返工而顺延。</w:t>
      </w:r>
    </w:p>
    <w:p>
      <w:pPr>
        <w:pStyle w:val="32"/>
        <w:numPr>
          <w:ilvl w:val="1"/>
          <w:numId w:val="2"/>
        </w:numPr>
        <w:spacing w:before="0" w:beforeLines="0"/>
        <w:ind w:left="0" w:firstLine="480" w:firstLineChars="200"/>
        <w:rPr>
          <w:color w:val="auto"/>
        </w:rPr>
      </w:pPr>
      <w:r>
        <w:rPr>
          <w:rFonts w:hint="eastAsia"/>
          <w:color w:val="auto"/>
        </w:rPr>
        <w:t>发包人有权根据项目的实际情况、要求增减本合同附件三清单内的电梯设备的数量或服务内容而需要相应调整合同价款的，如原投标文件中有相应报价且为甲方认可的，则按照相应的报价执行；若原投标文件中有相应报价但不为甲方认可或无相应报价的，则分包人应重新进行报价，双方协商一致价格后作为支付和结算的依据，分包人不得要求任何额外费用及其他索赔。</w:t>
      </w:r>
    </w:p>
    <w:p>
      <w:pPr>
        <w:pStyle w:val="32"/>
        <w:numPr>
          <w:ilvl w:val="1"/>
          <w:numId w:val="2"/>
        </w:numPr>
        <w:spacing w:before="0" w:beforeLines="0"/>
        <w:ind w:left="0" w:firstLine="480" w:firstLineChars="200"/>
        <w:rPr>
          <w:color w:val="auto"/>
        </w:rPr>
      </w:pPr>
      <w:r>
        <w:rPr>
          <w:rFonts w:hint="eastAsia"/>
          <w:color w:val="auto"/>
        </w:rPr>
        <w:t>合同签订后30日历天内，分包人应向承包人提交本工程的安全文明施工费押金，押金金额为本合同暂定金额的1%计取且总金额不超过5万元。押金如因扣款等原因减少，分包人须按上述要求补足。</w:t>
      </w:r>
    </w:p>
    <w:p>
      <w:pPr>
        <w:pStyle w:val="32"/>
        <w:numPr>
          <w:ilvl w:val="1"/>
          <w:numId w:val="2"/>
        </w:numPr>
        <w:spacing w:before="0" w:beforeLines="0"/>
        <w:ind w:left="0" w:firstLine="480" w:firstLineChars="200"/>
        <w:rPr>
          <w:color w:val="auto"/>
        </w:rPr>
      </w:pPr>
      <w:r>
        <w:rPr>
          <w:rFonts w:hint="eastAsia"/>
          <w:color w:val="auto"/>
        </w:rPr>
        <w:t>若遇政策性调整增值税税率的，承方人提供增值税专用发票的增值税税率按当期国家税务总局政策性调整后的增值税税率执行；发包人按当次应付金额对应的不含增值税价款及调整后的增值税税率计算的增值税税费进行支付。</w:t>
      </w:r>
    </w:p>
    <w:p>
      <w:pPr>
        <w:pStyle w:val="32"/>
        <w:numPr>
          <w:ilvl w:val="1"/>
          <w:numId w:val="2"/>
        </w:numPr>
        <w:spacing w:before="0" w:beforeLines="0"/>
        <w:ind w:left="0" w:firstLine="480" w:firstLineChars="200"/>
        <w:rPr>
          <w:color w:val="auto"/>
        </w:rPr>
      </w:pPr>
      <w:r>
        <w:rPr>
          <w:rFonts w:hint="eastAsia"/>
          <w:color w:val="auto"/>
        </w:rPr>
        <w:t>与《总承包管理与配合服务管理办法》相对应的总承包服务费由发包人统一向承包人支付，分包人无需再向承包人支付总承包服务费。</w:t>
      </w:r>
    </w:p>
    <w:p>
      <w:pPr>
        <w:pStyle w:val="31"/>
        <w:numPr>
          <w:ilvl w:val="0"/>
          <w:numId w:val="2"/>
        </w:numPr>
        <w:spacing w:before="0" w:beforeLines="0"/>
        <w:ind w:left="351" w:hanging="351" w:hangingChars="125"/>
        <w:rPr>
          <w:color w:val="auto"/>
        </w:rPr>
      </w:pPr>
      <w:bookmarkStart w:id="5" w:name="_Toc126962027"/>
      <w:r>
        <w:rPr>
          <w:rFonts w:hint="eastAsia"/>
          <w:color w:val="auto"/>
        </w:rPr>
        <w:t>合同的价款支付、变更、结算</w:t>
      </w:r>
      <w:bookmarkEnd w:id="5"/>
    </w:p>
    <w:p>
      <w:pPr>
        <w:pStyle w:val="32"/>
        <w:numPr>
          <w:ilvl w:val="1"/>
          <w:numId w:val="2"/>
        </w:numPr>
        <w:spacing w:before="0" w:beforeLines="0"/>
        <w:ind w:left="0" w:firstLine="480" w:firstLineChars="200"/>
        <w:rPr>
          <w:color w:val="auto"/>
          <w:szCs w:val="24"/>
        </w:rPr>
      </w:pPr>
      <w:r>
        <w:rPr>
          <w:rFonts w:hint="eastAsia"/>
          <w:color w:val="auto"/>
          <w:szCs w:val="24"/>
        </w:rPr>
        <w:tab/>
      </w:r>
      <w:r>
        <w:rPr>
          <w:rFonts w:hint="eastAsia"/>
          <w:color w:val="auto"/>
          <w:szCs w:val="24"/>
        </w:rPr>
        <w:t>本合同生效后30个日历天内，在分包人进场检查验收电梯安装现场，提出书面整改意见，并按照本合同的样式和条件向承包人提交本合同电梯安装总价10％的不可撤销的银行履约保函。</w:t>
      </w:r>
    </w:p>
    <w:p>
      <w:pPr>
        <w:pStyle w:val="32"/>
        <w:numPr>
          <w:ilvl w:val="1"/>
          <w:numId w:val="2"/>
        </w:numPr>
        <w:spacing w:before="0" w:beforeLines="0"/>
        <w:ind w:left="0" w:firstLine="480" w:firstLineChars="200"/>
        <w:rPr>
          <w:color w:val="auto"/>
          <w:szCs w:val="24"/>
        </w:rPr>
      </w:pPr>
      <w:r>
        <w:rPr>
          <w:rFonts w:hint="eastAsia"/>
          <w:color w:val="auto"/>
          <w:szCs w:val="24"/>
        </w:rPr>
        <w:t>支付方式：</w:t>
      </w:r>
    </w:p>
    <w:p>
      <w:pPr>
        <w:pStyle w:val="32"/>
        <w:spacing w:before="0" w:beforeLines="0"/>
        <w:ind w:firstLine="480" w:firstLineChars="200"/>
        <w:rPr>
          <w:color w:val="auto"/>
          <w:szCs w:val="24"/>
        </w:rPr>
      </w:pPr>
      <w:r>
        <w:rPr>
          <w:rFonts w:hint="eastAsia"/>
          <w:color w:val="auto"/>
          <w:szCs w:val="24"/>
        </w:rPr>
        <w:t>（1）合同每期含税应付货款50%采用现金支付；50%非现金支付，账期为6个月。</w:t>
      </w:r>
    </w:p>
    <w:p>
      <w:pPr>
        <w:pStyle w:val="32"/>
        <w:spacing w:before="0" w:beforeLines="0"/>
        <w:ind w:firstLine="480" w:firstLineChars="200"/>
        <w:rPr>
          <w:color w:val="auto"/>
          <w:szCs w:val="24"/>
        </w:rPr>
      </w:pPr>
      <w:r>
        <w:rPr>
          <w:rFonts w:hint="eastAsia"/>
          <w:color w:val="auto"/>
          <w:szCs w:val="24"/>
        </w:rPr>
        <w:t>（2）采用非现金支付，分包人在商业承兑汇票、供应链票据到期前进行贴现的，所有贴现相关费用由分包人自行承担；分包人将上述账期内对应的应收账款转让给保理公司进行保理融资的，由分包人与保理公司另行签署保理融资协议或合同，所有保理相关费用由分包人自行承担。</w:t>
      </w:r>
    </w:p>
    <w:p>
      <w:pPr>
        <w:pStyle w:val="32"/>
        <w:spacing w:before="0" w:beforeLines="0"/>
        <w:ind w:firstLine="480" w:firstLineChars="200"/>
        <w:rPr>
          <w:color w:val="auto"/>
          <w:szCs w:val="24"/>
        </w:rPr>
      </w:pPr>
      <w:r>
        <w:rPr>
          <w:rFonts w:hint="eastAsia"/>
          <w:color w:val="auto"/>
          <w:szCs w:val="24"/>
        </w:rPr>
        <w:t>（3）在发包人根据与承包人签署的承包合同向承包人支付本工程项目合同款（含非现金支付部分）前，承包人须向发包人提供经发包人审核同意的足额增值税专用发票（办理完毕总结算手续后，支付至总结算款97%前，分包人应开具总结算款100%的增值税专用发票）；承包人根据与发包人签署的承包合同及本合同约定向分包人付款（含非现金支付部分）前，分包人应提供符合相关税收法规要求的发票。发包人采用非现金支付方式的，承包人、分包人同意无条件配合办理开具商业承兑汇票、供应链票据/凭证等支付工具的相关手续，否则视同违约，发包人可延后办理对应非现金付款手续且不承担任何责任。</w:t>
      </w:r>
    </w:p>
    <w:p>
      <w:pPr>
        <w:pStyle w:val="32"/>
        <w:spacing w:before="0" w:beforeLines="0"/>
        <w:ind w:firstLine="480" w:firstLineChars="200"/>
        <w:rPr>
          <w:color w:val="auto"/>
          <w:szCs w:val="24"/>
        </w:rPr>
      </w:pPr>
      <w:r>
        <w:rPr>
          <w:rFonts w:hint="eastAsia"/>
          <w:color w:val="auto"/>
          <w:szCs w:val="24"/>
        </w:rPr>
        <w:t>（4）支付每期应付工程款时，对50%的非现金支付合同价款：如发包人选择商业承兑汇票或供应链票据方式向承包人支付的，承包人需将发包人开具的商业承兑汇票或供应链票据直接背书或转让予分包人；如发包人选择使用现金支付方式向承包人支付的，承包人亦应采用现金支付方式向分包人支付，承包人与分包人无条件同意 ，按该50%非现金支付合同价款的97.5%支付该期应付工程款的非现金支付部分，并确认该期应付工程款的50%非现金支付部分已按现金支付方式足额支付。</w:t>
      </w:r>
    </w:p>
    <w:p>
      <w:pPr>
        <w:pStyle w:val="32"/>
        <w:numPr>
          <w:ilvl w:val="1"/>
          <w:numId w:val="2"/>
        </w:numPr>
        <w:spacing w:before="0" w:beforeLines="0"/>
        <w:ind w:left="0" w:firstLine="480" w:firstLineChars="200"/>
        <w:rPr>
          <w:color w:val="auto"/>
          <w:szCs w:val="24"/>
        </w:rPr>
      </w:pPr>
      <w:r>
        <w:rPr>
          <w:rFonts w:hint="eastAsia"/>
          <w:color w:val="auto"/>
          <w:szCs w:val="24"/>
        </w:rPr>
        <w:t>进度款支付</w:t>
      </w:r>
    </w:p>
    <w:p>
      <w:pPr>
        <w:pStyle w:val="32"/>
        <w:spacing w:before="0" w:beforeLines="0"/>
        <w:ind w:firstLine="480" w:firstLineChars="200"/>
        <w:rPr>
          <w:color w:val="auto"/>
          <w:szCs w:val="24"/>
        </w:rPr>
      </w:pPr>
      <w:r>
        <w:rPr>
          <w:rFonts w:hint="eastAsia"/>
          <w:color w:val="auto"/>
          <w:szCs w:val="24"/>
        </w:rPr>
        <w:t>（1）发包人及承包人确认各批电梯安装、调试、测试完毕，分包人提交发票后向分包人支付至该批次电梯对应的安装价款的</w:t>
      </w:r>
      <w:r>
        <w:rPr>
          <w:rFonts w:hint="eastAsia"/>
          <w:color w:val="auto"/>
          <w:szCs w:val="24"/>
          <w:u w:val="single"/>
        </w:rPr>
        <w:t>70</w:t>
      </w:r>
      <w:r>
        <w:rPr>
          <w:rFonts w:hint="eastAsia"/>
          <w:color w:val="auto"/>
          <w:szCs w:val="24"/>
        </w:rPr>
        <w:t>%。</w:t>
      </w:r>
    </w:p>
    <w:p>
      <w:pPr>
        <w:pStyle w:val="32"/>
        <w:spacing w:before="0" w:beforeLines="0"/>
        <w:ind w:firstLine="480" w:firstLineChars="200"/>
        <w:rPr>
          <w:color w:val="auto"/>
          <w:szCs w:val="24"/>
        </w:rPr>
      </w:pPr>
      <w:r>
        <w:rPr>
          <w:rFonts w:hint="eastAsia"/>
          <w:color w:val="auto"/>
          <w:szCs w:val="24"/>
        </w:rPr>
        <w:t>（2）本合同实施的各批次全部电梯设备安装、调试、测试完毕并通过发包人、承包人和相关部门验收，且实施的各批次全部电梯设备检验合格报告书、安全检验合格证、电梯设备使用登记证递交发包人且本项目整体工程交付发包人使用，支付至各批次电梯对应的安装价款的85%；分段结算完成后，可支付至该分段结算金额的90%。</w:t>
      </w:r>
    </w:p>
    <w:p>
      <w:pPr>
        <w:pStyle w:val="32"/>
        <w:spacing w:before="0" w:beforeLines="0"/>
        <w:ind w:firstLine="480" w:firstLineChars="200"/>
        <w:rPr>
          <w:color w:val="auto"/>
          <w:szCs w:val="24"/>
        </w:rPr>
      </w:pPr>
      <w:r>
        <w:rPr>
          <w:rFonts w:hint="eastAsia"/>
          <w:color w:val="auto"/>
          <w:szCs w:val="24"/>
        </w:rPr>
        <w:t>（3）分包人将本工程的竣工资料和结算资料一并通过承包人交付给发包人，发包人在审核确认、三方办理完毕总结算手续，分包人向承包人书面提出结算款申请支付，承包人向分包人支付至总结算价的97%，质量保证金为本合同总结算价的3%。</w:t>
      </w:r>
    </w:p>
    <w:p>
      <w:pPr>
        <w:pStyle w:val="32"/>
        <w:numPr>
          <w:ilvl w:val="1"/>
          <w:numId w:val="2"/>
        </w:numPr>
        <w:spacing w:before="0" w:beforeLines="0"/>
        <w:ind w:left="0" w:firstLine="480" w:firstLineChars="200"/>
        <w:rPr>
          <w:color w:val="auto"/>
        </w:rPr>
      </w:pPr>
      <w:r>
        <w:rPr>
          <w:rFonts w:hint="eastAsia"/>
          <w:color w:val="auto"/>
        </w:rPr>
        <w:t>保修期起计满两年且电梯设备及其工程出现的质量问题得到全部解决并经发包人、承包人确认后，承包人扣除应扣款项后，一次性无息退还质量保证金；若分包人未按要求履行完毕保修义务，发包人、承包人将扣除相应金额的质量保证金。</w:t>
      </w:r>
    </w:p>
    <w:p>
      <w:pPr>
        <w:pStyle w:val="32"/>
        <w:numPr>
          <w:ilvl w:val="1"/>
          <w:numId w:val="2"/>
        </w:numPr>
        <w:spacing w:before="0" w:beforeLines="0"/>
        <w:ind w:left="0" w:firstLine="480" w:firstLineChars="200"/>
        <w:rPr>
          <w:color w:val="auto"/>
        </w:rPr>
      </w:pPr>
      <w:r>
        <w:rPr>
          <w:rFonts w:hint="eastAsia"/>
          <w:color w:val="auto"/>
        </w:rPr>
        <w:t>以上各期付款，付款要求如下：</w:t>
      </w:r>
    </w:p>
    <w:p>
      <w:pPr>
        <w:pStyle w:val="32"/>
        <w:numPr>
          <w:ilvl w:val="0"/>
          <w:numId w:val="4"/>
        </w:numPr>
        <w:spacing w:before="0" w:beforeLines="0"/>
        <w:ind w:left="0" w:firstLine="480" w:firstLineChars="200"/>
        <w:rPr>
          <w:color w:val="auto"/>
        </w:rPr>
      </w:pPr>
      <w:r>
        <w:rPr>
          <w:rFonts w:hint="eastAsia"/>
          <w:color w:val="auto"/>
        </w:rPr>
        <w:t>上述付款条件成立后，分包人向承包人提出书面支付申请，并提供与应付款金额等额的税务部门验证合格的增值税专用发票。工程进度款审批期限为28天，自分包人通过承包人向发包人书面提出付款申请或经发包人要求后重新提出付款申请并附齐相关证明之日起计。若分包人未提供书面付款申请或提供非正规（不合格）增值税专用发票，承包人有权不予支付任何款项且无需承担逾期付款的违约责任。</w:t>
      </w:r>
    </w:p>
    <w:p>
      <w:pPr>
        <w:pStyle w:val="32"/>
        <w:spacing w:before="0" w:beforeLines="0"/>
        <w:ind w:firstLine="480" w:firstLineChars="200"/>
        <w:rPr>
          <w:color w:val="auto"/>
        </w:rPr>
      </w:pPr>
      <w:r>
        <w:rPr>
          <w:rFonts w:hint="eastAsia"/>
          <w:color w:val="auto"/>
        </w:rPr>
        <w:t>分包人付款申请经发包人审核确认后，发包人通知承包人本期工程款应支付金额,承包人应根据发包人审核确认的应付工程进度款金额的100%向发包人开具合规增值税专用发票，发包人在收到承包人提供的增值税专用发票后28天内支付工程款。对付款金额有异议的，发包人将在该期限内先支付已确认部分的款项。承包人应及时报送工程验收资料，资料不完整的视作该项工作未完成，进度款中不予确认。</w:t>
      </w:r>
    </w:p>
    <w:p>
      <w:pPr>
        <w:pStyle w:val="32"/>
        <w:numPr>
          <w:ilvl w:val="0"/>
          <w:numId w:val="4"/>
        </w:numPr>
        <w:spacing w:before="0" w:beforeLines="0"/>
        <w:ind w:left="0" w:firstLine="480" w:firstLineChars="200"/>
        <w:rPr>
          <w:color w:val="auto"/>
        </w:rPr>
      </w:pPr>
      <w:r>
        <w:rPr>
          <w:rFonts w:hint="eastAsia"/>
          <w:color w:val="auto"/>
        </w:rPr>
        <w:t>分包人开具的增值税专用发票（发票联及抵扣联）在送达承包人前如发生丢失、灭失或被盗等情况，导致相应票据未顺利送达承包人，或送达并经承包人签收后，发生丢失、灭失或被盗等情况的，分包人应向承包人提供丢失发票的记账联复印件（加盖发票专用章）等税收法规规定及主管税务机关要求提供的相关资料，并确保承包人顺利抵扣该增值税专用发票，否则，承包人因此遭受的经济损失由分包人负责赔偿。</w:t>
      </w:r>
    </w:p>
    <w:p>
      <w:pPr>
        <w:pStyle w:val="32"/>
        <w:numPr>
          <w:ilvl w:val="0"/>
          <w:numId w:val="4"/>
        </w:numPr>
        <w:spacing w:before="0" w:beforeLines="0"/>
        <w:ind w:left="0" w:firstLine="480" w:firstLineChars="200"/>
        <w:rPr>
          <w:color w:val="auto"/>
        </w:rPr>
      </w:pPr>
      <w:r>
        <w:rPr>
          <w:rFonts w:hint="eastAsia"/>
          <w:color w:val="auto"/>
        </w:rPr>
        <w:t>每一期款项支付前，分包人应向承包人提供符合要求的增值税专用发票，承包人在收到分包人开具的增值税专用发票后5个工作日内向发包人开具相应数额的增值税专用发票。</w:t>
      </w:r>
    </w:p>
    <w:p>
      <w:pPr>
        <w:pStyle w:val="32"/>
        <w:numPr>
          <w:ilvl w:val="1"/>
          <w:numId w:val="2"/>
        </w:numPr>
        <w:spacing w:before="0" w:beforeLines="0"/>
        <w:ind w:left="0" w:firstLine="480" w:firstLineChars="200"/>
        <w:rPr>
          <w:color w:val="auto"/>
        </w:rPr>
      </w:pPr>
      <w:r>
        <w:rPr>
          <w:rFonts w:hint="eastAsia"/>
          <w:color w:val="auto"/>
        </w:rPr>
        <w:t>进度款支付要求：</w:t>
      </w:r>
    </w:p>
    <w:p>
      <w:pPr>
        <w:pStyle w:val="32"/>
        <w:spacing w:before="0" w:beforeLines="0"/>
        <w:ind w:firstLine="480" w:firstLineChars="200"/>
        <w:rPr>
          <w:color w:val="auto"/>
        </w:rPr>
      </w:pPr>
      <w:r>
        <w:rPr>
          <w:rFonts w:hint="eastAsia"/>
          <w:color w:val="auto"/>
        </w:rPr>
        <w:t>（1）进度款的计量及申请统一纳入承包人的工程款报审中，每期进度款由工人工资款项和其他进度款项两部分组成；工人工资款项由发包人支付给承包人工人工资账户，再由承包人支付给分包人；其他进度款项发包人支付至承包人的账户，再由承包人支付给分包人。</w:t>
      </w:r>
    </w:p>
    <w:p>
      <w:pPr>
        <w:pStyle w:val="32"/>
        <w:spacing w:before="0" w:beforeLines="0"/>
        <w:ind w:firstLine="480" w:firstLineChars="200"/>
        <w:rPr>
          <w:color w:val="auto"/>
        </w:rPr>
      </w:pPr>
      <w:r>
        <w:rPr>
          <w:rFonts w:hint="eastAsia"/>
          <w:color w:val="auto"/>
        </w:rPr>
        <w:t>（2）承包人收到发包人支付的进度款（含工人工资款）后，承包人须在7个工作日内将款项支付给相应的分包人。承包人未按上述时间要求支付分包工程款的，视为一次违约且按总承包合同的约定向发包人支付违约金。</w:t>
      </w:r>
    </w:p>
    <w:p>
      <w:pPr>
        <w:pStyle w:val="32"/>
        <w:spacing w:before="0" w:beforeLines="0"/>
        <w:ind w:firstLine="480" w:firstLineChars="200"/>
        <w:rPr>
          <w:color w:val="auto"/>
        </w:rPr>
      </w:pPr>
      <w:r>
        <w:rPr>
          <w:rFonts w:hint="eastAsia"/>
          <w:color w:val="auto"/>
        </w:rPr>
        <w:t xml:space="preserve">（3）本合同工人工资的比例为 </w:t>
      </w:r>
      <w:r>
        <w:rPr>
          <w:rFonts w:hint="eastAsia"/>
          <w:color w:val="auto"/>
          <w:u w:val="single"/>
        </w:rPr>
        <w:t xml:space="preserve">/ </w:t>
      </w:r>
      <w:r>
        <w:rPr>
          <w:rFonts w:hint="eastAsia"/>
          <w:color w:val="auto"/>
        </w:rPr>
        <w:t>%，按中标通知书载明的人工费金额/合同暂定金额（需扣除暂列金额、暂估价）计算，如中标通知书载明的人工费金额与清单中累计人工费金额不一致时，两者以高者为准；如中标通知书及报价清单中没有具体明确人工费，则按穗建规字[2017]10号文中要求的其他工程项目工程进度款中工人工资款参照比例的上限执行，即工人工资比例为20%。如后续政府颁发有关工人工资的新要求，则以政府最新要求为准。</w:t>
      </w:r>
    </w:p>
    <w:p>
      <w:pPr>
        <w:pStyle w:val="31"/>
        <w:numPr>
          <w:ilvl w:val="0"/>
          <w:numId w:val="2"/>
        </w:numPr>
        <w:spacing w:before="0" w:beforeLines="0"/>
        <w:rPr>
          <w:color w:val="auto"/>
        </w:rPr>
      </w:pPr>
      <w:r>
        <w:rPr>
          <w:rFonts w:hint="eastAsia"/>
          <w:color w:val="auto"/>
        </w:rPr>
        <w:tab/>
      </w:r>
      <w:bookmarkStart w:id="6" w:name="_Toc126962028"/>
      <w:r>
        <w:rPr>
          <w:rFonts w:hint="eastAsia"/>
          <w:color w:val="auto"/>
        </w:rPr>
        <w:t>竣工结算</w:t>
      </w:r>
      <w:bookmarkEnd w:id="6"/>
    </w:p>
    <w:p>
      <w:pPr>
        <w:ind w:firstLine="480" w:firstLineChars="200"/>
        <w:rPr>
          <w:rFonts w:ascii="楷体" w:hAnsi="楷体" w:eastAsia="楷体"/>
          <w:color w:val="auto"/>
          <w:sz w:val="24"/>
          <w:szCs w:val="24"/>
        </w:rPr>
      </w:pPr>
      <w:r>
        <w:rPr>
          <w:rFonts w:hint="eastAsia" w:ascii="楷体" w:hAnsi="楷体" w:eastAsia="楷体"/>
          <w:color w:val="auto"/>
          <w:sz w:val="24"/>
          <w:szCs w:val="24"/>
        </w:rPr>
        <w:t>7.1本合同可分期结算（具体分</w:t>
      </w:r>
      <w:bookmarkStart w:id="170" w:name="_GoBack"/>
      <w:bookmarkEnd w:id="170"/>
      <w:r>
        <w:rPr>
          <w:rFonts w:hint="eastAsia" w:ascii="楷体" w:hAnsi="楷体" w:eastAsia="楷体"/>
          <w:color w:val="auto"/>
          <w:sz w:val="24"/>
          <w:szCs w:val="24"/>
        </w:rPr>
        <w:t>期以甲方书面通知为准）</w:t>
      </w:r>
    </w:p>
    <w:p>
      <w:pPr>
        <w:ind w:firstLine="480" w:firstLineChars="200"/>
        <w:rPr>
          <w:rFonts w:ascii="楷体" w:hAnsi="楷体" w:eastAsia="楷体"/>
          <w:color w:val="auto"/>
          <w:sz w:val="24"/>
          <w:szCs w:val="24"/>
        </w:rPr>
      </w:pPr>
      <w:r>
        <w:rPr>
          <w:rFonts w:hint="eastAsia" w:ascii="楷体" w:hAnsi="楷体" w:eastAsia="楷体"/>
          <w:color w:val="auto"/>
          <w:sz w:val="24"/>
          <w:szCs w:val="24"/>
        </w:rPr>
        <w:t>7.2分期结算申请资料：</w:t>
      </w:r>
    </w:p>
    <w:p>
      <w:pPr>
        <w:ind w:firstLine="480" w:firstLineChars="200"/>
        <w:rPr>
          <w:rFonts w:ascii="楷体" w:hAnsi="楷体" w:eastAsia="楷体"/>
          <w:color w:val="auto"/>
          <w:sz w:val="24"/>
          <w:szCs w:val="24"/>
        </w:rPr>
      </w:pPr>
      <w:r>
        <w:rPr>
          <w:rFonts w:hint="eastAsia" w:ascii="楷体" w:hAnsi="楷体" w:eastAsia="楷体"/>
          <w:color w:val="auto"/>
          <w:sz w:val="24"/>
          <w:szCs w:val="24"/>
        </w:rPr>
        <w:t>1）结算资料目录；</w:t>
      </w:r>
    </w:p>
    <w:p>
      <w:pPr>
        <w:ind w:firstLine="480" w:firstLineChars="200"/>
        <w:rPr>
          <w:rFonts w:ascii="楷体" w:hAnsi="楷体" w:eastAsia="楷体"/>
          <w:color w:val="auto"/>
          <w:sz w:val="24"/>
          <w:szCs w:val="24"/>
        </w:rPr>
      </w:pPr>
      <w:r>
        <w:rPr>
          <w:rFonts w:hint="eastAsia" w:ascii="楷体" w:hAnsi="楷体" w:eastAsia="楷体"/>
          <w:color w:val="auto"/>
          <w:sz w:val="24"/>
          <w:szCs w:val="24"/>
        </w:rPr>
        <w:t xml:space="preserve">2）工程结算书，包括编制说明、结算汇总表、工程量清单计价表、结算金额与合同金额对比表及其差异分析、指标分析表及与结算相关的计价文件依据等；    </w:t>
      </w:r>
    </w:p>
    <w:p>
      <w:pPr>
        <w:ind w:firstLine="480" w:firstLineChars="200"/>
        <w:rPr>
          <w:rFonts w:ascii="楷体" w:hAnsi="楷体" w:eastAsia="楷体"/>
          <w:color w:val="auto"/>
          <w:sz w:val="24"/>
          <w:szCs w:val="24"/>
        </w:rPr>
      </w:pPr>
      <w:r>
        <w:rPr>
          <w:rFonts w:hint="eastAsia" w:ascii="楷体" w:hAnsi="楷体" w:eastAsia="楷体"/>
          <w:color w:val="auto"/>
          <w:sz w:val="24"/>
          <w:szCs w:val="24"/>
        </w:rPr>
        <w:t>3）工程量计算书；</w:t>
      </w:r>
    </w:p>
    <w:p>
      <w:pPr>
        <w:ind w:firstLine="480" w:firstLineChars="200"/>
        <w:rPr>
          <w:rFonts w:ascii="楷体" w:hAnsi="楷体" w:eastAsia="楷体"/>
          <w:color w:val="auto"/>
          <w:sz w:val="24"/>
          <w:szCs w:val="24"/>
        </w:rPr>
      </w:pPr>
      <w:r>
        <w:rPr>
          <w:rFonts w:hint="eastAsia" w:ascii="楷体" w:hAnsi="楷体" w:eastAsia="楷体"/>
          <w:color w:val="auto"/>
          <w:sz w:val="24"/>
          <w:szCs w:val="24"/>
        </w:rPr>
        <w:t>4）开工报告、竣工验收报告、竣工验收记录、《材料设备收货单》、《材料设备领料单》、《材料设备进场验收单》和材料设备汇总表；</w:t>
      </w:r>
    </w:p>
    <w:p>
      <w:pPr>
        <w:ind w:firstLine="480" w:firstLineChars="200"/>
        <w:rPr>
          <w:rFonts w:ascii="楷体" w:hAnsi="楷体" w:eastAsia="楷体"/>
          <w:color w:val="auto"/>
          <w:sz w:val="24"/>
          <w:szCs w:val="24"/>
        </w:rPr>
      </w:pPr>
      <w:r>
        <w:rPr>
          <w:rFonts w:hint="eastAsia" w:ascii="楷体" w:hAnsi="楷体" w:eastAsia="楷体"/>
          <w:color w:val="auto"/>
          <w:sz w:val="24"/>
          <w:szCs w:val="24"/>
        </w:rPr>
        <w:t>5）竣工结算授权委托书、竣工结算工作承诺书、工程结算申请报审表及施工范围确认表；</w:t>
      </w:r>
    </w:p>
    <w:p>
      <w:pPr>
        <w:ind w:firstLine="480" w:firstLineChars="200"/>
        <w:rPr>
          <w:rFonts w:ascii="楷体" w:hAnsi="楷体" w:eastAsia="楷体"/>
          <w:color w:val="auto"/>
          <w:sz w:val="24"/>
          <w:szCs w:val="24"/>
        </w:rPr>
      </w:pPr>
      <w:r>
        <w:rPr>
          <w:rFonts w:hint="eastAsia" w:ascii="楷体" w:hAnsi="楷体" w:eastAsia="楷体"/>
          <w:color w:val="auto"/>
          <w:sz w:val="24"/>
          <w:szCs w:val="24"/>
        </w:rPr>
        <w:t>6）经发包人、造价咨询公司和承包人共同签名盖章确认的工程核价文件；</w:t>
      </w:r>
    </w:p>
    <w:p>
      <w:pPr>
        <w:ind w:firstLine="480" w:firstLineChars="200"/>
        <w:rPr>
          <w:rFonts w:ascii="楷体" w:hAnsi="楷体" w:eastAsia="楷体"/>
          <w:color w:val="auto"/>
          <w:sz w:val="24"/>
          <w:szCs w:val="24"/>
        </w:rPr>
      </w:pPr>
      <w:r>
        <w:rPr>
          <w:rFonts w:hint="eastAsia" w:ascii="楷体" w:hAnsi="楷体" w:eastAsia="楷体"/>
          <w:color w:val="auto"/>
          <w:sz w:val="24"/>
          <w:szCs w:val="24"/>
        </w:rPr>
        <w:t>7）签证资料</w:t>
      </w:r>
    </w:p>
    <w:p>
      <w:pPr>
        <w:ind w:firstLine="480" w:firstLineChars="200"/>
        <w:rPr>
          <w:rFonts w:ascii="楷体" w:hAnsi="楷体" w:eastAsia="楷体"/>
          <w:color w:val="auto"/>
          <w:sz w:val="24"/>
          <w:szCs w:val="24"/>
        </w:rPr>
      </w:pPr>
      <w:r>
        <w:rPr>
          <w:rFonts w:hint="eastAsia" w:ascii="楷体" w:hAnsi="楷体" w:eastAsia="楷体"/>
          <w:color w:val="auto"/>
          <w:sz w:val="24"/>
          <w:szCs w:val="24"/>
        </w:rPr>
        <w:t>8）设计变更资料</w:t>
      </w:r>
    </w:p>
    <w:p>
      <w:pPr>
        <w:ind w:firstLine="480" w:firstLineChars="200"/>
        <w:rPr>
          <w:rFonts w:ascii="楷体" w:hAnsi="楷体" w:eastAsia="楷体"/>
          <w:color w:val="auto"/>
          <w:sz w:val="24"/>
          <w:szCs w:val="24"/>
        </w:rPr>
      </w:pPr>
      <w:r>
        <w:rPr>
          <w:rFonts w:hint="eastAsia" w:ascii="楷体" w:hAnsi="楷体" w:eastAsia="楷体"/>
          <w:color w:val="auto"/>
          <w:sz w:val="24"/>
          <w:szCs w:val="24"/>
        </w:rPr>
        <w:t>9）经审定的施工组织设计、施工方案或专项施工方案；</w:t>
      </w:r>
    </w:p>
    <w:p>
      <w:pPr>
        <w:ind w:firstLine="480" w:firstLineChars="200"/>
        <w:rPr>
          <w:rFonts w:ascii="楷体" w:hAnsi="楷体" w:eastAsia="楷体"/>
          <w:color w:val="auto"/>
          <w:sz w:val="24"/>
          <w:szCs w:val="24"/>
        </w:rPr>
      </w:pPr>
      <w:r>
        <w:rPr>
          <w:rFonts w:hint="eastAsia" w:ascii="楷体" w:hAnsi="楷体" w:eastAsia="楷体"/>
          <w:color w:val="auto"/>
          <w:sz w:val="24"/>
          <w:szCs w:val="24"/>
        </w:rPr>
        <w:t>10）承包合同文件（含补充协议）；</w:t>
      </w:r>
    </w:p>
    <w:p>
      <w:pPr>
        <w:ind w:firstLine="480" w:firstLineChars="200"/>
        <w:rPr>
          <w:rFonts w:ascii="楷体" w:hAnsi="楷体" w:eastAsia="楷体"/>
          <w:color w:val="auto"/>
          <w:sz w:val="24"/>
          <w:szCs w:val="24"/>
        </w:rPr>
      </w:pPr>
      <w:r>
        <w:rPr>
          <w:rFonts w:hint="eastAsia" w:ascii="楷体" w:hAnsi="楷体" w:eastAsia="楷体"/>
          <w:color w:val="auto"/>
          <w:sz w:val="24"/>
          <w:szCs w:val="24"/>
        </w:rPr>
        <w:t>11）竣工图纸，除须盖竣工图章外，还须有发包人工程安全部、承包单位、监理单位和设计院盖章；</w:t>
      </w:r>
    </w:p>
    <w:p>
      <w:pPr>
        <w:ind w:firstLine="480" w:firstLineChars="200"/>
        <w:rPr>
          <w:rFonts w:ascii="楷体" w:hAnsi="楷体" w:eastAsia="楷体"/>
          <w:color w:val="auto"/>
          <w:sz w:val="24"/>
          <w:szCs w:val="24"/>
        </w:rPr>
      </w:pPr>
      <w:r>
        <w:rPr>
          <w:rFonts w:hint="eastAsia" w:ascii="楷体" w:hAnsi="楷体" w:eastAsia="楷体"/>
          <w:color w:val="auto"/>
          <w:sz w:val="24"/>
          <w:szCs w:val="24"/>
        </w:rPr>
        <w:t>12）其他相关结算资料；</w:t>
      </w:r>
    </w:p>
    <w:p>
      <w:pPr>
        <w:ind w:firstLine="480" w:firstLineChars="200"/>
        <w:rPr>
          <w:rFonts w:ascii="楷体" w:hAnsi="楷体" w:eastAsia="楷体"/>
          <w:color w:val="auto"/>
          <w:sz w:val="24"/>
          <w:szCs w:val="24"/>
        </w:rPr>
      </w:pPr>
      <w:r>
        <w:rPr>
          <w:rFonts w:hint="eastAsia" w:ascii="楷体" w:hAnsi="楷体" w:eastAsia="楷体"/>
          <w:color w:val="auto"/>
          <w:sz w:val="24"/>
          <w:szCs w:val="24"/>
        </w:rPr>
        <w:t>以上资料需装订成册，按顺序编写连续页码，一正两副并提供U盘电子文件一份，工程量清单计价表中的工程量需与工程量计算书中的工程量做好链接。</w:t>
      </w:r>
    </w:p>
    <w:p>
      <w:pPr>
        <w:ind w:firstLine="480" w:firstLineChars="200"/>
        <w:rPr>
          <w:color w:val="auto"/>
        </w:rPr>
      </w:pPr>
      <w:r>
        <w:rPr>
          <w:rFonts w:hint="eastAsia" w:ascii="楷体" w:hAnsi="楷体" w:eastAsia="楷体"/>
          <w:color w:val="auto"/>
          <w:sz w:val="24"/>
          <w:szCs w:val="24"/>
        </w:rPr>
        <w:t>7.3  自本合同施工内容完成并验收合格后，分包人应在验收之日起90天内上报完整、有效的结算书；经承包人审核后，向发包人提交本分包工程完整、有效的结算书及相关资料，发包人在收到承包人提交的分包工程结算书之日起120天内进行审核，给予确认或提出修改意见，并将审核结果通知承包人、分包人。承包人、分包人确认同意的，则发包人审定的价款为本分包工程的竣工结算价款的最终依据；如承包人或分包人不同意的，三方针对争议部分进行核对和协商；经核对协商不能解决的争议部分，按本合同关于争议的约定处理。发包人与承包人、分包人就结算问题进行的沟通、协商、确认仅为协商过程性的行为。除非发包人法定代表人签字并加盖发包人公章，任何形式的文件以及任何人的行为都不能视为发包人对本分包工程结算的认可。</w:t>
      </w:r>
    </w:p>
    <w:p>
      <w:pPr>
        <w:ind w:firstLine="480" w:firstLineChars="200"/>
        <w:rPr>
          <w:rFonts w:ascii="楷体" w:hAnsi="楷体" w:eastAsia="楷体"/>
          <w:color w:val="auto"/>
          <w:sz w:val="24"/>
          <w:szCs w:val="24"/>
        </w:rPr>
      </w:pPr>
      <w:r>
        <w:rPr>
          <w:rFonts w:hint="eastAsia" w:ascii="楷体" w:hAnsi="楷体" w:eastAsia="楷体"/>
          <w:color w:val="auto"/>
          <w:sz w:val="24"/>
          <w:szCs w:val="24"/>
        </w:rPr>
        <w:t>7.4 对于竣工结算的其他约定：</w:t>
      </w:r>
    </w:p>
    <w:p>
      <w:pPr>
        <w:ind w:firstLine="480" w:firstLineChars="200"/>
        <w:rPr>
          <w:rFonts w:ascii="楷体" w:hAnsi="楷体" w:eastAsia="楷体"/>
          <w:color w:val="auto"/>
          <w:sz w:val="24"/>
          <w:szCs w:val="24"/>
        </w:rPr>
      </w:pPr>
      <w:r>
        <w:rPr>
          <w:rFonts w:hint="eastAsia" w:ascii="楷体" w:hAnsi="楷体" w:eastAsia="楷体"/>
          <w:color w:val="auto"/>
          <w:sz w:val="24"/>
          <w:szCs w:val="24"/>
        </w:rPr>
        <w:t>1)在发包人与承包人、分包人就结算金额达成一致或生效裁判文书确定前，发包人对争议部分的支付义务不能确定，因此也无支付义务。只有在三方就结算金额达成一致或生效裁判文书确定发包人的支付义务后，发包人才有按照双方达成的一致或生效裁判文书支付结算款的义务，并在未按三方达成的一致或生效裁判文书确定的支付时间支付结算款时，才开始承担逾期支付的违约金或承担其他违约责任。</w:t>
      </w:r>
    </w:p>
    <w:p>
      <w:pPr>
        <w:ind w:firstLine="480" w:firstLineChars="200"/>
        <w:rPr>
          <w:rFonts w:ascii="楷体" w:hAnsi="楷体" w:eastAsia="楷体"/>
          <w:color w:val="auto"/>
          <w:sz w:val="24"/>
          <w:szCs w:val="24"/>
        </w:rPr>
      </w:pPr>
      <w:r>
        <w:rPr>
          <w:rFonts w:hint="eastAsia" w:ascii="楷体" w:hAnsi="楷体" w:eastAsia="楷体"/>
          <w:color w:val="auto"/>
          <w:sz w:val="24"/>
          <w:szCs w:val="24"/>
        </w:rPr>
        <w:t>2）凡是涉及到工程造价增减的设计变更、工程签证均必须有发包人签字并盖章方为有效。</w:t>
      </w:r>
    </w:p>
    <w:p>
      <w:pPr>
        <w:ind w:firstLine="480" w:firstLineChars="200"/>
        <w:rPr>
          <w:rFonts w:ascii="楷体" w:hAnsi="楷体" w:eastAsia="楷体"/>
          <w:color w:val="auto"/>
          <w:sz w:val="24"/>
          <w:szCs w:val="24"/>
        </w:rPr>
      </w:pPr>
      <w:r>
        <w:rPr>
          <w:rFonts w:hint="eastAsia" w:ascii="楷体" w:hAnsi="楷体" w:eastAsia="楷体"/>
          <w:color w:val="auto"/>
          <w:sz w:val="24"/>
          <w:szCs w:val="24"/>
        </w:rPr>
        <w:t>3）设计变更、工程签证及现场签证按照相应规定执行。</w:t>
      </w:r>
    </w:p>
    <w:p>
      <w:pPr>
        <w:ind w:firstLine="480" w:firstLineChars="200"/>
        <w:rPr>
          <w:rFonts w:ascii="楷体" w:hAnsi="楷体" w:eastAsia="楷体"/>
          <w:color w:val="auto"/>
          <w:sz w:val="24"/>
          <w:szCs w:val="24"/>
        </w:rPr>
      </w:pPr>
      <w:r>
        <w:rPr>
          <w:rFonts w:hint="eastAsia" w:ascii="楷体" w:hAnsi="楷体" w:eastAsia="楷体"/>
          <w:color w:val="auto"/>
          <w:sz w:val="24"/>
          <w:szCs w:val="24"/>
        </w:rPr>
        <w:t>4）分包人违约金、水电费、赔偿金等相应扣款项，应扣未扣金额由发包人在应付结算价款中扣除。发包人凭收款收据及其他资料进行上述扣款。扣除部分不影响分包人应向发包人开具的发票数额。</w:t>
      </w:r>
    </w:p>
    <w:p>
      <w:pPr>
        <w:ind w:firstLine="480" w:firstLineChars="200"/>
        <w:rPr>
          <w:rFonts w:ascii="楷体" w:hAnsi="楷体" w:eastAsia="楷体"/>
          <w:color w:val="auto"/>
          <w:sz w:val="24"/>
          <w:szCs w:val="24"/>
        </w:rPr>
      </w:pPr>
      <w:r>
        <w:rPr>
          <w:rFonts w:hint="eastAsia" w:ascii="楷体" w:hAnsi="楷体" w:eastAsia="楷体"/>
          <w:color w:val="auto"/>
          <w:sz w:val="24"/>
          <w:szCs w:val="24"/>
        </w:rPr>
        <w:t>5）按国家规定由分包人交纳的各种税收、劳动保险费及其他费用已包含在本工程造价内，由分包人负责向税收等部门交纳。</w:t>
      </w:r>
    </w:p>
    <w:p>
      <w:pPr>
        <w:ind w:firstLine="480" w:firstLineChars="200"/>
        <w:rPr>
          <w:rFonts w:ascii="楷体" w:hAnsi="楷体" w:eastAsia="楷体"/>
          <w:color w:val="auto"/>
          <w:sz w:val="24"/>
          <w:szCs w:val="24"/>
        </w:rPr>
      </w:pPr>
      <w:r>
        <w:rPr>
          <w:rFonts w:hint="eastAsia" w:ascii="楷体" w:hAnsi="楷体" w:eastAsia="楷体"/>
          <w:color w:val="auto"/>
          <w:sz w:val="24"/>
          <w:szCs w:val="24"/>
        </w:rPr>
        <w:t>6）发包人与监理人收到承包人提交的分包人竣工结算申请单，如经初步审核，资料不完善，分包人应在28天内补充完善并提交发包人审核，发包人审核开始时间从完整有效的结算资料收齐之日起计。</w:t>
      </w:r>
    </w:p>
    <w:p>
      <w:pPr>
        <w:ind w:firstLine="480" w:firstLineChars="200"/>
        <w:rPr>
          <w:rFonts w:ascii="楷体" w:hAnsi="楷体" w:eastAsia="楷体"/>
          <w:color w:val="auto"/>
          <w:sz w:val="24"/>
          <w:szCs w:val="24"/>
        </w:rPr>
      </w:pPr>
      <w:r>
        <w:rPr>
          <w:rFonts w:hint="eastAsia" w:ascii="楷体" w:hAnsi="楷体" w:eastAsia="楷体"/>
          <w:color w:val="auto"/>
          <w:sz w:val="24"/>
          <w:szCs w:val="24"/>
        </w:rPr>
        <w:t>7）发包人复审竣工结算的，承包人、分包人应积极配合结算审核工作，因承包人、分包人提供资料不积极或者不准确、不完整造成的审核延误责任由分包人承担。最终结算金额以发包人书面确认为准。</w:t>
      </w:r>
    </w:p>
    <w:p>
      <w:pPr>
        <w:ind w:firstLine="480" w:firstLineChars="200"/>
        <w:rPr>
          <w:rFonts w:ascii="楷体" w:hAnsi="楷体" w:eastAsia="楷体"/>
          <w:color w:val="auto"/>
          <w:sz w:val="24"/>
          <w:szCs w:val="24"/>
        </w:rPr>
      </w:pPr>
      <w:r>
        <w:rPr>
          <w:rFonts w:hint="eastAsia" w:ascii="楷体" w:hAnsi="楷体" w:eastAsia="楷体"/>
          <w:color w:val="auto"/>
          <w:sz w:val="24"/>
          <w:szCs w:val="24"/>
        </w:rPr>
        <w:t>8）本工程竣工结算方式（适用本合同的竣工结算方式为以下方框内已勾选方式，即</w:t>
      </w:r>
      <w:r>
        <w:rPr>
          <w:rFonts w:hint="eastAsia" w:ascii="楷体" w:hAnsi="楷体" w:eastAsia="楷体"/>
          <w:color w:val="auto"/>
          <w:sz w:val="24"/>
          <w:szCs w:val="24"/>
        </w:rPr>
        <w:sym w:font="Wingdings 2" w:char="0052"/>
      </w:r>
      <w:r>
        <w:rPr>
          <w:rFonts w:hint="eastAsia" w:ascii="楷体" w:hAnsi="楷体" w:eastAsia="楷体"/>
          <w:color w:val="auto"/>
          <w:sz w:val="24"/>
          <w:szCs w:val="24"/>
        </w:rPr>
        <w:t>）为:</w:t>
      </w:r>
    </w:p>
    <w:p>
      <w:pPr>
        <w:ind w:firstLine="480" w:firstLineChars="200"/>
        <w:rPr>
          <w:rFonts w:ascii="楷体" w:hAnsi="楷体" w:eastAsia="楷体"/>
          <w:color w:val="auto"/>
          <w:sz w:val="24"/>
          <w:szCs w:val="24"/>
        </w:rPr>
      </w:pPr>
      <w:r>
        <w:rPr>
          <w:rFonts w:hint="eastAsia" w:ascii="楷体" w:hAnsi="楷体" w:eastAsia="楷体"/>
          <w:color w:val="auto"/>
          <w:sz w:val="24"/>
          <w:szCs w:val="24"/>
        </w:rPr>
        <w:sym w:font="Wingdings 2" w:char="00A3"/>
      </w:r>
      <w:r>
        <w:rPr>
          <w:rFonts w:hint="eastAsia" w:ascii="楷体" w:hAnsi="楷体" w:eastAsia="楷体"/>
          <w:color w:val="auto"/>
          <w:sz w:val="24"/>
          <w:szCs w:val="24"/>
        </w:rPr>
        <w:t>方式一（适用于模拟清单招标固定单价计价模式）：</w:t>
      </w:r>
    </w:p>
    <w:p>
      <w:pPr>
        <w:ind w:firstLine="480" w:firstLineChars="200"/>
        <w:rPr>
          <w:rFonts w:ascii="楷体" w:hAnsi="楷体" w:eastAsia="楷体"/>
          <w:color w:val="auto"/>
          <w:sz w:val="24"/>
          <w:szCs w:val="24"/>
        </w:rPr>
      </w:pPr>
      <w:r>
        <w:rPr>
          <w:rFonts w:hint="eastAsia" w:ascii="楷体" w:hAnsi="楷体" w:eastAsia="楷体"/>
          <w:color w:val="auto"/>
          <w:sz w:val="24"/>
          <w:szCs w:val="24"/>
        </w:rPr>
        <w:t>当重计量阶段已通过补充协议转固定总价合同时，竣工结算=补充协议约定的固定合同总价+设计变更+签证+索赔+其他；当重计量阶段尚不具备通过补充协议转固定总价合同的，竣工结算=竣工图（含设计变更）+签证+索赔+其他。</w:t>
      </w:r>
    </w:p>
    <w:p>
      <w:pPr>
        <w:ind w:firstLine="480" w:firstLineChars="200"/>
        <w:rPr>
          <w:rFonts w:ascii="楷体" w:hAnsi="楷体" w:eastAsia="楷体"/>
          <w:color w:val="auto"/>
          <w:sz w:val="24"/>
          <w:szCs w:val="24"/>
        </w:rPr>
      </w:pPr>
      <w:r>
        <w:rPr>
          <w:rFonts w:ascii="楷体" w:hAnsi="楷体" w:eastAsia="楷体"/>
          <w:color w:val="auto"/>
          <w:sz w:val="24"/>
          <w:szCs w:val="24"/>
        </w:rPr>
        <w:sym w:font="Wingdings 2" w:char="F052"/>
      </w:r>
      <w:r>
        <w:rPr>
          <w:rFonts w:hint="eastAsia" w:ascii="楷体" w:hAnsi="楷体" w:eastAsia="楷体"/>
          <w:color w:val="auto"/>
          <w:sz w:val="24"/>
          <w:szCs w:val="24"/>
        </w:rPr>
        <w:t>方式二（适用于施工图清单招标固定单价计价模式）：</w:t>
      </w:r>
    </w:p>
    <w:p>
      <w:pPr>
        <w:ind w:firstLine="480" w:firstLineChars="200"/>
        <w:rPr>
          <w:rFonts w:ascii="楷体" w:hAnsi="楷体" w:eastAsia="楷体"/>
          <w:color w:val="auto"/>
          <w:sz w:val="24"/>
          <w:szCs w:val="24"/>
        </w:rPr>
      </w:pPr>
      <w:r>
        <w:rPr>
          <w:rFonts w:hint="eastAsia" w:ascii="楷体" w:hAnsi="楷体" w:eastAsia="楷体"/>
          <w:color w:val="auto"/>
          <w:sz w:val="24"/>
          <w:szCs w:val="24"/>
        </w:rPr>
        <w:t>竣工结算=竣工图（含设计变更）+签证+索赔+其他；</w:t>
      </w:r>
    </w:p>
    <w:p>
      <w:pPr>
        <w:ind w:firstLine="480" w:firstLineChars="200"/>
        <w:rPr>
          <w:rFonts w:ascii="楷体" w:hAnsi="楷体" w:eastAsia="楷体"/>
          <w:color w:val="auto"/>
          <w:sz w:val="24"/>
          <w:szCs w:val="24"/>
        </w:rPr>
      </w:pPr>
      <w:r>
        <w:rPr>
          <w:rFonts w:hint="eastAsia" w:ascii="楷体" w:hAnsi="楷体" w:eastAsia="楷体"/>
          <w:color w:val="auto"/>
          <w:sz w:val="24"/>
          <w:szCs w:val="24"/>
        </w:rPr>
        <w:t>分包人申报结算时不得高估冒算，分包人结算价超报率超过10%时，分包人应承担结算超报违约责任，结算超报违约金计算原则如下：</w:t>
      </w:r>
    </w:p>
    <w:p>
      <w:pPr>
        <w:ind w:firstLine="480" w:firstLineChars="200"/>
        <w:rPr>
          <w:rFonts w:ascii="楷体" w:hAnsi="楷体" w:eastAsia="楷体"/>
          <w:color w:val="auto"/>
          <w:sz w:val="24"/>
          <w:szCs w:val="24"/>
        </w:rPr>
      </w:pPr>
      <w:r>
        <w:rPr>
          <w:rFonts w:hint="eastAsia" w:ascii="楷体" w:hAnsi="楷体" w:eastAsia="楷体"/>
          <w:color w:val="auto"/>
          <w:sz w:val="24"/>
          <w:szCs w:val="24"/>
        </w:rPr>
        <w:t>结算价超报率=（分包人结算送审造价－发包人结算审定价）/发包人结算审定价</w:t>
      </w:r>
    </w:p>
    <w:p>
      <w:pPr>
        <w:ind w:firstLine="480" w:firstLineChars="200"/>
        <w:rPr>
          <w:rFonts w:ascii="楷体" w:hAnsi="楷体" w:eastAsia="楷体"/>
          <w:color w:val="auto"/>
          <w:sz w:val="24"/>
          <w:szCs w:val="24"/>
        </w:rPr>
      </w:pPr>
      <w:r>
        <w:rPr>
          <w:rFonts w:hint="eastAsia" w:ascii="楷体" w:hAnsi="楷体" w:eastAsia="楷体"/>
          <w:color w:val="auto"/>
          <w:sz w:val="24"/>
          <w:szCs w:val="24"/>
        </w:rPr>
        <w:t>①分包人结算价超报率在10%（不含本数）~20%（含本数）时：</w:t>
      </w:r>
    </w:p>
    <w:p>
      <w:pPr>
        <w:ind w:firstLine="480" w:firstLineChars="200"/>
        <w:rPr>
          <w:rFonts w:ascii="楷体" w:hAnsi="楷体" w:eastAsia="楷体"/>
          <w:color w:val="auto"/>
          <w:sz w:val="24"/>
          <w:szCs w:val="24"/>
        </w:rPr>
      </w:pPr>
      <w:r>
        <w:rPr>
          <w:rFonts w:hint="eastAsia" w:ascii="楷体" w:hAnsi="楷体" w:eastAsia="楷体"/>
          <w:color w:val="auto"/>
          <w:sz w:val="24"/>
          <w:szCs w:val="24"/>
        </w:rPr>
        <w:t>违约金＝(分包人结算送审造价－发包人结算审定价×1.1)×5%。</w:t>
      </w:r>
    </w:p>
    <w:p>
      <w:pPr>
        <w:ind w:firstLine="480" w:firstLineChars="200"/>
        <w:rPr>
          <w:rFonts w:ascii="楷体" w:hAnsi="楷体" w:eastAsia="楷体"/>
          <w:color w:val="auto"/>
          <w:sz w:val="24"/>
          <w:szCs w:val="24"/>
        </w:rPr>
      </w:pPr>
      <w:r>
        <w:rPr>
          <w:rFonts w:hint="eastAsia" w:ascii="楷体" w:hAnsi="楷体" w:eastAsia="楷体"/>
          <w:color w:val="auto"/>
          <w:sz w:val="24"/>
          <w:szCs w:val="24"/>
        </w:rPr>
        <w:t>②分包人结算价超报率在20%以上时：</w:t>
      </w:r>
    </w:p>
    <w:p>
      <w:pPr>
        <w:ind w:firstLine="480" w:firstLineChars="200"/>
        <w:rPr>
          <w:rFonts w:ascii="楷体" w:hAnsi="楷体" w:eastAsia="楷体"/>
          <w:color w:val="auto"/>
          <w:sz w:val="24"/>
          <w:szCs w:val="24"/>
        </w:rPr>
      </w:pPr>
      <w:r>
        <w:rPr>
          <w:rFonts w:hint="eastAsia" w:ascii="楷体" w:hAnsi="楷体" w:eastAsia="楷体"/>
          <w:color w:val="auto"/>
          <w:sz w:val="24"/>
          <w:szCs w:val="24"/>
        </w:rPr>
        <w:t>违约金＝发包人结算审定价×0.1×5%+(分包人结算送审造价－发包人结算审定价×1.2)×10%。</w:t>
      </w:r>
    </w:p>
    <w:p>
      <w:pPr>
        <w:ind w:firstLine="480" w:firstLineChars="200"/>
        <w:rPr>
          <w:rFonts w:ascii="楷体" w:hAnsi="楷体" w:eastAsia="楷体"/>
          <w:color w:val="auto"/>
          <w:sz w:val="24"/>
          <w:szCs w:val="24"/>
        </w:rPr>
      </w:pPr>
      <w:r>
        <w:rPr>
          <w:rFonts w:hint="eastAsia" w:ascii="楷体" w:hAnsi="楷体" w:eastAsia="楷体"/>
          <w:color w:val="auto"/>
          <w:sz w:val="24"/>
          <w:szCs w:val="24"/>
        </w:rPr>
        <w:t>如果采用分期结算的，则各分期结算时按上述原则计算违约金，违约金在分期结算款中扣除；最后一期结算时，计算总结算金额的违约金，取分期结算累计超报违约金与总结算超报违约金之大值作为本合同工程的结算超报违约金。</w:t>
      </w:r>
    </w:p>
    <w:p>
      <w:pPr>
        <w:ind w:firstLine="480" w:firstLineChars="200"/>
        <w:rPr>
          <w:rFonts w:ascii="楷体" w:hAnsi="楷体" w:eastAsia="楷体"/>
          <w:color w:val="auto"/>
          <w:sz w:val="24"/>
          <w:szCs w:val="24"/>
        </w:rPr>
      </w:pPr>
      <w:r>
        <w:rPr>
          <w:rFonts w:hint="eastAsia" w:ascii="楷体" w:hAnsi="楷体" w:eastAsia="楷体"/>
          <w:color w:val="auto"/>
          <w:sz w:val="24"/>
          <w:szCs w:val="24"/>
        </w:rPr>
        <w:t>9）三方人员（发包人、承包人及分包人）应每次对数前都在工作签到表上签名，签到表应注明当天三方办理结算的具体工作时间、内容、范围等事项，作为三方到场办理结算的现场工作记录。三方结算人员办理结算对数时应友好合作，对经核对确认无异议的数据和资料应当共同签字确认。如有异议，应当场提出，当场核对，当场记录争议的具体内容。如分包人对所核对的数据和资料没有书面提出异议，又不签字认可，发包人可以单方签名并在经过三方核对的文件资料上注明具体情况，将当天工作签到表和核对后的资料寄发给承包人、分包人，该资料即作为三方共同对数后确认的结算资料。对于三方意见分歧的书面记录，经三方对数人员共同核对清楚并签字确认后，上报领导协商解决任何人员不得因意见分歧而发生争执、对骂，甚至侮辱、殴打对方。如发生上述事件，受害方有权向侵权方索赔，由侵权方承担一切法律责任。分包人、承包人在结算期间，不按照发包人要求的时间或期限与发包人对数的，或者经过三方共同对数但分包人不签字对数结果的，或者推翻经过三方共同确认的对数成果的，发包人办理结算的时间向后顺延，期间不须支付剩余工程款，由分包人承担结算延误的违约责任。</w:t>
      </w:r>
    </w:p>
    <w:p>
      <w:pPr>
        <w:ind w:firstLine="480" w:firstLineChars="200"/>
        <w:rPr>
          <w:rFonts w:ascii="楷体" w:hAnsi="楷体" w:eastAsia="楷体"/>
          <w:color w:val="auto"/>
          <w:sz w:val="24"/>
          <w:szCs w:val="24"/>
        </w:rPr>
      </w:pPr>
      <w:r>
        <w:rPr>
          <w:rFonts w:hint="eastAsia" w:ascii="楷体" w:hAnsi="楷体" w:eastAsia="楷体"/>
          <w:color w:val="auto"/>
          <w:sz w:val="24"/>
          <w:szCs w:val="24"/>
        </w:rPr>
        <w:t>10）分包人延迟提供完整、有效的结算书的，每延迟1天，须向承包人支付500元/天的违约金。分包人拒不配合竣工结算的，发包人有权进行单面结算或委托第三方中介机构结算。结算结果送达分包人后15天内分包人未向发包人反馈结算书面确认信息的，视为分包人已默认并同意结算结果。该等情形下，分包人需通过承包人向发包人支付签约合同价格的0.5%作为结算编制费用，同时应向承包人按签约合同价格的0.5%支付违约金，且经发包人同意，承包人有权在应付分包人的工程款中直接扣留该款项。</w:t>
      </w:r>
    </w:p>
    <w:p>
      <w:pPr>
        <w:pStyle w:val="31"/>
        <w:numPr>
          <w:ilvl w:val="0"/>
          <w:numId w:val="2"/>
        </w:numPr>
        <w:spacing w:before="0" w:beforeLines="0"/>
        <w:ind w:left="351" w:hanging="351" w:hangingChars="125"/>
        <w:rPr>
          <w:color w:val="auto"/>
        </w:rPr>
      </w:pPr>
      <w:bookmarkStart w:id="7" w:name="_Toc500630645"/>
      <w:bookmarkEnd w:id="7"/>
      <w:bookmarkStart w:id="8" w:name="_Toc126962029"/>
      <w:r>
        <w:rPr>
          <w:rFonts w:hint="eastAsia"/>
          <w:color w:val="auto"/>
        </w:rPr>
        <w:t>义务和责任</w:t>
      </w:r>
      <w:bookmarkEnd w:id="8"/>
    </w:p>
    <w:p>
      <w:pPr>
        <w:pStyle w:val="32"/>
        <w:numPr>
          <w:ilvl w:val="1"/>
          <w:numId w:val="2"/>
        </w:numPr>
        <w:spacing w:before="0" w:beforeLines="0"/>
        <w:ind w:left="0" w:firstLine="480" w:firstLineChars="200"/>
        <w:rPr>
          <w:color w:val="auto"/>
        </w:rPr>
      </w:pPr>
      <w:r>
        <w:rPr>
          <w:rFonts w:hint="eastAsia"/>
          <w:color w:val="auto"/>
        </w:rPr>
        <w:t>分包人必须</w:t>
      </w:r>
      <w:r>
        <w:rPr>
          <w:rFonts w:hint="eastAsia" w:hAnsi="宋体"/>
          <w:color w:val="auto"/>
          <w:szCs w:val="24"/>
        </w:rPr>
        <w:t>根据本</w:t>
      </w:r>
      <w:r>
        <w:rPr>
          <w:rFonts w:hint="eastAsia"/>
          <w:color w:val="auto"/>
        </w:rPr>
        <w:t>合同文件所规定的工程施工承包内容，在本合同约定的工期内完工，直至工程竣工调试完毕、交付使用并应在各方面达到国家验收规范的标准及承包人、发包人明确指明的特殊规范标准。</w:t>
      </w:r>
    </w:p>
    <w:p>
      <w:pPr>
        <w:pStyle w:val="32"/>
        <w:numPr>
          <w:ilvl w:val="1"/>
          <w:numId w:val="2"/>
        </w:numPr>
        <w:spacing w:before="0" w:beforeLines="0"/>
        <w:ind w:left="0" w:firstLine="480" w:firstLineChars="200"/>
        <w:rPr>
          <w:color w:val="auto"/>
        </w:rPr>
      </w:pPr>
      <w:r>
        <w:rPr>
          <w:rFonts w:hint="eastAsia"/>
          <w:color w:val="auto"/>
        </w:rPr>
        <w:t>如果分包人</w:t>
      </w:r>
      <w:r>
        <w:rPr>
          <w:rFonts w:hint="eastAsia" w:hAnsi="宋体"/>
          <w:color w:val="auto"/>
          <w:szCs w:val="24"/>
        </w:rPr>
        <w:t>发现</w:t>
      </w:r>
      <w:r>
        <w:rPr>
          <w:rFonts w:hint="eastAsia"/>
          <w:color w:val="auto"/>
        </w:rPr>
        <w:t>合同文件内各部分之间标准不一致时，应立即书面通知承包人及发包人要求澄清，除发包人及承包人另有指示外，均以要求最高最严者为准，此类指示不属工程变更，分包人不得因此提出有关工程及费用的任何索赔，且工期不予顺延。</w:t>
      </w:r>
    </w:p>
    <w:p>
      <w:pPr>
        <w:pStyle w:val="32"/>
        <w:numPr>
          <w:ilvl w:val="1"/>
          <w:numId w:val="2"/>
        </w:numPr>
        <w:spacing w:before="0" w:beforeLines="0"/>
        <w:ind w:left="0" w:firstLine="480" w:firstLineChars="200"/>
        <w:rPr>
          <w:color w:val="auto"/>
        </w:rPr>
      </w:pPr>
      <w:r>
        <w:rPr>
          <w:rFonts w:hint="eastAsia"/>
          <w:color w:val="auto"/>
        </w:rPr>
        <w:t xml:space="preserve">分包人已了解发包人与承包人签订的施工总承包合同相关条款， </w:t>
      </w:r>
      <w:r>
        <w:rPr>
          <w:rFonts w:hint="eastAsia" w:hAnsi="宋体" w:cs="宋体"/>
          <w:color w:val="auto"/>
        </w:rPr>
        <w:t>并应</w:t>
      </w:r>
      <w:r>
        <w:rPr>
          <w:rFonts w:hint="eastAsia"/>
          <w:color w:val="auto"/>
        </w:rPr>
        <w:t>遵循施工总承包合同中与本工程有关所有条款(或任何条款的一部分)。</w:t>
      </w:r>
    </w:p>
    <w:p>
      <w:pPr>
        <w:pStyle w:val="32"/>
        <w:numPr>
          <w:ilvl w:val="1"/>
          <w:numId w:val="2"/>
        </w:numPr>
        <w:spacing w:before="0" w:beforeLines="0"/>
        <w:ind w:left="0" w:firstLine="480" w:firstLineChars="200"/>
        <w:rPr>
          <w:rFonts w:hAnsi="宋体"/>
          <w:color w:val="auto"/>
          <w:szCs w:val="24"/>
        </w:rPr>
      </w:pPr>
      <w:r>
        <w:rPr>
          <w:rFonts w:hint="eastAsia" w:hAnsi="宋体"/>
          <w:color w:val="auto"/>
          <w:szCs w:val="24"/>
        </w:rPr>
        <w:t>经发包人书面同意，由承包人</w:t>
      </w:r>
      <w:r>
        <w:rPr>
          <w:rFonts w:hint="eastAsia"/>
          <w:color w:val="auto"/>
        </w:rPr>
        <w:t>发出</w:t>
      </w:r>
      <w:r>
        <w:rPr>
          <w:rFonts w:hint="eastAsia" w:hAnsi="宋体"/>
          <w:color w:val="auto"/>
          <w:szCs w:val="24"/>
        </w:rPr>
        <w:t>与本工程有关的任何指示(不论是书面指示，或经承包人书面确认口头指示)后，分包人须遵循及履行指示，分包人不得自行变更本合同项下的工程内容。否则，给承包人或发包人造成损失的，分包人应承担全部赔偿责任。</w:t>
      </w:r>
    </w:p>
    <w:p>
      <w:pPr>
        <w:pStyle w:val="32"/>
        <w:numPr>
          <w:ilvl w:val="1"/>
          <w:numId w:val="2"/>
        </w:numPr>
        <w:spacing w:before="0" w:beforeLines="0"/>
        <w:ind w:left="0" w:firstLine="480" w:firstLineChars="200"/>
        <w:rPr>
          <w:color w:val="auto"/>
        </w:rPr>
      </w:pPr>
      <w:r>
        <w:rPr>
          <w:rFonts w:hint="eastAsia"/>
          <w:color w:val="auto"/>
        </w:rPr>
        <w:t>分包人出现《建筑工程施工转包违法分包等违法行为认定查处管理办法（试行）》认定的违法分包、转包、挂靠情形的，经发包人同意，承包人有权单方解除合同，分包人应支付本合同暂定总价10%的违约金，由此造成承包人或发包人损失的，由分包人负责赔偿。</w:t>
      </w:r>
    </w:p>
    <w:p>
      <w:pPr>
        <w:pStyle w:val="32"/>
        <w:numPr>
          <w:ilvl w:val="1"/>
          <w:numId w:val="2"/>
        </w:numPr>
        <w:spacing w:before="0" w:beforeLines="0"/>
        <w:ind w:left="0" w:firstLine="480" w:firstLineChars="200"/>
        <w:rPr>
          <w:color w:val="auto"/>
        </w:rPr>
      </w:pPr>
      <w:r>
        <w:rPr>
          <w:rFonts w:hint="eastAsia"/>
          <w:color w:val="auto"/>
        </w:rPr>
        <w:t>分包人不可影响第三方设备运行，分包人及其人员不可影响第三方机械、走道、脚手架、临时工程、用具或其它设备，亦不可在使用上述设备时违反政府及有关部门法规或规定。</w:t>
      </w:r>
    </w:p>
    <w:p>
      <w:pPr>
        <w:pStyle w:val="32"/>
        <w:spacing w:before="0" w:beforeLines="0"/>
        <w:ind w:firstLine="480" w:firstLineChars="200"/>
        <w:rPr>
          <w:color w:val="auto"/>
        </w:rPr>
      </w:pPr>
      <w:r>
        <w:rPr>
          <w:rFonts w:hint="eastAsia"/>
          <w:color w:val="auto"/>
        </w:rPr>
        <w:t>电梯设备、本工程其他成品、半成品、分包人及其人员的机械、工具、设备或其它财产须由分包人自行保管并承担全部费用及风险。任何因分包人及其人员的机械、工具、设备或其它财产造成的损失或损坏由分包人负全部责任，且分包人须保障承包人或发包人免负任何有关损失、索偿或追讨的责任。</w:t>
      </w:r>
    </w:p>
    <w:p>
      <w:pPr>
        <w:pStyle w:val="32"/>
        <w:numPr>
          <w:ilvl w:val="1"/>
          <w:numId w:val="2"/>
        </w:numPr>
        <w:spacing w:before="0" w:beforeLines="0"/>
        <w:ind w:left="0" w:firstLine="480" w:firstLineChars="200"/>
        <w:rPr>
          <w:color w:val="auto"/>
        </w:rPr>
      </w:pPr>
      <w:r>
        <w:rPr>
          <w:rFonts w:hint="eastAsia"/>
          <w:color w:val="auto"/>
        </w:rPr>
        <w:t>分包人须遵守政府有关法律法规，支付法律法规规定的对本工程所征收所有费用，包括国家税法所规定的各种税项。分包人负责在工程施工过程中与政府行业主管部门等进行联络与沟通，接待与配合政府有关部门的质量、安全、环保、文明施工、公安执法等各项检查与监督，负责办理相关手续与批文。上述与政府有关部门沟通、联络费用等均已包含在合同总价中，结算时不作任何调整。</w:t>
      </w:r>
    </w:p>
    <w:p>
      <w:pPr>
        <w:pStyle w:val="32"/>
        <w:numPr>
          <w:ilvl w:val="1"/>
          <w:numId w:val="2"/>
        </w:numPr>
        <w:spacing w:before="0" w:beforeLines="0"/>
        <w:ind w:left="0" w:firstLine="480" w:firstLineChars="200"/>
        <w:rPr>
          <w:color w:val="auto"/>
        </w:rPr>
      </w:pPr>
      <w:r>
        <w:rPr>
          <w:rFonts w:hint="eastAsia"/>
          <w:color w:val="auto"/>
        </w:rPr>
        <w:t>分包人履行上述各项义务、责任的费用均已包括在合同总价中。分包人未依据本合同的相应规定按期履行该等义务、责任的，在其履行前，承包人有权拒付或暂停支付工程款，并按本合同的相关规定追究分包人的违约责任。</w:t>
      </w:r>
    </w:p>
    <w:p>
      <w:pPr>
        <w:pStyle w:val="32"/>
        <w:numPr>
          <w:ilvl w:val="1"/>
          <w:numId w:val="2"/>
        </w:numPr>
        <w:spacing w:before="0" w:beforeLines="0"/>
        <w:ind w:left="0" w:firstLine="480" w:firstLineChars="200"/>
        <w:rPr>
          <w:color w:val="auto"/>
        </w:rPr>
      </w:pPr>
      <w:r>
        <w:rPr>
          <w:rFonts w:hint="eastAsia"/>
          <w:color w:val="auto"/>
        </w:rPr>
        <w:t>分包人须服从承包人转发的发包人有关的指令。未经承包人允许，分包人不得以任何理由与发包人发生直接书面工作联系，分包人不得直接致函发包人，也不得直接接受发包人的指令。分包人提交文件、资料由承包人审核后（2个工作日内），再由承包人报送发包人。</w:t>
      </w:r>
    </w:p>
    <w:p>
      <w:pPr>
        <w:pStyle w:val="31"/>
        <w:numPr>
          <w:ilvl w:val="0"/>
          <w:numId w:val="2"/>
        </w:numPr>
        <w:spacing w:before="0" w:beforeLines="0"/>
        <w:ind w:left="351" w:hanging="351" w:hangingChars="125"/>
        <w:rPr>
          <w:color w:val="auto"/>
        </w:rPr>
      </w:pPr>
      <w:bookmarkStart w:id="9" w:name="_Toc126962030"/>
      <w:r>
        <w:rPr>
          <w:rFonts w:hint="eastAsia"/>
          <w:color w:val="auto"/>
        </w:rPr>
        <w:t>施工现场及资料</w:t>
      </w:r>
      <w:bookmarkEnd w:id="9"/>
    </w:p>
    <w:p>
      <w:pPr>
        <w:pStyle w:val="32"/>
        <w:numPr>
          <w:ilvl w:val="1"/>
          <w:numId w:val="2"/>
        </w:numPr>
        <w:spacing w:before="0" w:beforeLines="0"/>
        <w:ind w:left="0" w:firstLine="480" w:firstLineChars="200"/>
        <w:rPr>
          <w:color w:val="auto"/>
        </w:rPr>
      </w:pPr>
      <w:r>
        <w:rPr>
          <w:rFonts w:hint="eastAsia"/>
          <w:color w:val="auto"/>
        </w:rPr>
        <w:t>施工现场为</w:t>
      </w:r>
      <w:r>
        <w:rPr>
          <w:rFonts w:hint="eastAsia" w:hAnsi="宋体"/>
          <w:bCs/>
          <w:color w:val="auto"/>
          <w:kern w:val="2"/>
          <w:szCs w:val="24"/>
        </w:rPr>
        <w:t>：</w:t>
      </w:r>
      <w:r>
        <w:rPr>
          <w:rFonts w:hint="eastAsia" w:hAnsi="楷体_GB2312" w:cs="楷体_GB2312"/>
          <w:color w:val="auto"/>
          <w:u w:val="single"/>
        </w:rPr>
        <w:t>云港城4#地块</w:t>
      </w:r>
      <w:r>
        <w:rPr>
          <w:rFonts w:hint="eastAsia" w:hAnsi="宋体"/>
          <w:bCs/>
          <w:color w:val="auto"/>
          <w:kern w:val="2"/>
          <w:szCs w:val="24"/>
        </w:rPr>
        <w:t xml:space="preserve">项目工地 </w:t>
      </w:r>
      <w:r>
        <w:rPr>
          <w:rFonts w:hint="eastAsia"/>
          <w:color w:val="auto"/>
        </w:rPr>
        <w:t>。</w:t>
      </w:r>
    </w:p>
    <w:p>
      <w:pPr>
        <w:pStyle w:val="32"/>
        <w:numPr>
          <w:ilvl w:val="1"/>
          <w:numId w:val="2"/>
        </w:numPr>
        <w:spacing w:before="0" w:beforeLines="0"/>
        <w:ind w:left="0" w:firstLine="480" w:firstLineChars="200"/>
        <w:rPr>
          <w:color w:val="auto"/>
        </w:rPr>
      </w:pPr>
      <w:r>
        <w:rPr>
          <w:rFonts w:hint="eastAsia"/>
          <w:color w:val="auto"/>
        </w:rPr>
        <w:t>分包人已视察施工现场及其邻近地区及了解任何影响其施工、储藏的因素,本合同签订后，分包人以不了解现场情况为由而提出的费用或工期的索赔将不予考虑。</w:t>
      </w:r>
    </w:p>
    <w:p>
      <w:pPr>
        <w:pStyle w:val="32"/>
        <w:numPr>
          <w:ilvl w:val="1"/>
          <w:numId w:val="2"/>
        </w:numPr>
        <w:spacing w:before="0" w:beforeLines="0"/>
        <w:ind w:left="0" w:firstLine="480" w:firstLineChars="200"/>
        <w:rPr>
          <w:color w:val="auto"/>
        </w:rPr>
      </w:pPr>
      <w:r>
        <w:rPr>
          <w:rFonts w:hint="eastAsia"/>
          <w:color w:val="auto"/>
        </w:rPr>
        <w:t>施工场地的出入口及场地内的通道由承包人决定，分包人须遵照承包人的安排及配合发包人及其它分包人及专业承包人的需要。</w:t>
      </w:r>
    </w:p>
    <w:p>
      <w:pPr>
        <w:pStyle w:val="32"/>
        <w:numPr>
          <w:ilvl w:val="1"/>
          <w:numId w:val="2"/>
        </w:numPr>
        <w:spacing w:before="0" w:beforeLines="0"/>
        <w:ind w:left="0" w:firstLine="480" w:firstLineChars="200"/>
        <w:rPr>
          <w:color w:val="auto"/>
        </w:rPr>
      </w:pPr>
      <w:r>
        <w:rPr>
          <w:rFonts w:hint="eastAsia"/>
          <w:color w:val="auto"/>
        </w:rPr>
        <w:t>分包人必须遵从承包人对整个工程现场设备材料安置，施工用水、用电、垂直运输、临时设施等方面的统一协调与管理。分包人须与承包人在工程进度上紧密联系，以使承包人能根据分包人的施工需要及时提供给分包人所需的施工场地。</w:t>
      </w:r>
    </w:p>
    <w:p>
      <w:pPr>
        <w:pStyle w:val="32"/>
        <w:numPr>
          <w:ilvl w:val="1"/>
          <w:numId w:val="2"/>
        </w:numPr>
        <w:spacing w:before="0" w:beforeLines="0"/>
        <w:ind w:left="0" w:firstLine="480" w:firstLineChars="200"/>
        <w:rPr>
          <w:color w:val="auto"/>
        </w:rPr>
      </w:pPr>
      <w:r>
        <w:rPr>
          <w:rFonts w:hint="eastAsia"/>
          <w:color w:val="auto"/>
        </w:rPr>
        <w:t>分包人须特别留意，除更改工程项目外，所有发包人及承包人提供的资料、文件和数据已包括在此合同文件内，分包人须自己搜集所需要的数据以完成整个工程并达到承包人及发包人的要求。</w:t>
      </w:r>
    </w:p>
    <w:p>
      <w:pPr>
        <w:pStyle w:val="32"/>
        <w:numPr>
          <w:ilvl w:val="1"/>
          <w:numId w:val="2"/>
        </w:numPr>
        <w:spacing w:before="0" w:beforeLines="0"/>
        <w:ind w:left="0" w:firstLine="480" w:firstLineChars="200"/>
        <w:rPr>
          <w:color w:val="auto"/>
        </w:rPr>
      </w:pPr>
      <w:r>
        <w:rPr>
          <w:rFonts w:hint="eastAsia"/>
          <w:color w:val="auto"/>
        </w:rPr>
        <w:t>规范、图纸及技术要求是承包人提供给分包人的本合同工程数据及细节；其它任何必需的工料项目，必须完全符合本合同所需的保证及要求，或能使本工程正常操作，并能达到承包人及发包人满意要求及取得工程所在地所有有关政府部门或单位发出的验收合格及使用证明等文件。虽然本合同文件内未有提及，但亦应由分包人负责及包括在此承包工程内，本合同总价亦已包括此等费用。</w:t>
      </w:r>
    </w:p>
    <w:p>
      <w:pPr>
        <w:pStyle w:val="31"/>
        <w:numPr>
          <w:ilvl w:val="0"/>
          <w:numId w:val="2"/>
        </w:numPr>
        <w:spacing w:before="0" w:beforeLines="0"/>
        <w:ind w:left="351" w:hanging="351" w:hangingChars="125"/>
        <w:rPr>
          <w:color w:val="auto"/>
        </w:rPr>
      </w:pPr>
      <w:bookmarkStart w:id="10" w:name="_Toc126962031"/>
      <w:r>
        <w:rPr>
          <w:rFonts w:hint="eastAsia"/>
          <w:color w:val="auto"/>
        </w:rPr>
        <w:t>图纸</w:t>
      </w:r>
      <w:bookmarkEnd w:id="10"/>
    </w:p>
    <w:p>
      <w:pPr>
        <w:pStyle w:val="32"/>
        <w:numPr>
          <w:ilvl w:val="1"/>
          <w:numId w:val="2"/>
        </w:numPr>
        <w:spacing w:before="0" w:beforeLines="0"/>
        <w:ind w:left="0" w:firstLine="480" w:firstLineChars="200"/>
        <w:rPr>
          <w:color w:val="auto"/>
        </w:rPr>
      </w:pPr>
      <w:r>
        <w:rPr>
          <w:rFonts w:hint="eastAsia"/>
          <w:color w:val="auto"/>
        </w:rPr>
        <w:t>分包人须在现场存放一整套施工图纸、规范、所有承包人指示及附加图纸。</w:t>
      </w:r>
    </w:p>
    <w:p>
      <w:pPr>
        <w:pStyle w:val="32"/>
        <w:numPr>
          <w:ilvl w:val="1"/>
          <w:numId w:val="2"/>
        </w:numPr>
        <w:spacing w:before="0" w:beforeLines="0"/>
        <w:ind w:left="0" w:firstLine="480" w:firstLineChars="200"/>
        <w:rPr>
          <w:color w:val="auto"/>
        </w:rPr>
      </w:pPr>
      <w:r>
        <w:rPr>
          <w:rFonts w:hint="eastAsia"/>
          <w:color w:val="auto"/>
        </w:rPr>
        <w:t>分包人应按承包人的要求提供所有必需数据及其设备工程图纸给承包人以供其完成制订设备综合图，以配合所有其它设备工程项目正确次序及位置。分包人需留意这些次序及位置必须配合其它设备工程。发包人及承包人可拒绝，认可或更改这些资料或图纸，分包人应照其要求予以修改。</w:t>
      </w:r>
    </w:p>
    <w:p>
      <w:pPr>
        <w:pStyle w:val="32"/>
        <w:numPr>
          <w:ilvl w:val="1"/>
          <w:numId w:val="2"/>
        </w:numPr>
        <w:spacing w:before="0" w:beforeLines="0"/>
        <w:ind w:left="0" w:firstLine="480" w:firstLineChars="200"/>
        <w:rPr>
          <w:color w:val="auto"/>
        </w:rPr>
      </w:pPr>
      <w:r>
        <w:rPr>
          <w:rFonts w:hint="eastAsia"/>
          <w:color w:val="auto"/>
        </w:rPr>
        <w:t>任何图纸退回给分包人作修改，分包人应在退回图纸后的七天内，将修改好的图纸再通过承包人呈交给发包人及有关政府部门、单位审批。</w:t>
      </w:r>
    </w:p>
    <w:p>
      <w:pPr>
        <w:pStyle w:val="32"/>
        <w:numPr>
          <w:ilvl w:val="1"/>
          <w:numId w:val="2"/>
        </w:numPr>
        <w:spacing w:before="0" w:beforeLines="0"/>
        <w:ind w:left="0" w:firstLine="480" w:firstLineChars="200"/>
        <w:rPr>
          <w:color w:val="auto"/>
        </w:rPr>
      </w:pPr>
      <w:r>
        <w:rPr>
          <w:rFonts w:hint="eastAsia"/>
          <w:color w:val="auto"/>
        </w:rPr>
        <w:t>发包人、承包人及有关政府部门、单位对图纸的认可与批准不减轻或解除分包人在本合同项下任何义务及责任,分包人对电梯的质量及安全承担一切责任。</w:t>
      </w:r>
    </w:p>
    <w:p>
      <w:pPr>
        <w:pStyle w:val="32"/>
        <w:numPr>
          <w:ilvl w:val="1"/>
          <w:numId w:val="2"/>
        </w:numPr>
        <w:spacing w:before="0" w:beforeLines="0"/>
        <w:ind w:left="0" w:firstLine="480" w:firstLineChars="200"/>
        <w:rPr>
          <w:color w:val="auto"/>
        </w:rPr>
      </w:pPr>
      <w:r>
        <w:rPr>
          <w:rFonts w:hint="eastAsia"/>
          <w:color w:val="auto"/>
        </w:rPr>
        <w:t>图纸标准及要求应符合本工程所在地的需求及习惯，并保证通过承包人及有关政府部门的审批。</w:t>
      </w:r>
    </w:p>
    <w:p>
      <w:pPr>
        <w:pStyle w:val="32"/>
        <w:numPr>
          <w:ilvl w:val="1"/>
          <w:numId w:val="2"/>
        </w:numPr>
        <w:spacing w:before="0" w:beforeLines="0"/>
        <w:ind w:left="0" w:firstLine="480" w:firstLineChars="200"/>
        <w:rPr>
          <w:color w:val="auto"/>
        </w:rPr>
      </w:pPr>
      <w:r>
        <w:rPr>
          <w:rFonts w:hint="eastAsia"/>
          <w:color w:val="auto"/>
        </w:rPr>
        <w:t>分包人须在其施工计划表内，估计充足的时间以便下列情况出现时合同工期不被延误：图纸被否决或修改或再呈交经修改的图纸及表格所需时间，为制订图纸及表格而必须与承包人、发包人联系的工作时间，发包人或有关政府部门或单位审批的时间等等。</w:t>
      </w:r>
    </w:p>
    <w:p>
      <w:pPr>
        <w:pStyle w:val="32"/>
        <w:spacing w:before="0" w:beforeLines="0"/>
        <w:ind w:firstLine="480" w:firstLineChars="200"/>
        <w:rPr>
          <w:color w:val="auto"/>
        </w:rPr>
      </w:pPr>
      <w:r>
        <w:rPr>
          <w:rFonts w:hint="eastAsia"/>
          <w:color w:val="auto"/>
        </w:rPr>
        <w:t>因上述图纸被否决或修改及再审批而提出的索偿（包括时间、费用上的索偿）将不被接纳。图纸审批通过后，分包人将十二份副本及两份符合比例、准确及可复印的图纸电子文档，自费呈交予发包人及承包人。</w:t>
      </w:r>
    </w:p>
    <w:p>
      <w:pPr>
        <w:pStyle w:val="32"/>
        <w:numPr>
          <w:ilvl w:val="1"/>
          <w:numId w:val="2"/>
        </w:numPr>
        <w:spacing w:before="0" w:beforeLines="0"/>
        <w:ind w:left="0" w:firstLine="480" w:firstLineChars="200"/>
        <w:rPr>
          <w:color w:val="auto"/>
        </w:rPr>
      </w:pPr>
      <w:r>
        <w:rPr>
          <w:rFonts w:hint="eastAsia"/>
          <w:color w:val="auto"/>
        </w:rPr>
        <w:t>对所有承包人的指示或更改工程指示，分包人须负责核对此等指示对图纸或总设备综合图纸等的影响及作出适当修改。</w:t>
      </w:r>
    </w:p>
    <w:p>
      <w:pPr>
        <w:pStyle w:val="32"/>
        <w:numPr>
          <w:ilvl w:val="1"/>
          <w:numId w:val="2"/>
        </w:numPr>
        <w:spacing w:before="0" w:beforeLines="0"/>
        <w:ind w:left="0" w:firstLine="480" w:firstLineChars="200"/>
        <w:rPr>
          <w:color w:val="auto"/>
        </w:rPr>
      </w:pPr>
      <w:r>
        <w:rPr>
          <w:rFonts w:hint="eastAsia"/>
          <w:color w:val="auto"/>
        </w:rPr>
        <w:t>在本工程竣工验收后、交付前，分包人须通过承包人确认后呈交发包人符合国家标准及广州市《建设工程档案编制规范》规定的比例、准确的竣工图纸十二份及电子文档两份。</w:t>
      </w:r>
    </w:p>
    <w:p>
      <w:pPr>
        <w:pStyle w:val="31"/>
        <w:numPr>
          <w:ilvl w:val="0"/>
          <w:numId w:val="2"/>
        </w:numPr>
        <w:spacing w:before="0" w:beforeLines="0"/>
        <w:ind w:left="351" w:hanging="351" w:hangingChars="125"/>
        <w:rPr>
          <w:color w:val="auto"/>
        </w:rPr>
      </w:pPr>
      <w:bookmarkStart w:id="11" w:name="_Toc126962032"/>
      <w:r>
        <w:rPr>
          <w:rFonts w:hint="eastAsia"/>
          <w:color w:val="auto"/>
        </w:rPr>
        <w:t>涉及承包人工作及统筹</w:t>
      </w:r>
      <w:bookmarkEnd w:id="11"/>
    </w:p>
    <w:p>
      <w:pPr>
        <w:pStyle w:val="32"/>
        <w:numPr>
          <w:ilvl w:val="1"/>
          <w:numId w:val="2"/>
        </w:numPr>
        <w:spacing w:before="0" w:beforeLines="0"/>
        <w:ind w:left="0" w:firstLine="480" w:firstLineChars="200"/>
        <w:rPr>
          <w:color w:val="auto"/>
        </w:rPr>
      </w:pPr>
      <w:r>
        <w:rPr>
          <w:rFonts w:hint="eastAsia"/>
          <w:color w:val="auto"/>
        </w:rPr>
        <w:t>由承包人提供的设施</w:t>
      </w:r>
    </w:p>
    <w:p>
      <w:pPr>
        <w:pStyle w:val="32"/>
        <w:spacing w:before="0" w:beforeLines="0"/>
        <w:ind w:left="567"/>
        <w:rPr>
          <w:color w:val="auto"/>
        </w:rPr>
      </w:pPr>
      <w:r>
        <w:rPr>
          <w:rFonts w:hint="eastAsia"/>
          <w:color w:val="auto"/>
        </w:rPr>
        <w:t>分包人为完成本工程须与承包人协商要求为其提供所有合理设施包括：</w:t>
      </w:r>
    </w:p>
    <w:p>
      <w:pPr>
        <w:pStyle w:val="32"/>
        <w:spacing w:before="0" w:beforeLines="0"/>
        <w:ind w:firstLine="480" w:firstLineChars="200"/>
        <w:rPr>
          <w:color w:val="auto"/>
        </w:rPr>
      </w:pPr>
      <w:r>
        <w:rPr>
          <w:rFonts w:hint="eastAsia"/>
          <w:color w:val="auto"/>
        </w:rPr>
        <w:t>（1）在施工场地内提供辅助设施及贮存仓予分包人使用，或在工地上或在建建筑物内提供地方给分包人架设自己的办公室、辅助设施及贮仓。</w:t>
      </w:r>
    </w:p>
    <w:p>
      <w:pPr>
        <w:pStyle w:val="32"/>
        <w:spacing w:before="0" w:beforeLines="0"/>
        <w:ind w:firstLine="480" w:firstLineChars="200"/>
        <w:rPr>
          <w:color w:val="auto"/>
        </w:rPr>
      </w:pPr>
      <w:r>
        <w:rPr>
          <w:rFonts w:hint="eastAsia"/>
          <w:color w:val="auto"/>
        </w:rPr>
        <w:t>（2）使用施工场地上通道，及经承包人考虑承包工程的性质后认为合理的施工空间及通道。分包人应负责修补由于施工所导致在施工场地上通道所造成的损毁。</w:t>
      </w:r>
    </w:p>
    <w:p>
      <w:pPr>
        <w:pStyle w:val="32"/>
        <w:spacing w:before="0" w:beforeLines="0"/>
        <w:ind w:firstLine="480" w:firstLineChars="200"/>
        <w:rPr>
          <w:color w:val="auto"/>
        </w:rPr>
      </w:pPr>
      <w:r>
        <w:rPr>
          <w:rFonts w:hint="eastAsia"/>
          <w:color w:val="auto"/>
        </w:rPr>
        <w:t>（3）使用任何属于承包人或由承包人在施工场地上架设而仍未拆除的梯子及脚手架。</w:t>
      </w:r>
    </w:p>
    <w:p>
      <w:pPr>
        <w:pStyle w:val="32"/>
        <w:spacing w:before="0" w:beforeLines="0"/>
        <w:ind w:firstLine="480" w:firstLineChars="200"/>
        <w:rPr>
          <w:color w:val="auto"/>
        </w:rPr>
      </w:pPr>
      <w:r>
        <w:rPr>
          <w:rFonts w:hint="eastAsia"/>
          <w:color w:val="auto"/>
        </w:rPr>
        <w:t>（4）使用卫生设施。</w:t>
      </w:r>
    </w:p>
    <w:p>
      <w:pPr>
        <w:pStyle w:val="32"/>
        <w:spacing w:before="0" w:beforeLines="0"/>
        <w:ind w:firstLine="480" w:firstLineChars="200"/>
        <w:rPr>
          <w:color w:val="auto"/>
        </w:rPr>
      </w:pPr>
      <w:r>
        <w:rPr>
          <w:rFonts w:hint="eastAsia"/>
          <w:color w:val="auto"/>
        </w:rPr>
        <w:t>（5）使用承包人电话，但通讯费用由分包人支付。</w:t>
      </w:r>
    </w:p>
    <w:p>
      <w:pPr>
        <w:pStyle w:val="32"/>
        <w:spacing w:before="0" w:beforeLines="0"/>
        <w:ind w:firstLine="480" w:firstLineChars="200"/>
        <w:rPr>
          <w:color w:val="auto"/>
        </w:rPr>
      </w:pPr>
      <w:r>
        <w:rPr>
          <w:rFonts w:hint="eastAsia"/>
          <w:color w:val="auto"/>
        </w:rPr>
        <w:t>（6）提供临时照明，相关费用由分包人支付。</w:t>
      </w:r>
    </w:p>
    <w:p>
      <w:pPr>
        <w:pStyle w:val="32"/>
        <w:spacing w:before="0" w:beforeLines="0"/>
        <w:ind w:firstLine="480" w:firstLineChars="200"/>
        <w:rPr>
          <w:color w:val="auto"/>
        </w:rPr>
      </w:pPr>
      <w:r>
        <w:rPr>
          <w:rFonts w:hint="eastAsia"/>
          <w:color w:val="auto"/>
        </w:rPr>
        <w:t>（7）提供工程用水，相关费用由分包人支付。</w:t>
      </w:r>
    </w:p>
    <w:p>
      <w:pPr>
        <w:pStyle w:val="32"/>
        <w:spacing w:before="0" w:beforeLines="0"/>
        <w:ind w:firstLine="480" w:firstLineChars="200"/>
        <w:rPr>
          <w:color w:val="auto"/>
        </w:rPr>
      </w:pPr>
      <w:r>
        <w:rPr>
          <w:rFonts w:hint="eastAsia"/>
          <w:color w:val="auto"/>
        </w:rPr>
        <w:t>（8）使用已在施工场地的机械及设备，包括机械操作人员，以便卸下施工单位的物料及起吊至不同位置。(分包人仍须对卸下及起吊负责)。</w:t>
      </w:r>
    </w:p>
    <w:p>
      <w:pPr>
        <w:pStyle w:val="32"/>
        <w:spacing w:before="0" w:beforeLines="0"/>
        <w:ind w:firstLine="480" w:firstLineChars="200"/>
        <w:rPr>
          <w:color w:val="auto"/>
        </w:rPr>
      </w:pPr>
      <w:r>
        <w:rPr>
          <w:rFonts w:hint="eastAsia"/>
          <w:color w:val="auto"/>
        </w:rPr>
        <w:t>（9）供分包人使用场地上其它已有的设施。</w:t>
      </w:r>
    </w:p>
    <w:p>
      <w:pPr>
        <w:pStyle w:val="32"/>
        <w:numPr>
          <w:ilvl w:val="1"/>
          <w:numId w:val="2"/>
        </w:numPr>
        <w:spacing w:before="0" w:beforeLines="0"/>
        <w:ind w:left="0" w:firstLine="480" w:firstLineChars="200"/>
        <w:rPr>
          <w:color w:val="auto"/>
        </w:rPr>
      </w:pPr>
      <w:r>
        <w:rPr>
          <w:rFonts w:hint="eastAsia"/>
          <w:color w:val="auto"/>
        </w:rPr>
        <w:t>下列工程由承包人或其它专业承包人进行，所以不包括在本合同内：</w:t>
      </w:r>
    </w:p>
    <w:p>
      <w:pPr>
        <w:pStyle w:val="32"/>
        <w:spacing w:before="0" w:beforeLines="0"/>
        <w:ind w:firstLine="480" w:firstLineChars="200"/>
        <w:rPr>
          <w:color w:val="auto"/>
        </w:rPr>
      </w:pPr>
      <w:r>
        <w:rPr>
          <w:rFonts w:hint="eastAsia"/>
          <w:color w:val="auto"/>
        </w:rPr>
        <w:t>（1）建造的电梯井，须有正确的结构及护墙、井道分隔梁、分隔墙，电梯坑须有适当深度、排水及防水(若需要)，有通风及足够尺寸的机械室，包括混凝土楼板，进门，爬梯及护栏等。若供应的电梯须改变电梯井，电梯坑及机房大小尺寸超过图纸上所示的结构限制，则须在合同签订时说明，否则一切修改补救工程的费用，概由分包人承担。</w:t>
      </w:r>
    </w:p>
    <w:p>
      <w:pPr>
        <w:pStyle w:val="32"/>
        <w:spacing w:before="0" w:beforeLines="0"/>
        <w:ind w:firstLine="480" w:firstLineChars="200"/>
        <w:rPr>
          <w:color w:val="auto"/>
        </w:rPr>
      </w:pPr>
      <w:r>
        <w:rPr>
          <w:rFonts w:hint="eastAsia"/>
          <w:color w:val="auto"/>
        </w:rPr>
        <w:t>（2）在电梯井预留适当入口以便安装电梯门。</w:t>
      </w:r>
    </w:p>
    <w:p>
      <w:pPr>
        <w:pStyle w:val="32"/>
        <w:spacing w:before="0" w:beforeLines="0"/>
        <w:ind w:firstLine="480" w:firstLineChars="200"/>
        <w:rPr>
          <w:color w:val="auto"/>
        </w:rPr>
      </w:pPr>
      <w:r>
        <w:rPr>
          <w:rFonts w:hint="eastAsia"/>
          <w:color w:val="auto"/>
        </w:rPr>
        <w:t>（3）用水泥及／或混凝土灌结托座、螺栓、框边、门坎、孔洞边等。</w:t>
      </w:r>
    </w:p>
    <w:p>
      <w:pPr>
        <w:pStyle w:val="32"/>
        <w:spacing w:before="0" w:beforeLines="0"/>
        <w:ind w:firstLine="480" w:firstLineChars="200"/>
        <w:rPr>
          <w:color w:val="auto"/>
        </w:rPr>
      </w:pPr>
      <w:r>
        <w:rPr>
          <w:rFonts w:hint="eastAsia"/>
          <w:color w:val="auto"/>
        </w:rPr>
        <w:t>（4）为机械室内线路板、主线开关、电梯、自动扶梯及其它施工地点提供三相电源及单相照明电力接驳点。</w:t>
      </w:r>
    </w:p>
    <w:p>
      <w:pPr>
        <w:pStyle w:val="32"/>
        <w:spacing w:before="0" w:beforeLines="0"/>
        <w:ind w:firstLine="480" w:firstLineChars="200"/>
        <w:rPr>
          <w:color w:val="auto"/>
        </w:rPr>
      </w:pPr>
      <w:r>
        <w:rPr>
          <w:rFonts w:hint="eastAsia"/>
          <w:color w:val="auto"/>
        </w:rPr>
        <w:t>（5）按要求在机械室及电梯大堂安装独立电源箱以提供临时电源或照明，以 供喷涂料、施工地点照明，试验及调整电梯装置等使用。</w:t>
      </w:r>
    </w:p>
    <w:p>
      <w:pPr>
        <w:pStyle w:val="32"/>
        <w:spacing w:before="0" w:beforeLines="0"/>
        <w:ind w:firstLine="480" w:firstLineChars="200"/>
        <w:rPr>
          <w:color w:val="auto"/>
        </w:rPr>
      </w:pPr>
      <w:r>
        <w:rPr>
          <w:rFonts w:hint="eastAsia"/>
          <w:color w:val="auto"/>
        </w:rPr>
        <w:t>（6）在电梯坑内附近提供电源。</w:t>
      </w:r>
    </w:p>
    <w:p>
      <w:pPr>
        <w:pStyle w:val="32"/>
        <w:spacing w:before="0" w:beforeLines="0"/>
        <w:ind w:firstLine="480" w:firstLineChars="200"/>
        <w:rPr>
          <w:color w:val="auto"/>
        </w:rPr>
      </w:pPr>
      <w:r>
        <w:rPr>
          <w:rFonts w:hint="eastAsia"/>
          <w:color w:val="auto"/>
        </w:rPr>
        <w:t>（7）提供电梯设备安装所需的孔洞，管子槽，底座，气孔。</w:t>
      </w:r>
    </w:p>
    <w:p>
      <w:pPr>
        <w:pStyle w:val="32"/>
        <w:spacing w:before="0" w:beforeLines="0"/>
        <w:ind w:firstLine="480" w:firstLineChars="200"/>
        <w:rPr>
          <w:color w:val="auto"/>
        </w:rPr>
      </w:pPr>
      <w:r>
        <w:rPr>
          <w:rFonts w:hint="eastAsia"/>
          <w:color w:val="auto"/>
        </w:rPr>
        <w:t>（8）提供电力供应及试验所需负荷，相关电费由分包人支付。</w:t>
      </w:r>
    </w:p>
    <w:p>
      <w:pPr>
        <w:pStyle w:val="32"/>
        <w:numPr>
          <w:ilvl w:val="1"/>
          <w:numId w:val="2"/>
        </w:numPr>
        <w:spacing w:before="0" w:beforeLines="0"/>
        <w:ind w:left="0" w:firstLine="480" w:firstLineChars="200"/>
        <w:rPr>
          <w:color w:val="auto"/>
        </w:rPr>
      </w:pPr>
      <w:r>
        <w:rPr>
          <w:rFonts w:hint="eastAsia"/>
          <w:color w:val="auto"/>
        </w:rPr>
        <w:t>其它在图纸上没有列明而分包人要求的额外孔洞、隔墙、混凝土底座及支承、管道等，都会由承包人提供。附带条件为分包人必须预先提供有关数据及要求给承包人和承包人认可，及能让承包人在展开有关工程前预先计划。</w:t>
      </w:r>
    </w:p>
    <w:p>
      <w:pPr>
        <w:pStyle w:val="32"/>
        <w:numPr>
          <w:ilvl w:val="1"/>
          <w:numId w:val="2"/>
        </w:numPr>
        <w:spacing w:before="0" w:beforeLines="0"/>
        <w:ind w:left="0" w:firstLine="480" w:firstLineChars="200"/>
        <w:rPr>
          <w:color w:val="auto"/>
        </w:rPr>
      </w:pPr>
      <w:r>
        <w:rPr>
          <w:rFonts w:hint="eastAsia"/>
          <w:color w:val="auto"/>
        </w:rPr>
        <w:t>在发包人及承包人认可后，分包人须负责在承包人进行有关工程时，提供及标示此等工程的正确位置，尺寸及其它数据。分包人须负责因其未有遵从以上规定所引起的一切费用及相关责任。</w:t>
      </w:r>
    </w:p>
    <w:p>
      <w:pPr>
        <w:pStyle w:val="32"/>
        <w:numPr>
          <w:ilvl w:val="1"/>
          <w:numId w:val="2"/>
        </w:numPr>
        <w:spacing w:before="0" w:beforeLines="0"/>
        <w:ind w:left="0" w:firstLine="480" w:firstLineChars="200"/>
        <w:rPr>
          <w:color w:val="auto"/>
        </w:rPr>
      </w:pPr>
      <w:r>
        <w:rPr>
          <w:rFonts w:hint="eastAsia"/>
          <w:color w:val="auto"/>
        </w:rPr>
        <w:t>上述各条所涉及分包人的工作项目是基于分包人对有关本工程项目的一般要求及责任的分担。任何其它未提及且为本工程所必须完成的工作，分包人须按要求提供完成。</w:t>
      </w:r>
    </w:p>
    <w:p>
      <w:pPr>
        <w:pStyle w:val="32"/>
        <w:numPr>
          <w:ilvl w:val="1"/>
          <w:numId w:val="2"/>
        </w:numPr>
        <w:spacing w:before="0" w:beforeLines="0"/>
        <w:ind w:left="0" w:firstLine="480" w:firstLineChars="200"/>
        <w:rPr>
          <w:color w:val="auto"/>
        </w:rPr>
      </w:pPr>
      <w:r>
        <w:rPr>
          <w:rFonts w:hint="eastAsia"/>
          <w:color w:val="auto"/>
        </w:rPr>
        <w:t>分包人应尽量减少切除及修补工作，分包人应负责由于自己直接或间接的错误或遗漏而影响他人所进行工程，或因此而导致他人需要进行修改或修复等工作，一切费用，概由分包人负责。</w:t>
      </w:r>
    </w:p>
    <w:p>
      <w:pPr>
        <w:pStyle w:val="32"/>
        <w:numPr>
          <w:ilvl w:val="1"/>
          <w:numId w:val="2"/>
        </w:numPr>
        <w:spacing w:before="0" w:beforeLines="0"/>
        <w:ind w:left="0" w:firstLine="480" w:firstLineChars="200"/>
        <w:rPr>
          <w:color w:val="auto"/>
        </w:rPr>
      </w:pPr>
      <w:r>
        <w:rPr>
          <w:rFonts w:hint="eastAsia"/>
          <w:color w:val="auto"/>
        </w:rPr>
        <w:t>施工前，分包人须向承包人提供有关其工程的施工次序，及要求的管子槽、孔洞、榫眼等位置。未能与承包人做好联系而导致有额外工程，增加的费用由分包人承担。</w:t>
      </w:r>
    </w:p>
    <w:p>
      <w:pPr>
        <w:pStyle w:val="32"/>
        <w:numPr>
          <w:ilvl w:val="1"/>
          <w:numId w:val="2"/>
        </w:numPr>
        <w:spacing w:before="0" w:beforeLines="0"/>
        <w:ind w:left="0" w:firstLine="480" w:firstLineChars="200"/>
        <w:rPr>
          <w:color w:val="auto"/>
        </w:rPr>
      </w:pPr>
      <w:r>
        <w:rPr>
          <w:rFonts w:hint="eastAsia"/>
          <w:color w:val="auto"/>
        </w:rPr>
        <w:t>分包人应与承包人联系获知其灌浇钢筋混凝土时间，以便给予他们足够时间安放预留在钢筋混凝土内的物件。</w:t>
      </w:r>
    </w:p>
    <w:p>
      <w:pPr>
        <w:pStyle w:val="32"/>
        <w:numPr>
          <w:ilvl w:val="1"/>
          <w:numId w:val="2"/>
        </w:numPr>
        <w:spacing w:before="0" w:beforeLines="0"/>
        <w:ind w:left="0" w:firstLine="480" w:firstLineChars="200"/>
        <w:rPr>
          <w:color w:val="auto"/>
        </w:rPr>
      </w:pPr>
      <w:r>
        <w:rPr>
          <w:rFonts w:hint="eastAsia"/>
          <w:color w:val="auto"/>
        </w:rPr>
        <w:t>分包人须雇用合格工地测量员进行工程定位及须检查所有本工程的定位以达到承包人要求，并自行承担相关费用。定位基准及参考线由承包人提供。分包人在工程开始前要核实所有尺寸和标高。如发现此等尺寸和标高与图纸有差异须立刻通知承包人及发包人予以澄清。在本工程进行中，若发现位置、标高、尺寸及排列有错误时，分包人须按发包人及承包人要求，自费改正以上错误至符合本合同和发包人及承包人要求。</w:t>
      </w:r>
    </w:p>
    <w:p>
      <w:pPr>
        <w:pStyle w:val="32"/>
        <w:numPr>
          <w:ilvl w:val="1"/>
          <w:numId w:val="2"/>
        </w:numPr>
        <w:spacing w:before="0" w:beforeLines="0"/>
        <w:ind w:left="0" w:firstLine="480" w:firstLineChars="200"/>
        <w:rPr>
          <w:color w:val="auto"/>
        </w:rPr>
      </w:pPr>
      <w:r>
        <w:rPr>
          <w:rFonts w:hint="eastAsia"/>
          <w:color w:val="auto"/>
        </w:rPr>
        <w:t>分包人在工程开始前，须检查有关已由其它人完成的工程项目，并考虑其位置、尺寸及其他影响本工程的项目(包括所有与本工程有关的地方)是否符合本工程需要。若此等已完成工程有错误或不符合本工程的需要，分包人须立刻以书面通知承包人及承包人，否则即被认为分包人对已完的工程予以认可。</w:t>
      </w:r>
    </w:p>
    <w:p>
      <w:pPr>
        <w:pStyle w:val="32"/>
        <w:numPr>
          <w:ilvl w:val="1"/>
          <w:numId w:val="2"/>
        </w:numPr>
        <w:spacing w:before="0" w:beforeLines="0"/>
        <w:ind w:left="0" w:firstLine="480" w:firstLineChars="200"/>
        <w:rPr>
          <w:color w:val="auto"/>
        </w:rPr>
      </w:pPr>
      <w:r>
        <w:rPr>
          <w:rFonts w:hint="eastAsia"/>
          <w:color w:val="auto"/>
        </w:rPr>
        <w:t>在适当的时间，分包人须书面向承包人要求所需要的指示、水平或其它数据。若由于本合同工程的进行而影响承包人及其它的工程，分包人有责任向承包人提供有关遵从本合同规定的依据或资料，否则视为分包人违约，分包人需承担有关责任及费用。</w:t>
      </w:r>
    </w:p>
    <w:p>
      <w:pPr>
        <w:pStyle w:val="32"/>
        <w:numPr>
          <w:ilvl w:val="1"/>
          <w:numId w:val="2"/>
        </w:numPr>
        <w:spacing w:before="0" w:beforeLines="0"/>
        <w:ind w:left="0" w:firstLine="480" w:firstLineChars="200"/>
        <w:rPr>
          <w:color w:val="auto"/>
        </w:rPr>
      </w:pPr>
      <w:r>
        <w:rPr>
          <w:rFonts w:hint="eastAsia"/>
          <w:color w:val="auto"/>
        </w:rPr>
        <w:t>根据施工总承包合同内容(以此为限)，分包人提出使用计划，承包人向分包人提供相应的施工用水、用电的接驳点（具体接驳点位置要求详见合同附件八）。现场施工用的水电费已由发包人支付给承包人，分包人不需再向承包人支付水电费；生活区的水电费由分包人向承包人支付。分包人须自行提供上述以外一切所需事项。至于分包人对实际施工中的电源容量需求、保护开关的要求，配电盘具体设置楼层和位置以及要求配电盘中专用插头的指定，可在今后电梯施工专项协调会议上与承包人进一步予以商谈明确。</w:t>
      </w:r>
    </w:p>
    <w:p>
      <w:pPr>
        <w:pStyle w:val="32"/>
        <w:numPr>
          <w:ilvl w:val="1"/>
          <w:numId w:val="2"/>
        </w:numPr>
        <w:spacing w:before="0" w:beforeLines="0"/>
        <w:ind w:left="0" w:firstLine="480" w:firstLineChars="200"/>
        <w:rPr>
          <w:color w:val="auto"/>
        </w:rPr>
      </w:pPr>
      <w:r>
        <w:rPr>
          <w:rFonts w:hint="eastAsia"/>
          <w:color w:val="auto"/>
        </w:rPr>
        <w:t>除施工总承包合同中已有提供者外，分包人须自费提供及架设一切所需车间、储存仓或其它建筑物供本身雇员及工人使用。架设地点由承包人指示。</w:t>
      </w:r>
    </w:p>
    <w:p>
      <w:pPr>
        <w:pStyle w:val="31"/>
        <w:numPr>
          <w:ilvl w:val="0"/>
          <w:numId w:val="2"/>
        </w:numPr>
        <w:spacing w:before="0" w:beforeLines="0"/>
        <w:ind w:left="351" w:hanging="351" w:hangingChars="125"/>
        <w:rPr>
          <w:color w:val="auto"/>
        </w:rPr>
      </w:pPr>
      <w:bookmarkStart w:id="12" w:name="_Toc126962033"/>
      <w:r>
        <w:rPr>
          <w:rFonts w:hint="eastAsia"/>
          <w:color w:val="auto"/>
        </w:rPr>
        <w:t>调试、测试和检验</w:t>
      </w:r>
      <w:bookmarkEnd w:id="12"/>
    </w:p>
    <w:p>
      <w:pPr>
        <w:pStyle w:val="32"/>
        <w:numPr>
          <w:ilvl w:val="1"/>
          <w:numId w:val="2"/>
        </w:numPr>
        <w:spacing w:before="0" w:beforeLines="0"/>
        <w:ind w:left="0" w:firstLine="480" w:firstLineChars="200"/>
        <w:rPr>
          <w:color w:val="auto"/>
        </w:rPr>
      </w:pPr>
      <w:r>
        <w:rPr>
          <w:rFonts w:hint="eastAsia"/>
          <w:color w:val="auto"/>
        </w:rPr>
        <w:t>调试测试的质量及费用</w:t>
      </w:r>
    </w:p>
    <w:p>
      <w:pPr>
        <w:pStyle w:val="32"/>
        <w:spacing w:before="0" w:beforeLines="0"/>
        <w:ind w:firstLine="480" w:firstLineChars="200"/>
        <w:rPr>
          <w:color w:val="auto"/>
        </w:rPr>
      </w:pPr>
      <w:r>
        <w:rPr>
          <w:rFonts w:hint="eastAsia"/>
          <w:color w:val="auto"/>
        </w:rPr>
        <w:t>本工程电梯由分包人负责调试及各项测试，检验标准应符合合同技术规格书，经本工程所在地技术监督部门验收合格并经发包人、承包人验收合格后交付使用。调试过程中，确系产品质量与规定不符或系统服务不佳(包括辅料漏供等)，分包人在接到承包人通知后7个日历天内派员进行技术论证，并负责解决质量问题,且其间往返的交通、食宿等一切费用均由分包人自行承担。</w:t>
      </w:r>
    </w:p>
    <w:p>
      <w:pPr>
        <w:pStyle w:val="32"/>
        <w:numPr>
          <w:ilvl w:val="1"/>
          <w:numId w:val="2"/>
        </w:numPr>
        <w:spacing w:before="0" w:beforeLines="0"/>
        <w:ind w:left="0" w:firstLine="480" w:firstLineChars="200"/>
        <w:rPr>
          <w:color w:val="auto"/>
        </w:rPr>
      </w:pPr>
      <w:r>
        <w:rPr>
          <w:rFonts w:hint="eastAsia"/>
          <w:color w:val="auto"/>
        </w:rPr>
        <w:t>调试检验内容：</w:t>
      </w:r>
    </w:p>
    <w:p>
      <w:pPr>
        <w:pStyle w:val="32"/>
        <w:spacing w:before="0" w:beforeLines="0"/>
        <w:ind w:left="567"/>
        <w:rPr>
          <w:color w:val="auto"/>
        </w:rPr>
      </w:pPr>
      <w:r>
        <w:rPr>
          <w:rFonts w:hint="eastAsia"/>
          <w:color w:val="auto"/>
        </w:rPr>
        <w:t>(1) 运行试验(包括电动机制动器和提升机械)；</w:t>
      </w:r>
    </w:p>
    <w:p>
      <w:pPr>
        <w:pStyle w:val="32"/>
        <w:spacing w:before="0" w:beforeLines="0"/>
        <w:ind w:left="567"/>
        <w:rPr>
          <w:color w:val="auto"/>
        </w:rPr>
      </w:pPr>
      <w:r>
        <w:rPr>
          <w:rFonts w:hint="eastAsia"/>
          <w:color w:val="auto"/>
        </w:rPr>
        <w:t>(2) 荷载试验；</w:t>
      </w:r>
    </w:p>
    <w:p>
      <w:pPr>
        <w:pStyle w:val="32"/>
        <w:spacing w:before="0" w:beforeLines="0"/>
        <w:ind w:left="567"/>
        <w:rPr>
          <w:color w:val="auto"/>
        </w:rPr>
      </w:pPr>
      <w:r>
        <w:rPr>
          <w:rFonts w:hint="eastAsia"/>
          <w:color w:val="auto"/>
        </w:rPr>
        <w:t>(3) 调速限速试验；</w:t>
      </w:r>
    </w:p>
    <w:p>
      <w:pPr>
        <w:pStyle w:val="32"/>
        <w:spacing w:before="0" w:beforeLines="0"/>
        <w:ind w:left="567"/>
        <w:rPr>
          <w:color w:val="auto"/>
        </w:rPr>
      </w:pPr>
      <w:r>
        <w:rPr>
          <w:rFonts w:hint="eastAsia"/>
          <w:color w:val="auto"/>
        </w:rPr>
        <w:t>(4) 安全保护试验(包括门的安全开关、落底、冲顶安全装置等)；</w:t>
      </w:r>
    </w:p>
    <w:p>
      <w:pPr>
        <w:pStyle w:val="32"/>
        <w:spacing w:before="0" w:beforeLines="0"/>
        <w:ind w:left="567"/>
        <w:rPr>
          <w:color w:val="auto"/>
        </w:rPr>
      </w:pPr>
      <w:r>
        <w:rPr>
          <w:rFonts w:hint="eastAsia"/>
          <w:color w:val="auto"/>
        </w:rPr>
        <w:t>(5) 其它各项有关功能试验：</w:t>
      </w:r>
    </w:p>
    <w:p>
      <w:pPr>
        <w:pStyle w:val="32"/>
        <w:numPr>
          <w:ilvl w:val="1"/>
          <w:numId w:val="2"/>
        </w:numPr>
        <w:spacing w:before="0" w:beforeLines="0"/>
        <w:ind w:left="0" w:firstLine="480" w:firstLineChars="200"/>
        <w:rPr>
          <w:color w:val="auto"/>
        </w:rPr>
      </w:pPr>
      <w:r>
        <w:rPr>
          <w:rFonts w:hint="eastAsia"/>
          <w:color w:val="auto"/>
        </w:rPr>
        <w:t>有关电梯制造安装的测试、检验的主要依据及工程质量标准应为本合同约定的标准（包括但不限于附件二）及中华人民共和国有关电梯的现行国家规范标准，包括但不限于以下（以最新公布的版本为准）：</w:t>
      </w:r>
    </w:p>
    <w:p>
      <w:pPr>
        <w:pStyle w:val="32"/>
        <w:spacing w:before="0" w:beforeLines="0"/>
        <w:ind w:left="567"/>
        <w:rPr>
          <w:color w:val="auto"/>
        </w:rPr>
      </w:pPr>
      <w:r>
        <w:rPr>
          <w:rFonts w:hint="eastAsia"/>
          <w:color w:val="auto"/>
        </w:rPr>
        <w:t>《电梯技术条件》GB10058；</w:t>
      </w:r>
    </w:p>
    <w:p>
      <w:pPr>
        <w:pStyle w:val="32"/>
        <w:spacing w:before="0" w:beforeLines="0"/>
        <w:ind w:left="567"/>
        <w:rPr>
          <w:color w:val="auto"/>
        </w:rPr>
      </w:pPr>
      <w:r>
        <w:rPr>
          <w:rFonts w:hint="eastAsia"/>
          <w:color w:val="auto"/>
        </w:rPr>
        <w:t>《电梯制造与安装安全规范》GB7588；</w:t>
      </w:r>
    </w:p>
    <w:p>
      <w:pPr>
        <w:pStyle w:val="32"/>
        <w:spacing w:before="0" w:beforeLines="0"/>
        <w:ind w:left="567"/>
        <w:rPr>
          <w:color w:val="auto"/>
        </w:rPr>
      </w:pPr>
      <w:r>
        <w:rPr>
          <w:rFonts w:hint="eastAsia"/>
          <w:color w:val="auto"/>
        </w:rPr>
        <w:t>《电梯试验方法》GB10059；</w:t>
      </w:r>
    </w:p>
    <w:p>
      <w:pPr>
        <w:pStyle w:val="32"/>
        <w:spacing w:before="0" w:beforeLines="0"/>
        <w:ind w:left="567"/>
        <w:rPr>
          <w:color w:val="auto"/>
        </w:rPr>
      </w:pPr>
      <w:r>
        <w:rPr>
          <w:rFonts w:hint="eastAsia"/>
          <w:color w:val="auto"/>
        </w:rPr>
        <w:t>《电梯主要参数及轿厢、井道、机房的形式及尺寸》GB7025；</w:t>
      </w:r>
    </w:p>
    <w:p>
      <w:pPr>
        <w:pStyle w:val="32"/>
        <w:spacing w:before="0" w:beforeLines="0"/>
        <w:ind w:left="567"/>
        <w:rPr>
          <w:color w:val="auto"/>
        </w:rPr>
      </w:pPr>
      <w:r>
        <w:rPr>
          <w:rFonts w:hint="eastAsia"/>
          <w:color w:val="auto"/>
        </w:rPr>
        <w:t>《机械设备安装工程电梯电气装置施工及验收规范》GB50182 ；</w:t>
      </w:r>
    </w:p>
    <w:p>
      <w:pPr>
        <w:pStyle w:val="32"/>
        <w:spacing w:before="0" w:beforeLines="0"/>
        <w:ind w:left="567"/>
        <w:rPr>
          <w:color w:val="auto"/>
        </w:rPr>
      </w:pPr>
      <w:r>
        <w:rPr>
          <w:rFonts w:hint="eastAsia"/>
          <w:color w:val="auto"/>
        </w:rPr>
        <w:t>《电梯工程施工质量验收规范》GB50310；</w:t>
      </w:r>
    </w:p>
    <w:p>
      <w:pPr>
        <w:pStyle w:val="32"/>
        <w:spacing w:before="0" w:beforeLines="0"/>
        <w:ind w:left="567"/>
        <w:rPr>
          <w:color w:val="auto"/>
        </w:rPr>
      </w:pPr>
      <w:r>
        <w:rPr>
          <w:rFonts w:hint="eastAsia"/>
          <w:color w:val="auto"/>
        </w:rPr>
        <w:t>《自动扶梯和自动人行道的制造与安装安全规范》GB16899；</w:t>
      </w:r>
    </w:p>
    <w:p>
      <w:pPr>
        <w:pStyle w:val="32"/>
        <w:spacing w:before="0" w:beforeLines="0"/>
        <w:ind w:left="567"/>
        <w:rPr>
          <w:color w:val="auto"/>
        </w:rPr>
      </w:pPr>
      <w:r>
        <w:rPr>
          <w:rFonts w:hint="eastAsia"/>
          <w:color w:val="auto"/>
        </w:rPr>
        <w:t>《消防电梯制造与安装安全规范》GB26465。</w:t>
      </w:r>
    </w:p>
    <w:p>
      <w:pPr>
        <w:pStyle w:val="32"/>
        <w:spacing w:before="0" w:beforeLines="0"/>
        <w:ind w:left="567"/>
        <w:rPr>
          <w:color w:val="auto"/>
        </w:rPr>
      </w:pPr>
      <w:r>
        <w:rPr>
          <w:rFonts w:hint="eastAsia"/>
          <w:color w:val="auto"/>
        </w:rPr>
        <w:t>其它各项有关功能检验，以上规范应以标准高者为准。</w:t>
      </w:r>
    </w:p>
    <w:p>
      <w:pPr>
        <w:pStyle w:val="31"/>
        <w:numPr>
          <w:ilvl w:val="0"/>
          <w:numId w:val="2"/>
        </w:numPr>
        <w:spacing w:before="0" w:beforeLines="0"/>
        <w:ind w:left="351" w:hanging="351" w:hangingChars="125"/>
        <w:rPr>
          <w:color w:val="auto"/>
        </w:rPr>
      </w:pPr>
      <w:bookmarkStart w:id="13" w:name="_Toc126962034"/>
      <w:r>
        <w:rPr>
          <w:rFonts w:hint="eastAsia"/>
          <w:color w:val="auto"/>
        </w:rPr>
        <w:t>安装及验收交付</w:t>
      </w:r>
      <w:bookmarkEnd w:id="13"/>
    </w:p>
    <w:p>
      <w:pPr>
        <w:pStyle w:val="32"/>
        <w:numPr>
          <w:ilvl w:val="1"/>
          <w:numId w:val="2"/>
        </w:numPr>
        <w:spacing w:before="0" w:beforeLines="0"/>
        <w:ind w:left="0" w:firstLine="480" w:firstLineChars="200"/>
        <w:rPr>
          <w:color w:val="auto"/>
        </w:rPr>
      </w:pPr>
      <w:r>
        <w:rPr>
          <w:rFonts w:hint="eastAsia" w:hAnsi="宋体"/>
          <w:color w:val="auto"/>
          <w:szCs w:val="24"/>
        </w:rPr>
        <w:t>分包人负责检查电梯井道尺寸及标高偏差，超出允许偏差的及时协调发包人、承包人进行修正，确保电梯安装顺利进行。</w:t>
      </w:r>
    </w:p>
    <w:p>
      <w:pPr>
        <w:pStyle w:val="32"/>
        <w:numPr>
          <w:ilvl w:val="1"/>
          <w:numId w:val="2"/>
        </w:numPr>
        <w:spacing w:before="0" w:beforeLines="0"/>
        <w:ind w:left="0" w:firstLine="480" w:firstLineChars="200"/>
        <w:rPr>
          <w:rFonts w:hAnsi="宋体"/>
          <w:color w:val="auto"/>
          <w:szCs w:val="24"/>
        </w:rPr>
      </w:pPr>
      <w:r>
        <w:rPr>
          <w:rFonts w:hint="eastAsia" w:hAnsi="宋体"/>
          <w:color w:val="auto"/>
          <w:szCs w:val="24"/>
        </w:rPr>
        <w:t>分包人须负责本工程、与本工程有关、附近的所有临时或永久建筑物、设备、市政配套设施、消防通道或其它财产的保护工作，施工期间做好井道及门洞的遮挡、屏蔽等防护措施，确保现场所有人员和物品的安全，保护其管辖范围内的人身、财物和工程处于良好的状态。分包人须承担与本工程有关或本工程所致的任何人身、财产损害的费用和责任，发生损坏、造成发包人、承包人和他人损失的由分包人承担全部责任和费用，并由分包人自费修复、赔偿等；若发包人、承包人因有关程序或法律规定因此需先行或共同承担责任或遭受损失的，由分包人予以赔偿（承包人可从应付的本合同的合同价款中抵扣）。</w:t>
      </w:r>
    </w:p>
    <w:p>
      <w:pPr>
        <w:pStyle w:val="32"/>
        <w:spacing w:before="0" w:beforeLines="0"/>
        <w:ind w:firstLine="480" w:firstLineChars="200"/>
        <w:rPr>
          <w:rFonts w:hAnsi="宋体"/>
          <w:color w:val="auto"/>
          <w:szCs w:val="24"/>
        </w:rPr>
      </w:pPr>
      <w:r>
        <w:rPr>
          <w:rFonts w:hint="eastAsia" w:hAnsi="宋体"/>
          <w:color w:val="auto"/>
          <w:szCs w:val="24"/>
        </w:rPr>
        <w:t>在本合同电梯交付发包人前，分包人应采取适当的措施，对电梯及其所施工或管理的设备、工具、管件、绝缘体等进行保护，防止建筑施工、恶劣天气或其它原因对其造成损坏。在工程施工期间，管件、管道等的一切管端均应适当的加上盖面，以防止有异物进入。</w:t>
      </w:r>
    </w:p>
    <w:p>
      <w:pPr>
        <w:pStyle w:val="32"/>
        <w:numPr>
          <w:ilvl w:val="1"/>
          <w:numId w:val="2"/>
        </w:numPr>
        <w:spacing w:before="0" w:beforeLines="0"/>
        <w:ind w:left="0" w:firstLine="480" w:firstLineChars="200"/>
        <w:rPr>
          <w:rFonts w:hAnsi="宋体"/>
          <w:color w:val="auto"/>
          <w:szCs w:val="24"/>
        </w:rPr>
      </w:pPr>
      <w:r>
        <w:rPr>
          <w:rFonts w:hint="eastAsia" w:hAnsi="宋体"/>
          <w:color w:val="auto"/>
          <w:szCs w:val="24"/>
        </w:rPr>
        <w:t>分包人接受进场施工时的现场状况，自费负责现场的清理、搬迁等工作，并服从承包人对整个工程的管理和协调工作，配合其他施工单位的施工。在施工全过程中，配合承包人做好施工现场的安全文明施工，服从承包人的安全文明施工管理。</w:t>
      </w:r>
    </w:p>
    <w:p>
      <w:pPr>
        <w:pStyle w:val="32"/>
        <w:numPr>
          <w:ilvl w:val="1"/>
          <w:numId w:val="2"/>
        </w:numPr>
        <w:spacing w:before="0" w:beforeLines="0"/>
        <w:ind w:left="0" w:firstLine="480" w:firstLineChars="200"/>
        <w:rPr>
          <w:rFonts w:hAnsi="宋体"/>
          <w:color w:val="auto"/>
          <w:szCs w:val="24"/>
        </w:rPr>
      </w:pPr>
      <w:r>
        <w:rPr>
          <w:rFonts w:hint="eastAsia" w:hAnsi="宋体"/>
          <w:color w:val="auto"/>
          <w:szCs w:val="24"/>
        </w:rPr>
        <w:t>因分包人的工作错漏而直接或间接地导致其他施工单位未能很好地配合,或导致其他工程需要进行更改或修复的，全部费用和责任由分包人承担。</w:t>
      </w:r>
    </w:p>
    <w:p>
      <w:pPr>
        <w:pStyle w:val="32"/>
        <w:numPr>
          <w:ilvl w:val="1"/>
          <w:numId w:val="2"/>
        </w:numPr>
        <w:spacing w:before="0" w:beforeLines="0"/>
        <w:ind w:left="0" w:firstLine="480" w:firstLineChars="200"/>
        <w:rPr>
          <w:color w:val="auto"/>
        </w:rPr>
      </w:pPr>
      <w:r>
        <w:rPr>
          <w:rFonts w:hint="eastAsia" w:hAnsi="宋体"/>
          <w:color w:val="auto"/>
          <w:szCs w:val="24"/>
        </w:rPr>
        <w:t>分包人必须按照本合同及附件、发包人及承包人确认的施工图纸、技术文件、施工规范及发包人或承包人指令严格进行施工，确保施工质量。</w:t>
      </w:r>
      <w:r>
        <w:rPr>
          <w:rFonts w:hint="eastAsia"/>
          <w:color w:val="auto"/>
        </w:rPr>
        <w:t>若电梯设备的安装与其它施工单位存在交叉或接口界面工程时，分包人有义务按照相关国家标准和验收规范做出相应的技术指导和配合，必要时分包人应提供清晰的书面指引或澄清，否则由此产生的电梯复检、相关整改费用由分包人负责。</w:t>
      </w:r>
    </w:p>
    <w:p>
      <w:pPr>
        <w:pStyle w:val="32"/>
        <w:numPr>
          <w:ilvl w:val="1"/>
          <w:numId w:val="2"/>
        </w:numPr>
        <w:spacing w:before="0" w:beforeLines="0"/>
        <w:ind w:left="0" w:firstLine="480" w:firstLineChars="200"/>
        <w:rPr>
          <w:color w:val="auto"/>
        </w:rPr>
      </w:pPr>
      <w:r>
        <w:rPr>
          <w:rFonts w:hint="eastAsia"/>
          <w:color w:val="auto"/>
        </w:rPr>
        <w:t>本合同的所有电梯安装、调试、测试、检验完毕后</w:t>
      </w:r>
      <w:r>
        <w:rPr>
          <w:rFonts w:hint="eastAsia"/>
          <w:color w:val="auto"/>
          <w:szCs w:val="22"/>
        </w:rPr>
        <w:t>7个日历天内</w:t>
      </w:r>
      <w:r>
        <w:rPr>
          <w:rFonts w:hint="eastAsia"/>
          <w:color w:val="auto"/>
        </w:rPr>
        <w:t>，分包人应向有资质的电梯检测机构申请验收工作，取得检验合格报告书、安全检验合格证后7个日历天内，向工程所在地质量技术监督局申请电梯设备使用登记证，取得电梯设备使用登记证后7个日历天内向发包人及承包人申请竣工验收，经发包人及承包人最终验收合格后将全部电梯及竣工资料(含保养手册)于本</w:t>
      </w:r>
      <w:r>
        <w:rPr>
          <w:rFonts w:hint="eastAsia" w:hAnsi="楷体_GB2312" w:cs="楷体_GB2312"/>
          <w:color w:val="auto"/>
        </w:rPr>
        <w:t>工程</w:t>
      </w:r>
      <w:r>
        <w:rPr>
          <w:rFonts w:hint="eastAsia"/>
          <w:color w:val="auto"/>
        </w:rPr>
        <w:t>交付发包人使用时一并交付给发包人。</w:t>
      </w:r>
    </w:p>
    <w:p>
      <w:pPr>
        <w:pStyle w:val="32"/>
        <w:numPr>
          <w:ilvl w:val="1"/>
          <w:numId w:val="2"/>
        </w:numPr>
        <w:spacing w:before="0" w:beforeLines="0"/>
        <w:ind w:left="0" w:firstLine="480" w:firstLineChars="200"/>
        <w:rPr>
          <w:color w:val="auto"/>
        </w:rPr>
      </w:pPr>
      <w:r>
        <w:rPr>
          <w:rFonts w:hint="eastAsia"/>
          <w:color w:val="auto"/>
        </w:rPr>
        <w:t>电梯</w:t>
      </w:r>
      <w:r>
        <w:rPr>
          <w:rFonts w:hint="eastAsia" w:hAnsi="宋体"/>
          <w:color w:val="auto"/>
          <w:szCs w:val="24"/>
        </w:rPr>
        <w:t>设备</w:t>
      </w:r>
      <w:r>
        <w:rPr>
          <w:rFonts w:hint="eastAsia"/>
          <w:color w:val="auto"/>
        </w:rPr>
        <w:t>的交付以全部电梯设备安装、调试、测试、检验完毕，并取得检验合格报告书、安全检验合格证以及电梯设备使用登记证为标准。</w:t>
      </w:r>
    </w:p>
    <w:p>
      <w:pPr>
        <w:pStyle w:val="32"/>
        <w:numPr>
          <w:ilvl w:val="1"/>
          <w:numId w:val="2"/>
        </w:numPr>
        <w:spacing w:before="0" w:beforeLines="0"/>
        <w:ind w:left="0" w:firstLine="480" w:firstLineChars="200"/>
        <w:rPr>
          <w:color w:val="auto"/>
        </w:rPr>
      </w:pPr>
      <w:r>
        <w:rPr>
          <w:rFonts w:hint="eastAsia"/>
          <w:color w:val="auto"/>
        </w:rPr>
        <w:t>在电梯交付前，分包人应对电梯做好成品保护措施以保证电梯免遭破坏、毁损和刮花。在取得电梯设备使用登记证后，分包人有义务应发包人或承包人要求对电梯进行进一步调试，确保电梯正常运行（包括本项目装修阶段及发包人装修阶段）。在电梯未正式移交发包人之前，分包人对电梯负有完全保护责任。如因分包人保护不力而造成损坏，由分包人无条件负责修复，并承担相应的损失。</w:t>
      </w:r>
    </w:p>
    <w:p>
      <w:pPr>
        <w:pStyle w:val="32"/>
        <w:numPr>
          <w:ilvl w:val="1"/>
          <w:numId w:val="2"/>
        </w:numPr>
        <w:spacing w:before="0" w:beforeLines="0"/>
        <w:ind w:left="0" w:firstLine="480" w:firstLineChars="200"/>
        <w:rPr>
          <w:color w:val="auto"/>
        </w:rPr>
      </w:pPr>
      <w:r>
        <w:rPr>
          <w:rFonts w:hint="eastAsia"/>
          <w:color w:val="auto"/>
        </w:rPr>
        <w:t>分包人应于本工程验收合格后15个日历天内自费拆除、搬离不合格的全部电梯设备、并将场地清理干净，从施工场地搬走或清除其设备、材料、垃圾等，保持现场和工程清洁整齐，撤离现场。</w:t>
      </w:r>
    </w:p>
    <w:p>
      <w:pPr>
        <w:pStyle w:val="31"/>
        <w:numPr>
          <w:ilvl w:val="0"/>
          <w:numId w:val="2"/>
        </w:numPr>
        <w:spacing w:before="0" w:beforeLines="0"/>
        <w:ind w:left="351" w:hanging="351" w:hangingChars="125"/>
        <w:rPr>
          <w:color w:val="auto"/>
        </w:rPr>
      </w:pPr>
      <w:bookmarkStart w:id="14" w:name="_Toc126962035"/>
      <w:r>
        <w:rPr>
          <w:rFonts w:hint="eastAsia"/>
          <w:color w:val="auto"/>
        </w:rPr>
        <w:t>技术文件</w:t>
      </w:r>
      <w:bookmarkEnd w:id="14"/>
    </w:p>
    <w:p>
      <w:pPr>
        <w:pStyle w:val="32"/>
        <w:spacing w:before="0" w:beforeLines="0"/>
        <w:ind w:firstLine="480" w:firstLineChars="200"/>
        <w:rPr>
          <w:color w:val="auto"/>
        </w:rPr>
      </w:pPr>
      <w:r>
        <w:rPr>
          <w:rFonts w:hint="eastAsia"/>
          <w:color w:val="auto"/>
        </w:rPr>
        <w:t>分包人在交付电梯时应向承包人及发包人提供以下中文技术文件，并保证其正确性、合法有效性。</w:t>
      </w:r>
    </w:p>
    <w:p>
      <w:pPr>
        <w:pStyle w:val="32"/>
        <w:spacing w:before="0" w:beforeLines="0"/>
        <w:ind w:left="567"/>
        <w:rPr>
          <w:color w:val="auto"/>
        </w:rPr>
      </w:pPr>
      <w:r>
        <w:rPr>
          <w:rFonts w:hint="eastAsia"/>
          <w:color w:val="auto"/>
        </w:rPr>
        <w:t>（1）电梯的安装、调试、验收规范；</w:t>
      </w:r>
    </w:p>
    <w:p>
      <w:pPr>
        <w:pStyle w:val="32"/>
        <w:spacing w:before="0" w:beforeLines="0"/>
        <w:ind w:left="567"/>
        <w:rPr>
          <w:color w:val="auto"/>
        </w:rPr>
      </w:pPr>
      <w:r>
        <w:rPr>
          <w:rFonts w:hint="eastAsia"/>
          <w:color w:val="auto"/>
        </w:rPr>
        <w:t>（2）电梯的安装、调试说明书；</w:t>
      </w:r>
    </w:p>
    <w:p>
      <w:pPr>
        <w:pStyle w:val="32"/>
        <w:spacing w:before="0" w:beforeLines="0"/>
        <w:ind w:left="567"/>
        <w:rPr>
          <w:color w:val="auto"/>
        </w:rPr>
      </w:pPr>
      <w:r>
        <w:rPr>
          <w:rFonts w:hint="eastAsia"/>
          <w:color w:val="auto"/>
        </w:rPr>
        <w:t>（3）电梯机房、井道和轿厢平面布置及设备基础图、安装图；</w:t>
      </w:r>
    </w:p>
    <w:p>
      <w:pPr>
        <w:pStyle w:val="32"/>
        <w:spacing w:before="0" w:beforeLines="0"/>
        <w:ind w:left="567"/>
        <w:rPr>
          <w:color w:val="auto"/>
        </w:rPr>
      </w:pPr>
      <w:r>
        <w:rPr>
          <w:rFonts w:hint="eastAsia"/>
          <w:color w:val="auto"/>
        </w:rPr>
        <w:t>（4）电梯部件安装图；</w:t>
      </w:r>
    </w:p>
    <w:p>
      <w:pPr>
        <w:pStyle w:val="32"/>
        <w:spacing w:before="0" w:beforeLines="0"/>
        <w:ind w:left="567"/>
        <w:rPr>
          <w:color w:val="auto"/>
        </w:rPr>
      </w:pPr>
      <w:r>
        <w:rPr>
          <w:rFonts w:hint="eastAsia"/>
          <w:color w:val="auto"/>
        </w:rPr>
        <w:t>（5）设备基础图、安装图及技术要求；</w:t>
      </w:r>
    </w:p>
    <w:p>
      <w:pPr>
        <w:pStyle w:val="32"/>
        <w:spacing w:before="0" w:beforeLines="0"/>
        <w:ind w:left="567"/>
        <w:rPr>
          <w:color w:val="auto"/>
        </w:rPr>
      </w:pPr>
      <w:r>
        <w:rPr>
          <w:rFonts w:hint="eastAsia"/>
          <w:color w:val="auto"/>
        </w:rPr>
        <w:t>（6）电梯电气原理图。</w:t>
      </w:r>
    </w:p>
    <w:p>
      <w:pPr>
        <w:pStyle w:val="31"/>
        <w:numPr>
          <w:ilvl w:val="0"/>
          <w:numId w:val="2"/>
        </w:numPr>
        <w:spacing w:before="0" w:beforeLines="0"/>
        <w:ind w:left="351" w:hanging="351" w:hangingChars="125"/>
        <w:rPr>
          <w:rFonts w:hAnsi="宋体"/>
          <w:color w:val="auto"/>
          <w:szCs w:val="24"/>
        </w:rPr>
      </w:pPr>
      <w:bookmarkStart w:id="15" w:name="_Toc126962036"/>
      <w:bookmarkStart w:id="16" w:name="_Toc390178029"/>
      <w:r>
        <w:rPr>
          <w:rFonts w:hint="eastAsia"/>
          <w:color w:val="auto"/>
        </w:rPr>
        <w:t>保修、保养及维护</w:t>
      </w:r>
      <w:bookmarkEnd w:id="15"/>
    </w:p>
    <w:p>
      <w:pPr>
        <w:pStyle w:val="32"/>
        <w:numPr>
          <w:ilvl w:val="1"/>
          <w:numId w:val="2"/>
        </w:numPr>
        <w:spacing w:before="0" w:beforeLines="0"/>
        <w:ind w:left="0" w:firstLine="480" w:firstLineChars="200"/>
        <w:rPr>
          <w:rFonts w:hAnsi="宋体"/>
          <w:color w:val="auto"/>
          <w:szCs w:val="24"/>
        </w:rPr>
      </w:pPr>
      <w:r>
        <w:rPr>
          <w:rFonts w:hint="eastAsia" w:hAnsi="宋体"/>
          <w:color w:val="auto"/>
          <w:szCs w:val="24"/>
        </w:rPr>
        <w:t>本工程质量保修期为24个月，自</w:t>
      </w:r>
      <w:r>
        <w:rPr>
          <w:rFonts w:hint="eastAsia"/>
          <w:color w:val="auto"/>
        </w:rPr>
        <w:t>本工程全部电梯安装、调试、测试、检验完毕，</w:t>
      </w:r>
      <w:r>
        <w:rPr>
          <w:rFonts w:hint="eastAsia" w:hAnsi="宋体"/>
          <w:color w:val="auto"/>
          <w:szCs w:val="24"/>
        </w:rPr>
        <w:t>分包人及电梯设备安装单位向有资质的电梯设备检测检验机构申请检验报告书，</w:t>
      </w:r>
      <w:r>
        <w:rPr>
          <w:rFonts w:hint="eastAsia"/>
          <w:color w:val="auto"/>
        </w:rPr>
        <w:t>取得检验合格报告书、安全检验合格证及电梯设备使用登记证</w:t>
      </w:r>
      <w:r>
        <w:rPr>
          <w:rFonts w:hint="eastAsia" w:hAnsi="宋体"/>
          <w:color w:val="auto"/>
          <w:szCs w:val="24"/>
        </w:rPr>
        <w:t>之日起计算。</w:t>
      </w:r>
    </w:p>
    <w:p>
      <w:pPr>
        <w:pStyle w:val="32"/>
        <w:numPr>
          <w:ilvl w:val="1"/>
          <w:numId w:val="2"/>
        </w:numPr>
        <w:spacing w:before="0" w:beforeLines="0"/>
        <w:ind w:left="0" w:firstLine="480" w:firstLineChars="200"/>
        <w:rPr>
          <w:rFonts w:hAnsi="宋体"/>
          <w:color w:val="auto"/>
          <w:szCs w:val="24"/>
        </w:rPr>
      </w:pPr>
      <w:r>
        <w:rPr>
          <w:rFonts w:hint="eastAsia" w:hAnsi="宋体"/>
          <w:color w:val="auto"/>
          <w:szCs w:val="24"/>
        </w:rPr>
        <w:t>分包人对电梯设备安装工程承担保修、保养及维护责任。</w:t>
      </w:r>
    </w:p>
    <w:p>
      <w:pPr>
        <w:pStyle w:val="32"/>
        <w:numPr>
          <w:ilvl w:val="1"/>
          <w:numId w:val="2"/>
        </w:numPr>
        <w:spacing w:before="0" w:beforeLines="0"/>
        <w:ind w:left="0" w:firstLine="480" w:firstLineChars="200"/>
        <w:rPr>
          <w:color w:val="auto"/>
        </w:rPr>
      </w:pPr>
      <w:r>
        <w:rPr>
          <w:rFonts w:hint="eastAsia"/>
          <w:color w:val="auto"/>
        </w:rPr>
        <w:t>分包人须于电梯移交给发包人使用时呈交三份电梯的保养手册副本予发包人，该手册需详述电梯的保养要求。若分包人未能呈交发包人满意的保养手册予发包人，发包人有权要求承包人暂不支付合同款项。承包人不承担因此延期付款的违约责任。</w:t>
      </w:r>
    </w:p>
    <w:p>
      <w:pPr>
        <w:pStyle w:val="32"/>
        <w:spacing w:before="0" w:beforeLines="0"/>
        <w:ind w:firstLine="480" w:firstLineChars="200"/>
        <w:rPr>
          <w:color w:val="auto"/>
        </w:rPr>
      </w:pPr>
      <w:r>
        <w:rPr>
          <w:rFonts w:hint="eastAsia"/>
          <w:color w:val="auto"/>
        </w:rPr>
        <w:t>此保养手册需详述电梯所有部件及操作及保养要求，以保证其正当保养程序。保养手册亦须包括下列各点：</w:t>
      </w:r>
    </w:p>
    <w:p>
      <w:pPr>
        <w:pStyle w:val="32"/>
        <w:spacing w:before="0" w:beforeLines="0"/>
        <w:ind w:firstLine="480" w:firstLineChars="200"/>
        <w:rPr>
          <w:color w:val="auto"/>
        </w:rPr>
      </w:pPr>
      <w:r>
        <w:rPr>
          <w:rFonts w:hint="eastAsia" w:hAnsi="宋体"/>
          <w:color w:val="auto"/>
        </w:rPr>
        <w:t>（1）</w:t>
      </w:r>
      <w:r>
        <w:rPr>
          <w:rFonts w:hint="eastAsia"/>
          <w:color w:val="auto"/>
        </w:rPr>
        <w:t>该系统及其设计基础的简介说明。</w:t>
      </w:r>
    </w:p>
    <w:p>
      <w:pPr>
        <w:pStyle w:val="32"/>
        <w:spacing w:before="0" w:beforeLines="0"/>
        <w:ind w:firstLine="480" w:firstLineChars="200"/>
        <w:rPr>
          <w:color w:val="auto"/>
        </w:rPr>
      </w:pPr>
      <w:r>
        <w:rPr>
          <w:rFonts w:hint="eastAsia"/>
          <w:color w:val="auto"/>
        </w:rPr>
        <w:t>（2）各部份配件清单说明，详述其大小，功能及/或功率，清单须包括此等备用配件售卖及服务单位的地址。</w:t>
      </w:r>
    </w:p>
    <w:p>
      <w:pPr>
        <w:pStyle w:val="32"/>
        <w:spacing w:before="0" w:beforeLines="0"/>
        <w:ind w:firstLine="480" w:firstLineChars="200"/>
        <w:rPr>
          <w:color w:val="auto"/>
        </w:rPr>
      </w:pPr>
      <w:r>
        <w:rPr>
          <w:rFonts w:hint="eastAsia"/>
          <w:color w:val="auto"/>
        </w:rPr>
        <w:t>（3）系统操作介绍。</w:t>
      </w:r>
    </w:p>
    <w:p>
      <w:pPr>
        <w:pStyle w:val="32"/>
        <w:spacing w:before="0" w:beforeLines="0"/>
        <w:ind w:firstLine="480" w:firstLineChars="200"/>
        <w:rPr>
          <w:color w:val="auto"/>
        </w:rPr>
      </w:pPr>
      <w:r>
        <w:rPr>
          <w:rFonts w:hint="eastAsia"/>
          <w:color w:val="auto"/>
        </w:rPr>
        <w:t>（4）保养清单-包括提议的备用配件清单。</w:t>
      </w:r>
    </w:p>
    <w:p>
      <w:pPr>
        <w:pStyle w:val="32"/>
        <w:spacing w:before="0" w:beforeLines="0"/>
        <w:ind w:firstLine="480" w:firstLineChars="200"/>
        <w:rPr>
          <w:color w:val="auto"/>
        </w:rPr>
      </w:pPr>
      <w:r>
        <w:rPr>
          <w:rFonts w:hint="eastAsia"/>
          <w:color w:val="auto"/>
        </w:rPr>
        <w:t>（5）分包人须在本工程完成后在现场提供技术人员，指导发包人雇员正确及有效地进行操作。</w:t>
      </w:r>
    </w:p>
    <w:p>
      <w:pPr>
        <w:pStyle w:val="32"/>
        <w:spacing w:before="0" w:beforeLines="0"/>
        <w:ind w:firstLine="480" w:firstLineChars="200"/>
        <w:rPr>
          <w:color w:val="auto"/>
        </w:rPr>
      </w:pPr>
      <w:r>
        <w:rPr>
          <w:rFonts w:hint="eastAsia"/>
          <w:color w:val="auto"/>
        </w:rPr>
        <w:t>（6）若采用专用机械或设备，则该专用机械或设备供应单位的技术人员或代表亦应包括在以上现场提供技术人员内。</w:t>
      </w:r>
    </w:p>
    <w:p>
      <w:pPr>
        <w:pStyle w:val="32"/>
        <w:numPr>
          <w:ilvl w:val="1"/>
          <w:numId w:val="2"/>
        </w:numPr>
        <w:spacing w:before="0" w:beforeLines="0"/>
        <w:ind w:left="0" w:firstLine="480" w:firstLineChars="200"/>
        <w:rPr>
          <w:color w:val="auto"/>
        </w:rPr>
      </w:pPr>
      <w:r>
        <w:rPr>
          <w:rFonts w:hint="eastAsia"/>
          <w:color w:val="auto"/>
        </w:rPr>
        <w:t>保修期内，电梯部件故障或损坏需要送修时，分包人须同时提供相同部件供发包人使用，且临时替用部件应与送修部件版本相同，保证电梯的正常安全使用。</w:t>
      </w:r>
    </w:p>
    <w:p>
      <w:pPr>
        <w:pStyle w:val="32"/>
        <w:numPr>
          <w:ilvl w:val="1"/>
          <w:numId w:val="2"/>
        </w:numPr>
        <w:spacing w:before="0" w:beforeLines="0"/>
        <w:ind w:left="0" w:firstLine="480" w:firstLineChars="200"/>
        <w:rPr>
          <w:color w:val="auto"/>
        </w:rPr>
      </w:pPr>
      <w:r>
        <w:rPr>
          <w:rFonts w:hint="eastAsia"/>
          <w:color w:val="auto"/>
        </w:rPr>
        <w:t>质量保修期内分包人应按照国家及地方法律法规的有关规定，签订电梯设备免费维修保养合同，提供专业的维修保养服务和零配件更换服务，保证电梯设备正常安全使用，包括应对本合同电梯设备实行每天24小时的实时监控，定期派工程师到现场维护和巡查，进行必要的调校、维护、保养、进行周期性测试及检查等，使电梯设备处于顺畅、安静、平稳及安全的运行状态。在每次保修及检查后应做好记录，有关记录需同时留一份给发包人存档。若电梯设备免费维修保养合同约定与本合同约定不一致的，以对维修保养要求更高、更严的约定为准。</w:t>
      </w:r>
    </w:p>
    <w:p>
      <w:pPr>
        <w:pStyle w:val="31"/>
        <w:numPr>
          <w:ilvl w:val="0"/>
          <w:numId w:val="2"/>
        </w:numPr>
        <w:spacing w:before="0" w:beforeLines="0"/>
        <w:ind w:left="351" w:hanging="351" w:hangingChars="125"/>
        <w:rPr>
          <w:rFonts w:hAnsi="宋体"/>
          <w:color w:val="auto"/>
          <w:szCs w:val="24"/>
        </w:rPr>
      </w:pPr>
      <w:bookmarkStart w:id="17" w:name="_Toc126962037"/>
      <w:r>
        <w:rPr>
          <w:rFonts w:hint="eastAsia"/>
          <w:color w:val="auto"/>
        </w:rPr>
        <w:t>履约担保</w:t>
      </w:r>
      <w:bookmarkEnd w:id="16"/>
      <w:bookmarkEnd w:id="17"/>
    </w:p>
    <w:p>
      <w:pPr>
        <w:pStyle w:val="32"/>
        <w:numPr>
          <w:ilvl w:val="1"/>
          <w:numId w:val="2"/>
        </w:numPr>
        <w:spacing w:before="0" w:beforeLines="0"/>
        <w:ind w:left="0" w:firstLine="480" w:firstLineChars="200"/>
        <w:rPr>
          <w:color w:val="auto"/>
          <w:szCs w:val="24"/>
        </w:rPr>
      </w:pPr>
      <w:r>
        <w:rPr>
          <w:rFonts w:hint="eastAsia"/>
          <w:color w:val="auto"/>
          <w:szCs w:val="24"/>
        </w:rPr>
        <w:t>分包人应按本合同所附履约保函格式，在本合同签订后30个日历天内向承包人提供本合同总价</w:t>
      </w:r>
      <w:r>
        <w:rPr>
          <w:rFonts w:hint="eastAsia"/>
          <w:color w:val="auto"/>
          <w:szCs w:val="24"/>
          <w:u w:val="single"/>
        </w:rPr>
        <w:t>10</w:t>
      </w:r>
      <w:r>
        <w:rPr>
          <w:rFonts w:hint="eastAsia"/>
          <w:color w:val="auto"/>
          <w:szCs w:val="24"/>
        </w:rPr>
        <w:t>%的无条件、不挑剔、不争辩、不可撤销的见索即付的银行履约保函，其对承包人的保障不得低于合同所附履约保函格式的要求。履约保函的有效期从签发之日起至本合同全部电梯竣工验收符合本合同要求、取得</w:t>
      </w:r>
      <w:r>
        <w:rPr>
          <w:rFonts w:hint="eastAsia"/>
          <w:color w:val="auto"/>
        </w:rPr>
        <w:t>电梯设备使用登记证</w:t>
      </w:r>
      <w:r>
        <w:rPr>
          <w:rFonts w:hint="eastAsia"/>
          <w:color w:val="auto"/>
          <w:szCs w:val="24"/>
        </w:rPr>
        <w:t>且交付发包人使用后第28天止。</w:t>
      </w:r>
    </w:p>
    <w:p>
      <w:pPr>
        <w:pStyle w:val="32"/>
        <w:numPr>
          <w:ilvl w:val="1"/>
          <w:numId w:val="2"/>
        </w:numPr>
        <w:spacing w:before="0" w:beforeLines="0"/>
        <w:ind w:left="0" w:firstLine="480" w:firstLineChars="200"/>
        <w:rPr>
          <w:color w:val="auto"/>
          <w:szCs w:val="24"/>
        </w:rPr>
      </w:pPr>
      <w:r>
        <w:rPr>
          <w:rFonts w:hint="eastAsia"/>
          <w:color w:val="auto"/>
          <w:szCs w:val="24"/>
        </w:rPr>
        <w:t>分包人未严格按本合同规定时间和格式提供履约保函的，经发包人书面同意，承包人可解除本合同。若承包人同意继续履行本合同的,可以从应付给分包人的货款中扣除本合同履约保函要求的金额作为履约担保金，直至分包人按本合同规定格式提供履约保函至履约担保有效期结束时止。若分包人提供的履约保函有效期在15.1条所要求的最长有效期前到期的，分包人应在其提供的履约保函到期日7个日历天前自动续期该履约保函，否则，经发包人书面同意，承包人有权直接向银行索赔履约保函项下的全部金额或（和）从应付的款项中扣除相当于本合同履约保函要求的金额作为履约担保金。</w:t>
      </w:r>
    </w:p>
    <w:p>
      <w:pPr>
        <w:pStyle w:val="32"/>
        <w:numPr>
          <w:ilvl w:val="1"/>
          <w:numId w:val="2"/>
        </w:numPr>
        <w:spacing w:before="0" w:beforeLines="0"/>
        <w:ind w:left="0" w:firstLine="480" w:firstLineChars="200"/>
        <w:rPr>
          <w:color w:val="auto"/>
          <w:szCs w:val="24"/>
        </w:rPr>
      </w:pPr>
      <w:r>
        <w:rPr>
          <w:rFonts w:hint="eastAsia"/>
          <w:color w:val="auto"/>
          <w:szCs w:val="24"/>
        </w:rPr>
        <w:t>发包人或承包人在分包人履约担保项下提出索赔要求时，无须通知分包人有关该项索赔的违约情形及索赔金额。</w:t>
      </w:r>
    </w:p>
    <w:p>
      <w:pPr>
        <w:pStyle w:val="31"/>
        <w:numPr>
          <w:ilvl w:val="0"/>
          <w:numId w:val="2"/>
        </w:numPr>
        <w:spacing w:before="0" w:beforeLines="0"/>
        <w:ind w:left="351" w:hanging="351" w:hangingChars="125"/>
        <w:rPr>
          <w:color w:val="auto"/>
        </w:rPr>
      </w:pPr>
      <w:bookmarkStart w:id="18" w:name="_Toc126962038"/>
      <w:r>
        <w:rPr>
          <w:rFonts w:hint="eastAsia"/>
          <w:color w:val="auto"/>
        </w:rPr>
        <w:t>保险</w:t>
      </w:r>
      <w:bookmarkEnd w:id="18"/>
    </w:p>
    <w:p>
      <w:pPr>
        <w:pStyle w:val="32"/>
        <w:spacing w:before="0" w:beforeLines="0"/>
        <w:ind w:firstLine="480" w:firstLineChars="200"/>
        <w:rPr>
          <w:color w:val="auto"/>
        </w:rPr>
      </w:pPr>
      <w:r>
        <w:rPr>
          <w:rFonts w:hint="eastAsia"/>
          <w:color w:val="auto"/>
        </w:rPr>
        <w:t>分包人须负责为其工程投保安装工程一切险及投保有关属下员工工伤赔偿、现场所有材料、设备的损失或损毁等所需保险费用。其保险费用均由分包人承担，其保险期限为本工程至竣工之日止的整个安装调试施工期。分包人未按照本条规定投保的，所发生的一切责任须由分包人自行承担，同时经发包人书面同意，承包人有权根据本合同项目工程实际情况购买相应的保险，所发生的一切费用由分包人承担，承包人有权直接从应付给分包人的合同价款中扣除。</w:t>
      </w:r>
    </w:p>
    <w:p>
      <w:pPr>
        <w:pStyle w:val="31"/>
        <w:numPr>
          <w:ilvl w:val="0"/>
          <w:numId w:val="2"/>
        </w:numPr>
        <w:spacing w:before="0" w:beforeLines="0"/>
        <w:ind w:left="351" w:hanging="351" w:hangingChars="125"/>
        <w:rPr>
          <w:color w:val="auto"/>
        </w:rPr>
      </w:pPr>
      <w:bookmarkStart w:id="19" w:name="_Toc126962039"/>
      <w:r>
        <w:rPr>
          <w:rFonts w:hint="eastAsia"/>
          <w:color w:val="auto"/>
        </w:rPr>
        <w:t>违约责任</w:t>
      </w:r>
      <w:bookmarkEnd w:id="19"/>
    </w:p>
    <w:p>
      <w:pPr>
        <w:pStyle w:val="32"/>
        <w:numPr>
          <w:ilvl w:val="1"/>
          <w:numId w:val="2"/>
        </w:numPr>
        <w:spacing w:before="0" w:beforeLines="0"/>
        <w:ind w:left="0" w:firstLine="480" w:firstLineChars="200"/>
        <w:rPr>
          <w:color w:val="auto"/>
        </w:rPr>
      </w:pPr>
      <w:r>
        <w:rPr>
          <w:rFonts w:hint="eastAsia"/>
          <w:color w:val="auto"/>
        </w:rPr>
        <w:t>承包人的违约责任</w:t>
      </w:r>
    </w:p>
    <w:p>
      <w:pPr>
        <w:pStyle w:val="32"/>
        <w:spacing w:before="0" w:beforeLines="0"/>
        <w:ind w:firstLine="480" w:firstLineChars="200"/>
        <w:rPr>
          <w:color w:val="auto"/>
        </w:rPr>
      </w:pPr>
      <w:r>
        <w:rPr>
          <w:rFonts w:hint="eastAsia"/>
          <w:color w:val="auto"/>
        </w:rPr>
        <w:t>18.1.1承包人无合理理由，未按本合同规定的时间支付合同价款，超过十个工作日经催告后仍未支付的，每天按应付未付金额的0.1 %向分包人支付违约金，承包人的责任以此为限。分包人的违约责任</w:t>
      </w:r>
    </w:p>
    <w:p>
      <w:pPr>
        <w:pStyle w:val="32"/>
        <w:spacing w:before="0" w:beforeLines="0"/>
        <w:ind w:left="480"/>
        <w:rPr>
          <w:color w:val="auto"/>
        </w:rPr>
      </w:pPr>
      <w:r>
        <w:rPr>
          <w:rFonts w:hint="eastAsia"/>
          <w:color w:val="auto"/>
        </w:rPr>
        <w:t>18.2.分包人的违约责任</w:t>
      </w:r>
    </w:p>
    <w:p>
      <w:pPr>
        <w:pStyle w:val="32"/>
        <w:spacing w:before="0" w:beforeLines="0"/>
        <w:ind w:firstLine="480" w:firstLineChars="200"/>
        <w:rPr>
          <w:color w:val="auto"/>
        </w:rPr>
      </w:pPr>
      <w:r>
        <w:rPr>
          <w:rFonts w:hint="eastAsia"/>
          <w:color w:val="auto"/>
        </w:rPr>
        <w:t xml:space="preserve">18.2.1如分包人工程质量不符合本合同11条的约定，经发包人书面同意，承包人有权拒绝验收，且分包人应按照每次人民币 </w:t>
      </w:r>
      <w:r>
        <w:rPr>
          <w:rFonts w:hint="eastAsia"/>
          <w:color w:val="auto"/>
          <w:u w:val="single"/>
        </w:rPr>
        <w:t>4万</w:t>
      </w:r>
      <w:r>
        <w:rPr>
          <w:rFonts w:hint="eastAsia"/>
          <w:color w:val="auto"/>
        </w:rPr>
        <w:t>元的标准向承包人支付违约金。同时分包人必须在承包人要求的时间内整改完毕，并按照第18.2.2条承担逾期交付的违约责任。若分包人在承包人规定时间内无法完成整改或整改后验收仍不合格的，经发包人书面同意，承包人有权解除本合同。</w:t>
      </w:r>
    </w:p>
    <w:p>
      <w:pPr>
        <w:pStyle w:val="32"/>
        <w:spacing w:before="0" w:beforeLines="0"/>
        <w:ind w:firstLine="480" w:firstLineChars="200"/>
        <w:rPr>
          <w:color w:val="auto"/>
        </w:rPr>
      </w:pPr>
      <w:r>
        <w:rPr>
          <w:rFonts w:hint="eastAsia"/>
          <w:color w:val="auto"/>
        </w:rPr>
        <w:t>18.2.2 分包人逾期交付</w:t>
      </w:r>
    </w:p>
    <w:p>
      <w:pPr>
        <w:pStyle w:val="32"/>
        <w:spacing w:before="0" w:beforeLines="0"/>
        <w:ind w:firstLine="480" w:firstLineChars="200"/>
        <w:rPr>
          <w:color w:val="auto"/>
        </w:rPr>
      </w:pPr>
      <w:r>
        <w:rPr>
          <w:rFonts w:hint="eastAsia"/>
          <w:color w:val="auto"/>
        </w:rPr>
        <w:t>除不可抗力外，分包人逾期完成电梯安装、验收合格、取得电梯设备使用登记证并交付发包人使用的，每延迟一天，分包人应向承包人支付电梯安装工程合同总价的</w:t>
      </w:r>
      <w:r>
        <w:rPr>
          <w:rFonts w:hint="eastAsia"/>
          <w:color w:val="auto"/>
          <w:u w:val="single"/>
        </w:rPr>
        <w:t xml:space="preserve">0.1 </w:t>
      </w:r>
      <w:r>
        <w:rPr>
          <w:rFonts w:hint="eastAsia"/>
          <w:color w:val="auto"/>
        </w:rPr>
        <w:t>%违约金。如逾期交付超过</w:t>
      </w:r>
      <w:r>
        <w:rPr>
          <w:rFonts w:hint="eastAsia"/>
          <w:color w:val="auto"/>
          <w:u w:val="single"/>
        </w:rPr>
        <w:t>30</w:t>
      </w:r>
      <w:r>
        <w:rPr>
          <w:rFonts w:hint="eastAsia"/>
          <w:color w:val="auto"/>
        </w:rPr>
        <w:t>天的，经发包人书面同意，承包人有权要求解除本合同。</w:t>
      </w:r>
    </w:p>
    <w:p>
      <w:pPr>
        <w:pStyle w:val="32"/>
        <w:spacing w:before="0" w:beforeLines="0"/>
        <w:ind w:firstLine="480" w:firstLineChars="200"/>
        <w:rPr>
          <w:color w:val="auto"/>
        </w:rPr>
      </w:pPr>
      <w:r>
        <w:rPr>
          <w:rFonts w:hint="eastAsia"/>
          <w:color w:val="auto"/>
        </w:rPr>
        <w:t>18.2.3如本电梯设备未通过验收，或本电梯设备质量保修期运行中出现质量问题，但无法区分责任承担方为分包人或电梯设备供货单位的，经发包人书面同意，承包人有权要求分包人与</w:t>
      </w:r>
      <w:r>
        <w:rPr>
          <w:rFonts w:hint="eastAsia" w:hAnsi="宋体"/>
          <w:color w:val="auto"/>
          <w:szCs w:val="24"/>
        </w:rPr>
        <w:t>电梯供货单位</w:t>
      </w:r>
      <w:r>
        <w:rPr>
          <w:rFonts w:hint="eastAsia"/>
          <w:color w:val="auto"/>
        </w:rPr>
        <w:t>共同承担连带责任。</w:t>
      </w:r>
    </w:p>
    <w:p>
      <w:pPr>
        <w:pStyle w:val="32"/>
        <w:spacing w:before="0" w:beforeLines="0"/>
        <w:ind w:firstLine="480" w:firstLineChars="200"/>
        <w:rPr>
          <w:color w:val="auto"/>
        </w:rPr>
      </w:pPr>
      <w:r>
        <w:rPr>
          <w:rFonts w:hint="eastAsia"/>
          <w:color w:val="auto"/>
        </w:rPr>
        <w:t>18.2.4 如未经发包人及承包人书面同意，分包人更换项目经理/技术负责人，应按每人每次人民币</w:t>
      </w:r>
      <w:r>
        <w:rPr>
          <w:rFonts w:hint="eastAsia"/>
          <w:color w:val="auto"/>
          <w:u w:val="single"/>
        </w:rPr>
        <w:t>10万</w:t>
      </w:r>
      <w:r>
        <w:rPr>
          <w:rFonts w:hint="eastAsia"/>
          <w:color w:val="auto"/>
        </w:rPr>
        <w:t>元的标准向承包人支付违约金。</w:t>
      </w:r>
    </w:p>
    <w:p>
      <w:pPr>
        <w:pStyle w:val="32"/>
        <w:spacing w:before="0" w:beforeLines="0"/>
        <w:ind w:firstLine="480" w:firstLineChars="200"/>
        <w:rPr>
          <w:color w:val="auto"/>
        </w:rPr>
      </w:pPr>
      <w:r>
        <w:rPr>
          <w:rFonts w:hint="eastAsia"/>
          <w:color w:val="auto"/>
        </w:rPr>
        <w:t>18.2.5 未经发包人及承包人书面同意，分包人将本合同项下权利义务全部或部分转让给任何第三人的，承包人有权解除本合同。</w:t>
      </w:r>
    </w:p>
    <w:p>
      <w:pPr>
        <w:pStyle w:val="32"/>
        <w:spacing w:before="0" w:beforeLines="0"/>
        <w:ind w:firstLine="480" w:firstLineChars="200"/>
        <w:rPr>
          <w:color w:val="auto"/>
        </w:rPr>
      </w:pPr>
      <w:r>
        <w:rPr>
          <w:rFonts w:hint="eastAsia"/>
          <w:color w:val="auto"/>
        </w:rPr>
        <w:t>18.2.6 如分包人未履行或不完全履行本合同约定的义务，亦视同分包人违约。经承包人书面催告、分包人在承包人规定期限内仍未改正的，除本合同对违约责任有明确约定外，承包人有权向分包人收取违约金人民币</w:t>
      </w:r>
      <w:r>
        <w:rPr>
          <w:rFonts w:hint="eastAsia"/>
          <w:color w:val="auto"/>
          <w:u w:val="single"/>
        </w:rPr>
        <w:t>10万</w:t>
      </w:r>
      <w:r>
        <w:rPr>
          <w:rFonts w:hint="eastAsia"/>
          <w:color w:val="auto"/>
        </w:rPr>
        <w:t>元，情节严重的，承包人有权解除本合同。</w:t>
      </w:r>
    </w:p>
    <w:p>
      <w:pPr>
        <w:pStyle w:val="32"/>
        <w:spacing w:before="0" w:beforeLines="0"/>
        <w:ind w:firstLine="480" w:firstLineChars="200"/>
        <w:rPr>
          <w:rFonts w:hAnsi="宋体"/>
          <w:color w:val="auto"/>
          <w:szCs w:val="24"/>
        </w:rPr>
      </w:pPr>
      <w:r>
        <w:rPr>
          <w:rFonts w:hint="eastAsia"/>
          <w:color w:val="auto"/>
        </w:rPr>
        <w:t>18.2.7 分包人</w:t>
      </w:r>
      <w:r>
        <w:rPr>
          <w:rFonts w:hint="eastAsia"/>
          <w:color w:val="auto"/>
          <w:szCs w:val="24"/>
        </w:rPr>
        <w:t>未能在本工程验收合格后或合同解除后15天内撤离现场，每逾期一天，应按照本合同总价款的千分之一向承包人承担违约责任。</w:t>
      </w:r>
      <w:r>
        <w:rPr>
          <w:rFonts w:hint="eastAsia" w:hAnsi="宋体"/>
          <w:color w:val="auto"/>
          <w:szCs w:val="24"/>
        </w:rPr>
        <w:t>分包人撤离现场后仍有遗留物品，视为分包人放弃，承包人或发包人留用的，无偿归承包人或发包人所有；承包人或发包人不留用的，承包人或发包人可任意处置，处置收入扣除处置费用如有剩余归承包人或发包人所有；承包人或发包人可委托他人清理，并从应付分包人的款项中扣除清理费用。处置收入或应付工程款不足以扣除处置费用的，由分包人另行支付，并由分包人承担由此而产生的一切损失和后果。</w:t>
      </w:r>
    </w:p>
    <w:p>
      <w:pPr>
        <w:pStyle w:val="32"/>
        <w:spacing w:before="0" w:beforeLines="0"/>
        <w:ind w:firstLine="480" w:firstLineChars="200"/>
        <w:rPr>
          <w:color w:val="auto"/>
        </w:rPr>
      </w:pPr>
      <w:r>
        <w:rPr>
          <w:rFonts w:hint="eastAsia"/>
          <w:color w:val="auto"/>
        </w:rPr>
        <w:t>18.2.8分包人违约导致合同解除</w:t>
      </w:r>
    </w:p>
    <w:p>
      <w:pPr>
        <w:pStyle w:val="32"/>
        <w:spacing w:before="0" w:beforeLines="0"/>
        <w:ind w:firstLine="480" w:firstLineChars="200"/>
        <w:rPr>
          <w:color w:val="auto"/>
          <w:szCs w:val="24"/>
        </w:rPr>
      </w:pPr>
      <w:r>
        <w:rPr>
          <w:rFonts w:hint="eastAsia"/>
          <w:color w:val="auto"/>
        </w:rPr>
        <w:t>分包人未依合同约定单方面终止或解除合同及承包人因分包人违约解除本合同的，</w:t>
      </w:r>
      <w:r>
        <w:rPr>
          <w:rFonts w:hint="eastAsia"/>
          <w:color w:val="auto"/>
          <w:szCs w:val="24"/>
        </w:rPr>
        <w:t>若承包人需要分包人已完成的部分工作成果的，分包人应在收到承包人解除本合同的书面通知后10个日历天内与承包人按该部分工作成果进行结算，分包人应在结算后的10个日历天内将承包人多付的款项通过承包人退回发包人；若承包人不需要分包人已完成的任何工作成果的，则分包人应在承包人通知之日起10个日历天内通过承包人退还发包人全部的已付款项及利息，若分包人逾期向承包人退回上述款项的，每逾期一天，须向承包人支付相当于该部分款项的千分之一的违约金。同时，承包人还有权要求分包人按照合同总价的</w:t>
      </w:r>
      <w:r>
        <w:rPr>
          <w:rFonts w:hint="eastAsia"/>
          <w:color w:val="auto"/>
          <w:szCs w:val="24"/>
          <w:u w:val="single"/>
        </w:rPr>
        <w:t>20</w:t>
      </w:r>
      <w:r>
        <w:rPr>
          <w:rFonts w:hint="eastAsia"/>
          <w:color w:val="auto"/>
          <w:szCs w:val="24"/>
        </w:rPr>
        <w:t>%支付违约金或主张履约保函项下的权利，分包人还应承担承包人因退货和解除本合同而遭受的一切经济损失和费用，包括但不限于检验费、仓租、承包人另行购置电梯设备的合同差价、工期延误的损失等。</w:t>
      </w:r>
    </w:p>
    <w:p>
      <w:pPr>
        <w:pStyle w:val="32"/>
        <w:spacing w:before="0" w:beforeLines="0"/>
        <w:ind w:firstLine="480" w:firstLineChars="200"/>
        <w:rPr>
          <w:color w:val="auto"/>
          <w:szCs w:val="24"/>
        </w:rPr>
      </w:pPr>
      <w:r>
        <w:rPr>
          <w:rFonts w:hint="eastAsia"/>
          <w:color w:val="auto"/>
          <w:szCs w:val="24"/>
        </w:rPr>
        <w:t>18.2.9本合同中对违约金约定不一致的，承包人可按违约金中的较高者执行。本合同所述违约金不足以弥补承包人损失的，承包人有权要求分包人赔偿。分包人基于本合同的规定应向承包人支付的违约金及经济损失赔偿，承包人有权直接从须支付给分包人的任何一期款项中直接抵扣，若不足以抵扣的，分包人应在承包人通知之日起10个日历天内向承包人付清。</w:t>
      </w:r>
    </w:p>
    <w:p>
      <w:pPr>
        <w:pStyle w:val="32"/>
        <w:spacing w:before="0" w:beforeLines="0"/>
        <w:ind w:firstLine="480" w:firstLineChars="200"/>
        <w:rPr>
          <w:rFonts w:hAnsi="宋体"/>
          <w:color w:val="auto"/>
          <w:szCs w:val="24"/>
        </w:rPr>
      </w:pPr>
      <w:r>
        <w:rPr>
          <w:rFonts w:hint="eastAsia"/>
          <w:color w:val="auto"/>
          <w:szCs w:val="24"/>
        </w:rPr>
        <w:t>18.2.10分包人承担本合同的各种违约损害赔偿责任总和最高不超过本合同总金额的100%。</w:t>
      </w:r>
    </w:p>
    <w:p>
      <w:pPr>
        <w:pStyle w:val="32"/>
        <w:numPr>
          <w:ilvl w:val="1"/>
          <w:numId w:val="2"/>
        </w:numPr>
        <w:spacing w:before="0" w:beforeLines="0"/>
        <w:ind w:left="0" w:firstLine="480" w:firstLineChars="200"/>
        <w:rPr>
          <w:rFonts w:hAnsi="宋体"/>
          <w:color w:val="auto"/>
          <w:szCs w:val="24"/>
        </w:rPr>
      </w:pPr>
      <w:r>
        <w:rPr>
          <w:rFonts w:hint="eastAsia" w:hAnsi="宋体"/>
          <w:color w:val="auto"/>
          <w:szCs w:val="24"/>
        </w:rPr>
        <w:t>11根据本合同的约定，分包人违约须向承包人支付违约金或赔偿金时，承包人有权从应支付给分包人的工程款中直接抵扣；抵扣款项计入工程累计进度款，结算时不予退还（除合同另有约定除外），分包人不得有异议；发包人根据抵扣后的工程款金额向承包人支付本分包合同进度款。</w:t>
      </w:r>
    </w:p>
    <w:p>
      <w:pPr>
        <w:pStyle w:val="32"/>
        <w:numPr>
          <w:ilvl w:val="255"/>
          <w:numId w:val="0"/>
        </w:numPr>
        <w:spacing w:before="0" w:beforeLines="0"/>
        <w:ind w:firstLine="480" w:firstLineChars="200"/>
        <w:rPr>
          <w:color w:val="auto"/>
        </w:rPr>
      </w:pPr>
      <w:r>
        <w:rPr>
          <w:rFonts w:hint="eastAsia"/>
          <w:color w:val="auto"/>
        </w:rPr>
        <w:t>18.3.关于违约的补充约定：</w:t>
      </w:r>
    </w:p>
    <w:p>
      <w:pPr>
        <w:pStyle w:val="32"/>
        <w:numPr>
          <w:ilvl w:val="255"/>
          <w:numId w:val="0"/>
        </w:numPr>
        <w:spacing w:before="0" w:beforeLines="0"/>
        <w:ind w:firstLine="480" w:firstLineChars="200"/>
        <w:rPr>
          <w:color w:val="auto"/>
        </w:rPr>
      </w:pPr>
      <w:r>
        <w:rPr>
          <w:rFonts w:hint="eastAsia"/>
          <w:color w:val="auto"/>
        </w:rPr>
        <w:t>发包人上级单位“广东粤海控股集团有限公司”（以下简称“粤海控股集团”）将定期对分包人进行信用评价，相关评价结果将在粤海控股集团网站等渠道实时予以公布。分包人的不良行为导致其信用评价分在60分以下的，将拒绝分包人参与粤海控股集团及其附属公司工程项目的投标。出现相关情形后，发包人将书面通知承包人及分包人。</w:t>
      </w:r>
    </w:p>
    <w:p>
      <w:pPr>
        <w:pStyle w:val="32"/>
        <w:numPr>
          <w:ilvl w:val="255"/>
          <w:numId w:val="0"/>
        </w:numPr>
        <w:spacing w:before="0" w:beforeLines="0"/>
        <w:ind w:firstLine="480" w:firstLineChars="200"/>
        <w:rPr>
          <w:color w:val="auto"/>
        </w:rPr>
      </w:pPr>
      <w:r>
        <w:rPr>
          <w:rFonts w:hint="eastAsia"/>
          <w:color w:val="auto"/>
        </w:rPr>
        <w:t>18.4.关于安全生产的补充约定：</w:t>
      </w:r>
    </w:p>
    <w:p>
      <w:pPr>
        <w:pStyle w:val="32"/>
        <w:numPr>
          <w:ilvl w:val="255"/>
          <w:numId w:val="0"/>
        </w:numPr>
        <w:spacing w:before="0" w:beforeLines="0"/>
        <w:ind w:firstLine="480" w:firstLineChars="200"/>
        <w:rPr>
          <w:color w:val="auto"/>
        </w:rPr>
      </w:pPr>
      <w:r>
        <w:rPr>
          <w:rFonts w:hint="eastAsia"/>
          <w:color w:val="auto"/>
        </w:rPr>
        <w:t>1）发包人或发包人的上级单位对本项目，每月开展不少于一次的项目现场检查，对检查发现的工程分包人安全生产不良行为进行扣分。</w:t>
      </w:r>
    </w:p>
    <w:p>
      <w:pPr>
        <w:pStyle w:val="32"/>
        <w:numPr>
          <w:ilvl w:val="255"/>
          <w:numId w:val="0"/>
        </w:numPr>
        <w:spacing w:before="0" w:beforeLines="0"/>
        <w:ind w:firstLine="480" w:firstLineChars="200"/>
        <w:rPr>
          <w:color w:val="auto"/>
        </w:rPr>
      </w:pPr>
      <w:r>
        <w:rPr>
          <w:rFonts w:hint="eastAsia"/>
          <w:color w:val="auto"/>
        </w:rPr>
        <w:t>2）工程分包人不良行为扣分以项目为单位按年度进行累计，计分周期为每年1月1日至12月31日，每年12月31日24:00当年度累计扣分自动归零。</w:t>
      </w:r>
    </w:p>
    <w:p>
      <w:pPr>
        <w:pStyle w:val="32"/>
        <w:numPr>
          <w:ilvl w:val="255"/>
          <w:numId w:val="0"/>
        </w:numPr>
        <w:spacing w:before="0" w:beforeLines="0"/>
        <w:ind w:firstLine="480" w:firstLineChars="200"/>
        <w:rPr>
          <w:color w:val="auto"/>
        </w:rPr>
      </w:pPr>
      <w:r>
        <w:rPr>
          <w:rFonts w:hint="eastAsia"/>
          <w:color w:val="auto"/>
        </w:rPr>
        <w:t>3）分包人不良行为扣分情况通过广东粤海控股集团有限公司（发包人上级单位）统一管理。</w:t>
      </w:r>
    </w:p>
    <w:p>
      <w:pPr>
        <w:pStyle w:val="32"/>
        <w:numPr>
          <w:ilvl w:val="255"/>
          <w:numId w:val="0"/>
        </w:numPr>
        <w:spacing w:before="0" w:beforeLines="0"/>
        <w:ind w:firstLine="480" w:firstLineChars="200"/>
        <w:rPr>
          <w:color w:val="auto"/>
        </w:rPr>
      </w:pPr>
      <w:r>
        <w:rPr>
          <w:rFonts w:hint="eastAsia"/>
          <w:color w:val="auto"/>
        </w:rPr>
        <w:t>4）若分包人承接的单个项目累计扣分N≥6分、N≥9分、N≥12分时，该承包商分别显示黄灯、橙灯、红灯状态，其中N≥9分将根据扣分程度和不良行为情况对承包商后续投标粤海集团及其下属企业项目予以相应扣分处理。</w:t>
      </w:r>
    </w:p>
    <w:p>
      <w:pPr>
        <w:pStyle w:val="32"/>
        <w:numPr>
          <w:ilvl w:val="255"/>
          <w:numId w:val="0"/>
        </w:numPr>
        <w:spacing w:before="0" w:beforeLines="0"/>
        <w:ind w:firstLine="480" w:firstLineChars="200"/>
        <w:rPr>
          <w:color w:val="auto"/>
        </w:rPr>
      </w:pPr>
      <w:r>
        <w:rPr>
          <w:rFonts w:hint="eastAsia"/>
          <w:color w:val="auto"/>
        </w:rPr>
        <w:t>5）具体的扣分条款详附件十一。</w:t>
      </w:r>
    </w:p>
    <w:p>
      <w:pPr>
        <w:pStyle w:val="32"/>
        <w:numPr>
          <w:ilvl w:val="255"/>
          <w:numId w:val="0"/>
        </w:numPr>
        <w:spacing w:before="0" w:beforeLines="0"/>
        <w:ind w:firstLine="480" w:firstLineChars="200"/>
        <w:rPr>
          <w:rFonts w:hAnsi="宋体"/>
          <w:color w:val="auto"/>
          <w:szCs w:val="24"/>
        </w:rPr>
      </w:pPr>
      <w:r>
        <w:rPr>
          <w:rFonts w:hint="eastAsia" w:hAnsi="宋体"/>
          <w:color w:val="auto"/>
          <w:szCs w:val="24"/>
        </w:rPr>
        <w:t>18.5关于安全事故的补充约定：</w:t>
      </w:r>
    </w:p>
    <w:p>
      <w:pPr>
        <w:pStyle w:val="32"/>
        <w:numPr>
          <w:ilvl w:val="255"/>
          <w:numId w:val="0"/>
        </w:numPr>
        <w:spacing w:before="0" w:beforeLines="0"/>
        <w:ind w:firstLine="480" w:firstLineChars="200"/>
        <w:rPr>
          <w:rFonts w:hAnsi="宋体"/>
          <w:color w:val="auto"/>
          <w:szCs w:val="24"/>
        </w:rPr>
      </w:pPr>
      <w:r>
        <w:rPr>
          <w:rFonts w:hint="eastAsia" w:hAnsi="宋体"/>
          <w:color w:val="auto"/>
          <w:szCs w:val="24"/>
        </w:rPr>
        <w:t>分包人因自身原因造成安全事故（含工程质量事故）的，分包人应支付如下违约金：（1）造成人员重伤的，按50万元/人向承包人支付违约金；（2）造成人员死亡的，按100万元/人向承包人支付违约金；（3）按发生安全事故的严重程度向承包人支付违约金：发生一般事故，应向承包人支付违约金人民币150万元/次；发生较大事故，应向承包人支付违约金人民币500万元/次；发生重大事故，应向承包人支付违约金人民币1000万元/次；发生特别重大事故，应向承包人支付违约金人民币2000万元/次（事故严重程度的认定标准按国家相关规定为准）。</w:t>
      </w:r>
    </w:p>
    <w:p>
      <w:pPr>
        <w:pStyle w:val="31"/>
        <w:numPr>
          <w:ilvl w:val="0"/>
          <w:numId w:val="2"/>
        </w:numPr>
        <w:spacing w:before="0" w:beforeLines="0"/>
        <w:ind w:left="351" w:hanging="351" w:hangingChars="125"/>
        <w:rPr>
          <w:color w:val="auto"/>
        </w:rPr>
      </w:pPr>
      <w:bookmarkStart w:id="20" w:name="_Toc500630657"/>
      <w:bookmarkEnd w:id="20"/>
      <w:bookmarkStart w:id="21" w:name="_Toc126962040"/>
      <w:r>
        <w:rPr>
          <w:rFonts w:hint="eastAsia"/>
          <w:color w:val="auto"/>
        </w:rPr>
        <w:t>不可抗力</w:t>
      </w:r>
      <w:bookmarkEnd w:id="21"/>
    </w:p>
    <w:p>
      <w:pPr>
        <w:pStyle w:val="32"/>
        <w:spacing w:before="0" w:beforeLines="0"/>
        <w:ind w:firstLine="480" w:firstLineChars="200"/>
        <w:rPr>
          <w:b/>
          <w:color w:val="auto"/>
        </w:rPr>
      </w:pPr>
      <w:r>
        <w:rPr>
          <w:rFonts w:hint="eastAsia"/>
          <w:color w:val="auto"/>
        </w:rPr>
        <w:t>由于不可抗力事件致分包人不能按照合同约定的时间完成电梯安装和验收时，分包人应立即将该不可抗力事件通知承包人及发包人，并于该不可抗力事件发生后14个日历天内将事件发生地公证机关出具的证明书，以书面递交承包人及发包人为证，并取得承包人及发包人认可，在此情形下，分包人不须承担违约责任，分包人仍负有采取一切必要措施以从速交付、减少损失的责任。但分包人对不可抗力发生前的违约行为仍须承担违约责任。如果不可抗力事件持续超过三个月，经发包人书面同意，承包人有权解除本合同，双方互不承担违约责任。</w:t>
      </w:r>
    </w:p>
    <w:p>
      <w:pPr>
        <w:pStyle w:val="31"/>
        <w:numPr>
          <w:ilvl w:val="0"/>
          <w:numId w:val="2"/>
        </w:numPr>
        <w:spacing w:before="0" w:beforeLines="0"/>
        <w:ind w:left="0" w:firstLine="0"/>
        <w:rPr>
          <w:rFonts w:hAnsi="宋体" w:cs="Arial"/>
          <w:color w:val="auto"/>
          <w:sz w:val="24"/>
          <w:szCs w:val="24"/>
        </w:rPr>
      </w:pPr>
      <w:bookmarkStart w:id="22" w:name="_Toc126962041"/>
      <w:r>
        <w:rPr>
          <w:rFonts w:hint="eastAsia"/>
          <w:color w:val="auto"/>
        </w:rPr>
        <w:t>通知及送达</w:t>
      </w:r>
      <w:bookmarkEnd w:id="22"/>
    </w:p>
    <w:p>
      <w:pPr>
        <w:pStyle w:val="32"/>
        <w:spacing w:before="0" w:beforeLines="0"/>
        <w:ind w:firstLine="480" w:firstLineChars="200"/>
        <w:rPr>
          <w:rFonts w:hAnsi="宋体" w:cs="Arial"/>
          <w:color w:val="auto"/>
          <w:szCs w:val="24"/>
        </w:rPr>
      </w:pPr>
      <w:bookmarkStart w:id="23" w:name="_Toc121649331"/>
      <w:bookmarkStart w:id="24" w:name="_Toc88829268"/>
      <w:bookmarkStart w:id="25" w:name="_Toc93611743"/>
      <w:r>
        <w:rPr>
          <w:rFonts w:hint="eastAsia" w:hAnsi="宋体" w:cs="Arial"/>
          <w:color w:val="auto"/>
          <w:szCs w:val="24"/>
        </w:rPr>
        <w:t>任何一方就本合同发给另一方的任何通知必须以中文书面形式进行。可经专人递交，或以特快专递服务发到另一方。通知被视为送达的日期应按如下方法决定：</w:t>
      </w:r>
      <w:bookmarkEnd w:id="23"/>
      <w:bookmarkEnd w:id="24"/>
      <w:bookmarkEnd w:id="25"/>
    </w:p>
    <w:p>
      <w:pPr>
        <w:pStyle w:val="32"/>
        <w:spacing w:before="0" w:beforeLines="0"/>
        <w:ind w:firstLine="480" w:firstLineChars="200"/>
        <w:rPr>
          <w:rFonts w:hAnsi="宋体" w:cs="Arial"/>
          <w:color w:val="auto"/>
          <w:szCs w:val="24"/>
        </w:rPr>
      </w:pPr>
      <w:r>
        <w:rPr>
          <w:rFonts w:hint="eastAsia" w:hAnsi="宋体" w:cs="Arial"/>
          <w:color w:val="auto"/>
          <w:szCs w:val="24"/>
        </w:rPr>
        <w:t>（1）专人递交的通知在送达签收之日视为有效送达；</w:t>
      </w:r>
    </w:p>
    <w:p>
      <w:pPr>
        <w:pStyle w:val="32"/>
        <w:spacing w:before="0" w:beforeLines="0"/>
        <w:ind w:firstLine="480" w:firstLineChars="200"/>
        <w:rPr>
          <w:rFonts w:hAnsi="宋体" w:cs="Arial"/>
          <w:color w:val="auto"/>
          <w:szCs w:val="24"/>
        </w:rPr>
      </w:pPr>
      <w:r>
        <w:rPr>
          <w:rFonts w:hint="eastAsia" w:hAnsi="宋体" w:cs="Arial"/>
          <w:color w:val="auto"/>
          <w:szCs w:val="24"/>
        </w:rPr>
        <w:t>（2）以特快专递的方式发送的通知应于交予快递服务发送后第3日视为有效送达（签收较早的，以签收日为准）。</w:t>
      </w:r>
    </w:p>
    <w:p>
      <w:pPr>
        <w:pStyle w:val="32"/>
        <w:spacing w:before="0" w:beforeLines="0"/>
        <w:ind w:firstLine="480" w:firstLineChars="200"/>
        <w:rPr>
          <w:rFonts w:hAnsi="宋体" w:cs="Arial"/>
          <w:color w:val="auto"/>
          <w:szCs w:val="24"/>
        </w:rPr>
      </w:pPr>
      <w:r>
        <w:rPr>
          <w:rFonts w:hint="eastAsia" w:hAnsi="宋体" w:cs="Arial"/>
          <w:color w:val="auto"/>
          <w:szCs w:val="24"/>
        </w:rPr>
        <w:t>为通知的目的，双方的通讯地址如下，如有变更，变更的一方应自变更之日起3日内书面通知另一方，未履行通知义务的，另一方按原地址邮寄相关材料即视为已履行送达义务：</w:t>
      </w:r>
    </w:p>
    <w:p>
      <w:pPr>
        <w:pStyle w:val="32"/>
        <w:spacing w:before="0" w:beforeLines="0"/>
        <w:ind w:firstLine="480" w:firstLineChars="200"/>
        <w:rPr>
          <w:rFonts w:hAnsi="宋体" w:cs="Arial"/>
          <w:color w:val="auto"/>
          <w:szCs w:val="24"/>
        </w:rPr>
      </w:pPr>
      <w:r>
        <w:rPr>
          <w:rFonts w:hint="eastAsia" w:hAnsi="宋体" w:cs="Arial"/>
          <w:color w:val="auto"/>
          <w:szCs w:val="24"/>
        </w:rPr>
        <w:t>承包人：中国建筑第五工程局有限公司</w:t>
      </w:r>
    </w:p>
    <w:p>
      <w:pPr>
        <w:pStyle w:val="32"/>
        <w:spacing w:before="0" w:beforeLines="0"/>
        <w:ind w:firstLine="480" w:firstLineChars="200"/>
        <w:rPr>
          <w:rFonts w:hAnsi="宋体" w:cs="Arial"/>
          <w:color w:val="auto"/>
          <w:szCs w:val="24"/>
        </w:rPr>
      </w:pPr>
      <w:r>
        <w:rPr>
          <w:rFonts w:hint="eastAsia" w:hAnsi="宋体" w:cs="Arial"/>
          <w:color w:val="auto"/>
          <w:szCs w:val="24"/>
        </w:rPr>
        <w:t>地址：</w:t>
      </w:r>
    </w:p>
    <w:p>
      <w:pPr>
        <w:pStyle w:val="32"/>
        <w:spacing w:before="0" w:beforeLines="0"/>
        <w:ind w:firstLine="480" w:firstLineChars="200"/>
        <w:rPr>
          <w:rFonts w:hAnsi="宋体" w:cs="Arial"/>
          <w:color w:val="auto"/>
          <w:szCs w:val="24"/>
        </w:rPr>
      </w:pPr>
      <w:r>
        <w:rPr>
          <w:rFonts w:hint="eastAsia" w:hAnsi="宋体" w:cs="Arial"/>
          <w:color w:val="auto"/>
          <w:szCs w:val="24"/>
        </w:rPr>
        <w:t xml:space="preserve">电话： </w:t>
      </w:r>
    </w:p>
    <w:p>
      <w:pPr>
        <w:pStyle w:val="32"/>
        <w:spacing w:before="0" w:beforeLines="0"/>
        <w:ind w:firstLine="480" w:firstLineChars="200"/>
        <w:rPr>
          <w:rFonts w:hAnsi="宋体" w:cs="Arial"/>
          <w:color w:val="auto"/>
          <w:szCs w:val="24"/>
        </w:rPr>
      </w:pPr>
      <w:r>
        <w:rPr>
          <w:rFonts w:hint="eastAsia"/>
          <w:color w:val="auto"/>
        </w:rPr>
        <w:t>分包人</w:t>
      </w:r>
      <w:r>
        <w:rPr>
          <w:rFonts w:hint="eastAsia" w:hAnsi="宋体" w:cs="Arial"/>
          <w:color w:val="auto"/>
          <w:szCs w:val="24"/>
        </w:rPr>
        <w:t>：</w:t>
      </w:r>
      <w:r>
        <w:rPr>
          <w:rFonts w:hAnsi="宋体" w:cs="Arial"/>
          <w:color w:val="auto"/>
          <w:szCs w:val="24"/>
        </w:rPr>
        <w:t xml:space="preserve"> </w:t>
      </w:r>
    </w:p>
    <w:p>
      <w:pPr>
        <w:pStyle w:val="32"/>
        <w:spacing w:before="0" w:beforeLines="0"/>
        <w:ind w:firstLine="480" w:firstLineChars="200"/>
        <w:rPr>
          <w:rFonts w:hAnsi="宋体" w:cs="Arial"/>
          <w:color w:val="auto"/>
          <w:szCs w:val="24"/>
        </w:rPr>
      </w:pPr>
      <w:r>
        <w:rPr>
          <w:rFonts w:hint="eastAsia" w:hAnsi="宋体" w:cs="Arial"/>
          <w:color w:val="auto"/>
          <w:szCs w:val="24"/>
        </w:rPr>
        <w:t>地址：</w:t>
      </w:r>
      <w:r>
        <w:rPr>
          <w:rFonts w:hAnsi="宋体" w:cs="Arial"/>
          <w:color w:val="auto"/>
          <w:szCs w:val="24"/>
        </w:rPr>
        <w:t xml:space="preserve"> </w:t>
      </w:r>
    </w:p>
    <w:p>
      <w:pPr>
        <w:pStyle w:val="32"/>
        <w:spacing w:before="0" w:beforeLines="0"/>
        <w:ind w:firstLine="480" w:firstLineChars="200"/>
        <w:rPr>
          <w:color w:val="auto"/>
        </w:rPr>
      </w:pPr>
      <w:r>
        <w:rPr>
          <w:rFonts w:hint="eastAsia" w:hAnsi="宋体" w:cs="Arial"/>
          <w:color w:val="auto"/>
          <w:szCs w:val="24"/>
        </w:rPr>
        <w:t xml:space="preserve">电话： </w:t>
      </w:r>
    </w:p>
    <w:p>
      <w:pPr>
        <w:pStyle w:val="31"/>
        <w:numPr>
          <w:ilvl w:val="0"/>
          <w:numId w:val="2"/>
        </w:numPr>
        <w:spacing w:before="0" w:beforeLines="0"/>
        <w:ind w:left="351" w:hanging="351" w:hangingChars="125"/>
        <w:rPr>
          <w:color w:val="auto"/>
        </w:rPr>
      </w:pPr>
      <w:bookmarkStart w:id="26" w:name="_Toc126962042"/>
      <w:r>
        <w:rPr>
          <w:rFonts w:hint="eastAsia"/>
          <w:color w:val="auto"/>
        </w:rPr>
        <w:t>争议的解决</w:t>
      </w:r>
      <w:bookmarkEnd w:id="26"/>
    </w:p>
    <w:p>
      <w:pPr>
        <w:pStyle w:val="32"/>
        <w:spacing w:before="0" w:beforeLines="0"/>
        <w:ind w:firstLine="480" w:firstLineChars="200"/>
        <w:rPr>
          <w:color w:val="auto"/>
        </w:rPr>
      </w:pPr>
      <w:r>
        <w:rPr>
          <w:rFonts w:hint="eastAsia"/>
          <w:color w:val="auto"/>
        </w:rPr>
        <w:t>本合同的订立、效力、解释、履行和争议的解决等均适用中华人民共和国法律。凡有关本合同或执行本合同而发生的一切争执，应通过友好协商解决，如不能解决，则双方均可向项目所在地法院提起诉讼。</w:t>
      </w:r>
    </w:p>
    <w:p>
      <w:pPr>
        <w:pStyle w:val="31"/>
        <w:numPr>
          <w:ilvl w:val="0"/>
          <w:numId w:val="2"/>
        </w:numPr>
        <w:spacing w:before="0" w:beforeLines="0"/>
        <w:ind w:left="351" w:hanging="351" w:hangingChars="125"/>
        <w:rPr>
          <w:color w:val="auto"/>
        </w:rPr>
      </w:pPr>
      <w:bookmarkStart w:id="27" w:name="_Toc126962043"/>
      <w:r>
        <w:rPr>
          <w:rFonts w:hint="eastAsia"/>
          <w:color w:val="auto"/>
        </w:rPr>
        <w:t>合同生效</w:t>
      </w:r>
      <w:bookmarkEnd w:id="27"/>
    </w:p>
    <w:p>
      <w:pPr>
        <w:pStyle w:val="32"/>
        <w:spacing w:before="0" w:beforeLines="0"/>
        <w:ind w:firstLine="360" w:firstLineChars="150"/>
        <w:rPr>
          <w:color w:val="auto"/>
        </w:rPr>
      </w:pPr>
      <w:r>
        <w:rPr>
          <w:rFonts w:hint="eastAsia"/>
          <w:color w:val="auto"/>
        </w:rPr>
        <w:t>本合同自承发包双方法定代表人或授权代表签字（签章）并加盖公章或合同专用章之日起生效。</w:t>
      </w:r>
    </w:p>
    <w:p>
      <w:pPr>
        <w:pStyle w:val="32"/>
        <w:spacing w:before="0" w:beforeLines="0"/>
        <w:ind w:firstLine="360" w:firstLineChars="150"/>
        <w:rPr>
          <w:color w:val="auto"/>
        </w:rPr>
      </w:pPr>
      <w:r>
        <w:rPr>
          <w:rFonts w:hint="eastAsia"/>
          <w:color w:val="auto"/>
        </w:rPr>
        <w:t>本合同一式陆份，发包人执叁分，承包人执贰份，分包人执贰份，具同等法律效力。</w:t>
      </w:r>
    </w:p>
    <w:p>
      <w:pPr>
        <w:pStyle w:val="31"/>
        <w:numPr>
          <w:ilvl w:val="0"/>
          <w:numId w:val="2"/>
        </w:numPr>
        <w:spacing w:before="0" w:beforeLines="0"/>
        <w:ind w:left="351" w:hanging="351" w:hangingChars="125"/>
        <w:rPr>
          <w:color w:val="auto"/>
        </w:rPr>
      </w:pPr>
      <w:bookmarkStart w:id="28" w:name="_Toc126962044"/>
      <w:r>
        <w:rPr>
          <w:rFonts w:hint="eastAsia"/>
          <w:color w:val="auto"/>
        </w:rPr>
        <w:t>下列文件均为本合同不可分割部分：</w:t>
      </w:r>
      <w:bookmarkEnd w:id="28"/>
    </w:p>
    <w:p>
      <w:pPr>
        <w:pStyle w:val="32"/>
        <w:spacing w:before="0" w:beforeLines="0"/>
        <w:ind w:firstLine="480" w:firstLineChars="200"/>
        <w:rPr>
          <w:color w:val="auto"/>
        </w:rPr>
      </w:pPr>
      <w:r>
        <w:rPr>
          <w:rFonts w:hint="eastAsia"/>
          <w:color w:val="auto"/>
        </w:rPr>
        <w:t>（1）电梯安装工程合同条款；</w:t>
      </w:r>
    </w:p>
    <w:p>
      <w:pPr>
        <w:pStyle w:val="32"/>
        <w:spacing w:before="0" w:beforeLines="0"/>
        <w:ind w:firstLine="480" w:firstLineChars="200"/>
        <w:rPr>
          <w:color w:val="auto"/>
        </w:rPr>
      </w:pPr>
      <w:r>
        <w:rPr>
          <w:rFonts w:hint="eastAsia"/>
          <w:color w:val="auto"/>
        </w:rPr>
        <w:t>（2）电梯安装工程合同附件；</w:t>
      </w:r>
    </w:p>
    <w:p>
      <w:pPr>
        <w:pStyle w:val="32"/>
        <w:spacing w:before="0" w:beforeLines="0"/>
        <w:ind w:firstLine="480" w:firstLineChars="200"/>
        <w:rPr>
          <w:color w:val="auto"/>
          <w:szCs w:val="24"/>
        </w:rPr>
      </w:pPr>
      <w:r>
        <w:rPr>
          <w:rFonts w:hint="eastAsia"/>
          <w:color w:val="auto"/>
          <w:szCs w:val="24"/>
        </w:rPr>
        <w:t>附件一：云港城项目</w:t>
      </w:r>
      <w:r>
        <w:rPr>
          <w:color w:val="auto"/>
          <w:szCs w:val="24"/>
        </w:rPr>
        <w:t>4#</w:t>
      </w:r>
      <w:r>
        <w:rPr>
          <w:rFonts w:hint="eastAsia"/>
          <w:color w:val="auto"/>
          <w:szCs w:val="24"/>
        </w:rPr>
        <w:t>地块电梯合同界面</w:t>
      </w:r>
    </w:p>
    <w:p>
      <w:pPr>
        <w:pStyle w:val="32"/>
        <w:spacing w:before="0" w:beforeLines="0"/>
        <w:ind w:firstLine="480" w:firstLineChars="200"/>
        <w:rPr>
          <w:color w:val="auto"/>
          <w:szCs w:val="24"/>
        </w:rPr>
      </w:pPr>
      <w:r>
        <w:rPr>
          <w:rFonts w:hint="eastAsia"/>
          <w:color w:val="auto"/>
          <w:szCs w:val="24"/>
        </w:rPr>
        <w:t>附件二：云港城项目</w:t>
      </w:r>
      <w:r>
        <w:rPr>
          <w:color w:val="auto"/>
          <w:szCs w:val="24"/>
        </w:rPr>
        <w:t>4#</w:t>
      </w:r>
      <w:r>
        <w:rPr>
          <w:rFonts w:hint="eastAsia"/>
          <w:color w:val="auto"/>
          <w:szCs w:val="24"/>
        </w:rPr>
        <w:t>地块电梯专业技术要求（另册）</w:t>
      </w:r>
    </w:p>
    <w:p>
      <w:pPr>
        <w:pStyle w:val="32"/>
        <w:spacing w:before="0" w:beforeLines="0"/>
        <w:ind w:firstLine="480" w:firstLineChars="200"/>
        <w:rPr>
          <w:color w:val="auto"/>
          <w:szCs w:val="24"/>
        </w:rPr>
      </w:pPr>
      <w:r>
        <w:rPr>
          <w:rFonts w:hint="eastAsia"/>
          <w:color w:val="auto"/>
          <w:szCs w:val="24"/>
        </w:rPr>
        <w:t>附件三：云港城项目4#地块电梯安装工程报价清单（另册）</w:t>
      </w:r>
    </w:p>
    <w:p>
      <w:pPr>
        <w:pStyle w:val="32"/>
        <w:spacing w:before="0" w:beforeLines="0"/>
        <w:ind w:firstLine="480" w:firstLineChars="200"/>
        <w:rPr>
          <w:color w:val="auto"/>
          <w:szCs w:val="24"/>
        </w:rPr>
      </w:pPr>
      <w:r>
        <w:rPr>
          <w:rFonts w:hint="eastAsia"/>
          <w:color w:val="auto"/>
          <w:szCs w:val="24"/>
        </w:rPr>
        <w:t>附件四：工程建设项目廉政责任书</w:t>
      </w:r>
    </w:p>
    <w:p>
      <w:pPr>
        <w:pStyle w:val="32"/>
        <w:spacing w:before="0" w:beforeLines="0"/>
        <w:ind w:firstLine="480" w:firstLineChars="200"/>
        <w:rPr>
          <w:color w:val="auto"/>
          <w:szCs w:val="24"/>
        </w:rPr>
      </w:pPr>
      <w:r>
        <w:rPr>
          <w:rFonts w:hint="eastAsia"/>
          <w:color w:val="auto"/>
          <w:szCs w:val="24"/>
        </w:rPr>
        <w:t>附件五：履约保函（样式）</w:t>
      </w:r>
    </w:p>
    <w:p>
      <w:pPr>
        <w:pStyle w:val="32"/>
        <w:spacing w:before="0" w:beforeLines="0"/>
        <w:ind w:firstLine="480" w:firstLineChars="200"/>
        <w:rPr>
          <w:color w:val="auto"/>
          <w:szCs w:val="24"/>
        </w:rPr>
      </w:pPr>
      <w:r>
        <w:rPr>
          <w:rFonts w:hint="eastAsia"/>
          <w:color w:val="auto"/>
          <w:szCs w:val="24"/>
        </w:rPr>
        <w:t>附件六：工程质量保修书</w:t>
      </w:r>
    </w:p>
    <w:p>
      <w:pPr>
        <w:pStyle w:val="32"/>
        <w:spacing w:before="0" w:beforeLines="0"/>
        <w:ind w:firstLine="480" w:firstLineChars="200"/>
        <w:rPr>
          <w:color w:val="auto"/>
          <w:szCs w:val="24"/>
        </w:rPr>
      </w:pPr>
      <w:r>
        <w:rPr>
          <w:rFonts w:hint="eastAsia"/>
          <w:color w:val="auto"/>
          <w:szCs w:val="24"/>
        </w:rPr>
        <w:t>附件七：云港城项目施工现场管理办法</w:t>
      </w:r>
    </w:p>
    <w:p>
      <w:pPr>
        <w:pStyle w:val="32"/>
        <w:spacing w:before="0" w:beforeLines="0"/>
        <w:ind w:firstLine="480" w:firstLineChars="200"/>
        <w:rPr>
          <w:color w:val="auto"/>
          <w:szCs w:val="24"/>
        </w:rPr>
      </w:pPr>
      <w:r>
        <w:rPr>
          <w:rFonts w:hint="eastAsia"/>
          <w:color w:val="auto"/>
          <w:szCs w:val="24"/>
        </w:rPr>
        <w:t>附件八：总承包管理与配合服务管理要求</w:t>
      </w:r>
    </w:p>
    <w:p>
      <w:pPr>
        <w:pStyle w:val="32"/>
        <w:spacing w:before="0" w:beforeLines="0"/>
        <w:ind w:firstLine="480" w:firstLineChars="200"/>
        <w:rPr>
          <w:color w:val="auto"/>
          <w:szCs w:val="24"/>
        </w:rPr>
      </w:pPr>
      <w:r>
        <w:rPr>
          <w:rFonts w:hint="eastAsia"/>
          <w:color w:val="auto"/>
          <w:szCs w:val="24"/>
        </w:rPr>
        <w:t>附件九：电梯防护与运行管理要求</w:t>
      </w:r>
    </w:p>
    <w:p>
      <w:pPr>
        <w:pStyle w:val="32"/>
        <w:spacing w:before="0" w:beforeLines="0"/>
        <w:ind w:firstLine="480" w:firstLineChars="200"/>
        <w:rPr>
          <w:color w:val="auto"/>
          <w:szCs w:val="24"/>
        </w:rPr>
      </w:pPr>
      <w:r>
        <w:rPr>
          <w:rFonts w:hint="eastAsia"/>
          <w:color w:val="auto"/>
          <w:szCs w:val="24"/>
        </w:rPr>
        <w:t>附件十：安全管理专篇</w:t>
      </w:r>
    </w:p>
    <w:p>
      <w:pPr>
        <w:pStyle w:val="32"/>
        <w:spacing w:before="0" w:beforeLines="0"/>
        <w:ind w:firstLine="480" w:firstLineChars="200"/>
        <w:rPr>
          <w:color w:val="auto"/>
          <w:szCs w:val="24"/>
        </w:rPr>
      </w:pPr>
      <w:r>
        <w:rPr>
          <w:rFonts w:hint="eastAsia"/>
          <w:color w:val="auto"/>
          <w:szCs w:val="24"/>
        </w:rPr>
        <w:t>附件十一：工程建设承包商安全生产不良行为扣分条款</w:t>
      </w:r>
    </w:p>
    <w:p>
      <w:pPr>
        <w:pStyle w:val="32"/>
        <w:spacing w:before="0" w:beforeLines="0"/>
        <w:ind w:firstLine="480" w:firstLineChars="200"/>
        <w:rPr>
          <w:color w:val="auto"/>
          <w:szCs w:val="24"/>
        </w:rPr>
      </w:pPr>
      <w:r>
        <w:rPr>
          <w:rFonts w:hint="eastAsia"/>
          <w:color w:val="auto"/>
          <w:szCs w:val="24"/>
        </w:rPr>
        <w:t>附件十二：拟投电梯安装人员一览表（按投标文件）</w:t>
      </w:r>
    </w:p>
    <w:p>
      <w:pPr>
        <w:pStyle w:val="32"/>
        <w:spacing w:before="0" w:beforeLines="0"/>
        <w:ind w:firstLine="480" w:firstLineChars="200"/>
        <w:rPr>
          <w:color w:val="auto"/>
          <w:szCs w:val="24"/>
        </w:rPr>
      </w:pPr>
      <w:r>
        <w:rPr>
          <w:rFonts w:hint="eastAsia"/>
          <w:color w:val="auto"/>
          <w:szCs w:val="24"/>
        </w:rPr>
        <w:t>附件十三：土建条件图（另册）</w:t>
      </w:r>
    </w:p>
    <w:p>
      <w:pPr>
        <w:pStyle w:val="32"/>
        <w:spacing w:before="0" w:beforeLines="0"/>
        <w:ind w:firstLine="480" w:firstLineChars="200"/>
        <w:rPr>
          <w:color w:val="auto"/>
          <w:szCs w:val="24"/>
        </w:rPr>
      </w:pPr>
      <w:r>
        <w:rPr>
          <w:rFonts w:hint="eastAsia"/>
          <w:color w:val="auto"/>
          <w:szCs w:val="24"/>
        </w:rPr>
        <w:t>附件十四：投标文件相关承诺等（另册）</w:t>
      </w:r>
    </w:p>
    <w:p>
      <w:pPr>
        <w:pStyle w:val="32"/>
        <w:spacing w:before="0" w:beforeLines="0"/>
        <w:ind w:firstLine="480" w:firstLineChars="200"/>
        <w:rPr>
          <w:color w:val="auto"/>
        </w:rPr>
      </w:pPr>
      <w:r>
        <w:rPr>
          <w:rFonts w:hint="eastAsia"/>
          <w:color w:val="auto"/>
        </w:rPr>
        <w:t>（3）招标文件；</w:t>
      </w:r>
    </w:p>
    <w:p>
      <w:pPr>
        <w:pStyle w:val="32"/>
        <w:spacing w:before="0" w:beforeLines="0"/>
        <w:ind w:firstLine="480" w:firstLineChars="200"/>
        <w:rPr>
          <w:color w:val="auto"/>
        </w:rPr>
      </w:pPr>
      <w:r>
        <w:rPr>
          <w:rFonts w:hint="eastAsia"/>
          <w:color w:val="auto"/>
        </w:rPr>
        <w:t>（4）分包人的投标文件（以符合招标文件或经分包人书面同意者为准，但投标文件承诺的义务、责任高于招标文件的，以对发包人或承包人有利的承诺为准）。</w:t>
      </w:r>
    </w:p>
    <w:p>
      <w:pPr>
        <w:pStyle w:val="32"/>
        <w:spacing w:before="0" w:beforeLines="0"/>
        <w:ind w:firstLine="480" w:firstLineChars="200"/>
        <w:rPr>
          <w:rFonts w:hAnsi="宋体"/>
          <w:color w:val="auto"/>
          <w:szCs w:val="24"/>
        </w:rPr>
      </w:pPr>
      <w:r>
        <w:rPr>
          <w:rFonts w:hint="eastAsia"/>
          <w:color w:val="auto"/>
        </w:rPr>
        <w:t>上述文件</w:t>
      </w:r>
      <w:r>
        <w:rPr>
          <w:rFonts w:hint="eastAsia" w:hAnsi="宋体"/>
          <w:color w:val="auto"/>
          <w:szCs w:val="24"/>
        </w:rPr>
        <w:t>出现不一致时，除本合同另有明文规定外，按排列在前者为准；同一顺序文件出现不一致的，以时间在后者为准。</w:t>
      </w:r>
    </w:p>
    <w:p>
      <w:pPr>
        <w:pStyle w:val="32"/>
        <w:spacing w:before="0" w:beforeLines="0"/>
        <w:ind w:left="567"/>
        <w:rPr>
          <w:color w:val="auto"/>
        </w:rPr>
      </w:pPr>
      <w:r>
        <w:rPr>
          <w:rFonts w:hint="eastAsia" w:hAnsi="宋体"/>
          <w:color w:val="auto"/>
          <w:szCs w:val="24"/>
        </w:rPr>
        <w:t>（以下无正文）</w:t>
      </w:r>
    </w:p>
    <w:p>
      <w:pPr>
        <w:pStyle w:val="32"/>
        <w:spacing w:before="231"/>
        <w:rPr>
          <w:color w:val="auto"/>
        </w:rPr>
      </w:pPr>
      <w:r>
        <w:rPr>
          <w:color w:val="auto"/>
        </w:rPr>
        <w:br w:type="page"/>
      </w:r>
      <w:r>
        <w:rPr>
          <w:rFonts w:hint="eastAsia"/>
          <w:color w:val="auto"/>
        </w:rPr>
        <w:t>（本页为签章页）</w:t>
      </w:r>
    </w:p>
    <w:p>
      <w:pPr>
        <w:snapToGrid w:val="0"/>
        <w:spacing w:line="360" w:lineRule="auto"/>
        <w:jc w:val="both"/>
        <w:rPr>
          <w:rFonts w:ascii="楷体_GB2312" w:eastAsia="楷体_GB2312"/>
          <w:color w:val="auto"/>
          <w:sz w:val="24"/>
        </w:rPr>
      </w:pPr>
    </w:p>
    <w:p>
      <w:pPr>
        <w:snapToGrid w:val="0"/>
        <w:spacing w:line="360" w:lineRule="auto"/>
        <w:jc w:val="both"/>
        <w:rPr>
          <w:rFonts w:ascii="楷体_GB2312" w:eastAsia="楷体_GB2312"/>
          <w:color w:val="auto"/>
          <w:sz w:val="24"/>
        </w:rPr>
      </w:pPr>
    </w:p>
    <w:p>
      <w:pPr>
        <w:snapToGrid w:val="0"/>
        <w:spacing w:line="480" w:lineRule="auto"/>
        <w:jc w:val="both"/>
        <w:rPr>
          <w:rFonts w:ascii="楷体_GB2312" w:eastAsia="楷体_GB2312"/>
          <w:color w:val="auto"/>
          <w:sz w:val="24"/>
        </w:rPr>
      </w:pPr>
      <w:r>
        <w:rPr>
          <w:rFonts w:hint="eastAsia" w:ascii="楷体_GB2312" w:eastAsia="楷体_GB2312"/>
          <w:color w:val="auto"/>
          <w:sz w:val="24"/>
        </w:rPr>
        <w:t>承包人（盖章）中国建筑第五工程局有限公司</w:t>
      </w:r>
    </w:p>
    <w:p>
      <w:pPr>
        <w:snapToGrid w:val="0"/>
        <w:spacing w:line="480" w:lineRule="auto"/>
        <w:jc w:val="both"/>
        <w:rPr>
          <w:rFonts w:ascii="楷体_GB2312" w:eastAsia="楷体_GB2312"/>
          <w:color w:val="auto"/>
          <w:sz w:val="24"/>
        </w:rPr>
      </w:pPr>
      <w:r>
        <w:rPr>
          <w:rFonts w:hint="eastAsia" w:ascii="楷体_GB2312" w:eastAsia="楷体_GB2312"/>
          <w:color w:val="auto"/>
          <w:sz w:val="24"/>
        </w:rPr>
        <w:t>法定代表人签字：</w:t>
      </w:r>
    </w:p>
    <w:p>
      <w:pPr>
        <w:snapToGrid w:val="0"/>
        <w:spacing w:line="480" w:lineRule="auto"/>
        <w:jc w:val="both"/>
        <w:rPr>
          <w:rFonts w:ascii="楷体_GB2312" w:eastAsia="楷体_GB2312"/>
          <w:color w:val="auto"/>
          <w:sz w:val="24"/>
        </w:rPr>
      </w:pPr>
      <w:r>
        <w:rPr>
          <w:rFonts w:hint="eastAsia" w:ascii="楷体_GB2312" w:eastAsia="楷体_GB2312"/>
          <w:color w:val="auto"/>
          <w:sz w:val="24"/>
        </w:rPr>
        <w:t xml:space="preserve"> (或授权代表)</w:t>
      </w:r>
    </w:p>
    <w:p>
      <w:pPr>
        <w:snapToGrid w:val="0"/>
        <w:spacing w:line="480" w:lineRule="auto"/>
        <w:ind w:firstLine="5280" w:firstLineChars="2200"/>
        <w:jc w:val="both"/>
        <w:rPr>
          <w:rFonts w:ascii="楷体_GB2312" w:eastAsia="楷体_GB2312"/>
          <w:color w:val="auto"/>
          <w:sz w:val="24"/>
        </w:rPr>
      </w:pPr>
    </w:p>
    <w:p>
      <w:pPr>
        <w:snapToGrid w:val="0"/>
        <w:spacing w:line="480" w:lineRule="auto"/>
        <w:ind w:firstLine="5280" w:firstLineChars="2200"/>
        <w:jc w:val="both"/>
        <w:rPr>
          <w:rFonts w:ascii="楷体_GB2312" w:eastAsia="楷体_GB2312"/>
          <w:color w:val="auto"/>
          <w:sz w:val="24"/>
        </w:rPr>
      </w:pPr>
    </w:p>
    <w:p>
      <w:pPr>
        <w:snapToGrid w:val="0"/>
        <w:spacing w:line="480" w:lineRule="auto"/>
        <w:jc w:val="both"/>
        <w:rPr>
          <w:rFonts w:ascii="楷体_GB2312" w:eastAsia="楷体_GB2312"/>
          <w:color w:val="auto"/>
          <w:sz w:val="24"/>
          <w:szCs w:val="24"/>
        </w:rPr>
      </w:pPr>
      <w:r>
        <w:rPr>
          <w:rFonts w:hint="eastAsia" w:ascii="楷体_GB2312" w:eastAsia="楷体_GB2312"/>
          <w:color w:val="auto"/>
          <w:sz w:val="24"/>
        </w:rPr>
        <w:t>分包人（盖章）：</w:t>
      </w:r>
      <w:r>
        <w:rPr>
          <w:rFonts w:ascii="楷体_GB2312" w:eastAsia="楷体_GB2312"/>
          <w:color w:val="auto"/>
          <w:sz w:val="24"/>
          <w:szCs w:val="24"/>
        </w:rPr>
        <w:t xml:space="preserve"> </w:t>
      </w:r>
    </w:p>
    <w:p>
      <w:pPr>
        <w:snapToGrid w:val="0"/>
        <w:spacing w:line="480" w:lineRule="auto"/>
        <w:jc w:val="both"/>
        <w:rPr>
          <w:rFonts w:ascii="楷体_GB2312" w:eastAsia="楷体_GB2312"/>
          <w:color w:val="auto"/>
          <w:sz w:val="24"/>
        </w:rPr>
      </w:pPr>
      <w:r>
        <w:rPr>
          <w:rFonts w:hint="eastAsia" w:ascii="楷体_GB2312" w:eastAsia="楷体_GB2312"/>
          <w:color w:val="auto"/>
          <w:sz w:val="24"/>
        </w:rPr>
        <w:t>法定代表人签字：</w:t>
      </w:r>
    </w:p>
    <w:p>
      <w:pPr>
        <w:snapToGrid w:val="0"/>
        <w:spacing w:line="480" w:lineRule="auto"/>
        <w:jc w:val="both"/>
        <w:rPr>
          <w:rFonts w:ascii="楷体_GB2312" w:eastAsia="楷体_GB2312"/>
          <w:color w:val="auto"/>
          <w:sz w:val="24"/>
        </w:rPr>
      </w:pPr>
      <w:r>
        <w:rPr>
          <w:rFonts w:hint="eastAsia" w:ascii="楷体_GB2312" w:eastAsia="楷体_GB2312"/>
          <w:color w:val="auto"/>
          <w:sz w:val="24"/>
        </w:rPr>
        <w:t xml:space="preserve"> (或授权代表)</w:t>
      </w:r>
    </w:p>
    <w:p>
      <w:pPr>
        <w:snapToGrid w:val="0"/>
        <w:spacing w:line="480" w:lineRule="auto"/>
        <w:jc w:val="both"/>
        <w:rPr>
          <w:rFonts w:ascii="楷体_GB2312" w:eastAsia="楷体_GB2312"/>
          <w:color w:val="auto"/>
          <w:sz w:val="24"/>
        </w:rPr>
      </w:pPr>
      <w:r>
        <w:rPr>
          <w:rFonts w:hint="eastAsia" w:ascii="楷体_GB2312" w:eastAsia="楷体_GB2312"/>
          <w:color w:val="auto"/>
          <w:sz w:val="24"/>
        </w:rPr>
        <w:t xml:space="preserve">开户银行： </w:t>
      </w:r>
    </w:p>
    <w:p>
      <w:pPr>
        <w:snapToGrid w:val="0"/>
        <w:spacing w:line="360" w:lineRule="auto"/>
        <w:jc w:val="both"/>
        <w:rPr>
          <w:rFonts w:ascii="楷体_GB2312" w:eastAsia="楷体_GB2312"/>
          <w:color w:val="auto"/>
          <w:sz w:val="24"/>
        </w:rPr>
      </w:pPr>
      <w:r>
        <w:rPr>
          <w:rFonts w:hint="eastAsia" w:ascii="楷体_GB2312" w:eastAsia="楷体_GB2312"/>
          <w:color w:val="auto"/>
          <w:sz w:val="24"/>
        </w:rPr>
        <w:t xml:space="preserve">银行账号： </w:t>
      </w:r>
    </w:p>
    <w:p>
      <w:pPr>
        <w:snapToGrid w:val="0"/>
        <w:spacing w:line="360" w:lineRule="auto"/>
        <w:jc w:val="both"/>
        <w:rPr>
          <w:rFonts w:ascii="楷体_GB2312" w:eastAsia="楷体_GB2312"/>
          <w:color w:val="auto"/>
          <w:sz w:val="24"/>
        </w:rPr>
      </w:pPr>
    </w:p>
    <w:p>
      <w:pPr>
        <w:snapToGrid w:val="0"/>
        <w:spacing w:line="360" w:lineRule="auto"/>
        <w:jc w:val="both"/>
        <w:rPr>
          <w:rFonts w:ascii="楷体_GB2312" w:eastAsia="楷体_GB2312"/>
          <w:color w:val="auto"/>
          <w:sz w:val="24"/>
        </w:rPr>
      </w:pPr>
    </w:p>
    <w:p>
      <w:pPr>
        <w:snapToGrid w:val="0"/>
        <w:spacing w:line="360" w:lineRule="auto"/>
        <w:jc w:val="both"/>
        <w:rPr>
          <w:rFonts w:ascii="楷体_GB2312" w:eastAsia="楷体_GB2312"/>
          <w:color w:val="auto"/>
          <w:sz w:val="24"/>
        </w:rPr>
      </w:pPr>
      <w:r>
        <w:rPr>
          <w:rFonts w:hint="eastAsia" w:ascii="楷体_GB2312" w:eastAsia="楷体_GB2312"/>
          <w:color w:val="auto"/>
          <w:sz w:val="24"/>
        </w:rPr>
        <w:t>签约日期：   年    月    日</w:t>
      </w:r>
    </w:p>
    <w:p>
      <w:pPr>
        <w:snapToGrid w:val="0"/>
        <w:spacing w:line="360" w:lineRule="auto"/>
        <w:ind w:firstLine="5280" w:firstLineChars="2200"/>
        <w:jc w:val="both"/>
        <w:rPr>
          <w:rFonts w:ascii="楷体_GB2312" w:eastAsia="楷体_GB2312"/>
          <w:color w:val="auto"/>
          <w:sz w:val="24"/>
        </w:rPr>
      </w:pPr>
    </w:p>
    <w:p>
      <w:pPr>
        <w:overflowPunct w:val="0"/>
        <w:snapToGrid w:val="0"/>
        <w:spacing w:line="360" w:lineRule="auto"/>
        <w:outlineLvl w:val="0"/>
        <w:rPr>
          <w:rFonts w:ascii="楷体_GB2312" w:eastAsia="楷体_GB2312"/>
          <w:color w:val="auto"/>
          <w:sz w:val="24"/>
        </w:rPr>
        <w:sectPr>
          <w:footerReference r:id="rId4" w:type="first"/>
          <w:footerReference r:id="rId3" w:type="default"/>
          <w:pgSz w:w="11906" w:h="16838"/>
          <w:pgMar w:top="1418" w:right="1418" w:bottom="1418" w:left="1418" w:header="851" w:footer="992" w:gutter="0"/>
          <w:cols w:space="720" w:num="1"/>
          <w:titlePg/>
          <w:docGrid w:type="lines" w:linePitch="462" w:charSpace="0"/>
        </w:sectPr>
      </w:pPr>
      <w:r>
        <w:rPr>
          <w:rFonts w:ascii="楷体_GB2312" w:eastAsia="楷体_GB2312"/>
          <w:color w:val="auto"/>
          <w:sz w:val="24"/>
        </w:rPr>
        <w:br w:type="page"/>
      </w:r>
    </w:p>
    <w:p>
      <w:pPr>
        <w:overflowPunct w:val="0"/>
        <w:snapToGrid w:val="0"/>
        <w:spacing w:line="360" w:lineRule="auto"/>
        <w:outlineLvl w:val="0"/>
        <w:rPr>
          <w:rFonts w:ascii="仿宋" w:hAnsi="仿宋" w:eastAsia="仿宋"/>
          <w:color w:val="auto"/>
          <w:sz w:val="21"/>
          <w:szCs w:val="21"/>
        </w:rPr>
      </w:pPr>
      <w:bookmarkStart w:id="29" w:name="_Toc126962045"/>
      <w:r>
        <w:rPr>
          <w:rFonts w:hint="eastAsia" w:ascii="仿宋" w:hAnsi="仿宋" w:eastAsia="仿宋"/>
          <w:b/>
          <w:color w:val="auto"/>
          <w:sz w:val="21"/>
          <w:szCs w:val="21"/>
        </w:rPr>
        <w:t>附件一：云港城项目</w:t>
      </w:r>
      <w:r>
        <w:rPr>
          <w:rFonts w:ascii="仿宋" w:hAnsi="仿宋" w:eastAsia="仿宋"/>
          <w:b/>
          <w:color w:val="auto"/>
          <w:sz w:val="21"/>
          <w:szCs w:val="21"/>
        </w:rPr>
        <w:t>4#</w:t>
      </w:r>
      <w:r>
        <w:rPr>
          <w:rFonts w:hint="eastAsia" w:ascii="仿宋" w:hAnsi="仿宋" w:eastAsia="仿宋"/>
          <w:b/>
          <w:color w:val="auto"/>
          <w:sz w:val="21"/>
          <w:szCs w:val="21"/>
        </w:rPr>
        <w:t>地块电梯合同界面</w:t>
      </w:r>
      <w:bookmarkEnd w:id="29"/>
    </w:p>
    <w:tbl>
      <w:tblPr>
        <w:tblStyle w:val="19"/>
        <w:tblW w:w="14049" w:type="dxa"/>
        <w:tblInd w:w="93" w:type="dxa"/>
        <w:tblLayout w:type="autofit"/>
        <w:tblCellMar>
          <w:top w:w="0" w:type="dxa"/>
          <w:left w:w="108" w:type="dxa"/>
          <w:bottom w:w="0" w:type="dxa"/>
          <w:right w:w="108" w:type="dxa"/>
        </w:tblCellMar>
      </w:tblPr>
      <w:tblGrid>
        <w:gridCol w:w="582"/>
        <w:gridCol w:w="1134"/>
        <w:gridCol w:w="2552"/>
        <w:gridCol w:w="2693"/>
        <w:gridCol w:w="3119"/>
        <w:gridCol w:w="1701"/>
        <w:gridCol w:w="2268"/>
      </w:tblGrid>
      <w:tr>
        <w:tblPrEx>
          <w:tblCellMar>
            <w:top w:w="0" w:type="dxa"/>
            <w:left w:w="108" w:type="dxa"/>
            <w:bottom w:w="0" w:type="dxa"/>
            <w:right w:w="108" w:type="dxa"/>
          </w:tblCellMar>
        </w:tblPrEx>
        <w:trPr>
          <w:trHeight w:val="450" w:hRule="atLeast"/>
        </w:trPr>
        <w:tc>
          <w:tcPr>
            <w:tcW w:w="582" w:type="dxa"/>
            <w:vMerge w:val="restart"/>
            <w:tcBorders>
              <w:top w:val="single" w:color="auto" w:sz="4" w:space="0"/>
              <w:left w:val="single" w:color="auto" w:sz="4" w:space="0"/>
              <w:bottom w:val="single" w:color="auto" w:sz="4" w:space="0"/>
              <w:right w:val="single" w:color="auto" w:sz="4" w:space="0"/>
            </w:tcBorders>
            <w:vAlign w:val="center"/>
          </w:tcPr>
          <w:p>
            <w:pPr>
              <w:widowControl/>
              <w:autoSpaceDE/>
              <w:adjustRightInd/>
              <w:jc w:val="center"/>
              <w:rPr>
                <w:rFonts w:ascii="仿宋" w:hAnsi="仿宋" w:eastAsia="仿宋" w:cs="宋体"/>
                <w:b/>
                <w:bCs/>
                <w:color w:val="auto"/>
                <w:sz w:val="21"/>
                <w:szCs w:val="21"/>
              </w:rPr>
            </w:pPr>
            <w:r>
              <w:rPr>
                <w:rFonts w:ascii="仿宋" w:hAnsi="仿宋" w:eastAsia="仿宋"/>
                <w:color w:val="auto"/>
                <w:sz w:val="21"/>
                <w:szCs w:val="21"/>
              </w:rPr>
              <w:br w:type="page"/>
            </w:r>
            <w:r>
              <w:rPr>
                <w:rFonts w:hint="eastAsia" w:ascii="仿宋" w:hAnsi="仿宋" w:eastAsia="仿宋" w:cs="宋体"/>
                <w:b/>
                <w:bCs/>
                <w:color w:val="auto"/>
                <w:sz w:val="21"/>
                <w:szCs w:val="21"/>
              </w:rPr>
              <w:t>序</w:t>
            </w:r>
          </w:p>
          <w:p>
            <w:pPr>
              <w:widowControl/>
              <w:autoSpaceDE/>
              <w:adjustRightInd/>
              <w:jc w:val="center"/>
              <w:rPr>
                <w:rFonts w:ascii="仿宋" w:hAnsi="仿宋" w:eastAsia="仿宋" w:cs="宋体"/>
                <w:b/>
                <w:bCs/>
                <w:color w:val="auto"/>
                <w:sz w:val="21"/>
                <w:szCs w:val="21"/>
              </w:rPr>
            </w:pPr>
            <w:r>
              <w:rPr>
                <w:rFonts w:hint="eastAsia" w:ascii="仿宋" w:hAnsi="仿宋" w:eastAsia="仿宋" w:cs="宋体"/>
                <w:b/>
                <w:bCs/>
                <w:color w:val="auto"/>
                <w:sz w:val="21"/>
                <w:szCs w:val="21"/>
              </w:rPr>
              <w:t>号</w:t>
            </w:r>
            <w:r>
              <w:rPr>
                <w:rFonts w:hint="eastAsia" w:ascii="仿宋" w:hAnsi="仿宋" w:eastAsia="仿宋" w:cs="宋体"/>
                <w:color w:val="auto"/>
                <w:sz w:val="21"/>
                <w:szCs w:val="21"/>
              </w:rPr>
              <w:t>　</w:t>
            </w:r>
          </w:p>
        </w:tc>
        <w:tc>
          <w:tcPr>
            <w:tcW w:w="1134" w:type="dxa"/>
            <w:tcBorders>
              <w:top w:val="single" w:color="auto" w:sz="4" w:space="0"/>
              <w:left w:val="nil"/>
              <w:bottom w:val="single" w:color="auto" w:sz="4" w:space="0"/>
              <w:right w:val="single" w:color="auto" w:sz="4" w:space="0"/>
            </w:tcBorders>
            <w:vAlign w:val="center"/>
          </w:tcPr>
          <w:p>
            <w:pPr>
              <w:widowControl/>
              <w:autoSpaceDE/>
              <w:adjustRightInd/>
              <w:jc w:val="center"/>
              <w:rPr>
                <w:rFonts w:ascii="仿宋" w:hAnsi="仿宋" w:eastAsia="仿宋" w:cs="宋体"/>
                <w:b/>
                <w:bCs/>
                <w:color w:val="auto"/>
                <w:sz w:val="21"/>
                <w:szCs w:val="21"/>
              </w:rPr>
            </w:pPr>
            <w:r>
              <w:rPr>
                <w:rFonts w:hint="eastAsia" w:ascii="仿宋" w:hAnsi="仿宋" w:eastAsia="仿宋" w:cs="宋体"/>
                <w:b/>
                <w:bCs/>
                <w:color w:val="auto"/>
                <w:sz w:val="21"/>
                <w:szCs w:val="21"/>
              </w:rPr>
              <w:t>工程内容</w:t>
            </w:r>
          </w:p>
        </w:tc>
        <w:tc>
          <w:tcPr>
            <w:tcW w:w="12333" w:type="dxa"/>
            <w:gridSpan w:val="5"/>
            <w:tcBorders>
              <w:top w:val="single" w:color="auto" w:sz="4" w:space="0"/>
              <w:left w:val="nil"/>
              <w:bottom w:val="single" w:color="auto" w:sz="4" w:space="0"/>
              <w:right w:val="single" w:color="auto" w:sz="4" w:space="0"/>
            </w:tcBorders>
            <w:vAlign w:val="center"/>
          </w:tcPr>
          <w:p>
            <w:pPr>
              <w:widowControl/>
              <w:autoSpaceDE/>
              <w:adjustRightInd/>
              <w:jc w:val="center"/>
              <w:rPr>
                <w:rFonts w:ascii="仿宋" w:hAnsi="仿宋" w:eastAsia="仿宋" w:cs="宋体"/>
                <w:b/>
                <w:bCs/>
                <w:color w:val="auto"/>
                <w:sz w:val="21"/>
                <w:szCs w:val="21"/>
              </w:rPr>
            </w:pPr>
            <w:r>
              <w:rPr>
                <w:rFonts w:hint="eastAsia" w:ascii="仿宋" w:hAnsi="仿宋" w:eastAsia="仿宋" w:cs="宋体"/>
                <w:b/>
                <w:bCs/>
                <w:color w:val="auto"/>
                <w:sz w:val="21"/>
                <w:szCs w:val="21"/>
              </w:rPr>
              <w:t>合同界面</w:t>
            </w:r>
          </w:p>
        </w:tc>
      </w:tr>
      <w:tr>
        <w:tblPrEx>
          <w:tblCellMar>
            <w:top w:w="0" w:type="dxa"/>
            <w:left w:w="108" w:type="dxa"/>
            <w:bottom w:w="0" w:type="dxa"/>
            <w:right w:w="108" w:type="dxa"/>
          </w:tblCellMar>
        </w:tblPrEx>
        <w:trPr>
          <w:trHeight w:val="708"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b/>
                <w:bCs/>
                <w:color w:val="auto"/>
                <w:sz w:val="21"/>
                <w:szCs w:val="21"/>
              </w:rPr>
            </w:pPr>
          </w:p>
        </w:tc>
        <w:tc>
          <w:tcPr>
            <w:tcW w:w="1134"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b/>
                <w:bCs/>
                <w:color w:val="auto"/>
                <w:sz w:val="21"/>
                <w:szCs w:val="21"/>
              </w:rPr>
            </w:pPr>
            <w:r>
              <w:rPr>
                <w:rFonts w:hint="eastAsia" w:ascii="仿宋" w:hAnsi="仿宋" w:eastAsia="仿宋" w:cs="宋体"/>
                <w:b/>
                <w:bCs/>
                <w:color w:val="auto"/>
                <w:sz w:val="21"/>
                <w:szCs w:val="21"/>
              </w:rPr>
              <w:t>电梯工程</w:t>
            </w: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b/>
                <w:bCs/>
                <w:color w:val="auto"/>
                <w:sz w:val="21"/>
                <w:szCs w:val="21"/>
              </w:rPr>
            </w:pPr>
            <w:r>
              <w:rPr>
                <w:rFonts w:hint="eastAsia" w:ascii="仿宋" w:hAnsi="仿宋" w:eastAsia="仿宋" w:cs="宋体"/>
                <w:b/>
                <w:bCs/>
                <w:color w:val="auto"/>
                <w:sz w:val="21"/>
                <w:szCs w:val="21"/>
              </w:rPr>
              <w:t>土建合同</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b/>
                <w:bCs/>
                <w:color w:val="auto"/>
                <w:sz w:val="21"/>
                <w:szCs w:val="21"/>
              </w:rPr>
            </w:pPr>
            <w:r>
              <w:rPr>
                <w:rFonts w:hint="eastAsia" w:ascii="仿宋" w:hAnsi="仿宋" w:eastAsia="仿宋" w:cs="宋体"/>
                <w:b/>
                <w:bCs/>
                <w:color w:val="auto"/>
                <w:sz w:val="21"/>
                <w:szCs w:val="21"/>
              </w:rPr>
              <w:t>机电合同</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b/>
                <w:bCs/>
                <w:color w:val="auto"/>
                <w:sz w:val="21"/>
                <w:szCs w:val="21"/>
              </w:rPr>
            </w:pPr>
            <w:r>
              <w:rPr>
                <w:rFonts w:hint="eastAsia" w:ascii="仿宋" w:hAnsi="仿宋" w:eastAsia="仿宋" w:cs="宋体"/>
                <w:b/>
                <w:bCs/>
                <w:color w:val="auto"/>
                <w:sz w:val="21"/>
                <w:szCs w:val="21"/>
              </w:rPr>
              <w:t>电梯设备供货、安装工程合同</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b/>
                <w:bCs/>
                <w:color w:val="auto"/>
                <w:sz w:val="21"/>
                <w:szCs w:val="21"/>
              </w:rPr>
            </w:pPr>
            <w:r>
              <w:rPr>
                <w:rFonts w:hint="eastAsia" w:ascii="仿宋" w:hAnsi="仿宋" w:eastAsia="仿宋" w:cs="宋体"/>
                <w:b/>
                <w:bCs/>
                <w:color w:val="auto"/>
                <w:sz w:val="21"/>
                <w:szCs w:val="21"/>
              </w:rPr>
              <w:t>智能化合同</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b/>
                <w:bCs/>
                <w:color w:val="auto"/>
                <w:sz w:val="21"/>
                <w:szCs w:val="21"/>
              </w:rPr>
            </w:pPr>
            <w:r>
              <w:rPr>
                <w:rFonts w:hint="eastAsia" w:ascii="仿宋" w:hAnsi="仿宋" w:eastAsia="仿宋" w:cs="宋体"/>
                <w:b/>
                <w:bCs/>
                <w:color w:val="auto"/>
                <w:sz w:val="21"/>
                <w:szCs w:val="21"/>
              </w:rPr>
              <w:t>精装修合同</w:t>
            </w:r>
          </w:p>
        </w:tc>
      </w:tr>
      <w:tr>
        <w:tblPrEx>
          <w:tblCellMar>
            <w:top w:w="0" w:type="dxa"/>
            <w:left w:w="108" w:type="dxa"/>
            <w:bottom w:w="0" w:type="dxa"/>
            <w:right w:w="108" w:type="dxa"/>
          </w:tblCellMar>
        </w:tblPrEx>
        <w:trPr>
          <w:trHeight w:val="648" w:hRule="atLeast"/>
        </w:trPr>
        <w:tc>
          <w:tcPr>
            <w:tcW w:w="582"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ascii="仿宋" w:hAnsi="仿宋" w:eastAsia="仿宋" w:cs="宋体"/>
                <w:color w:val="auto"/>
                <w:sz w:val="20"/>
                <w:szCs w:val="20"/>
              </w:rPr>
            </w:pPr>
            <w:r>
              <w:rPr>
                <w:rFonts w:hint="eastAsia" w:ascii="仿宋" w:hAnsi="仿宋" w:eastAsia="仿宋" w:cs="宋体"/>
                <w:color w:val="auto"/>
                <w:sz w:val="20"/>
                <w:szCs w:val="20"/>
              </w:rPr>
              <w:t>1</w:t>
            </w:r>
          </w:p>
        </w:tc>
        <w:tc>
          <w:tcPr>
            <w:tcW w:w="1134" w:type="dxa"/>
            <w:vMerge w:val="restart"/>
            <w:tcBorders>
              <w:top w:val="nil"/>
              <w:left w:val="single" w:color="auto" w:sz="4" w:space="0"/>
              <w:bottom w:val="single" w:color="auto" w:sz="4" w:space="0"/>
              <w:right w:val="single" w:color="auto" w:sz="4" w:space="0"/>
            </w:tcBorders>
            <w:vAlign w:val="center"/>
          </w:tcPr>
          <w:p>
            <w:pPr>
              <w:widowControl/>
              <w:autoSpaceDE/>
              <w:adjustRightInd/>
              <w:jc w:val="center"/>
              <w:rPr>
                <w:rFonts w:ascii="仿宋" w:hAnsi="仿宋" w:eastAsia="仿宋" w:cs="宋体"/>
                <w:color w:val="auto"/>
                <w:sz w:val="20"/>
                <w:szCs w:val="20"/>
              </w:rPr>
            </w:pPr>
            <w:r>
              <w:rPr>
                <w:rFonts w:hint="eastAsia" w:ascii="仿宋" w:hAnsi="仿宋" w:eastAsia="仿宋" w:cs="宋体"/>
                <w:color w:val="auto"/>
                <w:sz w:val="20"/>
                <w:szCs w:val="20"/>
              </w:rPr>
              <w:t>电梯工程</w:t>
            </w: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主体结构上开孔、洞、凹口、凹槽等</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电梯设备供货、安装</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r>
      <w:tr>
        <w:tblPrEx>
          <w:tblCellMar>
            <w:top w:w="0" w:type="dxa"/>
            <w:left w:w="108" w:type="dxa"/>
            <w:bottom w:w="0" w:type="dxa"/>
            <w:right w:w="108" w:type="dxa"/>
          </w:tblCellMar>
        </w:tblPrEx>
        <w:trPr>
          <w:trHeight w:val="660"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电梯机房内曳引机吊钩、钢梁、钢牛腿的预埋</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电梯井道照明</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r>
      <w:tr>
        <w:tblPrEx>
          <w:tblCellMar>
            <w:top w:w="0" w:type="dxa"/>
            <w:left w:w="108" w:type="dxa"/>
            <w:bottom w:w="0" w:type="dxa"/>
            <w:right w:w="108" w:type="dxa"/>
          </w:tblCellMar>
        </w:tblPrEx>
        <w:trPr>
          <w:trHeight w:val="876"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电梯井道/机房中的混凝土构件（例如：混凝土牛腿、分割梁等）</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电梯井道/机房中的钢构件（例如：钢梁、钢牛腿、承重垫板和钢平台等）</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r>
      <w:tr>
        <w:tblPrEx>
          <w:tblCellMar>
            <w:top w:w="0" w:type="dxa"/>
            <w:left w:w="108" w:type="dxa"/>
            <w:bottom w:w="0" w:type="dxa"/>
            <w:right w:w="108" w:type="dxa"/>
          </w:tblCellMar>
        </w:tblPrEx>
        <w:trPr>
          <w:trHeight w:val="672"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设备混凝土基础施工</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电梯空调供货、安装</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电梯轿厢内灯具、风口供货及安装</w:t>
            </w:r>
          </w:p>
        </w:tc>
      </w:tr>
      <w:tr>
        <w:tblPrEx>
          <w:tblCellMar>
            <w:top w:w="0" w:type="dxa"/>
            <w:left w:w="108" w:type="dxa"/>
            <w:bottom w:w="0" w:type="dxa"/>
            <w:right w:w="108" w:type="dxa"/>
          </w:tblCellMar>
        </w:tblPrEx>
        <w:trPr>
          <w:trHeight w:val="741"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电梯井防水</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电梯轿厢前壁、厅门、轿厢门、小门套</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轿箱内左壁、右壁、后壁、天花及地面装修</w:t>
            </w:r>
          </w:p>
        </w:tc>
      </w:tr>
      <w:tr>
        <w:tblPrEx>
          <w:tblCellMar>
            <w:top w:w="0" w:type="dxa"/>
            <w:left w:w="108" w:type="dxa"/>
            <w:bottom w:w="0" w:type="dxa"/>
            <w:right w:w="108" w:type="dxa"/>
          </w:tblCellMar>
        </w:tblPrEx>
        <w:trPr>
          <w:trHeight w:val="969"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井道防火门</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从低压配电柜引线至电梯电源箱，从电源箱至控制箱之前，含线槽、电缆敷设</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电梯轿厢与电梯机房视频监控、背景音乐、信息发布的随缆敷设</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机房至控制中心的五方通话管线安装</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r>
      <w:tr>
        <w:tblPrEx>
          <w:tblCellMar>
            <w:top w:w="0" w:type="dxa"/>
            <w:left w:w="108" w:type="dxa"/>
            <w:bottom w:w="0" w:type="dxa"/>
            <w:right w:w="108" w:type="dxa"/>
          </w:tblCellMar>
        </w:tblPrEx>
        <w:trPr>
          <w:trHeight w:val="891"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调试用电供给</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电梯机房照明用电、通风空调，含配电箱、电线、开关、插座、灯具、线管、线槽。</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轿厢内多媒体液晶显示供货安装、五方通话交换机供货，提供轿箱和机房的管线及接口</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机房监控系统供货及安装</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r>
      <w:tr>
        <w:tblPrEx>
          <w:tblCellMar>
            <w:top w:w="0" w:type="dxa"/>
            <w:left w:w="108" w:type="dxa"/>
            <w:bottom w:w="0" w:type="dxa"/>
            <w:right w:w="108" w:type="dxa"/>
          </w:tblCellMar>
        </w:tblPrEx>
        <w:trPr>
          <w:trHeight w:val="753"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仿宋" w:hAnsi="仿宋" w:eastAsia="仿宋" w:cs="宋体"/>
                <w:color w:val="auto"/>
                <w:sz w:val="20"/>
                <w:szCs w:val="20"/>
              </w:rPr>
            </w:pP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临时用梯（含防护、维保、司机等）</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r>
      <w:tr>
        <w:tblPrEx>
          <w:tblCellMar>
            <w:top w:w="0" w:type="dxa"/>
            <w:left w:w="108" w:type="dxa"/>
            <w:bottom w:w="0" w:type="dxa"/>
            <w:right w:w="108" w:type="dxa"/>
          </w:tblCellMar>
        </w:tblPrEx>
        <w:trPr>
          <w:trHeight w:val="744"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rPr>
            </w:pPr>
          </w:p>
        </w:tc>
        <w:tc>
          <w:tcPr>
            <w:tcW w:w="2552"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2693"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3119"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电梯调试</w:t>
            </w:r>
          </w:p>
        </w:tc>
        <w:tc>
          <w:tcPr>
            <w:tcW w:w="1701"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c>
          <w:tcPr>
            <w:tcW w:w="2268" w:type="dxa"/>
            <w:tcBorders>
              <w:top w:val="nil"/>
              <w:left w:val="nil"/>
              <w:bottom w:val="single" w:color="auto" w:sz="4" w:space="0"/>
              <w:right w:val="single" w:color="auto" w:sz="4" w:space="0"/>
            </w:tcBorders>
            <w:vAlign w:val="center"/>
          </w:tcPr>
          <w:p>
            <w:pPr>
              <w:widowControl/>
              <w:autoSpaceDE/>
              <w:adjustRightInd/>
              <w:spacing w:line="280" w:lineRule="exact"/>
              <w:jc w:val="center"/>
              <w:rPr>
                <w:rFonts w:ascii="仿宋" w:hAnsi="仿宋" w:eastAsia="仿宋" w:cs="宋体"/>
                <w:color w:val="auto"/>
                <w:sz w:val="21"/>
                <w:szCs w:val="21"/>
              </w:rPr>
            </w:pPr>
            <w:r>
              <w:rPr>
                <w:rFonts w:hint="eastAsia" w:ascii="仿宋" w:hAnsi="仿宋" w:eastAsia="仿宋"/>
                <w:color w:val="auto"/>
                <w:sz w:val="21"/>
                <w:szCs w:val="21"/>
              </w:rPr>
              <w:t>/</w:t>
            </w:r>
          </w:p>
        </w:tc>
      </w:tr>
    </w:tbl>
    <w:p>
      <w:pPr>
        <w:overflowPunct w:val="0"/>
        <w:snapToGrid w:val="0"/>
        <w:spacing w:line="360" w:lineRule="auto"/>
        <w:outlineLvl w:val="0"/>
        <w:rPr>
          <w:rFonts w:ascii="仿宋" w:hAnsi="仿宋" w:eastAsia="仿宋"/>
          <w:b/>
          <w:color w:val="auto"/>
          <w:sz w:val="21"/>
          <w:szCs w:val="21"/>
        </w:rPr>
        <w:sectPr>
          <w:pgSz w:w="16838" w:h="11906" w:orient="landscape"/>
          <w:pgMar w:top="1418" w:right="1440" w:bottom="1418" w:left="1440" w:header="851" w:footer="992" w:gutter="0"/>
          <w:cols w:space="720" w:num="1"/>
          <w:titlePg/>
          <w:docGrid w:type="lines" w:linePitch="462" w:charSpace="0"/>
        </w:sectPr>
      </w:pPr>
    </w:p>
    <w:p>
      <w:pPr>
        <w:overflowPunct w:val="0"/>
        <w:snapToGrid w:val="0"/>
        <w:spacing w:line="360" w:lineRule="auto"/>
        <w:outlineLvl w:val="0"/>
        <w:rPr>
          <w:rFonts w:ascii="仿宋" w:hAnsi="仿宋" w:eastAsia="仿宋"/>
          <w:b/>
          <w:color w:val="auto"/>
          <w:sz w:val="21"/>
          <w:szCs w:val="21"/>
        </w:rPr>
      </w:pPr>
      <w:bookmarkStart w:id="30" w:name="_Toc126962046"/>
      <w:r>
        <w:rPr>
          <w:rFonts w:hint="eastAsia" w:ascii="仿宋" w:hAnsi="仿宋" w:eastAsia="仿宋"/>
          <w:b/>
          <w:color w:val="auto"/>
          <w:sz w:val="21"/>
          <w:szCs w:val="21"/>
        </w:rPr>
        <w:t>附件二：云港城项目</w:t>
      </w:r>
      <w:r>
        <w:rPr>
          <w:rFonts w:ascii="仿宋" w:hAnsi="仿宋" w:eastAsia="仿宋"/>
          <w:b/>
          <w:color w:val="auto"/>
          <w:sz w:val="21"/>
          <w:szCs w:val="21"/>
        </w:rPr>
        <w:t>4号</w:t>
      </w:r>
      <w:r>
        <w:rPr>
          <w:rFonts w:hint="eastAsia" w:ascii="仿宋" w:hAnsi="仿宋" w:eastAsia="仿宋"/>
          <w:b/>
          <w:color w:val="auto"/>
          <w:sz w:val="21"/>
          <w:szCs w:val="21"/>
        </w:rPr>
        <w:t>地块电梯专业技术要求（含电梯参数表）</w:t>
      </w:r>
      <w:bookmarkEnd w:id="30"/>
    </w:p>
    <w:p>
      <w:pPr>
        <w:overflowPunct w:val="0"/>
        <w:snapToGrid w:val="0"/>
        <w:spacing w:line="360" w:lineRule="auto"/>
        <w:outlineLvl w:val="0"/>
        <w:rPr>
          <w:rFonts w:ascii="仿宋" w:hAnsi="仿宋" w:eastAsia="仿宋"/>
          <w:color w:val="auto"/>
          <w:sz w:val="21"/>
          <w:szCs w:val="21"/>
        </w:rPr>
      </w:pPr>
      <w:bookmarkStart w:id="31" w:name="_Toc126962047"/>
      <w:r>
        <w:rPr>
          <w:rFonts w:hint="eastAsia" w:ascii="仿宋" w:hAnsi="仿宋" w:eastAsia="仿宋"/>
          <w:color w:val="auto"/>
          <w:sz w:val="21"/>
          <w:szCs w:val="21"/>
        </w:rPr>
        <w:t>2.1.1 云港城项目4#地块垂直梯招标技术文件（T1、T2、T6）（另册）</w:t>
      </w:r>
      <w:bookmarkEnd w:id="31"/>
    </w:p>
    <w:p>
      <w:pPr>
        <w:overflowPunct w:val="0"/>
        <w:snapToGrid w:val="0"/>
        <w:spacing w:line="360" w:lineRule="auto"/>
        <w:outlineLvl w:val="0"/>
        <w:rPr>
          <w:rFonts w:ascii="仿宋" w:hAnsi="仿宋" w:eastAsia="仿宋"/>
          <w:color w:val="auto"/>
          <w:sz w:val="21"/>
          <w:szCs w:val="21"/>
        </w:rPr>
      </w:pPr>
      <w:bookmarkStart w:id="32" w:name="_Toc126962048"/>
      <w:r>
        <w:rPr>
          <w:rFonts w:hint="eastAsia" w:ascii="仿宋" w:hAnsi="仿宋" w:eastAsia="仿宋"/>
          <w:color w:val="auto"/>
          <w:sz w:val="21"/>
          <w:szCs w:val="21"/>
        </w:rPr>
        <w:t>2.1.2 云港城项目4#地块垂直梯招标技术文件（T3~T5、商业）</w:t>
      </w:r>
      <w:bookmarkEnd w:id="32"/>
    </w:p>
    <w:p>
      <w:pPr>
        <w:overflowPunct w:val="0"/>
        <w:snapToGrid w:val="0"/>
        <w:spacing w:line="360" w:lineRule="auto"/>
        <w:outlineLvl w:val="0"/>
        <w:rPr>
          <w:rFonts w:ascii="仿宋" w:hAnsi="仿宋" w:eastAsia="仿宋"/>
          <w:color w:val="auto"/>
          <w:sz w:val="21"/>
          <w:szCs w:val="21"/>
        </w:rPr>
      </w:pPr>
      <w:bookmarkStart w:id="33" w:name="_Toc126962049"/>
      <w:r>
        <w:rPr>
          <w:rFonts w:hint="eastAsia" w:ascii="仿宋" w:hAnsi="仿宋" w:eastAsia="仿宋"/>
          <w:color w:val="auto"/>
          <w:sz w:val="21"/>
          <w:szCs w:val="21"/>
        </w:rPr>
        <w:t>2.1.3 云港城项目4号地块垂直梯招标参数表（另册）</w:t>
      </w:r>
      <w:bookmarkEnd w:id="33"/>
    </w:p>
    <w:p>
      <w:pPr>
        <w:overflowPunct w:val="0"/>
        <w:snapToGrid w:val="0"/>
        <w:spacing w:line="360" w:lineRule="auto"/>
        <w:outlineLvl w:val="0"/>
        <w:rPr>
          <w:rFonts w:ascii="仿宋" w:hAnsi="仿宋" w:eastAsia="仿宋"/>
          <w:color w:val="auto"/>
          <w:sz w:val="21"/>
          <w:szCs w:val="21"/>
        </w:rPr>
      </w:pPr>
      <w:bookmarkStart w:id="34" w:name="_Toc126962050"/>
      <w:r>
        <w:rPr>
          <w:rFonts w:hint="eastAsia" w:ascii="仿宋" w:hAnsi="仿宋" w:eastAsia="仿宋"/>
          <w:color w:val="auto"/>
          <w:sz w:val="21"/>
          <w:szCs w:val="21"/>
        </w:rPr>
        <w:t>2.2.1 云港城项目4#地块扶梯招标技术文件（T1-FT01~FT02，T2-FT01~02，T6-FT01~02）（另册）</w:t>
      </w:r>
    </w:p>
    <w:p>
      <w:pPr>
        <w:overflowPunct w:val="0"/>
        <w:snapToGrid w:val="0"/>
        <w:spacing w:line="360" w:lineRule="auto"/>
        <w:outlineLvl w:val="0"/>
        <w:rPr>
          <w:rFonts w:ascii="仿宋" w:hAnsi="仿宋" w:eastAsia="仿宋"/>
          <w:color w:val="auto"/>
          <w:sz w:val="21"/>
          <w:szCs w:val="21"/>
        </w:rPr>
      </w:pPr>
      <w:r>
        <w:rPr>
          <w:rFonts w:hint="eastAsia" w:ascii="仿宋" w:hAnsi="仿宋" w:eastAsia="仿宋"/>
          <w:color w:val="auto"/>
          <w:sz w:val="21"/>
          <w:szCs w:val="21"/>
        </w:rPr>
        <w:t>2.2.2 云港城项目4#地块扶梯招标技术文件（C-FT01~FT02, T3-FT01~FT02）（另册）</w:t>
      </w:r>
    </w:p>
    <w:p>
      <w:pPr>
        <w:overflowPunct w:val="0"/>
        <w:snapToGrid w:val="0"/>
        <w:spacing w:line="360" w:lineRule="auto"/>
        <w:outlineLvl w:val="0"/>
        <w:rPr>
          <w:rFonts w:ascii="仿宋" w:hAnsi="仿宋" w:eastAsia="仿宋"/>
          <w:color w:val="auto"/>
          <w:sz w:val="21"/>
          <w:szCs w:val="21"/>
        </w:rPr>
      </w:pPr>
      <w:r>
        <w:rPr>
          <w:rFonts w:hint="eastAsia" w:ascii="仿宋" w:hAnsi="仿宋" w:eastAsia="仿宋"/>
          <w:color w:val="auto"/>
          <w:sz w:val="21"/>
          <w:szCs w:val="21"/>
        </w:rPr>
        <w:t>2.2.3 云港城项目4号地扶梯技术规格表（另册）</w:t>
      </w:r>
      <w:bookmarkEnd w:id="34"/>
    </w:p>
    <w:p>
      <w:pPr>
        <w:overflowPunct w:val="0"/>
        <w:snapToGrid w:val="0"/>
        <w:spacing w:before="231" w:beforeLines="50" w:line="360" w:lineRule="auto"/>
        <w:outlineLvl w:val="0"/>
        <w:rPr>
          <w:color w:val="auto"/>
        </w:rPr>
      </w:pPr>
      <w:bookmarkStart w:id="35" w:name="_Toc126962052"/>
      <w:r>
        <w:rPr>
          <w:rFonts w:ascii="仿宋" w:hAnsi="仿宋" w:eastAsia="仿宋"/>
          <w:b/>
          <w:color w:val="auto"/>
          <w:sz w:val="21"/>
          <w:szCs w:val="21"/>
        </w:rPr>
        <w:t>附件</w:t>
      </w:r>
      <w:r>
        <w:rPr>
          <w:rFonts w:hint="eastAsia" w:ascii="仿宋" w:hAnsi="仿宋" w:eastAsia="仿宋"/>
          <w:b/>
          <w:color w:val="auto"/>
          <w:sz w:val="21"/>
          <w:szCs w:val="21"/>
        </w:rPr>
        <w:t>三</w:t>
      </w:r>
      <w:r>
        <w:rPr>
          <w:rFonts w:ascii="仿宋" w:hAnsi="仿宋" w:eastAsia="仿宋"/>
          <w:b/>
          <w:color w:val="auto"/>
          <w:sz w:val="21"/>
          <w:szCs w:val="21"/>
        </w:rPr>
        <w:t>：</w:t>
      </w:r>
      <w:r>
        <w:rPr>
          <w:rFonts w:hint="eastAsia" w:ascii="仿宋" w:hAnsi="仿宋" w:eastAsia="仿宋"/>
          <w:b/>
          <w:color w:val="auto"/>
          <w:sz w:val="21"/>
          <w:szCs w:val="21"/>
        </w:rPr>
        <w:t>云港城项目</w:t>
      </w:r>
      <w:r>
        <w:rPr>
          <w:rFonts w:ascii="仿宋" w:hAnsi="仿宋" w:eastAsia="仿宋"/>
          <w:b/>
          <w:color w:val="auto"/>
          <w:sz w:val="21"/>
          <w:szCs w:val="21"/>
        </w:rPr>
        <w:t>4#</w:t>
      </w:r>
      <w:r>
        <w:rPr>
          <w:rFonts w:hint="eastAsia" w:ascii="仿宋" w:hAnsi="仿宋" w:eastAsia="仿宋"/>
          <w:b/>
          <w:color w:val="auto"/>
          <w:sz w:val="21"/>
          <w:szCs w:val="21"/>
        </w:rPr>
        <w:t>地块电梯安装工程报价清单（另册）</w:t>
      </w:r>
      <w:bookmarkEnd w:id="35"/>
    </w:p>
    <w:p>
      <w:pPr>
        <w:widowControl/>
        <w:autoSpaceDE/>
        <w:autoSpaceDN/>
        <w:adjustRightInd/>
        <w:rPr>
          <w:rFonts w:ascii="仿宋" w:hAnsi="仿宋" w:eastAsia="仿宋"/>
          <w:b/>
          <w:color w:val="auto"/>
          <w:sz w:val="21"/>
          <w:szCs w:val="21"/>
        </w:rPr>
      </w:pPr>
      <w:r>
        <w:rPr>
          <w:rFonts w:ascii="仿宋" w:hAnsi="仿宋" w:eastAsia="仿宋"/>
          <w:b/>
          <w:color w:val="auto"/>
          <w:sz w:val="21"/>
          <w:szCs w:val="21"/>
        </w:rPr>
        <w:br w:type="page"/>
      </w:r>
    </w:p>
    <w:p>
      <w:pPr>
        <w:pStyle w:val="10"/>
        <w:snapToGrid w:val="0"/>
        <w:spacing w:after="0" w:line="360" w:lineRule="auto"/>
        <w:ind w:left="0" w:leftChars="0"/>
        <w:outlineLvl w:val="0"/>
        <w:rPr>
          <w:rFonts w:ascii="仿宋" w:hAnsi="仿宋" w:eastAsia="仿宋"/>
          <w:b/>
          <w:color w:val="auto"/>
          <w:sz w:val="21"/>
          <w:szCs w:val="21"/>
        </w:rPr>
      </w:pPr>
      <w:bookmarkStart w:id="36" w:name="_Toc126962053"/>
      <w:r>
        <w:rPr>
          <w:rFonts w:hint="eastAsia" w:ascii="仿宋" w:hAnsi="仿宋" w:eastAsia="仿宋"/>
          <w:b/>
          <w:color w:val="auto"/>
          <w:sz w:val="21"/>
          <w:szCs w:val="21"/>
        </w:rPr>
        <w:t>附件四：工程建设项目廉政责任书</w:t>
      </w:r>
      <w:bookmarkEnd w:id="36"/>
    </w:p>
    <w:p>
      <w:pPr>
        <w:snapToGrid w:val="0"/>
        <w:spacing w:before="231" w:beforeLines="50" w:after="231" w:afterLines="50" w:line="360" w:lineRule="auto"/>
        <w:jc w:val="center"/>
        <w:rPr>
          <w:rFonts w:ascii="楷体" w:hAnsi="楷体" w:eastAsia="楷体"/>
          <w:b/>
          <w:bCs/>
          <w:color w:val="auto"/>
          <w:sz w:val="32"/>
          <w:szCs w:val="32"/>
        </w:rPr>
      </w:pPr>
      <w:r>
        <w:rPr>
          <w:rFonts w:hint="eastAsia" w:ascii="楷体" w:hAnsi="楷体" w:eastAsia="楷体"/>
          <w:b/>
          <w:bCs/>
          <w:color w:val="auto"/>
          <w:sz w:val="32"/>
          <w:szCs w:val="32"/>
        </w:rPr>
        <w:t>工程建设项目廉政责任书</w:t>
      </w:r>
    </w:p>
    <w:p>
      <w:pPr>
        <w:snapToGrid w:val="0"/>
        <w:spacing w:line="360" w:lineRule="auto"/>
        <w:rPr>
          <w:rFonts w:ascii="楷体" w:hAnsi="楷体" w:eastAsia="楷体"/>
          <w:color w:val="auto"/>
          <w:sz w:val="24"/>
          <w:szCs w:val="24"/>
        </w:rPr>
      </w:pPr>
      <w:r>
        <w:rPr>
          <w:rFonts w:hint="eastAsia" w:ascii="楷体" w:hAnsi="楷体" w:eastAsia="楷体"/>
          <w:color w:val="auto"/>
          <w:sz w:val="24"/>
          <w:szCs w:val="24"/>
        </w:rPr>
        <w:t>承包人： 中国建筑第五工程局有限公司</w:t>
      </w:r>
    </w:p>
    <w:p>
      <w:pPr>
        <w:snapToGrid w:val="0"/>
        <w:spacing w:line="360" w:lineRule="auto"/>
        <w:rPr>
          <w:rFonts w:ascii="楷体" w:hAnsi="楷体" w:eastAsia="楷体"/>
          <w:color w:val="auto"/>
          <w:sz w:val="24"/>
          <w:szCs w:val="24"/>
        </w:rPr>
      </w:pPr>
      <w:r>
        <w:rPr>
          <w:rFonts w:hint="eastAsia" w:ascii="楷体" w:hAnsi="楷体" w:eastAsia="楷体"/>
          <w:color w:val="auto"/>
          <w:sz w:val="24"/>
          <w:szCs w:val="24"/>
        </w:rPr>
        <w:t>分包人：</w:t>
      </w:r>
    </w:p>
    <w:p>
      <w:pPr>
        <w:widowControl/>
        <w:spacing w:line="360" w:lineRule="auto"/>
        <w:ind w:firstLine="556"/>
        <w:rPr>
          <w:rFonts w:ascii="楷体" w:hAnsi="楷体" w:eastAsia="楷体" w:cs="Arial Unicode MS"/>
          <w:color w:val="auto"/>
          <w:sz w:val="24"/>
          <w:szCs w:val="24"/>
        </w:rPr>
      </w:pPr>
      <w:r>
        <w:rPr>
          <w:rFonts w:hint="eastAsia" w:ascii="楷体" w:hAnsi="楷体" w:eastAsia="楷体" w:cs="Arial Unicode MS"/>
          <w:color w:val="auto"/>
          <w:sz w:val="24"/>
          <w:szCs w:val="24"/>
        </w:rPr>
        <w:t>为加强工程建设中的廉政建设，规范工程建设中双方的各项活动，防止发生各种谋取不正当利益的违法违纪行为，保护国家和当事人的合法权益，根据国家有关工程建设的法律法规和廉政建设责任制规定，特订立本廉政责任书。</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第一条　双方的责任</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（一）应严格遵守国家关于市场准入、项目招标投标、工程建设、施工安装和市场活动等有关法律、法规，相关政策，以及廉政建设的各项规定。</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（二）严格履行工程建设项目中所签订的所有合同文件，自觉按合同办事。</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（三）业务活动必须坚持公开、公平、公正、诚信、透明的原则（除法律法规另有规定者外），不得为获取不正当的利益，损害国家和对方利益，不得违反工程建设管理、施工安装的规章制度。</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四）教育、监督本身所有相关人员(包括担任领导职务人员，下同。)（以下称本身人员或有关人员）廉洁、尽职地工作，制定和严格执行相关规章制度，防范和严肃查处本身人员违法、违纪利用工作便利谋取个人利益的行为。</w:t>
      </w:r>
    </w:p>
    <w:p>
      <w:pPr>
        <w:widowControl/>
        <w:spacing w:line="360" w:lineRule="auto"/>
        <w:ind w:firstLine="556"/>
        <w:rPr>
          <w:rFonts w:ascii="楷体" w:hAnsi="楷体" w:eastAsia="楷体" w:cs="Arial Unicode MS"/>
          <w:color w:val="auto"/>
          <w:sz w:val="24"/>
          <w:szCs w:val="24"/>
        </w:rPr>
      </w:pPr>
      <w:r>
        <w:rPr>
          <w:rFonts w:hint="eastAsia" w:ascii="楷体" w:hAnsi="楷体" w:eastAsia="楷体" w:cs="Arial Unicode MS"/>
          <w:color w:val="auto"/>
          <w:sz w:val="24"/>
          <w:szCs w:val="24"/>
        </w:rPr>
        <w:t>（五）不得向另一方的相关人员提供第二条或第三条各项所列个人利益，双方的合同另有明文规定的奖励、考察不受此限。</w:t>
      </w:r>
    </w:p>
    <w:p>
      <w:pPr>
        <w:widowControl/>
        <w:spacing w:line="360" w:lineRule="auto"/>
        <w:ind w:firstLine="556"/>
        <w:rPr>
          <w:rFonts w:ascii="楷体" w:hAnsi="楷体" w:eastAsia="楷体" w:cs="Arial Unicode MS"/>
          <w:color w:val="auto"/>
          <w:sz w:val="24"/>
          <w:szCs w:val="24"/>
        </w:rPr>
      </w:pPr>
      <w:r>
        <w:rPr>
          <w:rFonts w:hint="eastAsia" w:ascii="楷体" w:hAnsi="楷体" w:eastAsia="楷体" w:cs="Arial Unicode MS"/>
          <w:color w:val="auto"/>
          <w:sz w:val="24"/>
          <w:szCs w:val="24"/>
        </w:rPr>
        <w:t>(六)发现另一方或其有关人员在业务活动中有违规、违纪、违法行为的，应及时提醒、告知另一方，另一方应依照法律法规、相关合同，认真调查并处理。另一方或其有关人员该等行为情节严重的，任何一方均应向其上级主管部门或纪检监察、司法等有关机关举报。</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第二条　承包人的责任</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承包人应教育和监督本方与该工程建设项目有关的人员，在工程建设的事前、事中、事后均严格遵守以下规定：</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（一）不准向分包人和相关单位（包括但不限于施工单位、勘察、设计单位、设备或原材料供应单位，下同）索要或接受回扣、礼金、红包、有价证券、物品和好处费、感谢费等。</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（二）不准在分包人和相关单位报销任何应由承包人或个人支付的费用。</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（三）不准要求、暗示和接受分包人和相关单位为个人装修住房、婚丧嫁娶、配偶子女的工作安排以及出国（境）、旅游（双方相关合同所规定的考察不受此限）等提供方便。</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（四）不准参加有可能影响公正执行公务的分包人和相关单位的宴请、健身、娱乐等活动。</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五）不准向分包人介绍或为配偶、子女、亲属参与同承包人【云港城项目4#地块电梯安装工程合同及其他相关合同】有关的设备、材料、工程分包、劳务等经济活动。不得以任何理由向分包人和相关单位推荐分包单位和要求分包人购买【云港城项目4#地块电梯安装工程合同及其他相关合同】规定以外的材料、设备等（该【等】合同所规定的属于承包人、由承包人行使的相关权利不受此限）。</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第三条　分包人的责任</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应与承包人保持正常的业务交往，按照有关法律法规和程序开展业务工作，严格执行工程建设的有关方针、政策，尤其是有关建筑施工、安装及【云港城项目4#地块电梯安装工程合同】的强制性标准和规范，并教育和监督其领导和有关人员严格遵守以下规定：</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（一）不准以任何理由向承包人、相关单位及其工作人员索要、接受或赠送礼金、红包、有价证券、贵重物品和回扣、好处费、感谢费等。</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（二）不准以任何理由为承包人和相关单位报销应由对方或个人支付的费用。</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（三）不准接受或暗示为承包人、相关单位或个人装修住房、婚丧嫁娶、配偶子女的工作安排以及出国（境）、旅游等提供方便。</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（四）不准以任何理由为承包人、相关单位或个人组织有可能影响公正执行公务的宴请、健身、娱乐等活动。</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第四条　法律和纪律责任</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一）承包人工作人员有违反本责任书第一、二条谋取个人利益行为的，分包人应向承包人或有关机关举报，承包人应按照管理权限调查核实，并依据有关法律法规和规定给予党纪、政纪处分或公司制度项下处分处理；涉嫌犯罪的，向司法机关举报，追究刑事责任。</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二）分包人工作人员有违反本责任书第一、三条谋取个人利益行为的，承包人应向分包人或有关机关举报，分包人应按照管理权限调查核实，并依据有关法律法规和规定给予党纪、政纪处分或公司制度项下处分处理；涉嫌犯罪的，向司法机关举报，追究刑事责任。</w:t>
      </w:r>
    </w:p>
    <w:p>
      <w:pPr>
        <w:widowControl/>
        <w:spacing w:line="360" w:lineRule="auto"/>
        <w:ind w:firstLine="556"/>
        <w:rPr>
          <w:rFonts w:ascii="楷体" w:hAnsi="楷体" w:eastAsia="楷体" w:cs="Arial Unicode MS"/>
          <w:color w:val="auto"/>
          <w:sz w:val="24"/>
          <w:szCs w:val="24"/>
        </w:rPr>
      </w:pPr>
      <w:r>
        <w:rPr>
          <w:rFonts w:hint="eastAsia" w:ascii="楷体" w:hAnsi="楷体" w:eastAsia="楷体" w:cs="Arial Unicode MS"/>
          <w:color w:val="auto"/>
          <w:sz w:val="24"/>
          <w:szCs w:val="24"/>
        </w:rPr>
        <w:t>（三）A方（指任何一方，下同）向B方（指另一方，下同）有关人员提供前述各条所禁止提供或收受的个人利益的，无论是否依B方有关人员的要求提供，也无论通过何种方式、何人提供，均须承担全部相应的法律责任，包括但不限于赔偿B方因该等不正当收受利益人员有关失职行为所发生的全部损失。B方并有权解除合同。B方有关人员未接受A方所给付的该等利益的，或其接受后未发现其失职造成B方损失的，或B方所发生的损失或部分损失难以计算的,按提供给B方人员个人利益每人次须付50万元计算违约金。</w:t>
      </w:r>
    </w:p>
    <w:p>
      <w:pPr>
        <w:widowControl/>
        <w:spacing w:line="360" w:lineRule="auto"/>
        <w:ind w:firstLine="556"/>
        <w:rPr>
          <w:rFonts w:ascii="楷体" w:hAnsi="楷体" w:eastAsia="楷体" w:cs="Arial Unicode MS"/>
          <w:color w:val="auto"/>
          <w:sz w:val="24"/>
          <w:szCs w:val="24"/>
        </w:rPr>
      </w:pPr>
      <w:r>
        <w:rPr>
          <w:rFonts w:hint="eastAsia" w:ascii="楷体" w:hAnsi="楷体" w:eastAsia="楷体" w:cs="Arial Unicode MS"/>
          <w:color w:val="auto"/>
          <w:sz w:val="24"/>
          <w:szCs w:val="24"/>
        </w:rPr>
        <w:t>（四）B方有关人员因索要前述禁止的个人利益未成功而未正常处理有关工作，造成B方违反合同的，B方须向A方承担违约责任，赔偿A方全部损失。[注:在本条第（三）、（四）、（五）款中A、B方在实际情况中可能为承包人，亦可能为分包人，届时根据实际情况确定，在此仅为表述方便而给与该种称代方式。]</w:t>
      </w:r>
    </w:p>
    <w:p>
      <w:pPr>
        <w:widowControl/>
        <w:spacing w:line="360" w:lineRule="auto"/>
        <w:ind w:firstLine="556"/>
        <w:rPr>
          <w:rFonts w:ascii="楷体" w:hAnsi="楷体" w:eastAsia="楷体" w:cs="Arial Unicode MS"/>
          <w:color w:val="auto"/>
          <w:sz w:val="24"/>
          <w:szCs w:val="24"/>
        </w:rPr>
      </w:pPr>
      <w:r>
        <w:rPr>
          <w:rFonts w:hint="eastAsia" w:ascii="楷体" w:hAnsi="楷体" w:eastAsia="楷体" w:cs="Arial Unicode MS"/>
          <w:color w:val="auto"/>
          <w:sz w:val="24"/>
          <w:szCs w:val="24"/>
        </w:rPr>
        <w:t>（五）B方有关人员因索要前述禁止的个人利益未成功而刁难A方，致使A方履行合同发生障碍或困难的，A方应向B方举报，B方除应按前述规定调查处理外，并应采取有效措施排除或协助、配合A方排除A方履行合同中因此发生的障碍或困难，并承担A方履行合同发生障碍、困难引致的后果。</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第五条　本责任书作为【粤海·云港城项目4#地块电梯安装工程合同】的附件，与【云港城项目4#地块电梯安装工程合同】具有同等法律效力。经双方签署后立即生效。</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第六条　本责任书的有效期为双方签署之日起至【该】工程建设项目竣工验收合格时止。</w:t>
      </w:r>
      <w:r>
        <w:rPr>
          <w:rFonts w:ascii="楷体" w:hAnsi="楷体" w:eastAsia="楷体" w:cs="Arial Unicode MS"/>
          <w:color w:val="auto"/>
          <w:sz w:val="24"/>
          <w:szCs w:val="24"/>
        </w:rPr>
        <w:br w:type="textWrapping"/>
      </w:r>
      <w:r>
        <w:rPr>
          <w:rFonts w:hint="eastAsia" w:ascii="楷体" w:hAnsi="楷体" w:eastAsia="楷体" w:cs="Arial Unicode MS"/>
          <w:color w:val="auto"/>
          <w:sz w:val="24"/>
          <w:szCs w:val="24"/>
        </w:rPr>
        <w:t xml:space="preserve">   </w:t>
      </w:r>
    </w:p>
    <w:p>
      <w:pPr>
        <w:snapToGrid w:val="0"/>
        <w:spacing w:line="360" w:lineRule="auto"/>
        <w:ind w:firstLine="532" w:firstLineChars="222"/>
        <w:rPr>
          <w:rFonts w:ascii="楷体" w:hAnsi="楷体" w:eastAsia="楷体"/>
          <w:color w:val="auto"/>
          <w:sz w:val="24"/>
          <w:szCs w:val="24"/>
        </w:rPr>
      </w:pPr>
    </w:p>
    <w:p>
      <w:pPr>
        <w:tabs>
          <w:tab w:val="left" w:pos="200"/>
        </w:tabs>
        <w:spacing w:line="360" w:lineRule="auto"/>
        <w:rPr>
          <w:rFonts w:ascii="楷体" w:hAnsi="楷体" w:eastAsia="楷体"/>
          <w:color w:val="auto"/>
          <w:sz w:val="24"/>
          <w:szCs w:val="24"/>
          <w:u w:val="single"/>
        </w:rPr>
      </w:pPr>
      <w:r>
        <w:rPr>
          <w:rFonts w:hint="eastAsia" w:ascii="楷体" w:hAnsi="楷体" w:eastAsia="楷体"/>
          <w:color w:val="auto"/>
          <w:sz w:val="24"/>
          <w:szCs w:val="24"/>
        </w:rPr>
        <w:t xml:space="preserve">承包人（公章）： </w:t>
      </w:r>
    </w:p>
    <w:p>
      <w:pPr>
        <w:tabs>
          <w:tab w:val="left" w:pos="200"/>
        </w:tabs>
        <w:spacing w:line="360" w:lineRule="auto"/>
        <w:rPr>
          <w:rFonts w:ascii="楷体" w:hAnsi="楷体" w:eastAsia="楷体"/>
          <w:color w:val="auto"/>
          <w:sz w:val="24"/>
          <w:szCs w:val="24"/>
        </w:rPr>
      </w:pPr>
      <w:r>
        <w:rPr>
          <w:rFonts w:hint="eastAsia" w:ascii="楷体" w:hAnsi="楷体" w:eastAsia="楷体"/>
          <w:color w:val="auto"/>
          <w:sz w:val="24"/>
          <w:szCs w:val="24"/>
        </w:rPr>
        <w:t xml:space="preserve">法定代表人或委托代理人：              </w:t>
      </w:r>
    </w:p>
    <w:p>
      <w:pPr>
        <w:spacing w:line="360" w:lineRule="auto"/>
        <w:rPr>
          <w:rFonts w:ascii="楷体" w:hAnsi="楷体" w:eastAsia="楷体"/>
          <w:color w:val="auto"/>
          <w:sz w:val="24"/>
          <w:szCs w:val="24"/>
          <w:u w:val="single"/>
        </w:rPr>
      </w:pPr>
    </w:p>
    <w:p>
      <w:pPr>
        <w:tabs>
          <w:tab w:val="left" w:pos="630"/>
        </w:tabs>
        <w:spacing w:line="480" w:lineRule="auto"/>
        <w:rPr>
          <w:rFonts w:ascii="楷体" w:hAnsi="楷体" w:eastAsia="楷体"/>
          <w:color w:val="auto"/>
          <w:sz w:val="24"/>
          <w:szCs w:val="24"/>
        </w:rPr>
      </w:pPr>
    </w:p>
    <w:p>
      <w:pPr>
        <w:tabs>
          <w:tab w:val="left" w:pos="630"/>
        </w:tabs>
        <w:spacing w:line="480" w:lineRule="auto"/>
        <w:rPr>
          <w:rFonts w:ascii="楷体" w:hAnsi="楷体" w:eastAsia="楷体"/>
          <w:color w:val="auto"/>
          <w:sz w:val="24"/>
          <w:szCs w:val="24"/>
        </w:rPr>
      </w:pPr>
      <w:r>
        <w:rPr>
          <w:rFonts w:hint="eastAsia" w:ascii="楷体" w:hAnsi="楷体" w:eastAsia="楷体"/>
          <w:color w:val="auto"/>
          <w:sz w:val="24"/>
          <w:szCs w:val="24"/>
        </w:rPr>
        <w:t xml:space="preserve">分包人（公章）： </w:t>
      </w:r>
    </w:p>
    <w:p>
      <w:pPr>
        <w:tabs>
          <w:tab w:val="left" w:pos="630"/>
        </w:tabs>
        <w:spacing w:line="480" w:lineRule="auto"/>
        <w:rPr>
          <w:rFonts w:asciiTheme="minorEastAsia" w:hAnsiTheme="minorEastAsia" w:eastAsiaTheme="minorEastAsia"/>
          <w:color w:val="auto"/>
          <w:sz w:val="24"/>
          <w:szCs w:val="24"/>
        </w:rPr>
      </w:pPr>
      <w:r>
        <w:rPr>
          <w:rFonts w:hint="eastAsia" w:ascii="楷体" w:hAnsi="楷体" w:eastAsia="楷体"/>
          <w:color w:val="auto"/>
          <w:sz w:val="24"/>
          <w:szCs w:val="24"/>
        </w:rPr>
        <w:t>法定代表人或委托代理人：</w:t>
      </w:r>
    </w:p>
    <w:p>
      <w:pPr>
        <w:pStyle w:val="32"/>
        <w:spacing w:before="231"/>
        <w:rPr>
          <w:color w:val="auto"/>
        </w:rPr>
      </w:pPr>
      <w:r>
        <w:rPr>
          <w:rFonts w:hint="eastAsia"/>
          <w:color w:val="auto"/>
        </w:rPr>
        <w:t xml:space="preserve">  </w:t>
      </w:r>
    </w:p>
    <w:p>
      <w:pPr>
        <w:rPr>
          <w:color w:val="auto"/>
        </w:rPr>
      </w:pPr>
    </w:p>
    <w:p>
      <w:pPr>
        <w:rPr>
          <w:color w:val="auto"/>
        </w:rPr>
      </w:pPr>
    </w:p>
    <w:p>
      <w:pPr>
        <w:rPr>
          <w:color w:val="auto"/>
        </w:rPr>
      </w:pPr>
    </w:p>
    <w:p>
      <w:pPr>
        <w:rPr>
          <w:color w:val="auto"/>
        </w:rPr>
      </w:pPr>
    </w:p>
    <w:p>
      <w:pPr>
        <w:rPr>
          <w:color w:val="auto"/>
        </w:rPr>
      </w:pPr>
    </w:p>
    <w:p>
      <w:pPr>
        <w:jc w:val="center"/>
        <w:rPr>
          <w:b/>
          <w:color w:val="auto"/>
        </w:rPr>
      </w:pPr>
    </w:p>
    <w:p>
      <w:pPr>
        <w:rPr>
          <w:color w:val="auto"/>
        </w:rPr>
      </w:pPr>
      <w:r>
        <w:rPr>
          <w:color w:val="auto"/>
        </w:rPr>
        <w:br w:type="page"/>
      </w:r>
    </w:p>
    <w:p>
      <w:pPr>
        <w:pStyle w:val="10"/>
        <w:snapToGrid w:val="0"/>
        <w:spacing w:after="0" w:line="360" w:lineRule="auto"/>
        <w:ind w:left="0" w:leftChars="0"/>
        <w:outlineLvl w:val="0"/>
        <w:rPr>
          <w:rFonts w:ascii="仿宋" w:hAnsi="仿宋" w:eastAsia="仿宋"/>
          <w:b/>
          <w:color w:val="auto"/>
          <w:sz w:val="21"/>
          <w:szCs w:val="21"/>
        </w:rPr>
      </w:pPr>
      <w:bookmarkStart w:id="37" w:name="_Toc126962054"/>
      <w:r>
        <w:rPr>
          <w:rFonts w:hint="eastAsia" w:ascii="仿宋" w:hAnsi="仿宋" w:eastAsia="仿宋"/>
          <w:b/>
          <w:color w:val="auto"/>
          <w:sz w:val="21"/>
          <w:szCs w:val="21"/>
        </w:rPr>
        <w:t>附件五：履约保函（样式）</w:t>
      </w:r>
      <w:bookmarkEnd w:id="37"/>
    </w:p>
    <w:p>
      <w:pPr>
        <w:snapToGrid w:val="0"/>
        <w:spacing w:line="360" w:lineRule="auto"/>
        <w:jc w:val="center"/>
        <w:rPr>
          <w:rFonts w:ascii="楷体_GB2312" w:eastAsia="楷体_GB2312"/>
          <w:b/>
          <w:color w:val="auto"/>
          <w:sz w:val="32"/>
          <w:szCs w:val="28"/>
        </w:rPr>
      </w:pPr>
      <w:r>
        <w:rPr>
          <w:rFonts w:hint="eastAsia" w:ascii="楷体_GB2312" w:eastAsia="楷体_GB2312"/>
          <w:b/>
          <w:color w:val="auto"/>
          <w:sz w:val="32"/>
          <w:szCs w:val="28"/>
        </w:rPr>
        <w:t>履约保函（样式）</w:t>
      </w:r>
    </w:p>
    <w:p>
      <w:pPr>
        <w:wordWrap w:val="0"/>
        <w:spacing w:before="120" w:after="120"/>
        <w:jc w:val="right"/>
        <w:rPr>
          <w:rFonts w:ascii="华文仿宋" w:hAnsi="华文仿宋" w:eastAsia="华文仿宋"/>
          <w:color w:val="auto"/>
          <w:sz w:val="24"/>
          <w:szCs w:val="24"/>
        </w:rPr>
      </w:pPr>
      <w:r>
        <w:rPr>
          <w:rFonts w:hint="eastAsia" w:ascii="华文仿宋" w:hAnsi="华文仿宋" w:eastAsia="华文仿宋"/>
          <w:color w:val="auto"/>
          <w:sz w:val="24"/>
          <w:szCs w:val="24"/>
        </w:rPr>
        <w:t>签发日期：</w:t>
      </w:r>
      <w:r>
        <w:rPr>
          <w:rFonts w:hint="eastAsia" w:ascii="华文仿宋" w:hAnsi="华文仿宋" w:eastAsia="华文仿宋"/>
          <w:color w:val="auto"/>
          <w:sz w:val="24"/>
          <w:szCs w:val="24"/>
          <w:u w:val="single"/>
        </w:rPr>
        <w:t xml:space="preserve">  </w:t>
      </w:r>
      <w:r>
        <w:rPr>
          <w:rFonts w:hint="eastAsia" w:ascii="华文仿宋" w:hAnsi="华文仿宋" w:eastAsia="华文仿宋"/>
          <w:color w:val="auto"/>
          <w:sz w:val="24"/>
          <w:szCs w:val="24"/>
        </w:rPr>
        <w:t>年</w:t>
      </w:r>
      <w:r>
        <w:rPr>
          <w:rFonts w:hint="eastAsia" w:ascii="华文仿宋" w:hAnsi="华文仿宋" w:eastAsia="华文仿宋"/>
          <w:color w:val="auto"/>
          <w:sz w:val="24"/>
          <w:szCs w:val="24"/>
          <w:u w:val="single"/>
        </w:rPr>
        <w:t xml:space="preserve">  </w:t>
      </w:r>
      <w:r>
        <w:rPr>
          <w:rFonts w:hint="eastAsia" w:ascii="华文仿宋" w:hAnsi="华文仿宋" w:eastAsia="华文仿宋"/>
          <w:color w:val="auto"/>
          <w:sz w:val="24"/>
          <w:szCs w:val="24"/>
        </w:rPr>
        <w:t>月</w:t>
      </w:r>
      <w:r>
        <w:rPr>
          <w:rFonts w:hint="eastAsia" w:ascii="华文仿宋" w:hAnsi="华文仿宋" w:eastAsia="华文仿宋"/>
          <w:color w:val="auto"/>
          <w:sz w:val="24"/>
          <w:szCs w:val="24"/>
          <w:u w:val="single"/>
        </w:rPr>
        <w:t xml:space="preserve">  </w:t>
      </w:r>
      <w:r>
        <w:rPr>
          <w:rFonts w:hint="eastAsia" w:ascii="华文仿宋" w:hAnsi="华文仿宋" w:eastAsia="华文仿宋"/>
          <w:color w:val="auto"/>
          <w:sz w:val="24"/>
          <w:szCs w:val="24"/>
        </w:rPr>
        <w:t>日</w:t>
      </w:r>
    </w:p>
    <w:p>
      <w:pPr>
        <w:snapToGrid w:val="0"/>
        <w:spacing w:line="360" w:lineRule="auto"/>
        <w:rPr>
          <w:rFonts w:ascii="楷体" w:hAnsi="楷体" w:eastAsia="楷体"/>
          <w:color w:val="auto"/>
          <w:sz w:val="24"/>
          <w:szCs w:val="24"/>
          <w:u w:val="single"/>
        </w:rPr>
      </w:pPr>
      <w:r>
        <w:rPr>
          <w:rFonts w:hint="eastAsia" w:ascii="楷体" w:hAnsi="楷体" w:eastAsia="楷体"/>
          <w:color w:val="auto"/>
          <w:sz w:val="24"/>
          <w:szCs w:val="24"/>
        </w:rPr>
        <w:t>致：</w:t>
      </w:r>
      <w:r>
        <w:rPr>
          <w:rFonts w:hint="eastAsia" w:ascii="楷体" w:hAnsi="楷体" w:eastAsia="楷体"/>
          <w:color w:val="auto"/>
          <w:sz w:val="24"/>
          <w:szCs w:val="24"/>
          <w:u w:val="single"/>
        </w:rPr>
        <w:t xml:space="preserve">               </w:t>
      </w:r>
      <w:r>
        <w:rPr>
          <w:rFonts w:hint="eastAsia" w:ascii="楷体" w:hAnsi="楷体" w:eastAsia="楷体"/>
          <w:color w:val="auto"/>
          <w:sz w:val="24"/>
          <w:szCs w:val="24"/>
        </w:rPr>
        <w:t>（以下简称“受益人”）：</w:t>
      </w:r>
    </w:p>
    <w:p>
      <w:pPr>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鉴于</w:t>
      </w:r>
      <w:r>
        <w:rPr>
          <w:rFonts w:hint="eastAsia" w:ascii="楷体" w:hAnsi="楷体" w:eastAsia="楷体"/>
          <w:color w:val="auto"/>
          <w:sz w:val="24"/>
          <w:szCs w:val="24"/>
          <w:u w:val="single"/>
        </w:rPr>
        <w:t xml:space="preserve">                     </w:t>
      </w:r>
      <w:r>
        <w:rPr>
          <w:rFonts w:hint="eastAsia" w:ascii="楷体" w:hAnsi="楷体" w:eastAsia="楷体"/>
          <w:color w:val="auto"/>
          <w:sz w:val="24"/>
          <w:szCs w:val="24"/>
        </w:rPr>
        <w:t>（以下简称“被担保人”）已与受益人签订了编号为</w:t>
      </w:r>
      <w:r>
        <w:rPr>
          <w:rFonts w:hint="eastAsia" w:ascii="楷体" w:hAnsi="楷体" w:eastAsia="楷体"/>
          <w:color w:val="auto"/>
          <w:sz w:val="24"/>
          <w:szCs w:val="24"/>
          <w:u w:val="single"/>
        </w:rPr>
        <w:t xml:space="preserve">            </w:t>
      </w:r>
      <w:r>
        <w:rPr>
          <w:rFonts w:hint="eastAsia" w:ascii="楷体" w:hAnsi="楷体" w:eastAsia="楷体"/>
          <w:color w:val="auto"/>
          <w:sz w:val="24"/>
          <w:szCs w:val="24"/>
        </w:rPr>
        <w:t>的《</w:t>
      </w:r>
      <w:r>
        <w:rPr>
          <w:rFonts w:hint="eastAsia" w:ascii="楷体" w:hAnsi="楷体" w:eastAsia="楷体"/>
          <w:color w:val="auto"/>
          <w:sz w:val="24"/>
          <w:szCs w:val="24"/>
          <w:u w:val="single"/>
        </w:rPr>
        <w:t>云港城项目4#地块电梯安装工程合同</w:t>
      </w:r>
      <w:r>
        <w:rPr>
          <w:rFonts w:hint="eastAsia" w:ascii="楷体" w:hAnsi="楷体" w:eastAsia="楷体"/>
          <w:color w:val="auto"/>
          <w:sz w:val="24"/>
          <w:szCs w:val="24"/>
        </w:rPr>
        <w:t>》 （以下简称“合同”），金额 （大写）：人民币</w:t>
      </w:r>
      <w:r>
        <w:rPr>
          <w:rFonts w:hint="eastAsia" w:ascii="楷体" w:hAnsi="楷体" w:eastAsia="楷体"/>
          <w:color w:val="auto"/>
          <w:sz w:val="24"/>
          <w:szCs w:val="24"/>
          <w:u w:val="single"/>
        </w:rPr>
        <w:t xml:space="preserve">             </w:t>
      </w:r>
      <w:r>
        <w:rPr>
          <w:rFonts w:hint="eastAsia" w:ascii="楷体" w:hAnsi="楷体" w:eastAsia="楷体"/>
          <w:color w:val="auto"/>
          <w:sz w:val="24"/>
          <w:szCs w:val="24"/>
        </w:rPr>
        <w:t>元（RMB</w:t>
      </w:r>
      <w:r>
        <w:rPr>
          <w:rFonts w:hint="eastAsia" w:ascii="楷体" w:hAnsi="楷体" w:eastAsia="楷体"/>
          <w:color w:val="auto"/>
          <w:sz w:val="24"/>
          <w:szCs w:val="24"/>
          <w:u w:val="single"/>
        </w:rPr>
        <w:t xml:space="preserve">        </w:t>
      </w:r>
      <w:r>
        <w:rPr>
          <w:rFonts w:hint="eastAsia" w:ascii="楷体" w:hAnsi="楷体" w:eastAsia="楷体"/>
          <w:color w:val="auto"/>
          <w:sz w:val="24"/>
          <w:szCs w:val="24"/>
        </w:rPr>
        <w:t>）。我方作为保证人，在此向受益人就被担保人履行合同提供</w:t>
      </w:r>
      <w:r>
        <w:rPr>
          <w:rFonts w:hint="eastAsia" w:ascii="楷体" w:hAnsi="楷体" w:eastAsia="楷体"/>
          <w:b/>
          <w:color w:val="auto"/>
          <w:sz w:val="24"/>
          <w:szCs w:val="24"/>
        </w:rPr>
        <w:t>不可撤销</w:t>
      </w:r>
      <w:r>
        <w:rPr>
          <w:rFonts w:hint="eastAsia" w:ascii="楷体" w:hAnsi="楷体" w:eastAsia="楷体"/>
          <w:color w:val="auto"/>
          <w:sz w:val="24"/>
          <w:szCs w:val="24"/>
        </w:rPr>
        <w:t>的</w:t>
      </w:r>
      <w:r>
        <w:rPr>
          <w:rFonts w:hint="eastAsia" w:ascii="楷体" w:hAnsi="楷体" w:eastAsia="楷体"/>
          <w:b/>
          <w:color w:val="auto"/>
          <w:sz w:val="24"/>
          <w:szCs w:val="24"/>
        </w:rPr>
        <w:t>连带责任保证担保</w:t>
      </w:r>
      <w:r>
        <w:rPr>
          <w:rFonts w:hint="eastAsia" w:ascii="楷体" w:hAnsi="楷体" w:eastAsia="楷体"/>
          <w:color w:val="auto"/>
          <w:sz w:val="24"/>
          <w:szCs w:val="24"/>
        </w:rPr>
        <w:t>：</w:t>
      </w:r>
    </w:p>
    <w:p>
      <w:pPr>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一、本保函担保的金额为（大写）人民币</w:t>
      </w:r>
      <w:r>
        <w:rPr>
          <w:rFonts w:hint="eastAsia" w:ascii="楷体" w:hAnsi="楷体" w:eastAsia="楷体"/>
          <w:color w:val="auto"/>
          <w:sz w:val="24"/>
          <w:szCs w:val="24"/>
          <w:u w:val="single"/>
        </w:rPr>
        <w:t xml:space="preserve">    </w:t>
      </w:r>
      <w:r>
        <w:rPr>
          <w:rFonts w:hint="eastAsia" w:ascii="楷体" w:hAnsi="楷体" w:eastAsia="楷体"/>
          <w:color w:val="auto"/>
          <w:sz w:val="24"/>
          <w:szCs w:val="24"/>
        </w:rPr>
        <w:t>元（RMB</w:t>
      </w:r>
      <w:r>
        <w:rPr>
          <w:rFonts w:hint="eastAsia" w:ascii="楷体" w:hAnsi="楷体" w:eastAsia="楷体"/>
          <w:color w:val="auto"/>
          <w:sz w:val="24"/>
          <w:szCs w:val="24"/>
          <w:u w:val="single"/>
        </w:rPr>
        <w:t xml:space="preserve">   </w:t>
      </w:r>
      <w:r>
        <w:rPr>
          <w:rFonts w:hint="eastAsia" w:ascii="楷体" w:hAnsi="楷体" w:eastAsia="楷体"/>
          <w:color w:val="auto"/>
          <w:sz w:val="24"/>
          <w:szCs w:val="24"/>
        </w:rPr>
        <w:t>）。</w:t>
      </w:r>
    </w:p>
    <w:p>
      <w:pPr>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二、本保函的有效期从签发之日起至合同的全部电梯竣工验收符合合同要求、取得电梯设备使用登记证且交付甲方使用后第28天止。本保函有效期即为本保函的担保期限。</w:t>
      </w:r>
    </w:p>
    <w:p>
      <w:pPr>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三、本保函为</w:t>
      </w:r>
      <w:r>
        <w:rPr>
          <w:rFonts w:hint="eastAsia" w:ascii="楷体" w:hAnsi="楷体" w:eastAsia="楷体"/>
          <w:b/>
          <w:color w:val="auto"/>
          <w:sz w:val="24"/>
          <w:szCs w:val="24"/>
        </w:rPr>
        <w:t>见索即付</w:t>
      </w:r>
      <w:r>
        <w:rPr>
          <w:rFonts w:hint="eastAsia" w:ascii="楷体" w:hAnsi="楷体" w:eastAsia="楷体"/>
          <w:color w:val="auto"/>
          <w:sz w:val="24"/>
          <w:szCs w:val="24"/>
        </w:rPr>
        <w:t>保函，在本保函的担保期限内，我方将在收到受益人经法定代表人或其授权委托代理人签字并加盖公章的书面索赔通知原件后</w:t>
      </w:r>
      <w:r>
        <w:rPr>
          <w:rFonts w:hint="eastAsia" w:ascii="楷体" w:hAnsi="楷体" w:eastAsia="楷体"/>
          <w:color w:val="auto"/>
          <w:sz w:val="24"/>
          <w:szCs w:val="24"/>
          <w:u w:val="single"/>
        </w:rPr>
        <w:t xml:space="preserve">    </w:t>
      </w:r>
      <w:r>
        <w:rPr>
          <w:rFonts w:hint="eastAsia" w:ascii="楷体" w:hAnsi="楷体" w:eastAsia="楷体"/>
          <w:color w:val="auto"/>
          <w:sz w:val="24"/>
          <w:szCs w:val="24"/>
        </w:rPr>
        <w:t>个工作日内，</w:t>
      </w:r>
      <w:r>
        <w:rPr>
          <w:rFonts w:hint="eastAsia" w:ascii="楷体" w:hAnsi="楷体" w:eastAsia="楷体"/>
          <w:b/>
          <w:color w:val="auto"/>
          <w:sz w:val="24"/>
          <w:szCs w:val="24"/>
        </w:rPr>
        <w:t>不争辩、不挑剔、不可撤销</w:t>
      </w:r>
      <w:r>
        <w:rPr>
          <w:rFonts w:hint="eastAsia" w:ascii="楷体" w:hAnsi="楷体" w:eastAsia="楷体"/>
          <w:color w:val="auto"/>
          <w:sz w:val="24"/>
          <w:szCs w:val="24"/>
        </w:rPr>
        <w:t>地向受益人支付索赔款，直至本保函担保的最高金额。</w:t>
      </w:r>
      <w:r>
        <w:rPr>
          <w:rFonts w:hint="eastAsia" w:ascii="楷体" w:hAnsi="楷体" w:eastAsia="楷体"/>
          <w:b/>
          <w:color w:val="auto"/>
          <w:sz w:val="24"/>
          <w:szCs w:val="24"/>
        </w:rPr>
        <w:t>受益人出具的书面索赔通知书无需要求证明被担保人是否违约或索赔金额是否恰当</w:t>
      </w:r>
      <w:r>
        <w:rPr>
          <w:rFonts w:hint="eastAsia" w:ascii="楷体" w:hAnsi="楷体" w:eastAsia="楷体"/>
          <w:color w:val="auto"/>
          <w:sz w:val="24"/>
          <w:szCs w:val="24"/>
        </w:rPr>
        <w:t>。</w:t>
      </w:r>
    </w:p>
    <w:p>
      <w:pPr>
        <w:snapToGrid w:val="0"/>
        <w:spacing w:line="360" w:lineRule="auto"/>
        <w:ind w:firstLine="480" w:firstLineChars="200"/>
        <w:rPr>
          <w:rFonts w:ascii="楷体" w:hAnsi="楷体" w:eastAsia="楷体"/>
          <w:color w:val="auto"/>
          <w:sz w:val="24"/>
          <w:szCs w:val="24"/>
        </w:rPr>
      </w:pPr>
      <w:r>
        <w:rPr>
          <w:rFonts w:ascii="楷体" w:hAnsi="楷体" w:eastAsia="楷体"/>
          <w:color w:val="auto"/>
          <w:sz w:val="24"/>
          <w:szCs w:val="24"/>
        </w:rPr>
        <w:t>四</w:t>
      </w:r>
      <w:r>
        <w:rPr>
          <w:rFonts w:hint="eastAsia" w:ascii="楷体" w:hAnsi="楷体" w:eastAsia="楷体"/>
          <w:color w:val="auto"/>
          <w:sz w:val="24"/>
          <w:szCs w:val="24"/>
        </w:rPr>
        <w:t>、我方出具本保函后，</w:t>
      </w:r>
      <w:r>
        <w:rPr>
          <w:rFonts w:hint="eastAsia" w:ascii="楷体" w:hAnsi="楷体" w:eastAsia="楷体"/>
          <w:b/>
          <w:color w:val="auto"/>
          <w:sz w:val="24"/>
          <w:szCs w:val="24"/>
        </w:rPr>
        <w:t>受益人与被担保人对合同进行的任何修订，或受益人对合同有关事项的任何豁免或未追究皆不会解除或减轻我方于本保函担保项下的责任</w:t>
      </w:r>
      <w:r>
        <w:rPr>
          <w:rFonts w:hint="eastAsia" w:ascii="楷体" w:hAnsi="楷体" w:eastAsia="楷体"/>
          <w:color w:val="auto"/>
          <w:sz w:val="24"/>
          <w:szCs w:val="24"/>
        </w:rPr>
        <w:t>。</w:t>
      </w:r>
    </w:p>
    <w:p>
      <w:pPr>
        <w:snapToGrid w:val="0"/>
        <w:spacing w:line="360" w:lineRule="auto"/>
        <w:ind w:firstLine="480" w:firstLineChars="200"/>
        <w:rPr>
          <w:rFonts w:ascii="楷体" w:hAnsi="楷体" w:eastAsia="楷体"/>
          <w:color w:val="auto"/>
          <w:sz w:val="24"/>
          <w:szCs w:val="24"/>
        </w:rPr>
      </w:pPr>
      <w:r>
        <w:rPr>
          <w:rFonts w:ascii="楷体" w:hAnsi="楷体" w:eastAsia="楷体"/>
          <w:color w:val="auto"/>
          <w:sz w:val="24"/>
          <w:szCs w:val="24"/>
        </w:rPr>
        <w:t>五</w:t>
      </w:r>
      <w:r>
        <w:rPr>
          <w:rFonts w:hint="eastAsia" w:ascii="楷体" w:hAnsi="楷体" w:eastAsia="楷体"/>
          <w:color w:val="auto"/>
          <w:sz w:val="24"/>
          <w:szCs w:val="24"/>
        </w:rPr>
        <w:t>、本保函有效期届满，或我方向受益人支付索赔款已达本保函担保的最高金额，我方的担保责任免除，以两者中较早发生者为准。本保函到期后无论本保函原件是否退还我方，本保函到期即自动失效。</w:t>
      </w:r>
    </w:p>
    <w:p>
      <w:pPr>
        <w:snapToGrid w:val="0"/>
        <w:spacing w:line="360" w:lineRule="auto"/>
        <w:ind w:firstLine="480" w:firstLineChars="200"/>
        <w:rPr>
          <w:rFonts w:ascii="楷体" w:hAnsi="楷体" w:eastAsia="楷体"/>
          <w:color w:val="auto"/>
          <w:sz w:val="24"/>
          <w:szCs w:val="24"/>
        </w:rPr>
      </w:pPr>
      <w:r>
        <w:rPr>
          <w:rFonts w:ascii="楷体" w:hAnsi="楷体" w:eastAsia="楷体"/>
          <w:color w:val="auto"/>
          <w:sz w:val="24"/>
          <w:szCs w:val="24"/>
        </w:rPr>
        <w:t>六</w:t>
      </w:r>
      <w:r>
        <w:rPr>
          <w:rFonts w:hint="eastAsia" w:ascii="楷体" w:hAnsi="楷体" w:eastAsia="楷体"/>
          <w:color w:val="auto"/>
          <w:sz w:val="24"/>
          <w:szCs w:val="24"/>
        </w:rPr>
        <w:t>、本保函对我方及我方继受人有不可撤销的约束力，我方自愿作出上述承诺，并清楚了解本保函法律含义。</w:t>
      </w:r>
    </w:p>
    <w:p>
      <w:pPr>
        <w:snapToGrid w:val="0"/>
        <w:spacing w:line="360" w:lineRule="auto"/>
        <w:ind w:firstLine="480" w:firstLineChars="200"/>
        <w:rPr>
          <w:rFonts w:ascii="楷体" w:hAnsi="楷体" w:eastAsia="楷体"/>
          <w:color w:val="auto"/>
          <w:sz w:val="24"/>
          <w:szCs w:val="24"/>
        </w:rPr>
      </w:pPr>
      <w:r>
        <w:rPr>
          <w:rFonts w:ascii="楷体" w:hAnsi="楷体" w:eastAsia="楷体"/>
          <w:color w:val="auto"/>
          <w:sz w:val="24"/>
          <w:szCs w:val="24"/>
        </w:rPr>
        <w:t>七</w:t>
      </w:r>
      <w:r>
        <w:rPr>
          <w:rFonts w:hint="eastAsia" w:ascii="楷体" w:hAnsi="楷体" w:eastAsia="楷体"/>
          <w:color w:val="auto"/>
          <w:sz w:val="24"/>
          <w:szCs w:val="24"/>
        </w:rPr>
        <w:t>、本保函担保项下的权利不得转让或出让，但可由受益人之继承人或其受让人继承。</w:t>
      </w:r>
    </w:p>
    <w:p>
      <w:pPr>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八、受益人提出索赔的，应按以下通讯信息向我方发出书面通知：</w:t>
      </w:r>
    </w:p>
    <w:p>
      <w:pPr>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收件人：</w:t>
      </w:r>
    </w:p>
    <w:p>
      <w:pPr>
        <w:snapToGrid w:val="0"/>
        <w:spacing w:line="360" w:lineRule="auto"/>
        <w:ind w:firstLine="480" w:firstLineChars="200"/>
        <w:rPr>
          <w:rFonts w:ascii="楷体" w:hAnsi="楷体" w:eastAsia="楷体"/>
          <w:color w:val="auto"/>
          <w:sz w:val="24"/>
          <w:szCs w:val="24"/>
        </w:rPr>
      </w:pPr>
      <w:r>
        <w:rPr>
          <w:rFonts w:ascii="楷体" w:hAnsi="楷体" w:eastAsia="楷体"/>
          <w:color w:val="auto"/>
          <w:sz w:val="24"/>
          <w:szCs w:val="24"/>
        </w:rPr>
        <w:t>通讯地址：</w:t>
      </w:r>
    </w:p>
    <w:p>
      <w:pPr>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联系电话</w:t>
      </w:r>
      <w:r>
        <w:rPr>
          <w:rFonts w:ascii="楷体" w:hAnsi="楷体" w:eastAsia="楷体"/>
          <w:color w:val="auto"/>
          <w:sz w:val="24"/>
          <w:szCs w:val="24"/>
        </w:rPr>
        <w:t>：</w:t>
      </w:r>
    </w:p>
    <w:p>
      <w:pPr>
        <w:snapToGrid w:val="0"/>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索赔通知如果通过专人送达，该通知在接收时即视为已经送达；如果通过信函邮寄方式送达，该通知在发出之日后【三】个工作日即视为已经送达。</w:t>
      </w:r>
    </w:p>
    <w:p>
      <w:pPr>
        <w:snapToGrid w:val="0"/>
        <w:spacing w:line="360" w:lineRule="auto"/>
        <w:ind w:firstLine="480" w:firstLineChars="200"/>
        <w:rPr>
          <w:rFonts w:ascii="楷体" w:hAnsi="楷体" w:eastAsia="楷体"/>
          <w:color w:val="auto"/>
          <w:sz w:val="24"/>
          <w:szCs w:val="24"/>
        </w:rPr>
      </w:pPr>
      <w:r>
        <w:rPr>
          <w:rFonts w:ascii="楷体" w:hAnsi="楷体" w:eastAsia="楷体"/>
          <w:color w:val="auto"/>
          <w:sz w:val="24"/>
          <w:szCs w:val="24"/>
        </w:rPr>
        <w:t>九</w:t>
      </w:r>
      <w:r>
        <w:rPr>
          <w:rFonts w:hint="eastAsia" w:ascii="楷体" w:hAnsi="楷体" w:eastAsia="楷体"/>
          <w:color w:val="auto"/>
          <w:sz w:val="24"/>
          <w:szCs w:val="24"/>
        </w:rPr>
        <w:t>、本保函适用中华人民共和国法律法规。</w:t>
      </w:r>
    </w:p>
    <w:p>
      <w:pPr>
        <w:widowControl/>
        <w:autoSpaceDE/>
        <w:autoSpaceDN/>
        <w:adjustRightInd/>
        <w:spacing w:line="360" w:lineRule="auto"/>
        <w:rPr>
          <w:rFonts w:ascii="华文仿宋" w:hAnsi="华文仿宋" w:eastAsia="华文仿宋"/>
          <w:color w:val="auto"/>
          <w:sz w:val="28"/>
          <w:szCs w:val="28"/>
        </w:rPr>
      </w:pPr>
      <w:r>
        <w:rPr>
          <w:rFonts w:hint="eastAsia" w:ascii="楷体" w:hAnsi="楷体" w:eastAsia="楷体"/>
          <w:color w:val="auto"/>
          <w:sz w:val="24"/>
          <w:szCs w:val="24"/>
        </w:rPr>
        <w:t>出具银行：</w:t>
      </w:r>
      <w:r>
        <w:rPr>
          <w:rFonts w:hint="eastAsia" w:ascii="华文仿宋" w:hAnsi="华文仿宋" w:eastAsia="华文仿宋"/>
          <w:color w:val="auto"/>
          <w:sz w:val="28"/>
          <w:szCs w:val="28"/>
        </w:rPr>
        <w:t xml:space="preserve"> </w:t>
      </w:r>
      <w:bookmarkStart w:id="38" w:name="_Toc510172987"/>
    </w:p>
    <w:p>
      <w:pPr>
        <w:widowControl/>
        <w:autoSpaceDE/>
        <w:autoSpaceDN/>
        <w:adjustRightInd/>
        <w:rPr>
          <w:rFonts w:ascii="华文仿宋" w:hAnsi="华文仿宋" w:eastAsia="华文仿宋"/>
          <w:color w:val="auto"/>
          <w:sz w:val="28"/>
          <w:szCs w:val="28"/>
        </w:rPr>
      </w:pPr>
    </w:p>
    <w:p>
      <w:pPr>
        <w:widowControl/>
        <w:autoSpaceDE/>
        <w:autoSpaceDN/>
        <w:adjustRightInd/>
        <w:rPr>
          <w:rFonts w:ascii="仿宋" w:hAnsi="仿宋" w:eastAsia="仿宋"/>
          <w:b/>
          <w:color w:val="auto"/>
          <w:sz w:val="21"/>
          <w:szCs w:val="21"/>
        </w:rPr>
      </w:pPr>
      <w:r>
        <w:rPr>
          <w:rFonts w:hint="eastAsia" w:ascii="楷体" w:hAnsi="楷体" w:eastAsia="楷体"/>
          <w:color w:val="auto"/>
          <w:sz w:val="24"/>
          <w:szCs w:val="24"/>
        </w:rPr>
        <w:t>【备注要求：根据中国人民银行、银保监会发布的我国系统重要性银行名单，系统重要性银行包括 6 家国有商业银行、9家股份制商业银行和 4家城市商业银行，按系统重要性得分从低到高分为四组：第一组：平安银行、中国光大银行、华夏银行、广发银行、宁波银行、上海银行、江苏银行、北京银行；第二组：浦发银行、中信银行、中国民生银行、中国邮政储蓄银行；第三组：交通银行、招商银行、兴业银行；第四组：中国工商银行、中国银行、中国建设银行、中国农业银行。】</w:t>
      </w:r>
      <w:r>
        <w:rPr>
          <w:rFonts w:ascii="仿宋" w:hAnsi="仿宋" w:eastAsia="仿宋"/>
          <w:b/>
          <w:color w:val="auto"/>
          <w:sz w:val="21"/>
          <w:szCs w:val="21"/>
        </w:rPr>
        <w:br w:type="page"/>
      </w:r>
    </w:p>
    <w:bookmarkEnd w:id="38"/>
    <w:p>
      <w:pPr>
        <w:pStyle w:val="31"/>
        <w:spacing w:before="462"/>
        <w:rPr>
          <w:rFonts w:ascii="仿宋" w:hAnsi="仿宋" w:eastAsia="仿宋"/>
          <w:color w:val="auto"/>
          <w:sz w:val="21"/>
          <w:szCs w:val="21"/>
        </w:rPr>
      </w:pPr>
      <w:bookmarkStart w:id="39" w:name="_Toc126962056"/>
      <w:r>
        <w:rPr>
          <w:rFonts w:hint="eastAsia" w:ascii="仿宋" w:hAnsi="仿宋" w:eastAsia="仿宋"/>
          <w:color w:val="auto"/>
          <w:sz w:val="21"/>
          <w:szCs w:val="21"/>
        </w:rPr>
        <w:t>附件六：工程质量保修书</w:t>
      </w:r>
      <w:bookmarkEnd w:id="39"/>
    </w:p>
    <w:p>
      <w:pPr>
        <w:pStyle w:val="32"/>
        <w:spacing w:before="231"/>
        <w:jc w:val="center"/>
        <w:rPr>
          <w:b/>
          <w:color w:val="auto"/>
          <w:sz w:val="32"/>
        </w:rPr>
      </w:pPr>
      <w:r>
        <w:rPr>
          <w:rFonts w:hint="eastAsia"/>
          <w:b/>
          <w:color w:val="auto"/>
          <w:sz w:val="32"/>
        </w:rPr>
        <w:t>工程质量保修书</w:t>
      </w:r>
    </w:p>
    <w:p>
      <w:pPr>
        <w:pStyle w:val="32"/>
        <w:spacing w:before="0" w:beforeLines="0"/>
        <w:ind w:firstLine="480" w:firstLineChars="200"/>
        <w:rPr>
          <w:color w:val="auto"/>
        </w:rPr>
      </w:pPr>
      <w:r>
        <w:rPr>
          <w:color w:val="auto"/>
        </w:rPr>
        <w:t>为保证</w:t>
      </w:r>
      <w:r>
        <w:rPr>
          <w:rFonts w:hint="eastAsia" w:hAnsi="楷体_GB2312" w:cs="楷体_GB2312"/>
          <w:color w:val="auto"/>
          <w:u w:val="single"/>
        </w:rPr>
        <w:t>云港城项目4#地块</w:t>
      </w:r>
      <w:r>
        <w:rPr>
          <w:rFonts w:hint="eastAsia"/>
          <w:color w:val="auto"/>
        </w:rPr>
        <w:t>电梯安装工程</w:t>
      </w:r>
      <w:r>
        <w:rPr>
          <w:color w:val="auto"/>
        </w:rPr>
        <w:t>在国家规定的建设工程使用期限内正常使用，甲、乙双方一致同意签订此工程质量保修书。乙方在质量保修期内承担工程质量保修责任。</w:t>
      </w:r>
      <w:r>
        <w:rPr>
          <w:rFonts w:hint="eastAsia"/>
          <w:b/>
          <w:color w:val="auto"/>
        </w:rPr>
        <w:t xml:space="preserve"> </w:t>
      </w:r>
    </w:p>
    <w:p>
      <w:pPr>
        <w:pStyle w:val="32"/>
        <w:spacing w:before="0" w:beforeLines="0"/>
        <w:ind w:firstLine="482" w:firstLineChars="200"/>
        <w:rPr>
          <w:b/>
          <w:color w:val="auto"/>
        </w:rPr>
      </w:pPr>
      <w:r>
        <w:rPr>
          <w:rFonts w:hint="eastAsia"/>
          <w:b/>
          <w:color w:val="auto"/>
        </w:rPr>
        <w:t>一、工程质量保修范围和内容</w:t>
      </w:r>
    </w:p>
    <w:p>
      <w:pPr>
        <w:pStyle w:val="32"/>
        <w:spacing w:before="0" w:beforeLines="0"/>
        <w:ind w:firstLine="480" w:firstLineChars="200"/>
        <w:rPr>
          <w:b/>
          <w:color w:val="auto"/>
        </w:rPr>
      </w:pPr>
      <w:r>
        <w:rPr>
          <w:rFonts w:hint="eastAsia"/>
          <w:color w:val="auto"/>
        </w:rPr>
        <w:t>乙方在质量保修期内，</w:t>
      </w:r>
      <w:r>
        <w:rPr>
          <w:color w:val="auto"/>
        </w:rPr>
        <w:t>应按法律、法规</w:t>
      </w:r>
      <w:r>
        <w:rPr>
          <w:rFonts w:hint="eastAsia"/>
          <w:color w:val="auto"/>
        </w:rPr>
        <w:t>、</w:t>
      </w:r>
      <w:r>
        <w:rPr>
          <w:color w:val="auto"/>
        </w:rPr>
        <w:t>国家关于工程质量保修的</w:t>
      </w:r>
      <w:r>
        <w:rPr>
          <w:rFonts w:hint="eastAsia"/>
          <w:color w:val="auto"/>
        </w:rPr>
        <w:t>有</w:t>
      </w:r>
      <w:r>
        <w:rPr>
          <w:color w:val="auto"/>
        </w:rPr>
        <w:t>关规定</w:t>
      </w:r>
      <w:r>
        <w:rPr>
          <w:rFonts w:hint="eastAsia"/>
          <w:color w:val="auto"/>
        </w:rPr>
        <w:t>及《</w:t>
      </w:r>
      <w:r>
        <w:rPr>
          <w:rFonts w:hint="eastAsia" w:hAnsi="楷体_GB2312" w:cs="楷体_GB2312"/>
          <w:color w:val="auto"/>
          <w:u w:val="single"/>
        </w:rPr>
        <w:t>云港城项目</w:t>
      </w:r>
      <w:r>
        <w:rPr>
          <w:rFonts w:hAnsi="楷体_GB2312" w:cs="楷体_GB2312"/>
          <w:color w:val="auto"/>
          <w:u w:val="single"/>
        </w:rPr>
        <w:t>4#</w:t>
      </w:r>
      <w:r>
        <w:rPr>
          <w:rFonts w:hint="eastAsia" w:hAnsi="楷体_GB2312" w:cs="楷体_GB2312"/>
          <w:color w:val="auto"/>
          <w:u w:val="single"/>
        </w:rPr>
        <w:t>地块</w:t>
      </w:r>
      <w:r>
        <w:rPr>
          <w:rFonts w:hint="eastAsia"/>
          <w:color w:val="auto"/>
        </w:rPr>
        <w:t>电梯安装工程合同》</w:t>
      </w:r>
      <w:r>
        <w:rPr>
          <w:color w:val="auto"/>
        </w:rPr>
        <w:t>，对交付甲方使用的工程承担质量保修责任</w:t>
      </w:r>
      <w:r>
        <w:rPr>
          <w:rFonts w:hint="eastAsia"/>
          <w:color w:val="auto"/>
        </w:rPr>
        <w:t>及其他质量责任</w:t>
      </w:r>
      <w:r>
        <w:rPr>
          <w:color w:val="auto"/>
        </w:rPr>
        <w:t>。</w:t>
      </w:r>
    </w:p>
    <w:p>
      <w:pPr>
        <w:pStyle w:val="32"/>
        <w:spacing w:before="0" w:beforeLines="0"/>
        <w:ind w:firstLine="482" w:firstLineChars="200"/>
        <w:rPr>
          <w:b/>
          <w:color w:val="auto"/>
        </w:rPr>
      </w:pPr>
      <w:r>
        <w:rPr>
          <w:rFonts w:hint="eastAsia"/>
          <w:b/>
          <w:color w:val="auto"/>
        </w:rPr>
        <w:t>二、质量保修期</w:t>
      </w:r>
    </w:p>
    <w:p>
      <w:pPr>
        <w:pStyle w:val="32"/>
        <w:spacing w:before="0" w:beforeLines="0"/>
        <w:ind w:firstLine="480" w:firstLineChars="200"/>
        <w:rPr>
          <w:color w:val="auto"/>
        </w:rPr>
      </w:pPr>
      <w:r>
        <w:rPr>
          <w:color w:val="auto"/>
        </w:rPr>
        <w:t>本工程</w:t>
      </w:r>
      <w:r>
        <w:rPr>
          <w:rFonts w:hint="eastAsia"/>
          <w:color w:val="auto"/>
        </w:rPr>
        <w:t>质量</w:t>
      </w:r>
      <w:r>
        <w:rPr>
          <w:color w:val="auto"/>
        </w:rPr>
        <w:t>保修期为：</w:t>
      </w:r>
      <w:r>
        <w:rPr>
          <w:rFonts w:hint="eastAsia"/>
          <w:color w:val="auto"/>
        </w:rPr>
        <w:t>自</w:t>
      </w:r>
      <w:r>
        <w:rPr>
          <w:rFonts w:hint="eastAsia"/>
          <w:color w:val="auto"/>
          <w:u w:val="single"/>
        </w:rPr>
        <w:t>《</w:t>
      </w:r>
      <w:r>
        <w:rPr>
          <w:rFonts w:hint="eastAsia" w:hAnsi="楷体_GB2312" w:cs="楷体_GB2312"/>
          <w:color w:val="auto"/>
          <w:u w:val="single"/>
        </w:rPr>
        <w:t>云港城项目</w:t>
      </w:r>
      <w:r>
        <w:rPr>
          <w:rFonts w:hAnsi="楷体_GB2312" w:cs="楷体_GB2312"/>
          <w:color w:val="auto"/>
          <w:u w:val="single"/>
        </w:rPr>
        <w:t>4#</w:t>
      </w:r>
      <w:r>
        <w:rPr>
          <w:rFonts w:hint="eastAsia" w:hAnsi="楷体_GB2312" w:cs="楷体_GB2312"/>
          <w:color w:val="auto"/>
          <w:u w:val="single"/>
        </w:rPr>
        <w:t>地块电梯安装工程合同</w:t>
      </w:r>
      <w:r>
        <w:rPr>
          <w:rFonts w:hint="eastAsia"/>
          <w:color w:val="auto"/>
          <w:u w:val="single"/>
        </w:rPr>
        <w:t>》</w:t>
      </w:r>
      <w:r>
        <w:rPr>
          <w:rFonts w:hint="eastAsia"/>
          <w:color w:val="auto"/>
        </w:rPr>
        <w:t>部电梯由乙方安装、调试、测试、检验完毕，乙方及电梯设备安装单位向有资质的电梯设备检测检验机构申请检验报告书，取得检验合格报告书、安全检验合格证及电梯设备使用登记证之日起计算满24个月。</w:t>
      </w:r>
    </w:p>
    <w:p>
      <w:pPr>
        <w:pStyle w:val="32"/>
        <w:spacing w:before="0" w:beforeLines="0"/>
        <w:ind w:firstLine="482" w:firstLineChars="200"/>
        <w:rPr>
          <w:color w:val="auto"/>
        </w:rPr>
      </w:pPr>
      <w:r>
        <w:rPr>
          <w:rFonts w:hint="eastAsia"/>
          <w:b/>
          <w:color w:val="auto"/>
        </w:rPr>
        <w:t>三、质量保修责任</w:t>
      </w:r>
    </w:p>
    <w:p>
      <w:pPr>
        <w:pStyle w:val="32"/>
        <w:spacing w:before="0" w:beforeLines="0"/>
        <w:ind w:firstLine="480" w:firstLineChars="200"/>
        <w:rPr>
          <w:color w:val="auto"/>
        </w:rPr>
      </w:pPr>
      <w:r>
        <w:rPr>
          <w:rFonts w:hint="eastAsia"/>
          <w:color w:val="auto"/>
        </w:rPr>
        <w:t>1、质量保修期内出现的由于质量问题引起的损伤和损坏，分包人应在接到维修通知24小时内安排人员免费进行更换和维修。</w:t>
      </w:r>
    </w:p>
    <w:p>
      <w:pPr>
        <w:pStyle w:val="32"/>
        <w:spacing w:before="0" w:beforeLines="0"/>
        <w:ind w:firstLine="480" w:firstLineChars="200"/>
        <w:rPr>
          <w:color w:val="auto"/>
        </w:rPr>
      </w:pPr>
      <w:r>
        <w:rPr>
          <w:rFonts w:hint="eastAsia"/>
          <w:color w:val="auto"/>
        </w:rPr>
        <w:t>2、在质量保修期间，分包人负责设备的维修保养和定期检测，每月派专业人员进行检查，在验收符合合同要求后一年届满时，须会同甲方对本项目进行一次全面的检查，并将检查结果交甲方，检查费用由分包人承担。在质量保修期满后，分包人应协助甲方或物业管理公司进行日常保养。</w:t>
      </w:r>
    </w:p>
    <w:p>
      <w:pPr>
        <w:pStyle w:val="32"/>
        <w:spacing w:before="0" w:beforeLines="0"/>
        <w:ind w:firstLine="480" w:firstLineChars="200"/>
        <w:rPr>
          <w:color w:val="auto"/>
        </w:rPr>
      </w:pPr>
      <w:r>
        <w:rPr>
          <w:rFonts w:hint="eastAsia"/>
          <w:color w:val="auto"/>
        </w:rPr>
        <w:t>3、在质量保修期内发现任何瑕疵，甲方可在验收合格之日起至质量保修期终止后7天内的期间书面通知分包人，分包人应在收到通知后24小时内或甲方同意延长的时间内，进行修复，修复费用已含在合同价内，并承担由此引起的其他责任。分包人逾期未修复的，甲方有权委托第三方进行修复，并直接从应付给分包人的价款中扣除该项修复费用，不足扣除的，由分包人另行支付。</w:t>
      </w:r>
    </w:p>
    <w:p>
      <w:pPr>
        <w:pStyle w:val="32"/>
        <w:spacing w:before="0" w:beforeLines="0"/>
        <w:ind w:firstLine="480" w:firstLineChars="200"/>
        <w:rPr>
          <w:color w:val="auto"/>
        </w:rPr>
      </w:pPr>
      <w:r>
        <w:rPr>
          <w:rFonts w:hint="eastAsia"/>
          <w:color w:val="auto"/>
        </w:rPr>
        <w:t>4、在质量保修期结束后，合理的检查和试验都无法发现的隐蔽瑕疵均由分包人修复，修复费用已含在合同价内。</w:t>
      </w:r>
    </w:p>
    <w:p>
      <w:pPr>
        <w:pStyle w:val="32"/>
        <w:spacing w:before="0" w:beforeLines="0"/>
        <w:ind w:firstLine="480" w:firstLineChars="200"/>
        <w:rPr>
          <w:color w:val="auto"/>
        </w:rPr>
      </w:pPr>
      <w:r>
        <w:rPr>
          <w:rFonts w:hint="eastAsia"/>
          <w:color w:val="auto"/>
        </w:rPr>
        <w:t>5、在发现重大瑕疵、多次出现同样的瑕疵，经甲方要求时，分包人应就需修复的问题向甲方提供正式报告，说明存在瑕疵或损坏的原因、所采取的补救措施、修复情况等。</w:t>
      </w:r>
    </w:p>
    <w:p>
      <w:pPr>
        <w:pStyle w:val="32"/>
        <w:spacing w:before="0" w:beforeLines="0"/>
        <w:ind w:firstLine="480" w:firstLineChars="200"/>
        <w:rPr>
          <w:b/>
          <w:color w:val="auto"/>
        </w:rPr>
      </w:pPr>
      <w:r>
        <w:rPr>
          <w:rFonts w:hint="eastAsia"/>
          <w:color w:val="auto"/>
        </w:rPr>
        <w:t>6、质量保修期满后，分包人也仍应按合同或国家有关规定承担工程质量保证责任和因工程缺陷对甲方、他人造成的人身、财产损害、损失的责任和费用，包括但不限于诉讼（仲裁）费用、律师费等法律费用。</w:t>
      </w:r>
    </w:p>
    <w:p>
      <w:pPr>
        <w:pStyle w:val="32"/>
        <w:spacing w:before="0" w:beforeLines="0"/>
        <w:ind w:firstLine="482" w:firstLineChars="200"/>
        <w:rPr>
          <w:b/>
          <w:color w:val="auto"/>
        </w:rPr>
      </w:pPr>
      <w:r>
        <w:rPr>
          <w:rFonts w:hint="eastAsia"/>
          <w:b/>
          <w:color w:val="auto"/>
        </w:rPr>
        <w:t>四、质量保证金的退还</w:t>
      </w:r>
    </w:p>
    <w:p>
      <w:pPr>
        <w:pStyle w:val="32"/>
        <w:spacing w:before="0" w:beforeLines="0"/>
        <w:ind w:firstLine="480" w:firstLineChars="200"/>
        <w:rPr>
          <w:b/>
          <w:color w:val="auto"/>
        </w:rPr>
      </w:pPr>
      <w:r>
        <w:rPr>
          <w:rFonts w:hint="eastAsia"/>
          <w:color w:val="auto"/>
        </w:rPr>
        <w:t>本工程质量保证金的退还的具体规定详见《</w:t>
      </w:r>
      <w:r>
        <w:rPr>
          <w:rFonts w:hint="cs"/>
          <w:color w:val="auto"/>
        </w:rPr>
        <w:t>•</w:t>
      </w:r>
      <w:r>
        <w:rPr>
          <w:rFonts w:hint="eastAsia"/>
          <w:color w:val="auto"/>
        </w:rPr>
        <w:t>云港城项目</w:t>
      </w:r>
      <w:r>
        <w:rPr>
          <w:color w:val="auto"/>
        </w:rPr>
        <w:t>4#</w:t>
      </w:r>
      <w:r>
        <w:rPr>
          <w:rFonts w:hint="eastAsia"/>
          <w:color w:val="auto"/>
        </w:rPr>
        <w:t>地块电梯安装工程合同》的相关规定。</w:t>
      </w:r>
    </w:p>
    <w:p>
      <w:pPr>
        <w:pStyle w:val="32"/>
        <w:spacing w:before="0" w:beforeLines="0"/>
        <w:ind w:firstLine="482" w:firstLineChars="200"/>
        <w:rPr>
          <w:b/>
          <w:color w:val="auto"/>
        </w:rPr>
      </w:pPr>
      <w:r>
        <w:rPr>
          <w:rFonts w:hint="eastAsia"/>
          <w:b/>
          <w:color w:val="auto"/>
        </w:rPr>
        <w:t>五、其他</w:t>
      </w:r>
    </w:p>
    <w:p>
      <w:pPr>
        <w:pStyle w:val="32"/>
        <w:spacing w:before="0" w:beforeLines="0"/>
        <w:ind w:firstLine="480" w:firstLineChars="200"/>
        <w:rPr>
          <w:color w:val="auto"/>
        </w:rPr>
      </w:pPr>
      <w:r>
        <w:rPr>
          <w:color w:val="auto"/>
        </w:rPr>
        <w:t>当甲、乙双方有其它质量保修事项商定时，另行商定。</w:t>
      </w:r>
    </w:p>
    <w:p>
      <w:pPr>
        <w:pStyle w:val="32"/>
        <w:spacing w:before="0" w:beforeLines="0"/>
        <w:ind w:firstLine="480" w:firstLineChars="200"/>
        <w:rPr>
          <w:color w:val="auto"/>
        </w:rPr>
      </w:pPr>
      <w:r>
        <w:rPr>
          <w:color w:val="auto"/>
        </w:rPr>
        <w:t>本工程质量保修书作为</w:t>
      </w:r>
      <w:r>
        <w:rPr>
          <w:rFonts w:hint="eastAsia"/>
          <w:color w:val="auto"/>
        </w:rPr>
        <w:t>《粤海</w:t>
      </w:r>
      <w:r>
        <w:rPr>
          <w:rFonts w:hint="cs"/>
          <w:color w:val="auto"/>
        </w:rPr>
        <w:t>•</w:t>
      </w:r>
      <w:r>
        <w:rPr>
          <w:rFonts w:hint="eastAsia"/>
          <w:color w:val="auto"/>
        </w:rPr>
        <w:t>云港城项目</w:t>
      </w:r>
      <w:r>
        <w:rPr>
          <w:color w:val="auto"/>
        </w:rPr>
        <w:t>4#</w:t>
      </w:r>
      <w:r>
        <w:rPr>
          <w:rFonts w:hint="eastAsia"/>
          <w:color w:val="auto"/>
        </w:rPr>
        <w:t>地块电梯安装工程合同》的</w:t>
      </w:r>
      <w:r>
        <w:rPr>
          <w:color w:val="auto"/>
        </w:rPr>
        <w:t>组成部分。</w:t>
      </w:r>
    </w:p>
    <w:p>
      <w:pPr>
        <w:pStyle w:val="10"/>
        <w:snapToGrid w:val="0"/>
        <w:spacing w:line="360" w:lineRule="auto"/>
        <w:ind w:left="680" w:firstLine="480"/>
        <w:rPr>
          <w:rFonts w:ascii="楷体_GB2312" w:hAnsi="宋体" w:eastAsia="楷体_GB2312"/>
          <w:color w:val="auto"/>
          <w:sz w:val="24"/>
          <w:szCs w:val="24"/>
        </w:rPr>
      </w:pPr>
    </w:p>
    <w:p>
      <w:pPr>
        <w:pStyle w:val="10"/>
        <w:snapToGrid w:val="0"/>
        <w:spacing w:after="0" w:line="360" w:lineRule="auto"/>
        <w:ind w:left="0" w:leftChars="0"/>
        <w:outlineLvl w:val="0"/>
        <w:rPr>
          <w:color w:val="auto"/>
        </w:rPr>
      </w:pPr>
      <w:r>
        <w:rPr>
          <w:rFonts w:ascii="楷体_GB2312" w:hAnsi="宋体" w:eastAsia="楷体_GB2312"/>
          <w:color w:val="auto"/>
          <w:sz w:val="24"/>
          <w:szCs w:val="24"/>
        </w:rPr>
        <w:br w:type="page"/>
      </w:r>
    </w:p>
    <w:p>
      <w:pPr>
        <w:pStyle w:val="10"/>
        <w:snapToGrid w:val="0"/>
        <w:spacing w:after="0" w:line="360" w:lineRule="auto"/>
        <w:ind w:left="0" w:leftChars="0"/>
        <w:outlineLvl w:val="0"/>
        <w:rPr>
          <w:rFonts w:ascii="仿宋" w:hAnsi="仿宋" w:eastAsia="仿宋"/>
          <w:b/>
          <w:color w:val="auto"/>
          <w:sz w:val="21"/>
          <w:szCs w:val="21"/>
        </w:rPr>
      </w:pPr>
      <w:bookmarkStart w:id="40" w:name="_Toc126962057"/>
      <w:r>
        <w:rPr>
          <w:rFonts w:hint="eastAsia" w:ascii="仿宋" w:hAnsi="仿宋" w:eastAsia="仿宋"/>
          <w:b/>
          <w:color w:val="auto"/>
          <w:sz w:val="21"/>
          <w:szCs w:val="21"/>
        </w:rPr>
        <w:t>附件七：云港城项目施工现场管理办法</w:t>
      </w:r>
      <w:bookmarkEnd w:id="40"/>
    </w:p>
    <w:p>
      <w:pPr>
        <w:spacing w:line="360" w:lineRule="auto"/>
        <w:jc w:val="center"/>
        <w:rPr>
          <w:rFonts w:ascii="楷体" w:hAnsi="楷体" w:eastAsia="楷体"/>
          <w:b/>
          <w:color w:val="auto"/>
        </w:rPr>
      </w:pPr>
      <w:r>
        <w:rPr>
          <w:rFonts w:hint="eastAsia" w:ascii="楷体" w:hAnsi="楷体" w:eastAsia="楷体" w:cs="仿宋"/>
          <w:b/>
          <w:color w:val="auto"/>
          <w:sz w:val="24"/>
          <w:u w:val="single"/>
        </w:rPr>
        <w:t>云港城</w:t>
      </w:r>
      <w:r>
        <w:rPr>
          <w:rFonts w:hint="eastAsia" w:ascii="楷体" w:hAnsi="楷体" w:eastAsia="楷体"/>
          <w:b/>
          <w:color w:val="auto"/>
          <w:sz w:val="24"/>
        </w:rPr>
        <w:t>项目工程施工现场管理办法</w:t>
      </w:r>
    </w:p>
    <w:p>
      <w:pPr>
        <w:spacing w:line="360" w:lineRule="auto"/>
        <w:rPr>
          <w:rFonts w:ascii="楷体" w:hAnsi="楷体" w:eastAsia="楷体"/>
          <w:b/>
          <w:color w:val="auto"/>
          <w:sz w:val="21"/>
          <w:szCs w:val="21"/>
        </w:rPr>
      </w:pPr>
      <w:r>
        <w:rPr>
          <w:rFonts w:hint="eastAsia" w:ascii="楷体" w:hAnsi="楷体" w:eastAsia="楷体"/>
          <w:b/>
          <w:color w:val="auto"/>
          <w:sz w:val="21"/>
          <w:szCs w:val="21"/>
        </w:rPr>
        <w:t>1.目的</w:t>
      </w:r>
      <w:r>
        <w:rPr>
          <w:rFonts w:hint="eastAsia" w:ascii="宋体" w:hAnsi="宋体" w:eastAsia="宋体" w:cs="宋体"/>
          <w:b/>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为了加强对本工程总承包人、专业工程承包人、暂估价项目分包人的管理，使所选择的承包人能满足发包人的要求，以确保整个工程安全、质量和进度，并保证对承包人的管理更加规范、有效，达到统一管理,规范行动，特制订本制度。</w:t>
      </w:r>
      <w:r>
        <w:rPr>
          <w:rFonts w:hint="eastAsia" w:ascii="宋体" w:hAnsi="宋体" w:eastAsia="宋体" w:cs="宋体"/>
          <w:color w:val="auto"/>
          <w:sz w:val="21"/>
          <w:szCs w:val="21"/>
        </w:rPr>
        <w:t> </w:t>
      </w:r>
    </w:p>
    <w:p>
      <w:pPr>
        <w:rPr>
          <w:rFonts w:ascii="楷体" w:hAnsi="楷体" w:eastAsia="楷体"/>
          <w:b/>
          <w:color w:val="auto"/>
          <w:sz w:val="21"/>
          <w:szCs w:val="21"/>
        </w:rPr>
      </w:pPr>
      <w:r>
        <w:rPr>
          <w:rFonts w:hint="eastAsia" w:ascii="楷体" w:hAnsi="楷体" w:eastAsia="楷体"/>
          <w:b/>
          <w:color w:val="auto"/>
          <w:sz w:val="21"/>
          <w:szCs w:val="21"/>
        </w:rPr>
        <w:t>2.适用范围</w:t>
      </w:r>
      <w:r>
        <w:rPr>
          <w:rFonts w:hint="eastAsia" w:ascii="宋体" w:hAnsi="宋体" w:eastAsia="宋体" w:cs="宋体"/>
          <w:b/>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本制度适用于</w:t>
      </w:r>
      <w:r>
        <w:rPr>
          <w:rFonts w:hint="eastAsia" w:ascii="楷体" w:hAnsi="楷体" w:eastAsia="楷体" w:cs="仿宋"/>
          <w:color w:val="auto"/>
          <w:sz w:val="21"/>
          <w:szCs w:val="21"/>
          <w:u w:val="single"/>
        </w:rPr>
        <w:t>云港城</w:t>
      </w:r>
      <w:r>
        <w:rPr>
          <w:rFonts w:hint="eastAsia" w:ascii="楷体" w:hAnsi="楷体" w:eastAsia="楷体"/>
          <w:color w:val="auto"/>
          <w:sz w:val="21"/>
          <w:szCs w:val="21"/>
        </w:rPr>
        <w:t>项目。任何按合同及协议进入现场的总承包人、专业工程承包人、暂估价项目分包人以及承包人的分包人均必须遵照执行。</w:t>
      </w:r>
      <w:r>
        <w:rPr>
          <w:rFonts w:hint="eastAsia" w:ascii="宋体" w:hAnsi="宋体" w:eastAsia="宋体" w:cs="宋体"/>
          <w:color w:val="auto"/>
          <w:sz w:val="21"/>
          <w:szCs w:val="21"/>
        </w:rPr>
        <w:t> </w:t>
      </w:r>
    </w:p>
    <w:p>
      <w:pPr>
        <w:rPr>
          <w:rFonts w:ascii="楷体" w:hAnsi="楷体" w:eastAsia="楷体"/>
          <w:b/>
          <w:color w:val="auto"/>
          <w:sz w:val="21"/>
          <w:szCs w:val="21"/>
        </w:rPr>
      </w:pPr>
      <w:r>
        <w:rPr>
          <w:rFonts w:hint="eastAsia" w:ascii="楷体" w:hAnsi="楷体" w:eastAsia="楷体"/>
          <w:b/>
          <w:color w:val="auto"/>
          <w:sz w:val="21"/>
          <w:szCs w:val="21"/>
        </w:rPr>
        <w:t>3.发包人项目部职责</w:t>
      </w:r>
      <w:r>
        <w:rPr>
          <w:rFonts w:hint="eastAsia" w:ascii="宋体" w:hAnsi="宋体" w:eastAsia="宋体" w:cs="宋体"/>
          <w:b/>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3.1监督总承包人（含其分包）与专业工程承包人、暂估价项目分包人的质量管理、成品保护管理、资料管理、物资材料管理、工程预结算管理、环境体系管理及相关培训管理工作；</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3.2监督总承包人（含其分包）与专业工程承包人、暂估价项目分包人的现场施工管理、计划管理、技术管理、计量管理及相关培训管理工作；</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3.3监督总承包人（含其分包）与专业工程承包人、暂估价项目分包人的进场管理、教育培训管理和质量、环境、职业安全卫生体系运行管理、消防管理、现场安全生产管理、文明施工管理及相关培训管理工作；</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3.4监督总承包人（含其分包）与专业工程承包人、暂估价项目分包人的机电管理、施工机械管理、施工机具管理、施工用电管理、施工用水管理及相关培训管理工作；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3.5监督总承包人（含其分包）与专业工程承包人、暂估价项目分包人应承担的与各参建单位、政府、各相关职能部门的协调管理工作；</w:t>
      </w:r>
      <w:r>
        <w:rPr>
          <w:rFonts w:hint="eastAsia" w:ascii="宋体" w:hAnsi="宋体" w:eastAsia="宋体" w:cs="宋体"/>
          <w:color w:val="auto"/>
          <w:sz w:val="21"/>
          <w:szCs w:val="21"/>
        </w:rPr>
        <w:t> </w:t>
      </w:r>
    </w:p>
    <w:p>
      <w:pPr>
        <w:rPr>
          <w:rFonts w:ascii="楷体" w:hAnsi="楷体" w:eastAsia="楷体"/>
          <w:color w:val="auto"/>
          <w:sz w:val="21"/>
          <w:szCs w:val="21"/>
        </w:rPr>
      </w:pPr>
      <w:r>
        <w:rPr>
          <w:rFonts w:hint="eastAsia" w:ascii="楷体" w:hAnsi="楷体" w:eastAsia="楷体"/>
          <w:b/>
          <w:color w:val="auto"/>
          <w:sz w:val="21"/>
          <w:szCs w:val="21"/>
        </w:rPr>
        <w:t>4. 总承包人、专业工程承包人管理</w:t>
      </w:r>
      <w:r>
        <w:rPr>
          <w:rFonts w:hint="eastAsia" w:ascii="宋体" w:hAnsi="宋体" w:eastAsia="宋体" w:cs="宋体"/>
          <w:b/>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4.1组织管理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各承包人各自组建项目管理机构，并在开工前报发包人、监理单位，承包人所投入的工程管理人员和工程技术人员应与投标文件保持一致，发包人不要求更换时不得更换，因特殊情况需要更换的，承包人应至少提前7天以书面形式向监理单位提出意向（附前任和后任人员的详细履历资料），经监理工程师签署意见后向发包人提出申请，并征得发包人同意。承包人必须保证后任人员的资质、资历、业绩、实际工作能力不低于前任人员的素质。即使发包人同意更换，也不免除承包人应承担的违约责任。工程管理人员和工程技术人员的资格证书需报发包人、监理单位备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发包人项目部、监理单位项目部每月对各承包人主要管理人员进行工作能力、协调能力、工作饱和度、积极性等综合考评，连续三次考评成绩不达标的将进行警告和通报，对综合能力不能胜任者将予以劝退及更换</w:t>
      </w:r>
      <w:r>
        <w:rPr>
          <w:rFonts w:hint="eastAsia" w:ascii="宋体" w:hAnsi="宋体" w:eastAsia="宋体" w:cs="宋体"/>
          <w:color w:val="auto"/>
          <w:sz w:val="21"/>
          <w:szCs w:val="21"/>
        </w:rPr>
        <w:t> </w:t>
      </w:r>
      <w:r>
        <w:rPr>
          <w:rFonts w:hint="eastAsia" w:ascii="楷体" w:hAnsi="楷体" w:eastAsia="楷体"/>
          <w:color w:val="auto"/>
          <w:sz w:val="21"/>
          <w:szCs w:val="21"/>
        </w:rPr>
        <w:t>并按合同追究违约责任。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4.2技术质量管理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4.2.1施工技术管理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必须建立技术文件管理制度，因承包人原因造成的施工错误的一切后果自负。</w:t>
      </w:r>
      <w:r>
        <w:rPr>
          <w:rFonts w:hint="eastAsia" w:ascii="宋体" w:hAnsi="宋体" w:eastAsia="宋体" w:cs="宋体"/>
          <w:color w:val="auto"/>
          <w:sz w:val="21"/>
          <w:szCs w:val="21"/>
        </w:rPr>
        <w:t> </w:t>
      </w:r>
      <w:r>
        <w:rPr>
          <w:rFonts w:hint="eastAsia" w:ascii="楷体" w:hAnsi="楷体" w:eastAsia="楷体"/>
          <w:color w:val="auto"/>
          <w:sz w:val="21"/>
          <w:szCs w:val="21"/>
        </w:rPr>
        <w:t>各承包人负责编制施工组织设计及本专业各类施工方案，负责方案的落实工作。施工前，首先由承包人项目部技术负责人对施工管理人员进行技术交底及安全技术交底，由施工管理人员给作业人员进行技术交底并指导施工，安全技术交底须明确交至每位作业人员并签字确认，并需将交底书面上报承包人项目部，项目总技术负责人、项目经理审批后方可依照施工。各承包人的分包人由各承包人的技术负责人对分包人技术负责人进行技术交底及安全技术交底，分包人技术负责人给作业人员进行技术交底并指导施工，安全技术交底须明确交至每位作业人员并签字确认，并需将交底书面上报总包项目部，项目总技术负责人、项目经理审批后方可依照施工。未经批准的各类施工方案及未经安全技术交底进行施工的，除立即停止施工外，每次收取违约金1000-20000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4.2.2设计变更、洽商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施工过程中发生的图纸、设计问题，由承包人技术负责人及时向监理单位及发包人工程师或负责人反映，由发包人与设计单位联系，并办理设计变更、洽商记录。施工过程中发生的图纸更改、洽商等，均由发包人统一下发给各相关承包人施工技术负责人；</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4.2.3材料管理及施工试验</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 xml:space="preserve">（1）各承包人负责编制本单位的材料、设备进场计划及施工试验计划，并报监理、发包人备案；需根据项目的材料设备进场计划时间，至少提前60天进行材料设备品牌、型号送审工作，所选的材料设备品牌需在发包人提供的品牌范围内；所选材料设备型号的技术参数应满足设计图纸及发包人提供的技术参数要求，送审的主要设备材料技术参数必须与招标文件技术要求相一致。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（2）施工单位需提供的材料基础资料包括但不限于如下所列：</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 《主要材料送审审批表》（表格按发包人提供）</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 设备材料厂家、供应商的营业执照、税务登记证。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 设备材料的产品合格证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 设备材料的型式检验报告</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 进口关税报单（进口产品）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 品牌/厂家的授权书</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 其它需要提供的证明、证书文件（如消防、认证、节能等）</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 所选用产品的技术参数及对应的样本</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 填写提供所选用产品型号的参数与技术文件的技术响应表、差异对比表</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材料、设备进场前承包人需完成进场报审工作，经发包人审批同意进场后，方可通知供应商安排材料设备进场，进场报审资料包括但不限于：承包人或其经审批的专业分包人与相关厂家或授权代理商签订的供货合同（注：授权代理商须提供项目授权或年度授权证明）、出厂合格证、各种产品质量认证证书、出厂试验报告、型式试验报告、第三方检测报告、相关保证函、厂家联系方式、验证方式、厂家确认的出货单等相关正规渠道出货证明。其中，进口材料设备还需要提供报关单、原产地证明、商检证明文件。进场后必须认真按有关标准、样板进行检验、试验，验收合格后方可报发包人，经发包人确认后方能使用。</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各承包人的材料计划、定板计划提交给监理单位审核后，报发包人。发包人根据实际情况启动材料看样定板审批程序，看样定板材料未经审批封存的不准进场投入施工需要。重点看样定板材料进场计划需提前60天报发包人项目部，予以对其在技术性能、经济指标、规格、颜色、所申报品牌/厂家是否符合发包人确定的品牌/厂家范围等方面进行审核。</w:t>
      </w:r>
    </w:p>
    <w:p>
      <w:pPr>
        <w:ind w:firstLine="420" w:firstLineChars="200"/>
        <w:rPr>
          <w:rFonts w:ascii="楷体" w:hAnsi="楷体" w:eastAsia="楷体" w:cs="宋体"/>
          <w:color w:val="auto"/>
          <w:sz w:val="21"/>
          <w:szCs w:val="21"/>
        </w:rPr>
      </w:pPr>
      <w:r>
        <w:rPr>
          <w:rFonts w:hint="eastAsia" w:ascii="楷体" w:hAnsi="楷体" w:eastAsia="楷体" w:cs="宋体"/>
          <w:color w:val="auto"/>
          <w:sz w:val="21"/>
          <w:szCs w:val="21"/>
        </w:rPr>
        <w:t>（5）</w:t>
      </w:r>
      <w:r>
        <w:rPr>
          <w:rFonts w:hint="eastAsia" w:ascii="楷体" w:hAnsi="楷体" w:eastAsia="楷体"/>
          <w:color w:val="auto"/>
          <w:sz w:val="21"/>
          <w:szCs w:val="21"/>
        </w:rPr>
        <w:t>用于本工程上的所有</w:t>
      </w:r>
      <w:r>
        <w:rPr>
          <w:rFonts w:hint="eastAsia" w:ascii="楷体" w:hAnsi="楷体" w:eastAsia="楷体" w:cs="宋体"/>
          <w:color w:val="auto"/>
          <w:sz w:val="21"/>
          <w:szCs w:val="21"/>
        </w:rPr>
        <w:t>材料、设备的品牌、供应商（含代理商、经销商）及专业安装队伍等必须预先向监理、发包人申报，申报经监理、发包人审核批准的才允许使用，未经审批的不准进行定购，不准进场，违者将材料清出现场，并收取违约金1000-10000元/次。</w:t>
      </w:r>
    </w:p>
    <w:p>
      <w:pPr>
        <w:ind w:firstLine="420" w:firstLineChars="200"/>
        <w:rPr>
          <w:rFonts w:ascii="楷体" w:hAnsi="楷体" w:eastAsia="楷体" w:cs="宋体"/>
          <w:color w:val="auto"/>
          <w:sz w:val="21"/>
          <w:szCs w:val="21"/>
        </w:rPr>
      </w:pPr>
      <w:r>
        <w:rPr>
          <w:rFonts w:hint="eastAsia" w:ascii="楷体" w:hAnsi="楷体" w:eastAsia="楷体" w:cs="宋体"/>
          <w:color w:val="auto"/>
          <w:sz w:val="21"/>
          <w:szCs w:val="21"/>
        </w:rPr>
        <w:t>（6）本工程的材料、设备在制造、运输、安装等实施过程中，监理单位、发包人有权视需要采取形式不一的监督行为，施工单位须无条件配合。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物料进场及施工过程中的试验必须听从监理单位及发包人工程师安排，执行见证取样规定经监理见证取样。物料进场不及时报验，每批次收取违约金2000元，如果发生物料、设备已用到工程上或发现不合格者，除全部拆除或退场外，每发生一次收取违约金5000元。</w:t>
      </w:r>
    </w:p>
    <w:p>
      <w:pPr>
        <w:ind w:firstLine="420" w:firstLineChars="200"/>
        <w:rPr>
          <w:rFonts w:ascii="楷体" w:hAnsi="楷体" w:eastAsia="楷体" w:cs="宋体"/>
          <w:color w:val="auto"/>
          <w:sz w:val="21"/>
          <w:szCs w:val="21"/>
        </w:rPr>
      </w:pPr>
      <w:r>
        <w:rPr>
          <w:rFonts w:hint="eastAsia" w:ascii="楷体" w:hAnsi="楷体" w:eastAsia="楷体"/>
          <w:color w:val="auto"/>
          <w:sz w:val="21"/>
          <w:szCs w:val="21"/>
        </w:rPr>
        <w:t>（8）</w:t>
      </w:r>
      <w:r>
        <w:rPr>
          <w:rFonts w:hint="eastAsia" w:ascii="宋体" w:hAnsi="宋体" w:eastAsia="宋体" w:cs="宋体"/>
          <w:color w:val="auto"/>
          <w:sz w:val="21"/>
          <w:szCs w:val="21"/>
        </w:rPr>
        <w:t> </w:t>
      </w:r>
      <w:r>
        <w:rPr>
          <w:rFonts w:hint="eastAsia" w:ascii="楷体" w:hAnsi="楷体" w:eastAsia="楷体" w:cs="宋体"/>
          <w:color w:val="auto"/>
          <w:sz w:val="21"/>
          <w:szCs w:val="21"/>
        </w:rPr>
        <w:t>本工程的材料、设备的进场报验，监理单位、发包人有权视需要聘请第三方专业检测机构进行检测，施工单位须无条件配合并承担相关费用。</w:t>
      </w:r>
    </w:p>
    <w:p>
      <w:pPr>
        <w:ind w:firstLine="420" w:firstLineChars="200"/>
        <w:rPr>
          <w:rFonts w:ascii="楷体" w:hAnsi="楷体" w:eastAsia="楷体" w:cs="宋体"/>
          <w:color w:val="auto"/>
          <w:sz w:val="21"/>
          <w:szCs w:val="21"/>
        </w:rPr>
      </w:pPr>
      <w:r>
        <w:rPr>
          <w:rFonts w:hint="eastAsia" w:ascii="楷体" w:hAnsi="楷体" w:eastAsia="楷体" w:cs="宋体"/>
          <w:color w:val="auto"/>
          <w:sz w:val="21"/>
          <w:szCs w:val="21"/>
        </w:rPr>
        <w:t>（9）发包人</w:t>
      </w:r>
      <w:r>
        <w:rPr>
          <w:rFonts w:hint="eastAsia" w:ascii="楷体" w:hAnsi="楷体" w:eastAsia="楷体"/>
          <w:color w:val="auto"/>
          <w:sz w:val="21"/>
          <w:szCs w:val="21"/>
        </w:rPr>
        <w:t>抽检</w:t>
      </w:r>
      <w:r>
        <w:rPr>
          <w:rFonts w:hint="eastAsia" w:ascii="楷体" w:hAnsi="楷体" w:eastAsia="楷体" w:cs="宋体"/>
          <w:color w:val="auto"/>
          <w:sz w:val="21"/>
          <w:szCs w:val="21"/>
        </w:rPr>
        <w:t>：除根据政策要求的第三方检测和监理相关检测外，根据工程实际情况，发包人对有疑问、高价值、对效果有重大影响、易产生不合格品的材料设备有权实施抽检，计划内的抽检不得提出工期索赔。检验的结果证明该项材料、设备不符合合同要求的，因此增加的费用和（或）工期延误由承包人承担；检验结果证明该项材料、设备符合合同要求的，由发包人承担因此增加的费用和（或）工期延误。</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4.2.4施工测量</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由发包人工程师负责向承包人提供基准线，监理单位负责对承包人所放线进行校核工作；承包人测量员负责对基准线、点进行检查、维护工作。承包人使用的测量仪器必须是在有效期内、按经检测、校准确保合格后方可使用，并将有关检测证明资料报监理单位、发包人备案。</w:t>
      </w:r>
      <w:r>
        <w:rPr>
          <w:rFonts w:hint="eastAsia" w:ascii="宋体" w:hAnsi="宋体" w:eastAsia="宋体" w:cs="宋体"/>
          <w:color w:val="auto"/>
          <w:sz w:val="21"/>
          <w:szCs w:val="21"/>
        </w:rPr>
        <w:t> </w:t>
      </w:r>
      <w:r>
        <w:rPr>
          <w:rFonts w:hint="eastAsia" w:ascii="楷体" w:hAnsi="楷体" w:eastAsia="楷体"/>
          <w:color w:val="auto"/>
          <w:sz w:val="21"/>
          <w:szCs w:val="21"/>
        </w:rPr>
        <w:t>发现测量仪器不在有效期内、按经检测、校准不合格而使用，每发生一次收取违约金2000元，并重新进行测量。</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4.2.5工序验收</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各工序完成后，承包人首先进行自检，自检合格后，按照项目资料报验要求，报质检员验收，质检员验收合格后，报监理验收，监理验收合格后，报发包人验收，合格并书面签认后方可进行下道工序。分包人：首先进行自检，自检合格后，由分包人质检员按照项目资料报验要求，报总包质检员验收，质检员验收合格后，报监理验收，监理验收合格后，报发包人验收，合格并书面签认后方可进行下道工序。未经验收合格签字而进行下道工序施工的，除全部拆除返工外，每发生一次收取违约金1000-30000元</w:t>
      </w:r>
      <w:r>
        <w:rPr>
          <w:rFonts w:hint="eastAsia" w:ascii="宋体" w:hAnsi="宋体" w:eastAsia="宋体" w:cs="宋体"/>
          <w:color w:val="auto"/>
          <w:sz w:val="21"/>
          <w:szCs w:val="21"/>
        </w:rPr>
        <w:t> </w:t>
      </w:r>
      <w:r>
        <w:rPr>
          <w:rFonts w:hint="eastAsia" w:ascii="楷体" w:hAnsi="楷体" w:eastAsia="楷体"/>
          <w:color w:val="auto"/>
          <w:sz w:val="21"/>
          <w:szCs w:val="21"/>
        </w:rPr>
        <w:t>。</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所有分包人人员不得直接找监理、发包人、设计报验，所有检验、试验等均由项目总包单位报验监理单位、发包人、设计单位。</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4.2.6质量管理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本工程质量管理目标：确保合格工程，争创市样板工程奖。</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对此目标，各承包人必须建立质量管理体系，有明确的职责分工和管理程序，并报监理单位及发包人认可后组织实施，在实施过程中接受监理、发包人的监督管理。承包人质检员必须严格按标准规范、《建筑工程质量通病防治手册》和本单位编制的质量目标进行自检、验收，自检合格后报验收。</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为保证工程质量，使承包人、监理单位、发包人对现场施工工艺及质量标准达成共识，实行样板制度。实行“样板先行”制度既是对施工工艺的检验，也是对分项工程施工质量标准的确定；本工程所有分项工程均需做施工样板，各分项工程施工样板的展示及施工质量标准经监理单位、发包人验收合格后方可进行大面施工，样板展示内容包括：现浇混凝土观感样板、砌筑工程的植筋样板、墙体砌筑样板、墙体抹灰样板、卫生间防水样板、墙体水电管预埋样板、外墙砖贴砖样板、屋面防水样板、门窗安装、装修样板等等。</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施工样板第一次验收不合格，进行整改并收取违约金2000元；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施工样板第二次验收不合格，进行整改并收取违约金5000元；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 xml:space="preserve">施工样板第三次验收不合格，施工队伍退场并收取违约金10000元；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每个施工班组（队伍）在施工前均必须进行工程样板施工，样板、施工工艺经监理、发包人验收合格，该施工班组（队伍）方可进行大面积施工；经验收不合格，经整改还不达标的样板、施工工艺，该施工班组（队伍）应在2天内撤离现场，不配合或拒绝撤离现场，向责任单位收取违约金2000-10000元/天。</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装修、机电安装班组（队伍）必须具有类似工程经验，并在进场前提供近两年施工项目业绩，并配合项目部组织考察。考察不合格班组，不允许进场，已经进场的2天内撤离现场，不配合或拒绝撤离现场，向责任单位收取违约金2000-10000元/天。</w:t>
      </w:r>
    </w:p>
    <w:p>
      <w:pPr>
        <w:rPr>
          <w:rFonts w:ascii="楷体" w:hAnsi="楷体" w:eastAsia="楷体"/>
          <w:color w:val="auto"/>
          <w:sz w:val="21"/>
          <w:szCs w:val="21"/>
        </w:rPr>
      </w:pPr>
      <w:r>
        <w:rPr>
          <w:rFonts w:hint="eastAsia" w:ascii="楷体" w:hAnsi="楷体" w:eastAsia="楷体"/>
          <w:color w:val="auto"/>
          <w:sz w:val="21"/>
          <w:szCs w:val="21"/>
        </w:rPr>
        <w:t>（5）对监理、发包人提出的问题必须立即整改，局部整改或整改后仍然达不到要求的或未按规定时间整改的每次收取违约金1000元。施工过程中，必须严格遵守强制性条文，违反规范中强制性条文的必须全部整改，同时每发生一次收取违约金5000元。</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4.2.7计量管理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每月25日前上报本月已完成工程量，经审核无误后方可上报监理单位，监理单位审核后报发包人进行审核计量计价。未经审核无误或延迟上报的完成工程量</w:t>
      </w:r>
      <w:r>
        <w:rPr>
          <w:rFonts w:hint="eastAsia" w:ascii="宋体" w:hAnsi="宋体" w:eastAsia="宋体" w:cs="宋体"/>
          <w:color w:val="auto"/>
          <w:sz w:val="21"/>
          <w:szCs w:val="21"/>
        </w:rPr>
        <w:t> </w:t>
      </w:r>
      <w:r>
        <w:rPr>
          <w:rFonts w:hint="eastAsia" w:ascii="楷体" w:hAnsi="楷体" w:eastAsia="楷体"/>
          <w:color w:val="auto"/>
          <w:sz w:val="21"/>
          <w:szCs w:val="21"/>
        </w:rPr>
        <w:t>，发包人将无法按时拨付工程款。(未按约定时间上报当月工程量的，将自动累计到下月上报)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4.2.8资料管理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本工程执行《</w:t>
      </w:r>
      <w:r>
        <w:rPr>
          <w:rFonts w:hint="eastAsia" w:ascii="楷体" w:hAnsi="楷体" w:eastAsia="楷体"/>
          <w:color w:val="auto"/>
          <w:sz w:val="21"/>
          <w:szCs w:val="21"/>
          <w:u w:val="single"/>
        </w:rPr>
        <w:t>广东省</w:t>
      </w:r>
      <w:r>
        <w:rPr>
          <w:rFonts w:hint="eastAsia" w:ascii="楷体" w:hAnsi="楷体" w:eastAsia="楷体"/>
          <w:color w:val="auto"/>
          <w:sz w:val="21"/>
          <w:szCs w:val="21"/>
        </w:rPr>
        <w:t>建筑工程资料规程》和全面实施的各种验收规范，各承包人应严格按监理单位及发包人规定执行资料报验，所有资料必须与工程进度同步进行，对迟报、漏报、不齐全、不真实、未与工程进度同步进行的每次收取违约金1000元。</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施工过程中各类内业资料，如工程档案、安全内业、工程签证资料、工程日志、照录相声光资料及工程竣工验收档案资料必须按照发包人、监理单位和相关档案编制要求及时进行收集整理，分类归档，按时报送有关部门，违反上述规定收取违约金1000-5000元/次；经发包人、监理检查存在不到位情况的，除限期整改外收取违约金1000元/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分包人所承包范围内资料的编制与整理按照相关规范、规程进行整理，分包人的竣工图及施工资料应在指定的期限内自行编制完成，并符合有关规定，每周每月接受总包单位、监理、发包人检查，经总包单位、监理、发包人检查合格后方可进行竣工结算。</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4.2.9例会制度</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每周二下午2点30分举行定期工程例会，各参建单位应按时参加（另：根据工程需要不定期举行专项协调会），迟到者每次收取违约金300元。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参加会议</w:t>
      </w:r>
      <w:r>
        <w:rPr>
          <w:rFonts w:hint="eastAsia" w:ascii="宋体" w:hAnsi="宋体" w:eastAsia="宋体" w:cs="宋体"/>
          <w:color w:val="auto"/>
          <w:sz w:val="21"/>
          <w:szCs w:val="21"/>
        </w:rPr>
        <w:t> </w:t>
      </w:r>
      <w:r>
        <w:rPr>
          <w:rFonts w:hint="eastAsia" w:ascii="楷体" w:hAnsi="楷体" w:eastAsia="楷体"/>
          <w:color w:val="auto"/>
          <w:sz w:val="21"/>
          <w:szCs w:val="21"/>
        </w:rPr>
        <w:t>要求至少必须有项目经理负责人、技术总负责人、质量、安全、资料各一名及发包人要求出席的人员，以上人员无故缺席每次收取违约金1000元。</w:t>
      </w:r>
    </w:p>
    <w:p>
      <w:pPr>
        <w:ind w:firstLine="315" w:firstLineChars="150"/>
        <w:rPr>
          <w:rFonts w:ascii="楷体" w:hAnsi="楷体" w:eastAsia="楷体" w:cs="宋体"/>
          <w:color w:val="auto"/>
          <w:sz w:val="21"/>
          <w:szCs w:val="21"/>
        </w:rPr>
      </w:pPr>
      <w:r>
        <w:rPr>
          <w:rFonts w:hint="eastAsia" w:ascii="楷体" w:hAnsi="楷体" w:eastAsia="楷体" w:cs="宋体"/>
          <w:color w:val="auto"/>
          <w:sz w:val="21"/>
          <w:szCs w:val="21"/>
        </w:rPr>
        <w:t>工程例会主持人员：总监理工程师。安全例会主持人员:监理安全负责人。会议纪要由项目监理部整理并报送发包人及各参建单位。各参建单位每周一下午3：00前向监理提交周报，监理将周报汇总后报发包人。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4.2.10成品保护</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各单位在施工过程中必须采取切实有效的措施，保护自身及其他专业（单位）施工成品，如果因为施工不当对别人的成品造成破坏，除全额赔偿损失外，发包人将视影响情况收取违约金1000～10000元。</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4.2.11奖惩</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在施工过程管理中，监理工程师、发包人工程师有权在自己的权限范围内对承包人安全文明施工防护措施、技术质量活动中不正确的地方进行经济或其它方式的惩处，如因承包人提出的工艺可行而导致的节约、提高质量、加快进度的，发包人应实施奖励。惩处和奖励的额度除上述明确规定的原则上由发包人确定。</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4.3施工进度控制</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4.3.1总进度计划</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根据本工程编制的工程总体进度计划，各专业单位根据自身施工特点编制本专业施工的总进度计划，报监理、发包人审核确认，并将总计划进行量化分解，每周一下午16:00之前上报下周施工计划，每月25日上报下月施工计划，便于监理、发包人进行有效监控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4.3.2管理措施</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（1）不按时上报分解计划的，每次收取违约金1000元，所报计划无量化指标者每收取违约金1000元。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（2）施工进度与计划滞后而不采取有效措施者，监理、发包人有权视具体情况进行下列处罚： 收取违约金1000～20000元。</w:t>
      </w:r>
      <w:r>
        <w:rPr>
          <w:rFonts w:hint="eastAsia" w:ascii="宋体" w:hAnsi="宋体" w:eastAsia="宋体" w:cs="宋体"/>
          <w:color w:val="auto"/>
          <w:sz w:val="21"/>
          <w:szCs w:val="21"/>
        </w:rPr>
        <w:t> </w:t>
      </w:r>
    </w:p>
    <w:p>
      <w:pPr>
        <w:ind w:firstLine="420" w:firstLineChars="200"/>
        <w:rPr>
          <w:rFonts w:ascii="楷体" w:hAnsi="楷体" w:eastAsia="楷体" w:cs="宋体"/>
          <w:color w:val="auto"/>
          <w:sz w:val="21"/>
          <w:szCs w:val="21"/>
        </w:rPr>
      </w:pPr>
      <w:r>
        <w:rPr>
          <w:rFonts w:hint="eastAsia" w:ascii="楷体" w:hAnsi="楷体" w:eastAsia="楷体" w:cs="宋体"/>
          <w:color w:val="auto"/>
          <w:sz w:val="21"/>
          <w:szCs w:val="21"/>
        </w:rPr>
        <w:t>（3）严格</w:t>
      </w:r>
      <w:r>
        <w:rPr>
          <w:rFonts w:hint="eastAsia" w:ascii="楷体" w:hAnsi="楷体" w:eastAsia="楷体"/>
          <w:color w:val="auto"/>
          <w:sz w:val="21"/>
          <w:szCs w:val="21"/>
        </w:rPr>
        <w:t>执行</w:t>
      </w:r>
      <w:r>
        <w:rPr>
          <w:rFonts w:hint="eastAsia" w:ascii="楷体" w:hAnsi="楷体" w:eastAsia="楷体" w:cs="宋体"/>
          <w:color w:val="auto"/>
          <w:sz w:val="21"/>
          <w:szCs w:val="21"/>
        </w:rPr>
        <w:t>已经上报且经过监理、发包人审核同意的阶段性进度计划，若阶段性进度计划节点滞后，并对后续工作产生影响的，收取违约金 3000元/天；</w:t>
      </w:r>
    </w:p>
    <w:p>
      <w:pPr>
        <w:ind w:firstLine="420" w:firstLineChars="200"/>
        <w:rPr>
          <w:rFonts w:ascii="楷体" w:hAnsi="楷体" w:eastAsia="楷体" w:cs="宋体"/>
          <w:color w:val="auto"/>
          <w:sz w:val="21"/>
          <w:szCs w:val="21"/>
        </w:rPr>
      </w:pPr>
      <w:r>
        <w:rPr>
          <w:rFonts w:hint="eastAsia" w:ascii="楷体" w:hAnsi="楷体" w:eastAsia="楷体" w:cs="宋体"/>
          <w:color w:val="auto"/>
          <w:sz w:val="21"/>
          <w:szCs w:val="21"/>
        </w:rPr>
        <w:t>（4）施工</w:t>
      </w:r>
      <w:r>
        <w:rPr>
          <w:rFonts w:hint="eastAsia" w:ascii="楷体" w:hAnsi="楷体" w:eastAsia="楷体"/>
          <w:color w:val="auto"/>
          <w:sz w:val="21"/>
          <w:szCs w:val="21"/>
        </w:rPr>
        <w:t>合同</w:t>
      </w:r>
      <w:r>
        <w:rPr>
          <w:rFonts w:hint="eastAsia" w:ascii="楷体" w:hAnsi="楷体" w:eastAsia="楷体" w:cs="宋体"/>
          <w:color w:val="auto"/>
          <w:sz w:val="21"/>
          <w:szCs w:val="21"/>
        </w:rPr>
        <w:t>中已明确的大节点，施工单位应严格执行，若滞后将按合同有关条款收取违约金。</w:t>
      </w:r>
    </w:p>
    <w:p>
      <w:pPr>
        <w:ind w:firstLine="420" w:firstLineChars="200"/>
        <w:rPr>
          <w:rFonts w:ascii="楷体" w:hAnsi="楷体" w:eastAsia="楷体" w:cs="宋体"/>
          <w:color w:val="auto"/>
          <w:sz w:val="21"/>
          <w:szCs w:val="21"/>
        </w:rPr>
      </w:pPr>
      <w:r>
        <w:rPr>
          <w:rFonts w:hint="eastAsia" w:ascii="楷体" w:hAnsi="楷体" w:eastAsia="楷体" w:cs="宋体"/>
          <w:color w:val="auto"/>
          <w:sz w:val="21"/>
          <w:szCs w:val="21"/>
        </w:rPr>
        <w:t>（5）施工</w:t>
      </w:r>
      <w:r>
        <w:rPr>
          <w:rFonts w:hint="eastAsia" w:ascii="楷体" w:hAnsi="楷体" w:eastAsia="楷体"/>
          <w:color w:val="auto"/>
          <w:sz w:val="21"/>
          <w:szCs w:val="21"/>
        </w:rPr>
        <w:t>单位</w:t>
      </w:r>
      <w:r>
        <w:rPr>
          <w:rFonts w:hint="eastAsia" w:ascii="楷体" w:hAnsi="楷体" w:eastAsia="楷体" w:cs="宋体"/>
          <w:color w:val="auto"/>
          <w:sz w:val="21"/>
          <w:szCs w:val="21"/>
        </w:rPr>
        <w:t>因劳动人员组织不力，工程材料以及施工机具设备、周转材料等组织不到位，</w:t>
      </w:r>
    </w:p>
    <w:p>
      <w:pPr>
        <w:rPr>
          <w:rFonts w:ascii="楷体" w:hAnsi="楷体" w:eastAsia="楷体" w:cs="宋体"/>
          <w:color w:val="auto"/>
          <w:sz w:val="21"/>
          <w:szCs w:val="21"/>
        </w:rPr>
      </w:pPr>
      <w:r>
        <w:rPr>
          <w:rFonts w:hint="eastAsia" w:ascii="楷体" w:hAnsi="楷体" w:eastAsia="楷体" w:cs="宋体"/>
          <w:color w:val="auto"/>
          <w:sz w:val="21"/>
          <w:szCs w:val="21"/>
        </w:rPr>
        <w:t>而影响工程进度或对其它施工单位的进度造成影响， 收取违约金3000元/天。</w:t>
      </w:r>
    </w:p>
    <w:p>
      <w:pPr>
        <w:ind w:firstLine="420" w:firstLineChars="200"/>
        <w:rPr>
          <w:rFonts w:ascii="楷体" w:hAnsi="楷体" w:eastAsia="楷体" w:cs="宋体"/>
          <w:color w:val="auto"/>
          <w:sz w:val="21"/>
          <w:szCs w:val="21"/>
        </w:rPr>
      </w:pPr>
      <w:r>
        <w:rPr>
          <w:rFonts w:hint="eastAsia" w:ascii="楷体" w:hAnsi="楷体" w:eastAsia="楷体" w:cs="宋体"/>
          <w:color w:val="auto"/>
          <w:sz w:val="21"/>
          <w:szCs w:val="21"/>
        </w:rPr>
        <w:t>（6）必须按发包人统一部署，确保外协单位及时进场，提供合理的工作面，对故意不执行发包人要求的， 收取违约金2000元/次。</w:t>
      </w:r>
    </w:p>
    <w:p>
      <w:pPr>
        <w:ind w:firstLine="420" w:firstLineChars="200"/>
        <w:rPr>
          <w:rFonts w:ascii="楷体" w:hAnsi="楷体" w:eastAsia="楷体" w:cs="宋体"/>
          <w:color w:val="auto"/>
          <w:sz w:val="21"/>
          <w:szCs w:val="21"/>
        </w:rPr>
      </w:pPr>
      <w:r>
        <w:rPr>
          <w:rFonts w:hint="eastAsia" w:ascii="楷体" w:hAnsi="楷体" w:eastAsia="楷体" w:cs="宋体"/>
          <w:color w:val="auto"/>
          <w:sz w:val="21"/>
          <w:szCs w:val="21"/>
        </w:rPr>
        <w:t>（7）必须</w:t>
      </w:r>
      <w:r>
        <w:rPr>
          <w:rFonts w:hint="eastAsia" w:ascii="楷体" w:hAnsi="楷体" w:eastAsia="楷体"/>
          <w:color w:val="auto"/>
          <w:sz w:val="21"/>
          <w:szCs w:val="21"/>
        </w:rPr>
        <w:t>按照</w:t>
      </w:r>
      <w:r>
        <w:rPr>
          <w:rFonts w:hint="eastAsia" w:ascii="楷体" w:hAnsi="楷体" w:eastAsia="楷体" w:cs="宋体"/>
          <w:color w:val="auto"/>
          <w:sz w:val="21"/>
          <w:szCs w:val="21"/>
        </w:rPr>
        <w:t>发包人的相关要求按时上报月报、周报、进度计划等有关资料，违者收取违约金1000元/次。</w:t>
      </w:r>
    </w:p>
    <w:p>
      <w:pPr>
        <w:ind w:firstLine="420" w:firstLineChars="200"/>
        <w:rPr>
          <w:rFonts w:ascii="楷体" w:hAnsi="楷体" w:eastAsia="楷体" w:cs="宋体"/>
          <w:color w:val="auto"/>
          <w:sz w:val="21"/>
          <w:szCs w:val="21"/>
        </w:rPr>
      </w:pPr>
      <w:r>
        <w:rPr>
          <w:rFonts w:hint="eastAsia" w:ascii="楷体" w:hAnsi="楷体" w:eastAsia="楷体" w:cs="宋体"/>
          <w:color w:val="auto"/>
          <w:sz w:val="21"/>
          <w:szCs w:val="21"/>
        </w:rPr>
        <w:t>（8）各施工单位必须遵从监理、发包人发出的指令，不得以指令所涉及费用未确定或找不到实施队伍为借口不执行或拖延执行。若施工单位未在合理时间内执行，或在收到发包人、监理催促执行的书面通知后3天内仍未执行，则发包人有权聘请第三方执行该指令所要求的工作，由此产生的费用全部由责任方承担，发包人将从其承包合同款项中直接划扣该部分费用。同时对责任单位按每次5000-50000元收取违约金。情节特别严重，发包人有权解除合同并追究施工单位违约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4.4现场管理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（1）分包人进入现场施工人员必须统一着装、统一戴安全帽、并随身携带出入证件。</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（2）现场内的布置必须经过监理、发包人审批，所有标牌、标志的张贴悬挂，由总包单位按规定制作。</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（3）分包人施工管理人员须着装整洁，头发理顺，注意举止行为。</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（4）分包人对公司的函件必须统一格式、正式打印、有统一编号，并且有负责人签字或单位公章，否则监理、发包人将拒收。</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（5）进入施工区域戴好安全帽，并符合规定。</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（6）现场内严禁随地大小便，违者收取违约金小便200元/人</w:t>
      </w:r>
      <w:r>
        <w:rPr>
          <w:rFonts w:hint="eastAsia" w:ascii="宋体" w:hAnsi="宋体" w:eastAsia="宋体" w:cs="宋体"/>
          <w:color w:val="auto"/>
          <w:sz w:val="21"/>
          <w:szCs w:val="21"/>
        </w:rPr>
        <w:t> </w:t>
      </w:r>
      <w:r>
        <w:rPr>
          <w:rFonts w:hint="eastAsia" w:ascii="楷体" w:hAnsi="楷体" w:eastAsia="楷体"/>
          <w:color w:val="auto"/>
          <w:sz w:val="21"/>
          <w:szCs w:val="21"/>
        </w:rPr>
        <w:t>次，大便300元/人次。</w:t>
      </w:r>
      <w:r>
        <w:rPr>
          <w:rFonts w:hint="eastAsia" w:ascii="宋体" w:hAnsi="宋体" w:eastAsia="宋体" w:cs="宋体"/>
          <w:color w:val="auto"/>
          <w:sz w:val="21"/>
          <w:szCs w:val="21"/>
        </w:rPr>
        <w:t> </w:t>
      </w:r>
      <w:r>
        <w:rPr>
          <w:rFonts w:hint="eastAsia" w:ascii="楷体" w:hAnsi="楷体" w:eastAsia="楷体"/>
          <w:color w:val="auto"/>
          <w:sz w:val="21"/>
          <w:szCs w:val="21"/>
        </w:rPr>
        <w:t>（无法界定责任者均归咎于总包单位）</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（7）爱护现场内的安全、消防、测量、照明设施及有关标牌等，违者收取违约金200元/人，并负责赔偿损失。</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（8）现场内严禁乱抛垃圾、烟头、水果皮、废纸等，否则每起收取违约金100元/人。</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（9）施工现场、生活区严禁带有金钱性质的赌博，酗酒行为，否则对承包人负任人收取违约金1000元/次。</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4.5安全、环境、文明施工管理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4.5.1安全管理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（1）承包人现场成立安全文明施工防护措施领导小组，切实加强施工全过程的安全管理，确保工人在劳动过程中的安全与健康。</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（2）承包人施工管理人员、工程技术人员，操作工人必须熟悉和掌握本工种的“安全技术操作规程”，否则不许参加施工。</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（3）认真坚持安全自检制度，搞好隐患整改，并做到定人、定时间、定措施。</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（4）新入场及变换工种人员必须经过安全教育，上岗作业前必须进行安全技术交底。</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（5）特种作业人员必须经安全技术培训，考试合格持证上岗作业。</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（6）进入施工现场必须正确戴好安全帽，高处作业系牢安全带。正确使用个人防护用品。</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（7）施工现场内严禁穿高跟鞋、拖鞋，光脚，赤裸上身作业。</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施工中的“四口”（即楼梯口、电梯口、预留洞口、通道口），“五临边”（尚未安装好的阳台边、无外架防护的屋面周边、框架工程楼层周边、跑道（斜道）两侧边、卸料台的外侧边）必须有严密、牢固的安全防护设施，任何人不许改动和破坏。</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（9）现场的机电设备、电动工具、供电设施中持证电工操作，严禁非电气工人乱接乱动。</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（10）一切机械设备和垂直运输、超重机械的安全防护及保险装置必须齐全，灵敏可靠，严禁非机械人员随意开动机械设备。</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（11）工程中使用的易燃易爆物品，有毒、有害物品要严格保管使用。</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（12）现场道路要畅通，料具堆放要整齐、安全。危险部位和场应设置安全标志牌。夜间要设红灯示警。</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（13）非施工人员不得擅自进入现场。</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（14）施工现场禁止抽烟。</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（15）现场集水井、排水沟等易积水地方的积水要及时清理，防止疾病传播。</w:t>
      </w:r>
    </w:p>
    <w:p>
      <w:pPr>
        <w:rPr>
          <w:rFonts w:ascii="楷体" w:hAnsi="楷体" w:eastAsia="楷体"/>
          <w:color w:val="auto"/>
          <w:sz w:val="21"/>
          <w:szCs w:val="21"/>
        </w:rPr>
      </w:pPr>
      <w:r>
        <w:rPr>
          <w:rFonts w:hint="eastAsia" w:ascii="楷体" w:hAnsi="楷体" w:eastAsia="楷体"/>
          <w:color w:val="auto"/>
          <w:sz w:val="21"/>
          <w:szCs w:val="21"/>
        </w:rPr>
        <w:t>违反以上各条安全管理制度的，视情况每次处收取违约金100-2000元。</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安全生产是工程建设的重中之重，各参建单位必须按照安全生产的有关安全规章制度组织各项工作，建立健全安全保障体系和各项安全制度，制定专项安全施工方案，对作业人员认真作好各级安全教育和安全技术交底，若不进行安全教育与交底的，按下表进行处罚；加强对作业人员的安全保护，原则上不进行立体交叉作业，当必须进行时，应采取可靠的安全措施，违反安全生产的有关规定或疏忽管理造成重伤事故以上的收取违约金10000元/次；造成轻伤事故的收取违约金1000元/次。</w:t>
      </w:r>
    </w:p>
    <w:p>
      <w:pPr>
        <w:spacing w:line="500" w:lineRule="exact"/>
        <w:rPr>
          <w:rFonts w:ascii="楷体" w:hAnsi="楷体" w:eastAsia="楷体" w:cs="宋体"/>
          <w:color w:val="auto"/>
          <w:sz w:val="21"/>
          <w:szCs w:val="21"/>
        </w:rPr>
      </w:pPr>
      <w:r>
        <w:rPr>
          <w:rFonts w:hint="eastAsia" w:ascii="楷体" w:hAnsi="楷体" w:eastAsia="楷体" w:cs="宋体"/>
          <w:color w:val="auto"/>
          <w:sz w:val="21"/>
          <w:szCs w:val="21"/>
        </w:rPr>
        <w:t>A.安全管理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266"/>
        <w:gridCol w:w="5155"/>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序</w:t>
            </w:r>
          </w:p>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号</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项目</w:t>
            </w:r>
          </w:p>
        </w:tc>
        <w:tc>
          <w:tcPr>
            <w:tcW w:w="51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检查标准</w:t>
            </w:r>
          </w:p>
        </w:tc>
        <w:tc>
          <w:tcPr>
            <w:tcW w:w="17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违约金标准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1</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安全管理员</w:t>
            </w:r>
          </w:p>
        </w:tc>
        <w:tc>
          <w:tcPr>
            <w:tcW w:w="51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安全员无安全员证或安全负责人无国家认可的资格证书的</w:t>
            </w:r>
          </w:p>
          <w:p>
            <w:pPr>
              <w:spacing w:line="280" w:lineRule="exact"/>
              <w:rPr>
                <w:rFonts w:ascii="楷体" w:hAnsi="楷体" w:eastAsia="楷体"/>
                <w:color w:val="auto"/>
                <w:sz w:val="21"/>
                <w:szCs w:val="21"/>
              </w:rPr>
            </w:pPr>
            <w:r>
              <w:rPr>
                <w:rFonts w:hint="eastAsia" w:ascii="楷体" w:hAnsi="楷体" w:eastAsia="楷体"/>
                <w:color w:val="auto"/>
                <w:sz w:val="21"/>
                <w:szCs w:val="21"/>
              </w:rPr>
              <w:t>安全员不了解本身职责的</w:t>
            </w:r>
          </w:p>
          <w:p>
            <w:pPr>
              <w:spacing w:line="280" w:lineRule="exact"/>
              <w:rPr>
                <w:rFonts w:ascii="楷体" w:hAnsi="楷体" w:eastAsia="楷体"/>
                <w:color w:val="auto"/>
                <w:sz w:val="21"/>
                <w:szCs w:val="21"/>
              </w:rPr>
            </w:pPr>
            <w:r>
              <w:rPr>
                <w:rFonts w:hint="eastAsia" w:ascii="楷体" w:hAnsi="楷体" w:eastAsia="楷体"/>
                <w:color w:val="auto"/>
                <w:sz w:val="21"/>
                <w:szCs w:val="21"/>
              </w:rPr>
              <w:t>安全员不懂各工种安全技术操作规程，不能有效履职的</w:t>
            </w:r>
          </w:p>
          <w:p>
            <w:pPr>
              <w:spacing w:line="280" w:lineRule="exact"/>
              <w:rPr>
                <w:rFonts w:ascii="楷体" w:hAnsi="楷体" w:eastAsia="楷体"/>
                <w:color w:val="auto"/>
                <w:sz w:val="21"/>
                <w:szCs w:val="21"/>
              </w:rPr>
            </w:pPr>
            <w:r>
              <w:rPr>
                <w:rFonts w:hint="eastAsia" w:ascii="楷体" w:hAnsi="楷体" w:eastAsia="楷体"/>
                <w:color w:val="auto"/>
                <w:sz w:val="21"/>
                <w:szCs w:val="21"/>
              </w:rPr>
              <w:t>安全员不在岗位的</w:t>
            </w:r>
          </w:p>
          <w:p>
            <w:pPr>
              <w:spacing w:line="280" w:lineRule="exact"/>
              <w:rPr>
                <w:rFonts w:ascii="楷体" w:hAnsi="楷体" w:eastAsia="楷体"/>
                <w:color w:val="auto"/>
                <w:sz w:val="21"/>
                <w:szCs w:val="21"/>
              </w:rPr>
            </w:pPr>
            <w:r>
              <w:rPr>
                <w:rFonts w:hint="eastAsia" w:ascii="楷体" w:hAnsi="楷体" w:eastAsia="楷体"/>
                <w:color w:val="auto"/>
                <w:sz w:val="21"/>
                <w:szCs w:val="21"/>
              </w:rPr>
              <w:t>安全员对施工中的安全不能做到有效管控的</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300-1000元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3</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安全检查</w:t>
            </w:r>
          </w:p>
        </w:tc>
        <w:tc>
          <w:tcPr>
            <w:tcW w:w="51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现场无定期安全检查的</w:t>
            </w:r>
          </w:p>
          <w:p>
            <w:pPr>
              <w:spacing w:line="280" w:lineRule="exact"/>
              <w:rPr>
                <w:rFonts w:ascii="楷体" w:hAnsi="楷体" w:eastAsia="楷体"/>
                <w:color w:val="auto"/>
                <w:sz w:val="21"/>
                <w:szCs w:val="21"/>
              </w:rPr>
            </w:pPr>
            <w:r>
              <w:rPr>
                <w:rFonts w:hint="eastAsia" w:ascii="楷体" w:hAnsi="楷体" w:eastAsia="楷体"/>
                <w:color w:val="auto"/>
                <w:sz w:val="21"/>
                <w:szCs w:val="21"/>
              </w:rPr>
              <w:t>安全检查无记录的</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200--500元／人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51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查出事故隐患整改做不到定时、定人、定措施的</w:t>
            </w:r>
          </w:p>
          <w:p>
            <w:pPr>
              <w:spacing w:line="280" w:lineRule="exact"/>
              <w:rPr>
                <w:rFonts w:ascii="楷体" w:hAnsi="楷体" w:eastAsia="楷体"/>
                <w:color w:val="auto"/>
                <w:sz w:val="21"/>
                <w:szCs w:val="21"/>
              </w:rPr>
            </w:pPr>
            <w:r>
              <w:rPr>
                <w:rFonts w:hint="eastAsia" w:ascii="楷体" w:hAnsi="楷体" w:eastAsia="楷体"/>
                <w:color w:val="auto"/>
                <w:sz w:val="21"/>
                <w:szCs w:val="21"/>
              </w:rPr>
              <w:t>项目经理两周内未参加安全检查的</w:t>
            </w:r>
          </w:p>
          <w:p>
            <w:pPr>
              <w:spacing w:line="280" w:lineRule="exact"/>
              <w:rPr>
                <w:rFonts w:ascii="楷体" w:hAnsi="楷体" w:eastAsia="楷体"/>
                <w:color w:val="auto"/>
                <w:sz w:val="21"/>
                <w:szCs w:val="21"/>
              </w:rPr>
            </w:pPr>
            <w:r>
              <w:rPr>
                <w:rFonts w:hint="eastAsia" w:ascii="楷体" w:hAnsi="楷体" w:eastAsia="楷体"/>
                <w:color w:val="auto"/>
                <w:sz w:val="21"/>
                <w:szCs w:val="21"/>
              </w:rPr>
              <w:t>对事故隐患整改通知书所列项目未按要求完成的</w:t>
            </w:r>
          </w:p>
          <w:p>
            <w:pPr>
              <w:spacing w:line="280" w:lineRule="exact"/>
              <w:rPr>
                <w:rFonts w:ascii="楷体" w:hAnsi="楷体" w:eastAsia="楷体"/>
                <w:color w:val="auto"/>
                <w:sz w:val="21"/>
                <w:szCs w:val="21"/>
              </w:rPr>
            </w:pPr>
            <w:r>
              <w:rPr>
                <w:rFonts w:hint="eastAsia" w:ascii="楷体" w:hAnsi="楷体" w:eastAsia="楷体"/>
                <w:color w:val="auto"/>
                <w:sz w:val="21"/>
                <w:szCs w:val="21"/>
              </w:rPr>
              <w:t>未按要求填报安全工作月报表的</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300-1000元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4</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安全教育</w:t>
            </w:r>
          </w:p>
        </w:tc>
        <w:tc>
          <w:tcPr>
            <w:tcW w:w="51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现场施工人员中未登记备案或三证不齐的</w:t>
            </w:r>
          </w:p>
          <w:p>
            <w:pPr>
              <w:spacing w:line="280" w:lineRule="exact"/>
              <w:rPr>
                <w:rFonts w:ascii="楷体" w:hAnsi="楷体" w:eastAsia="楷体"/>
                <w:color w:val="auto"/>
                <w:sz w:val="21"/>
                <w:szCs w:val="21"/>
              </w:rPr>
            </w:pPr>
            <w:r>
              <w:rPr>
                <w:rFonts w:hint="eastAsia" w:ascii="楷体" w:hAnsi="楷体" w:eastAsia="楷体"/>
                <w:color w:val="auto"/>
                <w:sz w:val="21"/>
                <w:szCs w:val="21"/>
              </w:rPr>
              <w:t>抽考工人安全知识及安全操作规程不合格的</w:t>
            </w:r>
          </w:p>
          <w:p>
            <w:pPr>
              <w:spacing w:line="280" w:lineRule="exact"/>
              <w:rPr>
                <w:rFonts w:ascii="楷体" w:hAnsi="楷体" w:eastAsia="楷体"/>
                <w:color w:val="auto"/>
                <w:sz w:val="21"/>
                <w:szCs w:val="21"/>
              </w:rPr>
            </w:pPr>
            <w:r>
              <w:rPr>
                <w:rFonts w:hint="eastAsia" w:ascii="楷体" w:hAnsi="楷体" w:eastAsia="楷体"/>
                <w:color w:val="auto"/>
                <w:sz w:val="21"/>
                <w:szCs w:val="21"/>
              </w:rPr>
              <w:t>新进场工人未进行施工安全教育的</w:t>
            </w:r>
          </w:p>
          <w:p>
            <w:pPr>
              <w:spacing w:line="280" w:lineRule="exact"/>
              <w:rPr>
                <w:rFonts w:ascii="楷体" w:hAnsi="楷体" w:eastAsia="楷体"/>
                <w:color w:val="auto"/>
                <w:sz w:val="21"/>
                <w:szCs w:val="21"/>
              </w:rPr>
            </w:pPr>
            <w:r>
              <w:rPr>
                <w:rFonts w:hint="eastAsia" w:ascii="楷体" w:hAnsi="楷体" w:eastAsia="楷体"/>
                <w:color w:val="auto"/>
                <w:sz w:val="21"/>
                <w:szCs w:val="21"/>
              </w:rPr>
              <w:t>未存三级安全教育记录、考试卷的</w:t>
            </w:r>
          </w:p>
          <w:p>
            <w:pPr>
              <w:spacing w:line="280" w:lineRule="exact"/>
              <w:rPr>
                <w:rFonts w:ascii="楷体" w:hAnsi="楷体" w:eastAsia="楷体"/>
                <w:color w:val="auto"/>
                <w:sz w:val="21"/>
                <w:szCs w:val="21"/>
              </w:rPr>
            </w:pPr>
            <w:r>
              <w:rPr>
                <w:rFonts w:hint="eastAsia" w:ascii="楷体" w:hAnsi="楷体" w:eastAsia="楷体"/>
                <w:color w:val="auto"/>
                <w:sz w:val="21"/>
                <w:szCs w:val="21"/>
              </w:rPr>
              <w:t>工人安全培训学习每月不足两小时的</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5</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特种作业</w:t>
            </w:r>
          </w:p>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人员</w:t>
            </w:r>
          </w:p>
        </w:tc>
        <w:tc>
          <w:tcPr>
            <w:tcW w:w="51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特种作业人员未列册登记备案的</w:t>
            </w:r>
          </w:p>
          <w:p>
            <w:pPr>
              <w:spacing w:line="280" w:lineRule="exact"/>
              <w:rPr>
                <w:rFonts w:ascii="楷体" w:hAnsi="楷体" w:eastAsia="楷体"/>
                <w:color w:val="auto"/>
                <w:sz w:val="21"/>
                <w:szCs w:val="21"/>
              </w:rPr>
            </w:pPr>
            <w:r>
              <w:rPr>
                <w:rFonts w:hint="eastAsia" w:ascii="楷体" w:hAnsi="楷体" w:eastAsia="楷体"/>
                <w:color w:val="auto"/>
                <w:sz w:val="21"/>
                <w:szCs w:val="21"/>
              </w:rPr>
              <w:t>未随身携带证件从事特种作业的</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1000元／人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51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无证从事特种作业的或者证件过期、无年审</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90" w:firstLineChars="100"/>
              <w:jc w:val="center"/>
              <w:rPr>
                <w:rFonts w:ascii="楷体" w:hAnsi="楷体" w:eastAsia="楷体"/>
                <w:color w:val="auto"/>
                <w:spacing w:val="-10"/>
                <w:sz w:val="21"/>
                <w:szCs w:val="21"/>
              </w:rPr>
            </w:pPr>
            <w:r>
              <w:rPr>
                <w:rFonts w:hint="eastAsia" w:ascii="楷体" w:hAnsi="楷体" w:eastAsia="楷体"/>
                <w:color w:val="auto"/>
                <w:spacing w:val="-10"/>
                <w:sz w:val="21"/>
                <w:szCs w:val="21"/>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6</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分部（分项）工程安全技术交底</w:t>
            </w:r>
          </w:p>
        </w:tc>
        <w:tc>
          <w:tcPr>
            <w:tcW w:w="51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无书面安全技术交底的</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7</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安全标志</w:t>
            </w:r>
          </w:p>
        </w:tc>
        <w:tc>
          <w:tcPr>
            <w:tcW w:w="51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无现场安全标志平面图的</w:t>
            </w:r>
          </w:p>
          <w:p>
            <w:pPr>
              <w:spacing w:line="280" w:lineRule="exact"/>
              <w:rPr>
                <w:rFonts w:ascii="楷体" w:hAnsi="楷体" w:eastAsia="楷体"/>
                <w:color w:val="auto"/>
                <w:sz w:val="21"/>
                <w:szCs w:val="21"/>
              </w:rPr>
            </w:pPr>
            <w:r>
              <w:rPr>
                <w:rFonts w:hint="eastAsia" w:ascii="楷体" w:hAnsi="楷体" w:eastAsia="楷体"/>
                <w:color w:val="auto"/>
                <w:sz w:val="21"/>
                <w:szCs w:val="21"/>
              </w:rPr>
              <w:t>现场未按安全标志平面图设置安全标志的</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200元／项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8</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班前安全</w:t>
            </w:r>
          </w:p>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活动</w:t>
            </w:r>
          </w:p>
        </w:tc>
        <w:tc>
          <w:tcPr>
            <w:tcW w:w="515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未建立班前和每周安全活动制度的</w:t>
            </w:r>
          </w:p>
          <w:p>
            <w:pPr>
              <w:spacing w:line="280" w:lineRule="exact"/>
              <w:rPr>
                <w:rFonts w:ascii="楷体" w:hAnsi="楷体" w:eastAsia="楷体"/>
                <w:color w:val="auto"/>
                <w:sz w:val="21"/>
                <w:szCs w:val="21"/>
              </w:rPr>
            </w:pPr>
            <w:r>
              <w:rPr>
                <w:rFonts w:hint="eastAsia" w:ascii="楷体" w:hAnsi="楷体" w:eastAsia="楷体"/>
                <w:color w:val="auto"/>
                <w:sz w:val="21"/>
                <w:szCs w:val="21"/>
              </w:rPr>
              <w:t>班前和每周安全活动无记录或记录不全的</w:t>
            </w:r>
          </w:p>
        </w:tc>
        <w:tc>
          <w:tcPr>
            <w:tcW w:w="173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300元</w:t>
            </w:r>
          </w:p>
        </w:tc>
      </w:tr>
    </w:tbl>
    <w:p>
      <w:pPr>
        <w:spacing w:line="500" w:lineRule="exact"/>
        <w:rPr>
          <w:rFonts w:ascii="楷体" w:hAnsi="楷体" w:eastAsia="楷体" w:cs="宋体"/>
          <w:color w:val="auto"/>
          <w:sz w:val="21"/>
          <w:szCs w:val="21"/>
        </w:rPr>
      </w:pPr>
      <w:r>
        <w:rPr>
          <w:rFonts w:hint="eastAsia" w:ascii="楷体" w:hAnsi="楷体" w:eastAsia="楷体" w:cs="宋体"/>
          <w:color w:val="auto"/>
          <w:sz w:val="21"/>
          <w:szCs w:val="21"/>
        </w:rPr>
        <w:t>B.“三宝”、“四口”、防护管理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17"/>
        <w:gridCol w:w="517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序</w:t>
            </w:r>
          </w:p>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号</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项目</w:t>
            </w:r>
          </w:p>
        </w:tc>
        <w:tc>
          <w:tcPr>
            <w:tcW w:w="51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检查标准</w:t>
            </w:r>
          </w:p>
        </w:tc>
        <w:tc>
          <w:tcPr>
            <w:tcW w:w="15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违约金标准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安全帽</w:t>
            </w: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不戴安全帽的; 未戴安全帽者，班组人员处罚50元/次，管理人员处罚100元/次。</w:t>
            </w:r>
          </w:p>
          <w:p>
            <w:pPr>
              <w:spacing w:line="280" w:lineRule="exact"/>
              <w:rPr>
                <w:rFonts w:ascii="楷体" w:hAnsi="楷体" w:eastAsia="楷体"/>
                <w:dstrike/>
                <w:color w:val="auto"/>
                <w:sz w:val="21"/>
                <w:szCs w:val="21"/>
              </w:rPr>
            </w:pPr>
            <w:r>
              <w:rPr>
                <w:rFonts w:hint="eastAsia" w:ascii="楷体" w:hAnsi="楷体" w:eastAsia="楷体"/>
                <w:color w:val="auto"/>
                <w:sz w:val="21"/>
                <w:szCs w:val="21"/>
              </w:rPr>
              <w:t>安全帽不符合标准的（有效期、合格证）</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779"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安全网</w:t>
            </w: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安全网规格、材质不符合要求，安全网未取得建筑安全监督部门生产许可证的</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p>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2000元/项</w:t>
            </w:r>
          </w:p>
          <w:p>
            <w:pPr>
              <w:spacing w:line="280" w:lineRule="exact"/>
              <w:jc w:val="center"/>
              <w:rPr>
                <w:rFonts w:ascii="楷体" w:hAnsi="楷体" w:eastAsia="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安全网未能满足进度要求的，擅自损坏、拆除、移动安全防护装置、安全标志、警示牌的</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500-1500元/次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安全带</w:t>
            </w: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高处作业未系安全带的</w:t>
            </w:r>
          </w:p>
          <w:p>
            <w:pPr>
              <w:spacing w:line="280" w:lineRule="exact"/>
              <w:rPr>
                <w:rFonts w:ascii="楷体" w:hAnsi="楷体" w:eastAsia="楷体"/>
                <w:color w:val="auto"/>
                <w:sz w:val="21"/>
                <w:szCs w:val="21"/>
              </w:rPr>
            </w:pPr>
            <w:r>
              <w:rPr>
                <w:rFonts w:hint="eastAsia" w:ascii="楷体" w:hAnsi="楷体" w:eastAsia="楷体"/>
                <w:color w:val="auto"/>
                <w:sz w:val="21"/>
                <w:szCs w:val="21"/>
              </w:rPr>
              <w:t>高处作业安全带系扣不符合要求的</w:t>
            </w:r>
          </w:p>
          <w:p>
            <w:pPr>
              <w:spacing w:line="280" w:lineRule="exact"/>
              <w:rPr>
                <w:rFonts w:ascii="楷体" w:hAnsi="楷体" w:eastAsia="楷体"/>
                <w:color w:val="auto"/>
                <w:sz w:val="21"/>
                <w:szCs w:val="21"/>
              </w:rPr>
            </w:pPr>
            <w:r>
              <w:rPr>
                <w:rFonts w:hint="eastAsia" w:ascii="楷体" w:hAnsi="楷体" w:eastAsia="楷体"/>
                <w:color w:val="auto"/>
                <w:sz w:val="21"/>
                <w:szCs w:val="21"/>
              </w:rPr>
              <w:t>安全带不符合生产标准要求的</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楼梯口、电梯井口防护</w:t>
            </w: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楼梯口、电梯井口无安全防护</w:t>
            </w:r>
          </w:p>
          <w:p>
            <w:pPr>
              <w:spacing w:line="280" w:lineRule="exact"/>
              <w:rPr>
                <w:rFonts w:ascii="楷体" w:hAnsi="楷体" w:eastAsia="楷体"/>
                <w:color w:val="auto"/>
                <w:sz w:val="21"/>
                <w:szCs w:val="21"/>
              </w:rPr>
            </w:pPr>
            <w:r>
              <w:rPr>
                <w:rFonts w:hint="eastAsia" w:ascii="楷体" w:hAnsi="楷体" w:eastAsia="楷体"/>
                <w:color w:val="auto"/>
                <w:sz w:val="21"/>
                <w:szCs w:val="21"/>
              </w:rPr>
              <w:t>防护措施不符合要求或不严密的</w:t>
            </w:r>
          </w:p>
          <w:p>
            <w:pPr>
              <w:spacing w:line="280" w:lineRule="exact"/>
              <w:rPr>
                <w:rFonts w:ascii="楷体" w:hAnsi="楷体" w:eastAsia="楷体"/>
                <w:color w:val="auto"/>
                <w:sz w:val="21"/>
                <w:szCs w:val="21"/>
              </w:rPr>
            </w:pPr>
            <w:r>
              <w:rPr>
                <w:rFonts w:hint="eastAsia" w:ascii="楷体" w:hAnsi="楷体" w:eastAsia="楷体"/>
                <w:color w:val="auto"/>
                <w:sz w:val="21"/>
                <w:szCs w:val="21"/>
              </w:rPr>
              <w:t>电梯井内每隔两层（不大于10m）无平网的</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预留洞口（管</w:t>
            </w:r>
          </w:p>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井口、坑井口）防护</w:t>
            </w: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无有效的安全防护措施的</w:t>
            </w:r>
          </w:p>
          <w:p>
            <w:pPr>
              <w:spacing w:line="280" w:lineRule="exact"/>
              <w:rPr>
                <w:rFonts w:ascii="楷体" w:hAnsi="楷体" w:eastAsia="楷体"/>
                <w:color w:val="auto"/>
                <w:sz w:val="21"/>
                <w:szCs w:val="21"/>
              </w:rPr>
            </w:pPr>
            <w:r>
              <w:rPr>
                <w:rFonts w:hint="eastAsia" w:ascii="楷体" w:hAnsi="楷体" w:eastAsia="楷体"/>
                <w:color w:val="auto"/>
                <w:sz w:val="21"/>
                <w:szCs w:val="21"/>
              </w:rPr>
              <w:t>措施不符合要求或不严密的</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6</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通道口、提升架出入口、加工区防护</w:t>
            </w: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无防护棚的</w:t>
            </w:r>
          </w:p>
          <w:p>
            <w:pPr>
              <w:spacing w:line="280" w:lineRule="exact"/>
              <w:rPr>
                <w:rFonts w:ascii="楷体" w:hAnsi="楷体" w:eastAsia="楷体"/>
                <w:color w:val="auto"/>
                <w:sz w:val="21"/>
                <w:szCs w:val="21"/>
              </w:rPr>
            </w:pPr>
            <w:r>
              <w:rPr>
                <w:rFonts w:hint="eastAsia" w:ascii="楷体" w:hAnsi="楷体" w:eastAsia="楷体"/>
                <w:color w:val="auto"/>
                <w:sz w:val="21"/>
                <w:szCs w:val="21"/>
              </w:rPr>
              <w:t>防护不严的</w:t>
            </w:r>
          </w:p>
          <w:p>
            <w:pPr>
              <w:spacing w:line="280" w:lineRule="exact"/>
              <w:rPr>
                <w:rFonts w:ascii="楷体" w:hAnsi="楷体" w:eastAsia="楷体"/>
                <w:color w:val="auto"/>
                <w:sz w:val="21"/>
                <w:szCs w:val="21"/>
              </w:rPr>
            </w:pPr>
            <w:r>
              <w:rPr>
                <w:rFonts w:hint="eastAsia" w:ascii="楷体" w:hAnsi="楷体" w:eastAsia="楷体"/>
                <w:color w:val="auto"/>
                <w:sz w:val="21"/>
                <w:szCs w:val="21"/>
              </w:rPr>
              <w:t>防护棚不牢固、材质不符合要求的</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7</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阳台、楼板、屋面、脚手架、通道口等临边防护．</w:t>
            </w: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无有效安全措施的</w:t>
            </w:r>
          </w:p>
          <w:p>
            <w:pPr>
              <w:spacing w:line="280" w:lineRule="exact"/>
              <w:rPr>
                <w:rFonts w:ascii="楷体" w:hAnsi="楷体" w:eastAsia="楷体"/>
                <w:color w:val="auto"/>
                <w:sz w:val="21"/>
                <w:szCs w:val="21"/>
              </w:rPr>
            </w:pPr>
            <w:r>
              <w:rPr>
                <w:rFonts w:hint="eastAsia" w:ascii="楷体" w:hAnsi="楷体" w:eastAsia="楷体"/>
                <w:color w:val="auto"/>
                <w:sz w:val="21"/>
                <w:szCs w:val="21"/>
              </w:rPr>
              <w:t>临边防护不符合要求的</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8</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外脚手架</w:t>
            </w: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未能按照施工组织设计搭设的</w:t>
            </w:r>
          </w:p>
          <w:p>
            <w:pPr>
              <w:spacing w:line="280" w:lineRule="exact"/>
              <w:rPr>
                <w:rFonts w:ascii="楷体" w:hAnsi="楷体" w:eastAsia="楷体"/>
                <w:color w:val="auto"/>
                <w:sz w:val="21"/>
                <w:szCs w:val="21"/>
              </w:rPr>
            </w:pPr>
            <w:r>
              <w:rPr>
                <w:rFonts w:hint="eastAsia" w:ascii="楷体" w:hAnsi="楷体" w:eastAsia="楷体"/>
                <w:color w:val="auto"/>
                <w:sz w:val="21"/>
                <w:szCs w:val="21"/>
              </w:rPr>
              <w:t>外脚手架未能跟上施工进度的，脚手架未满挂安全网</w:t>
            </w:r>
          </w:p>
          <w:p>
            <w:pPr>
              <w:spacing w:line="280" w:lineRule="exact"/>
              <w:rPr>
                <w:rFonts w:ascii="楷体" w:hAnsi="楷体" w:eastAsia="楷体"/>
                <w:color w:val="auto"/>
                <w:sz w:val="21"/>
                <w:szCs w:val="21"/>
              </w:rPr>
            </w:pPr>
            <w:r>
              <w:rPr>
                <w:rFonts w:hint="eastAsia" w:ascii="楷体" w:hAnsi="楷体" w:eastAsia="楷体"/>
                <w:color w:val="auto"/>
                <w:sz w:val="21"/>
                <w:szCs w:val="21"/>
              </w:rPr>
              <w:t>擅自拆除连墙件、大小横杆、立杆的</w:t>
            </w:r>
          </w:p>
          <w:p>
            <w:pPr>
              <w:spacing w:line="280" w:lineRule="exact"/>
              <w:rPr>
                <w:rFonts w:ascii="楷体" w:hAnsi="楷体" w:eastAsia="楷体"/>
                <w:color w:val="auto"/>
                <w:sz w:val="21"/>
                <w:szCs w:val="21"/>
              </w:rPr>
            </w:pPr>
            <w:r>
              <w:rPr>
                <w:rFonts w:hint="eastAsia" w:ascii="楷体" w:hAnsi="楷体" w:eastAsia="楷体"/>
                <w:color w:val="auto"/>
                <w:sz w:val="21"/>
                <w:szCs w:val="21"/>
              </w:rPr>
              <w:t>堆放材料，存在安全隐患或阻塞通道的</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9</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模板工程</w:t>
            </w:r>
          </w:p>
        </w:tc>
        <w:tc>
          <w:tcPr>
            <w:tcW w:w="51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未按照施工组织设计进行搭设的</w:t>
            </w:r>
          </w:p>
          <w:p>
            <w:pPr>
              <w:spacing w:line="280" w:lineRule="exact"/>
              <w:rPr>
                <w:rFonts w:ascii="楷体" w:hAnsi="楷体" w:eastAsia="楷体"/>
                <w:color w:val="auto"/>
                <w:sz w:val="21"/>
                <w:szCs w:val="21"/>
              </w:rPr>
            </w:pPr>
            <w:r>
              <w:rPr>
                <w:rFonts w:hint="eastAsia" w:ascii="楷体" w:hAnsi="楷体" w:eastAsia="楷体"/>
                <w:color w:val="auto"/>
                <w:sz w:val="21"/>
                <w:szCs w:val="21"/>
              </w:rPr>
              <w:t>擅自拆模或拆模管理不到位的</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200-1000/处</w:t>
            </w:r>
          </w:p>
        </w:tc>
      </w:tr>
    </w:tbl>
    <w:p>
      <w:pPr>
        <w:spacing w:line="500" w:lineRule="exact"/>
        <w:rPr>
          <w:rFonts w:ascii="楷体" w:hAnsi="楷体" w:eastAsia="楷体" w:cs="宋体"/>
          <w:color w:val="auto"/>
          <w:sz w:val="21"/>
          <w:szCs w:val="21"/>
        </w:rPr>
      </w:pPr>
      <w:r>
        <w:rPr>
          <w:rFonts w:hint="eastAsia" w:ascii="楷体" w:hAnsi="楷体" w:eastAsia="楷体" w:cs="宋体"/>
          <w:color w:val="auto"/>
          <w:sz w:val="21"/>
          <w:szCs w:val="21"/>
        </w:rPr>
        <w:t xml:space="preserve">C、施工用电管理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17"/>
        <w:gridCol w:w="5159"/>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楷体" w:hAnsi="楷体" w:eastAsia="楷体"/>
                <w:b/>
                <w:color w:val="auto"/>
                <w:sz w:val="21"/>
                <w:szCs w:val="21"/>
              </w:rPr>
            </w:pPr>
            <w:r>
              <w:rPr>
                <w:rFonts w:hint="eastAsia" w:ascii="楷体" w:hAnsi="楷体" w:eastAsia="楷体"/>
                <w:b/>
                <w:color w:val="auto"/>
                <w:sz w:val="21"/>
                <w:szCs w:val="21"/>
              </w:rPr>
              <w:t>序</w:t>
            </w:r>
          </w:p>
          <w:p>
            <w:pPr>
              <w:spacing w:line="300" w:lineRule="exact"/>
              <w:jc w:val="center"/>
              <w:rPr>
                <w:rFonts w:ascii="楷体" w:hAnsi="楷体" w:eastAsia="楷体"/>
                <w:color w:val="auto"/>
                <w:sz w:val="21"/>
                <w:szCs w:val="21"/>
              </w:rPr>
            </w:pPr>
            <w:r>
              <w:rPr>
                <w:rFonts w:hint="eastAsia" w:ascii="楷体" w:hAnsi="楷体" w:eastAsia="楷体"/>
                <w:b/>
                <w:color w:val="auto"/>
                <w:sz w:val="21"/>
                <w:szCs w:val="21"/>
              </w:rPr>
              <w:t>号</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auto"/>
                <w:sz w:val="21"/>
                <w:szCs w:val="21"/>
              </w:rPr>
            </w:pPr>
            <w:r>
              <w:rPr>
                <w:rFonts w:hint="eastAsia" w:ascii="楷体" w:hAnsi="楷体" w:eastAsia="楷体"/>
                <w:b/>
                <w:color w:val="auto"/>
                <w:sz w:val="21"/>
                <w:szCs w:val="21"/>
              </w:rPr>
              <w:t>项目</w:t>
            </w:r>
          </w:p>
        </w:tc>
        <w:tc>
          <w:tcPr>
            <w:tcW w:w="515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auto"/>
                <w:sz w:val="21"/>
                <w:szCs w:val="21"/>
              </w:rPr>
            </w:pPr>
            <w:r>
              <w:rPr>
                <w:rFonts w:hint="eastAsia" w:ascii="楷体" w:hAnsi="楷体" w:eastAsia="楷体"/>
                <w:b/>
                <w:color w:val="auto"/>
                <w:sz w:val="21"/>
                <w:szCs w:val="21"/>
              </w:rPr>
              <w:t>检查标准</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olor w:val="auto"/>
                <w:sz w:val="21"/>
                <w:szCs w:val="21"/>
              </w:rPr>
            </w:pPr>
            <w:r>
              <w:rPr>
                <w:rFonts w:hint="eastAsia" w:ascii="楷体" w:hAnsi="楷体" w:eastAsia="楷体"/>
                <w:b/>
                <w:color w:val="auto"/>
                <w:sz w:val="21"/>
                <w:szCs w:val="21"/>
              </w:rPr>
              <w:t>违约金标准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接地与接零保护系统</w:t>
            </w:r>
          </w:p>
        </w:tc>
        <w:tc>
          <w:tcPr>
            <w:tcW w:w="51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未采用三相五线制的</w:t>
            </w:r>
          </w:p>
          <w:p>
            <w:pPr>
              <w:spacing w:line="280" w:lineRule="exact"/>
              <w:rPr>
                <w:rFonts w:ascii="楷体" w:hAnsi="楷体" w:eastAsia="楷体"/>
                <w:color w:val="auto"/>
                <w:sz w:val="21"/>
                <w:szCs w:val="21"/>
              </w:rPr>
            </w:pPr>
            <w:r>
              <w:rPr>
                <w:rFonts w:hint="eastAsia" w:ascii="楷体" w:hAnsi="楷体" w:eastAsia="楷体"/>
                <w:color w:val="auto"/>
                <w:sz w:val="21"/>
                <w:szCs w:val="21"/>
              </w:rPr>
              <w:t>工作接地与重复接地不符合要求的</w:t>
            </w:r>
          </w:p>
          <w:p>
            <w:pPr>
              <w:spacing w:line="280" w:lineRule="exact"/>
              <w:rPr>
                <w:rFonts w:ascii="楷体" w:hAnsi="楷体" w:eastAsia="楷体"/>
                <w:color w:val="auto"/>
                <w:sz w:val="21"/>
                <w:szCs w:val="21"/>
              </w:rPr>
            </w:pPr>
            <w:r>
              <w:rPr>
                <w:rFonts w:hint="eastAsia" w:ascii="楷体" w:hAnsi="楷体" w:eastAsia="楷体"/>
                <w:color w:val="auto"/>
                <w:sz w:val="21"/>
                <w:szCs w:val="21"/>
              </w:rPr>
              <w:t>专用保护零线设置不符合要求的</w:t>
            </w:r>
          </w:p>
          <w:p>
            <w:pPr>
              <w:spacing w:line="280" w:lineRule="exact"/>
              <w:rPr>
                <w:rFonts w:ascii="楷体" w:hAnsi="楷体" w:eastAsia="楷体"/>
                <w:color w:val="auto"/>
                <w:sz w:val="21"/>
                <w:szCs w:val="21"/>
              </w:rPr>
            </w:pPr>
            <w:r>
              <w:rPr>
                <w:rFonts w:hint="eastAsia" w:ascii="楷体" w:hAnsi="楷体" w:eastAsia="楷体"/>
                <w:color w:val="auto"/>
                <w:sz w:val="21"/>
                <w:szCs w:val="21"/>
              </w:rPr>
              <w:t>保护零线与工作零线混合接口的</w:t>
            </w:r>
          </w:p>
        </w:tc>
        <w:tc>
          <w:tcPr>
            <w:tcW w:w="15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配电箱开关箱</w:t>
            </w:r>
          </w:p>
        </w:tc>
        <w:tc>
          <w:tcPr>
            <w:tcW w:w="51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不符合“三级配电两级保护”要求的</w:t>
            </w:r>
          </w:p>
          <w:p>
            <w:pPr>
              <w:spacing w:line="280" w:lineRule="exact"/>
              <w:rPr>
                <w:rFonts w:ascii="楷体" w:hAnsi="楷体" w:eastAsia="楷体"/>
                <w:color w:val="auto"/>
                <w:sz w:val="21"/>
                <w:szCs w:val="21"/>
              </w:rPr>
            </w:pPr>
            <w:r>
              <w:rPr>
                <w:rFonts w:hint="eastAsia" w:ascii="楷体" w:hAnsi="楷体" w:eastAsia="楷体"/>
                <w:color w:val="auto"/>
                <w:sz w:val="21"/>
                <w:szCs w:val="21"/>
              </w:rPr>
              <w:t>开关箱（末端）无漏电保护的或保护器失灵的</w:t>
            </w:r>
          </w:p>
          <w:p>
            <w:pPr>
              <w:spacing w:line="280" w:lineRule="exact"/>
              <w:rPr>
                <w:rFonts w:ascii="楷体" w:hAnsi="楷体" w:eastAsia="楷体"/>
                <w:color w:val="auto"/>
                <w:sz w:val="21"/>
                <w:szCs w:val="21"/>
              </w:rPr>
            </w:pPr>
            <w:r>
              <w:rPr>
                <w:rFonts w:hint="eastAsia" w:ascii="楷体" w:hAnsi="楷体" w:eastAsia="楷体"/>
                <w:color w:val="auto"/>
                <w:sz w:val="21"/>
                <w:szCs w:val="21"/>
              </w:rPr>
              <w:t>漏电保护装置参数不匹配的</w:t>
            </w:r>
          </w:p>
          <w:p>
            <w:pPr>
              <w:spacing w:line="280" w:lineRule="exact"/>
              <w:rPr>
                <w:rFonts w:ascii="楷体" w:hAnsi="楷体" w:eastAsia="楷体"/>
                <w:color w:val="auto"/>
                <w:sz w:val="21"/>
                <w:szCs w:val="21"/>
              </w:rPr>
            </w:pPr>
            <w:r>
              <w:rPr>
                <w:rFonts w:hint="eastAsia" w:ascii="楷体" w:hAnsi="楷体" w:eastAsia="楷体"/>
                <w:color w:val="auto"/>
                <w:sz w:val="21"/>
                <w:szCs w:val="21"/>
              </w:rPr>
              <w:t>电箱内无隔离开关的</w:t>
            </w:r>
          </w:p>
          <w:p>
            <w:pPr>
              <w:spacing w:line="280" w:lineRule="exact"/>
              <w:rPr>
                <w:rFonts w:ascii="楷体" w:hAnsi="楷体" w:eastAsia="楷体"/>
                <w:color w:val="auto"/>
                <w:sz w:val="21"/>
                <w:szCs w:val="21"/>
              </w:rPr>
            </w:pPr>
            <w:r>
              <w:rPr>
                <w:rFonts w:hint="eastAsia" w:ascii="楷体" w:hAnsi="楷体" w:eastAsia="楷体"/>
                <w:color w:val="auto"/>
                <w:sz w:val="21"/>
                <w:szCs w:val="21"/>
              </w:rPr>
              <w:t>违反“一闸、一漏、一箱”的</w:t>
            </w:r>
          </w:p>
          <w:p>
            <w:pPr>
              <w:spacing w:line="280" w:lineRule="exact"/>
              <w:rPr>
                <w:rFonts w:ascii="楷体" w:hAnsi="楷体" w:eastAsia="楷体"/>
                <w:color w:val="auto"/>
                <w:sz w:val="21"/>
                <w:szCs w:val="21"/>
              </w:rPr>
            </w:pPr>
            <w:r>
              <w:rPr>
                <w:rFonts w:hint="eastAsia" w:ascii="楷体" w:hAnsi="楷体" w:eastAsia="楷体"/>
                <w:color w:val="auto"/>
                <w:sz w:val="21"/>
                <w:szCs w:val="21"/>
              </w:rPr>
              <w:t>安装位置不当、周围杂物多等不便操作的</w:t>
            </w:r>
          </w:p>
          <w:p>
            <w:pPr>
              <w:spacing w:line="280" w:lineRule="exact"/>
              <w:rPr>
                <w:rFonts w:ascii="楷体" w:hAnsi="楷体" w:eastAsia="楷体"/>
                <w:color w:val="auto"/>
                <w:sz w:val="21"/>
                <w:szCs w:val="21"/>
              </w:rPr>
            </w:pPr>
            <w:r>
              <w:rPr>
                <w:rFonts w:hint="eastAsia" w:ascii="楷体" w:hAnsi="楷体" w:eastAsia="楷体"/>
                <w:color w:val="auto"/>
                <w:sz w:val="21"/>
                <w:szCs w:val="21"/>
              </w:rPr>
              <w:t>闸具损坏、闸具不符合要求或保险丝外漏的</w:t>
            </w:r>
          </w:p>
          <w:p>
            <w:pPr>
              <w:spacing w:line="280" w:lineRule="exact"/>
              <w:rPr>
                <w:rFonts w:ascii="楷体" w:hAnsi="楷体" w:eastAsia="楷体"/>
                <w:color w:val="auto"/>
                <w:sz w:val="21"/>
                <w:szCs w:val="21"/>
              </w:rPr>
            </w:pPr>
            <w:r>
              <w:rPr>
                <w:rFonts w:hint="eastAsia" w:ascii="楷体" w:hAnsi="楷体" w:eastAsia="楷体"/>
                <w:color w:val="auto"/>
                <w:sz w:val="21"/>
                <w:szCs w:val="21"/>
              </w:rPr>
              <w:t>电箱下引出线混乱的</w:t>
            </w:r>
          </w:p>
          <w:p>
            <w:pPr>
              <w:spacing w:line="280" w:lineRule="exact"/>
              <w:rPr>
                <w:rFonts w:ascii="楷体" w:hAnsi="楷体" w:eastAsia="楷体"/>
                <w:color w:val="auto"/>
                <w:sz w:val="21"/>
                <w:szCs w:val="21"/>
              </w:rPr>
            </w:pPr>
            <w:r>
              <w:rPr>
                <w:rFonts w:hint="eastAsia" w:ascii="楷体" w:hAnsi="楷体" w:eastAsia="楷体"/>
                <w:color w:val="auto"/>
                <w:sz w:val="21"/>
                <w:szCs w:val="21"/>
              </w:rPr>
              <w:t>电箱无门、无锁、无防雨措施的，无巡检或巡检滞后</w:t>
            </w:r>
          </w:p>
        </w:tc>
        <w:tc>
          <w:tcPr>
            <w:tcW w:w="15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pacing w:val="-10"/>
                <w:sz w:val="21"/>
                <w:szCs w:val="21"/>
              </w:rPr>
            </w:pPr>
            <w:r>
              <w:rPr>
                <w:rFonts w:hint="eastAsia" w:ascii="楷体" w:hAnsi="楷体" w:eastAsia="楷体"/>
                <w:color w:val="auto"/>
                <w:spacing w:val="-10"/>
                <w:sz w:val="21"/>
                <w:szCs w:val="21"/>
              </w:rPr>
              <w:t>现场照明</w:t>
            </w:r>
          </w:p>
        </w:tc>
        <w:tc>
          <w:tcPr>
            <w:tcW w:w="51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照明专用回路无漏电保护的</w:t>
            </w:r>
          </w:p>
          <w:p>
            <w:pPr>
              <w:spacing w:line="280" w:lineRule="exact"/>
              <w:rPr>
                <w:rFonts w:ascii="楷体" w:hAnsi="楷体" w:eastAsia="楷体"/>
                <w:color w:val="auto"/>
                <w:sz w:val="21"/>
                <w:szCs w:val="21"/>
              </w:rPr>
            </w:pPr>
            <w:r>
              <w:rPr>
                <w:rFonts w:hint="eastAsia" w:ascii="楷体" w:hAnsi="楷体" w:eastAsia="楷体"/>
                <w:color w:val="auto"/>
                <w:sz w:val="21"/>
                <w:szCs w:val="21"/>
              </w:rPr>
              <w:t>灯具金属外壳未作接零保护或接地保护的</w:t>
            </w:r>
          </w:p>
          <w:p>
            <w:pPr>
              <w:spacing w:line="280" w:lineRule="exact"/>
              <w:rPr>
                <w:rFonts w:ascii="楷体" w:hAnsi="楷体" w:eastAsia="楷体"/>
                <w:color w:val="auto"/>
                <w:sz w:val="21"/>
                <w:szCs w:val="21"/>
              </w:rPr>
            </w:pPr>
            <w:r>
              <w:rPr>
                <w:rFonts w:hint="eastAsia" w:ascii="楷体" w:hAnsi="楷体" w:eastAsia="楷体"/>
                <w:color w:val="auto"/>
                <w:sz w:val="21"/>
                <w:szCs w:val="21"/>
              </w:rPr>
              <w:t>室内线路及灯具安装高度低于2.4m无使用安全电压供电的</w:t>
            </w:r>
          </w:p>
          <w:p>
            <w:pPr>
              <w:spacing w:line="280" w:lineRule="exact"/>
              <w:rPr>
                <w:rFonts w:ascii="楷体" w:hAnsi="楷体" w:eastAsia="楷体"/>
                <w:color w:val="auto"/>
                <w:sz w:val="21"/>
                <w:szCs w:val="21"/>
              </w:rPr>
            </w:pPr>
            <w:r>
              <w:rPr>
                <w:rFonts w:hint="eastAsia" w:ascii="楷体" w:hAnsi="楷体" w:eastAsia="楷体"/>
                <w:color w:val="auto"/>
                <w:sz w:val="21"/>
                <w:szCs w:val="21"/>
              </w:rPr>
              <w:t>潮湿场所作业未使用36v以下安全电压的</w:t>
            </w:r>
          </w:p>
          <w:p>
            <w:pPr>
              <w:spacing w:line="280" w:lineRule="exact"/>
              <w:rPr>
                <w:rFonts w:ascii="楷体" w:hAnsi="楷体" w:eastAsia="楷体"/>
                <w:color w:val="auto"/>
                <w:sz w:val="21"/>
                <w:szCs w:val="21"/>
              </w:rPr>
            </w:pPr>
            <w:r>
              <w:rPr>
                <w:rFonts w:hint="eastAsia" w:ascii="楷体" w:hAnsi="楷体" w:eastAsia="楷体"/>
                <w:color w:val="auto"/>
                <w:sz w:val="21"/>
                <w:szCs w:val="21"/>
              </w:rPr>
              <w:t>使用36v安全电压照明线路混乱和接头处未用绝缘布包扎的</w:t>
            </w:r>
          </w:p>
          <w:p>
            <w:pPr>
              <w:spacing w:line="280" w:lineRule="exact"/>
              <w:rPr>
                <w:rFonts w:ascii="楷体" w:hAnsi="楷体" w:eastAsia="楷体"/>
                <w:color w:val="auto"/>
                <w:sz w:val="21"/>
                <w:szCs w:val="21"/>
              </w:rPr>
            </w:pPr>
            <w:r>
              <w:rPr>
                <w:rFonts w:hint="eastAsia" w:ascii="楷体" w:hAnsi="楷体" w:eastAsia="楷体"/>
                <w:color w:val="auto"/>
                <w:sz w:val="21"/>
                <w:szCs w:val="21"/>
              </w:rPr>
              <w:t>手持照明灯未使用36v及以下电源供电的</w:t>
            </w:r>
          </w:p>
        </w:tc>
        <w:tc>
          <w:tcPr>
            <w:tcW w:w="15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配电线路</w:t>
            </w:r>
          </w:p>
        </w:tc>
        <w:tc>
          <w:tcPr>
            <w:tcW w:w="51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不按规定选用导线的</w:t>
            </w:r>
          </w:p>
          <w:p>
            <w:pPr>
              <w:spacing w:line="280" w:lineRule="exact"/>
              <w:rPr>
                <w:rFonts w:ascii="楷体" w:hAnsi="楷体" w:eastAsia="楷体"/>
                <w:color w:val="auto"/>
                <w:sz w:val="21"/>
                <w:szCs w:val="21"/>
              </w:rPr>
            </w:pPr>
            <w:r>
              <w:rPr>
                <w:rFonts w:hint="eastAsia" w:ascii="楷体" w:hAnsi="楷体" w:eastAsia="楷体"/>
                <w:color w:val="auto"/>
                <w:sz w:val="21"/>
                <w:szCs w:val="21"/>
              </w:rPr>
              <w:t>导线拖地、浸水或用光身金属线绑扎的</w:t>
            </w:r>
          </w:p>
          <w:p>
            <w:pPr>
              <w:spacing w:line="280" w:lineRule="exact"/>
              <w:rPr>
                <w:rFonts w:ascii="楷体" w:hAnsi="楷体" w:eastAsia="楷体"/>
                <w:color w:val="auto"/>
                <w:sz w:val="21"/>
                <w:szCs w:val="21"/>
              </w:rPr>
            </w:pPr>
            <w:r>
              <w:rPr>
                <w:rFonts w:hint="eastAsia" w:ascii="楷体" w:hAnsi="楷体" w:eastAsia="楷体"/>
                <w:color w:val="auto"/>
                <w:sz w:val="21"/>
                <w:szCs w:val="21"/>
              </w:rPr>
              <w:t>导线老化、破皮未包扎的</w:t>
            </w:r>
          </w:p>
          <w:p>
            <w:pPr>
              <w:spacing w:line="280" w:lineRule="exact"/>
              <w:rPr>
                <w:rFonts w:ascii="楷体" w:hAnsi="楷体" w:eastAsia="楷体"/>
                <w:color w:val="auto"/>
                <w:sz w:val="21"/>
                <w:szCs w:val="21"/>
              </w:rPr>
            </w:pPr>
            <w:r>
              <w:rPr>
                <w:rFonts w:hint="eastAsia" w:ascii="楷体" w:hAnsi="楷体" w:eastAsia="楷体"/>
                <w:color w:val="auto"/>
                <w:sz w:val="21"/>
                <w:szCs w:val="21"/>
              </w:rPr>
              <w:t>线路过道无保护的</w:t>
            </w:r>
          </w:p>
          <w:p>
            <w:pPr>
              <w:spacing w:line="280" w:lineRule="exact"/>
              <w:rPr>
                <w:rFonts w:ascii="楷体" w:hAnsi="楷体" w:eastAsia="楷体"/>
                <w:color w:val="auto"/>
                <w:sz w:val="21"/>
                <w:szCs w:val="21"/>
              </w:rPr>
            </w:pPr>
            <w:r>
              <w:rPr>
                <w:rFonts w:hint="eastAsia" w:ascii="楷体" w:hAnsi="楷体" w:eastAsia="楷体"/>
                <w:color w:val="auto"/>
                <w:sz w:val="21"/>
                <w:szCs w:val="21"/>
              </w:rPr>
              <w:t>没有将电线架空，或电线架空不符合要求的</w:t>
            </w:r>
          </w:p>
          <w:p>
            <w:pPr>
              <w:spacing w:line="280" w:lineRule="exact"/>
              <w:rPr>
                <w:rFonts w:ascii="楷体" w:hAnsi="楷体" w:eastAsia="楷体"/>
                <w:color w:val="auto"/>
                <w:sz w:val="21"/>
                <w:szCs w:val="21"/>
              </w:rPr>
            </w:pPr>
            <w:r>
              <w:rPr>
                <w:rFonts w:hint="eastAsia" w:ascii="楷体" w:hAnsi="楷体" w:eastAsia="楷体"/>
                <w:color w:val="auto"/>
                <w:sz w:val="21"/>
                <w:szCs w:val="21"/>
              </w:rPr>
              <w:t>未使用五芯（电缆）的</w:t>
            </w:r>
          </w:p>
          <w:p>
            <w:pPr>
              <w:spacing w:line="280" w:lineRule="exact"/>
              <w:rPr>
                <w:rFonts w:ascii="楷体" w:hAnsi="楷体" w:eastAsia="楷体"/>
                <w:color w:val="auto"/>
                <w:sz w:val="21"/>
                <w:szCs w:val="21"/>
              </w:rPr>
            </w:pPr>
            <w:r>
              <w:rPr>
                <w:rFonts w:hint="eastAsia" w:ascii="楷体" w:hAnsi="楷体" w:eastAsia="楷体"/>
                <w:color w:val="auto"/>
                <w:sz w:val="21"/>
                <w:szCs w:val="21"/>
              </w:rPr>
              <w:t>使用四芯电缆外加一根线替代五芯电缆的</w:t>
            </w:r>
          </w:p>
          <w:p>
            <w:pPr>
              <w:spacing w:line="280" w:lineRule="exact"/>
              <w:rPr>
                <w:rFonts w:ascii="楷体" w:hAnsi="楷体" w:eastAsia="楷体"/>
                <w:color w:val="auto"/>
                <w:sz w:val="21"/>
                <w:szCs w:val="21"/>
              </w:rPr>
            </w:pPr>
            <w:r>
              <w:rPr>
                <w:rFonts w:hint="eastAsia" w:ascii="楷体" w:hAnsi="楷体" w:eastAsia="楷体"/>
                <w:color w:val="auto"/>
                <w:sz w:val="21"/>
                <w:szCs w:val="21"/>
              </w:rPr>
              <w:t>电缆架设或埋设不符合要求的</w:t>
            </w:r>
          </w:p>
          <w:p>
            <w:pPr>
              <w:spacing w:line="280" w:lineRule="exact"/>
              <w:rPr>
                <w:rFonts w:ascii="楷体" w:hAnsi="楷体" w:eastAsia="楷体"/>
                <w:color w:val="auto"/>
                <w:sz w:val="21"/>
                <w:szCs w:val="21"/>
              </w:rPr>
            </w:pPr>
            <w:r>
              <w:rPr>
                <w:rFonts w:hint="eastAsia" w:ascii="楷体" w:hAnsi="楷体" w:eastAsia="楷体"/>
                <w:color w:val="auto"/>
                <w:sz w:val="21"/>
                <w:szCs w:val="21"/>
              </w:rPr>
              <w:t>导线乱拉乱接的</w:t>
            </w:r>
          </w:p>
        </w:tc>
        <w:tc>
          <w:tcPr>
            <w:tcW w:w="15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电器装置</w:t>
            </w:r>
          </w:p>
        </w:tc>
        <w:tc>
          <w:tcPr>
            <w:tcW w:w="515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闸具、熔断器参数与设备容量不匹配、安装不合要求的</w:t>
            </w:r>
          </w:p>
          <w:p>
            <w:pPr>
              <w:spacing w:line="280" w:lineRule="exact"/>
              <w:rPr>
                <w:rFonts w:ascii="楷体" w:hAnsi="楷体" w:eastAsia="楷体"/>
                <w:color w:val="auto"/>
                <w:sz w:val="21"/>
                <w:szCs w:val="21"/>
              </w:rPr>
            </w:pPr>
            <w:r>
              <w:rPr>
                <w:rFonts w:hint="eastAsia" w:ascii="楷体" w:hAnsi="楷体" w:eastAsia="楷体"/>
                <w:color w:val="auto"/>
                <w:sz w:val="21"/>
                <w:szCs w:val="21"/>
              </w:rPr>
              <w:t>用其他金属丝代替熔丝的</w:t>
            </w:r>
          </w:p>
          <w:p>
            <w:pPr>
              <w:spacing w:line="280" w:lineRule="exact"/>
              <w:rPr>
                <w:rFonts w:ascii="楷体" w:hAnsi="楷体" w:eastAsia="楷体"/>
                <w:color w:val="auto"/>
                <w:sz w:val="21"/>
                <w:szCs w:val="21"/>
              </w:rPr>
            </w:pPr>
            <w:r>
              <w:rPr>
                <w:rFonts w:hint="eastAsia" w:ascii="楷体" w:hAnsi="楷体" w:eastAsia="楷体"/>
                <w:color w:val="auto"/>
                <w:sz w:val="21"/>
                <w:szCs w:val="21"/>
              </w:rPr>
              <w:t>漏电开关电源侧无空气开关或闸刀开关控制的</w:t>
            </w:r>
          </w:p>
          <w:p>
            <w:pPr>
              <w:spacing w:line="280" w:lineRule="exact"/>
              <w:rPr>
                <w:rFonts w:ascii="楷体" w:hAnsi="楷体" w:eastAsia="楷体"/>
                <w:color w:val="auto"/>
                <w:sz w:val="21"/>
                <w:szCs w:val="21"/>
              </w:rPr>
            </w:pPr>
            <w:r>
              <w:rPr>
                <w:rFonts w:hint="eastAsia" w:ascii="楷体" w:hAnsi="楷体" w:eastAsia="楷体"/>
                <w:color w:val="auto"/>
                <w:sz w:val="21"/>
                <w:szCs w:val="21"/>
              </w:rPr>
              <w:t>开关接线后无盖盖的</w:t>
            </w:r>
          </w:p>
          <w:p>
            <w:pPr>
              <w:spacing w:line="280" w:lineRule="exact"/>
              <w:rPr>
                <w:rFonts w:ascii="楷体" w:hAnsi="楷体" w:eastAsia="楷体"/>
                <w:color w:val="auto"/>
                <w:sz w:val="21"/>
                <w:szCs w:val="21"/>
              </w:rPr>
            </w:pPr>
            <w:r>
              <w:rPr>
                <w:rFonts w:hint="eastAsia" w:ascii="楷体" w:hAnsi="楷体" w:eastAsia="楷体"/>
                <w:color w:val="auto"/>
                <w:sz w:val="21"/>
                <w:szCs w:val="21"/>
              </w:rPr>
              <w:t>电器、设备、导线残缺破损的</w:t>
            </w:r>
          </w:p>
          <w:p>
            <w:pPr>
              <w:spacing w:line="280" w:lineRule="exact"/>
              <w:rPr>
                <w:rFonts w:ascii="楷体" w:hAnsi="楷体" w:eastAsia="楷体"/>
                <w:color w:val="auto"/>
                <w:sz w:val="21"/>
                <w:szCs w:val="21"/>
              </w:rPr>
            </w:pPr>
            <w:r>
              <w:rPr>
                <w:rFonts w:hint="eastAsia" w:ascii="楷体" w:hAnsi="楷体" w:eastAsia="楷体"/>
                <w:color w:val="auto"/>
                <w:sz w:val="21"/>
                <w:szCs w:val="21"/>
              </w:rPr>
              <w:t>使用多用插座的</w:t>
            </w:r>
          </w:p>
        </w:tc>
        <w:tc>
          <w:tcPr>
            <w:tcW w:w="15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200-500元/处</w:t>
            </w:r>
          </w:p>
        </w:tc>
      </w:tr>
    </w:tbl>
    <w:p>
      <w:pPr>
        <w:spacing w:line="500" w:lineRule="exact"/>
        <w:rPr>
          <w:rFonts w:ascii="楷体" w:hAnsi="楷体" w:eastAsia="楷体" w:cs="宋体"/>
          <w:color w:val="auto"/>
          <w:sz w:val="21"/>
          <w:szCs w:val="21"/>
        </w:rPr>
      </w:pPr>
      <w:r>
        <w:rPr>
          <w:rFonts w:hint="eastAsia" w:ascii="楷体" w:hAnsi="楷体" w:eastAsia="楷体" w:cs="宋体"/>
          <w:color w:val="auto"/>
          <w:sz w:val="21"/>
          <w:szCs w:val="21"/>
        </w:rPr>
        <w:t xml:space="preserve">D、施工机具、设备管理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417"/>
        <w:gridCol w:w="5236"/>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 w:hAnsi="楷体" w:eastAsia="楷体"/>
                <w:b/>
                <w:color w:val="auto"/>
                <w:sz w:val="21"/>
                <w:szCs w:val="21"/>
              </w:rPr>
            </w:pPr>
            <w:r>
              <w:rPr>
                <w:rFonts w:hint="eastAsia" w:ascii="楷体" w:hAnsi="楷体" w:eastAsia="楷体"/>
                <w:b/>
                <w:color w:val="auto"/>
                <w:sz w:val="21"/>
                <w:szCs w:val="21"/>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 w:hAnsi="楷体" w:eastAsia="楷体"/>
                <w:b/>
                <w:color w:val="auto"/>
                <w:sz w:val="21"/>
                <w:szCs w:val="21"/>
              </w:rPr>
            </w:pPr>
            <w:r>
              <w:rPr>
                <w:rFonts w:hint="eastAsia" w:ascii="楷体" w:hAnsi="楷体" w:eastAsia="楷体"/>
                <w:b/>
                <w:color w:val="auto"/>
                <w:sz w:val="21"/>
                <w:szCs w:val="21"/>
              </w:rPr>
              <w:t>项目</w:t>
            </w:r>
          </w:p>
        </w:tc>
        <w:tc>
          <w:tcPr>
            <w:tcW w:w="52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 w:hAnsi="楷体" w:eastAsia="楷体"/>
                <w:b/>
                <w:color w:val="auto"/>
                <w:sz w:val="21"/>
                <w:szCs w:val="21"/>
              </w:rPr>
            </w:pPr>
            <w:r>
              <w:rPr>
                <w:rFonts w:hint="eastAsia" w:ascii="楷体" w:hAnsi="楷体" w:eastAsia="楷体"/>
                <w:b/>
                <w:color w:val="auto"/>
                <w:sz w:val="21"/>
                <w:szCs w:val="21"/>
              </w:rPr>
              <w:t>检查标准</w:t>
            </w:r>
          </w:p>
        </w:tc>
        <w:tc>
          <w:tcPr>
            <w:tcW w:w="150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楷体" w:hAnsi="楷体" w:eastAsia="楷体"/>
                <w:b/>
                <w:color w:val="auto"/>
                <w:sz w:val="21"/>
                <w:szCs w:val="21"/>
              </w:rPr>
            </w:pPr>
            <w:r>
              <w:rPr>
                <w:rFonts w:hint="eastAsia" w:ascii="楷体" w:hAnsi="楷体" w:eastAsia="楷体"/>
                <w:b/>
                <w:color w:val="auto"/>
                <w:sz w:val="21"/>
                <w:szCs w:val="21"/>
              </w:rPr>
              <w:t>违约金标准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1</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套丝机、圆盘锯等</w:t>
            </w:r>
          </w:p>
        </w:tc>
        <w:tc>
          <w:tcPr>
            <w:tcW w:w="523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操作人员戴手套操作的, （违反操作规程的）</w:t>
            </w:r>
          </w:p>
          <w:p>
            <w:pPr>
              <w:spacing w:line="280" w:lineRule="exact"/>
              <w:rPr>
                <w:rFonts w:ascii="楷体" w:hAnsi="楷体" w:eastAsia="楷体"/>
                <w:color w:val="auto"/>
                <w:sz w:val="21"/>
                <w:szCs w:val="21"/>
              </w:rPr>
            </w:pPr>
            <w:r>
              <w:rPr>
                <w:rFonts w:hint="eastAsia" w:ascii="楷体" w:hAnsi="楷体" w:eastAsia="楷体"/>
                <w:color w:val="auto"/>
                <w:sz w:val="21"/>
                <w:szCs w:val="21"/>
              </w:rPr>
              <w:t>锯片、传动部位防护罩缺失</w:t>
            </w:r>
          </w:p>
        </w:tc>
        <w:tc>
          <w:tcPr>
            <w:tcW w:w="15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100元／人次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2</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空气压缩机</w:t>
            </w:r>
          </w:p>
        </w:tc>
        <w:tc>
          <w:tcPr>
            <w:tcW w:w="523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传动部位无防护罩的</w:t>
            </w:r>
          </w:p>
          <w:p>
            <w:pPr>
              <w:spacing w:line="280" w:lineRule="exact"/>
              <w:rPr>
                <w:rFonts w:ascii="楷体" w:hAnsi="楷体" w:eastAsia="楷体"/>
                <w:color w:val="auto"/>
                <w:sz w:val="21"/>
                <w:szCs w:val="21"/>
              </w:rPr>
            </w:pPr>
            <w:r>
              <w:rPr>
                <w:rFonts w:hint="eastAsia" w:ascii="楷体" w:hAnsi="楷体" w:eastAsia="楷体"/>
                <w:color w:val="auto"/>
                <w:sz w:val="21"/>
                <w:szCs w:val="21"/>
              </w:rPr>
              <w:t>自动控制器件失灵或残缺破损未更换的</w:t>
            </w:r>
          </w:p>
          <w:p>
            <w:pPr>
              <w:spacing w:line="280" w:lineRule="exact"/>
              <w:rPr>
                <w:rFonts w:ascii="楷体" w:hAnsi="楷体" w:eastAsia="楷体"/>
                <w:color w:val="auto"/>
                <w:sz w:val="21"/>
                <w:szCs w:val="21"/>
              </w:rPr>
            </w:pPr>
            <w:r>
              <w:rPr>
                <w:rFonts w:hint="eastAsia" w:ascii="楷体" w:hAnsi="楷体" w:eastAsia="楷体"/>
                <w:color w:val="auto"/>
                <w:sz w:val="21"/>
                <w:szCs w:val="21"/>
              </w:rPr>
              <w:t>1Mpa、150L以上无检测证的</w:t>
            </w:r>
          </w:p>
          <w:p>
            <w:pPr>
              <w:spacing w:line="280" w:lineRule="exact"/>
              <w:rPr>
                <w:rFonts w:ascii="楷体" w:hAnsi="楷体" w:eastAsia="楷体"/>
                <w:color w:val="auto"/>
                <w:sz w:val="21"/>
                <w:szCs w:val="21"/>
              </w:rPr>
            </w:pPr>
            <w:r>
              <w:rPr>
                <w:rFonts w:hint="eastAsia" w:ascii="楷体" w:hAnsi="楷体" w:eastAsia="楷体"/>
                <w:color w:val="auto"/>
                <w:sz w:val="21"/>
                <w:szCs w:val="21"/>
              </w:rPr>
              <w:t>周边无降噪措施</w:t>
            </w:r>
          </w:p>
        </w:tc>
        <w:tc>
          <w:tcPr>
            <w:tcW w:w="15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3</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手持电动工具</w:t>
            </w:r>
          </w:p>
        </w:tc>
        <w:tc>
          <w:tcPr>
            <w:tcW w:w="523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使用I类手持电动工具的</w:t>
            </w:r>
          </w:p>
        </w:tc>
        <w:tc>
          <w:tcPr>
            <w:tcW w:w="15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100元／项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8"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4</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pacing w:val="-10"/>
                <w:sz w:val="21"/>
                <w:szCs w:val="21"/>
              </w:rPr>
            </w:pPr>
            <w:r>
              <w:rPr>
                <w:rFonts w:hint="eastAsia" w:ascii="楷体" w:hAnsi="楷体" w:eastAsia="楷体"/>
                <w:color w:val="auto"/>
                <w:sz w:val="21"/>
                <w:szCs w:val="21"/>
              </w:rPr>
              <w:t>电焊机</w:t>
            </w:r>
          </w:p>
        </w:tc>
        <w:tc>
          <w:tcPr>
            <w:tcW w:w="523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无二次空载降压保护器或防触电保护器的</w:t>
            </w:r>
          </w:p>
          <w:p>
            <w:pPr>
              <w:spacing w:line="280" w:lineRule="exact"/>
              <w:rPr>
                <w:rFonts w:ascii="楷体" w:hAnsi="楷体" w:eastAsia="楷体"/>
                <w:color w:val="auto"/>
                <w:sz w:val="21"/>
                <w:szCs w:val="21"/>
              </w:rPr>
            </w:pPr>
            <w:r>
              <w:rPr>
                <w:rFonts w:hint="eastAsia" w:ascii="楷体" w:hAnsi="楷体" w:eastAsia="楷体"/>
                <w:color w:val="auto"/>
                <w:sz w:val="21"/>
                <w:szCs w:val="21"/>
              </w:rPr>
              <w:t>一次线长度超过5米，二次焊线长度超过30米的</w:t>
            </w:r>
          </w:p>
          <w:p>
            <w:pPr>
              <w:numPr>
                <w:ilvl w:val="0"/>
                <w:numId w:val="5"/>
              </w:numPr>
              <w:autoSpaceDE/>
              <w:adjustRightInd/>
              <w:spacing w:line="280" w:lineRule="exact"/>
              <w:ind w:left="0" w:firstLine="420"/>
              <w:jc w:val="both"/>
              <w:rPr>
                <w:rFonts w:ascii="楷体" w:hAnsi="楷体" w:eastAsia="楷体"/>
                <w:color w:val="auto"/>
                <w:sz w:val="21"/>
                <w:szCs w:val="21"/>
              </w:rPr>
            </w:pPr>
            <w:r>
              <w:rPr>
                <w:rFonts w:hint="eastAsia" w:ascii="楷体" w:hAnsi="楷体" w:eastAsia="楷体"/>
                <w:color w:val="auto"/>
                <w:sz w:val="21"/>
                <w:szCs w:val="21"/>
              </w:rPr>
              <w:t>二次侧导线不采用橡套电缆的</w:t>
            </w:r>
          </w:p>
          <w:p>
            <w:pPr>
              <w:numPr>
                <w:ilvl w:val="0"/>
                <w:numId w:val="5"/>
              </w:numPr>
              <w:autoSpaceDE/>
              <w:adjustRightInd/>
              <w:spacing w:line="280" w:lineRule="exact"/>
              <w:ind w:left="0" w:firstLine="420"/>
              <w:jc w:val="both"/>
              <w:rPr>
                <w:rFonts w:ascii="楷体" w:hAnsi="楷体" w:eastAsia="楷体"/>
                <w:color w:val="auto"/>
                <w:sz w:val="21"/>
                <w:szCs w:val="21"/>
              </w:rPr>
            </w:pPr>
            <w:r>
              <w:rPr>
                <w:rFonts w:hint="eastAsia" w:ascii="楷体" w:hAnsi="楷体" w:eastAsia="楷体"/>
                <w:color w:val="auto"/>
                <w:sz w:val="21"/>
                <w:szCs w:val="21"/>
              </w:rPr>
              <w:t>二次侧电缆线芯截面选择不当的</w:t>
            </w:r>
          </w:p>
          <w:p>
            <w:pPr>
              <w:spacing w:line="280" w:lineRule="exact"/>
              <w:rPr>
                <w:rFonts w:ascii="楷体" w:hAnsi="楷体" w:eastAsia="楷体"/>
                <w:color w:val="auto"/>
                <w:sz w:val="21"/>
                <w:szCs w:val="21"/>
              </w:rPr>
            </w:pPr>
            <w:r>
              <w:rPr>
                <w:rFonts w:hint="eastAsia" w:ascii="楷体" w:hAnsi="楷体" w:eastAsia="楷体"/>
                <w:color w:val="auto"/>
                <w:sz w:val="21"/>
                <w:szCs w:val="21"/>
              </w:rPr>
              <w:t>二次侧电缆跨楼层焊接作业的</w:t>
            </w:r>
          </w:p>
          <w:p>
            <w:pPr>
              <w:spacing w:line="280" w:lineRule="exact"/>
              <w:rPr>
                <w:rFonts w:ascii="楷体" w:hAnsi="楷体" w:eastAsia="楷体"/>
                <w:color w:val="auto"/>
                <w:sz w:val="21"/>
                <w:szCs w:val="21"/>
              </w:rPr>
            </w:pPr>
            <w:r>
              <w:rPr>
                <w:rFonts w:hint="eastAsia" w:ascii="楷体" w:hAnsi="楷体" w:eastAsia="楷体"/>
                <w:color w:val="auto"/>
                <w:sz w:val="21"/>
                <w:szCs w:val="21"/>
              </w:rPr>
              <w:t>焊接线接头超过3处或绝缘老化的</w:t>
            </w:r>
          </w:p>
          <w:p>
            <w:pPr>
              <w:spacing w:line="280" w:lineRule="exact"/>
              <w:rPr>
                <w:rFonts w:ascii="楷体" w:hAnsi="楷体" w:eastAsia="楷体"/>
                <w:color w:val="auto"/>
                <w:sz w:val="21"/>
                <w:szCs w:val="21"/>
              </w:rPr>
            </w:pPr>
            <w:r>
              <w:rPr>
                <w:rFonts w:hint="eastAsia" w:ascii="楷体" w:hAnsi="楷体" w:eastAsia="楷体"/>
                <w:color w:val="auto"/>
                <w:sz w:val="21"/>
                <w:szCs w:val="21"/>
              </w:rPr>
              <w:t>一、二次侧两端无保护罩的</w:t>
            </w:r>
          </w:p>
          <w:p>
            <w:pPr>
              <w:spacing w:line="280" w:lineRule="exact"/>
              <w:rPr>
                <w:rFonts w:ascii="楷体" w:hAnsi="楷体" w:eastAsia="楷体"/>
                <w:color w:val="auto"/>
                <w:sz w:val="21"/>
                <w:szCs w:val="21"/>
              </w:rPr>
            </w:pPr>
            <w:r>
              <w:rPr>
                <w:rFonts w:hint="eastAsia" w:ascii="楷体" w:hAnsi="楷体" w:eastAsia="楷体"/>
                <w:color w:val="auto"/>
                <w:sz w:val="21"/>
                <w:szCs w:val="21"/>
              </w:rPr>
              <w:t>一、二次侧接线端子残缺破损的或接线不牢固的</w:t>
            </w:r>
          </w:p>
          <w:p>
            <w:pPr>
              <w:spacing w:line="280" w:lineRule="exact"/>
              <w:rPr>
                <w:rFonts w:ascii="楷体" w:hAnsi="楷体" w:eastAsia="楷体"/>
                <w:color w:val="auto"/>
                <w:sz w:val="21"/>
                <w:szCs w:val="21"/>
              </w:rPr>
            </w:pPr>
            <w:r>
              <w:rPr>
                <w:rFonts w:hint="eastAsia" w:ascii="楷体" w:hAnsi="楷体" w:eastAsia="楷体"/>
                <w:color w:val="auto"/>
                <w:sz w:val="21"/>
                <w:szCs w:val="21"/>
              </w:rPr>
              <w:t>电源不使用自动开关的</w:t>
            </w:r>
          </w:p>
          <w:p>
            <w:pPr>
              <w:spacing w:line="280" w:lineRule="exact"/>
              <w:rPr>
                <w:rFonts w:ascii="楷体" w:hAnsi="楷体" w:eastAsia="楷体"/>
                <w:color w:val="auto"/>
                <w:sz w:val="21"/>
                <w:szCs w:val="21"/>
              </w:rPr>
            </w:pPr>
            <w:r>
              <w:rPr>
                <w:rFonts w:hint="eastAsia" w:ascii="楷体" w:hAnsi="楷体" w:eastAsia="楷体"/>
                <w:color w:val="auto"/>
                <w:sz w:val="21"/>
                <w:szCs w:val="21"/>
              </w:rPr>
              <w:t>露天作业电焊机无防雨措施的</w:t>
            </w:r>
          </w:p>
          <w:p>
            <w:pPr>
              <w:spacing w:line="280" w:lineRule="exact"/>
              <w:rPr>
                <w:rFonts w:ascii="楷体" w:hAnsi="楷体" w:eastAsia="楷体"/>
                <w:color w:val="auto"/>
                <w:sz w:val="21"/>
                <w:szCs w:val="21"/>
              </w:rPr>
            </w:pPr>
            <w:r>
              <w:rPr>
                <w:rFonts w:hint="eastAsia" w:ascii="楷体" w:hAnsi="楷体" w:eastAsia="楷体"/>
                <w:color w:val="auto"/>
                <w:sz w:val="21"/>
                <w:szCs w:val="21"/>
              </w:rPr>
              <w:t>工人焊接作业无防护用具，如电渣压力焊作业无绝缘手套绝缘鞋等</w:t>
            </w:r>
          </w:p>
        </w:tc>
        <w:tc>
          <w:tcPr>
            <w:tcW w:w="15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5</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气瓶</w:t>
            </w:r>
          </w:p>
        </w:tc>
        <w:tc>
          <w:tcPr>
            <w:tcW w:w="523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各种气瓶无标准色标的</w:t>
            </w:r>
          </w:p>
          <w:p>
            <w:pPr>
              <w:spacing w:line="280" w:lineRule="exact"/>
              <w:rPr>
                <w:rFonts w:ascii="楷体" w:hAnsi="楷体" w:eastAsia="楷体"/>
                <w:color w:val="auto"/>
                <w:sz w:val="21"/>
                <w:szCs w:val="21"/>
              </w:rPr>
            </w:pPr>
            <w:r>
              <w:rPr>
                <w:rFonts w:hint="eastAsia" w:ascii="楷体" w:hAnsi="楷体" w:eastAsia="楷体"/>
                <w:color w:val="auto"/>
                <w:sz w:val="21"/>
                <w:szCs w:val="21"/>
              </w:rPr>
              <w:t>使用时气瓶间距小于5米，距明火小于10米又无间隔措施的</w:t>
            </w:r>
          </w:p>
          <w:p>
            <w:pPr>
              <w:spacing w:line="280" w:lineRule="exact"/>
              <w:rPr>
                <w:rFonts w:ascii="楷体" w:hAnsi="楷体" w:eastAsia="楷体"/>
                <w:color w:val="auto"/>
                <w:sz w:val="21"/>
                <w:szCs w:val="21"/>
              </w:rPr>
            </w:pPr>
            <w:r>
              <w:rPr>
                <w:rFonts w:hint="eastAsia" w:ascii="楷体" w:hAnsi="楷体" w:eastAsia="楷体"/>
                <w:color w:val="auto"/>
                <w:sz w:val="21"/>
                <w:szCs w:val="21"/>
              </w:rPr>
              <w:t>乙炔瓶使用或存放时平放或加热气瓶的</w:t>
            </w:r>
          </w:p>
          <w:p>
            <w:pPr>
              <w:spacing w:line="280" w:lineRule="exact"/>
              <w:rPr>
                <w:rFonts w:ascii="楷体" w:hAnsi="楷体" w:eastAsia="楷体"/>
                <w:color w:val="auto"/>
                <w:sz w:val="21"/>
                <w:szCs w:val="21"/>
              </w:rPr>
            </w:pPr>
            <w:r>
              <w:rPr>
                <w:rFonts w:hint="eastAsia" w:ascii="楷体" w:hAnsi="楷体" w:eastAsia="楷体"/>
                <w:color w:val="auto"/>
                <w:sz w:val="21"/>
                <w:szCs w:val="21"/>
              </w:rPr>
              <w:t>气瓶存放不符合要求的</w:t>
            </w:r>
          </w:p>
          <w:p>
            <w:pPr>
              <w:spacing w:line="280" w:lineRule="exact"/>
              <w:rPr>
                <w:rFonts w:ascii="楷体" w:hAnsi="楷体" w:eastAsia="楷体"/>
                <w:color w:val="auto"/>
                <w:sz w:val="21"/>
                <w:szCs w:val="21"/>
              </w:rPr>
            </w:pPr>
            <w:r>
              <w:rPr>
                <w:rFonts w:hint="eastAsia" w:ascii="楷体" w:hAnsi="楷体" w:eastAsia="楷体"/>
                <w:color w:val="auto"/>
                <w:sz w:val="21"/>
                <w:szCs w:val="21"/>
              </w:rPr>
              <w:t>气瓶使用时，减压阀、回火阀等相关配置不齐全或损坏</w:t>
            </w:r>
          </w:p>
        </w:tc>
        <w:tc>
          <w:tcPr>
            <w:tcW w:w="15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78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6</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施工机具通用部分</w:t>
            </w:r>
          </w:p>
        </w:tc>
        <w:tc>
          <w:tcPr>
            <w:tcW w:w="523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电源线无选用橡套电缆的</w:t>
            </w:r>
          </w:p>
          <w:p>
            <w:pPr>
              <w:spacing w:line="280" w:lineRule="exact"/>
              <w:rPr>
                <w:rFonts w:ascii="楷体" w:hAnsi="楷体" w:eastAsia="楷体"/>
                <w:color w:val="auto"/>
                <w:sz w:val="21"/>
                <w:szCs w:val="21"/>
              </w:rPr>
            </w:pPr>
            <w:r>
              <w:rPr>
                <w:rFonts w:hint="eastAsia" w:ascii="楷体" w:hAnsi="楷体" w:eastAsia="楷体"/>
                <w:color w:val="auto"/>
                <w:sz w:val="21"/>
                <w:szCs w:val="21"/>
              </w:rPr>
              <w:t>电源线、插头残缺破损未更换的</w:t>
            </w:r>
          </w:p>
          <w:p>
            <w:pPr>
              <w:spacing w:line="280" w:lineRule="exact"/>
              <w:rPr>
                <w:rFonts w:ascii="楷体" w:hAnsi="楷体" w:eastAsia="楷体"/>
                <w:color w:val="auto"/>
                <w:sz w:val="21"/>
                <w:szCs w:val="21"/>
              </w:rPr>
            </w:pPr>
            <w:r>
              <w:rPr>
                <w:rFonts w:hint="eastAsia" w:ascii="楷体" w:hAnsi="楷体" w:eastAsia="楷体"/>
                <w:color w:val="auto"/>
                <w:sz w:val="21"/>
                <w:szCs w:val="21"/>
              </w:rPr>
              <w:t>未作保护接零（或保护接地）的</w:t>
            </w:r>
          </w:p>
          <w:p>
            <w:pPr>
              <w:spacing w:line="280" w:lineRule="exact"/>
              <w:rPr>
                <w:rFonts w:ascii="楷体" w:hAnsi="楷体" w:eastAsia="楷体"/>
                <w:color w:val="auto"/>
                <w:sz w:val="21"/>
                <w:szCs w:val="21"/>
              </w:rPr>
            </w:pPr>
            <w:r>
              <w:rPr>
                <w:rFonts w:hint="eastAsia" w:ascii="楷体" w:hAnsi="楷体" w:eastAsia="楷体"/>
                <w:color w:val="auto"/>
                <w:sz w:val="21"/>
                <w:szCs w:val="21"/>
              </w:rPr>
              <w:t>无漏电开关保护或漏电开关动作电流选择不当的</w:t>
            </w:r>
          </w:p>
        </w:tc>
        <w:tc>
          <w:tcPr>
            <w:tcW w:w="1502"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78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523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随意接长机具电源线的</w:t>
            </w:r>
          </w:p>
          <w:p>
            <w:pPr>
              <w:spacing w:line="280" w:lineRule="exact"/>
              <w:rPr>
                <w:rFonts w:ascii="楷体" w:hAnsi="楷体" w:eastAsia="楷体"/>
                <w:color w:val="auto"/>
                <w:sz w:val="21"/>
                <w:szCs w:val="21"/>
              </w:rPr>
            </w:pPr>
            <w:r>
              <w:rPr>
                <w:rFonts w:hint="eastAsia" w:ascii="楷体" w:hAnsi="楷体" w:eastAsia="楷体"/>
                <w:color w:val="auto"/>
                <w:sz w:val="21"/>
                <w:szCs w:val="21"/>
              </w:rPr>
              <w:t>机具无人操作未切断电源的</w:t>
            </w: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8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ascii="楷体" w:hAnsi="楷体" w:eastAsia="楷体"/>
                <w:color w:val="auto"/>
                <w:sz w:val="21"/>
                <w:szCs w:val="21"/>
              </w:rPr>
            </w:pPr>
          </w:p>
        </w:tc>
        <w:tc>
          <w:tcPr>
            <w:tcW w:w="523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无安全检测记录便投入使用的</w:t>
            </w:r>
          </w:p>
        </w:tc>
        <w:tc>
          <w:tcPr>
            <w:tcW w:w="15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z w:val="21"/>
                <w:szCs w:val="21"/>
              </w:rPr>
            </w:pPr>
            <w:r>
              <w:rPr>
                <w:rFonts w:hint="eastAsia" w:ascii="楷体" w:hAnsi="楷体" w:eastAsia="楷体"/>
                <w:color w:val="auto"/>
                <w:sz w:val="21"/>
                <w:szCs w:val="21"/>
              </w:rPr>
              <w:t>7</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塔吊、人货梯</w:t>
            </w:r>
          </w:p>
        </w:tc>
        <w:tc>
          <w:tcPr>
            <w:tcW w:w="523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楷体" w:hAnsi="楷体" w:eastAsia="楷体"/>
                <w:color w:val="auto"/>
                <w:sz w:val="21"/>
                <w:szCs w:val="21"/>
              </w:rPr>
            </w:pPr>
            <w:r>
              <w:rPr>
                <w:rFonts w:hint="eastAsia" w:ascii="楷体" w:hAnsi="楷体" w:eastAsia="楷体"/>
                <w:color w:val="auto"/>
                <w:sz w:val="21"/>
                <w:szCs w:val="21"/>
              </w:rPr>
              <w:t>违规调物的</w:t>
            </w:r>
          </w:p>
          <w:p>
            <w:pPr>
              <w:spacing w:line="280" w:lineRule="exact"/>
              <w:rPr>
                <w:rFonts w:ascii="楷体" w:hAnsi="楷体" w:eastAsia="楷体"/>
                <w:color w:val="auto"/>
                <w:sz w:val="21"/>
                <w:szCs w:val="21"/>
              </w:rPr>
            </w:pPr>
            <w:r>
              <w:rPr>
                <w:rFonts w:hint="eastAsia" w:ascii="楷体" w:hAnsi="楷体" w:eastAsia="楷体"/>
                <w:color w:val="auto"/>
                <w:sz w:val="21"/>
                <w:szCs w:val="21"/>
              </w:rPr>
              <w:t>特种人员未持有效资格证上岗的</w:t>
            </w:r>
          </w:p>
          <w:p>
            <w:pPr>
              <w:spacing w:line="280" w:lineRule="exact"/>
              <w:rPr>
                <w:rFonts w:ascii="楷体" w:hAnsi="楷体" w:eastAsia="楷体"/>
                <w:color w:val="auto"/>
                <w:sz w:val="21"/>
                <w:szCs w:val="21"/>
              </w:rPr>
            </w:pPr>
            <w:r>
              <w:rPr>
                <w:rFonts w:hint="eastAsia" w:ascii="楷体" w:hAnsi="楷体" w:eastAsia="楷体"/>
                <w:color w:val="auto"/>
                <w:sz w:val="21"/>
                <w:szCs w:val="21"/>
              </w:rPr>
              <w:t>未定期维护保养记录的（非司索指挥塔吊的或操作人货梯）</w:t>
            </w:r>
          </w:p>
        </w:tc>
        <w:tc>
          <w:tcPr>
            <w:tcW w:w="15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 w:hAnsi="楷体" w:eastAsia="楷体"/>
                <w:color w:val="auto"/>
                <w:spacing w:val="-10"/>
                <w:sz w:val="21"/>
                <w:szCs w:val="21"/>
              </w:rPr>
            </w:pPr>
            <w:r>
              <w:rPr>
                <w:rFonts w:hint="eastAsia" w:ascii="楷体" w:hAnsi="楷体" w:eastAsia="楷体"/>
                <w:color w:val="auto"/>
                <w:spacing w:val="-10"/>
                <w:sz w:val="21"/>
                <w:szCs w:val="21"/>
              </w:rPr>
              <w:t>500-2000元/项</w:t>
            </w:r>
          </w:p>
        </w:tc>
      </w:tr>
    </w:tbl>
    <w:p>
      <w:pPr>
        <w:ind w:firstLine="420" w:firstLineChars="200"/>
        <w:rPr>
          <w:rFonts w:ascii="楷体" w:hAnsi="楷体" w:eastAsia="楷体"/>
          <w:color w:val="auto"/>
          <w:sz w:val="21"/>
          <w:szCs w:val="21"/>
        </w:rPr>
      </w:pPr>
      <w:r>
        <w:rPr>
          <w:rFonts w:hint="eastAsia" w:ascii="宋体" w:hAnsi="宋体" w:eastAsia="宋体" w:cs="宋体"/>
          <w:color w:val="auto"/>
          <w:sz w:val="21"/>
          <w:szCs w:val="21"/>
        </w:rPr>
        <w:t> </w:t>
      </w:r>
      <w:r>
        <w:rPr>
          <w:rFonts w:hint="eastAsia" w:ascii="楷体" w:hAnsi="楷体" w:eastAsia="楷体"/>
          <w:color w:val="auto"/>
          <w:sz w:val="21"/>
          <w:szCs w:val="21"/>
        </w:rPr>
        <w:t>4.5.2环境、文明施工管理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（1）严格执行本项目部制定的现场卫生管理制度、文明施工管理制度、扬尘控制措施、环境管理方案，保持场容整洁卫生，杜绝扬尘污染。</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（2）认真执行环境管理方案，对噪音源进行有效控制，确保噪音达标排放。</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（3）一切垃圾（包括包装物、零碎料等施工垃圾、生活垃圾）必须通过包装物或装盛器具运到现场指定垃圾堆放点存放，不得由空中向下抛洒任何物体。</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（4）工程施工使用的材料应符合国家、当地政府的有关环保规定。材料采购合同，应明确包装的回收约定。</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（5）化学危险品采购、运输、储存、使用、包装回收应有专人负责，严格执行国家及当地政府的有关规定。</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（6）加强现场消防防火工作，避免火灾引起的环境污染。</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（7）加强施工人员教育，关心工人生活，杜绝打架斗殴、集体中毒、违法刑事案件、集体上访、拖欠农民工工资等影响本项目形象的事件发生。</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（8）违反以上各条环境、文明施工管理制度的，视情况每次处收取违约金100-10000元。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4.5.3奖罚</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由监理、发包人制定安全文明施工防护措施奖罚制度，并严格按照制度实施，现场罚没的资金直接上缴至安全专项资金里，做到专款专用。</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5.纪律约束</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5.1对分包人的纪律约束</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（1）所有分包人必须严格执行国家、发包人、监理单位及总包单位的有关规定。</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（2）在工程施工中，不准有弄虚作假等欺诈行为，不准送礼行贿。</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（3）在施工中发现分包人有违法、违纪行为者，将对其清退出现场，并永不再与其合作。</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5.2对总包人员的纪律约束</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（1）总包各管理人员要秉公办事，坚持原则，尽职尽责。</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（2）总包人员要廉洁自律，严禁对分包人吃、拿、卡、要，索贿受贿，如有违犯者，按有关规定处理。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（3）对在工程管理中给发包人造成损失的单位、个人，将视其情节轻重，予以经济处罚及行政处分。</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6.其他</w:t>
      </w:r>
      <w:r>
        <w:rPr>
          <w:rFonts w:hint="eastAsia" w:ascii="宋体" w:hAnsi="宋体" w:eastAsia="宋体" w:cs="宋体"/>
          <w:color w:val="auto"/>
          <w:sz w:val="21"/>
          <w:szCs w:val="21"/>
        </w:rPr>
        <w:t>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（1）上述各项管理制度如与其他管理制度或合同条款约定有冲突的，按最严格的执行。</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（2）本管理制度解释权归本项目发包人。</w:t>
      </w:r>
    </w:p>
    <w:p>
      <w:pPr>
        <w:widowControl/>
        <w:autoSpaceDE/>
        <w:autoSpaceDN/>
        <w:adjustRightInd/>
        <w:rPr>
          <w:rFonts w:ascii="仿宋" w:hAnsi="仿宋" w:eastAsia="仿宋"/>
          <w:color w:val="auto"/>
          <w:sz w:val="21"/>
          <w:szCs w:val="21"/>
        </w:rPr>
      </w:pPr>
      <w:r>
        <w:rPr>
          <w:rFonts w:ascii="仿宋" w:hAnsi="仿宋" w:eastAsia="仿宋"/>
          <w:color w:val="auto"/>
          <w:sz w:val="21"/>
          <w:szCs w:val="21"/>
        </w:rPr>
        <w:br w:type="page"/>
      </w:r>
    </w:p>
    <w:p>
      <w:pPr>
        <w:pStyle w:val="10"/>
        <w:snapToGrid w:val="0"/>
        <w:spacing w:after="0" w:line="360" w:lineRule="auto"/>
        <w:ind w:left="0" w:leftChars="0"/>
        <w:outlineLvl w:val="0"/>
        <w:rPr>
          <w:rFonts w:ascii="楷体" w:hAnsi="楷体" w:eastAsia="楷体"/>
          <w:color w:val="auto"/>
          <w:sz w:val="21"/>
          <w:szCs w:val="21"/>
        </w:rPr>
      </w:pPr>
      <w:bookmarkStart w:id="41" w:name="_Toc120894602"/>
      <w:bookmarkStart w:id="42" w:name="_Toc126962058"/>
      <w:r>
        <w:rPr>
          <w:rFonts w:hint="eastAsia" w:ascii="楷体" w:hAnsi="楷体" w:eastAsia="楷体"/>
          <w:color w:val="auto"/>
          <w:sz w:val="21"/>
          <w:szCs w:val="21"/>
        </w:rPr>
        <w:t>附件八： 总承包管理与配合服务管理要求</w:t>
      </w:r>
      <w:bookmarkEnd w:id="41"/>
      <w:bookmarkEnd w:id="42"/>
    </w:p>
    <w:p>
      <w:pPr>
        <w:jc w:val="center"/>
        <w:rPr>
          <w:rFonts w:ascii="楷体" w:hAnsi="楷体" w:eastAsia="楷体"/>
          <w:b/>
          <w:color w:val="auto"/>
          <w:sz w:val="24"/>
          <w:szCs w:val="24"/>
        </w:rPr>
      </w:pPr>
      <w:bookmarkStart w:id="43" w:name="_Toc465342876"/>
      <w:bookmarkStart w:id="44" w:name="_Toc467749114"/>
      <w:bookmarkStart w:id="45" w:name="_Toc475028322"/>
      <w:bookmarkStart w:id="46" w:name="_Toc484439176"/>
      <w:bookmarkStart w:id="47" w:name="_Toc468699498"/>
      <w:bookmarkStart w:id="48" w:name="_Toc468694204"/>
      <w:r>
        <w:rPr>
          <w:rFonts w:hint="eastAsia" w:ascii="楷体" w:hAnsi="楷体" w:eastAsia="楷体"/>
          <w:b/>
          <w:color w:val="auto"/>
          <w:sz w:val="24"/>
          <w:szCs w:val="24"/>
        </w:rPr>
        <w:t>施工总承包管理与配合服务要求</w:t>
      </w:r>
      <w:bookmarkEnd w:id="43"/>
      <w:bookmarkEnd w:id="44"/>
      <w:bookmarkEnd w:id="45"/>
      <w:bookmarkEnd w:id="46"/>
      <w:bookmarkEnd w:id="47"/>
      <w:bookmarkEnd w:id="48"/>
    </w:p>
    <w:p>
      <w:pPr>
        <w:jc w:val="center"/>
        <w:rPr>
          <w:rFonts w:ascii="楷体" w:hAnsi="楷体" w:eastAsia="楷体"/>
          <w:b/>
          <w:color w:val="auto"/>
          <w:sz w:val="24"/>
          <w:szCs w:val="24"/>
        </w:rPr>
      </w:pPr>
      <w:bookmarkStart w:id="49" w:name="_Toc467749115"/>
      <w:bookmarkStart w:id="50" w:name="_Toc465342877"/>
      <w:bookmarkStart w:id="51" w:name="_Toc484439177"/>
      <w:bookmarkStart w:id="52" w:name="_Toc468699499"/>
      <w:bookmarkStart w:id="53" w:name="_Toc468694205"/>
      <w:bookmarkStart w:id="54" w:name="_Toc475028323"/>
      <w:r>
        <w:rPr>
          <w:rFonts w:hint="eastAsia" w:ascii="楷体" w:hAnsi="楷体" w:eastAsia="楷体"/>
          <w:b/>
          <w:color w:val="auto"/>
          <w:sz w:val="24"/>
          <w:szCs w:val="24"/>
        </w:rPr>
        <w:t>第一部分  施工总承包管理工作内容</w:t>
      </w:r>
    </w:p>
    <w:bookmarkEnd w:id="49"/>
    <w:bookmarkEnd w:id="50"/>
    <w:bookmarkEnd w:id="51"/>
    <w:bookmarkEnd w:id="52"/>
    <w:bookmarkEnd w:id="53"/>
    <w:bookmarkEnd w:id="54"/>
    <w:p>
      <w:pPr>
        <w:ind w:firstLine="420" w:firstLineChars="200"/>
        <w:rPr>
          <w:rFonts w:ascii="楷体" w:hAnsi="楷体" w:eastAsia="楷体"/>
          <w:color w:val="auto"/>
          <w:sz w:val="21"/>
          <w:szCs w:val="21"/>
        </w:rPr>
      </w:pPr>
      <w:r>
        <w:rPr>
          <w:rFonts w:hint="eastAsia" w:ascii="楷体" w:hAnsi="楷体" w:eastAsia="楷体"/>
          <w:color w:val="auto"/>
          <w:sz w:val="21"/>
          <w:szCs w:val="21"/>
        </w:rPr>
        <w:t>1</w:t>
      </w:r>
      <w:r>
        <w:rPr>
          <w:rFonts w:hint="eastAsia" w:ascii="楷体" w:hAnsi="楷体" w:eastAsia="楷体"/>
          <w:color w:val="auto"/>
          <w:sz w:val="21"/>
          <w:szCs w:val="21"/>
        </w:rPr>
        <w:tab/>
      </w:r>
      <w:r>
        <w:rPr>
          <w:rFonts w:hint="eastAsia" w:ascii="楷体" w:hAnsi="楷体" w:eastAsia="楷体"/>
          <w:color w:val="auto"/>
          <w:sz w:val="21"/>
          <w:szCs w:val="21"/>
        </w:rPr>
        <w:t>总则</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  制定本办法主要目的为明确总承包人在总包工作方面的管理、施工配合范围、义务和责任，以及专业承包人相应承担的义务和责任。总承包人在实施总包服务管理、施工配合及协调工作时，必须服从发包人及监理工程师的指令。</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  本办法制订的基本原则为：建立以总承包人为首的包括由各专业承包人组合而成的的现场管理机构。在总承包人的统筹、管理及协调下，各专业承包人及专业分包人分别按各自的合同要求进行施工的同时，为了一个共同的目标而精诚合作，由此组成一个既独立（权责利相对独立）又统一（目标统一）的共同建设体。</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1.3  若本办法中、本办法与其它文件中存在互相矛盾时，以较严格者为准。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w:t>
      </w:r>
      <w:r>
        <w:rPr>
          <w:rFonts w:hint="eastAsia" w:ascii="楷体" w:hAnsi="楷体" w:eastAsia="楷体"/>
          <w:color w:val="auto"/>
          <w:sz w:val="21"/>
          <w:szCs w:val="21"/>
        </w:rPr>
        <w:tab/>
      </w:r>
      <w:r>
        <w:rPr>
          <w:rFonts w:hint="eastAsia" w:ascii="楷体" w:hAnsi="楷体" w:eastAsia="楷体"/>
          <w:color w:val="auto"/>
          <w:sz w:val="21"/>
          <w:szCs w:val="21"/>
        </w:rPr>
        <w:t>基本定义与要求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2.1  定义：</w:t>
      </w:r>
    </w:p>
    <w:p>
      <w:pPr>
        <w:ind w:firstLine="420" w:firstLineChars="200"/>
        <w:rPr>
          <w:rFonts w:ascii="楷体" w:hAnsi="楷体" w:eastAsia="楷体"/>
          <w:color w:val="auto"/>
          <w:sz w:val="21"/>
          <w:szCs w:val="21"/>
        </w:rPr>
      </w:pPr>
      <w:r>
        <w:rPr>
          <w:rFonts w:hint="eastAsia" w:ascii="楷体" w:hAnsi="楷体" w:eastAsia="楷体"/>
          <w:color w:val="auto"/>
          <w:sz w:val="21"/>
          <w:szCs w:val="21"/>
        </w:rPr>
        <w:t xml:space="preserve">1）总承包人是指：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2）专业承包人是指与合同通用条款与专用条款中的专业工程承包人。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3）专业分包人定义是指与合同通用条款与专用条款中的分包人及暂估价项目分包人。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2.2  总承包人在中标进场后，需根据招文件、合同条款及本办法相关要求编制详尽的现场管理办法（所包含的内容包括但不限于本办法），经报监理单位和发包人批准后实施。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2.3  发包人在组织专业承包工程的招标时，需将本办法及2.2款中的“现场管理办法”作为招标文件附件，要求投标单位作同意响应。</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2.4总承包人在与专业承包人及专业分包人签订管理协议时，需将本办法及发包人批准后实施的现场管理办法作为管理协议中的必要内容。</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2.5本项目现场管理原则上以总承包人全面负责，各专业承包人及专业分包人各自负责自身承包范围内的相应工作及提供必要的配合。现场管理的实施未能达到合约与本办法要求的，由总承包人向发包人全面承担违约责任，若导致发包人损失的，则经发包人同意由总承包人先行向发包人全面承责。总承包人有义务督促专业承包人及专业分包人按要求完成，因专业承包人及专业分包人未履行或未按期按约完成的，由总承包人先行代为完成，并收集相关资料报经监理工程师确认，以作为总承包人向专业承包人及专业分包人的索赔依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2.6为更好地协调好参与本项目建设的各方关系，促进项目建设，本项目采用互为监督、互为促进的考核办法，每月将由专业承包人及专业分包人和总承包人之间互相进行打分考核，并将此考核纳入双方工程进度款支付的约束条件。具体考核办法由总承包人代为拟订，报监理工程师和发包人批准后实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w:t>
      </w:r>
      <w:r>
        <w:rPr>
          <w:rFonts w:hint="eastAsia" w:ascii="楷体" w:hAnsi="楷体" w:eastAsia="楷体"/>
          <w:color w:val="auto"/>
          <w:sz w:val="21"/>
          <w:szCs w:val="21"/>
        </w:rPr>
        <w:tab/>
      </w:r>
      <w:r>
        <w:rPr>
          <w:rFonts w:hint="eastAsia" w:ascii="楷体" w:hAnsi="楷体" w:eastAsia="楷体"/>
          <w:color w:val="auto"/>
          <w:sz w:val="21"/>
          <w:szCs w:val="21"/>
        </w:rPr>
        <w:t>承包范围</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3.1</w:t>
      </w:r>
      <w:r>
        <w:rPr>
          <w:rFonts w:hint="eastAsia" w:ascii="楷体" w:hAnsi="楷体" w:eastAsia="楷体"/>
          <w:color w:val="auto"/>
          <w:sz w:val="21"/>
          <w:szCs w:val="21"/>
        </w:rPr>
        <w:tab/>
      </w:r>
      <w:r>
        <w:rPr>
          <w:rFonts w:hint="eastAsia" w:ascii="楷体" w:hAnsi="楷体" w:eastAsia="楷体"/>
          <w:color w:val="auto"/>
          <w:sz w:val="21"/>
          <w:szCs w:val="21"/>
        </w:rPr>
        <w:t>总承包范围：包括总承包施工项目和总包管理项目。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3.2</w:t>
      </w:r>
      <w:r>
        <w:rPr>
          <w:rFonts w:hint="eastAsia" w:ascii="楷体" w:hAnsi="楷体" w:eastAsia="楷体"/>
          <w:color w:val="auto"/>
          <w:sz w:val="21"/>
          <w:szCs w:val="21"/>
        </w:rPr>
        <w:tab/>
      </w:r>
      <w:r>
        <w:rPr>
          <w:rFonts w:hint="eastAsia" w:ascii="楷体" w:hAnsi="楷体" w:eastAsia="楷体"/>
          <w:color w:val="auto"/>
          <w:sz w:val="21"/>
          <w:szCs w:val="21"/>
        </w:rPr>
        <w:t>总包管理范围：</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1）所有由发包人负责、承包人配合招标确定的暂估价项目，具体详本合同附件15。</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2）所有由发包人选定的具有相应资质的专业施工单位，具体详见本合同附件1。</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3）发包人依法直接供应的材料设备设施专项供应商，详见本合同附件18。</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w:t>
      </w:r>
      <w:r>
        <w:rPr>
          <w:rFonts w:hint="eastAsia" w:ascii="楷体" w:hAnsi="楷体" w:eastAsia="楷体"/>
          <w:color w:val="auto"/>
          <w:sz w:val="21"/>
          <w:szCs w:val="21"/>
        </w:rPr>
        <w:tab/>
      </w:r>
      <w:r>
        <w:rPr>
          <w:rFonts w:hint="eastAsia" w:ascii="楷体" w:hAnsi="楷体" w:eastAsia="楷体"/>
          <w:color w:val="auto"/>
          <w:sz w:val="21"/>
          <w:szCs w:val="21"/>
        </w:rPr>
        <w:t>本项目合同结构和项目工程管理关系如下：</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序号</w:t>
      </w:r>
      <w:r>
        <w:rPr>
          <w:rFonts w:hint="eastAsia" w:ascii="楷体" w:hAnsi="楷体" w:eastAsia="楷体"/>
          <w:color w:val="auto"/>
          <w:sz w:val="21"/>
          <w:szCs w:val="21"/>
        </w:rPr>
        <w:tab/>
      </w:r>
      <w:r>
        <w:rPr>
          <w:rFonts w:hint="eastAsia" w:ascii="楷体" w:hAnsi="楷体" w:eastAsia="楷体"/>
          <w:color w:val="auto"/>
          <w:sz w:val="21"/>
          <w:szCs w:val="21"/>
        </w:rPr>
        <w:t>分类</w:t>
      </w:r>
      <w:r>
        <w:rPr>
          <w:rFonts w:hint="eastAsia" w:ascii="楷体" w:hAnsi="楷体" w:eastAsia="楷体"/>
          <w:color w:val="auto"/>
          <w:sz w:val="21"/>
          <w:szCs w:val="21"/>
        </w:rPr>
        <w:tab/>
      </w:r>
      <w:r>
        <w:rPr>
          <w:rFonts w:hint="eastAsia" w:ascii="楷体" w:hAnsi="楷体" w:eastAsia="楷体"/>
          <w:color w:val="auto"/>
          <w:sz w:val="21"/>
          <w:szCs w:val="21"/>
        </w:rPr>
        <w:t>合同关系</w:t>
      </w:r>
      <w:r>
        <w:rPr>
          <w:rFonts w:hint="eastAsia" w:ascii="楷体" w:hAnsi="楷体" w:eastAsia="楷体"/>
          <w:color w:val="auto"/>
          <w:sz w:val="21"/>
          <w:szCs w:val="21"/>
        </w:rPr>
        <w:tab/>
      </w:r>
      <w:r>
        <w:rPr>
          <w:rFonts w:hint="eastAsia" w:ascii="楷体" w:hAnsi="楷体" w:eastAsia="楷体"/>
          <w:color w:val="auto"/>
          <w:sz w:val="21"/>
          <w:szCs w:val="21"/>
        </w:rPr>
        <w:t>管理关系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w:t>
      </w:r>
      <w:r>
        <w:rPr>
          <w:rFonts w:hint="eastAsia" w:ascii="楷体" w:hAnsi="楷体" w:eastAsia="楷体"/>
          <w:color w:val="auto"/>
          <w:sz w:val="21"/>
          <w:szCs w:val="21"/>
        </w:rPr>
        <w:tab/>
      </w:r>
      <w:r>
        <w:rPr>
          <w:rFonts w:hint="eastAsia" w:ascii="楷体" w:hAnsi="楷体" w:eastAsia="楷体"/>
          <w:color w:val="auto"/>
          <w:sz w:val="21"/>
          <w:szCs w:val="21"/>
        </w:rPr>
        <w:t>暂估价专业工程类合同</w:t>
      </w:r>
      <w:r>
        <w:rPr>
          <w:rFonts w:hint="eastAsia" w:ascii="楷体" w:hAnsi="楷体" w:eastAsia="楷体"/>
          <w:color w:val="auto"/>
          <w:sz w:val="21"/>
          <w:szCs w:val="21"/>
        </w:rPr>
        <w:tab/>
      </w:r>
      <w:r>
        <w:rPr>
          <w:rFonts w:hint="eastAsia" w:ascii="楷体" w:hAnsi="楷体" w:eastAsia="楷体"/>
          <w:color w:val="auto"/>
          <w:sz w:val="21"/>
          <w:szCs w:val="21"/>
        </w:rPr>
        <w:t>1、由发包人（或发包人与承包人联合）招标，确定分包人和分包价格。</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2、由承包人与分包人签署合同</w:t>
      </w:r>
      <w:r>
        <w:rPr>
          <w:rFonts w:hint="eastAsia" w:ascii="楷体" w:hAnsi="楷体" w:eastAsia="楷体"/>
          <w:color w:val="auto"/>
          <w:sz w:val="21"/>
          <w:szCs w:val="21"/>
        </w:rPr>
        <w:tab/>
      </w:r>
      <w:r>
        <w:rPr>
          <w:rFonts w:hint="eastAsia" w:ascii="楷体" w:hAnsi="楷体" w:eastAsia="楷体"/>
          <w:color w:val="auto"/>
          <w:sz w:val="21"/>
          <w:szCs w:val="21"/>
        </w:rPr>
        <w:t>由承包人统一管理并提供管理配合服务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w:t>
      </w:r>
      <w:r>
        <w:rPr>
          <w:rFonts w:hint="eastAsia" w:ascii="楷体" w:hAnsi="楷体" w:eastAsia="楷体"/>
          <w:color w:val="auto"/>
          <w:sz w:val="21"/>
          <w:szCs w:val="21"/>
        </w:rPr>
        <w:tab/>
      </w:r>
      <w:r>
        <w:rPr>
          <w:rFonts w:hint="eastAsia" w:ascii="楷体" w:hAnsi="楷体" w:eastAsia="楷体"/>
          <w:color w:val="auto"/>
          <w:sz w:val="21"/>
          <w:szCs w:val="21"/>
        </w:rPr>
        <w:t>暂估价安装服务类合同</w:t>
      </w:r>
      <w:r>
        <w:rPr>
          <w:rFonts w:hint="eastAsia" w:ascii="楷体" w:hAnsi="楷体" w:eastAsia="楷体"/>
          <w:color w:val="auto"/>
          <w:sz w:val="21"/>
          <w:szCs w:val="21"/>
        </w:rPr>
        <w:tab/>
      </w:r>
      <w:r>
        <w:rPr>
          <w:rFonts w:hint="eastAsia" w:ascii="楷体" w:hAnsi="楷体" w:eastAsia="楷体"/>
          <w:color w:val="auto"/>
          <w:sz w:val="21"/>
          <w:szCs w:val="21"/>
        </w:rPr>
        <w:t>1、供货与安装服务由发包人（或发包人与承包人联合）统一招标，确定分包人和分包价格。</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2、供货合同由发包人与分包人签订合同；安装工程合同由承包人与分包人签署合同</w:t>
      </w:r>
      <w:r>
        <w:rPr>
          <w:rFonts w:hint="eastAsia" w:ascii="楷体" w:hAnsi="楷体" w:eastAsia="楷体"/>
          <w:color w:val="auto"/>
          <w:sz w:val="21"/>
          <w:szCs w:val="21"/>
        </w:rPr>
        <w:tab/>
      </w:r>
    </w:p>
    <w:p>
      <w:pPr>
        <w:ind w:firstLine="420" w:firstLineChars="200"/>
        <w:rPr>
          <w:rFonts w:ascii="楷体" w:hAnsi="楷体" w:eastAsia="楷体"/>
          <w:color w:val="auto"/>
          <w:sz w:val="21"/>
          <w:szCs w:val="21"/>
        </w:rPr>
      </w:pPr>
      <w:r>
        <w:rPr>
          <w:rFonts w:hint="eastAsia" w:ascii="楷体" w:hAnsi="楷体" w:eastAsia="楷体"/>
          <w:color w:val="auto"/>
          <w:sz w:val="21"/>
          <w:szCs w:val="21"/>
        </w:rPr>
        <w:t>3</w:t>
      </w:r>
      <w:r>
        <w:rPr>
          <w:rFonts w:hint="eastAsia" w:ascii="楷体" w:hAnsi="楷体" w:eastAsia="楷体"/>
          <w:color w:val="auto"/>
          <w:sz w:val="21"/>
          <w:szCs w:val="21"/>
        </w:rPr>
        <w:tab/>
      </w:r>
      <w:r>
        <w:rPr>
          <w:rFonts w:hint="eastAsia" w:ascii="楷体" w:hAnsi="楷体" w:eastAsia="楷体"/>
          <w:color w:val="auto"/>
          <w:sz w:val="21"/>
          <w:szCs w:val="21"/>
        </w:rPr>
        <w:t>发包人发包的专业工程/服务类合同</w:t>
      </w:r>
      <w:r>
        <w:rPr>
          <w:rFonts w:hint="eastAsia" w:ascii="楷体" w:hAnsi="楷体" w:eastAsia="楷体"/>
          <w:color w:val="auto"/>
          <w:sz w:val="21"/>
          <w:szCs w:val="21"/>
        </w:rPr>
        <w:tab/>
      </w:r>
      <w:r>
        <w:rPr>
          <w:rFonts w:hint="eastAsia" w:ascii="楷体" w:hAnsi="楷体" w:eastAsia="楷体"/>
          <w:color w:val="auto"/>
          <w:sz w:val="21"/>
          <w:szCs w:val="21"/>
        </w:rPr>
        <w:t>1、由发包人确定分包人及发包价格。</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2、由分包人与发包人签署合同</w:t>
      </w:r>
      <w:r>
        <w:rPr>
          <w:rFonts w:hint="eastAsia" w:ascii="楷体" w:hAnsi="楷体" w:eastAsia="楷体"/>
          <w:color w:val="auto"/>
          <w:sz w:val="21"/>
          <w:szCs w:val="21"/>
        </w:rPr>
        <w:tab/>
      </w:r>
      <w:r>
        <w:rPr>
          <w:rFonts w:hint="eastAsia" w:ascii="楷体" w:hAnsi="楷体" w:eastAsia="楷体"/>
          <w:color w:val="auto"/>
          <w:sz w:val="21"/>
          <w:szCs w:val="21"/>
        </w:rPr>
        <w:t>承包人提供管理配合服务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w:t>
      </w:r>
      <w:r>
        <w:rPr>
          <w:rFonts w:hint="eastAsia" w:ascii="楷体" w:hAnsi="楷体" w:eastAsia="楷体"/>
          <w:color w:val="auto"/>
          <w:sz w:val="21"/>
          <w:szCs w:val="21"/>
        </w:rPr>
        <w:tab/>
      </w:r>
      <w:r>
        <w:rPr>
          <w:rFonts w:hint="eastAsia" w:ascii="楷体" w:hAnsi="楷体" w:eastAsia="楷体"/>
          <w:color w:val="auto"/>
          <w:sz w:val="21"/>
          <w:szCs w:val="21"/>
        </w:rPr>
        <w:t>检测、监测服务类合同</w:t>
      </w:r>
      <w:r>
        <w:rPr>
          <w:rFonts w:hint="eastAsia" w:ascii="楷体" w:hAnsi="楷体" w:eastAsia="楷体"/>
          <w:color w:val="auto"/>
          <w:sz w:val="21"/>
          <w:szCs w:val="21"/>
        </w:rPr>
        <w:tab/>
      </w:r>
      <w:r>
        <w:rPr>
          <w:rFonts w:hint="eastAsia" w:ascii="楷体" w:hAnsi="楷体" w:eastAsia="楷体"/>
          <w:color w:val="auto"/>
          <w:sz w:val="21"/>
          <w:szCs w:val="21"/>
        </w:rPr>
        <w:tab/>
      </w:r>
    </w:p>
    <w:p>
      <w:pPr>
        <w:ind w:firstLine="420" w:firstLineChars="200"/>
        <w:rPr>
          <w:rFonts w:ascii="楷体" w:hAnsi="楷体" w:eastAsia="楷体"/>
          <w:color w:val="auto"/>
          <w:sz w:val="21"/>
          <w:szCs w:val="21"/>
        </w:rPr>
      </w:pPr>
      <w:r>
        <w:rPr>
          <w:rFonts w:hint="eastAsia" w:ascii="楷体" w:hAnsi="楷体" w:eastAsia="楷体"/>
          <w:color w:val="auto"/>
          <w:sz w:val="21"/>
          <w:szCs w:val="21"/>
        </w:rPr>
        <w:t>5</w:t>
      </w:r>
      <w:r>
        <w:rPr>
          <w:rFonts w:hint="eastAsia" w:ascii="楷体" w:hAnsi="楷体" w:eastAsia="楷体"/>
          <w:color w:val="auto"/>
          <w:sz w:val="21"/>
          <w:szCs w:val="21"/>
        </w:rPr>
        <w:tab/>
      </w:r>
      <w:r>
        <w:rPr>
          <w:rFonts w:hint="eastAsia" w:ascii="楷体" w:hAnsi="楷体" w:eastAsia="楷体"/>
          <w:color w:val="auto"/>
          <w:sz w:val="21"/>
          <w:szCs w:val="21"/>
        </w:rPr>
        <w:t>甲供材料、设备类合同</w:t>
      </w:r>
      <w:r>
        <w:rPr>
          <w:rFonts w:hint="eastAsia" w:ascii="楷体" w:hAnsi="楷体" w:eastAsia="楷体"/>
          <w:color w:val="auto"/>
          <w:sz w:val="21"/>
          <w:szCs w:val="21"/>
        </w:rPr>
        <w:tab/>
      </w:r>
      <w:r>
        <w:rPr>
          <w:rFonts w:hint="eastAsia" w:ascii="楷体" w:hAnsi="楷体" w:eastAsia="楷体"/>
          <w:color w:val="auto"/>
          <w:sz w:val="21"/>
          <w:szCs w:val="21"/>
        </w:rPr>
        <w:tab/>
      </w:r>
    </w:p>
    <w:p>
      <w:pPr>
        <w:ind w:firstLine="420" w:firstLineChars="200"/>
        <w:rPr>
          <w:rFonts w:ascii="楷体" w:hAnsi="楷体" w:eastAsia="楷体"/>
          <w:color w:val="auto"/>
          <w:sz w:val="21"/>
          <w:szCs w:val="21"/>
        </w:rPr>
      </w:pPr>
      <w:r>
        <w:rPr>
          <w:rFonts w:hint="eastAsia" w:ascii="楷体" w:hAnsi="楷体" w:eastAsia="楷体"/>
          <w:color w:val="auto"/>
          <w:sz w:val="21"/>
          <w:szCs w:val="21"/>
        </w:rPr>
        <w:t>注：上表分类的具体合同详合同相关附件。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w:t>
      </w:r>
      <w:r>
        <w:rPr>
          <w:rFonts w:hint="eastAsia" w:ascii="楷体" w:hAnsi="楷体" w:eastAsia="楷体"/>
          <w:color w:val="auto"/>
          <w:sz w:val="21"/>
          <w:szCs w:val="21"/>
        </w:rPr>
        <w:tab/>
      </w:r>
      <w:r>
        <w:rPr>
          <w:rFonts w:hint="eastAsia" w:ascii="楷体" w:hAnsi="楷体" w:eastAsia="楷体"/>
          <w:color w:val="auto"/>
          <w:sz w:val="21"/>
          <w:szCs w:val="21"/>
        </w:rPr>
        <w:t>工程管理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5.1总承包人对专业承包工程实施总包服务管理及协调，发包人按合同规定向总承包人支付总承包管理、施工配合及协调费。</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5.2总承包人对各专业承包工程承担服务、管理及协调义务。专业承包人及专业分包人任何违约行为或疏忽导致工程损害或给发包人造成其它损失，由于总承包人管理不力的，总承包人承担相应的责任。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5.3各专业承包人及专业分包人不得在未得到发包人及总承包人同意前对其负责施工的专业承包工程全部或部分分包或转包，否则相应专业承包人及专业分包人将承担责任。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w:t>
      </w:r>
      <w:r>
        <w:rPr>
          <w:rFonts w:hint="eastAsia" w:ascii="楷体" w:hAnsi="楷体" w:eastAsia="楷体"/>
          <w:color w:val="auto"/>
          <w:sz w:val="21"/>
          <w:szCs w:val="21"/>
        </w:rPr>
        <w:tab/>
      </w:r>
      <w:r>
        <w:rPr>
          <w:rFonts w:hint="eastAsia" w:ascii="楷体" w:hAnsi="楷体" w:eastAsia="楷体"/>
          <w:color w:val="auto"/>
          <w:sz w:val="21"/>
          <w:szCs w:val="21"/>
        </w:rPr>
        <w:t>总承包人一般义务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6.1 施工组织设计的提交和确认</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6.1.1.承包人应于收到总监理工程师的进场通知后7天内向总监理工程师提交一式五份的项目及单位工程的施工组织设计。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承包人提交的施工组织设计应当载明如下内容（包括但不限于）：</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w:t>
      </w:r>
      <w:r>
        <w:rPr>
          <w:rFonts w:hint="eastAsia" w:ascii="楷体" w:hAnsi="楷体" w:eastAsia="楷体"/>
          <w:color w:val="auto"/>
          <w:sz w:val="21"/>
          <w:szCs w:val="21"/>
        </w:rPr>
        <w:tab/>
      </w:r>
      <w:r>
        <w:rPr>
          <w:rFonts w:hint="eastAsia" w:ascii="楷体" w:hAnsi="楷体" w:eastAsia="楷体"/>
          <w:color w:val="auto"/>
          <w:sz w:val="21"/>
          <w:szCs w:val="21"/>
        </w:rPr>
        <w:t>工程概况</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w:t>
      </w:r>
      <w:r>
        <w:rPr>
          <w:rFonts w:hint="eastAsia" w:ascii="楷体" w:hAnsi="楷体" w:eastAsia="楷体"/>
          <w:color w:val="auto"/>
          <w:sz w:val="21"/>
          <w:szCs w:val="21"/>
        </w:rPr>
        <w:tab/>
      </w:r>
      <w:r>
        <w:rPr>
          <w:rFonts w:hint="eastAsia" w:ascii="楷体" w:hAnsi="楷体" w:eastAsia="楷体"/>
          <w:color w:val="auto"/>
          <w:sz w:val="21"/>
          <w:szCs w:val="21"/>
        </w:rPr>
        <w:t>施工现场组织机构（质量、安全、进度管理机构及职责）</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w:t>
      </w:r>
      <w:r>
        <w:rPr>
          <w:rFonts w:hint="eastAsia" w:ascii="楷体" w:hAnsi="楷体" w:eastAsia="楷体"/>
          <w:color w:val="auto"/>
          <w:sz w:val="21"/>
          <w:szCs w:val="21"/>
        </w:rPr>
        <w:tab/>
      </w:r>
      <w:r>
        <w:rPr>
          <w:rFonts w:hint="eastAsia" w:ascii="楷体" w:hAnsi="楷体" w:eastAsia="楷体"/>
          <w:color w:val="auto"/>
          <w:sz w:val="21"/>
          <w:szCs w:val="21"/>
        </w:rPr>
        <w:t>各分部分项工程完整的施工方案（包括施工准备、施工工序总体安排、主要工序和特殊工序的施工方法和施工效率估计，潜在问题的分析、工程成本的控制措施为控制成本，提高效益，拟采取的措施）；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w:t>
      </w:r>
      <w:r>
        <w:rPr>
          <w:rFonts w:hint="eastAsia" w:ascii="楷体" w:hAnsi="楷体" w:eastAsia="楷体"/>
          <w:color w:val="auto"/>
          <w:sz w:val="21"/>
          <w:szCs w:val="21"/>
        </w:rPr>
        <w:tab/>
      </w:r>
      <w:r>
        <w:rPr>
          <w:rFonts w:hint="eastAsia" w:ascii="楷体" w:hAnsi="楷体" w:eastAsia="楷体"/>
          <w:color w:val="auto"/>
          <w:sz w:val="21"/>
          <w:szCs w:val="21"/>
        </w:rPr>
        <w:t>施工资源投入计划，包括：机械设备进场计划、工程材料和物料进场及仓储计划、施工人员进场计划等；</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w:t>
      </w:r>
      <w:r>
        <w:rPr>
          <w:rFonts w:hint="eastAsia" w:ascii="楷体" w:hAnsi="楷体" w:eastAsia="楷体"/>
          <w:color w:val="auto"/>
          <w:sz w:val="21"/>
          <w:szCs w:val="21"/>
        </w:rPr>
        <w:tab/>
      </w:r>
      <w:r>
        <w:rPr>
          <w:rFonts w:hint="eastAsia" w:ascii="楷体" w:hAnsi="楷体" w:eastAsia="楷体"/>
          <w:color w:val="auto"/>
          <w:sz w:val="21"/>
          <w:szCs w:val="21"/>
        </w:rPr>
        <w:t>施工现场平面布置图（包括施工道路平面图、各种临时设施、施工用水、监控设施、施工机具、材料构配件存放位置）；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w:t>
      </w:r>
      <w:r>
        <w:rPr>
          <w:rFonts w:hint="eastAsia" w:ascii="楷体" w:hAnsi="楷体" w:eastAsia="楷体"/>
          <w:color w:val="auto"/>
          <w:sz w:val="21"/>
          <w:szCs w:val="21"/>
        </w:rPr>
        <w:tab/>
      </w:r>
      <w:r>
        <w:rPr>
          <w:rFonts w:hint="eastAsia" w:ascii="楷体" w:hAnsi="楷体" w:eastAsia="楷体"/>
          <w:color w:val="auto"/>
          <w:sz w:val="21"/>
          <w:szCs w:val="21"/>
        </w:rPr>
        <w:t>季节性施工措施；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w:t>
      </w:r>
      <w:r>
        <w:rPr>
          <w:rFonts w:hint="eastAsia" w:ascii="楷体" w:hAnsi="楷体" w:eastAsia="楷体"/>
          <w:color w:val="auto"/>
          <w:sz w:val="21"/>
          <w:szCs w:val="21"/>
        </w:rPr>
        <w:tab/>
      </w:r>
      <w:r>
        <w:rPr>
          <w:rFonts w:hint="eastAsia" w:ascii="楷体" w:hAnsi="楷体" w:eastAsia="楷体"/>
          <w:color w:val="auto"/>
          <w:sz w:val="21"/>
          <w:szCs w:val="21"/>
        </w:rPr>
        <w:t>地下管线及其他地下设施的处理措施；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w:t>
      </w:r>
      <w:r>
        <w:rPr>
          <w:rFonts w:hint="eastAsia" w:ascii="楷体" w:hAnsi="楷体" w:eastAsia="楷体"/>
          <w:color w:val="auto"/>
          <w:sz w:val="21"/>
          <w:szCs w:val="21"/>
        </w:rPr>
        <w:tab/>
      </w:r>
      <w:r>
        <w:rPr>
          <w:rFonts w:hint="eastAsia" w:ascii="楷体" w:hAnsi="楷体" w:eastAsia="楷体"/>
          <w:color w:val="auto"/>
          <w:sz w:val="21"/>
          <w:szCs w:val="21"/>
        </w:rPr>
        <w:t>保证工期、质量的措施；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w:t>
      </w:r>
      <w:r>
        <w:rPr>
          <w:rFonts w:hint="eastAsia" w:ascii="楷体" w:hAnsi="楷体" w:eastAsia="楷体"/>
          <w:color w:val="auto"/>
          <w:sz w:val="21"/>
          <w:szCs w:val="21"/>
        </w:rPr>
        <w:tab/>
      </w:r>
      <w:r>
        <w:rPr>
          <w:rFonts w:hint="eastAsia" w:ascii="楷体" w:hAnsi="楷体" w:eastAsia="楷体"/>
          <w:color w:val="auto"/>
          <w:sz w:val="21"/>
          <w:szCs w:val="21"/>
        </w:rPr>
        <w:t>保证安全生产、文明施工、减少扰民，且满足环境保护要求的措施；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w:t>
      </w:r>
      <w:r>
        <w:rPr>
          <w:rFonts w:hint="eastAsia" w:ascii="楷体" w:hAnsi="楷体" w:eastAsia="楷体"/>
          <w:color w:val="auto"/>
          <w:sz w:val="21"/>
          <w:szCs w:val="21"/>
        </w:rPr>
        <w:tab/>
      </w:r>
      <w:r>
        <w:rPr>
          <w:rFonts w:hint="eastAsia" w:ascii="楷体" w:hAnsi="楷体" w:eastAsia="楷体"/>
          <w:color w:val="auto"/>
          <w:sz w:val="21"/>
          <w:szCs w:val="21"/>
        </w:rPr>
        <w:t>妥善处理与相邻施工作业现场关系的措施；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w:t>
      </w:r>
      <w:r>
        <w:rPr>
          <w:rFonts w:hint="eastAsia" w:ascii="楷体" w:hAnsi="楷体" w:eastAsia="楷体"/>
          <w:color w:val="auto"/>
          <w:sz w:val="21"/>
          <w:szCs w:val="21"/>
        </w:rPr>
        <w:tab/>
      </w:r>
      <w:r>
        <w:rPr>
          <w:rFonts w:hint="eastAsia" w:ascii="楷体" w:hAnsi="楷体" w:eastAsia="楷体"/>
          <w:color w:val="auto"/>
          <w:sz w:val="21"/>
          <w:szCs w:val="21"/>
        </w:rPr>
        <w:t>其他与工程施工有关的管理方案、措施。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6.1.2总监理工程师和发包人在接到承包人提交的施工组织设计和工程进度计划后7天内予以确认或提出修改意见（总监理工程师在4天内审核并签署意见，发包人在3天内审核并签署意见）。逾期既不确认，也不提出书面意见的视为同意，但如遇到重大或技术复杂、难度大的施工方案（如深基坑支护及高支模等施工方案），则应按政府有关规定召开专家评审会评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6.2 配合发包人项目管理的要求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6.2.1承包人须遵守及执行发包人地工程管理部在项目实施期间实施的技术标准化、管理工作标准化、质量可视化、质量检查管理标准、第三方质量安全评估、四新技术的推、工程管理信息化等所有相关管控制度并接受相应的奖罚规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6.2.2承包人须遵守及执行发包人工程管理部实行的工程启动会、方案评审、工程巡检、飞检的相关管理要求及接受相应的奖罚规定。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6.2.3承包人须遵守及执行发包人工程管理部实行的样板管理制度、两点一线、读图讲图等相关管理要求及接受相应的奖罚规定。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6.2.4承包人须遵守及执行发包人发布的其他管理制度、并积极配合发包人的供方评估，评估中发现的问题承包方须积极改进。</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6.4施工场地</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6.4.1本项目位于广州市白云区，场地内施工、办公区域由施工单位按实际情况考虑，本项目严禁在用地红线内设置生活区。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6.4.2在施工作业区内，各专业承包人及专业分包人进场施工前，应向总承包人提供其施工机械及材料堆放所需场地面积、部位等要求，以便于总承包人合理安排施工作业区场地。对于作业区内临建设施，总承包人应统一规划，统一布置，对作业区现场容貌进行管理，不得私自乱搭临建。总承包人负责施工作业区文明施工、安全生产管理，并自觉接受监理工程师的监督和协调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6.4.3项目管理部办公区、公共区域的防盗保安、门卫、日常保洁、卫生清洁等工作亦统一由总承包人管理。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6.4.4总包于工地入口提供通行管制设备，系统同时要包含可以替所有工人制作、发出身份辨别卡及附有软件/硬件用于保持可供查核全部曾经到场人士的记录，也能在劳资争议时协助核实在工地实际工作时数，系统必须由一个有旋转栏杆装置的出入口，电子读卡器与掌印校对器合并组成，所有工人均发给一张身份辨别卡，使系统能够识别期间他们出入工地的情况。</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6.5施工临时道路</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总承包人应协调各专业承包人及专业分包人的施工顺序、设备、材料进场时间、车辆流量控制，以确保现场施工道路畅通。总承包人负责施工临时道路的修筑和使用期间的维修和保养。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6.6施工用水、用电</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6.6.1总承包人应保证施工期间现场水、电的正常使用，各级施工用电电箱负荷及水压均需确保满足施工要求。水电使用人包括但不限于总承包人及其分包人、发包人指定的各专业承包人、暂估价专业分包人、第三方检测与监测单位、材料设备安装供应商等。现场施工用的水电费已由发包人支付给总承包人，各专业分包人、各专业承包人不需再向总承包人支付水电费。生活区的水电费由各专业分包人、各专业承包人向总承包人支付。</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6.6.2总承包人应在每个施工（区域）楼层开设供水龙头，以便于各专业承包人及专业分包人用水方便。</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6.6.3总承包人必要时有义务为专业承包人及专业分包人提供超高加压水泵，同时委派专人管理。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6.6.4总承包人统一为项目施工现场（楼层及室外）配备满足施工需求的二级配电箱及水电接驳点，以确保各专业承包人及专业分包人用电方便。“塔楼每层1个，裙楼和地下室每2000平方米1个，且各专业分包接电路径不大于30米，否则总承包方须负责增加该范围的二级配电箱。</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6.6.5检测与监测等第三方中介服务机构受发包人委托在现场提供服务所需的水电费用，应由总承包人免费提供给第三方中介服务机构，且相关费用已包含在总承包服务与管理费内。</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6.7垃圾清运</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各专业承包人及专业分包人应做好各自作业区内的废弃物与垃圾的整理工作。建筑废弃物与垃圾由各专业承包人及专业分包人按总承包人的要求集中到一层指定地点，由总承包人统一外运。</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6.8安全设施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6.8.1总承包人必须在施工临时道路入口处设置安全警示牌、限速等标志，保证场内交通畅通、安全；在靠近场地的主要施工地段要设置安全警示栏杆或者标志。</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6.8.2总承包人必须在“四口、五临边”位置按招标文件及省、市有关文件要求做好安全防护工作，如设置安全设施、安全围网、围板和警示标志等。各专业承包人及专业分包人如施工需要须提前拆除时，必须经总承包人批准，并由总承包人采取有效的补救措施，专业承包人及专业分包人必须配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6.8.3井架、塔吊等垂直运输工具</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总承包人应向各专业承包人及专业分包人提供井架、塔吊等垂直运输装置和机械，包括机架人员的操作，但进出垂直运输工具的装卸或工作由专业承包人及专业分包人自行负责。</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6.8.4现场施工管理及协调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必须安排对各专业承包工程有相关工作经验的现场技术人员负责协调及管理各有关专业承包工程,包括安排必须的工地协调会议,以协调各专业承包工程与总承包工程的工作界面、争议和冲突，配合整体施工进度，并监督各专业工程的施工，以保证专业承包工程的质量能满足要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6.8.5施工脚手架、排栅</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6.8.6在施工脚手架、排栅尚未拆除前，总承包人应向各专业承包人及专业分包人无条件地提供现有的施工脚手架、排栅和现成的爬梯等设施使用，并保证上述设施使用过程的安全。</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6.8.7总承包人搭设脚手架时应协调各专业承包人及专业分包人的施工需要及进度，满足各专业承包人及专业分包人的合理要求。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6.8.8虽经总承包人充分协调，但如专业承包人及专业分包人因自身原因未能按工程整体进度计划要求，在总承包人拆除脚手架、排栅前进行相应工程施工，需要总承包人推迟拆除日期或另行搭设脚手架、排栅的，总承包人有权要求相应专业承包人及专业分包人支付相应费用。</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6.9轴线与标高、施工收口处理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有义务为各专业承包人及专业分包人提供轴线和标高的控制点，包括在每层及必要的位置设有标高控制线，以供各专业承包人及专业分包人做施工定位和高程使用。待各专业承包人及专业分包人施工完毕后，由总承包人负责最后一道工序施工收口处理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6.10总承包人应认真执行上述各项规定，并对执行情况进行检查、监督和管理，如专业承包人及专业分包人违反了本办法有关规定而总承包人无及时发现、指出并采取相应管理措施的，且对此工程造成任何损失，总承包人应承担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6.11专业承包人及专业分包人必须按规定要求提交工程技术资料，总承包人对专业承包人及专业分包人的相关技术资料进行归档备案管理。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6.12</w:t>
      </w:r>
      <w:r>
        <w:rPr>
          <w:rFonts w:hint="eastAsia" w:ascii="楷体" w:hAnsi="楷体" w:eastAsia="楷体"/>
          <w:color w:val="auto"/>
          <w:sz w:val="21"/>
          <w:szCs w:val="21"/>
        </w:rPr>
        <w:tab/>
      </w:r>
      <w:r>
        <w:rPr>
          <w:rFonts w:hint="eastAsia" w:ascii="楷体" w:hAnsi="楷体" w:eastAsia="楷体"/>
          <w:color w:val="auto"/>
          <w:sz w:val="21"/>
          <w:szCs w:val="21"/>
        </w:rPr>
        <w:t>总承包人对专业承包人及专业分包人的具体配合服务内容可参见本管理办法附件。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w:t>
      </w:r>
      <w:r>
        <w:rPr>
          <w:rFonts w:hint="eastAsia" w:ascii="楷体" w:hAnsi="楷体" w:eastAsia="楷体"/>
          <w:color w:val="auto"/>
          <w:sz w:val="21"/>
          <w:szCs w:val="21"/>
        </w:rPr>
        <w:tab/>
      </w:r>
      <w:r>
        <w:rPr>
          <w:rFonts w:hint="eastAsia" w:ascii="楷体" w:hAnsi="楷体" w:eastAsia="楷体"/>
          <w:color w:val="auto"/>
          <w:sz w:val="21"/>
          <w:szCs w:val="21"/>
        </w:rPr>
        <w:t>专业承包人及专业分包人一般义务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7.1专业承包人及专业分包人要接受总承包人的管理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专业承包人及专业分包人必须满足发包人与总承包人所签订的施工协议管理要求，在工期、质量、安全、现场文明施工等方面接受总承包人的管理和协调。若因专业承包人及专业分包人的原因引至总承包人需向发包人对整体工程的延误或专业承包工程的施工质量承担违约责任，专业承包人及专业分包人需向总承包人赔偿因其引至的损失。</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7.2进入现场施工的必备条件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7.2.1提交由发包人确认为专业承包人及专业分包人的证明文件。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7.2.2中标通知书（或具有同等效力的暂行施工协议）。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7.2.3专业承包人及专业分包人的营业执照及资质等级证书复印件。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7.2.4提交分专业承包工程的“施工组织方案”，包括：</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 专业承包人及专业分包人简介。</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(2)专业承包工程施工进度计划。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(3)主要技术措施方案。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(4)质量保证措施。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(5)安全保证措施。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(6)材料设备进场计划。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(7)劳动力进场计划。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(8)提供专业承包人及专业分包人施工经验及业绩。</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(9)提供专业承包人及专业分包人施工组织体系简况。</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7.2.5按专业工程承包合同约定做好专业承包工程保险等事宜。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7.3质量管理基本义务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7.3.1对工程作业人员进行工艺过程技术交底，并做好交底记录。</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7.3.2实施有关质量检验的规定，并做好质量检验记录。</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7.3.3对工序间的技术接口实行交接手续。</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7.3.4提供原材料、半成品、成品的产品合格证及质保书。</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7.3.5做好不合格品处理的记录及纠正和预防措施工作。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7.3.6加强成品保护。</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7.3.7认真做好本专业承包工程的验收交付工作。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7.3.8按合同规定做好本专业承包工程的回访保修工作。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7.3.9发生质量事故时，必须及时向总承包人报告，并作出事故分析调查及善后处理意见。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7.4进度管理基本义务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7.4.1编制施工进度计划，包括：</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(1)编制施工方案，明确施工区域的划分，施工顺序与施工流向，以及作业方式，同时明确承包人法和施工队伍的组织架构。</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(2)编制科学、合理、且可行的施工项目进度计划，以保证项目施工的均衡进行。</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(3)编制资源供应计划，包括物料供应计划、机械设备的进场计划、劳务计划等。</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(4)编制图纸优化及供应计划。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7.4.2执行月报制度</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(1)按每月20日向总承包人报告本分包工程的执行情况。</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(2)提交月度施工作业计划。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(3)提交各种资源与进度配合调度情况。</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7.4.3顾全大局，主动做好协调工作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(1)参加有关现场工作协调会议，积极支持和配合总承包人做好工作协调。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(2)及时根据总承包人工作安排主动调整进度计划。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(3)在进度上有任何提前及延误应及时向总承包人报告。</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(4)专业承包人及专业分包人有权向总承包人提出工程协调的建议，总承包人应在规定的时间内作出回复和解决。</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7.5安全、消防、现场标准化管理等的基本义务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7.5.1遵守各种安全生产规程与规定：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(1)遵守国家、省、市政府、主管部门颁布的安全生产规程与规定，以及发包人向总承包人提出的各种安全生产规定。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(2)结合工程项目实际，识别和评价危险源，必要时指定管理方案，并认真实施。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(3)接受总承包人的安全交底及部署。</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(4)完善和健全安全管理各种台帐，强化安全资料工作。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(5)开展安全教育工作，做好分部（分项）工程技术安全交底工作。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(6)特殊工种必须持证上岗，复印件汇总后报总承包人检查备案。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(7)专业承包人及专业分包人有义务保护现场各项安全、消防设施得完好，如施工脚手架、临边护栏及消防器材等，不得擅自变更及增加施工荷载。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必须接受总承包人的安全监控，参与工地的各项安全、消防检查工作，并落实有关整改事宜。专业承包人及专业分包人的整改工作若不能达到有关安全、消防管理标准（或不能及时达到要求的），经监理工程师核准，总承包人可以协助专业承包人及专业分包人予以整改，其发生的人工、机械、材料等一切相关费用将由专业承包人及专业分包人承担。</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专业承包人及专业分包人的所属人员，在作业过程中发生各类违章作业，总承包人应该并根据情节轻重、危害程度等具体情况或有关规定予以劝阻警告，情节严重者，监理工程师及发包人根据有关规定责令停工整顿直至退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(10)发生安全事故时，必须及时向总承包人报告，并作出事故分析调查及善后处理意见。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7.5.2做好消防与治安管理工作。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(1)开展消防与治安的教育工作。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(2)配合总承包人、政府主管部门做好治安管理工作。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7.5.3做好现场标准化管理工作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(1)各专业承包人及专业分包人进场施工前应根据总承包人制定的施工场地划分设计施工场地平面布置图，经总承包人审核同意后执行，实施“定置”管理。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(2)按总承包人要求做好场容场貌管理工作，废弃物与垃圾应按总承包人的要求集中到指定地点。</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(3)遵守文明施工的有关规定，维护安全防护设施的完好。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(4)保持工地卫生、文明，努力做好宿舍内卫生工作。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7.6进场材料管理的基本义务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7.6.1各专业承包人及专业分包人应指定专人负责对进场所需材料的管理，并服从总承包人关于进场材料管理方面的要求。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7.6.2专业承包人及专业分包人提供材料（包括乙供材料、甲招乙供材料或甲供材料）进场的总计划，并提供月度材料进场计划。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7.6.3进场材料的流转程序：专业承包人及专业分包人各种进场材料必须在10天前按总承包人规定的要求，向总承包人提出申请，待总承包人批复后再执行。总承包人必须在2天内办理批复。</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7.6.4材料进场后，总承包人向专业承包人及专业分包人应提供必要的协助。</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7.7劳动力管理基本义务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7.7.1各专业承包人及专业分包人有责任约束所有员工遵守政府部门发布的有关政府、法律、法规、发包人的各项规章制度，以及施工现场的各项管理规定，确保现场文明施工有序进行。</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7.7.2专业承包人及专业分包人应将进入现场的施工人员名单及照片向总承包人申报。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7.7.3专业承包人及专业分包人必须向总承包人提供劳务人员的身份证复印件，特殊工种的相应操作证及上岗证。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对上述专业承包人及专业分包人的一般义务，总承包人应采取有效措施督促其执行，并监督其执行情况，对专业承包人及专业分包人违反上述有关规定的行为实际发生的，属自主分包项目的，总承包人承担全部违约责任，属专业承包项目，总承包人承担法定的连带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w:t>
      </w:r>
      <w:r>
        <w:rPr>
          <w:rFonts w:hint="eastAsia" w:ascii="楷体" w:hAnsi="楷体" w:eastAsia="楷体"/>
          <w:color w:val="auto"/>
          <w:sz w:val="21"/>
          <w:szCs w:val="21"/>
        </w:rPr>
        <w:tab/>
      </w:r>
      <w:r>
        <w:rPr>
          <w:rFonts w:hint="eastAsia" w:ascii="楷体" w:hAnsi="楷体" w:eastAsia="楷体"/>
          <w:color w:val="auto"/>
          <w:sz w:val="21"/>
          <w:szCs w:val="21"/>
        </w:rPr>
        <w:t>施工现场管理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总承包人必须对专业承包人及专业分包人承担总体管理的义务和责任。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8.1施工总平面布置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8.1.1</w:t>
      </w:r>
      <w:r>
        <w:rPr>
          <w:rFonts w:hint="eastAsia" w:ascii="楷体" w:hAnsi="楷体" w:eastAsia="楷体"/>
          <w:color w:val="auto"/>
          <w:sz w:val="21"/>
          <w:szCs w:val="21"/>
        </w:rPr>
        <w:tab/>
      </w:r>
      <w:r>
        <w:rPr>
          <w:rFonts w:hint="eastAsia" w:ascii="楷体" w:hAnsi="楷体" w:eastAsia="楷体"/>
          <w:color w:val="auto"/>
          <w:sz w:val="21"/>
          <w:szCs w:val="21"/>
        </w:rPr>
        <w:t>总平面布置原则</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(1)在满足施工需要的前提下，尽量紧凑合理，不用（或少用）施工用地；</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(2)保证场内施工道路畅通；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(3)科学确定施工区域内要满足方便生产，有利于生活，安全防火，环境保护和劳动保护要求；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(4)各项施工设施布置要满足方便生产，有利于生活，安全防火，环境保护和劳动保护要求；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(5)将生产性和生活性设施分开布置。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8.1.2</w:t>
      </w:r>
      <w:r>
        <w:rPr>
          <w:rFonts w:hint="eastAsia" w:ascii="楷体" w:hAnsi="楷体" w:eastAsia="楷体"/>
          <w:color w:val="auto"/>
          <w:sz w:val="21"/>
          <w:szCs w:val="21"/>
        </w:rPr>
        <w:tab/>
      </w:r>
      <w:r>
        <w:rPr>
          <w:rFonts w:hint="eastAsia" w:ascii="楷体" w:hAnsi="楷体" w:eastAsia="楷体"/>
          <w:color w:val="auto"/>
          <w:sz w:val="21"/>
          <w:szCs w:val="21"/>
        </w:rPr>
        <w:t>总平面布置依据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(1)建筑设计总平面图、基础施工平面、建筑立面图；</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(2)施工组织总设计；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(3)有关施工规范、规程及地区建设工程文明施工标准；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(4)施工总平面具体布置及做法；</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(5)发包人提供的用地范围，水电接驳头位置，所有建筑物外的施工场地，包括生活区场地道路必须硬地化。</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8.2施工总平面管理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8.2.1</w:t>
      </w:r>
      <w:r>
        <w:rPr>
          <w:rFonts w:hint="eastAsia" w:ascii="楷体" w:hAnsi="楷体" w:eastAsia="楷体"/>
          <w:color w:val="auto"/>
          <w:sz w:val="21"/>
          <w:szCs w:val="21"/>
        </w:rPr>
        <w:tab/>
      </w:r>
      <w:r>
        <w:rPr>
          <w:rFonts w:hint="eastAsia" w:ascii="楷体" w:hAnsi="楷体" w:eastAsia="楷体"/>
          <w:color w:val="auto"/>
          <w:sz w:val="21"/>
          <w:szCs w:val="21"/>
        </w:rPr>
        <w:t>施工临时道路管理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根据投标文件承诺及招标文件、合同规定，满足施工过程中各种车辆、大型机械运输的通畅运行，满足安全文明施工的正常需要。施工临时道路包括施工标段内各拟建建筑物之间、拟建建筑物与施工临时设施之间，及珠江新城现有道路与正在施工中道路之间的施工连接通道，施工临时道路必须硬地化，道路两旁设满足施工需求的临时排水设施。并按批准的施工组织总设计的施工总平面图布置要求布置施工临时道路；</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(2)设专人负责道路的清洁、障碍清除维修保养工作，保持道路清洁、畅通，保证环境卫生，预防空气污染和环境污染；</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(3)专业承包人及专业分包人的大型构件场内运输和卸货必须由专业承包人及专业分包人向总承包人申请，由总承包人统筹安排；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为保证总承包人、各专业承包人及专业分包人施工人员、管理人员、专项供应商、监理工程师、材料供应监理、发包人以及省市政府有关领导和职能部门人员方便、安全地到达各作业区域，总承包人负责全部施工作业通道的搭设、维护和管理工作。总承包人在自身及各专业承包人及专业分包人施工方案时应有相应的措施，保证施工通道有显着标志、无建筑垃圾、有良好的采光或照明、易于行走、安全措施可靠，总承包人应每天巡视检查，对于不符合要求需要整改的内容发文给相关单位或部门要求立即做出整改。总承包人在施工作业通道的管理上达不到要求的，承担全部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8.2.2</w:t>
      </w:r>
      <w:r>
        <w:rPr>
          <w:rFonts w:hint="eastAsia" w:ascii="楷体" w:hAnsi="楷体" w:eastAsia="楷体"/>
          <w:color w:val="auto"/>
          <w:sz w:val="21"/>
          <w:szCs w:val="21"/>
        </w:rPr>
        <w:tab/>
      </w:r>
      <w:r>
        <w:rPr>
          <w:rFonts w:hint="eastAsia" w:ascii="楷体" w:hAnsi="楷体" w:eastAsia="楷体"/>
          <w:color w:val="auto"/>
          <w:sz w:val="21"/>
          <w:szCs w:val="21"/>
        </w:rPr>
        <w:t>施工用水（排水）管理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总承包人需按发包人提供的可用水量和施工组织总设计、总平面布置要求，在现场布置施工用水总管线（平面、立面）和生活用水总管网，并报监理工程师和发包人批准。施工用水和生活用水分开布置；主管道要有明显的保护标志，以防以外损坏；</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(2)总承包人对工地用水，设置总、分表实行统一管理；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(3)各专业承包人及专业分包人用水必须向总承包人提出申请，并按总承包人指定的位置接驳；</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(4)总承包人对总用水管线进行日常维护管理，保证正常，连续、足量供应、保证正常施工；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(5)总承包人做好各专业承包人及专业分包人用水管理；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(6)总承包人在施工区域设置数量足够的临时蓄水池以保证施工及消防需求；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(7)总承包人对场内的排水（污）系统实行统一管理，定期或不定期的对各专业承包人及专业分包人施工区域和生活的排水（污）进行检查，保证排水（污）系统畅通，保护环境，防止污染河涌；</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（8）总承包人对地下室排水系统需达到两套排水设备及排水管道（主管），在雨季及汛期能满足两套排水系统同时使用，确保已安装的设备及电梯地坑不泡水。</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（9）当地下室开始机电安装后，需做好防洪、内涝准备工作，需常备防洪沙袋、柴油发电机、柴油抽水泵等防洪物资，并做好防洪应急预案。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（10）确保整个项目施工期间，采取适当的防护和排水措施防止地下室和其他施工现场遭到水浸。</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8.2.3</w:t>
      </w:r>
      <w:r>
        <w:rPr>
          <w:rFonts w:hint="eastAsia" w:ascii="楷体" w:hAnsi="楷体" w:eastAsia="楷体"/>
          <w:color w:val="auto"/>
          <w:sz w:val="21"/>
          <w:szCs w:val="21"/>
        </w:rPr>
        <w:tab/>
      </w:r>
      <w:r>
        <w:rPr>
          <w:rFonts w:hint="eastAsia" w:ascii="楷体" w:hAnsi="楷体" w:eastAsia="楷体"/>
          <w:color w:val="auto"/>
          <w:sz w:val="21"/>
          <w:szCs w:val="21"/>
        </w:rPr>
        <w:t>施工用电管理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(1)施工用电要遵守中华人民共和国建设部《施工现场临时用电安全技术规范》及《建筑施工安全检查标准》；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(2)总承包人按发包人提供的可用电量和施工组织总设计确定的电源类型和用量，根据施工需求自行铺设完善，横跨大门或道路时，高度应≥6m；</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(3)用电按生产用电和生活用电分别设置；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(4)总承包人负责施工用电管理，在建筑物内各楼层及必要的位置设置分配电箱，以提供专业承包人施工用电接驳，专业承包人负责用电管理配合工作；不得随意拖地乱拉乱用；</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(5)各专业承包人及专业分包人向总承包人提出用电申请，并按总承包人指定位置驳接；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(6)总承包人对施工用电线路进行日常维修管理工作，保证现场正常用电；</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(7)总承包人做好各专业承包人及专业分包人用电管理；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(8)承包人应定期或不定期的对现场用电进行检查，杜绝安全事故（隐患）的发生，杜绝乱拉乱用的现象；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(9)为确保现场正常施工，总承包人在现场配置数量、型号适合的发电机，且现场配置的发电机数量和型号应和投标文件中的承诺一致。</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8.2.4</w:t>
      </w:r>
      <w:r>
        <w:rPr>
          <w:rFonts w:hint="eastAsia" w:ascii="楷体" w:hAnsi="楷体" w:eastAsia="楷体"/>
          <w:color w:val="auto"/>
          <w:sz w:val="21"/>
          <w:szCs w:val="21"/>
        </w:rPr>
        <w:tab/>
      </w:r>
      <w:r>
        <w:rPr>
          <w:rFonts w:hint="eastAsia" w:ascii="楷体" w:hAnsi="楷体" w:eastAsia="楷体"/>
          <w:color w:val="auto"/>
          <w:sz w:val="21"/>
          <w:szCs w:val="21"/>
        </w:rPr>
        <w:t>施工场地管理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w:t>
      </w:r>
      <w:r>
        <w:rPr>
          <w:rFonts w:hint="eastAsia" w:ascii="楷体" w:hAnsi="楷体" w:eastAsia="楷体"/>
          <w:color w:val="auto"/>
          <w:sz w:val="21"/>
          <w:szCs w:val="21"/>
        </w:rPr>
        <w:tab/>
      </w:r>
      <w:r>
        <w:rPr>
          <w:rFonts w:hint="eastAsia" w:ascii="楷体" w:hAnsi="楷体" w:eastAsia="楷体"/>
          <w:color w:val="auto"/>
          <w:sz w:val="21"/>
          <w:szCs w:val="21"/>
        </w:rPr>
        <w:t>施工场地的布置应服从发包人及监理工程师的指示。现场四周设置施工围墙、大门。原则是严谨、完整、牢固、美观大方；</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w:t>
      </w:r>
      <w:r>
        <w:rPr>
          <w:rFonts w:hint="eastAsia" w:ascii="楷体" w:hAnsi="楷体" w:eastAsia="楷体"/>
          <w:color w:val="auto"/>
          <w:sz w:val="21"/>
          <w:szCs w:val="21"/>
        </w:rPr>
        <w:tab/>
      </w:r>
      <w:r>
        <w:rPr>
          <w:rFonts w:hint="eastAsia" w:ascii="楷体" w:hAnsi="楷体" w:eastAsia="楷体"/>
          <w:color w:val="auto"/>
          <w:sz w:val="21"/>
          <w:szCs w:val="21"/>
        </w:rPr>
        <w:t>按照投标文件承诺，招标文件、合同的规定，施工现场的场地、施工临时道路保证（持）平整、坚实、畅通；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w:t>
      </w:r>
      <w:r>
        <w:rPr>
          <w:rFonts w:hint="eastAsia" w:ascii="楷体" w:hAnsi="楷体" w:eastAsia="楷体"/>
          <w:color w:val="auto"/>
          <w:sz w:val="21"/>
          <w:szCs w:val="21"/>
        </w:rPr>
        <w:tab/>
      </w:r>
      <w:r>
        <w:rPr>
          <w:rFonts w:hint="eastAsia" w:ascii="楷体" w:hAnsi="楷体" w:eastAsia="楷体"/>
          <w:color w:val="auto"/>
          <w:sz w:val="21"/>
          <w:szCs w:val="21"/>
        </w:rPr>
        <w:t>在大门两边分别设置“九板一图”；</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w:t>
      </w:r>
      <w:r>
        <w:rPr>
          <w:rFonts w:hint="eastAsia" w:ascii="楷体" w:hAnsi="楷体" w:eastAsia="楷体"/>
          <w:color w:val="auto"/>
          <w:sz w:val="21"/>
          <w:szCs w:val="21"/>
        </w:rPr>
        <w:tab/>
      </w:r>
      <w:r>
        <w:rPr>
          <w:rFonts w:hint="eastAsia" w:ascii="楷体" w:hAnsi="楷体" w:eastAsia="楷体"/>
          <w:color w:val="auto"/>
          <w:sz w:val="21"/>
          <w:szCs w:val="21"/>
        </w:rPr>
        <w:t>总承包人负责施工场地的用地安排协调管理工作，根据安全生产及文明施工规定的具体要求向专业承包人及专业分包人详细交底及部署，各专业承包人及专业分包人应协助总承包人对各自施工区域的场地做好管理配合工作，总承包人根据各专业承包工程具体情况统一划分施工场地安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w:t>
      </w:r>
      <w:r>
        <w:rPr>
          <w:rFonts w:hint="eastAsia" w:ascii="楷体" w:hAnsi="楷体" w:eastAsia="楷体"/>
          <w:color w:val="auto"/>
          <w:sz w:val="21"/>
          <w:szCs w:val="21"/>
        </w:rPr>
        <w:tab/>
      </w:r>
      <w:r>
        <w:rPr>
          <w:rFonts w:hint="eastAsia" w:ascii="楷体" w:hAnsi="楷体" w:eastAsia="楷体"/>
          <w:color w:val="auto"/>
          <w:sz w:val="21"/>
          <w:szCs w:val="21"/>
        </w:rPr>
        <w:t>总承包人按主要施工机械进场安装及拆卸退场计划结合平面布置进行综合管理。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(6)总承包在永久通风设备、管道投入运行之前，需采用自然补风、机械排风等方式，对地下室进行通风排湿。机械换气量至少达到每小时换气两次。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8.2.5</w:t>
      </w:r>
      <w:r>
        <w:rPr>
          <w:rFonts w:hint="eastAsia" w:ascii="楷体" w:hAnsi="楷体" w:eastAsia="楷体"/>
          <w:color w:val="auto"/>
          <w:sz w:val="21"/>
          <w:szCs w:val="21"/>
        </w:rPr>
        <w:tab/>
      </w:r>
      <w:r>
        <w:rPr>
          <w:rFonts w:hint="eastAsia" w:ascii="楷体" w:hAnsi="楷体" w:eastAsia="楷体"/>
          <w:color w:val="auto"/>
          <w:sz w:val="21"/>
          <w:szCs w:val="21"/>
        </w:rPr>
        <w:t>施工现场公共厕所、办公区管理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总承包人有义务在施工现场设置合适数量的公共厕所，公共厕所的布置必须能满足施工和办公的方便（在施工的楼层之间不少于每隔3层也应合理设置相关的公共厕所，并敷设排污管、给水管及简易照明），并严格按照有关文明施工管理规定和卫生要求派专人清扫整理，保持现场清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总承包人有义务满足总承包人和各专业承包人及专业分包人使用的现场办公区场地需要。专业承包人及专业分包人现场办公区用房、其它设施等由总承包人、专业承包人及专业分包人协商解决，水电线路接驳点由总包人提供。</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 施工现场禁止设置生活区，但总承包人有义务在施工场地外自行设置生活区并按规定进行安全文明管理。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 施工现场实行封闭管理，办公区与施工区分开管理。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（5）总承办人需定期安排施工场地灭蚊工作。</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8.3人员管理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8.3.1</w:t>
      </w:r>
      <w:r>
        <w:rPr>
          <w:rFonts w:hint="eastAsia" w:ascii="楷体" w:hAnsi="楷体" w:eastAsia="楷体"/>
          <w:color w:val="auto"/>
          <w:sz w:val="21"/>
          <w:szCs w:val="21"/>
        </w:rPr>
        <w:tab/>
      </w:r>
      <w:r>
        <w:rPr>
          <w:rFonts w:hint="eastAsia" w:ascii="楷体" w:hAnsi="楷体" w:eastAsia="楷体"/>
          <w:color w:val="auto"/>
          <w:sz w:val="21"/>
          <w:szCs w:val="21"/>
        </w:rPr>
        <w:t>各专业承包人及专业分包人必须对进场所有施工人员进行严格的管理。各专业承包人及专业分包人必须对本单位所有进场施工人员进行登记，各自统一着装，及时上报总承包人，进行汇总并统一管理。流动人口必须持有“三证”；施工过程中发生人员流动的，必须及时更改登记记录，并将更改记录及时上报总承包人，由总承包人报知监理工程师和发包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8.3.2</w:t>
      </w:r>
      <w:r>
        <w:rPr>
          <w:rFonts w:hint="eastAsia" w:ascii="楷体" w:hAnsi="楷体" w:eastAsia="楷体"/>
          <w:color w:val="auto"/>
          <w:sz w:val="21"/>
          <w:szCs w:val="21"/>
        </w:rPr>
        <w:tab/>
      </w:r>
      <w:r>
        <w:rPr>
          <w:rFonts w:hint="eastAsia" w:ascii="楷体" w:hAnsi="楷体" w:eastAsia="楷体"/>
          <w:color w:val="auto"/>
          <w:sz w:val="21"/>
          <w:szCs w:val="21"/>
        </w:rPr>
        <w:t>各专业承包人及专业分包人必须以班组为单位在进场后3天内以及每月定期进行安全技术交底，并对交底情况进行书面记录，并由交底人签名确认。</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8.3.3</w:t>
      </w:r>
      <w:r>
        <w:rPr>
          <w:rFonts w:hint="eastAsia" w:ascii="楷体" w:hAnsi="楷体" w:eastAsia="楷体"/>
          <w:color w:val="auto"/>
          <w:sz w:val="21"/>
          <w:szCs w:val="21"/>
        </w:rPr>
        <w:tab/>
      </w:r>
      <w:r>
        <w:rPr>
          <w:rFonts w:hint="eastAsia" w:ascii="楷体" w:hAnsi="楷体" w:eastAsia="楷体"/>
          <w:color w:val="auto"/>
          <w:sz w:val="21"/>
          <w:szCs w:val="21"/>
        </w:rPr>
        <w:t>各专业承包人及专业分包人必须对进场所属施工人员办理劳动保险等，并将有关资料报总承包人，并向进场施工人员提供符合《建筑施工安全检查标准》、《广州市建设工程现场文明施工管理办法》和广东省、广州市现行安全管理办法（如广州市建筑工程安全生产文明施工量化管理（暂行）办法）规定的食宿、生活和施工环境及条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8.3.4</w:t>
      </w:r>
      <w:r>
        <w:rPr>
          <w:rFonts w:hint="eastAsia" w:ascii="楷体" w:hAnsi="楷体" w:eastAsia="楷体"/>
          <w:color w:val="auto"/>
          <w:sz w:val="21"/>
          <w:szCs w:val="21"/>
        </w:rPr>
        <w:tab/>
      </w:r>
      <w:r>
        <w:rPr>
          <w:rFonts w:hint="eastAsia" w:ascii="楷体" w:hAnsi="楷体" w:eastAsia="楷体"/>
          <w:color w:val="auto"/>
          <w:sz w:val="21"/>
          <w:szCs w:val="21"/>
        </w:rPr>
        <w:t>各专业承包人及专业分包人必须对所属进场施工人员进行全天候管理。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8.3.5</w:t>
      </w:r>
      <w:r>
        <w:rPr>
          <w:rFonts w:hint="eastAsia" w:ascii="楷体" w:hAnsi="楷体" w:eastAsia="楷体"/>
          <w:color w:val="auto"/>
          <w:sz w:val="21"/>
          <w:szCs w:val="21"/>
        </w:rPr>
        <w:tab/>
      </w:r>
      <w:r>
        <w:rPr>
          <w:rFonts w:hint="eastAsia" w:ascii="楷体" w:hAnsi="楷体" w:eastAsia="楷体"/>
          <w:color w:val="auto"/>
          <w:sz w:val="21"/>
          <w:szCs w:val="21"/>
        </w:rPr>
        <w:t>为了便于人员管理，正确识别其所属单位和身份，特制订如下制定: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(1)工号识别制定：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各专业承包人及专业分包人进场后在2天内向总承包人提交有关人员资料，内容包括公司标志的样本、所有人员的名单及初始工号，总承包人根据各专业承包人及专业分包人人员的初始工号进行统一编号。总承包人对自身人员及专业承包人及专业分包人人员进行统一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(2)工作牌制定：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建立工作牌制定，统一管理。进入现场的所有施工人员及施工管理人员必须佩带工作牌。工作牌内容包括姓名、本人近期免冠照片、所属单位、所属班组、职务、工号、工种等。总承包人通过佩带工作牌制度对全体施工人员及施工管理人员进行检查、监督和管理，对违反佩带工作牌制度和其它管理制度人员的立即做出登记，并定期汇总上报监理工程师及发包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(3)安全帽识别制定：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总承包人及各专业承包人及专业分包人的施工管理人员与施工人员佩戴不同颜色的安全帽，安全帽正面粘贴其所属单位的标志。</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（4）IC卡/平安卡管理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总承包人必须根据现场管理要求，在出入口设置IC卡/平安卡刷卡机，对所有进出现场人员实施IC卡/平安卡管理。保证所有人员进出现场都有准确记录。现场人员信息必须进行录入，并由总承包人统一管理。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8.4主要施工机械设备管理：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8.4.1总承包人应对进入所现场的施工机械设备进行统一的管理。所有进入现场的施工机械设备都必须服从总承包人的协调管理。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8.4.2施工机具设备的进退场和使用必须遵循：</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(1)各专业承包人及专业分包人所有进场的施工机械设备必须提前向总承包人提出申报，并在进场时做好登记报总承包人。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(2)凡是没有进场登记的施工机械设备一律拒绝进场。总承包人有义务定期进行检查，杜绝出现施工机械设备未做登记的现象。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(3)总承包人及相应专业承包人及专业分包人有义务确保现场使用的施工机械设备符合有关施工机具安全操作规程及安全用电要求，施工机械设备不得带病作业。</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(4)总承包人应及时对进入现场的所有施工机械设备进行检查，对检查中发现的不符合要求的施工机械设备必须立即停止使用，并在24小时内出场外。</w:t>
      </w:r>
    </w:p>
    <w:p>
      <w:pPr>
        <w:ind w:firstLine="420" w:firstLineChars="200"/>
        <w:rPr>
          <w:rFonts w:ascii="楷体" w:hAnsi="楷体" w:eastAsia="楷体"/>
          <w:color w:val="auto"/>
          <w:sz w:val="21"/>
          <w:szCs w:val="21"/>
        </w:rPr>
      </w:pPr>
      <w:r>
        <w:rPr>
          <w:rFonts w:hint="eastAsia" w:ascii="楷体" w:hAnsi="楷体" w:eastAsia="楷体"/>
          <w:color w:val="auto"/>
          <w:sz w:val="21"/>
          <w:szCs w:val="21"/>
        </w:rPr>
        <w:t>(5)总承包人及有关专业承包人及专业分包人必须严格按照有关规定施工机械用电的管理，总承包人有义务对专业承包人及专业分包人进行安全用电的交底，并所负责标段现场的用电情况进行检查进取检查和管理。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(6)大型施工机械所属单位应设立专职机械调度员负责对大型施工机械的统一调配，总承包人有义务进行跟踪管理监督。</w:t>
      </w:r>
    </w:p>
    <w:p>
      <w:pPr>
        <w:ind w:firstLine="420" w:firstLineChars="200"/>
        <w:rPr>
          <w:rFonts w:ascii="楷体" w:hAnsi="楷体" w:eastAsia="楷体"/>
          <w:color w:val="auto"/>
          <w:sz w:val="21"/>
          <w:szCs w:val="21"/>
        </w:rPr>
      </w:pPr>
      <w:r>
        <w:rPr>
          <w:rFonts w:hint="eastAsia" w:ascii="楷体" w:hAnsi="楷体" w:eastAsia="楷体"/>
          <w:color w:val="auto"/>
          <w:sz w:val="21"/>
          <w:szCs w:val="21"/>
        </w:rPr>
        <w:t>(7)各专业承包人及专业分包人必须对所属进场的全部施工机械设备进行全天候管理，严禁施工机械设备未经总承包人及监理工程师批准擅自进入其它标段或公共区域。</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8.5关键区域出入管理：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8.5.1当施工现场的某些区域（关键区域）施工到一定程度（如设备安装阶段）时，在征得监理工程师和发包人批准后，总承包人有权在工程监理的统一安排下对进入关键区域的施工人员进行限制，即根据施工需要，确定可以进入该区域的总承包人人员、专业承包人及专业分包人及数量。总承包人在需要执行关键区域出入管理前10天内，书面通知各有关专业承包人及专业分包人，并上报监理工程师和发包人；各专业承包人及专业分包人在接到书面通知后3天内向总承包人递交进入关键区域申请表，确定进入关键区域施工及管理人员的数量，由总承包人制作进入关键区域的特别通行证。总承包人派驻专人在指定入口验证放行。在专业承包人及专业分包人的工作完成并通过有关单验收后，各专业承包人及专业分包人将特别通行证退回。</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8.5.2由于总承包人关键区域出入管理不力导致出现质量问题、返工、或影响关键节点工期的，总承包人承担责任。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8.6来客管理：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8.6.1总承包人及各专业承包人及专业分包人的来访客人（指定在本工地工作的人员）必须办理来客登记手续才能进入现场：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(1)来客向门卫递交有效证件并办理必要的来访登记；</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(2)由门卫向来客发给临时出入证；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(3)来客离场时凭临时出入证领取有效证件。如客人丢失临时出入证，由被访人所在单位向门卫办理丢失临时出入证登记手续。</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8.6.2总承包人应聘请专业保安单位负责治安保卫和门卫管理工作，负责来访登记管理，以及负责制作临时出入证。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8.6.3总承包人应为来客提供工地安全教育及安全设施。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8.6.4总承包人有为前来检查的相关政府机构工作人员、发包人委托的第三方监测人员等提供接待的义务，并有义务为其工作开展提供相关安全便利的条件。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8.7车辆出入管理：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为保证现场的施工秩序，对所有进入施工现场的施工车辆，实施车辆出入管理制度，由总承包人统一进行管理。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8.7.1</w:t>
      </w:r>
      <w:r>
        <w:rPr>
          <w:rFonts w:hint="eastAsia" w:ascii="楷体" w:hAnsi="楷体" w:eastAsia="楷体"/>
          <w:color w:val="auto"/>
          <w:sz w:val="21"/>
          <w:szCs w:val="21"/>
        </w:rPr>
        <w:tab/>
      </w:r>
      <w:r>
        <w:rPr>
          <w:rFonts w:hint="eastAsia" w:ascii="楷体" w:hAnsi="楷体" w:eastAsia="楷体"/>
          <w:color w:val="auto"/>
          <w:sz w:val="21"/>
          <w:szCs w:val="21"/>
        </w:rPr>
        <w:t>大型车辆及长派小型车辆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应对进入施工现场的大型车辆及长派小型车辆（包括总承包人及专业承包人及专业分包人的车辆）进行统一管理，制作车辆出入证。大型车辆是指5T以上载重汽车、轮胎或履带工吊车等大型施工机械。专业承包人及专业分包人必须提前3天向总承包人提出大型车辆和长派小型车辆进出申请，注明车辆型号、拍照号码、进场日期及时间，经总承包人批准后，发给车辆出入证。车辆到达现场大门入口处必须出示有效的出入证才可进场。根据各单位登记车辆情况合理安排各单位车辆的停放位置，杜绝出项现场车辆乱停乱放阻碍施工的现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8.7.2</w:t>
      </w:r>
      <w:r>
        <w:rPr>
          <w:rFonts w:hint="eastAsia" w:ascii="楷体" w:hAnsi="楷体" w:eastAsia="楷体"/>
          <w:color w:val="auto"/>
          <w:sz w:val="21"/>
          <w:szCs w:val="21"/>
        </w:rPr>
        <w:tab/>
      </w:r>
      <w:r>
        <w:rPr>
          <w:rFonts w:hint="eastAsia" w:ascii="楷体" w:hAnsi="楷体" w:eastAsia="楷体"/>
          <w:color w:val="auto"/>
          <w:sz w:val="21"/>
          <w:szCs w:val="21"/>
        </w:rPr>
        <w:t>非长派小型车辆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总承包人及各专业承包人及专业分包人的非长派小型车辆进入现场实行登记制度。车辆进入现场时在门卫处登记所属单位名称、车牌号、进场时间、大约停止时间后，方可进入施工现场。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8.7.3</w:t>
      </w:r>
      <w:r>
        <w:rPr>
          <w:rFonts w:hint="eastAsia" w:ascii="楷体" w:hAnsi="楷体" w:eastAsia="楷体"/>
          <w:color w:val="auto"/>
          <w:sz w:val="21"/>
          <w:szCs w:val="21"/>
        </w:rPr>
        <w:tab/>
      </w:r>
      <w:r>
        <w:rPr>
          <w:rFonts w:hint="eastAsia" w:ascii="楷体" w:hAnsi="楷体" w:eastAsia="楷体"/>
          <w:color w:val="auto"/>
          <w:sz w:val="21"/>
          <w:szCs w:val="21"/>
        </w:rPr>
        <w:t>发包人、监理工程师、设计单位等车辆凭有效证件进入现场。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8.7.4</w:t>
      </w:r>
      <w:r>
        <w:rPr>
          <w:rFonts w:hint="eastAsia" w:ascii="楷体" w:hAnsi="楷体" w:eastAsia="楷体"/>
          <w:color w:val="auto"/>
          <w:sz w:val="21"/>
          <w:szCs w:val="21"/>
        </w:rPr>
        <w:tab/>
      </w:r>
      <w:r>
        <w:rPr>
          <w:rFonts w:hint="eastAsia" w:ascii="楷体" w:hAnsi="楷体" w:eastAsia="楷体"/>
          <w:color w:val="auto"/>
          <w:sz w:val="21"/>
          <w:szCs w:val="21"/>
        </w:rPr>
        <w:t>总承包人对运出现场的材料进行严格的管理。所有材料，如无总承包人或监理工程师签字并加盖公章，书面同意外运的，不得运离现场。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8.8现场广告、标语、条幅的管理：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为保持良好的现场施工次序和整体形象，现场广告、标语、条幅的内容、设置、张贴和悬挂必须服从发包人及监理工程师的统一管理和协调。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8.8.1</w:t>
      </w:r>
      <w:r>
        <w:rPr>
          <w:rFonts w:hint="eastAsia" w:ascii="楷体" w:hAnsi="楷体" w:eastAsia="楷体"/>
          <w:color w:val="auto"/>
          <w:sz w:val="21"/>
          <w:szCs w:val="21"/>
        </w:rPr>
        <w:tab/>
      </w:r>
      <w:r>
        <w:rPr>
          <w:rFonts w:hint="eastAsia" w:ascii="楷体" w:hAnsi="楷体" w:eastAsia="楷体"/>
          <w:color w:val="auto"/>
          <w:sz w:val="21"/>
          <w:szCs w:val="21"/>
        </w:rPr>
        <w:t>统一策划制度</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总承包人应统一策划管理现场设置和各类非商业宣传性标牌、条幅，如现场导向牌、安全施工标志牌、各类标语等。要求统一字体、样式、规格和设置。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8.8.2</w:t>
      </w:r>
      <w:r>
        <w:rPr>
          <w:rFonts w:hint="eastAsia" w:ascii="楷体" w:hAnsi="楷体" w:eastAsia="楷体"/>
          <w:color w:val="auto"/>
          <w:sz w:val="21"/>
          <w:szCs w:val="21"/>
        </w:rPr>
        <w:tab/>
      </w:r>
      <w:r>
        <w:rPr>
          <w:rFonts w:hint="eastAsia" w:ascii="楷体" w:hAnsi="楷体" w:eastAsia="楷体"/>
          <w:color w:val="auto"/>
          <w:sz w:val="21"/>
          <w:szCs w:val="21"/>
        </w:rPr>
        <w:t>实行申请制度</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（1）各专业承包人及专业分包人安全标志牌费用由相应单位负责，由专业承包人及专业分包人根据自身需要提前15天向总承包人提出申请。</w:t>
      </w:r>
    </w:p>
    <w:p>
      <w:pPr>
        <w:ind w:firstLine="420" w:firstLineChars="200"/>
        <w:rPr>
          <w:rFonts w:ascii="楷体" w:hAnsi="楷体" w:eastAsia="楷体"/>
          <w:color w:val="auto"/>
          <w:sz w:val="21"/>
          <w:szCs w:val="21"/>
        </w:rPr>
      </w:pPr>
      <w:r>
        <w:rPr>
          <w:rFonts w:hint="eastAsia" w:ascii="楷体" w:hAnsi="楷体" w:eastAsia="楷体"/>
          <w:color w:val="auto"/>
          <w:sz w:val="21"/>
          <w:szCs w:val="21"/>
        </w:rPr>
        <w:t>（2）总承包人、各专业承包人及专业分包人、以及其它单位要求在现场悬挂、设置的各类带有商业宣传性质的广告、标语、条幅，须提前15个工作日向总承包人提出书面申请，说明广告、标语、条幅的规格、样式、内容、悬挂位置和时间。</w:t>
      </w:r>
    </w:p>
    <w:p>
      <w:pPr>
        <w:ind w:firstLine="420" w:firstLineChars="200"/>
        <w:rPr>
          <w:rFonts w:ascii="楷体" w:hAnsi="楷体" w:eastAsia="楷体"/>
          <w:color w:val="auto"/>
          <w:sz w:val="21"/>
          <w:szCs w:val="21"/>
        </w:rPr>
      </w:pPr>
      <w:r>
        <w:rPr>
          <w:rFonts w:hint="eastAsia" w:ascii="楷体" w:hAnsi="楷体" w:eastAsia="楷体"/>
          <w:color w:val="auto"/>
          <w:sz w:val="21"/>
          <w:szCs w:val="21"/>
        </w:rPr>
        <w:t>（3）总承包人应对现场各类带有商业宣传性质的广告、条幅、标语设置意见应提前7个工作日包监理工程师和发包人，经审批同意后方可实施。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（4）需要在现场设置的各类带有商业宣传性质的广告、条幅、标语等必须按监理工程师和发包人书面允许方可实施，否则监理工程师和发包人将按有关规定限期拆除，并可视情况进一步处理。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8.9</w:t>
      </w:r>
      <w:r>
        <w:rPr>
          <w:rFonts w:hint="eastAsia" w:ascii="楷体" w:hAnsi="楷体" w:eastAsia="楷体"/>
          <w:color w:val="auto"/>
          <w:sz w:val="21"/>
          <w:szCs w:val="21"/>
        </w:rPr>
        <w:tab/>
      </w:r>
      <w:r>
        <w:rPr>
          <w:rFonts w:hint="eastAsia" w:ascii="楷体" w:hAnsi="楷体" w:eastAsia="楷体"/>
          <w:color w:val="auto"/>
          <w:sz w:val="21"/>
          <w:szCs w:val="21"/>
        </w:rPr>
        <w:t>当地协调：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8.9.1</w:t>
      </w:r>
      <w:r>
        <w:rPr>
          <w:rFonts w:hint="eastAsia" w:ascii="楷体" w:hAnsi="楷体" w:eastAsia="楷体"/>
          <w:color w:val="auto"/>
          <w:sz w:val="21"/>
          <w:szCs w:val="21"/>
        </w:rPr>
        <w:tab/>
      </w:r>
      <w:r>
        <w:rPr>
          <w:rFonts w:hint="eastAsia" w:ascii="楷体" w:hAnsi="楷体" w:eastAsia="楷体"/>
          <w:color w:val="auto"/>
          <w:sz w:val="21"/>
          <w:szCs w:val="21"/>
        </w:rPr>
        <w:t>总承包人有义务协调好当地地方政府与人员的关系，确保工程质量、进度和组织管理等不受当地外来因素的干扰。</w:t>
      </w:r>
    </w:p>
    <w:p>
      <w:pPr>
        <w:ind w:firstLine="420" w:firstLineChars="200"/>
        <w:rPr>
          <w:rFonts w:ascii="楷体" w:hAnsi="楷体" w:eastAsia="楷体"/>
          <w:color w:val="auto"/>
          <w:sz w:val="21"/>
          <w:szCs w:val="21"/>
        </w:rPr>
      </w:pPr>
      <w:r>
        <w:rPr>
          <w:rFonts w:hint="eastAsia" w:ascii="楷体" w:hAnsi="楷体" w:eastAsia="楷体"/>
          <w:color w:val="auto"/>
          <w:sz w:val="21"/>
          <w:szCs w:val="21"/>
        </w:rPr>
        <w:t>8.9.2</w:t>
      </w:r>
      <w:r>
        <w:rPr>
          <w:rFonts w:hint="eastAsia" w:ascii="楷体" w:hAnsi="楷体" w:eastAsia="楷体"/>
          <w:color w:val="auto"/>
          <w:sz w:val="21"/>
          <w:szCs w:val="21"/>
        </w:rPr>
        <w:tab/>
      </w:r>
      <w:r>
        <w:rPr>
          <w:rFonts w:hint="eastAsia" w:ascii="楷体" w:hAnsi="楷体" w:eastAsia="楷体"/>
          <w:color w:val="auto"/>
          <w:sz w:val="21"/>
          <w:szCs w:val="21"/>
        </w:rPr>
        <w:t>因总承包人协调工作不力导致工程建设实际受到当地外来因素影响的，发包人有权部分或全部扣除其地方协调费。</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w:t>
      </w:r>
      <w:r>
        <w:rPr>
          <w:rFonts w:hint="eastAsia" w:ascii="楷体" w:hAnsi="楷体" w:eastAsia="楷体"/>
          <w:color w:val="auto"/>
          <w:sz w:val="21"/>
          <w:szCs w:val="21"/>
        </w:rPr>
        <w:tab/>
      </w:r>
      <w:r>
        <w:rPr>
          <w:rFonts w:hint="eastAsia" w:ascii="楷体" w:hAnsi="楷体" w:eastAsia="楷体"/>
          <w:color w:val="auto"/>
          <w:sz w:val="21"/>
          <w:szCs w:val="21"/>
        </w:rPr>
        <w:t>施工进度计划与工期管理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9.1</w:t>
      </w:r>
      <w:r>
        <w:rPr>
          <w:rFonts w:hint="eastAsia" w:ascii="楷体" w:hAnsi="楷体" w:eastAsia="楷体"/>
          <w:color w:val="auto"/>
          <w:sz w:val="21"/>
          <w:szCs w:val="21"/>
        </w:rPr>
        <w:tab/>
      </w:r>
      <w:r>
        <w:rPr>
          <w:rFonts w:hint="eastAsia" w:ascii="楷体" w:hAnsi="楷体" w:eastAsia="楷体"/>
          <w:color w:val="auto"/>
          <w:sz w:val="21"/>
          <w:szCs w:val="21"/>
        </w:rPr>
        <w:t>施工进度计划</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9.1.1</w:t>
      </w:r>
      <w:r>
        <w:rPr>
          <w:rFonts w:hint="eastAsia" w:ascii="楷体" w:hAnsi="楷体" w:eastAsia="楷体"/>
          <w:color w:val="auto"/>
          <w:sz w:val="21"/>
          <w:szCs w:val="21"/>
        </w:rPr>
        <w:tab/>
      </w:r>
      <w:r>
        <w:rPr>
          <w:rFonts w:hint="eastAsia" w:ascii="楷体" w:hAnsi="楷体" w:eastAsia="楷体"/>
          <w:color w:val="auto"/>
          <w:sz w:val="21"/>
          <w:szCs w:val="21"/>
        </w:rPr>
        <w:t>总承包人有义务要求各专业承包人及专业分包人提交专业承包工程的各类施工进度计划，并统筹审核各专业承包工程的进度计划，有义务通过组织协调有效解决不同专业承包工程不同施工交叉作业的配合施工问题，确保各专业承包程施工进度能按照工程总进度计划实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9.1.2</w:t>
      </w:r>
      <w:r>
        <w:rPr>
          <w:rFonts w:hint="eastAsia" w:ascii="楷体" w:hAnsi="楷体" w:eastAsia="楷体"/>
          <w:color w:val="auto"/>
          <w:sz w:val="21"/>
          <w:szCs w:val="21"/>
        </w:rPr>
        <w:tab/>
      </w:r>
      <w:r>
        <w:rPr>
          <w:rFonts w:hint="eastAsia" w:ascii="楷体" w:hAnsi="楷体" w:eastAsia="楷体"/>
          <w:color w:val="auto"/>
          <w:sz w:val="21"/>
          <w:szCs w:val="21"/>
        </w:rPr>
        <w:t>专业承包人及专业分包人有义务接受总承包人对进度计划进行调整的意见，并按照调整意见落实现场劳动力、材料、施工机械等的供应配合情况。</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9.2</w:t>
      </w:r>
      <w:r>
        <w:rPr>
          <w:rFonts w:hint="eastAsia" w:ascii="楷体" w:hAnsi="楷体" w:eastAsia="楷体"/>
          <w:color w:val="auto"/>
          <w:sz w:val="21"/>
          <w:szCs w:val="21"/>
        </w:rPr>
        <w:tab/>
      </w:r>
      <w:r>
        <w:rPr>
          <w:rFonts w:hint="eastAsia" w:ascii="楷体" w:hAnsi="楷体" w:eastAsia="楷体"/>
          <w:color w:val="auto"/>
          <w:sz w:val="21"/>
          <w:szCs w:val="21"/>
        </w:rPr>
        <w:t>暂停施工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因专业承包人及专业分包人原因造成总承包人项目停工的，总承包人承担责任，工期不予顺延。总承包人可按分包合同向专业承包人及专业分包人追讨损失。</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9.3</w:t>
      </w:r>
      <w:r>
        <w:rPr>
          <w:rFonts w:hint="eastAsia" w:ascii="楷体" w:hAnsi="楷体" w:eastAsia="楷体"/>
          <w:color w:val="auto"/>
          <w:sz w:val="21"/>
          <w:szCs w:val="21"/>
        </w:rPr>
        <w:tab/>
      </w:r>
      <w:r>
        <w:rPr>
          <w:rFonts w:hint="eastAsia" w:ascii="楷体" w:hAnsi="楷体" w:eastAsia="楷体"/>
          <w:color w:val="auto"/>
          <w:sz w:val="21"/>
          <w:szCs w:val="21"/>
        </w:rPr>
        <w:t>工程竣工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应督促专业承包人及专业分包人按计划办理工程竣工，并对专业承包人及专业分包人竣工予以积极的配合，因总承包人未能及时提供必要的配合工作而导致专业承包工程不能按计划办理工程竣工的，总承包人承担主要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9.4</w:t>
      </w:r>
      <w:r>
        <w:rPr>
          <w:rFonts w:hint="eastAsia" w:ascii="楷体" w:hAnsi="楷体" w:eastAsia="楷体"/>
          <w:color w:val="auto"/>
          <w:sz w:val="21"/>
          <w:szCs w:val="21"/>
        </w:rPr>
        <w:tab/>
      </w:r>
      <w:r>
        <w:rPr>
          <w:rFonts w:hint="eastAsia" w:ascii="楷体" w:hAnsi="楷体" w:eastAsia="楷体"/>
          <w:color w:val="auto"/>
          <w:sz w:val="21"/>
          <w:szCs w:val="21"/>
        </w:rPr>
        <w:t>工期管理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9.4.1</w:t>
      </w:r>
      <w:r>
        <w:rPr>
          <w:rFonts w:hint="eastAsia" w:ascii="楷体" w:hAnsi="楷体" w:eastAsia="楷体"/>
          <w:color w:val="auto"/>
          <w:sz w:val="21"/>
          <w:szCs w:val="21"/>
        </w:rPr>
        <w:tab/>
      </w:r>
      <w:r>
        <w:rPr>
          <w:rFonts w:hint="eastAsia" w:ascii="楷体" w:hAnsi="楷体" w:eastAsia="楷体"/>
          <w:color w:val="auto"/>
          <w:sz w:val="21"/>
          <w:szCs w:val="21"/>
        </w:rPr>
        <w:t>总承包人应根据发包人提供的本项目总体控制目标及各关键节点工期要求编制总进度实施计划。总承包人对本项目的进度实行统一管理(含总承包人施工及总包管理的项目)，并重点对关键节点工期进行控制。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9.4.2</w:t>
      </w:r>
      <w:r>
        <w:rPr>
          <w:rFonts w:hint="eastAsia" w:ascii="楷体" w:hAnsi="楷体" w:eastAsia="楷体"/>
          <w:color w:val="auto"/>
          <w:sz w:val="21"/>
          <w:szCs w:val="21"/>
        </w:rPr>
        <w:tab/>
      </w:r>
      <w:r>
        <w:rPr>
          <w:rFonts w:hint="eastAsia" w:ascii="楷体" w:hAnsi="楷体" w:eastAsia="楷体"/>
          <w:color w:val="auto"/>
          <w:sz w:val="21"/>
          <w:szCs w:val="21"/>
        </w:rPr>
        <w:t>总承包人应审核各专业承包工程施工进度计划，并有义务根据工程总进度计划调整各专业承包工程的进度计划和施工配合，确保各专业承包工程能按照主体工程的关键节点工期按计划完成，并按发包人规定的竣工日期办理工程竣工验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9.4.3</w:t>
      </w:r>
      <w:r>
        <w:rPr>
          <w:rFonts w:hint="eastAsia" w:ascii="楷体" w:hAnsi="楷体" w:eastAsia="楷体"/>
          <w:color w:val="auto"/>
          <w:sz w:val="21"/>
          <w:szCs w:val="21"/>
        </w:rPr>
        <w:tab/>
      </w:r>
      <w:r>
        <w:rPr>
          <w:rFonts w:hint="eastAsia" w:ascii="楷体" w:hAnsi="楷体" w:eastAsia="楷体"/>
          <w:color w:val="auto"/>
          <w:sz w:val="21"/>
          <w:szCs w:val="21"/>
        </w:rPr>
        <w:t>总承包人应对各专业承包工程的施工提供必要的协助，以确保专业承包工程能按经审定的进度计划执行。同时总承包人有义务对专业承包工程进行监督管理，纠正进度负偏差，协调专业承包人及专业分包人之间的关系，保证主体工程与各专业承包工程之间能协调推进。因总承包人未能对专业承包工程提供必要的配合，以及未能有效管理专业承包人及专业分包人工程进度的，并由此造成主体工程或专业承包工程关键节点施工进度有所滞后的，总承包人承担全部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9.4.4</w:t>
      </w:r>
      <w:r>
        <w:rPr>
          <w:rFonts w:hint="eastAsia" w:ascii="楷体" w:hAnsi="楷体" w:eastAsia="楷体"/>
          <w:color w:val="auto"/>
          <w:sz w:val="21"/>
          <w:szCs w:val="21"/>
        </w:rPr>
        <w:tab/>
      </w:r>
      <w:r>
        <w:rPr>
          <w:rFonts w:hint="eastAsia" w:ascii="楷体" w:hAnsi="楷体" w:eastAsia="楷体"/>
          <w:color w:val="auto"/>
          <w:sz w:val="21"/>
          <w:szCs w:val="21"/>
        </w:rPr>
        <w:t>总承包人通过组织协调，有效解决不同专业工程、不同工序交叉作业的配合问题，确保各施工进度能按照总进度实施计划实施。</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w:t>
      </w:r>
      <w:r>
        <w:rPr>
          <w:rFonts w:hint="eastAsia" w:ascii="楷体" w:hAnsi="楷体" w:eastAsia="楷体"/>
          <w:color w:val="auto"/>
          <w:sz w:val="21"/>
          <w:szCs w:val="21"/>
        </w:rPr>
        <w:tab/>
      </w:r>
      <w:r>
        <w:rPr>
          <w:rFonts w:hint="eastAsia" w:ascii="楷体" w:hAnsi="楷体" w:eastAsia="楷体"/>
          <w:color w:val="auto"/>
          <w:sz w:val="21"/>
          <w:szCs w:val="21"/>
        </w:rPr>
        <w:t>质量与检验</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10.1</w:t>
      </w:r>
      <w:r>
        <w:rPr>
          <w:rFonts w:hint="eastAsia" w:ascii="楷体" w:hAnsi="楷体" w:eastAsia="楷体"/>
          <w:color w:val="auto"/>
          <w:sz w:val="21"/>
          <w:szCs w:val="21"/>
        </w:rPr>
        <w:tab/>
      </w:r>
      <w:r>
        <w:rPr>
          <w:rFonts w:hint="eastAsia" w:ascii="楷体" w:hAnsi="楷体" w:eastAsia="楷体"/>
          <w:color w:val="auto"/>
          <w:sz w:val="21"/>
          <w:szCs w:val="21"/>
        </w:rPr>
        <w:t>工程质量</w:t>
      </w:r>
    </w:p>
    <w:p>
      <w:pPr>
        <w:ind w:firstLine="420" w:firstLineChars="200"/>
        <w:rPr>
          <w:rFonts w:ascii="楷体" w:hAnsi="楷体" w:eastAsia="楷体"/>
          <w:color w:val="auto"/>
          <w:sz w:val="21"/>
          <w:szCs w:val="21"/>
        </w:rPr>
      </w:pPr>
      <w:r>
        <w:rPr>
          <w:rFonts w:hint="eastAsia" w:ascii="楷体" w:hAnsi="楷体" w:eastAsia="楷体"/>
          <w:color w:val="auto"/>
          <w:sz w:val="21"/>
          <w:szCs w:val="21"/>
        </w:rPr>
        <w:t>专业承包工程质量达不到约定质量标准总承包人承担连带责任。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10.2</w:t>
      </w:r>
      <w:r>
        <w:rPr>
          <w:rFonts w:hint="eastAsia" w:ascii="楷体" w:hAnsi="楷体" w:eastAsia="楷体"/>
          <w:color w:val="auto"/>
          <w:sz w:val="21"/>
          <w:szCs w:val="21"/>
        </w:rPr>
        <w:tab/>
      </w:r>
      <w:r>
        <w:rPr>
          <w:rFonts w:hint="eastAsia" w:ascii="楷体" w:hAnsi="楷体" w:eastAsia="楷体"/>
          <w:color w:val="auto"/>
          <w:sz w:val="21"/>
          <w:szCs w:val="21"/>
        </w:rPr>
        <w:t>检查和返工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因专业承包人及专业分包人达不到约定标准的，由责任方承担拆除和重新施工的费用，承担质量违约责任，工期不予顺延，有总承包人管理不力的，总承包人承担责任。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10.3</w:t>
      </w:r>
      <w:r>
        <w:rPr>
          <w:rFonts w:hint="eastAsia" w:ascii="楷体" w:hAnsi="楷体" w:eastAsia="楷体"/>
          <w:color w:val="auto"/>
          <w:sz w:val="21"/>
          <w:szCs w:val="21"/>
        </w:rPr>
        <w:tab/>
      </w:r>
      <w:r>
        <w:rPr>
          <w:rFonts w:hint="eastAsia" w:ascii="楷体" w:hAnsi="楷体" w:eastAsia="楷体"/>
          <w:color w:val="auto"/>
          <w:sz w:val="21"/>
          <w:szCs w:val="21"/>
        </w:rPr>
        <w:t>隐蔽工程和中间验收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10.3.1</w:t>
      </w:r>
      <w:r>
        <w:rPr>
          <w:rFonts w:hint="eastAsia" w:ascii="楷体" w:hAnsi="楷体" w:eastAsia="楷体"/>
          <w:color w:val="auto"/>
          <w:sz w:val="21"/>
          <w:szCs w:val="21"/>
        </w:rPr>
        <w:tab/>
      </w:r>
      <w:r>
        <w:rPr>
          <w:rFonts w:hint="eastAsia" w:ascii="楷体" w:hAnsi="楷体" w:eastAsia="楷体"/>
          <w:color w:val="auto"/>
          <w:sz w:val="21"/>
          <w:szCs w:val="21"/>
        </w:rPr>
        <w:t>工程具备隐蔽条件或属于“穗建监字[2001]068号”文规定的中间验收部位，专业承包人及专业分包人必须先进行自检，自检合格后由总承包人在隐蔽或中间验收前24个小时以书面形式通知监理工程师验收，通知应包括隐蔽和中间的内容、验收时间和地点。监理工程师在验收记录上签字后，专业承包人及专业分包人方可进行隐蔽和继续施工。验收不合格的，专业承包人及专业分包人必须在24个小时内或监理工程师限定的时间内修改后重新验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10.3.2</w:t>
      </w:r>
      <w:r>
        <w:rPr>
          <w:rFonts w:hint="eastAsia" w:ascii="楷体" w:hAnsi="楷体" w:eastAsia="楷体"/>
          <w:color w:val="auto"/>
          <w:sz w:val="21"/>
          <w:szCs w:val="21"/>
        </w:rPr>
        <w:tab/>
      </w:r>
      <w:r>
        <w:rPr>
          <w:rFonts w:hint="eastAsia" w:ascii="楷体" w:hAnsi="楷体" w:eastAsia="楷体"/>
          <w:color w:val="auto"/>
          <w:sz w:val="21"/>
          <w:szCs w:val="21"/>
        </w:rPr>
        <w:t>总承包人应对专业承包工程的隐蔽及中间验收工作创造便利条件，并提供足够的配合。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10.4</w:t>
      </w:r>
      <w:r>
        <w:rPr>
          <w:rFonts w:hint="eastAsia" w:ascii="楷体" w:hAnsi="楷体" w:eastAsia="楷体"/>
          <w:color w:val="auto"/>
          <w:sz w:val="21"/>
          <w:szCs w:val="21"/>
        </w:rPr>
        <w:tab/>
      </w:r>
      <w:r>
        <w:rPr>
          <w:rFonts w:hint="eastAsia" w:ascii="楷体" w:hAnsi="楷体" w:eastAsia="楷体"/>
          <w:color w:val="auto"/>
          <w:sz w:val="21"/>
          <w:szCs w:val="21"/>
        </w:rPr>
        <w:t>工程试车</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1.4.1</w:t>
      </w:r>
      <w:r>
        <w:rPr>
          <w:rFonts w:hint="eastAsia" w:ascii="楷体" w:hAnsi="楷体" w:eastAsia="楷体"/>
          <w:color w:val="auto"/>
          <w:sz w:val="21"/>
          <w:szCs w:val="21"/>
        </w:rPr>
        <w:tab/>
      </w:r>
      <w:r>
        <w:rPr>
          <w:rFonts w:hint="eastAsia" w:ascii="楷体" w:hAnsi="楷体" w:eastAsia="楷体"/>
          <w:color w:val="auto"/>
          <w:sz w:val="21"/>
          <w:szCs w:val="21"/>
        </w:rPr>
        <w:t>设备安装工程具备单机无负荷试车条件，由专业承包人及专业分包人组织试车；属总包施工项目范围内的，由总承包人组织；属总包管理项目范围的，由专业承包人及专业分包人组织。</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1.4.2</w:t>
      </w:r>
      <w:r>
        <w:rPr>
          <w:rFonts w:hint="eastAsia" w:ascii="楷体" w:hAnsi="楷体" w:eastAsia="楷体"/>
          <w:color w:val="auto"/>
          <w:sz w:val="21"/>
          <w:szCs w:val="21"/>
        </w:rPr>
        <w:tab/>
      </w:r>
      <w:r>
        <w:rPr>
          <w:rFonts w:hint="eastAsia" w:ascii="楷体" w:hAnsi="楷体" w:eastAsia="楷体"/>
          <w:color w:val="auto"/>
          <w:sz w:val="21"/>
          <w:szCs w:val="21"/>
        </w:rPr>
        <w:t>设备安装工程具备无负荷联动试车条件，由总承包人组织、监理工程师、发包人参加试车，总承包人在试车前24小时内以书面形式通知监理工程师和参加试车的有关单位。</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1.4.3</w:t>
      </w:r>
      <w:r>
        <w:rPr>
          <w:rFonts w:hint="eastAsia" w:ascii="楷体" w:hAnsi="楷体" w:eastAsia="楷体"/>
          <w:color w:val="auto"/>
          <w:sz w:val="21"/>
          <w:szCs w:val="21"/>
        </w:rPr>
        <w:tab/>
      </w:r>
      <w:r>
        <w:rPr>
          <w:rFonts w:hint="eastAsia" w:ascii="楷体" w:hAnsi="楷体" w:eastAsia="楷体"/>
          <w:color w:val="auto"/>
          <w:sz w:val="21"/>
          <w:szCs w:val="21"/>
        </w:rPr>
        <w:t>工程试车，属总包施工项目范围内的，由总承包人负责试车费用；属总包管理项目范围的，由专业承包人及专业分包人负责试车费用，总承包人应予以配合服务。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10.5</w:t>
      </w:r>
      <w:r>
        <w:rPr>
          <w:rFonts w:hint="eastAsia" w:ascii="楷体" w:hAnsi="楷体" w:eastAsia="楷体"/>
          <w:color w:val="auto"/>
          <w:sz w:val="21"/>
          <w:szCs w:val="21"/>
        </w:rPr>
        <w:tab/>
      </w:r>
      <w:r>
        <w:rPr>
          <w:rFonts w:hint="eastAsia" w:ascii="楷体" w:hAnsi="楷体" w:eastAsia="楷体"/>
          <w:color w:val="auto"/>
          <w:sz w:val="21"/>
          <w:szCs w:val="21"/>
        </w:rPr>
        <w:t>保修管理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总承包人有义务对各专业承包工程的保修工作进行协调和管理，总包管理项目完工后及时督促相关专业承包人及专业分包人在保修期内做好保修工作。专业承包人及专业分包人无及时做好保修工作，且存在总承包人管理不力原因的，总承包人承担法定的连带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w:t>
      </w:r>
      <w:r>
        <w:rPr>
          <w:rFonts w:hint="eastAsia" w:ascii="楷体" w:hAnsi="楷体" w:eastAsia="楷体"/>
          <w:color w:val="auto"/>
          <w:sz w:val="21"/>
          <w:szCs w:val="21"/>
        </w:rPr>
        <w:tab/>
      </w:r>
      <w:r>
        <w:rPr>
          <w:rFonts w:hint="eastAsia" w:ascii="楷体" w:hAnsi="楷体" w:eastAsia="楷体"/>
          <w:color w:val="auto"/>
          <w:sz w:val="21"/>
          <w:szCs w:val="21"/>
        </w:rPr>
        <w:t>文明施工和安全生产管理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11.1</w:t>
      </w:r>
      <w:r>
        <w:rPr>
          <w:rFonts w:hint="eastAsia" w:ascii="楷体" w:hAnsi="楷体" w:eastAsia="楷体"/>
          <w:color w:val="auto"/>
          <w:sz w:val="21"/>
          <w:szCs w:val="21"/>
        </w:rPr>
        <w:tab/>
      </w:r>
      <w:r>
        <w:rPr>
          <w:rFonts w:hint="eastAsia" w:ascii="楷体" w:hAnsi="楷体" w:eastAsia="楷体"/>
          <w:color w:val="auto"/>
          <w:sz w:val="21"/>
          <w:szCs w:val="21"/>
        </w:rPr>
        <w:t>安全生产与检查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11.1.1</w:t>
      </w:r>
      <w:r>
        <w:rPr>
          <w:rFonts w:hint="eastAsia" w:ascii="楷体" w:hAnsi="楷体" w:eastAsia="楷体"/>
          <w:color w:val="auto"/>
          <w:sz w:val="21"/>
          <w:szCs w:val="21"/>
        </w:rPr>
        <w:tab/>
      </w:r>
      <w:r>
        <w:rPr>
          <w:rFonts w:hint="eastAsia" w:ascii="楷体" w:hAnsi="楷体" w:eastAsia="楷体"/>
          <w:color w:val="auto"/>
          <w:sz w:val="21"/>
          <w:szCs w:val="21"/>
        </w:rPr>
        <w:t>总承包人有义务对所负责标段内全部文明施工和安全生产进行全面的管理。进行详细交底及部署。</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11.1.2</w:t>
      </w:r>
      <w:r>
        <w:rPr>
          <w:rFonts w:hint="eastAsia" w:ascii="楷体" w:hAnsi="楷体" w:eastAsia="楷体"/>
          <w:color w:val="auto"/>
          <w:sz w:val="21"/>
          <w:szCs w:val="21"/>
        </w:rPr>
        <w:tab/>
      </w:r>
      <w:r>
        <w:rPr>
          <w:rFonts w:hint="eastAsia" w:ascii="楷体" w:hAnsi="楷体" w:eastAsia="楷体"/>
          <w:color w:val="auto"/>
          <w:sz w:val="21"/>
          <w:szCs w:val="21"/>
        </w:rPr>
        <w:t>专业承包人及专业分包人应严格做好所负责工程的安全生产工作，并自觉接受总承包人的检查，并按照其提出的意见进行整改。</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11.2</w:t>
      </w:r>
      <w:r>
        <w:rPr>
          <w:rFonts w:hint="eastAsia" w:ascii="楷体" w:hAnsi="楷体" w:eastAsia="楷体"/>
          <w:color w:val="auto"/>
          <w:sz w:val="21"/>
          <w:szCs w:val="21"/>
        </w:rPr>
        <w:tab/>
      </w:r>
      <w:r>
        <w:rPr>
          <w:rFonts w:hint="eastAsia" w:ascii="楷体" w:hAnsi="楷体" w:eastAsia="楷体"/>
          <w:color w:val="auto"/>
          <w:sz w:val="21"/>
          <w:szCs w:val="21"/>
        </w:rPr>
        <w:t xml:space="preserve">事故处理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专业承包工程发生重大伤亡及其它安全事故的，专业承包人及专业分包人必须立即通知总承包人，总承包人必须立即按有关规定上报监理工程师、发包人及有关部门，同时按政府有关部门要求处理。对于专业承包工程发生重大伤亡及其它安全事故，由专业承包人及专业分包人承担主要责任，总承包人承担法定的连带责任；属自主分包工程的，由总承包人承担责任。</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11.3</w:t>
      </w:r>
      <w:r>
        <w:rPr>
          <w:rFonts w:hint="eastAsia" w:ascii="楷体" w:hAnsi="楷体" w:eastAsia="楷体"/>
          <w:color w:val="auto"/>
          <w:sz w:val="21"/>
          <w:szCs w:val="21"/>
        </w:rPr>
        <w:tab/>
      </w:r>
      <w:r>
        <w:rPr>
          <w:rFonts w:hint="eastAsia" w:ascii="楷体" w:hAnsi="楷体" w:eastAsia="楷体"/>
          <w:color w:val="auto"/>
          <w:sz w:val="21"/>
          <w:szCs w:val="21"/>
        </w:rPr>
        <w:t>统一实施场地的场容场貌和施工保洁管理。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w:t>
      </w:r>
      <w:r>
        <w:rPr>
          <w:rFonts w:hint="eastAsia" w:ascii="楷体" w:hAnsi="楷体" w:eastAsia="楷体"/>
          <w:color w:val="auto"/>
          <w:sz w:val="21"/>
          <w:szCs w:val="21"/>
        </w:rPr>
        <w:tab/>
      </w:r>
      <w:r>
        <w:rPr>
          <w:rFonts w:hint="eastAsia" w:ascii="楷体" w:hAnsi="楷体" w:eastAsia="楷体"/>
          <w:color w:val="auto"/>
          <w:sz w:val="21"/>
          <w:szCs w:val="21"/>
        </w:rPr>
        <w:t>竣工验收与结算管理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12.1</w:t>
      </w:r>
      <w:r>
        <w:rPr>
          <w:rFonts w:hint="eastAsia" w:ascii="楷体" w:hAnsi="楷体" w:eastAsia="楷体"/>
          <w:color w:val="auto"/>
          <w:sz w:val="21"/>
          <w:szCs w:val="21"/>
        </w:rPr>
        <w:tab/>
      </w:r>
      <w:r>
        <w:rPr>
          <w:rFonts w:hint="eastAsia" w:ascii="楷体" w:hAnsi="楷体" w:eastAsia="楷体"/>
          <w:color w:val="auto"/>
          <w:sz w:val="21"/>
          <w:szCs w:val="21"/>
        </w:rPr>
        <w:t>竣工验收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12.1.1</w:t>
      </w:r>
      <w:r>
        <w:rPr>
          <w:rFonts w:hint="eastAsia" w:ascii="楷体" w:hAnsi="楷体" w:eastAsia="楷体"/>
          <w:color w:val="auto"/>
          <w:sz w:val="21"/>
          <w:szCs w:val="21"/>
        </w:rPr>
        <w:tab/>
      </w:r>
      <w:r>
        <w:rPr>
          <w:rFonts w:hint="eastAsia" w:ascii="楷体" w:hAnsi="楷体" w:eastAsia="楷体"/>
          <w:color w:val="auto"/>
          <w:sz w:val="21"/>
          <w:szCs w:val="21"/>
        </w:rPr>
        <w:t>各专业承包人及专业分包人必须负责施工工程竣工图的编制管理工作。总承包人有责任根据竣工图验收要求对专业承包人及专业分包人所绘制的竣工图进行符合性审查。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12.1.2</w:t>
      </w:r>
      <w:r>
        <w:rPr>
          <w:rFonts w:hint="eastAsia" w:ascii="楷体" w:hAnsi="楷体" w:eastAsia="楷体"/>
          <w:color w:val="auto"/>
          <w:sz w:val="21"/>
          <w:szCs w:val="21"/>
        </w:rPr>
        <w:tab/>
      </w:r>
      <w:r>
        <w:rPr>
          <w:rFonts w:hint="eastAsia" w:ascii="楷体" w:hAnsi="楷体" w:eastAsia="楷体"/>
          <w:color w:val="auto"/>
          <w:sz w:val="21"/>
          <w:szCs w:val="21"/>
        </w:rPr>
        <w:t>总包管理项目属于专业工程需单独验收的，经总承包人预验合格后，再报监理工程师进行监理预验，合格后由该专业承包人及专业分包人与专业工程验收管理部门、监理工程师、发包人协商确定验收时间，并及时通知总承包人参与验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12.1.3</w:t>
      </w:r>
      <w:r>
        <w:rPr>
          <w:rFonts w:hint="eastAsia" w:ascii="楷体" w:hAnsi="楷体" w:eastAsia="楷体"/>
          <w:color w:val="auto"/>
          <w:sz w:val="21"/>
          <w:szCs w:val="21"/>
        </w:rPr>
        <w:tab/>
      </w:r>
      <w:r>
        <w:rPr>
          <w:rFonts w:hint="eastAsia" w:ascii="楷体" w:hAnsi="楷体" w:eastAsia="楷体"/>
          <w:color w:val="auto"/>
          <w:sz w:val="21"/>
          <w:szCs w:val="21"/>
        </w:rPr>
        <w:t>总包管理项目不需要办理单独验收的，经总承包人预验合格后，上报监理工程师，由监理工程师预验合格后，专业承包人及专业分包人、总承包人、监理工程师和发包人协商验收。</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12.1.4</w:t>
      </w:r>
      <w:r>
        <w:rPr>
          <w:rFonts w:hint="eastAsia" w:ascii="楷体" w:hAnsi="楷体" w:eastAsia="楷体"/>
          <w:color w:val="auto"/>
          <w:sz w:val="21"/>
          <w:szCs w:val="21"/>
        </w:rPr>
        <w:tab/>
      </w:r>
      <w:r>
        <w:rPr>
          <w:rFonts w:hint="eastAsia" w:ascii="楷体" w:hAnsi="楷体" w:eastAsia="楷体"/>
          <w:color w:val="auto"/>
          <w:sz w:val="21"/>
          <w:szCs w:val="21"/>
        </w:rPr>
        <w:t>总承包人必须对各专业承包工程的预验收、验收给予积极的配合加具有关意见。</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12.1.5</w:t>
      </w:r>
      <w:r>
        <w:rPr>
          <w:rFonts w:hint="eastAsia" w:ascii="楷体" w:hAnsi="楷体" w:eastAsia="楷体"/>
          <w:color w:val="auto"/>
          <w:sz w:val="21"/>
          <w:szCs w:val="21"/>
        </w:rPr>
        <w:tab/>
      </w:r>
      <w:r>
        <w:rPr>
          <w:rFonts w:hint="eastAsia" w:ascii="楷体" w:hAnsi="楷体" w:eastAsia="楷体"/>
          <w:color w:val="auto"/>
          <w:sz w:val="21"/>
          <w:szCs w:val="21"/>
        </w:rPr>
        <w:t>总承包人在所有总包施工项目及总包管理项目（预）验收完成后，认为满足工程竣工验收条件时，方可向监理工程师提出预验收通知。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12.1.6</w:t>
      </w:r>
      <w:r>
        <w:rPr>
          <w:rFonts w:hint="eastAsia" w:ascii="楷体" w:hAnsi="楷体" w:eastAsia="楷体"/>
          <w:color w:val="auto"/>
          <w:sz w:val="21"/>
          <w:szCs w:val="21"/>
        </w:rPr>
        <w:tab/>
      </w:r>
      <w:r>
        <w:rPr>
          <w:rFonts w:hint="eastAsia" w:ascii="楷体" w:hAnsi="楷体" w:eastAsia="楷体"/>
          <w:color w:val="auto"/>
          <w:sz w:val="21"/>
          <w:szCs w:val="21"/>
        </w:rPr>
        <w:t>办理工程预验及验收前，各专业承包人及专业分包人应将准备验收工程的场地清理干净；主体工程竣工验收后合格后10天内，总承包人和发包人签署工程交接验收证明文件，并再次对场地进行检查，确保场地已清理干净，并将工程移交发包人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12.2</w:t>
      </w:r>
      <w:r>
        <w:rPr>
          <w:rFonts w:hint="eastAsia" w:ascii="楷体" w:hAnsi="楷体" w:eastAsia="楷体"/>
          <w:color w:val="auto"/>
          <w:sz w:val="21"/>
          <w:szCs w:val="21"/>
        </w:rPr>
        <w:tab/>
      </w:r>
      <w:r>
        <w:rPr>
          <w:rFonts w:hint="eastAsia" w:ascii="楷体" w:hAnsi="楷体" w:eastAsia="楷体"/>
          <w:color w:val="auto"/>
          <w:sz w:val="21"/>
          <w:szCs w:val="21"/>
        </w:rPr>
        <w:t>竣工档案管理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12.2.1</w:t>
      </w:r>
      <w:r>
        <w:rPr>
          <w:rFonts w:hint="eastAsia" w:ascii="楷体" w:hAnsi="楷体" w:eastAsia="楷体"/>
          <w:color w:val="auto"/>
          <w:sz w:val="21"/>
          <w:szCs w:val="21"/>
        </w:rPr>
        <w:tab/>
      </w:r>
      <w:r>
        <w:rPr>
          <w:rFonts w:hint="eastAsia" w:ascii="楷体" w:hAnsi="楷体" w:eastAsia="楷体"/>
          <w:color w:val="auto"/>
          <w:sz w:val="21"/>
          <w:szCs w:val="21"/>
        </w:rPr>
        <w:t>总承包人有义务对总包施工及总包管理工程的工程资料按照国家《城市建设档案管理规定》、《广州市城市建设档案管理办法》、《广东省建筑工程竣工验收技术资料统一用表》和发包人的具体要求等进行收集、整理、编制、汇总和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12.2.2</w:t>
      </w:r>
      <w:r>
        <w:rPr>
          <w:rFonts w:hint="eastAsia" w:ascii="楷体" w:hAnsi="楷体" w:eastAsia="楷体"/>
          <w:color w:val="auto"/>
          <w:sz w:val="21"/>
          <w:szCs w:val="21"/>
        </w:rPr>
        <w:tab/>
      </w:r>
      <w:r>
        <w:rPr>
          <w:rFonts w:hint="eastAsia" w:ascii="楷体" w:hAnsi="楷体" w:eastAsia="楷体"/>
          <w:color w:val="auto"/>
          <w:sz w:val="21"/>
          <w:szCs w:val="21"/>
        </w:rPr>
        <w:t>指导专业承包人及专业分包人整理工程资料，使其满足档案接收要求。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12.2.3</w:t>
      </w:r>
      <w:r>
        <w:rPr>
          <w:rFonts w:hint="eastAsia" w:ascii="楷体" w:hAnsi="楷体" w:eastAsia="楷体"/>
          <w:color w:val="auto"/>
          <w:sz w:val="21"/>
          <w:szCs w:val="21"/>
        </w:rPr>
        <w:tab/>
      </w:r>
      <w:r>
        <w:rPr>
          <w:rFonts w:hint="eastAsia" w:ascii="楷体" w:hAnsi="楷体" w:eastAsia="楷体"/>
          <w:color w:val="auto"/>
          <w:sz w:val="21"/>
          <w:szCs w:val="21"/>
        </w:rPr>
        <w:t>专业承包人及专业分包人对其施工的专业承包工程负有具体收集、整理、编制、汇总档案资料的义务，并保证所提供的档案资料是齐全完备和有效的，需要时总承包人亦要签名盖章。</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12.2.4</w:t>
      </w:r>
      <w:r>
        <w:rPr>
          <w:rFonts w:hint="eastAsia" w:ascii="楷体" w:hAnsi="楷体" w:eastAsia="楷体"/>
          <w:color w:val="auto"/>
          <w:sz w:val="21"/>
          <w:szCs w:val="21"/>
        </w:rPr>
        <w:tab/>
      </w:r>
      <w:r>
        <w:rPr>
          <w:rFonts w:hint="eastAsia" w:ascii="楷体" w:hAnsi="楷体" w:eastAsia="楷体"/>
          <w:color w:val="auto"/>
          <w:sz w:val="21"/>
          <w:szCs w:val="21"/>
        </w:rPr>
        <w:t xml:space="preserve"> 督促专业承包人及专业分包人在完成专业承包工程竣工验收前7天内，完成工程档案资料的汇总，并上报总承包人，总承包人有义务对该资料的完备性、有效性进行检查，对不符合要求的资料，要求专业承包人及专业分包人限期进行整改。整改后再上报总承包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12.2.5</w:t>
      </w:r>
      <w:r>
        <w:rPr>
          <w:rFonts w:hint="eastAsia" w:ascii="楷体" w:hAnsi="楷体" w:eastAsia="楷体"/>
          <w:color w:val="auto"/>
          <w:sz w:val="21"/>
          <w:szCs w:val="21"/>
        </w:rPr>
        <w:tab/>
      </w:r>
      <w:r>
        <w:rPr>
          <w:rFonts w:hint="eastAsia" w:ascii="楷体" w:hAnsi="楷体" w:eastAsia="楷体"/>
          <w:color w:val="auto"/>
          <w:sz w:val="21"/>
          <w:szCs w:val="21"/>
        </w:rPr>
        <w:t xml:space="preserve"> 竣工图纸由总承包人、专业承包人及专业分包人根据设计院提供的施工图纸电子文件、竣工资料进行绘制，并须经设计单位审核、签署。</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12.3</w:t>
      </w:r>
      <w:r>
        <w:rPr>
          <w:rFonts w:hint="eastAsia" w:ascii="楷体" w:hAnsi="楷体" w:eastAsia="楷体"/>
          <w:color w:val="auto"/>
          <w:sz w:val="21"/>
          <w:szCs w:val="21"/>
        </w:rPr>
        <w:tab/>
      </w:r>
      <w:r>
        <w:rPr>
          <w:rFonts w:hint="eastAsia" w:ascii="楷体" w:hAnsi="楷体" w:eastAsia="楷体"/>
          <w:color w:val="auto"/>
          <w:sz w:val="21"/>
          <w:szCs w:val="21"/>
        </w:rPr>
        <w:t>办理竣工备案手续</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12.3.1</w:t>
      </w:r>
      <w:r>
        <w:rPr>
          <w:rFonts w:hint="eastAsia" w:ascii="楷体" w:hAnsi="楷体" w:eastAsia="楷体"/>
          <w:color w:val="auto"/>
          <w:sz w:val="21"/>
          <w:szCs w:val="21"/>
        </w:rPr>
        <w:tab/>
      </w:r>
      <w:r>
        <w:rPr>
          <w:rFonts w:hint="eastAsia" w:ascii="楷体" w:hAnsi="楷体" w:eastAsia="楷体"/>
          <w:color w:val="auto"/>
          <w:sz w:val="21"/>
          <w:szCs w:val="21"/>
        </w:rPr>
        <w:t>总承包人在规定时间内应收集所有竣工备案资料，对不属于施工总承包管理直接提的其它供单位的资料，有责任进行跟踪、督促、协调，及时向发包人反馈收集和协调情况。收集齐所有竣工备案资料后，负责按规定向有关部门提交竣工备案资料，并向发包人反馈备案办理进度。</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12.3.2</w:t>
      </w:r>
      <w:r>
        <w:rPr>
          <w:rFonts w:hint="eastAsia" w:ascii="楷体" w:hAnsi="楷体" w:eastAsia="楷体"/>
          <w:color w:val="auto"/>
          <w:sz w:val="21"/>
          <w:szCs w:val="21"/>
        </w:rPr>
        <w:tab/>
      </w:r>
      <w:r>
        <w:rPr>
          <w:rFonts w:hint="eastAsia" w:ascii="楷体" w:hAnsi="楷体" w:eastAsia="楷体"/>
          <w:color w:val="auto"/>
          <w:sz w:val="21"/>
          <w:szCs w:val="21"/>
        </w:rPr>
        <w:t>总承包人于工程竣工验收后按广州市建设工程档案管理与移交办法向发包人完整移交档案。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12.4</w:t>
      </w:r>
      <w:r>
        <w:rPr>
          <w:rFonts w:hint="eastAsia" w:ascii="楷体" w:hAnsi="楷体" w:eastAsia="楷体"/>
          <w:color w:val="auto"/>
          <w:sz w:val="21"/>
          <w:szCs w:val="21"/>
        </w:rPr>
        <w:tab/>
      </w:r>
      <w:r>
        <w:rPr>
          <w:rFonts w:hint="eastAsia" w:ascii="楷体" w:hAnsi="楷体" w:eastAsia="楷体"/>
          <w:color w:val="auto"/>
          <w:sz w:val="21"/>
          <w:szCs w:val="21"/>
        </w:rPr>
        <w:t>竣工结算管理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12.4.1</w:t>
      </w:r>
      <w:r>
        <w:rPr>
          <w:rFonts w:hint="eastAsia" w:ascii="楷体" w:hAnsi="楷体" w:eastAsia="楷体"/>
          <w:color w:val="auto"/>
          <w:sz w:val="21"/>
          <w:szCs w:val="21"/>
        </w:rPr>
        <w:tab/>
      </w:r>
      <w:r>
        <w:rPr>
          <w:rFonts w:hint="eastAsia" w:ascii="楷体" w:hAnsi="楷体" w:eastAsia="楷体"/>
          <w:color w:val="auto"/>
          <w:sz w:val="21"/>
          <w:szCs w:val="21"/>
        </w:rPr>
        <w:t xml:space="preserve"> 总包管理项目竣工结算报告由专业承包人及专业分包人具体编制，在总包管理项目完成竣工验收后28天内，督促专业承包人及专业分包人收集完整的竣工结算资料。</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12.4.2</w:t>
      </w:r>
      <w:r>
        <w:rPr>
          <w:rFonts w:hint="eastAsia" w:ascii="楷体" w:hAnsi="楷体" w:eastAsia="楷体"/>
          <w:color w:val="auto"/>
          <w:sz w:val="21"/>
          <w:szCs w:val="21"/>
        </w:rPr>
        <w:tab/>
      </w:r>
      <w:r>
        <w:rPr>
          <w:rFonts w:hint="eastAsia" w:ascii="楷体" w:hAnsi="楷体" w:eastAsia="楷体"/>
          <w:color w:val="auto"/>
          <w:sz w:val="21"/>
          <w:szCs w:val="21"/>
        </w:rPr>
        <w:t xml:space="preserve"> 在测量师、发包人审核工程结算期间，总承包人、专业承包人及专业分包人必须按照要求提供积极的配合协助，并按要求及时提供相关资料。</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13</w:t>
      </w:r>
      <w:r>
        <w:rPr>
          <w:rFonts w:hint="eastAsia" w:ascii="楷体" w:hAnsi="楷体" w:eastAsia="楷体"/>
          <w:color w:val="auto"/>
          <w:sz w:val="21"/>
          <w:szCs w:val="21"/>
        </w:rPr>
        <w:tab/>
      </w:r>
      <w:r>
        <w:rPr>
          <w:rFonts w:hint="eastAsia" w:ascii="楷体" w:hAnsi="楷体" w:eastAsia="楷体"/>
          <w:color w:val="auto"/>
          <w:sz w:val="21"/>
          <w:szCs w:val="21"/>
        </w:rPr>
        <w:t>产品保护或照管</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13.1</w:t>
      </w:r>
      <w:r>
        <w:rPr>
          <w:rFonts w:hint="eastAsia" w:ascii="楷体" w:hAnsi="楷体" w:eastAsia="楷体"/>
          <w:color w:val="auto"/>
          <w:sz w:val="21"/>
          <w:szCs w:val="21"/>
        </w:rPr>
        <w:tab/>
      </w:r>
      <w:r>
        <w:rPr>
          <w:rFonts w:hint="eastAsia" w:ascii="楷体" w:hAnsi="楷体" w:eastAsia="楷体"/>
          <w:color w:val="auto"/>
          <w:sz w:val="21"/>
          <w:szCs w:val="21"/>
        </w:rPr>
        <w:t xml:space="preserve"> 总承包人承担本项目总体产品保护或照管责任（规定由专业承包人及专业分包人负责的除外）。</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13.2</w:t>
      </w:r>
      <w:r>
        <w:rPr>
          <w:rFonts w:hint="eastAsia" w:ascii="楷体" w:hAnsi="楷体" w:eastAsia="楷体"/>
          <w:color w:val="auto"/>
          <w:sz w:val="21"/>
          <w:szCs w:val="21"/>
        </w:rPr>
        <w:tab/>
      </w:r>
      <w:r>
        <w:rPr>
          <w:rFonts w:hint="eastAsia" w:ascii="楷体" w:hAnsi="楷体" w:eastAsia="楷体"/>
          <w:color w:val="auto"/>
          <w:sz w:val="21"/>
          <w:szCs w:val="21"/>
        </w:rPr>
        <w:t xml:space="preserve"> 管理工序交接工作，移交产品保护责任。对土建产品的保护向专业承包人及专业分包人进行交底。</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13.3</w:t>
      </w:r>
      <w:r>
        <w:rPr>
          <w:rFonts w:hint="eastAsia" w:ascii="楷体" w:hAnsi="楷体" w:eastAsia="楷体"/>
          <w:color w:val="auto"/>
          <w:sz w:val="21"/>
          <w:szCs w:val="21"/>
        </w:rPr>
        <w:tab/>
      </w:r>
      <w:r>
        <w:rPr>
          <w:rFonts w:hint="eastAsia" w:ascii="楷体" w:hAnsi="楷体" w:eastAsia="楷体"/>
          <w:color w:val="auto"/>
          <w:sz w:val="21"/>
          <w:szCs w:val="21"/>
        </w:rPr>
        <w:t xml:space="preserve"> 在专业工程施工过程中，根据工程性质需分阶段施工和移交工程施工总承包管理单位照管时，专业承包人及专业分包人应报监理工程师批准，批准后的分阶段施工工程即为中间验收工程。对每个中间验收工程，监理工程师组织发包人、设计单位、总承包单位和专业承包人及专业分包人进行质量验收评定。若验收合格，则移交给总承包管理单位负责照管，时间至专业工程安装单位下次开始施工时止；若不合格，则专业单位应按规定的时间内返修或更换材料后再验收。在总承包单位负责照管的期限内，总承包单位应对这些中间验收工程做好保护工作。而在专业承包人及专业分包人继续进行施工后，总承包单位对已进行中间验收的工程不负责照管，其照管责任移交至专业承包人及专业分包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13.4</w:t>
      </w:r>
      <w:r>
        <w:rPr>
          <w:rFonts w:hint="eastAsia" w:ascii="楷体" w:hAnsi="楷体" w:eastAsia="楷体"/>
          <w:color w:val="auto"/>
          <w:sz w:val="21"/>
          <w:szCs w:val="21"/>
        </w:rPr>
        <w:tab/>
      </w:r>
      <w:r>
        <w:rPr>
          <w:rFonts w:hint="eastAsia" w:ascii="楷体" w:hAnsi="楷体" w:eastAsia="楷体"/>
          <w:color w:val="auto"/>
          <w:sz w:val="21"/>
          <w:szCs w:val="21"/>
        </w:rPr>
        <w:t xml:space="preserve"> 已竣工验收的专业工程的照管：从专业工程竣工验收合格并办理移交总承包人手续起，直至整个工程竣工验收合格移交给发包人之日止，总承包人应按照合同约定对移交给施工总承包人的专业工程的成品负责照管。但对那些已办理中间移交手续并交付发包人的工程，办理移交手续之日起，照管责任已移交给了发包人。</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13.5</w:t>
      </w:r>
      <w:r>
        <w:rPr>
          <w:rFonts w:hint="eastAsia" w:ascii="楷体" w:hAnsi="楷体" w:eastAsia="楷体"/>
          <w:color w:val="auto"/>
          <w:sz w:val="21"/>
          <w:szCs w:val="21"/>
        </w:rPr>
        <w:tab/>
      </w:r>
      <w:r>
        <w:rPr>
          <w:rFonts w:hint="eastAsia" w:ascii="楷体" w:hAnsi="楷体" w:eastAsia="楷体"/>
          <w:color w:val="auto"/>
          <w:sz w:val="21"/>
          <w:szCs w:val="21"/>
        </w:rPr>
        <w:t xml:space="preserve"> 如果在总承包单位负责的照管期内，由于不可抗力以外的原因导致总承包单位照管工程的任何部分损失或损坏，由总承包单位负责修补，赔偿经济赔偿责任，并通过修补使该工程或设备质量达到该专业合同的有关规定和要求。</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w:t>
      </w:r>
      <w:r>
        <w:rPr>
          <w:rFonts w:hint="eastAsia" w:ascii="楷体" w:hAnsi="楷体" w:eastAsia="楷体"/>
          <w:color w:val="auto"/>
          <w:sz w:val="21"/>
          <w:szCs w:val="21"/>
        </w:rPr>
        <w:tab/>
      </w:r>
      <w:r>
        <w:rPr>
          <w:rFonts w:hint="eastAsia" w:ascii="楷体" w:hAnsi="楷体" w:eastAsia="楷体"/>
          <w:color w:val="auto"/>
          <w:sz w:val="21"/>
          <w:szCs w:val="21"/>
        </w:rPr>
        <w:t>设计配合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14.1</w:t>
      </w:r>
      <w:r>
        <w:rPr>
          <w:rFonts w:hint="eastAsia" w:ascii="楷体" w:hAnsi="楷体" w:eastAsia="楷体"/>
          <w:color w:val="auto"/>
          <w:sz w:val="21"/>
          <w:szCs w:val="21"/>
        </w:rPr>
        <w:tab/>
      </w:r>
      <w:r>
        <w:rPr>
          <w:rFonts w:hint="eastAsia" w:ascii="楷体" w:hAnsi="楷体" w:eastAsia="楷体"/>
          <w:color w:val="auto"/>
          <w:sz w:val="21"/>
          <w:szCs w:val="21"/>
        </w:rPr>
        <w:t xml:space="preserve"> 根据总承包施工的需要，从施工角度参与不同专业间的综合图纸会审，如土建和机电、机电和弱电、机电和精装修、土建和幕墙、幕墙和精装修等，发现各专业图纸间的有关配合、协调等问题，并提出解决方案。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14.2</w:t>
      </w:r>
      <w:r>
        <w:rPr>
          <w:rFonts w:hint="eastAsia" w:ascii="楷体" w:hAnsi="楷体" w:eastAsia="楷体"/>
          <w:color w:val="auto"/>
          <w:sz w:val="21"/>
          <w:szCs w:val="21"/>
        </w:rPr>
        <w:tab/>
      </w:r>
      <w:r>
        <w:rPr>
          <w:rFonts w:hint="eastAsia" w:ascii="楷体" w:hAnsi="楷体" w:eastAsia="楷体"/>
          <w:color w:val="auto"/>
          <w:sz w:val="21"/>
          <w:szCs w:val="21"/>
        </w:rPr>
        <w:t xml:space="preserve"> 参加各专业工程的图纸会审，提出有关建议。</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14.3</w:t>
      </w:r>
      <w:r>
        <w:rPr>
          <w:rFonts w:hint="eastAsia" w:ascii="楷体" w:hAnsi="楷体" w:eastAsia="楷体"/>
          <w:color w:val="auto"/>
          <w:sz w:val="21"/>
          <w:szCs w:val="21"/>
        </w:rPr>
        <w:tab/>
      </w:r>
      <w:r>
        <w:rPr>
          <w:rFonts w:hint="eastAsia" w:ascii="楷体" w:hAnsi="楷体" w:eastAsia="楷体"/>
          <w:color w:val="auto"/>
          <w:sz w:val="21"/>
          <w:szCs w:val="21"/>
        </w:rPr>
        <w:t xml:space="preserve"> 审查承包范围内各专业工程的施工组织设计，对各专业工程施工组织设计不满足项目总体进度、场地安排、安全和文明施工等方面，和专业承包人及专业分包人进行沟通和协商，督促其进行调整。</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14.4</w:t>
      </w:r>
      <w:r>
        <w:rPr>
          <w:rFonts w:hint="eastAsia" w:ascii="楷体" w:hAnsi="楷体" w:eastAsia="楷体"/>
          <w:color w:val="auto"/>
          <w:sz w:val="21"/>
          <w:szCs w:val="21"/>
        </w:rPr>
        <w:tab/>
      </w:r>
      <w:r>
        <w:rPr>
          <w:rFonts w:hint="eastAsia" w:ascii="楷体" w:hAnsi="楷体" w:eastAsia="楷体"/>
          <w:color w:val="auto"/>
          <w:sz w:val="21"/>
          <w:szCs w:val="21"/>
        </w:rPr>
        <w:t xml:space="preserve"> 及时掌握每个专业工程的变更情况，并从总承包管理方面分析与其它有关方面的变化情况，若对项目总进度，或其它专业质量或造价方面出现影响，及时提出建议方案报监理工程师或发包人批准后实施工。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14.5</w:t>
      </w:r>
      <w:r>
        <w:rPr>
          <w:rFonts w:hint="eastAsia" w:ascii="楷体" w:hAnsi="楷体" w:eastAsia="楷体"/>
          <w:color w:val="auto"/>
          <w:sz w:val="21"/>
          <w:szCs w:val="21"/>
        </w:rPr>
        <w:tab/>
      </w:r>
      <w:r>
        <w:rPr>
          <w:rFonts w:hint="eastAsia" w:ascii="楷体" w:hAnsi="楷体" w:eastAsia="楷体"/>
          <w:color w:val="auto"/>
          <w:sz w:val="21"/>
          <w:szCs w:val="21"/>
        </w:rPr>
        <w:t xml:space="preserve"> 当发包人提出要求时，对于发包人提出的设计变更研究，提出相应的承包人案供发包人变更决策参考。</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14.6</w:t>
      </w:r>
      <w:r>
        <w:rPr>
          <w:rFonts w:hint="eastAsia" w:ascii="楷体" w:hAnsi="楷体" w:eastAsia="楷体"/>
          <w:color w:val="auto"/>
          <w:sz w:val="21"/>
          <w:szCs w:val="21"/>
        </w:rPr>
        <w:tab/>
      </w:r>
      <w:r>
        <w:rPr>
          <w:rFonts w:hint="eastAsia" w:ascii="楷体" w:hAnsi="楷体" w:eastAsia="楷体"/>
          <w:color w:val="auto"/>
          <w:sz w:val="21"/>
          <w:szCs w:val="21"/>
        </w:rPr>
        <w:t xml:space="preserve"> 当发包人提出要求时，对于发包人组织的设计变更研究，从施工可行性，总承包管理等方面提出建议供发包人决策。</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14.7</w:t>
      </w:r>
      <w:r>
        <w:rPr>
          <w:rFonts w:hint="eastAsia" w:ascii="楷体" w:hAnsi="楷体" w:eastAsia="楷体"/>
          <w:color w:val="auto"/>
          <w:sz w:val="21"/>
          <w:szCs w:val="21"/>
        </w:rPr>
        <w:tab/>
      </w:r>
      <w:r>
        <w:rPr>
          <w:rFonts w:hint="eastAsia" w:ascii="楷体" w:hAnsi="楷体" w:eastAsia="楷体"/>
          <w:color w:val="auto"/>
          <w:sz w:val="21"/>
          <w:szCs w:val="21"/>
        </w:rPr>
        <w:t xml:space="preserve"> 根据预留、预埋需要编制相关预留预埋图，根据施工工艺需要编制相关节点大样图，根据现场管线布置需要编制综合布线图。由承包商编制图纸需要经过发包人确认后才能进行施工。</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15</w:t>
      </w:r>
      <w:r>
        <w:rPr>
          <w:rFonts w:hint="eastAsia" w:ascii="楷体" w:hAnsi="楷体" w:eastAsia="楷体"/>
          <w:color w:val="auto"/>
          <w:sz w:val="21"/>
          <w:szCs w:val="21"/>
        </w:rPr>
        <w:tab/>
      </w:r>
      <w:r>
        <w:rPr>
          <w:rFonts w:hint="eastAsia" w:ascii="楷体" w:hAnsi="楷体" w:eastAsia="楷体"/>
          <w:color w:val="auto"/>
          <w:sz w:val="21"/>
          <w:szCs w:val="21"/>
        </w:rPr>
        <w:t xml:space="preserve"> 合同管理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15.1</w:t>
      </w:r>
      <w:r>
        <w:rPr>
          <w:rFonts w:hint="eastAsia" w:ascii="楷体" w:hAnsi="楷体" w:eastAsia="楷体"/>
          <w:color w:val="auto"/>
          <w:sz w:val="21"/>
          <w:szCs w:val="21"/>
        </w:rPr>
        <w:tab/>
      </w:r>
      <w:r>
        <w:rPr>
          <w:rFonts w:hint="eastAsia" w:ascii="楷体" w:hAnsi="楷体" w:eastAsia="楷体"/>
          <w:color w:val="auto"/>
          <w:sz w:val="21"/>
          <w:szCs w:val="21"/>
        </w:rPr>
        <w:t xml:space="preserve"> 分包管理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对于可合法分包工程由承包人按照有关规定合规合法分别选定分包人，并与其签订分包合同，分包合同必须送发包人、监理工程师备案。</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15.2</w:t>
      </w:r>
      <w:r>
        <w:rPr>
          <w:rFonts w:hint="eastAsia" w:ascii="楷体" w:hAnsi="楷体" w:eastAsia="楷体"/>
          <w:color w:val="auto"/>
          <w:sz w:val="21"/>
          <w:szCs w:val="21"/>
        </w:rPr>
        <w:tab/>
      </w:r>
      <w:r>
        <w:rPr>
          <w:rFonts w:hint="eastAsia" w:ascii="楷体" w:hAnsi="楷体" w:eastAsia="楷体"/>
          <w:color w:val="auto"/>
          <w:sz w:val="21"/>
          <w:szCs w:val="21"/>
        </w:rPr>
        <w:t>甲控乙供材料买卖合同管理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承包人与中标的专项供应商根据材料采购招标文件、合同条件及本办法的要求，与专项供应商签订具体材料买卖合同。材料买卖合同必须送发包人、监理工程师备案。</w:t>
      </w:r>
    </w:p>
    <w:p>
      <w:pPr>
        <w:ind w:firstLine="482" w:firstLineChars="200"/>
        <w:jc w:val="center"/>
        <w:rPr>
          <w:rFonts w:ascii="楷体" w:hAnsi="楷体" w:eastAsia="楷体"/>
          <w:b/>
          <w:color w:val="auto"/>
          <w:sz w:val="24"/>
          <w:szCs w:val="24"/>
        </w:rPr>
      </w:pPr>
      <w:r>
        <w:rPr>
          <w:rFonts w:hint="eastAsia" w:ascii="楷体" w:hAnsi="楷体" w:eastAsia="楷体"/>
          <w:b/>
          <w:color w:val="auto"/>
          <w:sz w:val="24"/>
          <w:szCs w:val="24"/>
        </w:rPr>
        <w:t>第二部分  配合服务工作内容</w:t>
      </w:r>
    </w:p>
    <w:p>
      <w:pPr>
        <w:ind w:firstLine="420" w:firstLineChars="200"/>
        <w:rPr>
          <w:rFonts w:ascii="楷体" w:hAnsi="楷体" w:eastAsia="楷体"/>
          <w:color w:val="auto"/>
          <w:sz w:val="21"/>
          <w:szCs w:val="21"/>
        </w:rPr>
      </w:pPr>
      <w:r>
        <w:rPr>
          <w:rFonts w:hint="eastAsia" w:ascii="楷体" w:hAnsi="楷体" w:eastAsia="楷体"/>
          <w:color w:val="auto"/>
          <w:sz w:val="21"/>
          <w:szCs w:val="21"/>
        </w:rPr>
        <w:t xml:space="preserve">  统一配合内容</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1.1</w:t>
      </w:r>
      <w:r>
        <w:rPr>
          <w:rFonts w:hint="eastAsia" w:ascii="楷体" w:hAnsi="楷体" w:eastAsia="楷体"/>
          <w:color w:val="auto"/>
          <w:sz w:val="21"/>
          <w:szCs w:val="21"/>
        </w:rPr>
        <w:tab/>
      </w:r>
      <w:r>
        <w:rPr>
          <w:rFonts w:hint="eastAsia" w:ascii="楷体" w:hAnsi="楷体" w:eastAsia="楷体"/>
          <w:color w:val="auto"/>
          <w:sz w:val="21"/>
          <w:szCs w:val="21"/>
        </w:rPr>
        <w:t xml:space="preserve">向专业承包人及专业分包人提供相应的施工用水、用电的接驳，且容量或负荷满足专业单位的要求。但接驳点以后的管道、线路由专业承包人及专业分包人负责安装、拆除，并承担其费用； </w:t>
      </w:r>
    </w:p>
    <w:p>
      <w:pPr>
        <w:ind w:firstLine="420" w:firstLineChars="200"/>
        <w:rPr>
          <w:rFonts w:ascii="楷体" w:hAnsi="楷体" w:eastAsia="楷体"/>
          <w:color w:val="auto"/>
          <w:sz w:val="21"/>
          <w:szCs w:val="21"/>
        </w:rPr>
      </w:pPr>
      <w:r>
        <w:rPr>
          <w:rFonts w:hint="eastAsia" w:ascii="楷体" w:hAnsi="楷体" w:eastAsia="楷体"/>
          <w:color w:val="auto"/>
          <w:sz w:val="21"/>
          <w:szCs w:val="21"/>
        </w:rPr>
        <w:t xml:space="preserve">1.2 </w:t>
      </w:r>
      <w:r>
        <w:rPr>
          <w:rFonts w:hint="eastAsia" w:ascii="楷体" w:hAnsi="楷体" w:eastAsia="楷体"/>
          <w:color w:val="auto"/>
          <w:sz w:val="21"/>
          <w:szCs w:val="21"/>
        </w:rPr>
        <w:tab/>
      </w:r>
      <w:r>
        <w:rPr>
          <w:rFonts w:hint="eastAsia" w:ascii="楷体" w:hAnsi="楷体" w:eastAsia="楷体"/>
          <w:color w:val="auto"/>
          <w:sz w:val="21"/>
          <w:szCs w:val="21"/>
        </w:rPr>
        <w:t>将总承包人负责修建和维护的道路免费提供给专业承包人及专业分包人使用并负责管理；</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1.3</w:t>
      </w:r>
      <w:r>
        <w:rPr>
          <w:rFonts w:hint="eastAsia" w:ascii="楷体" w:hAnsi="楷体" w:eastAsia="楷体"/>
          <w:color w:val="auto"/>
          <w:sz w:val="21"/>
          <w:szCs w:val="21"/>
        </w:rPr>
        <w:tab/>
      </w:r>
      <w:r>
        <w:rPr>
          <w:rFonts w:hint="eastAsia" w:ascii="楷体" w:hAnsi="楷体" w:eastAsia="楷体"/>
          <w:color w:val="auto"/>
          <w:sz w:val="21"/>
          <w:szCs w:val="21"/>
        </w:rPr>
        <w:t xml:space="preserve"> 免费向各专业承包人及专业分包人提供施工所需的室内外水平及垂直控制墨线（包括但不限于建筑1米线）；</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1.4</w:t>
      </w:r>
      <w:r>
        <w:rPr>
          <w:rFonts w:hint="eastAsia" w:ascii="楷体" w:hAnsi="楷体" w:eastAsia="楷体"/>
          <w:color w:val="auto"/>
          <w:sz w:val="21"/>
          <w:szCs w:val="21"/>
        </w:rPr>
        <w:tab/>
      </w:r>
      <w:r>
        <w:rPr>
          <w:rFonts w:hint="eastAsia" w:ascii="楷体" w:hAnsi="楷体" w:eastAsia="楷体"/>
          <w:color w:val="auto"/>
          <w:sz w:val="21"/>
          <w:szCs w:val="21"/>
        </w:rPr>
        <w:t xml:space="preserve"> 提供现场材料、机具转堆场地；</w:t>
      </w:r>
    </w:p>
    <w:p>
      <w:pPr>
        <w:ind w:firstLine="420" w:firstLineChars="200"/>
        <w:rPr>
          <w:rFonts w:ascii="楷体" w:hAnsi="楷体" w:eastAsia="楷体"/>
          <w:color w:val="auto"/>
          <w:sz w:val="21"/>
          <w:szCs w:val="21"/>
        </w:rPr>
      </w:pPr>
      <w:r>
        <w:rPr>
          <w:rFonts w:hint="eastAsia" w:ascii="楷体" w:hAnsi="楷体" w:eastAsia="楷体"/>
          <w:color w:val="auto"/>
          <w:sz w:val="21"/>
          <w:szCs w:val="21"/>
        </w:rPr>
        <w:t xml:space="preserve">1.5 </w:t>
      </w:r>
      <w:r>
        <w:rPr>
          <w:rFonts w:hint="eastAsia" w:ascii="楷体" w:hAnsi="楷体" w:eastAsia="楷体"/>
          <w:color w:val="auto"/>
          <w:sz w:val="21"/>
          <w:szCs w:val="21"/>
        </w:rPr>
        <w:tab/>
      </w:r>
      <w:r>
        <w:rPr>
          <w:rFonts w:hint="eastAsia" w:ascii="楷体" w:hAnsi="楷体" w:eastAsia="楷体"/>
          <w:color w:val="auto"/>
          <w:sz w:val="21"/>
          <w:szCs w:val="21"/>
        </w:rPr>
        <w:t>做好各专业工程施工完毕后的一次性收口、修补、冲缝、塞洞和塞缝工作，但该工作不得影响已完成的专业工程的施工质量。如因专业承包人及专业分包人施工质量不合格，返工后造成需二次修补时，所发生的费用由专业承包人及专业分包人负责；</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1.6</w:t>
      </w:r>
      <w:r>
        <w:rPr>
          <w:rFonts w:hint="eastAsia" w:ascii="楷体" w:hAnsi="楷体" w:eastAsia="楷体"/>
          <w:color w:val="auto"/>
          <w:sz w:val="21"/>
          <w:szCs w:val="21"/>
        </w:rPr>
        <w:tab/>
      </w:r>
      <w:r>
        <w:rPr>
          <w:rFonts w:hint="eastAsia" w:ascii="楷体" w:hAnsi="楷体" w:eastAsia="楷体"/>
          <w:color w:val="auto"/>
          <w:sz w:val="21"/>
          <w:szCs w:val="21"/>
        </w:rPr>
        <w:t xml:space="preserve"> 在工作安排、进度计划、费用报价等方面，应考虑由于对专业工程提供配合服务和提供总承包服务所产生的工种穿插、交叉、预埋配合工效损失等所有相关情况；</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1.7</w:t>
      </w:r>
      <w:r>
        <w:rPr>
          <w:rFonts w:hint="eastAsia" w:ascii="楷体" w:hAnsi="楷体" w:eastAsia="楷体"/>
          <w:color w:val="auto"/>
          <w:sz w:val="21"/>
          <w:szCs w:val="21"/>
        </w:rPr>
        <w:tab/>
      </w:r>
      <w:r>
        <w:rPr>
          <w:rFonts w:hint="eastAsia" w:ascii="楷体" w:hAnsi="楷体" w:eastAsia="楷体"/>
          <w:color w:val="auto"/>
          <w:sz w:val="21"/>
          <w:szCs w:val="21"/>
        </w:rPr>
        <w:t xml:space="preserve"> 对征得发包人同意，工程后期提前使用的电梯，由总承包单位负责其电费及产品保护、运行管理及相关费用；</w:t>
      </w:r>
    </w:p>
    <w:p>
      <w:pPr>
        <w:ind w:firstLine="420" w:firstLineChars="200"/>
        <w:rPr>
          <w:rFonts w:ascii="楷体" w:hAnsi="楷体" w:eastAsia="楷体"/>
          <w:color w:val="auto"/>
          <w:sz w:val="21"/>
          <w:szCs w:val="21"/>
        </w:rPr>
      </w:pPr>
      <w:r>
        <w:rPr>
          <w:rFonts w:hint="eastAsia" w:ascii="楷体" w:hAnsi="楷体" w:eastAsia="楷体"/>
          <w:color w:val="auto"/>
          <w:sz w:val="21"/>
          <w:szCs w:val="21"/>
        </w:rPr>
        <w:t>1.8</w:t>
      </w:r>
      <w:r>
        <w:rPr>
          <w:rFonts w:hint="eastAsia" w:ascii="楷体" w:hAnsi="楷体" w:eastAsia="楷体"/>
          <w:color w:val="auto"/>
          <w:sz w:val="21"/>
          <w:szCs w:val="21"/>
        </w:rPr>
        <w:tab/>
      </w:r>
      <w:r>
        <w:rPr>
          <w:rFonts w:hint="eastAsia" w:ascii="楷体" w:hAnsi="楷体" w:eastAsia="楷体"/>
          <w:color w:val="auto"/>
          <w:sz w:val="21"/>
          <w:szCs w:val="21"/>
        </w:rPr>
        <w:t xml:space="preserve"> 配合专业承包人及专业分包人完成总承包管理范围内整个工程的产品保护，并进行统一管理。必要时应提前完成相关土建工程及机房门等，以便机电等安装单位能够确保设备的安全保护。</w:t>
      </w:r>
    </w:p>
    <w:p>
      <w:pPr>
        <w:widowControl/>
        <w:autoSpaceDE/>
        <w:autoSpaceDN/>
        <w:adjustRightInd/>
        <w:rPr>
          <w:rFonts w:ascii="仿宋" w:hAnsi="仿宋" w:eastAsia="仿宋"/>
          <w:b/>
          <w:color w:val="auto"/>
          <w:sz w:val="21"/>
          <w:szCs w:val="21"/>
        </w:rPr>
      </w:pPr>
      <w:r>
        <w:rPr>
          <w:rFonts w:ascii="仿宋" w:hAnsi="仿宋" w:eastAsia="仿宋"/>
          <w:b/>
          <w:color w:val="auto"/>
          <w:sz w:val="21"/>
          <w:szCs w:val="21"/>
        </w:rPr>
        <w:br w:type="page"/>
      </w:r>
    </w:p>
    <w:p>
      <w:pPr>
        <w:pStyle w:val="10"/>
        <w:snapToGrid w:val="0"/>
        <w:spacing w:after="0" w:line="360" w:lineRule="auto"/>
        <w:ind w:left="0" w:leftChars="0"/>
        <w:outlineLvl w:val="0"/>
        <w:rPr>
          <w:rFonts w:ascii="仿宋" w:hAnsi="仿宋" w:eastAsia="仿宋"/>
          <w:color w:val="auto"/>
          <w:sz w:val="21"/>
          <w:szCs w:val="21"/>
        </w:rPr>
      </w:pPr>
      <w:bookmarkStart w:id="55" w:name="_Toc126962059"/>
      <w:r>
        <w:rPr>
          <w:rFonts w:hint="eastAsia" w:ascii="仿宋" w:hAnsi="仿宋" w:eastAsia="仿宋"/>
          <w:color w:val="auto"/>
          <w:sz w:val="21"/>
          <w:szCs w:val="21"/>
        </w:rPr>
        <w:t>附件九：电梯防护与运行管理要求</w:t>
      </w:r>
      <w:bookmarkEnd w:id="55"/>
    </w:p>
    <w:p>
      <w:pPr>
        <w:spacing w:before="231" w:beforeLines="50" w:after="231" w:afterLines="50"/>
        <w:ind w:firstLine="2570" w:firstLineChars="800"/>
        <w:rPr>
          <w:rFonts w:ascii="宋体" w:hAnsi="宋体" w:eastAsia="宋体"/>
          <w:color w:val="auto"/>
          <w:sz w:val="24"/>
        </w:rPr>
      </w:pPr>
      <w:r>
        <w:rPr>
          <w:rFonts w:hint="eastAsia" w:ascii="宋体" w:hAnsi="宋体" w:eastAsia="宋体"/>
          <w:b/>
          <w:bCs/>
          <w:color w:val="auto"/>
          <w:sz w:val="32"/>
          <w:szCs w:val="32"/>
        </w:rPr>
        <w:t>电梯防护与运行管理</w:t>
      </w:r>
    </w:p>
    <w:p>
      <w:pPr>
        <w:ind w:firstLine="480" w:firstLineChars="200"/>
        <w:rPr>
          <w:rFonts w:ascii="宋体" w:hAnsi="宋体" w:eastAsia="宋体"/>
          <w:color w:val="auto"/>
          <w:sz w:val="24"/>
        </w:rPr>
      </w:pPr>
      <w:r>
        <w:rPr>
          <w:rFonts w:hint="eastAsia" w:ascii="宋体" w:hAnsi="宋体" w:eastAsia="宋体"/>
          <w:color w:val="auto"/>
          <w:sz w:val="24"/>
        </w:rPr>
        <w:t>一、电梯防护措施（由电梯单位负责）</w:t>
      </w:r>
    </w:p>
    <w:p>
      <w:pPr>
        <w:ind w:firstLine="480" w:firstLineChars="200"/>
        <w:rPr>
          <w:rFonts w:ascii="宋体" w:hAnsi="宋体" w:eastAsia="宋体"/>
          <w:color w:val="auto"/>
          <w:sz w:val="24"/>
        </w:rPr>
      </w:pPr>
      <w:r>
        <w:rPr>
          <w:rFonts w:hint="eastAsia" w:ascii="宋体" w:hAnsi="宋体" w:eastAsia="宋体"/>
          <w:color w:val="auto"/>
          <w:sz w:val="24"/>
        </w:rPr>
        <w:t>在永久电梯投入临时施工使用过程中，电梯分包单位需对电梯的重点部位有针对性的采取以下措施，以保护电梯设备。</w:t>
      </w:r>
    </w:p>
    <w:p>
      <w:pPr>
        <w:ind w:firstLine="482" w:firstLineChars="200"/>
        <w:rPr>
          <w:rFonts w:ascii="宋体" w:hAnsi="宋体" w:eastAsia="宋体"/>
          <w:b/>
          <w:bCs/>
          <w:color w:val="auto"/>
          <w:sz w:val="24"/>
        </w:rPr>
      </w:pPr>
      <w:r>
        <w:rPr>
          <w:rFonts w:hint="eastAsia" w:ascii="宋体" w:hAnsi="宋体" w:eastAsia="宋体"/>
          <w:b/>
          <w:bCs/>
          <w:color w:val="auto"/>
          <w:sz w:val="24"/>
        </w:rPr>
        <w:t>（1）电梯轿厢及控制面板防护：</w:t>
      </w:r>
    </w:p>
    <w:p>
      <w:pPr>
        <w:ind w:firstLine="482" w:firstLineChars="200"/>
        <w:rPr>
          <w:rFonts w:ascii="宋体" w:hAnsi="宋体" w:eastAsia="宋体"/>
          <w:color w:val="auto"/>
          <w:sz w:val="24"/>
        </w:rPr>
      </w:pPr>
      <w:r>
        <w:rPr>
          <w:rFonts w:hint="eastAsia" w:ascii="宋体" w:hAnsi="宋体" w:eastAsia="宋体"/>
          <w:b/>
          <w:bCs/>
          <w:color w:val="auto"/>
          <w:sz w:val="24"/>
        </w:rPr>
        <w:t>电梯厅门：</w:t>
      </w:r>
      <w:r>
        <w:rPr>
          <w:rFonts w:hint="eastAsia" w:ascii="宋体" w:hAnsi="宋体" w:eastAsia="宋体"/>
          <w:color w:val="auto"/>
          <w:sz w:val="24"/>
        </w:rPr>
        <w:t>粘贴新保护膜进行保护；</w:t>
      </w:r>
    </w:p>
    <w:p>
      <w:pPr>
        <w:ind w:firstLine="482" w:firstLineChars="200"/>
        <w:rPr>
          <w:rFonts w:ascii="宋体" w:hAnsi="宋体" w:eastAsia="宋体"/>
          <w:color w:val="auto"/>
          <w:sz w:val="24"/>
        </w:rPr>
      </w:pPr>
      <w:r>
        <w:rPr>
          <w:rFonts w:hint="eastAsia" w:ascii="宋体" w:hAnsi="宋体" w:eastAsia="宋体"/>
          <w:b/>
          <w:bCs/>
          <w:color w:val="auto"/>
          <w:sz w:val="24"/>
        </w:rPr>
        <w:t>外呼按钮、外呼面板：</w:t>
      </w:r>
      <w:r>
        <w:rPr>
          <w:rFonts w:hint="eastAsia" w:ascii="宋体" w:hAnsi="宋体" w:eastAsia="宋体"/>
          <w:color w:val="auto"/>
          <w:sz w:val="24"/>
        </w:rPr>
        <w:t>在临时使用期间安装临时面板或呼叫按钮；</w:t>
      </w:r>
    </w:p>
    <w:p>
      <w:pPr>
        <w:ind w:firstLine="482" w:firstLineChars="200"/>
        <w:rPr>
          <w:rFonts w:ascii="宋体" w:hAnsi="宋体" w:eastAsia="宋体"/>
          <w:color w:val="auto"/>
          <w:sz w:val="24"/>
        </w:rPr>
      </w:pPr>
      <w:r>
        <w:rPr>
          <w:rFonts w:hint="eastAsia" w:ascii="宋体" w:hAnsi="宋体" w:eastAsia="宋体"/>
          <w:b/>
          <w:bCs/>
          <w:color w:val="auto"/>
          <w:sz w:val="24"/>
        </w:rPr>
        <w:t>轿门：</w:t>
      </w:r>
      <w:r>
        <w:rPr>
          <w:rFonts w:hint="eastAsia" w:ascii="宋体" w:hAnsi="宋体" w:eastAsia="宋体"/>
          <w:color w:val="auto"/>
          <w:sz w:val="24"/>
        </w:rPr>
        <w:t>粘贴新保护膜进行保护；</w:t>
      </w:r>
    </w:p>
    <w:p>
      <w:pPr>
        <w:ind w:firstLine="482" w:firstLineChars="200"/>
        <w:rPr>
          <w:rFonts w:ascii="宋体" w:hAnsi="宋体" w:eastAsia="宋体"/>
          <w:color w:val="auto"/>
          <w:sz w:val="24"/>
        </w:rPr>
      </w:pPr>
      <w:r>
        <w:rPr>
          <w:rFonts w:hint="eastAsia" w:ascii="宋体" w:hAnsi="宋体" w:eastAsia="宋体"/>
          <w:b/>
          <w:bCs/>
          <w:color w:val="auto"/>
          <w:sz w:val="24"/>
        </w:rPr>
        <w:t>操作面板：</w:t>
      </w:r>
      <w:r>
        <w:rPr>
          <w:rFonts w:hint="eastAsia" w:ascii="宋体" w:hAnsi="宋体" w:eastAsia="宋体"/>
          <w:color w:val="auto"/>
          <w:sz w:val="24"/>
        </w:rPr>
        <w:t>安装临时操作面板；</w:t>
      </w:r>
    </w:p>
    <w:p>
      <w:pPr>
        <w:ind w:firstLine="482" w:firstLineChars="200"/>
        <w:rPr>
          <w:rFonts w:ascii="宋体" w:hAnsi="宋体" w:eastAsia="宋体"/>
          <w:color w:val="auto"/>
          <w:sz w:val="24"/>
        </w:rPr>
      </w:pPr>
      <w:r>
        <w:rPr>
          <w:rFonts w:hint="eastAsia" w:ascii="宋体" w:hAnsi="宋体" w:eastAsia="宋体"/>
          <w:b/>
          <w:bCs/>
          <w:color w:val="auto"/>
          <w:sz w:val="24"/>
        </w:rPr>
        <w:t>吊顶：</w:t>
      </w:r>
      <w:r>
        <w:rPr>
          <w:rFonts w:hint="eastAsia" w:ascii="宋体" w:hAnsi="宋体" w:eastAsia="宋体"/>
          <w:color w:val="auto"/>
          <w:sz w:val="24"/>
        </w:rPr>
        <w:t>采用临时材料；</w:t>
      </w:r>
    </w:p>
    <w:p>
      <w:pPr>
        <w:ind w:firstLine="482" w:firstLineChars="200"/>
        <w:rPr>
          <w:rFonts w:ascii="宋体" w:hAnsi="宋体" w:eastAsia="宋体"/>
          <w:color w:val="auto"/>
          <w:sz w:val="24"/>
        </w:rPr>
      </w:pPr>
      <w:r>
        <w:rPr>
          <w:rFonts w:hint="eastAsia" w:ascii="宋体" w:hAnsi="宋体" w:eastAsia="宋体"/>
          <w:b/>
          <w:bCs/>
          <w:color w:val="auto"/>
          <w:sz w:val="24"/>
        </w:rPr>
        <w:t>门槛：</w:t>
      </w:r>
      <w:r>
        <w:rPr>
          <w:rFonts w:hint="eastAsia" w:ascii="宋体" w:hAnsi="宋体" w:eastAsia="宋体"/>
          <w:color w:val="auto"/>
          <w:sz w:val="24"/>
        </w:rPr>
        <w:t>设置专门的保护装置进行保护；</w:t>
      </w:r>
    </w:p>
    <w:p>
      <w:pPr>
        <w:ind w:firstLine="480" w:firstLineChars="200"/>
        <w:rPr>
          <w:rFonts w:ascii="宋体" w:hAnsi="宋体" w:eastAsia="宋体"/>
          <w:color w:val="auto"/>
          <w:sz w:val="24"/>
        </w:rPr>
      </w:pPr>
      <w:r>
        <w:rPr>
          <w:rFonts w:hint="eastAsia" w:ascii="宋体" w:hAnsi="宋体" w:eastAsia="宋体"/>
          <w:color w:val="auto"/>
          <w:sz w:val="24"/>
        </w:rPr>
        <w:t>轿厢面板、地面、电梯厅门采用专门的材料及方法进行保护具体保护措施如下图所示：</w:t>
      </w:r>
    </w:p>
    <w:tbl>
      <w:tblPr>
        <w:tblStyle w:val="20"/>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tcPr>
          <w:p>
            <w:pPr>
              <w:spacing w:line="360" w:lineRule="auto"/>
              <w:jc w:val="center"/>
              <w:rPr>
                <w:rFonts w:ascii="宋体" w:hAnsi="宋体" w:eastAsia="宋体" w:cstheme="minorBidi"/>
                <w:color w:val="auto"/>
                <w:sz w:val="24"/>
              </w:rPr>
            </w:pPr>
            <w:r>
              <w:rPr>
                <w:rFonts w:hAnsiTheme="minorHAnsi" w:cstheme="minorBidi"/>
                <w:color w:val="auto"/>
              </w:rPr>
              <w:drawing>
                <wp:inline distT="0" distB="0" distL="114300" distR="114300">
                  <wp:extent cx="2564130" cy="1911350"/>
                  <wp:effectExtent l="0" t="0" r="762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564130" cy="1911350"/>
                          </a:xfrm>
                          <a:prstGeom prst="rect">
                            <a:avLst/>
                          </a:prstGeom>
                          <a:noFill/>
                          <a:ln w="9525">
                            <a:noFill/>
                          </a:ln>
                        </pic:spPr>
                      </pic:pic>
                    </a:graphicData>
                  </a:graphic>
                </wp:inline>
              </w:drawing>
            </w:r>
          </w:p>
        </w:tc>
        <w:tc>
          <w:tcPr>
            <w:tcW w:w="4258" w:type="dxa"/>
          </w:tcPr>
          <w:p>
            <w:pPr>
              <w:spacing w:line="360" w:lineRule="auto"/>
              <w:jc w:val="center"/>
              <w:rPr>
                <w:rFonts w:ascii="宋体" w:hAnsi="宋体" w:eastAsia="宋体" w:cstheme="minorBidi"/>
                <w:color w:val="auto"/>
                <w:sz w:val="24"/>
              </w:rPr>
            </w:pPr>
            <w:r>
              <w:rPr>
                <w:rFonts w:hAnsiTheme="minorHAnsi" w:cstheme="minorBidi"/>
                <w:color w:val="auto"/>
              </w:rPr>
              <w:drawing>
                <wp:inline distT="0" distB="0" distL="114300" distR="114300">
                  <wp:extent cx="2564765" cy="1864360"/>
                  <wp:effectExtent l="0" t="0" r="6985" b="25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2564765" cy="186436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vAlign w:val="center"/>
          </w:tcPr>
          <w:p>
            <w:pPr>
              <w:jc w:val="center"/>
              <w:rPr>
                <w:rFonts w:ascii="宋体" w:hAnsi="宋体" w:eastAsia="宋体" w:cstheme="minorBidi"/>
                <w:color w:val="auto"/>
                <w:sz w:val="21"/>
                <w:szCs w:val="21"/>
              </w:rPr>
            </w:pPr>
            <w:r>
              <w:rPr>
                <w:rFonts w:hint="eastAsia" w:ascii="宋体" w:hAnsi="宋体" w:eastAsia="宋体" w:cstheme="minorBidi"/>
                <w:color w:val="auto"/>
                <w:sz w:val="21"/>
                <w:szCs w:val="21"/>
              </w:rPr>
              <w:t>电梯轿厢内壁的保护</w:t>
            </w:r>
          </w:p>
        </w:tc>
        <w:tc>
          <w:tcPr>
            <w:tcW w:w="4258" w:type="dxa"/>
          </w:tcPr>
          <w:p>
            <w:pPr>
              <w:jc w:val="center"/>
              <w:rPr>
                <w:rFonts w:ascii="宋体" w:hAnsi="宋体" w:eastAsia="宋体" w:cstheme="minorBidi"/>
                <w:color w:val="auto"/>
                <w:sz w:val="21"/>
                <w:szCs w:val="21"/>
              </w:rPr>
            </w:pPr>
            <w:r>
              <w:rPr>
                <w:rFonts w:hint="eastAsia" w:ascii="宋体" w:hAnsi="宋体" w:eastAsia="宋体" w:cstheme="minorBidi"/>
                <w:color w:val="auto"/>
                <w:sz w:val="21"/>
                <w:szCs w:val="21"/>
              </w:rPr>
              <w:t>电梯轿厢地板的保护以及翻板的设置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tcPr>
          <w:p>
            <w:pPr>
              <w:spacing w:line="360" w:lineRule="auto"/>
              <w:jc w:val="center"/>
              <w:rPr>
                <w:rFonts w:ascii="宋体" w:hAnsi="宋体" w:eastAsia="宋体" w:cstheme="minorBidi"/>
                <w:color w:val="auto"/>
                <w:sz w:val="24"/>
              </w:rPr>
            </w:pPr>
            <w:r>
              <w:rPr>
                <w:rFonts w:hAnsiTheme="minorHAnsi" w:cstheme="minorBidi"/>
                <w:color w:val="auto"/>
              </w:rPr>
              <w:drawing>
                <wp:inline distT="0" distB="0" distL="114300" distR="114300">
                  <wp:extent cx="2564765" cy="1905635"/>
                  <wp:effectExtent l="0" t="0" r="6985" b="1841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8"/>
                          <a:stretch>
                            <a:fillRect/>
                          </a:stretch>
                        </pic:blipFill>
                        <pic:spPr>
                          <a:xfrm>
                            <a:off x="0" y="0"/>
                            <a:ext cx="2564765" cy="1905635"/>
                          </a:xfrm>
                          <a:prstGeom prst="rect">
                            <a:avLst/>
                          </a:prstGeom>
                          <a:noFill/>
                          <a:ln w="9525">
                            <a:noFill/>
                          </a:ln>
                        </pic:spPr>
                      </pic:pic>
                    </a:graphicData>
                  </a:graphic>
                </wp:inline>
              </w:drawing>
            </w:r>
          </w:p>
        </w:tc>
        <w:tc>
          <w:tcPr>
            <w:tcW w:w="4258" w:type="dxa"/>
          </w:tcPr>
          <w:p>
            <w:pPr>
              <w:spacing w:line="360" w:lineRule="auto"/>
              <w:jc w:val="center"/>
              <w:rPr>
                <w:rFonts w:ascii="宋体" w:hAnsi="宋体" w:eastAsia="宋体" w:cstheme="minorBidi"/>
                <w:color w:val="auto"/>
                <w:sz w:val="24"/>
              </w:rPr>
            </w:pPr>
            <w:r>
              <w:rPr>
                <w:rFonts w:hAnsiTheme="minorHAnsi" w:cstheme="minorBidi"/>
                <w:color w:val="auto"/>
              </w:rPr>
              <w:drawing>
                <wp:inline distT="0" distB="0" distL="114300" distR="114300">
                  <wp:extent cx="2565400" cy="1913890"/>
                  <wp:effectExtent l="0" t="0" r="6350" b="1016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9"/>
                          <a:stretch>
                            <a:fillRect/>
                          </a:stretch>
                        </pic:blipFill>
                        <pic:spPr>
                          <a:xfrm>
                            <a:off x="0" y="0"/>
                            <a:ext cx="2565400" cy="191389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tcPr>
          <w:p>
            <w:pPr>
              <w:spacing w:line="360" w:lineRule="auto"/>
              <w:jc w:val="center"/>
              <w:rPr>
                <w:rFonts w:ascii="宋体" w:hAnsi="宋体" w:eastAsia="宋体" w:cstheme="minorBidi"/>
                <w:color w:val="auto"/>
                <w:sz w:val="24"/>
                <w:szCs w:val="24"/>
              </w:rPr>
            </w:pPr>
            <w:r>
              <w:rPr>
                <w:rFonts w:hint="eastAsia" w:ascii="宋体" w:hAnsi="宋体" w:eastAsia="宋体" w:cstheme="minorBidi"/>
                <w:color w:val="auto"/>
                <w:sz w:val="24"/>
                <w:szCs w:val="24"/>
              </w:rPr>
              <w:t>电梯厅门、门套、门楣处的保护</w:t>
            </w:r>
          </w:p>
        </w:tc>
        <w:tc>
          <w:tcPr>
            <w:tcW w:w="4258" w:type="dxa"/>
          </w:tcPr>
          <w:p>
            <w:pPr>
              <w:spacing w:line="360" w:lineRule="auto"/>
              <w:jc w:val="center"/>
              <w:rPr>
                <w:rFonts w:ascii="宋体" w:hAnsi="宋体" w:eastAsia="宋体" w:cstheme="minorBidi"/>
                <w:color w:val="auto"/>
                <w:sz w:val="24"/>
                <w:szCs w:val="24"/>
              </w:rPr>
            </w:pPr>
            <w:r>
              <w:rPr>
                <w:rFonts w:hint="eastAsia" w:ascii="宋体" w:hAnsi="宋体" w:eastAsia="宋体" w:cstheme="minorBidi"/>
                <w:color w:val="auto"/>
                <w:sz w:val="24"/>
                <w:szCs w:val="24"/>
              </w:rPr>
              <w:t>电梯厅外按钮的保护</w:t>
            </w:r>
          </w:p>
        </w:tc>
      </w:tr>
    </w:tbl>
    <w:p>
      <w:pPr>
        <w:ind w:firstLine="482" w:firstLineChars="200"/>
        <w:rPr>
          <w:rFonts w:ascii="宋体" w:hAnsi="宋体" w:eastAsia="宋体"/>
          <w:b/>
          <w:bCs/>
          <w:color w:val="auto"/>
          <w:sz w:val="24"/>
        </w:rPr>
      </w:pPr>
      <w:r>
        <w:rPr>
          <w:rFonts w:hint="eastAsia" w:ascii="宋体" w:hAnsi="宋体" w:eastAsia="宋体"/>
          <w:b/>
          <w:bCs/>
          <w:color w:val="auto"/>
          <w:sz w:val="24"/>
        </w:rPr>
        <w:t>备注：设置当电梯载重达到设计正常使用载重量的80%时超重报警，以防止永久电梯超载损坏。</w:t>
      </w:r>
    </w:p>
    <w:p>
      <w:pPr>
        <w:ind w:firstLine="482" w:firstLineChars="200"/>
        <w:rPr>
          <w:rFonts w:ascii="宋体" w:hAnsi="宋体" w:eastAsia="宋体"/>
          <w:b/>
          <w:bCs/>
          <w:color w:val="auto"/>
          <w:sz w:val="24"/>
        </w:rPr>
      </w:pPr>
      <w:r>
        <w:rPr>
          <w:rFonts w:hint="eastAsia" w:ascii="宋体" w:hAnsi="宋体" w:eastAsia="宋体"/>
          <w:b/>
          <w:bCs/>
          <w:color w:val="auto"/>
          <w:sz w:val="24"/>
        </w:rPr>
        <w:t>（2）电梯井口防水</w:t>
      </w:r>
    </w:p>
    <w:p>
      <w:pPr>
        <w:ind w:firstLine="480" w:firstLineChars="200"/>
        <w:rPr>
          <w:rFonts w:ascii="宋体" w:hAnsi="宋体" w:eastAsia="宋体"/>
          <w:color w:val="auto"/>
          <w:sz w:val="24"/>
        </w:rPr>
      </w:pPr>
      <w:r>
        <w:rPr>
          <w:rFonts w:hint="eastAsia" w:ascii="宋体" w:hAnsi="宋体" w:eastAsia="宋体"/>
          <w:color w:val="auto"/>
          <w:sz w:val="24"/>
        </w:rPr>
        <w:t>永久电梯在设计时未考虑井口防水，作为施工电梯使用时，需要在电梯井口用混凝土设置一条20mm 高的隔水带，防止楼面积水流入电梯井道对电梯造成影响。</w:t>
      </w:r>
    </w:p>
    <w:p>
      <w:pPr>
        <w:ind w:firstLine="482" w:firstLineChars="200"/>
        <w:rPr>
          <w:rFonts w:ascii="宋体" w:hAnsi="宋体" w:eastAsia="宋体"/>
          <w:b/>
          <w:bCs/>
          <w:color w:val="auto"/>
          <w:sz w:val="24"/>
        </w:rPr>
      </w:pPr>
      <w:r>
        <w:rPr>
          <w:rFonts w:hint="eastAsia" w:ascii="宋体" w:hAnsi="宋体" w:eastAsia="宋体"/>
          <w:b/>
          <w:bCs/>
          <w:color w:val="auto"/>
          <w:sz w:val="24"/>
        </w:rPr>
        <w:t>（3）电梯机房的通风散热</w:t>
      </w:r>
    </w:p>
    <w:p>
      <w:pPr>
        <w:ind w:firstLine="480" w:firstLineChars="200"/>
        <w:rPr>
          <w:rFonts w:ascii="宋体" w:hAnsi="宋体" w:eastAsia="宋体"/>
          <w:color w:val="auto"/>
          <w:sz w:val="24"/>
        </w:rPr>
      </w:pPr>
      <w:r>
        <w:rPr>
          <w:rFonts w:hint="eastAsia" w:ascii="宋体" w:hAnsi="宋体" w:eastAsia="宋体"/>
          <w:color w:val="auto"/>
          <w:sz w:val="24"/>
        </w:rPr>
        <w:t>在施工过程中，尤其是上下班的高峰期，电梯的频繁使用使电梯机房温度过热，需要对电梯机房的通风系统进行提前启动，如通风系统无法完成安装，在必要的情况下考虑在电梯机房</w:t>
      </w:r>
      <w:r>
        <w:rPr>
          <w:rFonts w:hint="eastAsia" w:ascii="宋体" w:hAnsi="宋体" w:eastAsia="宋体"/>
          <w:b/>
          <w:bCs/>
          <w:color w:val="auto"/>
          <w:sz w:val="24"/>
        </w:rPr>
        <w:t>设置临时空调</w:t>
      </w:r>
      <w:r>
        <w:rPr>
          <w:rFonts w:hint="eastAsia" w:ascii="宋体" w:hAnsi="宋体" w:eastAsia="宋体"/>
          <w:color w:val="auto"/>
          <w:sz w:val="24"/>
        </w:rPr>
        <w:t>以对电梯机房进行降温，保证电梯的高效安全运行。</w:t>
      </w:r>
    </w:p>
    <w:p>
      <w:pPr>
        <w:ind w:firstLine="480" w:firstLineChars="200"/>
        <w:rPr>
          <w:rFonts w:ascii="宋体" w:hAnsi="宋体" w:eastAsia="宋体"/>
          <w:color w:val="auto"/>
          <w:sz w:val="24"/>
        </w:rPr>
      </w:pPr>
      <w:r>
        <w:rPr>
          <w:rFonts w:hint="eastAsia" w:ascii="宋体" w:hAnsi="宋体" w:eastAsia="宋体"/>
          <w:color w:val="auto"/>
          <w:sz w:val="24"/>
        </w:rPr>
        <w:t>二、电梯运行</w:t>
      </w:r>
    </w:p>
    <w:p>
      <w:pPr>
        <w:ind w:firstLine="480" w:firstLineChars="200"/>
        <w:rPr>
          <w:rFonts w:ascii="宋体" w:hAnsi="宋体" w:eastAsia="宋体"/>
          <w:color w:val="auto"/>
          <w:sz w:val="24"/>
        </w:rPr>
      </w:pPr>
      <w:r>
        <w:rPr>
          <w:rFonts w:hint="eastAsia" w:ascii="宋体" w:hAnsi="宋体" w:eastAsia="宋体"/>
          <w:color w:val="auto"/>
          <w:sz w:val="24"/>
        </w:rPr>
        <w:t>2.1派专业操作人员对正式电梯进行操作，操作人员上岗前要进行该正式电梯使用的专项培训，掌握正式电梯的使用规程，考核合格后方可上岗，严禁非专业操作人员对电梯进行操作。电梯使用过程中电梯生产厂家派专人进行日常维护，发现问题及时解决。</w:t>
      </w:r>
    </w:p>
    <w:p>
      <w:pPr>
        <w:ind w:firstLine="480" w:firstLineChars="200"/>
        <w:rPr>
          <w:rFonts w:ascii="宋体" w:hAnsi="宋体" w:eastAsia="宋体"/>
          <w:color w:val="auto"/>
          <w:sz w:val="24"/>
        </w:rPr>
      </w:pPr>
      <w:r>
        <w:rPr>
          <w:rFonts w:hint="eastAsia" w:ascii="宋体" w:hAnsi="宋体" w:eastAsia="宋体"/>
          <w:color w:val="auto"/>
          <w:sz w:val="24"/>
        </w:rPr>
        <w:t>2.2电梯运行时间</w:t>
      </w:r>
    </w:p>
    <w:p>
      <w:pPr>
        <w:ind w:firstLine="480" w:firstLineChars="200"/>
        <w:rPr>
          <w:rFonts w:asciiTheme="minorEastAsia" w:hAnsiTheme="minorEastAsia" w:eastAsiaTheme="minorEastAsia" w:cstheme="minorEastAsia"/>
          <w:b/>
          <w:bCs/>
          <w:color w:val="auto"/>
          <w:sz w:val="24"/>
        </w:rPr>
      </w:pPr>
      <w:r>
        <w:rPr>
          <w:rFonts w:hint="eastAsia" w:asciiTheme="minorEastAsia" w:hAnsiTheme="minorEastAsia" w:eastAsiaTheme="minorEastAsia" w:cstheme="minorEastAsia"/>
          <w:color w:val="auto"/>
          <w:sz w:val="24"/>
        </w:rPr>
        <w:t>根据项目各阶段工程量，电梯提前使用将分阶段实施，暂定运行时间如下：</w:t>
      </w:r>
    </w:p>
    <w:tbl>
      <w:tblPr>
        <w:tblStyle w:val="20"/>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2091"/>
        <w:gridCol w:w="1315"/>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spacing w:line="360" w:lineRule="auto"/>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楼栋</w:t>
            </w:r>
          </w:p>
        </w:tc>
        <w:tc>
          <w:tcPr>
            <w:tcW w:w="2091" w:type="dxa"/>
          </w:tcPr>
          <w:p>
            <w:pPr>
              <w:spacing w:line="360" w:lineRule="auto"/>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电梯型号(暂定)</w:t>
            </w:r>
          </w:p>
        </w:tc>
        <w:tc>
          <w:tcPr>
            <w:tcW w:w="1315" w:type="dxa"/>
          </w:tcPr>
          <w:p>
            <w:pPr>
              <w:spacing w:line="360" w:lineRule="auto"/>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数量</w:t>
            </w:r>
          </w:p>
        </w:tc>
        <w:tc>
          <w:tcPr>
            <w:tcW w:w="1703" w:type="dxa"/>
          </w:tcPr>
          <w:p>
            <w:pPr>
              <w:spacing w:line="360" w:lineRule="auto"/>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开始时间</w:t>
            </w:r>
          </w:p>
        </w:tc>
        <w:tc>
          <w:tcPr>
            <w:tcW w:w="1703" w:type="dxa"/>
          </w:tcPr>
          <w:p>
            <w:pPr>
              <w:spacing w:line="360" w:lineRule="auto"/>
              <w:jc w:val="center"/>
              <w:rPr>
                <w:rFonts w:asciiTheme="minorEastAsia" w:hAnsiTheme="minorEastAsia" w:cstheme="minorEastAsia"/>
                <w:b/>
                <w:bCs/>
                <w:color w:val="auto"/>
                <w:sz w:val="24"/>
              </w:rPr>
            </w:pPr>
            <w:r>
              <w:rPr>
                <w:rFonts w:hint="eastAsia" w:asciiTheme="minorEastAsia" w:hAnsiTheme="minorEastAsia" w:cstheme="minorEastAsia"/>
                <w:b/>
                <w:bCs/>
                <w:color w:val="auto"/>
                <w:sz w:val="24"/>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T</w:t>
            </w:r>
            <w:r>
              <w:rPr>
                <w:rFonts w:asciiTheme="minorEastAsia" w:hAnsiTheme="minorEastAsia" w:cstheme="minorEastAsia"/>
                <w:color w:val="auto"/>
                <w:sz w:val="21"/>
                <w:szCs w:val="21"/>
              </w:rPr>
              <w:t>1</w:t>
            </w:r>
          </w:p>
        </w:tc>
        <w:tc>
          <w:tcPr>
            <w:tcW w:w="2091"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DT</w:t>
            </w:r>
            <w:r>
              <w:rPr>
                <w:rFonts w:asciiTheme="minorEastAsia" w:hAnsiTheme="minorEastAsia" w:cstheme="minorEastAsia"/>
                <w:color w:val="auto"/>
                <w:sz w:val="21"/>
                <w:szCs w:val="21"/>
              </w:rPr>
              <w:t>03/DT06/DT07/DT10/DTX01/DTX02</w:t>
            </w:r>
          </w:p>
        </w:tc>
        <w:tc>
          <w:tcPr>
            <w:tcW w:w="1315" w:type="dxa"/>
            <w:vAlign w:val="center"/>
          </w:tcPr>
          <w:p>
            <w:pPr>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6</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20</w:t>
            </w:r>
            <w:r>
              <w:rPr>
                <w:rFonts w:asciiTheme="minorEastAsia" w:hAnsiTheme="minorEastAsia" w:cstheme="minorEastAsia"/>
                <w:color w:val="auto"/>
                <w:sz w:val="21"/>
                <w:szCs w:val="21"/>
              </w:rPr>
              <w:t>25</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6</w:t>
            </w:r>
            <w:r>
              <w:rPr>
                <w:rFonts w:hint="eastAsia" w:asciiTheme="minorEastAsia" w:hAnsiTheme="minorEastAsia" w:cstheme="minorEastAsia"/>
                <w:color w:val="auto"/>
                <w:sz w:val="21"/>
                <w:szCs w:val="21"/>
              </w:rPr>
              <w:t>.1</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20</w:t>
            </w:r>
            <w:r>
              <w:rPr>
                <w:rFonts w:asciiTheme="minorEastAsia" w:hAnsiTheme="minorEastAsia" w:cstheme="minorEastAsia"/>
                <w:color w:val="auto"/>
                <w:sz w:val="21"/>
                <w:szCs w:val="21"/>
              </w:rPr>
              <w:t>25</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11</w:t>
            </w:r>
            <w:r>
              <w:rPr>
                <w:rFonts w:hint="eastAsia" w:asciiTheme="minorEastAsia" w:hAnsiTheme="minorEastAsia" w:cstheme="minorEastAsia"/>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T</w:t>
            </w:r>
            <w:r>
              <w:rPr>
                <w:rFonts w:asciiTheme="minorEastAsia" w:hAnsiTheme="minorEastAsia" w:cstheme="minorEastAsia"/>
                <w:color w:val="auto"/>
                <w:sz w:val="21"/>
                <w:szCs w:val="21"/>
              </w:rPr>
              <w:t>2</w:t>
            </w:r>
          </w:p>
        </w:tc>
        <w:tc>
          <w:tcPr>
            <w:tcW w:w="2091"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DT</w:t>
            </w:r>
            <w:r>
              <w:rPr>
                <w:rFonts w:asciiTheme="minorEastAsia" w:hAnsiTheme="minorEastAsia" w:cstheme="minorEastAsia"/>
                <w:color w:val="auto"/>
                <w:sz w:val="21"/>
                <w:szCs w:val="21"/>
              </w:rPr>
              <w:t>03/DT06/DT07/DT10/DTX01/DTX02</w:t>
            </w:r>
          </w:p>
        </w:tc>
        <w:tc>
          <w:tcPr>
            <w:tcW w:w="1315" w:type="dxa"/>
            <w:vAlign w:val="center"/>
          </w:tcPr>
          <w:p>
            <w:pPr>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6</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20</w:t>
            </w:r>
            <w:r>
              <w:rPr>
                <w:rFonts w:asciiTheme="minorEastAsia" w:hAnsiTheme="minorEastAsia" w:cstheme="minorEastAsia"/>
                <w:color w:val="auto"/>
                <w:sz w:val="21"/>
                <w:szCs w:val="21"/>
              </w:rPr>
              <w:t>25</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6</w:t>
            </w:r>
            <w:r>
              <w:rPr>
                <w:rFonts w:hint="eastAsia" w:asciiTheme="minorEastAsia" w:hAnsiTheme="minorEastAsia" w:cstheme="minorEastAsia"/>
                <w:color w:val="auto"/>
                <w:sz w:val="21"/>
                <w:szCs w:val="21"/>
              </w:rPr>
              <w:t>.1</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20</w:t>
            </w:r>
            <w:r>
              <w:rPr>
                <w:rFonts w:asciiTheme="minorEastAsia" w:hAnsiTheme="minorEastAsia" w:cstheme="minorEastAsia"/>
                <w:color w:val="auto"/>
                <w:sz w:val="21"/>
                <w:szCs w:val="21"/>
              </w:rPr>
              <w:t>25</w:t>
            </w:r>
            <w:r>
              <w:rPr>
                <w:rFonts w:hint="eastAsia" w:asciiTheme="minorEastAsia" w:hAnsiTheme="minorEastAsia" w:cstheme="minorEastAsia"/>
                <w:color w:val="auto"/>
                <w:sz w:val="21"/>
                <w:szCs w:val="21"/>
              </w:rPr>
              <w:t>.1</w:t>
            </w:r>
            <w:r>
              <w:rPr>
                <w:rFonts w:asciiTheme="minorEastAsia" w:hAnsiTheme="minorEastAsia" w:cstheme="minorEastAsia"/>
                <w:color w:val="auto"/>
                <w:sz w:val="21"/>
                <w:szCs w:val="21"/>
              </w:rPr>
              <w:t>1</w:t>
            </w:r>
            <w:r>
              <w:rPr>
                <w:rFonts w:hint="eastAsia" w:asciiTheme="minorEastAsia" w:hAnsiTheme="minorEastAsia" w:cstheme="minorEastAsia"/>
                <w:color w:val="auto"/>
                <w:sz w:val="21"/>
                <w:szCs w:val="21"/>
              </w:rPr>
              <w:t>.3</w:t>
            </w:r>
            <w:r>
              <w:rPr>
                <w:rFonts w:asciiTheme="minorEastAsia" w:hAnsiTheme="minorEastAsia" w:cstheme="minorEastAsia"/>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T</w:t>
            </w:r>
            <w:r>
              <w:rPr>
                <w:rFonts w:asciiTheme="minorEastAsia" w:hAnsiTheme="minorEastAsia" w:cstheme="minorEastAsia"/>
                <w:color w:val="auto"/>
                <w:sz w:val="21"/>
                <w:szCs w:val="21"/>
              </w:rPr>
              <w:t>3</w:t>
            </w:r>
          </w:p>
        </w:tc>
        <w:tc>
          <w:tcPr>
            <w:tcW w:w="2091" w:type="dxa"/>
            <w:vAlign w:val="center"/>
          </w:tcPr>
          <w:p>
            <w:pPr>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DT01</w:t>
            </w:r>
          </w:p>
        </w:tc>
        <w:tc>
          <w:tcPr>
            <w:tcW w:w="1315" w:type="dxa"/>
            <w:vAlign w:val="center"/>
          </w:tcPr>
          <w:p>
            <w:pPr>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202</w:t>
            </w:r>
            <w:r>
              <w:rPr>
                <w:rFonts w:asciiTheme="minorEastAsia" w:hAnsiTheme="minorEastAsia" w:cstheme="minorEastAsia"/>
                <w:color w:val="auto"/>
                <w:sz w:val="21"/>
                <w:szCs w:val="21"/>
              </w:rPr>
              <w:t>4</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6</w:t>
            </w:r>
            <w:r>
              <w:rPr>
                <w:rFonts w:hint="eastAsia" w:asciiTheme="minorEastAsia" w:hAnsiTheme="minorEastAsia" w:cstheme="minorEastAsia"/>
                <w:color w:val="auto"/>
                <w:sz w:val="21"/>
                <w:szCs w:val="21"/>
              </w:rPr>
              <w:t>.1</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202</w:t>
            </w:r>
            <w:r>
              <w:rPr>
                <w:rFonts w:asciiTheme="minorEastAsia" w:hAnsiTheme="minorEastAsia" w:cstheme="minorEastAsia"/>
                <w:color w:val="auto"/>
                <w:sz w:val="21"/>
                <w:szCs w:val="21"/>
              </w:rPr>
              <w:t>4</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11</w:t>
            </w:r>
            <w:r>
              <w:rPr>
                <w:rFonts w:hint="eastAsia" w:asciiTheme="minorEastAsia" w:hAnsiTheme="minorEastAsia" w:cstheme="minorEastAsia"/>
                <w:color w:val="auto"/>
                <w:sz w:val="21"/>
                <w:szCs w:val="21"/>
              </w:rPr>
              <w:t>.</w:t>
            </w:r>
            <w:r>
              <w:rPr>
                <w:rFonts w:asciiTheme="minorEastAsia" w:hAnsiTheme="minorEastAsia" w:cstheme="minorEastAsia"/>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T</w:t>
            </w:r>
            <w:r>
              <w:rPr>
                <w:rFonts w:asciiTheme="minorEastAsia" w:hAnsiTheme="minorEastAsia" w:cstheme="minorEastAsia"/>
                <w:color w:val="auto"/>
                <w:sz w:val="21"/>
                <w:szCs w:val="21"/>
              </w:rPr>
              <w:t>4</w:t>
            </w:r>
          </w:p>
        </w:tc>
        <w:tc>
          <w:tcPr>
            <w:tcW w:w="2091"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D</w:t>
            </w:r>
            <w:r>
              <w:rPr>
                <w:rFonts w:asciiTheme="minorEastAsia" w:hAnsiTheme="minorEastAsia" w:cstheme="minorEastAsia"/>
                <w:color w:val="auto"/>
                <w:sz w:val="21"/>
                <w:szCs w:val="21"/>
              </w:rPr>
              <w:t>T01</w:t>
            </w:r>
          </w:p>
        </w:tc>
        <w:tc>
          <w:tcPr>
            <w:tcW w:w="1315" w:type="dxa"/>
            <w:vAlign w:val="center"/>
          </w:tcPr>
          <w:p>
            <w:pPr>
              <w:jc w:val="center"/>
              <w:rPr>
                <w:rFonts w:asciiTheme="minorEastAsia" w:hAnsiTheme="minorEastAsia" w:cstheme="minorEastAsia"/>
                <w:color w:val="auto"/>
                <w:sz w:val="21"/>
                <w:szCs w:val="21"/>
              </w:rPr>
            </w:pPr>
            <w:r>
              <w:rPr>
                <w:rFonts w:asciiTheme="minorEastAsia" w:hAnsiTheme="minorEastAsia" w:cstheme="minorEastAsia"/>
                <w:color w:val="auto"/>
                <w:sz w:val="21"/>
                <w:szCs w:val="21"/>
              </w:rPr>
              <w:t>1</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024.7.1</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024.11.30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T</w:t>
            </w:r>
            <w:r>
              <w:rPr>
                <w:rFonts w:asciiTheme="minorEastAsia" w:hAnsiTheme="minorEastAsia" w:cstheme="minorEastAsia"/>
                <w:color w:val="auto"/>
                <w:sz w:val="21"/>
                <w:szCs w:val="21"/>
              </w:rPr>
              <w:t>5</w:t>
            </w:r>
          </w:p>
        </w:tc>
        <w:tc>
          <w:tcPr>
            <w:tcW w:w="2091"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D</w:t>
            </w:r>
            <w:r>
              <w:rPr>
                <w:rFonts w:asciiTheme="minorEastAsia" w:hAnsiTheme="minorEastAsia" w:cstheme="minorEastAsia"/>
                <w:color w:val="auto"/>
                <w:sz w:val="21"/>
                <w:szCs w:val="21"/>
              </w:rPr>
              <w:t>T01</w:t>
            </w:r>
          </w:p>
        </w:tc>
        <w:tc>
          <w:tcPr>
            <w:tcW w:w="1315"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1</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024.9.1</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024.11.30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T</w:t>
            </w:r>
            <w:r>
              <w:rPr>
                <w:rFonts w:asciiTheme="minorEastAsia" w:hAnsiTheme="minorEastAsia" w:cstheme="minorEastAsia"/>
                <w:color w:val="auto"/>
                <w:sz w:val="21"/>
                <w:szCs w:val="21"/>
              </w:rPr>
              <w:t>6</w:t>
            </w:r>
          </w:p>
        </w:tc>
        <w:tc>
          <w:tcPr>
            <w:tcW w:w="2091"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D</w:t>
            </w:r>
            <w:r>
              <w:rPr>
                <w:rFonts w:asciiTheme="minorEastAsia" w:hAnsiTheme="minorEastAsia" w:cstheme="minorEastAsia"/>
                <w:color w:val="auto"/>
                <w:sz w:val="21"/>
                <w:szCs w:val="21"/>
              </w:rPr>
              <w:t>T01/DTX01</w:t>
            </w:r>
          </w:p>
        </w:tc>
        <w:tc>
          <w:tcPr>
            <w:tcW w:w="1315"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024.9.1</w:t>
            </w:r>
          </w:p>
        </w:tc>
        <w:tc>
          <w:tcPr>
            <w:tcW w:w="1703" w:type="dxa"/>
            <w:vAlign w:val="center"/>
          </w:tcPr>
          <w:p>
            <w:pPr>
              <w:jc w:val="center"/>
              <w:rPr>
                <w:rFonts w:asciiTheme="minorEastAsia" w:hAnsiTheme="minorEastAsia" w:cstheme="minorEastAsia"/>
                <w:color w:val="auto"/>
                <w:sz w:val="21"/>
                <w:szCs w:val="21"/>
              </w:rPr>
            </w:pPr>
            <w:r>
              <w:rPr>
                <w:rFonts w:hint="eastAsia" w:asciiTheme="minorEastAsia" w:hAnsiTheme="minorEastAsia" w:cstheme="minorEastAsia"/>
                <w:color w:val="auto"/>
                <w:sz w:val="21"/>
                <w:szCs w:val="21"/>
              </w:rPr>
              <w:t>2</w:t>
            </w:r>
            <w:r>
              <w:rPr>
                <w:rFonts w:asciiTheme="minorEastAsia" w:hAnsiTheme="minorEastAsia" w:cstheme="minorEastAsia"/>
                <w:color w:val="auto"/>
                <w:sz w:val="21"/>
                <w:szCs w:val="21"/>
              </w:rPr>
              <w:t>024.12.31</w:t>
            </w:r>
          </w:p>
        </w:tc>
      </w:tr>
    </w:tbl>
    <w:p>
      <w:pPr>
        <w:ind w:firstLine="482" w:firstLineChars="200"/>
        <w:rPr>
          <w:color w:val="auto"/>
        </w:rPr>
      </w:pPr>
      <w:r>
        <w:rPr>
          <w:rFonts w:hint="eastAsia" w:ascii="宋体" w:hAnsi="宋体" w:eastAsia="宋体"/>
          <w:b/>
          <w:bCs/>
          <w:color w:val="auto"/>
          <w:sz w:val="24"/>
        </w:rPr>
        <w:t>备注：电梯具体</w:t>
      </w:r>
      <w:r>
        <w:rPr>
          <w:rFonts w:hint="eastAsia" w:ascii="宋体" w:hAnsi="宋体" w:eastAsia="宋体"/>
          <w:color w:val="auto"/>
          <w:sz w:val="24"/>
        </w:rPr>
        <w:t>运行</w:t>
      </w:r>
      <w:r>
        <w:rPr>
          <w:rFonts w:hint="eastAsia" w:ascii="宋体" w:hAnsi="宋体" w:eastAsia="宋体"/>
          <w:b/>
          <w:bCs/>
          <w:color w:val="auto"/>
          <w:sz w:val="24"/>
        </w:rPr>
        <w:t>开始时间及梯号台数以甲方指令为主，报价包含</w:t>
      </w:r>
      <w:r>
        <w:rPr>
          <w:rFonts w:ascii="宋体" w:hAnsi="宋体" w:eastAsia="宋体"/>
          <w:b/>
          <w:bCs/>
          <w:color w:val="auto"/>
          <w:sz w:val="24"/>
        </w:rPr>
        <w:t>12</w:t>
      </w:r>
      <w:r>
        <w:rPr>
          <w:rFonts w:hint="eastAsia" w:ascii="宋体" w:hAnsi="宋体" w:eastAsia="宋体"/>
          <w:b/>
          <w:bCs/>
          <w:color w:val="auto"/>
          <w:sz w:val="24"/>
        </w:rPr>
        <w:t>个小时运行及2</w:t>
      </w:r>
      <w:r>
        <w:rPr>
          <w:rFonts w:ascii="宋体" w:hAnsi="宋体" w:eastAsia="宋体"/>
          <w:b/>
          <w:bCs/>
          <w:color w:val="auto"/>
          <w:sz w:val="24"/>
        </w:rPr>
        <w:t>4</w:t>
      </w:r>
      <w:r>
        <w:rPr>
          <w:rFonts w:hint="eastAsia" w:ascii="宋体" w:hAnsi="宋体" w:eastAsia="宋体"/>
          <w:b/>
          <w:bCs/>
          <w:color w:val="auto"/>
          <w:sz w:val="24"/>
        </w:rPr>
        <w:t>小时运行两个时间段。</w:t>
      </w:r>
    </w:p>
    <w:p>
      <w:pPr>
        <w:widowControl/>
        <w:autoSpaceDE/>
        <w:autoSpaceDN/>
        <w:adjustRightInd/>
        <w:spacing w:line="288" w:lineRule="auto"/>
        <w:rPr>
          <w:rFonts w:ascii="宋体" w:hAnsi="宋体" w:eastAsia="宋体"/>
          <w:b/>
          <w:bCs/>
          <w:color w:val="auto"/>
          <w:sz w:val="21"/>
          <w:szCs w:val="21"/>
        </w:rPr>
      </w:pPr>
      <w:r>
        <w:rPr>
          <w:rFonts w:ascii="宋体" w:hAnsi="宋体" w:eastAsia="宋体"/>
          <w:b/>
          <w:bCs/>
          <w:color w:val="auto"/>
          <w:sz w:val="21"/>
          <w:szCs w:val="21"/>
        </w:rPr>
        <w:br w:type="page"/>
      </w:r>
    </w:p>
    <w:p>
      <w:pPr>
        <w:spacing w:line="520" w:lineRule="exact"/>
        <w:outlineLvl w:val="0"/>
        <w:rPr>
          <w:rFonts w:ascii="楷体" w:hAnsi="楷体" w:eastAsia="楷体"/>
          <w:bCs/>
          <w:color w:val="auto"/>
          <w:sz w:val="21"/>
          <w:szCs w:val="21"/>
        </w:rPr>
      </w:pPr>
      <w:bookmarkStart w:id="56" w:name="_Toc31961"/>
      <w:bookmarkStart w:id="57" w:name="_Toc8136"/>
      <w:bookmarkStart w:id="58" w:name="_Toc107410471"/>
      <w:bookmarkStart w:id="59" w:name="_Toc126962060"/>
      <w:bookmarkStart w:id="60" w:name="_Toc122343765"/>
      <w:r>
        <w:rPr>
          <w:rFonts w:hint="eastAsia" w:ascii="楷体" w:hAnsi="楷体" w:eastAsia="楷体"/>
          <w:bCs/>
          <w:color w:val="auto"/>
          <w:sz w:val="21"/>
          <w:szCs w:val="21"/>
        </w:rPr>
        <w:t>附件十：安全管理专篇</w:t>
      </w:r>
      <w:bookmarkEnd w:id="56"/>
      <w:bookmarkEnd w:id="57"/>
      <w:bookmarkEnd w:id="58"/>
      <w:bookmarkEnd w:id="59"/>
      <w:bookmarkEnd w:id="60"/>
    </w:p>
    <w:p>
      <w:pPr>
        <w:tabs>
          <w:tab w:val="left" w:pos="3928"/>
        </w:tabs>
        <w:spacing w:line="360" w:lineRule="auto"/>
        <w:jc w:val="center"/>
        <w:rPr>
          <w:rFonts w:ascii="楷体" w:hAnsi="楷体" w:eastAsia="楷体"/>
          <w:b/>
          <w:color w:val="auto"/>
          <w:sz w:val="28"/>
          <w:szCs w:val="28"/>
        </w:rPr>
      </w:pPr>
      <w:r>
        <w:rPr>
          <w:rFonts w:hint="eastAsia" w:ascii="楷体" w:hAnsi="楷体" w:eastAsia="楷体"/>
          <w:b/>
          <w:color w:val="auto"/>
          <w:sz w:val="28"/>
          <w:szCs w:val="28"/>
        </w:rPr>
        <w:t>安全管理专篇</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61" w:name="_Toc213658612"/>
      <w:bookmarkStart w:id="62" w:name="_Toc41569103"/>
      <w:bookmarkStart w:id="63" w:name="_Toc213660313"/>
      <w:bookmarkStart w:id="64" w:name="一"/>
      <w:r>
        <w:rPr>
          <w:rFonts w:hint="eastAsia" w:ascii="楷体" w:hAnsi="楷体" w:eastAsia="楷体" w:cs="新宋体-18030"/>
          <w:b/>
          <w:bCs/>
          <w:color w:val="auto"/>
          <w:sz w:val="21"/>
          <w:szCs w:val="21"/>
        </w:rPr>
        <w:t>总则</w:t>
      </w:r>
      <w:bookmarkEnd w:id="61"/>
      <w:bookmarkEnd w:id="62"/>
      <w:bookmarkEnd w:id="63"/>
    </w:p>
    <w:bookmarkEnd w:id="64"/>
    <w:p>
      <w:pPr>
        <w:snapToGrid w:val="0"/>
        <w:spacing w:line="360" w:lineRule="auto"/>
        <w:ind w:firstLine="420" w:firstLineChars="200"/>
        <w:rPr>
          <w:rFonts w:ascii="楷体" w:hAnsi="楷体" w:eastAsia="楷体" w:cs="新宋体-18030"/>
          <w:color w:val="auto"/>
          <w:sz w:val="21"/>
          <w:szCs w:val="21"/>
        </w:rPr>
      </w:pPr>
      <w:r>
        <w:rPr>
          <w:rFonts w:hint="eastAsia" w:ascii="楷体" w:hAnsi="楷体" w:eastAsia="楷体" w:cs="新宋体-18030"/>
          <w:color w:val="auto"/>
          <w:sz w:val="21"/>
          <w:szCs w:val="21"/>
        </w:rPr>
        <w:t>依据中华人民共和国职业健康、安全生产类、环境保护类相关法律、法规、标准的要求</w:t>
      </w:r>
      <w:r>
        <w:rPr>
          <w:rFonts w:hint="eastAsia" w:ascii="楷体" w:hAnsi="楷体" w:eastAsia="楷体" w:cs="新宋体-18030"/>
          <w:bCs/>
          <w:color w:val="auto"/>
          <w:sz w:val="21"/>
          <w:szCs w:val="21"/>
        </w:rPr>
        <w:t>，</w:t>
      </w:r>
      <w:r>
        <w:rPr>
          <w:rFonts w:hint="eastAsia" w:ascii="楷体" w:hAnsi="楷体" w:eastAsia="楷体" w:cs="新宋体-18030"/>
          <w:color w:val="auto"/>
          <w:sz w:val="21"/>
          <w:szCs w:val="21"/>
        </w:rPr>
        <w:t>发包人对承包人承包合同规定的活动中的职业健康、安全生产和环境保护（以下简称安全）工作实行统一的协调、管理和指导。</w:t>
      </w:r>
    </w:p>
    <w:p>
      <w:pPr>
        <w:snapToGrid w:val="0"/>
        <w:spacing w:line="360" w:lineRule="auto"/>
        <w:ind w:firstLine="422" w:firstLineChars="200"/>
        <w:rPr>
          <w:rFonts w:ascii="楷体" w:hAnsi="楷体" w:eastAsia="楷体" w:cs="新宋体-18030"/>
          <w:b/>
          <w:color w:val="auto"/>
          <w:sz w:val="21"/>
          <w:szCs w:val="21"/>
        </w:rPr>
      </w:pPr>
      <w:r>
        <w:rPr>
          <w:rFonts w:hint="eastAsia" w:ascii="楷体" w:hAnsi="楷体" w:eastAsia="楷体" w:cs="新宋体-18030"/>
          <w:b/>
          <w:color w:val="auto"/>
          <w:sz w:val="21"/>
          <w:szCs w:val="21"/>
        </w:rPr>
        <w:t>本安全管理专篇为发包人与承包人签订的《粤海</w:t>
      </w:r>
      <w:r>
        <w:rPr>
          <w:rFonts w:hint="eastAsia" w:ascii="宋体" w:hAnsi="宋体" w:eastAsia="宋体" w:cs="宋体"/>
          <w:b/>
          <w:color w:val="auto"/>
          <w:sz w:val="21"/>
          <w:szCs w:val="21"/>
        </w:rPr>
        <w:t>•</w:t>
      </w:r>
      <w:r>
        <w:rPr>
          <w:rFonts w:hint="eastAsia" w:ascii="楷体" w:hAnsi="楷体" w:eastAsia="楷体" w:cs="楷体"/>
          <w:b/>
          <w:color w:val="auto"/>
          <w:sz w:val="21"/>
          <w:szCs w:val="21"/>
        </w:rPr>
        <w:t>云港城项目</w:t>
      </w:r>
      <w:r>
        <w:rPr>
          <w:rFonts w:hint="eastAsia" w:ascii="楷体" w:hAnsi="楷体" w:eastAsia="楷体" w:cs="新宋体-18030"/>
          <w:b/>
          <w:color w:val="auto"/>
          <w:sz w:val="21"/>
          <w:szCs w:val="21"/>
        </w:rPr>
        <w:t>4#地块工程施工总承包合同》的附件，专篇内容适用于粤海</w:t>
      </w:r>
      <w:r>
        <w:rPr>
          <w:rFonts w:hint="eastAsia" w:ascii="宋体" w:hAnsi="宋体" w:eastAsia="宋体" w:cs="宋体"/>
          <w:b/>
          <w:color w:val="auto"/>
          <w:sz w:val="21"/>
          <w:szCs w:val="21"/>
        </w:rPr>
        <w:t>•</w:t>
      </w:r>
      <w:r>
        <w:rPr>
          <w:rFonts w:hint="eastAsia" w:ascii="楷体" w:hAnsi="楷体" w:eastAsia="楷体" w:cs="楷体"/>
          <w:b/>
          <w:color w:val="auto"/>
          <w:sz w:val="21"/>
          <w:szCs w:val="21"/>
        </w:rPr>
        <w:t>云港城项目</w:t>
      </w:r>
      <w:r>
        <w:rPr>
          <w:rFonts w:hint="eastAsia" w:ascii="楷体" w:hAnsi="楷体" w:eastAsia="楷体" w:cs="新宋体-18030"/>
          <w:b/>
          <w:color w:val="auto"/>
          <w:sz w:val="21"/>
          <w:szCs w:val="21"/>
        </w:rPr>
        <w:t>4#地块的工程项目。本地块的分包人也须遵守本专篇的相关要求，如分包人违反本专篇的要求，按总承包合同的约定，由分包人向承包人支付违约金，承包人向发包人支付违约金，相关违约金在当期进度款中扣除。</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65" w:name="_Toc213658613"/>
      <w:bookmarkStart w:id="66" w:name="_Toc213660314"/>
      <w:bookmarkStart w:id="67" w:name="_Toc41569104"/>
      <w:bookmarkStart w:id="68" w:name="二"/>
      <w:r>
        <w:rPr>
          <w:rFonts w:hint="eastAsia" w:ascii="楷体" w:hAnsi="楷体" w:eastAsia="楷体" w:cs="新宋体-18030"/>
          <w:b/>
          <w:bCs/>
          <w:color w:val="auto"/>
          <w:sz w:val="21"/>
          <w:szCs w:val="21"/>
        </w:rPr>
        <w:t>法律法规</w:t>
      </w:r>
      <w:bookmarkEnd w:id="65"/>
      <w:bookmarkEnd w:id="66"/>
      <w:bookmarkEnd w:id="67"/>
    </w:p>
    <w:p>
      <w:pPr>
        <w:snapToGrid w:val="0"/>
        <w:spacing w:before="120" w:after="120" w:line="360" w:lineRule="auto"/>
        <w:ind w:firstLine="420" w:firstLineChars="200"/>
        <w:rPr>
          <w:rFonts w:ascii="楷体" w:hAnsi="楷体" w:eastAsia="楷体" w:cs="新宋体-18030"/>
          <w:color w:val="auto"/>
          <w:sz w:val="21"/>
          <w:szCs w:val="21"/>
        </w:rPr>
      </w:pPr>
      <w:r>
        <w:rPr>
          <w:rFonts w:hint="eastAsia" w:ascii="楷体" w:hAnsi="楷体" w:eastAsia="楷体" w:cs="新宋体-18030"/>
          <w:color w:val="auto"/>
          <w:sz w:val="21"/>
          <w:szCs w:val="21"/>
        </w:rPr>
        <w:t>承包人在从事项目活动时必须遵守国家安全生产和环境保护相关的法律、法规、强制性国家标准和相关行业标准，</w:t>
      </w:r>
      <w:r>
        <w:rPr>
          <w:rFonts w:hint="eastAsia" w:ascii="楷体" w:hAnsi="楷体" w:eastAsia="楷体"/>
          <w:color w:val="auto"/>
          <w:sz w:val="21"/>
          <w:szCs w:val="21"/>
        </w:rPr>
        <w:t>当国家法律、法规、标准变更时，以新版本为准。</w:t>
      </w:r>
    </w:p>
    <w:bookmarkEnd w:id="68"/>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69" w:name="_Toc41569105"/>
      <w:bookmarkStart w:id="70" w:name="_Toc213660316"/>
      <w:bookmarkStart w:id="71" w:name="_Toc213658615"/>
      <w:bookmarkStart w:id="72" w:name="四"/>
      <w:r>
        <w:rPr>
          <w:rFonts w:hint="eastAsia" w:ascii="楷体" w:hAnsi="楷体" w:eastAsia="楷体" w:cs="新宋体-18030"/>
          <w:b/>
          <w:bCs/>
          <w:color w:val="auto"/>
          <w:sz w:val="21"/>
          <w:szCs w:val="21"/>
        </w:rPr>
        <w:t>对承包人安全、环境管理程序的要求</w:t>
      </w:r>
      <w:bookmarkEnd w:id="69"/>
      <w:bookmarkEnd w:id="70"/>
      <w:bookmarkEnd w:id="71"/>
    </w:p>
    <w:bookmarkEnd w:id="72"/>
    <w:p>
      <w:pPr>
        <w:numPr>
          <w:ilvl w:val="1"/>
          <w:numId w:val="6"/>
        </w:numPr>
        <w:tabs>
          <w:tab w:val="clear" w:pos="1512"/>
        </w:tabs>
        <w:autoSpaceDE/>
        <w:autoSpaceDN/>
        <w:adjustRightInd/>
        <w:snapToGrid w:val="0"/>
        <w:spacing w:before="120" w:after="120" w:line="360" w:lineRule="auto"/>
        <w:ind w:left="0" w:firstLine="420" w:firstLineChars="200"/>
        <w:rPr>
          <w:rFonts w:ascii="楷体" w:hAnsi="楷体" w:eastAsia="楷体" w:cs="新宋体-18030"/>
          <w:bCs/>
          <w:snapToGrid w:val="0"/>
          <w:color w:val="auto"/>
          <w:sz w:val="21"/>
          <w:szCs w:val="21"/>
        </w:rPr>
      </w:pPr>
      <w:r>
        <w:rPr>
          <w:rFonts w:hint="eastAsia" w:ascii="楷体" w:hAnsi="楷体" w:eastAsia="楷体" w:cs="新宋体-18030"/>
          <w:bCs/>
          <w:snapToGrid w:val="0"/>
          <w:color w:val="auto"/>
          <w:sz w:val="21"/>
          <w:szCs w:val="21"/>
        </w:rPr>
        <w:t>承包人应建立健全本单位本工程的安全管理大纲及程序体系，在合同签订后</w:t>
      </w:r>
      <w:r>
        <w:rPr>
          <w:rFonts w:ascii="楷体" w:hAnsi="楷体" w:eastAsia="楷体" w:cs="新宋体-18030"/>
          <w:bCs/>
          <w:snapToGrid w:val="0"/>
          <w:color w:val="auto"/>
          <w:sz w:val="21"/>
          <w:szCs w:val="21"/>
        </w:rPr>
        <w:t>1</w:t>
      </w:r>
      <w:r>
        <w:rPr>
          <w:rFonts w:hint="eastAsia" w:ascii="楷体" w:hAnsi="楷体" w:eastAsia="楷体" w:cs="新宋体-18030"/>
          <w:bCs/>
          <w:snapToGrid w:val="0"/>
          <w:color w:val="auto"/>
          <w:sz w:val="21"/>
          <w:szCs w:val="21"/>
        </w:rPr>
        <w:t>个月内</w:t>
      </w:r>
      <w:r>
        <w:rPr>
          <w:rFonts w:ascii="楷体" w:hAnsi="楷体" w:eastAsia="楷体" w:cs="新宋体-18030"/>
          <w:bCs/>
          <w:snapToGrid w:val="0"/>
          <w:color w:val="auto"/>
          <w:sz w:val="21"/>
          <w:szCs w:val="21"/>
        </w:rPr>
        <w:t>(</w:t>
      </w:r>
      <w:r>
        <w:rPr>
          <w:rFonts w:hint="eastAsia" w:ascii="楷体" w:hAnsi="楷体" w:eastAsia="楷体" w:cs="新宋体-18030"/>
          <w:bCs/>
          <w:snapToGrid w:val="0"/>
          <w:color w:val="auto"/>
          <w:sz w:val="21"/>
          <w:szCs w:val="21"/>
        </w:rPr>
        <w:t>工程开工前</w:t>
      </w:r>
      <w:r>
        <w:rPr>
          <w:rFonts w:ascii="楷体" w:hAnsi="楷体" w:eastAsia="楷体" w:cs="新宋体-18030"/>
          <w:bCs/>
          <w:snapToGrid w:val="0"/>
          <w:color w:val="auto"/>
          <w:sz w:val="21"/>
          <w:szCs w:val="21"/>
        </w:rPr>
        <w:t>)</w:t>
      </w:r>
      <w:r>
        <w:rPr>
          <w:rFonts w:hint="eastAsia" w:ascii="楷体" w:hAnsi="楷体" w:eastAsia="楷体" w:cs="新宋体-18030"/>
          <w:bCs/>
          <w:snapToGrid w:val="0"/>
          <w:color w:val="auto"/>
          <w:sz w:val="21"/>
          <w:szCs w:val="21"/>
        </w:rPr>
        <w:t>向发包人提供安全程序清单。</w:t>
      </w:r>
    </w:p>
    <w:p>
      <w:pPr>
        <w:numPr>
          <w:ilvl w:val="1"/>
          <w:numId w:val="6"/>
        </w:numPr>
        <w:tabs>
          <w:tab w:val="clear" w:pos="1512"/>
        </w:tabs>
        <w:autoSpaceDE/>
        <w:autoSpaceDN/>
        <w:adjustRightInd/>
        <w:snapToGrid w:val="0"/>
        <w:spacing w:before="120" w:after="120" w:line="360" w:lineRule="auto"/>
        <w:ind w:left="0" w:firstLine="420" w:firstLineChars="200"/>
        <w:rPr>
          <w:rFonts w:ascii="楷体" w:hAnsi="楷体" w:eastAsia="楷体" w:cs="新宋体-18030"/>
          <w:color w:val="auto"/>
          <w:sz w:val="21"/>
          <w:szCs w:val="21"/>
        </w:rPr>
      </w:pPr>
      <w:r>
        <w:rPr>
          <w:rFonts w:hint="eastAsia" w:ascii="楷体" w:hAnsi="楷体" w:eastAsia="楷体" w:cs="新宋体-18030"/>
          <w:color w:val="auto"/>
          <w:sz w:val="21"/>
          <w:szCs w:val="21"/>
        </w:rPr>
        <w:t>参照执行发包人的程序和其他相关规定时，不取代承包人的安全、环境管理责任，不影响或减轻承包人履行合同安全、环境条款所规定的责任。</w:t>
      </w:r>
    </w:p>
    <w:p>
      <w:pPr>
        <w:numPr>
          <w:ilvl w:val="1"/>
          <w:numId w:val="6"/>
        </w:numPr>
        <w:tabs>
          <w:tab w:val="clear" w:pos="1512"/>
        </w:tabs>
        <w:autoSpaceDE/>
        <w:autoSpaceDN/>
        <w:adjustRightInd/>
        <w:snapToGrid w:val="0"/>
        <w:spacing w:before="120" w:after="120" w:line="360" w:lineRule="auto"/>
        <w:ind w:left="0" w:firstLine="420" w:firstLineChars="200"/>
        <w:rPr>
          <w:rFonts w:ascii="楷体" w:hAnsi="楷体" w:eastAsia="楷体" w:cs="新宋体-18030"/>
          <w:color w:val="auto"/>
          <w:sz w:val="21"/>
          <w:szCs w:val="21"/>
        </w:rPr>
      </w:pPr>
      <w:r>
        <w:rPr>
          <w:rFonts w:hint="eastAsia" w:ascii="楷体" w:hAnsi="楷体" w:eastAsia="楷体" w:cs="新宋体-18030"/>
          <w:bCs/>
          <w:snapToGrid w:val="0"/>
          <w:color w:val="auto"/>
          <w:sz w:val="21"/>
          <w:szCs w:val="21"/>
        </w:rPr>
        <w:t>承包人</w:t>
      </w:r>
      <w:r>
        <w:rPr>
          <w:rFonts w:hint="eastAsia" w:ascii="楷体" w:hAnsi="楷体" w:eastAsia="楷体" w:cs="新宋体-18030"/>
          <w:color w:val="auto"/>
          <w:sz w:val="21"/>
          <w:szCs w:val="21"/>
        </w:rPr>
        <w:t>编制的所有安全大纲、程序、方案必须符合国家和当地法律法规及发包人程序规范要求，在</w:t>
      </w:r>
      <w:r>
        <w:rPr>
          <w:rFonts w:hint="eastAsia" w:ascii="楷体" w:hAnsi="楷体" w:eastAsia="楷体" w:cs="新宋体-18030"/>
          <w:bCs/>
          <w:snapToGrid w:val="0"/>
          <w:color w:val="auto"/>
          <w:sz w:val="21"/>
          <w:szCs w:val="21"/>
        </w:rPr>
        <w:t>合同签订后</w:t>
      </w:r>
      <w:r>
        <w:rPr>
          <w:rFonts w:ascii="楷体" w:hAnsi="楷体" w:eastAsia="楷体" w:cs="新宋体-18030"/>
          <w:bCs/>
          <w:snapToGrid w:val="0"/>
          <w:color w:val="auto"/>
          <w:sz w:val="21"/>
          <w:szCs w:val="21"/>
        </w:rPr>
        <w:t>1</w:t>
      </w:r>
      <w:r>
        <w:rPr>
          <w:rFonts w:hint="eastAsia" w:ascii="楷体" w:hAnsi="楷体" w:eastAsia="楷体" w:cs="新宋体-18030"/>
          <w:bCs/>
          <w:snapToGrid w:val="0"/>
          <w:color w:val="auto"/>
          <w:sz w:val="21"/>
          <w:szCs w:val="21"/>
        </w:rPr>
        <w:t>个月内</w:t>
      </w:r>
      <w:r>
        <w:rPr>
          <w:rFonts w:ascii="楷体" w:hAnsi="楷体" w:eastAsia="楷体" w:cs="新宋体-18030"/>
          <w:bCs/>
          <w:snapToGrid w:val="0"/>
          <w:color w:val="auto"/>
          <w:sz w:val="21"/>
          <w:szCs w:val="21"/>
        </w:rPr>
        <w:t>(</w:t>
      </w:r>
      <w:r>
        <w:rPr>
          <w:rFonts w:hint="eastAsia" w:ascii="楷体" w:hAnsi="楷体" w:eastAsia="楷体" w:cs="新宋体-18030"/>
          <w:bCs/>
          <w:snapToGrid w:val="0"/>
          <w:color w:val="auto"/>
          <w:sz w:val="21"/>
          <w:szCs w:val="21"/>
        </w:rPr>
        <w:t>工程开工前</w:t>
      </w:r>
      <w:r>
        <w:rPr>
          <w:rFonts w:ascii="楷体" w:hAnsi="楷体" w:eastAsia="楷体" w:cs="新宋体-18030"/>
          <w:bCs/>
          <w:snapToGrid w:val="0"/>
          <w:color w:val="auto"/>
          <w:sz w:val="21"/>
          <w:szCs w:val="21"/>
        </w:rPr>
        <w:t>)</w:t>
      </w:r>
      <w:r>
        <w:rPr>
          <w:rFonts w:hint="eastAsia" w:ascii="楷体" w:hAnsi="楷体" w:eastAsia="楷体" w:cs="新宋体-18030"/>
          <w:bCs/>
          <w:snapToGrid w:val="0"/>
          <w:color w:val="auto"/>
          <w:sz w:val="21"/>
          <w:szCs w:val="21"/>
        </w:rPr>
        <w:t>向发包人提供，批准生效后方可执行。</w:t>
      </w:r>
    </w:p>
    <w:p>
      <w:pPr>
        <w:numPr>
          <w:ilvl w:val="1"/>
          <w:numId w:val="6"/>
        </w:numPr>
        <w:tabs>
          <w:tab w:val="clear" w:pos="1512"/>
        </w:tabs>
        <w:autoSpaceDE/>
        <w:autoSpaceDN/>
        <w:adjustRightInd/>
        <w:snapToGrid w:val="0"/>
        <w:spacing w:before="120" w:after="120" w:line="360" w:lineRule="auto"/>
        <w:ind w:left="0" w:firstLine="420" w:firstLineChars="200"/>
        <w:rPr>
          <w:rFonts w:ascii="楷体" w:hAnsi="楷体" w:eastAsia="楷体" w:cs="新宋体-18030"/>
          <w:color w:val="auto"/>
          <w:sz w:val="21"/>
          <w:szCs w:val="21"/>
        </w:rPr>
      </w:pPr>
      <w:r>
        <w:rPr>
          <w:rFonts w:hint="eastAsia" w:ascii="楷体" w:hAnsi="楷体" w:eastAsia="楷体" w:cs="新宋体-18030"/>
          <w:bCs/>
          <w:snapToGrid w:val="0"/>
          <w:color w:val="auto"/>
          <w:sz w:val="21"/>
          <w:szCs w:val="21"/>
        </w:rPr>
        <w:t>承包人在合同签订后公司主要负责人（董事长、总经理）、项目经理须到发包人所在地做安全管理汇报（全程录像）。</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73" w:name="五"/>
      <w:bookmarkEnd w:id="73"/>
      <w:bookmarkStart w:id="74" w:name="_Toc213660317"/>
      <w:bookmarkStart w:id="75" w:name="_Toc213658616"/>
      <w:bookmarkStart w:id="76" w:name="_Toc41569106"/>
      <w:r>
        <w:rPr>
          <w:rFonts w:hint="eastAsia" w:ascii="楷体" w:hAnsi="楷体" w:eastAsia="楷体" w:cs="新宋体-18030"/>
          <w:b/>
          <w:bCs/>
          <w:color w:val="auto"/>
          <w:sz w:val="21"/>
          <w:szCs w:val="21"/>
        </w:rPr>
        <w:t>安全、环境目标</w:t>
      </w:r>
      <w:bookmarkEnd w:id="74"/>
      <w:bookmarkEnd w:id="75"/>
      <w:bookmarkEnd w:id="76"/>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承包人安全管理要求应实现以下安全目标：</w:t>
      </w:r>
    </w:p>
    <w:p>
      <w:pPr>
        <w:numPr>
          <w:ilvl w:val="2"/>
          <w:numId w:val="6"/>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不发生死亡及以上安全生产责任事故；员工重伤及轻伤率不超过千分之一；</w:t>
      </w:r>
    </w:p>
    <w:p>
      <w:pPr>
        <w:numPr>
          <w:ilvl w:val="2"/>
          <w:numId w:val="6"/>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直接经济损失100万元以上的非人员伤亡安全生产责任事故为零；</w:t>
      </w:r>
    </w:p>
    <w:p>
      <w:pPr>
        <w:numPr>
          <w:ilvl w:val="2"/>
          <w:numId w:val="6"/>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员工职业病率不超过千分之一；</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77" w:name="六"/>
      <w:bookmarkEnd w:id="77"/>
      <w:bookmarkStart w:id="78" w:name="_Toc213658617"/>
      <w:bookmarkStart w:id="79" w:name="_Toc213660318"/>
      <w:bookmarkStart w:id="80" w:name="_Toc41569107"/>
      <w:r>
        <w:rPr>
          <w:rFonts w:hint="eastAsia" w:ascii="楷体" w:hAnsi="楷体" w:eastAsia="楷体" w:cs="新宋体-18030"/>
          <w:b/>
          <w:bCs/>
          <w:color w:val="auto"/>
          <w:sz w:val="21"/>
          <w:szCs w:val="21"/>
        </w:rPr>
        <w:t>责任</w:t>
      </w:r>
      <w:bookmarkEnd w:id="78"/>
      <w:bookmarkEnd w:id="79"/>
      <w:r>
        <w:rPr>
          <w:rFonts w:hint="eastAsia" w:ascii="楷体" w:hAnsi="楷体" w:eastAsia="楷体" w:cs="新宋体-18030"/>
          <w:b/>
          <w:bCs/>
          <w:color w:val="auto"/>
          <w:sz w:val="21"/>
          <w:szCs w:val="21"/>
        </w:rPr>
        <w:t>承担</w:t>
      </w:r>
      <w:bookmarkEnd w:id="80"/>
    </w:p>
    <w:p>
      <w:pPr>
        <w:tabs>
          <w:tab w:val="left" w:pos="1260"/>
        </w:tabs>
        <w:snapToGrid w:val="0"/>
        <w:spacing w:before="120" w:after="120" w:line="360" w:lineRule="auto"/>
        <w:ind w:firstLine="420" w:firstLineChars="200"/>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承包人应承诺在合同规定的活动中承担以下安全、环境责任：</w:t>
      </w:r>
    </w:p>
    <w:p>
      <w:pPr>
        <w:numPr>
          <w:ilvl w:val="2"/>
          <w:numId w:val="6"/>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iCs/>
          <w:color w:val="auto"/>
          <w:sz w:val="21"/>
          <w:szCs w:val="21"/>
        </w:rPr>
      </w:pPr>
      <w:r>
        <w:rPr>
          <w:rFonts w:hint="eastAsia" w:ascii="楷体" w:hAnsi="楷体" w:eastAsia="楷体" w:cs="新宋体-18030"/>
          <w:bCs/>
          <w:iCs/>
          <w:color w:val="auto"/>
          <w:sz w:val="21"/>
          <w:szCs w:val="21"/>
        </w:rPr>
        <w:t>承包人的法人代表或其授权人对本合同活动的安全、环境负有全面的领导责任。</w:t>
      </w:r>
    </w:p>
    <w:p>
      <w:pPr>
        <w:numPr>
          <w:ilvl w:val="2"/>
          <w:numId w:val="6"/>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iCs/>
          <w:color w:val="auto"/>
          <w:sz w:val="21"/>
          <w:szCs w:val="21"/>
        </w:rPr>
        <w:t>承包人项目</w:t>
      </w:r>
      <w:r>
        <w:rPr>
          <w:rFonts w:hint="eastAsia" w:ascii="楷体" w:hAnsi="楷体" w:eastAsia="楷体" w:cs="新宋体-18030"/>
          <w:bCs/>
          <w:color w:val="auto"/>
          <w:sz w:val="21"/>
          <w:szCs w:val="21"/>
        </w:rPr>
        <w:t>经理对合同活动的安全</w:t>
      </w:r>
      <w:r>
        <w:rPr>
          <w:rFonts w:hint="eastAsia" w:ascii="楷体" w:hAnsi="楷体" w:eastAsia="楷体" w:cs="新宋体-18030"/>
          <w:bCs/>
          <w:iCs/>
          <w:color w:val="auto"/>
          <w:sz w:val="21"/>
          <w:szCs w:val="21"/>
        </w:rPr>
        <w:t>、环境</w:t>
      </w:r>
      <w:r>
        <w:rPr>
          <w:rFonts w:hint="eastAsia" w:ascii="楷体" w:hAnsi="楷体" w:eastAsia="楷体" w:cs="新宋体-18030"/>
          <w:bCs/>
          <w:color w:val="auto"/>
          <w:sz w:val="21"/>
          <w:szCs w:val="21"/>
        </w:rPr>
        <w:t>工作负有全面的直接领导责任。</w:t>
      </w:r>
    </w:p>
    <w:p>
      <w:pPr>
        <w:numPr>
          <w:ilvl w:val="2"/>
          <w:numId w:val="6"/>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iCs/>
          <w:color w:val="auto"/>
          <w:sz w:val="21"/>
          <w:szCs w:val="21"/>
        </w:rPr>
      </w:pPr>
      <w:r>
        <w:rPr>
          <w:rFonts w:hint="eastAsia" w:ascii="楷体" w:hAnsi="楷体" w:eastAsia="楷体" w:cs="新宋体-18030"/>
          <w:bCs/>
          <w:iCs/>
          <w:color w:val="auto"/>
          <w:sz w:val="21"/>
          <w:szCs w:val="21"/>
        </w:rPr>
        <w:t>承包人应保证本单位安全生产投入的有效实施。</w:t>
      </w:r>
    </w:p>
    <w:p>
      <w:pPr>
        <w:numPr>
          <w:ilvl w:val="2"/>
          <w:numId w:val="6"/>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iCs/>
          <w:color w:val="auto"/>
          <w:sz w:val="21"/>
          <w:szCs w:val="21"/>
        </w:rPr>
      </w:pPr>
      <w:r>
        <w:rPr>
          <w:rFonts w:hint="eastAsia" w:ascii="楷体" w:hAnsi="楷体" w:eastAsia="楷体" w:cs="新宋体-18030"/>
          <w:bCs/>
          <w:iCs/>
          <w:color w:val="auto"/>
          <w:sz w:val="21"/>
          <w:szCs w:val="21"/>
        </w:rPr>
        <w:t>承包人应承诺服从发包人对安全、环境工作的统一协调和管理。</w:t>
      </w:r>
    </w:p>
    <w:p>
      <w:pPr>
        <w:numPr>
          <w:ilvl w:val="2"/>
          <w:numId w:val="6"/>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iCs/>
          <w:color w:val="auto"/>
          <w:sz w:val="21"/>
          <w:szCs w:val="21"/>
        </w:rPr>
      </w:pPr>
      <w:r>
        <w:rPr>
          <w:rFonts w:hint="eastAsia" w:ascii="楷体" w:hAnsi="楷体" w:eastAsia="楷体" w:cs="新宋体-18030"/>
          <w:bCs/>
          <w:iCs/>
          <w:color w:val="auto"/>
          <w:sz w:val="21"/>
          <w:szCs w:val="21"/>
        </w:rPr>
        <w:t>承包人应与分包商、供应商签订安全协议，明确双方安全职责与分工，保证分包商、供应商的资格符合发包人的要求，对施工队伍的安全实施统一管理，对分包商、供应商的安全向发包人负责。</w:t>
      </w:r>
    </w:p>
    <w:p>
      <w:pPr>
        <w:numPr>
          <w:ilvl w:val="2"/>
          <w:numId w:val="6"/>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iCs/>
          <w:color w:val="auto"/>
          <w:sz w:val="21"/>
          <w:szCs w:val="21"/>
        </w:rPr>
      </w:pPr>
      <w:r>
        <w:rPr>
          <w:rFonts w:hint="eastAsia" w:ascii="楷体" w:hAnsi="楷体" w:eastAsia="楷体" w:cs="新宋体-18030"/>
          <w:bCs/>
          <w:iCs/>
          <w:color w:val="auto"/>
          <w:sz w:val="21"/>
          <w:szCs w:val="21"/>
        </w:rPr>
        <w:t>承包人应保证采购、租赁物项的安全性能、环保性能符合国家法律、标准和发包人的要求，对其实施统一的安全管理，并向发包人负责。</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81" w:name="七"/>
      <w:bookmarkEnd w:id="81"/>
      <w:bookmarkStart w:id="82" w:name="_Toc213660319"/>
      <w:bookmarkStart w:id="83" w:name="_Toc41569108"/>
      <w:bookmarkStart w:id="84" w:name="_Toc213658618"/>
      <w:r>
        <w:rPr>
          <w:rFonts w:hint="eastAsia" w:ascii="楷体" w:hAnsi="楷体" w:eastAsia="楷体" w:cs="新宋体-18030"/>
          <w:b/>
          <w:bCs/>
          <w:color w:val="auto"/>
          <w:sz w:val="21"/>
          <w:szCs w:val="21"/>
        </w:rPr>
        <w:t>安全协议与接口协调</w:t>
      </w:r>
      <w:bookmarkEnd w:id="82"/>
      <w:bookmarkEnd w:id="83"/>
      <w:bookmarkEnd w:id="84"/>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发包人与承包人可根据实际需要（如现场风险变化或国家新的安全法规要求或合同内容变更等）依据《安全生产法》的规定签订《安全生产管理协议》，该协议作为合同双方安全生产方面的补充规定，具有与合同相同的法律效力。</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承包人应建立“管生产必须管安全”的责任落实和责任链传递机制、“现场施工区域”的安全责任落实及协调机制、承包人引入人员（包括学习人员、参观人员、供应商代表等临时人员）的安全管理和协调机制。</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承包人应指定专人作为安全协调人，与发包人的安全相关部门接口，参与协调管理。</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承包人的安全协调人应具备协调安全工作的能力和权利。发包人有权对协调人的能力和权力做出评价，对于不能胜任的协调人，发包人有权要求承包人换人；合同生效后的</w:t>
      </w:r>
      <w:r>
        <w:rPr>
          <w:rFonts w:ascii="楷体" w:hAnsi="楷体" w:eastAsia="楷体" w:cs="新宋体-18030"/>
          <w:bCs/>
          <w:color w:val="auto"/>
          <w:sz w:val="21"/>
          <w:szCs w:val="21"/>
        </w:rPr>
        <w:t>5</w:t>
      </w:r>
      <w:r>
        <w:rPr>
          <w:rFonts w:hint="eastAsia" w:ascii="楷体" w:hAnsi="楷体" w:eastAsia="楷体" w:cs="新宋体-18030"/>
          <w:bCs/>
          <w:color w:val="auto"/>
          <w:sz w:val="21"/>
          <w:szCs w:val="21"/>
        </w:rPr>
        <w:t>个工作日之内，承包人指定的安全协调人员应与发包人的安全相关部门建立联系。</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在发生同一区域多个单位施工且影响相互间的安全生产时，承包人有义务与有关单位协商，确定协调的责任和方法，必要时可签订相关协议。该协议应征求发包人的意见，并在发包人备案。</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85" w:name="八"/>
      <w:bookmarkEnd w:id="85"/>
      <w:bookmarkStart w:id="86" w:name="_Toc213658619"/>
      <w:bookmarkStart w:id="87" w:name="_Toc213660320"/>
      <w:bookmarkStart w:id="88" w:name="_Toc41569109"/>
      <w:r>
        <w:rPr>
          <w:rFonts w:hint="eastAsia" w:ascii="楷体" w:hAnsi="楷体" w:eastAsia="楷体" w:cs="新宋体-18030"/>
          <w:b/>
          <w:bCs/>
          <w:color w:val="auto"/>
          <w:sz w:val="21"/>
          <w:szCs w:val="21"/>
        </w:rPr>
        <w:t>安全监督组织与网络</w:t>
      </w:r>
      <w:bookmarkEnd w:id="86"/>
      <w:bookmarkEnd w:id="87"/>
      <w:bookmarkEnd w:id="88"/>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承包人必须达到《建筑施工企业安全生产管理机构设置及专职安全生产管理人员配备办法》要求，配备足够专职安全生产管理人员。</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承包人配备项目专职安全生产管理人员应当满足下列要求：</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xml:space="preserve">   （一）建筑工程、装修工程按照建筑面积配备：</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1、1万平方米以下的工程不少于1人；</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2、1万～5万平方米的工程不少于2人；</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3、5万平方米及以上的工程不少于3人，且按专业配备专职安全生产管理人员。</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（二）土木工程、线路管道、设备安装工程按照工程合同价配备：</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1、5000万元以下的工程不少于1人；</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2、5000万～1亿元的工程不少于2人；</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3、1亿元及以上的工程不少于3人，且按专业配备专职安全生产管理人员。</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承包人的分包单位配备项目专职安全生产管理人员应当满足下列要求：</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（一）专业承包单位应当配置至少1人，并根据所承担的分部分项工程的工程量和施工危险程度增加。</w:t>
      </w:r>
      <w:r>
        <w:rPr>
          <w:rFonts w:hint="eastAsia" w:ascii="楷体" w:hAnsi="楷体" w:eastAsia="楷体" w:cs="新宋体-18030"/>
          <w:bCs/>
          <w:color w:val="auto"/>
          <w:sz w:val="21"/>
          <w:szCs w:val="21"/>
        </w:rPr>
        <w:br w:type="textWrapping"/>
      </w:r>
      <w:r>
        <w:rPr>
          <w:rFonts w:hint="eastAsia" w:ascii="楷体" w:hAnsi="楷体" w:eastAsia="楷体" w:cs="新宋体-18030"/>
          <w:bCs/>
          <w:color w:val="auto"/>
          <w:sz w:val="21"/>
          <w:szCs w:val="21"/>
        </w:rPr>
        <w:t>　　（二）劳务分包单位施工人员在50人以下的，应当配备1名专职安全生产管理人员；50人-200人的，应当配备2名专职安全生产管理人员；200人及以上的，应当配备3名及以上专职安全生产管理人员，并根据所承担的分部分项工程施工危险实际情况增加，不得少于工程施工人员总人数的5‰。</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承包人专职安全管理人员必须持安全C证，安全负责人工作年限必须3年以上，持注册安全工程师资格证。</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如不能达到安全管理要求的岗位能力，发包人有权要求更换安全管理人员，承包方必须无条件执行。</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承包人应建立安全管理监督网络，建立诸如安全委员会或其他形式的安全协调机构，并至少每季度组织一次全体会议，必要时组织专项会议。承包人工程安质环委员会对主要管理者关键的</w:t>
      </w:r>
      <w:r>
        <w:rPr>
          <w:rFonts w:ascii="楷体" w:hAnsi="楷体" w:eastAsia="楷体" w:cs="新宋体-18030"/>
          <w:bCs/>
          <w:color w:val="auto"/>
          <w:sz w:val="21"/>
          <w:szCs w:val="21"/>
        </w:rPr>
        <w:t>HSE</w:t>
      </w:r>
      <w:r>
        <w:rPr>
          <w:rFonts w:hint="eastAsia" w:ascii="楷体" w:hAnsi="楷体" w:eastAsia="楷体" w:cs="新宋体-18030"/>
          <w:bCs/>
          <w:color w:val="auto"/>
          <w:sz w:val="21"/>
          <w:szCs w:val="21"/>
        </w:rPr>
        <w:t>职责履行情况进行检查，检查结果和改进措施输入安全委会会议纪要。</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承包人应建立生产会议上的安全议题制度。</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承包人应参加发包人组织的现场工程安全委员会，积极参与工程安全管理。</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承包人应建立领导</w:t>
      </w:r>
      <w:r>
        <w:rPr>
          <w:rFonts w:ascii="楷体" w:hAnsi="楷体" w:eastAsia="楷体" w:cs="新宋体-18030"/>
          <w:bCs/>
          <w:color w:val="auto"/>
          <w:sz w:val="21"/>
          <w:szCs w:val="21"/>
        </w:rPr>
        <w:t xml:space="preserve">HSE </w:t>
      </w:r>
      <w:r>
        <w:rPr>
          <w:rFonts w:hint="eastAsia" w:ascii="楷体" w:hAnsi="楷体" w:eastAsia="楷体" w:cs="新宋体-18030"/>
          <w:bCs/>
          <w:color w:val="auto"/>
          <w:sz w:val="21"/>
          <w:szCs w:val="21"/>
        </w:rPr>
        <w:t>管理带班巡视制度，明确高、中层管理人员</w:t>
      </w:r>
      <w:r>
        <w:rPr>
          <w:rFonts w:ascii="楷体" w:hAnsi="楷体" w:eastAsia="楷体" w:cs="新宋体-18030"/>
          <w:bCs/>
          <w:color w:val="auto"/>
          <w:sz w:val="21"/>
          <w:szCs w:val="21"/>
        </w:rPr>
        <w:t xml:space="preserve">HSE </w:t>
      </w:r>
      <w:r>
        <w:rPr>
          <w:rFonts w:hint="eastAsia" w:ascii="楷体" w:hAnsi="楷体" w:eastAsia="楷体" w:cs="新宋体-18030"/>
          <w:bCs/>
          <w:color w:val="auto"/>
          <w:sz w:val="21"/>
          <w:szCs w:val="21"/>
        </w:rPr>
        <w:t>管理巡视的具体方式、频次、参与人员等。</w:t>
      </w:r>
      <w:r>
        <w:rPr>
          <w:rFonts w:hint="eastAsia" w:ascii="楷体" w:hAnsi="楷体" w:eastAsia="楷体" w:cs="???-18030"/>
          <w:bCs/>
          <w:color w:val="auto"/>
          <w:sz w:val="21"/>
          <w:szCs w:val="21"/>
        </w:rPr>
        <w:t>承包人项目经理部成员</w:t>
      </w:r>
      <w:r>
        <w:rPr>
          <w:rFonts w:hint="eastAsia" w:ascii="楷体" w:hAnsi="楷体" w:eastAsia="楷体" w:cs="新宋体-18030"/>
          <w:bCs/>
          <w:color w:val="auto"/>
          <w:sz w:val="21"/>
          <w:szCs w:val="21"/>
        </w:rPr>
        <w:t>应每周进行现场管理巡视</w:t>
      </w:r>
      <w:r>
        <w:rPr>
          <w:rFonts w:hint="eastAsia" w:ascii="楷体" w:hAnsi="楷体" w:eastAsia="楷体" w:cs="???-18030"/>
          <w:bCs/>
          <w:color w:val="auto"/>
          <w:sz w:val="21"/>
          <w:szCs w:val="21"/>
        </w:rPr>
        <w:t>。</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承包人项目经理部每季度发布项目季度良好表现简报，在项目部会议室、员工食堂、施工现场主要出入口、宣传栏等醒目场所张贴，对良好表现的表扬进行推广。</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当发包人生产主管部门和安全部门的人员要求立即中止违章作业时，承包人员工应无条件立即执行；发包人有权根据现场的安全风险情况进行区域性停工或全场停工，在接到停工令后，承包人应立即停止规定范围内的施工活动，组织安全整改，停工造成的影响和损失由承包人负责承担。</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承包人应健全安全监督机制，现场如有施工，安全员必须到场监督，管理人员上班时间与工人上班时间要同步，杜绝现象出现管理真空。</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89" w:name="九"/>
      <w:bookmarkEnd w:id="89"/>
      <w:bookmarkStart w:id="90" w:name="_Toc213658620"/>
      <w:bookmarkStart w:id="91" w:name="_Toc41569110"/>
      <w:bookmarkStart w:id="92" w:name="_Toc213660321"/>
      <w:r>
        <w:rPr>
          <w:rFonts w:hint="eastAsia" w:ascii="楷体" w:hAnsi="楷体" w:eastAsia="楷体" w:cs="新宋体-18030"/>
          <w:b/>
          <w:bCs/>
          <w:color w:val="auto"/>
          <w:sz w:val="21"/>
          <w:szCs w:val="21"/>
        </w:rPr>
        <w:t>人员基本素质</w:t>
      </w:r>
      <w:bookmarkEnd w:id="90"/>
      <w:bookmarkEnd w:id="91"/>
      <w:bookmarkEnd w:id="92"/>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承包人须保证施工人员（包括临时劳务人员、分包人员、劳务人员）的基本素质满足以下要求，并在申请入场证件时以书面形式予以承诺：</w:t>
      </w:r>
      <w:r>
        <w:rPr>
          <w:rFonts w:ascii="楷体" w:hAnsi="楷体" w:eastAsia="楷体" w:cs="新宋体-18030"/>
          <w:bCs/>
          <w:color w:val="auto"/>
          <w:sz w:val="21"/>
          <w:szCs w:val="21"/>
        </w:rPr>
        <w:t xml:space="preserve"> </w:t>
      </w:r>
    </w:p>
    <w:p>
      <w:pPr>
        <w:numPr>
          <w:ilvl w:val="2"/>
          <w:numId w:val="7"/>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承包人应在入场前对施工人员进行医学健康检查，且至少每年度进行一次医学健康检查，原则上要求由县级以上医院出具体检报告。特殊工种和特殊岗位人员应按照国家相关规定进行特殊职业能力体检。</w:t>
      </w:r>
    </w:p>
    <w:p>
      <w:pPr>
        <w:numPr>
          <w:ilvl w:val="2"/>
          <w:numId w:val="7"/>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保证入场人员身体健康，无影响工作的残疾、禁忌症，无传染病和其他影响正常工作的严重疾病，无刑事案件牵连。</w:t>
      </w:r>
    </w:p>
    <w:p>
      <w:pPr>
        <w:numPr>
          <w:ilvl w:val="2"/>
          <w:numId w:val="7"/>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工作经验、经历及身体素质应能与所从事的工种相适应。</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承包人的主要负责人、项目负责人、专职安全生产管理人员和特种从业人员应当国家及地方行政主管部门或者其他有关部门考核合格后方可任职。</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发包人及其上级单位（业主、政府部门等）有权对承包人人员的基本素质情况进行检查，对不能满足要求的人员有权清退出场，由此产生的经济和法律后果由承包人承担</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93" w:name="十"/>
      <w:bookmarkEnd w:id="93"/>
      <w:bookmarkStart w:id="94" w:name="_Toc213658621"/>
      <w:bookmarkStart w:id="95" w:name="_Toc41569111"/>
      <w:bookmarkStart w:id="96" w:name="_Toc213660322"/>
      <w:r>
        <w:rPr>
          <w:rFonts w:hint="eastAsia" w:ascii="楷体" w:hAnsi="楷体" w:eastAsia="楷体" w:cs="新宋体-18030"/>
          <w:b/>
          <w:bCs/>
          <w:color w:val="auto"/>
          <w:sz w:val="21"/>
          <w:szCs w:val="21"/>
        </w:rPr>
        <w:t>安全培训与授权</w:t>
      </w:r>
      <w:bookmarkEnd w:id="94"/>
      <w:bookmarkEnd w:id="95"/>
      <w:bookmarkEnd w:id="96"/>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承包人应建立健全安全培训和考核制度，</w:t>
      </w:r>
      <w:r>
        <w:rPr>
          <w:rFonts w:hint="eastAsia" w:ascii="楷体" w:hAnsi="楷体" w:eastAsia="楷体"/>
          <w:color w:val="auto"/>
          <w:sz w:val="21"/>
          <w:szCs w:val="21"/>
        </w:rPr>
        <w:t>对项目</w:t>
      </w:r>
      <w:r>
        <w:rPr>
          <w:rFonts w:ascii="楷体" w:hAnsi="楷体" w:eastAsia="楷体"/>
          <w:color w:val="auto"/>
          <w:sz w:val="21"/>
          <w:szCs w:val="21"/>
        </w:rPr>
        <w:t>主要负责人、安全生产管理人员、特种作业人员和其他从业人员</w:t>
      </w:r>
      <w:r>
        <w:rPr>
          <w:rFonts w:hint="eastAsia" w:ascii="楷体" w:hAnsi="楷体" w:eastAsia="楷体"/>
          <w:color w:val="auto"/>
          <w:sz w:val="21"/>
          <w:szCs w:val="21"/>
        </w:rPr>
        <w:t>进行安全培训，使其</w:t>
      </w:r>
      <w:r>
        <w:rPr>
          <w:rFonts w:ascii="楷体" w:hAnsi="楷体" w:eastAsia="楷体"/>
          <w:color w:val="auto"/>
          <w:sz w:val="21"/>
          <w:szCs w:val="21"/>
        </w:rPr>
        <w:t>熟悉有关安全生产规章制度和安全操作规程，具备必要的安全生产知识，掌握本岗位的安全操作技能，增强预防事故、控制职业危害和应急处理的能力。</w:t>
      </w:r>
      <w:r>
        <w:rPr>
          <w:rFonts w:hint="eastAsia" w:ascii="楷体" w:hAnsi="楷体" w:eastAsia="楷体"/>
          <w:color w:val="auto"/>
          <w:sz w:val="21"/>
          <w:szCs w:val="21"/>
        </w:rPr>
        <w:t>承包人所有入场人员必须接受入场三级教育和定期安全复训，</w:t>
      </w:r>
      <w:r>
        <w:rPr>
          <w:rFonts w:ascii="楷体" w:hAnsi="楷体" w:eastAsia="楷体"/>
          <w:color w:val="auto"/>
          <w:sz w:val="21"/>
          <w:szCs w:val="21"/>
        </w:rPr>
        <w:t>未经安全生产培训合格的从业人员，不得上岗作业。</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olor w:val="auto"/>
          <w:sz w:val="21"/>
          <w:szCs w:val="21"/>
        </w:rPr>
      </w:pPr>
      <w:r>
        <w:rPr>
          <w:rFonts w:hint="eastAsia" w:ascii="楷体" w:hAnsi="楷体" w:eastAsia="楷体"/>
          <w:color w:val="auto"/>
          <w:sz w:val="21"/>
          <w:szCs w:val="21"/>
        </w:rPr>
        <w:t>承包人应根据工程进展和需要编制培训教材和培训滚动计划，并报发包人备案。承包人应根据培训安排组织考试，并为每一位入场人员建立安全培训档案。</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承包人应建设有专门的培训教室，并且培训教室配备有良好的培训设施，包括桌椅、投影仪、电脑、音响、空调等。同时根据施工规模和员工数量配备情况对培训设施必要的增加、更新。</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承包人引入的学习人员、参观人员、供应商代表等负有同样的安全培训的责任，包括入场安全培训和现场作业过程安全监督。</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必要时，发包人有权对承包人进行专项安全培训和考核，承包人应予组织、配合。</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在开工前向发包人安全部门提供特殊工种人员的清单、统计资料和证书复印件，在发包人安全部门备案。承包人开工后，应定期对本单位三类人员（项目主要负责人、安全管理人员和特种从业人员）资质进行统计和核实，确保其资质满足要求，并报发包人备案。</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承包人在发包人安全部门备案的岗位包括但不限于以下内容：项目经理、专职安全管理人员、消防负责人等，</w:t>
      </w:r>
      <w:bookmarkStart w:id="97" w:name="OLE_LINK7"/>
      <w:bookmarkStart w:id="98" w:name="OLE_LINK8"/>
      <w:r>
        <w:rPr>
          <w:rFonts w:hint="eastAsia" w:ascii="楷体" w:hAnsi="楷体" w:eastAsia="楷体" w:cs="新宋体-18030"/>
          <w:bCs/>
          <w:color w:val="auto"/>
          <w:sz w:val="21"/>
          <w:szCs w:val="21"/>
        </w:rPr>
        <w:t>每个岗位都必须有人负责</w:t>
      </w:r>
      <w:bookmarkEnd w:id="97"/>
      <w:bookmarkEnd w:id="98"/>
      <w:r>
        <w:rPr>
          <w:rFonts w:hint="eastAsia" w:ascii="楷体" w:hAnsi="楷体" w:eastAsia="楷体" w:cs="新宋体-18030"/>
          <w:bCs/>
          <w:color w:val="auto"/>
          <w:sz w:val="21"/>
          <w:szCs w:val="21"/>
        </w:rPr>
        <w:t>，如有变动及时通知发包人。</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承包人的项目经理、施工经理、安全负责人和主要管理人员应认真学习合同中的安全管理部分的条款及发包人的培训要求。</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99" w:name="十一"/>
      <w:bookmarkEnd w:id="99"/>
      <w:bookmarkStart w:id="100" w:name="_Toc213660323"/>
      <w:bookmarkStart w:id="101" w:name="_Toc41569112"/>
      <w:bookmarkStart w:id="102" w:name="_Toc213658622"/>
      <w:r>
        <w:rPr>
          <w:rFonts w:hint="eastAsia" w:ascii="楷体" w:hAnsi="楷体" w:eastAsia="楷体" w:cs="新宋体-18030"/>
          <w:b/>
          <w:bCs/>
          <w:color w:val="auto"/>
          <w:sz w:val="21"/>
          <w:szCs w:val="21"/>
        </w:rPr>
        <w:t>入场控制</w:t>
      </w:r>
      <w:bookmarkEnd w:id="100"/>
      <w:bookmarkEnd w:id="101"/>
      <w:bookmarkEnd w:id="102"/>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入场前安全检查的基本内容包括：安全责任制建设、安全投入、危害识别和风险分析、施工机械的安全状况、安全工器具和材料、安全培训教材和教员、专职安全人员的到岗情况、培训的有效性、人员控制、个人劳动保护用品的发放、防灾物资配备情况等内容。一般情况下，承包人入场前必须满足（但不限于）以下各条件：</w:t>
      </w:r>
    </w:p>
    <w:p>
      <w:pPr>
        <w:numPr>
          <w:ilvl w:val="2"/>
          <w:numId w:val="8"/>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已建立安全责任制且主要部门的责任人已到岗，已建立安全责任考核的制度，包括奖惩制度。</w:t>
      </w:r>
    </w:p>
    <w:p>
      <w:pPr>
        <w:numPr>
          <w:ilvl w:val="2"/>
          <w:numId w:val="8"/>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安全专职机构已经成立，建立了现场安全组织，确定了安全协调员，人员数量和资格满足合同要求，并向发包人安全部门递交安全专职人员名单。</w:t>
      </w:r>
    </w:p>
    <w:p>
      <w:pPr>
        <w:numPr>
          <w:ilvl w:val="2"/>
          <w:numId w:val="8"/>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向发包人安全部门提供书面材料，说明分包商及使用临时劳务工的情况（至少根据前三个月的施工计划）。这些情况应包括活动的内容、人数、与分包商合作的历史、劳务工来源、劳务单位资质等。承包人在办理入场证件时应保证已经为上述职工购买了工伤保险及建筑工程团体人身意外伤害保险或者相应保障的雇主责任保险。</w:t>
      </w:r>
    </w:p>
    <w:p>
      <w:pPr>
        <w:numPr>
          <w:ilvl w:val="2"/>
          <w:numId w:val="8"/>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已按“安全投入项目清单”制定了安全预算和采购计划（至少包括前三个月活动的需要）。</w:t>
      </w:r>
    </w:p>
    <w:p>
      <w:pPr>
        <w:numPr>
          <w:ilvl w:val="2"/>
          <w:numId w:val="8"/>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已完成危险、危害、环境因素识别和风险分析报告（至少包括入场后前三个月与施工计划相应的风险和工业危害分析）及应对措施。</w:t>
      </w:r>
    </w:p>
    <w:p>
      <w:pPr>
        <w:numPr>
          <w:ilvl w:val="2"/>
          <w:numId w:val="8"/>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已完成施工机械、作业材料、安全工器具准备情况的报告和证明资料，应提供各类安全专用器材、仪表的清单（品种和数量，至少包括入场后前三个月的活动的需要）。</w:t>
      </w:r>
    </w:p>
    <w:p>
      <w:pPr>
        <w:numPr>
          <w:ilvl w:val="2"/>
          <w:numId w:val="8"/>
        </w:numPr>
        <w:tabs>
          <w:tab w:val="clear" w:pos="1418"/>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已完成首批人员培训（至少包括前一个月进场的员工）、个人劳动保护用品的发放。</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承包人采购、租赁的安全防护用具、机械设备、施工机具及配件，应当具有生产</w:t>
      </w:r>
      <w:r>
        <w:rPr>
          <w:rFonts w:ascii="楷体" w:hAnsi="楷体" w:eastAsia="楷体" w:cs="新宋体-18030"/>
          <w:bCs/>
          <w:color w:val="auto"/>
          <w:sz w:val="21"/>
          <w:szCs w:val="21"/>
        </w:rPr>
        <w:t>(</w:t>
      </w:r>
      <w:r>
        <w:rPr>
          <w:rFonts w:hint="eastAsia" w:ascii="楷体" w:hAnsi="楷体" w:eastAsia="楷体" w:cs="新宋体-18030"/>
          <w:bCs/>
          <w:color w:val="auto"/>
          <w:sz w:val="21"/>
          <w:szCs w:val="21"/>
        </w:rPr>
        <w:t>制造</w:t>
      </w:r>
      <w:r>
        <w:rPr>
          <w:rFonts w:ascii="楷体" w:hAnsi="楷体" w:eastAsia="楷体" w:cs="新宋体-18030"/>
          <w:bCs/>
          <w:color w:val="auto"/>
          <w:sz w:val="21"/>
          <w:szCs w:val="21"/>
        </w:rPr>
        <w:t>)</w:t>
      </w:r>
      <w:r>
        <w:rPr>
          <w:rFonts w:hint="eastAsia" w:ascii="楷体" w:hAnsi="楷体" w:eastAsia="楷体" w:cs="新宋体-18030"/>
          <w:bCs/>
          <w:color w:val="auto"/>
          <w:sz w:val="21"/>
          <w:szCs w:val="21"/>
        </w:rPr>
        <w:t>许可证、产品合格证，并在场外进行预先验收，对不合格产品一律做清退处理。对于现场检查中发现的不合格产品，发包人对承包人入场验收放行人员保留责任追究权利。</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施工现场的安全防护用具、机械设备、施工机具及配件必须由专人管理，承包人应指定专门部门按照国家法规及技术标准要求定期进行检查、维修和保养，建立相应的资料档案，并按照国家有关规定及时报废。</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03" w:name="十三"/>
      <w:bookmarkEnd w:id="103"/>
      <w:bookmarkStart w:id="104" w:name="十二"/>
      <w:bookmarkEnd w:id="104"/>
      <w:bookmarkStart w:id="105" w:name="_Toc213660325"/>
      <w:bookmarkStart w:id="106" w:name="_Toc41569113"/>
      <w:bookmarkStart w:id="107" w:name="_Toc213658624"/>
      <w:r>
        <w:rPr>
          <w:rFonts w:hint="eastAsia" w:ascii="楷体" w:hAnsi="楷体" w:eastAsia="楷体" w:cs="新宋体-18030"/>
          <w:b/>
          <w:bCs/>
          <w:color w:val="auto"/>
          <w:sz w:val="21"/>
          <w:szCs w:val="21"/>
        </w:rPr>
        <w:t>安全投入</w:t>
      </w:r>
      <w:bookmarkEnd w:id="105"/>
      <w:bookmarkEnd w:id="106"/>
      <w:bookmarkEnd w:id="107"/>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承包人应留存安全费用工程量清单累计完成情况及相关安全费用凭证。</w:t>
      </w:r>
      <w:r>
        <w:rPr>
          <w:rFonts w:hint="eastAsia" w:ascii="楷体" w:hAnsi="楷体" w:eastAsia="楷体"/>
          <w:color w:val="auto"/>
          <w:sz w:val="21"/>
          <w:szCs w:val="21"/>
        </w:rPr>
        <w:t>发包人有权对承包人安全费用的使用情况进行检查验证，承包人若不能提供相关安全费用凭证，则发包人视为承包人未产生相关安全费用，有权</w:t>
      </w:r>
      <w:r>
        <w:rPr>
          <w:rFonts w:hint="eastAsia" w:ascii="楷体" w:hAnsi="楷体" w:eastAsia="楷体" w:cs="新宋体-18030"/>
          <w:bCs/>
          <w:color w:val="auto"/>
          <w:sz w:val="21"/>
          <w:szCs w:val="21"/>
        </w:rPr>
        <w:t>承包人合同款中扣除等金额费用</w:t>
      </w:r>
      <w:r>
        <w:rPr>
          <w:rFonts w:hint="eastAsia" w:ascii="楷体" w:hAnsi="楷体" w:eastAsia="楷体"/>
          <w:color w:val="auto"/>
          <w:sz w:val="21"/>
          <w:szCs w:val="21"/>
        </w:rPr>
        <w:t>。</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承包人应建立安全费用专用账户，保证施工合同安全费用资金专款专用。</w:t>
      </w:r>
      <w:r>
        <w:rPr>
          <w:rFonts w:hint="eastAsia" w:ascii="楷体" w:hAnsi="楷体" w:eastAsia="楷体"/>
          <w:color w:val="auto"/>
          <w:sz w:val="21"/>
          <w:szCs w:val="21"/>
        </w:rPr>
        <w:t>承包人应建立安措费支取、安全设施采购和使用数据库，并向发包人无条件公开，</w:t>
      </w:r>
      <w:r>
        <w:rPr>
          <w:rFonts w:hint="eastAsia" w:ascii="楷体" w:hAnsi="楷体" w:eastAsia="楷体" w:cs="新宋体-18030"/>
          <w:bCs/>
          <w:color w:val="auto"/>
          <w:sz w:val="21"/>
          <w:szCs w:val="21"/>
        </w:rPr>
        <w:t>发包人有权不定期核查。</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如承包人未建立安措费支取、安全设施采购和使用数据库，或虽建立但未向发包人无条件公开，或发包人在核查承包人的安措费使用情况发现重大问题而承包人未按时整改的，则发包人有权扣除承包人剩余安全措施费用相应金额的合同款。</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承包人安全费用（包括安全生产、文明施工和环境保护费用）的费率不得低于国家或地方政府相关部门规定的最低标准，发包人将安全费用列入工程造价，在竞标时，不得删减，列入标外管理。</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承包人不得克扣其分供商或分包商的安全投入，并且要监督其分供商或分包商安全投入使用情况。</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承包人应监督检查其劳保用品发放情况，严禁承包人从劳务工工资中扣除劳保费用。</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08" w:name="十五"/>
      <w:bookmarkEnd w:id="108"/>
      <w:bookmarkStart w:id="109" w:name="_Toc213658626"/>
      <w:bookmarkStart w:id="110" w:name="_Toc41569114"/>
      <w:bookmarkStart w:id="111" w:name="_Toc213660327"/>
      <w:r>
        <w:rPr>
          <w:rFonts w:hint="eastAsia" w:ascii="楷体" w:hAnsi="楷体" w:eastAsia="楷体" w:cs="新宋体-18030"/>
          <w:b/>
          <w:bCs/>
          <w:color w:val="auto"/>
          <w:sz w:val="21"/>
          <w:szCs w:val="21"/>
        </w:rPr>
        <w:t>分包商及劳务用工安全</w:t>
      </w:r>
      <w:bookmarkEnd w:id="109"/>
      <w:bookmarkEnd w:id="110"/>
      <w:bookmarkEnd w:id="111"/>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承包人应根据合同约定建立合格分包方名录（清单），建立分包商资格审查程序，审核验证分包商资质，并报发包人审核备案。</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承包人按照合同规定与分包方签订分包合同，分包合同包含安全协议，并对分包方进行安全监管，并执行发包人安全规定。</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以任何用工形式使用的长期劳务用工和短期、临时劳务用工、参观人员都属于承包人本单位员工。承包人应对其分包商及劳务用工或学徒、技校生实行直接的安全管理，承包人对分包商、劳务用工、本单位临时人员的安全管理负有全部责任。</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12" w:name="十六"/>
      <w:bookmarkEnd w:id="112"/>
      <w:bookmarkStart w:id="113" w:name="_Toc41569115"/>
      <w:bookmarkStart w:id="114" w:name="_Toc213658627"/>
      <w:bookmarkStart w:id="115" w:name="_Toc213660328"/>
      <w:r>
        <w:rPr>
          <w:rFonts w:hint="eastAsia" w:ascii="楷体" w:hAnsi="楷体" w:eastAsia="楷体" w:cs="新宋体-18030"/>
          <w:b/>
          <w:bCs/>
          <w:color w:val="auto"/>
          <w:sz w:val="21"/>
          <w:szCs w:val="21"/>
        </w:rPr>
        <w:t>职业健康与卫生防疫</w:t>
      </w:r>
      <w:bookmarkEnd w:id="113"/>
      <w:bookmarkEnd w:id="114"/>
      <w:bookmarkEnd w:id="115"/>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根据国家有关法律法规及标准和发包人要求建立职业健康管理制度，识别涉职业危害重点岗位和人员，并为其建立职业健康监护档案。同时实施施工作业环境影响监测制度，对作业区域粉尘、噪声、有毒有害物质以及温湿度等影响从业人员职业健康因素进行定期监测。</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涉及高温作业、低温作业执行国家标准。</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承包人应保证卫生防疫基本设施的投入，以满足医疗、急救的要求，建立外部医疗支持渠道。</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卫生防疫措施计划，做好生活区和施工区的卫生防疫工作；制定和执行保证饮水卫生、饮食卫生、环境卫生和预防集体食物中毒的措施；有灭蚊、灭鼠和消毒的专项工作计划和措施；有针对性地制订预防各类传染疾病的措施。</w:t>
      </w:r>
      <w:bookmarkStart w:id="116" w:name="十七"/>
      <w:bookmarkEnd w:id="116"/>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17" w:name="一、"/>
      <w:bookmarkEnd w:id="117"/>
      <w:bookmarkStart w:id="118" w:name="二十"/>
      <w:bookmarkEnd w:id="118"/>
      <w:bookmarkStart w:id="119" w:name="_Toc41569116"/>
      <w:r>
        <w:rPr>
          <w:rFonts w:hint="eastAsia" w:ascii="楷体" w:hAnsi="楷体" w:eastAsia="楷体" w:cs="新宋体-18030"/>
          <w:b/>
          <w:bCs/>
          <w:color w:val="auto"/>
          <w:sz w:val="21"/>
          <w:szCs w:val="21"/>
        </w:rPr>
        <w:t>安全风险管理</w:t>
      </w:r>
      <w:bookmarkEnd w:id="119"/>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承包人应对合同活动进行全面、深入的危险源辨识和风险分析，应向发包人危险源辨识台账。</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承包人应结合本单位的施工计划，识别编制阶段性危大工程清单并报发包人备案。</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承包人应建立施工方案安全技术措施交底机制，施工作业开始前进行安全技术进行交底，制定针对的风险控制措施。</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承包人应积极发明或推广能够提高作业工艺安全性能的新技术、新工艺、新材料。</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20" w:name="二、"/>
      <w:bookmarkEnd w:id="120"/>
      <w:bookmarkStart w:id="121" w:name="_Toc41569117"/>
      <w:r>
        <w:rPr>
          <w:rFonts w:hint="eastAsia" w:ascii="楷体" w:hAnsi="楷体" w:eastAsia="楷体" w:cs="新宋体-18030"/>
          <w:b/>
          <w:bCs/>
          <w:color w:val="auto"/>
          <w:sz w:val="21"/>
          <w:szCs w:val="21"/>
        </w:rPr>
        <w:t>现场作业基本安全条件</w:t>
      </w:r>
      <w:bookmarkEnd w:id="121"/>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根据发包人要求规定现场作业的基本安全条件，包括照明条件、通风条件、作业平台和通道条件、物料堆放条件、供电供水条件、吸烟点、休息点等，并对临边现场、水边现场、立体交叉作业现场、地面坑洞和沟道、夜间作业现场等的基本安全条件做出特别规定。</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对于特种作业现场的安全条件，如脚手架、吊篮、密闭场所、基坑等，除一般规定外，承包人应对作业基本安全条件予以明确。</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对内部通道及作业区域的照明进行设计和规划。当任意一个部位形成室内作业且照明不足时（特别是地下室），承包人应及时设置施工照明和应急照明，保证任何区域均有足够的照明满足施工作业需求。现场室内应急照明应根据施工进展同步安装完成。</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22" w:name="三、"/>
      <w:bookmarkEnd w:id="122"/>
      <w:bookmarkStart w:id="123" w:name="_Toc41569118"/>
      <w:r>
        <w:rPr>
          <w:rFonts w:hint="eastAsia" w:ascii="楷体" w:hAnsi="楷体" w:eastAsia="楷体" w:cs="新宋体-18030"/>
          <w:b/>
          <w:bCs/>
          <w:color w:val="auto"/>
          <w:sz w:val="21"/>
          <w:szCs w:val="21"/>
        </w:rPr>
        <w:t>劳动保护</w:t>
      </w:r>
      <w:bookmarkEnd w:id="123"/>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承包人为高处作业人员配备的安全带必须为带缓冲包的五点式双钩安全带。</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承包人按国家标准所规定的劳保用品配备标准为员工配备个人防护用品，并制定管理规定，对个人防护用品进行管理。</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承包人在制定施工方案时，考虑在合适的地方采用设计、工程和管理控制来取代个人防护用品的方案。</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特殊作业环境中作业必须结合安全风险特点佩戴对应特殊劳动防护用品，如带电作业必须穿戴绝缘手套和绝缘鞋。</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特种作业人员应采取一定的措施，在安全帽或工作服标识上与其他工种进行区分。</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24" w:name="四、"/>
      <w:bookmarkEnd w:id="124"/>
      <w:bookmarkStart w:id="125" w:name="_Toc41569119"/>
      <w:r>
        <w:rPr>
          <w:rFonts w:hint="eastAsia" w:ascii="楷体" w:hAnsi="楷体" w:eastAsia="楷体" w:cs="新宋体-18030"/>
          <w:b/>
          <w:bCs/>
          <w:color w:val="auto"/>
          <w:sz w:val="21"/>
          <w:szCs w:val="21"/>
        </w:rPr>
        <w:t>施工机械、施工作业材料和施工机具安全</w:t>
      </w:r>
      <w:bookmarkEnd w:id="125"/>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对于承包人带入现场的设备、工具、材料，如起重设备、索具、机动车辆、压缩气瓶等，承包人必须按国家法规和标准进行检测、试验，并持有法定部门出具的检验证书。</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承包人要建立施工机械的定期检查保养制度，并有记录。承包人对使用的施工机械、机具（包括租赁的施工机械</w:t>
      </w:r>
      <w:r>
        <w:rPr>
          <w:rFonts w:ascii="楷体" w:hAnsi="楷体" w:eastAsia="楷体" w:cs="新宋体-18030"/>
          <w:bCs/>
          <w:color w:val="auto"/>
          <w:sz w:val="21"/>
          <w:szCs w:val="21"/>
        </w:rPr>
        <w:t>/</w:t>
      </w:r>
      <w:r>
        <w:rPr>
          <w:rFonts w:hint="eastAsia" w:ascii="楷体" w:hAnsi="楷体" w:eastAsia="楷体" w:cs="新宋体-18030"/>
          <w:bCs/>
          <w:color w:val="auto"/>
          <w:sz w:val="21"/>
          <w:szCs w:val="21"/>
        </w:rPr>
        <w:t>机具）的安全承担直接责任。</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承包人应建立施工机械安全的管理程序，对维护、维修、检测、报废以及档案、记录等各个环节作出规定。</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26" w:name="五、"/>
      <w:bookmarkEnd w:id="126"/>
      <w:bookmarkStart w:id="127" w:name="_Toc213660329"/>
      <w:bookmarkStart w:id="128" w:name="_Toc41569120"/>
      <w:bookmarkStart w:id="129" w:name="_Toc213658628"/>
      <w:bookmarkStart w:id="130" w:name="_Toc213660333"/>
      <w:bookmarkStart w:id="131" w:name="_Toc213658632"/>
      <w:r>
        <w:rPr>
          <w:rFonts w:hint="eastAsia" w:ascii="楷体" w:hAnsi="楷体" w:eastAsia="楷体" w:cs="新宋体-18030"/>
          <w:b/>
          <w:bCs/>
          <w:color w:val="auto"/>
          <w:sz w:val="21"/>
          <w:szCs w:val="21"/>
        </w:rPr>
        <w:t>消防安全</w:t>
      </w:r>
      <w:bookmarkEnd w:id="127"/>
      <w:bookmarkEnd w:id="128"/>
      <w:bookmarkEnd w:id="129"/>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承包人应根据发包人提供的设计资料并结合施工现场实际进行临时消防系统设计，消防系统设计应符合《</w:t>
      </w:r>
      <w:r>
        <w:rPr>
          <w:rFonts w:ascii="楷体" w:hAnsi="楷体" w:eastAsia="楷体" w:cs="新宋体-18030"/>
          <w:bCs/>
          <w:color w:val="auto"/>
          <w:sz w:val="21"/>
          <w:szCs w:val="21"/>
        </w:rPr>
        <w:t>建设工程施工现场消防安全技术规范</w:t>
      </w:r>
      <w:r>
        <w:rPr>
          <w:rFonts w:hint="eastAsia" w:ascii="楷体" w:hAnsi="楷体" w:eastAsia="楷体" w:cs="新宋体-18030"/>
          <w:bCs/>
          <w:color w:val="auto"/>
          <w:sz w:val="21"/>
          <w:szCs w:val="21"/>
        </w:rPr>
        <w:t>》（</w:t>
      </w:r>
      <w:r>
        <w:rPr>
          <w:rFonts w:ascii="楷体" w:hAnsi="楷体" w:eastAsia="楷体" w:cs="新宋体-18030"/>
          <w:bCs/>
          <w:color w:val="auto"/>
          <w:sz w:val="21"/>
          <w:szCs w:val="21"/>
        </w:rPr>
        <w:t>GB50720</w:t>
      </w:r>
      <w:r>
        <w:rPr>
          <w:rFonts w:hint="eastAsia" w:ascii="楷体" w:hAnsi="楷体" w:eastAsia="楷体" w:cs="新宋体-18030"/>
          <w:bCs/>
          <w:color w:val="auto"/>
          <w:sz w:val="21"/>
          <w:szCs w:val="21"/>
        </w:rPr>
        <w:t>）的技术要求。</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承包人应根据临时消防系统设计方案进行临时消防系统施工和维护，确保临时消防系统可用。</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承包人在施工过程中阻断/更改临时消防管路，对临时消防系统的可用性产生影响时，需提前征得项目部有关部门的同意。</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承包人应落实责任范围内给排水的管理措施和技术措施，保证消防用水。</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承包人应参照发包人程序建立施工动火控制制度，动火作业须办理动火证，并根据《建筑工程消防安全技术规范》为动火作业点配置专职监护人。</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发包人对“流动吸烟”实行“清退出场”处理措施，承包人应建立吸烟点并负责定期清扫，保持清洁卫生，禁止在非指定的吸烟点吸烟。禁止在现场焚烧各类物品及垃圾等。</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32" w:name="_Toc41569121"/>
      <w:r>
        <w:rPr>
          <w:rFonts w:hint="eastAsia" w:ascii="楷体" w:hAnsi="楷体" w:eastAsia="楷体" w:cs="新宋体-18030"/>
          <w:b/>
          <w:bCs/>
          <w:color w:val="auto"/>
          <w:sz w:val="21"/>
          <w:szCs w:val="21"/>
        </w:rPr>
        <w:t>电气安全</w:t>
      </w:r>
      <w:bookmarkEnd w:id="132"/>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承包人按《施工现场临时用电安全技术规范》（</w:t>
      </w:r>
      <w:r>
        <w:rPr>
          <w:rFonts w:ascii="楷体" w:hAnsi="楷体" w:eastAsia="楷体" w:cs="新宋体-18030"/>
          <w:bCs/>
          <w:color w:val="auto"/>
          <w:sz w:val="21"/>
          <w:szCs w:val="21"/>
        </w:rPr>
        <w:t>JGJ46</w:t>
      </w:r>
      <w:r>
        <w:rPr>
          <w:rFonts w:hint="eastAsia" w:ascii="楷体" w:hAnsi="楷体" w:eastAsia="楷体" w:cs="新宋体-18030"/>
          <w:bCs/>
          <w:color w:val="auto"/>
          <w:sz w:val="21"/>
          <w:szCs w:val="21"/>
        </w:rPr>
        <w:t>）、《用电安全导则》（GBT13869），编制《临时用电施工组织设计》，对用电设备容量、电缆走向、电缆敷设、电器安全设施参数、用电管理等进行规定；现场实际情况变更时，《临时用电施工组织设计》应予提前升版和报审。</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配电系统应设置配电柜或总配电箱（即一级配电箱）、分配电箱、开关箱，实行三级配电。总配电箱、开关箱必须装设漏电保护。</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施工现场临时用电工程必须采用三级配电系统、TN-S接零保护系统和二级漏电保护系统。临时用电采用</w:t>
      </w:r>
      <w:r>
        <w:rPr>
          <w:rFonts w:ascii="楷体" w:hAnsi="楷体" w:eastAsia="楷体" w:cs="新宋体-18030"/>
          <w:bCs/>
          <w:color w:val="auto"/>
          <w:sz w:val="21"/>
          <w:szCs w:val="21"/>
        </w:rPr>
        <w:t xml:space="preserve">TN-S </w:t>
      </w:r>
      <w:r>
        <w:rPr>
          <w:rFonts w:hint="eastAsia" w:ascii="楷体" w:hAnsi="楷体" w:eastAsia="楷体" w:cs="新宋体-18030"/>
          <w:bCs/>
          <w:color w:val="auto"/>
          <w:sz w:val="21"/>
          <w:szCs w:val="21"/>
        </w:rPr>
        <w:t>系统，符合“三级配电、两级保护”，达到“一机、一闸、一漏”的要求。</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施工现场</w:t>
      </w:r>
      <w:r>
        <w:rPr>
          <w:rFonts w:hint="eastAsia" w:ascii="楷体" w:hAnsi="楷体" w:eastAsia="楷体"/>
          <w:color w:val="auto"/>
          <w:sz w:val="21"/>
          <w:szCs w:val="21"/>
        </w:rPr>
        <w:t>地埋电缆禁止直埋，必须加套管或保护层</w:t>
      </w:r>
      <w:r>
        <w:rPr>
          <w:rFonts w:hint="eastAsia" w:ascii="楷体" w:hAnsi="楷体" w:eastAsia="楷体" w:cs="新宋体-18030"/>
          <w:bCs/>
          <w:color w:val="auto"/>
          <w:sz w:val="21"/>
          <w:szCs w:val="21"/>
        </w:rPr>
        <w:t>。室内</w:t>
      </w:r>
      <w:r>
        <w:rPr>
          <w:rFonts w:hint="eastAsia" w:ascii="楷体" w:hAnsi="楷体" w:eastAsia="楷体" w:cs="宋体"/>
          <w:color w:val="auto"/>
          <w:sz w:val="21"/>
          <w:szCs w:val="21"/>
        </w:rPr>
        <w:t>电缆敷设应根据施工环境特点安装高度应能够避免机械损伤和其他损伤，采用绝缘挂钩悬挂走线，不得直接挂在金属构架、脚手架等其他支架上。当</w:t>
      </w:r>
      <w:r>
        <w:rPr>
          <w:rFonts w:hint="eastAsia" w:ascii="楷体" w:hAnsi="楷体" w:eastAsia="楷体"/>
          <w:color w:val="auto"/>
          <w:sz w:val="21"/>
          <w:szCs w:val="21"/>
        </w:rPr>
        <w:t>电缆敷设穿越楼板、墙壁和空洞时应采取绝缘管或护套进行保护。</w:t>
      </w:r>
      <w:r>
        <w:rPr>
          <w:rFonts w:hint="eastAsia" w:ascii="楷体" w:hAnsi="楷体" w:eastAsia="楷体" w:cs="新宋体-18030"/>
          <w:bCs/>
          <w:color w:val="auto"/>
          <w:sz w:val="21"/>
          <w:szCs w:val="21"/>
        </w:rPr>
        <w:t>当采用地面走线时，电缆布置应根据施工用电配电系统及用电需求布置配电线路槽盒，通道处须设置过桥保护。</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结合施工现场临时施工用电施工组织设计建立匹配的接地网络，接地网络按建筑层逐层布置，综合考虑配电系统、用电设备就近连接。不得采用铝导体做接地体或地下接地线。垂直接地体宜采用角钢、钢管或光面圆钢，不得采用螺纹钢。</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移动工具、手持工具等用电设备应有各自的电源开关，必须实行“一机一闸”制，严禁2台或2台以上用电设备(含插座)使用同一开关。</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在水下或潮湿环境中使用电气设备或电动工具，作业前应由电工对其绝缘进行测试，带电零件与壳体之间，基本绝缘不得小于2MΩ，加强绝缘不得小于7MΩ。</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承包人须配备足够的电工（持证）对所有电气设备进行日常维护，保存好维护记录。</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现场带电设备必须张贴安全用电警示牌。</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配电箱张贴设备标牌、维护责任人信息牌、警示标牌。</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33" w:name="十八"/>
      <w:bookmarkEnd w:id="133"/>
      <w:bookmarkStart w:id="134" w:name="_Toc41569122"/>
      <w:bookmarkStart w:id="135" w:name="_Toc213658629"/>
      <w:bookmarkStart w:id="136" w:name="_Toc213660330"/>
      <w:r>
        <w:rPr>
          <w:rFonts w:hint="eastAsia" w:ascii="楷体" w:hAnsi="楷体" w:eastAsia="楷体" w:cs="新宋体-18030"/>
          <w:b/>
          <w:bCs/>
          <w:color w:val="auto"/>
          <w:sz w:val="21"/>
          <w:szCs w:val="21"/>
        </w:rPr>
        <w:t>临时照明、应急照明</w:t>
      </w:r>
      <w:bookmarkEnd w:id="134"/>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承包人应制定临时照明系统总体设计方案，并根据施工进展进行实施更新，满足现场施工照度要求。</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施工区域作业面最低照度满足施工工艺所需照度，应大于</w:t>
      </w:r>
      <w:r>
        <w:rPr>
          <w:rFonts w:ascii="楷体" w:hAnsi="楷体" w:eastAsia="楷体" w:cs="新宋体-18030"/>
          <w:bCs/>
          <w:color w:val="auto"/>
          <w:sz w:val="21"/>
          <w:szCs w:val="21"/>
        </w:rPr>
        <w:t>50Lx</w:t>
      </w:r>
      <w:r>
        <w:rPr>
          <w:rFonts w:hint="eastAsia" w:ascii="楷体" w:hAnsi="楷体" w:eastAsia="楷体" w:cs="新宋体-18030"/>
          <w:bCs/>
          <w:color w:val="auto"/>
          <w:sz w:val="21"/>
          <w:szCs w:val="21"/>
        </w:rPr>
        <w:t>。</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灯具外壳应采用密封保护罩，不得采用无防护措施的简易照明灯具。照明灯具宜采用环保节能的</w:t>
      </w:r>
      <w:r>
        <w:rPr>
          <w:rFonts w:ascii="楷体" w:hAnsi="楷体" w:eastAsia="楷体" w:cs="新宋体-18030"/>
          <w:bCs/>
          <w:color w:val="auto"/>
          <w:sz w:val="21"/>
          <w:szCs w:val="21"/>
        </w:rPr>
        <w:t>LED</w:t>
      </w:r>
      <w:r>
        <w:rPr>
          <w:rFonts w:hint="eastAsia" w:ascii="楷体" w:hAnsi="楷体" w:eastAsia="楷体" w:cs="新宋体-18030"/>
          <w:bCs/>
          <w:color w:val="auto"/>
          <w:sz w:val="21"/>
          <w:szCs w:val="21"/>
        </w:rPr>
        <w:t>。照明器具和器材的质量应符合国家现行有关强制性标准的规定，不得使用绝缘老化或破损的器具和器材，照明灯具均应设置保护罩。</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地下室、楼梯间等采光不足的地方需设置采用蓄电池为备用电源的应急照明设置，其连续供电能力不小于3</w:t>
      </w:r>
      <w:r>
        <w:rPr>
          <w:rFonts w:ascii="楷体" w:hAnsi="楷体" w:eastAsia="楷体" w:cs="新宋体-18030"/>
          <w:bCs/>
          <w:color w:val="auto"/>
          <w:sz w:val="21"/>
          <w:szCs w:val="21"/>
        </w:rPr>
        <w:t xml:space="preserve">0 </w:t>
      </w:r>
      <w:r>
        <w:rPr>
          <w:rFonts w:hint="eastAsia" w:ascii="楷体" w:hAnsi="楷体" w:eastAsia="楷体" w:cs="新宋体-18030"/>
          <w:bCs/>
          <w:color w:val="auto"/>
          <w:sz w:val="21"/>
          <w:szCs w:val="21"/>
        </w:rPr>
        <w:t>分钟。应急照明的高度不低于</w:t>
      </w:r>
      <w:r>
        <w:rPr>
          <w:rFonts w:ascii="楷体" w:hAnsi="楷体" w:eastAsia="楷体" w:cs="新宋体-18030"/>
          <w:bCs/>
          <w:color w:val="auto"/>
          <w:sz w:val="21"/>
          <w:szCs w:val="21"/>
        </w:rPr>
        <w:t>2m</w:t>
      </w:r>
      <w:r>
        <w:rPr>
          <w:rFonts w:hint="eastAsia" w:ascii="楷体" w:hAnsi="楷体" w:eastAsia="楷体" w:cs="新宋体-18030"/>
          <w:bCs/>
          <w:color w:val="auto"/>
          <w:sz w:val="21"/>
          <w:szCs w:val="21"/>
        </w:rPr>
        <w:t>，间距需满足能见度要求。</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承包人工作人员在易燃易爆场所必须使用防爆手电等照明灯具。</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37" w:name="_Toc41569123"/>
      <w:r>
        <w:rPr>
          <w:rFonts w:hint="eastAsia" w:ascii="楷体" w:hAnsi="楷体" w:eastAsia="楷体" w:cs="新宋体-18030"/>
          <w:b/>
          <w:bCs/>
          <w:color w:val="auto"/>
          <w:sz w:val="21"/>
          <w:szCs w:val="21"/>
        </w:rPr>
        <w:t>环境保护</w:t>
      </w:r>
      <w:bookmarkEnd w:id="135"/>
      <w:bookmarkEnd w:id="136"/>
      <w:bookmarkEnd w:id="137"/>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承包人应根据实际需要，在施工现场布置满足发包人要求的临时卫生设施（洗手间、卫生间等），并安排专门人员、设备等资源维护现场卫生设施，保证卫生设施清洁、整洁、无异味。</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承包人施工中应及时对裸露的地基、边坡、开挖出来的沙、土以及砂、石、水泥等建筑材料予以保护，防止风刮扬尘，雨水冲刷，流入市政道路等。</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38" w:name="_Toc41569124"/>
      <w:bookmarkStart w:id="139" w:name="_Toc213658630"/>
      <w:bookmarkStart w:id="140" w:name="_Toc213660331"/>
      <w:r>
        <w:rPr>
          <w:rFonts w:hint="eastAsia" w:ascii="楷体" w:hAnsi="楷体" w:eastAsia="楷体" w:cs="新宋体-18030"/>
          <w:b/>
          <w:bCs/>
          <w:color w:val="auto"/>
          <w:sz w:val="21"/>
          <w:szCs w:val="21"/>
        </w:rPr>
        <w:t>施工临建安全</w:t>
      </w:r>
      <w:bookmarkEnd w:id="138"/>
      <w:bookmarkEnd w:id="139"/>
      <w:bookmarkEnd w:id="140"/>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承包人根据发包人现场总体规划制定生产临建规划方案，临建规划布置应满足有关法律法规及标准要求。</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在工地内的临建设施，必须满足国家法规和地方政府的安全规定。临时施工建筑的建设标准应不低于地方规范。应满足消防、安全用电、卫生防疫、防抗台风、雷雨、暴雨、大风等方面的安全要求，尤其严格消防管理，禁止封锁逃生通道。禁止使用工作场所、仓库、生活场所“三合一”的设施。</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41" w:name="_Toc41569125"/>
      <w:r>
        <w:rPr>
          <w:rFonts w:hint="eastAsia" w:ascii="楷体" w:hAnsi="楷体" w:eastAsia="楷体" w:cs="新宋体-18030"/>
          <w:b/>
          <w:bCs/>
          <w:color w:val="auto"/>
          <w:sz w:val="21"/>
          <w:szCs w:val="21"/>
        </w:rPr>
        <w:t>安全文明施工标准化建设</w:t>
      </w:r>
      <w:bookmarkEnd w:id="141"/>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承包人应落实《粤海置地（深圳）有限公司安全文明施工标准化图册》要求，规范作业安全防护、施工区域、临建办公区定置化标准。图册中</w:t>
      </w:r>
      <w:r>
        <w:rPr>
          <w:rFonts w:hint="eastAsia" w:ascii="楷体" w:hAnsi="楷体" w:eastAsia="楷体"/>
          <w:color w:val="auto"/>
          <w:sz w:val="21"/>
          <w:szCs w:val="21"/>
        </w:rPr>
        <w:t>各项标准为工程安全文明施工基本要求，各单位安全文明施工标准应不低于此图册相关要求。</w:t>
      </w:r>
    </w:p>
    <w:bookmarkEnd w:id="130"/>
    <w:bookmarkEnd w:id="131"/>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42" w:name="二十一"/>
      <w:bookmarkEnd w:id="142"/>
      <w:bookmarkStart w:id="143" w:name="_Toc213658634"/>
      <w:bookmarkStart w:id="144" w:name="_Toc213660335"/>
      <w:bookmarkStart w:id="145" w:name="_Toc41569126"/>
      <w:r>
        <w:rPr>
          <w:rFonts w:hint="eastAsia" w:ascii="楷体" w:hAnsi="楷体" w:eastAsia="楷体" w:cs="新宋体-18030"/>
          <w:b/>
          <w:bCs/>
          <w:color w:val="auto"/>
          <w:sz w:val="21"/>
          <w:szCs w:val="21"/>
        </w:rPr>
        <w:t>事故报告与应急救援</w:t>
      </w:r>
      <w:bookmarkEnd w:id="143"/>
      <w:bookmarkEnd w:id="144"/>
      <w:bookmarkEnd w:id="145"/>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承包人应根据发包人及当地应急资源的具体情况，建立相应的应急响应组织，建立统一的应急渠道，以便能迅速处理突发意外。</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承包人应参照发包人的标准，建立生产安全事件报告准则；应建立事故快速报告制度，不得迟报、谎报、漏报和瞒报。</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承包人应建立事故应急救援机制，明确事故处置的基本原则，即现场发生事故时，首先抢救生命，向救援组织报警，并采取措施限制事故扩大。</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建立专项应急响应预案，包括重大人身伤亡事故的应急预案、消防应急预案、“自然灾害”预案（如防台风、防暴雨、防暑等）。承包人应对应急预案进行适当演练，保证应急预案的可操作性。针对施工临建设施、现场固定施工机械和施工围挡等受强台风或超强台风影响的设施及物项，应充分考虑季节性气候特点做好相关防范工作。因承包人考虑不周或防护不足等造成的损失，由承包人自行承担。</w:t>
      </w:r>
    </w:p>
    <w:p>
      <w:pPr>
        <w:numPr>
          <w:ilvl w:val="1"/>
          <w:numId w:val="6"/>
        </w:numPr>
        <w:tabs>
          <w:tab w:val="clear" w:pos="1512"/>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承包人应保证准备好为实行应急响应预案所需的设施、设备、器材、用品，并维护其可用。</w:t>
      </w:r>
    </w:p>
    <w:p>
      <w:pPr>
        <w:numPr>
          <w:ilvl w:val="0"/>
          <w:numId w:val="6"/>
        </w:numPr>
        <w:autoSpaceDE/>
        <w:autoSpaceDN/>
        <w:adjustRightInd/>
        <w:snapToGrid w:val="0"/>
        <w:spacing w:before="120" w:after="120" w:line="360" w:lineRule="auto"/>
        <w:jc w:val="both"/>
        <w:outlineLvl w:val="2"/>
        <w:rPr>
          <w:rFonts w:ascii="楷体" w:hAnsi="楷体" w:eastAsia="楷体" w:cs="新宋体-18030"/>
          <w:b/>
          <w:bCs/>
          <w:color w:val="auto"/>
          <w:sz w:val="21"/>
          <w:szCs w:val="21"/>
        </w:rPr>
      </w:pPr>
      <w:bookmarkStart w:id="146" w:name="_Toc41569127"/>
      <w:r>
        <w:rPr>
          <w:rFonts w:hint="eastAsia" w:ascii="楷体" w:hAnsi="楷体" w:eastAsia="楷体" w:cs="新宋体-18030"/>
          <w:b/>
          <w:bCs/>
          <w:color w:val="auto"/>
          <w:sz w:val="21"/>
          <w:szCs w:val="21"/>
        </w:rPr>
        <w:t>安全生产考核</w:t>
      </w:r>
      <w:bookmarkEnd w:id="146"/>
    </w:p>
    <w:p>
      <w:pPr>
        <w:numPr>
          <w:ilvl w:val="1"/>
          <w:numId w:val="6"/>
        </w:numPr>
        <w:tabs>
          <w:tab w:val="left" w:pos="1155"/>
        </w:tabs>
        <w:autoSpaceDE/>
        <w:autoSpaceDN/>
        <w:adjustRightInd/>
        <w:snapToGrid w:val="0"/>
        <w:spacing w:before="120" w:after="120" w:line="360" w:lineRule="auto"/>
        <w:ind w:left="0" w:firstLine="420" w:firstLineChars="200"/>
        <w:jc w:val="both"/>
        <w:rPr>
          <w:rFonts w:ascii="楷体" w:hAnsi="楷体" w:eastAsia="楷体" w:cs="新宋体-18030"/>
          <w:bCs/>
          <w:color w:val="auto"/>
          <w:sz w:val="21"/>
          <w:szCs w:val="21"/>
        </w:rPr>
      </w:pPr>
      <w:r>
        <w:rPr>
          <w:rFonts w:hint="eastAsia" w:ascii="楷体" w:hAnsi="楷体" w:eastAsia="楷体" w:cs="新宋体-18030"/>
          <w:bCs/>
          <w:color w:val="auto"/>
          <w:sz w:val="21"/>
          <w:szCs w:val="21"/>
        </w:rPr>
        <w:t>发包人对承包人定期进行安全生经理、安全负责人、安全员等，并约谈承包人企业负责人、公司总部分管工程、安全的负责人，必要时要求承包人公司分管工程、安全的负责人驻点督办。</w:t>
      </w:r>
    </w:p>
    <w:p>
      <w:pPr>
        <w:numPr>
          <w:ilvl w:val="0"/>
          <w:numId w:val="6"/>
        </w:numPr>
        <w:autoSpaceDE/>
        <w:autoSpaceDN/>
        <w:adjustRightInd/>
        <w:snapToGrid w:val="0"/>
        <w:spacing w:before="120" w:after="120" w:line="360" w:lineRule="auto"/>
        <w:ind w:firstLine="0"/>
        <w:jc w:val="both"/>
        <w:outlineLvl w:val="2"/>
        <w:rPr>
          <w:rFonts w:ascii="楷体" w:hAnsi="楷体" w:eastAsia="楷体" w:cs="新宋体-18030"/>
          <w:bCs/>
          <w:color w:val="auto"/>
          <w:sz w:val="21"/>
          <w:szCs w:val="21"/>
        </w:rPr>
      </w:pPr>
      <w:bookmarkStart w:id="147" w:name="二十二"/>
      <w:bookmarkEnd w:id="147"/>
      <w:bookmarkStart w:id="148" w:name="十四"/>
      <w:bookmarkEnd w:id="148"/>
      <w:bookmarkStart w:id="149" w:name="_Toc41569128"/>
      <w:r>
        <w:rPr>
          <w:rFonts w:hint="eastAsia" w:ascii="楷体" w:hAnsi="楷体" w:eastAsia="楷体" w:cs="新宋体-18030"/>
          <w:b/>
          <w:bCs/>
          <w:color w:val="auto"/>
          <w:sz w:val="21"/>
          <w:szCs w:val="21"/>
        </w:rPr>
        <w:t>违约</w:t>
      </w:r>
      <w:bookmarkEnd w:id="149"/>
    </w:p>
    <w:p>
      <w:pPr>
        <w:tabs>
          <w:tab w:val="left" w:pos="1512"/>
        </w:tabs>
        <w:snapToGrid w:val="0"/>
        <w:spacing w:before="120" w:after="120" w:line="360" w:lineRule="auto"/>
        <w:ind w:firstLine="420" w:firstLineChars="200"/>
        <w:rPr>
          <w:rFonts w:ascii="楷体" w:hAnsi="楷体" w:eastAsia="楷体" w:cs="新宋体-18030"/>
          <w:bCs/>
          <w:color w:val="auto"/>
          <w:sz w:val="21"/>
          <w:szCs w:val="21"/>
        </w:rPr>
      </w:pPr>
      <w:r>
        <w:rPr>
          <w:rFonts w:hint="eastAsia" w:ascii="楷体" w:hAnsi="楷体" w:eastAsia="楷体" w:cs="新宋体-18030"/>
          <w:bCs/>
          <w:color w:val="auto"/>
          <w:sz w:val="21"/>
          <w:szCs w:val="21"/>
        </w:rPr>
        <w:t>26.1</w:t>
      </w:r>
      <w:r>
        <w:rPr>
          <w:rFonts w:hint="eastAsia" w:ascii="楷体" w:hAnsi="楷体" w:eastAsia="楷体"/>
          <w:bCs/>
          <w:color w:val="auto"/>
          <w:sz w:val="21"/>
          <w:szCs w:val="21"/>
        </w:rPr>
        <w:t>安全生产事故违约考核</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对于承包人的以下严重违约行为，发包人将可直接扣除相应金额的合同款作为违约金。（以每次或起计算）：</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（1）</w:t>
      </w:r>
      <w:r>
        <w:rPr>
          <w:rFonts w:hint="eastAsia" w:ascii="楷体" w:hAnsi="楷体" w:eastAsia="楷体"/>
          <w:color w:val="auto"/>
          <w:sz w:val="21"/>
          <w:szCs w:val="21"/>
        </w:rPr>
        <w:tab/>
      </w:r>
      <w:r>
        <w:rPr>
          <w:rFonts w:hint="eastAsia" w:ascii="楷体" w:hAnsi="楷体" w:eastAsia="楷体"/>
          <w:color w:val="auto"/>
          <w:sz w:val="21"/>
          <w:szCs w:val="21"/>
        </w:rPr>
        <w:t xml:space="preserve">承包人发生死亡事故（50-100万元/起）； </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（2）</w:t>
      </w:r>
      <w:r>
        <w:rPr>
          <w:rFonts w:hint="eastAsia" w:ascii="楷体" w:hAnsi="楷体" w:eastAsia="楷体"/>
          <w:color w:val="auto"/>
          <w:sz w:val="21"/>
          <w:szCs w:val="21"/>
        </w:rPr>
        <w:tab/>
      </w:r>
      <w:r>
        <w:rPr>
          <w:rFonts w:hint="eastAsia" w:ascii="楷体" w:hAnsi="楷体" w:eastAsia="楷体"/>
          <w:color w:val="auto"/>
          <w:sz w:val="21"/>
          <w:szCs w:val="21"/>
        </w:rPr>
        <w:t>承包人发生重伤事故（10-50万元/起）；</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（3）</w:t>
      </w:r>
      <w:r>
        <w:rPr>
          <w:rFonts w:hint="eastAsia" w:ascii="楷体" w:hAnsi="楷体" w:eastAsia="楷体"/>
          <w:color w:val="auto"/>
          <w:sz w:val="21"/>
          <w:szCs w:val="21"/>
        </w:rPr>
        <w:tab/>
      </w:r>
      <w:r>
        <w:rPr>
          <w:rFonts w:hint="eastAsia" w:ascii="楷体" w:hAnsi="楷体" w:eastAsia="楷体"/>
          <w:color w:val="auto"/>
          <w:sz w:val="21"/>
          <w:szCs w:val="21"/>
        </w:rPr>
        <w:t>承包人导致环境污染受到政府处罚（10万~50万元/起）；</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（4）</w:t>
      </w:r>
      <w:r>
        <w:rPr>
          <w:rFonts w:hint="eastAsia" w:ascii="楷体" w:hAnsi="楷体" w:eastAsia="楷体"/>
          <w:color w:val="auto"/>
          <w:sz w:val="21"/>
          <w:szCs w:val="21"/>
        </w:rPr>
        <w:tab/>
      </w:r>
      <w:r>
        <w:rPr>
          <w:rFonts w:hint="eastAsia" w:ascii="楷体" w:hAnsi="楷体" w:eastAsia="楷体"/>
          <w:color w:val="auto"/>
          <w:sz w:val="21"/>
          <w:szCs w:val="21"/>
        </w:rPr>
        <w:t>承包人挪用合同安全措施费的，直接扣除挪用金2倍金额的合同款。</w:t>
      </w:r>
    </w:p>
    <w:p>
      <w:pPr>
        <w:tabs>
          <w:tab w:val="left" w:pos="1512"/>
        </w:tabs>
        <w:snapToGrid w:val="0"/>
        <w:spacing w:before="120" w:after="120" w:line="360" w:lineRule="auto"/>
        <w:rPr>
          <w:rFonts w:ascii="楷体" w:hAnsi="楷体" w:eastAsia="楷体" w:cs="新宋体-18030"/>
          <w:bCs/>
          <w:color w:val="auto"/>
          <w:sz w:val="21"/>
          <w:szCs w:val="21"/>
        </w:rPr>
      </w:pPr>
      <w:r>
        <w:rPr>
          <w:rFonts w:hint="eastAsia" w:ascii="楷体" w:hAnsi="楷体" w:eastAsia="楷体" w:cs="新宋体-18030"/>
          <w:bCs/>
          <w:color w:val="auto"/>
          <w:sz w:val="21"/>
          <w:szCs w:val="21"/>
        </w:rPr>
        <w:t xml:space="preserve">    26.2</w:t>
      </w:r>
      <w:r>
        <w:rPr>
          <w:rFonts w:hint="eastAsia" w:ascii="楷体" w:hAnsi="楷体" w:eastAsia="楷体"/>
          <w:color w:val="auto"/>
          <w:sz w:val="21"/>
          <w:szCs w:val="21"/>
        </w:rPr>
        <w:t>安全管理违约考核</w:t>
      </w:r>
    </w:p>
    <w:p>
      <w:pPr>
        <w:tabs>
          <w:tab w:val="left" w:pos="1512"/>
        </w:tabs>
        <w:snapToGrid w:val="0"/>
        <w:spacing w:before="120" w:after="120" w:line="360" w:lineRule="auto"/>
        <w:ind w:firstLine="420" w:firstLineChars="200"/>
        <w:rPr>
          <w:rFonts w:ascii="楷体" w:hAnsi="楷体" w:eastAsia="楷体" w:cs="新宋体-18030"/>
          <w:bCs/>
          <w:color w:val="auto"/>
          <w:sz w:val="21"/>
          <w:szCs w:val="21"/>
        </w:rPr>
      </w:pPr>
      <w:r>
        <w:rPr>
          <w:rFonts w:hint="eastAsia" w:ascii="楷体" w:hAnsi="楷体" w:eastAsia="楷体" w:cs="新宋体-18030"/>
          <w:bCs/>
          <w:color w:val="auto"/>
          <w:sz w:val="21"/>
          <w:szCs w:val="21"/>
        </w:rPr>
        <w:t>发包人对承包人管理人员及工人严重违章行为实行“一棒出局”零容忍机制，对高处作业不挂安全带、无证从事特殊工作作业、无作业许可进行作业、违章指挥或强令他人冒险作业等行为，一经查处，清退出施工现场，承包人必须无条件执行。</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对于承包人的违约行为，发包人有权在合同款中直接予以扣除相应的违约金。</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（1）</w:t>
      </w:r>
      <w:r>
        <w:rPr>
          <w:rFonts w:hint="eastAsia" w:ascii="楷体" w:hAnsi="楷体" w:eastAsia="楷体"/>
          <w:color w:val="auto"/>
          <w:sz w:val="21"/>
          <w:szCs w:val="21"/>
        </w:rPr>
        <w:tab/>
      </w:r>
      <w:r>
        <w:rPr>
          <w:rFonts w:hint="eastAsia" w:ascii="楷体" w:hAnsi="楷体" w:eastAsia="楷体"/>
          <w:color w:val="auto"/>
          <w:sz w:val="21"/>
          <w:szCs w:val="21"/>
        </w:rPr>
        <w:t>发生安全事件隐瞒不报或谎报（5万~10万元）；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（2）</w:t>
      </w:r>
      <w:r>
        <w:rPr>
          <w:rFonts w:hint="eastAsia" w:ascii="楷体" w:hAnsi="楷体" w:eastAsia="楷体"/>
          <w:color w:val="auto"/>
          <w:sz w:val="21"/>
          <w:szCs w:val="21"/>
        </w:rPr>
        <w:tab/>
      </w:r>
      <w:r>
        <w:rPr>
          <w:rFonts w:hint="eastAsia" w:ascii="楷体" w:hAnsi="楷体" w:eastAsia="楷体"/>
          <w:color w:val="auto"/>
          <w:sz w:val="21"/>
          <w:szCs w:val="21"/>
        </w:rPr>
        <w:t>设备、设施、机具不符合国家标准要求进入现场（1万~2万元）；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（3）</w:t>
      </w:r>
      <w:r>
        <w:rPr>
          <w:rFonts w:hint="eastAsia" w:ascii="楷体" w:hAnsi="楷体" w:eastAsia="楷体"/>
          <w:color w:val="auto"/>
          <w:sz w:val="21"/>
          <w:szCs w:val="21"/>
        </w:rPr>
        <w:tab/>
      </w:r>
      <w:r>
        <w:rPr>
          <w:rFonts w:hint="eastAsia" w:ascii="楷体" w:hAnsi="楷体" w:eastAsia="楷体"/>
          <w:color w:val="auto"/>
          <w:sz w:val="21"/>
          <w:szCs w:val="21"/>
        </w:rPr>
        <w:t>未办理作业许可进行作业（2万~3万元）；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（4）</w:t>
      </w:r>
      <w:r>
        <w:rPr>
          <w:rFonts w:hint="eastAsia" w:ascii="楷体" w:hAnsi="楷体" w:eastAsia="楷体"/>
          <w:color w:val="auto"/>
          <w:sz w:val="21"/>
          <w:szCs w:val="21"/>
        </w:rPr>
        <w:tab/>
      </w:r>
      <w:r>
        <w:rPr>
          <w:rFonts w:hint="eastAsia" w:ascii="楷体" w:hAnsi="楷体" w:eastAsia="楷体"/>
          <w:color w:val="auto"/>
          <w:sz w:val="21"/>
          <w:szCs w:val="21"/>
        </w:rPr>
        <w:t>未进行作业前安全交底、违章指挥、强令冒险作业（2万~3万元）；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（5）</w:t>
      </w:r>
      <w:r>
        <w:rPr>
          <w:rFonts w:hint="eastAsia" w:ascii="楷体" w:hAnsi="楷体" w:eastAsia="楷体"/>
          <w:color w:val="auto"/>
          <w:sz w:val="21"/>
          <w:szCs w:val="21"/>
        </w:rPr>
        <w:tab/>
      </w:r>
      <w:r>
        <w:rPr>
          <w:rFonts w:hint="eastAsia" w:ascii="楷体" w:hAnsi="楷体" w:eastAsia="楷体"/>
          <w:color w:val="auto"/>
          <w:sz w:val="21"/>
          <w:szCs w:val="21"/>
        </w:rPr>
        <w:t>无方案施工（包括未审批）、不按程序/方案施工，擅自改变既定的安全措施，降低防护水平或条件（2万~3万元）；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（6）</w:t>
      </w:r>
      <w:r>
        <w:rPr>
          <w:rFonts w:hint="eastAsia" w:ascii="楷体" w:hAnsi="楷体" w:eastAsia="楷体"/>
          <w:color w:val="auto"/>
          <w:sz w:val="21"/>
          <w:szCs w:val="21"/>
        </w:rPr>
        <w:tab/>
      </w:r>
      <w:r>
        <w:rPr>
          <w:rFonts w:hint="eastAsia" w:ascii="楷体" w:hAnsi="楷体" w:eastAsia="楷体"/>
          <w:color w:val="auto"/>
          <w:sz w:val="21"/>
          <w:szCs w:val="21"/>
        </w:rPr>
        <w:t>形成即刻事故风险的违章行为，拒绝及时整改（1万~2万元）；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（7）</w:t>
      </w:r>
      <w:r>
        <w:rPr>
          <w:rFonts w:hint="eastAsia" w:ascii="楷体" w:hAnsi="楷体" w:eastAsia="楷体"/>
          <w:color w:val="auto"/>
          <w:sz w:val="21"/>
          <w:szCs w:val="21"/>
        </w:rPr>
        <w:tab/>
      </w:r>
      <w:r>
        <w:rPr>
          <w:rFonts w:hint="eastAsia" w:ascii="楷体" w:hAnsi="楷体" w:eastAsia="楷体"/>
          <w:color w:val="auto"/>
          <w:sz w:val="21"/>
          <w:szCs w:val="21"/>
        </w:rPr>
        <w:t>重大安全缺陷未整改继续施工（1万~2万元）；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（8）</w:t>
      </w:r>
      <w:r>
        <w:rPr>
          <w:rFonts w:hint="eastAsia" w:ascii="楷体" w:hAnsi="楷体" w:eastAsia="楷体"/>
          <w:color w:val="auto"/>
          <w:sz w:val="21"/>
          <w:szCs w:val="21"/>
        </w:rPr>
        <w:tab/>
      </w:r>
      <w:r>
        <w:rPr>
          <w:rFonts w:hint="eastAsia" w:ascii="楷体" w:hAnsi="楷体" w:eastAsia="楷体"/>
          <w:color w:val="auto"/>
          <w:sz w:val="21"/>
          <w:szCs w:val="21"/>
        </w:rPr>
        <w:t>承包人管理人员对重大违章、集体违章、即刻风险不及时制止或拒绝整改（1万~2万元）；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（9）</w:t>
      </w:r>
      <w:r>
        <w:rPr>
          <w:rFonts w:hint="eastAsia" w:ascii="楷体" w:hAnsi="楷体" w:eastAsia="楷体"/>
          <w:color w:val="auto"/>
          <w:sz w:val="21"/>
          <w:szCs w:val="21"/>
        </w:rPr>
        <w:tab/>
      </w:r>
      <w:r>
        <w:rPr>
          <w:rFonts w:hint="eastAsia" w:ascii="楷体" w:hAnsi="楷体" w:eastAsia="楷体"/>
          <w:color w:val="auto"/>
          <w:sz w:val="21"/>
          <w:szCs w:val="21"/>
        </w:rPr>
        <w:t>承包人对分包商或劳务公司以包代管、包而不管（1万~2万元）；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（10）</w:t>
      </w:r>
      <w:r>
        <w:rPr>
          <w:rFonts w:hint="eastAsia" w:ascii="楷体" w:hAnsi="楷体" w:eastAsia="楷体"/>
          <w:color w:val="auto"/>
          <w:sz w:val="21"/>
          <w:szCs w:val="21"/>
        </w:rPr>
        <w:tab/>
      </w:r>
      <w:r>
        <w:rPr>
          <w:rFonts w:hint="eastAsia" w:ascii="楷体" w:hAnsi="楷体" w:eastAsia="楷体"/>
          <w:color w:val="auto"/>
          <w:sz w:val="21"/>
          <w:szCs w:val="21"/>
        </w:rPr>
        <w:t>关键岗位人员未持证上岗或从事的工作与其技能不符，逾期不整改（1万~2万元），关键岗位人员未征得建设方同意私自更换（10~50万元）；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（11）</w:t>
      </w:r>
      <w:r>
        <w:rPr>
          <w:rFonts w:hint="eastAsia" w:ascii="楷体" w:hAnsi="楷体" w:eastAsia="楷体"/>
          <w:color w:val="auto"/>
          <w:sz w:val="21"/>
          <w:szCs w:val="21"/>
        </w:rPr>
        <w:tab/>
      </w:r>
      <w:r>
        <w:rPr>
          <w:rFonts w:hint="eastAsia" w:ascii="楷体" w:hAnsi="楷体" w:eastAsia="楷体"/>
          <w:color w:val="auto"/>
          <w:sz w:val="21"/>
          <w:szCs w:val="21"/>
        </w:rPr>
        <w:t>承包人现场人员个人劳动保护用品质量不符合相应标准，逾期不更换的（1万~5万元）；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（12）</w:t>
      </w:r>
      <w:r>
        <w:rPr>
          <w:rFonts w:hint="eastAsia" w:ascii="楷体" w:hAnsi="楷体" w:eastAsia="楷体"/>
          <w:color w:val="auto"/>
          <w:sz w:val="21"/>
          <w:szCs w:val="21"/>
        </w:rPr>
        <w:tab/>
      </w:r>
      <w:r>
        <w:rPr>
          <w:rFonts w:hint="eastAsia" w:ascii="楷体" w:hAnsi="楷体" w:eastAsia="楷体"/>
          <w:color w:val="auto"/>
          <w:sz w:val="21"/>
          <w:szCs w:val="21"/>
        </w:rPr>
        <w:t>影响现场整体安全生产条件和环境条件的活动（3万~4万元）；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（13）</w:t>
      </w:r>
      <w:r>
        <w:rPr>
          <w:rFonts w:hint="eastAsia" w:ascii="楷体" w:hAnsi="楷体" w:eastAsia="楷体"/>
          <w:color w:val="auto"/>
          <w:sz w:val="21"/>
          <w:szCs w:val="21"/>
        </w:rPr>
        <w:tab/>
      </w:r>
      <w:r>
        <w:rPr>
          <w:rFonts w:hint="eastAsia" w:ascii="楷体" w:hAnsi="楷体" w:eastAsia="楷体"/>
          <w:color w:val="auto"/>
          <w:sz w:val="21"/>
          <w:szCs w:val="21"/>
        </w:rPr>
        <w:t>发包人发出的书面整改行动未按期整改（2万~3万元）；</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（14）</w:t>
      </w:r>
      <w:r>
        <w:rPr>
          <w:rFonts w:hint="eastAsia" w:ascii="楷体" w:hAnsi="楷体" w:eastAsia="楷体"/>
          <w:color w:val="auto"/>
          <w:sz w:val="21"/>
          <w:szCs w:val="21"/>
        </w:rPr>
        <w:tab/>
      </w:r>
      <w:r>
        <w:rPr>
          <w:rFonts w:hint="eastAsia" w:ascii="楷体" w:hAnsi="楷体" w:eastAsia="楷体"/>
          <w:color w:val="auto"/>
          <w:sz w:val="21"/>
          <w:szCs w:val="21"/>
        </w:rPr>
        <w:t>被各相关方认为具有较大事故隐患的行为或缺陷（1万~5万元）。</w:t>
      </w:r>
    </w:p>
    <w:p>
      <w:pPr>
        <w:widowControl/>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（15）承包人导致环境污染受到政府处罚（10万~50万元/起）；</w:t>
      </w:r>
    </w:p>
    <w:p>
      <w:pPr>
        <w:widowControl/>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（16）承包人挪用合同安全措施费的，直接扣除挪用金2倍金额的合同款。</w:t>
      </w: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26.3现场人员违章</w:t>
      </w:r>
    </w:p>
    <w:p>
      <w:pPr>
        <w:widowControl/>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甲方或监理人发现承包人现场施工人员发生违章行为的，将由监理人按照《安全文明施工违章考核表》对承包人进行考核。</w:t>
      </w:r>
    </w:p>
    <w:p>
      <w:pPr>
        <w:widowControl/>
        <w:snapToGrid w:val="0"/>
        <w:spacing w:line="360" w:lineRule="auto"/>
        <w:ind w:firstLine="420" w:firstLineChars="200"/>
        <w:jc w:val="center"/>
        <w:rPr>
          <w:rFonts w:ascii="楷体" w:hAnsi="楷体" w:eastAsia="楷体"/>
          <w:color w:val="auto"/>
          <w:sz w:val="21"/>
          <w:szCs w:val="21"/>
        </w:rPr>
      </w:pPr>
      <w:r>
        <w:rPr>
          <w:rFonts w:hint="eastAsia" w:ascii="楷体" w:hAnsi="楷体" w:eastAsia="楷体"/>
          <w:color w:val="auto"/>
          <w:sz w:val="21"/>
          <w:szCs w:val="21"/>
        </w:rPr>
        <w:t>安全文明施工违章考核表</w:t>
      </w:r>
    </w:p>
    <w:tbl>
      <w:tblPr>
        <w:tblStyle w:val="1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072"/>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序号</w:t>
            </w:r>
          </w:p>
        </w:tc>
        <w:tc>
          <w:tcPr>
            <w:tcW w:w="707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违章行为</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考核扣款标准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b/>
                <w:bCs/>
                <w:color w:val="auto"/>
                <w:sz w:val="21"/>
                <w:szCs w:val="21"/>
              </w:rPr>
            </w:pPr>
            <w:r>
              <w:rPr>
                <w:rFonts w:hint="eastAsia" w:ascii="楷体" w:hAnsi="楷体" w:eastAsia="楷体"/>
                <w:b/>
                <w:bCs/>
                <w:color w:val="auto"/>
                <w:sz w:val="21"/>
                <w:szCs w:val="21"/>
              </w:rPr>
              <w:t>一</w:t>
            </w:r>
          </w:p>
        </w:tc>
        <w:tc>
          <w:tcPr>
            <w:tcW w:w="7072" w:type="dxa"/>
            <w:vAlign w:val="center"/>
          </w:tcPr>
          <w:p>
            <w:pPr>
              <w:snapToGrid w:val="0"/>
              <w:spacing w:line="360" w:lineRule="auto"/>
              <w:rPr>
                <w:rFonts w:ascii="楷体" w:hAnsi="楷体" w:eastAsia="楷体"/>
                <w:b/>
                <w:bCs/>
                <w:color w:val="auto"/>
                <w:sz w:val="21"/>
                <w:szCs w:val="21"/>
              </w:rPr>
            </w:pPr>
            <w:r>
              <w:rPr>
                <w:rFonts w:hint="eastAsia" w:ascii="楷体" w:hAnsi="楷体" w:eastAsia="楷体"/>
                <w:b/>
                <w:bCs/>
                <w:color w:val="auto"/>
                <w:sz w:val="21"/>
                <w:szCs w:val="21"/>
              </w:rPr>
              <w:t>安全施工</w:t>
            </w:r>
          </w:p>
        </w:tc>
        <w:tc>
          <w:tcPr>
            <w:tcW w:w="1562" w:type="dxa"/>
            <w:vAlign w:val="center"/>
          </w:tcPr>
          <w:p>
            <w:pPr>
              <w:keepNext/>
              <w:keepLines/>
              <w:snapToGrid w:val="0"/>
              <w:spacing w:line="360" w:lineRule="auto"/>
              <w:jc w:val="center"/>
              <w:rPr>
                <w:rFonts w:ascii="楷体" w:hAnsi="楷体" w:eastAsia="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w:t>
            </w:r>
          </w:p>
        </w:tc>
        <w:tc>
          <w:tcPr>
            <w:tcW w:w="7072" w:type="dxa"/>
            <w:vAlign w:val="center"/>
          </w:tcPr>
          <w:p>
            <w:pPr>
              <w:snapToGrid w:val="0"/>
              <w:spacing w:line="360" w:lineRule="auto"/>
              <w:rPr>
                <w:rFonts w:ascii="楷体" w:hAnsi="楷体" w:eastAsia="楷体"/>
                <w:color w:val="auto"/>
                <w:sz w:val="21"/>
                <w:szCs w:val="21"/>
              </w:rPr>
            </w:pPr>
            <w:r>
              <w:rPr>
                <w:rFonts w:hint="eastAsia" w:ascii="楷体" w:hAnsi="楷体" w:eastAsia="楷体"/>
                <w:color w:val="auto"/>
                <w:sz w:val="21"/>
                <w:szCs w:val="21"/>
              </w:rPr>
              <w:t>穿高跟鞋，露脚趾、带钉鞋、凉鞋、裙子、短裤、背心或裸背、长发披肩进入施工现场。</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100元</w:t>
            </w:r>
            <w:r>
              <w:rPr>
                <w:rFonts w:ascii="楷体" w:hAnsi="楷体" w:eastAsia="楷体"/>
                <w:color w:val="auto"/>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2</w:t>
            </w:r>
          </w:p>
        </w:tc>
        <w:tc>
          <w:tcPr>
            <w:tcW w:w="7072" w:type="dxa"/>
            <w:vAlign w:val="center"/>
          </w:tcPr>
          <w:p>
            <w:pPr>
              <w:snapToGrid w:val="0"/>
              <w:spacing w:line="360" w:lineRule="auto"/>
              <w:rPr>
                <w:rFonts w:ascii="楷体" w:hAnsi="楷体" w:eastAsia="楷体"/>
                <w:color w:val="auto"/>
                <w:sz w:val="21"/>
                <w:szCs w:val="21"/>
              </w:rPr>
            </w:pPr>
            <w:r>
              <w:rPr>
                <w:rFonts w:hint="eastAsia" w:ascii="楷体" w:hAnsi="楷体" w:eastAsia="楷体"/>
                <w:color w:val="auto"/>
                <w:sz w:val="21"/>
                <w:szCs w:val="21"/>
              </w:rPr>
              <w:t>酒后进入施工现场。</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500元</w:t>
            </w:r>
            <w:r>
              <w:rPr>
                <w:rFonts w:ascii="楷体" w:hAnsi="楷体" w:eastAsia="楷体"/>
                <w:color w:val="auto"/>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3</w:t>
            </w:r>
          </w:p>
        </w:tc>
        <w:tc>
          <w:tcPr>
            <w:tcW w:w="7072" w:type="dxa"/>
            <w:vAlign w:val="center"/>
          </w:tcPr>
          <w:p>
            <w:pPr>
              <w:snapToGrid w:val="0"/>
              <w:spacing w:line="360" w:lineRule="auto"/>
              <w:rPr>
                <w:rFonts w:ascii="楷体" w:hAnsi="楷体" w:eastAsia="楷体"/>
                <w:bCs/>
                <w:color w:val="auto"/>
                <w:sz w:val="21"/>
                <w:szCs w:val="21"/>
              </w:rPr>
            </w:pPr>
            <w:r>
              <w:rPr>
                <w:rFonts w:hint="eastAsia" w:ascii="楷体" w:hAnsi="楷体" w:eastAsia="楷体"/>
                <w:bCs/>
                <w:color w:val="auto"/>
                <w:sz w:val="21"/>
                <w:szCs w:val="21"/>
              </w:rPr>
              <w:t>现场作业人员未进行安全教育的</w:t>
            </w:r>
          </w:p>
        </w:tc>
        <w:tc>
          <w:tcPr>
            <w:tcW w:w="1562" w:type="dxa"/>
            <w:vAlign w:val="center"/>
          </w:tcPr>
          <w:p>
            <w:pPr>
              <w:keepNext/>
              <w:keepLines/>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200元</w:t>
            </w:r>
            <w:r>
              <w:rPr>
                <w:rFonts w:ascii="楷体" w:hAnsi="楷体" w:eastAsia="楷体"/>
                <w:color w:val="auto"/>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4</w:t>
            </w:r>
          </w:p>
        </w:tc>
        <w:tc>
          <w:tcPr>
            <w:tcW w:w="7072" w:type="dxa"/>
            <w:vAlign w:val="center"/>
          </w:tcPr>
          <w:p>
            <w:pPr>
              <w:snapToGrid w:val="0"/>
              <w:spacing w:line="360" w:lineRule="auto"/>
              <w:rPr>
                <w:rFonts w:ascii="楷体" w:hAnsi="楷体" w:eastAsia="楷体"/>
                <w:bCs/>
                <w:color w:val="auto"/>
                <w:sz w:val="21"/>
                <w:szCs w:val="21"/>
              </w:rPr>
            </w:pPr>
            <w:r>
              <w:rPr>
                <w:rFonts w:hint="eastAsia" w:ascii="楷体" w:hAnsi="楷体" w:eastAsia="楷体"/>
                <w:bCs/>
                <w:color w:val="auto"/>
                <w:sz w:val="21"/>
                <w:szCs w:val="21"/>
              </w:rPr>
              <w:t>违反起重作业“十不吊”</w:t>
            </w:r>
          </w:p>
        </w:tc>
        <w:tc>
          <w:tcPr>
            <w:tcW w:w="1562" w:type="dxa"/>
            <w:vAlign w:val="center"/>
          </w:tcPr>
          <w:p>
            <w:pPr>
              <w:keepNext/>
              <w:keepLines/>
              <w:snapToGrid w:val="0"/>
              <w:spacing w:line="360" w:lineRule="auto"/>
              <w:jc w:val="center"/>
              <w:rPr>
                <w:rFonts w:ascii="楷体" w:hAnsi="楷体" w:eastAsia="楷体"/>
                <w:color w:val="auto"/>
                <w:sz w:val="21"/>
                <w:szCs w:val="21"/>
              </w:rPr>
            </w:pPr>
            <w:r>
              <w:rPr>
                <w:rFonts w:ascii="楷体" w:hAnsi="楷体" w:eastAsia="楷体"/>
                <w:color w:val="auto"/>
                <w:sz w:val="21"/>
                <w:szCs w:val="21"/>
              </w:rPr>
              <w:t>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5</w:t>
            </w:r>
          </w:p>
        </w:tc>
        <w:tc>
          <w:tcPr>
            <w:tcW w:w="7072" w:type="dxa"/>
            <w:vAlign w:val="center"/>
          </w:tcPr>
          <w:p>
            <w:pPr>
              <w:snapToGrid w:val="0"/>
              <w:spacing w:line="360" w:lineRule="auto"/>
              <w:rPr>
                <w:rFonts w:ascii="楷体" w:hAnsi="楷体" w:eastAsia="楷体"/>
                <w:bCs/>
                <w:color w:val="auto"/>
                <w:sz w:val="21"/>
                <w:szCs w:val="21"/>
              </w:rPr>
            </w:pPr>
            <w:r>
              <w:rPr>
                <w:rFonts w:hint="eastAsia" w:ascii="楷体" w:hAnsi="楷体" w:eastAsia="楷体"/>
                <w:bCs/>
                <w:color w:val="auto"/>
                <w:sz w:val="21"/>
                <w:szCs w:val="21"/>
              </w:rPr>
              <w:t>起重机作业完成后，钢丝绳未摘除，吊钩未复位</w:t>
            </w:r>
          </w:p>
        </w:tc>
        <w:tc>
          <w:tcPr>
            <w:tcW w:w="1562" w:type="dxa"/>
            <w:vAlign w:val="center"/>
          </w:tcPr>
          <w:p>
            <w:pPr>
              <w:keepNext/>
              <w:keepLines/>
              <w:snapToGrid w:val="0"/>
              <w:spacing w:line="360" w:lineRule="auto"/>
              <w:jc w:val="center"/>
              <w:rPr>
                <w:rFonts w:ascii="楷体" w:hAnsi="楷体" w:eastAsia="楷体"/>
                <w:color w:val="auto"/>
                <w:sz w:val="21"/>
                <w:szCs w:val="21"/>
              </w:rPr>
            </w:pPr>
            <w:r>
              <w:rPr>
                <w:rFonts w:ascii="楷体" w:hAnsi="楷体" w:eastAsia="楷体"/>
                <w:color w:val="auto"/>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6</w:t>
            </w:r>
          </w:p>
        </w:tc>
        <w:tc>
          <w:tcPr>
            <w:tcW w:w="7072" w:type="dxa"/>
            <w:vAlign w:val="center"/>
          </w:tcPr>
          <w:p>
            <w:pPr>
              <w:snapToGrid w:val="0"/>
              <w:spacing w:line="360" w:lineRule="auto"/>
              <w:rPr>
                <w:rFonts w:ascii="楷体" w:hAnsi="楷体" w:eastAsia="楷体"/>
                <w:bCs/>
                <w:color w:val="auto"/>
                <w:sz w:val="21"/>
                <w:szCs w:val="21"/>
              </w:rPr>
            </w:pPr>
            <w:r>
              <w:rPr>
                <w:rFonts w:hint="eastAsia" w:ascii="楷体" w:hAnsi="楷体" w:eastAsia="楷体"/>
                <w:bCs/>
                <w:color w:val="auto"/>
                <w:sz w:val="21"/>
                <w:szCs w:val="21"/>
              </w:rPr>
              <w:t>作业人员未按规定佩戴劳动防护用品</w:t>
            </w:r>
          </w:p>
        </w:tc>
        <w:tc>
          <w:tcPr>
            <w:tcW w:w="1562" w:type="dxa"/>
            <w:vAlign w:val="center"/>
          </w:tcPr>
          <w:p>
            <w:pPr>
              <w:keepNext/>
              <w:keepLines/>
              <w:snapToGrid w:val="0"/>
              <w:spacing w:line="360" w:lineRule="auto"/>
              <w:jc w:val="center"/>
              <w:rPr>
                <w:rFonts w:ascii="楷体" w:hAnsi="楷体" w:eastAsia="楷体"/>
                <w:color w:val="auto"/>
                <w:sz w:val="21"/>
                <w:szCs w:val="21"/>
              </w:rPr>
            </w:pPr>
            <w:r>
              <w:rPr>
                <w:rFonts w:ascii="楷体" w:hAnsi="楷体" w:eastAsia="楷体"/>
                <w:color w:val="auto"/>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7</w:t>
            </w:r>
          </w:p>
        </w:tc>
        <w:tc>
          <w:tcPr>
            <w:tcW w:w="7072" w:type="dxa"/>
            <w:vAlign w:val="center"/>
          </w:tcPr>
          <w:p>
            <w:pPr>
              <w:snapToGrid w:val="0"/>
              <w:spacing w:line="360" w:lineRule="auto"/>
              <w:rPr>
                <w:rFonts w:ascii="楷体" w:hAnsi="楷体" w:eastAsia="楷体"/>
                <w:color w:val="auto"/>
                <w:sz w:val="21"/>
                <w:szCs w:val="21"/>
              </w:rPr>
            </w:pPr>
            <w:r>
              <w:rPr>
                <w:rFonts w:ascii="楷体" w:hAnsi="楷体" w:eastAsia="楷体"/>
                <w:color w:val="auto"/>
                <w:sz w:val="21"/>
                <w:szCs w:val="21"/>
              </w:rPr>
              <w:t>易燃易爆物品等危险品</w:t>
            </w:r>
            <w:r>
              <w:rPr>
                <w:rFonts w:hint="eastAsia" w:ascii="楷体" w:hAnsi="楷体" w:eastAsia="楷体"/>
                <w:color w:val="auto"/>
                <w:sz w:val="21"/>
                <w:szCs w:val="21"/>
              </w:rPr>
              <w:t>未按规定使用、管理和存放，爆破作业违章、违规</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8</w:t>
            </w:r>
          </w:p>
        </w:tc>
        <w:tc>
          <w:tcPr>
            <w:tcW w:w="7072" w:type="dxa"/>
            <w:vAlign w:val="center"/>
          </w:tcPr>
          <w:p>
            <w:pPr>
              <w:snapToGrid w:val="0"/>
              <w:spacing w:line="360" w:lineRule="auto"/>
              <w:rPr>
                <w:rFonts w:ascii="楷体" w:hAnsi="楷体" w:eastAsia="楷体"/>
                <w:color w:val="auto"/>
                <w:sz w:val="21"/>
                <w:szCs w:val="21"/>
              </w:rPr>
            </w:pPr>
            <w:r>
              <w:rPr>
                <w:rFonts w:ascii="楷体" w:hAnsi="楷体" w:eastAsia="楷体"/>
                <w:color w:val="auto"/>
                <w:sz w:val="21"/>
                <w:szCs w:val="21"/>
              </w:rPr>
              <w:t>施工作业无安全监管人员</w:t>
            </w:r>
            <w:r>
              <w:rPr>
                <w:rFonts w:hint="eastAsia" w:ascii="楷体" w:hAnsi="楷体" w:eastAsia="楷体"/>
                <w:color w:val="auto"/>
                <w:sz w:val="21"/>
                <w:szCs w:val="21"/>
              </w:rPr>
              <w:t>，</w:t>
            </w:r>
            <w:r>
              <w:rPr>
                <w:rFonts w:ascii="楷体" w:hAnsi="楷体" w:eastAsia="楷体"/>
                <w:color w:val="auto"/>
                <w:sz w:val="21"/>
                <w:szCs w:val="21"/>
              </w:rPr>
              <w:t>危险区域或夜间施工无醒目的安全警示标志的</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9</w:t>
            </w:r>
          </w:p>
        </w:tc>
        <w:tc>
          <w:tcPr>
            <w:tcW w:w="7072" w:type="dxa"/>
            <w:vAlign w:val="center"/>
          </w:tcPr>
          <w:p>
            <w:pPr>
              <w:snapToGrid w:val="0"/>
              <w:spacing w:line="360" w:lineRule="auto"/>
              <w:rPr>
                <w:rFonts w:ascii="楷体" w:hAnsi="楷体" w:eastAsia="楷体"/>
                <w:color w:val="auto"/>
                <w:sz w:val="21"/>
                <w:szCs w:val="21"/>
              </w:rPr>
            </w:pPr>
            <w:r>
              <w:rPr>
                <w:rFonts w:hint="eastAsia" w:ascii="楷体" w:hAnsi="楷体" w:eastAsia="楷体"/>
                <w:color w:val="auto"/>
                <w:sz w:val="21"/>
                <w:szCs w:val="21"/>
              </w:rPr>
              <w:t>进入施工现场不戴安全帽，或佩戴不合格的安全帽，或不正确配戴安全帽。</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100元</w:t>
            </w:r>
            <w:r>
              <w:rPr>
                <w:rFonts w:ascii="楷体" w:hAnsi="楷体" w:eastAsia="楷体"/>
                <w:color w:val="auto"/>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10</w:t>
            </w:r>
          </w:p>
        </w:tc>
        <w:tc>
          <w:tcPr>
            <w:tcW w:w="7072" w:type="dxa"/>
            <w:vAlign w:val="center"/>
          </w:tcPr>
          <w:p>
            <w:pPr>
              <w:snapToGrid w:val="0"/>
              <w:spacing w:line="360" w:lineRule="auto"/>
              <w:rPr>
                <w:rFonts w:ascii="楷体" w:hAnsi="楷体" w:eastAsia="楷体"/>
                <w:color w:val="auto"/>
                <w:sz w:val="21"/>
                <w:szCs w:val="21"/>
              </w:rPr>
            </w:pPr>
            <w:r>
              <w:rPr>
                <w:rFonts w:ascii="楷体" w:hAnsi="楷体" w:eastAsia="楷体"/>
                <w:color w:val="auto"/>
                <w:sz w:val="21"/>
                <w:szCs w:val="21"/>
              </w:rPr>
              <w:t>高空</w:t>
            </w:r>
            <w:r>
              <w:rPr>
                <w:rFonts w:hint="eastAsia" w:ascii="楷体" w:hAnsi="楷体" w:eastAsia="楷体"/>
                <w:color w:val="auto"/>
                <w:sz w:val="21"/>
                <w:szCs w:val="21"/>
              </w:rPr>
              <w:t>（架）</w:t>
            </w:r>
            <w:r>
              <w:rPr>
                <w:rFonts w:ascii="楷体" w:hAnsi="楷体" w:eastAsia="楷体"/>
                <w:color w:val="auto"/>
                <w:sz w:val="21"/>
                <w:szCs w:val="21"/>
              </w:rPr>
              <w:t>作业或临边作业不系安全带的</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200</w:t>
            </w:r>
            <w:r>
              <w:rPr>
                <w:rFonts w:hint="eastAsia" w:ascii="楷体" w:hAnsi="楷体" w:eastAsia="楷体"/>
                <w:color w:val="auto"/>
                <w:sz w:val="21"/>
                <w:szCs w:val="21"/>
              </w:rPr>
              <w:t>元</w:t>
            </w:r>
            <w:r>
              <w:rPr>
                <w:rFonts w:ascii="楷体" w:hAnsi="楷体" w:eastAsia="楷体"/>
                <w:color w:val="auto"/>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11</w:t>
            </w:r>
          </w:p>
        </w:tc>
        <w:tc>
          <w:tcPr>
            <w:tcW w:w="7072" w:type="dxa"/>
            <w:vAlign w:val="center"/>
          </w:tcPr>
          <w:p>
            <w:pPr>
              <w:snapToGrid w:val="0"/>
              <w:spacing w:line="360" w:lineRule="auto"/>
              <w:rPr>
                <w:rFonts w:ascii="楷体" w:hAnsi="楷体" w:eastAsia="楷体"/>
                <w:color w:val="auto"/>
                <w:sz w:val="21"/>
                <w:szCs w:val="21"/>
              </w:rPr>
            </w:pPr>
            <w:r>
              <w:rPr>
                <w:rFonts w:hint="eastAsia" w:ascii="楷体" w:hAnsi="楷体" w:eastAsia="楷体"/>
                <w:color w:val="auto"/>
                <w:sz w:val="21"/>
                <w:szCs w:val="21"/>
              </w:rPr>
              <w:t>“洞口、临边”无防护栏杆、网或安全网搭设不符合要求</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w:t>
            </w:r>
            <w:r>
              <w:rPr>
                <w:rFonts w:hint="eastAsia" w:ascii="楷体" w:hAnsi="楷体" w:eastAsia="楷体"/>
                <w:color w:val="auto"/>
                <w:sz w:val="21"/>
                <w:szCs w:val="21"/>
              </w:rPr>
              <w:t>00元</w:t>
            </w:r>
            <w:r>
              <w:rPr>
                <w:rFonts w:ascii="楷体" w:hAnsi="楷体" w:eastAsia="楷体"/>
                <w:color w:val="auto"/>
                <w:sz w:val="21"/>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12</w:t>
            </w:r>
          </w:p>
        </w:tc>
        <w:tc>
          <w:tcPr>
            <w:tcW w:w="7072" w:type="dxa"/>
            <w:vAlign w:val="center"/>
          </w:tcPr>
          <w:p>
            <w:pPr>
              <w:keepNext/>
              <w:keepLines/>
              <w:snapToGrid w:val="0"/>
              <w:spacing w:line="360" w:lineRule="auto"/>
              <w:rPr>
                <w:rFonts w:ascii="楷体" w:hAnsi="楷体" w:eastAsia="楷体"/>
                <w:color w:val="auto"/>
                <w:sz w:val="21"/>
                <w:szCs w:val="21"/>
              </w:rPr>
            </w:pPr>
            <w:r>
              <w:rPr>
                <w:rFonts w:ascii="楷体" w:hAnsi="楷体" w:eastAsia="楷体"/>
                <w:color w:val="auto"/>
                <w:sz w:val="21"/>
                <w:szCs w:val="21"/>
              </w:rPr>
              <w:t>施工临时用电不符合</w:t>
            </w:r>
            <w:r>
              <w:rPr>
                <w:rFonts w:hint="eastAsia" w:ascii="楷体" w:hAnsi="楷体" w:eastAsia="楷体"/>
                <w:color w:val="auto"/>
                <w:sz w:val="21"/>
                <w:szCs w:val="21"/>
              </w:rPr>
              <w:t>“一机一闸一漏”，未按要求接地，无漏电保护</w:t>
            </w:r>
          </w:p>
        </w:tc>
        <w:tc>
          <w:tcPr>
            <w:tcW w:w="1562" w:type="dxa"/>
            <w:vAlign w:val="center"/>
          </w:tcPr>
          <w:p>
            <w:pPr>
              <w:keepNext/>
              <w:keepLines/>
              <w:snapToGrid w:val="0"/>
              <w:spacing w:line="360" w:lineRule="auto"/>
              <w:jc w:val="center"/>
              <w:rPr>
                <w:rFonts w:ascii="楷体" w:hAnsi="楷体" w:eastAsia="楷体"/>
                <w:color w:val="auto"/>
                <w:sz w:val="21"/>
                <w:szCs w:val="21"/>
              </w:rPr>
            </w:pPr>
            <w:r>
              <w:rPr>
                <w:rFonts w:ascii="楷体" w:hAnsi="楷体" w:eastAsia="楷体"/>
                <w:color w:val="auto"/>
                <w:sz w:val="21"/>
                <w:szCs w:val="21"/>
              </w:rPr>
              <w:t>2</w:t>
            </w:r>
            <w:r>
              <w:rPr>
                <w:rFonts w:hint="eastAsia" w:ascii="楷体" w:hAnsi="楷体" w:eastAsia="楷体"/>
                <w:color w:val="auto"/>
                <w:sz w:val="21"/>
                <w:szCs w:val="21"/>
              </w:rPr>
              <w:t>00元</w:t>
            </w:r>
            <w:r>
              <w:rPr>
                <w:rFonts w:ascii="楷体" w:hAnsi="楷体" w:eastAsia="楷体"/>
                <w:color w:val="auto"/>
                <w:sz w:val="21"/>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13</w:t>
            </w:r>
          </w:p>
        </w:tc>
        <w:tc>
          <w:tcPr>
            <w:tcW w:w="7072" w:type="dxa"/>
            <w:vAlign w:val="center"/>
          </w:tcPr>
          <w:p>
            <w:pPr>
              <w:snapToGrid w:val="0"/>
              <w:spacing w:line="360" w:lineRule="auto"/>
              <w:rPr>
                <w:rFonts w:ascii="楷体" w:hAnsi="楷体" w:eastAsia="楷体"/>
                <w:color w:val="auto"/>
                <w:sz w:val="21"/>
                <w:szCs w:val="21"/>
              </w:rPr>
            </w:pPr>
            <w:r>
              <w:rPr>
                <w:rFonts w:ascii="楷体" w:hAnsi="楷体" w:eastAsia="楷体"/>
                <w:color w:val="auto"/>
                <w:sz w:val="21"/>
                <w:szCs w:val="21"/>
              </w:rPr>
              <w:t>作业人员在无防护的支撑上行走</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200</w:t>
            </w:r>
            <w:r>
              <w:rPr>
                <w:rFonts w:hint="eastAsia" w:ascii="楷体" w:hAnsi="楷体" w:eastAsia="楷体"/>
                <w:color w:val="auto"/>
                <w:sz w:val="21"/>
                <w:szCs w:val="21"/>
              </w:rPr>
              <w:t>元</w:t>
            </w:r>
            <w:r>
              <w:rPr>
                <w:rFonts w:ascii="楷体" w:hAnsi="楷体" w:eastAsia="楷体"/>
                <w:color w:val="auto"/>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14</w:t>
            </w:r>
          </w:p>
        </w:tc>
        <w:tc>
          <w:tcPr>
            <w:tcW w:w="7072" w:type="dxa"/>
            <w:vAlign w:val="center"/>
          </w:tcPr>
          <w:p>
            <w:pPr>
              <w:snapToGrid w:val="0"/>
              <w:spacing w:line="360" w:lineRule="auto"/>
              <w:rPr>
                <w:rFonts w:ascii="楷体" w:hAnsi="楷体" w:eastAsia="楷体"/>
                <w:color w:val="auto"/>
                <w:sz w:val="21"/>
                <w:szCs w:val="21"/>
              </w:rPr>
            </w:pPr>
            <w:r>
              <w:rPr>
                <w:rFonts w:ascii="楷体" w:hAnsi="楷体" w:eastAsia="楷体"/>
                <w:color w:val="auto"/>
                <w:sz w:val="21"/>
                <w:szCs w:val="21"/>
              </w:rPr>
              <w:t>现场无足够的有效的消防器材</w:t>
            </w:r>
            <w:r>
              <w:rPr>
                <w:rFonts w:hint="eastAsia" w:ascii="楷体" w:hAnsi="楷体" w:eastAsia="楷体"/>
                <w:color w:val="auto"/>
                <w:sz w:val="21"/>
                <w:szCs w:val="21"/>
              </w:rPr>
              <w:t>，</w:t>
            </w:r>
            <w:r>
              <w:rPr>
                <w:rFonts w:ascii="楷体" w:hAnsi="楷体" w:eastAsia="楷体"/>
                <w:color w:val="auto"/>
                <w:sz w:val="21"/>
                <w:szCs w:val="21"/>
              </w:rPr>
              <w:t>无防火疏散通道</w:t>
            </w:r>
            <w:r>
              <w:rPr>
                <w:rFonts w:hint="eastAsia" w:ascii="楷体" w:hAnsi="楷体" w:eastAsia="楷体"/>
                <w:color w:val="auto"/>
                <w:sz w:val="21"/>
                <w:szCs w:val="21"/>
              </w:rPr>
              <w:t>、</w:t>
            </w:r>
            <w:r>
              <w:rPr>
                <w:rFonts w:ascii="楷体" w:hAnsi="楷体" w:eastAsia="楷体"/>
                <w:color w:val="auto"/>
                <w:sz w:val="21"/>
                <w:szCs w:val="21"/>
              </w:rPr>
              <w:t>无明显的防火标志</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15</w:t>
            </w:r>
          </w:p>
        </w:tc>
        <w:tc>
          <w:tcPr>
            <w:tcW w:w="7072" w:type="dxa"/>
            <w:vAlign w:val="center"/>
          </w:tcPr>
          <w:p>
            <w:pPr>
              <w:snapToGrid w:val="0"/>
              <w:spacing w:line="360" w:lineRule="auto"/>
              <w:rPr>
                <w:rFonts w:ascii="楷体" w:hAnsi="楷体" w:eastAsia="楷体"/>
                <w:color w:val="auto"/>
                <w:sz w:val="21"/>
                <w:szCs w:val="21"/>
              </w:rPr>
            </w:pPr>
            <w:r>
              <w:rPr>
                <w:rFonts w:ascii="楷体" w:hAnsi="楷体" w:eastAsia="楷体"/>
                <w:color w:val="auto"/>
                <w:sz w:val="21"/>
                <w:szCs w:val="21"/>
              </w:rPr>
              <w:t>工人宿舍乱拉乱接电线</w:t>
            </w:r>
            <w:r>
              <w:rPr>
                <w:rFonts w:hint="eastAsia" w:ascii="楷体" w:hAnsi="楷体" w:eastAsia="楷体"/>
                <w:color w:val="auto"/>
                <w:sz w:val="21"/>
                <w:szCs w:val="21"/>
              </w:rPr>
              <w:t>，</w:t>
            </w:r>
            <w:r>
              <w:rPr>
                <w:rFonts w:ascii="楷体" w:hAnsi="楷体" w:eastAsia="楷体"/>
                <w:color w:val="auto"/>
                <w:sz w:val="21"/>
                <w:szCs w:val="21"/>
              </w:rPr>
              <w:t>使用大功率电器</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16</w:t>
            </w:r>
          </w:p>
        </w:tc>
        <w:tc>
          <w:tcPr>
            <w:tcW w:w="7072" w:type="dxa"/>
            <w:vAlign w:val="center"/>
          </w:tcPr>
          <w:p>
            <w:pPr>
              <w:snapToGrid w:val="0"/>
              <w:spacing w:line="360" w:lineRule="auto"/>
              <w:rPr>
                <w:rFonts w:ascii="楷体" w:hAnsi="楷体" w:eastAsia="楷体"/>
                <w:color w:val="auto"/>
                <w:sz w:val="21"/>
                <w:szCs w:val="21"/>
              </w:rPr>
            </w:pPr>
            <w:r>
              <w:rPr>
                <w:rFonts w:ascii="楷体" w:hAnsi="楷体" w:eastAsia="楷体"/>
                <w:color w:val="auto"/>
                <w:sz w:val="21"/>
                <w:szCs w:val="21"/>
              </w:rPr>
              <w:t>特种作业人员无证操作</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17</w:t>
            </w:r>
          </w:p>
        </w:tc>
        <w:tc>
          <w:tcPr>
            <w:tcW w:w="7072" w:type="dxa"/>
            <w:vAlign w:val="center"/>
          </w:tcPr>
          <w:p>
            <w:pPr>
              <w:snapToGrid w:val="0"/>
              <w:spacing w:line="360" w:lineRule="auto"/>
              <w:rPr>
                <w:rFonts w:ascii="楷体" w:hAnsi="楷体" w:eastAsia="楷体"/>
                <w:color w:val="auto"/>
                <w:sz w:val="21"/>
                <w:szCs w:val="21"/>
              </w:rPr>
            </w:pPr>
            <w:r>
              <w:rPr>
                <w:rFonts w:hint="eastAsia" w:ascii="楷体" w:hAnsi="楷体" w:eastAsia="楷体"/>
                <w:color w:val="auto"/>
                <w:sz w:val="21"/>
                <w:szCs w:val="21"/>
              </w:rPr>
              <w:t>班前不进行安全交底，无交底记录</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w:t>
            </w:r>
            <w:r>
              <w:rPr>
                <w:rFonts w:hint="eastAsia" w:ascii="楷体" w:hAnsi="楷体" w:eastAsia="楷体"/>
                <w:color w:val="auto"/>
                <w:sz w:val="21"/>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18</w:t>
            </w:r>
          </w:p>
        </w:tc>
        <w:tc>
          <w:tcPr>
            <w:tcW w:w="7072" w:type="dxa"/>
            <w:vAlign w:val="center"/>
          </w:tcPr>
          <w:p>
            <w:pPr>
              <w:snapToGrid w:val="0"/>
              <w:spacing w:line="360" w:lineRule="auto"/>
              <w:rPr>
                <w:rFonts w:ascii="楷体" w:hAnsi="楷体" w:eastAsia="楷体"/>
                <w:color w:val="auto"/>
                <w:sz w:val="21"/>
                <w:szCs w:val="21"/>
              </w:rPr>
            </w:pPr>
            <w:r>
              <w:rPr>
                <w:rFonts w:hint="eastAsia" w:ascii="楷体" w:hAnsi="楷体" w:eastAsia="楷体"/>
                <w:color w:val="auto"/>
                <w:sz w:val="21"/>
                <w:szCs w:val="21"/>
              </w:rPr>
              <w:t>危险性较大分部分项工程未按照专项施工方案落实安全措施</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500</w:t>
            </w:r>
            <w:r>
              <w:rPr>
                <w:rFonts w:hint="eastAsia" w:ascii="楷体" w:hAnsi="楷体" w:eastAsia="楷体"/>
                <w:color w:val="auto"/>
                <w:sz w:val="21"/>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19</w:t>
            </w:r>
          </w:p>
        </w:tc>
        <w:tc>
          <w:tcPr>
            <w:tcW w:w="7072" w:type="dxa"/>
            <w:vAlign w:val="center"/>
          </w:tcPr>
          <w:p>
            <w:pPr>
              <w:snapToGrid w:val="0"/>
              <w:rPr>
                <w:rFonts w:ascii="楷体" w:hAnsi="楷体" w:eastAsia="楷体"/>
                <w:color w:val="auto"/>
                <w:sz w:val="21"/>
                <w:szCs w:val="21"/>
              </w:rPr>
            </w:pPr>
            <w:r>
              <w:rPr>
                <w:rFonts w:ascii="楷体" w:hAnsi="楷体" w:eastAsia="楷体"/>
                <w:color w:val="auto"/>
                <w:sz w:val="21"/>
                <w:szCs w:val="21"/>
              </w:rPr>
              <w:t>在施工中存在其他</w:t>
            </w:r>
            <w:r>
              <w:rPr>
                <w:rFonts w:hint="eastAsia" w:ascii="楷体" w:hAnsi="楷体" w:eastAsia="楷体"/>
                <w:color w:val="auto"/>
                <w:sz w:val="21"/>
                <w:szCs w:val="21"/>
              </w:rPr>
              <w:t>违章</w:t>
            </w:r>
            <w:r>
              <w:rPr>
                <w:rFonts w:ascii="楷体" w:hAnsi="楷体" w:eastAsia="楷体"/>
                <w:color w:val="auto"/>
                <w:sz w:val="21"/>
                <w:szCs w:val="21"/>
              </w:rPr>
              <w:t>作业行为的</w:t>
            </w:r>
            <w:r>
              <w:rPr>
                <w:rFonts w:hint="eastAsia" w:ascii="楷体" w:hAnsi="楷体" w:eastAsia="楷体"/>
                <w:color w:val="auto"/>
                <w:sz w:val="21"/>
                <w:szCs w:val="21"/>
              </w:rPr>
              <w:t>，</w:t>
            </w:r>
            <w:r>
              <w:rPr>
                <w:rFonts w:ascii="楷体" w:hAnsi="楷体" w:eastAsia="楷体"/>
                <w:color w:val="auto"/>
                <w:sz w:val="21"/>
                <w:szCs w:val="21"/>
              </w:rPr>
              <w:t>给予</w:t>
            </w:r>
            <w:r>
              <w:rPr>
                <w:rFonts w:hint="eastAsia" w:ascii="楷体" w:hAnsi="楷体" w:eastAsia="楷体"/>
                <w:color w:val="auto"/>
                <w:sz w:val="21"/>
                <w:szCs w:val="21"/>
              </w:rPr>
              <w:t>100-</w:t>
            </w:r>
            <w:r>
              <w:rPr>
                <w:rFonts w:ascii="楷体" w:hAnsi="楷体" w:eastAsia="楷体"/>
                <w:color w:val="auto"/>
                <w:sz w:val="21"/>
                <w:szCs w:val="21"/>
              </w:rPr>
              <w:t>1000元处罚</w:t>
            </w:r>
            <w:r>
              <w:rPr>
                <w:rFonts w:hint="eastAsia" w:ascii="楷体" w:hAnsi="楷体" w:eastAsia="楷体"/>
                <w:color w:val="auto"/>
                <w:sz w:val="21"/>
                <w:szCs w:val="21"/>
              </w:rPr>
              <w:t>，同类行为反复出现或性质较为恶劣的可以加重或加倍处罚</w:t>
            </w:r>
          </w:p>
        </w:tc>
        <w:tc>
          <w:tcPr>
            <w:tcW w:w="1562" w:type="dxa"/>
            <w:vAlign w:val="center"/>
          </w:tcPr>
          <w:p>
            <w:pPr>
              <w:snapToGrid w:val="0"/>
              <w:spacing w:line="360" w:lineRule="auto"/>
              <w:jc w:val="center"/>
              <w:rPr>
                <w:rFonts w:ascii="楷体" w:hAnsi="楷体" w:eastAsia="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snapToGrid w:val="0"/>
              <w:spacing w:line="360" w:lineRule="auto"/>
              <w:jc w:val="center"/>
              <w:rPr>
                <w:rFonts w:ascii="楷体" w:hAnsi="楷体" w:eastAsia="楷体"/>
                <w:b/>
                <w:bCs/>
                <w:color w:val="auto"/>
                <w:sz w:val="21"/>
                <w:szCs w:val="21"/>
              </w:rPr>
            </w:pPr>
            <w:r>
              <w:rPr>
                <w:rFonts w:hint="eastAsia" w:ascii="楷体" w:hAnsi="楷体" w:eastAsia="楷体"/>
                <w:b/>
                <w:bCs/>
                <w:color w:val="auto"/>
                <w:sz w:val="21"/>
                <w:szCs w:val="21"/>
              </w:rPr>
              <w:t>二</w:t>
            </w:r>
          </w:p>
        </w:tc>
        <w:tc>
          <w:tcPr>
            <w:tcW w:w="7072" w:type="dxa"/>
            <w:vAlign w:val="center"/>
          </w:tcPr>
          <w:p>
            <w:pPr>
              <w:snapToGrid w:val="0"/>
              <w:spacing w:line="360" w:lineRule="auto"/>
              <w:rPr>
                <w:rFonts w:ascii="楷体" w:hAnsi="楷体" w:eastAsia="楷体"/>
                <w:b/>
                <w:bCs/>
                <w:color w:val="auto"/>
                <w:sz w:val="21"/>
                <w:szCs w:val="21"/>
              </w:rPr>
            </w:pPr>
            <w:r>
              <w:rPr>
                <w:rFonts w:hint="eastAsia" w:ascii="楷体" w:hAnsi="楷体" w:eastAsia="楷体"/>
                <w:b/>
                <w:bCs/>
                <w:color w:val="auto"/>
                <w:sz w:val="21"/>
                <w:szCs w:val="21"/>
              </w:rPr>
              <w:t>文明施工</w:t>
            </w:r>
          </w:p>
        </w:tc>
        <w:tc>
          <w:tcPr>
            <w:tcW w:w="1562" w:type="dxa"/>
            <w:vAlign w:val="center"/>
          </w:tcPr>
          <w:p>
            <w:pPr>
              <w:keepNext/>
              <w:keepLines/>
              <w:snapToGrid w:val="0"/>
              <w:spacing w:line="360" w:lineRule="auto"/>
              <w:jc w:val="center"/>
              <w:rPr>
                <w:rFonts w:ascii="楷体" w:hAnsi="楷体" w:eastAsia="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1</w:t>
            </w:r>
          </w:p>
        </w:tc>
        <w:tc>
          <w:tcPr>
            <w:tcW w:w="7072" w:type="dxa"/>
            <w:vAlign w:val="center"/>
          </w:tcPr>
          <w:p>
            <w:pPr>
              <w:snapToGrid w:val="0"/>
              <w:rPr>
                <w:rFonts w:ascii="楷体" w:hAnsi="楷体" w:eastAsia="楷体"/>
                <w:color w:val="auto"/>
                <w:sz w:val="21"/>
                <w:szCs w:val="21"/>
              </w:rPr>
            </w:pPr>
            <w:r>
              <w:rPr>
                <w:rFonts w:ascii="楷体" w:hAnsi="楷体" w:eastAsia="楷体"/>
                <w:color w:val="auto"/>
                <w:sz w:val="21"/>
                <w:szCs w:val="21"/>
              </w:rPr>
              <w:t>工地未按照施工承包合同及发包人要求或其他相关规定制作围挡</w:t>
            </w:r>
            <w:r>
              <w:rPr>
                <w:rFonts w:hint="eastAsia" w:ascii="楷体" w:hAnsi="楷体" w:eastAsia="楷体"/>
                <w:color w:val="auto"/>
                <w:sz w:val="21"/>
                <w:szCs w:val="21"/>
              </w:rPr>
              <w:t>（蔽），</w:t>
            </w:r>
            <w:r>
              <w:rPr>
                <w:rFonts w:ascii="楷体" w:hAnsi="楷体" w:eastAsia="楷体"/>
                <w:color w:val="auto"/>
                <w:sz w:val="21"/>
                <w:szCs w:val="21"/>
              </w:rPr>
              <w:t>或围挡</w:t>
            </w:r>
            <w:r>
              <w:rPr>
                <w:rFonts w:hint="eastAsia" w:ascii="楷体" w:hAnsi="楷体" w:eastAsia="楷体"/>
                <w:color w:val="auto"/>
                <w:sz w:val="21"/>
                <w:szCs w:val="21"/>
              </w:rPr>
              <w:t>（蔽）不规范</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2</w:t>
            </w:r>
          </w:p>
        </w:tc>
        <w:tc>
          <w:tcPr>
            <w:tcW w:w="7072" w:type="dxa"/>
            <w:vAlign w:val="center"/>
          </w:tcPr>
          <w:p>
            <w:pPr>
              <w:snapToGrid w:val="0"/>
              <w:rPr>
                <w:rFonts w:ascii="楷体" w:hAnsi="楷体" w:eastAsia="楷体"/>
                <w:color w:val="auto"/>
                <w:sz w:val="21"/>
                <w:szCs w:val="21"/>
              </w:rPr>
            </w:pPr>
            <w:r>
              <w:rPr>
                <w:rFonts w:ascii="楷体" w:hAnsi="楷体" w:eastAsia="楷体"/>
                <w:color w:val="auto"/>
                <w:sz w:val="21"/>
                <w:szCs w:val="21"/>
              </w:rPr>
              <w:t>无大门</w:t>
            </w:r>
            <w:r>
              <w:rPr>
                <w:rFonts w:hint="eastAsia" w:ascii="楷体" w:hAnsi="楷体" w:eastAsia="楷体"/>
                <w:color w:val="auto"/>
                <w:sz w:val="21"/>
                <w:szCs w:val="21"/>
              </w:rPr>
              <w:t>，无</w:t>
            </w:r>
            <w:r>
              <w:rPr>
                <w:rFonts w:ascii="楷体" w:hAnsi="楷体" w:eastAsia="楷体"/>
                <w:color w:val="auto"/>
                <w:sz w:val="21"/>
                <w:szCs w:val="21"/>
              </w:rPr>
              <w:t>门口无企业标志</w:t>
            </w:r>
            <w:r>
              <w:rPr>
                <w:rFonts w:hint="eastAsia" w:ascii="楷体" w:hAnsi="楷体" w:eastAsia="楷体"/>
                <w:color w:val="auto"/>
                <w:sz w:val="21"/>
                <w:szCs w:val="21"/>
              </w:rPr>
              <w:t>，</w:t>
            </w:r>
            <w:r>
              <w:rPr>
                <w:rFonts w:ascii="楷体" w:hAnsi="楷体" w:eastAsia="楷体"/>
                <w:color w:val="auto"/>
                <w:sz w:val="21"/>
                <w:szCs w:val="21"/>
              </w:rPr>
              <w:t>不张贴</w:t>
            </w:r>
            <w:r>
              <w:rPr>
                <w:rFonts w:hint="eastAsia" w:ascii="楷体" w:hAnsi="楷体" w:eastAsia="楷体"/>
                <w:color w:val="auto"/>
                <w:sz w:val="21"/>
                <w:szCs w:val="21"/>
              </w:rPr>
              <w:t>“七牌二图”、重大危险源公示牌、每日作业危险源及防范措施告知牌，无门卫及出入管理制度</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3</w:t>
            </w:r>
          </w:p>
        </w:tc>
        <w:tc>
          <w:tcPr>
            <w:tcW w:w="7072" w:type="dxa"/>
            <w:vAlign w:val="center"/>
          </w:tcPr>
          <w:p>
            <w:pPr>
              <w:snapToGrid w:val="0"/>
              <w:rPr>
                <w:rFonts w:ascii="楷体" w:hAnsi="楷体" w:eastAsia="楷体"/>
                <w:color w:val="auto"/>
                <w:sz w:val="21"/>
                <w:szCs w:val="21"/>
              </w:rPr>
            </w:pPr>
            <w:r>
              <w:rPr>
                <w:rFonts w:ascii="楷体" w:hAnsi="楷体" w:eastAsia="楷体"/>
                <w:color w:val="auto"/>
                <w:sz w:val="21"/>
                <w:szCs w:val="21"/>
              </w:rPr>
              <w:t>施工现场道路</w:t>
            </w:r>
            <w:r>
              <w:rPr>
                <w:rFonts w:hint="eastAsia" w:ascii="楷体" w:hAnsi="楷体" w:eastAsia="楷体"/>
                <w:color w:val="auto"/>
                <w:sz w:val="21"/>
                <w:szCs w:val="21"/>
              </w:rPr>
              <w:t>、</w:t>
            </w:r>
            <w:r>
              <w:rPr>
                <w:rFonts w:ascii="楷体" w:hAnsi="楷体" w:eastAsia="楷体"/>
                <w:color w:val="auto"/>
                <w:sz w:val="21"/>
                <w:szCs w:val="21"/>
              </w:rPr>
              <w:t>材料堆场未硬化</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4</w:t>
            </w:r>
          </w:p>
        </w:tc>
        <w:tc>
          <w:tcPr>
            <w:tcW w:w="7072" w:type="dxa"/>
            <w:vAlign w:val="center"/>
          </w:tcPr>
          <w:p>
            <w:pPr>
              <w:snapToGrid w:val="0"/>
              <w:rPr>
                <w:rFonts w:ascii="楷体" w:hAnsi="楷体" w:eastAsia="楷体"/>
                <w:color w:val="auto"/>
                <w:sz w:val="21"/>
                <w:szCs w:val="21"/>
              </w:rPr>
            </w:pPr>
            <w:r>
              <w:rPr>
                <w:rFonts w:ascii="楷体" w:hAnsi="楷体" w:eastAsia="楷体"/>
                <w:color w:val="auto"/>
                <w:sz w:val="21"/>
                <w:szCs w:val="21"/>
              </w:rPr>
              <w:t>现场材料</w:t>
            </w:r>
            <w:r>
              <w:rPr>
                <w:rFonts w:hint="eastAsia" w:ascii="楷体" w:hAnsi="楷体" w:eastAsia="楷体"/>
                <w:color w:val="auto"/>
                <w:sz w:val="21"/>
                <w:szCs w:val="21"/>
              </w:rPr>
              <w:t>、</w:t>
            </w:r>
            <w:r>
              <w:rPr>
                <w:rFonts w:ascii="楷体" w:hAnsi="楷体" w:eastAsia="楷体"/>
                <w:color w:val="auto"/>
                <w:sz w:val="21"/>
                <w:szCs w:val="21"/>
              </w:rPr>
              <w:t>机具未按照</w:t>
            </w:r>
            <w:r>
              <w:rPr>
                <w:rFonts w:hint="eastAsia" w:ascii="楷体" w:hAnsi="楷体" w:eastAsia="楷体"/>
                <w:color w:val="auto"/>
                <w:sz w:val="21"/>
                <w:szCs w:val="21"/>
              </w:rPr>
              <w:t>分类堆放</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bCs/>
                <w:color w:val="auto"/>
                <w:sz w:val="21"/>
                <w:szCs w:val="21"/>
              </w:rPr>
            </w:pPr>
            <w:r>
              <w:rPr>
                <w:rFonts w:hint="eastAsia" w:ascii="楷体" w:hAnsi="楷体" w:eastAsia="楷体"/>
                <w:bCs/>
                <w:color w:val="auto"/>
                <w:sz w:val="21"/>
                <w:szCs w:val="21"/>
              </w:rPr>
              <w:t>5</w:t>
            </w:r>
          </w:p>
        </w:tc>
        <w:tc>
          <w:tcPr>
            <w:tcW w:w="7072" w:type="dxa"/>
            <w:vAlign w:val="center"/>
          </w:tcPr>
          <w:p>
            <w:pPr>
              <w:snapToGrid w:val="0"/>
              <w:rPr>
                <w:rFonts w:ascii="楷体" w:hAnsi="楷体" w:eastAsia="楷体"/>
                <w:color w:val="auto"/>
                <w:sz w:val="21"/>
                <w:szCs w:val="21"/>
              </w:rPr>
            </w:pPr>
            <w:r>
              <w:rPr>
                <w:rFonts w:ascii="楷体" w:hAnsi="楷体" w:eastAsia="楷体"/>
                <w:color w:val="auto"/>
                <w:sz w:val="21"/>
                <w:szCs w:val="21"/>
              </w:rPr>
              <w:t>未设洗车槽</w:t>
            </w:r>
            <w:r>
              <w:rPr>
                <w:rFonts w:hint="eastAsia" w:ascii="楷体" w:hAnsi="楷体" w:eastAsia="楷体"/>
                <w:color w:val="auto"/>
                <w:sz w:val="21"/>
                <w:szCs w:val="21"/>
              </w:rPr>
              <w:t>、</w:t>
            </w:r>
            <w:r>
              <w:rPr>
                <w:rFonts w:ascii="楷体" w:hAnsi="楷体" w:eastAsia="楷体"/>
                <w:color w:val="auto"/>
                <w:sz w:val="21"/>
                <w:szCs w:val="21"/>
              </w:rPr>
              <w:t>排水沟</w:t>
            </w:r>
            <w:r>
              <w:rPr>
                <w:rFonts w:hint="eastAsia" w:ascii="楷体" w:hAnsi="楷体" w:eastAsia="楷体"/>
                <w:color w:val="auto"/>
                <w:sz w:val="21"/>
                <w:szCs w:val="21"/>
              </w:rPr>
              <w:t>、</w:t>
            </w:r>
            <w:r>
              <w:rPr>
                <w:rFonts w:ascii="楷体" w:hAnsi="楷体" w:eastAsia="楷体"/>
                <w:color w:val="auto"/>
                <w:sz w:val="21"/>
                <w:szCs w:val="21"/>
              </w:rPr>
              <w:t>沉淀池等设施</w:t>
            </w:r>
            <w:r>
              <w:rPr>
                <w:rFonts w:hint="eastAsia" w:ascii="楷体" w:hAnsi="楷体" w:eastAsia="楷体"/>
                <w:color w:val="auto"/>
                <w:sz w:val="21"/>
                <w:szCs w:val="21"/>
              </w:rPr>
              <w:t>，</w:t>
            </w:r>
            <w:r>
              <w:rPr>
                <w:rFonts w:ascii="楷体" w:hAnsi="楷体" w:eastAsia="楷体"/>
                <w:color w:val="auto"/>
                <w:sz w:val="21"/>
                <w:szCs w:val="21"/>
              </w:rPr>
              <w:t>或洗车槽</w:t>
            </w:r>
            <w:r>
              <w:rPr>
                <w:rFonts w:hint="eastAsia" w:ascii="楷体" w:hAnsi="楷体" w:eastAsia="楷体"/>
                <w:color w:val="auto"/>
                <w:sz w:val="21"/>
                <w:szCs w:val="21"/>
              </w:rPr>
              <w:t>、</w:t>
            </w:r>
            <w:r>
              <w:rPr>
                <w:rFonts w:ascii="楷体" w:hAnsi="楷体" w:eastAsia="楷体"/>
                <w:color w:val="auto"/>
                <w:sz w:val="21"/>
                <w:szCs w:val="21"/>
              </w:rPr>
              <w:t>排水沟</w:t>
            </w:r>
            <w:r>
              <w:rPr>
                <w:rFonts w:hint="eastAsia" w:ascii="楷体" w:hAnsi="楷体" w:eastAsia="楷体"/>
                <w:color w:val="auto"/>
                <w:sz w:val="21"/>
                <w:szCs w:val="21"/>
              </w:rPr>
              <w:t>、</w:t>
            </w:r>
            <w:r>
              <w:rPr>
                <w:rFonts w:ascii="楷体" w:hAnsi="楷体" w:eastAsia="楷体"/>
                <w:color w:val="auto"/>
                <w:sz w:val="21"/>
                <w:szCs w:val="21"/>
              </w:rPr>
              <w:t>沉淀池未有效使用</w:t>
            </w:r>
            <w:r>
              <w:rPr>
                <w:rFonts w:hint="eastAsia" w:ascii="楷体" w:hAnsi="楷体" w:eastAsia="楷体"/>
                <w:color w:val="auto"/>
                <w:sz w:val="21"/>
                <w:szCs w:val="21"/>
              </w:rPr>
              <w:t>、及时清理的</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6</w:t>
            </w:r>
          </w:p>
        </w:tc>
        <w:tc>
          <w:tcPr>
            <w:tcW w:w="7072" w:type="dxa"/>
            <w:vAlign w:val="center"/>
          </w:tcPr>
          <w:p>
            <w:pPr>
              <w:snapToGrid w:val="0"/>
              <w:rPr>
                <w:rFonts w:ascii="楷体" w:hAnsi="楷体" w:eastAsia="楷体"/>
                <w:bCs/>
                <w:color w:val="auto"/>
                <w:sz w:val="21"/>
                <w:szCs w:val="21"/>
              </w:rPr>
            </w:pPr>
            <w:r>
              <w:rPr>
                <w:rFonts w:ascii="楷体" w:hAnsi="楷体" w:eastAsia="楷体"/>
                <w:bCs/>
                <w:color w:val="auto"/>
                <w:sz w:val="21"/>
                <w:szCs w:val="21"/>
              </w:rPr>
              <w:t>运输材料</w:t>
            </w:r>
            <w:r>
              <w:rPr>
                <w:rFonts w:hint="eastAsia" w:ascii="楷体" w:hAnsi="楷体" w:eastAsia="楷体"/>
                <w:bCs/>
                <w:color w:val="auto"/>
                <w:sz w:val="21"/>
                <w:szCs w:val="21"/>
              </w:rPr>
              <w:t>、</w:t>
            </w:r>
            <w:r>
              <w:rPr>
                <w:rFonts w:ascii="楷体" w:hAnsi="楷体" w:eastAsia="楷体"/>
                <w:bCs/>
                <w:color w:val="auto"/>
                <w:sz w:val="21"/>
                <w:szCs w:val="21"/>
              </w:rPr>
              <w:t>混凝土</w:t>
            </w:r>
            <w:r>
              <w:rPr>
                <w:rFonts w:hint="eastAsia" w:ascii="楷体" w:hAnsi="楷体" w:eastAsia="楷体"/>
                <w:bCs/>
                <w:color w:val="auto"/>
                <w:sz w:val="21"/>
                <w:szCs w:val="21"/>
              </w:rPr>
              <w:t>、</w:t>
            </w:r>
            <w:r>
              <w:rPr>
                <w:rFonts w:ascii="楷体" w:hAnsi="楷体" w:eastAsia="楷体"/>
                <w:bCs/>
                <w:color w:val="auto"/>
                <w:sz w:val="21"/>
                <w:szCs w:val="21"/>
              </w:rPr>
              <w:t>渣土</w:t>
            </w:r>
            <w:r>
              <w:rPr>
                <w:rFonts w:hint="eastAsia" w:ascii="楷体" w:hAnsi="楷体" w:eastAsia="楷体"/>
                <w:bCs/>
                <w:color w:val="auto"/>
                <w:sz w:val="21"/>
                <w:szCs w:val="21"/>
              </w:rPr>
              <w:t>、</w:t>
            </w:r>
            <w:r>
              <w:rPr>
                <w:rFonts w:ascii="楷体" w:hAnsi="楷体" w:eastAsia="楷体"/>
                <w:bCs/>
                <w:color w:val="auto"/>
                <w:sz w:val="21"/>
                <w:szCs w:val="21"/>
              </w:rPr>
              <w:t>垃圾车辆未按规定加盖</w:t>
            </w:r>
            <w:r>
              <w:rPr>
                <w:rFonts w:hint="eastAsia" w:ascii="楷体" w:hAnsi="楷体" w:eastAsia="楷体"/>
                <w:bCs/>
                <w:color w:val="auto"/>
                <w:sz w:val="21"/>
                <w:szCs w:val="21"/>
              </w:rPr>
              <w:t>，</w:t>
            </w:r>
            <w:r>
              <w:rPr>
                <w:rFonts w:ascii="楷体" w:hAnsi="楷体" w:eastAsia="楷体"/>
                <w:bCs/>
                <w:color w:val="auto"/>
                <w:sz w:val="21"/>
                <w:szCs w:val="21"/>
              </w:rPr>
              <w:t>泥沙随车轮带出场外</w:t>
            </w:r>
            <w:r>
              <w:rPr>
                <w:rFonts w:hint="eastAsia" w:ascii="楷体" w:hAnsi="楷体" w:eastAsia="楷体"/>
                <w:bCs/>
                <w:color w:val="auto"/>
                <w:sz w:val="21"/>
                <w:szCs w:val="21"/>
              </w:rPr>
              <w:t>，</w:t>
            </w:r>
            <w:r>
              <w:rPr>
                <w:rFonts w:ascii="楷体" w:hAnsi="楷体" w:eastAsia="楷体"/>
                <w:bCs/>
                <w:color w:val="auto"/>
                <w:sz w:val="21"/>
                <w:szCs w:val="21"/>
              </w:rPr>
              <w:t>影响市容或因违规作业被相关部门查处的</w:t>
            </w:r>
          </w:p>
        </w:tc>
        <w:tc>
          <w:tcPr>
            <w:tcW w:w="1562" w:type="dxa"/>
            <w:vAlign w:val="center"/>
          </w:tcPr>
          <w:p>
            <w:pPr>
              <w:keepNext/>
              <w:keepLines/>
              <w:snapToGrid w:val="0"/>
              <w:spacing w:line="360" w:lineRule="auto"/>
              <w:jc w:val="center"/>
              <w:rPr>
                <w:rFonts w:ascii="楷体" w:hAnsi="楷体" w:eastAsia="楷体"/>
                <w:color w:val="auto"/>
                <w:sz w:val="21"/>
                <w:szCs w:val="21"/>
              </w:rPr>
            </w:pPr>
            <w:r>
              <w:rPr>
                <w:rFonts w:ascii="楷体" w:hAnsi="楷体" w:eastAsia="楷体"/>
                <w:color w:val="auto"/>
                <w:sz w:val="21"/>
                <w:szCs w:val="21"/>
              </w:rPr>
              <w:t>5</w:t>
            </w:r>
            <w:r>
              <w:rPr>
                <w:rFonts w:hint="eastAsia" w:ascii="楷体" w:hAnsi="楷体" w:eastAsia="楷体"/>
                <w:color w:val="auto"/>
                <w:sz w:val="21"/>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7</w:t>
            </w:r>
          </w:p>
        </w:tc>
        <w:tc>
          <w:tcPr>
            <w:tcW w:w="7072" w:type="dxa"/>
            <w:vAlign w:val="center"/>
          </w:tcPr>
          <w:p>
            <w:pPr>
              <w:snapToGrid w:val="0"/>
              <w:spacing w:line="360" w:lineRule="auto"/>
              <w:rPr>
                <w:rFonts w:ascii="楷体" w:hAnsi="楷体" w:eastAsia="楷体"/>
                <w:color w:val="auto"/>
                <w:sz w:val="21"/>
                <w:szCs w:val="21"/>
              </w:rPr>
            </w:pPr>
            <w:r>
              <w:rPr>
                <w:rFonts w:hint="eastAsia" w:ascii="楷体" w:hAnsi="楷体" w:eastAsia="楷体"/>
                <w:color w:val="auto"/>
                <w:sz w:val="21"/>
                <w:szCs w:val="21"/>
              </w:rPr>
              <w:t>施工现场脏乱差，生活垃圾清理不及时的</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2</w:t>
            </w:r>
            <w:r>
              <w:rPr>
                <w:rFonts w:hint="eastAsia" w:ascii="楷体" w:hAnsi="楷体" w:eastAsia="楷体"/>
                <w:color w:val="auto"/>
                <w:sz w:val="21"/>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8</w:t>
            </w:r>
          </w:p>
        </w:tc>
        <w:tc>
          <w:tcPr>
            <w:tcW w:w="7072" w:type="dxa"/>
            <w:vAlign w:val="center"/>
          </w:tcPr>
          <w:p>
            <w:pPr>
              <w:snapToGrid w:val="0"/>
              <w:spacing w:line="360" w:lineRule="auto"/>
              <w:rPr>
                <w:rFonts w:ascii="楷体" w:hAnsi="楷体" w:eastAsia="楷体"/>
                <w:color w:val="auto"/>
                <w:sz w:val="21"/>
                <w:szCs w:val="21"/>
              </w:rPr>
            </w:pPr>
            <w:r>
              <w:rPr>
                <w:rFonts w:hint="eastAsia" w:ascii="楷体" w:hAnsi="楷体" w:eastAsia="楷体"/>
                <w:color w:val="auto"/>
                <w:sz w:val="21"/>
                <w:szCs w:val="21"/>
              </w:rPr>
              <w:t>车辆在现场乱停乱放</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2</w:t>
            </w:r>
            <w:r>
              <w:rPr>
                <w:rFonts w:hint="eastAsia" w:ascii="楷体" w:hAnsi="楷体" w:eastAsia="楷体"/>
                <w:color w:val="auto"/>
                <w:sz w:val="21"/>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9</w:t>
            </w:r>
          </w:p>
        </w:tc>
        <w:tc>
          <w:tcPr>
            <w:tcW w:w="7072" w:type="dxa"/>
            <w:vAlign w:val="center"/>
          </w:tcPr>
          <w:p>
            <w:pPr>
              <w:snapToGrid w:val="0"/>
              <w:rPr>
                <w:rFonts w:ascii="楷体" w:hAnsi="楷体" w:eastAsia="楷体"/>
                <w:color w:val="auto"/>
                <w:sz w:val="21"/>
                <w:szCs w:val="21"/>
              </w:rPr>
            </w:pPr>
            <w:r>
              <w:rPr>
                <w:rFonts w:hint="eastAsia" w:ascii="楷体" w:hAnsi="楷体" w:eastAsia="楷体"/>
                <w:color w:val="auto"/>
                <w:sz w:val="21"/>
                <w:szCs w:val="21"/>
              </w:rPr>
              <w:t>施工人员未在指定的吸烟点吸烟，乱扔烟头</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2</w:t>
            </w:r>
            <w:r>
              <w:rPr>
                <w:rFonts w:hint="eastAsia" w:ascii="楷体" w:hAnsi="楷体" w:eastAsia="楷体"/>
                <w:color w:val="auto"/>
                <w:sz w:val="21"/>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10</w:t>
            </w:r>
          </w:p>
        </w:tc>
        <w:tc>
          <w:tcPr>
            <w:tcW w:w="7072" w:type="dxa"/>
            <w:vAlign w:val="center"/>
          </w:tcPr>
          <w:p>
            <w:pPr>
              <w:snapToGrid w:val="0"/>
              <w:rPr>
                <w:rFonts w:ascii="楷体" w:hAnsi="楷体" w:eastAsia="楷体"/>
                <w:color w:val="auto"/>
                <w:sz w:val="21"/>
                <w:szCs w:val="21"/>
              </w:rPr>
            </w:pPr>
            <w:r>
              <w:rPr>
                <w:rFonts w:hint="eastAsia" w:ascii="楷体" w:hAnsi="楷体" w:eastAsia="楷体"/>
                <w:color w:val="auto"/>
                <w:sz w:val="21"/>
                <w:szCs w:val="21"/>
              </w:rPr>
              <w:t>未按要求落实扬尘污染防治6个100%</w:t>
            </w:r>
          </w:p>
        </w:tc>
        <w:tc>
          <w:tcPr>
            <w:tcW w:w="1562" w:type="dxa"/>
            <w:vAlign w:val="center"/>
          </w:tcPr>
          <w:p>
            <w:pPr>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11</w:t>
            </w:r>
          </w:p>
        </w:tc>
        <w:tc>
          <w:tcPr>
            <w:tcW w:w="7072" w:type="dxa"/>
            <w:vAlign w:val="center"/>
          </w:tcPr>
          <w:p>
            <w:pPr>
              <w:snapToGrid w:val="0"/>
              <w:rPr>
                <w:rFonts w:ascii="楷体" w:hAnsi="楷体" w:eastAsia="楷体"/>
                <w:color w:val="auto"/>
                <w:sz w:val="21"/>
                <w:szCs w:val="21"/>
              </w:rPr>
            </w:pPr>
            <w:r>
              <w:rPr>
                <w:rFonts w:ascii="楷体" w:hAnsi="楷体" w:eastAsia="楷体"/>
                <w:color w:val="auto"/>
                <w:sz w:val="21"/>
                <w:szCs w:val="21"/>
              </w:rPr>
              <w:t>在施工作业中存在其他不文明行为的</w:t>
            </w:r>
            <w:r>
              <w:rPr>
                <w:rFonts w:hint="eastAsia" w:ascii="楷体" w:hAnsi="楷体" w:eastAsia="楷体"/>
                <w:color w:val="auto"/>
                <w:sz w:val="21"/>
                <w:szCs w:val="21"/>
              </w:rPr>
              <w:t>，</w:t>
            </w:r>
            <w:r>
              <w:rPr>
                <w:rFonts w:ascii="楷体" w:hAnsi="楷体" w:eastAsia="楷体"/>
                <w:color w:val="auto"/>
                <w:sz w:val="21"/>
                <w:szCs w:val="21"/>
              </w:rPr>
              <w:t>给予</w:t>
            </w:r>
            <w:r>
              <w:rPr>
                <w:rFonts w:hint="eastAsia" w:ascii="楷体" w:hAnsi="楷体" w:eastAsia="楷体"/>
                <w:color w:val="auto"/>
                <w:sz w:val="21"/>
                <w:szCs w:val="21"/>
              </w:rPr>
              <w:t>100-</w:t>
            </w:r>
            <w:r>
              <w:rPr>
                <w:rFonts w:ascii="楷体" w:hAnsi="楷体" w:eastAsia="楷体"/>
                <w:color w:val="auto"/>
                <w:sz w:val="21"/>
                <w:szCs w:val="21"/>
              </w:rPr>
              <w:t>1000元处罚</w:t>
            </w:r>
            <w:r>
              <w:rPr>
                <w:rFonts w:hint="eastAsia" w:ascii="楷体" w:hAnsi="楷体" w:eastAsia="楷体"/>
                <w:color w:val="auto"/>
                <w:sz w:val="21"/>
                <w:szCs w:val="21"/>
              </w:rPr>
              <w:t>，同类行为反复出现的可以加重或加倍处罚</w:t>
            </w:r>
          </w:p>
        </w:tc>
        <w:tc>
          <w:tcPr>
            <w:tcW w:w="1562" w:type="dxa"/>
            <w:vAlign w:val="center"/>
          </w:tcPr>
          <w:p>
            <w:pPr>
              <w:snapToGrid w:val="0"/>
              <w:spacing w:line="360" w:lineRule="auto"/>
              <w:jc w:val="center"/>
              <w:rPr>
                <w:rFonts w:ascii="楷体" w:hAnsi="楷体" w:eastAsia="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Bdr>
                <w:bottom w:val="single" w:color="auto" w:sz="6" w:space="1"/>
              </w:pBdr>
              <w:tabs>
                <w:tab w:val="center" w:pos="4153"/>
                <w:tab w:val="right" w:pos="8306"/>
              </w:tabs>
              <w:snapToGrid w:val="0"/>
              <w:spacing w:line="360" w:lineRule="auto"/>
              <w:jc w:val="center"/>
              <w:rPr>
                <w:rFonts w:ascii="楷体" w:hAnsi="楷体" w:eastAsia="楷体"/>
                <w:color w:val="auto"/>
                <w:sz w:val="21"/>
                <w:szCs w:val="21"/>
              </w:rPr>
            </w:pPr>
            <w:r>
              <w:rPr>
                <w:rFonts w:hint="eastAsia" w:ascii="楷体" w:hAnsi="楷体" w:eastAsia="楷体"/>
                <w:color w:val="auto"/>
                <w:sz w:val="21"/>
                <w:szCs w:val="21"/>
              </w:rPr>
              <w:t>三</w:t>
            </w:r>
          </w:p>
        </w:tc>
        <w:tc>
          <w:tcPr>
            <w:tcW w:w="7072" w:type="dxa"/>
            <w:vAlign w:val="center"/>
          </w:tcPr>
          <w:p>
            <w:pPr>
              <w:pBdr>
                <w:bottom w:val="single" w:color="auto" w:sz="6" w:space="1"/>
              </w:pBdr>
              <w:tabs>
                <w:tab w:val="center" w:pos="4153"/>
                <w:tab w:val="right" w:pos="8306"/>
              </w:tabs>
              <w:snapToGrid w:val="0"/>
              <w:spacing w:line="360" w:lineRule="auto"/>
              <w:rPr>
                <w:rFonts w:ascii="楷体" w:hAnsi="楷体" w:eastAsia="楷体"/>
                <w:b/>
                <w:bCs/>
                <w:color w:val="auto"/>
                <w:sz w:val="21"/>
                <w:szCs w:val="21"/>
              </w:rPr>
            </w:pPr>
            <w:r>
              <w:rPr>
                <w:rFonts w:hint="eastAsia" w:ascii="楷体" w:hAnsi="楷体" w:eastAsia="楷体"/>
                <w:b/>
                <w:bCs/>
                <w:color w:val="auto"/>
                <w:sz w:val="21"/>
                <w:szCs w:val="21"/>
              </w:rPr>
              <w:t>安全文明施工管理</w:t>
            </w:r>
          </w:p>
        </w:tc>
        <w:tc>
          <w:tcPr>
            <w:tcW w:w="1562" w:type="dxa"/>
            <w:vAlign w:val="center"/>
          </w:tcPr>
          <w:p>
            <w:pPr>
              <w:keepNext/>
              <w:keepLines/>
              <w:snapToGrid w:val="0"/>
              <w:spacing w:line="360" w:lineRule="auto"/>
              <w:jc w:val="center"/>
              <w:textAlignment w:val="baseline"/>
              <w:outlineLvl w:val="0"/>
              <w:rPr>
                <w:rFonts w:ascii="楷体" w:hAnsi="楷体" w:eastAsia="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1</w:t>
            </w:r>
          </w:p>
        </w:tc>
        <w:tc>
          <w:tcPr>
            <w:tcW w:w="7072" w:type="dxa"/>
            <w:vAlign w:val="center"/>
          </w:tcPr>
          <w:p>
            <w:pPr>
              <w:pBdr>
                <w:bottom w:val="single" w:color="auto" w:sz="6" w:space="1"/>
              </w:pBdr>
              <w:tabs>
                <w:tab w:val="center" w:pos="4153"/>
                <w:tab w:val="right" w:pos="8306"/>
              </w:tabs>
              <w:snapToGrid w:val="0"/>
              <w:rPr>
                <w:rFonts w:ascii="楷体" w:hAnsi="楷体" w:eastAsia="楷体"/>
                <w:bCs/>
                <w:color w:val="auto"/>
                <w:sz w:val="21"/>
                <w:szCs w:val="21"/>
              </w:rPr>
            </w:pPr>
            <w:r>
              <w:rPr>
                <w:rFonts w:hint="eastAsia" w:ascii="楷体" w:hAnsi="楷体" w:eastAsia="楷体"/>
                <w:bCs/>
                <w:color w:val="auto"/>
                <w:sz w:val="21"/>
                <w:szCs w:val="21"/>
              </w:rPr>
              <w:t>现场管理责任人未落实安全职责</w:t>
            </w:r>
          </w:p>
        </w:tc>
        <w:tc>
          <w:tcPr>
            <w:tcW w:w="1562" w:type="dxa"/>
            <w:vAlign w:val="center"/>
          </w:tcPr>
          <w:p>
            <w:pPr>
              <w:keepNext/>
              <w:keepLines/>
              <w:snapToGrid w:val="0"/>
              <w:spacing w:line="360" w:lineRule="auto"/>
              <w:jc w:val="center"/>
              <w:textAlignment w:val="baseline"/>
              <w:outlineLvl w:val="0"/>
              <w:rPr>
                <w:rFonts w:ascii="楷体" w:hAnsi="楷体" w:eastAsia="楷体"/>
                <w:color w:val="auto"/>
                <w:sz w:val="21"/>
                <w:szCs w:val="21"/>
              </w:rPr>
            </w:pPr>
            <w:bookmarkStart w:id="150" w:name="_Toc8274"/>
            <w:bookmarkStart w:id="151" w:name="_Toc107410472"/>
            <w:bookmarkStart w:id="152" w:name="_Toc126962061"/>
            <w:bookmarkStart w:id="153" w:name="_Toc107410423"/>
            <w:bookmarkStart w:id="154" w:name="_Toc14383"/>
            <w:bookmarkStart w:id="155" w:name="_Toc63618714"/>
            <w:bookmarkStart w:id="156" w:name="_Toc27704"/>
            <w:bookmarkStart w:id="157" w:name="_Toc122343766"/>
            <w:bookmarkStart w:id="158" w:name="_Toc122355357"/>
            <w:bookmarkStart w:id="159" w:name="_Toc122343375"/>
            <w:r>
              <w:rPr>
                <w:rFonts w:hint="eastAsia" w:ascii="楷体" w:hAnsi="楷体" w:eastAsia="楷体"/>
                <w:color w:val="auto"/>
                <w:sz w:val="21"/>
                <w:szCs w:val="21"/>
              </w:rPr>
              <w:t>1000元</w:t>
            </w:r>
            <w:bookmarkEnd w:id="150"/>
            <w:bookmarkEnd w:id="151"/>
            <w:bookmarkEnd w:id="152"/>
            <w:bookmarkEnd w:id="153"/>
            <w:bookmarkEnd w:id="154"/>
            <w:bookmarkEnd w:id="155"/>
            <w:bookmarkEnd w:id="156"/>
            <w:bookmarkEnd w:id="157"/>
            <w:bookmarkEnd w:id="158"/>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ascii="楷体" w:hAnsi="楷体" w:eastAsia="楷体"/>
                <w:color w:val="auto"/>
                <w:sz w:val="21"/>
                <w:szCs w:val="21"/>
              </w:rPr>
              <w:t>2</w:t>
            </w:r>
          </w:p>
        </w:tc>
        <w:tc>
          <w:tcPr>
            <w:tcW w:w="7072" w:type="dxa"/>
            <w:vAlign w:val="center"/>
          </w:tcPr>
          <w:p>
            <w:pPr>
              <w:snapToGrid w:val="0"/>
              <w:rPr>
                <w:rFonts w:ascii="楷体" w:hAnsi="楷体" w:eastAsia="楷体"/>
                <w:color w:val="auto"/>
                <w:sz w:val="21"/>
                <w:szCs w:val="21"/>
              </w:rPr>
            </w:pPr>
            <w:r>
              <w:rPr>
                <w:rFonts w:hint="eastAsia" w:ascii="楷体" w:hAnsi="楷体" w:eastAsia="楷体"/>
                <w:color w:val="auto"/>
                <w:sz w:val="21"/>
                <w:szCs w:val="21"/>
              </w:rPr>
              <w:t>招用未经资质审查或审查不合格的外包队伍</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w:t>
            </w:r>
            <w:r>
              <w:rPr>
                <w:rFonts w:hint="eastAsia" w:ascii="楷体" w:hAnsi="楷体" w:eastAsia="楷体"/>
                <w:color w:val="auto"/>
                <w:sz w:val="21"/>
                <w:szCs w:val="21"/>
              </w:rPr>
              <w:t>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ascii="楷体" w:hAnsi="楷体" w:eastAsia="楷体"/>
                <w:color w:val="auto"/>
                <w:sz w:val="21"/>
                <w:szCs w:val="21"/>
              </w:rPr>
              <w:t>3</w:t>
            </w:r>
          </w:p>
        </w:tc>
        <w:tc>
          <w:tcPr>
            <w:tcW w:w="7072" w:type="dxa"/>
            <w:vAlign w:val="center"/>
          </w:tcPr>
          <w:p>
            <w:pPr>
              <w:snapToGrid w:val="0"/>
              <w:rPr>
                <w:rFonts w:ascii="楷体" w:hAnsi="楷体" w:eastAsia="楷体"/>
                <w:color w:val="auto"/>
                <w:sz w:val="21"/>
                <w:szCs w:val="21"/>
              </w:rPr>
            </w:pPr>
            <w:r>
              <w:rPr>
                <w:rFonts w:hint="eastAsia" w:ascii="楷体" w:hAnsi="楷体" w:eastAsia="楷体"/>
                <w:color w:val="auto"/>
                <w:sz w:val="21"/>
                <w:szCs w:val="21"/>
              </w:rPr>
              <w:t>未按要求进行安全文明检查（无记录）</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w:t>
            </w:r>
            <w:r>
              <w:rPr>
                <w:rFonts w:hint="eastAsia" w:ascii="楷体" w:hAnsi="楷体" w:eastAsia="楷体"/>
                <w:color w:val="auto"/>
                <w:sz w:val="21"/>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ascii="楷体" w:hAnsi="楷体" w:eastAsia="楷体"/>
                <w:color w:val="auto"/>
                <w:sz w:val="21"/>
                <w:szCs w:val="21"/>
              </w:rPr>
              <w:t>4</w:t>
            </w:r>
          </w:p>
        </w:tc>
        <w:tc>
          <w:tcPr>
            <w:tcW w:w="7072" w:type="dxa"/>
            <w:vAlign w:val="center"/>
          </w:tcPr>
          <w:p>
            <w:pPr>
              <w:snapToGrid w:val="0"/>
              <w:rPr>
                <w:rFonts w:ascii="楷体" w:hAnsi="楷体" w:eastAsia="楷体"/>
                <w:color w:val="auto"/>
                <w:sz w:val="21"/>
                <w:szCs w:val="21"/>
              </w:rPr>
            </w:pPr>
            <w:r>
              <w:rPr>
                <w:rFonts w:hint="eastAsia" w:ascii="楷体" w:hAnsi="楷体" w:eastAsia="楷体"/>
                <w:color w:val="auto"/>
                <w:sz w:val="21"/>
                <w:szCs w:val="21"/>
              </w:rPr>
              <w:t>未按要求召开安全会议（无记录）</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w:t>
            </w:r>
            <w:r>
              <w:rPr>
                <w:rFonts w:hint="eastAsia" w:ascii="楷体" w:hAnsi="楷体" w:eastAsia="楷体"/>
                <w:color w:val="auto"/>
                <w:sz w:val="21"/>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ascii="楷体" w:hAnsi="楷体" w:eastAsia="楷体"/>
                <w:color w:val="auto"/>
                <w:sz w:val="21"/>
                <w:szCs w:val="21"/>
              </w:rPr>
              <w:t>5</w:t>
            </w:r>
          </w:p>
        </w:tc>
        <w:tc>
          <w:tcPr>
            <w:tcW w:w="7072" w:type="dxa"/>
            <w:vAlign w:val="center"/>
          </w:tcPr>
          <w:p>
            <w:pPr>
              <w:snapToGrid w:val="0"/>
              <w:rPr>
                <w:rFonts w:ascii="楷体" w:hAnsi="楷体" w:eastAsia="楷体"/>
                <w:color w:val="auto"/>
                <w:sz w:val="21"/>
                <w:szCs w:val="21"/>
              </w:rPr>
            </w:pPr>
            <w:r>
              <w:rPr>
                <w:rFonts w:hint="eastAsia" w:ascii="楷体" w:hAnsi="楷体" w:eastAsia="楷体"/>
                <w:color w:val="auto"/>
                <w:sz w:val="21"/>
                <w:szCs w:val="21"/>
              </w:rPr>
              <w:t>未按相关整改通知要求完成整改或没有及时整改</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500元</w:t>
            </w:r>
            <w:r>
              <w:rPr>
                <w:rFonts w:hint="eastAsia" w:ascii="楷体" w:hAnsi="楷体" w:eastAsia="楷体"/>
                <w:color w:val="auto"/>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ascii="楷体" w:hAnsi="楷体" w:eastAsia="楷体"/>
                <w:color w:val="auto"/>
                <w:sz w:val="21"/>
                <w:szCs w:val="21"/>
              </w:rPr>
              <w:t>6</w:t>
            </w:r>
          </w:p>
        </w:tc>
        <w:tc>
          <w:tcPr>
            <w:tcW w:w="7072" w:type="dxa"/>
            <w:vAlign w:val="center"/>
          </w:tcPr>
          <w:p>
            <w:pPr>
              <w:snapToGrid w:val="0"/>
              <w:rPr>
                <w:rFonts w:ascii="楷体" w:hAnsi="楷体" w:eastAsia="楷体"/>
                <w:color w:val="auto"/>
                <w:sz w:val="21"/>
                <w:szCs w:val="21"/>
              </w:rPr>
            </w:pPr>
            <w:r>
              <w:rPr>
                <w:rFonts w:hint="eastAsia" w:ascii="楷体" w:hAnsi="楷体" w:eastAsia="楷体"/>
                <w:color w:val="auto"/>
                <w:sz w:val="21"/>
                <w:szCs w:val="21"/>
              </w:rPr>
              <w:t>相关安全管理资料、报告、文件未及时上报或更新</w:t>
            </w:r>
          </w:p>
        </w:tc>
        <w:tc>
          <w:tcPr>
            <w:tcW w:w="1562" w:type="dxa"/>
            <w:vAlign w:val="center"/>
          </w:tcPr>
          <w:p>
            <w:pPr>
              <w:snapToGrid w:val="0"/>
              <w:spacing w:line="360" w:lineRule="auto"/>
              <w:jc w:val="center"/>
              <w:rPr>
                <w:rFonts w:ascii="楷体" w:hAnsi="楷体" w:eastAsia="楷体"/>
                <w:color w:val="auto"/>
                <w:sz w:val="21"/>
                <w:szCs w:val="21"/>
              </w:rPr>
            </w:pPr>
            <w:r>
              <w:rPr>
                <w:rFonts w:ascii="楷体" w:hAnsi="楷体" w:eastAsia="楷体"/>
                <w:color w:val="auto"/>
                <w:sz w:val="21"/>
                <w:szCs w:val="21"/>
              </w:rPr>
              <w:t>5</w:t>
            </w:r>
            <w:r>
              <w:rPr>
                <w:rFonts w:hint="eastAsia" w:ascii="楷体" w:hAnsi="楷体" w:eastAsia="楷体"/>
                <w:color w:val="auto"/>
                <w:sz w:val="21"/>
                <w:szCs w:val="21"/>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napToGrid w:val="0"/>
              <w:jc w:val="center"/>
              <w:rPr>
                <w:rFonts w:ascii="楷体" w:hAnsi="楷体" w:eastAsia="楷体"/>
                <w:color w:val="auto"/>
                <w:sz w:val="21"/>
                <w:szCs w:val="21"/>
              </w:rPr>
            </w:pPr>
            <w:r>
              <w:rPr>
                <w:rFonts w:hint="eastAsia" w:ascii="楷体" w:hAnsi="楷体" w:eastAsia="楷体"/>
                <w:color w:val="auto"/>
                <w:sz w:val="21"/>
                <w:szCs w:val="21"/>
              </w:rPr>
              <w:t>7</w:t>
            </w:r>
          </w:p>
        </w:tc>
        <w:tc>
          <w:tcPr>
            <w:tcW w:w="7072" w:type="dxa"/>
            <w:vAlign w:val="center"/>
          </w:tcPr>
          <w:p>
            <w:pPr>
              <w:snapToGrid w:val="0"/>
              <w:rPr>
                <w:rFonts w:ascii="楷体" w:hAnsi="楷体" w:eastAsia="楷体"/>
                <w:color w:val="auto"/>
                <w:sz w:val="21"/>
                <w:szCs w:val="21"/>
              </w:rPr>
            </w:pPr>
            <w:r>
              <w:rPr>
                <w:rFonts w:ascii="楷体" w:hAnsi="楷体" w:eastAsia="楷体"/>
                <w:color w:val="auto"/>
                <w:sz w:val="21"/>
                <w:szCs w:val="21"/>
              </w:rPr>
              <w:t>在管理活动中存在其他失责情况的</w:t>
            </w:r>
            <w:r>
              <w:rPr>
                <w:rFonts w:hint="eastAsia" w:ascii="楷体" w:hAnsi="楷体" w:eastAsia="楷体"/>
                <w:color w:val="auto"/>
                <w:sz w:val="21"/>
                <w:szCs w:val="21"/>
              </w:rPr>
              <w:t>，</w:t>
            </w:r>
            <w:r>
              <w:rPr>
                <w:rFonts w:ascii="楷体" w:hAnsi="楷体" w:eastAsia="楷体"/>
                <w:color w:val="auto"/>
                <w:sz w:val="21"/>
                <w:szCs w:val="21"/>
              </w:rPr>
              <w:t>给予</w:t>
            </w:r>
            <w:r>
              <w:rPr>
                <w:rFonts w:hint="eastAsia" w:ascii="楷体" w:hAnsi="楷体" w:eastAsia="楷体"/>
                <w:color w:val="auto"/>
                <w:sz w:val="21"/>
                <w:szCs w:val="21"/>
              </w:rPr>
              <w:t>500-</w:t>
            </w:r>
            <w:r>
              <w:rPr>
                <w:rFonts w:ascii="楷体" w:hAnsi="楷体" w:eastAsia="楷体"/>
                <w:color w:val="auto"/>
                <w:sz w:val="21"/>
                <w:szCs w:val="21"/>
              </w:rPr>
              <w:t>5000元处罚</w:t>
            </w:r>
            <w:r>
              <w:rPr>
                <w:rFonts w:hint="eastAsia" w:ascii="楷体" w:hAnsi="楷体" w:eastAsia="楷体"/>
                <w:color w:val="auto"/>
                <w:sz w:val="21"/>
                <w:szCs w:val="21"/>
              </w:rPr>
              <w:t>，同类行为反复出现的可以加重或加倍处罚</w:t>
            </w:r>
          </w:p>
        </w:tc>
        <w:tc>
          <w:tcPr>
            <w:tcW w:w="1562" w:type="dxa"/>
            <w:vAlign w:val="center"/>
          </w:tcPr>
          <w:p>
            <w:pPr>
              <w:snapToGrid w:val="0"/>
              <w:spacing w:line="360" w:lineRule="auto"/>
              <w:jc w:val="center"/>
              <w:rPr>
                <w:rFonts w:ascii="楷体" w:hAnsi="楷体" w:eastAsia="楷体"/>
                <w:color w:val="auto"/>
                <w:sz w:val="21"/>
                <w:szCs w:val="21"/>
              </w:rPr>
            </w:pPr>
          </w:p>
        </w:tc>
      </w:tr>
    </w:tbl>
    <w:p>
      <w:pPr>
        <w:snapToGrid w:val="0"/>
        <w:spacing w:line="360" w:lineRule="auto"/>
        <w:ind w:firstLine="420" w:firstLineChars="200"/>
        <w:rPr>
          <w:rFonts w:ascii="楷体" w:hAnsi="楷体" w:eastAsia="楷体"/>
          <w:color w:val="auto"/>
          <w:sz w:val="21"/>
          <w:szCs w:val="21"/>
        </w:rPr>
      </w:pPr>
    </w:p>
    <w:p>
      <w:pPr>
        <w:snapToGrid w:val="0"/>
        <w:spacing w:line="360" w:lineRule="auto"/>
        <w:ind w:firstLine="420" w:firstLineChars="200"/>
        <w:rPr>
          <w:rFonts w:ascii="楷体" w:hAnsi="楷体" w:eastAsia="楷体"/>
          <w:color w:val="auto"/>
          <w:sz w:val="21"/>
          <w:szCs w:val="21"/>
        </w:rPr>
      </w:pPr>
      <w:r>
        <w:rPr>
          <w:rFonts w:hint="eastAsia" w:ascii="楷体" w:hAnsi="楷体" w:eastAsia="楷体"/>
          <w:color w:val="auto"/>
          <w:sz w:val="21"/>
          <w:szCs w:val="21"/>
        </w:rPr>
        <w:t>26.4另外，相关内容如有重复与前后不一致的，采取就高不就低的原则。</w:t>
      </w:r>
    </w:p>
    <w:p>
      <w:pPr>
        <w:wordWrap w:val="0"/>
        <w:jc w:val="center"/>
        <w:rPr>
          <w:rFonts w:ascii="楷体" w:hAnsi="楷体" w:eastAsia="楷体"/>
          <w:color w:val="auto"/>
          <w:sz w:val="21"/>
          <w:szCs w:val="21"/>
        </w:rPr>
      </w:pPr>
      <w:r>
        <w:rPr>
          <w:rFonts w:hint="eastAsia" w:ascii="楷体" w:hAnsi="楷体" w:eastAsia="楷体"/>
          <w:color w:val="auto"/>
          <w:sz w:val="21"/>
          <w:szCs w:val="21"/>
        </w:rPr>
        <w:t xml:space="preserve">     工程违约处理通知书</w:t>
      </w:r>
    </w:p>
    <w:tbl>
      <w:tblPr>
        <w:tblStyle w:val="19"/>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楷体" w:hAnsi="楷体" w:eastAsia="楷体"/>
                <w:color w:val="auto"/>
                <w:sz w:val="21"/>
                <w:szCs w:val="21"/>
              </w:rPr>
            </w:pPr>
            <w:r>
              <w:rPr>
                <w:rFonts w:hint="eastAsia" w:ascii="楷体" w:hAnsi="楷体" w:eastAsia="楷体"/>
                <w:color w:val="auto"/>
                <w:sz w:val="21"/>
                <w:szCs w:val="21"/>
              </w:rPr>
              <w:t>工程名称</w:t>
            </w:r>
          </w:p>
        </w:tc>
        <w:tc>
          <w:tcPr>
            <w:tcW w:w="2074" w:type="dxa"/>
            <w:tcBorders>
              <w:top w:val="single" w:color="auto" w:sz="4" w:space="0"/>
              <w:left w:val="single" w:color="auto" w:sz="4" w:space="0"/>
              <w:bottom w:val="single" w:color="auto" w:sz="4" w:space="0"/>
              <w:right w:val="single" w:color="auto" w:sz="4" w:space="0"/>
            </w:tcBorders>
            <w:vAlign w:val="center"/>
          </w:tcPr>
          <w:p>
            <w:pPr>
              <w:keepNext/>
              <w:keepLines/>
              <w:wordWrap w:val="0"/>
              <w:jc w:val="center"/>
              <w:outlineLvl w:val="0"/>
              <w:rPr>
                <w:rFonts w:ascii="楷体" w:hAnsi="楷体" w:eastAsia="楷体"/>
                <w:color w:val="auto"/>
                <w:sz w:val="21"/>
                <w:szCs w:val="21"/>
              </w:rPr>
            </w:pPr>
          </w:p>
        </w:tc>
        <w:tc>
          <w:tcPr>
            <w:tcW w:w="2074"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楷体" w:hAnsi="楷体" w:eastAsia="楷体"/>
                <w:color w:val="auto"/>
                <w:sz w:val="21"/>
                <w:szCs w:val="21"/>
              </w:rPr>
            </w:pPr>
            <w:r>
              <w:rPr>
                <w:rFonts w:hint="eastAsia" w:ascii="楷体" w:hAnsi="楷体" w:eastAsia="楷体"/>
                <w:color w:val="auto"/>
                <w:sz w:val="21"/>
                <w:szCs w:val="21"/>
              </w:rPr>
              <w:t>编号</w:t>
            </w:r>
          </w:p>
        </w:tc>
        <w:tc>
          <w:tcPr>
            <w:tcW w:w="2074" w:type="dxa"/>
            <w:tcBorders>
              <w:top w:val="single" w:color="auto" w:sz="4" w:space="0"/>
              <w:left w:val="single" w:color="auto" w:sz="4" w:space="0"/>
              <w:bottom w:val="single" w:color="auto" w:sz="4" w:space="0"/>
              <w:right w:val="single" w:color="auto" w:sz="4" w:space="0"/>
            </w:tcBorders>
            <w:vAlign w:val="center"/>
          </w:tcPr>
          <w:p>
            <w:pPr>
              <w:keepNext/>
              <w:keepLines/>
              <w:wordWrap w:val="0"/>
              <w:jc w:val="center"/>
              <w:outlineLvl w:val="0"/>
              <w:rPr>
                <w:rFonts w:ascii="楷体" w:hAnsi="楷体" w:eastAsia="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073" w:type="dxa"/>
            <w:tcBorders>
              <w:top w:val="single" w:color="auto" w:sz="4" w:space="0"/>
              <w:left w:val="single" w:color="auto" w:sz="4" w:space="0"/>
              <w:bottom w:val="single" w:color="auto" w:sz="4" w:space="0"/>
              <w:right w:val="single" w:color="auto" w:sz="4" w:space="0"/>
            </w:tcBorders>
          </w:tcPr>
          <w:p>
            <w:pPr>
              <w:wordWrap w:val="0"/>
              <w:jc w:val="center"/>
              <w:rPr>
                <w:rFonts w:ascii="楷体" w:hAnsi="楷体" w:eastAsia="楷体"/>
                <w:color w:val="auto"/>
                <w:sz w:val="21"/>
                <w:szCs w:val="21"/>
              </w:rPr>
            </w:pPr>
            <w:r>
              <w:rPr>
                <w:rFonts w:hint="eastAsia" w:ascii="楷体" w:hAnsi="楷体" w:eastAsia="楷体"/>
                <w:color w:val="auto"/>
                <w:sz w:val="21"/>
                <w:szCs w:val="21"/>
              </w:rPr>
              <w:t>施工部位</w:t>
            </w:r>
          </w:p>
        </w:tc>
        <w:tc>
          <w:tcPr>
            <w:tcW w:w="2074" w:type="dxa"/>
            <w:tcBorders>
              <w:top w:val="single" w:color="auto" w:sz="4" w:space="0"/>
              <w:left w:val="single" w:color="auto" w:sz="4" w:space="0"/>
              <w:bottom w:val="single" w:color="auto" w:sz="4" w:space="0"/>
              <w:right w:val="single" w:color="auto" w:sz="4" w:space="0"/>
            </w:tcBorders>
          </w:tcPr>
          <w:p>
            <w:pPr>
              <w:keepNext/>
              <w:keepLines/>
              <w:wordWrap w:val="0"/>
              <w:jc w:val="center"/>
              <w:outlineLvl w:val="0"/>
              <w:rPr>
                <w:rFonts w:ascii="楷体" w:hAnsi="楷体" w:eastAsia="楷体"/>
                <w:color w:val="auto"/>
                <w:sz w:val="21"/>
                <w:szCs w:val="21"/>
              </w:rPr>
            </w:pPr>
          </w:p>
        </w:tc>
        <w:tc>
          <w:tcPr>
            <w:tcW w:w="2074" w:type="dxa"/>
            <w:tcBorders>
              <w:top w:val="single" w:color="auto" w:sz="4" w:space="0"/>
              <w:left w:val="single" w:color="auto" w:sz="4" w:space="0"/>
              <w:bottom w:val="single" w:color="auto" w:sz="4" w:space="0"/>
              <w:right w:val="single" w:color="auto" w:sz="4" w:space="0"/>
            </w:tcBorders>
          </w:tcPr>
          <w:p>
            <w:pPr>
              <w:wordWrap w:val="0"/>
              <w:jc w:val="center"/>
              <w:rPr>
                <w:rFonts w:ascii="楷体" w:hAnsi="楷体" w:eastAsia="楷体"/>
                <w:color w:val="auto"/>
                <w:sz w:val="21"/>
                <w:szCs w:val="21"/>
              </w:rPr>
            </w:pPr>
            <w:r>
              <w:rPr>
                <w:rFonts w:hint="eastAsia" w:ascii="楷体" w:hAnsi="楷体" w:eastAsia="楷体"/>
                <w:color w:val="auto"/>
                <w:sz w:val="21"/>
                <w:szCs w:val="21"/>
              </w:rPr>
              <w:t>日期</w:t>
            </w:r>
          </w:p>
        </w:tc>
        <w:tc>
          <w:tcPr>
            <w:tcW w:w="2074" w:type="dxa"/>
            <w:tcBorders>
              <w:top w:val="single" w:color="auto" w:sz="4" w:space="0"/>
              <w:left w:val="single" w:color="auto" w:sz="4" w:space="0"/>
              <w:bottom w:val="single" w:color="auto" w:sz="4" w:space="0"/>
              <w:right w:val="single" w:color="auto" w:sz="4" w:space="0"/>
            </w:tcBorders>
          </w:tcPr>
          <w:p>
            <w:pPr>
              <w:wordWrap w:val="0"/>
              <w:jc w:val="center"/>
              <w:rPr>
                <w:rFonts w:ascii="楷体" w:hAnsi="楷体" w:eastAsia="楷体"/>
                <w:color w:val="auto"/>
                <w:sz w:val="21"/>
                <w:szCs w:val="21"/>
              </w:rPr>
            </w:pPr>
            <w:r>
              <w:rPr>
                <w:rFonts w:hint="eastAsia" w:ascii="楷体" w:hAnsi="楷体" w:eastAsia="楷体"/>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73" w:type="dxa"/>
            <w:tcBorders>
              <w:top w:val="single" w:color="auto" w:sz="4" w:space="0"/>
              <w:left w:val="single" w:color="auto" w:sz="4" w:space="0"/>
              <w:bottom w:val="single" w:color="auto" w:sz="4" w:space="0"/>
              <w:right w:val="single" w:color="auto" w:sz="4" w:space="0"/>
            </w:tcBorders>
          </w:tcPr>
          <w:p>
            <w:pPr>
              <w:wordWrap w:val="0"/>
              <w:jc w:val="center"/>
              <w:rPr>
                <w:rFonts w:ascii="楷体" w:hAnsi="楷体" w:eastAsia="楷体"/>
                <w:color w:val="auto"/>
                <w:sz w:val="21"/>
                <w:szCs w:val="21"/>
              </w:rPr>
            </w:pPr>
            <w:r>
              <w:rPr>
                <w:rFonts w:hint="eastAsia" w:ascii="楷体" w:hAnsi="楷体" w:eastAsia="楷体"/>
                <w:color w:val="auto"/>
                <w:sz w:val="21"/>
                <w:szCs w:val="21"/>
              </w:rPr>
              <w:t>违约单位</w:t>
            </w:r>
          </w:p>
        </w:tc>
        <w:tc>
          <w:tcPr>
            <w:tcW w:w="2074" w:type="dxa"/>
            <w:tcBorders>
              <w:top w:val="single" w:color="auto" w:sz="4" w:space="0"/>
              <w:left w:val="single" w:color="auto" w:sz="4" w:space="0"/>
              <w:bottom w:val="single" w:color="auto" w:sz="4" w:space="0"/>
              <w:right w:val="single" w:color="auto" w:sz="4" w:space="0"/>
            </w:tcBorders>
          </w:tcPr>
          <w:p>
            <w:pPr>
              <w:keepNext/>
              <w:keepLines/>
              <w:wordWrap w:val="0"/>
              <w:jc w:val="center"/>
              <w:outlineLvl w:val="0"/>
              <w:rPr>
                <w:rFonts w:ascii="楷体" w:hAnsi="楷体" w:eastAsia="楷体"/>
                <w:color w:val="auto"/>
                <w:sz w:val="21"/>
                <w:szCs w:val="21"/>
              </w:rPr>
            </w:pPr>
          </w:p>
        </w:tc>
        <w:tc>
          <w:tcPr>
            <w:tcW w:w="2074" w:type="dxa"/>
            <w:tcBorders>
              <w:top w:val="single" w:color="auto" w:sz="4" w:space="0"/>
              <w:left w:val="single" w:color="auto" w:sz="4" w:space="0"/>
              <w:bottom w:val="single" w:color="auto" w:sz="4" w:space="0"/>
              <w:right w:val="single" w:color="auto" w:sz="4" w:space="0"/>
            </w:tcBorders>
          </w:tcPr>
          <w:p>
            <w:pPr>
              <w:wordWrap w:val="0"/>
              <w:jc w:val="center"/>
              <w:rPr>
                <w:rFonts w:ascii="楷体" w:hAnsi="楷体" w:eastAsia="楷体"/>
                <w:color w:val="auto"/>
                <w:sz w:val="21"/>
                <w:szCs w:val="21"/>
              </w:rPr>
            </w:pPr>
            <w:r>
              <w:rPr>
                <w:rFonts w:hint="eastAsia" w:ascii="楷体" w:hAnsi="楷体" w:eastAsia="楷体"/>
                <w:color w:val="auto"/>
                <w:sz w:val="21"/>
                <w:szCs w:val="21"/>
              </w:rPr>
              <w:t>违约处理依据</w:t>
            </w:r>
          </w:p>
        </w:tc>
        <w:tc>
          <w:tcPr>
            <w:tcW w:w="2074" w:type="dxa"/>
            <w:tcBorders>
              <w:top w:val="single" w:color="auto" w:sz="4" w:space="0"/>
              <w:left w:val="single" w:color="auto" w:sz="4" w:space="0"/>
              <w:bottom w:val="single" w:color="auto" w:sz="4" w:space="0"/>
              <w:right w:val="single" w:color="auto" w:sz="4" w:space="0"/>
            </w:tcBorders>
          </w:tcPr>
          <w:p>
            <w:pPr>
              <w:keepNext/>
              <w:keepLines/>
              <w:wordWrap w:val="0"/>
              <w:jc w:val="center"/>
              <w:outlineLvl w:val="0"/>
              <w:rPr>
                <w:rFonts w:ascii="楷体" w:hAnsi="楷体" w:eastAsia="楷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5" w:type="dxa"/>
            <w:gridSpan w:val="4"/>
            <w:tcBorders>
              <w:top w:val="single" w:color="auto" w:sz="4" w:space="0"/>
              <w:left w:val="single" w:color="auto" w:sz="4" w:space="0"/>
              <w:bottom w:val="single" w:color="auto" w:sz="4" w:space="0"/>
              <w:right w:val="single" w:color="auto" w:sz="4" w:space="0"/>
            </w:tcBorders>
          </w:tcPr>
          <w:p>
            <w:pPr>
              <w:wordWrap w:val="0"/>
              <w:rPr>
                <w:rFonts w:ascii="楷体" w:hAnsi="楷体" w:eastAsia="楷体"/>
                <w:color w:val="auto"/>
                <w:sz w:val="21"/>
                <w:szCs w:val="21"/>
              </w:rPr>
            </w:pPr>
            <w:r>
              <w:rPr>
                <w:rFonts w:hint="eastAsia" w:ascii="楷体" w:hAnsi="楷体" w:eastAsia="楷体"/>
                <w:color w:val="auto"/>
                <w:sz w:val="21"/>
                <w:szCs w:val="21"/>
              </w:rPr>
              <w:t>违约处理事由：</w:t>
            </w:r>
          </w:p>
          <w:p>
            <w:pPr>
              <w:wordWrap w:val="0"/>
              <w:rPr>
                <w:rFonts w:ascii="楷体" w:hAnsi="楷体" w:eastAsia="楷体"/>
                <w:color w:val="auto"/>
                <w:sz w:val="21"/>
                <w:szCs w:val="21"/>
              </w:rPr>
            </w:pPr>
          </w:p>
          <w:p>
            <w:pPr>
              <w:wordWrap w:val="0"/>
              <w:rPr>
                <w:rFonts w:ascii="楷体" w:hAnsi="楷体" w:eastAsia="楷体"/>
                <w:color w:val="auto"/>
                <w:sz w:val="21"/>
                <w:szCs w:val="21"/>
              </w:rPr>
            </w:pPr>
          </w:p>
          <w:p>
            <w:pPr>
              <w:wordWrap w:val="0"/>
              <w:rPr>
                <w:rFonts w:ascii="楷体" w:hAnsi="楷体" w:eastAsia="楷体"/>
                <w:color w:val="auto"/>
                <w:sz w:val="21"/>
                <w:szCs w:val="21"/>
              </w:rPr>
            </w:pPr>
            <w:r>
              <w:rPr>
                <w:rFonts w:hint="eastAsia" w:ascii="楷体" w:hAnsi="楷体" w:eastAsia="楷体"/>
                <w:color w:val="auto"/>
                <w:sz w:val="21"/>
                <w:szCs w:val="21"/>
              </w:rPr>
              <w:t>违约金额：</w:t>
            </w:r>
          </w:p>
          <w:p>
            <w:pPr>
              <w:wordWrap w:val="0"/>
              <w:rPr>
                <w:rFonts w:ascii="楷体" w:hAnsi="楷体" w:eastAsia="楷体"/>
                <w:color w:val="auto"/>
                <w:sz w:val="21"/>
                <w:szCs w:val="21"/>
              </w:rPr>
            </w:pPr>
          </w:p>
          <w:p>
            <w:pPr>
              <w:wordWrap w:val="0"/>
              <w:rPr>
                <w:rFonts w:ascii="楷体" w:hAnsi="楷体" w:eastAsia="楷体"/>
                <w:color w:val="auto"/>
                <w:sz w:val="21"/>
                <w:szCs w:val="21"/>
              </w:rPr>
            </w:pPr>
          </w:p>
          <w:p>
            <w:pPr>
              <w:wordWrap w:val="0"/>
              <w:ind w:firstLine="4200" w:firstLineChars="2000"/>
              <w:rPr>
                <w:rFonts w:ascii="楷体" w:hAnsi="楷体" w:eastAsia="楷体"/>
                <w:color w:val="auto"/>
                <w:sz w:val="21"/>
                <w:szCs w:val="21"/>
              </w:rPr>
            </w:pPr>
            <w:r>
              <w:rPr>
                <w:rFonts w:hint="eastAsia" w:ascii="楷体" w:hAnsi="楷体" w:eastAsia="楷体"/>
                <w:color w:val="auto"/>
                <w:sz w:val="21"/>
                <w:szCs w:val="21"/>
              </w:rPr>
              <w:t>违约处理单位：XX监理公司</w:t>
            </w:r>
          </w:p>
          <w:p>
            <w:pPr>
              <w:wordWrap w:val="0"/>
              <w:ind w:firstLine="4830" w:firstLineChars="2300"/>
              <w:rPr>
                <w:rFonts w:ascii="楷体" w:hAnsi="楷体" w:eastAsia="楷体"/>
                <w:color w:val="auto"/>
                <w:sz w:val="21"/>
                <w:szCs w:val="21"/>
              </w:rPr>
            </w:pPr>
            <w:r>
              <w:rPr>
                <w:rFonts w:hint="eastAsia" w:ascii="楷体" w:hAnsi="楷体" w:eastAsia="楷体"/>
                <w:color w:val="auto"/>
                <w:sz w:val="21"/>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5" w:type="dxa"/>
            <w:gridSpan w:val="4"/>
            <w:tcBorders>
              <w:top w:val="single" w:color="auto" w:sz="4" w:space="0"/>
              <w:left w:val="single" w:color="auto" w:sz="4" w:space="0"/>
              <w:bottom w:val="single" w:color="auto" w:sz="4" w:space="0"/>
              <w:right w:val="single" w:color="auto" w:sz="4" w:space="0"/>
            </w:tcBorders>
          </w:tcPr>
          <w:p>
            <w:pPr>
              <w:wordWrap w:val="0"/>
              <w:jc w:val="center"/>
              <w:rPr>
                <w:rFonts w:ascii="楷体" w:hAnsi="楷体" w:eastAsia="楷体"/>
                <w:color w:val="auto"/>
                <w:sz w:val="21"/>
                <w:szCs w:val="21"/>
              </w:rPr>
            </w:pPr>
            <w:r>
              <w:rPr>
                <w:rFonts w:hint="eastAsia" w:ascii="楷体" w:hAnsi="楷体" w:eastAsia="楷体"/>
                <w:color w:val="auto"/>
                <w:sz w:val="21"/>
                <w:szCs w:val="21"/>
              </w:rPr>
              <w:t>审批栏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073" w:type="dxa"/>
            <w:tcBorders>
              <w:top w:val="single" w:color="auto" w:sz="4" w:space="0"/>
              <w:left w:val="single" w:color="auto" w:sz="4" w:space="0"/>
              <w:bottom w:val="single" w:color="auto" w:sz="4" w:space="0"/>
              <w:right w:val="single" w:color="auto" w:sz="4" w:space="0"/>
            </w:tcBorders>
          </w:tcPr>
          <w:p>
            <w:pPr>
              <w:wordWrap w:val="0"/>
              <w:jc w:val="center"/>
              <w:rPr>
                <w:rFonts w:ascii="楷体" w:hAnsi="楷体" w:eastAsia="楷体"/>
                <w:color w:val="auto"/>
                <w:sz w:val="21"/>
                <w:szCs w:val="21"/>
              </w:rPr>
            </w:pPr>
            <w:r>
              <w:rPr>
                <w:rFonts w:hint="eastAsia" w:ascii="楷体" w:hAnsi="楷体" w:eastAsia="楷体"/>
                <w:color w:val="auto"/>
                <w:sz w:val="21"/>
                <w:szCs w:val="21"/>
              </w:rPr>
              <w:t>监理总监</w:t>
            </w:r>
          </w:p>
        </w:tc>
        <w:tc>
          <w:tcPr>
            <w:tcW w:w="2074" w:type="dxa"/>
            <w:tcBorders>
              <w:top w:val="single" w:color="auto" w:sz="4" w:space="0"/>
              <w:left w:val="single" w:color="auto" w:sz="4" w:space="0"/>
              <w:bottom w:val="single" w:color="auto" w:sz="4" w:space="0"/>
              <w:right w:val="single" w:color="auto" w:sz="4" w:space="0"/>
            </w:tcBorders>
          </w:tcPr>
          <w:p>
            <w:pPr>
              <w:keepNext/>
              <w:keepLines/>
              <w:wordWrap w:val="0"/>
              <w:jc w:val="center"/>
              <w:outlineLvl w:val="0"/>
              <w:rPr>
                <w:rFonts w:ascii="楷体" w:hAnsi="楷体" w:eastAsia="楷体"/>
                <w:color w:val="auto"/>
                <w:sz w:val="21"/>
                <w:szCs w:val="21"/>
              </w:rPr>
            </w:pPr>
          </w:p>
        </w:tc>
        <w:tc>
          <w:tcPr>
            <w:tcW w:w="2074" w:type="dxa"/>
            <w:tcBorders>
              <w:top w:val="single" w:color="auto" w:sz="4" w:space="0"/>
              <w:left w:val="single" w:color="auto" w:sz="4" w:space="0"/>
              <w:bottom w:val="single" w:color="auto" w:sz="4" w:space="0"/>
              <w:right w:val="single" w:color="auto" w:sz="4" w:space="0"/>
            </w:tcBorders>
          </w:tcPr>
          <w:p>
            <w:pPr>
              <w:wordWrap w:val="0"/>
              <w:jc w:val="center"/>
              <w:rPr>
                <w:rFonts w:ascii="楷体" w:hAnsi="楷体" w:eastAsia="楷体"/>
                <w:color w:val="auto"/>
                <w:sz w:val="21"/>
                <w:szCs w:val="21"/>
              </w:rPr>
            </w:pPr>
            <w:r>
              <w:rPr>
                <w:rFonts w:hint="eastAsia" w:ascii="楷体" w:hAnsi="楷体" w:eastAsia="楷体"/>
                <w:color w:val="auto"/>
                <w:sz w:val="21"/>
                <w:szCs w:val="21"/>
              </w:rPr>
              <w:t>发包人</w:t>
            </w:r>
          </w:p>
        </w:tc>
        <w:tc>
          <w:tcPr>
            <w:tcW w:w="2074" w:type="dxa"/>
            <w:tcBorders>
              <w:top w:val="single" w:color="auto" w:sz="4" w:space="0"/>
              <w:left w:val="single" w:color="auto" w:sz="4" w:space="0"/>
              <w:bottom w:val="single" w:color="auto" w:sz="4" w:space="0"/>
              <w:right w:val="single" w:color="auto" w:sz="4" w:space="0"/>
            </w:tcBorders>
          </w:tcPr>
          <w:p>
            <w:pPr>
              <w:keepNext/>
              <w:keepLines/>
              <w:wordWrap w:val="0"/>
              <w:jc w:val="center"/>
              <w:outlineLvl w:val="0"/>
              <w:rPr>
                <w:rFonts w:ascii="楷体" w:hAnsi="楷体" w:eastAsia="楷体"/>
                <w:color w:val="auto"/>
                <w:sz w:val="21"/>
                <w:szCs w:val="21"/>
              </w:rPr>
            </w:pPr>
          </w:p>
        </w:tc>
      </w:tr>
    </w:tbl>
    <w:p>
      <w:pPr>
        <w:ind w:left="240" w:hanging="240"/>
        <w:rPr>
          <w:rFonts w:ascii="楷体" w:hAnsi="楷体" w:eastAsia="楷体"/>
          <w:color w:val="auto"/>
          <w:sz w:val="21"/>
          <w:szCs w:val="21"/>
        </w:rPr>
      </w:pPr>
      <w:r>
        <w:rPr>
          <w:rFonts w:hint="eastAsia" w:ascii="楷体" w:hAnsi="楷体" w:eastAsia="楷体"/>
          <w:color w:val="auto"/>
          <w:sz w:val="21"/>
          <w:szCs w:val="21"/>
        </w:rPr>
        <w:t>注：1．本单一式四份：发包人存三份、违约单位存一份。</w:t>
      </w:r>
    </w:p>
    <w:p>
      <w:pPr>
        <w:ind w:left="340" w:leftChars="100" w:firstLine="210" w:firstLineChars="100"/>
        <w:rPr>
          <w:rFonts w:ascii="楷体" w:hAnsi="楷体" w:eastAsia="楷体"/>
          <w:color w:val="auto"/>
          <w:sz w:val="21"/>
          <w:szCs w:val="21"/>
        </w:rPr>
      </w:pPr>
      <w:r>
        <w:rPr>
          <w:rFonts w:hint="eastAsia" w:ascii="楷体" w:hAnsi="楷体" w:eastAsia="楷体"/>
          <w:color w:val="auto"/>
          <w:sz w:val="21"/>
          <w:szCs w:val="21"/>
        </w:rPr>
        <w:t>2．本单对乙方及分包商违约发出的违约处理通知；无论违约单位接受与否，不影响本单的执行。</w:t>
      </w:r>
    </w:p>
    <w:p>
      <w:pPr>
        <w:widowControl/>
        <w:autoSpaceDE/>
        <w:autoSpaceDN/>
        <w:adjustRightInd/>
        <w:rPr>
          <w:color w:val="auto"/>
          <w:szCs w:val="21"/>
        </w:rPr>
      </w:pPr>
      <w:r>
        <w:rPr>
          <w:rFonts w:hint="eastAsia" w:ascii="楷体" w:hAnsi="楷体" w:eastAsia="楷体"/>
          <w:color w:val="auto"/>
          <w:sz w:val="21"/>
          <w:szCs w:val="21"/>
        </w:rPr>
        <w:t>3．违约处理金额直接在当月的工程进度款中扣除。</w:t>
      </w:r>
    </w:p>
    <w:p>
      <w:pPr>
        <w:pStyle w:val="6"/>
        <w:rPr>
          <w:color w:val="auto"/>
        </w:rPr>
      </w:pPr>
      <w:r>
        <w:rPr>
          <w:color w:val="auto"/>
        </w:rPr>
        <w:br w:type="page"/>
      </w:r>
    </w:p>
    <w:p>
      <w:pPr>
        <w:spacing w:line="520" w:lineRule="exact"/>
        <w:outlineLvl w:val="0"/>
        <w:rPr>
          <w:rFonts w:ascii="Cambria" w:hAnsi="Cambria"/>
          <w:b/>
          <w:bCs/>
          <w:color w:val="auto"/>
          <w:sz w:val="30"/>
          <w:szCs w:val="30"/>
        </w:rPr>
        <w:sectPr>
          <w:pgSz w:w="11906" w:h="16838"/>
          <w:pgMar w:top="1247" w:right="1418" w:bottom="1247" w:left="1418" w:header="851" w:footer="992" w:gutter="0"/>
          <w:cols w:space="720" w:num="1"/>
          <w:titlePg/>
          <w:docGrid w:type="lines" w:linePitch="462" w:charSpace="0"/>
        </w:sectPr>
      </w:pPr>
      <w:bookmarkStart w:id="160" w:name="_Toc107410476"/>
      <w:bookmarkStart w:id="161" w:name="_Toc106635215"/>
    </w:p>
    <w:p>
      <w:pPr>
        <w:spacing w:line="520" w:lineRule="exact"/>
        <w:outlineLvl w:val="0"/>
        <w:rPr>
          <w:rFonts w:ascii="楷体" w:hAnsi="楷体" w:eastAsia="楷体"/>
          <w:bCs/>
          <w:color w:val="auto"/>
          <w:sz w:val="21"/>
          <w:szCs w:val="21"/>
        </w:rPr>
      </w:pPr>
      <w:bookmarkStart w:id="162" w:name="_Toc126962062"/>
      <w:bookmarkStart w:id="163" w:name="_Toc122343767"/>
      <w:r>
        <w:rPr>
          <w:rFonts w:ascii="楷体" w:hAnsi="楷体" w:eastAsia="楷体"/>
          <w:bCs/>
          <w:color w:val="auto"/>
          <w:sz w:val="21"/>
          <w:szCs w:val="21"/>
        </w:rPr>
        <w:t>附件</w:t>
      </w:r>
      <w:r>
        <w:rPr>
          <w:rFonts w:hint="eastAsia" w:ascii="楷体" w:hAnsi="楷体" w:eastAsia="楷体"/>
          <w:bCs/>
          <w:color w:val="auto"/>
          <w:sz w:val="21"/>
          <w:szCs w:val="21"/>
        </w:rPr>
        <w:t>十一：工程建设承包商安全生产不良行为扣分条款</w:t>
      </w:r>
      <w:bookmarkEnd w:id="160"/>
      <w:bookmarkEnd w:id="161"/>
      <w:bookmarkEnd w:id="162"/>
      <w:bookmarkEnd w:id="163"/>
    </w:p>
    <w:p>
      <w:pPr>
        <w:spacing w:before="231" w:beforeLines="50" w:after="231" w:afterLines="50"/>
        <w:jc w:val="center"/>
        <w:rPr>
          <w:rFonts w:ascii="楷体" w:hAnsi="楷体" w:eastAsia="楷体"/>
          <w:b/>
          <w:color w:val="auto"/>
          <w:sz w:val="28"/>
          <w:szCs w:val="28"/>
        </w:rPr>
      </w:pPr>
      <w:bookmarkStart w:id="164" w:name="_Toc107410477"/>
      <w:bookmarkStart w:id="165" w:name="_Toc106635216"/>
      <w:bookmarkStart w:id="166" w:name="_Toc107410427"/>
      <w:r>
        <w:rPr>
          <w:rFonts w:hint="eastAsia" w:ascii="楷体" w:hAnsi="楷体" w:eastAsia="楷体"/>
          <w:b/>
          <w:color w:val="auto"/>
          <w:sz w:val="28"/>
          <w:szCs w:val="28"/>
        </w:rPr>
        <w:t>广东粤海控股集团有限公司工程建设承包商安全生产不良行为扣分条款</w:t>
      </w:r>
      <w:bookmarkEnd w:id="164"/>
      <w:bookmarkEnd w:id="165"/>
      <w:bookmarkEnd w:id="166"/>
    </w:p>
    <w:tbl>
      <w:tblPr>
        <w:tblStyle w:val="19"/>
        <w:tblW w:w="14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3563"/>
        <w:gridCol w:w="851"/>
        <w:gridCol w:w="1134"/>
        <w:gridCol w:w="708"/>
        <w:gridCol w:w="7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序号</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不良行为现象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不良行为代码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责任承包商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扣分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上限</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扣分细则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承包商主要管理人员现场管理缺位。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施工单位项目经理、监理单位项目总监理师驻施工现场时间少于合同约定时间，安全管理缺位扣1分。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2</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未建立安全生产责任制；监理单位、施工单位管理人员未持证上岗，或证书与岗位不对应；特种作业人员未持证上岗；作业人员进场前未经现场安全教育培训合格即上岗作业。</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1、施工、监理项目部未建立安全生产责任制，扣1分。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2、现场总监理师未持有国家或行业相应资格证书每人每次扣1分；资格证书失效，每人每次扣0.5分。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3、需持证上岗的现场监理工程师、监理员未持有国家或行业相应资格证书或证书失效，每人每次扣0.2分。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4、施工单位项目经理未持有相应的注册建造师资格证书每人每次扣1分；资格证书失效，每人每次扣0.5分。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5、施工单位安全员未持有相应资格证书或证书失效，或与岗位不对应，每人每次扣0.2分。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6、施工单位特殊工种人员未持有执业资格证书或证书失效，或与岗位不对应，每人每次扣0.2分。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7、作业现场未进行安全技术交底，每人每次扣0.2分。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8、监理日志/监理日记不健全或未及时发现现场重大安全隐患并提出整改要求的，每次扣0.1分。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3</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施工机具（含特种设备）管理不规范或使用违反操作规程。</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ascii="楷体" w:hAnsi="楷体" w:eastAsia="楷体"/>
                <w:bCs/>
                <w:color w:val="auto"/>
                <w:sz w:val="21"/>
                <w:szCs w:val="21"/>
              </w:rPr>
              <w:t>1</w:t>
            </w:r>
            <w:r>
              <w:rPr>
                <w:rFonts w:hint="eastAsia" w:ascii="楷体" w:hAnsi="楷体" w:eastAsia="楷体"/>
                <w:bCs/>
                <w:color w:val="auto"/>
                <w:sz w:val="21"/>
                <w:szCs w:val="21"/>
              </w:rPr>
              <w:t>、特种设备出现以下任一不良行为的，扣</w:t>
            </w:r>
            <w:r>
              <w:rPr>
                <w:rFonts w:ascii="楷体" w:hAnsi="楷体" w:eastAsia="楷体"/>
                <w:bCs/>
                <w:color w:val="auto"/>
                <w:sz w:val="21"/>
                <w:szCs w:val="21"/>
              </w:rPr>
              <w:t>1</w:t>
            </w:r>
            <w:r>
              <w:rPr>
                <w:rFonts w:hint="eastAsia" w:ascii="楷体" w:hAnsi="楷体" w:eastAsia="楷体"/>
                <w:bCs/>
                <w:color w:val="auto"/>
                <w:sz w:val="21"/>
                <w:szCs w:val="21"/>
              </w:rPr>
              <w:t>分：</w:t>
            </w:r>
            <w:r>
              <w:rPr>
                <w:rFonts w:ascii="楷体" w:hAnsi="楷体" w:eastAsia="楷体"/>
                <w:bCs/>
                <w:color w:val="auto"/>
                <w:sz w:val="21"/>
                <w:szCs w:val="21"/>
              </w:rPr>
              <w:br w:type="textWrapping"/>
            </w:r>
            <w:r>
              <w:rPr>
                <w:rFonts w:hint="eastAsia" w:ascii="楷体" w:hAnsi="楷体" w:eastAsia="楷体"/>
                <w:bCs/>
                <w:color w:val="auto"/>
                <w:sz w:val="21"/>
                <w:szCs w:val="21"/>
              </w:rPr>
              <w:t>①进场未报审、未定期进行检查、维护保养和检验（检测）；</w:t>
            </w:r>
            <w:r>
              <w:rPr>
                <w:rFonts w:ascii="楷体" w:hAnsi="楷体" w:eastAsia="楷体"/>
                <w:bCs/>
                <w:color w:val="auto"/>
                <w:sz w:val="21"/>
                <w:szCs w:val="21"/>
              </w:rPr>
              <w:br w:type="textWrapping"/>
            </w:r>
            <w:r>
              <w:rPr>
                <w:rFonts w:hint="eastAsia" w:ascii="楷体" w:hAnsi="楷体" w:eastAsia="楷体"/>
                <w:bCs/>
                <w:color w:val="auto"/>
                <w:sz w:val="21"/>
                <w:szCs w:val="21"/>
              </w:rPr>
              <w:t>②安装和拆卸单位不具备资质；安装、拆卸方案未经审查；</w:t>
            </w:r>
            <w:r>
              <w:rPr>
                <w:rFonts w:ascii="楷体" w:hAnsi="楷体" w:eastAsia="楷体"/>
                <w:bCs/>
                <w:color w:val="auto"/>
                <w:sz w:val="21"/>
                <w:szCs w:val="21"/>
              </w:rPr>
              <w:br w:type="textWrapping"/>
            </w:r>
            <w:r>
              <w:rPr>
                <w:rFonts w:hint="eastAsia" w:ascii="楷体" w:hAnsi="楷体" w:eastAsia="楷体"/>
                <w:bCs/>
                <w:color w:val="auto"/>
                <w:sz w:val="21"/>
                <w:szCs w:val="21"/>
              </w:rPr>
              <w:t>③未办理使用登记证。</w:t>
            </w:r>
            <w:r>
              <w:rPr>
                <w:rFonts w:ascii="楷体" w:hAnsi="楷体" w:eastAsia="楷体"/>
                <w:bCs/>
                <w:color w:val="auto"/>
                <w:sz w:val="21"/>
                <w:szCs w:val="21"/>
              </w:rPr>
              <w:br w:type="textWrapping"/>
            </w:r>
            <w:r>
              <w:rPr>
                <w:rFonts w:ascii="楷体" w:hAnsi="楷体" w:eastAsia="楷体"/>
                <w:bCs/>
                <w:color w:val="auto"/>
                <w:sz w:val="21"/>
                <w:szCs w:val="21"/>
              </w:rPr>
              <w:t>2</w:t>
            </w:r>
            <w:r>
              <w:rPr>
                <w:rFonts w:hint="eastAsia" w:ascii="楷体" w:hAnsi="楷体" w:eastAsia="楷体"/>
                <w:bCs/>
                <w:color w:val="auto"/>
                <w:sz w:val="21"/>
                <w:szCs w:val="21"/>
              </w:rPr>
              <w:t>、施工升降机、起重机械、手拉葫芦、手扳葫芦、钢丝绳套、卡线器、紧线器等受力机具、工器具未按要求进行检验、校验的，每项扣</w:t>
            </w:r>
            <w:r>
              <w:rPr>
                <w:rFonts w:ascii="楷体" w:hAnsi="楷体" w:eastAsia="楷体"/>
                <w:bCs/>
                <w:color w:val="auto"/>
                <w:sz w:val="21"/>
                <w:szCs w:val="21"/>
              </w:rPr>
              <w:t>0.2</w:t>
            </w:r>
            <w:r>
              <w:rPr>
                <w:rFonts w:hint="eastAsia" w:ascii="楷体" w:hAnsi="楷体" w:eastAsia="楷体"/>
                <w:bCs/>
                <w:color w:val="auto"/>
                <w:sz w:val="21"/>
                <w:szCs w:val="21"/>
              </w:rPr>
              <w:t>分，累计扣至</w:t>
            </w:r>
            <w:r>
              <w:rPr>
                <w:rFonts w:ascii="楷体" w:hAnsi="楷体" w:eastAsia="楷体"/>
                <w:bCs/>
                <w:color w:val="auto"/>
                <w:sz w:val="21"/>
                <w:szCs w:val="21"/>
              </w:rPr>
              <w:t>1</w:t>
            </w:r>
            <w:r>
              <w:rPr>
                <w:rFonts w:hint="eastAsia" w:ascii="楷体" w:hAnsi="楷体" w:eastAsia="楷体"/>
                <w:bCs/>
                <w:color w:val="auto"/>
                <w:sz w:val="21"/>
                <w:szCs w:val="21"/>
              </w:rPr>
              <w:t>分为止。</w:t>
            </w:r>
            <w:r>
              <w:rPr>
                <w:rFonts w:ascii="楷体" w:hAnsi="楷体" w:eastAsia="楷体"/>
                <w:bCs/>
                <w:color w:val="auto"/>
                <w:sz w:val="21"/>
                <w:szCs w:val="21"/>
              </w:rPr>
              <w:br w:type="textWrapping"/>
            </w:r>
            <w:r>
              <w:rPr>
                <w:rFonts w:ascii="楷体" w:hAnsi="楷体" w:eastAsia="楷体"/>
                <w:bCs/>
                <w:color w:val="auto"/>
                <w:sz w:val="21"/>
                <w:szCs w:val="21"/>
              </w:rPr>
              <w:t>3</w:t>
            </w:r>
            <w:r>
              <w:rPr>
                <w:rFonts w:hint="eastAsia" w:ascii="楷体" w:hAnsi="楷体" w:eastAsia="楷体"/>
                <w:bCs/>
                <w:color w:val="auto"/>
                <w:sz w:val="21"/>
                <w:szCs w:val="21"/>
              </w:rPr>
              <w:t>、砂轮片、切割机、锯木机刀片等有裂纹、破损仍在使用；机械转动部分保护罩破损或缺失，每项扣</w:t>
            </w:r>
            <w:r>
              <w:rPr>
                <w:rFonts w:ascii="楷体" w:hAnsi="楷体" w:eastAsia="楷体"/>
                <w:bCs/>
                <w:color w:val="auto"/>
                <w:sz w:val="21"/>
                <w:szCs w:val="21"/>
              </w:rPr>
              <w:t>0.2</w:t>
            </w:r>
            <w:r>
              <w:rPr>
                <w:rFonts w:hint="eastAsia" w:ascii="楷体" w:hAnsi="楷体" w:eastAsia="楷体"/>
                <w:bCs/>
                <w:color w:val="auto"/>
                <w:sz w:val="21"/>
                <w:szCs w:val="21"/>
              </w:rPr>
              <w:t>分，累计扣至</w:t>
            </w:r>
            <w:r>
              <w:rPr>
                <w:rFonts w:ascii="楷体" w:hAnsi="楷体" w:eastAsia="楷体"/>
                <w:bCs/>
                <w:color w:val="auto"/>
                <w:sz w:val="21"/>
                <w:szCs w:val="21"/>
              </w:rPr>
              <w:t>1</w:t>
            </w:r>
            <w:r>
              <w:rPr>
                <w:rFonts w:hint="eastAsia" w:ascii="楷体" w:hAnsi="楷体" w:eastAsia="楷体"/>
                <w:bCs/>
                <w:color w:val="auto"/>
                <w:sz w:val="21"/>
                <w:szCs w:val="21"/>
              </w:rPr>
              <w:t>分为止。</w:t>
            </w:r>
            <w:r>
              <w:rPr>
                <w:rFonts w:ascii="楷体" w:hAnsi="楷体" w:eastAsia="楷体"/>
                <w:bCs/>
                <w:color w:val="auto"/>
                <w:sz w:val="21"/>
                <w:szCs w:val="21"/>
              </w:rPr>
              <w:br w:type="textWrapping"/>
            </w:r>
            <w:r>
              <w:rPr>
                <w:rFonts w:ascii="楷体" w:hAnsi="楷体" w:eastAsia="楷体"/>
                <w:bCs/>
                <w:color w:val="auto"/>
                <w:sz w:val="21"/>
                <w:szCs w:val="21"/>
              </w:rPr>
              <w:t>4</w:t>
            </w:r>
            <w:r>
              <w:rPr>
                <w:rFonts w:hint="eastAsia" w:ascii="楷体" w:hAnsi="楷体" w:eastAsia="楷体"/>
                <w:bCs/>
                <w:color w:val="auto"/>
                <w:sz w:val="21"/>
                <w:szCs w:val="21"/>
              </w:rPr>
              <w:t>、邻近带电设备施工时，现场处于使用状态的施工机械（具）和设备无人看护，对运行设备构成安全隐患，扣</w:t>
            </w:r>
            <w:r>
              <w:rPr>
                <w:rFonts w:ascii="楷体" w:hAnsi="楷体" w:eastAsia="楷体"/>
                <w:bCs/>
                <w:color w:val="auto"/>
                <w:sz w:val="21"/>
                <w:szCs w:val="21"/>
              </w:rPr>
              <w:t>1</w:t>
            </w:r>
            <w:r>
              <w:rPr>
                <w:rFonts w:hint="eastAsia" w:ascii="楷体" w:hAnsi="楷体" w:eastAsia="楷体"/>
                <w:bCs/>
                <w:color w:val="auto"/>
                <w:sz w:val="21"/>
                <w:szCs w:val="21"/>
              </w:rPr>
              <w:t>分。</w:t>
            </w:r>
          </w:p>
          <w:p>
            <w:pPr>
              <w:spacing w:line="360" w:lineRule="exact"/>
              <w:jc w:val="both"/>
              <w:rPr>
                <w:rFonts w:ascii="楷体" w:hAnsi="楷体" w:eastAsia="楷体"/>
                <w:bCs/>
                <w:color w:val="auto"/>
                <w:sz w:val="21"/>
                <w:szCs w:val="21"/>
              </w:rPr>
            </w:pPr>
            <w:r>
              <w:rPr>
                <w:rFonts w:ascii="楷体" w:hAnsi="楷体" w:eastAsia="楷体"/>
                <w:bCs/>
                <w:color w:val="auto"/>
                <w:sz w:val="21"/>
                <w:szCs w:val="21"/>
              </w:rPr>
              <w:t>5</w:t>
            </w:r>
            <w:r>
              <w:rPr>
                <w:rFonts w:hint="eastAsia" w:ascii="楷体" w:hAnsi="楷体" w:eastAsia="楷体"/>
                <w:bCs/>
                <w:color w:val="auto"/>
                <w:sz w:val="21"/>
                <w:szCs w:val="21"/>
              </w:rPr>
              <w:t>、操作施工机具时违反操作规程，每次扣</w:t>
            </w:r>
            <w:r>
              <w:rPr>
                <w:rFonts w:ascii="楷体" w:hAnsi="楷体" w:eastAsia="楷体"/>
                <w:bCs/>
                <w:color w:val="auto"/>
                <w:sz w:val="21"/>
                <w:szCs w:val="21"/>
              </w:rPr>
              <w:t>0.2</w:t>
            </w:r>
            <w:r>
              <w:rPr>
                <w:rFonts w:hint="eastAsia" w:ascii="楷体" w:hAnsi="楷体" w:eastAsia="楷体"/>
                <w:bCs/>
                <w:color w:val="auto"/>
                <w:sz w:val="21"/>
                <w:szCs w:val="21"/>
              </w:rPr>
              <w:t>分。</w:t>
            </w:r>
            <w:r>
              <w:rPr>
                <w:rFonts w:ascii="楷体" w:hAnsi="楷体" w:eastAsia="楷体"/>
                <w:bCs/>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4</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作业人员个人防护用品配备或使用不符合要求。</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0.5</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ascii="楷体" w:hAnsi="楷体" w:eastAsia="楷体"/>
                <w:bCs/>
                <w:color w:val="auto"/>
                <w:sz w:val="21"/>
                <w:szCs w:val="21"/>
              </w:rPr>
              <w:t>1</w:t>
            </w:r>
            <w:r>
              <w:rPr>
                <w:rFonts w:hint="eastAsia" w:ascii="楷体" w:hAnsi="楷体" w:eastAsia="楷体"/>
                <w:bCs/>
                <w:color w:val="auto"/>
                <w:sz w:val="21"/>
                <w:szCs w:val="21"/>
              </w:rPr>
              <w:t>、出现以下任一不良行为扣</w:t>
            </w:r>
            <w:r>
              <w:rPr>
                <w:rFonts w:ascii="楷体" w:hAnsi="楷体" w:eastAsia="楷体"/>
                <w:bCs/>
                <w:color w:val="auto"/>
                <w:sz w:val="21"/>
                <w:szCs w:val="21"/>
              </w:rPr>
              <w:t>0.1</w:t>
            </w:r>
            <w:r>
              <w:rPr>
                <w:rFonts w:hint="eastAsia" w:ascii="楷体" w:hAnsi="楷体" w:eastAsia="楷体"/>
                <w:bCs/>
                <w:color w:val="auto"/>
                <w:sz w:val="21"/>
                <w:szCs w:val="21"/>
              </w:rPr>
              <w:t>分：</w:t>
            </w:r>
            <w:r>
              <w:rPr>
                <w:rFonts w:ascii="楷体" w:hAnsi="楷体" w:eastAsia="楷体"/>
                <w:bCs/>
                <w:color w:val="auto"/>
                <w:sz w:val="21"/>
                <w:szCs w:val="21"/>
              </w:rPr>
              <w:br w:type="textWrapping"/>
            </w:r>
            <w:r>
              <w:rPr>
                <w:rFonts w:hint="eastAsia" w:ascii="楷体" w:hAnsi="楷体" w:eastAsia="楷体"/>
                <w:bCs/>
                <w:color w:val="auto"/>
                <w:sz w:val="21"/>
                <w:szCs w:val="21"/>
              </w:rPr>
              <w:t>①用人单位未按规定给作业人员配备合格的安全帽、安全带、劳保鞋等防护用品；</w:t>
            </w:r>
            <w:r>
              <w:rPr>
                <w:rFonts w:ascii="楷体" w:hAnsi="楷体" w:eastAsia="楷体"/>
                <w:bCs/>
                <w:color w:val="auto"/>
                <w:sz w:val="21"/>
                <w:szCs w:val="21"/>
              </w:rPr>
              <w:br w:type="textWrapping"/>
            </w:r>
            <w:r>
              <w:rPr>
                <w:rFonts w:hint="eastAsia" w:ascii="楷体" w:hAnsi="楷体" w:eastAsia="楷体"/>
                <w:bCs/>
                <w:color w:val="auto"/>
                <w:sz w:val="21"/>
                <w:szCs w:val="21"/>
              </w:rPr>
              <w:t>②个人防护用品未进行定期检验。</w:t>
            </w:r>
            <w:r>
              <w:rPr>
                <w:rFonts w:ascii="楷体" w:hAnsi="楷体" w:eastAsia="楷体"/>
                <w:bCs/>
                <w:color w:val="auto"/>
                <w:sz w:val="21"/>
                <w:szCs w:val="21"/>
              </w:rPr>
              <w:br w:type="textWrapping"/>
            </w:r>
            <w:r>
              <w:rPr>
                <w:rFonts w:ascii="楷体" w:hAnsi="楷体" w:eastAsia="楷体"/>
                <w:bCs/>
                <w:color w:val="auto"/>
                <w:sz w:val="21"/>
                <w:szCs w:val="21"/>
              </w:rPr>
              <w:t>2</w:t>
            </w:r>
            <w:r>
              <w:rPr>
                <w:rFonts w:hint="eastAsia" w:ascii="楷体" w:hAnsi="楷体" w:eastAsia="楷体"/>
                <w:bCs/>
                <w:color w:val="auto"/>
                <w:sz w:val="21"/>
                <w:szCs w:val="21"/>
              </w:rPr>
              <w:t>、施工人员未佩戴劳动防护用品或与作业任务不符，每处扣</w:t>
            </w:r>
            <w:r>
              <w:rPr>
                <w:rFonts w:ascii="楷体" w:hAnsi="楷体" w:eastAsia="楷体"/>
                <w:bCs/>
                <w:color w:val="auto"/>
                <w:sz w:val="21"/>
                <w:szCs w:val="21"/>
              </w:rPr>
              <w:t>0.1</w:t>
            </w:r>
            <w:r>
              <w:rPr>
                <w:rFonts w:hint="eastAsia" w:ascii="楷体" w:hAnsi="楷体" w:eastAsia="楷体"/>
                <w:bCs/>
                <w:color w:val="auto"/>
                <w:sz w:val="21"/>
                <w:szCs w:val="21"/>
              </w:rPr>
              <w:t>分。</w:t>
            </w:r>
            <w:r>
              <w:rPr>
                <w:rFonts w:ascii="楷体" w:hAnsi="楷体" w:eastAsia="楷体"/>
                <w:bCs/>
                <w:color w:val="auto"/>
                <w:sz w:val="21"/>
                <w:szCs w:val="21"/>
              </w:rPr>
              <w:br w:type="textWrapping"/>
            </w:r>
            <w:r>
              <w:rPr>
                <w:rFonts w:ascii="楷体" w:hAnsi="楷体" w:eastAsia="楷体"/>
                <w:bCs/>
                <w:color w:val="auto"/>
                <w:sz w:val="21"/>
                <w:szCs w:val="21"/>
              </w:rPr>
              <w:t>3</w:t>
            </w:r>
            <w:r>
              <w:rPr>
                <w:rFonts w:hint="eastAsia" w:ascii="楷体" w:hAnsi="楷体" w:eastAsia="楷体"/>
                <w:bCs/>
                <w:color w:val="auto"/>
                <w:sz w:val="21"/>
                <w:szCs w:val="21"/>
              </w:rPr>
              <w:t>、施工人员使用个人防护用品不规范，每处扣</w:t>
            </w:r>
            <w:r>
              <w:rPr>
                <w:rFonts w:ascii="楷体" w:hAnsi="楷体" w:eastAsia="楷体"/>
                <w:bCs/>
                <w:color w:val="auto"/>
                <w:sz w:val="21"/>
                <w:szCs w:val="21"/>
              </w:rPr>
              <w:t>0.1</w:t>
            </w:r>
            <w:r>
              <w:rPr>
                <w:rFonts w:hint="eastAsia" w:ascii="楷体" w:hAnsi="楷体" w:eastAsia="楷体"/>
                <w:bCs/>
                <w:color w:val="auto"/>
                <w:sz w:val="21"/>
                <w:szCs w:val="21"/>
              </w:rPr>
              <w:t>分。</w:t>
            </w:r>
            <w:r>
              <w:rPr>
                <w:rFonts w:ascii="楷体" w:hAnsi="楷体" w:eastAsia="楷体"/>
                <w:bCs/>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5</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起重吊装区域未设警戒标志、无专人指挥；吊件或起重臂下方有人通过或逗留。</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0.5</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出现以下任一不良行为扣</w:t>
            </w:r>
            <w:r>
              <w:rPr>
                <w:rFonts w:ascii="楷体" w:hAnsi="楷体" w:eastAsia="楷体"/>
                <w:bCs/>
                <w:color w:val="auto"/>
                <w:sz w:val="21"/>
                <w:szCs w:val="21"/>
              </w:rPr>
              <w:t>0.5</w:t>
            </w:r>
            <w:r>
              <w:rPr>
                <w:rFonts w:hint="eastAsia" w:ascii="楷体" w:hAnsi="楷体" w:eastAsia="楷体"/>
                <w:bCs/>
                <w:color w:val="auto"/>
                <w:sz w:val="21"/>
                <w:szCs w:val="21"/>
              </w:rPr>
              <w:t>分：</w:t>
            </w:r>
            <w:r>
              <w:rPr>
                <w:rFonts w:ascii="楷体" w:hAnsi="楷体" w:eastAsia="楷体"/>
                <w:bCs/>
                <w:color w:val="auto"/>
                <w:sz w:val="21"/>
                <w:szCs w:val="21"/>
              </w:rPr>
              <w:br w:type="textWrapping"/>
            </w:r>
            <w:r>
              <w:rPr>
                <w:rFonts w:hint="eastAsia" w:ascii="楷体" w:hAnsi="楷体" w:eastAsia="楷体"/>
                <w:bCs/>
                <w:color w:val="auto"/>
                <w:sz w:val="21"/>
                <w:szCs w:val="21"/>
              </w:rPr>
              <w:t>①起重吊装区域未设警戒线（围栏或隔离带）和悬挂警示标志；</w:t>
            </w:r>
            <w:r>
              <w:rPr>
                <w:rFonts w:ascii="楷体" w:hAnsi="楷体" w:eastAsia="楷体"/>
                <w:bCs/>
                <w:color w:val="auto"/>
                <w:sz w:val="21"/>
                <w:szCs w:val="21"/>
              </w:rPr>
              <w:br w:type="textWrapping"/>
            </w:r>
            <w:r>
              <w:rPr>
                <w:rFonts w:hint="eastAsia" w:ascii="楷体" w:hAnsi="楷体" w:eastAsia="楷体"/>
                <w:bCs/>
                <w:color w:val="auto"/>
                <w:sz w:val="21"/>
                <w:szCs w:val="21"/>
              </w:rPr>
              <w:t>②起重吊装作业相关岗位职责不清，分工不明；</w:t>
            </w:r>
            <w:r>
              <w:rPr>
                <w:rFonts w:ascii="楷体" w:hAnsi="楷体" w:eastAsia="楷体"/>
                <w:bCs/>
                <w:color w:val="auto"/>
                <w:sz w:val="21"/>
                <w:szCs w:val="21"/>
              </w:rPr>
              <w:br w:type="textWrapping"/>
            </w:r>
            <w:r>
              <w:rPr>
                <w:rFonts w:hint="eastAsia" w:ascii="楷体" w:hAnsi="楷体" w:eastAsia="楷体"/>
                <w:bCs/>
                <w:color w:val="auto"/>
                <w:sz w:val="21"/>
                <w:szCs w:val="21"/>
              </w:rPr>
              <w:t>③起重吊装作业未设专人指挥；</w:t>
            </w:r>
            <w:r>
              <w:rPr>
                <w:rFonts w:ascii="楷体" w:hAnsi="楷体" w:eastAsia="楷体"/>
                <w:bCs/>
                <w:color w:val="auto"/>
                <w:sz w:val="21"/>
                <w:szCs w:val="21"/>
              </w:rPr>
              <w:br w:type="textWrapping"/>
            </w:r>
            <w:r>
              <w:rPr>
                <w:rFonts w:hint="eastAsia" w:ascii="楷体" w:hAnsi="楷体" w:eastAsia="楷体"/>
                <w:bCs/>
                <w:color w:val="auto"/>
                <w:sz w:val="21"/>
                <w:szCs w:val="21"/>
              </w:rPr>
              <w:t>④吊件或起重臂下方有人逗留或通过。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6</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脚手架搭设和拆除、使用、管理不规范。</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0.5</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出现以下任一不良行为扣</w:t>
            </w:r>
            <w:r>
              <w:rPr>
                <w:rFonts w:ascii="楷体" w:hAnsi="楷体" w:eastAsia="楷体"/>
                <w:bCs/>
                <w:color w:val="auto"/>
                <w:sz w:val="21"/>
                <w:szCs w:val="21"/>
              </w:rPr>
              <w:t>0.5</w:t>
            </w:r>
            <w:r>
              <w:rPr>
                <w:rFonts w:hint="eastAsia" w:ascii="楷体" w:hAnsi="楷体" w:eastAsia="楷体"/>
                <w:bCs/>
                <w:color w:val="auto"/>
                <w:sz w:val="21"/>
                <w:szCs w:val="21"/>
              </w:rPr>
              <w:t>分：</w:t>
            </w:r>
            <w:r>
              <w:rPr>
                <w:rFonts w:ascii="楷体" w:hAnsi="楷体" w:eastAsia="楷体"/>
                <w:bCs/>
                <w:color w:val="auto"/>
                <w:sz w:val="21"/>
                <w:szCs w:val="21"/>
              </w:rPr>
              <w:br w:type="textWrapping"/>
            </w:r>
            <w:r>
              <w:rPr>
                <w:rFonts w:hint="eastAsia" w:ascii="楷体" w:hAnsi="楷体" w:eastAsia="楷体"/>
                <w:bCs/>
                <w:color w:val="auto"/>
                <w:sz w:val="21"/>
                <w:szCs w:val="21"/>
              </w:rPr>
              <w:t>①脚手架搭设和拆除无施工方案，未按规定进行审核、审批；</w:t>
            </w:r>
            <w:r>
              <w:rPr>
                <w:rFonts w:ascii="楷体" w:hAnsi="楷体" w:eastAsia="楷体"/>
                <w:bCs/>
                <w:color w:val="auto"/>
                <w:sz w:val="21"/>
                <w:szCs w:val="21"/>
              </w:rPr>
              <w:br w:type="textWrapping"/>
            </w:r>
            <w:r>
              <w:rPr>
                <w:rFonts w:hint="eastAsia" w:ascii="楷体" w:hAnsi="楷体" w:eastAsia="楷体"/>
                <w:bCs/>
                <w:color w:val="auto"/>
                <w:sz w:val="21"/>
                <w:szCs w:val="21"/>
              </w:rPr>
              <w:t>②脚手架未经监理单位、使用单位验收合格，未挂牌即投入使用；</w:t>
            </w:r>
            <w:r>
              <w:rPr>
                <w:rFonts w:ascii="楷体" w:hAnsi="楷体" w:eastAsia="楷体"/>
                <w:bCs/>
                <w:color w:val="auto"/>
                <w:sz w:val="21"/>
                <w:szCs w:val="21"/>
              </w:rPr>
              <w:t xml:space="preserve">                                               </w:t>
            </w:r>
            <w:r>
              <w:rPr>
                <w:rFonts w:ascii="楷体" w:hAnsi="楷体" w:eastAsia="楷体"/>
                <w:bCs/>
                <w:color w:val="auto"/>
                <w:sz w:val="21"/>
                <w:szCs w:val="21"/>
              </w:rPr>
              <w:br w:type="textWrapping"/>
            </w:r>
            <w:r>
              <w:rPr>
                <w:rFonts w:hint="eastAsia" w:ascii="楷体" w:hAnsi="楷体" w:eastAsia="楷体"/>
                <w:bCs/>
                <w:color w:val="auto"/>
                <w:sz w:val="21"/>
                <w:szCs w:val="21"/>
              </w:rPr>
              <w:t>③脚手架长时间停止使用或在强风（</w:t>
            </w:r>
            <w:r>
              <w:rPr>
                <w:rFonts w:ascii="楷体" w:hAnsi="楷体" w:eastAsia="楷体"/>
                <w:bCs/>
                <w:color w:val="auto"/>
                <w:sz w:val="21"/>
                <w:szCs w:val="21"/>
              </w:rPr>
              <w:t>6</w:t>
            </w:r>
            <w:r>
              <w:rPr>
                <w:rFonts w:hint="eastAsia" w:ascii="楷体" w:hAnsi="楷体" w:eastAsia="楷体"/>
                <w:bCs/>
                <w:color w:val="auto"/>
                <w:sz w:val="21"/>
                <w:szCs w:val="21"/>
              </w:rPr>
              <w:t>级以上）、暴雨过后，未经检查合格就投入使用；</w:t>
            </w:r>
            <w:r>
              <w:rPr>
                <w:rFonts w:ascii="楷体" w:hAnsi="楷体" w:eastAsia="楷体"/>
                <w:bCs/>
                <w:color w:val="auto"/>
                <w:sz w:val="21"/>
                <w:szCs w:val="21"/>
              </w:rPr>
              <w:br w:type="textWrapping"/>
            </w:r>
            <w:r>
              <w:rPr>
                <w:rFonts w:hint="eastAsia" w:ascii="楷体" w:hAnsi="楷体" w:eastAsia="楷体"/>
                <w:bCs/>
                <w:color w:val="auto"/>
                <w:sz w:val="21"/>
                <w:szCs w:val="21"/>
              </w:rPr>
              <w:t>④脚手架未按规定搭设和拆除，未设置扫地杆、剪刀撑、抛撑、连墙件；</w:t>
            </w:r>
            <w:r>
              <w:rPr>
                <w:rFonts w:ascii="楷体" w:hAnsi="楷体" w:eastAsia="楷体"/>
                <w:bCs/>
                <w:color w:val="auto"/>
                <w:sz w:val="21"/>
                <w:szCs w:val="21"/>
              </w:rPr>
              <w:br w:type="textWrapping"/>
            </w:r>
            <w:r>
              <w:rPr>
                <w:rFonts w:hint="eastAsia" w:ascii="楷体" w:hAnsi="楷体" w:eastAsia="楷体"/>
                <w:bCs/>
                <w:color w:val="auto"/>
                <w:sz w:val="21"/>
                <w:szCs w:val="21"/>
              </w:rPr>
              <w:t>⑤脚手架的脚手板材质、规格不符合规范要求，铺板不严密、牢靠；架体外侧无封闭密目式安全网，网间不严密；</w:t>
            </w:r>
            <w:r>
              <w:rPr>
                <w:rFonts w:ascii="楷体" w:hAnsi="楷体" w:eastAsia="楷体"/>
                <w:bCs/>
                <w:color w:val="auto"/>
                <w:sz w:val="21"/>
                <w:szCs w:val="21"/>
              </w:rPr>
              <w:br w:type="textWrapping"/>
            </w:r>
            <w:r>
              <w:rPr>
                <w:rFonts w:hint="eastAsia" w:ascii="楷体" w:hAnsi="楷体" w:eastAsia="楷体"/>
                <w:bCs/>
                <w:color w:val="auto"/>
                <w:sz w:val="21"/>
                <w:szCs w:val="21"/>
              </w:rPr>
              <w:t>⑥靠近带电设施的脚手架未采取封闭措施。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7</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爆破品安全管理要求执行不到位。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G7</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0.5</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出现以下任一不良行为扣</w:t>
            </w:r>
            <w:r>
              <w:rPr>
                <w:rFonts w:ascii="楷体" w:hAnsi="楷体" w:eastAsia="楷体"/>
                <w:bCs/>
                <w:color w:val="auto"/>
                <w:sz w:val="21"/>
                <w:szCs w:val="21"/>
              </w:rPr>
              <w:t>0.5</w:t>
            </w:r>
            <w:r>
              <w:rPr>
                <w:rFonts w:hint="eastAsia" w:ascii="楷体" w:hAnsi="楷体" w:eastAsia="楷体"/>
                <w:bCs/>
                <w:color w:val="auto"/>
                <w:sz w:val="21"/>
                <w:szCs w:val="21"/>
              </w:rPr>
              <w:t>分：</w:t>
            </w:r>
            <w:r>
              <w:rPr>
                <w:rFonts w:ascii="楷体" w:hAnsi="楷体" w:eastAsia="楷体"/>
                <w:bCs/>
                <w:color w:val="auto"/>
                <w:sz w:val="21"/>
                <w:szCs w:val="21"/>
              </w:rPr>
              <w:br w:type="textWrapping"/>
            </w:r>
            <w:r>
              <w:rPr>
                <w:rFonts w:hint="eastAsia" w:ascii="楷体" w:hAnsi="楷体" w:eastAsia="楷体"/>
                <w:bCs/>
                <w:color w:val="auto"/>
                <w:sz w:val="21"/>
                <w:szCs w:val="21"/>
              </w:rPr>
              <w:t>①爆炸物品安全管理人员、仓库管理人员和爆破作业人员等不具备资格；</w:t>
            </w:r>
            <w:r>
              <w:rPr>
                <w:rFonts w:ascii="楷体" w:hAnsi="楷体" w:eastAsia="楷体"/>
                <w:bCs/>
                <w:color w:val="auto"/>
                <w:sz w:val="21"/>
                <w:szCs w:val="21"/>
              </w:rPr>
              <w:br w:type="textWrapping"/>
            </w:r>
            <w:r>
              <w:rPr>
                <w:rFonts w:hint="eastAsia" w:ascii="楷体" w:hAnsi="楷体" w:eastAsia="楷体"/>
                <w:bCs/>
                <w:color w:val="auto"/>
                <w:sz w:val="21"/>
                <w:szCs w:val="21"/>
              </w:rPr>
              <w:t>②将爆炸物品存放在不具备安全存放条件场所；</w:t>
            </w:r>
            <w:r>
              <w:rPr>
                <w:rFonts w:ascii="楷体" w:hAnsi="楷体" w:eastAsia="楷体"/>
                <w:bCs/>
                <w:color w:val="auto"/>
                <w:sz w:val="21"/>
                <w:szCs w:val="21"/>
              </w:rPr>
              <w:br w:type="textWrapping"/>
            </w:r>
            <w:r>
              <w:rPr>
                <w:rFonts w:hint="eastAsia" w:ascii="楷体" w:hAnsi="楷体" w:eastAsia="楷体"/>
                <w:bCs/>
                <w:color w:val="auto"/>
                <w:sz w:val="21"/>
                <w:szCs w:val="21"/>
              </w:rPr>
              <w:t>③爆破作业时安全防护措施不符合规范要求。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8</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站班会安全技术交底未落实，施工方案管理不规范，危险性较大的分部分项工程安全管理不到位。</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设计/施工/监理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ascii="楷体" w:hAnsi="楷体" w:eastAsia="楷体"/>
                <w:bCs/>
                <w:color w:val="auto"/>
                <w:sz w:val="21"/>
                <w:szCs w:val="21"/>
              </w:rPr>
              <w:t>1</w:t>
            </w:r>
            <w:r>
              <w:rPr>
                <w:rFonts w:hint="eastAsia" w:ascii="楷体" w:hAnsi="楷体" w:eastAsia="楷体"/>
                <w:bCs/>
                <w:color w:val="auto"/>
                <w:sz w:val="21"/>
                <w:szCs w:val="21"/>
              </w:rPr>
              <w:t>、出现以下任一不良行为扣</w:t>
            </w:r>
            <w:r>
              <w:rPr>
                <w:rFonts w:ascii="楷体" w:hAnsi="楷体" w:eastAsia="楷体"/>
                <w:bCs/>
                <w:color w:val="auto"/>
                <w:sz w:val="21"/>
                <w:szCs w:val="21"/>
              </w:rPr>
              <w:t>0.2</w:t>
            </w:r>
            <w:r>
              <w:rPr>
                <w:rFonts w:hint="eastAsia" w:ascii="楷体" w:hAnsi="楷体" w:eastAsia="楷体"/>
                <w:bCs/>
                <w:color w:val="auto"/>
                <w:sz w:val="21"/>
                <w:szCs w:val="21"/>
              </w:rPr>
              <w:t>分：</w:t>
            </w:r>
            <w:r>
              <w:rPr>
                <w:rFonts w:ascii="楷体" w:hAnsi="楷体" w:eastAsia="楷体"/>
                <w:bCs/>
                <w:color w:val="auto"/>
                <w:sz w:val="21"/>
                <w:szCs w:val="21"/>
              </w:rPr>
              <w:t xml:space="preserve">                      </w:t>
            </w:r>
            <w:r>
              <w:rPr>
                <w:rFonts w:ascii="楷体" w:hAnsi="楷体" w:eastAsia="楷体"/>
                <w:bCs/>
                <w:color w:val="auto"/>
                <w:sz w:val="21"/>
                <w:szCs w:val="21"/>
              </w:rPr>
              <w:br w:type="page"/>
            </w:r>
            <w:r>
              <w:rPr>
                <w:rFonts w:hint="eastAsia" w:ascii="楷体" w:hAnsi="楷体" w:eastAsia="楷体"/>
                <w:bCs/>
                <w:color w:val="auto"/>
                <w:sz w:val="21"/>
                <w:szCs w:val="21"/>
              </w:rPr>
              <w:t>①①现场作业未进行安全风险分析及预控，或与实际情况不符；</w:t>
            </w:r>
            <w:r>
              <w:rPr>
                <w:rFonts w:ascii="楷体" w:hAnsi="楷体" w:eastAsia="楷体"/>
                <w:bCs/>
                <w:color w:val="auto"/>
                <w:sz w:val="21"/>
                <w:szCs w:val="21"/>
              </w:rPr>
              <w:t xml:space="preserve">                                          </w:t>
            </w:r>
            <w:r>
              <w:rPr>
                <w:rFonts w:ascii="楷体" w:hAnsi="楷体" w:eastAsia="楷体"/>
                <w:bCs/>
                <w:color w:val="auto"/>
                <w:sz w:val="21"/>
                <w:szCs w:val="21"/>
              </w:rPr>
              <w:br w:type="page"/>
            </w:r>
            <w:r>
              <w:rPr>
                <w:rFonts w:hint="eastAsia" w:ascii="楷体" w:hAnsi="楷体" w:eastAsia="楷体"/>
                <w:bCs/>
                <w:color w:val="auto"/>
                <w:sz w:val="21"/>
                <w:szCs w:val="21"/>
              </w:rPr>
              <w:t>②未开站班会，或站班会安全技术交底等“三交”、“三查”工作与现场实际不符，安全控制措施未真正落实。</w:t>
            </w:r>
            <w:r>
              <w:rPr>
                <w:rFonts w:ascii="楷体" w:hAnsi="楷体" w:eastAsia="楷体"/>
                <w:bCs/>
                <w:color w:val="auto"/>
                <w:sz w:val="21"/>
                <w:szCs w:val="21"/>
              </w:rPr>
              <w:t xml:space="preserve">                                            </w:t>
            </w:r>
            <w:r>
              <w:rPr>
                <w:rFonts w:ascii="楷体" w:hAnsi="楷体" w:eastAsia="楷体"/>
                <w:bCs/>
                <w:color w:val="auto"/>
                <w:sz w:val="21"/>
                <w:szCs w:val="21"/>
              </w:rPr>
              <w:br w:type="page"/>
            </w:r>
            <w:r>
              <w:rPr>
                <w:rFonts w:ascii="楷体" w:hAnsi="楷体" w:eastAsia="楷体"/>
                <w:bCs/>
                <w:color w:val="auto"/>
                <w:sz w:val="21"/>
                <w:szCs w:val="21"/>
              </w:rPr>
              <w:t>2</w:t>
            </w:r>
            <w:r>
              <w:rPr>
                <w:rFonts w:hint="eastAsia" w:ascii="楷体" w:hAnsi="楷体" w:eastAsia="楷体"/>
                <w:bCs/>
                <w:color w:val="auto"/>
                <w:sz w:val="21"/>
                <w:szCs w:val="21"/>
              </w:rPr>
              <w:t>、未落实施工方案“四个必须”，每项扣</w:t>
            </w:r>
            <w:r>
              <w:rPr>
                <w:rFonts w:ascii="楷体" w:hAnsi="楷体" w:eastAsia="楷体"/>
                <w:bCs/>
                <w:color w:val="auto"/>
                <w:sz w:val="21"/>
                <w:szCs w:val="21"/>
              </w:rPr>
              <w:t>0.2</w:t>
            </w:r>
            <w:r>
              <w:rPr>
                <w:rFonts w:hint="eastAsia" w:ascii="楷体" w:hAnsi="楷体" w:eastAsia="楷体"/>
                <w:bCs/>
                <w:color w:val="auto"/>
                <w:sz w:val="21"/>
                <w:szCs w:val="21"/>
              </w:rPr>
              <w:t>分：</w:t>
            </w:r>
            <w:r>
              <w:rPr>
                <w:rFonts w:ascii="楷体" w:hAnsi="楷体" w:eastAsia="楷体"/>
                <w:bCs/>
                <w:color w:val="auto"/>
                <w:sz w:val="21"/>
                <w:szCs w:val="21"/>
              </w:rPr>
              <w:br w:type="page"/>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①施工作业前未编制施工方案或方案未通过审批；</w:t>
            </w:r>
          </w:p>
          <w:p>
            <w:pPr>
              <w:spacing w:line="360" w:lineRule="exact"/>
              <w:jc w:val="both"/>
              <w:rPr>
                <w:rFonts w:ascii="楷体" w:hAnsi="楷体" w:eastAsia="楷体"/>
                <w:bCs/>
                <w:color w:val="auto"/>
                <w:sz w:val="21"/>
                <w:szCs w:val="21"/>
              </w:rPr>
            </w:pPr>
            <w:r>
              <w:rPr>
                <w:rFonts w:ascii="楷体" w:hAnsi="楷体" w:eastAsia="楷体"/>
                <w:bCs/>
                <w:color w:val="auto"/>
                <w:sz w:val="21"/>
                <w:szCs w:val="21"/>
              </w:rPr>
              <w:br w:type="page"/>
            </w:r>
            <w:r>
              <w:rPr>
                <w:rFonts w:hint="eastAsia" w:ascii="楷体" w:hAnsi="楷体" w:eastAsia="楷体"/>
                <w:bCs/>
                <w:color w:val="auto"/>
                <w:sz w:val="21"/>
                <w:szCs w:val="21"/>
              </w:rPr>
              <w:t>②施工作业前未进行安全技术交底；</w:t>
            </w:r>
          </w:p>
          <w:p>
            <w:pPr>
              <w:spacing w:line="360" w:lineRule="exact"/>
              <w:jc w:val="both"/>
              <w:rPr>
                <w:rFonts w:ascii="楷体" w:hAnsi="楷体" w:eastAsia="楷体"/>
                <w:bCs/>
                <w:color w:val="auto"/>
                <w:sz w:val="21"/>
                <w:szCs w:val="21"/>
              </w:rPr>
            </w:pPr>
            <w:r>
              <w:rPr>
                <w:rFonts w:ascii="楷体" w:hAnsi="楷体" w:eastAsia="楷体"/>
                <w:bCs/>
                <w:color w:val="auto"/>
                <w:sz w:val="21"/>
                <w:szCs w:val="21"/>
              </w:rPr>
              <w:br w:type="page"/>
            </w:r>
            <w:r>
              <w:rPr>
                <w:rFonts w:hint="eastAsia" w:ascii="楷体" w:hAnsi="楷体" w:eastAsia="楷体"/>
                <w:bCs/>
                <w:color w:val="auto"/>
                <w:sz w:val="21"/>
                <w:szCs w:val="21"/>
              </w:rPr>
              <w:t>③施工过程未按施工方案施工；</w:t>
            </w:r>
          </w:p>
          <w:p>
            <w:pPr>
              <w:spacing w:line="360" w:lineRule="exact"/>
              <w:jc w:val="both"/>
              <w:rPr>
                <w:rFonts w:ascii="楷体" w:hAnsi="楷体" w:eastAsia="楷体"/>
                <w:bCs/>
                <w:color w:val="auto"/>
                <w:sz w:val="21"/>
                <w:szCs w:val="21"/>
              </w:rPr>
            </w:pPr>
            <w:r>
              <w:rPr>
                <w:rFonts w:ascii="楷体" w:hAnsi="楷体" w:eastAsia="楷体"/>
                <w:bCs/>
                <w:color w:val="auto"/>
                <w:sz w:val="21"/>
                <w:szCs w:val="21"/>
              </w:rPr>
              <w:br w:type="page"/>
            </w:r>
            <w:r>
              <w:rPr>
                <w:rFonts w:hint="eastAsia" w:ascii="楷体" w:hAnsi="楷体" w:eastAsia="楷体"/>
                <w:bCs/>
                <w:color w:val="auto"/>
                <w:sz w:val="21"/>
                <w:szCs w:val="21"/>
              </w:rPr>
              <w:t>④施工方案完成后未经验收合格即进入下道程序。</w:t>
            </w:r>
            <w:r>
              <w:rPr>
                <w:rFonts w:ascii="楷体" w:hAnsi="楷体" w:eastAsia="楷体"/>
                <w:bCs/>
                <w:color w:val="auto"/>
                <w:sz w:val="21"/>
                <w:szCs w:val="21"/>
              </w:rPr>
              <w:br w:type="page"/>
            </w:r>
          </w:p>
          <w:p>
            <w:pPr>
              <w:spacing w:line="360" w:lineRule="exact"/>
              <w:jc w:val="both"/>
              <w:rPr>
                <w:rFonts w:ascii="楷体" w:hAnsi="楷体" w:eastAsia="楷体"/>
                <w:bCs/>
                <w:color w:val="auto"/>
                <w:sz w:val="21"/>
                <w:szCs w:val="21"/>
              </w:rPr>
            </w:pPr>
            <w:r>
              <w:rPr>
                <w:rFonts w:ascii="楷体" w:hAnsi="楷体" w:eastAsia="楷体"/>
                <w:bCs/>
                <w:color w:val="auto"/>
                <w:sz w:val="21"/>
                <w:szCs w:val="21"/>
              </w:rPr>
              <w:t>3</w:t>
            </w:r>
            <w:r>
              <w:rPr>
                <w:rFonts w:hint="eastAsia" w:ascii="楷体" w:hAnsi="楷体" w:eastAsia="楷体"/>
                <w:bCs/>
                <w:color w:val="auto"/>
                <w:sz w:val="21"/>
                <w:szCs w:val="21"/>
              </w:rPr>
              <w:t>、危险性较大的分部分项工程未编制安全专项方案，安全专项方案未经技术负责人审批，超过一定规模的危险性较大的分部分项工程未召开专家论证会，每项扣</w:t>
            </w:r>
            <w:r>
              <w:rPr>
                <w:rFonts w:ascii="楷体" w:hAnsi="楷体" w:eastAsia="楷体"/>
                <w:bCs/>
                <w:color w:val="auto"/>
                <w:sz w:val="21"/>
                <w:szCs w:val="21"/>
              </w:rPr>
              <w:t>0.2</w:t>
            </w:r>
            <w:r>
              <w:rPr>
                <w:rFonts w:hint="eastAsia" w:ascii="楷体" w:hAnsi="楷体" w:eastAsia="楷体"/>
                <w:bCs/>
                <w:color w:val="auto"/>
                <w:sz w:val="21"/>
                <w:szCs w:val="21"/>
              </w:rPr>
              <w:t>分。</w:t>
            </w:r>
          </w:p>
          <w:p>
            <w:pPr>
              <w:spacing w:line="360" w:lineRule="exact"/>
              <w:jc w:val="both"/>
              <w:rPr>
                <w:rFonts w:ascii="楷体" w:hAnsi="楷体" w:eastAsia="楷体"/>
                <w:bCs/>
                <w:color w:val="auto"/>
                <w:sz w:val="21"/>
                <w:szCs w:val="21"/>
              </w:rPr>
            </w:pPr>
            <w:r>
              <w:rPr>
                <w:rFonts w:ascii="楷体" w:hAnsi="楷体" w:eastAsia="楷体"/>
                <w:bCs/>
                <w:color w:val="auto"/>
                <w:sz w:val="21"/>
                <w:szCs w:val="21"/>
              </w:rPr>
              <w:t>4</w:t>
            </w:r>
            <w:r>
              <w:rPr>
                <w:rFonts w:hint="eastAsia" w:ascii="楷体" w:hAnsi="楷体" w:eastAsia="楷体"/>
                <w:bCs/>
                <w:color w:val="auto"/>
                <w:sz w:val="21"/>
                <w:szCs w:val="21"/>
              </w:rPr>
              <w:t>、危险性较大的分部分项工程施工过程中，监理无人员旁站监督，发现问题未制止或责令整改，每次扣</w:t>
            </w:r>
            <w:r>
              <w:rPr>
                <w:rFonts w:ascii="楷体" w:hAnsi="楷体" w:eastAsia="楷体"/>
                <w:bCs/>
                <w:color w:val="auto"/>
                <w:sz w:val="21"/>
                <w:szCs w:val="21"/>
              </w:rPr>
              <w:t>0.2</w:t>
            </w:r>
            <w:r>
              <w:rPr>
                <w:rFonts w:hint="eastAsia" w:ascii="楷体" w:hAnsi="楷体" w:eastAsia="楷体"/>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9</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施工临时用电不规范。</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ascii="楷体" w:hAnsi="楷体" w:eastAsia="楷体"/>
                <w:bCs/>
                <w:color w:val="auto"/>
                <w:sz w:val="21"/>
                <w:szCs w:val="21"/>
              </w:rPr>
              <w:t>WG9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w:t>
            </w:r>
            <w:r>
              <w:rPr>
                <w:rFonts w:ascii="楷体" w:hAnsi="楷体" w:eastAsia="楷体"/>
                <w:bCs/>
                <w:color w:val="auto"/>
                <w:sz w:val="21"/>
                <w:szCs w:val="21"/>
              </w:rPr>
              <w:t>/</w:t>
            </w:r>
            <w:r>
              <w:rPr>
                <w:rFonts w:hint="eastAsia" w:ascii="楷体" w:hAnsi="楷体" w:eastAsia="楷体"/>
                <w:bCs/>
                <w:color w:val="auto"/>
                <w:sz w:val="21"/>
                <w:szCs w:val="21"/>
              </w:rPr>
              <w:t>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ascii="楷体" w:hAnsi="楷体" w:eastAsia="楷体"/>
                <w:bCs/>
                <w:color w:val="auto"/>
                <w:sz w:val="21"/>
                <w:szCs w:val="21"/>
              </w:rPr>
              <w:t>0.5</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出现以下任一不良行为扣</w:t>
            </w:r>
            <w:r>
              <w:rPr>
                <w:rFonts w:ascii="楷体" w:hAnsi="楷体" w:eastAsia="楷体"/>
                <w:bCs/>
                <w:color w:val="auto"/>
                <w:sz w:val="21"/>
                <w:szCs w:val="21"/>
              </w:rPr>
              <w:t>0.2</w:t>
            </w:r>
            <w:r>
              <w:rPr>
                <w:rFonts w:hint="eastAsia" w:ascii="楷体" w:hAnsi="楷体" w:eastAsia="楷体"/>
                <w:bCs/>
                <w:color w:val="auto"/>
                <w:sz w:val="21"/>
                <w:szCs w:val="21"/>
              </w:rPr>
              <w:t>分，累计扣至</w:t>
            </w:r>
            <w:r>
              <w:rPr>
                <w:rFonts w:ascii="楷体" w:hAnsi="楷体" w:eastAsia="楷体"/>
                <w:bCs/>
                <w:color w:val="auto"/>
                <w:sz w:val="21"/>
                <w:szCs w:val="21"/>
              </w:rPr>
              <w:t>0.5</w:t>
            </w:r>
            <w:r>
              <w:rPr>
                <w:rFonts w:hint="eastAsia" w:ascii="楷体" w:hAnsi="楷体" w:eastAsia="楷体"/>
                <w:bCs/>
                <w:color w:val="auto"/>
                <w:sz w:val="21"/>
                <w:szCs w:val="21"/>
              </w:rPr>
              <w:t>分为止：</w:t>
            </w:r>
            <w:r>
              <w:rPr>
                <w:rFonts w:ascii="楷体" w:hAnsi="楷体" w:eastAsia="楷体"/>
                <w:bCs/>
                <w:color w:val="auto"/>
                <w:sz w:val="21"/>
                <w:szCs w:val="21"/>
              </w:rPr>
              <w:br w:type="textWrapping"/>
            </w:r>
            <w:r>
              <w:rPr>
                <w:rFonts w:hint="eastAsia" w:ascii="楷体" w:hAnsi="楷体" w:eastAsia="楷体"/>
                <w:bCs/>
                <w:color w:val="auto"/>
                <w:sz w:val="21"/>
                <w:szCs w:val="21"/>
              </w:rPr>
              <w:t>①施工现场专用的电源中性点直接接地的低压配电系统未采用</w:t>
            </w:r>
            <w:r>
              <w:rPr>
                <w:rFonts w:ascii="楷体" w:hAnsi="楷体" w:eastAsia="楷体"/>
                <w:bCs/>
                <w:color w:val="auto"/>
                <w:sz w:val="21"/>
                <w:szCs w:val="21"/>
              </w:rPr>
              <w:t>TN-S</w:t>
            </w:r>
            <w:r>
              <w:rPr>
                <w:rFonts w:hint="eastAsia" w:ascii="楷体" w:hAnsi="楷体" w:eastAsia="楷体"/>
                <w:bCs/>
                <w:color w:val="auto"/>
                <w:sz w:val="21"/>
                <w:szCs w:val="21"/>
              </w:rPr>
              <w:t>接零保护系统；</w:t>
            </w:r>
            <w:r>
              <w:rPr>
                <w:rFonts w:ascii="楷体" w:hAnsi="楷体" w:eastAsia="楷体"/>
                <w:bCs/>
                <w:color w:val="auto"/>
                <w:sz w:val="21"/>
                <w:szCs w:val="21"/>
              </w:rPr>
              <w:br w:type="textWrapping"/>
            </w:r>
            <w:r>
              <w:rPr>
                <w:rFonts w:hint="eastAsia" w:ascii="楷体" w:hAnsi="楷体" w:eastAsia="楷体"/>
                <w:bCs/>
                <w:color w:val="auto"/>
                <w:sz w:val="21"/>
                <w:szCs w:val="21"/>
              </w:rPr>
              <w:t>②电源箱设置不符合“一机、一闸、一保护”要求；</w:t>
            </w:r>
            <w:r>
              <w:rPr>
                <w:rFonts w:ascii="楷体" w:hAnsi="楷体" w:eastAsia="楷体"/>
                <w:bCs/>
                <w:color w:val="auto"/>
                <w:sz w:val="21"/>
                <w:szCs w:val="21"/>
              </w:rPr>
              <w:br w:type="textWrapping"/>
            </w:r>
            <w:r>
              <w:rPr>
                <w:rFonts w:hint="eastAsia" w:ascii="楷体" w:hAnsi="楷体" w:eastAsia="楷体"/>
                <w:bCs/>
                <w:color w:val="auto"/>
                <w:sz w:val="21"/>
                <w:szCs w:val="21"/>
              </w:rPr>
              <w:t>③漏电保护器的选用与供电方式、作业环境不一致、不匹配；</w:t>
            </w:r>
            <w:r>
              <w:rPr>
                <w:rFonts w:ascii="楷体" w:hAnsi="楷体" w:eastAsia="楷体"/>
                <w:bCs/>
                <w:color w:val="auto"/>
                <w:sz w:val="21"/>
                <w:szCs w:val="21"/>
              </w:rPr>
              <w:t xml:space="preserve"> </w:t>
            </w:r>
            <w:r>
              <w:rPr>
                <w:rFonts w:ascii="楷体" w:hAnsi="楷体" w:eastAsia="楷体"/>
                <w:bCs/>
                <w:color w:val="auto"/>
                <w:sz w:val="21"/>
                <w:szCs w:val="21"/>
              </w:rPr>
              <w:br w:type="textWrapping"/>
            </w:r>
            <w:r>
              <w:rPr>
                <w:rFonts w:hint="eastAsia" w:ascii="楷体" w:hAnsi="楷体" w:eastAsia="楷体"/>
                <w:bCs/>
                <w:color w:val="auto"/>
                <w:sz w:val="21"/>
                <w:szCs w:val="21"/>
              </w:rPr>
              <w:t>④未使用插头而直接用导线插入插座，或挂在刀闸上供电；</w:t>
            </w:r>
            <w:r>
              <w:rPr>
                <w:rFonts w:ascii="楷体" w:hAnsi="楷体" w:eastAsia="楷体"/>
                <w:bCs/>
                <w:color w:val="auto"/>
                <w:sz w:val="21"/>
                <w:szCs w:val="21"/>
              </w:rPr>
              <w:br w:type="textWrapping"/>
            </w:r>
            <w:r>
              <w:rPr>
                <w:rFonts w:hint="eastAsia" w:ascii="楷体" w:hAnsi="楷体" w:eastAsia="楷体"/>
                <w:bCs/>
                <w:color w:val="auto"/>
                <w:sz w:val="21"/>
                <w:szCs w:val="21"/>
              </w:rPr>
              <w:t>⑤电源箱和用电机具未接地或接地不规范；</w:t>
            </w:r>
            <w:r>
              <w:rPr>
                <w:rFonts w:ascii="楷体" w:hAnsi="楷体" w:eastAsia="楷体"/>
                <w:bCs/>
                <w:color w:val="auto"/>
                <w:sz w:val="21"/>
                <w:szCs w:val="21"/>
              </w:rPr>
              <w:br w:type="textWrapping"/>
            </w:r>
            <w:r>
              <w:rPr>
                <w:rFonts w:hint="eastAsia" w:ascii="楷体" w:hAnsi="楷体" w:eastAsia="楷体"/>
                <w:bCs/>
                <w:color w:val="auto"/>
                <w:sz w:val="21"/>
                <w:szCs w:val="21"/>
              </w:rPr>
              <w:t>⑥电源线的截面、绝缘、架设（敷设）、接线、刀闸安装等不满足规范要求。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10</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动火作业不规范。</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ascii="楷体" w:hAnsi="楷体" w:eastAsia="楷体"/>
                <w:bCs/>
                <w:color w:val="auto"/>
                <w:sz w:val="21"/>
                <w:szCs w:val="21"/>
              </w:rPr>
              <w:t>WG10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w:t>
            </w:r>
            <w:r>
              <w:rPr>
                <w:rFonts w:ascii="楷体" w:hAnsi="楷体" w:eastAsia="楷体"/>
                <w:bCs/>
                <w:color w:val="auto"/>
                <w:sz w:val="21"/>
                <w:szCs w:val="21"/>
              </w:rPr>
              <w:t>/</w:t>
            </w:r>
            <w:r>
              <w:rPr>
                <w:rFonts w:hint="eastAsia" w:ascii="楷体" w:hAnsi="楷体" w:eastAsia="楷体"/>
                <w:bCs/>
                <w:color w:val="auto"/>
                <w:sz w:val="21"/>
                <w:szCs w:val="21"/>
              </w:rPr>
              <w:t>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ascii="楷体" w:hAnsi="楷体" w:eastAsia="楷体"/>
                <w:bCs/>
                <w:color w:val="auto"/>
                <w:sz w:val="21"/>
                <w:szCs w:val="21"/>
              </w:rPr>
              <w:t>0.5</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出现以下任一不良行为扣</w:t>
            </w:r>
            <w:r>
              <w:rPr>
                <w:rFonts w:ascii="楷体" w:hAnsi="楷体" w:eastAsia="楷体"/>
                <w:bCs/>
                <w:color w:val="auto"/>
                <w:sz w:val="21"/>
                <w:szCs w:val="21"/>
              </w:rPr>
              <w:t>0.2</w:t>
            </w:r>
            <w:r>
              <w:rPr>
                <w:rFonts w:hint="eastAsia" w:ascii="楷体" w:hAnsi="楷体" w:eastAsia="楷体"/>
                <w:bCs/>
                <w:color w:val="auto"/>
                <w:sz w:val="21"/>
                <w:szCs w:val="21"/>
              </w:rPr>
              <w:t>分，累计扣至</w:t>
            </w:r>
            <w:r>
              <w:rPr>
                <w:rFonts w:ascii="楷体" w:hAnsi="楷体" w:eastAsia="楷体"/>
                <w:bCs/>
                <w:color w:val="auto"/>
                <w:sz w:val="21"/>
                <w:szCs w:val="21"/>
              </w:rPr>
              <w:t>0.5</w:t>
            </w:r>
            <w:r>
              <w:rPr>
                <w:rFonts w:hint="eastAsia" w:ascii="楷体" w:hAnsi="楷体" w:eastAsia="楷体"/>
                <w:bCs/>
                <w:color w:val="auto"/>
                <w:sz w:val="21"/>
                <w:szCs w:val="21"/>
              </w:rPr>
              <w:t>分为止：</w:t>
            </w:r>
            <w:r>
              <w:rPr>
                <w:rFonts w:ascii="楷体" w:hAnsi="楷体" w:eastAsia="楷体"/>
                <w:bCs/>
                <w:color w:val="auto"/>
                <w:sz w:val="21"/>
                <w:szCs w:val="21"/>
              </w:rPr>
              <w:br w:type="textWrapping"/>
            </w:r>
            <w:r>
              <w:rPr>
                <w:rFonts w:hint="eastAsia" w:ascii="楷体" w:hAnsi="楷体" w:eastAsia="楷体"/>
                <w:bCs/>
                <w:color w:val="auto"/>
                <w:sz w:val="21"/>
                <w:szCs w:val="21"/>
              </w:rPr>
              <w:t>①动火作业人员未持证上岗，未经培训；</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②未按规定办理动火审批手续，重大活动期间未执行动火作业审批上提一级管理；</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③未严格落实动火作业“三个一律”，动火前未清理可燃物、未按规定进行可燃气体检测，现场存在交叉作业；</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④动火作业时监护人未在现场监督；</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⑤动火作业现场防火措施不到位，未有效设置灭火器、接火斗、阻燃挡板等；</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⑥氧气、乙炔瓶间距不足</w:t>
            </w:r>
            <w:r>
              <w:rPr>
                <w:rFonts w:ascii="楷体" w:hAnsi="楷体" w:eastAsia="楷体"/>
                <w:bCs/>
                <w:color w:val="auto"/>
                <w:sz w:val="21"/>
                <w:szCs w:val="21"/>
              </w:rPr>
              <w:t>5</w:t>
            </w:r>
            <w:r>
              <w:rPr>
                <w:rFonts w:hint="eastAsia" w:ascii="楷体" w:hAnsi="楷体" w:eastAsia="楷体"/>
                <w:bCs/>
                <w:color w:val="auto"/>
                <w:sz w:val="21"/>
                <w:szCs w:val="21"/>
              </w:rPr>
              <w:t>米，距离动火作业点不足</w:t>
            </w:r>
            <w:r>
              <w:rPr>
                <w:rFonts w:ascii="楷体" w:hAnsi="楷体" w:eastAsia="楷体"/>
                <w:bCs/>
                <w:color w:val="auto"/>
                <w:sz w:val="21"/>
                <w:szCs w:val="21"/>
              </w:rPr>
              <w:t>10</w:t>
            </w:r>
            <w:r>
              <w:rPr>
                <w:rFonts w:hint="eastAsia" w:ascii="楷体" w:hAnsi="楷体" w:eastAsia="楷体"/>
                <w:bCs/>
                <w:color w:val="auto"/>
                <w:sz w:val="21"/>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11</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有限空间作业不规范。</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ascii="楷体" w:hAnsi="楷体" w:eastAsia="楷体"/>
                <w:bCs/>
                <w:color w:val="auto"/>
                <w:sz w:val="21"/>
                <w:szCs w:val="21"/>
              </w:rPr>
              <w:t>WG11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w:t>
            </w:r>
            <w:r>
              <w:rPr>
                <w:rFonts w:ascii="楷体" w:hAnsi="楷体" w:eastAsia="楷体"/>
                <w:bCs/>
                <w:color w:val="auto"/>
                <w:sz w:val="21"/>
                <w:szCs w:val="21"/>
              </w:rPr>
              <w:t>/</w:t>
            </w:r>
            <w:r>
              <w:rPr>
                <w:rFonts w:hint="eastAsia" w:ascii="楷体" w:hAnsi="楷体" w:eastAsia="楷体"/>
                <w:bCs/>
                <w:color w:val="auto"/>
                <w:sz w:val="21"/>
                <w:szCs w:val="21"/>
              </w:rPr>
              <w:t>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ascii="楷体" w:hAnsi="楷体" w:eastAsia="楷体"/>
                <w:bCs/>
                <w:color w:val="auto"/>
                <w:sz w:val="21"/>
                <w:szCs w:val="21"/>
              </w:rPr>
              <w:t>0.5</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出现以下任一不良行为扣</w:t>
            </w:r>
            <w:r>
              <w:rPr>
                <w:rFonts w:ascii="楷体" w:hAnsi="楷体" w:eastAsia="楷体"/>
                <w:bCs/>
                <w:color w:val="auto"/>
                <w:sz w:val="21"/>
                <w:szCs w:val="21"/>
              </w:rPr>
              <w:t>0.2</w:t>
            </w:r>
            <w:r>
              <w:rPr>
                <w:rFonts w:hint="eastAsia" w:ascii="楷体" w:hAnsi="楷体" w:eastAsia="楷体"/>
                <w:bCs/>
                <w:color w:val="auto"/>
                <w:sz w:val="21"/>
                <w:szCs w:val="21"/>
              </w:rPr>
              <w:t>分，累计扣至</w:t>
            </w:r>
            <w:r>
              <w:rPr>
                <w:rFonts w:ascii="楷体" w:hAnsi="楷体" w:eastAsia="楷体"/>
                <w:bCs/>
                <w:color w:val="auto"/>
                <w:sz w:val="21"/>
                <w:szCs w:val="21"/>
              </w:rPr>
              <w:t>0.5</w:t>
            </w:r>
            <w:r>
              <w:rPr>
                <w:rFonts w:hint="eastAsia" w:ascii="楷体" w:hAnsi="楷体" w:eastAsia="楷体"/>
                <w:bCs/>
                <w:color w:val="auto"/>
                <w:sz w:val="21"/>
                <w:szCs w:val="21"/>
              </w:rPr>
              <w:t>分为止：</w:t>
            </w:r>
            <w:r>
              <w:rPr>
                <w:rFonts w:ascii="楷体" w:hAnsi="楷体" w:eastAsia="楷体"/>
                <w:bCs/>
                <w:color w:val="auto"/>
                <w:sz w:val="21"/>
                <w:szCs w:val="21"/>
              </w:rPr>
              <w:br w:type="textWrapping"/>
            </w:r>
            <w:r>
              <w:rPr>
                <w:rFonts w:hint="eastAsia" w:ascii="楷体" w:hAnsi="楷体" w:eastAsia="楷体"/>
                <w:bCs/>
                <w:color w:val="auto"/>
                <w:sz w:val="21"/>
                <w:szCs w:val="21"/>
              </w:rPr>
              <w:t>①未经风险辨识；</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②未进行通风和气体检测；</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③不佩戴劳动防护用品；</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④作业现场无人监护；</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⑤电气设备不符合规定；</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⑥未按规定办理有限空间作业手续；</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⑦未经培训演练。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12</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四口”、“五临边”未设置明显标识及防护措施；在车行道、人行道上施工，未根据属地区域规定选用围蔽装置，或未在来车方向设置警示牌；施工作业人员在夜间或道路、地下洞室作业时未穿着符合规范的反光衣；施工区域未按规定设置夜间警示装置。</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G1</w:t>
            </w:r>
            <w:r>
              <w:rPr>
                <w:rFonts w:hint="eastAsia" w:ascii="楷体" w:hAnsi="楷体" w:eastAsia="楷体"/>
                <w:bCs/>
                <w:color w:val="auto"/>
                <w:sz w:val="21"/>
                <w:szCs w:val="21"/>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0.2</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出现以下任一不良行为扣</w:t>
            </w:r>
            <w:r>
              <w:rPr>
                <w:rFonts w:ascii="楷体" w:hAnsi="楷体" w:eastAsia="楷体"/>
                <w:bCs/>
                <w:color w:val="auto"/>
                <w:sz w:val="21"/>
                <w:szCs w:val="21"/>
              </w:rPr>
              <w:t>0.2</w:t>
            </w:r>
            <w:r>
              <w:rPr>
                <w:rFonts w:hint="eastAsia" w:ascii="楷体" w:hAnsi="楷体" w:eastAsia="楷体"/>
                <w:bCs/>
                <w:color w:val="auto"/>
                <w:sz w:val="21"/>
                <w:szCs w:val="21"/>
              </w:rPr>
              <w:t>分：</w:t>
            </w:r>
            <w:r>
              <w:rPr>
                <w:rFonts w:ascii="楷体" w:hAnsi="楷体" w:eastAsia="楷体"/>
                <w:bCs/>
                <w:color w:val="auto"/>
                <w:sz w:val="21"/>
                <w:szCs w:val="21"/>
              </w:rPr>
              <w:br w:type="textWrapping"/>
            </w:r>
            <w:r>
              <w:rPr>
                <w:rFonts w:hint="eastAsia" w:ascii="楷体" w:hAnsi="楷体" w:eastAsia="楷体"/>
                <w:bCs/>
                <w:color w:val="auto"/>
                <w:sz w:val="21"/>
                <w:szCs w:val="21"/>
              </w:rPr>
              <w:t>①“四口”、“五临边”未设置可靠防护安全围栏、盖板，未设置明显的标示牌、警示牌；</w:t>
            </w:r>
            <w:r>
              <w:rPr>
                <w:rFonts w:ascii="楷体" w:hAnsi="楷体" w:eastAsia="楷体"/>
                <w:bCs/>
                <w:color w:val="auto"/>
                <w:sz w:val="21"/>
                <w:szCs w:val="21"/>
              </w:rPr>
              <w:br w:type="textWrapping"/>
            </w:r>
            <w:r>
              <w:rPr>
                <w:rFonts w:hint="eastAsia" w:ascii="楷体" w:hAnsi="楷体" w:eastAsia="楷体"/>
                <w:bCs/>
                <w:color w:val="auto"/>
                <w:sz w:val="21"/>
                <w:szCs w:val="21"/>
              </w:rPr>
              <w:t>②</w:t>
            </w:r>
            <w:r>
              <w:rPr>
                <w:rFonts w:ascii="楷体" w:hAnsi="楷体" w:eastAsia="楷体"/>
                <w:bCs/>
                <w:color w:val="auto"/>
                <w:sz w:val="21"/>
                <w:szCs w:val="21"/>
              </w:rPr>
              <w:t xml:space="preserve"> </w:t>
            </w:r>
            <w:r>
              <w:rPr>
                <w:rFonts w:hint="eastAsia" w:ascii="楷体" w:hAnsi="楷体" w:eastAsia="楷体"/>
                <w:bCs/>
                <w:color w:val="auto"/>
                <w:sz w:val="21"/>
                <w:szCs w:val="21"/>
              </w:rPr>
              <w:t>在车行道、人行道上施工，未根据属地区域规定选用围蔽装置，或未在来车方向设置警示牌；</w:t>
            </w:r>
            <w:r>
              <w:rPr>
                <w:rFonts w:ascii="楷体" w:hAnsi="楷体" w:eastAsia="楷体"/>
                <w:bCs/>
                <w:color w:val="auto"/>
                <w:sz w:val="21"/>
                <w:szCs w:val="21"/>
              </w:rPr>
              <w:br w:type="textWrapping"/>
            </w:r>
            <w:r>
              <w:rPr>
                <w:rFonts w:hint="eastAsia" w:ascii="楷体" w:hAnsi="楷体" w:eastAsia="楷体"/>
                <w:bCs/>
                <w:color w:val="auto"/>
                <w:sz w:val="21"/>
                <w:szCs w:val="21"/>
              </w:rPr>
              <w:t>③施工作业人员在夜间作业或道路、地下洞室作业时未穿着符合规范的反光衣；</w:t>
            </w:r>
            <w:r>
              <w:rPr>
                <w:rFonts w:ascii="楷体" w:hAnsi="楷体" w:eastAsia="楷体"/>
                <w:bCs/>
                <w:color w:val="auto"/>
                <w:sz w:val="21"/>
                <w:szCs w:val="21"/>
              </w:rPr>
              <w:br w:type="textWrapping"/>
            </w:r>
            <w:r>
              <w:rPr>
                <w:rFonts w:hint="eastAsia" w:ascii="楷体" w:hAnsi="楷体" w:eastAsia="楷体"/>
                <w:bCs/>
                <w:color w:val="auto"/>
                <w:sz w:val="21"/>
                <w:szCs w:val="21"/>
              </w:rPr>
              <w:t>④施工区域未按规定设置夜间警示装置。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13</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隧洞通风、排水、爆破、通讯、施工支护、超前地质预报等不符合要求的。</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G1</w:t>
            </w:r>
            <w:r>
              <w:rPr>
                <w:rFonts w:hint="eastAsia" w:ascii="楷体" w:hAnsi="楷体" w:eastAsia="楷体"/>
                <w:bCs/>
                <w:color w:val="auto"/>
                <w:sz w:val="21"/>
                <w:szCs w:val="21"/>
              </w:rPr>
              <w:t>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0.5</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出现以下任一不良行为扣</w:t>
            </w:r>
            <w:r>
              <w:rPr>
                <w:rFonts w:ascii="楷体" w:hAnsi="楷体" w:eastAsia="楷体"/>
                <w:bCs/>
                <w:color w:val="auto"/>
                <w:sz w:val="21"/>
                <w:szCs w:val="21"/>
              </w:rPr>
              <w:t>0.2</w:t>
            </w:r>
            <w:r>
              <w:rPr>
                <w:rFonts w:hint="eastAsia" w:ascii="楷体" w:hAnsi="楷体" w:eastAsia="楷体"/>
                <w:bCs/>
                <w:color w:val="auto"/>
                <w:sz w:val="21"/>
                <w:szCs w:val="21"/>
              </w:rPr>
              <w:t>分：</w:t>
            </w:r>
            <w:r>
              <w:rPr>
                <w:rFonts w:ascii="楷体" w:hAnsi="楷体" w:eastAsia="楷体"/>
                <w:bCs/>
                <w:color w:val="auto"/>
                <w:sz w:val="21"/>
                <w:szCs w:val="21"/>
              </w:rPr>
              <w:br w:type="textWrapping"/>
            </w:r>
            <w:r>
              <w:rPr>
                <w:rFonts w:hint="eastAsia" w:ascii="楷体" w:hAnsi="楷体" w:eastAsia="楷体"/>
                <w:bCs/>
                <w:color w:val="auto"/>
                <w:sz w:val="21"/>
                <w:szCs w:val="21"/>
              </w:rPr>
              <w:t>①未编制隧洞工程专项施工方案；专项施工方案未按规定审核、审批；未按规定组织专家论证；</w:t>
            </w:r>
            <w:r>
              <w:rPr>
                <w:rFonts w:ascii="楷体" w:hAnsi="楷体" w:eastAsia="楷体"/>
                <w:bCs/>
                <w:color w:val="auto"/>
                <w:sz w:val="21"/>
                <w:szCs w:val="21"/>
              </w:rPr>
              <w:br w:type="textWrapping"/>
            </w:r>
            <w:r>
              <w:rPr>
                <w:rFonts w:hint="eastAsia" w:ascii="楷体" w:hAnsi="楷体" w:eastAsia="楷体"/>
                <w:bCs/>
                <w:color w:val="auto"/>
                <w:sz w:val="21"/>
                <w:szCs w:val="21"/>
              </w:rPr>
              <w:t>②未配备通风设施；未配备有毒有害气体检测设备；</w:t>
            </w:r>
            <w:r>
              <w:rPr>
                <w:rFonts w:ascii="楷体" w:hAnsi="楷体" w:eastAsia="楷体"/>
                <w:bCs/>
                <w:color w:val="auto"/>
                <w:sz w:val="21"/>
                <w:szCs w:val="21"/>
              </w:rPr>
              <w:br w:type="textWrapping"/>
            </w:r>
            <w:r>
              <w:rPr>
                <w:rFonts w:hint="eastAsia" w:ascii="楷体" w:hAnsi="楷体" w:eastAsia="楷体"/>
                <w:bCs/>
                <w:color w:val="auto"/>
                <w:sz w:val="21"/>
                <w:szCs w:val="21"/>
              </w:rPr>
              <w:t>③未设置排水沟、泄水孔等排水措施，隧洞内抽水泵功率不满足排水需求；</w:t>
            </w:r>
            <w:r>
              <w:rPr>
                <w:rFonts w:ascii="楷体" w:hAnsi="楷体" w:eastAsia="楷体"/>
                <w:bCs/>
                <w:color w:val="auto"/>
                <w:sz w:val="21"/>
                <w:szCs w:val="21"/>
              </w:rPr>
              <w:br w:type="textWrapping"/>
            </w:r>
            <w:r>
              <w:rPr>
                <w:rFonts w:hint="eastAsia" w:ascii="楷体" w:hAnsi="楷体" w:eastAsia="楷体"/>
                <w:bCs/>
                <w:color w:val="auto"/>
                <w:sz w:val="21"/>
                <w:szCs w:val="21"/>
              </w:rPr>
              <w:t>④洞内爆破作业未确定指挥人员、警戒人员、起爆人员，未进行统一指挥的；</w:t>
            </w:r>
            <w:r>
              <w:rPr>
                <w:rFonts w:ascii="楷体" w:hAnsi="楷体" w:eastAsia="楷体"/>
                <w:bCs/>
                <w:color w:val="auto"/>
                <w:sz w:val="21"/>
                <w:szCs w:val="21"/>
              </w:rPr>
              <w:br w:type="textWrapping"/>
            </w:r>
            <w:r>
              <w:rPr>
                <w:rFonts w:hint="eastAsia" w:ascii="楷体" w:hAnsi="楷体" w:eastAsia="楷体"/>
                <w:bCs/>
                <w:color w:val="auto"/>
                <w:sz w:val="21"/>
                <w:szCs w:val="21"/>
              </w:rPr>
              <w:t>⑤未配备通讯设备的；</w:t>
            </w:r>
            <w:r>
              <w:rPr>
                <w:rFonts w:ascii="楷体" w:hAnsi="楷体" w:eastAsia="楷体"/>
                <w:bCs/>
                <w:color w:val="auto"/>
                <w:sz w:val="21"/>
                <w:szCs w:val="21"/>
              </w:rPr>
              <w:br w:type="textWrapping"/>
            </w:r>
            <w:r>
              <w:rPr>
                <w:rFonts w:hint="eastAsia" w:ascii="楷体" w:hAnsi="楷体" w:eastAsia="楷体"/>
                <w:bCs/>
                <w:color w:val="auto"/>
                <w:sz w:val="21"/>
                <w:szCs w:val="21"/>
              </w:rPr>
              <w:t>⑥洞内爆破后通风排烟不足</w:t>
            </w:r>
            <w:r>
              <w:rPr>
                <w:rFonts w:ascii="楷体" w:hAnsi="楷体" w:eastAsia="楷体"/>
                <w:bCs/>
                <w:color w:val="auto"/>
                <w:sz w:val="21"/>
                <w:szCs w:val="21"/>
              </w:rPr>
              <w:t>15</w:t>
            </w:r>
            <w:r>
              <w:rPr>
                <w:rFonts w:hint="eastAsia" w:ascii="楷体" w:hAnsi="楷体" w:eastAsia="楷体"/>
                <w:bCs/>
                <w:color w:val="auto"/>
                <w:sz w:val="21"/>
                <w:szCs w:val="21"/>
              </w:rPr>
              <w:t>分钟，爆破后未进行检查的；</w:t>
            </w:r>
            <w:r>
              <w:rPr>
                <w:rFonts w:ascii="楷体" w:hAnsi="楷体" w:eastAsia="楷体"/>
                <w:bCs/>
                <w:color w:val="auto"/>
                <w:sz w:val="21"/>
                <w:szCs w:val="21"/>
              </w:rPr>
              <w:br w:type="textWrapping"/>
            </w:r>
            <w:r>
              <w:rPr>
                <w:rFonts w:hint="eastAsia" w:ascii="楷体" w:hAnsi="楷体" w:eastAsia="楷体"/>
                <w:bCs/>
                <w:color w:val="auto"/>
                <w:sz w:val="21"/>
                <w:szCs w:val="21"/>
              </w:rPr>
              <w:t>⑦隧洞支护作业程序不符合要求；支护方式不符合设计及规范要求；</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⑧未按要求编制超前地质预报实施大纲；</w:t>
            </w:r>
          </w:p>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⑨未严格执行开挖前超前地质预报措施；未将超前地质预报纳入施工组织设计和工序管理。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14</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安全文明施工费用的提取和使用管理不规范。</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G1</w:t>
            </w:r>
            <w:r>
              <w:rPr>
                <w:rFonts w:hint="eastAsia" w:ascii="楷体" w:hAnsi="楷体" w:eastAsia="楷体"/>
                <w:bCs/>
                <w:color w:val="auto"/>
                <w:sz w:val="21"/>
                <w:szCs w:val="21"/>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施工</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0.5</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在使用安全生产费用过程中，出现以下任一不良行为，每处扣</w:t>
            </w:r>
            <w:r>
              <w:rPr>
                <w:rFonts w:ascii="楷体" w:hAnsi="楷体" w:eastAsia="楷体"/>
                <w:bCs/>
                <w:color w:val="auto"/>
                <w:sz w:val="21"/>
                <w:szCs w:val="21"/>
              </w:rPr>
              <w:t>0.2</w:t>
            </w:r>
            <w:r>
              <w:rPr>
                <w:rFonts w:hint="eastAsia" w:ascii="楷体" w:hAnsi="楷体" w:eastAsia="楷体"/>
                <w:bCs/>
                <w:color w:val="auto"/>
                <w:sz w:val="21"/>
                <w:szCs w:val="21"/>
              </w:rPr>
              <w:t>分，累计扣至</w:t>
            </w:r>
            <w:r>
              <w:rPr>
                <w:rFonts w:ascii="楷体" w:hAnsi="楷体" w:eastAsia="楷体"/>
                <w:bCs/>
                <w:color w:val="auto"/>
                <w:sz w:val="21"/>
                <w:szCs w:val="21"/>
              </w:rPr>
              <w:t>0.5</w:t>
            </w:r>
            <w:r>
              <w:rPr>
                <w:rFonts w:hint="eastAsia" w:ascii="楷体" w:hAnsi="楷体" w:eastAsia="楷体"/>
                <w:bCs/>
                <w:color w:val="auto"/>
                <w:sz w:val="21"/>
                <w:szCs w:val="21"/>
              </w:rPr>
              <w:t>分为止：</w:t>
            </w:r>
            <w:r>
              <w:rPr>
                <w:rFonts w:ascii="楷体" w:hAnsi="楷体" w:eastAsia="楷体"/>
                <w:bCs/>
                <w:color w:val="auto"/>
                <w:sz w:val="21"/>
                <w:szCs w:val="21"/>
              </w:rPr>
              <w:br w:type="textWrapping"/>
            </w:r>
            <w:r>
              <w:rPr>
                <w:rFonts w:hint="eastAsia" w:ascii="楷体" w:hAnsi="楷体" w:eastAsia="楷体"/>
                <w:bCs/>
                <w:color w:val="auto"/>
                <w:sz w:val="21"/>
                <w:szCs w:val="21"/>
              </w:rPr>
              <w:t>①未按照国家有关规定计列和使用安全生产费用的；</w:t>
            </w:r>
            <w:r>
              <w:rPr>
                <w:rFonts w:ascii="楷体" w:hAnsi="楷体" w:eastAsia="楷体"/>
                <w:bCs/>
                <w:color w:val="auto"/>
                <w:sz w:val="21"/>
                <w:szCs w:val="21"/>
              </w:rPr>
              <w:br w:type="textWrapping"/>
            </w:r>
            <w:r>
              <w:rPr>
                <w:rFonts w:hint="eastAsia" w:ascii="楷体" w:hAnsi="楷体" w:eastAsia="楷体"/>
                <w:bCs/>
                <w:color w:val="auto"/>
                <w:sz w:val="21"/>
                <w:szCs w:val="21"/>
              </w:rPr>
              <w:t>②未编制安全生产费用使用计划，专款专用的；</w:t>
            </w:r>
            <w:r>
              <w:rPr>
                <w:rFonts w:ascii="楷体" w:hAnsi="楷体" w:eastAsia="楷体"/>
                <w:bCs/>
                <w:color w:val="auto"/>
                <w:sz w:val="21"/>
                <w:szCs w:val="21"/>
              </w:rPr>
              <w:br w:type="textWrapping"/>
            </w:r>
            <w:r>
              <w:rPr>
                <w:rFonts w:hint="eastAsia" w:ascii="楷体" w:hAnsi="楷体" w:eastAsia="楷体"/>
                <w:bCs/>
                <w:color w:val="auto"/>
                <w:sz w:val="21"/>
                <w:szCs w:val="21"/>
              </w:rPr>
              <w:t>③未明确安全费用提取和使用的程序、职责及权限的。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15</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因设计工作不到位造成险情的。</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G1</w:t>
            </w:r>
            <w:r>
              <w:rPr>
                <w:rFonts w:hint="eastAsia" w:ascii="楷体" w:hAnsi="楷体" w:eastAsia="楷体"/>
                <w:bCs/>
                <w:color w:val="auto"/>
                <w:sz w:val="21"/>
                <w:szCs w:val="21"/>
              </w:rPr>
              <w:t>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勘察/设计</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1、因设计方案不合理造成工程施工过程出现险情的，扣1分；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2、因现场设计代表履职不到位造成施工现场出现险情的，扣1分；</w:t>
            </w:r>
            <w:r>
              <w:rPr>
                <w:rFonts w:hint="eastAsia" w:ascii="楷体" w:hAnsi="楷体" w:eastAsia="楷体"/>
                <w:bCs/>
                <w:color w:val="auto"/>
                <w:sz w:val="21"/>
                <w:szCs w:val="21"/>
              </w:rPr>
              <w:br w:type="textWrapping"/>
            </w:r>
            <w:r>
              <w:rPr>
                <w:rFonts w:hint="eastAsia" w:ascii="楷体" w:hAnsi="楷体" w:eastAsia="楷体"/>
                <w:bCs/>
                <w:color w:val="auto"/>
                <w:sz w:val="21"/>
                <w:szCs w:val="21"/>
              </w:rPr>
              <w:t>3、因前期地质勘察工作遗留问题造成工程现场出现险情的，扣1分。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16</w:t>
            </w:r>
          </w:p>
        </w:tc>
        <w:tc>
          <w:tcPr>
            <w:tcW w:w="35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项目建设阶段发生生产安全事故的。</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W</w:t>
            </w:r>
            <w:r>
              <w:rPr>
                <w:rFonts w:ascii="楷体" w:hAnsi="楷体" w:eastAsia="楷体"/>
                <w:bCs/>
                <w:color w:val="auto"/>
                <w:sz w:val="21"/>
                <w:szCs w:val="21"/>
              </w:rPr>
              <w:t>G1</w:t>
            </w:r>
            <w:r>
              <w:rPr>
                <w:rFonts w:hint="eastAsia" w:ascii="楷体" w:hAnsi="楷体" w:eastAsia="楷体"/>
                <w:bCs/>
                <w:color w:val="auto"/>
                <w:sz w:val="21"/>
                <w:szCs w:val="21"/>
              </w:rPr>
              <w:t>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设计/施工/监理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楷体" w:hAnsi="楷体" w:eastAsia="楷体"/>
                <w:bCs/>
                <w:color w:val="auto"/>
                <w:sz w:val="21"/>
                <w:szCs w:val="21"/>
              </w:rPr>
            </w:pPr>
            <w:r>
              <w:rPr>
                <w:rFonts w:hint="eastAsia" w:ascii="楷体" w:hAnsi="楷体" w:eastAsia="楷体"/>
                <w:bCs/>
                <w:color w:val="auto"/>
                <w:sz w:val="21"/>
                <w:szCs w:val="21"/>
              </w:rPr>
              <w:t>12</w:t>
            </w:r>
          </w:p>
        </w:tc>
        <w:tc>
          <w:tcPr>
            <w:tcW w:w="71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both"/>
              <w:rPr>
                <w:rFonts w:ascii="楷体" w:hAnsi="楷体" w:eastAsia="楷体"/>
                <w:bCs/>
                <w:color w:val="auto"/>
                <w:sz w:val="21"/>
                <w:szCs w:val="21"/>
              </w:rPr>
            </w:pPr>
            <w:r>
              <w:rPr>
                <w:rFonts w:hint="eastAsia" w:ascii="楷体" w:hAnsi="楷体" w:eastAsia="楷体"/>
                <w:bCs/>
                <w:color w:val="auto"/>
                <w:sz w:val="21"/>
                <w:szCs w:val="21"/>
              </w:rPr>
              <w:t>发生亡人生产安全事故的，根据生产安全事故责任扣分。</w:t>
            </w:r>
          </w:p>
        </w:tc>
      </w:tr>
    </w:tbl>
    <w:p>
      <w:pPr>
        <w:rPr>
          <w:color w:val="auto"/>
        </w:rPr>
        <w:sectPr>
          <w:pgSz w:w="16838" w:h="11906" w:orient="landscape"/>
          <w:pgMar w:top="1418" w:right="1247" w:bottom="1418" w:left="1247" w:header="851" w:footer="992" w:gutter="0"/>
          <w:cols w:space="720" w:num="1"/>
          <w:titlePg/>
          <w:docGrid w:type="lines" w:linePitch="462" w:charSpace="0"/>
        </w:sectPr>
      </w:pPr>
    </w:p>
    <w:p>
      <w:pPr>
        <w:pStyle w:val="10"/>
        <w:snapToGrid w:val="0"/>
        <w:spacing w:after="0"/>
        <w:ind w:left="0" w:leftChars="0"/>
        <w:outlineLvl w:val="0"/>
        <w:rPr>
          <w:rFonts w:ascii="仿宋" w:hAnsi="仿宋" w:eastAsia="仿宋"/>
          <w:b/>
          <w:color w:val="auto"/>
          <w:sz w:val="21"/>
          <w:szCs w:val="21"/>
        </w:rPr>
      </w:pPr>
      <w:bookmarkStart w:id="167" w:name="_Toc126962063"/>
      <w:r>
        <w:rPr>
          <w:rFonts w:hint="eastAsia" w:ascii="仿宋" w:hAnsi="仿宋" w:eastAsia="仿宋"/>
          <w:b/>
          <w:color w:val="auto"/>
          <w:sz w:val="21"/>
          <w:szCs w:val="21"/>
        </w:rPr>
        <w:t>附件十二：拟投电梯安装人员一览表(按投标文件)</w:t>
      </w:r>
      <w:bookmarkEnd w:id="167"/>
    </w:p>
    <w:p>
      <w:pPr>
        <w:rPr>
          <w:color w:val="auto"/>
        </w:rPr>
      </w:pPr>
    </w:p>
    <w:p>
      <w:pPr>
        <w:pStyle w:val="10"/>
        <w:snapToGrid w:val="0"/>
        <w:spacing w:after="0"/>
        <w:ind w:left="0" w:leftChars="0"/>
        <w:outlineLvl w:val="0"/>
        <w:rPr>
          <w:rFonts w:ascii="仿宋" w:hAnsi="仿宋" w:eastAsia="仿宋"/>
          <w:b/>
          <w:color w:val="auto"/>
          <w:sz w:val="21"/>
          <w:szCs w:val="21"/>
        </w:rPr>
      </w:pPr>
      <w:bookmarkStart w:id="168" w:name="_Toc126962064"/>
      <w:r>
        <w:rPr>
          <w:rFonts w:hint="eastAsia" w:ascii="仿宋" w:hAnsi="仿宋" w:eastAsia="仿宋"/>
          <w:b/>
          <w:color w:val="auto"/>
          <w:sz w:val="21"/>
          <w:szCs w:val="21"/>
        </w:rPr>
        <w:t>附件十三：土建条件图（另册）</w:t>
      </w:r>
      <w:bookmarkEnd w:id="168"/>
    </w:p>
    <w:p>
      <w:pPr>
        <w:rPr>
          <w:color w:val="auto"/>
        </w:rPr>
      </w:pPr>
    </w:p>
    <w:p>
      <w:pPr>
        <w:pStyle w:val="10"/>
        <w:snapToGrid w:val="0"/>
        <w:spacing w:after="0"/>
        <w:ind w:left="0" w:leftChars="0"/>
        <w:outlineLvl w:val="0"/>
        <w:rPr>
          <w:rFonts w:ascii="仿宋" w:hAnsi="仿宋" w:eastAsia="仿宋"/>
          <w:b/>
          <w:color w:val="auto"/>
          <w:sz w:val="21"/>
          <w:szCs w:val="21"/>
        </w:rPr>
      </w:pPr>
      <w:bookmarkStart w:id="169" w:name="_Toc126962065"/>
      <w:r>
        <w:rPr>
          <w:rFonts w:hint="eastAsia" w:ascii="仿宋" w:hAnsi="仿宋" w:eastAsia="仿宋"/>
          <w:b/>
          <w:color w:val="auto"/>
          <w:sz w:val="21"/>
          <w:szCs w:val="21"/>
        </w:rPr>
        <w:t>附件十四：投标文件相关承诺等（另册）</w:t>
      </w:r>
      <w:bookmarkEnd w:id="169"/>
    </w:p>
    <w:sectPr>
      <w:pgSz w:w="11906" w:h="16838"/>
      <w:pgMar w:top="1247" w:right="1418" w:bottom="1247" w:left="1418" w:header="851" w:footer="992" w:gutter="0"/>
      <w:cols w:space="720" w:num="1"/>
      <w:titlePg/>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新宋体-18030">
    <w:altName w:val="微软雅黑"/>
    <w:panose1 w:val="00000000000000000000"/>
    <w:charset w:val="86"/>
    <w:family w:val="modern"/>
    <w:pitch w:val="default"/>
    <w:sig w:usb0="00000000" w:usb1="00000000" w:usb2="000A005E"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98</w:t>
    </w:r>
    <w:r>
      <w:rPr>
        <w:b/>
        <w:bCs/>
        <w:sz w:val="24"/>
        <w:szCs w:val="24"/>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bCs/>
        <w:sz w:val="24"/>
        <w:szCs w:val="24"/>
      </w:rPr>
      <w:fldChar w:fldCharType="begin"/>
    </w:r>
    <w:r>
      <w:rPr>
        <w:b/>
        <w:bCs/>
      </w:rPr>
      <w:instrText xml:space="preserve">PAGE</w:instrText>
    </w:r>
    <w:r>
      <w:rPr>
        <w:b/>
        <w:bCs/>
        <w:sz w:val="24"/>
        <w:szCs w:val="24"/>
      </w:rPr>
      <w:fldChar w:fldCharType="separate"/>
    </w:r>
    <w:r>
      <w:rPr>
        <w:b/>
        <w:bCs/>
      </w:rPr>
      <w:t>98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98</w:t>
    </w:r>
    <w:r>
      <w:rPr>
        <w:b/>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none"/>
      <w:lvlText w:val="一、"/>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47F49A8"/>
    <w:multiLevelType w:val="multilevel"/>
    <w:tmpl w:val="247F49A8"/>
    <w:lvl w:ilvl="0" w:tentative="0">
      <w:start w:val="1"/>
      <w:numFmt w:val="decimal"/>
      <w:lvlText w:val="%1"/>
      <w:lvlJc w:val="left"/>
      <w:pPr>
        <w:tabs>
          <w:tab w:val="left" w:pos="425"/>
        </w:tabs>
        <w:ind w:left="425" w:hanging="425"/>
      </w:pPr>
      <w:rPr>
        <w:rFonts w:hint="eastAsia" w:ascii="Times New Roman" w:hAnsi="Times New Roman" w:eastAsia="宋体" w:cs="Times New Roman"/>
        <w:b w:val="0"/>
        <w:color w:val="auto"/>
      </w:rPr>
    </w:lvl>
    <w:lvl w:ilvl="1" w:tentative="0">
      <w:start w:val="1"/>
      <w:numFmt w:val="decimal"/>
      <w:lvlText w:val="%1.%2"/>
      <w:lvlJc w:val="left"/>
      <w:pPr>
        <w:tabs>
          <w:tab w:val="left" w:pos="1512"/>
        </w:tabs>
        <w:ind w:left="1512" w:hanging="567"/>
      </w:pPr>
      <w:rPr>
        <w:rFonts w:hint="eastAsia" w:ascii="Times New Roman" w:hAnsi="Times New Roman" w:eastAsia="宋体" w:cs="Times New Roman"/>
        <w:b w:val="0"/>
        <w:color w:val="auto"/>
      </w:rPr>
    </w:lvl>
    <w:lvl w:ilvl="2" w:tentative="0">
      <w:start w:val="1"/>
      <w:numFmt w:val="decimal"/>
      <w:lvlText w:val="(%3)"/>
      <w:lvlJc w:val="left"/>
      <w:pPr>
        <w:tabs>
          <w:tab w:val="left" w:pos="1418"/>
        </w:tabs>
        <w:ind w:left="1418" w:hanging="567"/>
      </w:pPr>
      <w:rPr>
        <w:rFonts w:hint="default" w:cs="Times New Roman"/>
        <w:color w:val="auto"/>
      </w:rPr>
    </w:lvl>
    <w:lvl w:ilvl="3" w:tentative="0">
      <w:start w:val="1"/>
      <w:numFmt w:val="decimal"/>
      <w:lvlText w:val="9.1.%1.%2.%3.%4"/>
      <w:lvlJc w:val="left"/>
      <w:pPr>
        <w:tabs>
          <w:tab w:val="left" w:pos="2356"/>
        </w:tabs>
        <w:ind w:left="1984" w:hanging="708"/>
      </w:pPr>
      <w:rPr>
        <w:rFonts w:hint="eastAsia" w:cs="Times New Roman"/>
      </w:rPr>
    </w:lvl>
    <w:lvl w:ilvl="4" w:tentative="0">
      <w:start w:val="1"/>
      <w:numFmt w:val="decimal"/>
      <w:lvlText w:val="9.1.%1.%2.%3.%4.%5"/>
      <w:lvlJc w:val="left"/>
      <w:pPr>
        <w:tabs>
          <w:tab w:val="left" w:pos="2781"/>
        </w:tabs>
        <w:ind w:left="2551" w:hanging="850"/>
      </w:pPr>
      <w:rPr>
        <w:rFonts w:hint="eastAsia" w:cs="Times New Roman"/>
      </w:rPr>
    </w:lvl>
    <w:lvl w:ilvl="5" w:tentative="0">
      <w:start w:val="1"/>
      <w:numFmt w:val="none"/>
      <w:lvlText w:val=""/>
      <w:lvlJc w:val="left"/>
      <w:pPr>
        <w:tabs>
          <w:tab w:val="left" w:pos="3566"/>
        </w:tabs>
        <w:ind w:left="3260" w:hanging="1134"/>
      </w:pPr>
      <w:rPr>
        <w:rFonts w:hint="eastAsia" w:cs="Times New Roman"/>
      </w:rPr>
    </w:lvl>
    <w:lvl w:ilvl="6" w:tentative="0">
      <w:start w:val="1"/>
      <w:numFmt w:val="decimal"/>
      <w:lvlText w:val="%1.%2.%3.%4.%5.%6.%7"/>
      <w:lvlJc w:val="left"/>
      <w:pPr>
        <w:tabs>
          <w:tab w:val="left" w:pos="399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562"/>
        </w:tabs>
        <w:ind w:left="5102" w:hanging="1700"/>
      </w:pPr>
      <w:rPr>
        <w:rFonts w:hint="eastAsia" w:cs="Times New Roman"/>
      </w:rPr>
    </w:lvl>
  </w:abstractNum>
  <w:abstractNum w:abstractNumId="2">
    <w:nsid w:val="39203F2C"/>
    <w:multiLevelType w:val="multilevel"/>
    <w:tmpl w:val="39203F2C"/>
    <w:lvl w:ilvl="0" w:tentative="0">
      <w:start w:val="1"/>
      <w:numFmt w:val="decimal"/>
      <w:pStyle w:val="38"/>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17E460F"/>
    <w:multiLevelType w:val="multilevel"/>
    <w:tmpl w:val="417E460F"/>
    <w:lvl w:ilvl="0" w:tentative="0">
      <w:start w:val="1"/>
      <w:numFmt w:val="decimal"/>
      <w:lvlText w:val="1.%1"/>
      <w:lvlJc w:val="left"/>
      <w:pPr>
        <w:ind w:left="425" w:hanging="425"/>
      </w:pPr>
      <w:rPr>
        <w:rFonts w:hint="eastAsia"/>
      </w:rPr>
    </w:lvl>
    <w:lvl w:ilvl="1" w:tentative="0">
      <w:start w:val="1"/>
      <w:numFmt w:val="decimal"/>
      <w:lvlText w:val="%1.%2."/>
      <w:lvlJc w:val="left"/>
      <w:pPr>
        <w:ind w:left="567" w:hanging="567"/>
      </w:pPr>
      <w:rPr>
        <w:b w:val="0"/>
        <w:sz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4E803EC1"/>
    <w:multiLevelType w:val="multilevel"/>
    <w:tmpl w:val="4E803EC1"/>
    <w:lvl w:ilvl="0" w:tentative="0">
      <w:start w:val="1"/>
      <w:numFmt w:val="decimal"/>
      <w:lvlText w:val="（%1）"/>
      <w:lvlJc w:val="left"/>
      <w:pPr>
        <w:ind w:left="900" w:hanging="420"/>
      </w:pPr>
      <w:rPr>
        <w:rFonts w:hint="default"/>
      </w:rPr>
    </w:lvl>
    <w:lvl w:ilvl="1" w:tentative="0">
      <w:start w:val="17"/>
      <w:numFmt w:val="decimal"/>
      <w:lvlText w:val="%2、"/>
      <w:lvlJc w:val="left"/>
      <w:pPr>
        <w:ind w:left="1368" w:hanging="468"/>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4EFF5D01"/>
    <w:multiLevelType w:val="multilevel"/>
    <w:tmpl w:val="4EFF5D01"/>
    <w:lvl w:ilvl="0" w:tentative="0">
      <w:start w:val="1"/>
      <w:numFmt w:val="decimal"/>
      <w:lvlText w:val="%1."/>
      <w:lvlJc w:val="left"/>
      <w:pPr>
        <w:ind w:left="425" w:hanging="425"/>
      </w:pPr>
      <w:rPr>
        <w:sz w:val="28"/>
        <w:szCs w:val="28"/>
      </w:rPr>
    </w:lvl>
    <w:lvl w:ilvl="1" w:tentative="0">
      <w:start w:val="1"/>
      <w:numFmt w:val="decimal"/>
      <w:lvlText w:val="%1.%2."/>
      <w:lvlJc w:val="left"/>
      <w:pPr>
        <w:ind w:left="1702"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79D94EB9"/>
    <w:multiLevelType w:val="multilevel"/>
    <w:tmpl w:val="79D94EB9"/>
    <w:lvl w:ilvl="0" w:tentative="0">
      <w:start w:val="1"/>
      <w:numFmt w:val="decimal"/>
      <w:lvlText w:val="%1"/>
      <w:lvlJc w:val="left"/>
      <w:pPr>
        <w:tabs>
          <w:tab w:val="left" w:pos="425"/>
        </w:tabs>
        <w:ind w:left="425" w:hanging="425"/>
      </w:pPr>
      <w:rPr>
        <w:rFonts w:hint="eastAsia" w:ascii="Times New Roman" w:hAnsi="Times New Roman" w:eastAsia="宋体" w:cs="Times New Roman"/>
        <w:b w:val="0"/>
        <w:color w:val="auto"/>
      </w:rPr>
    </w:lvl>
    <w:lvl w:ilvl="1" w:tentative="0">
      <w:start w:val="1"/>
      <w:numFmt w:val="decimal"/>
      <w:lvlText w:val="%1.%2"/>
      <w:lvlJc w:val="left"/>
      <w:pPr>
        <w:tabs>
          <w:tab w:val="left" w:pos="1512"/>
        </w:tabs>
        <w:ind w:left="1512" w:hanging="567"/>
      </w:pPr>
      <w:rPr>
        <w:rFonts w:hint="eastAsia" w:ascii="Times New Roman" w:hAnsi="Times New Roman" w:eastAsia="宋体" w:cs="Times New Roman"/>
        <w:b w:val="0"/>
        <w:color w:val="auto"/>
      </w:rPr>
    </w:lvl>
    <w:lvl w:ilvl="2" w:tentative="0">
      <w:start w:val="1"/>
      <w:numFmt w:val="decimal"/>
      <w:lvlText w:val="(%3)"/>
      <w:lvlJc w:val="left"/>
      <w:pPr>
        <w:tabs>
          <w:tab w:val="left" w:pos="1418"/>
        </w:tabs>
        <w:ind w:left="1418" w:hanging="567"/>
      </w:pPr>
      <w:rPr>
        <w:rFonts w:hint="default" w:cs="Times New Roman"/>
        <w:color w:val="auto"/>
      </w:rPr>
    </w:lvl>
    <w:lvl w:ilvl="3" w:tentative="0">
      <w:start w:val="1"/>
      <w:numFmt w:val="decimal"/>
      <w:lvlText w:val="9.1.%1.%2.%3.%4"/>
      <w:lvlJc w:val="left"/>
      <w:pPr>
        <w:tabs>
          <w:tab w:val="left" w:pos="2356"/>
        </w:tabs>
        <w:ind w:left="1984" w:hanging="708"/>
      </w:pPr>
      <w:rPr>
        <w:rFonts w:hint="eastAsia" w:cs="Times New Roman"/>
      </w:rPr>
    </w:lvl>
    <w:lvl w:ilvl="4" w:tentative="0">
      <w:start w:val="1"/>
      <w:numFmt w:val="decimal"/>
      <w:lvlText w:val="9.1.%1.%2.%3.%4.%5"/>
      <w:lvlJc w:val="left"/>
      <w:pPr>
        <w:tabs>
          <w:tab w:val="left" w:pos="2781"/>
        </w:tabs>
        <w:ind w:left="2551" w:hanging="850"/>
      </w:pPr>
      <w:rPr>
        <w:rFonts w:hint="eastAsia" w:cs="Times New Roman"/>
      </w:rPr>
    </w:lvl>
    <w:lvl w:ilvl="5" w:tentative="0">
      <w:start w:val="1"/>
      <w:numFmt w:val="none"/>
      <w:lvlText w:val=""/>
      <w:lvlJc w:val="left"/>
      <w:pPr>
        <w:tabs>
          <w:tab w:val="left" w:pos="3566"/>
        </w:tabs>
        <w:ind w:left="3260" w:hanging="1134"/>
      </w:pPr>
      <w:rPr>
        <w:rFonts w:hint="eastAsia" w:cs="Times New Roman"/>
      </w:rPr>
    </w:lvl>
    <w:lvl w:ilvl="6" w:tentative="0">
      <w:start w:val="1"/>
      <w:numFmt w:val="decimal"/>
      <w:lvlText w:val="%1.%2.%3.%4.%5.%6.%7"/>
      <w:lvlJc w:val="left"/>
      <w:pPr>
        <w:tabs>
          <w:tab w:val="left" w:pos="399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562"/>
        </w:tabs>
        <w:ind w:left="5102" w:hanging="1700"/>
      </w:pPr>
      <w:rPr>
        <w:rFonts w:hint="eastAsia" w:cs="Times New Roman"/>
      </w:rPr>
    </w:lvl>
  </w:abstractNum>
  <w:abstractNum w:abstractNumId="7">
    <w:nsid w:val="7CA10CFA"/>
    <w:multiLevelType w:val="multilevel"/>
    <w:tmpl w:val="7CA10CFA"/>
    <w:lvl w:ilvl="0" w:tentative="0">
      <w:start w:val="1"/>
      <w:numFmt w:val="decimal"/>
      <w:lvlText w:val="%1"/>
      <w:lvlJc w:val="left"/>
      <w:pPr>
        <w:tabs>
          <w:tab w:val="left" w:pos="425"/>
        </w:tabs>
        <w:ind w:left="425" w:hanging="425"/>
      </w:pPr>
      <w:rPr>
        <w:rFonts w:hint="eastAsia" w:ascii="Times New Roman" w:hAnsi="Times New Roman" w:eastAsia="宋体" w:cs="Times New Roman"/>
        <w:b w:val="0"/>
        <w:color w:val="auto"/>
      </w:rPr>
    </w:lvl>
    <w:lvl w:ilvl="1" w:tentative="0">
      <w:start w:val="1"/>
      <w:numFmt w:val="decimal"/>
      <w:lvlText w:val="%1.%2"/>
      <w:lvlJc w:val="left"/>
      <w:pPr>
        <w:tabs>
          <w:tab w:val="left" w:pos="1512"/>
        </w:tabs>
        <w:ind w:left="1512" w:hanging="567"/>
      </w:pPr>
      <w:rPr>
        <w:rFonts w:hint="eastAsia" w:ascii="Times New Roman" w:hAnsi="Times New Roman" w:eastAsia="宋体" w:cs="Times New Roman"/>
        <w:b w:val="0"/>
        <w:color w:val="auto"/>
      </w:rPr>
    </w:lvl>
    <w:lvl w:ilvl="2" w:tentative="0">
      <w:start w:val="1"/>
      <w:numFmt w:val="decimal"/>
      <w:lvlText w:val="(%3)"/>
      <w:lvlJc w:val="left"/>
      <w:pPr>
        <w:tabs>
          <w:tab w:val="left" w:pos="1418"/>
        </w:tabs>
        <w:ind w:left="1418" w:hanging="567"/>
      </w:pPr>
      <w:rPr>
        <w:rFonts w:hint="default" w:cs="Times New Roman"/>
        <w:color w:val="auto"/>
      </w:rPr>
    </w:lvl>
    <w:lvl w:ilvl="3" w:tentative="0">
      <w:start w:val="1"/>
      <w:numFmt w:val="decimal"/>
      <w:lvlText w:val="9.1.%1.%2.%3.%4"/>
      <w:lvlJc w:val="left"/>
      <w:pPr>
        <w:tabs>
          <w:tab w:val="left" w:pos="2356"/>
        </w:tabs>
        <w:ind w:left="1984" w:hanging="708"/>
      </w:pPr>
      <w:rPr>
        <w:rFonts w:hint="eastAsia" w:cs="Times New Roman"/>
      </w:rPr>
    </w:lvl>
    <w:lvl w:ilvl="4" w:tentative="0">
      <w:start w:val="1"/>
      <w:numFmt w:val="decimal"/>
      <w:lvlText w:val="9.1.%1.%2.%3.%4.%5"/>
      <w:lvlJc w:val="left"/>
      <w:pPr>
        <w:tabs>
          <w:tab w:val="left" w:pos="2781"/>
        </w:tabs>
        <w:ind w:left="2551" w:hanging="850"/>
      </w:pPr>
      <w:rPr>
        <w:rFonts w:hint="eastAsia" w:cs="Times New Roman"/>
      </w:rPr>
    </w:lvl>
    <w:lvl w:ilvl="5" w:tentative="0">
      <w:start w:val="1"/>
      <w:numFmt w:val="none"/>
      <w:lvlText w:val=""/>
      <w:lvlJc w:val="left"/>
      <w:pPr>
        <w:tabs>
          <w:tab w:val="left" w:pos="3566"/>
        </w:tabs>
        <w:ind w:left="3260" w:hanging="1134"/>
      </w:pPr>
      <w:rPr>
        <w:rFonts w:hint="eastAsia" w:cs="Times New Roman"/>
      </w:rPr>
    </w:lvl>
    <w:lvl w:ilvl="6" w:tentative="0">
      <w:start w:val="1"/>
      <w:numFmt w:val="decimal"/>
      <w:lvlText w:val="%1.%2.%3.%4.%5.%6.%7"/>
      <w:lvlJc w:val="left"/>
      <w:pPr>
        <w:tabs>
          <w:tab w:val="left" w:pos="3991"/>
        </w:tabs>
        <w:ind w:left="3827" w:hanging="1276"/>
      </w:pPr>
      <w:rPr>
        <w:rFonts w:hint="eastAsia" w:cs="Times New Roman"/>
      </w:rPr>
    </w:lvl>
    <w:lvl w:ilvl="7" w:tentative="0">
      <w:start w:val="1"/>
      <w:numFmt w:val="decimal"/>
      <w:lvlText w:val="%1.%2.%3.%4.%5.%6.%7.%8"/>
      <w:lvlJc w:val="left"/>
      <w:pPr>
        <w:tabs>
          <w:tab w:val="left" w:pos="4776"/>
        </w:tabs>
        <w:ind w:left="4394" w:hanging="1418"/>
      </w:pPr>
      <w:rPr>
        <w:rFonts w:hint="eastAsia" w:cs="Times New Roman"/>
      </w:rPr>
    </w:lvl>
    <w:lvl w:ilvl="8" w:tentative="0">
      <w:start w:val="1"/>
      <w:numFmt w:val="decimal"/>
      <w:lvlText w:val="%1.%2.%3.%4.%5.%6.%7.%8.%9"/>
      <w:lvlJc w:val="left"/>
      <w:pPr>
        <w:tabs>
          <w:tab w:val="left" w:pos="5562"/>
        </w:tabs>
        <w:ind w:left="5102" w:hanging="1700"/>
      </w:pPr>
      <w:rPr>
        <w:rFonts w:hint="eastAsia" w:cs="Times New Roman"/>
      </w:rPr>
    </w:lvl>
  </w:abstractNum>
  <w:num w:numId="1">
    <w:abstractNumId w:val="2"/>
  </w:num>
  <w:num w:numId="2">
    <w:abstractNumId w:val="5"/>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70"/>
  <w:drawingGridVerticalSpacing w:val="231"/>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zhjMjRlZTFmOWZiMjdmMzIxZWFhNDUyNzI2ZjcifQ=="/>
  </w:docVars>
  <w:rsids>
    <w:rsidRoot w:val="00703E97"/>
    <w:rsid w:val="00000CF3"/>
    <w:rsid w:val="0000357E"/>
    <w:rsid w:val="000040ED"/>
    <w:rsid w:val="00005F5B"/>
    <w:rsid w:val="00006472"/>
    <w:rsid w:val="00010386"/>
    <w:rsid w:val="00010D4A"/>
    <w:rsid w:val="00012512"/>
    <w:rsid w:val="0001270F"/>
    <w:rsid w:val="00012B23"/>
    <w:rsid w:val="0001327B"/>
    <w:rsid w:val="000145C7"/>
    <w:rsid w:val="00015969"/>
    <w:rsid w:val="00020615"/>
    <w:rsid w:val="00023E2C"/>
    <w:rsid w:val="000248C3"/>
    <w:rsid w:val="00025EC8"/>
    <w:rsid w:val="00026E87"/>
    <w:rsid w:val="000276AB"/>
    <w:rsid w:val="00030434"/>
    <w:rsid w:val="00030AA9"/>
    <w:rsid w:val="000323B1"/>
    <w:rsid w:val="0003251E"/>
    <w:rsid w:val="00032A84"/>
    <w:rsid w:val="00035087"/>
    <w:rsid w:val="0003587B"/>
    <w:rsid w:val="000371FA"/>
    <w:rsid w:val="000400C5"/>
    <w:rsid w:val="0004022E"/>
    <w:rsid w:val="00041C76"/>
    <w:rsid w:val="00044258"/>
    <w:rsid w:val="00045D9C"/>
    <w:rsid w:val="0004660F"/>
    <w:rsid w:val="00047086"/>
    <w:rsid w:val="00047B9C"/>
    <w:rsid w:val="0005165E"/>
    <w:rsid w:val="0005226B"/>
    <w:rsid w:val="00052C65"/>
    <w:rsid w:val="0005355F"/>
    <w:rsid w:val="00056964"/>
    <w:rsid w:val="00057D7F"/>
    <w:rsid w:val="00061437"/>
    <w:rsid w:val="00063D74"/>
    <w:rsid w:val="00064EFF"/>
    <w:rsid w:val="0006585A"/>
    <w:rsid w:val="00065D60"/>
    <w:rsid w:val="00066031"/>
    <w:rsid w:val="00066CAF"/>
    <w:rsid w:val="00067AAD"/>
    <w:rsid w:val="00070547"/>
    <w:rsid w:val="00072394"/>
    <w:rsid w:val="00072962"/>
    <w:rsid w:val="00072AB5"/>
    <w:rsid w:val="000732A9"/>
    <w:rsid w:val="0007347D"/>
    <w:rsid w:val="00082662"/>
    <w:rsid w:val="000830C1"/>
    <w:rsid w:val="00090BD5"/>
    <w:rsid w:val="000911C5"/>
    <w:rsid w:val="00091396"/>
    <w:rsid w:val="000921B7"/>
    <w:rsid w:val="00094303"/>
    <w:rsid w:val="00094A34"/>
    <w:rsid w:val="0009516F"/>
    <w:rsid w:val="00095EE5"/>
    <w:rsid w:val="00096FA4"/>
    <w:rsid w:val="000974ED"/>
    <w:rsid w:val="000A0C18"/>
    <w:rsid w:val="000A0DB0"/>
    <w:rsid w:val="000A5483"/>
    <w:rsid w:val="000B0B1B"/>
    <w:rsid w:val="000B1438"/>
    <w:rsid w:val="000B17AF"/>
    <w:rsid w:val="000B2E65"/>
    <w:rsid w:val="000B767F"/>
    <w:rsid w:val="000B7B04"/>
    <w:rsid w:val="000C1488"/>
    <w:rsid w:val="000C2A84"/>
    <w:rsid w:val="000C6F6B"/>
    <w:rsid w:val="000D0BD8"/>
    <w:rsid w:val="000D26AC"/>
    <w:rsid w:val="000D2B5E"/>
    <w:rsid w:val="000D3DAF"/>
    <w:rsid w:val="000D455F"/>
    <w:rsid w:val="000D5121"/>
    <w:rsid w:val="000D67D7"/>
    <w:rsid w:val="000D7CF7"/>
    <w:rsid w:val="000E1073"/>
    <w:rsid w:val="000E1FF4"/>
    <w:rsid w:val="000E2F62"/>
    <w:rsid w:val="000E3A0B"/>
    <w:rsid w:val="000E495C"/>
    <w:rsid w:val="000E4E31"/>
    <w:rsid w:val="000E4E88"/>
    <w:rsid w:val="000E6E8E"/>
    <w:rsid w:val="000E715D"/>
    <w:rsid w:val="000E76B0"/>
    <w:rsid w:val="000F0767"/>
    <w:rsid w:val="000F2119"/>
    <w:rsid w:val="000F2D8A"/>
    <w:rsid w:val="000F403B"/>
    <w:rsid w:val="000F57A2"/>
    <w:rsid w:val="000F64D8"/>
    <w:rsid w:val="000F680D"/>
    <w:rsid w:val="000F6F22"/>
    <w:rsid w:val="000F70B4"/>
    <w:rsid w:val="00101B34"/>
    <w:rsid w:val="00102E91"/>
    <w:rsid w:val="00102EE5"/>
    <w:rsid w:val="001035CF"/>
    <w:rsid w:val="0010492E"/>
    <w:rsid w:val="00106795"/>
    <w:rsid w:val="001072A9"/>
    <w:rsid w:val="001077B3"/>
    <w:rsid w:val="00107E58"/>
    <w:rsid w:val="00110719"/>
    <w:rsid w:val="001110E6"/>
    <w:rsid w:val="001112FE"/>
    <w:rsid w:val="00111703"/>
    <w:rsid w:val="00112032"/>
    <w:rsid w:val="001150A8"/>
    <w:rsid w:val="00115654"/>
    <w:rsid w:val="00121F63"/>
    <w:rsid w:val="0012637F"/>
    <w:rsid w:val="001305D5"/>
    <w:rsid w:val="00132F60"/>
    <w:rsid w:val="00134A67"/>
    <w:rsid w:val="00135662"/>
    <w:rsid w:val="001357CE"/>
    <w:rsid w:val="00135A53"/>
    <w:rsid w:val="00135B7E"/>
    <w:rsid w:val="001362E5"/>
    <w:rsid w:val="001364B3"/>
    <w:rsid w:val="00136CBC"/>
    <w:rsid w:val="00137C75"/>
    <w:rsid w:val="00137FA1"/>
    <w:rsid w:val="00142443"/>
    <w:rsid w:val="00142DB4"/>
    <w:rsid w:val="0014390A"/>
    <w:rsid w:val="00143DED"/>
    <w:rsid w:val="001441EE"/>
    <w:rsid w:val="00144A73"/>
    <w:rsid w:val="00144DF1"/>
    <w:rsid w:val="0014563C"/>
    <w:rsid w:val="00146485"/>
    <w:rsid w:val="00147C9D"/>
    <w:rsid w:val="00147F20"/>
    <w:rsid w:val="0015009B"/>
    <w:rsid w:val="00150401"/>
    <w:rsid w:val="00152D04"/>
    <w:rsid w:val="0015307F"/>
    <w:rsid w:val="001544DF"/>
    <w:rsid w:val="00154FD5"/>
    <w:rsid w:val="00161507"/>
    <w:rsid w:val="00161B22"/>
    <w:rsid w:val="0016243A"/>
    <w:rsid w:val="001627E4"/>
    <w:rsid w:val="00163BF6"/>
    <w:rsid w:val="00164FE5"/>
    <w:rsid w:val="001668EE"/>
    <w:rsid w:val="00166AE7"/>
    <w:rsid w:val="00166B20"/>
    <w:rsid w:val="001708B8"/>
    <w:rsid w:val="00170CCC"/>
    <w:rsid w:val="00176778"/>
    <w:rsid w:val="00176BB0"/>
    <w:rsid w:val="00180437"/>
    <w:rsid w:val="00180F02"/>
    <w:rsid w:val="001815C9"/>
    <w:rsid w:val="00182815"/>
    <w:rsid w:val="00182C2F"/>
    <w:rsid w:val="00183157"/>
    <w:rsid w:val="00183B8A"/>
    <w:rsid w:val="00183EB1"/>
    <w:rsid w:val="00184796"/>
    <w:rsid w:val="00186BB6"/>
    <w:rsid w:val="00187898"/>
    <w:rsid w:val="00187AEF"/>
    <w:rsid w:val="001904C6"/>
    <w:rsid w:val="00190E3E"/>
    <w:rsid w:val="001933E0"/>
    <w:rsid w:val="00193A2A"/>
    <w:rsid w:val="00194E92"/>
    <w:rsid w:val="0019788C"/>
    <w:rsid w:val="001A18EA"/>
    <w:rsid w:val="001A5466"/>
    <w:rsid w:val="001A59F3"/>
    <w:rsid w:val="001A606B"/>
    <w:rsid w:val="001A6E5F"/>
    <w:rsid w:val="001B4FF3"/>
    <w:rsid w:val="001B799F"/>
    <w:rsid w:val="001C0319"/>
    <w:rsid w:val="001C05A8"/>
    <w:rsid w:val="001C0A03"/>
    <w:rsid w:val="001C0BA7"/>
    <w:rsid w:val="001C19C4"/>
    <w:rsid w:val="001C1F18"/>
    <w:rsid w:val="001C2F04"/>
    <w:rsid w:val="001C3453"/>
    <w:rsid w:val="001C3E22"/>
    <w:rsid w:val="001C6DD2"/>
    <w:rsid w:val="001D03A5"/>
    <w:rsid w:val="001D27A4"/>
    <w:rsid w:val="001D37F5"/>
    <w:rsid w:val="001D4A61"/>
    <w:rsid w:val="001D6905"/>
    <w:rsid w:val="001D7F32"/>
    <w:rsid w:val="001E538A"/>
    <w:rsid w:val="001E63FE"/>
    <w:rsid w:val="001E6537"/>
    <w:rsid w:val="001E6A4F"/>
    <w:rsid w:val="001E76EF"/>
    <w:rsid w:val="001F127C"/>
    <w:rsid w:val="001F226E"/>
    <w:rsid w:val="001F22A0"/>
    <w:rsid w:val="001F4ACE"/>
    <w:rsid w:val="001F4D3A"/>
    <w:rsid w:val="001F5273"/>
    <w:rsid w:val="001F529D"/>
    <w:rsid w:val="001F5497"/>
    <w:rsid w:val="001F5620"/>
    <w:rsid w:val="001F6D9F"/>
    <w:rsid w:val="0020067A"/>
    <w:rsid w:val="00200FF6"/>
    <w:rsid w:val="00202659"/>
    <w:rsid w:val="00204FF9"/>
    <w:rsid w:val="0020552C"/>
    <w:rsid w:val="00205BFE"/>
    <w:rsid w:val="00206219"/>
    <w:rsid w:val="0020790A"/>
    <w:rsid w:val="00210866"/>
    <w:rsid w:val="002111D6"/>
    <w:rsid w:val="0021123C"/>
    <w:rsid w:val="0021338D"/>
    <w:rsid w:val="00214240"/>
    <w:rsid w:val="0021545D"/>
    <w:rsid w:val="00215E43"/>
    <w:rsid w:val="00217898"/>
    <w:rsid w:val="00220355"/>
    <w:rsid w:val="00220BBB"/>
    <w:rsid w:val="00221FF8"/>
    <w:rsid w:val="00223079"/>
    <w:rsid w:val="00223252"/>
    <w:rsid w:val="00227897"/>
    <w:rsid w:val="002308C7"/>
    <w:rsid w:val="002308D0"/>
    <w:rsid w:val="002312BD"/>
    <w:rsid w:val="0023297A"/>
    <w:rsid w:val="00232BC4"/>
    <w:rsid w:val="00233344"/>
    <w:rsid w:val="002342FC"/>
    <w:rsid w:val="00235A3A"/>
    <w:rsid w:val="00236EA1"/>
    <w:rsid w:val="00236EE2"/>
    <w:rsid w:val="00237D0C"/>
    <w:rsid w:val="00240B2E"/>
    <w:rsid w:val="0024132B"/>
    <w:rsid w:val="002414B6"/>
    <w:rsid w:val="0024230C"/>
    <w:rsid w:val="002437C9"/>
    <w:rsid w:val="00250C84"/>
    <w:rsid w:val="00250F8E"/>
    <w:rsid w:val="002559D3"/>
    <w:rsid w:val="00256918"/>
    <w:rsid w:val="00256D0F"/>
    <w:rsid w:val="00256E81"/>
    <w:rsid w:val="00257F32"/>
    <w:rsid w:val="00260C4A"/>
    <w:rsid w:val="002644B5"/>
    <w:rsid w:val="00266DA3"/>
    <w:rsid w:val="00267B75"/>
    <w:rsid w:val="00270129"/>
    <w:rsid w:val="00270FDC"/>
    <w:rsid w:val="0027135D"/>
    <w:rsid w:val="00271677"/>
    <w:rsid w:val="00272640"/>
    <w:rsid w:val="002729CD"/>
    <w:rsid w:val="00272EA9"/>
    <w:rsid w:val="00274CA9"/>
    <w:rsid w:val="00280B7C"/>
    <w:rsid w:val="002819F1"/>
    <w:rsid w:val="00281E22"/>
    <w:rsid w:val="00286FE9"/>
    <w:rsid w:val="002877BB"/>
    <w:rsid w:val="002879DE"/>
    <w:rsid w:val="00287BF4"/>
    <w:rsid w:val="00287DF4"/>
    <w:rsid w:val="00290D0A"/>
    <w:rsid w:val="00291399"/>
    <w:rsid w:val="00291EBE"/>
    <w:rsid w:val="002931DB"/>
    <w:rsid w:val="00296339"/>
    <w:rsid w:val="00296975"/>
    <w:rsid w:val="002A25EB"/>
    <w:rsid w:val="002A2CF8"/>
    <w:rsid w:val="002A2E01"/>
    <w:rsid w:val="002A4B2D"/>
    <w:rsid w:val="002A5D5C"/>
    <w:rsid w:val="002A741B"/>
    <w:rsid w:val="002A7672"/>
    <w:rsid w:val="002B0C44"/>
    <w:rsid w:val="002B230A"/>
    <w:rsid w:val="002B2B4B"/>
    <w:rsid w:val="002B3566"/>
    <w:rsid w:val="002B51A0"/>
    <w:rsid w:val="002B5FAC"/>
    <w:rsid w:val="002B67E8"/>
    <w:rsid w:val="002B6878"/>
    <w:rsid w:val="002B6DF7"/>
    <w:rsid w:val="002B6E2A"/>
    <w:rsid w:val="002B7DF3"/>
    <w:rsid w:val="002B7E8C"/>
    <w:rsid w:val="002C0B7A"/>
    <w:rsid w:val="002C0FE1"/>
    <w:rsid w:val="002C1E61"/>
    <w:rsid w:val="002C2BB3"/>
    <w:rsid w:val="002C54C0"/>
    <w:rsid w:val="002C5EEE"/>
    <w:rsid w:val="002D0058"/>
    <w:rsid w:val="002D072F"/>
    <w:rsid w:val="002D0D33"/>
    <w:rsid w:val="002D2711"/>
    <w:rsid w:val="002D3283"/>
    <w:rsid w:val="002D4660"/>
    <w:rsid w:val="002D50F3"/>
    <w:rsid w:val="002D5D36"/>
    <w:rsid w:val="002E0124"/>
    <w:rsid w:val="002E032F"/>
    <w:rsid w:val="002E036E"/>
    <w:rsid w:val="002E092B"/>
    <w:rsid w:val="002E157A"/>
    <w:rsid w:val="002E4BFE"/>
    <w:rsid w:val="002E57F1"/>
    <w:rsid w:val="002E688A"/>
    <w:rsid w:val="002E6C89"/>
    <w:rsid w:val="002E7AD4"/>
    <w:rsid w:val="002F0624"/>
    <w:rsid w:val="002F10D2"/>
    <w:rsid w:val="002F115E"/>
    <w:rsid w:val="002F202B"/>
    <w:rsid w:val="002F29B9"/>
    <w:rsid w:val="002F3ACB"/>
    <w:rsid w:val="002F402D"/>
    <w:rsid w:val="002F5182"/>
    <w:rsid w:val="002F71A6"/>
    <w:rsid w:val="00300BAD"/>
    <w:rsid w:val="003010DB"/>
    <w:rsid w:val="0030230D"/>
    <w:rsid w:val="003030D3"/>
    <w:rsid w:val="00303910"/>
    <w:rsid w:val="00307259"/>
    <w:rsid w:val="003079BF"/>
    <w:rsid w:val="00307BFD"/>
    <w:rsid w:val="00311BB6"/>
    <w:rsid w:val="00311FCE"/>
    <w:rsid w:val="00315C15"/>
    <w:rsid w:val="00315D5B"/>
    <w:rsid w:val="00316965"/>
    <w:rsid w:val="00316FAF"/>
    <w:rsid w:val="0032252A"/>
    <w:rsid w:val="0032561A"/>
    <w:rsid w:val="003261CD"/>
    <w:rsid w:val="00327303"/>
    <w:rsid w:val="00327E81"/>
    <w:rsid w:val="00330258"/>
    <w:rsid w:val="00330F20"/>
    <w:rsid w:val="003315AC"/>
    <w:rsid w:val="0033363C"/>
    <w:rsid w:val="00335B70"/>
    <w:rsid w:val="00336A88"/>
    <w:rsid w:val="00337065"/>
    <w:rsid w:val="00345DAC"/>
    <w:rsid w:val="00347A6D"/>
    <w:rsid w:val="0035085F"/>
    <w:rsid w:val="003521AF"/>
    <w:rsid w:val="003546BE"/>
    <w:rsid w:val="0035508E"/>
    <w:rsid w:val="00355496"/>
    <w:rsid w:val="00355714"/>
    <w:rsid w:val="00355ED7"/>
    <w:rsid w:val="00357741"/>
    <w:rsid w:val="00357EA9"/>
    <w:rsid w:val="00357FF3"/>
    <w:rsid w:val="00360E5F"/>
    <w:rsid w:val="00361889"/>
    <w:rsid w:val="00361D47"/>
    <w:rsid w:val="00361F5A"/>
    <w:rsid w:val="00367750"/>
    <w:rsid w:val="0037111F"/>
    <w:rsid w:val="0037496B"/>
    <w:rsid w:val="00375647"/>
    <w:rsid w:val="003760A1"/>
    <w:rsid w:val="00377363"/>
    <w:rsid w:val="00377A64"/>
    <w:rsid w:val="00386745"/>
    <w:rsid w:val="00387D2D"/>
    <w:rsid w:val="00391D10"/>
    <w:rsid w:val="00392FFE"/>
    <w:rsid w:val="003947DB"/>
    <w:rsid w:val="003955AA"/>
    <w:rsid w:val="003973BD"/>
    <w:rsid w:val="003A1AD9"/>
    <w:rsid w:val="003A22B7"/>
    <w:rsid w:val="003A4FF6"/>
    <w:rsid w:val="003B0D2F"/>
    <w:rsid w:val="003B0F24"/>
    <w:rsid w:val="003B15AB"/>
    <w:rsid w:val="003B2F29"/>
    <w:rsid w:val="003C298F"/>
    <w:rsid w:val="003C2BBA"/>
    <w:rsid w:val="003C2D70"/>
    <w:rsid w:val="003C3341"/>
    <w:rsid w:val="003C3F8E"/>
    <w:rsid w:val="003C491A"/>
    <w:rsid w:val="003C4AA3"/>
    <w:rsid w:val="003C57E2"/>
    <w:rsid w:val="003C5B4B"/>
    <w:rsid w:val="003C6213"/>
    <w:rsid w:val="003C7644"/>
    <w:rsid w:val="003D11DE"/>
    <w:rsid w:val="003D4350"/>
    <w:rsid w:val="003D6508"/>
    <w:rsid w:val="003E0579"/>
    <w:rsid w:val="003E0AD0"/>
    <w:rsid w:val="003E0B6A"/>
    <w:rsid w:val="003E3597"/>
    <w:rsid w:val="003E4BD5"/>
    <w:rsid w:val="003E62B1"/>
    <w:rsid w:val="003F1301"/>
    <w:rsid w:val="003F225B"/>
    <w:rsid w:val="003F3813"/>
    <w:rsid w:val="003F4B83"/>
    <w:rsid w:val="003F7FE8"/>
    <w:rsid w:val="004003FF"/>
    <w:rsid w:val="00400558"/>
    <w:rsid w:val="0040473A"/>
    <w:rsid w:val="0040502C"/>
    <w:rsid w:val="00405618"/>
    <w:rsid w:val="004066D9"/>
    <w:rsid w:val="00407C52"/>
    <w:rsid w:val="00407F9D"/>
    <w:rsid w:val="004149FA"/>
    <w:rsid w:val="004167EB"/>
    <w:rsid w:val="004171CF"/>
    <w:rsid w:val="00417D33"/>
    <w:rsid w:val="0042027C"/>
    <w:rsid w:val="004238B9"/>
    <w:rsid w:val="00424950"/>
    <w:rsid w:val="0042621A"/>
    <w:rsid w:val="0042654F"/>
    <w:rsid w:val="0042743A"/>
    <w:rsid w:val="00430DE3"/>
    <w:rsid w:val="0043223B"/>
    <w:rsid w:val="00432687"/>
    <w:rsid w:val="004363D6"/>
    <w:rsid w:val="00436564"/>
    <w:rsid w:val="0043657C"/>
    <w:rsid w:val="00442D79"/>
    <w:rsid w:val="00442FB3"/>
    <w:rsid w:val="00443D6D"/>
    <w:rsid w:val="004471DA"/>
    <w:rsid w:val="00452234"/>
    <w:rsid w:val="004531D7"/>
    <w:rsid w:val="00454FFE"/>
    <w:rsid w:val="004574C8"/>
    <w:rsid w:val="004577D8"/>
    <w:rsid w:val="00457FB3"/>
    <w:rsid w:val="004601BD"/>
    <w:rsid w:val="00461BFE"/>
    <w:rsid w:val="00461D00"/>
    <w:rsid w:val="004637CB"/>
    <w:rsid w:val="00467D2F"/>
    <w:rsid w:val="00471131"/>
    <w:rsid w:val="004714E4"/>
    <w:rsid w:val="00471C20"/>
    <w:rsid w:val="004754A5"/>
    <w:rsid w:val="00477AE7"/>
    <w:rsid w:val="00484BB8"/>
    <w:rsid w:val="004855E1"/>
    <w:rsid w:val="00485931"/>
    <w:rsid w:val="00485FE2"/>
    <w:rsid w:val="00486130"/>
    <w:rsid w:val="0048659D"/>
    <w:rsid w:val="0048696E"/>
    <w:rsid w:val="00490CFB"/>
    <w:rsid w:val="00492192"/>
    <w:rsid w:val="00494AD0"/>
    <w:rsid w:val="004950B3"/>
    <w:rsid w:val="00495D59"/>
    <w:rsid w:val="00496DAB"/>
    <w:rsid w:val="004A035F"/>
    <w:rsid w:val="004A0C53"/>
    <w:rsid w:val="004A18DB"/>
    <w:rsid w:val="004A5BF2"/>
    <w:rsid w:val="004B106F"/>
    <w:rsid w:val="004B127C"/>
    <w:rsid w:val="004B24D8"/>
    <w:rsid w:val="004B46DB"/>
    <w:rsid w:val="004B654F"/>
    <w:rsid w:val="004B6C02"/>
    <w:rsid w:val="004B70C8"/>
    <w:rsid w:val="004C3350"/>
    <w:rsid w:val="004C3F09"/>
    <w:rsid w:val="004D0BB0"/>
    <w:rsid w:val="004D0E95"/>
    <w:rsid w:val="004D12C1"/>
    <w:rsid w:val="004D1322"/>
    <w:rsid w:val="004D3F50"/>
    <w:rsid w:val="004D7246"/>
    <w:rsid w:val="004E08EC"/>
    <w:rsid w:val="004E096F"/>
    <w:rsid w:val="004E1D82"/>
    <w:rsid w:val="004E6961"/>
    <w:rsid w:val="004F01F0"/>
    <w:rsid w:val="004F0924"/>
    <w:rsid w:val="004F299F"/>
    <w:rsid w:val="004F36C0"/>
    <w:rsid w:val="004F38B9"/>
    <w:rsid w:val="0050023C"/>
    <w:rsid w:val="0050342F"/>
    <w:rsid w:val="00504E11"/>
    <w:rsid w:val="0050780B"/>
    <w:rsid w:val="005078C2"/>
    <w:rsid w:val="005105E0"/>
    <w:rsid w:val="00512031"/>
    <w:rsid w:val="00512E42"/>
    <w:rsid w:val="005157AD"/>
    <w:rsid w:val="005161F6"/>
    <w:rsid w:val="00517081"/>
    <w:rsid w:val="00521803"/>
    <w:rsid w:val="00521D88"/>
    <w:rsid w:val="00522C28"/>
    <w:rsid w:val="005263C2"/>
    <w:rsid w:val="00526BC8"/>
    <w:rsid w:val="00526DAA"/>
    <w:rsid w:val="005274E5"/>
    <w:rsid w:val="005306CD"/>
    <w:rsid w:val="005324D9"/>
    <w:rsid w:val="0053265C"/>
    <w:rsid w:val="00533876"/>
    <w:rsid w:val="005364DC"/>
    <w:rsid w:val="005371D5"/>
    <w:rsid w:val="00537A67"/>
    <w:rsid w:val="00541E6D"/>
    <w:rsid w:val="00542A58"/>
    <w:rsid w:val="00542F95"/>
    <w:rsid w:val="00543A23"/>
    <w:rsid w:val="00544957"/>
    <w:rsid w:val="0054508D"/>
    <w:rsid w:val="00545A81"/>
    <w:rsid w:val="00550B0A"/>
    <w:rsid w:val="00551C19"/>
    <w:rsid w:val="00552383"/>
    <w:rsid w:val="00553B59"/>
    <w:rsid w:val="005566CC"/>
    <w:rsid w:val="00556BDF"/>
    <w:rsid w:val="005607FE"/>
    <w:rsid w:val="00560C77"/>
    <w:rsid w:val="00562690"/>
    <w:rsid w:val="00563990"/>
    <w:rsid w:val="00564CBF"/>
    <w:rsid w:val="005653C1"/>
    <w:rsid w:val="00570539"/>
    <w:rsid w:val="005711D5"/>
    <w:rsid w:val="0057198C"/>
    <w:rsid w:val="00571F5D"/>
    <w:rsid w:val="00572B10"/>
    <w:rsid w:val="0057308B"/>
    <w:rsid w:val="00573CE5"/>
    <w:rsid w:val="0057460F"/>
    <w:rsid w:val="00574E47"/>
    <w:rsid w:val="00575C1D"/>
    <w:rsid w:val="00576DBE"/>
    <w:rsid w:val="0058052A"/>
    <w:rsid w:val="00580ED9"/>
    <w:rsid w:val="00583A05"/>
    <w:rsid w:val="005841FD"/>
    <w:rsid w:val="00584623"/>
    <w:rsid w:val="00587A76"/>
    <w:rsid w:val="00587E7F"/>
    <w:rsid w:val="00590610"/>
    <w:rsid w:val="005908ED"/>
    <w:rsid w:val="00590CB8"/>
    <w:rsid w:val="00591744"/>
    <w:rsid w:val="005917AC"/>
    <w:rsid w:val="00591FE4"/>
    <w:rsid w:val="005965AA"/>
    <w:rsid w:val="005A337A"/>
    <w:rsid w:val="005A3549"/>
    <w:rsid w:val="005A42E6"/>
    <w:rsid w:val="005A5AA2"/>
    <w:rsid w:val="005A5DC1"/>
    <w:rsid w:val="005A7D0A"/>
    <w:rsid w:val="005B1371"/>
    <w:rsid w:val="005B1771"/>
    <w:rsid w:val="005B2C6C"/>
    <w:rsid w:val="005B334A"/>
    <w:rsid w:val="005B5A97"/>
    <w:rsid w:val="005B607D"/>
    <w:rsid w:val="005B7E82"/>
    <w:rsid w:val="005C0385"/>
    <w:rsid w:val="005C2202"/>
    <w:rsid w:val="005C3547"/>
    <w:rsid w:val="005C3726"/>
    <w:rsid w:val="005C60C3"/>
    <w:rsid w:val="005C6195"/>
    <w:rsid w:val="005C7CBD"/>
    <w:rsid w:val="005D0C2A"/>
    <w:rsid w:val="005D4077"/>
    <w:rsid w:val="005D47A0"/>
    <w:rsid w:val="005D4ADC"/>
    <w:rsid w:val="005D5BF2"/>
    <w:rsid w:val="005D5EF6"/>
    <w:rsid w:val="005D65C8"/>
    <w:rsid w:val="005E1357"/>
    <w:rsid w:val="005E26CF"/>
    <w:rsid w:val="005E693F"/>
    <w:rsid w:val="005E74AE"/>
    <w:rsid w:val="005E7AF4"/>
    <w:rsid w:val="005F0AB9"/>
    <w:rsid w:val="005F163C"/>
    <w:rsid w:val="005F2D59"/>
    <w:rsid w:val="005F3148"/>
    <w:rsid w:val="005F31C3"/>
    <w:rsid w:val="005F3677"/>
    <w:rsid w:val="005F3776"/>
    <w:rsid w:val="005F49EB"/>
    <w:rsid w:val="006004D2"/>
    <w:rsid w:val="00600E6F"/>
    <w:rsid w:val="00601E13"/>
    <w:rsid w:val="00602492"/>
    <w:rsid w:val="00603044"/>
    <w:rsid w:val="00605F0F"/>
    <w:rsid w:val="00607D9B"/>
    <w:rsid w:val="0061007F"/>
    <w:rsid w:val="006108D3"/>
    <w:rsid w:val="00611610"/>
    <w:rsid w:val="00612151"/>
    <w:rsid w:val="00612CB6"/>
    <w:rsid w:val="0061439E"/>
    <w:rsid w:val="00615B6E"/>
    <w:rsid w:val="00617834"/>
    <w:rsid w:val="006179C6"/>
    <w:rsid w:val="00617C8E"/>
    <w:rsid w:val="00620ED8"/>
    <w:rsid w:val="006216AF"/>
    <w:rsid w:val="00623209"/>
    <w:rsid w:val="00623B95"/>
    <w:rsid w:val="00624E05"/>
    <w:rsid w:val="006255E8"/>
    <w:rsid w:val="00626A4B"/>
    <w:rsid w:val="00627C4F"/>
    <w:rsid w:val="00630439"/>
    <w:rsid w:val="00630BD6"/>
    <w:rsid w:val="006318BC"/>
    <w:rsid w:val="00632CBE"/>
    <w:rsid w:val="00633219"/>
    <w:rsid w:val="006343A9"/>
    <w:rsid w:val="00634764"/>
    <w:rsid w:val="006347A4"/>
    <w:rsid w:val="00637B12"/>
    <w:rsid w:val="00640542"/>
    <w:rsid w:val="0064266D"/>
    <w:rsid w:val="006435B9"/>
    <w:rsid w:val="00647E76"/>
    <w:rsid w:val="00653509"/>
    <w:rsid w:val="00654089"/>
    <w:rsid w:val="00654486"/>
    <w:rsid w:val="006576B5"/>
    <w:rsid w:val="006613E8"/>
    <w:rsid w:val="00661573"/>
    <w:rsid w:val="00662E99"/>
    <w:rsid w:val="00663BF4"/>
    <w:rsid w:val="00664653"/>
    <w:rsid w:val="00664C0A"/>
    <w:rsid w:val="00664FD7"/>
    <w:rsid w:val="0066752E"/>
    <w:rsid w:val="00667E54"/>
    <w:rsid w:val="00670BF6"/>
    <w:rsid w:val="00670CEE"/>
    <w:rsid w:val="00670E21"/>
    <w:rsid w:val="0067420C"/>
    <w:rsid w:val="00675002"/>
    <w:rsid w:val="00680D3D"/>
    <w:rsid w:val="006825CB"/>
    <w:rsid w:val="00682A18"/>
    <w:rsid w:val="00682EBD"/>
    <w:rsid w:val="00683A9B"/>
    <w:rsid w:val="006840BF"/>
    <w:rsid w:val="00684865"/>
    <w:rsid w:val="0068494C"/>
    <w:rsid w:val="00690A93"/>
    <w:rsid w:val="00692217"/>
    <w:rsid w:val="00692956"/>
    <w:rsid w:val="00695F38"/>
    <w:rsid w:val="0069660A"/>
    <w:rsid w:val="00696C11"/>
    <w:rsid w:val="006A2116"/>
    <w:rsid w:val="006A380E"/>
    <w:rsid w:val="006A391D"/>
    <w:rsid w:val="006A43C9"/>
    <w:rsid w:val="006A4EB1"/>
    <w:rsid w:val="006A7191"/>
    <w:rsid w:val="006B0452"/>
    <w:rsid w:val="006B3A33"/>
    <w:rsid w:val="006B416C"/>
    <w:rsid w:val="006B6EE7"/>
    <w:rsid w:val="006B77C7"/>
    <w:rsid w:val="006C104A"/>
    <w:rsid w:val="006C1D9A"/>
    <w:rsid w:val="006C312F"/>
    <w:rsid w:val="006C5179"/>
    <w:rsid w:val="006D041F"/>
    <w:rsid w:val="006D0623"/>
    <w:rsid w:val="006D0BBD"/>
    <w:rsid w:val="006D1AE8"/>
    <w:rsid w:val="006D6177"/>
    <w:rsid w:val="006D79C4"/>
    <w:rsid w:val="006E0D2E"/>
    <w:rsid w:val="006E1E80"/>
    <w:rsid w:val="006E45BE"/>
    <w:rsid w:val="006E4C22"/>
    <w:rsid w:val="006E5DEE"/>
    <w:rsid w:val="006E6AEC"/>
    <w:rsid w:val="006F3486"/>
    <w:rsid w:val="006F4BBE"/>
    <w:rsid w:val="006F4F7B"/>
    <w:rsid w:val="006F7D45"/>
    <w:rsid w:val="0070074B"/>
    <w:rsid w:val="00702879"/>
    <w:rsid w:val="00702BFB"/>
    <w:rsid w:val="00702D7A"/>
    <w:rsid w:val="00703447"/>
    <w:rsid w:val="00703E97"/>
    <w:rsid w:val="00704262"/>
    <w:rsid w:val="00704C44"/>
    <w:rsid w:val="0070540F"/>
    <w:rsid w:val="0071100C"/>
    <w:rsid w:val="007122B5"/>
    <w:rsid w:val="007137FA"/>
    <w:rsid w:val="00714157"/>
    <w:rsid w:val="00714F9C"/>
    <w:rsid w:val="007176ED"/>
    <w:rsid w:val="00721C2F"/>
    <w:rsid w:val="007240AF"/>
    <w:rsid w:val="0072496E"/>
    <w:rsid w:val="00725029"/>
    <w:rsid w:val="007307E9"/>
    <w:rsid w:val="00731B72"/>
    <w:rsid w:val="007338B7"/>
    <w:rsid w:val="00734D4F"/>
    <w:rsid w:val="0073618C"/>
    <w:rsid w:val="00740B69"/>
    <w:rsid w:val="007411E1"/>
    <w:rsid w:val="00741F2F"/>
    <w:rsid w:val="007423AF"/>
    <w:rsid w:val="007427EF"/>
    <w:rsid w:val="00744442"/>
    <w:rsid w:val="00747F5E"/>
    <w:rsid w:val="00750510"/>
    <w:rsid w:val="00750D53"/>
    <w:rsid w:val="007512DC"/>
    <w:rsid w:val="00752E50"/>
    <w:rsid w:val="00753581"/>
    <w:rsid w:val="00753718"/>
    <w:rsid w:val="0075711E"/>
    <w:rsid w:val="00760D70"/>
    <w:rsid w:val="00761AE8"/>
    <w:rsid w:val="00765BEC"/>
    <w:rsid w:val="00766141"/>
    <w:rsid w:val="00766EC9"/>
    <w:rsid w:val="007704B6"/>
    <w:rsid w:val="00770A11"/>
    <w:rsid w:val="00772BC0"/>
    <w:rsid w:val="00775A2B"/>
    <w:rsid w:val="0077729E"/>
    <w:rsid w:val="007773E9"/>
    <w:rsid w:val="007800CD"/>
    <w:rsid w:val="007808CC"/>
    <w:rsid w:val="00782305"/>
    <w:rsid w:val="007835E1"/>
    <w:rsid w:val="00783C5C"/>
    <w:rsid w:val="00784112"/>
    <w:rsid w:val="00784C3E"/>
    <w:rsid w:val="00784FA8"/>
    <w:rsid w:val="007855AA"/>
    <w:rsid w:val="007858F7"/>
    <w:rsid w:val="00785F96"/>
    <w:rsid w:val="007866EA"/>
    <w:rsid w:val="00787A57"/>
    <w:rsid w:val="00787F65"/>
    <w:rsid w:val="00790002"/>
    <w:rsid w:val="0079069D"/>
    <w:rsid w:val="00790E2C"/>
    <w:rsid w:val="00792749"/>
    <w:rsid w:val="00793427"/>
    <w:rsid w:val="007942AB"/>
    <w:rsid w:val="00795989"/>
    <w:rsid w:val="00796443"/>
    <w:rsid w:val="00796ED9"/>
    <w:rsid w:val="00797158"/>
    <w:rsid w:val="00797C04"/>
    <w:rsid w:val="007A07AF"/>
    <w:rsid w:val="007A3B25"/>
    <w:rsid w:val="007A43DE"/>
    <w:rsid w:val="007A566C"/>
    <w:rsid w:val="007A5E2A"/>
    <w:rsid w:val="007A642D"/>
    <w:rsid w:val="007A7D0A"/>
    <w:rsid w:val="007B00B8"/>
    <w:rsid w:val="007B0136"/>
    <w:rsid w:val="007B157A"/>
    <w:rsid w:val="007B1EF3"/>
    <w:rsid w:val="007B2D93"/>
    <w:rsid w:val="007B3942"/>
    <w:rsid w:val="007B620E"/>
    <w:rsid w:val="007B6B94"/>
    <w:rsid w:val="007B7EFD"/>
    <w:rsid w:val="007C0A50"/>
    <w:rsid w:val="007C0CD6"/>
    <w:rsid w:val="007C2443"/>
    <w:rsid w:val="007C259A"/>
    <w:rsid w:val="007C4F24"/>
    <w:rsid w:val="007C5668"/>
    <w:rsid w:val="007D205A"/>
    <w:rsid w:val="007D234A"/>
    <w:rsid w:val="007D4F8B"/>
    <w:rsid w:val="007D5A39"/>
    <w:rsid w:val="007D6F38"/>
    <w:rsid w:val="007D727A"/>
    <w:rsid w:val="007E057A"/>
    <w:rsid w:val="007E11F2"/>
    <w:rsid w:val="007E1858"/>
    <w:rsid w:val="007E1987"/>
    <w:rsid w:val="007E1BCE"/>
    <w:rsid w:val="007E1F2E"/>
    <w:rsid w:val="007E4096"/>
    <w:rsid w:val="007E4E18"/>
    <w:rsid w:val="007E5029"/>
    <w:rsid w:val="007E67C0"/>
    <w:rsid w:val="007E7251"/>
    <w:rsid w:val="007E7778"/>
    <w:rsid w:val="007F0840"/>
    <w:rsid w:val="007F166A"/>
    <w:rsid w:val="007F180C"/>
    <w:rsid w:val="007F2368"/>
    <w:rsid w:val="007F49CF"/>
    <w:rsid w:val="00801294"/>
    <w:rsid w:val="0080217C"/>
    <w:rsid w:val="00802AF7"/>
    <w:rsid w:val="00802BB6"/>
    <w:rsid w:val="00803125"/>
    <w:rsid w:val="00806AF0"/>
    <w:rsid w:val="00813C61"/>
    <w:rsid w:val="008148B3"/>
    <w:rsid w:val="00815255"/>
    <w:rsid w:val="008159F6"/>
    <w:rsid w:val="00816003"/>
    <w:rsid w:val="008174CC"/>
    <w:rsid w:val="0082089A"/>
    <w:rsid w:val="008229EF"/>
    <w:rsid w:val="0082327B"/>
    <w:rsid w:val="00825582"/>
    <w:rsid w:val="00826264"/>
    <w:rsid w:val="00826A6D"/>
    <w:rsid w:val="00827B16"/>
    <w:rsid w:val="00831F2E"/>
    <w:rsid w:val="0083345D"/>
    <w:rsid w:val="008339A4"/>
    <w:rsid w:val="00834780"/>
    <w:rsid w:val="00834C72"/>
    <w:rsid w:val="00834F4D"/>
    <w:rsid w:val="008351FA"/>
    <w:rsid w:val="00835455"/>
    <w:rsid w:val="008359B2"/>
    <w:rsid w:val="00835B4F"/>
    <w:rsid w:val="00840DB3"/>
    <w:rsid w:val="00843174"/>
    <w:rsid w:val="008457FA"/>
    <w:rsid w:val="00847B70"/>
    <w:rsid w:val="008509F6"/>
    <w:rsid w:val="00850BC6"/>
    <w:rsid w:val="00851E8B"/>
    <w:rsid w:val="00854483"/>
    <w:rsid w:val="00856956"/>
    <w:rsid w:val="00856C3F"/>
    <w:rsid w:val="008575F1"/>
    <w:rsid w:val="008578D3"/>
    <w:rsid w:val="00860858"/>
    <w:rsid w:val="008613B5"/>
    <w:rsid w:val="008649BA"/>
    <w:rsid w:val="00865C59"/>
    <w:rsid w:val="0086636C"/>
    <w:rsid w:val="008667F7"/>
    <w:rsid w:val="008668CB"/>
    <w:rsid w:val="00866B6C"/>
    <w:rsid w:val="00870154"/>
    <w:rsid w:val="008710BA"/>
    <w:rsid w:val="00872B4B"/>
    <w:rsid w:val="00873070"/>
    <w:rsid w:val="00873359"/>
    <w:rsid w:val="008746FF"/>
    <w:rsid w:val="00876041"/>
    <w:rsid w:val="00876954"/>
    <w:rsid w:val="0088040F"/>
    <w:rsid w:val="00880F55"/>
    <w:rsid w:val="00881470"/>
    <w:rsid w:val="00882D58"/>
    <w:rsid w:val="00883118"/>
    <w:rsid w:val="00883F2F"/>
    <w:rsid w:val="00884D3F"/>
    <w:rsid w:val="008859E5"/>
    <w:rsid w:val="00885FD9"/>
    <w:rsid w:val="00887467"/>
    <w:rsid w:val="008934BB"/>
    <w:rsid w:val="00894860"/>
    <w:rsid w:val="0089520E"/>
    <w:rsid w:val="008953BA"/>
    <w:rsid w:val="00897F27"/>
    <w:rsid w:val="008A042D"/>
    <w:rsid w:val="008A226E"/>
    <w:rsid w:val="008A2275"/>
    <w:rsid w:val="008A29AD"/>
    <w:rsid w:val="008A3BDF"/>
    <w:rsid w:val="008A4151"/>
    <w:rsid w:val="008A42F7"/>
    <w:rsid w:val="008A5A0E"/>
    <w:rsid w:val="008A661A"/>
    <w:rsid w:val="008B0F12"/>
    <w:rsid w:val="008B1454"/>
    <w:rsid w:val="008B2E9C"/>
    <w:rsid w:val="008B3097"/>
    <w:rsid w:val="008B3874"/>
    <w:rsid w:val="008B3DEF"/>
    <w:rsid w:val="008B3EED"/>
    <w:rsid w:val="008B610C"/>
    <w:rsid w:val="008B6D41"/>
    <w:rsid w:val="008C2465"/>
    <w:rsid w:val="008C4AC1"/>
    <w:rsid w:val="008C5FEA"/>
    <w:rsid w:val="008C6FE2"/>
    <w:rsid w:val="008D0718"/>
    <w:rsid w:val="008D1F8C"/>
    <w:rsid w:val="008D4182"/>
    <w:rsid w:val="008D4DA0"/>
    <w:rsid w:val="008D55B0"/>
    <w:rsid w:val="008D579D"/>
    <w:rsid w:val="008D5E24"/>
    <w:rsid w:val="008D697C"/>
    <w:rsid w:val="008D75D6"/>
    <w:rsid w:val="008E2BFC"/>
    <w:rsid w:val="008E32C1"/>
    <w:rsid w:val="008E33E3"/>
    <w:rsid w:val="008E37F1"/>
    <w:rsid w:val="008E4694"/>
    <w:rsid w:val="008E4778"/>
    <w:rsid w:val="008E5726"/>
    <w:rsid w:val="008E5C75"/>
    <w:rsid w:val="008E6F36"/>
    <w:rsid w:val="008F13DF"/>
    <w:rsid w:val="008F27B3"/>
    <w:rsid w:val="008F3D6A"/>
    <w:rsid w:val="008F4E28"/>
    <w:rsid w:val="008F5607"/>
    <w:rsid w:val="00901055"/>
    <w:rsid w:val="00902E02"/>
    <w:rsid w:val="00903915"/>
    <w:rsid w:val="0090601F"/>
    <w:rsid w:val="0090604A"/>
    <w:rsid w:val="009075F2"/>
    <w:rsid w:val="00910C2C"/>
    <w:rsid w:val="0091201D"/>
    <w:rsid w:val="00912109"/>
    <w:rsid w:val="0091352D"/>
    <w:rsid w:val="00914398"/>
    <w:rsid w:val="00920217"/>
    <w:rsid w:val="00920529"/>
    <w:rsid w:val="00920896"/>
    <w:rsid w:val="00921F2F"/>
    <w:rsid w:val="00922547"/>
    <w:rsid w:val="009232A7"/>
    <w:rsid w:val="00923B70"/>
    <w:rsid w:val="00923D6B"/>
    <w:rsid w:val="00923EC2"/>
    <w:rsid w:val="00924EFE"/>
    <w:rsid w:val="009259DA"/>
    <w:rsid w:val="00925F61"/>
    <w:rsid w:val="009316EC"/>
    <w:rsid w:val="0093291B"/>
    <w:rsid w:val="0093427A"/>
    <w:rsid w:val="009346D8"/>
    <w:rsid w:val="00936366"/>
    <w:rsid w:val="00937AFB"/>
    <w:rsid w:val="00937D9B"/>
    <w:rsid w:val="00940152"/>
    <w:rsid w:val="009405B0"/>
    <w:rsid w:val="00940711"/>
    <w:rsid w:val="00940B55"/>
    <w:rsid w:val="009420F5"/>
    <w:rsid w:val="009424A8"/>
    <w:rsid w:val="00942D0D"/>
    <w:rsid w:val="00942F0C"/>
    <w:rsid w:val="00944876"/>
    <w:rsid w:val="009456B5"/>
    <w:rsid w:val="0094691F"/>
    <w:rsid w:val="00946B14"/>
    <w:rsid w:val="009470F4"/>
    <w:rsid w:val="0095008A"/>
    <w:rsid w:val="009508B6"/>
    <w:rsid w:val="0095120C"/>
    <w:rsid w:val="009514BB"/>
    <w:rsid w:val="00951A23"/>
    <w:rsid w:val="00952341"/>
    <w:rsid w:val="00953F2B"/>
    <w:rsid w:val="009546DA"/>
    <w:rsid w:val="0095599C"/>
    <w:rsid w:val="009569D0"/>
    <w:rsid w:val="00960A9A"/>
    <w:rsid w:val="00960C68"/>
    <w:rsid w:val="00961089"/>
    <w:rsid w:val="00961449"/>
    <w:rsid w:val="0096163E"/>
    <w:rsid w:val="00961C8F"/>
    <w:rsid w:val="00962A87"/>
    <w:rsid w:val="00963432"/>
    <w:rsid w:val="009640FA"/>
    <w:rsid w:val="00965CEE"/>
    <w:rsid w:val="00966AB8"/>
    <w:rsid w:val="00967974"/>
    <w:rsid w:val="0097038E"/>
    <w:rsid w:val="009705B0"/>
    <w:rsid w:val="00971A4D"/>
    <w:rsid w:val="00972406"/>
    <w:rsid w:val="00972BE3"/>
    <w:rsid w:val="009748C4"/>
    <w:rsid w:val="00977A57"/>
    <w:rsid w:val="00981519"/>
    <w:rsid w:val="00983299"/>
    <w:rsid w:val="0098358E"/>
    <w:rsid w:val="0098402D"/>
    <w:rsid w:val="00984F1F"/>
    <w:rsid w:val="00985758"/>
    <w:rsid w:val="00986877"/>
    <w:rsid w:val="00990A6B"/>
    <w:rsid w:val="00990F49"/>
    <w:rsid w:val="00991055"/>
    <w:rsid w:val="009912EF"/>
    <w:rsid w:val="00991442"/>
    <w:rsid w:val="00991C95"/>
    <w:rsid w:val="00992418"/>
    <w:rsid w:val="00993596"/>
    <w:rsid w:val="00993FAA"/>
    <w:rsid w:val="009944FA"/>
    <w:rsid w:val="00995240"/>
    <w:rsid w:val="00997B4E"/>
    <w:rsid w:val="009A0B75"/>
    <w:rsid w:val="009A0E79"/>
    <w:rsid w:val="009A2886"/>
    <w:rsid w:val="009A3224"/>
    <w:rsid w:val="009A3A6D"/>
    <w:rsid w:val="009A4B2D"/>
    <w:rsid w:val="009B00A3"/>
    <w:rsid w:val="009B2FE7"/>
    <w:rsid w:val="009B5ADF"/>
    <w:rsid w:val="009B7376"/>
    <w:rsid w:val="009C0121"/>
    <w:rsid w:val="009C0F50"/>
    <w:rsid w:val="009C11CF"/>
    <w:rsid w:val="009C374D"/>
    <w:rsid w:val="009C4012"/>
    <w:rsid w:val="009C5C8A"/>
    <w:rsid w:val="009D0FDB"/>
    <w:rsid w:val="009D13F3"/>
    <w:rsid w:val="009D2A8D"/>
    <w:rsid w:val="009D2B14"/>
    <w:rsid w:val="009D3F8D"/>
    <w:rsid w:val="009D4433"/>
    <w:rsid w:val="009D4504"/>
    <w:rsid w:val="009D7472"/>
    <w:rsid w:val="009E308C"/>
    <w:rsid w:val="009E460F"/>
    <w:rsid w:val="009E4771"/>
    <w:rsid w:val="009E588B"/>
    <w:rsid w:val="009E663A"/>
    <w:rsid w:val="009E7401"/>
    <w:rsid w:val="009F0FE0"/>
    <w:rsid w:val="009F1B55"/>
    <w:rsid w:val="009F2313"/>
    <w:rsid w:val="009F4A54"/>
    <w:rsid w:val="009F4F0B"/>
    <w:rsid w:val="009F50DB"/>
    <w:rsid w:val="009F52D7"/>
    <w:rsid w:val="009F5C0B"/>
    <w:rsid w:val="009F7FE8"/>
    <w:rsid w:val="00A00C1C"/>
    <w:rsid w:val="00A01AE1"/>
    <w:rsid w:val="00A02D78"/>
    <w:rsid w:val="00A0314D"/>
    <w:rsid w:val="00A077D1"/>
    <w:rsid w:val="00A10121"/>
    <w:rsid w:val="00A125CC"/>
    <w:rsid w:val="00A16844"/>
    <w:rsid w:val="00A1734C"/>
    <w:rsid w:val="00A2085A"/>
    <w:rsid w:val="00A22481"/>
    <w:rsid w:val="00A23261"/>
    <w:rsid w:val="00A2465F"/>
    <w:rsid w:val="00A2632C"/>
    <w:rsid w:val="00A268FC"/>
    <w:rsid w:val="00A307B3"/>
    <w:rsid w:val="00A31C4E"/>
    <w:rsid w:val="00A32349"/>
    <w:rsid w:val="00A3253A"/>
    <w:rsid w:val="00A33AB2"/>
    <w:rsid w:val="00A3534F"/>
    <w:rsid w:val="00A36422"/>
    <w:rsid w:val="00A3657E"/>
    <w:rsid w:val="00A372BF"/>
    <w:rsid w:val="00A3787E"/>
    <w:rsid w:val="00A37D2D"/>
    <w:rsid w:val="00A42C72"/>
    <w:rsid w:val="00A441BA"/>
    <w:rsid w:val="00A44ECB"/>
    <w:rsid w:val="00A45DE3"/>
    <w:rsid w:val="00A4718C"/>
    <w:rsid w:val="00A47788"/>
    <w:rsid w:val="00A5118F"/>
    <w:rsid w:val="00A53880"/>
    <w:rsid w:val="00A539FB"/>
    <w:rsid w:val="00A545A5"/>
    <w:rsid w:val="00A54761"/>
    <w:rsid w:val="00A55778"/>
    <w:rsid w:val="00A57F4B"/>
    <w:rsid w:val="00A61C77"/>
    <w:rsid w:val="00A6215B"/>
    <w:rsid w:val="00A62D2C"/>
    <w:rsid w:val="00A63A51"/>
    <w:rsid w:val="00A660DC"/>
    <w:rsid w:val="00A67E5B"/>
    <w:rsid w:val="00A718D6"/>
    <w:rsid w:val="00A7359D"/>
    <w:rsid w:val="00A7421B"/>
    <w:rsid w:val="00A759F8"/>
    <w:rsid w:val="00A77393"/>
    <w:rsid w:val="00A77B93"/>
    <w:rsid w:val="00A77CEC"/>
    <w:rsid w:val="00A837C0"/>
    <w:rsid w:val="00A849F5"/>
    <w:rsid w:val="00A86A26"/>
    <w:rsid w:val="00A875AF"/>
    <w:rsid w:val="00A90645"/>
    <w:rsid w:val="00A91070"/>
    <w:rsid w:val="00A91332"/>
    <w:rsid w:val="00A929A2"/>
    <w:rsid w:val="00A92D2D"/>
    <w:rsid w:val="00A93994"/>
    <w:rsid w:val="00A94D0C"/>
    <w:rsid w:val="00A95DDF"/>
    <w:rsid w:val="00AA05B7"/>
    <w:rsid w:val="00AA15F9"/>
    <w:rsid w:val="00AA2149"/>
    <w:rsid w:val="00AA2ED5"/>
    <w:rsid w:val="00AA3230"/>
    <w:rsid w:val="00AA37F6"/>
    <w:rsid w:val="00AA5ADD"/>
    <w:rsid w:val="00AA768A"/>
    <w:rsid w:val="00AA7EE7"/>
    <w:rsid w:val="00AB24D1"/>
    <w:rsid w:val="00AB2C43"/>
    <w:rsid w:val="00AB3606"/>
    <w:rsid w:val="00AB6773"/>
    <w:rsid w:val="00AC1338"/>
    <w:rsid w:val="00AC16FD"/>
    <w:rsid w:val="00AC555D"/>
    <w:rsid w:val="00AC659A"/>
    <w:rsid w:val="00AC7D72"/>
    <w:rsid w:val="00AD0B09"/>
    <w:rsid w:val="00AD2CF6"/>
    <w:rsid w:val="00AD3839"/>
    <w:rsid w:val="00AD3B75"/>
    <w:rsid w:val="00AD443B"/>
    <w:rsid w:val="00AD4808"/>
    <w:rsid w:val="00AD56B0"/>
    <w:rsid w:val="00AD5C2E"/>
    <w:rsid w:val="00AD67BD"/>
    <w:rsid w:val="00AD7943"/>
    <w:rsid w:val="00AE0455"/>
    <w:rsid w:val="00AE0746"/>
    <w:rsid w:val="00AE143B"/>
    <w:rsid w:val="00AE16E9"/>
    <w:rsid w:val="00AE1C6A"/>
    <w:rsid w:val="00AE1C8A"/>
    <w:rsid w:val="00AE3ABA"/>
    <w:rsid w:val="00AE4873"/>
    <w:rsid w:val="00AE5FA5"/>
    <w:rsid w:val="00AE78AB"/>
    <w:rsid w:val="00AF1122"/>
    <w:rsid w:val="00AF2109"/>
    <w:rsid w:val="00AF2DB8"/>
    <w:rsid w:val="00AF52A4"/>
    <w:rsid w:val="00AF5338"/>
    <w:rsid w:val="00AF6E46"/>
    <w:rsid w:val="00AF72A2"/>
    <w:rsid w:val="00B03776"/>
    <w:rsid w:val="00B045CD"/>
    <w:rsid w:val="00B04C29"/>
    <w:rsid w:val="00B05A33"/>
    <w:rsid w:val="00B05F9F"/>
    <w:rsid w:val="00B060A4"/>
    <w:rsid w:val="00B061D3"/>
    <w:rsid w:val="00B10978"/>
    <w:rsid w:val="00B12C70"/>
    <w:rsid w:val="00B14AFB"/>
    <w:rsid w:val="00B14EBC"/>
    <w:rsid w:val="00B17613"/>
    <w:rsid w:val="00B176F2"/>
    <w:rsid w:val="00B17B62"/>
    <w:rsid w:val="00B2110A"/>
    <w:rsid w:val="00B231EB"/>
    <w:rsid w:val="00B23492"/>
    <w:rsid w:val="00B234BC"/>
    <w:rsid w:val="00B23675"/>
    <w:rsid w:val="00B2558E"/>
    <w:rsid w:val="00B2618E"/>
    <w:rsid w:val="00B26C61"/>
    <w:rsid w:val="00B30051"/>
    <w:rsid w:val="00B327A1"/>
    <w:rsid w:val="00B33487"/>
    <w:rsid w:val="00B3470D"/>
    <w:rsid w:val="00B35C93"/>
    <w:rsid w:val="00B363E4"/>
    <w:rsid w:val="00B42DA7"/>
    <w:rsid w:val="00B447BC"/>
    <w:rsid w:val="00B44940"/>
    <w:rsid w:val="00B476D2"/>
    <w:rsid w:val="00B50229"/>
    <w:rsid w:val="00B51BE2"/>
    <w:rsid w:val="00B529D3"/>
    <w:rsid w:val="00B54872"/>
    <w:rsid w:val="00B5577D"/>
    <w:rsid w:val="00B567CF"/>
    <w:rsid w:val="00B568FC"/>
    <w:rsid w:val="00B56975"/>
    <w:rsid w:val="00B575B7"/>
    <w:rsid w:val="00B602A3"/>
    <w:rsid w:val="00B62D5A"/>
    <w:rsid w:val="00B6415A"/>
    <w:rsid w:val="00B64DB6"/>
    <w:rsid w:val="00B64F6E"/>
    <w:rsid w:val="00B656E1"/>
    <w:rsid w:val="00B66125"/>
    <w:rsid w:val="00B7021D"/>
    <w:rsid w:val="00B71649"/>
    <w:rsid w:val="00B72361"/>
    <w:rsid w:val="00B728B6"/>
    <w:rsid w:val="00B737C6"/>
    <w:rsid w:val="00B73FAC"/>
    <w:rsid w:val="00B83E6F"/>
    <w:rsid w:val="00B8412E"/>
    <w:rsid w:val="00B87D87"/>
    <w:rsid w:val="00B910FF"/>
    <w:rsid w:val="00B9291D"/>
    <w:rsid w:val="00B94506"/>
    <w:rsid w:val="00B94BDA"/>
    <w:rsid w:val="00B954CB"/>
    <w:rsid w:val="00B96A3B"/>
    <w:rsid w:val="00B97662"/>
    <w:rsid w:val="00BA1B05"/>
    <w:rsid w:val="00BA1C1A"/>
    <w:rsid w:val="00BA2171"/>
    <w:rsid w:val="00BA2F54"/>
    <w:rsid w:val="00BA33F0"/>
    <w:rsid w:val="00BA3612"/>
    <w:rsid w:val="00BA470B"/>
    <w:rsid w:val="00BA5484"/>
    <w:rsid w:val="00BA6B14"/>
    <w:rsid w:val="00BA6F53"/>
    <w:rsid w:val="00BA7ECE"/>
    <w:rsid w:val="00BB2A99"/>
    <w:rsid w:val="00BB4505"/>
    <w:rsid w:val="00BB4D82"/>
    <w:rsid w:val="00BB61BF"/>
    <w:rsid w:val="00BB6DC5"/>
    <w:rsid w:val="00BB72CE"/>
    <w:rsid w:val="00BC0810"/>
    <w:rsid w:val="00BC0E44"/>
    <w:rsid w:val="00BC1090"/>
    <w:rsid w:val="00BC1284"/>
    <w:rsid w:val="00BC12D3"/>
    <w:rsid w:val="00BC43F8"/>
    <w:rsid w:val="00BC6DAC"/>
    <w:rsid w:val="00BD06D2"/>
    <w:rsid w:val="00BD2539"/>
    <w:rsid w:val="00BD2543"/>
    <w:rsid w:val="00BD57E0"/>
    <w:rsid w:val="00BD5E17"/>
    <w:rsid w:val="00BD6D7C"/>
    <w:rsid w:val="00BE01C6"/>
    <w:rsid w:val="00BE17AA"/>
    <w:rsid w:val="00BE1B8D"/>
    <w:rsid w:val="00BE2056"/>
    <w:rsid w:val="00BE465C"/>
    <w:rsid w:val="00BE5859"/>
    <w:rsid w:val="00BE6DCA"/>
    <w:rsid w:val="00BF5AB9"/>
    <w:rsid w:val="00BF6169"/>
    <w:rsid w:val="00BF7FCA"/>
    <w:rsid w:val="00C009D0"/>
    <w:rsid w:val="00C0148C"/>
    <w:rsid w:val="00C017FD"/>
    <w:rsid w:val="00C019AA"/>
    <w:rsid w:val="00C02276"/>
    <w:rsid w:val="00C0270A"/>
    <w:rsid w:val="00C03BBA"/>
    <w:rsid w:val="00C04730"/>
    <w:rsid w:val="00C05D2F"/>
    <w:rsid w:val="00C05E9D"/>
    <w:rsid w:val="00C06946"/>
    <w:rsid w:val="00C07011"/>
    <w:rsid w:val="00C1075B"/>
    <w:rsid w:val="00C10AE0"/>
    <w:rsid w:val="00C13237"/>
    <w:rsid w:val="00C154DB"/>
    <w:rsid w:val="00C15E79"/>
    <w:rsid w:val="00C1724C"/>
    <w:rsid w:val="00C230EC"/>
    <w:rsid w:val="00C2325A"/>
    <w:rsid w:val="00C23B67"/>
    <w:rsid w:val="00C2439D"/>
    <w:rsid w:val="00C24A75"/>
    <w:rsid w:val="00C24D6A"/>
    <w:rsid w:val="00C24F7A"/>
    <w:rsid w:val="00C25D1F"/>
    <w:rsid w:val="00C2684B"/>
    <w:rsid w:val="00C3211F"/>
    <w:rsid w:val="00C32FD0"/>
    <w:rsid w:val="00C33CD2"/>
    <w:rsid w:val="00C35C88"/>
    <w:rsid w:val="00C36B2A"/>
    <w:rsid w:val="00C40582"/>
    <w:rsid w:val="00C421A6"/>
    <w:rsid w:val="00C4306D"/>
    <w:rsid w:val="00C432B6"/>
    <w:rsid w:val="00C43735"/>
    <w:rsid w:val="00C442FD"/>
    <w:rsid w:val="00C454C6"/>
    <w:rsid w:val="00C45CF5"/>
    <w:rsid w:val="00C45D6B"/>
    <w:rsid w:val="00C477B3"/>
    <w:rsid w:val="00C5122C"/>
    <w:rsid w:val="00C53382"/>
    <w:rsid w:val="00C54A50"/>
    <w:rsid w:val="00C54C13"/>
    <w:rsid w:val="00C54D9D"/>
    <w:rsid w:val="00C55D09"/>
    <w:rsid w:val="00C55EA2"/>
    <w:rsid w:val="00C56B34"/>
    <w:rsid w:val="00C56C2F"/>
    <w:rsid w:val="00C57B18"/>
    <w:rsid w:val="00C6093D"/>
    <w:rsid w:val="00C60A62"/>
    <w:rsid w:val="00C618BD"/>
    <w:rsid w:val="00C63035"/>
    <w:rsid w:val="00C64A0C"/>
    <w:rsid w:val="00C64D26"/>
    <w:rsid w:val="00C6528B"/>
    <w:rsid w:val="00C7056B"/>
    <w:rsid w:val="00C72642"/>
    <w:rsid w:val="00C72B16"/>
    <w:rsid w:val="00C72BE9"/>
    <w:rsid w:val="00C73C39"/>
    <w:rsid w:val="00C74299"/>
    <w:rsid w:val="00C76229"/>
    <w:rsid w:val="00C80ABE"/>
    <w:rsid w:val="00C8305E"/>
    <w:rsid w:val="00C83071"/>
    <w:rsid w:val="00C83CEC"/>
    <w:rsid w:val="00C8639F"/>
    <w:rsid w:val="00C8654E"/>
    <w:rsid w:val="00C87731"/>
    <w:rsid w:val="00C90526"/>
    <w:rsid w:val="00C909CC"/>
    <w:rsid w:val="00C9306B"/>
    <w:rsid w:val="00C93ABA"/>
    <w:rsid w:val="00C949C5"/>
    <w:rsid w:val="00C959DE"/>
    <w:rsid w:val="00C95A8C"/>
    <w:rsid w:val="00C96E8E"/>
    <w:rsid w:val="00CA1B86"/>
    <w:rsid w:val="00CA2A23"/>
    <w:rsid w:val="00CA4BDF"/>
    <w:rsid w:val="00CA4FA6"/>
    <w:rsid w:val="00CA7269"/>
    <w:rsid w:val="00CB0A70"/>
    <w:rsid w:val="00CB113D"/>
    <w:rsid w:val="00CB3469"/>
    <w:rsid w:val="00CB3CE2"/>
    <w:rsid w:val="00CB6078"/>
    <w:rsid w:val="00CB7BFF"/>
    <w:rsid w:val="00CC0427"/>
    <w:rsid w:val="00CC1D7F"/>
    <w:rsid w:val="00CC20A6"/>
    <w:rsid w:val="00CC2AB2"/>
    <w:rsid w:val="00CD1185"/>
    <w:rsid w:val="00CD1E75"/>
    <w:rsid w:val="00CD2368"/>
    <w:rsid w:val="00CD6DAA"/>
    <w:rsid w:val="00CE015C"/>
    <w:rsid w:val="00CE28D4"/>
    <w:rsid w:val="00CE4429"/>
    <w:rsid w:val="00CE443F"/>
    <w:rsid w:val="00CE5335"/>
    <w:rsid w:val="00CE55C2"/>
    <w:rsid w:val="00CE58BC"/>
    <w:rsid w:val="00CE7249"/>
    <w:rsid w:val="00CE7BDA"/>
    <w:rsid w:val="00CF0F67"/>
    <w:rsid w:val="00CF1253"/>
    <w:rsid w:val="00CF1C48"/>
    <w:rsid w:val="00CF2232"/>
    <w:rsid w:val="00CF2752"/>
    <w:rsid w:val="00CF7D8E"/>
    <w:rsid w:val="00D002E2"/>
    <w:rsid w:val="00D01214"/>
    <w:rsid w:val="00D01C7A"/>
    <w:rsid w:val="00D0289F"/>
    <w:rsid w:val="00D02F00"/>
    <w:rsid w:val="00D03254"/>
    <w:rsid w:val="00D04EB1"/>
    <w:rsid w:val="00D054E2"/>
    <w:rsid w:val="00D10FDF"/>
    <w:rsid w:val="00D110AD"/>
    <w:rsid w:val="00D11479"/>
    <w:rsid w:val="00D122F0"/>
    <w:rsid w:val="00D128BC"/>
    <w:rsid w:val="00D12A93"/>
    <w:rsid w:val="00D140FD"/>
    <w:rsid w:val="00D17932"/>
    <w:rsid w:val="00D2164D"/>
    <w:rsid w:val="00D218D7"/>
    <w:rsid w:val="00D2323D"/>
    <w:rsid w:val="00D23BA4"/>
    <w:rsid w:val="00D25038"/>
    <w:rsid w:val="00D318F0"/>
    <w:rsid w:val="00D31D37"/>
    <w:rsid w:val="00D32912"/>
    <w:rsid w:val="00D33E36"/>
    <w:rsid w:val="00D33F44"/>
    <w:rsid w:val="00D3738E"/>
    <w:rsid w:val="00D37C24"/>
    <w:rsid w:val="00D44E16"/>
    <w:rsid w:val="00D45CFE"/>
    <w:rsid w:val="00D46AD1"/>
    <w:rsid w:val="00D5126F"/>
    <w:rsid w:val="00D52817"/>
    <w:rsid w:val="00D52CE5"/>
    <w:rsid w:val="00D54BEA"/>
    <w:rsid w:val="00D54CDE"/>
    <w:rsid w:val="00D5518A"/>
    <w:rsid w:val="00D560BF"/>
    <w:rsid w:val="00D56F63"/>
    <w:rsid w:val="00D57C13"/>
    <w:rsid w:val="00D60555"/>
    <w:rsid w:val="00D615F8"/>
    <w:rsid w:val="00D61946"/>
    <w:rsid w:val="00D64BBC"/>
    <w:rsid w:val="00D64D67"/>
    <w:rsid w:val="00D65375"/>
    <w:rsid w:val="00D663B8"/>
    <w:rsid w:val="00D66EDC"/>
    <w:rsid w:val="00D67204"/>
    <w:rsid w:val="00D718CF"/>
    <w:rsid w:val="00D72E51"/>
    <w:rsid w:val="00D73FA1"/>
    <w:rsid w:val="00D743C9"/>
    <w:rsid w:val="00D745CE"/>
    <w:rsid w:val="00D74F25"/>
    <w:rsid w:val="00D77475"/>
    <w:rsid w:val="00D77B1A"/>
    <w:rsid w:val="00D80459"/>
    <w:rsid w:val="00D812C5"/>
    <w:rsid w:val="00D812ED"/>
    <w:rsid w:val="00D82390"/>
    <w:rsid w:val="00D82804"/>
    <w:rsid w:val="00D84180"/>
    <w:rsid w:val="00D8485F"/>
    <w:rsid w:val="00D84D72"/>
    <w:rsid w:val="00D867CF"/>
    <w:rsid w:val="00D8707C"/>
    <w:rsid w:val="00D87FF6"/>
    <w:rsid w:val="00D90BC4"/>
    <w:rsid w:val="00D917D0"/>
    <w:rsid w:val="00D91D24"/>
    <w:rsid w:val="00D937EE"/>
    <w:rsid w:val="00D93C54"/>
    <w:rsid w:val="00D95D73"/>
    <w:rsid w:val="00D97747"/>
    <w:rsid w:val="00D979DF"/>
    <w:rsid w:val="00DA3916"/>
    <w:rsid w:val="00DA3B45"/>
    <w:rsid w:val="00DA60FC"/>
    <w:rsid w:val="00DB1A8C"/>
    <w:rsid w:val="00DB4FAC"/>
    <w:rsid w:val="00DB5E0A"/>
    <w:rsid w:val="00DB7373"/>
    <w:rsid w:val="00DC1CFD"/>
    <w:rsid w:val="00DC2D80"/>
    <w:rsid w:val="00DC307B"/>
    <w:rsid w:val="00DC5AF3"/>
    <w:rsid w:val="00DC5BD8"/>
    <w:rsid w:val="00DC5C2F"/>
    <w:rsid w:val="00DD216F"/>
    <w:rsid w:val="00DD2F3D"/>
    <w:rsid w:val="00DD387F"/>
    <w:rsid w:val="00DD3E06"/>
    <w:rsid w:val="00DD4868"/>
    <w:rsid w:val="00DD4B14"/>
    <w:rsid w:val="00DD4DFD"/>
    <w:rsid w:val="00DD550F"/>
    <w:rsid w:val="00DD636D"/>
    <w:rsid w:val="00DD782C"/>
    <w:rsid w:val="00DE259A"/>
    <w:rsid w:val="00DE3F44"/>
    <w:rsid w:val="00DE42BD"/>
    <w:rsid w:val="00DE4635"/>
    <w:rsid w:val="00DE4E16"/>
    <w:rsid w:val="00DE5EF6"/>
    <w:rsid w:val="00DE62C7"/>
    <w:rsid w:val="00DE6440"/>
    <w:rsid w:val="00DE6F97"/>
    <w:rsid w:val="00DE73CF"/>
    <w:rsid w:val="00DF0F94"/>
    <w:rsid w:val="00DF5005"/>
    <w:rsid w:val="00DF5617"/>
    <w:rsid w:val="00DF573B"/>
    <w:rsid w:val="00E00117"/>
    <w:rsid w:val="00E01380"/>
    <w:rsid w:val="00E029FC"/>
    <w:rsid w:val="00E02A62"/>
    <w:rsid w:val="00E067F3"/>
    <w:rsid w:val="00E07309"/>
    <w:rsid w:val="00E07786"/>
    <w:rsid w:val="00E10500"/>
    <w:rsid w:val="00E12877"/>
    <w:rsid w:val="00E12AD5"/>
    <w:rsid w:val="00E1428E"/>
    <w:rsid w:val="00E164E6"/>
    <w:rsid w:val="00E16A1A"/>
    <w:rsid w:val="00E174FD"/>
    <w:rsid w:val="00E17570"/>
    <w:rsid w:val="00E17775"/>
    <w:rsid w:val="00E177A0"/>
    <w:rsid w:val="00E20BA4"/>
    <w:rsid w:val="00E22E55"/>
    <w:rsid w:val="00E23E56"/>
    <w:rsid w:val="00E2432B"/>
    <w:rsid w:val="00E26655"/>
    <w:rsid w:val="00E26EEF"/>
    <w:rsid w:val="00E277CC"/>
    <w:rsid w:val="00E279BF"/>
    <w:rsid w:val="00E300CB"/>
    <w:rsid w:val="00E31773"/>
    <w:rsid w:val="00E3226D"/>
    <w:rsid w:val="00E33B25"/>
    <w:rsid w:val="00E341BE"/>
    <w:rsid w:val="00E344BD"/>
    <w:rsid w:val="00E34AC0"/>
    <w:rsid w:val="00E41226"/>
    <w:rsid w:val="00E415BA"/>
    <w:rsid w:val="00E41911"/>
    <w:rsid w:val="00E4435E"/>
    <w:rsid w:val="00E451C9"/>
    <w:rsid w:val="00E4669D"/>
    <w:rsid w:val="00E470EB"/>
    <w:rsid w:val="00E47336"/>
    <w:rsid w:val="00E51A85"/>
    <w:rsid w:val="00E522C8"/>
    <w:rsid w:val="00E54347"/>
    <w:rsid w:val="00E5434E"/>
    <w:rsid w:val="00E5501A"/>
    <w:rsid w:val="00E56EFD"/>
    <w:rsid w:val="00E56F7F"/>
    <w:rsid w:val="00E575DE"/>
    <w:rsid w:val="00E5786D"/>
    <w:rsid w:val="00E60095"/>
    <w:rsid w:val="00E60E2E"/>
    <w:rsid w:val="00E6163B"/>
    <w:rsid w:val="00E6387C"/>
    <w:rsid w:val="00E63D2C"/>
    <w:rsid w:val="00E64684"/>
    <w:rsid w:val="00E65F1D"/>
    <w:rsid w:val="00E66D6F"/>
    <w:rsid w:val="00E67210"/>
    <w:rsid w:val="00E7195E"/>
    <w:rsid w:val="00E71FD7"/>
    <w:rsid w:val="00E7266B"/>
    <w:rsid w:val="00E7269F"/>
    <w:rsid w:val="00E727D0"/>
    <w:rsid w:val="00E73D48"/>
    <w:rsid w:val="00E73DBE"/>
    <w:rsid w:val="00E7576A"/>
    <w:rsid w:val="00E7731D"/>
    <w:rsid w:val="00E80DE5"/>
    <w:rsid w:val="00E82757"/>
    <w:rsid w:val="00E84817"/>
    <w:rsid w:val="00E85361"/>
    <w:rsid w:val="00E85709"/>
    <w:rsid w:val="00E90B0E"/>
    <w:rsid w:val="00E91B13"/>
    <w:rsid w:val="00E9324A"/>
    <w:rsid w:val="00E93942"/>
    <w:rsid w:val="00E93D14"/>
    <w:rsid w:val="00E94CC2"/>
    <w:rsid w:val="00E9509E"/>
    <w:rsid w:val="00E9642D"/>
    <w:rsid w:val="00EA0775"/>
    <w:rsid w:val="00EA2139"/>
    <w:rsid w:val="00EA4EDF"/>
    <w:rsid w:val="00EA5E12"/>
    <w:rsid w:val="00EB0BF8"/>
    <w:rsid w:val="00EB39C2"/>
    <w:rsid w:val="00EB3D1C"/>
    <w:rsid w:val="00EC3369"/>
    <w:rsid w:val="00ED02C7"/>
    <w:rsid w:val="00ED5499"/>
    <w:rsid w:val="00ED7143"/>
    <w:rsid w:val="00ED748A"/>
    <w:rsid w:val="00EE0FEB"/>
    <w:rsid w:val="00EE1C47"/>
    <w:rsid w:val="00EE2B50"/>
    <w:rsid w:val="00EE32CE"/>
    <w:rsid w:val="00EE3830"/>
    <w:rsid w:val="00EE4410"/>
    <w:rsid w:val="00EE796A"/>
    <w:rsid w:val="00EE7CBC"/>
    <w:rsid w:val="00EE7EB3"/>
    <w:rsid w:val="00EF28C3"/>
    <w:rsid w:val="00EF372E"/>
    <w:rsid w:val="00EF461F"/>
    <w:rsid w:val="00EF562D"/>
    <w:rsid w:val="00F01394"/>
    <w:rsid w:val="00F02AA6"/>
    <w:rsid w:val="00F02C0A"/>
    <w:rsid w:val="00F03A0C"/>
    <w:rsid w:val="00F03E04"/>
    <w:rsid w:val="00F05F13"/>
    <w:rsid w:val="00F06512"/>
    <w:rsid w:val="00F06E1C"/>
    <w:rsid w:val="00F07520"/>
    <w:rsid w:val="00F12350"/>
    <w:rsid w:val="00F1276F"/>
    <w:rsid w:val="00F13DFE"/>
    <w:rsid w:val="00F15F33"/>
    <w:rsid w:val="00F16916"/>
    <w:rsid w:val="00F20046"/>
    <w:rsid w:val="00F25891"/>
    <w:rsid w:val="00F31763"/>
    <w:rsid w:val="00F31C77"/>
    <w:rsid w:val="00F33559"/>
    <w:rsid w:val="00F37187"/>
    <w:rsid w:val="00F37680"/>
    <w:rsid w:val="00F439A8"/>
    <w:rsid w:val="00F43B87"/>
    <w:rsid w:val="00F52591"/>
    <w:rsid w:val="00F54714"/>
    <w:rsid w:val="00F57172"/>
    <w:rsid w:val="00F60C71"/>
    <w:rsid w:val="00F639FE"/>
    <w:rsid w:val="00F63C1A"/>
    <w:rsid w:val="00F644F5"/>
    <w:rsid w:val="00F64C67"/>
    <w:rsid w:val="00F64E6E"/>
    <w:rsid w:val="00F66C69"/>
    <w:rsid w:val="00F73188"/>
    <w:rsid w:val="00F7737C"/>
    <w:rsid w:val="00F77797"/>
    <w:rsid w:val="00F80FE7"/>
    <w:rsid w:val="00F810DB"/>
    <w:rsid w:val="00F825B1"/>
    <w:rsid w:val="00F83BAD"/>
    <w:rsid w:val="00F83E9E"/>
    <w:rsid w:val="00F90283"/>
    <w:rsid w:val="00F92985"/>
    <w:rsid w:val="00F94A2A"/>
    <w:rsid w:val="00F964B6"/>
    <w:rsid w:val="00FA0C2C"/>
    <w:rsid w:val="00FA0D92"/>
    <w:rsid w:val="00FA131C"/>
    <w:rsid w:val="00FA17D2"/>
    <w:rsid w:val="00FA1875"/>
    <w:rsid w:val="00FA22A1"/>
    <w:rsid w:val="00FA366F"/>
    <w:rsid w:val="00FA568F"/>
    <w:rsid w:val="00FA5693"/>
    <w:rsid w:val="00FA5731"/>
    <w:rsid w:val="00FB217E"/>
    <w:rsid w:val="00FB3C56"/>
    <w:rsid w:val="00FB43C2"/>
    <w:rsid w:val="00FB7FAF"/>
    <w:rsid w:val="00FC0F4C"/>
    <w:rsid w:val="00FC1205"/>
    <w:rsid w:val="00FC25ED"/>
    <w:rsid w:val="00FC26EA"/>
    <w:rsid w:val="00FC34DD"/>
    <w:rsid w:val="00FC395E"/>
    <w:rsid w:val="00FC3DCA"/>
    <w:rsid w:val="00FC51CD"/>
    <w:rsid w:val="00FC57D4"/>
    <w:rsid w:val="00FC6A3E"/>
    <w:rsid w:val="00FC6D16"/>
    <w:rsid w:val="00FD089D"/>
    <w:rsid w:val="00FD0CFF"/>
    <w:rsid w:val="00FD2285"/>
    <w:rsid w:val="00FD29D6"/>
    <w:rsid w:val="00FD2CE4"/>
    <w:rsid w:val="00FD6F7F"/>
    <w:rsid w:val="00FE06F8"/>
    <w:rsid w:val="00FE1A49"/>
    <w:rsid w:val="00FE23EC"/>
    <w:rsid w:val="00FE31E9"/>
    <w:rsid w:val="00FE388C"/>
    <w:rsid w:val="00FE4D64"/>
    <w:rsid w:val="00FE5355"/>
    <w:rsid w:val="00FE5B83"/>
    <w:rsid w:val="00FE69EE"/>
    <w:rsid w:val="00FE7224"/>
    <w:rsid w:val="00FE7E1B"/>
    <w:rsid w:val="00FF0CA9"/>
    <w:rsid w:val="00FF2A7E"/>
    <w:rsid w:val="00FF335A"/>
    <w:rsid w:val="00FF4FC9"/>
    <w:rsid w:val="00FF56F1"/>
    <w:rsid w:val="00FF5F0A"/>
    <w:rsid w:val="00FF7ED9"/>
    <w:rsid w:val="04A22A7A"/>
    <w:rsid w:val="0ADA7946"/>
    <w:rsid w:val="0B0B2E13"/>
    <w:rsid w:val="228F099E"/>
    <w:rsid w:val="248E2154"/>
    <w:rsid w:val="2E8E37F2"/>
    <w:rsid w:val="339B0012"/>
    <w:rsid w:val="35ED41BC"/>
    <w:rsid w:val="37385714"/>
    <w:rsid w:val="37EA44AD"/>
    <w:rsid w:val="3B0E5C23"/>
    <w:rsid w:val="3CF336BB"/>
    <w:rsid w:val="3E0D091A"/>
    <w:rsid w:val="3ED4601C"/>
    <w:rsid w:val="41982B79"/>
    <w:rsid w:val="51333BC8"/>
    <w:rsid w:val="524D342A"/>
    <w:rsid w:val="57B46874"/>
    <w:rsid w:val="5FD54C20"/>
    <w:rsid w:val="697E795A"/>
    <w:rsid w:val="7C712F64"/>
    <w:rsid w:val="7D533B7E"/>
    <w:rsid w:val="7FFE1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仿宋_GB2312" w:hAnsi="Times New Roman" w:eastAsia="仿宋_GB2312" w:cs="Times New Roman"/>
      <w:sz w:val="34"/>
      <w:szCs w:val="3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4"/>
    <w:qFormat/>
    <w:uiPriority w:val="0"/>
    <w:pPr>
      <w:keepNext/>
      <w:keepLines/>
      <w:autoSpaceDE/>
      <w:autoSpaceDN/>
      <w:adjustRightInd/>
      <w:spacing w:before="260" w:after="260" w:line="416" w:lineRule="auto"/>
      <w:jc w:val="both"/>
      <w:outlineLvl w:val="2"/>
    </w:pPr>
    <w:rPr>
      <w:rFonts w:ascii="Times New Roman" w:eastAsia="宋体"/>
      <w:b/>
      <w:bCs/>
      <w:kern w:val="2"/>
      <w:sz w:val="32"/>
      <w:szCs w:val="32"/>
    </w:rPr>
  </w:style>
  <w:style w:type="paragraph" w:styleId="4">
    <w:name w:val="heading 5"/>
    <w:basedOn w:val="1"/>
    <w:next w:val="1"/>
    <w:qFormat/>
    <w:uiPriority w:val="0"/>
    <w:pPr>
      <w:keepNext/>
      <w:keepLines/>
      <w:spacing w:before="280" w:after="290" w:line="374" w:lineRule="auto"/>
      <w:outlineLvl w:val="4"/>
    </w:pPr>
    <w:rPr>
      <w:rFonts w:hAnsi="宋体" w:cs="宋体"/>
      <w:b/>
      <w:bCs/>
      <w:sz w:val="28"/>
      <w:szCs w:val="28"/>
    </w:rPr>
  </w:style>
  <w:style w:type="paragraph" w:styleId="5">
    <w:name w:val="heading 6"/>
    <w:basedOn w:val="1"/>
    <w:next w:val="1"/>
    <w:qFormat/>
    <w:uiPriority w:val="0"/>
    <w:pPr>
      <w:keepNext/>
      <w:keepLines/>
      <w:spacing w:before="240" w:after="64" w:line="319" w:lineRule="auto"/>
      <w:outlineLvl w:val="5"/>
    </w:pPr>
    <w:rPr>
      <w:rFonts w:ascii="Arial" w:hAnsi="Arial" w:eastAsia="黑体"/>
      <w:b/>
      <w:bCs/>
      <w:sz w:val="24"/>
      <w:szCs w:val="24"/>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Document Map"/>
    <w:basedOn w:val="1"/>
    <w:link w:val="29"/>
    <w:uiPriority w:val="0"/>
    <w:rPr>
      <w:rFonts w:ascii="宋体" w:eastAsia="宋体"/>
      <w:sz w:val="18"/>
      <w:szCs w:val="18"/>
    </w:rPr>
  </w:style>
  <w:style w:type="paragraph" w:styleId="8">
    <w:name w:val="annotation text"/>
    <w:basedOn w:val="1"/>
    <w:link w:val="36"/>
    <w:qFormat/>
    <w:uiPriority w:val="99"/>
  </w:style>
  <w:style w:type="paragraph" w:styleId="9">
    <w:name w:val="Body Text"/>
    <w:basedOn w:val="1"/>
    <w:qFormat/>
    <w:uiPriority w:val="0"/>
    <w:pPr>
      <w:autoSpaceDE/>
      <w:autoSpaceDN/>
      <w:spacing w:after="120" w:line="312" w:lineRule="atLeast"/>
      <w:jc w:val="both"/>
      <w:textAlignment w:val="baseline"/>
    </w:pPr>
    <w:rPr>
      <w:rFonts w:ascii="Times New Roman" w:eastAsia="创艺简仿宋"/>
      <w:sz w:val="24"/>
      <w:szCs w:val="20"/>
      <w:u w:val="single"/>
    </w:rPr>
  </w:style>
  <w:style w:type="paragraph" w:styleId="10">
    <w:name w:val="Body Text Indent"/>
    <w:basedOn w:val="1"/>
    <w:link w:val="28"/>
    <w:qFormat/>
    <w:uiPriority w:val="0"/>
    <w:pPr>
      <w:spacing w:after="120"/>
      <w:ind w:left="420" w:leftChars="200"/>
    </w:pPr>
  </w:style>
  <w:style w:type="paragraph" w:styleId="11">
    <w:name w:val="Plain Text"/>
    <w:basedOn w:val="1"/>
    <w:uiPriority w:val="0"/>
    <w:pPr>
      <w:autoSpaceDE/>
      <w:autoSpaceDN/>
      <w:adjustRightInd/>
      <w:jc w:val="both"/>
    </w:pPr>
    <w:rPr>
      <w:rFonts w:ascii="宋体" w:hAnsi="Courier New" w:eastAsia="宋体"/>
      <w:kern w:val="2"/>
      <w:sz w:val="21"/>
      <w:szCs w:val="20"/>
    </w:rPr>
  </w:style>
  <w:style w:type="paragraph" w:styleId="12">
    <w:name w:val="Date"/>
    <w:basedOn w:val="1"/>
    <w:next w:val="1"/>
    <w:link w:val="41"/>
    <w:qFormat/>
    <w:uiPriority w:val="0"/>
    <w:pPr>
      <w:ind w:left="100" w:leftChars="2500"/>
    </w:pPr>
  </w:style>
  <w:style w:type="paragraph" w:styleId="13">
    <w:name w:val="Balloon Text"/>
    <w:basedOn w:val="1"/>
    <w:semiHidden/>
    <w:qFormat/>
    <w:uiPriority w:val="0"/>
    <w:rPr>
      <w:sz w:val="18"/>
      <w:szCs w:val="18"/>
    </w:rPr>
  </w:style>
  <w:style w:type="paragraph" w:styleId="14">
    <w:name w:val="footer"/>
    <w:basedOn w:val="1"/>
    <w:link w:val="27"/>
    <w:qFormat/>
    <w:uiPriority w:val="99"/>
    <w:pPr>
      <w:tabs>
        <w:tab w:val="center" w:pos="4153"/>
        <w:tab w:val="right" w:pos="8306"/>
      </w:tabs>
      <w:snapToGrid w:val="0"/>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Normal (Web)"/>
    <w:basedOn w:val="1"/>
    <w:uiPriority w:val="0"/>
    <w:pPr>
      <w:widowControl/>
      <w:autoSpaceDE/>
      <w:autoSpaceDN/>
      <w:adjustRightInd/>
      <w:spacing w:before="100" w:beforeAutospacing="1" w:after="100" w:afterAutospacing="1"/>
    </w:pPr>
    <w:rPr>
      <w:rFonts w:ascii="宋体" w:hAnsi="宋体" w:eastAsia="宋体" w:cs="宋体"/>
      <w:sz w:val="24"/>
      <w:szCs w:val="24"/>
    </w:rPr>
  </w:style>
  <w:style w:type="paragraph" w:styleId="18">
    <w:name w:val="annotation subject"/>
    <w:basedOn w:val="8"/>
    <w:next w:val="8"/>
    <w:link w:val="33"/>
    <w:qFormat/>
    <w:uiPriority w:val="0"/>
    <w:rPr>
      <w:b/>
      <w:bCs/>
    </w:rPr>
  </w:style>
  <w:style w:type="table" w:styleId="20">
    <w:name w:val="Table Grid"/>
    <w:basedOn w:val="19"/>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qFormat/>
    <w:uiPriority w:val="99"/>
    <w:rPr>
      <w:color w:val="0000FF"/>
      <w:u w:val="single"/>
    </w:rPr>
  </w:style>
  <w:style w:type="character" w:styleId="24">
    <w:name w:val="annotation reference"/>
    <w:uiPriority w:val="99"/>
    <w:rPr>
      <w:sz w:val="21"/>
      <w:szCs w:val="21"/>
    </w:rPr>
  </w:style>
  <w:style w:type="character" w:customStyle="1" w:styleId="25">
    <w:name w:val="标题 1 Char"/>
    <w:link w:val="2"/>
    <w:qFormat/>
    <w:uiPriority w:val="0"/>
    <w:rPr>
      <w:rFonts w:ascii="仿宋_GB2312" w:eastAsia="仿宋_GB2312"/>
      <w:b/>
      <w:bCs/>
      <w:kern w:val="44"/>
      <w:sz w:val="44"/>
      <w:szCs w:val="44"/>
      <w:lang w:val="en-US" w:eastAsia="zh-CN" w:bidi="ar-SA"/>
    </w:rPr>
  </w:style>
  <w:style w:type="character" w:customStyle="1" w:styleId="26">
    <w:name w:val="Char Char1"/>
    <w:uiPriority w:val="0"/>
    <w:rPr>
      <w:b/>
      <w:kern w:val="44"/>
      <w:sz w:val="44"/>
      <w:szCs w:val="24"/>
    </w:rPr>
  </w:style>
  <w:style w:type="character" w:customStyle="1" w:styleId="27">
    <w:name w:val="页脚 Char"/>
    <w:link w:val="14"/>
    <w:qFormat/>
    <w:uiPriority w:val="99"/>
    <w:rPr>
      <w:rFonts w:ascii="仿宋_GB2312" w:eastAsia="仿宋_GB2312"/>
      <w:sz w:val="18"/>
      <w:szCs w:val="18"/>
    </w:rPr>
  </w:style>
  <w:style w:type="character" w:customStyle="1" w:styleId="28">
    <w:name w:val="正文文本缩进 Char"/>
    <w:link w:val="10"/>
    <w:qFormat/>
    <w:uiPriority w:val="0"/>
    <w:rPr>
      <w:rFonts w:ascii="仿宋_GB2312" w:eastAsia="仿宋_GB2312"/>
      <w:sz w:val="34"/>
      <w:szCs w:val="34"/>
    </w:rPr>
  </w:style>
  <w:style w:type="character" w:customStyle="1" w:styleId="29">
    <w:name w:val="文档结构图 Char"/>
    <w:link w:val="7"/>
    <w:qFormat/>
    <w:uiPriority w:val="0"/>
    <w:rPr>
      <w:rFonts w:ascii="宋体"/>
      <w:sz w:val="18"/>
      <w:szCs w:val="18"/>
    </w:rPr>
  </w:style>
  <w:style w:type="character" w:customStyle="1" w:styleId="30">
    <w:name w:val="样式2-标题1 Char"/>
    <w:link w:val="31"/>
    <w:uiPriority w:val="0"/>
    <w:rPr>
      <w:rFonts w:ascii="楷体_GB2312" w:eastAsia="楷体_GB2312"/>
      <w:b/>
      <w:sz w:val="28"/>
      <w:szCs w:val="34"/>
    </w:rPr>
  </w:style>
  <w:style w:type="paragraph" w:customStyle="1" w:styleId="31">
    <w:name w:val="样式2-标题1"/>
    <w:basedOn w:val="32"/>
    <w:link w:val="30"/>
    <w:qFormat/>
    <w:uiPriority w:val="0"/>
    <w:pPr>
      <w:spacing w:before="100" w:beforeLines="100"/>
      <w:outlineLvl w:val="0"/>
    </w:pPr>
    <w:rPr>
      <w:b/>
      <w:sz w:val="28"/>
    </w:rPr>
  </w:style>
  <w:style w:type="paragraph" w:customStyle="1" w:styleId="32">
    <w:name w:val="样式1-正文"/>
    <w:basedOn w:val="1"/>
    <w:link w:val="35"/>
    <w:qFormat/>
    <w:uiPriority w:val="0"/>
    <w:pPr>
      <w:snapToGrid w:val="0"/>
      <w:spacing w:before="50" w:beforeLines="50" w:line="360" w:lineRule="auto"/>
    </w:pPr>
    <w:rPr>
      <w:rFonts w:ascii="楷体_GB2312" w:eastAsia="楷体_GB2312"/>
      <w:sz w:val="24"/>
    </w:rPr>
  </w:style>
  <w:style w:type="character" w:customStyle="1" w:styleId="33">
    <w:name w:val="批注主题 Char"/>
    <w:link w:val="18"/>
    <w:qFormat/>
    <w:uiPriority w:val="0"/>
    <w:rPr>
      <w:rFonts w:ascii="仿宋_GB2312" w:eastAsia="仿宋_GB2312"/>
      <w:b/>
      <w:bCs/>
      <w:sz w:val="34"/>
      <w:szCs w:val="34"/>
    </w:rPr>
  </w:style>
  <w:style w:type="character" w:customStyle="1" w:styleId="34">
    <w:name w:val="标题 3 Char"/>
    <w:link w:val="3"/>
    <w:uiPriority w:val="0"/>
    <w:rPr>
      <w:rFonts w:eastAsia="宋体"/>
      <w:b/>
      <w:bCs/>
      <w:kern w:val="2"/>
      <w:sz w:val="32"/>
      <w:szCs w:val="32"/>
      <w:lang w:val="en-US" w:eastAsia="zh-CN" w:bidi="ar-SA"/>
    </w:rPr>
  </w:style>
  <w:style w:type="character" w:customStyle="1" w:styleId="35">
    <w:name w:val="样式1-正文 Char"/>
    <w:link w:val="32"/>
    <w:qFormat/>
    <w:uiPriority w:val="0"/>
    <w:rPr>
      <w:rFonts w:ascii="楷体_GB2312" w:eastAsia="楷体_GB2312"/>
      <w:sz w:val="24"/>
      <w:szCs w:val="34"/>
    </w:rPr>
  </w:style>
  <w:style w:type="character" w:customStyle="1" w:styleId="36">
    <w:name w:val="批注文字 Char"/>
    <w:link w:val="8"/>
    <w:qFormat/>
    <w:uiPriority w:val="99"/>
    <w:rPr>
      <w:rFonts w:ascii="仿宋_GB2312" w:eastAsia="仿宋_GB2312"/>
      <w:sz w:val="34"/>
      <w:szCs w:val="34"/>
    </w:rPr>
  </w:style>
  <w:style w:type="paragraph" w:customStyle="1" w:styleId="37">
    <w:name w:val="Revision"/>
    <w:semiHidden/>
    <w:qFormat/>
    <w:uiPriority w:val="99"/>
    <w:rPr>
      <w:rFonts w:ascii="仿宋_GB2312" w:hAnsi="Times New Roman" w:eastAsia="仿宋_GB2312" w:cs="Times New Roman"/>
      <w:sz w:val="34"/>
      <w:szCs w:val="34"/>
      <w:lang w:val="en-US" w:eastAsia="zh-CN" w:bidi="ar-SA"/>
    </w:rPr>
  </w:style>
  <w:style w:type="paragraph" w:customStyle="1" w:styleId="38">
    <w:name w:val="Char"/>
    <w:basedOn w:val="1"/>
    <w:uiPriority w:val="0"/>
    <w:pPr>
      <w:widowControl/>
      <w:numPr>
        <w:ilvl w:val="0"/>
        <w:numId w:val="1"/>
      </w:numPr>
      <w:autoSpaceDE/>
      <w:autoSpaceDN/>
      <w:adjustRightInd/>
      <w:spacing w:after="160" w:line="240" w:lineRule="exact"/>
    </w:pPr>
    <w:rPr>
      <w:rFonts w:ascii="Verdana" w:hAnsi="Verdana" w:eastAsia="宋体"/>
      <w:sz w:val="21"/>
      <w:szCs w:val="20"/>
      <w:lang w:eastAsia="en-US"/>
    </w:rPr>
  </w:style>
  <w:style w:type="paragraph" w:customStyle="1" w:styleId="39">
    <w:name w:val="Char1"/>
    <w:basedOn w:val="1"/>
    <w:uiPriority w:val="0"/>
    <w:pPr>
      <w:widowControl/>
      <w:tabs>
        <w:tab w:val="left" w:pos="360"/>
      </w:tabs>
      <w:autoSpaceDE/>
      <w:autoSpaceDN/>
      <w:adjustRightInd/>
      <w:spacing w:after="160" w:line="240" w:lineRule="exact"/>
    </w:pPr>
    <w:rPr>
      <w:rFonts w:ascii="Verdana" w:hAnsi="Verdana" w:eastAsia="宋体"/>
      <w:sz w:val="21"/>
      <w:szCs w:val="20"/>
      <w:lang w:eastAsia="en-US"/>
    </w:rPr>
  </w:style>
  <w:style w:type="paragraph" w:styleId="40">
    <w:name w:val="List Paragraph"/>
    <w:basedOn w:val="1"/>
    <w:qFormat/>
    <w:uiPriority w:val="34"/>
    <w:pPr>
      <w:ind w:firstLine="420" w:firstLineChars="200"/>
    </w:pPr>
  </w:style>
  <w:style w:type="character" w:customStyle="1" w:styleId="41">
    <w:name w:val="日期 Char"/>
    <w:basedOn w:val="21"/>
    <w:link w:val="12"/>
    <w:uiPriority w:val="0"/>
    <w:rPr>
      <w:rFonts w:ascii="仿宋_GB2312" w:eastAsia="仿宋_GB2312"/>
      <w:sz w:val="34"/>
      <w:szCs w:val="3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55AC-0604-414F-AC66-16A52604DAFE}">
  <ds:schemaRefs/>
</ds:datastoreItem>
</file>

<file path=docProps/app.xml><?xml version="1.0" encoding="utf-8"?>
<Properties xmlns="http://schemas.openxmlformats.org/officeDocument/2006/extended-properties" xmlns:vt="http://schemas.openxmlformats.org/officeDocument/2006/docPropsVTypes">
  <Template>Normal</Template>
  <Pages>98</Pages>
  <Words>11510</Words>
  <Characters>65607</Characters>
  <Lines>546</Lines>
  <Paragraphs>153</Paragraphs>
  <TotalTime>3652</TotalTime>
  <ScaleCrop>false</ScaleCrop>
  <LinksUpToDate>false</LinksUpToDate>
  <CharactersWithSpaces>76964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2018-03-21T02:06:00Z</dcterms:created>
  <dc:creator>李颖</dc:creator>
  <cp:lastModifiedBy>NTKO</cp:lastModifiedBy>
  <cp:lastPrinted>2021-12-24T08:48:00Z</cp:lastPrinted>
  <dcterms:modified xsi:type="dcterms:W3CDTF">2023-03-31T02:28:14Z</dcterms:modified>
  <dc:title>招标编号：12-GP</dc:title>
  <cp:revision>621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6321B62430A94C2B86563339BE5A33C8_12</vt:lpwstr>
  </property>
</Properties>
</file>