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AE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广州安居商业运营有限公司资产评估</w:t>
      </w:r>
    </w:p>
    <w:p w14:paraId="2D2D6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管理办法</w:t>
      </w:r>
    </w:p>
    <w:p w14:paraId="2A646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23F2D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第一章  总则</w:t>
      </w:r>
    </w:p>
    <w:p w14:paraId="0AEF0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为规范广州安居商业运营有限公司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以下称“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资产评估服务，加强对资产评估服务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的管理，根据国家、省、市相关法律法规，结合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实际情况，制定本办法。</w:t>
      </w:r>
    </w:p>
    <w:p w14:paraId="1D5D6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条 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适用范围</w:t>
      </w:r>
    </w:p>
    <w:p w14:paraId="14B2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本办法适用于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公司及其下属全资、控股、以及实际控制企业（简称“下属企业”）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委托的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资产评估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服务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机构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的管理。托管企业参照本办法执行。</w:t>
      </w:r>
    </w:p>
    <w:p w14:paraId="18947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620B7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章 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机构产生方式</w:t>
      </w:r>
    </w:p>
    <w:p w14:paraId="25822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条 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部门职责</w:t>
      </w:r>
    </w:p>
    <w:p w14:paraId="06CE8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不动产资产管理部门是资产评估的归口管理部门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以下称“评估管理部门”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负责组织实施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资产评估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服务采购，统筹落实对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资产评估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的监督和评价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评估工作的需求部门（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以下称“评估需求部门”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是指公司其他发起资产评估需求的部门，参照《广州安居商业运营有限公司国有资产评估管理办法（试行）》履行部门职责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 w14:paraId="1657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条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根据法律法规及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采购管理办法要求，采用合法合规的方式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包括但不限于：公开采购、邀请采购、直接采购等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资产评估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服务单位。</w:t>
      </w:r>
    </w:p>
    <w:p w14:paraId="657F2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6C68FB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章 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评估服务任务分配</w:t>
      </w:r>
    </w:p>
    <w:p w14:paraId="582BD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条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不动产租金类评估项目和其他评估项目</w:t>
      </w:r>
    </w:p>
    <w:p w14:paraId="3B3AE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不动产租金评估，是指评估专业机构依据法律、法规及评估准则，对特定不动产在指定评估时点、既定租赁条件下的客观租金水平开展分析、测算，并出具专业评估报告的专业服务行为。</w:t>
      </w:r>
    </w:p>
    <w:p w14:paraId="56DA8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本办法所称“不动产租金类评估项目”，是指依据国有资产管理相关规定，无需开展专家评审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市国资委备案的不动产租金评估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项目。</w:t>
      </w:r>
    </w:p>
    <w:p w14:paraId="4A4E4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本办法所称“其他评估项目”，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是指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除不动产租金评估以外的各类评估项目，包括产权交易、股权变更、资产转让项目，以及重大资产评估项目、需经专家评审或市国资委备案的特殊评估项目。</w:t>
      </w:r>
    </w:p>
    <w:p w14:paraId="353BD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条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分配方式</w:t>
      </w:r>
    </w:p>
    <w:p w14:paraId="02AA5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资产评估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服务的任务分配方式为：随机分配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、直接委托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50C35F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评估管理部门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建立任务分配及委托台账，统筹任务分配事宜。</w:t>
      </w:r>
    </w:p>
    <w:p w14:paraId="6F28F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第七条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随机分配</w:t>
      </w:r>
    </w:p>
    <w:p w14:paraId="2D7B5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不动产租金类评估项目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，通过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在资产评估服务机构库内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随机分配方式选定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评估机构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。随机分配工作由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评估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管理部门组织，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评估需求部门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/下属企业参加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。</w:t>
      </w:r>
    </w:p>
    <w:p w14:paraId="551E9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随机分配工作程序</w:t>
      </w:r>
    </w:p>
    <w:p w14:paraId="73C8E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评估需求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部门/下属企业根据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实际业务情况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提出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评估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委托需求OA协同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评估管理部门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；</w:t>
      </w:r>
    </w:p>
    <w:p w14:paraId="26A17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评估管理部门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根据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评估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委托需求汇总情况组织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评估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业务随机分配；</w:t>
      </w:r>
    </w:p>
    <w:p w14:paraId="74B8D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评估管理部门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确定随机分配工作时间后，通知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评估需求部门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/下属企业参加，各部门人员不少于1人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原则上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应于已安装监控设备的场所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开展随机分配工作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，如因特殊原因于未安装监控设备的场所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，应有审计部门不少于1人现场监督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过程并对随机分配结果签名确认。</w:t>
      </w:r>
    </w:p>
    <w:p w14:paraId="1C9C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随机分配方式</w:t>
      </w:r>
    </w:p>
    <w:p w14:paraId="46E70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1.工作人员通过摇珠方式确定本批次随机分配单位代码；</w:t>
      </w:r>
    </w:p>
    <w:p w14:paraId="4239C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2.工作人员通过摇珠方式确定本批次拟委托业务项目代码；</w:t>
      </w:r>
    </w:p>
    <w:p w14:paraId="5BAF4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3.按摇珠随机分配及轮候结合的方式，即：随机分配中选单位，不再参与下一项业务的随机分配，直至全部备选单位全部中选一次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倒数第二项业务为两家随机分配，最后一项业务无需随机分配、直接明确拟委托单位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后进入下一轮摇珠。</w:t>
      </w:r>
    </w:p>
    <w:p w14:paraId="6B4A5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四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暂停/取消摇珠资格</w:t>
      </w:r>
    </w:p>
    <w:p w14:paraId="3FC29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资产评估服务机构库内评估机构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存在本章第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暂停或取消被委托资格情形的，被暂停/取消被委托资格期间不参与摇珠。</w:t>
      </w:r>
    </w:p>
    <w:p w14:paraId="547A3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条  </w:t>
      </w:r>
      <w:r>
        <w:rPr>
          <w:rFonts w:hint="eastAsia" w:ascii="仿宋_GB2312" w:hAnsi="仿宋_GB2312" w:eastAsia="仿宋_GB2312" w:cs="仿宋_GB2312"/>
          <w:sz w:val="32"/>
          <w:szCs w:val="32"/>
        </w:rPr>
        <w:t>直接委托</w:t>
      </w:r>
    </w:p>
    <w:p w14:paraId="0ED5A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其他评估项目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根据经公司审批的评估需求立项，评估管理部门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公司资产评估服务机构库</w:t>
      </w: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不少于三家供应商进行询价，按照《广州安居商业运营有限公司采购管理办法（修订）》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选择报价最低的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评估机构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直接委托，按单个项目结算。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下属企业参照上述做法办理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直接委托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</w:p>
    <w:p w14:paraId="46471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pacing w:val="0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任务委托</w:t>
      </w:r>
    </w:p>
    <w:p w14:paraId="23BEA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任务委托审批程序</w:t>
      </w:r>
    </w:p>
    <w:p w14:paraId="06B75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直接委托：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其他评估项目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任务委托由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评估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需求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发起，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评估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管理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和相关部门会签，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评估需求部门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分管领导、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评估管理部门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分管领导审核，总经理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（含主持全面工作的副总经理）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审批；下属企业根据本企业管理制度办理直接委托事宜。</w:t>
      </w:r>
    </w:p>
    <w:p w14:paraId="1B5E1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随机分配：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不动产租金类评估项目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任务委托由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评估管理部门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根据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评估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委托需求汇总情况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发起，并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组织评估业务随机分配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下属企业根据随机分配结果及本企业管理制度办理任务委托事宜。</w:t>
      </w:r>
    </w:p>
    <w:p w14:paraId="54F01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委托确认</w:t>
      </w:r>
    </w:p>
    <w:p w14:paraId="5D1DB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不动产租金类评估项目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评估管理部门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随机分配结果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向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资产评估服务机构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发出委托书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其他评估项目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由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评估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需求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部门根据任务委托审批结果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发出委托书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资产评估服务机构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如不同意接受委托，须于2个工作日内书面回复意见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，评估管理部门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收到书面意见后重新组织摇珠；如未提出异议，须于3个工作日内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予以书面确认。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资产评估服务机构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未经批准拒绝承接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资产评估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任务的，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本章第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可取消或暂停其年度服务被委托资格，并可作为后续采购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资产评估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服务的否决依据。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下属企业参照上述做法办理委托确认。</w:t>
      </w:r>
    </w:p>
    <w:p w14:paraId="3B9BED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spacing w:val="0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暂停或取消被委托资格的情形</w:t>
      </w:r>
    </w:p>
    <w:p w14:paraId="4F55A0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已同时承接且未完成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完成标准以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出具正式评估报告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为准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不动产租金类评估项目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或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其他评估项目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的，暂停摇珠资格。如服务期内任务量大，所有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库内评估机构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均已达到以上标准，可酌情调整上述标准。</w:t>
      </w:r>
    </w:p>
    <w:p w14:paraId="03699C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）合作期间，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评估机构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单次无故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拒绝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委托单位委派的，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应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承担相应违约责任；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年度累计2次未在规定时限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内对评估服务委托书予以书面确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认或未按时启动评估工作的，委托单位可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进行暂停派单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个月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；累计3次拒绝委派的，视为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评估机构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根本违约，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委托单位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有权直接取消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评估机构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合作资格。</w:t>
      </w:r>
    </w:p>
    <w:p w14:paraId="3E2EC0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（三）评估机构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的资产评估执业资质被吊销、撤销或有效期届满未续期，或受到主管部门行政处罚、行业纪律处分，影响入库资格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或在入库申请、考核评价、信息报送等过程中提供虚假、不实的资料或信息的，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委托单位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有权单方解除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合同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，将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评估机构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移出资产评估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服务机构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库，并要求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评估机构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赔偿因此给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委托单位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造成的一切损失。</w:t>
      </w:r>
    </w:p>
    <w:p w14:paraId="6379C1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评估机构在委托单位组织的评估机构年度考核或专项评价中，考核结果为不合格的，委托单位有权暂停向评估机构派发新的评估业务委托六个月；连续两次考核不合格的，委托单位有权单方解除合同，将评估机构移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资产评估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服务机构库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</w:p>
    <w:p w14:paraId="727B72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评估机构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将承接的评估业务擅自转委托给第三方，或以任何形式允许第三方以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该评估机构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名义开展评估工作的，委托单位有权单方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解除合同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，将评估机构移出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资产评估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服务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机构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库。</w:t>
      </w:r>
    </w:p>
    <w:p w14:paraId="26356A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其他委托单位认为有必要暂停或取消被委托资格的情形。</w:t>
      </w:r>
    </w:p>
    <w:p w14:paraId="019F7E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485BFF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第四章  服务质量管理</w:t>
      </w:r>
    </w:p>
    <w:p w14:paraId="30E77A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人员管理</w:t>
      </w:r>
    </w:p>
    <w:p w14:paraId="2E6398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资产评估机构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的项目负责人、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评估专业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人员应严格履行合同约定，积极协调处理相关服务工作，及时根据委托单位要求提供专业意见。人员更换需经委托单位同意。</w:t>
      </w:r>
    </w:p>
    <w:p w14:paraId="1F5F50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黑体" w:hAnsi="黑体" w:eastAsia="黑体" w:cs="黑体"/>
          <w:spacing w:val="0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服务质量评分</w:t>
      </w:r>
    </w:p>
    <w:p w14:paraId="431A51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为了加强、规范本服务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机构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库的管理、运作，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委托单位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通过组织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单项评估服务工作评价和年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度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评估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服务情况综合评价的方式对本服务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机构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库实行动态管理，评价维度包含专业水平、工作组织、进度管控、成果质量等内容，评价结果作为后续业务分派、合作续期及入库管理的重要依据。</w:t>
      </w:r>
    </w:p>
    <w:p w14:paraId="20856B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委托单位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建库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框架合同约定、服务情况及履约情况，按《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评估工作评价表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附件1）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、《评估服务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年度综合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考核评分表》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库内评估机构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进行服务质量评分。</w:t>
      </w:r>
    </w:p>
    <w:p w14:paraId="2276C4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评分方式</w:t>
      </w:r>
    </w:p>
    <w:p w14:paraId="313D1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单项评估服务工作评价</w:t>
      </w:r>
    </w:p>
    <w:p w14:paraId="2FB91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每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项委托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评估业务完成后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10个工作日内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，由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评估需求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部门配合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评估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管理部门负责对评估机构进行考评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评分部门根据实际情况评分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填报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评估工作评价表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附件1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并办理结果呈批、资料归档。</w:t>
      </w:r>
    </w:p>
    <w:p w14:paraId="275429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度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评估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服务情况综合评价</w:t>
      </w:r>
    </w:p>
    <w:p w14:paraId="284DD8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度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评估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服务情况综合评价由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评估管理部门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牵头，评估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需求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部门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配合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参与，于每年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第一季度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组织开展，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《评估服务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年度综合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考核评分表》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库内评估机构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上年度服务质量进行综合评分。</w:t>
      </w:r>
    </w:p>
    <w:p w14:paraId="46E992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评定等级</w:t>
      </w:r>
    </w:p>
    <w:p w14:paraId="626C8B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优秀：90分(含)以上；</w:t>
      </w:r>
    </w:p>
    <w:p w14:paraId="3C97E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良好：80分(含)～90分(不含);</w:t>
      </w:r>
    </w:p>
    <w:p w14:paraId="6535E6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合格：60分(含)～80分(不含);</w:t>
      </w:r>
    </w:p>
    <w:p w14:paraId="0440F3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不合格：60分(不含)以下。</w:t>
      </w:r>
    </w:p>
    <w:p w14:paraId="407D2C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库内评估机构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出现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资产评估执业资质被吊销、撤销或有效期届满未续期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或受到主管部门行政处罚、行业纪律处分，影响入库资格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或在入库申请、考核评价、信息报送等过程中提供虚假、不实的资料或信息的，评分等级为不合格。</w:t>
      </w:r>
    </w:p>
    <w:p w14:paraId="445AD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评分结果应用</w:t>
      </w:r>
    </w:p>
    <w:p w14:paraId="49E5E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评价结果作为后续业务分派、合作续期及入库管理的重要依据。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有权将评分结果应用到项目管理全过程决策中。</w:t>
      </w:r>
    </w:p>
    <w:p w14:paraId="7ADEF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71C99C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pacing w:val="0"/>
          <w:sz w:val="32"/>
          <w:szCs w:val="32"/>
        </w:rPr>
        <w:t xml:space="preserve">章  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附则</w:t>
      </w:r>
    </w:p>
    <w:p w14:paraId="244148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第十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pacing w:val="0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本办法中关于部门的表述并非具体部门名称，均指负责专责领域管理的职能部门。</w:t>
      </w:r>
    </w:p>
    <w:p w14:paraId="4E59E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ascii="黑体" w:hAnsi="黑体" w:eastAsia="黑体" w:cs="黑体"/>
          <w:spacing w:val="0"/>
          <w:sz w:val="32"/>
          <w:szCs w:val="32"/>
        </w:rPr>
        <w:t xml:space="preserve">第十四条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本办法中“以上”含本数；“以下”不含本数。</w:t>
      </w:r>
    </w:p>
    <w:p w14:paraId="2933A8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 w:cs="黑体"/>
          <w:spacing w:val="0"/>
          <w:sz w:val="32"/>
          <w:szCs w:val="32"/>
        </w:rPr>
        <w:t xml:space="preserve">第十五条 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eastAsia="zh-CN"/>
        </w:rPr>
        <w:t>本办法由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eastAsia="zh-CN"/>
        </w:rPr>
        <w:t>负责解释，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具体解释工作由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评估管理部门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，自印发之日起实施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。</w:t>
      </w:r>
    </w:p>
    <w:p w14:paraId="6B141F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</w:p>
    <w:p w14:paraId="4B7BE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附件：1.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评估工作评价表</w:t>
      </w:r>
    </w:p>
    <w:p w14:paraId="3CD5C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2.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评估服务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年度综合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考核评分表</w:t>
      </w:r>
    </w:p>
    <w:p w14:paraId="09C16923">
      <w:pP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/>
        </w:rPr>
        <w:br w:type="page"/>
      </w:r>
    </w:p>
    <w:p w14:paraId="2FEA4683">
      <w:pPr>
        <w:pStyle w:val="11"/>
        <w:pageBreakBefore/>
        <w:tabs>
          <w:tab w:val="left" w:pos="1480"/>
        </w:tabs>
        <w:autoSpaceDE w:val="0"/>
        <w:autoSpaceDN w:val="0"/>
        <w:spacing w:line="36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：</w:t>
      </w:r>
    </w:p>
    <w:tbl>
      <w:tblPr>
        <w:tblStyle w:val="8"/>
        <w:tblW w:w="0" w:type="auto"/>
        <w:tblInd w:w="-10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83"/>
        <w:gridCol w:w="2258"/>
      </w:tblGrid>
      <w:tr w14:paraId="3D7D5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7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42CA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评估工作评价表</w:t>
            </w:r>
          </w:p>
        </w:tc>
      </w:tr>
      <w:tr w14:paraId="6748B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0114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评估项目名称（含报告编号）：</w:t>
            </w:r>
          </w:p>
        </w:tc>
      </w:tr>
      <w:tr w14:paraId="1325B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E668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评估机构：</w:t>
            </w:r>
          </w:p>
        </w:tc>
      </w:tr>
      <w:tr w14:paraId="049FC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D97E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委托单位：</w:t>
            </w:r>
          </w:p>
        </w:tc>
      </w:tr>
      <w:tr w14:paraId="247DF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CF0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评价项目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A3A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评价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</w:t>
            </w:r>
          </w:p>
        </w:tc>
      </w:tr>
      <w:tr w14:paraId="1E51D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1249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1.不按合同约定时间提交评估报告，逾期超过5个工作日（含5个工作日），不超过10个工作日（不含10个工作日）。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85C86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（是“√”，否“X”）</w:t>
            </w:r>
          </w:p>
        </w:tc>
      </w:tr>
      <w:tr w14:paraId="25F0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4E43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2.不按合同约定时间提交评估报告，逾期超过10个工作日的（含10个工作日）。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E5266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（是“√”，否“X”）</w:t>
            </w:r>
          </w:p>
        </w:tc>
      </w:tr>
      <w:tr w14:paraId="35FBF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4307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3.提交的评估报告初稿出现较多非原则性错误但对评估结果影响不大。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B3374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（是“√”，否“X”）</w:t>
            </w:r>
          </w:p>
        </w:tc>
      </w:tr>
      <w:tr w14:paraId="4122E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2631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4.提交的评估报告初稿经经办部门审核或专家评审，发现重大过错，对评估结果造成重大影响。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72182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（是“√”，否“X”）</w:t>
            </w:r>
          </w:p>
        </w:tc>
      </w:tr>
      <w:tr w14:paraId="66D68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AD23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5.不按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委托单位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要求提供评估相关佐证材料的。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878B4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（是“√”，否“X”）</w:t>
            </w:r>
          </w:p>
        </w:tc>
      </w:tr>
      <w:tr w14:paraId="0D82A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440D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6.不按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委托单位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要求按时参加评估事项交流会或不出席专家评审会。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306AF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（是“√”，否“X”）</w:t>
            </w:r>
          </w:p>
        </w:tc>
      </w:tr>
      <w:tr w14:paraId="60076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DC88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综合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评价结果</w:t>
            </w:r>
          </w:p>
          <w:p w14:paraId="0D92B6E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参考以上的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1-6项，结合实际工作中评估公司的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工作配合度和专业能力综合评价，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分“优/良/一般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合格/不合格”五档）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830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优/良/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一般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合格/不合格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</w:tr>
      <w:tr w14:paraId="3F673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42DCA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存在主要问题：</w:t>
            </w:r>
          </w:p>
        </w:tc>
      </w:tr>
      <w:tr w14:paraId="6EF62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75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9135D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填报人：（部门+姓名）</w:t>
            </w:r>
          </w:p>
        </w:tc>
      </w:tr>
      <w:tr w14:paraId="13C5F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7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87377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填报时间：</w:t>
            </w:r>
          </w:p>
        </w:tc>
      </w:tr>
      <w:tr w14:paraId="2B8B8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7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198E3"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1BFE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DA99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注：该评价表应在评估报告备案时作为备案资料报送集团资产运营部。</w:t>
            </w:r>
          </w:p>
        </w:tc>
      </w:tr>
    </w:tbl>
    <w:p w14:paraId="58D75D9E">
      <w:pPr>
        <w:pStyle w:val="11"/>
        <w:pageBreakBefore/>
        <w:tabs>
          <w:tab w:val="left" w:pos="1480"/>
        </w:tabs>
        <w:autoSpaceDE w:val="0"/>
        <w:autoSpaceDN w:val="0"/>
        <w:spacing w:line="36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：</w:t>
      </w:r>
    </w:p>
    <w:p w14:paraId="0E71B763"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  <w:r>
        <w:rPr>
          <w:rFonts w:hint="eastAsia" w:eastAsia="方正小标宋简体"/>
          <w:bCs/>
          <w:sz w:val="44"/>
          <w:szCs w:val="44"/>
          <w:highlight w:val="none"/>
        </w:rPr>
        <w:t>评估服务年度综合考核评分表</w:t>
      </w:r>
    </w:p>
    <w:p w14:paraId="65AD79CE">
      <w:pPr>
        <w:spacing w:line="560" w:lineRule="exact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合同名称：</w:t>
      </w:r>
    </w:p>
    <w:p w14:paraId="2C79691F">
      <w:pPr>
        <w:spacing w:line="560" w:lineRule="exact"/>
        <w:rPr>
          <w:kern w:val="0"/>
          <w:szCs w:val="21"/>
          <w:highlight w:val="none"/>
        </w:rPr>
      </w:pPr>
      <w:r>
        <w:rPr>
          <w:rFonts w:hint="eastAsia"/>
          <w:szCs w:val="21"/>
          <w:highlight w:val="none"/>
          <w:lang w:val="en-US" w:eastAsia="zh-CN"/>
        </w:rPr>
        <w:t>考核年度</w:t>
      </w:r>
      <w:r>
        <w:rPr>
          <w:szCs w:val="21"/>
          <w:highlight w:val="none"/>
        </w:rPr>
        <w:t>：</w:t>
      </w:r>
    </w:p>
    <w:p w14:paraId="14E990E8">
      <w:pPr>
        <w:pStyle w:val="7"/>
        <w:spacing w:line="560" w:lineRule="exact"/>
        <w:ind w:left="0" w:leftChars="0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评估单位（盖章）：</w:t>
      </w:r>
    </w:p>
    <w:tbl>
      <w:tblPr>
        <w:tblStyle w:val="8"/>
        <w:tblW w:w="10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73"/>
        <w:gridCol w:w="6366"/>
        <w:gridCol w:w="1089"/>
        <w:gridCol w:w="985"/>
      </w:tblGrid>
      <w:tr w14:paraId="599D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 w14:paraId="78045E6C">
            <w:pPr>
              <w:snapToGrid w:val="0"/>
              <w:spacing w:line="300" w:lineRule="exact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序号</w:t>
            </w:r>
          </w:p>
        </w:tc>
        <w:tc>
          <w:tcPr>
            <w:tcW w:w="1273" w:type="dxa"/>
            <w:noWrap w:val="0"/>
            <w:vAlign w:val="center"/>
          </w:tcPr>
          <w:p w14:paraId="34010F61">
            <w:pPr>
              <w:snapToGrid w:val="0"/>
              <w:spacing w:line="300" w:lineRule="exact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评分项目</w:t>
            </w:r>
          </w:p>
        </w:tc>
        <w:tc>
          <w:tcPr>
            <w:tcW w:w="6366" w:type="dxa"/>
            <w:noWrap w:val="0"/>
            <w:vAlign w:val="center"/>
          </w:tcPr>
          <w:p w14:paraId="7639D411">
            <w:pPr>
              <w:snapToGrid w:val="0"/>
              <w:spacing w:line="300" w:lineRule="exact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评分标准</w:t>
            </w:r>
          </w:p>
        </w:tc>
        <w:tc>
          <w:tcPr>
            <w:tcW w:w="1089" w:type="dxa"/>
            <w:noWrap w:val="0"/>
            <w:vAlign w:val="center"/>
          </w:tcPr>
          <w:p w14:paraId="4F8023DF">
            <w:pPr>
              <w:snapToGrid w:val="0"/>
              <w:spacing w:line="300" w:lineRule="exact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kern w:val="0"/>
                <w:szCs w:val="21"/>
                <w:highlight w:val="none"/>
              </w:rPr>
              <w:t>评估单位自评分</w:t>
            </w:r>
          </w:p>
        </w:tc>
        <w:tc>
          <w:tcPr>
            <w:tcW w:w="985" w:type="dxa"/>
            <w:noWrap w:val="0"/>
            <w:vAlign w:val="center"/>
          </w:tcPr>
          <w:p w14:paraId="52677E32">
            <w:pPr>
              <w:snapToGrid w:val="0"/>
              <w:spacing w:line="300" w:lineRule="exact"/>
              <w:jc w:val="center"/>
              <w:rPr>
                <w:rFonts w:eastAsia="黑体"/>
                <w:szCs w:val="21"/>
                <w:highlight w:val="none"/>
              </w:rPr>
            </w:pPr>
            <w:r>
              <w:rPr>
                <w:rFonts w:eastAsia="黑体"/>
                <w:szCs w:val="21"/>
                <w:highlight w:val="none"/>
              </w:rPr>
              <w:t>委托</w:t>
            </w:r>
            <w:r>
              <w:rPr>
                <w:rFonts w:hint="eastAsia" w:eastAsia="黑体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eastAsia="黑体"/>
                <w:szCs w:val="21"/>
                <w:highlight w:val="none"/>
              </w:rPr>
              <w:t>评分</w:t>
            </w:r>
          </w:p>
        </w:tc>
      </w:tr>
      <w:tr w14:paraId="78C5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720" w:type="dxa"/>
            <w:noWrap w:val="0"/>
            <w:vAlign w:val="center"/>
          </w:tcPr>
          <w:p w14:paraId="571D7733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Cs w:val="21"/>
                <w:highlight w:val="none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4635773B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Style w:val="10"/>
                <w:rFonts w:hint="default" w:ascii="Calibri" w:hAnsi="Calibri" w:eastAsia="宋体" w:cs="Calibri"/>
                <w:b w:val="0"/>
                <w:bCs/>
                <w:color w:val="1F2329"/>
                <w:sz w:val="21"/>
                <w:szCs w:val="21"/>
                <w:highlight w:val="none"/>
              </w:rPr>
              <w:t>现场工作统筹安排（10 分）</w:t>
            </w:r>
          </w:p>
        </w:tc>
        <w:tc>
          <w:tcPr>
            <w:tcW w:w="6366" w:type="dxa"/>
            <w:noWrap w:val="0"/>
            <w:vAlign w:val="center"/>
          </w:tcPr>
          <w:p w14:paraId="2EB9F5E7">
            <w:pPr>
              <w:widowControl/>
              <w:snapToGrid w:val="0"/>
              <w:spacing w:line="300" w:lineRule="exact"/>
              <w:jc w:val="lef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1.现场工作统筹安排优秀：现场查勘、资料收集、信息核验全流程安排科学有序，分工清晰、流程规范，批量房源核查统筹高效、零混乱。得8-10分；</w:t>
            </w:r>
          </w:p>
          <w:p w14:paraId="514D12E2">
            <w:pPr>
              <w:widowControl/>
              <w:snapToGrid w:val="0"/>
              <w:spacing w:line="300" w:lineRule="exact"/>
              <w:jc w:val="lef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2.现场工作统筹安排良好：现场各项工作安排合理，流程规范，分工明确，整体推进顺畅，无明显问题。得5-7分；</w:t>
            </w:r>
          </w:p>
          <w:p w14:paraId="55E1046C">
            <w:pPr>
              <w:widowControl/>
              <w:snapToGrid w:val="0"/>
              <w:spacing w:line="300" w:lineRule="exact"/>
              <w:jc w:val="lef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3.现场工作统筹安排合格：可完成现场各项基础工作，流程基本合规，但统筹性一般，偶有衔接不顺畅情况。得1-4分；</w:t>
            </w:r>
          </w:p>
          <w:p w14:paraId="66CF19AC">
            <w:pPr>
              <w:widowControl/>
              <w:snapToGrid w:val="0"/>
              <w:spacing w:line="300" w:lineRule="exact"/>
              <w:jc w:val="lef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4.现场工作统筹安排不合格：现场工作安排混乱、分工模糊，流程不规范，影响整体工作推进。得0分。</w:t>
            </w:r>
          </w:p>
        </w:tc>
        <w:tc>
          <w:tcPr>
            <w:tcW w:w="1089" w:type="dxa"/>
            <w:noWrap w:val="0"/>
            <w:vAlign w:val="center"/>
          </w:tcPr>
          <w:p w14:paraId="77CCA88D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511D32F9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</w:p>
        </w:tc>
      </w:tr>
      <w:tr w14:paraId="206E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720" w:type="dxa"/>
            <w:noWrap w:val="0"/>
            <w:vAlign w:val="center"/>
          </w:tcPr>
          <w:p w14:paraId="06CC1E26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Cs w:val="21"/>
                <w:highlight w:val="none"/>
              </w:rPr>
              <w:t>2</w:t>
            </w:r>
          </w:p>
        </w:tc>
        <w:tc>
          <w:tcPr>
            <w:tcW w:w="1273" w:type="dxa"/>
            <w:noWrap w:val="0"/>
            <w:vAlign w:val="center"/>
          </w:tcPr>
          <w:p w14:paraId="3E76DA54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评估工作</w:t>
            </w:r>
          </w:p>
          <w:p w14:paraId="132E7D75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组织</w:t>
            </w:r>
          </w:p>
          <w:p w14:paraId="4A9CC7E2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（15分）</w:t>
            </w:r>
          </w:p>
        </w:tc>
        <w:tc>
          <w:tcPr>
            <w:tcW w:w="6366" w:type="dxa"/>
            <w:noWrap w:val="0"/>
            <w:vAlign w:val="center"/>
          </w:tcPr>
          <w:p w14:paraId="18CB2B40">
            <w:pPr>
              <w:widowControl/>
              <w:snapToGrid w:val="0"/>
              <w:spacing w:line="300" w:lineRule="exact"/>
              <w:jc w:val="lef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1.接到委托任务后响应迅速，第一时间主动对接委托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，主动沟通项目流程、现场核查时间及所需资料清单，对接细致全面、高效顺畅，全程无需委托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催促跟进。得13-15分；</w:t>
            </w:r>
          </w:p>
          <w:p w14:paraId="31697E84">
            <w:pPr>
              <w:widowControl/>
              <w:snapToGrid w:val="0"/>
              <w:spacing w:line="300" w:lineRule="exact"/>
              <w:jc w:val="lef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2.接到委托任务后响应及时，能够主动开展对接工作，清晰告知工作流程、核查安排及资料要求，沟通顺畅，基本无需委托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督促。得9-12分；</w:t>
            </w:r>
          </w:p>
          <w:p w14:paraId="76F1B712">
            <w:pPr>
              <w:widowControl/>
              <w:snapToGrid w:val="0"/>
              <w:spacing w:line="300" w:lineRule="exact"/>
              <w:jc w:val="lef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3.接到委托任务后可正常响应，能完成基础对接与资料告知工作，但沟通主动性不足，需委托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适度提醒、跟进。得1-8分；</w:t>
            </w:r>
          </w:p>
          <w:p w14:paraId="2632F7A1">
            <w:pPr>
              <w:widowControl/>
              <w:spacing w:line="288" w:lineRule="atLeas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4.服务响应迟缓，对接积极性差，无法清晰告知工作流程及所需资料，需委托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多次催促、反复对接。得0分。</w:t>
            </w:r>
          </w:p>
        </w:tc>
        <w:tc>
          <w:tcPr>
            <w:tcW w:w="1089" w:type="dxa"/>
            <w:noWrap w:val="0"/>
            <w:vAlign w:val="center"/>
          </w:tcPr>
          <w:p w14:paraId="41434B90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42720DBD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</w:p>
        </w:tc>
      </w:tr>
      <w:tr w14:paraId="49AE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4" w:hRule="atLeast"/>
          <w:jc w:val="center"/>
        </w:trPr>
        <w:tc>
          <w:tcPr>
            <w:tcW w:w="720" w:type="dxa"/>
            <w:noWrap w:val="0"/>
            <w:vAlign w:val="center"/>
          </w:tcPr>
          <w:p w14:paraId="5E562A70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Cs w:val="21"/>
                <w:highlight w:val="none"/>
              </w:rPr>
              <w:t>3</w:t>
            </w:r>
          </w:p>
        </w:tc>
        <w:tc>
          <w:tcPr>
            <w:tcW w:w="1273" w:type="dxa"/>
            <w:noWrap w:val="0"/>
            <w:vAlign w:val="center"/>
          </w:tcPr>
          <w:p w14:paraId="41AFAB3F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进度控制</w:t>
            </w:r>
          </w:p>
          <w:p w14:paraId="3275417E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（15分）</w:t>
            </w:r>
          </w:p>
        </w:tc>
        <w:tc>
          <w:tcPr>
            <w:tcW w:w="6366" w:type="dxa"/>
            <w:noWrap w:val="0"/>
            <w:vAlign w:val="center"/>
          </w:tcPr>
          <w:p w14:paraId="5DD757EE">
            <w:pPr>
              <w:snapToGrid w:val="0"/>
              <w:spacing w:line="300" w:lineRule="exac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1.在服务合同要求的时间节点（或经评估委托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同意顺延的工作时间节点）内完成全部评估工作的得15分；</w:t>
            </w:r>
          </w:p>
          <w:p w14:paraId="25671D81">
            <w:pPr>
              <w:snapToGrid w:val="0"/>
              <w:spacing w:line="300" w:lineRule="exac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2.在服务合同要求的时间节点前完成全部评估工作的，每提前1天加0.5分，最多加5分。</w:t>
            </w:r>
          </w:p>
          <w:p w14:paraId="225B0F12">
            <w:pPr>
              <w:snapToGrid w:val="0"/>
              <w:spacing w:line="300" w:lineRule="exac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3.在服务合同要求的时间节点内未完成全部评估工作的本项不得分，且每延迟1天扣0.5分，最多扣5分。</w:t>
            </w:r>
          </w:p>
        </w:tc>
        <w:tc>
          <w:tcPr>
            <w:tcW w:w="1089" w:type="dxa"/>
            <w:noWrap w:val="0"/>
            <w:vAlign w:val="center"/>
          </w:tcPr>
          <w:p w14:paraId="3D51F6A2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13A08A20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</w:p>
        </w:tc>
      </w:tr>
      <w:tr w14:paraId="2EC3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atLeast"/>
          <w:jc w:val="center"/>
        </w:trPr>
        <w:tc>
          <w:tcPr>
            <w:tcW w:w="720" w:type="dxa"/>
            <w:noWrap w:val="0"/>
            <w:vAlign w:val="center"/>
          </w:tcPr>
          <w:p w14:paraId="5F04F76C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Cs w:val="21"/>
                <w:highlight w:val="none"/>
              </w:rPr>
              <w:t>4</w:t>
            </w:r>
          </w:p>
        </w:tc>
        <w:tc>
          <w:tcPr>
            <w:tcW w:w="1273" w:type="dxa"/>
            <w:noWrap w:val="0"/>
            <w:vAlign w:val="center"/>
          </w:tcPr>
          <w:p w14:paraId="053211E8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成果质量</w:t>
            </w:r>
          </w:p>
          <w:p w14:paraId="0CAC7447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（20分）</w:t>
            </w:r>
          </w:p>
        </w:tc>
        <w:tc>
          <w:tcPr>
            <w:tcW w:w="6366" w:type="dxa"/>
            <w:noWrap w:val="0"/>
            <w:vAlign w:val="center"/>
          </w:tcPr>
          <w:p w14:paraId="2BC5BBC2">
            <w:pPr>
              <w:snapToGrid w:val="0"/>
              <w:spacing w:line="300" w:lineRule="exac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1.草拟的评估全过程相关文件累计修改次数1次以内的得16-20分；</w:t>
            </w:r>
          </w:p>
          <w:p w14:paraId="5C0C6000">
            <w:pPr>
              <w:snapToGrid w:val="0"/>
              <w:spacing w:line="300" w:lineRule="exac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2.草拟的评估全过程相关文件累计修改次数2-3次（含3次）的得11-15分；</w:t>
            </w:r>
          </w:p>
          <w:p w14:paraId="2C1C1834">
            <w:pPr>
              <w:snapToGrid w:val="0"/>
              <w:spacing w:line="300" w:lineRule="exac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3.草拟的评估全过程相关文件累计修改次数4-5次（含5次）的得1-10分；</w:t>
            </w:r>
          </w:p>
          <w:p w14:paraId="46CDDDFE">
            <w:pPr>
              <w:snapToGrid w:val="0"/>
              <w:spacing w:line="300" w:lineRule="exac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4.草拟的评估全过程相关文件累计修改次数在6次及以上的得0分。</w:t>
            </w:r>
          </w:p>
        </w:tc>
        <w:tc>
          <w:tcPr>
            <w:tcW w:w="1089" w:type="dxa"/>
            <w:noWrap w:val="0"/>
            <w:vAlign w:val="center"/>
          </w:tcPr>
          <w:p w14:paraId="6EC56696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6C307483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</w:p>
        </w:tc>
      </w:tr>
      <w:tr w14:paraId="0798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  <w:jc w:val="center"/>
        </w:trPr>
        <w:tc>
          <w:tcPr>
            <w:tcW w:w="720" w:type="dxa"/>
            <w:noWrap w:val="0"/>
            <w:vAlign w:val="center"/>
          </w:tcPr>
          <w:p w14:paraId="56039402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Cs w:val="21"/>
                <w:highlight w:val="none"/>
              </w:rPr>
              <w:t>5</w:t>
            </w:r>
          </w:p>
        </w:tc>
        <w:tc>
          <w:tcPr>
            <w:tcW w:w="1273" w:type="dxa"/>
            <w:noWrap w:val="0"/>
            <w:vAlign w:val="center"/>
          </w:tcPr>
          <w:p w14:paraId="624A4598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投诉处理</w:t>
            </w:r>
          </w:p>
          <w:p w14:paraId="1BDC94E8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（15分）</w:t>
            </w:r>
          </w:p>
        </w:tc>
        <w:tc>
          <w:tcPr>
            <w:tcW w:w="6366" w:type="dxa"/>
            <w:noWrap w:val="0"/>
            <w:vAlign w:val="center"/>
          </w:tcPr>
          <w:p w14:paraId="7168F451">
            <w:pPr>
              <w:snapToGrid w:val="0"/>
              <w:spacing w:line="300" w:lineRule="exac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1.评估过程中未出现投诉，或出现投诉时，能积极及时处理，且投诉被驳回的，得11-15分；</w:t>
            </w:r>
          </w:p>
          <w:p w14:paraId="5DBADFD8">
            <w:pPr>
              <w:snapToGrid w:val="0"/>
              <w:spacing w:line="300" w:lineRule="exac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2.评估过程中出现投诉，在评估委托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的督促下处理，且投诉被驳回的，得1-10分；</w:t>
            </w:r>
          </w:p>
          <w:p w14:paraId="72A3CED2">
            <w:pPr>
              <w:snapToGrid w:val="0"/>
              <w:spacing w:line="300" w:lineRule="exac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3.评估过程中出现投诉，且投诉成立的，得0分。</w:t>
            </w:r>
          </w:p>
        </w:tc>
        <w:tc>
          <w:tcPr>
            <w:tcW w:w="1089" w:type="dxa"/>
            <w:noWrap w:val="0"/>
            <w:vAlign w:val="center"/>
          </w:tcPr>
          <w:p w14:paraId="412AB2C3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23476A1F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</w:p>
        </w:tc>
      </w:tr>
      <w:tr w14:paraId="509C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jc w:val="center"/>
        </w:trPr>
        <w:tc>
          <w:tcPr>
            <w:tcW w:w="720" w:type="dxa"/>
            <w:noWrap w:val="0"/>
            <w:vAlign w:val="center"/>
          </w:tcPr>
          <w:p w14:paraId="2755A353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Cs w:val="21"/>
                <w:highlight w:val="none"/>
              </w:rPr>
              <w:t>6</w:t>
            </w:r>
          </w:p>
        </w:tc>
        <w:tc>
          <w:tcPr>
            <w:tcW w:w="1273" w:type="dxa"/>
            <w:noWrap w:val="0"/>
            <w:vAlign w:val="center"/>
          </w:tcPr>
          <w:p w14:paraId="1BE29A04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服务态度</w:t>
            </w:r>
          </w:p>
          <w:p w14:paraId="4EB31E01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（5分）</w:t>
            </w:r>
          </w:p>
        </w:tc>
        <w:tc>
          <w:tcPr>
            <w:tcW w:w="6366" w:type="dxa"/>
            <w:noWrap w:val="0"/>
            <w:vAlign w:val="center"/>
          </w:tcPr>
          <w:p w14:paraId="5F241B86">
            <w:pPr>
              <w:snapToGrid w:val="0"/>
              <w:spacing w:line="300" w:lineRule="exac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1.工作人员服务态度好，工作认真负责，对评估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  <w:lang w:eastAsia="zh-CN"/>
              </w:rPr>
              <w:t>委托单位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交代的任务采取积极态度努力完成的得5分；</w:t>
            </w:r>
          </w:p>
          <w:p w14:paraId="1BF43872">
            <w:pPr>
              <w:snapToGrid w:val="0"/>
              <w:spacing w:line="300" w:lineRule="exac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2. 工作人员服务态度较好，对评估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  <w:lang w:eastAsia="zh-CN"/>
              </w:rPr>
              <w:t>委托单位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交代的任务基本能够完成的得3-4分；</w:t>
            </w:r>
          </w:p>
          <w:p w14:paraId="7BAC458C">
            <w:pPr>
              <w:snapToGrid w:val="0"/>
              <w:spacing w:line="300" w:lineRule="exac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3. 工作人员服务态度较好，对评估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  <w:lang w:eastAsia="zh-CN"/>
              </w:rPr>
              <w:t>委托单位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交代的任务没有努力完成的得1-2分；</w:t>
            </w:r>
          </w:p>
          <w:p w14:paraId="26112ABD">
            <w:pPr>
              <w:snapToGrid w:val="0"/>
              <w:spacing w:line="300" w:lineRule="exac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4. 工作人员服务态度一般，对评估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  <w:lang w:eastAsia="zh-CN"/>
              </w:rPr>
              <w:t>委托单位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交代的任务借故拖延或不办的得0分。</w:t>
            </w:r>
          </w:p>
        </w:tc>
        <w:tc>
          <w:tcPr>
            <w:tcW w:w="1089" w:type="dxa"/>
            <w:noWrap w:val="0"/>
            <w:vAlign w:val="center"/>
          </w:tcPr>
          <w:p w14:paraId="66ED22AE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6300099D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</w:p>
        </w:tc>
      </w:tr>
      <w:tr w14:paraId="77B97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atLeast"/>
          <w:jc w:val="center"/>
        </w:trPr>
        <w:tc>
          <w:tcPr>
            <w:tcW w:w="720" w:type="dxa"/>
            <w:noWrap w:val="0"/>
            <w:vAlign w:val="center"/>
          </w:tcPr>
          <w:p w14:paraId="3F1ABD4F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Cs w:val="21"/>
                <w:highlight w:val="none"/>
              </w:rPr>
              <w:t>7</w:t>
            </w:r>
          </w:p>
        </w:tc>
        <w:tc>
          <w:tcPr>
            <w:tcW w:w="1273" w:type="dxa"/>
            <w:noWrap w:val="0"/>
            <w:vAlign w:val="center"/>
          </w:tcPr>
          <w:p w14:paraId="4C92C2DD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沟通配合</w:t>
            </w:r>
          </w:p>
          <w:p w14:paraId="16C306E2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（10分）</w:t>
            </w:r>
          </w:p>
        </w:tc>
        <w:tc>
          <w:tcPr>
            <w:tcW w:w="6366" w:type="dxa"/>
            <w:noWrap w:val="0"/>
            <w:vAlign w:val="center"/>
          </w:tcPr>
          <w:p w14:paraId="3353043E">
            <w:pPr>
              <w:snapToGrid w:val="0"/>
              <w:spacing w:line="300" w:lineRule="exac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1.能够掌握评估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  <w:lang w:eastAsia="zh-CN"/>
              </w:rPr>
              <w:t>委托单位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需求，主动为评估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  <w:lang w:eastAsia="zh-CN"/>
              </w:rPr>
              <w:t>委托单位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解决困难，顺利办好评估任务的得9-10分；</w:t>
            </w:r>
          </w:p>
          <w:p w14:paraId="088111D7">
            <w:pPr>
              <w:snapToGrid w:val="0"/>
              <w:spacing w:line="300" w:lineRule="exac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2.较好掌握评估人需求，较主动与评估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  <w:lang w:eastAsia="zh-CN"/>
              </w:rPr>
              <w:t>委托单位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沟通，能够较好完成评估任务的得5-8分；</w:t>
            </w:r>
          </w:p>
          <w:p w14:paraId="54567F2A">
            <w:pPr>
              <w:snapToGrid w:val="0"/>
              <w:spacing w:line="300" w:lineRule="exac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3.基本了解评估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  <w:lang w:eastAsia="zh-CN"/>
              </w:rPr>
              <w:t>委托单位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需求，在评估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  <w:lang w:eastAsia="zh-CN"/>
              </w:rPr>
              <w:t>委托单位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督促下与相关部门沟通，能够完成评估任务的得1-4分；</w:t>
            </w:r>
          </w:p>
          <w:p w14:paraId="5BEBD053">
            <w:pPr>
              <w:snapToGrid w:val="0"/>
              <w:spacing w:line="300" w:lineRule="exac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4.在办理评估手续时为评估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  <w:lang w:eastAsia="zh-CN"/>
              </w:rPr>
              <w:t>委托单位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设置障碍，使评估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  <w:lang w:eastAsia="zh-CN"/>
              </w:rPr>
              <w:t>委托单位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的评估工作不能顺利进行的得0分。</w:t>
            </w:r>
          </w:p>
        </w:tc>
        <w:tc>
          <w:tcPr>
            <w:tcW w:w="1089" w:type="dxa"/>
            <w:noWrap w:val="0"/>
            <w:vAlign w:val="center"/>
          </w:tcPr>
          <w:p w14:paraId="67ED32C4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07218351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</w:p>
        </w:tc>
      </w:tr>
      <w:tr w14:paraId="2C29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720" w:type="dxa"/>
            <w:noWrap w:val="0"/>
            <w:vAlign w:val="center"/>
          </w:tcPr>
          <w:p w14:paraId="6F981546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Cs w:val="21"/>
                <w:highlight w:val="none"/>
              </w:rPr>
              <w:t>8</w:t>
            </w:r>
          </w:p>
        </w:tc>
        <w:tc>
          <w:tcPr>
            <w:tcW w:w="1273" w:type="dxa"/>
            <w:noWrap w:val="0"/>
            <w:vAlign w:val="center"/>
          </w:tcPr>
          <w:p w14:paraId="14B80549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资料管理</w:t>
            </w:r>
          </w:p>
          <w:p w14:paraId="6BD0C760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（10分）</w:t>
            </w:r>
          </w:p>
        </w:tc>
        <w:tc>
          <w:tcPr>
            <w:tcW w:w="6366" w:type="dxa"/>
            <w:noWrap w:val="0"/>
            <w:vAlign w:val="center"/>
          </w:tcPr>
          <w:p w14:paraId="6AB44A6E">
            <w:pPr>
              <w:snapToGrid w:val="0"/>
              <w:spacing w:line="300" w:lineRule="exac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1.按照评估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  <w:lang w:eastAsia="zh-CN"/>
              </w:rPr>
              <w:t>委托单位</w:t>
            </w: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对评估资料汇总编制指引的要求一次性完成编制工作的得10分；</w:t>
            </w:r>
          </w:p>
          <w:p w14:paraId="1D903961">
            <w:pPr>
              <w:snapToGrid w:val="0"/>
              <w:spacing w:line="300" w:lineRule="exact"/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highlight w:val="none"/>
              </w:rPr>
              <w:t>2.每退回返工一次扣2分，最多扣10分。</w:t>
            </w:r>
          </w:p>
        </w:tc>
        <w:tc>
          <w:tcPr>
            <w:tcW w:w="1089" w:type="dxa"/>
            <w:noWrap w:val="0"/>
            <w:vAlign w:val="center"/>
          </w:tcPr>
          <w:p w14:paraId="7534D57E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52EF28B6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</w:p>
        </w:tc>
      </w:tr>
      <w:tr w14:paraId="0DC6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359" w:type="dxa"/>
            <w:gridSpan w:val="3"/>
            <w:noWrap w:val="0"/>
            <w:vAlign w:val="center"/>
          </w:tcPr>
          <w:p w14:paraId="4F756C9C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szCs w:val="21"/>
                <w:highlight w:val="none"/>
              </w:rPr>
              <w:t>合计</w:t>
            </w:r>
          </w:p>
        </w:tc>
        <w:tc>
          <w:tcPr>
            <w:tcW w:w="1089" w:type="dxa"/>
            <w:noWrap w:val="0"/>
            <w:vAlign w:val="center"/>
          </w:tcPr>
          <w:p w14:paraId="288CD918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44B9DA1D">
            <w:pPr>
              <w:snapToGrid w:val="0"/>
              <w:spacing w:line="300" w:lineRule="exact"/>
              <w:jc w:val="center"/>
              <w:rPr>
                <w:rFonts w:hint="default" w:ascii="Calibri" w:hAnsi="Calibri" w:eastAsia="宋体" w:cs="Calibri"/>
                <w:szCs w:val="21"/>
                <w:highlight w:val="none"/>
              </w:rPr>
            </w:pPr>
          </w:p>
        </w:tc>
      </w:tr>
      <w:tr w14:paraId="5DCC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433" w:type="dxa"/>
            <w:gridSpan w:val="5"/>
            <w:noWrap w:val="0"/>
            <w:vAlign w:val="center"/>
          </w:tcPr>
          <w:p w14:paraId="65219AC8">
            <w:pPr>
              <w:snapToGrid w:val="0"/>
              <w:spacing w:line="30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以下为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委托单位</w:t>
            </w:r>
            <w:r>
              <w:rPr>
                <w:szCs w:val="21"/>
                <w:highlight w:val="none"/>
              </w:rPr>
              <w:t>填写栏</w:t>
            </w:r>
          </w:p>
        </w:tc>
      </w:tr>
      <w:tr w14:paraId="4A814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1993" w:type="dxa"/>
            <w:gridSpan w:val="2"/>
            <w:noWrap w:val="0"/>
            <w:vAlign w:val="center"/>
          </w:tcPr>
          <w:p w14:paraId="22A98601">
            <w:pPr>
              <w:snapToGrid w:val="0"/>
              <w:spacing w:line="30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评定等级</w:t>
            </w:r>
          </w:p>
        </w:tc>
        <w:tc>
          <w:tcPr>
            <w:tcW w:w="8440" w:type="dxa"/>
            <w:gridSpan w:val="3"/>
            <w:noWrap w:val="0"/>
            <w:vAlign w:val="center"/>
          </w:tcPr>
          <w:p w14:paraId="2E5B529C">
            <w:pPr>
              <w:snapToGrid w:val="0"/>
              <w:spacing w:line="300" w:lineRule="exac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  <w:u w:val="single"/>
              </w:rPr>
              <w:t xml:space="preserve">                 </w:t>
            </w:r>
            <w:r>
              <w:rPr>
                <w:szCs w:val="21"/>
                <w:highlight w:val="none"/>
              </w:rPr>
              <w:t>（优秀/良好/合格/不合格）</w:t>
            </w:r>
          </w:p>
        </w:tc>
      </w:tr>
    </w:tbl>
    <w:p w14:paraId="10F3B02B">
      <w:pPr>
        <w:spacing w:line="560" w:lineRule="exact"/>
        <w:ind w:firstLine="105" w:firstLineChars="50"/>
        <w:jc w:val="left"/>
        <w:rPr>
          <w:szCs w:val="21"/>
          <w:highlight w:val="none"/>
        </w:rPr>
      </w:pPr>
      <w:r>
        <w:rPr>
          <w:highlight w:val="none"/>
        </w:rPr>
        <w:t>评分人：                  评分部门负责人：                   日期：</w:t>
      </w:r>
    </w:p>
    <w:p w14:paraId="1A63E8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兰亭黑d頌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A9E88">
    <w:pPr>
      <w:spacing w:line="231" w:lineRule="auto"/>
      <w:ind w:left="7480"/>
      <w:rPr>
        <w:rFonts w:ascii="宋体" w:hAnsi="宋体" w:eastAsia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938A92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938A92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A6F2B"/>
    <w:rsid w:val="05D31816"/>
    <w:rsid w:val="0641542A"/>
    <w:rsid w:val="07026B84"/>
    <w:rsid w:val="09D52BEB"/>
    <w:rsid w:val="0AA84209"/>
    <w:rsid w:val="0C5A1D9F"/>
    <w:rsid w:val="16D45F25"/>
    <w:rsid w:val="17C50C73"/>
    <w:rsid w:val="1B466C00"/>
    <w:rsid w:val="1F9A41E7"/>
    <w:rsid w:val="2078294A"/>
    <w:rsid w:val="212A6DD7"/>
    <w:rsid w:val="24D269D5"/>
    <w:rsid w:val="25FC46E5"/>
    <w:rsid w:val="28F3032A"/>
    <w:rsid w:val="2C237822"/>
    <w:rsid w:val="2CD743C0"/>
    <w:rsid w:val="2CD81952"/>
    <w:rsid w:val="2D757500"/>
    <w:rsid w:val="34202458"/>
    <w:rsid w:val="38AC666D"/>
    <w:rsid w:val="391854DD"/>
    <w:rsid w:val="39390B3F"/>
    <w:rsid w:val="3AF75099"/>
    <w:rsid w:val="3FBE72E2"/>
    <w:rsid w:val="43707776"/>
    <w:rsid w:val="43CE6903"/>
    <w:rsid w:val="44017CC0"/>
    <w:rsid w:val="45F2691B"/>
    <w:rsid w:val="46A936CA"/>
    <w:rsid w:val="47E10241"/>
    <w:rsid w:val="4BCA20D5"/>
    <w:rsid w:val="52CA6F2B"/>
    <w:rsid w:val="55021C17"/>
    <w:rsid w:val="55C95E42"/>
    <w:rsid w:val="56BA7A52"/>
    <w:rsid w:val="598B542C"/>
    <w:rsid w:val="5B4E3772"/>
    <w:rsid w:val="5BD14F3B"/>
    <w:rsid w:val="62F82F3D"/>
    <w:rsid w:val="630156D6"/>
    <w:rsid w:val="68B71741"/>
    <w:rsid w:val="7390011F"/>
    <w:rsid w:val="7746292E"/>
    <w:rsid w:val="7A263451"/>
    <w:rsid w:val="7B135623"/>
    <w:rsid w:val="7DCE1675"/>
    <w:rsid w:val="7EB472A4"/>
    <w:rsid w:val="7F07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  <w:rPr>
      <w:kern w:val="0"/>
      <w:sz w:val="20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unhideWhenUsed/>
    <w:qFormat/>
    <w:uiPriority w:val="99"/>
    <w:pPr>
      <w:ind w:left="420" w:leftChars="200"/>
    </w:pPr>
  </w:style>
  <w:style w:type="character" w:styleId="10">
    <w:name w:val="Strong"/>
    <w:qFormat/>
    <w:uiPriority w:val="0"/>
    <w:rPr>
      <w:b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方正兰亭黑d頌." w:hAnsi="Calibri" w:eastAsia="方正兰亭黑d頌." w:cs="方正兰亭黑d頌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5098</Words>
  <Characters>5221</Characters>
  <Lines>0</Lines>
  <Paragraphs>0</Paragraphs>
  <TotalTime>9</TotalTime>
  <ScaleCrop>false</ScaleCrop>
  <LinksUpToDate>false</LinksUpToDate>
  <CharactersWithSpaces>5342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2026-06-01T07:14:00Z</dcterms:created>
  <dc:creator>YU</dc:creator>
  <cp:lastModifiedBy>YU</cp:lastModifiedBy>
  <dcterms:modified xsi:type="dcterms:W3CDTF">2026-06-11T03:22:36Z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2E3F27FEA7A2495DA5D578BD53D09754_13</vt:lpwstr>
  </property>
  <property fmtid="{D5CDD505-2E9C-101B-9397-08002B2CF9AE}" pid="4" name="KSOTemplateDocerSaveRecord">
    <vt:lpwstr>eyJoZGlkIjoiMWRiMGU2Mzk3MjQzMTNjYTIzMzUxNWNjYzQ2OTk3MzAiLCJ1c2VySWQiOiIzNzA3NDYxMzAifQ==</vt:lpwstr>
  </property>
</Properties>
</file>