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信丰（省界）至南雄高速公路机电工程（JD1标段）施工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信丰（省界）至南雄高速公路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《广东省发展改革委关于信丰（省界）至南雄高速公路项目核准的批复》（粤发改核准〔2020〕37号）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《广东省交通运输厅关于信丰（省界）至南雄高速公路交通安全设施和机电工程施工图设计程序性审查的批复》（粤交基〔2023〕126号）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广东湾区交通建设投资有限公司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项目公司自筹资本金和银行贷款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资本金25％和贷款75％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广东湾区交通建设投资有限公司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w:t>
      </w:r>
    </w:p>
    <w:p>
      <w:pPr/>
      <w:r>
        <w:rPr>
          <w:rFonts w:ascii="" w:eastAsia="" w:hint="eastAsia"/>
          <w:sz w:val="21.0"/>
          <w:szCs w:val="21.0"/>
          <w:color w:val="000000"/>
        </w:rPr>
        <w:t xml:space="preserve"> 信丰（省界）至南雄高速公路属于广东省高速公路网规划加密联络线第16联（南雄至乐昌高速公路)重要组成部分。项目起于粤赣界南雄市界址镇寨背以北（接雄信高速赣境段），终于韶赣高速珠玑互通以北约5km（鹅颈坡北侧）。路线全长41.317公里，采用双向四车道高速公路技术标准，设计时速120km/小时，路基宽度26.5m，设大桥7058.4m/29座（含互通立交主线桥、下同，无隧道）、中桥322.4m/4座，桥梁比例17.9%；设界址、坪田、中心、长市、珠玑北（枢纽）共5处互通立交；设置管理中心1处、服务区1处。</w:t>
      </w:r>
    </w:p>
    <w:p>
      <w:pPr/>
      <w:r>
        <w:rPr>
          <w:rFonts w:ascii="" w:eastAsia="" w:hint="eastAsia"/>
          <w:sz w:val="21.0"/>
          <w:szCs w:val="21.0"/>
          <w:color w:val="000000"/>
        </w:rPr>
        <w:t xml:space="preserve">2.2招标范围</w:t>
      </w:r>
    </w:p>
    <w:p>
      <w:pPr/>
      <w:r>
        <w:rPr>
          <w:rFonts w:ascii="" w:eastAsia="" w:hint="eastAsia"/>
          <w:sz w:val="21.0"/>
          <w:szCs w:val="21.0"/>
          <w:color w:val="000000"/>
        </w:rPr>
        <w:t xml:space="preserve">全线监控、通信（含通信管道）、收费三大系统，全线路段供配电，外供电，全线照明、消防设施，包括以上工程的施工方案、工艺设计、设备材料制造（或供货）、运输、试验，工程安装、试通、交付、测试、培训、施工及竣工文件和免费缺陷责任期等全套服务。</w:t>
      </w:r>
    </w:p>
    <w:p>
      <w:pPr/>
      <w:r>
        <w:rPr>
          <w:rFonts w:ascii="" w:eastAsia="" w:hint="eastAsia"/>
          <w:sz w:val="21.0"/>
          <w:szCs w:val="21.0"/>
          <w:color w:val="000000"/>
        </w:rPr>
        <w:t xml:space="preserve">计划工期：总工期暂定10个月，实际工期根据现场情况进行合理安排。具体开工日期以监理工程师签发的开工令为准。投标人应充分考虑工期等各种影响及风险。</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I类机电工程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JD1标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K0+000～K41+317.43</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41.317</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全线的监控、收费、通信 （含通信管道）、供配电、外供电、照明、消防等设施、含设备、材料、工器具的采购、运输、安装、调测和场地清理等其他为完成本工程所需的全部工作内容。</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详见附录1</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3.1本次招标要求投标人须具备上述第2.2款表中所列相应资质, 具有类似工程业绩,并在人员、设备、资金等方面具备相应的施工能力。</w:t>
      </w:r>
    </w:p>
    <w:p>
      <w:pPr/>
      <w:r>
        <w:rPr>
          <w:rFonts w:ascii="" w:eastAsia="" w:hint="eastAsia"/>
          <w:sz w:val="21.0"/>
          <w:szCs w:val="21.0"/>
          <w:color w:val="000000"/>
        </w:rPr>
        <w:t xml:space="preserve">投标人应进入交通运输部“全国公路建设市场信用信息管理系统（http:glxy.mot.gov.cn)”中的公路工程施工资质企业名录，且投标人名称和资质与该名录中的相应企业名称和资质完全一致。</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3.3与招标人存在利害关系可能影响招标公正性的法人，不得参加投标；单位负责人① 为同一人、或者存在控股②、管理关系③的不同单位，不得参加同一标段投标或者未划分标段的同一招标项目投标，否则按否决其投标处理。</w:t>
      </w:r>
    </w:p>
    <w:p>
      <w:pPr/>
      <w:r>
        <w:rPr>
          <w:rFonts w:ascii="" w:eastAsia="" w:hint="eastAsia"/>
          <w:sz w:val="21.0"/>
          <w:szCs w:val="21.0"/>
          <w:color w:val="000000"/>
        </w:rPr>
        <w:t xml:space="preserve"> 3.4在“信用中国”网站（http://www.creditchina.gov.cn/）中被列入失信被执行人名单的投标人，在国家企业信用信息公示系统（www.gsxt.gov.cn）中被列入严重违法失信企业名单的投标人，均按否决投标处理。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注：①单位负责人是指单位的法定代表人或者法律、行政法规规定代表单位行使职权的主要负责人。②控股是指：股份占股份有限公司股本总额的50%以上的绝对控股、相对控股或协议控股。③管理关系是指不具有出资持股关系的其它单位之间存在的管理与被管理关系</w:t>
      </w:r>
    </w:p>
    <w:p>
      <w:pPr/>
      <w:r>
        <w:rPr>
          <w:rFonts w:ascii="" w:eastAsia="" w:hint="eastAsia"/>
          <w:sz w:val="21.0"/>
          <w:szCs w:val="21.0"/>
          <w:color w:val="000000"/>
        </w:rPr>
        <w:t xml:space="preserve">。</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2023年03月31日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2023年04月07日  </w:t>
      </w:r>
      <w:r>
        <w:rPr>
          <w:rFonts w:ascii="标宋" w:eastAsia="标宋" w:hint="eastAsia"/>
          <w:sz w:val="21.0"/>
          <w:szCs w:val="21.0"/>
          <w:color w:val="000000"/>
        </w:rPr>
        <w:t xml:space="preserve">（法定公休日、法定节假日除外），登陆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电子交易平台服务费收取费用</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售后不退（同一投标人在本次招标中只收取一次电子交易平台服务费，不分标段收取）。投标人须将缴费证明资料扫描件上传到广东公路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2023年04月24日09时30分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4月8日00时00分至2023年4月24日9时30分将电子文件完整上传。递交投标文件纸质文件截止时间为2023年4月24日9时30分，投标人应于2023年4月24日8时30分至2023年4月24日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本次招标公告同时在广东省招标投标监管网、广州公共资源交易中心网站、粤采易平台上发布。如公告详细内容不一致者，以广东省招标投标监管网公告为准。</w:t>
      </w:r>
    </w:p>
    <w:p>
      <w:pPr>
        <w:spacing w:line="280" w:lineRule="auto"/>
      </w:pPr>
      <w:r>
        <w:rPr>
          <w:rFonts w:ascii="" w:eastAsia="" w:hint="eastAsia"/>
          <w:sz w:val="21.0"/>
          <w:szCs w:val="21.0"/>
          <w:color w:val="000000"/>
        </w:rPr>
        <w:t xml:space="preserve">在规定的投标登记期间，如某个标段投标登记并购买招标文件的投标人不足3 家时，招标人依法有权选择以下任一方式：（1）在广州公共资源交易中心 网站发布公告延长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广东湾区交通建设投资有限公司</w:t>
            </w:r>
          </w:p>
          <w:p>
            <w:pPr/>
            <w:r>
              <w:rPr>
                <w:rFonts w:ascii="标宋" w:eastAsia="标宋" w:hint="eastAsia"/>
                <w:sz w:val="21.0"/>
                <w:szCs w:val="21.0"/>
                <w:color w:val="000000"/>
              </w:rPr>
              <w:t xml:space="preserve">地址：  广东省韶关市南雄市湖口镇雄信高速公路管理处</w:t>
            </w:r>
          </w:p>
          <w:p>
            <w:pPr/>
            <w:r>
              <w:rPr>
                <w:rFonts w:ascii="标宋" w:eastAsia="标宋" w:hint="eastAsia"/>
                <w:sz w:val="21.0"/>
                <w:szCs w:val="21.0"/>
                <w:color w:val="000000"/>
              </w:rPr>
              <w:t xml:space="preserve">邮政编码：  510623</w:t>
            </w:r>
          </w:p>
          <w:p>
            <w:pPr/>
            <w:r>
              <w:rPr>
                <w:rFonts w:ascii="标宋" w:eastAsia="标宋" w:hint="eastAsia"/>
                <w:sz w:val="21.0"/>
                <w:szCs w:val="21.0"/>
                <w:color w:val="000000"/>
              </w:rPr>
              <w:t xml:space="preserve">联系人：  盛先生</w:t>
            </w:r>
          </w:p>
          <w:p>
            <w:pPr/>
            <w:r>
              <w:rPr>
                <w:rFonts w:ascii="标宋" w:eastAsia="标宋" w:hint="eastAsia"/>
                <w:sz w:val="21.0"/>
                <w:szCs w:val="21.0"/>
                <w:color w:val="000000"/>
              </w:rPr>
              <w:t xml:space="preserve">电 话：  15274723684</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xxgszb2021@163.com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2023年03月31日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