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b/>
          <w:sz w:val="40"/>
          <w:szCs w:val="40"/>
        </w:rPr>
      </w:pPr>
      <w:r>
        <w:rPr>
          <w:rFonts w:hint="eastAsia" w:ascii="仿宋_GB2312" w:eastAsia="仿宋_GB2312"/>
          <w:b/>
          <w:sz w:val="40"/>
          <w:szCs w:val="40"/>
        </w:rPr>
        <w:t>城投雪松发展总部项目（一期）永久用电工程</w:t>
      </w:r>
    </w:p>
    <w:p>
      <w:pPr>
        <w:spacing w:line="360" w:lineRule="auto"/>
        <w:ind w:firstLine="2409" w:firstLineChars="600"/>
        <w:jc w:val="left"/>
        <w:rPr>
          <w:rFonts w:hint="eastAsia" w:ascii="仿宋_GB2312" w:eastAsia="仿宋_GB2312"/>
          <w:b/>
          <w:sz w:val="40"/>
          <w:szCs w:val="40"/>
        </w:rPr>
      </w:pPr>
      <w:r>
        <w:rPr>
          <w:rFonts w:hint="eastAsia" w:ascii="仿宋_GB2312" w:eastAsia="仿宋_GB2312"/>
          <w:b/>
          <w:sz w:val="40"/>
          <w:szCs w:val="40"/>
          <w:lang w:val="en-US" w:eastAsia="zh-CN"/>
        </w:rPr>
        <w:t>(第二次）</w:t>
      </w:r>
      <w:r>
        <w:rPr>
          <w:rFonts w:hint="eastAsia" w:ascii="仿宋_GB2312" w:eastAsia="仿宋_GB2312"/>
          <w:b/>
          <w:sz w:val="40"/>
          <w:szCs w:val="40"/>
        </w:rPr>
        <w:t>工程量清单说明</w:t>
      </w:r>
    </w:p>
    <w:p>
      <w:pPr>
        <w:spacing w:line="360" w:lineRule="auto"/>
        <w:ind w:firstLine="630" w:firstLineChars="196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360" w:lineRule="auto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一、工程概况</w:t>
      </w:r>
    </w:p>
    <w:p>
      <w:pPr>
        <w:spacing w:line="360" w:lineRule="auto"/>
        <w:ind w:firstLine="411" w:firstLineChars="196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1.工程名称：城投雪松发展总部项目（一期）永久用电工程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第二次）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2.建设单位：广州市启臻房地产开发有限公司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3.工程地点: 临近广州市增城区东部交通枢纽中心，处于新塘汽车大道，距离地铁13号线新塘站和在建的新塘东部交通枢纽站约600米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4.工程规模: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总建筑面积10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9760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平方米，其中地上65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869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平方米（住宅建筑面积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60448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平方米，商业31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平方米，配套设施22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平方米），地下44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3891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平方米；永久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电设计容量2×1000kVA+4×800kVA公变,1×1600kVA专变。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招标</w:t>
      </w:r>
      <w:r>
        <w:rPr>
          <w:rFonts w:hint="eastAsia" w:ascii="仿宋_GB2312" w:eastAsia="仿宋_GB2312"/>
          <w:b/>
          <w:sz w:val="32"/>
          <w:szCs w:val="32"/>
        </w:rPr>
        <w:t>范围</w:t>
      </w:r>
    </w:p>
    <w:p>
      <w:pPr>
        <w:spacing w:line="360" w:lineRule="auto"/>
        <w:ind w:firstLine="56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建筑工程包括：</w:t>
      </w:r>
    </w:p>
    <w:p>
      <w:pPr>
        <w:numPr>
          <w:ilvl w:val="0"/>
          <w:numId w:val="2"/>
        </w:numPr>
        <w:spacing w:line="360" w:lineRule="auto"/>
        <w:ind w:firstLine="56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根据图纸及规范要求完成拆除工程；砌筑工程；混凝土及钢筋混凝土工程；地面、墙面及天花的装饰装修工程；门窗工程；盖板工程（花纹钢板）；油漆、涂料、裱糊工程，按要求配置相应的安全警示标语及提示牌，做好施工期间的安全保护工作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安装工程包括：</w:t>
      </w:r>
      <w:r>
        <w:rPr>
          <w:rFonts w:hint="eastAsia" w:ascii="仿宋_GB2312" w:eastAsia="仿宋_GB2312"/>
          <w:bCs/>
          <w:sz w:val="32"/>
          <w:szCs w:val="32"/>
        </w:rPr>
        <w:tab/>
      </w:r>
    </w:p>
    <w:p>
      <w:pPr>
        <w:spacing w:line="360" w:lineRule="auto"/>
        <w:ind w:firstLine="56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（1）公变高、低压系统，专变高、低压系统：从供电部门提供的供电点的开关房、综合房、公变房、专变房的高低压配电柜（含环网柜、计量柜）、变压器、电缆、母线及其接线、桥架，室外电缆沟工程；</w:t>
      </w:r>
    </w:p>
    <w:p>
      <w:pPr>
        <w:spacing w:line="360" w:lineRule="auto"/>
        <w:ind w:firstLine="56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2）高低压配电房内所有配电附属工程：铜排连接、护栏、防雷接地、排气扇、灭火器、线槽、套管、线管、照明、插座、接线图、指示牌、安全警示语标志牌、按供电部门要求设置的安全工器具、运行图版、电房门牌等；</w:t>
      </w:r>
    </w:p>
    <w:p>
      <w:pPr>
        <w:spacing w:line="360" w:lineRule="auto"/>
        <w:ind w:firstLine="56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（3）一户一表集中抄表系统：公用低压柜出线端至用户电表箱（含电箱安装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、含用户电表安装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），公用低压柜出线端至充电桩电表箱（含电箱安装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、不含充电桩表箱内的电表安装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）；</w:t>
      </w:r>
    </w:p>
    <w:p>
      <w:pPr>
        <w:spacing w:line="360" w:lineRule="auto"/>
        <w:ind w:firstLine="56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（4）光纤通讯系统管线及</w:t>
      </w:r>
      <w:r>
        <w:rPr>
          <w:rFonts w:hint="eastAsia" w:ascii="仿宋_GB2312" w:eastAsia="仿宋_GB2312"/>
          <w:bCs/>
          <w:sz w:val="32"/>
          <w:szCs w:val="32"/>
        </w:rPr>
        <w:t>设备：光纤通讯设备及相关管线。</w:t>
      </w:r>
    </w:p>
    <w:p>
      <w:pPr>
        <w:spacing w:line="360" w:lineRule="auto"/>
        <w:ind w:firstLine="56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（5）其他说明：用户电表由供电局提供，永久用电施工单位负责安装，充电桩电表不在编制范围内。</w:t>
      </w:r>
    </w:p>
    <w:p>
      <w:pPr>
        <w:spacing w:line="360" w:lineRule="auto"/>
        <w:ind w:firstLine="56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三、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计价方式</w:t>
      </w:r>
    </w:p>
    <w:p>
      <w:pPr>
        <w:spacing w:line="360" w:lineRule="auto"/>
        <w:ind w:firstLine="641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本工程为综合单价包干，措施费、预算包干费、总包配合服务费合价包干。</w:t>
      </w:r>
    </w:p>
    <w:p>
      <w:pPr>
        <w:numPr>
          <w:ilvl w:val="0"/>
          <w:numId w:val="1"/>
        </w:numPr>
        <w:spacing w:line="360" w:lineRule="auto"/>
        <w:ind w:left="578" w:leftChars="0" w:firstLine="0" w:firstLineChars="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报价说明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（一）报价清单内的价格为综合单价，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包含人工费、材料费、设备费、工具费、管理费（含办公、住宿、交通等）、风险、利润、保险、报建、电表报装及校核、调试、检测、通电、供电部门验收通过以及政策性文件规定的所有风险、责任等，以及为完成合同约定工作范围内的一切费用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（二）工程量清单中的主材若属招标人推荐品牌范围的，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投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标人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应根据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招标文件中的《主要设备材料、品牌/生产厂家推荐表》列明的材料设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备进行报价。</w:t>
      </w:r>
    </w:p>
    <w:p>
      <w:pPr>
        <w:numPr>
          <w:ilvl w:val="0"/>
          <w:numId w:val="1"/>
        </w:numPr>
        <w:spacing w:line="360" w:lineRule="auto"/>
        <w:ind w:left="578" w:leftChars="0" w:firstLine="0" w:firstLineChars="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计价说明</w:t>
      </w:r>
    </w:p>
    <w:p>
      <w:pPr>
        <w:numPr>
          <w:ilvl w:val="0"/>
          <w:numId w:val="3"/>
        </w:numPr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变更及新增项目计价说明</w:t>
      </w:r>
    </w:p>
    <w:p>
      <w:pPr>
        <w:spacing w:line="360" w:lineRule="auto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snapToGrid w:val="0"/>
          <w:spacing w:val="4"/>
          <w:kern w:val="44"/>
          <w:sz w:val="28"/>
          <w:szCs w:val="28"/>
        </w:rPr>
        <w:t>投标清单中有相同项目的，执行投标清单中的综合单价</w:t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snapToGrid w:val="0"/>
          <w:spacing w:val="4"/>
          <w:kern w:val="44"/>
          <w:sz w:val="28"/>
          <w:szCs w:val="28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Cs/>
          <w:snapToGrid w:val="0"/>
          <w:spacing w:val="4"/>
          <w:kern w:val="44"/>
          <w:sz w:val="28"/>
          <w:szCs w:val="28"/>
        </w:rPr>
        <w:t>投标清单中有类似的，按投标清单中类似项目换算主材进行计算，其他费用不变。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bCs/>
          <w:strike/>
          <w:dstrike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Cs/>
          <w:snapToGrid w:val="0"/>
          <w:spacing w:val="4"/>
          <w:kern w:val="44"/>
          <w:sz w:val="28"/>
          <w:szCs w:val="28"/>
        </w:rPr>
        <w:t>投标清单中没有相同或类似的项目，执行《建设工程工程量清单计价规范GB50500-2013》，执行2018年广东省各专业工程综合定额等工程计价依据的相关文件，人工、材料/设备、机械按广州市建设工程造价管理站发布的施工同期综合价格，分部分项综合单价下浮1</w:t>
      </w:r>
      <w:r>
        <w:rPr>
          <w:rFonts w:ascii="仿宋" w:hAnsi="仿宋" w:eastAsia="仿宋" w:cs="仿宋"/>
          <w:bCs/>
          <w:snapToGrid w:val="0"/>
          <w:spacing w:val="4"/>
          <w:kern w:val="44"/>
          <w:sz w:val="28"/>
          <w:szCs w:val="28"/>
        </w:rPr>
        <w:t>0</w:t>
      </w:r>
      <w:r>
        <w:rPr>
          <w:rFonts w:hint="eastAsia" w:ascii="仿宋" w:hAnsi="仿宋" w:eastAsia="仿宋" w:cs="仿宋"/>
          <w:bCs/>
          <w:snapToGrid w:val="0"/>
          <w:spacing w:val="4"/>
          <w:kern w:val="44"/>
          <w:sz w:val="28"/>
          <w:szCs w:val="28"/>
        </w:rPr>
        <w:t>%，包干措施费、预算包干费及总承包服务费不另计取</w:t>
      </w:r>
      <w:r>
        <w:rPr>
          <w:rFonts w:hint="eastAsia" w:ascii="仿宋_GB2312" w:eastAsia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（二）主要材料设备变更调整办法详见合同附件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578" w:leftChars="0" w:firstLine="0" w:firstLineChars="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其他说明</w:t>
      </w:r>
    </w:p>
    <w:p>
      <w:pPr>
        <w:numPr>
          <w:ilvl w:val="0"/>
          <w:numId w:val="4"/>
        </w:numPr>
        <w:spacing w:line="360" w:lineRule="auto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总包配合服务费执行总包合同条款，即按相应分包合同价款1%收取总包管理协调配合费，属合价包干项目，由承包人综合考虑在投标报价内，结算时不作调整；</w:t>
      </w:r>
    </w:p>
    <w:p>
      <w:pPr>
        <w:numPr>
          <w:ilvl w:val="0"/>
          <w:numId w:val="4"/>
        </w:numPr>
        <w:spacing w:line="360" w:lineRule="auto"/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Cs/>
          <w:sz w:val="32"/>
          <w:szCs w:val="32"/>
          <w:lang w:val="en-US" w:eastAsia="zh-CN"/>
        </w:rPr>
        <w:t>施工用水电，需向施工总承包单位交纳施工水电费及安全文明保证金，水电费用采取包干方式，按总包合同执行，报价时综合考虑；</w:t>
      </w:r>
    </w:p>
    <w:p>
      <w:pPr>
        <w:numPr>
          <w:ilvl w:val="0"/>
          <w:numId w:val="4"/>
        </w:numPr>
        <w:spacing w:line="360" w:lineRule="auto"/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住户电表箱包含供电局认可的自动抄表装置的安装，充电桩电表暂不考虑电表安装；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79C3C"/>
    <w:multiLevelType w:val="singleLevel"/>
    <w:tmpl w:val="BC779C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A377D8"/>
    <w:multiLevelType w:val="singleLevel"/>
    <w:tmpl w:val="0FA377D8"/>
    <w:lvl w:ilvl="0" w:tentative="0">
      <w:start w:val="2"/>
      <w:numFmt w:val="chineseCounting"/>
      <w:suff w:val="nothing"/>
      <w:lvlText w:val="%1、"/>
      <w:lvlJc w:val="left"/>
      <w:pPr>
        <w:ind w:left="578" w:firstLine="0"/>
      </w:pPr>
      <w:rPr>
        <w:rFonts w:hint="eastAsia"/>
      </w:rPr>
    </w:lvl>
  </w:abstractNum>
  <w:abstractNum w:abstractNumId="2">
    <w:nsid w:val="4F642923"/>
    <w:multiLevelType w:val="singleLevel"/>
    <w:tmpl w:val="4F64292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AC2E063"/>
    <w:multiLevelType w:val="singleLevel"/>
    <w:tmpl w:val="7AC2E06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ZTExY2IwYWYyMzVlMjlhM2VhZTUwYjA1MjMyM2EifQ=="/>
  </w:docVars>
  <w:rsids>
    <w:rsidRoot w:val="650441B7"/>
    <w:rsid w:val="04FD720A"/>
    <w:rsid w:val="0C2506CA"/>
    <w:rsid w:val="11F77AEE"/>
    <w:rsid w:val="1AB77409"/>
    <w:rsid w:val="1D682B0D"/>
    <w:rsid w:val="21774B5B"/>
    <w:rsid w:val="2BF4090E"/>
    <w:rsid w:val="326E2129"/>
    <w:rsid w:val="33904AA5"/>
    <w:rsid w:val="37E47F87"/>
    <w:rsid w:val="3B41136E"/>
    <w:rsid w:val="3B443D78"/>
    <w:rsid w:val="3C53115E"/>
    <w:rsid w:val="3CD06A92"/>
    <w:rsid w:val="3E4872BD"/>
    <w:rsid w:val="3EB536D9"/>
    <w:rsid w:val="421D3C7F"/>
    <w:rsid w:val="44EC1F50"/>
    <w:rsid w:val="4E6D1543"/>
    <w:rsid w:val="4F2A2ECF"/>
    <w:rsid w:val="52B72CCB"/>
    <w:rsid w:val="53E93974"/>
    <w:rsid w:val="553A0FF7"/>
    <w:rsid w:val="55480F37"/>
    <w:rsid w:val="55DA09C8"/>
    <w:rsid w:val="596C3377"/>
    <w:rsid w:val="63F75AA8"/>
    <w:rsid w:val="650441B7"/>
    <w:rsid w:val="66AE5F93"/>
    <w:rsid w:val="6C34157C"/>
    <w:rsid w:val="70FC40F7"/>
    <w:rsid w:val="711A4663"/>
    <w:rsid w:val="78093309"/>
    <w:rsid w:val="782F16B4"/>
    <w:rsid w:val="7B6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1341</Words>
  <Characters>1412</Characters>
  <Lines>0</Lines>
  <Paragraphs>0</Paragraphs>
  <TotalTime>1</TotalTime>
  <ScaleCrop>false</ScaleCrop>
  <LinksUpToDate>false</LinksUpToDate>
  <CharactersWithSpaces>1418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2020-09-29T02:00:00Z</dcterms:created>
  <dc:creator>Administrator</dc:creator>
  <cp:lastModifiedBy>吴娟</cp:lastModifiedBy>
  <cp:lastPrinted>2022-12-14T08:00:00Z</cp:lastPrinted>
  <dcterms:modified xsi:type="dcterms:W3CDTF">2023-03-09T08:36:29Z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289E77D144FF4F879F9E3C3C7DB353A5</vt:lpwstr>
  </property>
</Properties>
</file>