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ascii="宋体" w:hAnsi="宋体" w:cs="宋体"/>
          <w:b/>
          <w:color w:val="auto"/>
          <w:sz w:val="48"/>
          <w:szCs w:val="52"/>
          <w:highlight w:val="none"/>
          <w:u w:val="single"/>
        </w:rPr>
      </w:pPr>
    </w:p>
    <w:p>
      <w:pPr>
        <w:pStyle w:val="2"/>
        <w:rPr>
          <w:color w:val="auto"/>
          <w:highlight w:val="none"/>
        </w:rPr>
      </w:pPr>
    </w:p>
    <w:p>
      <w:pPr>
        <w:spacing w:line="360" w:lineRule="auto"/>
        <w:jc w:val="center"/>
        <w:rPr>
          <w:rFonts w:hint="eastAsia" w:eastAsia="宋体"/>
          <w:color w:val="auto"/>
          <w:sz w:val="36"/>
          <w:highlight w:val="none"/>
          <w:u w:val="single"/>
          <w:lang w:eastAsia="zh-CN"/>
        </w:rPr>
      </w:pPr>
      <w:r>
        <w:rPr>
          <w:rFonts w:hint="eastAsia"/>
          <w:color w:val="auto"/>
          <w:sz w:val="36"/>
          <w:highlight w:val="none"/>
          <w:u w:val="single"/>
          <w:lang w:eastAsia="zh-CN"/>
        </w:rPr>
        <w:t>城投雪松发展总部项目（一期）永久用电工程（第二次）</w:t>
      </w: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广州市建设投资发展有限公司</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建成工程咨询股份有限公司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u w:val="single"/>
        </w:rPr>
        <w:t xml:space="preserve">年     月      日 </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"_Toc9322"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_Toc9322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"_Toc8788"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_Toc8788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"_Toc675"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_Toc675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"_Toc6272"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_Toc6272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"_Toc9146"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_Toc9146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"_Toc2060"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_Toc2060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"_Toc17354"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_Toc17354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"_Toc9830"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_Toc9830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"_Toc3390"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_Toc3390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"_Toc31773"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_Toc31773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"_Toc5878" </w:instrText>
      </w:r>
      <w:r>
        <w:rPr>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_Toc5878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"_Toc23290" </w:instrText>
      </w:r>
      <w:r>
        <w:rPr>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_Toc23290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"_Toc12405"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_Toc12405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"_Toc28130"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_Toc28130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"_Toc21680"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_Toc21680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"_Toc30968" </w:instrText>
      </w:r>
      <w:r>
        <w:rPr>
          <w:color w:val="auto"/>
          <w:highlight w:val="none"/>
        </w:rPr>
        <w:fldChar w:fldCharType="separate"/>
      </w:r>
      <w:r>
        <w:rPr>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_Toc30968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"_Toc8251"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_Toc8251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7"/>
        <w:rPr>
          <w:color w:val="auto"/>
          <w:highlight w:val="none"/>
        </w:rPr>
      </w:pPr>
      <w:r>
        <w:rPr>
          <w:color w:val="auto"/>
          <w:highlight w:val="none"/>
        </w:rPr>
        <w:fldChar w:fldCharType="begin"/>
      </w:r>
      <w:r>
        <w:rPr>
          <w:color w:val="auto"/>
          <w:highlight w:val="none"/>
        </w:rPr>
        <w:instrText xml:space="preserve"> HYPERLINK \l "_Toc21393"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"_Toc28464" </w:instrText>
      </w:r>
      <w:r>
        <w:rPr>
          <w:color w:val="auto"/>
          <w:highlight w:val="none"/>
        </w:rPr>
        <w:fldChar w:fldCharType="separate"/>
      </w:r>
      <w:r>
        <w:rPr>
          <w:rFonts w:hint="eastAsia" w:ascii="宋体" w:hAnsi="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_Toc28464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"_Toc7061" </w:instrText>
      </w:r>
      <w:r>
        <w:rPr>
          <w:color w:val="auto"/>
          <w:highlight w:val="none"/>
        </w:rPr>
        <w:fldChar w:fldCharType="separate"/>
      </w:r>
      <w:r>
        <w:rPr>
          <w:rFonts w:hint="eastAsia" w:ascii="宋体" w:hAnsi="宋体"/>
          <w:color w:val="auto"/>
          <w:spacing w:val="4"/>
          <w:kern w:val="0"/>
          <w:szCs w:val="24"/>
          <w:highlight w:val="none"/>
        </w:rPr>
        <w:t>格式一：经济标封面</w:t>
      </w:r>
      <w:r>
        <w:rPr>
          <w:color w:val="auto"/>
          <w:highlight w:val="none"/>
        </w:rPr>
        <w:tab/>
      </w:r>
      <w:r>
        <w:rPr>
          <w:color w:val="auto"/>
          <w:highlight w:val="none"/>
        </w:rPr>
        <w:fldChar w:fldCharType="begin"/>
      </w:r>
      <w:r>
        <w:rPr>
          <w:color w:val="auto"/>
          <w:highlight w:val="none"/>
        </w:rPr>
        <w:instrText xml:space="preserve"> PAGEREF _Toc7061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"_Toc19679" </w:instrText>
      </w:r>
      <w:r>
        <w:rPr>
          <w:color w:val="auto"/>
          <w:highlight w:val="none"/>
        </w:rPr>
        <w:fldChar w:fldCharType="separate"/>
      </w:r>
      <w:r>
        <w:rPr>
          <w:rFonts w:hint="eastAsia" w:ascii="宋体" w:hAnsi="宋体"/>
          <w:color w:val="auto"/>
          <w:spacing w:val="4"/>
          <w:kern w:val="0"/>
          <w:szCs w:val="24"/>
          <w:highlight w:val="none"/>
        </w:rPr>
        <w:t>格式二：工程量清单计价表</w:t>
      </w:r>
      <w:r>
        <w:rPr>
          <w:color w:val="auto"/>
          <w:highlight w:val="none"/>
        </w:rPr>
        <w:tab/>
      </w:r>
      <w:r>
        <w:rPr>
          <w:color w:val="auto"/>
          <w:highlight w:val="none"/>
        </w:rPr>
        <w:fldChar w:fldCharType="begin"/>
      </w:r>
      <w:r>
        <w:rPr>
          <w:color w:val="auto"/>
          <w:highlight w:val="none"/>
        </w:rPr>
        <w:instrText xml:space="preserve"> PAGEREF _Toc19679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"_Toc4037" </w:instrText>
      </w:r>
      <w:r>
        <w:rPr>
          <w:color w:val="auto"/>
          <w:highlight w:val="none"/>
        </w:rPr>
        <w:fldChar w:fldCharType="separate"/>
      </w:r>
      <w:r>
        <w:rPr>
          <w:rFonts w:hint="eastAsia" w:ascii="宋体" w:hAnsi="宋体"/>
          <w:snapToGrid w:val="0"/>
          <w:color w:val="auto"/>
          <w:spacing w:val="4"/>
          <w:kern w:val="0"/>
          <w:szCs w:val="24"/>
          <w:highlight w:val="none"/>
        </w:rPr>
        <w:t>格式三：</w:t>
      </w:r>
      <w:r>
        <w:rPr>
          <w:rFonts w:hint="eastAsia"/>
          <w:color w:val="auto"/>
          <w:szCs w:val="24"/>
          <w:highlight w:val="none"/>
        </w:rPr>
        <w:t>参与编制经济标投标文件人员名单</w:t>
      </w:r>
      <w:r>
        <w:rPr>
          <w:color w:val="auto"/>
          <w:highlight w:val="none"/>
        </w:rPr>
        <w:tab/>
      </w:r>
      <w:r>
        <w:rPr>
          <w:color w:val="auto"/>
          <w:highlight w:val="none"/>
        </w:rPr>
        <w:fldChar w:fldCharType="begin"/>
      </w:r>
      <w:r>
        <w:rPr>
          <w:color w:val="auto"/>
          <w:highlight w:val="none"/>
        </w:rPr>
        <w:instrText xml:space="preserve"> PAGEREF _Toc4037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"_Toc5169" </w:instrText>
      </w:r>
      <w:r>
        <w:rPr>
          <w:color w:val="auto"/>
          <w:highlight w:val="none"/>
        </w:rPr>
        <w:fldChar w:fldCharType="separate"/>
      </w:r>
      <w:r>
        <w:rPr>
          <w:rFonts w:hint="eastAsia" w:ascii="宋体" w:hAnsi="宋体"/>
          <w:snapToGrid w:val="0"/>
          <w:color w:val="auto"/>
          <w:spacing w:val="4"/>
          <w:kern w:val="0"/>
          <w:szCs w:val="24"/>
          <w:highlight w:val="none"/>
        </w:rPr>
        <w:t>格式四：对投标文件编制的承诺</w:t>
      </w:r>
      <w:r>
        <w:rPr>
          <w:color w:val="auto"/>
          <w:highlight w:val="none"/>
        </w:rPr>
        <w:tab/>
      </w:r>
      <w:r>
        <w:rPr>
          <w:color w:val="auto"/>
          <w:highlight w:val="none"/>
        </w:rPr>
        <w:fldChar w:fldCharType="begin"/>
      </w:r>
      <w:r>
        <w:rPr>
          <w:color w:val="auto"/>
          <w:highlight w:val="none"/>
        </w:rPr>
        <w:instrText xml:space="preserve"> PAGEREF _Toc5169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"_Toc27457"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_Toc27457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"_Toc23764"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_Toc23764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"_Toc23566"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_Toc23566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"_Toc11203"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_Toc11203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2"/>
        <w:rPr>
          <w:rFonts w:ascii="Arial" w:hAnsi="Arial"/>
          <w:color w:val="auto"/>
          <w:kern w:val="44"/>
          <w:sz w:val="28"/>
          <w:szCs w:val="28"/>
          <w:highlight w:val="none"/>
        </w:rPr>
      </w:pPr>
      <w:r>
        <w:rPr>
          <w:color w:val="auto"/>
          <w:highlight w:val="none"/>
        </w:rPr>
        <w:br w:type="page"/>
      </w:r>
    </w:p>
    <w:p>
      <w:pPr>
        <w:pStyle w:val="3"/>
        <w:rPr>
          <w:color w:val="auto"/>
          <w:highlight w:val="none"/>
        </w:rPr>
      </w:pPr>
      <w:bookmarkStart w:id="2" w:name="_Toc9322"/>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p>
    <w:p>
      <w:pPr>
        <w:pStyle w:val="7"/>
        <w:rPr>
          <w:color w:val="auto"/>
          <w:highlight w:val="none"/>
        </w:rPr>
      </w:pPr>
      <w:bookmarkStart w:id="3" w:name="_Toc21525490"/>
      <w:bookmarkStart w:id="4" w:name="_Toc8788"/>
      <w:bookmarkStart w:id="5" w:name="_Toc2272546"/>
      <w:r>
        <w:rPr>
          <w:rFonts w:hint="eastAsia"/>
          <w:color w:val="auto"/>
          <w:highlight w:val="none"/>
        </w:rPr>
        <w:t>一、投标须知前附表</w:t>
      </w:r>
      <w:bookmarkEnd w:id="3"/>
      <w:bookmarkEnd w:id="4"/>
      <w:bookmarkEnd w:id="5"/>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招标人（即发包人）：</w:t>
            </w:r>
            <w:r>
              <w:rPr>
                <w:rFonts w:ascii="宋体" w:hAnsi="宋体"/>
                <w:color w:val="auto"/>
                <w:szCs w:val="21"/>
                <w:highlight w:val="none"/>
                <w:u w:val="single"/>
              </w:rPr>
              <w:t xml:space="preserve">  </w:t>
            </w:r>
            <w:r>
              <w:rPr>
                <w:rFonts w:hint="eastAsia" w:ascii="宋体" w:hAnsi="宋体"/>
                <w:color w:val="auto"/>
                <w:szCs w:val="21"/>
                <w:highlight w:val="none"/>
                <w:u w:val="single"/>
              </w:rPr>
              <w:t>广州市建设投资发展有限公司</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ascii="宋体" w:hAnsi="宋体"/>
                <w:color w:val="auto"/>
                <w:szCs w:val="21"/>
                <w:highlight w:val="none"/>
                <w:u w:val="single"/>
              </w:rPr>
              <w:t xml:space="preserve">  </w:t>
            </w:r>
            <w:r>
              <w:rPr>
                <w:rFonts w:hint="eastAsia" w:ascii="宋体" w:hAnsi="宋体"/>
                <w:color w:val="auto"/>
                <w:szCs w:val="21"/>
                <w:highlight w:val="none"/>
                <w:u w:val="single"/>
              </w:rPr>
              <w:t>建成工程咨询股份有限公司</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广东省建筑设计研究院有限公司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广州珠江工程建设监理有限公司</w:t>
            </w:r>
          </w:p>
          <w:p>
            <w:pPr>
              <w:rPr>
                <w:rFonts w:ascii="宋体" w:hAnsi="宋体"/>
                <w:color w:val="auto"/>
                <w:szCs w:val="21"/>
                <w:highlight w:val="none"/>
                <w:u w:val="single"/>
              </w:rPr>
            </w:pPr>
            <w:r>
              <w:rPr>
                <w:rFonts w:hint="eastAsia" w:ascii="宋体" w:hAnsi="宋体"/>
                <w:color w:val="auto"/>
                <w:szCs w:val="21"/>
                <w:highlight w:val="none"/>
              </w:rPr>
              <w:t>检测机构：</w:t>
            </w:r>
            <w:r>
              <w:rPr>
                <w:rFonts w:hint="eastAsia" w:ascii="宋体" w:hAnsi="宋体"/>
                <w:color w:val="auto"/>
                <w:szCs w:val="21"/>
                <w:highlight w:val="none"/>
                <w:u w:val="single"/>
              </w:rPr>
              <w:t>广东真正工程检测有限公司</w:t>
            </w:r>
          </w:p>
          <w:p>
            <w:pPr>
              <w:rPr>
                <w:rFonts w:ascii="宋体" w:hAnsi="宋体"/>
                <w:color w:val="auto"/>
                <w:szCs w:val="21"/>
                <w:highlight w:val="none"/>
              </w:rPr>
            </w:pPr>
            <w:r>
              <w:rPr>
                <w:rFonts w:hint="eastAsia" w:ascii="宋体" w:hAnsi="宋体"/>
                <w:color w:val="auto"/>
                <w:szCs w:val="21"/>
                <w:highlight w:val="none"/>
                <w:u w:val="single"/>
              </w:rPr>
              <w:t>项目业主：广州市启臻房地产开发有限公司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城投雪松发展总部项目（一期）永久用电工程（第二次）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广州市增城区永宁街道长岗村83101229A19078号地块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6" w:name="EB164675f0013548cdaca884c6987a1710"/>
            <w:r>
              <w:rPr>
                <w:rFonts w:hint="eastAsia" w:ascii="Times New Roman" w:hAnsi="Times New Roman"/>
                <w:b/>
                <w:color w:val="auto"/>
                <w:szCs w:val="21"/>
                <w:highlight w:val="none"/>
                <w:u w:val="single"/>
              </w:rPr>
              <w:t>按现行工程质量验收标准达到一次性竣工验收合格，并符合施工图纸要求和国家、行业有关标准（详见施工合同）。</w:t>
            </w:r>
            <w:bookmarkEnd w:id="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施工总工期：91日历天。暂定实施时间从2023年4月20日至 2023年7月20日（具体以监理人发出开工令至现场确认完工为止）。发包人有权根据现场情况，调整各期具体进场开工时间。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1</w:t>
            </w:r>
            <w:r>
              <w:rPr>
                <w:rFonts w:hint="eastAsia" w:ascii="宋体" w:hAnsi="宋体"/>
                <w:color w:val="auto"/>
                <w:szCs w:val="21"/>
                <w:highlight w:val="none"/>
                <w:u w:val="single"/>
              </w:rPr>
              <w:t>8</w:t>
            </w:r>
            <w:r>
              <w:rPr>
                <w:rFonts w:ascii="宋体" w:hAnsi="宋体"/>
                <w:color w:val="auto"/>
                <w:szCs w:val="21"/>
                <w:highlight w:val="none"/>
                <w:u w:val="single"/>
              </w:rPr>
              <w:t xml:space="preserve">0 </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color w:val="auto"/>
                <w:highlight w:val="none"/>
              </w:rPr>
            </w:pPr>
            <w:r>
              <w:rPr>
                <w:rFonts w:hint="eastAsia"/>
                <w:color w:val="auto"/>
                <w:highlight w:val="none"/>
                <w:u w:val="single"/>
              </w:rPr>
              <w:t>20万元</w:t>
            </w:r>
            <w:r>
              <w:rPr>
                <w:rFonts w:hint="eastAsia"/>
                <w:color w:val="auto"/>
                <w:highlight w:val="none"/>
              </w:rPr>
              <w:t>人民币，缴纳时间在开标之前。</w:t>
            </w:r>
          </w:p>
          <w:p>
            <w:pPr>
              <w:widowControl/>
              <w:jc w:val="left"/>
              <w:rPr>
                <w:color w:val="auto"/>
                <w:highlight w:val="none"/>
              </w:rPr>
            </w:pPr>
            <w:r>
              <w:rPr>
                <w:rFonts w:hint="eastAsia"/>
                <w:color w:val="auto"/>
                <w:highlight w:val="none"/>
              </w:rPr>
              <w:t>1、投标保证金可采用现金、支票、银行保函、保证保险、专业担保公司担保等形式，须在递交投标文件截止时间前完成缴纳。</w:t>
            </w:r>
          </w:p>
          <w:p>
            <w:pPr>
              <w:widowControl/>
              <w:jc w:val="left"/>
              <w:rPr>
                <w:color w:val="auto"/>
                <w:highlight w:val="none"/>
              </w:rPr>
            </w:pPr>
            <w:r>
              <w:rPr>
                <w:rFonts w:hint="eastAsia"/>
                <w:color w:val="auto"/>
                <w:highlight w:val="none"/>
              </w:rPr>
              <w:t>2、现金或支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pPr>
              <w:widowControl/>
              <w:jc w:val="left"/>
              <w:rPr>
                <w:color w:val="auto"/>
                <w:highlight w:val="none"/>
              </w:rPr>
            </w:pPr>
            <w:r>
              <w:rPr>
                <w:rFonts w:hint="eastAsia"/>
                <w:color w:val="auto"/>
                <w:highlight w:val="none"/>
              </w:rPr>
              <w:t>3、如采用银行保函或保证保险或专业担保公司担保的形式提交的，银行投标保函需开具给招标人，投标保证保险需开具给招标人（受益人也必须是招标人）。在开标前不强制要求提交相关文本原件，但投标人应在投标文件中提交投标保函或投标保证保险文本或专业担保公司担保的的复印件并加盖投标人电子印章。评审结束后，中标候选人应在中标候选人公示前提交其办理的投标保函或投标保证保险扫描件并在网上予以公示。</w:t>
            </w:r>
          </w:p>
          <w:p>
            <w:pPr>
              <w:widowControl/>
              <w:jc w:val="left"/>
              <w:rPr>
                <w:color w:val="auto"/>
                <w:highlight w:val="none"/>
              </w:rPr>
            </w:pPr>
            <w:r>
              <w:rPr>
                <w:rFonts w:hint="eastAsia"/>
                <w:color w:val="auto"/>
                <w:highlight w:val="none"/>
              </w:rPr>
              <w:t>4、本项目允许递交电子保函，具体操作详见广州公共资源交易中心电子保函操作指引：http://ggzy.gz.gov.cn/fwznxtbzczsc/699986.jhtml。</w:t>
            </w:r>
          </w:p>
          <w:p>
            <w:pPr>
              <w:widowControl/>
              <w:jc w:val="left"/>
              <w:rPr>
                <w:color w:val="auto"/>
                <w:highlight w:val="none"/>
              </w:rPr>
            </w:pPr>
            <w:r>
              <w:rPr>
                <w:rFonts w:hint="eastAsia"/>
                <w:color w:val="auto"/>
                <w:highlight w:val="none"/>
              </w:rPr>
              <w:t>5、投标保证金有效期应当与投标有效期一致。</w:t>
            </w:r>
          </w:p>
          <w:p>
            <w:pPr>
              <w:widowControl/>
              <w:jc w:val="left"/>
              <w:rPr>
                <w:color w:val="auto"/>
                <w:highlight w:val="none"/>
              </w:rPr>
            </w:pPr>
            <w:r>
              <w:rPr>
                <w:rFonts w:hint="eastAsia"/>
                <w:color w:val="auto"/>
                <w:highlight w:val="none"/>
              </w:rPr>
              <w:t>注:</w:t>
            </w:r>
          </w:p>
          <w:p>
            <w:pPr>
              <w:widowControl/>
              <w:numPr>
                <w:ilvl w:val="255"/>
                <w:numId w:val="0"/>
              </w:numPr>
              <w:jc w:val="left"/>
              <w:rPr>
                <w:color w:val="auto"/>
                <w:highlight w:val="none"/>
              </w:rPr>
            </w:pPr>
            <w:r>
              <w:rPr>
                <w:rFonts w:hint="eastAsia"/>
                <w:color w:val="auto"/>
                <w:highlight w:val="none"/>
              </w:rPr>
              <w:t>投标保函可按《住房和城乡建设部关于印发工程保函示范文本的通知》（建市〔2021〕11号）提供的投标保函格式。</w:t>
            </w:r>
          </w:p>
          <w:p>
            <w:pPr>
              <w:widowControl/>
              <w:jc w:val="left"/>
              <w:rPr>
                <w:color w:val="auto"/>
                <w:highlight w:val="none"/>
              </w:rPr>
            </w:pPr>
            <w:r>
              <w:rPr>
                <w:rFonts w:hint="eastAsia"/>
                <w:color w:val="auto"/>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color w:val="auto"/>
                <w:szCs w:val="21"/>
                <w:highlight w:val="none"/>
              </w:rPr>
            </w:pPr>
            <w:r>
              <w:rPr>
                <w:rFonts w:hint="eastAsia" w:ascii="宋体" w:hAnsi="宋体" w:cs="宋体"/>
                <w:color w:val="auto"/>
                <w:szCs w:val="21"/>
                <w:highlight w:val="none"/>
              </w:rPr>
              <w:t>招标人不集中组织，由投标人自行踏勘。</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投标人在递交投标文件截止时间18天</w:t>
            </w:r>
            <w:r>
              <w:rPr>
                <w:rFonts w:hint="eastAsia" w:ascii="宋体" w:hAnsi="宋体"/>
                <w:color w:val="auto"/>
                <w:szCs w:val="21"/>
                <w:highlight w:val="none"/>
              </w:rPr>
              <w:t>前；</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w:t>
            </w:r>
            <w:r>
              <w:rPr>
                <w:rFonts w:hint="eastAsia" w:ascii="宋体" w:hAnsi="宋体"/>
                <w:color w:val="auto"/>
                <w:szCs w:val="21"/>
                <w:highlight w:val="none"/>
                <w:u w:val="single"/>
              </w:rPr>
              <w:t>招标答疑采用网上答疑方式进行。投标人若对招标文件有疑问的，可在规定的时间内通过广州公共资源交易中心网站进入“招标答疑提问”页面将问题提交给招标人或招标代理人</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u w:val="single"/>
              </w:rPr>
              <w:t xml:space="preserve"> 202</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p>
            <w:pPr>
              <w:pStyle w:val="2"/>
              <w:rPr>
                <w:color w:val="auto"/>
                <w:highlight w:val="none"/>
              </w:rPr>
            </w:pPr>
            <w:r>
              <w:rPr>
                <w:rFonts w:hint="eastAsia" w:hAnsi="宋体"/>
                <w:color w:val="auto"/>
                <w:szCs w:val="21"/>
                <w:highlight w:val="none"/>
                <w:u w:val="singl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1、开标开始时间：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分（与投标截止时间为同一时间），地点：</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w:t>
            </w:r>
            <w:r>
              <w:rPr>
                <w:rFonts w:hint="eastAsia" w:ascii="宋体" w:hAnsi="宋体" w:eastAsia="宋体" w:cs="宋体"/>
                <w:b/>
                <w:bCs/>
                <w:kern w:val="0"/>
                <w:sz w:val="21"/>
                <w:szCs w:val="21"/>
                <w:highlight w:val="none"/>
              </w:rPr>
              <w:t>投标人也可选择参加在线开标，具体按照交易平台相关指南进行操作。详见：</w:t>
            </w:r>
            <w:r>
              <w:rPr>
                <w:rFonts w:hint="eastAsia" w:ascii="宋体" w:hAnsi="宋体" w:eastAsia="宋体" w:cs="宋体"/>
                <w:b/>
                <w:bCs/>
                <w:kern w:val="0"/>
                <w:sz w:val="21"/>
                <w:szCs w:val="21"/>
                <w:highlight w:val="none"/>
                <w:u w:val="single"/>
                <w:lang w:val="en-US" w:eastAsia="zh-CN"/>
              </w:rPr>
              <w:t>广州公共资源交易中心-服务指南-操作手册</w:t>
            </w:r>
            <w:r>
              <w:rPr>
                <w:rFonts w:hint="eastAsia" w:ascii="宋体" w:hAnsi="宋体" w:eastAsia="宋体" w:cs="宋体"/>
                <w:b/>
                <w:bCs/>
                <w:kern w:val="0"/>
                <w:sz w:val="21"/>
                <w:szCs w:val="21"/>
                <w:highlight w:val="none"/>
              </w:rPr>
              <w:t>。</w:t>
            </w:r>
          </w:p>
          <w:p>
            <w:pPr>
              <w:widowControl/>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2、递交投标文件备用光盘时间：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分至</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   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分；递交地点：</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。(建议安排在投标文件截止时间前15分钟至投标文件截止时间）</w:t>
            </w:r>
          </w:p>
          <w:p>
            <w:pPr>
              <w:widowControl/>
              <w:jc w:val="left"/>
              <w:rPr>
                <w:rFonts w:ascii="宋体" w:hAnsi="宋体"/>
                <w:color w:val="auto"/>
                <w:szCs w:val="21"/>
                <w:highlight w:val="none"/>
              </w:rPr>
            </w:pPr>
            <w:r>
              <w:rPr>
                <w:rFonts w:hint="eastAsia" w:ascii="宋体" w:hAnsi="宋体" w:eastAsia="宋体" w:cs="宋体"/>
                <w:bCs/>
                <w:kern w:val="0"/>
                <w:sz w:val="21"/>
                <w:szCs w:val="21"/>
                <w:highlight w:val="none"/>
              </w:rPr>
              <w:t>上述时间及地点是否有改变，请密切留意</w:t>
            </w:r>
            <w:r>
              <w:rPr>
                <w:rFonts w:hint="eastAsia" w:ascii="宋体" w:hAnsi="宋体" w:eastAsia="宋体" w:cs="宋体"/>
                <w:b/>
                <w:kern w:val="0"/>
                <w:sz w:val="21"/>
                <w:szCs w:val="21"/>
                <w:highlight w:val="none"/>
              </w:rPr>
              <w:t>补充公告和</w:t>
            </w:r>
            <w:r>
              <w:rPr>
                <w:rFonts w:hint="eastAsia" w:ascii="宋体" w:hAnsi="宋体" w:eastAsia="宋体" w:cs="宋体"/>
                <w:bCs/>
                <w:kern w:val="0"/>
                <w:sz w:val="21"/>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u w:val="singl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七（适合综合评分法四，技术标与经济标同时开启） ；</w:t>
            </w:r>
            <w:r>
              <w:rPr>
                <w:rFonts w:hint="eastAsia" w:ascii="宋体" w:hAnsi="宋体"/>
                <w:color w:val="auto"/>
                <w:szCs w:val="21"/>
                <w:highlight w:val="none"/>
              </w:rPr>
              <w:t>投标人总得分=</w:t>
            </w:r>
            <w:r>
              <w:rPr>
                <w:rFonts w:hint="eastAsia" w:ascii="宋体" w:hAnsi="宋体" w:cs="宋体"/>
                <w:color w:val="auto"/>
                <w:szCs w:val="21"/>
                <w:highlight w:val="none"/>
                <w:u w:val="single"/>
              </w:rPr>
              <w:t>技术得分×技术得分权重（20%）＋经济得分×经济得分权重（80%）</w:t>
            </w:r>
          </w:p>
          <w:p>
            <w:pPr>
              <w:pStyle w:val="5"/>
              <w:spacing w:after="0"/>
              <w:rPr>
                <w:rFonts w:ascii="宋体" w:hAnsi="宋体"/>
                <w:color w:val="auto"/>
                <w:szCs w:val="21"/>
                <w:highlight w:val="none"/>
              </w:rPr>
            </w:pPr>
            <w:r>
              <w:rPr>
                <w:rFonts w:hint="eastAsia" w:ascii="宋体" w:hAnsi="宋体"/>
                <w:color w:val="auto"/>
                <w:szCs w:val="21"/>
                <w:highlight w:val="none"/>
              </w:rPr>
              <w:t>总得分相同情况下的排序方法：总得分相同的投标文件，</w:t>
            </w:r>
            <w:r>
              <w:rPr>
                <w:rFonts w:hint="eastAsia" w:cs="宋体"/>
                <w:color w:val="auto"/>
                <w:szCs w:val="21"/>
                <w:highlight w:val="none"/>
              </w:rPr>
              <w:t>以投标报价较低的排前；投标报价均相同的投标文件，以技术分高的排前；报价与技术得分均相同，以诚信综合评价分数高的排前如仍存在相</w:t>
            </w:r>
            <w:r>
              <w:rPr>
                <w:rFonts w:hint="eastAsia" w:ascii="宋体" w:hAnsi="宋体"/>
                <w:color w:val="auto"/>
                <w:szCs w:val="21"/>
                <w:highlight w:val="none"/>
              </w:rPr>
              <w:t>同情况，则对具有相同情况的投标人，由评标委员会采用记名投票方式，确定投标人的排序。</w:t>
            </w:r>
          </w:p>
          <w:p>
            <w:pPr>
              <w:pStyle w:val="5"/>
              <w:ind w:firstLine="0"/>
              <w:rPr>
                <w:rFonts w:ascii="宋体" w:hAnsi="宋体"/>
                <w:color w:val="auto"/>
                <w:szCs w:val="21"/>
                <w:highlight w:val="none"/>
                <w:u w:val="single"/>
              </w:rPr>
            </w:pPr>
            <w:r>
              <w:rPr>
                <w:rFonts w:hint="eastAsia" w:ascii="宋体" w:hAnsi="宋体"/>
                <w:color w:val="auto"/>
                <w:szCs w:val="21"/>
                <w:highlight w:val="none"/>
              </w:rPr>
              <w:t>注：投票方式确定排序的具体操作步骤为：由评标委员会对出现该情况的投标人进行编号，然后通过记名投票方式依次确定投标人的排序。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auto"/>
                <w:highlight w:val="none"/>
              </w:rPr>
            </w:pPr>
            <w:r>
              <w:rPr>
                <w:rFonts w:hint="eastAsia" w:ascii="宋体" w:hAnsi="宋体"/>
                <w:color w:val="auto"/>
                <w:szCs w:val="22"/>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本项目最高投标限价为人民币</w:t>
            </w:r>
            <w:r>
              <w:rPr>
                <w:rFonts w:hint="eastAsia"/>
                <w:color w:val="auto"/>
                <w:highlight w:val="none"/>
                <w:u w:val="single"/>
              </w:rPr>
              <w:t>13901199.10</w:t>
            </w:r>
            <w:r>
              <w:rPr>
                <w:rFonts w:hint="eastAsia"/>
                <w:color w:val="auto"/>
                <w:highlight w:val="none"/>
              </w:rPr>
              <w:t>元。</w:t>
            </w:r>
          </w:p>
          <w:p>
            <w:pPr>
              <w:pStyle w:val="2"/>
              <w:rPr>
                <w:color w:val="auto"/>
                <w:highlight w:val="none"/>
              </w:rPr>
            </w:pPr>
            <w:r>
              <w:rPr>
                <w:rFonts w:hint="eastAsia" w:hAnsi="宋体" w:cs="宋体"/>
                <w:b/>
                <w:color w:val="auto"/>
                <w:sz w:val="21"/>
                <w:szCs w:val="21"/>
                <w:highlight w:val="none"/>
              </w:rPr>
              <w:t>本招标项目实行双限价，投标人的投标报价及综合单价均不能超过招标人公布的最高投标限价及综合单价限价，具体详见最高投标限价公布函及工程量清单，投标人的投标报价超过最高投标限价或综合单价限价的投标文件将被拒绝</w:t>
            </w:r>
            <w:r>
              <w:rPr>
                <w:rFonts w:hint="eastAsia"/>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421630.13</w:t>
            </w:r>
            <w:r>
              <w:rPr>
                <w:rFonts w:hint="eastAsia" w:ascii="宋体" w:hAnsi="宋体"/>
                <w:color w:val="auto"/>
                <w:szCs w:val="21"/>
                <w:highlight w:val="none"/>
              </w:rPr>
              <w:t>元，暂列金额为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1090484.61</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按照《建设工程质量管理条例》及合同相关条款规定。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在开标前从[0,100]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 xml:space="preserve"> 12511079.19元 </w:t>
            </w:r>
            <w:r>
              <w:rPr>
                <w:rFonts w:hint="eastAsia" w:ascii="宋体" w:hAnsi="宋体" w:cs="宋体"/>
                <w:color w:val="auto"/>
                <w:szCs w:val="21"/>
                <w:highlight w:val="none"/>
              </w:rPr>
              <w:t>（按最高投标限价的90%）</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lang w:bidi="ar"/>
              </w:rPr>
              <w:t>招标人依法组建评标委员会，其中2名招标人代表，其余5名评标专家均从广东省综合评标评审专家库抽取</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strike/>
                <w:color w:val="auto"/>
                <w:szCs w:val="21"/>
                <w:highlight w:val="none"/>
              </w:rPr>
              <w:t>本项目的企业综合诚信评价分数，以        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color w:val="auto"/>
                <w:szCs w:val="21"/>
                <w:highlight w:val="none"/>
              </w:rPr>
              <w:t xml:space="preserve"> </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中标人按照合同约定或者经招标人同意，可以将中标项目的部分非主体、非关键性工作分包给具有相应资质的单位完成。</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pPr>
              <w:rPr>
                <w:rFonts w:ascii="宋体" w:hAnsi="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highlight w:val="none"/>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rPr>
              <w:t>：</w:t>
            </w:r>
            <w:r>
              <w:rPr>
                <w:rFonts w:hint="eastAsia" w:ascii="宋体" w:hAnsi="宋体" w:cs="宋体"/>
                <w:color w:val="auto"/>
                <w:szCs w:val="21"/>
                <w:highlight w:val="none"/>
                <w:u w:val="single"/>
              </w:rPr>
              <w:t>广州公共资源交易中心网站(http:/ www.gzggzy.cn)服务指南栏目</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szCs w:val="21"/>
                <w:highlight w:val="none"/>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highlight w:val="none"/>
              </w:rPr>
            </w:pPr>
            <w:r>
              <w:rPr>
                <w:rFonts w:hint="eastAsia" w:ascii="宋体" w:hAnsi="宋体" w:cs="宋体"/>
                <w:color w:val="auto"/>
                <w:highlight w:val="none"/>
              </w:rPr>
              <w:t>投标文件为含电子签章的加密电子投标文件1套。</w:t>
            </w:r>
          </w:p>
          <w:p>
            <w:pPr>
              <w:rPr>
                <w:rFonts w:ascii="宋体" w:hAnsi="宋体" w:cs="宋体"/>
                <w:color w:val="auto"/>
                <w:szCs w:val="21"/>
                <w:highlight w:val="none"/>
              </w:rPr>
            </w:pPr>
            <w:r>
              <w:rPr>
                <w:rFonts w:hint="eastAsia" w:ascii="宋体" w:hAnsi="宋体" w:cs="宋体"/>
                <w:color w:val="auto"/>
                <w:highlight w:val="none"/>
              </w:rPr>
              <w:t>项目中标后，在发出中标通知书前，中标单位必须提供投标文件纸质版4套，电子版（造价部分需提供软件版本及导出清单）1套。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31</w:t>
            </w: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其它</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color w:val="auto"/>
                <w:highlight w:val="none"/>
              </w:rPr>
            </w:pPr>
            <w:r>
              <w:rPr>
                <w:rFonts w:ascii="宋体" w:hAnsi="宋体" w:cs="宋体"/>
                <w:color w:val="auto"/>
                <w:highlight w:val="none"/>
              </w:rPr>
              <w:t>中标人按《广州市发展改革委转发省发展改革委关于规范公共资源交易服务收费及有关问题的通知》（穗发改〔2017〕811号）文件的规定，向广州公共资源交易中心代缴交易服务费，其费用包含在中标人投标报价中，招标人不另行支付。中标人在领取中标通知书前向招标代理一次支付招标代理服务费，详见招标代理合同。</w:t>
            </w:r>
          </w:p>
        </w:tc>
      </w:tr>
    </w:tbl>
    <w:p>
      <w:pPr>
        <w:spacing w:line="480" w:lineRule="auto"/>
        <w:rPr>
          <w:rFonts w:ascii="宋体"/>
          <w:color w:val="auto"/>
          <w:sz w:val="24"/>
          <w:highlight w:val="none"/>
        </w:rPr>
      </w:pPr>
    </w:p>
    <w:p>
      <w:pPr>
        <w:pStyle w:val="7"/>
        <w:rPr>
          <w:color w:val="auto"/>
          <w:highlight w:val="none"/>
        </w:rPr>
      </w:pPr>
      <w:r>
        <w:rPr>
          <w:color w:val="auto"/>
          <w:highlight w:val="none"/>
        </w:rPr>
        <w:br w:type="page"/>
      </w:r>
      <w:bookmarkStart w:id="7" w:name="_Toc2272547"/>
      <w:bookmarkStart w:id="8" w:name="_Toc21525491"/>
      <w:bookmarkStart w:id="9" w:name="_Toc675"/>
      <w:r>
        <w:rPr>
          <w:rFonts w:hint="eastAsia"/>
          <w:color w:val="auto"/>
          <w:highlight w:val="none"/>
        </w:rPr>
        <w:t>二、投标须知修改表</w:t>
      </w:r>
      <w:bookmarkEnd w:id="7"/>
      <w:bookmarkEnd w:id="8"/>
      <w:bookmarkEnd w:id="9"/>
    </w:p>
    <w:p>
      <w:pPr>
        <w:ind w:firstLine="422" w:firstLineChars="200"/>
        <w:rPr>
          <w:rFonts w:hint="eastAsia" w:eastAsia="宋体"/>
          <w:color w:val="auto"/>
          <w:highlight w:val="none"/>
          <w:lang w:eastAsia="zh-CN"/>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Pr>
          <w:rFonts w:hint="eastAsia"/>
          <w:b/>
          <w:color w:val="auto"/>
          <w:szCs w:val="21"/>
          <w:highlight w:val="none"/>
          <w:lang w:eastAsia="zh-CN"/>
        </w:rPr>
        <w:t>。</w:t>
      </w:r>
    </w:p>
    <w:p>
      <w:pPr>
        <w:pStyle w:val="10"/>
        <w:rPr>
          <w:color w:val="auto"/>
          <w:highlight w:val="none"/>
        </w:rPr>
      </w:pPr>
    </w:p>
    <w:p>
      <w:pPr>
        <w:spacing w:line="360" w:lineRule="auto"/>
        <w:ind w:firstLine="527" w:firstLineChars="250"/>
        <w:rPr>
          <w:rFonts w:ascii="宋体" w:hAnsi="宋体"/>
          <w:b/>
          <w:color w:val="auto"/>
          <w:szCs w:val="21"/>
          <w:highlight w:val="none"/>
        </w:rPr>
      </w:pPr>
      <w:bookmarkStart w:id="10" w:name="_Hlk99752082"/>
      <w:r>
        <w:rPr>
          <w:rFonts w:hint="eastAsia" w:ascii="宋体" w:hAnsi="宋体"/>
          <w:b/>
          <w:color w:val="auto"/>
          <w:szCs w:val="21"/>
          <w:highlight w:val="none"/>
        </w:rPr>
        <w:t>条款号：5.1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Cs w:val="21"/>
          <w:highlight w:val="none"/>
        </w:rPr>
        <w:t>一旦中标，这种考察即被认为其结果已在中标文件中得到充分反映。考察现场的费用由投标人自己承担。</w:t>
      </w:r>
    </w:p>
    <w:p>
      <w:pPr>
        <w:pStyle w:val="6"/>
        <w:rPr>
          <w:color w:val="auto"/>
          <w:highlight w:val="none"/>
          <w:u w:val="single"/>
        </w:rPr>
      </w:pPr>
      <w:r>
        <w:rPr>
          <w:rFonts w:hint="eastAsia"/>
          <w:color w:val="auto"/>
          <w:highlight w:val="none"/>
          <w:u w:val="single"/>
        </w:rPr>
        <w:t xml:space="preserve">                                                                                         </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条款号：8.1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 投标人若对招标文件（包括招标图纸）中有疑问，可以书面形式通过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交易平台提交给招标人或招标代理人，提交形式见本须知前附表第16项。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8.1 投标人若对招标文件（包括招标图纸）中有疑问，可以书面形式通过</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交易平台提交给招标人或招标代理人，提交形式见本须知前附表第16项。</w:t>
      </w:r>
    </w:p>
    <w:p>
      <w:pPr>
        <w:pBdr>
          <w:bottom w:val="single" w:color="auto" w:sz="6" w:space="1"/>
        </w:pBdr>
        <w:spacing w:line="360" w:lineRule="auto"/>
        <w:ind w:firstLine="525" w:firstLineChars="250"/>
        <w:rPr>
          <w:rFonts w:ascii="宋体" w:hAnsi="宋体"/>
          <w:color w:val="auto"/>
          <w:highlight w:val="none"/>
          <w:u w:val="single"/>
        </w:rPr>
      </w:pPr>
      <w:r>
        <w:rPr>
          <w:rFonts w:hint="eastAsia" w:ascii="宋体" w:hAnsi="宋体"/>
          <w:color w:val="auto"/>
          <w:highlight w:val="none"/>
          <w:u w:val="single"/>
        </w:rPr>
        <w:t>具体要求：按照交易平台关于全流程电子化项目的相关指南进行操作，详见：广州公共资源交易中心网站发布的最新版操作指引。提问一律不得署名。</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条款号：8.2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交易平台发布，视作已发放给所有投标人。</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交易平台上网发布时间作为送达时间。</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在广州公共资源交易中心交易平台“项目答疑纪要”专区公开发布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投标文件由技术部分（含资格审查文件）和经济部分两部分投标文件组成。</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11.2投标文件技术标部分主要包括下列内容:</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 技术投标文件(按招标文件的要求填写)；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 资格审查文件：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（1）投标人声明；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（3）企业营业执照（取自平台内上传件）；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（4）企业资质证书（取自平台内上传件）；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（5）建筑施工企业安全生产许可证（取自平台内上传件）；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（8）拟委托技术负责人的相关证书、资料（具体要求由招标人明确）</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（9）拟委派项目负责人的建造师注册证书（取自平台内上传件）；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（10）项目负责人安全生产考核合格证明或在有效期内的安全考核合格证书（B类）或建筑施工企业项目负责人安全生产考核合格证书（取自平台内上传件）（取自平台内上传件）；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11.2.3项目管理机构配备。</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（3）其他辅助说明资料。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11.2.5施工组织设计或施工方案。</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11.2.6按照招标文件要求填写的《参与编制技术标投标文件人员名单》。</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经济投标文件(按招标文件的要求填写)。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rPr>
        <w:t>11．投标文件的组成</w:t>
      </w:r>
    </w:p>
    <w:p>
      <w:pPr>
        <w:pStyle w:val="5"/>
        <w:spacing w:after="0" w:line="360" w:lineRule="auto"/>
        <w:ind w:firstLineChars="200"/>
        <w:rPr>
          <w:rFonts w:ascii="宋体"/>
          <w:b/>
          <w:color w:val="auto"/>
          <w:szCs w:val="21"/>
          <w:highlight w:val="none"/>
        </w:rPr>
      </w:pPr>
      <w:r>
        <w:rPr>
          <w:rFonts w:hint="eastAsia" w:ascii="宋体" w:hAnsi="宋体"/>
          <w:color w:val="auto"/>
          <w:szCs w:val="21"/>
          <w:highlight w:val="none"/>
        </w:rPr>
        <w:t>11.1</w:t>
      </w:r>
      <w:r>
        <w:rPr>
          <w:rFonts w:hint="eastAsia" w:ascii="宋体" w:hAnsi="宋体"/>
          <w:bCs/>
          <w:color w:val="auto"/>
          <w:szCs w:val="21"/>
          <w:highlight w:val="none"/>
          <w:u w:val="single"/>
        </w:rPr>
        <w:t>投标文件由技术部分（含资格审查文件）和经济部分组成</w:t>
      </w:r>
      <w:r>
        <w:rPr>
          <w:rFonts w:hint="eastAsia" w:ascii="宋体" w:hAnsi="宋体" w:cs="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w:t>
      </w:r>
      <w:r>
        <w:rPr>
          <w:rFonts w:hint="eastAsia" w:ascii="宋体" w:hAnsi="宋体"/>
          <w:bCs/>
          <w:color w:val="auto"/>
          <w:szCs w:val="21"/>
          <w:highlight w:val="none"/>
          <w:u w:val="single"/>
        </w:rPr>
        <w:t>投标文件</w:t>
      </w:r>
      <w:r>
        <w:rPr>
          <w:rFonts w:hint="eastAsia" w:ascii="宋体" w:hAnsi="宋体"/>
          <w:bCs/>
          <w:color w:val="auto"/>
          <w:szCs w:val="21"/>
          <w:highlight w:val="none"/>
        </w:rPr>
        <w:t>主要包括下列内容:</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11.2.1 </w:t>
      </w:r>
      <w:r>
        <w:rPr>
          <w:rFonts w:hint="eastAsia" w:ascii="宋体"/>
          <w:bCs/>
          <w:color w:val="auto"/>
          <w:szCs w:val="21"/>
          <w:highlight w:val="none"/>
          <w:u w:val="single"/>
        </w:rPr>
        <w:t>广州建设工程施工招标投标书</w:t>
      </w:r>
      <w:r>
        <w:rPr>
          <w:rFonts w:hint="eastAsia" w:ascii="宋体" w:hAnsi="宋体"/>
          <w:color w:val="auto"/>
          <w:szCs w:val="21"/>
          <w:highlight w:val="none"/>
        </w:rPr>
        <w:t>(按招标文件的要求填写)</w:t>
      </w:r>
      <w:r>
        <w:rPr>
          <w:rFonts w:hint="eastAsia" w:ascii="宋体"/>
          <w:bCs/>
          <w:color w:val="auto"/>
          <w:szCs w:val="21"/>
          <w:highlight w:val="non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11.2.2 资格审查文件：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 xml:space="preserve">（1）投标人声明（按招标公告的要求填写）； </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（2）法定代表人证明书、法定代表人签字或盖章的本投标文件授权委托证明书；</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（3）企业营业执照</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（4）企业资质证书</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（5）建筑施工企业安全生产许可证</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（6）项目负责人（按网上投标登记时选择拟投标的项目负责人）；</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（7）专职安全员（按网上投标登记时选择拟投标的专职安全员）；</w:t>
      </w:r>
    </w:p>
    <w:p>
      <w:pPr>
        <w:spacing w:line="360" w:lineRule="auto"/>
        <w:ind w:firstLine="420" w:firstLineChars="200"/>
        <w:rPr>
          <w:rFonts w:ascii="宋体" w:hAnsi="宋体" w:cs="Calibri"/>
          <w:bCs/>
          <w:strike/>
          <w:color w:val="auto"/>
          <w:szCs w:val="21"/>
          <w:highlight w:val="none"/>
          <w:u w:val="single"/>
        </w:rPr>
      </w:pPr>
      <w:r>
        <w:rPr>
          <w:rFonts w:hint="eastAsia" w:ascii="宋体" w:hAnsi="宋体" w:cs="Calibri"/>
          <w:bCs/>
          <w:color w:val="auto"/>
          <w:szCs w:val="21"/>
          <w:highlight w:val="none"/>
          <w:u w:val="single"/>
        </w:rPr>
        <w:t>（8）拟委托技术负责人的相关证书、资料（须提交清晰扫描件）。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（9）拟委派项目负责人的建造师注册证书（须提交清晰扫描件）；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（10）项目负责人安全生产考核合格证明或在有效期内的安全考核合格证书（B类）或建筑施工企业项目负责人安全生产考核合格证书（</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（11）</w:t>
      </w:r>
      <w:r>
        <w:rPr>
          <w:rFonts w:hint="eastAsia" w:ascii="宋体" w:hAnsi="宋体" w:cs="宋体"/>
          <w:color w:val="auto"/>
          <w:szCs w:val="21"/>
          <w:highlight w:val="none"/>
          <w:u w:val="single"/>
          <w:shd w:val="clear" w:color="auto" w:fill="FFFFFF"/>
        </w:rPr>
        <w:t>专职安全员须具有在有效期内的安全生产考核合格证（C类）或建筑施工企业专职安全生产管理人员安全生产考核合格证（C3）</w:t>
      </w:r>
      <w:r>
        <w:rPr>
          <w:rFonts w:hint="eastAsia" w:ascii="宋体"/>
          <w:bCs/>
          <w:color w:val="auto"/>
          <w:szCs w:val="21"/>
          <w:highlight w:val="none"/>
          <w:u w:val="single"/>
        </w:rPr>
        <w:t>（取自平台内上传件）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w:t>
      </w:r>
      <w:r>
        <w:rPr>
          <w:rFonts w:ascii="宋体" w:hAnsi="宋体" w:cs="Calibri"/>
          <w:bCs/>
          <w:color w:val="auto"/>
          <w:szCs w:val="21"/>
          <w:highlight w:val="none"/>
          <w:u w:val="single"/>
        </w:rPr>
        <w:t>2</w:t>
      </w:r>
      <w:r>
        <w:rPr>
          <w:rFonts w:hint="eastAsia" w:ascii="宋体" w:hAnsi="宋体" w:cs="Calibri"/>
          <w:bCs/>
          <w:color w:val="auto"/>
          <w:szCs w:val="21"/>
          <w:highlight w:val="none"/>
          <w:u w:val="single"/>
        </w:rPr>
        <w:t>）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递交投标文件截止时间的，诚信档案信息的评审时点也相应延长。</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11.2.3技术标相关证明文件。</w:t>
      </w:r>
    </w:p>
    <w:p>
      <w:pPr>
        <w:pStyle w:val="35"/>
        <w:ind w:left="0" w:leftChars="0"/>
        <w:rPr>
          <w:rFonts w:ascii="宋体" w:hAnsi="宋体"/>
          <w:color w:val="auto"/>
          <w:szCs w:val="21"/>
          <w:highlight w:val="none"/>
          <w:u w:val="single"/>
        </w:rPr>
      </w:pPr>
      <w:r>
        <w:rPr>
          <w:rFonts w:hint="eastAsia" w:ascii="宋体" w:hAnsi="宋体"/>
          <w:color w:val="auto"/>
          <w:szCs w:val="21"/>
          <w:highlight w:val="none"/>
          <w:u w:val="single"/>
        </w:rPr>
        <w:t>11.2.4拟派项目人员配备情况表。</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rPr>
        <w:t>.</w:t>
      </w:r>
      <w:r>
        <w:rPr>
          <w:rFonts w:hint="eastAsia" w:ascii="宋体" w:hAnsi="宋体"/>
          <w:color w:val="auto"/>
          <w:szCs w:val="21"/>
          <w:highlight w:val="none"/>
          <w:u w:val="single"/>
        </w:rPr>
        <w:t>5 按照招标文件要求填写的《参与编制技术标投标文件人员名单》。</w:t>
      </w:r>
    </w:p>
    <w:p>
      <w:pPr>
        <w:pStyle w:val="6"/>
        <w:rPr>
          <w:rFonts w:ascii="宋体" w:hAnsi="宋体"/>
          <w:color w:val="auto"/>
          <w:sz w:val="24"/>
          <w:szCs w:val="22"/>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11.2.6投标人认为应该提供其他的资料。</w:t>
      </w:r>
    </w:p>
    <w:p>
      <w:pPr>
        <w:spacing w:line="360" w:lineRule="auto"/>
        <w:ind w:firstLine="420" w:firstLineChars="200"/>
        <w:rPr>
          <w:rFonts w:ascii="宋体"/>
          <w:bCs/>
          <w:color w:val="auto"/>
          <w:szCs w:val="21"/>
          <w:highlight w:val="none"/>
        </w:rPr>
      </w:pPr>
      <w:r>
        <w:rPr>
          <w:rFonts w:hint="eastAsia" w:ascii="宋体" w:hAnsi="宋体"/>
          <w:bCs/>
          <w:color w:val="auto"/>
          <w:szCs w:val="21"/>
          <w:highlight w:val="none"/>
        </w:rPr>
        <w:t>11.3 经济部分投标文件主要包括下列内容：</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11.3.1 经济投标文件(按招标文件的要求填写)。</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（投标报价的工程量清单的组成、格式等按广州公共资源交易中心的投标文件管理软件自动生成）</w:t>
      </w:r>
      <w:r>
        <w:rPr>
          <w:rFonts w:hint="eastAsia" w:ascii="宋体" w:hAnsi="宋体"/>
          <w:color w:val="auto"/>
          <w:szCs w:val="21"/>
          <w:highlight w:val="none"/>
        </w:rPr>
        <w:t>。</w:t>
      </w:r>
    </w:p>
    <w:p>
      <w:pPr>
        <w:tabs>
          <w:tab w:val="left" w:pos="1125"/>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11.3.3按照</w:t>
      </w:r>
      <w:r>
        <w:rPr>
          <w:rFonts w:hint="eastAsia" w:ascii="宋体" w:hAnsi="宋体"/>
          <w:bCs/>
          <w:color w:val="auto"/>
          <w:szCs w:val="21"/>
          <w:highlight w:val="none"/>
          <w:u w:val="single"/>
        </w:rPr>
        <w:t>招标文件要求</w:t>
      </w:r>
      <w:r>
        <w:rPr>
          <w:rFonts w:hint="eastAsia" w:ascii="宋体" w:hAnsi="宋体"/>
          <w:color w:val="auto"/>
          <w:szCs w:val="21"/>
          <w:highlight w:val="none"/>
          <w:u w:val="single"/>
        </w:rPr>
        <w:t>填写的《参与编制经济标投标文件人员名单》。</w:t>
      </w:r>
    </w:p>
    <w:p>
      <w:pPr>
        <w:tabs>
          <w:tab w:val="left" w:pos="1125"/>
        </w:tabs>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11.3.4 《对投标文件编制的承诺》。</w:t>
      </w:r>
    </w:p>
    <w:p>
      <w:pPr>
        <w:tabs>
          <w:tab w:val="left" w:pos="1125"/>
        </w:tabs>
        <w:spacing w:line="360" w:lineRule="auto"/>
        <w:ind w:firstLine="420" w:firstLineChars="200"/>
        <w:rPr>
          <w:color w:val="auto"/>
          <w:highlight w:val="none"/>
        </w:rPr>
      </w:pPr>
      <w:r>
        <w:rPr>
          <w:rFonts w:hint="eastAsia" w:ascii="宋体" w:hAnsi="宋体"/>
          <w:bCs/>
          <w:color w:val="auto"/>
          <w:szCs w:val="21"/>
          <w:highlight w:val="none"/>
          <w:u w:val="single"/>
        </w:rPr>
        <w:t>11.3.5</w:t>
      </w:r>
      <w:r>
        <w:rPr>
          <w:rFonts w:hint="eastAsia" w:ascii="宋体" w:hAnsi="宋体"/>
          <w:bCs/>
          <w:color w:val="auto"/>
          <w:szCs w:val="21"/>
          <w:highlight w:val="none"/>
        </w:rPr>
        <w:t xml:space="preserve"> </w:t>
      </w:r>
      <w:r>
        <w:rPr>
          <w:rFonts w:hint="eastAsia" w:ascii="宋体" w:hAnsi="宋体"/>
          <w:bCs/>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pStyle w:val="6"/>
        <w:rPr>
          <w:color w:val="auto"/>
          <w:highlight w:val="none"/>
          <w:u w:val="single"/>
        </w:rPr>
      </w:pPr>
      <w:r>
        <w:rPr>
          <w:rFonts w:hint="eastAsia"/>
          <w:color w:val="auto"/>
          <w:highlight w:val="none"/>
          <w:u w:val="single"/>
        </w:rPr>
        <w:t xml:space="preserve">                                                                                            </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12.2</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color w:val="auto"/>
          <w:szCs w:val="21"/>
          <w:highlight w:val="none"/>
          <w:u w:val="single"/>
        </w:rPr>
        <w:t>详见广州公共资源交易中心网站</w:t>
      </w:r>
      <w:r>
        <w:rPr>
          <w:rFonts w:hint="eastAsia" w:ascii="宋体" w:hAnsi="宋体"/>
          <w:color w:val="auto"/>
          <w:szCs w:val="21"/>
          <w:highlight w:val="none"/>
        </w:rPr>
        <w:t>。</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条款号：12.3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12.3 投标文件应按照交易平台关于全流程电子化项目的相关指南进行编制，详见：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color w:val="auto"/>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12.3 投标文件应按照交易平台关于全流程电子化项目的相关指南进行编制，详见：</w:t>
      </w:r>
      <w:r>
        <w:rPr>
          <w:rFonts w:hint="eastAsia"/>
          <w:color w:val="auto"/>
          <w:szCs w:val="21"/>
          <w:highlight w:val="none"/>
          <w:u w:val="single"/>
        </w:rPr>
        <w:t>详见广州公共资源交易中心网站</w:t>
      </w:r>
      <w:r>
        <w:rPr>
          <w:rFonts w:hint="eastAsia" w:ascii="宋体" w:hAnsi="宋体"/>
          <w:color w:val="auto"/>
          <w:szCs w:val="21"/>
          <w:highlight w:val="none"/>
        </w:rPr>
        <w:t>。</w:t>
      </w:r>
    </w:p>
    <w:p>
      <w:pPr>
        <w:spacing w:line="360" w:lineRule="auto"/>
        <w:ind w:firstLine="527" w:firstLineChars="250"/>
        <w:jc w:val="left"/>
        <w:rPr>
          <w:rFonts w:ascii="宋体" w:hAnsi="宋体"/>
          <w:b/>
          <w:color w:val="auto"/>
          <w:szCs w:val="21"/>
          <w:highlight w:val="none"/>
        </w:rPr>
      </w:pPr>
      <w:r>
        <w:rPr>
          <w:rFonts w:hint="eastAsia" w:ascii="宋体" w:hAnsi="宋体"/>
          <w:b/>
          <w:color w:val="auto"/>
          <w:szCs w:val="21"/>
          <w:highlight w:val="none"/>
        </w:rPr>
        <w:t>条款号：13.5  13.5.1    13.5.2    13.5.3   13.5.4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13.5工程项目实施期间和结算时……，中标后双方协商约定：</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13.5</w:t>
      </w:r>
      <w:r>
        <w:rPr>
          <w:rFonts w:hint="eastAsia" w:ascii="宋体" w:hAnsi="宋体"/>
          <w:color w:val="auto"/>
          <w:szCs w:val="21"/>
          <w:highlight w:val="none"/>
          <w:u w:val="single"/>
        </w:rPr>
        <w:t xml:space="preserve"> 变更方式详见施工合同</w:t>
      </w:r>
      <w:r>
        <w:rPr>
          <w:rFonts w:hint="eastAsia" w:ascii="宋体" w:hAnsi="宋体"/>
          <w:color w:val="auto"/>
          <w:szCs w:val="21"/>
          <w:highlight w:val="none"/>
        </w:rPr>
        <w:t>。</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条款号：13.10                         修改类型：增加</w:t>
      </w:r>
    </w:p>
    <w:p>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pPr>
        <w:pStyle w:val="6"/>
        <w:rPr>
          <w:color w:val="auto"/>
          <w:highlight w:val="none"/>
          <w:u w:val="single"/>
        </w:rPr>
      </w:pPr>
      <w:r>
        <w:rPr>
          <w:rFonts w:hint="eastAsia"/>
          <w:color w:val="auto"/>
          <w:highlight w:val="none"/>
          <w:u w:val="single"/>
        </w:rPr>
        <w:t xml:space="preserve">                                                                                          </w:t>
      </w:r>
    </w:p>
    <w:p>
      <w:pPr>
        <w:pBdr>
          <w:bottom w:val="single" w:color="auto" w:sz="6" w:space="1"/>
        </w:pBd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16.1投标人应按投标须知前附表第14项所述金额和时间递交投标保证金。招标人不得限定投标保证金只能以现金形式提交。投标保证金以现金或者支票形式提交的，必须由投标人的银行基本账户转出。</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16.1投标人应按投标须知前附表第14项所述金额和时间递交投标保证金。投标人自主选择现金、银行保函、保证保险、专业工程担保公司担保等方式缴纳投标保证金。</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条款号：16.2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r>
        <w:rPr>
          <w:rFonts w:hint="eastAsia" w:ascii="宋体" w:hAnsi="宋体" w:cs="宋体"/>
          <w:color w:val="auto"/>
          <w:szCs w:val="21"/>
          <w:highlight w:val="none"/>
        </w:rPr>
        <w:t>。</w:t>
      </w:r>
    </w:p>
    <w:p>
      <w:pPr>
        <w:pBdr>
          <w:bottom w:val="single" w:color="auto" w:sz="6" w:space="1"/>
        </w:pBd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16.2开标时投标人没有按要求提供投标保证金的，其投标文件将被否决。</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16.4 </w:t>
      </w:r>
      <w:r>
        <w:rPr>
          <w:rFonts w:hint="eastAsia" w:ascii="宋体" w:hAnsi="宋体" w:cs="宋体"/>
          <w:bCs/>
          <w:color w:val="auto"/>
          <w:szCs w:val="21"/>
          <w:highlight w:val="none"/>
        </w:rPr>
        <w:t>如有下列情况之一的，招标人可以不予退还投标保证金（是否退还投标保证金由招标人在招标文件中规定）。</w:t>
      </w:r>
    </w:p>
    <w:p>
      <w:pPr>
        <w:pBdr>
          <w:bottom w:val="single" w:color="auto" w:sz="6" w:space="1"/>
        </w:pBd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w:t>
      </w:r>
      <w:r>
        <w:rPr>
          <w:rFonts w:hint="eastAsia" w:ascii="宋体" w:hAnsi="宋体" w:cs="宋体"/>
          <w:bCs/>
          <w:color w:val="auto"/>
          <w:szCs w:val="21"/>
          <w:highlight w:val="none"/>
        </w:rPr>
        <w:t>如有下列情况之一的，招标人不予退还投标保证金。</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16.5投标人如存在下列情况之一的，将被拒绝在一年内参与招标人后续工程投标：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.3         修改类型：删除</w:t>
      </w:r>
    </w:p>
    <w:p>
      <w:pP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16.5.3按招标文件要求免于提供投标保证金的投标人存在16.4条款所列情形，且未按招标人要求补交投标保证金的；</w:t>
      </w:r>
    </w:p>
    <w:p>
      <w:pPr>
        <w:pBdr>
          <w:bottom w:val="single" w:color="auto" w:sz="6" w:space="0"/>
        </w:pBdr>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rPr>
        <w:t>16.5.3按招标文件要求免于提供投标保证金的投标人存在16.4条款所列情形的。</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17.1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color w:val="auto"/>
          <w:szCs w:val="24"/>
          <w:highlight w:val="none"/>
        </w:rPr>
        <w:t>：</w:t>
      </w:r>
      <w:r>
        <w:rPr>
          <w:rFonts w:hint="eastAsia"/>
          <w:color w:val="auto"/>
          <w:szCs w:val="24"/>
          <w:highlight w:val="none"/>
          <w:u w:val="single"/>
        </w:rPr>
        <w:t>《房屋建筑和市政基础设施工程全流程电子化项目专章》</w:t>
      </w:r>
      <w:r>
        <w:rPr>
          <w:rFonts w:hint="eastAsia" w:ascii="宋体" w:hAnsi="宋体"/>
          <w:color w:val="auto"/>
          <w:szCs w:val="21"/>
          <w:highlight w:val="none"/>
          <w:u w:val="single"/>
        </w:rPr>
        <w:t>。</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条款号：18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原文：18．投标文件的密封和标记</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18.1递交的电子投标文件（不含备用光盘）必须进行加密。按照交易平台关于全流程电子化项目的相关指南进行操作。详见：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现文：18．投标文件的密封和标记</w:t>
      </w:r>
    </w:p>
    <w:p>
      <w:pPr>
        <w:spacing w:line="360" w:lineRule="auto"/>
        <w:ind w:firstLine="525" w:firstLineChars="250"/>
        <w:rPr>
          <w:rFonts w:ascii="宋体" w:hAnsi="宋体"/>
          <w:color w:val="auto"/>
          <w:szCs w:val="21"/>
          <w:highlight w:val="none"/>
        </w:rPr>
      </w:pPr>
      <w:r>
        <w:rPr>
          <w:rStyle w:val="123"/>
          <w:rFonts w:hint="eastAsia" w:ascii="宋体" w:hAnsi="宋体" w:cs="宋体"/>
          <w:color w:val="auto"/>
          <w:szCs w:val="21"/>
          <w:highlight w:val="none"/>
        </w:rPr>
        <w:t>18.1</w:t>
      </w:r>
      <w:r>
        <w:rPr>
          <w:rFonts w:hint="eastAsia" w:ascii="宋体" w:hAnsi="宋体"/>
          <w:color w:val="auto"/>
          <w:szCs w:val="21"/>
          <w:highlight w:val="none"/>
        </w:rPr>
        <w:t>递交的电子投标文件（不含备用光盘）必须进行加密。按照交易平台关于全流程电子化项目的相关指南进行操作。详见：</w:t>
      </w:r>
      <w:r>
        <w:rPr>
          <w:rFonts w:hint="eastAsia"/>
          <w:color w:val="auto"/>
          <w:szCs w:val="24"/>
          <w:highlight w:val="none"/>
          <w:u w:val="single"/>
        </w:rPr>
        <w:t>《房屋建筑和市政基础设施工程全流程电子化项目专章》</w:t>
      </w:r>
      <w:r>
        <w:rPr>
          <w:rStyle w:val="123"/>
          <w:rFonts w:hint="eastAsia" w:ascii="宋体" w:hAnsi="宋体" w:cs="宋体"/>
          <w:color w:val="auto"/>
          <w:szCs w:val="21"/>
          <w:highlight w:val="none"/>
        </w:rPr>
        <w:t>。</w:t>
      </w:r>
    </w:p>
    <w:p>
      <w:pPr>
        <w:pBdr>
          <w:bottom w:val="single" w:color="auto" w:sz="6" w:space="1"/>
        </w:pBdr>
        <w:spacing w:line="360" w:lineRule="auto"/>
        <w:ind w:firstLine="420" w:firstLineChars="200"/>
        <w:rPr>
          <w:rFonts w:ascii="宋体" w:hAnsi="宋体"/>
          <w:b/>
          <w:color w:val="auto"/>
          <w:szCs w:val="21"/>
          <w:highlight w:val="none"/>
        </w:rPr>
      </w:pPr>
      <w:r>
        <w:rPr>
          <w:rStyle w:val="123"/>
          <w:rFonts w:hint="eastAsia" w:ascii="宋体" w:hAnsi="宋体" w:cs="宋体"/>
          <w:color w:val="auto"/>
          <w:szCs w:val="21"/>
          <w:highlight w:val="none"/>
        </w:rPr>
        <w:t>18.2</w:t>
      </w:r>
      <w:r>
        <w:rPr>
          <w:rStyle w:val="123"/>
          <w:rFonts w:hint="eastAsia" w:ascii="宋体" w:hAnsi="宋体" w:cs="宋体"/>
          <w:bCs/>
          <w:color w:val="auto"/>
          <w:szCs w:val="21"/>
          <w:highlight w:val="none"/>
        </w:rPr>
        <w:t>未按要求加密的投标文件，</w:t>
      </w:r>
      <w:r>
        <w:rPr>
          <w:rStyle w:val="123"/>
          <w:rFonts w:hint="eastAsia" w:ascii="宋体" w:hAnsi="宋体" w:cs="宋体"/>
          <w:color w:val="auto"/>
          <w:szCs w:val="21"/>
          <w:highlight w:val="none"/>
          <w:u w:val="single"/>
        </w:rPr>
        <w:t>广州公共资源交易中心</w:t>
      </w:r>
      <w:r>
        <w:rPr>
          <w:rStyle w:val="123"/>
          <w:rFonts w:hint="eastAsia" w:ascii="宋体" w:hAnsi="宋体" w:cs="宋体"/>
          <w:color w:val="auto"/>
          <w:szCs w:val="21"/>
          <w:highlight w:val="none"/>
        </w:rPr>
        <w:t>交易平台</w:t>
      </w:r>
      <w:r>
        <w:rPr>
          <w:rStyle w:val="123"/>
          <w:rFonts w:hint="eastAsia" w:ascii="宋体" w:hAnsi="宋体" w:cs="宋体"/>
          <w:bCs/>
          <w:color w:val="auto"/>
          <w:szCs w:val="21"/>
          <w:highlight w:val="none"/>
        </w:rPr>
        <w:t>将予以拒收</w:t>
      </w:r>
      <w:r>
        <w:rPr>
          <w:rFonts w:hint="eastAsia" w:ascii="宋体" w:hAnsi="宋体"/>
          <w:color w:val="auto"/>
          <w:szCs w:val="21"/>
          <w:highlight w:val="none"/>
        </w:rPr>
        <w:t>。</w:t>
      </w:r>
    </w:p>
    <w:p>
      <w:pPr>
        <w:pStyle w:val="6"/>
        <w:ind w:firstLine="422" w:firstLineChars="200"/>
        <w:rPr>
          <w:rFonts w:ascii="宋体" w:hAnsi="宋体"/>
          <w:b/>
          <w:color w:val="auto"/>
          <w:szCs w:val="21"/>
          <w:highlight w:val="none"/>
        </w:rPr>
      </w:pPr>
      <w:r>
        <w:rPr>
          <w:rFonts w:hint="eastAsia" w:ascii="宋体" w:hAnsi="宋体"/>
          <w:b/>
          <w:color w:val="auto"/>
          <w:szCs w:val="21"/>
          <w:highlight w:val="none"/>
        </w:rPr>
        <w:t>条款号：19.1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交易平台递交电子投标文件。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条款号：19.2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条款号：19.3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交易平台将予以拒收。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条款号：19.5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pPr>
        <w:spacing w:line="360" w:lineRule="auto"/>
        <w:ind w:firstLine="422" w:firstLineChars="200"/>
        <w:rPr>
          <w:rFonts w:ascii="宋体"/>
          <w:color w:val="auto"/>
          <w:szCs w:val="21"/>
          <w:highlight w:val="none"/>
          <w:u w:val="single"/>
        </w:rPr>
      </w:pPr>
      <w:r>
        <w:rPr>
          <w:rFonts w:hint="eastAsia" w:ascii="宋体" w:hAnsi="宋体"/>
          <w:b/>
          <w:color w:val="auto"/>
          <w:szCs w:val="21"/>
          <w:highlight w:val="none"/>
        </w:rPr>
        <w:t>现文：</w:t>
      </w:r>
      <w:r>
        <w:rPr>
          <w:rFonts w:ascii="宋体" w:hAnsi="宋体"/>
          <w:color w:val="auto"/>
          <w:szCs w:val="21"/>
          <w:highlight w:val="none"/>
          <w:u w:val="single"/>
        </w:rPr>
        <w:t>19.5</w:t>
      </w:r>
      <w:r>
        <w:rPr>
          <w:rFonts w:hint="eastAsia" w:ascii="宋体" w:hAnsi="宋体"/>
          <w:color w:val="auto"/>
          <w:szCs w:val="21"/>
          <w:highlight w:val="none"/>
          <w:u w:val="single"/>
        </w:rPr>
        <w:t>投标人代表应按投标须知前附表第</w:t>
      </w:r>
      <w:r>
        <w:rPr>
          <w:rFonts w:ascii="宋体" w:hAnsi="宋体"/>
          <w:color w:val="auto"/>
          <w:szCs w:val="21"/>
          <w:highlight w:val="none"/>
          <w:u w:val="single"/>
        </w:rPr>
        <w:t>18</w:t>
      </w:r>
      <w:r>
        <w:rPr>
          <w:rFonts w:hint="eastAsia" w:ascii="宋体" w:hAnsi="宋体"/>
          <w:color w:val="auto"/>
          <w:szCs w:val="21"/>
          <w:highlight w:val="none"/>
          <w:u w:val="single"/>
        </w:rPr>
        <w:t>项所规定的时间和地点向招标人提交投标文件，投标人代表应由投标人法定代表人或法定代表人书面授权的委托代理人担任，若出现以下情况之一的，招标人将拒绝接收投标文件：</w:t>
      </w:r>
    </w:p>
    <w:p>
      <w:pPr>
        <w:spacing w:line="360" w:lineRule="auto"/>
        <w:ind w:firstLine="420" w:firstLineChars="200"/>
        <w:rPr>
          <w:rFonts w:ascii="宋体"/>
          <w:color w:val="auto"/>
          <w:szCs w:val="21"/>
          <w:highlight w:val="none"/>
          <w:u w:val="single"/>
        </w:rPr>
      </w:pPr>
      <w:r>
        <w:rPr>
          <w:rFonts w:ascii="宋体" w:hAnsi="宋体"/>
          <w:color w:val="auto"/>
          <w:szCs w:val="21"/>
          <w:highlight w:val="none"/>
          <w:u w:val="single"/>
        </w:rPr>
        <w:t>19.5.1</w:t>
      </w:r>
      <w:r>
        <w:rPr>
          <w:rFonts w:hint="eastAsia" w:ascii="宋体" w:hAnsi="宋体"/>
          <w:color w:val="auto"/>
          <w:szCs w:val="21"/>
          <w:highlight w:val="none"/>
          <w:u w:val="single"/>
        </w:rPr>
        <w:t>逾期或未在指定地点递交投标文件的；</w:t>
      </w:r>
    </w:p>
    <w:p>
      <w:pPr>
        <w:pBdr>
          <w:bottom w:val="single" w:color="auto" w:sz="6" w:space="1"/>
        </w:pBdr>
        <w:spacing w:line="360" w:lineRule="auto"/>
        <w:ind w:firstLine="420" w:firstLineChars="200"/>
        <w:rPr>
          <w:rFonts w:ascii="宋体" w:hAnsi="宋体"/>
          <w:b/>
          <w:color w:val="auto"/>
          <w:szCs w:val="21"/>
          <w:highlight w:val="none"/>
        </w:rPr>
      </w:pPr>
      <w:r>
        <w:rPr>
          <w:rFonts w:ascii="宋体" w:hAnsi="宋体"/>
          <w:color w:val="auto"/>
          <w:szCs w:val="21"/>
          <w:highlight w:val="none"/>
          <w:u w:val="single"/>
        </w:rPr>
        <w:t>19.5.2</w:t>
      </w:r>
      <w:r>
        <w:rPr>
          <w:rFonts w:hint="eastAsia" w:ascii="宋体" w:hAnsi="宋体"/>
          <w:color w:val="auto"/>
          <w:szCs w:val="21"/>
          <w:highlight w:val="none"/>
          <w:u w:val="single"/>
        </w:rPr>
        <w:t>未按招标文件要求密封和标志的。</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条款号：19.6                               修改类型：删除</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条款号：21.1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21.1本须知前附表第17项规定的投标截止时间后送达的电子投标文件，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21.1本须知前附表第18项规定的投标截止时间后送达的电子投标文件，</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交易平台将予以拒收。</w:t>
      </w:r>
      <w:r>
        <w:rPr>
          <w:rFonts w:hint="eastAsia" w:ascii="宋体" w:hAnsi="宋体"/>
          <w:color w:val="auto"/>
          <w:szCs w:val="21"/>
          <w:highlight w:val="none"/>
          <w:u w:val="single"/>
        </w:rPr>
        <w:t>逾期或未在指定地点递交投标文件的，招标人将拒绝接收投标文件。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条款号：24.1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24.1开标后，直至中标公示为止，凡属于对投标文件的审查、澄清、评价和比较有关的资料以及中标候选人的推荐情况，与评标有关的其他任何情况均严格保密。</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24.1开标后，直至中标公示为止，凡属于对投标文件的审查、澄清、评价和比较有关的资料以及中标候选人的推荐情况，与评标有关的其他任何情况均严格保密。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条款号：24.2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24.2在投标文件的评审和比较、中标候选人推荐以及授予合同的过程中，投标人向招标人和评标委员会施加不公正影响的任何行为，都将会导致其投标被拒绝。</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24.2在投标文件的评审和比较、中标候选人推荐以及授予合同的过程中，投标人向招标人、评标委员会施加不公正影响的任何行为，都将会导致其投标被拒绝。</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条款号：27.1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Cs w:val="21"/>
          <w:highlight w:val="none"/>
        </w:rPr>
        <w:t>。</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27.1</w:t>
      </w:r>
      <w:r>
        <w:rPr>
          <w:rFonts w:hint="eastAsia" w:ascii="宋体" w:hAnsi="宋体"/>
          <w:color w:val="auto"/>
          <w:szCs w:val="21"/>
          <w:highlight w:val="none"/>
          <w:u w:val="single"/>
        </w:rPr>
        <w:t>招标人将在</w:t>
      </w:r>
      <w:r>
        <w:rPr>
          <w:rFonts w:hint="eastAsia"/>
          <w:color w:val="auto"/>
          <w:szCs w:val="21"/>
          <w:highlight w:val="none"/>
          <w:u w:val="single"/>
        </w:rPr>
        <w:t>广州公共资源交易中心</w:t>
      </w:r>
      <w:r>
        <w:rPr>
          <w:rFonts w:hint="eastAsia" w:ascii="宋体" w:hAnsi="宋体"/>
          <w:color w:val="auto"/>
          <w:szCs w:val="21"/>
          <w:highlight w:val="none"/>
          <w:u w:val="single"/>
        </w:rPr>
        <w:t>交易平台、广东省招标投标监管网和中国招标投标公共服务平台公示中标候选人，公示期为三天。</w:t>
      </w:r>
      <w:r>
        <w:rPr>
          <w:rFonts w:hint="eastAsia" w:ascii="宋体" w:hAnsi="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Cs w:val="21"/>
          <w:highlight w:val="none"/>
          <w:u w:val="single"/>
        </w:rPr>
        <w:t>。</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条款号：27.4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pP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Style w:val="123"/>
          <w:rFonts w:hint="eastAsia" w:ascii="宋体" w:hAnsi="宋体" w:cs="宋体"/>
          <w:color w:val="auto"/>
          <w:szCs w:val="21"/>
          <w:highlight w:val="none"/>
        </w:rPr>
        <w:t>27.4在产生中标候选人后，招标人将中标候选人的投标文件商务部分文件的</w:t>
      </w:r>
      <w:r>
        <w:rPr>
          <w:rStyle w:val="123"/>
          <w:rFonts w:hint="eastAsia" w:ascii="宋体" w:hAnsi="宋体" w:cs="宋体"/>
          <w:color w:val="auto"/>
          <w:szCs w:val="21"/>
          <w:highlight w:val="none"/>
          <w:u w:val="single"/>
        </w:rPr>
        <w:t>人员、业绩、奖项等资料</w:t>
      </w:r>
      <w:r>
        <w:rPr>
          <w:rStyle w:val="123"/>
          <w:rFonts w:hint="eastAsia" w:ascii="宋体" w:hAnsi="宋体" w:cs="宋体"/>
          <w:color w:val="auto"/>
          <w:szCs w:val="21"/>
          <w:highlight w:val="none"/>
        </w:rPr>
        <w:t>在</w:t>
      </w:r>
      <w:r>
        <w:rPr>
          <w:rStyle w:val="123"/>
          <w:rFonts w:hint="eastAsia" w:ascii="宋体" w:hAnsi="宋体" w:cs="宋体"/>
          <w:color w:val="auto"/>
          <w:szCs w:val="21"/>
          <w:highlight w:val="none"/>
          <w:u w:val="single"/>
        </w:rPr>
        <w:t>广州公共资源交易中心</w:t>
      </w:r>
      <w:r>
        <w:rPr>
          <w:rStyle w:val="123"/>
          <w:rFonts w:hint="eastAsia" w:ascii="宋体" w:hAnsi="宋体" w:cs="宋体"/>
          <w:color w:val="auto"/>
          <w:szCs w:val="21"/>
          <w:highlight w:val="none"/>
        </w:rPr>
        <w:t>交易平台和广东省招标投标监管网公开。</w:t>
      </w:r>
    </w:p>
    <w:p>
      <w:pPr>
        <w:pStyle w:val="6"/>
        <w:rPr>
          <w:color w:val="auto"/>
          <w:highlight w:val="none"/>
          <w:u w:val="single"/>
        </w:rPr>
      </w:pPr>
      <w:r>
        <w:rPr>
          <w:rFonts w:hint="eastAsia"/>
          <w:color w:val="auto"/>
          <w:highlight w:val="none"/>
          <w:u w:val="single"/>
        </w:rPr>
        <w:t xml:space="preserve">                                                                                            </w:t>
      </w:r>
    </w:p>
    <w:p>
      <w:pPr>
        <w:pBdr>
          <w:bottom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Cs/>
          <w:color w:val="auto"/>
          <w:szCs w:val="21"/>
          <w:highlight w:val="none"/>
        </w:rPr>
        <w:t>28.2</w:t>
      </w:r>
      <w:r>
        <w:rPr>
          <w:rFonts w:hint="eastAsia" w:ascii="宋体" w:hAnsi="宋体"/>
          <w:b/>
          <w:color w:val="auto"/>
          <w:szCs w:val="21"/>
          <w:highlight w:val="none"/>
        </w:rPr>
        <w:t xml:space="preserve">                                  修改类型：修改</w:t>
      </w:r>
    </w:p>
    <w:p>
      <w:pPr>
        <w:pBdr>
          <w:bottom w:val="single" w:color="auto" w:sz="4" w:space="1"/>
        </w:pBd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4"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28.2中标通知书发出之日起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原中标人的投标保证金不予退还，且依法承担相应法律责任。原中标人给招标人造成的损失超过投标保证金数额的，还应当对超过部分予以赔偿。原中标人有异议的，可以向人民法院起诉。排名第一的中标候选人放弃中标、无故不签订合同或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wordWrap w:val="0"/>
        <w:spacing w:line="360" w:lineRule="auto"/>
        <w:ind w:firstLine="472" w:firstLineChars="224"/>
        <w:rPr>
          <w:rStyle w:val="123"/>
          <w:rFonts w:ascii="宋体" w:hAnsi="宋体" w:cs="宋体"/>
          <w:b/>
          <w:color w:val="auto"/>
          <w:szCs w:val="21"/>
          <w:highlight w:val="none"/>
        </w:rPr>
      </w:pPr>
      <w:r>
        <w:rPr>
          <w:rStyle w:val="123"/>
          <w:rFonts w:hint="eastAsia" w:ascii="宋体" w:hAnsi="宋体" w:cs="宋体"/>
          <w:b/>
          <w:color w:val="auto"/>
          <w:szCs w:val="21"/>
          <w:highlight w:val="none"/>
        </w:rPr>
        <w:t>条款号：29.1             修改类型：修改</w:t>
      </w:r>
    </w:p>
    <w:p>
      <w:pPr>
        <w:wordWrap w:val="0"/>
        <w:spacing w:line="360" w:lineRule="auto"/>
        <w:ind w:firstLine="472" w:firstLineChars="224"/>
        <w:rPr>
          <w:rStyle w:val="123"/>
          <w:rFonts w:ascii="宋体" w:hAnsi="宋体" w:cs="宋体"/>
          <w:b/>
          <w:color w:val="auto"/>
          <w:szCs w:val="21"/>
          <w:highlight w:val="none"/>
        </w:rPr>
      </w:pPr>
      <w:r>
        <w:rPr>
          <w:rStyle w:val="123"/>
          <w:rFonts w:hint="eastAsia" w:ascii="宋体" w:hAnsi="宋体" w:cs="宋体"/>
          <w:b/>
          <w:color w:val="auto"/>
          <w:szCs w:val="21"/>
          <w:highlight w:val="none"/>
        </w:rPr>
        <w:t>原文：</w:t>
      </w:r>
      <w:r>
        <w:rPr>
          <w:rStyle w:val="123"/>
          <w:rFonts w:hint="eastAsia" w:ascii="宋体" w:hAnsi="宋体" w:cs="宋体"/>
          <w:color w:val="auto"/>
          <w:szCs w:val="21"/>
          <w:highlight w:val="none"/>
        </w:rPr>
        <w:t>29.1在收到中标通知书后的</w:t>
      </w:r>
      <w:r>
        <w:rPr>
          <w:rStyle w:val="123"/>
          <w:rFonts w:hint="eastAsia" w:ascii="宋体" w:hAnsi="宋体" w:cs="宋体"/>
          <w:b/>
          <w:color w:val="auto"/>
          <w:szCs w:val="21"/>
          <w:highlight w:val="none"/>
        </w:rPr>
        <w:t>15日</w:t>
      </w:r>
      <w:r>
        <w:rPr>
          <w:rStyle w:val="123"/>
          <w:rFonts w:hint="eastAsia" w:ascii="宋体" w:hAnsi="宋体" w:cs="宋体"/>
          <w:color w:val="auto"/>
          <w:szCs w:val="21"/>
          <w:highlight w:val="none"/>
        </w:rPr>
        <w:t>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472" w:firstLineChars="224"/>
        <w:rPr>
          <w:rStyle w:val="123"/>
          <w:rFonts w:ascii="宋体" w:hAnsi="宋体" w:cs="宋体"/>
          <w:color w:val="auto"/>
          <w:szCs w:val="21"/>
          <w:highlight w:val="none"/>
        </w:rPr>
      </w:pPr>
      <w:r>
        <w:rPr>
          <w:rStyle w:val="123"/>
          <w:rFonts w:hint="eastAsia" w:ascii="宋体" w:hAnsi="宋体" w:cs="宋体"/>
          <w:b/>
          <w:color w:val="auto"/>
          <w:szCs w:val="21"/>
          <w:highlight w:val="none"/>
        </w:rPr>
        <w:t>现文：</w:t>
      </w:r>
      <w:r>
        <w:rPr>
          <w:rStyle w:val="123"/>
          <w:rFonts w:hint="eastAsia" w:ascii="宋体" w:hAnsi="宋体" w:cs="宋体"/>
          <w:color w:val="auto"/>
          <w:szCs w:val="21"/>
          <w:highlight w:val="none"/>
        </w:rPr>
        <w:t>29.1</w:t>
      </w:r>
      <w:r>
        <w:rPr>
          <w:rStyle w:val="123"/>
          <w:rFonts w:hint="eastAsia" w:ascii="宋体" w:hAnsi="宋体" w:cs="宋体"/>
          <w:color w:val="auto"/>
          <w:szCs w:val="21"/>
          <w:highlight w:val="none"/>
          <w:u w:val="single"/>
        </w:rPr>
        <w:t>在签订合同后的30日内</w:t>
      </w:r>
      <w:r>
        <w:rPr>
          <w:rStyle w:val="123"/>
          <w:rFonts w:hint="eastAsia" w:ascii="宋体" w:hAnsi="宋体" w:cs="宋体"/>
          <w:color w:val="auto"/>
          <w:szCs w:val="21"/>
          <w:highlight w:val="none"/>
        </w:rPr>
        <w:t>，中标人应按本须知前附表第20项的规定向招标人提交履约担保。</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Cs/>
          <w:color w:val="auto"/>
          <w:szCs w:val="21"/>
          <w:highlight w:val="none"/>
        </w:rPr>
        <w:t>29.2</w:t>
      </w:r>
      <w:r>
        <w:rPr>
          <w:rFonts w:hint="eastAsia" w:ascii="宋体" w:hAnsi="宋体"/>
          <w:b/>
          <w:color w:val="auto"/>
          <w:szCs w:val="21"/>
          <w:highlight w:val="none"/>
        </w:rPr>
        <w:t xml:space="preserve">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在签订合同后的</w:t>
      </w:r>
      <w:r>
        <w:rPr>
          <w:rFonts w:hint="eastAsia" w:ascii="宋体" w:hAnsi="宋体" w:cs="宋体"/>
          <w:b/>
          <w:color w:val="auto"/>
          <w:szCs w:val="21"/>
          <w:highlight w:val="none"/>
          <w:u w:val="single"/>
        </w:rPr>
        <w:t>30日</w:t>
      </w:r>
      <w:r>
        <w:rPr>
          <w:rFonts w:hint="eastAsia" w:ascii="宋体" w:hAnsi="宋体" w:cs="宋体"/>
          <w:color w:val="auto"/>
          <w:szCs w:val="21"/>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条款号：30.1             修改类型：修改</w:t>
      </w:r>
    </w:p>
    <w:p>
      <w:pPr>
        <w:spacing w:line="360" w:lineRule="auto"/>
        <w:ind w:firstLine="481" w:firstLineChars="228"/>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jc w:val="left"/>
        <w:rPr>
          <w:rFonts w:ascii="宋体" w:hAnsi="宋体"/>
          <w:color w:val="auto"/>
          <w:szCs w:val="21"/>
          <w:highlight w:val="none"/>
          <w:lang w:bidi="ar"/>
        </w:rPr>
      </w:pPr>
      <w:r>
        <w:rPr>
          <w:rFonts w:hint="eastAsia" w:ascii="宋体" w:hAnsi="宋体"/>
          <w:b/>
          <w:color w:val="auto"/>
          <w:szCs w:val="21"/>
          <w:highlight w:val="none"/>
        </w:rPr>
        <w:t>现文：</w:t>
      </w:r>
      <w:r>
        <w:rPr>
          <w:rFonts w:hint="eastAsia" w:ascii="宋体" w:hAnsi="宋体"/>
          <w:color w:val="auto"/>
          <w:szCs w:val="21"/>
          <w:highlight w:val="none"/>
        </w:rPr>
        <w:t>30.1在合同双方全权代表在合同协议书上签字，并分别加盖双方单位的公章</w:t>
      </w:r>
      <w:r>
        <w:rPr>
          <w:rFonts w:hint="eastAsia" w:ascii="宋体" w:hAnsi="宋体"/>
          <w:color w:val="auto"/>
          <w:szCs w:val="21"/>
          <w:highlight w:val="none"/>
          <w:u w:val="single"/>
        </w:rPr>
        <w:t>或合同专用章</w:t>
      </w:r>
      <w:r>
        <w:rPr>
          <w:rFonts w:hint="eastAsia" w:ascii="宋体" w:hAnsi="宋体"/>
          <w:color w:val="auto"/>
          <w:szCs w:val="21"/>
          <w:highlight w:val="none"/>
        </w:rPr>
        <w:t>后，合同正式生效。</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条款号：31             修改类型：增加</w:t>
      </w:r>
    </w:p>
    <w:p>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rPr>
        <w:t>31．其它费用</w:t>
      </w:r>
    </w:p>
    <w:p>
      <w:pPr>
        <w:pBdr>
          <w:bottom w:val="single" w:color="auto" w:sz="6" w:space="1"/>
        </w:pBdr>
        <w:spacing w:line="360" w:lineRule="auto"/>
        <w:ind w:firstLine="420" w:firstLineChars="200"/>
        <w:jc w:val="left"/>
        <w:rPr>
          <w:rFonts w:ascii="宋体" w:hAnsi="宋体"/>
          <w:color w:val="auto"/>
          <w:szCs w:val="21"/>
          <w:highlight w:val="none"/>
          <w:lang w:bidi="ar"/>
        </w:rPr>
      </w:pPr>
      <w:r>
        <w:rPr>
          <w:rFonts w:hint="eastAsia"/>
          <w:color w:val="auto"/>
          <w:highlight w:val="none"/>
        </w:rPr>
        <w:t>中标人按《广州市发展改革委转发省发展改革委关于规范公共资源交易服务收费及有关问题的通知》（穗发改〔2017〕8</w:t>
      </w:r>
      <w:r>
        <w:rPr>
          <w:rFonts w:hint="eastAsia" w:ascii="宋体" w:hAnsi="宋体"/>
          <w:bCs/>
          <w:color w:val="auto"/>
          <w:kern w:val="0"/>
          <w:szCs w:val="21"/>
          <w:highlight w:val="none"/>
        </w:rPr>
        <w:t>11号）文件的规定，向广州公共资源交易中心代缴交易服务费，其费用包含在中标人投标报价中，招标人不另行支付。</w:t>
      </w:r>
      <w:r>
        <w:rPr>
          <w:rFonts w:hint="eastAsia" w:ascii="宋体" w:hAnsi="宋体" w:cs="宋体"/>
          <w:color w:val="auto"/>
          <w:highlight w:val="none"/>
        </w:rPr>
        <w:t>中标人在领取中标通知书前向招标代理一次支付招标代理服务费，详见招标代理合同</w:t>
      </w:r>
      <w:r>
        <w:rPr>
          <w:rFonts w:hint="eastAsia" w:ascii="宋体" w:hAnsi="宋体"/>
          <w:color w:val="auto"/>
          <w:szCs w:val="21"/>
          <w:highlight w:val="none"/>
          <w:lang w:bidi="ar"/>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条款号：33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33. 投标人信誉的要求</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现文：</w:t>
      </w:r>
      <w:r>
        <w:rPr>
          <w:rFonts w:hint="eastAsia" w:ascii="宋体" w:hAnsi="宋体" w:cs="宋体"/>
          <w:color w:val="auto"/>
          <w:highlight w:val="none"/>
        </w:rPr>
        <w:t>33. 投标人信誉的要求</w:t>
      </w:r>
    </w:p>
    <w:p>
      <w:pPr>
        <w:pBdr>
          <w:bottom w:val="single" w:color="auto" w:sz="6" w:space="1"/>
        </w:pBdr>
        <w:spacing w:line="360" w:lineRule="auto"/>
        <w:rPr>
          <w:rFonts w:ascii="宋体" w:hAnsi="宋体" w:cs="宋体"/>
          <w:color w:val="auto"/>
          <w:highlight w:val="none"/>
        </w:rPr>
      </w:pPr>
      <w:r>
        <w:rPr>
          <w:rFonts w:hint="eastAsia" w:ascii="宋体" w:hAnsi="宋体" w:cs="宋体"/>
          <w:color w:val="auto"/>
          <w:highlight w:val="none"/>
        </w:rPr>
        <w:t xml:space="preserve">    存在下列情形之一的，招标人可以限制其投标（</w:t>
      </w:r>
      <w:r>
        <w:rPr>
          <w:rFonts w:hint="eastAsia" w:ascii="宋体" w:hAnsi="宋体" w:cs="宋体"/>
          <w:color w:val="auto"/>
          <w:highlight w:val="none"/>
          <w:u w:val="single"/>
        </w:rPr>
        <w:t>根据投标人声明评审</w:t>
      </w:r>
      <w:r>
        <w:rPr>
          <w:rFonts w:hint="eastAsia" w:ascii="宋体" w:hAnsi="宋体" w:cs="宋体"/>
          <w:color w:val="auto"/>
          <w:highlight w:val="none"/>
        </w:rPr>
        <w:t>）</w:t>
      </w:r>
    </w:p>
    <w:p>
      <w:pPr>
        <w:pBdr>
          <w:bottom w:val="single" w:color="auto" w:sz="6" w:space="1"/>
        </w:pBdr>
        <w:spacing w:line="360" w:lineRule="auto"/>
        <w:ind w:firstLine="567" w:firstLineChars="270"/>
        <w:rPr>
          <w:rFonts w:ascii="宋体" w:hAnsi="宋体" w:cs="宋体"/>
          <w:color w:val="auto"/>
          <w:highlight w:val="none"/>
        </w:rPr>
      </w:pPr>
      <w:r>
        <w:rPr>
          <w:rFonts w:hint="eastAsia" w:ascii="宋体" w:hAnsi="宋体" w:cs="宋体"/>
          <w:color w:val="auto"/>
          <w:highlight w:val="none"/>
        </w:rPr>
        <w:t>（1）被住房城乡建设行政主管部门在全国建筑市场监管一体化工作平台列入建筑市场主体“黑名单”；</w:t>
      </w:r>
    </w:p>
    <w:p>
      <w:pPr>
        <w:pBdr>
          <w:bottom w:val="single" w:color="auto" w:sz="6" w:space="1"/>
        </w:pBdr>
        <w:spacing w:line="360" w:lineRule="auto"/>
        <w:ind w:firstLine="567" w:firstLineChars="270"/>
        <w:rPr>
          <w:rFonts w:ascii="宋体" w:hAnsi="宋体" w:cs="宋体"/>
          <w:color w:val="auto"/>
          <w:highlight w:val="none"/>
        </w:rPr>
      </w:pPr>
      <w:r>
        <w:rPr>
          <w:rFonts w:hint="eastAsia" w:ascii="宋体" w:hAnsi="宋体" w:cs="宋体"/>
          <w:color w:val="auto"/>
          <w:highlight w:val="none"/>
        </w:rPr>
        <w:t>（2）被发改委、人力资源社会保障、质检总局等有关部门、单位在“信用中国”网站中列入联合惩戒失信黑名单。</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条款号：34           修改类型：增加</w:t>
      </w:r>
    </w:p>
    <w:p>
      <w:pPr>
        <w:pBdr>
          <w:bottom w:val="single" w:color="auto" w:sz="6" w:space="1"/>
        </w:pBdr>
        <w:spacing w:line="360" w:lineRule="auto"/>
        <w:ind w:firstLine="527" w:firstLineChars="25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34.招标人（招标代理机构）填报中标候选人公示信息、与中标人签订合同及办理施工许可前，如发现第一中标候选人或中标人委派的项目负责人已在其他在建项目中任职，招标人有权取消其投标或中标资格，没收其投标保证金，且依法追究相应法律责任。第一中标候选人或中标人给招标人造成的损失超过投标保证金数额的，还应当对超过部分予以赔偿。招标人可以确定第二中标候选人为中标人，如第二中标候选人出现前款所列的情形的，招标人可以确定第三中标候选人为中标人。</w:t>
      </w:r>
    </w:p>
    <w:p>
      <w:pPr>
        <w:spacing w:line="440" w:lineRule="atLeast"/>
        <w:ind w:firstLine="411" w:firstLineChars="196"/>
        <w:rPr>
          <w:color w:val="auto"/>
          <w:szCs w:val="21"/>
          <w:highlight w:val="none"/>
          <w:u w:val="single"/>
        </w:rPr>
      </w:pPr>
    </w:p>
    <w:p>
      <w:pPr>
        <w:spacing w:line="360" w:lineRule="auto"/>
        <w:ind w:firstLine="211" w:firstLineChars="100"/>
        <w:rPr>
          <w:b/>
          <w:color w:val="auto"/>
          <w:szCs w:val="21"/>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bookmarkEnd w:id="10"/>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11" w:name="_Toc6272"/>
      <w:bookmarkStart w:id="12" w:name="_Toc29539"/>
      <w:bookmarkStart w:id="13" w:name="_Toc2272548"/>
      <w:bookmarkStart w:id="14" w:name="_Toc21525492"/>
      <w:r>
        <w:rPr>
          <w:rFonts w:hint="eastAsia"/>
          <w:color w:val="auto"/>
          <w:highlight w:val="none"/>
        </w:rPr>
        <w:t>三、投标须知通用条款</w:t>
      </w:r>
      <w:bookmarkEnd w:id="11"/>
      <w:bookmarkEnd w:id="12"/>
    </w:p>
    <w:p>
      <w:pPr>
        <w:pStyle w:val="8"/>
        <w:spacing w:before="156" w:after="156"/>
        <w:jc w:val="center"/>
        <w:rPr>
          <w:color w:val="auto"/>
          <w:highlight w:val="none"/>
        </w:rPr>
      </w:pPr>
      <w:bookmarkStart w:id="15" w:name="_Toc30203"/>
      <w:bookmarkStart w:id="16" w:name="_Toc9146"/>
      <w:r>
        <w:rPr>
          <w:rFonts w:hint="eastAsia"/>
          <w:color w:val="auto"/>
          <w:highlight w:val="none"/>
        </w:rPr>
        <w:t>（一）总则</w:t>
      </w:r>
      <w:bookmarkEnd w:id="15"/>
      <w:bookmarkEnd w:id="16"/>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7" w:name="_Toc22955"/>
      <w:bookmarkStart w:id="18" w:name="_Toc2060"/>
      <w:r>
        <w:rPr>
          <w:rFonts w:hint="eastAsia"/>
          <w:color w:val="auto"/>
          <w:highlight w:val="none"/>
        </w:rPr>
        <w:t>（二）招标文件</w:t>
      </w:r>
      <w:bookmarkEnd w:id="17"/>
      <w:bookmarkEnd w:id="18"/>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9" w:name="_Toc17354"/>
      <w:bookmarkStart w:id="20" w:name="_Toc8804"/>
      <w:r>
        <w:rPr>
          <w:rFonts w:hint="eastAsia"/>
          <w:color w:val="auto"/>
          <w:highlight w:val="none"/>
        </w:rPr>
        <w:t>（三）投标文件的编制</w:t>
      </w:r>
      <w:bookmarkEnd w:id="19"/>
      <w:bookmarkEnd w:id="20"/>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8"/>
        <w:spacing w:before="156" w:after="156"/>
        <w:rPr>
          <w:color w:val="auto"/>
          <w:highlight w:val="none"/>
        </w:rPr>
      </w:pPr>
      <w:bookmarkStart w:id="21" w:name="_Toc2638"/>
      <w:bookmarkStart w:id="22" w:name="_Toc9830"/>
      <w:r>
        <w:rPr>
          <w:rFonts w:hint="eastAsia"/>
          <w:color w:val="auto"/>
          <w:highlight w:val="none"/>
        </w:rPr>
        <w:t>（四）投标文件的提交</w:t>
      </w:r>
      <w:bookmarkEnd w:id="21"/>
      <w:bookmarkEnd w:id="22"/>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23" w:name="_Toc29693"/>
      <w:bookmarkStart w:id="24" w:name="_Toc3390"/>
      <w:r>
        <w:rPr>
          <w:rFonts w:hint="eastAsia"/>
          <w:color w:val="auto"/>
          <w:highlight w:val="none"/>
        </w:rPr>
        <w:t>（五）开标、评标、定标及合同签定</w:t>
      </w:r>
      <w:bookmarkEnd w:id="23"/>
      <w:bookmarkEnd w:id="24"/>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宋体" w:hAnsi="宋体"/>
          <w:b w:val="0"/>
          <w:bCs w:val="0"/>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w:t>
      </w:r>
      <w:r>
        <w:rPr>
          <w:rFonts w:hint="eastAsia" w:ascii="宋体"/>
          <w:color w:val="auto"/>
          <w:sz w:val="24"/>
          <w:highlight w:val="none"/>
        </w:rPr>
        <w:t>投标人如在本项目中存在串通投标、弄虚作假骗取中标、行贿情形的，中标无效，行政监督部门将对其违法行为进行政处罚。该投标人将被招标人列入黑名单并限制其参与招标人后续项目的投标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color w:val="auto"/>
          <w:sz w:val="24"/>
          <w:highlight w:val="none"/>
        </w:rPr>
        <w:t>。</w:t>
      </w:r>
    </w:p>
    <w:bookmarkEnd w:id="13"/>
    <w:bookmarkEnd w:id="14"/>
    <w:p>
      <w:pPr>
        <w:pStyle w:val="3"/>
        <w:rPr>
          <w:color w:val="auto"/>
          <w:highlight w:val="none"/>
        </w:rPr>
      </w:pPr>
      <w:r>
        <w:rPr>
          <w:rFonts w:ascii="宋体"/>
          <w:color w:val="auto"/>
          <w:sz w:val="24"/>
          <w:highlight w:val="none"/>
        </w:rPr>
        <w:br w:type="page"/>
      </w:r>
      <w:bookmarkStart w:id="25" w:name="_Toc21525498"/>
      <w:bookmarkStart w:id="26" w:name="_Toc2272554"/>
      <w:bookmarkStart w:id="27" w:name="_Toc31773"/>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5"/>
      <w:bookmarkEnd w:id="26"/>
      <w:bookmarkEnd w:id="27"/>
    </w:p>
    <w:p>
      <w:pPr>
        <w:pStyle w:val="7"/>
        <w:rPr>
          <w:color w:val="auto"/>
          <w:highlight w:val="none"/>
        </w:rPr>
      </w:pPr>
      <w:bookmarkStart w:id="28" w:name="_Toc21525499"/>
      <w:bookmarkStart w:id="29" w:name="_Toc2272555"/>
      <w:bookmarkStart w:id="30" w:name="_Toc5878"/>
      <w:r>
        <w:rPr>
          <w:rFonts w:hint="eastAsia"/>
          <w:color w:val="auto"/>
          <w:sz w:val="28"/>
          <w:szCs w:val="28"/>
          <w:highlight w:val="none"/>
        </w:rPr>
        <w:t>一、</w:t>
      </w:r>
      <w:r>
        <w:rPr>
          <w:rFonts w:hint="eastAsia"/>
          <w:color w:val="auto"/>
          <w:highlight w:val="none"/>
        </w:rPr>
        <w:t>开标、评标及定标办法修改表</w:t>
      </w:r>
      <w:bookmarkEnd w:id="28"/>
      <w:bookmarkEnd w:id="29"/>
      <w:bookmarkEnd w:id="30"/>
    </w:p>
    <w:p>
      <w:pPr>
        <w:pStyle w:val="5"/>
        <w:spacing w:after="0" w:line="360" w:lineRule="auto"/>
        <w:rPr>
          <w:b/>
          <w:color w:val="auto"/>
          <w:szCs w:val="21"/>
          <w:highlight w:val="none"/>
        </w:rPr>
      </w:pPr>
      <w:r>
        <w:rPr>
          <w:rFonts w:hint="eastAsia"/>
          <w:b/>
          <w:color w:val="auto"/>
          <w:szCs w:val="21"/>
          <w:highlight w:val="none"/>
        </w:rPr>
        <w:t>声明：</w:t>
      </w:r>
      <w:r>
        <w:rPr>
          <w:rFonts w:hint="eastAsia"/>
          <w:b/>
          <w:color w:val="auto"/>
          <w:szCs w:val="21"/>
          <w:highlight w:val="none"/>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r>
        <w:rPr>
          <w:rFonts w:hint="eastAsia"/>
          <w:b/>
          <w:color w:val="auto"/>
          <w:szCs w:val="21"/>
          <w:highlight w:val="none"/>
        </w:rPr>
        <w:t>。</w:t>
      </w:r>
    </w:p>
    <w:p>
      <w:pPr>
        <w:spacing w:line="360" w:lineRule="auto"/>
        <w:ind w:firstLine="422" w:firstLineChars="200"/>
        <w:rPr>
          <w:b/>
          <w:color w:val="auto"/>
          <w:szCs w:val="21"/>
          <w:highlight w:val="none"/>
        </w:rPr>
      </w:pPr>
      <w:r>
        <w:rPr>
          <w:rFonts w:hint="eastAsia"/>
          <w:b/>
          <w:color w:val="auto"/>
          <w:szCs w:val="21"/>
          <w:highlight w:val="none"/>
        </w:rPr>
        <w:t>条款号：36.1</w:t>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36.3             </w:t>
      </w:r>
      <w:r>
        <w:rPr>
          <w:rFonts w:hint="eastAsia"/>
          <w:b/>
          <w:color w:val="auto"/>
          <w:szCs w:val="21"/>
          <w:highlight w:val="none"/>
        </w:rPr>
        <w:t>修改类型：删除</w:t>
      </w:r>
    </w:p>
    <w:p>
      <w:pPr>
        <w:pBdr>
          <w:bottom w:val="single" w:color="auto" w:sz="6" w:space="1"/>
        </w:pBdr>
        <w:spacing w:line="480" w:lineRule="auto"/>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36.4</w:t>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r>
        <w:rPr>
          <w:rFonts w:hint="eastAsia" w:ascii="宋体" w:hAnsi="宋体"/>
          <w:color w:val="auto"/>
          <w:sz w:val="24"/>
          <w:szCs w:val="24"/>
          <w:highlight w:val="none"/>
        </w:rPr>
        <w:t>）</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color w:val="auto"/>
          <w:szCs w:val="21"/>
          <w:highlight w:val="none"/>
        </w:rPr>
        <w:t>；</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在投标截止时间后半小时内，投标人通过</w:t>
      </w:r>
      <w:r>
        <w:rPr>
          <w:rFonts w:hint="eastAsia" w:ascii="宋体" w:hAnsi="宋体" w:cs="宋体"/>
          <w:b w:val="0"/>
          <w:bCs/>
          <w:color w:val="auto"/>
          <w:szCs w:val="21"/>
          <w:highlight w:val="none"/>
          <w:u w:val="single"/>
          <w:lang w:val="en-US" w:eastAsia="zh-CN"/>
        </w:rPr>
        <w:t>广州公共资源交易中心</w:t>
      </w:r>
      <w:r>
        <w:rPr>
          <w:rFonts w:hint="eastAsia" w:ascii="宋体" w:hAnsi="宋体" w:cs="宋体"/>
          <w:b w:val="0"/>
          <w:bCs/>
          <w:color w:val="auto"/>
          <w:szCs w:val="21"/>
          <w:highlight w:val="none"/>
        </w:rPr>
        <w:t>交易平台对已递交的电子投标文件进行解密。投标人完成解密后，再由</w:t>
      </w:r>
      <w:r>
        <w:rPr>
          <w:rFonts w:hint="eastAsia" w:ascii="宋体" w:hAnsi="宋体" w:cs="宋体"/>
          <w:b w:val="0"/>
          <w:bCs/>
          <w:color w:val="auto"/>
          <w:szCs w:val="21"/>
          <w:highlight w:val="none"/>
          <w:u w:val="single"/>
        </w:rPr>
        <w:t>招</w:t>
      </w:r>
      <w:r>
        <w:rPr>
          <w:rFonts w:hint="eastAsia" w:ascii="宋体" w:hAnsi="宋体" w:cs="宋体"/>
          <w:b w:val="0"/>
          <w:bCs/>
          <w:strike w:val="0"/>
          <w:dstrike w:val="0"/>
          <w:color w:val="auto"/>
          <w:szCs w:val="21"/>
          <w:highlight w:val="none"/>
          <w:u w:val="single"/>
        </w:rPr>
        <w:t>标人</w:t>
      </w:r>
      <w:r>
        <w:rPr>
          <w:rFonts w:hint="eastAsia" w:ascii="宋体" w:hAnsi="宋体" w:cs="宋体"/>
          <w:b w:val="0"/>
          <w:bCs/>
          <w:strike w:val="0"/>
          <w:dstrike w:val="0"/>
          <w:color w:val="auto"/>
          <w:szCs w:val="21"/>
          <w:highlight w:val="none"/>
          <w:u w:val="single"/>
          <w:lang w:val="en-US" w:eastAsia="zh-CN"/>
        </w:rPr>
        <w:t>或招标代理</w:t>
      </w:r>
      <w:r>
        <w:rPr>
          <w:rFonts w:hint="eastAsia" w:ascii="宋体" w:hAnsi="宋体" w:cs="宋体"/>
          <w:b w:val="0"/>
          <w:bCs/>
          <w:color w:val="auto"/>
          <w:szCs w:val="21"/>
          <w:highlight w:val="none"/>
        </w:rPr>
        <w:t>进行解密。解密完成后，公布招标项目名称、投标人名称、投标保证金的递交情况、投标报价、工期及其他内容</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w:t>
      </w:r>
      <w:r>
        <w:rPr>
          <w:rFonts w:hint="eastAsia" w:ascii="宋体" w:hAnsi="宋体" w:cs="宋体"/>
          <w:color w:val="auto"/>
          <w:szCs w:val="21"/>
          <w:highlight w:val="none"/>
        </w:rPr>
        <w:t>内容作出澄清。</w:t>
      </w:r>
    </w:p>
    <w:p>
      <w:pPr>
        <w:pStyle w:val="32"/>
        <w:widowControl/>
        <w:spacing w:line="360" w:lineRule="auto"/>
        <w:ind w:firstLine="422" w:firstLineChars="200"/>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条款号：39.3</w:t>
      </w:r>
      <w:r>
        <w:rPr>
          <w:rFonts w:ascii="宋体" w:hAnsi="宋体" w:eastAsia="宋体" w:cs="宋体"/>
          <w:b/>
          <w:bCs/>
          <w:color w:val="auto"/>
          <w:sz w:val="21"/>
          <w:szCs w:val="21"/>
          <w:highlight w:val="none"/>
          <w:shd w:val="clear" w:color="auto" w:fill="FFFFFF"/>
        </w:rPr>
        <w:t xml:space="preserve">        </w:t>
      </w:r>
      <w:r>
        <w:rPr>
          <w:rFonts w:hint="eastAsia" w:ascii="宋体" w:hAnsi="宋体" w:eastAsia="宋体" w:cs="宋体"/>
          <w:b/>
          <w:bCs/>
          <w:color w:val="auto"/>
          <w:sz w:val="21"/>
          <w:szCs w:val="21"/>
          <w:highlight w:val="none"/>
          <w:shd w:val="clear" w:color="auto" w:fill="FFFFFF"/>
        </w:rPr>
        <w:t xml:space="preserve"> 修改类型：修改</w:t>
      </w:r>
    </w:p>
    <w:p>
      <w:pPr>
        <w:widowControl/>
        <w:spacing w:line="360" w:lineRule="auto"/>
        <w:ind w:firstLine="413" w:firstLineChars="196"/>
        <w:jc w:val="left"/>
        <w:rPr>
          <w:rFonts w:ascii="宋体" w:hAnsi="宋体" w:cs="宋体"/>
          <w:color w:val="auto"/>
          <w:szCs w:val="21"/>
          <w:highlight w:val="none"/>
          <w:shd w:val="clear" w:color="auto" w:fill="FFFFFF"/>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bCs/>
          <w:color w:val="auto"/>
          <w:szCs w:val="21"/>
          <w:highlight w:val="none"/>
          <w:u w:val="single"/>
        </w:rPr>
        <w:t>或经核查发现委派的项目负责人已在</w:t>
      </w:r>
      <w:r>
        <w:rPr>
          <w:rFonts w:hint="eastAsia" w:ascii="宋体" w:hAnsi="宋体"/>
          <w:color w:val="auto"/>
          <w:kern w:val="0"/>
          <w:szCs w:val="21"/>
          <w:highlight w:val="none"/>
        </w:rPr>
        <w:t>其他在建项目中任施工单位项目负责人</w:t>
      </w:r>
      <w:r>
        <w:rPr>
          <w:rFonts w:hint="eastAsia" w:cs="宋体"/>
          <w:bCs/>
          <w:color w:val="auto"/>
          <w:szCs w:val="21"/>
          <w:highlight w:val="none"/>
          <w:u w:val="single"/>
        </w:rPr>
        <w:t>的，或因中标候选人原因在招标文件规定时间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r>
        <w:rPr>
          <w:rFonts w:hint="eastAsia"/>
          <w:bCs/>
          <w:color w:val="auto"/>
          <w:szCs w:val="21"/>
          <w:highlight w:val="none"/>
          <w:u w:val="single"/>
        </w:rPr>
        <w:t>。</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条款号：（二）开标评标办法程序和细则          修改类型：删除</w:t>
      </w:r>
    </w:p>
    <w:p>
      <w:pPr>
        <w:pBdr>
          <w:bottom w:val="single" w:color="auto" w:sz="4" w:space="0"/>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原文：</w:t>
      </w:r>
      <w:r>
        <w:rPr>
          <w:rFonts w:hint="eastAsia" w:ascii="宋体" w:hAnsi="宋体"/>
          <w:bCs/>
          <w:color w:val="auto"/>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条款号：（二）开标评标办法程序和细则          修改类型：删除</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可选办法一（适合综合评分法一，技术标与经济标先后分别开启）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可选办法二（适合综合评分法一，技术标与经济标同时开启）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可选办法三（适合综合评分法二，技术标与经济标先后分别开启）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可选办法四（适合综合评分法二，技术标与经济标同时开启）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可选办法五（适合综合评分法三，技术标与经济标先后分别开启）</w:t>
      </w:r>
    </w:p>
    <w:p>
      <w:pPr>
        <w:pBdr>
          <w:bottom w:val="single" w:color="auto" w:sz="4" w:space="1"/>
        </w:pBdr>
        <w:spacing w:line="360" w:lineRule="auto"/>
        <w:ind w:firstLine="472" w:firstLineChars="224"/>
        <w:rPr>
          <w:rFonts w:ascii="宋体" w:hAnsi="宋体"/>
          <w:color w:val="auto"/>
          <w:highlight w:val="none"/>
        </w:rPr>
      </w:pPr>
      <w:r>
        <w:rPr>
          <w:rFonts w:hint="eastAsia" w:ascii="宋体" w:hAnsi="宋体"/>
          <w:b/>
          <w:color w:val="auto"/>
          <w:szCs w:val="21"/>
          <w:highlight w:val="none"/>
        </w:rPr>
        <w:t>原文：</w:t>
      </w:r>
      <w:r>
        <w:rPr>
          <w:rFonts w:hint="eastAsia" w:ascii="宋体" w:hAnsi="宋体"/>
          <w:color w:val="auto"/>
          <w:highlight w:val="none"/>
        </w:rPr>
        <w:t>可选办法六（适合综合评分法三，技术标与经济标同时开启）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可选办法八（适合经评审的最低投标价法，技术标与经济标同时开启）</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41.1 </w:t>
      </w:r>
      <w:r>
        <w:rPr>
          <w:rFonts w:hint="eastAsia" w:ascii="宋体" w:hAnsi="宋体" w:cs="宋体"/>
          <w:color w:val="auto"/>
          <w:szCs w:val="21"/>
          <w:highlight w:val="none"/>
          <w:u w:val="single"/>
        </w:rPr>
        <w:t>开标由招标人或招标代理主持；</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w:t>
      </w:r>
      <w:r>
        <w:rPr>
          <w:rFonts w:hint="eastAsia" w:ascii="宋体"/>
          <w:color w:val="auto"/>
          <w:szCs w:val="21"/>
          <w:highlight w:val="none"/>
        </w:rPr>
        <w:t>投标截止期前，各投标人递交投标文件（包括技术标投标文件、经济标投标文件）至</w:t>
      </w:r>
      <w:r>
        <w:rPr>
          <w:rFonts w:hint="eastAsia" w:ascii="宋体"/>
          <w:color w:val="auto"/>
          <w:szCs w:val="21"/>
          <w:highlight w:val="none"/>
          <w:u w:val="single"/>
        </w:rPr>
        <w:t xml:space="preserve">        </w:t>
      </w:r>
      <w:r>
        <w:rPr>
          <w:rFonts w:hint="eastAsia" w:ascii="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41.2.1投标截止期前，各投标人递交投标文件（包括技术标投标文件（含资格审查文件）、经济标投标文件）至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3.6</w:t>
      </w:r>
      <w:r>
        <w:rPr>
          <w:rFonts w:hint="eastAsia" w:ascii="宋体" w:hAnsi="宋体"/>
          <w:color w:val="auto"/>
          <w:szCs w:val="21"/>
          <w:highlight w:val="none"/>
        </w:rPr>
        <w:t xml:space="preserve">           </w:t>
      </w:r>
      <w:r>
        <w:rPr>
          <w:rFonts w:hint="eastAsia" w:ascii="宋体" w:hAnsi="宋体"/>
          <w:b/>
          <w:color w:val="auto"/>
          <w:szCs w:val="21"/>
          <w:highlight w:val="none"/>
        </w:rPr>
        <w:t>修改类型：修改</w:t>
      </w:r>
    </w:p>
    <w:p>
      <w:pPr>
        <w:spacing w:line="460" w:lineRule="exact"/>
        <w:ind w:firstLine="413" w:firstLineChars="196"/>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43.6</w:t>
      </w:r>
      <w:r>
        <w:rPr>
          <w:rFonts w:hint="eastAsia" w:ascii="宋体" w:hAnsi="宋体"/>
          <w:bCs/>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ascii="宋体" w:hAnsi="宋体"/>
          <w:color w:val="auto"/>
          <w:szCs w:val="21"/>
          <w:highlight w:val="none"/>
        </w:rPr>
        <w:t>43.6</w:t>
      </w:r>
      <w:r>
        <w:rPr>
          <w:rFonts w:hint="eastAsia" w:ascii="宋体" w:hAnsi="宋体"/>
          <w:bCs/>
          <w:color w:val="auto"/>
          <w:szCs w:val="21"/>
          <w:highlight w:val="none"/>
          <w:u w:val="single"/>
        </w:rPr>
        <w:t>资格审查合格的投标人少于3名的，则本项目招标失败。</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 xml:space="preserve">条款号：44.1 </w:t>
      </w:r>
      <w:r>
        <w:rPr>
          <w:rFonts w:hint="eastAsia" w:ascii="宋体" w:hAnsi="宋体"/>
          <w:color w:val="auto"/>
          <w:szCs w:val="21"/>
          <w:highlight w:val="none"/>
        </w:rPr>
        <w:t xml:space="preserve">          </w:t>
      </w:r>
      <w:r>
        <w:rPr>
          <w:rFonts w:hint="eastAsia" w:ascii="宋体" w:hAnsi="宋体"/>
          <w:b/>
          <w:color w:val="auto"/>
          <w:szCs w:val="21"/>
          <w:highlight w:val="none"/>
        </w:rPr>
        <w:t>修改类型：修改</w:t>
      </w:r>
    </w:p>
    <w:p>
      <w:pPr>
        <w:spacing w:line="460" w:lineRule="exact"/>
        <w:ind w:firstLine="413" w:firstLineChars="196"/>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bCs/>
          <w:color w:val="auto"/>
          <w:szCs w:val="21"/>
          <w:highlight w:val="none"/>
          <w:u w:val="single"/>
        </w:rPr>
        <w:t>若通过技术标有效性审查的投标人不足3名，则本项目招标失败</w:t>
      </w:r>
      <w:r>
        <w:rPr>
          <w:rFonts w:hint="eastAsia" w:ascii="宋体" w:hAnsi="宋体"/>
          <w:bCs/>
          <w:color w:val="auto"/>
          <w:szCs w:val="21"/>
          <w:highlight w:val="none"/>
        </w:rPr>
        <w:t>。</w:t>
      </w:r>
    </w:p>
    <w:p>
      <w:pPr>
        <w:pStyle w:val="32"/>
        <w:widowControl/>
        <w:spacing w:line="360" w:lineRule="auto"/>
        <w:ind w:firstLine="422" w:firstLineChars="200"/>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w:t>
      </w:r>
      <w:r>
        <w:rPr>
          <w:rFonts w:ascii="宋体" w:hAnsi="宋体" w:eastAsia="宋体" w:cs="宋体"/>
          <w:b/>
          <w:bCs/>
          <w:color w:val="auto"/>
          <w:sz w:val="21"/>
          <w:szCs w:val="21"/>
          <w:highlight w:val="none"/>
          <w:shd w:val="clear" w:color="auto" w:fill="FFFFFF"/>
        </w:rPr>
        <w:t xml:space="preserve">45        </w:t>
      </w:r>
      <w:r>
        <w:rPr>
          <w:rFonts w:hint="eastAsia" w:ascii="宋体" w:hAnsi="宋体" w:eastAsia="宋体" w:cs="宋体"/>
          <w:b/>
          <w:bCs/>
          <w:color w:val="auto"/>
          <w:sz w:val="21"/>
          <w:szCs w:val="21"/>
          <w:highlight w:val="none"/>
          <w:shd w:val="clear" w:color="auto" w:fill="FFFFFF"/>
        </w:rPr>
        <w:t xml:space="preserve"> 修改类型：修改</w:t>
      </w:r>
    </w:p>
    <w:p>
      <w:pPr>
        <w:widowControl/>
        <w:spacing w:line="360" w:lineRule="auto"/>
        <w:ind w:firstLine="413" w:firstLineChars="196"/>
        <w:jc w:val="left"/>
        <w:rPr>
          <w:rFonts w:ascii="宋体" w:hAnsi="宋体" w:cs="宋体"/>
          <w:color w:val="auto"/>
          <w:szCs w:val="21"/>
          <w:highlight w:val="none"/>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szCs w:val="21"/>
          <w:highlight w:val="none"/>
        </w:rPr>
        <w:t>45．经济标评审和得分汇总</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方法一：加权平均法</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 ），第二名投标人的权重为（ ），以此类推，最后一名投标人的权重为（ ）。</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方法二：区间抽取法</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widowControl/>
        <w:spacing w:line="360" w:lineRule="auto"/>
        <w:ind w:firstLine="411" w:firstLineChars="196"/>
        <w:jc w:val="left"/>
        <w:rPr>
          <w:rFonts w:ascii="宋体" w:hAnsi="宋体" w:cs="宋体"/>
          <w:color w:val="auto"/>
          <w:szCs w:val="21"/>
          <w:highlight w:val="none"/>
          <w:shd w:val="clear" w:color="auto" w:fill="FFFFFF"/>
        </w:rPr>
      </w:pP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13" w:firstLineChars="196"/>
        <w:jc w:val="left"/>
        <w:rPr>
          <w:rFonts w:ascii="宋体" w:hAnsi="宋体" w:cs="宋体"/>
          <w:color w:val="auto"/>
          <w:szCs w:val="21"/>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45．经济标评审和得分汇总</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45.1若通过技术标有效性审查的投标人中所有投标报价均大于等于最高投标限价*94%的（具体金额为：</w:t>
      </w:r>
      <w:r>
        <w:rPr>
          <w:rFonts w:hint="eastAsia" w:ascii="宋体" w:hAnsi="宋体" w:cs="宋体"/>
          <w:color w:val="auto"/>
          <w:szCs w:val="21"/>
          <w:highlight w:val="none"/>
          <w:u w:val="single"/>
        </w:rPr>
        <w:t xml:space="preserve"> 13067127.15 元</w:t>
      </w:r>
      <w:r>
        <w:rPr>
          <w:rFonts w:hint="eastAsia" w:ascii="宋体" w:hAnsi="宋体" w:cs="宋体"/>
          <w:color w:val="auto"/>
          <w:szCs w:val="21"/>
          <w:highlight w:val="none"/>
        </w:rPr>
        <w:t>），则本项目招标失败，由招标人依法重新招标。</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方法一：加权平均法</w:t>
      </w:r>
    </w:p>
    <w:p>
      <w:pPr>
        <w:spacing w:line="360" w:lineRule="auto"/>
        <w:ind w:left="210" w:leftChars="100" w:firstLine="420" w:firstLineChars="200"/>
        <w:rPr>
          <w:rFonts w:ascii="宋体" w:hAnsi="宋体" w:cs="宋体"/>
          <w:color w:val="auto"/>
          <w:szCs w:val="21"/>
          <w:highlight w:val="none"/>
        </w:rPr>
      </w:pPr>
      <w:r>
        <w:rPr>
          <w:rFonts w:hint="eastAsia" w:ascii="宋体" w:hAnsi="宋体" w:cs="宋体"/>
          <w:color w:val="auto"/>
          <w:szCs w:val="21"/>
          <w:highlight w:val="none"/>
          <w:u w:val="single"/>
        </w:rPr>
        <w:t>通过技术标有效性审查且经济报价在[工程成本警戒价, 招标控制价*94%]区间的投标人的技术标得分前5名（若满足前述条件的投标人大于等于5家时,N=5；若满足前述条件的投标人小于5家时,N=满足前述条件的投标人个数）</w:t>
      </w:r>
      <w:r>
        <w:rPr>
          <w:rFonts w:hint="eastAsia" w:ascii="宋体" w:hAnsi="宋体" w:cs="宋体"/>
          <w:color w:val="auto"/>
          <w:szCs w:val="21"/>
          <w:highlight w:val="none"/>
        </w:rPr>
        <w:t>的投标人经济报价加权平均，计算评标参考价。公式如下：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380" w:firstLineChars="18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2905" cy="44640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2905" cy="4464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18770" cy="403860"/>
            <wp:effectExtent l="0" t="0" r="508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18770" cy="403860"/>
            <wp:effectExtent l="0" t="0" r="508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18770" cy="403860"/>
            <wp:effectExtent l="0" t="0" r="508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18770" cy="403860"/>
            <wp:effectExtent l="0" t="0" r="508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Style w:val="5"/>
        <w:spacing w:after="0" w:line="460" w:lineRule="exact"/>
        <w:ind w:firstLineChars="200"/>
        <w:rPr>
          <w:rFonts w:ascii="宋体" w:hAnsi="宋体" w:cs="宋体"/>
          <w:b/>
          <w:color w:val="auto"/>
          <w:szCs w:val="21"/>
          <w:highlight w:val="none"/>
        </w:rPr>
      </w:pPr>
      <w:r>
        <w:rPr>
          <w:rFonts w:hint="eastAsia" w:ascii="宋体" w:hAnsi="宋体" w:cs="宋体"/>
          <w:bCs/>
          <w:color w:val="auto"/>
          <w:szCs w:val="21"/>
          <w:highlight w:val="none"/>
          <w:u w:val="single"/>
        </w:rPr>
        <w:t>技术标得分相同的投标文件，以投标报价较低的排前；如仍存在相同情况，则对具有相同情况的投标人，由评标委员会采用记名投票方式，确定投标人的排序。随机方式确定排序的具体操作步骤为：由评标会对出现该情况的投标人进行编号，然后通过记名投票方式，以得票多的排前确定排序。</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45.3当标价等于评标参考价时得100分，标价每高于评标参考价1%，</w:t>
      </w:r>
      <w:r>
        <w:rPr>
          <w:rFonts w:hint="eastAsia" w:ascii="宋体" w:hAnsi="宋体" w:cs="宋体"/>
          <w:bCs/>
          <w:color w:val="auto"/>
          <w:szCs w:val="21"/>
          <w:highlight w:val="none"/>
        </w:rPr>
        <w:t>扣</w:t>
      </w:r>
      <w:r>
        <w:rPr>
          <w:rFonts w:hint="eastAsia" w:ascii="宋体" w:hAnsi="宋体" w:cs="宋体"/>
          <w:bCs/>
          <w:color w:val="auto"/>
          <w:szCs w:val="21"/>
          <w:highlight w:val="none"/>
          <w:u w:val="single"/>
        </w:rPr>
        <w:t>1</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rPr>
        <w:t>0.5</w:t>
      </w:r>
      <w:r>
        <w:rPr>
          <w:rFonts w:hint="eastAsia" w:ascii="宋体" w:hAnsi="宋体" w:cs="宋体"/>
          <w:bCs/>
          <w:color w:val="auto"/>
          <w:szCs w:val="21"/>
          <w:highlight w:val="none"/>
        </w:rPr>
        <w:t>分</w:t>
      </w:r>
      <w:r>
        <w:rPr>
          <w:rFonts w:hint="eastAsia" w:ascii="宋体" w:hAnsi="宋体" w:cs="宋体"/>
          <w:color w:val="auto"/>
          <w:szCs w:val="21"/>
          <w:highlight w:val="none"/>
        </w:rPr>
        <w:t>，扣至0分为止，得出经济分，精确到小数点后两位。</w:t>
      </w:r>
    </w:p>
    <w:p>
      <w:pPr>
        <w:pStyle w:val="10"/>
        <w:pBdr>
          <w:bottom w:val="single" w:color="auto" w:sz="4" w:space="0"/>
        </w:pBdr>
        <w:ind w:firstLine="1050" w:firstLineChars="50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45.4计算通过技术标有效性审查的投标人总得分。投标人总得分=</w:t>
      </w:r>
      <w:r>
        <w:rPr>
          <w:rFonts w:hint="eastAsia" w:ascii="宋体" w:hAnsi="宋体" w:cs="宋体"/>
          <w:color w:val="auto"/>
          <w:szCs w:val="21"/>
          <w:highlight w:val="none"/>
          <w:u w:val="single"/>
        </w:rPr>
        <w:t>技术得分×技术得分权重（20%）＋经济得分×经济得分权重（80%）。</w:t>
      </w:r>
      <w:r>
        <w:rPr>
          <w:rFonts w:hint="eastAsia" w:ascii="宋体" w:hAnsi="宋体" w:cs="宋体"/>
          <w:color w:val="auto"/>
          <w:szCs w:val="21"/>
          <w:highlight w:val="none"/>
        </w:rPr>
        <w:t>技术、经济得分权重按投标须知前附表的规定执行。总得分四舍五入保留两位小数。</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w:t>
      </w:r>
      <w:r>
        <w:rPr>
          <w:rFonts w:ascii="宋体" w:hAnsi="宋体"/>
          <w:bCs/>
          <w:color w:val="auto"/>
          <w:szCs w:val="21"/>
          <w:highlight w:val="none"/>
        </w:rPr>
        <w:t>45.</w:t>
      </w:r>
      <w:r>
        <w:rPr>
          <w:rFonts w:hint="eastAsia" w:ascii="宋体" w:hAnsi="宋体"/>
          <w:bCs/>
          <w:color w:val="auto"/>
          <w:szCs w:val="21"/>
          <w:highlight w:val="none"/>
        </w:rPr>
        <w:t>5</w:t>
      </w:r>
      <w:r>
        <w:rPr>
          <w:rFonts w:hint="eastAsia" w:ascii="宋体" w:hAnsi="宋体"/>
          <w:color w:val="auto"/>
          <w:szCs w:val="21"/>
          <w:highlight w:val="none"/>
        </w:rPr>
        <w:t xml:space="preserve">           </w:t>
      </w:r>
      <w:r>
        <w:rPr>
          <w:rFonts w:hint="eastAsia" w:ascii="宋体" w:hAnsi="宋体"/>
          <w:b/>
          <w:color w:val="auto"/>
          <w:szCs w:val="21"/>
          <w:highlight w:val="none"/>
        </w:rPr>
        <w:t>修改类型：增加</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45.5</w:t>
      </w:r>
      <w:bookmarkStart w:id="31" w:name="_Hlk72102247"/>
      <w:r>
        <w:rPr>
          <w:rFonts w:hint="eastAsia" w:ascii="宋体" w:hAnsi="宋体"/>
          <w:color w:val="auto"/>
          <w:szCs w:val="21"/>
          <w:highlight w:val="none"/>
          <w:u w:val="single"/>
        </w:rPr>
        <w:t>总得分相同的投标文件，以报价较低的排前；报价均相同的投标文件，以技术分较高的排前；报价与技术得分均相同，以诚信综合评价分数高的排前；如仍存在相同情况，则对具有相同情况的投标人，由评标委员会采用投票方式，确定投标人的排序。</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cs="宋体"/>
          <w:color w:val="auto"/>
          <w:szCs w:val="21"/>
          <w:highlight w:val="none"/>
        </w:rPr>
        <w:t>注：投票方式确定排序的具体操作步骤为：由评标委员会对出现该情况的投标人进行编号，然后通过投票方式依次确定投标人的排序。</w:t>
      </w:r>
      <w:bookmarkEnd w:id="31"/>
    </w:p>
    <w:p>
      <w:pPr>
        <w:pStyle w:val="5"/>
        <w:spacing w:after="0"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条款号：49             修改类型：修改</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u w:val="single"/>
        </w:rPr>
        <w:t>49.若通过经济标有效性审查的投标人不足三家，应当依法重新招标。</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条款号：附表一 《资格审查表》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见后附：附表一 《资格审查表》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条款号：附表二 《技术标有效性审查表》        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见后附：附表二《技术标有效性审查表》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条款号：附表三 《经济标有效性审查表》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见后附：附表三《经济标有效性审查表》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条款号：附表四《技术标详细审查评分表》       修改类型：</w:t>
      </w:r>
      <w:r>
        <w:rPr>
          <w:rFonts w:hint="eastAsia"/>
          <w:b/>
          <w:color w:val="auto"/>
          <w:szCs w:val="21"/>
          <w:highlight w:val="none"/>
        </w:rPr>
        <w:t>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见后附：附表四《技术标详细审查评分表》</w:t>
      </w:r>
    </w:p>
    <w:p>
      <w:pPr>
        <w:pStyle w:val="2"/>
        <w:rPr>
          <w:color w:val="auto"/>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32" w:name="_Toc21525500"/>
      <w:bookmarkStart w:id="33" w:name="_Toc23290"/>
      <w:bookmarkStart w:id="34" w:name="_Toc2272556"/>
      <w:r>
        <w:rPr>
          <w:rFonts w:hint="eastAsia"/>
          <w:color w:val="auto"/>
          <w:highlight w:val="none"/>
        </w:rPr>
        <w:t>二、开标、评标及定标办法</w:t>
      </w:r>
      <w:r>
        <w:rPr>
          <w:rFonts w:hint="eastAsia"/>
          <w:color w:val="auto"/>
          <w:szCs w:val="30"/>
          <w:highlight w:val="none"/>
        </w:rPr>
        <w:t>通用条款</w:t>
      </w:r>
      <w:bookmarkEnd w:id="32"/>
      <w:bookmarkEnd w:id="33"/>
      <w:bookmarkEnd w:id="34"/>
    </w:p>
    <w:p>
      <w:pPr>
        <w:pStyle w:val="8"/>
        <w:spacing w:before="156" w:after="156"/>
        <w:ind w:firstLine="540" w:firstLineChars="200"/>
        <w:rPr>
          <w:color w:val="auto"/>
          <w:highlight w:val="none"/>
        </w:rPr>
      </w:pPr>
      <w:bookmarkStart w:id="35" w:name="_Toc22363"/>
      <w:bookmarkStart w:id="36" w:name="_Toc12405"/>
      <w:bookmarkStart w:id="37" w:name="_Toc2272557"/>
      <w:bookmarkStart w:id="38" w:name="_Toc21525501"/>
      <w:r>
        <w:rPr>
          <w:rFonts w:hint="eastAsia"/>
          <w:color w:val="auto"/>
          <w:highlight w:val="none"/>
        </w:rPr>
        <w:t>（一）总则</w:t>
      </w:r>
      <w:bookmarkEnd w:id="35"/>
      <w:bookmarkEnd w:id="36"/>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w:t>
      </w:r>
      <w:r>
        <w:rPr>
          <w:rFonts w:hint="eastAsia" w:ascii="宋体" w:hAnsi="宋体"/>
          <w:color w:val="auto"/>
          <w:sz w:val="24"/>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39" w:name="_Toc28130"/>
      <w:bookmarkStart w:id="40" w:name="_Toc19107"/>
      <w:r>
        <w:rPr>
          <w:rFonts w:hint="eastAsia"/>
          <w:color w:val="auto"/>
          <w:highlight w:val="none"/>
        </w:rPr>
        <w:t>（二）开标评标办法程序和细则</w:t>
      </w:r>
      <w:bookmarkEnd w:id="39"/>
      <w:bookmarkEnd w:id="40"/>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ind w:firstLine="420" w:firstLineChars="200"/>
        <w:rPr>
          <w:color w:val="auto"/>
          <w:highlight w:val="none"/>
        </w:rPr>
      </w:pPr>
    </w:p>
    <w:p>
      <w:pPr>
        <w:pStyle w:val="8"/>
        <w:spacing w:before="156" w:after="156"/>
        <w:ind w:firstLine="540" w:firstLineChars="200"/>
        <w:jc w:val="center"/>
        <w:rPr>
          <w:color w:val="auto"/>
          <w:highlight w:val="none"/>
        </w:rPr>
      </w:pPr>
      <w:bookmarkStart w:id="41" w:name="_Toc31410"/>
      <w:bookmarkStart w:id="42" w:name="_Toc21680"/>
      <w:r>
        <w:rPr>
          <w:rFonts w:hint="eastAsia"/>
          <w:color w:val="auto"/>
          <w:highlight w:val="none"/>
        </w:rPr>
        <w:t>（二）开标评标办法程序和细则</w:t>
      </w:r>
      <w:bookmarkEnd w:id="41"/>
      <w:bookmarkEnd w:id="42"/>
    </w:p>
    <w:p>
      <w:pPr>
        <w:pStyle w:val="8"/>
        <w:spacing w:before="156" w:after="156"/>
        <w:ind w:firstLine="540" w:firstLineChars="200"/>
        <w:jc w:val="center"/>
        <w:rPr>
          <w:color w:val="auto"/>
          <w:highlight w:val="none"/>
        </w:rPr>
      </w:pPr>
      <w:bookmarkStart w:id="43" w:name="_Toc30968"/>
      <w:bookmarkStart w:id="44" w:name="_Toc16450"/>
      <w:r>
        <w:rPr>
          <w:rFonts w:hint="eastAsia"/>
          <w:color w:val="auto"/>
          <w:highlight w:val="none"/>
        </w:rPr>
        <w:t>可选办法七（适合综合评分法四，技术标与经济标同时开启）</w:t>
      </w:r>
      <w:bookmarkEnd w:id="43"/>
      <w:bookmarkEnd w:id="44"/>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w:t>
      </w:r>
      <w:r>
        <w:rPr>
          <w:rFonts w:hint="eastAsia" w:asci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w:t>
      </w:r>
      <w:r>
        <w:rPr>
          <w:rFonts w:hint="eastAsia" w:ascii="宋体"/>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w:t>
      </w:r>
      <w:r>
        <w:rPr>
          <w:rFonts w:hint="eastAsia" w:ascii="宋体" w:hAnsi="宋体"/>
          <w:color w:val="auto"/>
          <w:sz w:val="24"/>
          <w:szCs w:val="24"/>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bookmarkEnd w:id="37"/>
      <w:bookmarkEnd w:id="38"/>
      <w:r>
        <w:rPr>
          <w:rFonts w:hint="eastAsia" w:ascii="宋体" w:hAnsi="宋体"/>
          <w:bCs/>
          <w:color w:val="auto"/>
          <w:sz w:val="24"/>
          <w:szCs w:val="24"/>
          <w:highlight w:val="none"/>
          <w:u w:val="single"/>
        </w:rPr>
        <w:t>）。</w:t>
      </w:r>
    </w:p>
    <w:p>
      <w:pPr>
        <w:widowControl/>
        <w:jc w:val="left"/>
        <w:rPr>
          <w:rFonts w:ascii="宋体" w:hAnsi="宋体"/>
          <w:color w:val="auto"/>
          <w:szCs w:val="21"/>
          <w:highlight w:val="none"/>
        </w:rPr>
      </w:pPr>
      <w:r>
        <w:rPr>
          <w:rFonts w:ascii="宋体" w:hAnsi="宋体"/>
          <w:color w:val="auto"/>
          <w:szCs w:val="21"/>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before="120" w:after="60"/>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p>
            <w:pPr>
              <w:numPr>
                <w:ilvl w:val="255"/>
                <w:numId w:val="0"/>
              </w:numPr>
              <w:spacing w:before="120" w:after="60"/>
              <w:rPr>
                <w:rFonts w:ascii="宋体" w:hAnsi="宋体"/>
                <w:color w:val="auto"/>
                <w:szCs w:val="21"/>
                <w:highlight w:val="none"/>
              </w:rPr>
            </w:pPr>
            <w:r>
              <w:rPr>
                <w:rFonts w:hint="eastAsia" w:ascii="宋体" w:hAnsi="宋体" w:cs="宋体"/>
                <w:color w:val="auto"/>
                <w:szCs w:val="21"/>
                <w:highlight w:val="none"/>
              </w:rPr>
              <w:t>《承装(修、试)电力设施许可证》在</w:t>
            </w:r>
            <w:r>
              <w:rPr>
                <w:rFonts w:hint="eastAsia" w:ascii="宋体" w:hAnsi="宋体"/>
                <w:color w:val="auto"/>
                <w:szCs w:val="21"/>
                <w:highlight w:val="none"/>
              </w:rPr>
              <w:t>广州市住建行业信用管理平台内上传件</w:t>
            </w: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w:t>
            </w:r>
            <w:r>
              <w:rPr>
                <w:rFonts w:hint="eastAsia" w:ascii="宋体" w:hAnsi="宋体"/>
                <w:color w:val="auto"/>
                <w:szCs w:val="21"/>
                <w:highlight w:val="none"/>
                <w:u w:val="single"/>
              </w:rPr>
              <w:t>原件扫描件</w:t>
            </w: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shd w:val="clear" w:color="auto" w:fill="FFFFFF"/>
              </w:rPr>
              <w:t>专职安全员须具有在有效期内的安全生产考核合格证</w:t>
            </w:r>
            <w:r>
              <w:rPr>
                <w:rFonts w:hint="eastAsia" w:ascii="宋体" w:hAnsi="宋体" w:cs="宋体"/>
                <w:color w:val="auto"/>
                <w:szCs w:val="21"/>
                <w:highlight w:val="none"/>
                <w:u w:val="single"/>
                <w:shd w:val="clear" w:color="auto" w:fill="FFFFFF"/>
              </w:rPr>
              <w:t>（C类）</w:t>
            </w:r>
            <w:r>
              <w:rPr>
                <w:rFonts w:hint="eastAsia" w:ascii="宋体" w:hAnsi="宋体" w:cs="宋体"/>
                <w:color w:val="auto"/>
                <w:szCs w:val="21"/>
                <w:highlight w:val="none"/>
                <w:shd w:val="clear" w:color="auto" w:fill="FFFFFF"/>
              </w:rPr>
              <w:t>或建筑施工企业专职安全生产管理人员安全生产考核合格证</w:t>
            </w:r>
            <w:r>
              <w:rPr>
                <w:rFonts w:hint="eastAsia" w:ascii="宋体" w:hAnsi="宋体" w:cs="宋体"/>
                <w:color w:val="auto"/>
                <w:szCs w:val="21"/>
                <w:highlight w:val="none"/>
                <w:u w:val="single"/>
                <w:shd w:val="clear" w:color="auto" w:fill="FFFFFF"/>
              </w:rPr>
              <w:t>（C3）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类或C3类）或建筑施工企业专职安全生产管理人员安全生产考核合格证在广州市住建行业信用管理平台内上传件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s="宋体"/>
                <w:color w:val="auto"/>
                <w:szCs w:val="21"/>
                <w:highlight w:val="none"/>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s="宋体"/>
                <w:color w:val="auto"/>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ascii="宋体" w:hAnsi="宋体" w:cs="宋体"/>
                <w:color w:val="auto"/>
                <w:szCs w:val="21"/>
                <w:highlight w:val="none"/>
                <w:u w:val="single"/>
              </w:rPr>
              <w:t>未被纳入失信联合惩戒名单且被限制参加建设工程投标的（具体名单以递交投标文件截止时间“信用广州”https://credit1.gz.gov.cn/sgs/sgsXkNew公布的“失信黑名单”为准。不包含限制参加财政投资工程或政府投资工程的投标）</w:t>
            </w:r>
          </w:p>
        </w:tc>
        <w:tc>
          <w:tcPr>
            <w:tcW w:w="3420"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s="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pStyle w:val="2"/>
        <w:spacing w:line="48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auto"/>
          <w:highlight w:val="none"/>
        </w:rPr>
      </w:pPr>
    </w:p>
    <w:p>
      <w:pPr>
        <w:pStyle w:val="2"/>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highlight w:val="none"/>
                <w:u w:val="single"/>
              </w:rPr>
              <w:t>《广州建设工程施工招标投标书》中的总工期不符合招标文件要求的；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highlight w:val="none"/>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olor w:val="auto"/>
                <w:szCs w:val="21"/>
                <w:highlight w:val="none"/>
              </w:rPr>
              <w:t>投标文件未</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cs="宋体"/>
                <w:color w:val="auto"/>
                <w:szCs w:val="21"/>
                <w:highlight w:val="none"/>
                <w:u w:val="single"/>
              </w:rPr>
              <w:t>无《危险性较大的分部分项工程安全管理措施》的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hint="eastAsia"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highlight w:val="none"/>
              </w:rPr>
              <w:t>投标报价高于最高投标限价</w:t>
            </w:r>
            <w:r>
              <w:rPr>
                <w:rFonts w:hint="eastAsia" w:ascii="宋体" w:hAnsi="宋体"/>
                <w:color w:val="auto"/>
                <w:szCs w:val="21"/>
                <w:highlight w:val="none"/>
              </w:rPr>
              <w:t>的</w:t>
            </w:r>
            <w:r>
              <w:rPr>
                <w:rFonts w:hint="eastAsia" w:ascii="宋体" w:hAnsi="宋体" w:cs="宋体"/>
                <w:color w:val="auto"/>
                <w:highlight w:val="none"/>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投标综合单价高于综合单价限价的；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11</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2"/>
        <w:ind w:firstLine="420" w:firstLineChars="200"/>
        <w:rPr>
          <w:highlight w:val="none"/>
        </w:rPr>
      </w:pPr>
      <w:r>
        <w:rPr>
          <w:rFonts w:hint="eastAsia"/>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技术标详细审查评分表(权重20%)</w:t>
      </w:r>
    </w:p>
    <w:tbl>
      <w:tblPr>
        <w:tblStyle w:val="36"/>
        <w:tblW w:w="14401" w:type="dxa"/>
        <w:jc w:val="center"/>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01"/>
        <w:gridCol w:w="567"/>
        <w:gridCol w:w="11497"/>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636" w:type="dxa"/>
            <w:tcBorders>
              <w:top w:val="single" w:color="auto" w:sz="8" w:space="0"/>
              <w:left w:val="single" w:color="auto" w:sz="8"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序号</w:t>
            </w:r>
          </w:p>
        </w:tc>
        <w:tc>
          <w:tcPr>
            <w:tcW w:w="1701"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评审项目</w:t>
            </w:r>
          </w:p>
        </w:tc>
        <w:tc>
          <w:tcPr>
            <w:tcW w:w="567"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分值</w:t>
            </w:r>
          </w:p>
        </w:tc>
        <w:tc>
          <w:tcPr>
            <w:tcW w:w="11497"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评审标准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u w:val="single"/>
              </w:rPr>
            </w:pPr>
            <w:r>
              <w:rPr>
                <w:rFonts w:hint="eastAsia" w:cs="宋体"/>
                <w:b/>
                <w:bCs/>
                <w:color w:val="auto"/>
                <w:sz w:val="18"/>
                <w:szCs w:val="18"/>
                <w:highlight w:val="none"/>
                <w:u w:val="single"/>
              </w:rPr>
              <w:t>一</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rPr>
                <w:b/>
                <w:bCs/>
                <w:color w:val="auto"/>
                <w:sz w:val="18"/>
                <w:szCs w:val="18"/>
                <w:highlight w:val="none"/>
                <w:u w:val="single"/>
              </w:rPr>
            </w:pPr>
            <w:r>
              <w:rPr>
                <w:rFonts w:hint="eastAsia"/>
                <w:b/>
                <w:bCs/>
                <w:color w:val="auto"/>
                <w:sz w:val="18"/>
                <w:szCs w:val="18"/>
                <w:highlight w:val="none"/>
                <w:u w:val="single"/>
              </w:rPr>
              <w:t>施工组织方案</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u w:val="single"/>
              </w:rPr>
            </w:pPr>
            <w:r>
              <w:rPr>
                <w:rFonts w:hint="eastAsia" w:cs="宋体"/>
                <w:b/>
                <w:bCs/>
                <w:color w:val="auto"/>
                <w:sz w:val="18"/>
                <w:szCs w:val="18"/>
                <w:highlight w:val="none"/>
                <w:u w:val="single"/>
              </w:rPr>
              <w:t>50</w:t>
            </w:r>
          </w:p>
        </w:tc>
        <w:tc>
          <w:tcPr>
            <w:tcW w:w="11497" w:type="dxa"/>
            <w:tcBorders>
              <w:top w:val="single" w:color="auto" w:sz="4" w:space="0"/>
              <w:left w:val="nil"/>
              <w:bottom w:val="single" w:color="auto" w:sz="4" w:space="0"/>
              <w:right w:val="single" w:color="auto" w:sz="4" w:space="0"/>
            </w:tcBorders>
            <w:vAlign w:val="center"/>
          </w:tcPr>
          <w:p>
            <w:pPr>
              <w:jc w:val="center"/>
              <w:rPr>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636" w:type="dxa"/>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701" w:type="dxa"/>
            <w:tcBorders>
              <w:top w:val="single" w:color="auto" w:sz="4" w:space="0"/>
              <w:left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施工方案</w:t>
            </w:r>
          </w:p>
        </w:tc>
        <w:tc>
          <w:tcPr>
            <w:tcW w:w="567" w:type="dxa"/>
            <w:tcBorders>
              <w:top w:val="single" w:color="auto" w:sz="4" w:space="0"/>
              <w:left w:val="nil"/>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30</w:t>
            </w:r>
          </w:p>
        </w:tc>
        <w:tc>
          <w:tcPr>
            <w:tcW w:w="11497" w:type="dxa"/>
            <w:tcBorders>
              <w:top w:val="single" w:color="auto" w:sz="4" w:space="0"/>
              <w:left w:val="nil"/>
              <w:right w:val="single" w:color="auto" w:sz="4" w:space="0"/>
            </w:tcBorders>
            <w:vAlign w:val="center"/>
          </w:tcPr>
          <w:p>
            <w:pPr>
              <w:numPr>
                <w:ilvl w:val="0"/>
                <w:numId w:val="3"/>
              </w:numPr>
              <w:rPr>
                <w:color w:val="auto"/>
                <w:highlight w:val="none"/>
              </w:rPr>
            </w:pPr>
            <w:r>
              <w:rPr>
                <w:rFonts w:hint="eastAsia" w:ascii="宋体" w:hAnsi="宋体"/>
                <w:color w:val="auto"/>
                <w:sz w:val="18"/>
                <w:szCs w:val="18"/>
                <w:highlight w:val="none"/>
              </w:rPr>
              <w:t>针对本项目的特点，对高、低压配电施工的重点、难点分析到位，认识准确，有考虑设备安装及调试等影响因素，并针对重点、难点分析情况，提出可行、有效、经济、安全的处理措施。投标人之间横向比较，优得5分，良得3分，中得1分，差0分。</w:t>
            </w:r>
          </w:p>
          <w:p>
            <w:pPr>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2</w:t>
            </w:r>
            <w:r>
              <w:rPr>
                <w:rFonts w:hint="eastAsia" w:ascii="宋体" w:hAnsi="宋体"/>
                <w:color w:val="auto"/>
                <w:sz w:val="18"/>
                <w:szCs w:val="18"/>
                <w:highlight w:val="none"/>
              </w:rPr>
              <w:t>）针对本项目特点对提出的送电方案，认识准确，符合供电部门相关规定，有考虑行业准入等相关的影响因素，并针对重点、难点分析情况，提出可行、有效、经济、安全的处理措施。投标人之间横向比较，优得5分，良得3分，中得1分，差0分。</w:t>
            </w:r>
          </w:p>
          <w:p>
            <w:pPr>
              <w:rPr>
                <w:color w:val="auto"/>
                <w:highlight w:val="none"/>
              </w:rPr>
            </w:pP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rPr>
              <w:t>）针对本项目投入的施工机械设备能满足工程施工进度的要求，拟投入自由施工车辆【其中包括货车、工程车、专项作业车（如带电作业车、高空作业车、工程抢险车等）】投标人之间横向比较，优得10分，良得7分，中得3分，差0分。</w:t>
            </w:r>
          </w:p>
          <w:p>
            <w:pPr>
              <w:widowControl/>
              <w:rPr>
                <w:rFonts w:ascii="宋体" w:hAnsi="宋体"/>
                <w:color w:val="auto"/>
                <w:sz w:val="18"/>
                <w:szCs w:val="18"/>
                <w:highlight w:val="none"/>
              </w:rPr>
            </w:pPr>
            <w:r>
              <w:rPr>
                <w:rFonts w:hint="eastAsia" w:ascii="宋体" w:hAnsi="宋体"/>
                <w:color w:val="auto"/>
                <w:sz w:val="18"/>
                <w:szCs w:val="18"/>
                <w:highlight w:val="none"/>
              </w:rPr>
              <w:t>（4）方案中在施工期间投入符合供电部门要求的特种作业操作证操作人员</w:t>
            </w:r>
            <w:r>
              <w:rPr>
                <w:rFonts w:hint="eastAsia" w:ascii="宋体" w:hAnsi="宋体" w:cs="宋体"/>
                <w:color w:val="auto"/>
                <w:sz w:val="18"/>
                <w:szCs w:val="18"/>
                <w:highlight w:val="none"/>
              </w:rPr>
              <w:t>（高压电工作业，低压电工作业，电力电缆作业，焊接与热切割作业,电气试验，继电保护）</w:t>
            </w:r>
            <w:r>
              <w:rPr>
                <w:rFonts w:hint="eastAsia" w:ascii="宋体" w:hAnsi="宋体"/>
                <w:color w:val="auto"/>
                <w:sz w:val="18"/>
                <w:szCs w:val="18"/>
                <w:highlight w:val="none"/>
              </w:rPr>
              <w:t>，以上工种齐全且投入总人数横向对比，优得10分，良得7分，中得3分，差0分。</w:t>
            </w:r>
          </w:p>
          <w:p>
            <w:pPr>
              <w:rPr>
                <w:rFonts w:ascii="宋体" w:hAnsi="宋体"/>
                <w:color w:val="auto"/>
                <w:sz w:val="18"/>
                <w:szCs w:val="18"/>
                <w:highlight w:val="none"/>
              </w:rPr>
            </w:pPr>
            <w:r>
              <w:rPr>
                <w:rFonts w:ascii="宋体" w:hAnsi="宋体"/>
                <w:color w:val="auto"/>
                <w:sz w:val="18"/>
                <w:szCs w:val="18"/>
                <w:highlight w:val="none"/>
              </w:rPr>
              <w:t>本项最多得</w:t>
            </w:r>
            <w:r>
              <w:rPr>
                <w:rFonts w:hint="eastAsia" w:ascii="宋体" w:hAnsi="宋体"/>
                <w:color w:val="auto"/>
                <w:sz w:val="18"/>
                <w:szCs w:val="18"/>
                <w:highlight w:val="none"/>
              </w:rPr>
              <w:t>30</w:t>
            </w:r>
            <w:r>
              <w:rPr>
                <w:rFonts w:ascii="宋体" w:hAnsi="宋体"/>
                <w:color w:val="auto"/>
                <w:sz w:val="18"/>
                <w:szCs w:val="18"/>
                <w:highlight w:val="none"/>
              </w:rPr>
              <w:t>分</w:t>
            </w:r>
            <w:r>
              <w:rPr>
                <w:rFonts w:hint="eastAsia" w:ascii="宋体" w:hAnsi="宋体"/>
                <w:color w:val="auto"/>
                <w:sz w:val="18"/>
                <w:szCs w:val="18"/>
                <w:highlight w:val="none"/>
              </w:rPr>
              <w:t>。</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636" w:type="dxa"/>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701" w:type="dxa"/>
            <w:tcBorders>
              <w:top w:val="single" w:color="auto" w:sz="4" w:space="0"/>
              <w:left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送电方案</w:t>
            </w:r>
          </w:p>
        </w:tc>
        <w:tc>
          <w:tcPr>
            <w:tcW w:w="567" w:type="dxa"/>
            <w:tcBorders>
              <w:top w:val="single" w:color="auto" w:sz="4" w:space="0"/>
              <w:left w:val="nil"/>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10</w:t>
            </w:r>
          </w:p>
        </w:tc>
        <w:tc>
          <w:tcPr>
            <w:tcW w:w="11497" w:type="dxa"/>
            <w:tcBorders>
              <w:top w:val="single" w:color="auto" w:sz="4" w:space="0"/>
              <w:left w:val="nil"/>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（1）针对本项目特点对提出外线业扩配套配合方案，针对业扩配套实施、外线接入等提出可行、有效、经济、安全的应对措施。投标人之间横向比较，优得5分，良得3分，中得1分，差0分。</w:t>
            </w:r>
          </w:p>
          <w:p>
            <w:pPr>
              <w:rPr>
                <w:rFonts w:ascii="宋体" w:hAnsi="宋体"/>
                <w:color w:val="auto"/>
                <w:sz w:val="18"/>
                <w:szCs w:val="18"/>
                <w:highlight w:val="none"/>
              </w:rPr>
            </w:pPr>
            <w:r>
              <w:rPr>
                <w:rFonts w:hint="eastAsia" w:ascii="宋体" w:hAnsi="宋体"/>
                <w:color w:val="auto"/>
                <w:sz w:val="18"/>
                <w:szCs w:val="18"/>
                <w:highlight w:val="none"/>
              </w:rPr>
              <w:t>（</w:t>
            </w:r>
            <w:r>
              <w:rPr>
                <w:rFonts w:ascii="宋体" w:hAnsi="宋体"/>
                <w:color w:val="auto"/>
                <w:sz w:val="18"/>
                <w:szCs w:val="18"/>
                <w:highlight w:val="none"/>
              </w:rPr>
              <w:t>2</w:t>
            </w:r>
            <w:r>
              <w:rPr>
                <w:rFonts w:hint="eastAsia" w:ascii="宋体" w:hAnsi="宋体"/>
                <w:color w:val="auto"/>
                <w:sz w:val="18"/>
                <w:szCs w:val="18"/>
                <w:highlight w:val="none"/>
              </w:rPr>
              <w:t>）针对本项目特点对提出的送电方案，认识准确，符合供电部门相关规定，有考虑行业准入等相关的影响因素，并针对重点、难点分析情况，提出可行、有效、经济、安全的处理措施。投标人之间横向比较，优得5分，良得3分，中得1分，差0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18"/>
                <w:szCs w:val="18"/>
                <w:highlight w:val="none"/>
              </w:rPr>
            </w:pPr>
            <w:r>
              <w:rPr>
                <w:rFonts w:hint="eastAsia" w:ascii="宋体" w:hAnsi="宋体"/>
                <w:color w:val="auto"/>
                <w:sz w:val="18"/>
                <w:szCs w:val="18"/>
                <w:highlight w:val="none"/>
              </w:rPr>
              <w:t>运行维护及质保期服务方案</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olor w:val="auto"/>
                <w:sz w:val="18"/>
                <w:szCs w:val="18"/>
                <w:highlight w:val="none"/>
              </w:rPr>
            </w:pPr>
            <w:r>
              <w:rPr>
                <w:rFonts w:hint="eastAsia" w:ascii="宋体" w:hAnsi="宋体"/>
                <w:color w:val="auto"/>
                <w:sz w:val="18"/>
                <w:szCs w:val="18"/>
                <w:highlight w:val="none"/>
              </w:rPr>
              <w:t>10</w:t>
            </w:r>
          </w:p>
        </w:tc>
        <w:tc>
          <w:tcPr>
            <w:tcW w:w="11497" w:type="dxa"/>
            <w:tcBorders>
              <w:top w:val="single" w:color="auto" w:sz="4" w:space="0"/>
              <w:left w:val="nil"/>
              <w:bottom w:val="single" w:color="auto" w:sz="4" w:space="0"/>
              <w:right w:val="single" w:color="auto" w:sz="4" w:space="0"/>
            </w:tcBorders>
            <w:vAlign w:val="center"/>
          </w:tcPr>
          <w:tbl>
            <w:tblPr>
              <w:tblStyle w:val="36"/>
              <w:tblW w:w="0" w:type="auto"/>
              <w:tblInd w:w="0" w:type="dxa"/>
              <w:tblLayout w:type="fixed"/>
              <w:tblCellMar>
                <w:top w:w="0" w:type="dxa"/>
                <w:left w:w="108" w:type="dxa"/>
                <w:bottom w:w="0" w:type="dxa"/>
                <w:right w:w="108" w:type="dxa"/>
              </w:tblCellMar>
            </w:tblPr>
            <w:tblGrid>
              <w:gridCol w:w="11282"/>
            </w:tblGrid>
            <w:tr>
              <w:tblPrEx>
                <w:tblCellMar>
                  <w:top w:w="0" w:type="dxa"/>
                  <w:left w:w="108" w:type="dxa"/>
                  <w:bottom w:w="0" w:type="dxa"/>
                  <w:right w:w="108" w:type="dxa"/>
                </w:tblCellMar>
              </w:tblPrEx>
              <w:trPr>
                <w:trHeight w:val="870" w:hRule="atLeast"/>
              </w:trPr>
              <w:tc>
                <w:tcPr>
                  <w:tcW w:w="11282" w:type="dxa"/>
                  <w:tcBorders>
                    <w:tl2br w:val="nil"/>
                    <w:tr2bl w:val="nil"/>
                  </w:tcBorders>
                </w:tcPr>
                <w:p>
                  <w:pPr>
                    <w:jc w:val="left"/>
                    <w:rPr>
                      <w:rFonts w:ascii="宋体" w:hAnsi="宋体"/>
                      <w:color w:val="auto"/>
                      <w:sz w:val="18"/>
                      <w:highlight w:val="none"/>
                    </w:rPr>
                  </w:pPr>
                  <w:r>
                    <w:rPr>
                      <w:rFonts w:hint="eastAsia" w:ascii="宋体" w:hAnsi="宋体"/>
                      <w:color w:val="auto"/>
                      <w:sz w:val="18"/>
                      <w:highlight w:val="none"/>
                    </w:rPr>
                    <w:t>针对本工程运行维护的特点，在方案中投入符合运行维护要求的持证人员及相关试验设备，同时持有高压电工作业、低压电工作业及电气试验持证人员，</w:t>
                  </w:r>
                  <w:r>
                    <w:rPr>
                      <w:rFonts w:hint="eastAsia" w:ascii="宋体" w:hAnsi="宋体"/>
                      <w:color w:val="auto"/>
                      <w:sz w:val="18"/>
                      <w:szCs w:val="18"/>
                      <w:highlight w:val="none"/>
                    </w:rPr>
                    <w:t>投入总人数横向对比，</w:t>
                  </w:r>
                  <w:r>
                    <w:rPr>
                      <w:rFonts w:hint="eastAsia" w:ascii="宋体" w:hAnsi="宋体"/>
                      <w:color w:val="auto"/>
                      <w:sz w:val="18"/>
                      <w:highlight w:val="none"/>
                    </w:rPr>
                    <w:t xml:space="preserve">有巡检工作方案，对承包范围内的线路设备进行运行维护管理，有突发设备故障的抢修方案，并提出可行、有效、安全的处理措施的，为优，得10分； </w:t>
                  </w:r>
                </w:p>
                <w:p>
                  <w:pPr>
                    <w:jc w:val="left"/>
                    <w:rPr>
                      <w:rFonts w:ascii="宋体" w:hAnsi="宋体"/>
                      <w:color w:val="auto"/>
                      <w:sz w:val="18"/>
                      <w:highlight w:val="none"/>
                    </w:rPr>
                  </w:pPr>
                  <w:r>
                    <w:rPr>
                      <w:rFonts w:hint="eastAsia" w:ascii="宋体" w:hAnsi="宋体"/>
                      <w:color w:val="auto"/>
                      <w:sz w:val="18"/>
                      <w:highlight w:val="none"/>
                    </w:rPr>
                    <w:t>针对本工程运行维护的特点，在方案中投入符合运行维护要求的持证人员及相关试验设备不齐全，同时持有高压电工作业、低压电工作业及电气试验持证人员，</w:t>
                  </w:r>
                  <w:r>
                    <w:rPr>
                      <w:rFonts w:hint="eastAsia" w:ascii="宋体" w:hAnsi="宋体"/>
                      <w:color w:val="auto"/>
                      <w:sz w:val="18"/>
                      <w:szCs w:val="18"/>
                      <w:highlight w:val="none"/>
                    </w:rPr>
                    <w:t>投入总人数横向对比，</w:t>
                  </w:r>
                  <w:r>
                    <w:rPr>
                      <w:rFonts w:hint="eastAsia" w:ascii="宋体" w:hAnsi="宋体"/>
                      <w:color w:val="auto"/>
                      <w:sz w:val="18"/>
                      <w:highlight w:val="none"/>
                    </w:rPr>
                    <w:t xml:space="preserve">巡检工作方案较为完整，对承包范围内的线路设备进行运行维护管理，突发设备故障的抢修方案较为完整，处理措施较为完整的，为良，得5分； </w:t>
                  </w:r>
                </w:p>
                <w:p>
                  <w:pPr>
                    <w:pStyle w:val="10"/>
                    <w:ind w:firstLine="0"/>
                    <w:rPr>
                      <w:rFonts w:ascii="宋体" w:hAnsi="宋体"/>
                      <w:color w:val="auto"/>
                      <w:sz w:val="18"/>
                      <w:szCs w:val="22"/>
                      <w:highlight w:val="none"/>
                    </w:rPr>
                  </w:pPr>
                  <w:r>
                    <w:rPr>
                      <w:rFonts w:hint="eastAsia" w:ascii="宋体" w:hAnsi="宋体"/>
                      <w:color w:val="auto"/>
                      <w:sz w:val="18"/>
                      <w:szCs w:val="22"/>
                      <w:highlight w:val="none"/>
                    </w:rPr>
                    <w:t>针对本工程运行维护的特点，在方案中投入符合运行维护要求的持证人员及相关试验设备不齐全，持有高压电工作业或低压电工作业或电气试验持证人员，投入总人数横向对比，巡检工作方案完整，对承包范围内的线路设备进行运行维护管理，突发设备故障的抢修方案完整，处理措施完整的，为中，得2分；</w:t>
                  </w:r>
                </w:p>
                <w:p>
                  <w:pPr>
                    <w:jc w:val="left"/>
                    <w:rPr>
                      <w:rFonts w:ascii="宋体" w:hAnsi="宋体"/>
                      <w:color w:val="auto"/>
                      <w:sz w:val="18"/>
                      <w:highlight w:val="none"/>
                    </w:rPr>
                  </w:pPr>
                  <w:r>
                    <w:rPr>
                      <w:rFonts w:hint="eastAsia" w:ascii="宋体" w:hAnsi="宋体"/>
                      <w:color w:val="auto"/>
                      <w:sz w:val="18"/>
                      <w:highlight w:val="none"/>
                    </w:rPr>
                    <w:t>针对本工程运行维护的特点，在方案中没有投入符合运行维护要求的持证人员及相关试验设备，无巡检工作方案，对承包范围内的线路设备进行运行维护管理，没有突发设备故障的抢修方案，无处理措施的，为差，得0分。</w:t>
                  </w:r>
                </w:p>
              </w:tc>
            </w:tr>
          </w:tbl>
          <w:p>
            <w:pPr>
              <w:rPr>
                <w:rFonts w:ascii="宋体" w:hAnsi="宋体"/>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6" w:type="dxa"/>
            <w:tcBorders>
              <w:top w:val="single" w:color="auto" w:sz="8" w:space="0"/>
              <w:left w:val="single" w:color="auto" w:sz="8" w:space="0"/>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二</w:t>
            </w:r>
          </w:p>
        </w:tc>
        <w:tc>
          <w:tcPr>
            <w:tcW w:w="1701" w:type="dxa"/>
            <w:tcBorders>
              <w:top w:val="single" w:color="auto" w:sz="8" w:space="0"/>
              <w:left w:val="nil"/>
              <w:bottom w:val="single" w:color="auto" w:sz="4" w:space="0"/>
              <w:right w:val="single" w:color="auto" w:sz="4" w:space="0"/>
            </w:tcBorders>
            <w:vAlign w:val="center"/>
          </w:tcPr>
          <w:p>
            <w:pPr>
              <w:tabs>
                <w:tab w:val="left" w:pos="360"/>
              </w:tabs>
              <w:snapToGrid w:val="0"/>
              <w:rPr>
                <w:rFonts w:cs="宋体"/>
                <w:b/>
                <w:bCs/>
                <w:color w:val="auto"/>
                <w:sz w:val="18"/>
                <w:szCs w:val="18"/>
                <w:highlight w:val="none"/>
              </w:rPr>
            </w:pPr>
            <w:r>
              <w:rPr>
                <w:rFonts w:hint="eastAsia"/>
                <w:b/>
                <w:bCs/>
                <w:color w:val="auto"/>
                <w:sz w:val="18"/>
                <w:szCs w:val="18"/>
                <w:highlight w:val="none"/>
              </w:rPr>
              <w:t>组织架构</w:t>
            </w:r>
          </w:p>
        </w:tc>
        <w:tc>
          <w:tcPr>
            <w:tcW w:w="567"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cs="宋体"/>
                <w:b/>
                <w:bCs/>
                <w:color w:val="auto"/>
                <w:sz w:val="18"/>
                <w:szCs w:val="18"/>
                <w:highlight w:val="none"/>
              </w:rPr>
            </w:pPr>
            <w:r>
              <w:rPr>
                <w:rFonts w:hint="eastAsia" w:cs="宋体"/>
                <w:b/>
                <w:bCs/>
                <w:color w:val="auto"/>
                <w:sz w:val="18"/>
                <w:szCs w:val="18"/>
                <w:highlight w:val="none"/>
              </w:rPr>
              <w:t>20</w:t>
            </w:r>
          </w:p>
        </w:tc>
        <w:tc>
          <w:tcPr>
            <w:tcW w:w="11497" w:type="dxa"/>
            <w:tcBorders>
              <w:top w:val="single" w:color="auto" w:sz="8" w:space="0"/>
              <w:left w:val="nil"/>
              <w:bottom w:val="single" w:color="auto" w:sz="4" w:space="0"/>
              <w:right w:val="single" w:color="auto" w:sz="4" w:space="0"/>
            </w:tcBorders>
            <w:vAlign w:val="center"/>
          </w:tcPr>
          <w:p>
            <w:pPr>
              <w:tabs>
                <w:tab w:val="left" w:pos="360"/>
              </w:tabs>
              <w:snapToGrid w:val="0"/>
              <w:rPr>
                <w:rFonts w:cs="宋体"/>
                <w:bCs/>
                <w:color w:val="auto"/>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2.1</w:t>
            </w:r>
          </w:p>
        </w:tc>
        <w:tc>
          <w:tcPr>
            <w:tcW w:w="1701" w:type="dxa"/>
            <w:tcBorders>
              <w:top w:val="single" w:color="auto" w:sz="4" w:space="0"/>
              <w:left w:val="nil"/>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项目负责人</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1497" w:type="dxa"/>
            <w:tcBorders>
              <w:top w:val="single" w:color="auto" w:sz="4" w:space="0"/>
              <w:left w:val="nil"/>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拟委派的项目负责人具有电力类高级工程师（或以上），得5分，具有电力类中级工程师，得2分；</w:t>
            </w:r>
          </w:p>
          <w:p>
            <w:pPr>
              <w:rPr>
                <w:rFonts w:ascii="宋体" w:hAnsi="宋体"/>
                <w:color w:val="auto"/>
                <w:sz w:val="18"/>
                <w:szCs w:val="18"/>
                <w:highlight w:val="none"/>
              </w:rPr>
            </w:pPr>
            <w:r>
              <w:rPr>
                <w:rFonts w:hint="eastAsia" w:ascii="宋体" w:hAnsi="宋体"/>
                <w:color w:val="auto"/>
                <w:sz w:val="18"/>
                <w:szCs w:val="18"/>
                <w:highlight w:val="none"/>
              </w:rPr>
              <w:t>注：须提供职称证书扫描件，不提供不得分。不满足上述情况的，不满足不得分。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2.2</w:t>
            </w:r>
          </w:p>
        </w:tc>
        <w:tc>
          <w:tcPr>
            <w:tcW w:w="1701"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rPr>
              <w:t>技术负责人</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1497" w:type="dxa"/>
            <w:tcBorders>
              <w:top w:val="single" w:color="auto" w:sz="4" w:space="0"/>
              <w:left w:val="nil"/>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拟委派的技术负责人</w:t>
            </w:r>
            <w:r>
              <w:rPr>
                <w:rFonts w:ascii="宋体" w:hAnsi="宋体"/>
                <w:color w:val="auto"/>
                <w:sz w:val="18"/>
                <w:szCs w:val="18"/>
                <w:highlight w:val="none"/>
              </w:rPr>
              <w:t>具有电力类高级工程师（或以上），得</w:t>
            </w:r>
            <w:r>
              <w:rPr>
                <w:rFonts w:hint="eastAsia" w:ascii="宋体" w:hAnsi="宋体"/>
                <w:color w:val="auto"/>
                <w:sz w:val="18"/>
                <w:szCs w:val="18"/>
                <w:highlight w:val="none"/>
              </w:rPr>
              <w:t>3</w:t>
            </w:r>
            <w:r>
              <w:rPr>
                <w:rFonts w:ascii="宋体" w:hAnsi="宋体"/>
                <w:color w:val="auto"/>
                <w:sz w:val="18"/>
                <w:szCs w:val="18"/>
                <w:highlight w:val="none"/>
              </w:rPr>
              <w:t>分；</w:t>
            </w:r>
          </w:p>
          <w:p>
            <w:pPr>
              <w:pStyle w:val="10"/>
              <w:ind w:firstLine="0"/>
              <w:rPr>
                <w:rFonts w:ascii="Calibri" w:hAnsi="Calibri"/>
                <w:color w:val="auto"/>
                <w:szCs w:val="22"/>
                <w:highlight w:val="none"/>
              </w:rPr>
            </w:pPr>
            <w:r>
              <w:rPr>
                <w:rFonts w:hint="eastAsia" w:ascii="宋体" w:hAnsi="宋体"/>
                <w:color w:val="auto"/>
                <w:sz w:val="18"/>
                <w:szCs w:val="18"/>
                <w:highlight w:val="none"/>
              </w:rPr>
              <w:t>注：须提供职称证书扫描件，不提供不得分。不满足上述情况的，不满足不得分。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2.3</w:t>
            </w:r>
          </w:p>
        </w:tc>
        <w:tc>
          <w:tcPr>
            <w:tcW w:w="170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 w:val="18"/>
                <w:szCs w:val="18"/>
                <w:highlight w:val="none"/>
              </w:rPr>
            </w:pPr>
            <w:r>
              <w:rPr>
                <w:rFonts w:hint="eastAsia" w:ascii="宋体" w:hAnsi="宋体"/>
                <w:color w:val="auto"/>
                <w:sz w:val="18"/>
                <w:szCs w:val="18"/>
                <w:highlight w:val="none"/>
              </w:rPr>
              <w:t>安全负责人</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1497"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auto"/>
                <w:sz w:val="18"/>
                <w:szCs w:val="18"/>
                <w:highlight w:val="none"/>
              </w:rPr>
            </w:pPr>
            <w:r>
              <w:rPr>
                <w:rFonts w:hint="eastAsia" w:ascii="宋体" w:hAnsi="宋体"/>
                <w:color w:val="auto"/>
                <w:sz w:val="18"/>
                <w:szCs w:val="18"/>
                <w:highlight w:val="none"/>
              </w:rPr>
              <w:t>（1）拟委派的安全负责人具备注册安全工程师资格且在有效期内，得2分；</w:t>
            </w:r>
          </w:p>
          <w:p>
            <w:pPr>
              <w:rPr>
                <w:rFonts w:ascii="宋体" w:hAnsi="宋体"/>
                <w:color w:val="auto"/>
                <w:sz w:val="18"/>
                <w:szCs w:val="18"/>
                <w:highlight w:val="none"/>
              </w:rPr>
            </w:pPr>
            <w:r>
              <w:rPr>
                <w:rFonts w:hint="eastAsia" w:ascii="宋体" w:hAnsi="宋体"/>
                <w:color w:val="auto"/>
                <w:sz w:val="18"/>
                <w:szCs w:val="18"/>
                <w:highlight w:val="none"/>
              </w:rPr>
              <w:t>（2）拟委派的安全负责人具有机电类高级工程师（或以上）职称，得2分，具有机电类中级工程师职称，得1分；</w:t>
            </w:r>
          </w:p>
          <w:p>
            <w:pPr>
              <w:rPr>
                <w:color w:val="auto"/>
                <w:highlight w:val="none"/>
              </w:rPr>
            </w:pPr>
            <w:r>
              <w:rPr>
                <w:rFonts w:hint="eastAsia" w:ascii="宋体" w:hAnsi="宋体"/>
                <w:color w:val="auto"/>
                <w:sz w:val="18"/>
                <w:szCs w:val="18"/>
                <w:highlight w:val="none"/>
              </w:rPr>
              <w:t>（3）工作年限25年（不含）以上，得2分，工作年限10-25年，得1分，工作年限1-9年，得0.5分；</w:t>
            </w:r>
          </w:p>
          <w:p>
            <w:pPr>
              <w:rPr>
                <w:rFonts w:ascii="宋体" w:hAnsi="宋体"/>
                <w:color w:val="auto"/>
                <w:sz w:val="18"/>
                <w:szCs w:val="18"/>
                <w:highlight w:val="none"/>
              </w:rPr>
            </w:pPr>
            <w:r>
              <w:rPr>
                <w:rFonts w:hint="eastAsia" w:ascii="宋体" w:hAnsi="宋体"/>
                <w:color w:val="auto"/>
                <w:sz w:val="18"/>
                <w:szCs w:val="18"/>
                <w:highlight w:val="none"/>
              </w:rPr>
              <w:t>注：须提供注册安全工程师资格证书及注册证、职称证书扫描件，不提供不得分；安全负责人与专职安全员为同一人，工作年限以颁发毕业证书日期开始算，需提供毕业证书扫描件，不提供不得分；不满足上述情况的，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2.4</w:t>
            </w:r>
          </w:p>
        </w:tc>
        <w:tc>
          <w:tcPr>
            <w:tcW w:w="1701"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rPr>
              <w:t>造价负责人</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4</w:t>
            </w:r>
          </w:p>
        </w:tc>
        <w:tc>
          <w:tcPr>
            <w:tcW w:w="11497" w:type="dxa"/>
            <w:tcBorders>
              <w:top w:val="single" w:color="auto" w:sz="4" w:space="0"/>
              <w:left w:val="nil"/>
              <w:bottom w:val="single" w:color="auto" w:sz="4" w:space="0"/>
              <w:right w:val="single" w:color="auto" w:sz="4" w:space="0"/>
            </w:tcBorders>
            <w:vAlign w:val="center"/>
          </w:tcPr>
          <w:p>
            <w:pPr>
              <w:rPr>
                <w:rFonts w:hint="eastAsia" w:ascii="宋体" w:hAnsi="宋体" w:cs="Times New Roman"/>
                <w:color w:val="auto"/>
                <w:sz w:val="18"/>
                <w:szCs w:val="18"/>
                <w:highlight w:val="none"/>
              </w:rPr>
            </w:pPr>
            <w:r>
              <w:rPr>
                <w:rFonts w:hint="eastAsia" w:ascii="宋体" w:hAnsi="宋体" w:cs="Times New Roman"/>
                <w:color w:val="auto"/>
                <w:sz w:val="18"/>
                <w:szCs w:val="18"/>
                <w:highlight w:val="none"/>
              </w:rPr>
              <w:t>拟委派的造价负责人具有具备安装工程注册造价工程师（或一级注册造价工程师）资格且在有效期内的，得</w:t>
            </w:r>
            <w:r>
              <w:rPr>
                <w:rFonts w:hint="eastAsia" w:ascii="宋体" w:hAnsi="宋体" w:cs="Times New Roman"/>
                <w:color w:val="auto"/>
                <w:sz w:val="18"/>
                <w:szCs w:val="18"/>
                <w:highlight w:val="none"/>
                <w:lang w:val="en-US" w:eastAsia="zh-CN"/>
              </w:rPr>
              <w:t>4</w:t>
            </w:r>
            <w:r>
              <w:rPr>
                <w:rFonts w:hint="eastAsia" w:ascii="宋体" w:hAnsi="宋体" w:cs="Times New Roman"/>
                <w:color w:val="auto"/>
                <w:sz w:val="18"/>
                <w:szCs w:val="18"/>
                <w:highlight w:val="none"/>
              </w:rPr>
              <w:t>分；</w:t>
            </w:r>
          </w:p>
          <w:p>
            <w:pPr>
              <w:rPr>
                <w:color w:val="auto"/>
                <w:highlight w:val="none"/>
              </w:rPr>
            </w:pPr>
            <w:r>
              <w:rPr>
                <w:rFonts w:hint="eastAsia" w:ascii="宋体" w:hAnsi="宋体" w:cs="Times New Roman"/>
                <w:color w:val="auto"/>
                <w:sz w:val="18"/>
                <w:szCs w:val="18"/>
                <w:highlight w:val="none"/>
              </w:rPr>
              <w:t>注：须提</w:t>
            </w:r>
            <w:r>
              <w:rPr>
                <w:rFonts w:hint="eastAsia" w:ascii="宋体" w:hAnsi="宋体" w:cs="Times New Roman"/>
                <w:color w:val="auto"/>
                <w:sz w:val="18"/>
                <w:szCs w:val="18"/>
                <w:highlight w:val="none"/>
                <w:lang w:val="en-US" w:eastAsia="zh-CN"/>
              </w:rPr>
              <w:t>供</w:t>
            </w:r>
            <w:r>
              <w:rPr>
                <w:rFonts w:hint="eastAsia" w:ascii="宋体" w:hAnsi="宋体" w:cs="Times New Roman"/>
                <w:color w:val="auto"/>
                <w:sz w:val="18"/>
                <w:szCs w:val="18"/>
                <w:highlight w:val="none"/>
              </w:rPr>
              <w:t>造价工程师执业资格证书和造价工程师注册证书扫描件，不提供不得分。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2.5</w:t>
            </w:r>
          </w:p>
        </w:tc>
        <w:tc>
          <w:tcPr>
            <w:tcW w:w="1701"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18"/>
                <w:szCs w:val="18"/>
                <w:highlight w:val="none"/>
              </w:rPr>
            </w:pPr>
            <w:r>
              <w:rPr>
                <w:rFonts w:hint="eastAsia" w:ascii="宋体" w:hAnsi="宋体"/>
                <w:color w:val="auto"/>
                <w:sz w:val="18"/>
                <w:szCs w:val="18"/>
                <w:highlight w:val="none"/>
                <w:lang w:bidi="ar"/>
              </w:rPr>
              <w:t>质量负责人</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1497" w:type="dxa"/>
            <w:tcBorders>
              <w:top w:val="single" w:color="auto" w:sz="4" w:space="0"/>
              <w:left w:val="nil"/>
              <w:bottom w:val="single" w:color="auto" w:sz="4" w:space="0"/>
              <w:right w:val="single" w:color="auto" w:sz="4" w:space="0"/>
            </w:tcBorders>
            <w:vAlign w:val="center"/>
          </w:tcPr>
          <w:p>
            <w:pPr>
              <w:pStyle w:val="124"/>
              <w:numPr>
                <w:ilvl w:val="0"/>
                <w:numId w:val="4"/>
              </w:numP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拟委派的质量负责人具有质量员证或相关培训合格证的，得1分。</w:t>
            </w:r>
          </w:p>
          <w:p>
            <w:pPr>
              <w:pStyle w:val="124"/>
              <w:numPr>
                <w:ilvl w:val="0"/>
                <w:numId w:val="4"/>
              </w:numP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拟委派的质量负责人具有电力类工程师（或以上）职称的，得1分。</w:t>
            </w:r>
          </w:p>
          <w:p>
            <w:pPr>
              <w:widowControl/>
              <w:jc w:val="left"/>
              <w:rPr>
                <w:rFonts w:ascii="宋体" w:hAnsi="宋体"/>
                <w:color w:val="auto"/>
                <w:sz w:val="18"/>
                <w:szCs w:val="18"/>
                <w:highlight w:val="none"/>
              </w:rPr>
            </w:pPr>
            <w:r>
              <w:rPr>
                <w:rFonts w:hint="eastAsia" w:ascii="宋体" w:hAnsi="宋体" w:eastAsia="宋体" w:cs="Times New Roman"/>
                <w:color w:val="auto"/>
                <w:kern w:val="2"/>
                <w:sz w:val="18"/>
                <w:szCs w:val="18"/>
                <w:highlight w:val="none"/>
                <w:lang w:val="en-US" w:eastAsia="zh-CN" w:bidi="ar-SA"/>
              </w:rPr>
              <w:t>注：须提供职称证书扫描件，不提供不得分。不满足上述情况的，不满足不得分。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三</w:t>
            </w:r>
          </w:p>
        </w:tc>
        <w:tc>
          <w:tcPr>
            <w:tcW w:w="1701"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sz w:val="18"/>
                <w:szCs w:val="18"/>
                <w:highlight w:val="none"/>
              </w:rPr>
            </w:pPr>
            <w:r>
              <w:rPr>
                <w:rFonts w:hint="eastAsia"/>
                <w:b/>
                <w:bCs/>
                <w:color w:val="auto"/>
                <w:sz w:val="18"/>
                <w:szCs w:val="18"/>
                <w:highlight w:val="none"/>
              </w:rPr>
              <w:t>企业资信</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color w:val="auto"/>
                <w:sz w:val="18"/>
                <w:szCs w:val="18"/>
                <w:highlight w:val="none"/>
              </w:rPr>
            </w:pPr>
            <w:r>
              <w:rPr>
                <w:rFonts w:hint="eastAsia" w:ascii="宋体" w:hAnsi="宋体" w:cs="宋体"/>
                <w:bCs/>
                <w:color w:val="auto"/>
                <w:sz w:val="18"/>
                <w:szCs w:val="18"/>
                <w:highlight w:val="none"/>
              </w:rPr>
              <w:t>30</w:t>
            </w:r>
          </w:p>
        </w:tc>
        <w:tc>
          <w:tcPr>
            <w:tcW w:w="1149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 w:val="18"/>
                <w:szCs w:val="18"/>
                <w:highlight w:val="none"/>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r>
              <w:rPr>
                <w:rFonts w:hint="eastAsia" w:cs="宋体"/>
                <w:bCs/>
                <w:color w:val="auto"/>
                <w:sz w:val="18"/>
                <w:szCs w:val="18"/>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pPr>
              <w:pStyle w:val="2"/>
              <w:rPr>
                <w:rFonts w:hAnsi="宋体" w:cs="宋体"/>
                <w:color w:val="auto"/>
                <w:sz w:val="18"/>
                <w:szCs w:val="18"/>
                <w:highlight w:val="none"/>
              </w:rPr>
            </w:pPr>
            <w:r>
              <w:rPr>
                <w:rFonts w:hint="eastAsia" w:hAnsi="宋体" w:cs="宋体"/>
                <w:color w:val="auto"/>
                <w:sz w:val="18"/>
                <w:szCs w:val="18"/>
                <w:highlight w:val="none"/>
              </w:rPr>
              <w:t>类似业绩</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c>
          <w:tcPr>
            <w:tcW w:w="11497"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w:t>
            </w:r>
            <w:r>
              <w:rPr>
                <w:rFonts w:hint="eastAsia" w:ascii="宋体" w:hAnsi="宋体" w:cs="宋体"/>
                <w:color w:val="auto"/>
                <w:sz w:val="18"/>
                <w:szCs w:val="18"/>
                <w:highlight w:val="none"/>
              </w:rPr>
              <w:t>20</w:t>
            </w:r>
            <w:r>
              <w:rPr>
                <w:rFonts w:hint="eastAsia" w:ascii="宋体" w:hAnsi="宋体" w:cs="宋体"/>
                <w:color w:val="auto"/>
                <w:sz w:val="18"/>
                <w:szCs w:val="18"/>
                <w:highlight w:val="none"/>
                <w:lang w:val="en-US" w:eastAsia="zh-CN"/>
              </w:rPr>
              <w:t>20</w:t>
            </w:r>
            <w:r>
              <w:rPr>
                <w:rFonts w:hint="eastAsia" w:ascii="宋体" w:hAnsi="宋体" w:cs="宋体"/>
                <w:color w:val="auto"/>
                <w:sz w:val="18"/>
                <w:szCs w:val="18"/>
                <w:highlight w:val="none"/>
              </w:rPr>
              <w:t>年1月1日至今完成过质量合格的类似工程业绩，每项得2分，最多得24分.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r>
              <w:rPr>
                <w:rFonts w:hint="eastAsia" w:cs="宋体"/>
                <w:bCs/>
                <w:color w:val="auto"/>
                <w:sz w:val="18"/>
                <w:szCs w:val="18"/>
                <w:highlight w:val="none"/>
              </w:rPr>
              <w:t>3</w:t>
            </w:r>
            <w:r>
              <w:rPr>
                <w:rFonts w:cs="宋体"/>
                <w:bCs/>
                <w:color w:val="auto"/>
                <w:sz w:val="18"/>
                <w:szCs w:val="18"/>
                <w:highlight w:val="none"/>
              </w:rPr>
              <w:t>.</w:t>
            </w:r>
            <w:r>
              <w:rPr>
                <w:rFonts w:hint="eastAsia" w:cs="宋体"/>
                <w:bCs/>
                <w:color w:val="auto"/>
                <w:sz w:val="18"/>
                <w:szCs w:val="18"/>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color w:val="auto"/>
                <w:sz w:val="18"/>
                <w:szCs w:val="18"/>
                <w:highlight w:val="none"/>
              </w:rPr>
            </w:pPr>
            <w:r>
              <w:rPr>
                <w:rFonts w:hint="eastAsia"/>
                <w:color w:val="auto"/>
                <w:sz w:val="18"/>
                <w:szCs w:val="18"/>
                <w:highlight w:val="none"/>
              </w:rPr>
              <w:t>第三方评价</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 w:val="18"/>
                <w:szCs w:val="18"/>
                <w:highlight w:val="none"/>
              </w:rPr>
            </w:pPr>
            <w:r>
              <w:rPr>
                <w:rFonts w:hint="eastAsia" w:ascii="宋体" w:hAnsi="宋体" w:cs="宋体"/>
                <w:bCs/>
                <w:color w:val="auto"/>
                <w:sz w:val="18"/>
                <w:szCs w:val="18"/>
                <w:highlight w:val="none"/>
              </w:rPr>
              <w:t>6</w:t>
            </w:r>
          </w:p>
        </w:tc>
        <w:tc>
          <w:tcPr>
            <w:tcW w:w="11497" w:type="dxa"/>
            <w:tcBorders>
              <w:top w:val="single" w:color="auto" w:sz="4" w:space="0"/>
              <w:left w:val="nil"/>
              <w:bottom w:val="single" w:color="auto" w:sz="4"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投标人自2015至今（含最近评审年份）被评为纳税信用A级纳税人称号的：</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连续5年或以上被评为纳税信用A级纳税人称号的得6分；</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连续4年被评为纳税信用A级纳税人称号的得5分；</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连续3年被评为纳税信用A级纳税人称号的得4分；</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连续2年被评为纳税信用A级纳税人称号的得2分；</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有1年被评为纳税信用A级纳税人称号的得1分；</w:t>
            </w:r>
          </w:p>
          <w:p>
            <w:pPr>
              <w:numPr>
                <w:ilvl w:val="0"/>
                <w:numId w:val="5"/>
              </w:numPr>
              <w:rPr>
                <w:rFonts w:ascii="宋体" w:hAnsi="宋体" w:cs="宋体"/>
                <w:color w:val="auto"/>
                <w:sz w:val="18"/>
                <w:szCs w:val="18"/>
                <w:highlight w:val="none"/>
              </w:rPr>
            </w:pPr>
            <w:r>
              <w:rPr>
                <w:rFonts w:hint="eastAsia" w:ascii="宋体" w:hAnsi="宋体" w:cs="宋体"/>
                <w:color w:val="auto"/>
                <w:sz w:val="18"/>
                <w:szCs w:val="18"/>
                <w:highlight w:val="none"/>
              </w:rPr>
              <w:t>无得0分。</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left"/>
              <w:rPr>
                <w:bCs/>
                <w:color w:val="auto"/>
                <w:sz w:val="18"/>
                <w:szCs w:val="18"/>
                <w:highlight w:val="none"/>
              </w:rPr>
            </w:pPr>
            <w:r>
              <w:rPr>
                <w:rFonts w:hint="eastAsia"/>
                <w:bCs/>
                <w:color w:val="auto"/>
                <w:sz w:val="18"/>
                <w:szCs w:val="18"/>
                <w:highlight w:val="none"/>
              </w:rPr>
              <w:t>合计</w:t>
            </w:r>
          </w:p>
        </w:tc>
        <w:tc>
          <w:tcPr>
            <w:tcW w:w="567"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cs="宋体"/>
                <w:bCs/>
                <w:color w:val="auto"/>
                <w:sz w:val="18"/>
                <w:szCs w:val="18"/>
                <w:highlight w:val="none"/>
              </w:rPr>
            </w:pPr>
            <w:r>
              <w:rPr>
                <w:rFonts w:cs="宋体"/>
                <w:bCs/>
                <w:color w:val="auto"/>
                <w:sz w:val="18"/>
                <w:szCs w:val="18"/>
                <w:highlight w:val="none"/>
              </w:rPr>
              <w:t>100</w:t>
            </w:r>
          </w:p>
        </w:tc>
        <w:tc>
          <w:tcPr>
            <w:tcW w:w="11497" w:type="dxa"/>
            <w:tcBorders>
              <w:top w:val="single" w:color="auto" w:sz="4" w:space="0"/>
              <w:left w:val="nil"/>
              <w:bottom w:val="single" w:color="auto" w:sz="4" w:space="0"/>
              <w:right w:val="single" w:color="auto" w:sz="4" w:space="0"/>
            </w:tcBorders>
            <w:vAlign w:val="center"/>
          </w:tcPr>
          <w:p>
            <w:pPr>
              <w:snapToGrid w:val="0"/>
              <w:rPr>
                <w:color w:val="auto"/>
                <w:sz w:val="18"/>
                <w:szCs w:val="18"/>
                <w:highlight w:val="none"/>
              </w:rPr>
            </w:pPr>
          </w:p>
        </w:tc>
      </w:tr>
    </w:tbl>
    <w:p>
      <w:pPr>
        <w:snapToGrid w:val="0"/>
        <w:spacing w:line="276" w:lineRule="auto"/>
        <w:ind w:right="512" w:rightChars="244"/>
        <w:rPr>
          <w:color w:val="auto"/>
          <w:sz w:val="18"/>
          <w:szCs w:val="18"/>
          <w:highlight w:val="none"/>
        </w:rPr>
      </w:pPr>
      <w:r>
        <w:rPr>
          <w:rFonts w:hint="eastAsia"/>
          <w:color w:val="auto"/>
          <w:sz w:val="18"/>
          <w:szCs w:val="18"/>
          <w:highlight w:val="none"/>
        </w:rPr>
        <w:t>备注：</w:t>
      </w:r>
    </w:p>
    <w:p>
      <w:pPr>
        <w:adjustRightInd w:val="0"/>
        <w:spacing w:line="276" w:lineRule="auto"/>
        <w:rPr>
          <w:rFonts w:cs="宋体"/>
          <w:color w:val="auto"/>
          <w:sz w:val="18"/>
          <w:szCs w:val="18"/>
          <w:highlight w:val="none"/>
          <w:lang w:bidi="ar"/>
        </w:rPr>
      </w:pPr>
      <w:r>
        <w:rPr>
          <w:rFonts w:hint="eastAsia" w:cs="宋体"/>
          <w:color w:val="auto"/>
          <w:sz w:val="18"/>
          <w:szCs w:val="18"/>
          <w:highlight w:val="none"/>
          <w:lang w:bidi="ar"/>
        </w:rPr>
        <w:t>1、投标人得分为各评委评分去掉一个最高分和一个最低分后的算术平均值（若分数出现小数点时，保留小数点后二位，第三位小数四舍五入）。</w:t>
      </w:r>
    </w:p>
    <w:p>
      <w:pPr>
        <w:snapToGrid w:val="0"/>
        <w:spacing w:line="360" w:lineRule="auto"/>
        <w:ind w:right="512" w:rightChars="244"/>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cs="宋体"/>
          <w:color w:val="auto"/>
          <w:sz w:val="18"/>
          <w:szCs w:val="18"/>
          <w:highlight w:val="none"/>
          <w:lang w:bidi="ar"/>
        </w:rPr>
        <w:t>类似业绩：</w:t>
      </w:r>
      <w:r>
        <w:rPr>
          <w:rFonts w:hint="eastAsia" w:ascii="宋体" w:hAnsi="宋体" w:cs="宋体"/>
          <w:color w:val="auto"/>
          <w:sz w:val="18"/>
          <w:szCs w:val="18"/>
          <w:highlight w:val="none"/>
        </w:rPr>
        <w:t>指</w:t>
      </w:r>
      <w:r>
        <w:rPr>
          <w:rFonts w:hint="eastAsia" w:ascii="宋体" w:hAnsi="宋体" w:cs="宋体"/>
          <w:color w:val="auto"/>
          <w:sz w:val="18"/>
          <w:szCs w:val="18"/>
          <w:highlight w:val="none"/>
        </w:rPr>
        <w:t>20</w:t>
      </w:r>
      <w:r>
        <w:rPr>
          <w:rFonts w:hint="eastAsia" w:ascii="宋体" w:hAnsi="宋体" w:cs="宋体"/>
          <w:color w:val="auto"/>
          <w:sz w:val="18"/>
          <w:szCs w:val="18"/>
          <w:highlight w:val="none"/>
          <w:lang w:val="en-US" w:eastAsia="zh-CN"/>
        </w:rPr>
        <w:t>20</w:t>
      </w:r>
      <w:r>
        <w:rPr>
          <w:rFonts w:hint="eastAsia" w:ascii="宋体" w:hAnsi="宋体" w:cs="宋体"/>
          <w:color w:val="auto"/>
          <w:sz w:val="18"/>
          <w:szCs w:val="18"/>
          <w:highlight w:val="none"/>
        </w:rPr>
        <w:t>年1月1日至今完成的质量合格且电压等级为10kV(或以上)的单项合同金额</w:t>
      </w:r>
      <w:r>
        <w:rPr>
          <w:rFonts w:hint="eastAsia" w:ascii="宋体" w:hAnsi="宋体" w:cs="宋体"/>
          <w:color w:val="auto"/>
          <w:sz w:val="18"/>
          <w:szCs w:val="18"/>
          <w:highlight w:val="none"/>
          <w:lang w:val="en-US" w:eastAsia="zh-CN"/>
        </w:rPr>
        <w:t>9</w:t>
      </w:r>
      <w:r>
        <w:rPr>
          <w:rFonts w:hint="eastAsia" w:ascii="宋体" w:hAnsi="宋体" w:cs="宋体"/>
          <w:color w:val="auto"/>
          <w:sz w:val="18"/>
          <w:szCs w:val="18"/>
          <w:highlight w:val="none"/>
        </w:rPr>
        <w:t>00万元(或以上)电力施工工程业绩。注：单独发包的专业工程业绩，需同时提供中标通知书或免招标的相关证明、施工合同、竣工验收报告扫描件。由总承包单位依法分包的专业工程业绩，需同时提供总承包单位的中标通知书、经业主和总承包单位确认的分包合同、竣工验收报告扫描件。如以上资料不能证明业绩规模的技术指标（指电压等级、金额等）的，须另提供可证明业绩技术指标的其他资料；完成时间以竣工验收时间为准；业绩金额按以下方式认定：</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a、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b、投标单位提供的施工合同（分包合同）扫描件证明材料。（可提供合同关键页，但应至少包括合同封面、合同指标金额规模页、合同盖章页）</w:t>
      </w:r>
    </w:p>
    <w:p>
      <w:pPr>
        <w:snapToGrid w:val="0"/>
        <w:spacing w:line="360" w:lineRule="auto"/>
        <w:ind w:right="512" w:rightChars="244"/>
        <w:rPr>
          <w:color w:val="auto"/>
          <w:sz w:val="18"/>
          <w:szCs w:val="18"/>
          <w:highlight w:val="none"/>
        </w:rPr>
      </w:pPr>
      <w:r>
        <w:rPr>
          <w:rFonts w:hint="eastAsia"/>
          <w:color w:val="auto"/>
          <w:sz w:val="18"/>
          <w:szCs w:val="18"/>
          <w:highlight w:val="none"/>
        </w:rPr>
        <w:t>2、纳税信用情况以“国家税务总局”官网（http://www.chinatax.gov.cn/index.html）查询结果为准，纳税人等级只计算投标人自身（不计算投标人的分公司和子公司）。投标人须提供在上述官网的查询结果网页打印页（不符合条件或无提交上述打印件的不计分）。时间以国家税务总局官网公布的获奖年度（评价年度）为准。</w:t>
      </w:r>
    </w:p>
    <w:p>
      <w:pPr>
        <w:pStyle w:val="124"/>
        <w:rPr>
          <w:color w:val="auto"/>
          <w:highlight w:val="none"/>
        </w:rPr>
      </w:pPr>
      <w:r>
        <w:rPr>
          <w:rFonts w:hint="eastAsia"/>
          <w:color w:val="auto"/>
          <w:sz w:val="18"/>
          <w:szCs w:val="18"/>
          <w:highlight w:val="none"/>
        </w:rPr>
        <w:t>3、</w:t>
      </w:r>
      <w:r>
        <w:rPr>
          <w:rFonts w:hint="eastAsia" w:ascii="宋体" w:hAnsi="宋体" w:cs="宋体"/>
          <w:color w:val="auto"/>
          <w:sz w:val="18"/>
          <w:szCs w:val="18"/>
          <w:highlight w:val="none"/>
        </w:rPr>
        <w:t>拟投入本项目的所有人员不得兼任且须为公司正式员工，提供相关证书扫描件，须提供投标截止日前在投标人近1个月（即202</w:t>
      </w: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月）有效社保证明文件扫描件，若当地政府部门允许企业在疫情期间缓缴社会保险费且投标人未缴纳的，投标人可提供当地政府部门允许缓缴社保的相关文件作为缴纳社保的证明。确定中标人后，招标人将核实后续中标人项目管理部组成人员的社保补缴情况。未提供或提供资料不全的不得分。</w:t>
      </w:r>
    </w:p>
    <w:p>
      <w:pPr>
        <w:rPr>
          <w:rFonts w:ascii="宋体" w:hAnsi="宋体" w:cs="宋体"/>
          <w:color w:val="auto"/>
          <w:sz w:val="18"/>
          <w:szCs w:val="18"/>
          <w:highlight w:val="none"/>
        </w:rPr>
      </w:pPr>
      <w:r>
        <w:rPr>
          <w:rFonts w:hint="eastAsia" w:ascii="宋体" w:hAnsi="宋体" w:cs="宋体"/>
          <w:color w:val="auto"/>
          <w:sz w:val="18"/>
          <w:szCs w:val="18"/>
          <w:highlight w:val="none"/>
        </w:rPr>
        <w:t>评委签名：                                                                                     日期：</w:t>
      </w:r>
    </w:p>
    <w:p>
      <w:pPr>
        <w:rPr>
          <w:color w:val="auto"/>
          <w:szCs w:val="21"/>
          <w:highlight w:val="none"/>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表五（适用于加权平均法）</w:t>
      </w:r>
    </w:p>
    <w:p>
      <w:pPr>
        <w:jc w:val="center"/>
        <w:rPr>
          <w:b/>
          <w:color w:val="auto"/>
          <w:sz w:val="36"/>
          <w:szCs w:val="36"/>
          <w:highlight w:val="none"/>
        </w:rPr>
      </w:pPr>
      <w:r>
        <w:rPr>
          <w:rFonts w:hint="eastAsia"/>
          <w:b/>
          <w:color w:val="auto"/>
          <w:sz w:val="36"/>
          <w:szCs w:val="36"/>
          <w:highlight w:val="none"/>
        </w:rPr>
        <w:t>经济标评分表（权重80%）</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r>
        <w:rPr>
          <w:b/>
          <w:color w:val="auto"/>
          <w:sz w:val="36"/>
          <w:szCs w:val="36"/>
          <w:highlight w:val="none"/>
        </w:rPr>
        <w:br w:type="page"/>
      </w:r>
      <w:r>
        <w:rPr>
          <w:color w:val="auto"/>
          <w:szCs w:val="21"/>
          <w:highlight w:val="none"/>
        </w:rPr>
        <w:t xml:space="preserve"> </w:t>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pStyle w:val="10"/>
              <w:rPr>
                <w:color w:val="auto"/>
                <w:highlight w:val="none"/>
              </w:rPr>
            </w:pPr>
          </w:p>
          <w:p>
            <w:pPr>
              <w:pStyle w:val="10"/>
              <w:rPr>
                <w:color w:val="auto"/>
                <w:highlight w:val="none"/>
              </w:rPr>
            </w:pP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276" w:right="1247" w:bottom="1418" w:left="1134" w:header="851" w:footer="907" w:gutter="0"/>
          <w:cols w:space="425" w:num="1"/>
          <w:titlePg/>
          <w:docGrid w:type="lines" w:linePitch="312" w:charSpace="0"/>
        </w:sectPr>
      </w:pPr>
    </w:p>
    <w:p>
      <w:pPr>
        <w:pStyle w:val="3"/>
        <w:rPr>
          <w:color w:val="auto"/>
          <w:highlight w:val="none"/>
        </w:rPr>
      </w:pPr>
      <w:bookmarkStart w:id="45" w:name="_Toc8251"/>
      <w:bookmarkStart w:id="46" w:name="_Toc21525511"/>
      <w:bookmarkStart w:id="47"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45"/>
      <w:bookmarkEnd w:id="46"/>
      <w:bookmarkEnd w:id="47"/>
    </w:p>
    <w:p>
      <w:pPr>
        <w:rPr>
          <w:color w:val="auto"/>
          <w:sz w:val="24"/>
          <w:szCs w:val="24"/>
          <w:highlight w:val="none"/>
        </w:rPr>
      </w:pPr>
    </w:p>
    <w:p>
      <w:pPr>
        <w:pStyle w:val="5"/>
        <w:spacing w:line="360" w:lineRule="auto"/>
        <w:rPr>
          <w:color w:val="auto"/>
          <w:sz w:val="24"/>
          <w:szCs w:val="24"/>
          <w:highlight w:val="none"/>
        </w:rPr>
      </w:pPr>
      <w:r>
        <w:rPr>
          <w:rFonts w:hint="eastAsia"/>
          <w:color w:val="auto"/>
          <w:sz w:val="24"/>
          <w:szCs w:val="24"/>
          <w:highlight w:val="none"/>
        </w:rPr>
        <w:t>另册。</w:t>
      </w: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48" w:name="_Toc2272567"/>
      <w:bookmarkStart w:id="49" w:name="_Toc21393"/>
      <w:bookmarkStart w:id="50"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48"/>
      <w:bookmarkEnd w:id="49"/>
      <w:bookmarkEnd w:id="50"/>
    </w:p>
    <w:p>
      <w:pPr>
        <w:pStyle w:val="5"/>
        <w:rPr>
          <w:color w:val="auto"/>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autoSpaceDE w:val="0"/>
        <w:autoSpaceDN w:val="0"/>
        <w:adjustRightInd w:val="0"/>
        <w:rPr>
          <w:rFonts w:ascii="宋体" w:hAnsi="宋体" w:cs="宋体"/>
          <w:color w:val="auto"/>
          <w:sz w:val="24"/>
          <w:szCs w:val="24"/>
          <w:highlight w:val="none"/>
        </w:rPr>
      </w:pPr>
    </w:p>
    <w:p>
      <w:pPr>
        <w:pStyle w:val="2"/>
        <w:rPr>
          <w:color w:val="auto"/>
          <w:highlight w:val="none"/>
        </w:rPr>
      </w:pPr>
    </w:p>
    <w:p>
      <w:pPr>
        <w:pStyle w:val="5"/>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color w:val="auto"/>
          <w:highlight w:val="none"/>
        </w:rPr>
        <w:br w:type="page"/>
      </w:r>
      <w:bookmarkStart w:id="51" w:name="_Toc29476911"/>
      <w:bookmarkStart w:id="52" w:name="_Toc62056032"/>
      <w:bookmarkStart w:id="53" w:name="_Toc504722503"/>
      <w:bookmarkStart w:id="54" w:name="_Toc24194"/>
      <w:bookmarkStart w:id="55" w:name="_Toc4489935"/>
      <w:bookmarkStart w:id="56" w:name="_Toc19936"/>
      <w:r>
        <w:rPr>
          <w:rFonts w:hint="eastAsia" w:ascii="宋体" w:hAnsi="宋体"/>
          <w:color w:val="auto"/>
          <w:spacing w:val="4"/>
          <w:kern w:val="0"/>
          <w:sz w:val="24"/>
          <w:szCs w:val="24"/>
          <w:highlight w:val="none"/>
        </w:rPr>
        <w:t>格式一：技术标封面</w:t>
      </w:r>
      <w:bookmarkEnd w:id="51"/>
      <w:bookmarkEnd w:id="52"/>
      <w:bookmarkEnd w:id="53"/>
      <w:bookmarkEnd w:id="54"/>
      <w:bookmarkEnd w:id="55"/>
      <w:bookmarkEnd w:id="56"/>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  【技术投标书（含资格审查文件）】</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57" w:name="_Toc226209002"/>
      <w:bookmarkStart w:id="58" w:name="_Toc337720090"/>
      <w:bookmarkStart w:id="59" w:name="_Toc318924494"/>
      <w:bookmarkStart w:id="60" w:name="_Toc239311745"/>
      <w:bookmarkStart w:id="61" w:name="_Toc239216030"/>
      <w:bookmarkStart w:id="62" w:name="_Toc163337619"/>
      <w:bookmarkStart w:id="63" w:name="_Toc369536769"/>
      <w:bookmarkStart w:id="64" w:name="_Toc352240522"/>
      <w:bookmarkStart w:id="65" w:name="_Toc358370577"/>
      <w:bookmarkStart w:id="66" w:name="_Toc395261098"/>
      <w:bookmarkStart w:id="67" w:name="_Toc484958691"/>
      <w:bookmarkStart w:id="68" w:name="_Toc449308419"/>
      <w:bookmarkStart w:id="69" w:name="_Toc352623420"/>
      <w:bookmarkStart w:id="70" w:name="_Toc464131223"/>
      <w:r>
        <w:rPr>
          <w:rFonts w:hint="eastAsia" w:ascii="宋体" w:hAnsi="宋体"/>
          <w:color w:val="auto"/>
          <w:spacing w:val="4"/>
          <w:kern w:val="0"/>
          <w:sz w:val="30"/>
          <w:szCs w:val="30"/>
          <w:highlight w:val="none"/>
          <w:u w:val="single"/>
        </w:rPr>
        <w:t xml:space="preserve">    （填写投标人单位名称）</w:t>
      </w:r>
      <w:bookmarkEnd w:id="57"/>
      <w:bookmarkEnd w:id="58"/>
      <w:bookmarkEnd w:id="59"/>
      <w:bookmarkEnd w:id="60"/>
      <w:bookmarkEnd w:id="61"/>
      <w:bookmarkEnd w:id="62"/>
      <w:r>
        <w:rPr>
          <w:rFonts w:hint="eastAsia" w:ascii="宋体" w:hAnsi="宋体"/>
          <w:color w:val="auto"/>
          <w:spacing w:val="4"/>
          <w:kern w:val="0"/>
          <w:sz w:val="30"/>
          <w:szCs w:val="30"/>
          <w:highlight w:val="none"/>
          <w:u w:val="single"/>
        </w:rPr>
        <w:t xml:space="preserve">  （</w:t>
      </w:r>
      <w:bookmarkEnd w:id="63"/>
      <w:bookmarkEnd w:id="64"/>
      <w:bookmarkEnd w:id="65"/>
      <w:bookmarkEnd w:id="66"/>
      <w:bookmarkEnd w:id="67"/>
      <w:bookmarkEnd w:id="68"/>
      <w:bookmarkEnd w:id="69"/>
      <w:bookmarkEnd w:id="70"/>
      <w:r>
        <w:rPr>
          <w:rFonts w:hint="eastAsia" w:ascii="宋体" w:hAnsi="宋体"/>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法定代表人或其委托代理人：</w:t>
      </w:r>
      <w:r>
        <w:rPr>
          <w:rFonts w:hint="eastAsia" w:ascii="宋体" w:hAnsi="宋体"/>
          <w:color w:val="auto"/>
          <w:spacing w:val="4"/>
          <w:kern w:val="0"/>
          <w:sz w:val="30"/>
          <w:szCs w:val="30"/>
          <w:highlight w:val="none"/>
          <w:u w:val="single"/>
        </w:rPr>
        <w:t xml:space="preserve">                   （签名或盖章）</w:t>
      </w:r>
    </w:p>
    <w:p>
      <w:pPr>
        <w:ind w:firstLine="924" w:firstLineChars="300"/>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71" w:name="_Toc62056033"/>
      <w:bookmarkStart w:id="72" w:name="_Toc29476912"/>
      <w:bookmarkStart w:id="73" w:name="_Toc13044"/>
      <w:bookmarkStart w:id="74" w:name="_Toc4489936"/>
      <w:r>
        <w:rPr>
          <w:rFonts w:hint="eastAsia" w:ascii="宋体" w:hAnsi="宋体"/>
          <w:color w:val="auto"/>
          <w:spacing w:val="4"/>
          <w:kern w:val="0"/>
          <w:sz w:val="24"/>
          <w:szCs w:val="24"/>
          <w:highlight w:val="none"/>
        </w:rPr>
        <w:t>格式二：广州建设工程施工招标投标书</w:t>
      </w:r>
      <w:bookmarkEnd w:id="71"/>
      <w:bookmarkEnd w:id="72"/>
      <w:bookmarkEnd w:id="73"/>
      <w:bookmarkEnd w:id="74"/>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r>
              <w:rPr>
                <w:rFonts w:ascii="宋体" w:hAnsi="Times New Roman" w:cs="宋体"/>
                <w:b/>
                <w:bCs/>
                <w:color w:val="auto"/>
                <w:sz w:val="24"/>
                <w:szCs w:val="24"/>
                <w:highlight w:val="none"/>
                <w:lang w:val="zh-CN"/>
              </w:rPr>
              <w:t>按现行工程质量验收标准达到一次性竣工验收合格，并符合施工图纸要求和国家、行业有关标准</w:t>
            </w:r>
            <w:r>
              <w:rPr>
                <w:rFonts w:hint="eastAsia" w:ascii="宋体" w:hAnsi="Times New Roman" w:cs="宋体"/>
                <w:b/>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038" w:firstLineChars="846"/>
              <w:rPr>
                <w:rFonts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Times New Roman"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rPr>
          <w:rFonts w:ascii="宋体" w:hAnsi="宋体"/>
          <w:b/>
          <w:snapToGrid w:val="0"/>
          <w:color w:val="auto"/>
          <w:spacing w:val="4"/>
          <w:sz w:val="24"/>
          <w:szCs w:val="24"/>
          <w:highlight w:val="none"/>
        </w:rPr>
      </w:pPr>
      <w:r>
        <w:rPr>
          <w:color w:val="auto"/>
          <w:sz w:val="24"/>
          <w:szCs w:val="24"/>
          <w:highlight w:val="none"/>
        </w:rPr>
        <w:br w:type="page"/>
      </w: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75" w:name="_Toc62056034"/>
      <w:bookmarkStart w:id="76" w:name="_Toc22278"/>
      <w:bookmarkStart w:id="77" w:name="_Toc4489937"/>
      <w:bookmarkStart w:id="78" w:name="_Toc504722505"/>
      <w:bookmarkStart w:id="79" w:name="_Toc5347"/>
      <w:bookmarkStart w:id="80" w:name="_Toc29476913"/>
      <w:r>
        <w:rPr>
          <w:rFonts w:hint="eastAsia" w:ascii="宋体" w:hAnsi="宋体"/>
          <w:color w:val="auto"/>
          <w:spacing w:val="4"/>
          <w:kern w:val="0"/>
          <w:sz w:val="24"/>
          <w:szCs w:val="24"/>
          <w:highlight w:val="none"/>
        </w:rPr>
        <w:t>格式三：投标函</w:t>
      </w:r>
      <w:bookmarkEnd w:id="75"/>
      <w:bookmarkEnd w:id="76"/>
      <w:bookmarkEnd w:id="77"/>
      <w:bookmarkEnd w:id="78"/>
      <w:bookmarkEnd w:id="79"/>
      <w:bookmarkEnd w:id="80"/>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2.我方已详细审核全部招标文件，包括修改文件（如有时）及有关附件。</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9.随同本投标文件，我方已提交人民币</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元的投标担保。如果我方在投标文件有效期内撤回投标文件；或在接到中标通知书后28天内未能或拒绝签订合同协议书；或未能按招标文件要求提交履约担保，你单位有权没收投标保证金，另选中</w:t>
      </w:r>
      <w:bookmarkStart w:id="81" w:name="_Toc484958693"/>
      <w:bookmarkStart w:id="82" w:name="_Toc352240524"/>
      <w:bookmarkStart w:id="83" w:name="_Toc369536771"/>
      <w:bookmarkStart w:id="84" w:name="_Toc291101119"/>
      <w:bookmarkStart w:id="85" w:name="_Toc248650371"/>
      <w:bookmarkStart w:id="86" w:name="_Toc449308421"/>
      <w:bookmarkStart w:id="87" w:name="_Toc352623422"/>
      <w:bookmarkStart w:id="88" w:name="_Toc254961556"/>
      <w:bookmarkStart w:id="89" w:name="_Toc464131225"/>
      <w:bookmarkStart w:id="90" w:name="_Toc395261100"/>
      <w:bookmarkStart w:id="91" w:name="_Toc337720092"/>
      <w:bookmarkStart w:id="92" w:name="_Toc358370579"/>
      <w:bookmarkStart w:id="93" w:name="_Toc226209004"/>
      <w:r>
        <w:rPr>
          <w:rFonts w:hint="eastAsia" w:ascii="宋体" w:hAnsi="宋体"/>
          <w:color w:val="auto"/>
          <w:spacing w:val="4"/>
          <w:kern w:val="0"/>
          <w:sz w:val="24"/>
          <w:szCs w:val="24"/>
          <w:highlight w:val="none"/>
        </w:rPr>
        <w:t>标单位。</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81"/>
      <w:r>
        <w:rPr>
          <w:rFonts w:hint="eastAsia" w:ascii="宋体" w:hAnsi="宋体"/>
          <w:color w:val="auto"/>
          <w:spacing w:val="4"/>
          <w:kern w:val="0"/>
          <w:sz w:val="24"/>
          <w:szCs w:val="24"/>
          <w:highlight w:val="none"/>
        </w:rPr>
        <w:t>理解</w:t>
      </w:r>
      <w:bookmarkStart w:id="94" w:name="_Toc484958694"/>
      <w:r>
        <w:rPr>
          <w:rFonts w:hint="eastAsia" w:ascii="宋体" w:hAnsi="宋体"/>
          <w:color w:val="auto"/>
          <w:spacing w:val="4"/>
          <w:kern w:val="0"/>
          <w:sz w:val="24"/>
          <w:szCs w:val="24"/>
          <w:highlight w:val="none"/>
        </w:rPr>
        <w:t>，你单位不一</w:t>
      </w:r>
      <w:bookmarkEnd w:id="94"/>
      <w:r>
        <w:rPr>
          <w:rFonts w:hint="eastAsia" w:ascii="宋体" w:hAnsi="宋体"/>
          <w:color w:val="auto"/>
          <w:spacing w:val="4"/>
          <w:kern w:val="0"/>
          <w:sz w:val="24"/>
          <w:szCs w:val="24"/>
          <w:highlight w:val="none"/>
        </w:rPr>
        <w:t>定</w:t>
      </w:r>
      <w:bookmarkStart w:id="95" w:name="_Toc484958695"/>
      <w:r>
        <w:rPr>
          <w:rFonts w:hint="eastAsia" w:ascii="宋体" w:hAnsi="宋体"/>
          <w:color w:val="auto"/>
          <w:spacing w:val="4"/>
          <w:kern w:val="0"/>
          <w:sz w:val="24"/>
          <w:szCs w:val="24"/>
          <w:highlight w:val="none"/>
        </w:rPr>
        <w:t>接受最低</w:t>
      </w:r>
      <w:bookmarkEnd w:id="95"/>
      <w:r>
        <w:rPr>
          <w:rFonts w:hint="eastAsia" w:ascii="宋体" w:hAnsi="宋体"/>
          <w:color w:val="auto"/>
          <w:spacing w:val="4"/>
          <w:kern w:val="0"/>
          <w:sz w:val="24"/>
          <w:szCs w:val="24"/>
          <w:highlight w:val="none"/>
        </w:rPr>
        <w:t>标</w:t>
      </w:r>
      <w:bookmarkStart w:id="96" w:name="_Toc484958696"/>
      <w:r>
        <w:rPr>
          <w:rFonts w:hint="eastAsia" w:ascii="宋体" w:hAnsi="宋体"/>
          <w:color w:val="auto"/>
          <w:spacing w:val="4"/>
          <w:kern w:val="0"/>
          <w:sz w:val="24"/>
          <w:szCs w:val="24"/>
          <w:highlight w:val="none"/>
        </w:rPr>
        <w:t>价的</w:t>
      </w:r>
      <w:bookmarkEnd w:id="96"/>
      <w:r>
        <w:rPr>
          <w:rFonts w:hint="eastAsia" w:ascii="宋体" w:hAnsi="宋体"/>
          <w:color w:val="auto"/>
          <w:spacing w:val="4"/>
          <w:kern w:val="0"/>
          <w:sz w:val="24"/>
          <w:szCs w:val="24"/>
          <w:highlight w:val="none"/>
        </w:rPr>
        <w:t>投</w:t>
      </w:r>
      <w:bookmarkStart w:id="97" w:name="_Toc484958697"/>
      <w:r>
        <w:rPr>
          <w:rFonts w:hint="eastAsia" w:ascii="宋体" w:hAnsi="宋体"/>
          <w:color w:val="auto"/>
          <w:spacing w:val="4"/>
          <w:kern w:val="0"/>
          <w:sz w:val="24"/>
          <w:szCs w:val="24"/>
          <w:highlight w:val="none"/>
        </w:rPr>
        <w:t>标或你单位接到的其它任何投标。同</w:t>
      </w:r>
      <w:bookmarkEnd w:id="97"/>
      <w:r>
        <w:rPr>
          <w:rFonts w:hint="eastAsia" w:ascii="宋体" w:hAnsi="宋体"/>
          <w:color w:val="auto"/>
          <w:spacing w:val="4"/>
          <w:kern w:val="0"/>
          <w:sz w:val="24"/>
          <w:szCs w:val="24"/>
          <w:highlight w:val="none"/>
        </w:rPr>
        <w:t>时</w:t>
      </w:r>
      <w:bookmarkStart w:id="98" w:name="_Toc484958698"/>
      <w:r>
        <w:rPr>
          <w:rFonts w:hint="eastAsia" w:ascii="宋体" w:hAnsi="宋体"/>
          <w:color w:val="auto"/>
          <w:spacing w:val="4"/>
          <w:kern w:val="0"/>
          <w:sz w:val="24"/>
          <w:szCs w:val="24"/>
          <w:highlight w:val="none"/>
        </w:rPr>
        <w:t>也理解，你单位不负担我方的任何投</w:t>
      </w:r>
      <w:bookmarkEnd w:id="98"/>
      <w:r>
        <w:rPr>
          <w:rFonts w:hint="eastAsia" w:ascii="宋体" w:hAnsi="宋体"/>
          <w:color w:val="auto"/>
          <w:spacing w:val="4"/>
          <w:kern w:val="0"/>
          <w:sz w:val="24"/>
          <w:szCs w:val="24"/>
          <w:highlight w:val="none"/>
        </w:rPr>
        <w:t>标</w:t>
      </w:r>
      <w:bookmarkStart w:id="99" w:name="_Toc484958699"/>
      <w:r>
        <w:rPr>
          <w:rFonts w:hint="eastAsia" w:ascii="宋体" w:hAnsi="宋体"/>
          <w:color w:val="auto"/>
          <w:spacing w:val="4"/>
          <w:kern w:val="0"/>
          <w:sz w:val="24"/>
          <w:szCs w:val="24"/>
          <w:highlight w:val="none"/>
        </w:rPr>
        <w:t>费用</w:t>
      </w:r>
      <w:bookmarkEnd w:id="99"/>
      <w:bookmarkStart w:id="100" w:name="_Toc48495870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人：（盖章</w:t>
      </w:r>
      <w:bookmarkEnd w:id="10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bookmarkStart w:id="101" w:name="_Toc484958701"/>
      <w:r>
        <w:rPr>
          <w:rFonts w:hint="eastAsia" w:ascii="宋体" w:hAnsi="宋体"/>
          <w:color w:val="auto"/>
          <w:spacing w:val="4"/>
          <w:kern w:val="0"/>
          <w:sz w:val="24"/>
          <w:szCs w:val="24"/>
          <w:highlight w:val="none"/>
        </w:rPr>
        <w:t>法定代表人或授权代理人（签字或盖章）</w:t>
      </w:r>
      <w:bookmarkEnd w:id="101"/>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eastAsia="黑体"/>
          <w:b/>
          <w:color w:val="auto"/>
          <w:spacing w:val="4"/>
          <w:kern w:val="0"/>
          <w:sz w:val="24"/>
          <w:szCs w:val="24"/>
          <w:highlight w:val="none"/>
        </w:rPr>
        <w:br w:type="page"/>
      </w:r>
      <w:bookmarkStart w:id="102" w:name="_Toc20655"/>
      <w:bookmarkStart w:id="103" w:name="_Toc62056035"/>
      <w:bookmarkStart w:id="104" w:name="_Toc504722506"/>
      <w:bookmarkStart w:id="105" w:name="_Toc29476914"/>
      <w:bookmarkStart w:id="106" w:name="_Toc4489938"/>
      <w:bookmarkStart w:id="107" w:name="_Toc21509"/>
      <w:r>
        <w:rPr>
          <w:rFonts w:hint="eastAsia" w:ascii="宋体" w:hAnsi="宋体"/>
          <w:color w:val="auto"/>
          <w:spacing w:val="4"/>
          <w:kern w:val="0"/>
          <w:sz w:val="24"/>
          <w:szCs w:val="24"/>
          <w:highlight w:val="none"/>
        </w:rPr>
        <w:t>格式四：企业相关资料</w:t>
      </w:r>
      <w:bookmarkEnd w:id="102"/>
      <w:bookmarkEnd w:id="103"/>
      <w:bookmarkEnd w:id="104"/>
      <w:bookmarkEnd w:id="105"/>
      <w:bookmarkEnd w:id="106"/>
      <w:bookmarkEnd w:id="107"/>
    </w:p>
    <w:p>
      <w:pPr>
        <w:jc w:val="center"/>
        <w:rPr>
          <w:rFonts w:ascii="宋体" w:hAnsi="宋体"/>
          <w:b/>
          <w:color w:val="auto"/>
          <w:spacing w:val="4"/>
          <w:kern w:val="0"/>
          <w:sz w:val="36"/>
          <w:szCs w:val="32"/>
          <w:highlight w:val="none"/>
        </w:rPr>
      </w:pPr>
      <w:bookmarkStart w:id="108" w:name="_Toc4489940"/>
      <w:bookmarkStart w:id="109" w:name="_Toc4340129"/>
      <w:bookmarkStart w:id="110" w:name="_Toc504722508"/>
      <w:bookmarkStart w:id="111" w:name="_Toc913"/>
      <w:bookmarkStart w:id="112" w:name="_Toc4486072"/>
      <w:bookmarkStart w:id="113" w:name="_Toc4339791"/>
    </w:p>
    <w:p>
      <w:pPr>
        <w:jc w:val="center"/>
        <w:rPr>
          <w:rFonts w:eastAsia="黑体"/>
          <w:snapToGrid w:val="0"/>
          <w:color w:val="auto"/>
          <w:spacing w:val="4"/>
          <w:kern w:val="0"/>
          <w:sz w:val="28"/>
          <w:szCs w:val="28"/>
          <w:highlight w:val="none"/>
        </w:rPr>
      </w:pPr>
      <w:r>
        <w:rPr>
          <w:rFonts w:hint="eastAsia" w:eastAsia="黑体"/>
          <w:snapToGrid w:val="0"/>
          <w:color w:val="auto"/>
          <w:spacing w:val="4"/>
          <w:kern w:val="0"/>
          <w:sz w:val="28"/>
          <w:szCs w:val="28"/>
          <w:highlight w:val="none"/>
        </w:rPr>
        <w:t>1.类似工程业绩表</w:t>
      </w:r>
    </w:p>
    <w:tbl>
      <w:tblPr>
        <w:tblStyle w:val="36"/>
        <w:tblW w:w="99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2205"/>
        <w:gridCol w:w="210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工程名称</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项目地点</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所包含的子项内容</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2" w:type="dxa"/>
          </w:tcPr>
          <w:p>
            <w:pPr>
              <w:jc w:val="left"/>
              <w:rPr>
                <w:color w:val="auto"/>
                <w:szCs w:val="21"/>
                <w:highlight w:val="none"/>
              </w:rPr>
            </w:pPr>
            <w:r>
              <w:rPr>
                <w:rFonts w:hint="eastAsia"/>
                <w:color w:val="auto"/>
                <w:szCs w:val="21"/>
                <w:highlight w:val="none"/>
                <w:lang w:val="en-US" w:eastAsia="zh-CN"/>
              </w:rPr>
              <w:t>中标价</w:t>
            </w:r>
            <w:r>
              <w:rPr>
                <w:rFonts w:hint="eastAsia"/>
                <w:color w:val="auto"/>
                <w:szCs w:val="21"/>
                <w:highlight w:val="none"/>
              </w:rPr>
              <w:t>(人民币：万元)</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竣工日期</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项目经理姓名</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项目监理名称</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12" w:type="dxa"/>
          </w:tcPr>
          <w:p>
            <w:pPr>
              <w:jc w:val="left"/>
              <w:rPr>
                <w:color w:val="auto"/>
                <w:szCs w:val="21"/>
                <w:highlight w:val="none"/>
              </w:rPr>
            </w:pPr>
            <w:r>
              <w:rPr>
                <w:rFonts w:hint="eastAsia"/>
                <w:color w:val="auto"/>
                <w:szCs w:val="21"/>
                <w:highlight w:val="none"/>
              </w:rPr>
              <w:t>项目业主联系地址</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项目业主联系人姓名</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jc w:val="left"/>
              <w:rPr>
                <w:color w:val="auto"/>
                <w:szCs w:val="21"/>
                <w:highlight w:val="none"/>
              </w:rPr>
            </w:pPr>
            <w:r>
              <w:rPr>
                <w:rFonts w:hint="eastAsia"/>
                <w:color w:val="auto"/>
                <w:szCs w:val="21"/>
                <w:highlight w:val="none"/>
              </w:rPr>
              <w:t>项目业主联系电话</w:t>
            </w:r>
          </w:p>
        </w:tc>
        <w:tc>
          <w:tcPr>
            <w:tcW w:w="2205" w:type="dxa"/>
          </w:tcPr>
          <w:p>
            <w:pPr>
              <w:jc w:val="left"/>
              <w:rPr>
                <w:color w:val="auto"/>
                <w:szCs w:val="21"/>
                <w:highlight w:val="none"/>
              </w:rPr>
            </w:pPr>
          </w:p>
        </w:tc>
        <w:tc>
          <w:tcPr>
            <w:tcW w:w="2100" w:type="dxa"/>
          </w:tcPr>
          <w:p>
            <w:pPr>
              <w:jc w:val="left"/>
              <w:rPr>
                <w:color w:val="auto"/>
                <w:szCs w:val="21"/>
                <w:highlight w:val="none"/>
              </w:rPr>
            </w:pPr>
          </w:p>
        </w:tc>
        <w:tc>
          <w:tcPr>
            <w:tcW w:w="1995" w:type="dxa"/>
          </w:tcPr>
          <w:p>
            <w:pPr>
              <w:jc w:val="left"/>
              <w:rPr>
                <w:color w:val="auto"/>
                <w:szCs w:val="21"/>
                <w:highlight w:val="none"/>
              </w:rPr>
            </w:pPr>
          </w:p>
        </w:tc>
      </w:tr>
      <w:bookmarkEnd w:id="108"/>
      <w:bookmarkEnd w:id="109"/>
      <w:bookmarkEnd w:id="110"/>
      <w:bookmarkEnd w:id="111"/>
      <w:bookmarkEnd w:id="112"/>
      <w:bookmarkEnd w:id="113"/>
    </w:tbl>
    <w:p>
      <w:pPr>
        <w:rPr>
          <w:rFonts w:ascii="宋体" w:hAnsi="宋体" w:cs="宋体"/>
          <w:color w:val="auto"/>
          <w:sz w:val="18"/>
          <w:szCs w:val="18"/>
          <w:highlight w:val="none"/>
        </w:rPr>
      </w:pPr>
      <w:bookmarkStart w:id="114" w:name="_Toc4486073"/>
      <w:bookmarkStart w:id="115" w:name="_Toc4339792"/>
      <w:bookmarkStart w:id="116" w:name="_Toc504722509"/>
      <w:bookmarkStart w:id="117" w:name="_Toc4340130"/>
      <w:bookmarkStart w:id="118" w:name="_Toc4489941"/>
      <w:bookmarkStart w:id="119" w:name="_Toc27564"/>
      <w:r>
        <w:rPr>
          <w:rFonts w:hint="eastAsia"/>
          <w:color w:val="auto"/>
          <w:sz w:val="24"/>
          <w:highlight w:val="none"/>
        </w:rPr>
        <w:t>注：</w:t>
      </w:r>
      <w:bookmarkEnd w:id="114"/>
      <w:bookmarkEnd w:id="115"/>
      <w:bookmarkEnd w:id="116"/>
      <w:bookmarkEnd w:id="117"/>
      <w:bookmarkEnd w:id="118"/>
      <w:bookmarkEnd w:id="119"/>
      <w:r>
        <w:rPr>
          <w:rFonts w:hint="eastAsia" w:cs="宋体"/>
          <w:color w:val="auto"/>
          <w:sz w:val="18"/>
          <w:szCs w:val="18"/>
          <w:highlight w:val="none"/>
          <w:lang w:bidi="ar"/>
        </w:rPr>
        <w:t>类似业绩：</w:t>
      </w:r>
      <w:r>
        <w:rPr>
          <w:rFonts w:hint="eastAsia" w:ascii="宋体" w:hAnsi="宋体" w:cs="宋体"/>
          <w:color w:val="auto"/>
          <w:sz w:val="18"/>
          <w:szCs w:val="18"/>
          <w:highlight w:val="none"/>
        </w:rPr>
        <w:t>指2019年1月1日至今完成的质量合格且电压等级为10kV(或以上)的单项合同金额</w:t>
      </w:r>
      <w:r>
        <w:rPr>
          <w:rFonts w:hint="eastAsia" w:ascii="宋体" w:hAnsi="宋体" w:cs="宋体"/>
          <w:color w:val="auto"/>
          <w:sz w:val="18"/>
          <w:szCs w:val="18"/>
          <w:highlight w:val="none"/>
          <w:lang w:val="en-US" w:eastAsia="zh-CN"/>
        </w:rPr>
        <w:t>9</w:t>
      </w:r>
      <w:r>
        <w:rPr>
          <w:rFonts w:hint="eastAsia" w:ascii="宋体" w:hAnsi="宋体" w:cs="宋体"/>
          <w:color w:val="auto"/>
          <w:sz w:val="18"/>
          <w:szCs w:val="18"/>
          <w:highlight w:val="none"/>
        </w:rPr>
        <w:t>00万元(或以上)电力施工工程业绩。单独发包的专业工程业绩，需同时提供中标通知书或免招标的相关证明、施工合同、竣工验收报告或竣工验收证明（至少具有建设单位、设计、施工和监理单位盖章）扫描件。由总承包单位依法分包的专业工程业绩，需同时提供总承包单位的中标通知书、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业绩金额按以下方式认定：</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a、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snapToGrid w:val="0"/>
        <w:spacing w:line="360" w:lineRule="auto"/>
        <w:ind w:right="512" w:rightChars="244"/>
        <w:rPr>
          <w:rFonts w:ascii="宋体" w:hAnsi="宋体"/>
          <w:color w:val="auto"/>
          <w:sz w:val="18"/>
          <w:szCs w:val="18"/>
          <w:highlight w:val="none"/>
        </w:rPr>
      </w:pPr>
      <w:r>
        <w:rPr>
          <w:rFonts w:hint="eastAsia" w:ascii="宋体" w:hAnsi="宋体"/>
          <w:color w:val="auto"/>
          <w:sz w:val="18"/>
          <w:szCs w:val="18"/>
          <w:highlight w:val="none"/>
        </w:rPr>
        <w:t>b、投标单位提供的施工合同（分包合同）扫描件证明材料。（可提供合同关键页，但应至少包括合同封面、合同指标金额规模页、合同盖章页）</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投标人：　　（盖章）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法定代表人或授权代理人(签字或盖章)：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日   期：    年    月    日</w:t>
      </w:r>
    </w:p>
    <w:p>
      <w:pPr>
        <w:pStyle w:val="10"/>
        <w:rPr>
          <w:color w:val="auto"/>
          <w:highlight w:val="none"/>
        </w:rPr>
      </w:pPr>
    </w:p>
    <w:p>
      <w:pPr>
        <w:pStyle w:val="10"/>
        <w:ind w:firstLine="0"/>
        <w:rPr>
          <w:rFonts w:ascii="Calibri" w:hAnsi="Calibri"/>
          <w:color w:val="auto"/>
          <w:sz w:val="24"/>
          <w:szCs w:val="22"/>
          <w:highlight w:val="none"/>
        </w:rPr>
      </w:pPr>
      <w:bookmarkStart w:id="120" w:name="_Toc4340135"/>
      <w:bookmarkStart w:id="121" w:name="_Toc4339797"/>
      <w:bookmarkStart w:id="122" w:name="_Toc4489946"/>
      <w:bookmarkStart w:id="123" w:name="_Toc8019"/>
      <w:r>
        <w:rPr>
          <w:rFonts w:hint="eastAsia"/>
          <w:color w:val="auto"/>
          <w:sz w:val="24"/>
          <w:highlight w:val="none"/>
        </w:rPr>
        <w:t>2.按《技术标详细审查评分表》提供相关证明材料</w:t>
      </w:r>
      <w:r>
        <w:rPr>
          <w:rFonts w:hint="eastAsia" w:ascii="Calibri" w:hAnsi="Calibri"/>
          <w:color w:val="auto"/>
          <w:sz w:val="24"/>
          <w:szCs w:val="22"/>
          <w:highlight w:val="none"/>
        </w:rPr>
        <w:t>；</w:t>
      </w:r>
    </w:p>
    <w:p>
      <w:pPr>
        <w:spacing w:line="360" w:lineRule="auto"/>
        <w:rPr>
          <w:color w:val="auto"/>
          <w:sz w:val="24"/>
          <w:highlight w:val="none"/>
        </w:rPr>
      </w:pPr>
      <w:r>
        <w:rPr>
          <w:rFonts w:hint="eastAsia"/>
          <w:color w:val="auto"/>
          <w:sz w:val="24"/>
          <w:highlight w:val="none"/>
        </w:rPr>
        <w:t>3.其他投标人认为须提交的资料。</w:t>
      </w:r>
    </w:p>
    <w:p>
      <w:pPr>
        <w:outlineLvl w:val="2"/>
        <w:rPr>
          <w:color w:val="auto"/>
          <w:highlight w:val="none"/>
        </w:rPr>
      </w:pPr>
      <w:r>
        <w:rPr>
          <w:color w:val="auto"/>
          <w:highlight w:val="none"/>
        </w:rPr>
        <w:br w:type="page"/>
      </w:r>
      <w:bookmarkStart w:id="124" w:name="_Toc24197"/>
      <w:bookmarkStart w:id="125" w:name="_Toc504722513"/>
      <w:bookmarkStart w:id="126" w:name="_Toc29476915"/>
      <w:bookmarkStart w:id="127" w:name="_Toc62056036"/>
      <w:r>
        <w:rPr>
          <w:rFonts w:hint="eastAsia" w:ascii="宋体" w:hAnsi="宋体"/>
          <w:color w:val="auto"/>
          <w:spacing w:val="4"/>
          <w:kern w:val="0"/>
          <w:sz w:val="24"/>
          <w:szCs w:val="24"/>
          <w:highlight w:val="none"/>
        </w:rPr>
        <w:t>格式五：法定代表人证明书、授权委托书</w:t>
      </w:r>
      <w:bookmarkEnd w:id="120"/>
      <w:bookmarkEnd w:id="121"/>
      <w:bookmarkEnd w:id="122"/>
      <w:bookmarkEnd w:id="123"/>
      <w:bookmarkEnd w:id="124"/>
      <w:bookmarkEnd w:id="125"/>
      <w:bookmarkEnd w:id="126"/>
      <w:bookmarkEnd w:id="127"/>
    </w:p>
    <w:p>
      <w:pPr>
        <w:widowControl/>
        <w:topLinePunct/>
        <w:adjustRightInd w:val="0"/>
        <w:snapToGrid w:val="0"/>
        <w:spacing w:after="200"/>
        <w:jc w:val="center"/>
        <w:rPr>
          <w:rFonts w:ascii="宋体" w:hAnsi="宋体"/>
          <w:color w:val="auto"/>
          <w:spacing w:val="4"/>
          <w:kern w:val="0"/>
          <w:sz w:val="32"/>
          <w:szCs w:val="32"/>
          <w:highlight w:val="none"/>
        </w:rPr>
      </w:pPr>
    </w:p>
    <w:p>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bookmarkEnd w:id="82"/>
    <w:bookmarkEnd w:id="83"/>
    <w:bookmarkEnd w:id="84"/>
    <w:bookmarkEnd w:id="85"/>
    <w:bookmarkEnd w:id="86"/>
    <w:bookmarkEnd w:id="87"/>
    <w:bookmarkEnd w:id="88"/>
    <w:bookmarkEnd w:id="89"/>
    <w:bookmarkEnd w:id="90"/>
    <w:bookmarkEnd w:id="91"/>
    <w:bookmarkEnd w:id="92"/>
    <w:bookmarkEnd w:id="93"/>
    <w:p>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1397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115"/>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5"/>
                              <w:ind w:firstLine="0" w:firstLineChars="0"/>
                              <w:rPr>
                                <w:rFonts w:ascii="宋体" w:hAnsi="宋体"/>
                                <w:szCs w:val="28"/>
                              </w:rPr>
                            </w:pPr>
                            <w:r>
                              <w:rPr>
                                <w:rFonts w:hint="eastAsia" w:ascii="宋体" w:hAnsi="宋体"/>
                                <w:szCs w:val="28"/>
                              </w:rPr>
                              <w:t>特此证明。</w:t>
                            </w:r>
                          </w:p>
                          <w:p>
                            <w:pPr>
                              <w:pStyle w:val="115"/>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　　　　　　　　　　单位：　　　　　　　　　　　（盖章）</w:t>
                            </w:r>
                          </w:p>
                          <w:p>
                            <w:pPr>
                              <w:pStyle w:val="115"/>
                              <w:ind w:firstLine="0" w:firstLineChars="0"/>
                              <w:rPr>
                                <w:rFonts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kyDkI0kCAACYBAAADgAAAAAA&#10;AAABACAAAAAmAQAAZHJzL2Uyb0RvYy54bWxQSwUGAAAAAAYABgBZAQAA4QUAAAAA&#10;">
                <v:fill on="t" focussize="0,0"/>
                <v:stroke color="#000000" miterlimit="8" joinstyle="miter"/>
                <v:imagedata o:title=""/>
                <o:lock v:ext="edit" aspectratio="f"/>
                <v:textbox>
                  <w:txbxContent>
                    <w:p>
                      <w:pPr>
                        <w:pStyle w:val="115"/>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5"/>
                        <w:ind w:firstLine="0" w:firstLineChars="0"/>
                        <w:rPr>
                          <w:rFonts w:ascii="宋体" w:hAnsi="宋体"/>
                          <w:szCs w:val="28"/>
                        </w:rPr>
                      </w:pPr>
                      <w:r>
                        <w:rPr>
                          <w:rFonts w:hint="eastAsia" w:ascii="宋体" w:hAnsi="宋体"/>
                          <w:szCs w:val="28"/>
                        </w:rPr>
                        <w:t>特此证明。</w:t>
                      </w:r>
                    </w:p>
                    <w:p>
                      <w:pPr>
                        <w:pStyle w:val="115"/>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　　　　　　　　　　单位：　　　　　　　　　　　（盖章）</w:t>
                      </w:r>
                    </w:p>
                    <w:p>
                      <w:pPr>
                        <w:pStyle w:val="115"/>
                        <w:ind w:firstLine="0" w:firstLineChars="0"/>
                        <w:rPr>
                          <w:rFonts w:ascii="宋体" w:hAnsi="宋体"/>
                          <w:szCs w:val="28"/>
                        </w:rPr>
                      </w:pPr>
                      <w:r>
                        <w:rPr>
                          <w:rFonts w:hint="eastAsia" w:ascii="宋体" w:hAnsi="宋体"/>
                          <w:szCs w:val="28"/>
                        </w:rPr>
                        <w:t>　　　　　　　　　　　　　　　　　　　　      　    年　  月　　日</w:t>
                      </w:r>
                    </w:p>
                  </w:txbxContent>
                </v:textbox>
                <w10:wrap type="square"/>
              </v:shape>
            </w:pict>
          </mc:Fallback>
        </mc:AlternateContent>
      </w:r>
      <w:r>
        <w:rPr>
          <w:rFonts w:hint="eastAsia"/>
          <w:snapToGrid w:val="0"/>
          <w:color w:val="auto"/>
          <w:spacing w:val="4"/>
          <w:sz w:val="24"/>
          <w:szCs w:val="24"/>
          <w:highlight w:val="none"/>
        </w:rPr>
        <w:t>（　 ）第　号</w:t>
      </w: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889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115"/>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5"/>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5"/>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5"/>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mYxMUkCAACYBAAADgAAAAAA&#10;AAABACAAAAAmAQAAZHJzL2Uyb0RvYy54bWxQSwUGAAAAAAYABgBZAQAA4QUAAAAA&#10;">
                <v:fill on="t" focussize="0,0"/>
                <v:stroke color="#000000" miterlimit="8" joinstyle="miter"/>
                <v:imagedata o:title=""/>
                <o:lock v:ext="edit" aspectratio="f"/>
                <v:textbox>
                  <w:txbxContent>
                    <w:p>
                      <w:pPr>
                        <w:pStyle w:val="115"/>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5"/>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5"/>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5"/>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pPr>
        <w:rPr>
          <w:color w:val="auto"/>
          <w:highlight w:val="none"/>
        </w:rPr>
      </w:pPr>
      <w:bookmarkStart w:id="128" w:name="_Toc4489947"/>
      <w:bookmarkStart w:id="129" w:name="_Toc4486079"/>
      <w:bookmarkStart w:id="130" w:name="_Toc3736"/>
      <w:bookmarkStart w:id="131" w:name="_Toc4340136"/>
      <w:bookmarkStart w:id="132" w:name="_Toc4339798"/>
      <w:r>
        <w:rPr>
          <w:rFonts w:hint="eastAsia"/>
          <w:color w:val="auto"/>
          <w:highlight w:val="none"/>
        </w:rPr>
        <w:t>注：按提供的格式或使用从工商管理部门购买的格式填写。</w:t>
      </w:r>
      <w:bookmarkEnd w:id="128"/>
      <w:bookmarkEnd w:id="129"/>
      <w:bookmarkEnd w:id="130"/>
      <w:bookmarkEnd w:id="131"/>
      <w:bookmarkEnd w:id="132"/>
    </w:p>
    <w:p>
      <w:pPr>
        <w:widowControl/>
        <w:topLinePunct/>
        <w:adjustRightInd w:val="0"/>
        <w:snapToGrid w:val="0"/>
        <w:spacing w:before="156" w:beforeLines="50" w:after="156" w:afterLines="50"/>
        <w:jc w:val="left"/>
        <w:outlineLvl w:val="2"/>
        <w:rPr>
          <w:rFonts w:ascii="宋体" w:hAnsi="宋体"/>
          <w:color w:val="auto"/>
          <w:spacing w:val="4"/>
          <w:kern w:val="0"/>
          <w:sz w:val="24"/>
          <w:szCs w:val="24"/>
          <w:highlight w:val="none"/>
        </w:rPr>
      </w:pPr>
      <w:bookmarkStart w:id="133" w:name="_Toc504722514"/>
      <w:bookmarkStart w:id="134" w:name="_Toc29321"/>
      <w:r>
        <w:rPr>
          <w:rFonts w:ascii="宋体" w:hAnsi="宋体"/>
          <w:color w:val="auto"/>
          <w:spacing w:val="4"/>
          <w:kern w:val="0"/>
          <w:sz w:val="24"/>
          <w:szCs w:val="24"/>
          <w:highlight w:val="none"/>
        </w:rPr>
        <w:br w:type="page"/>
      </w:r>
      <w:bookmarkStart w:id="135" w:name="_Toc4489948"/>
      <w:bookmarkStart w:id="136" w:name="_Toc17217"/>
      <w:bookmarkStart w:id="137" w:name="_Toc62056037"/>
      <w:bookmarkStart w:id="138" w:name="_Toc29476916"/>
      <w:r>
        <w:rPr>
          <w:rFonts w:hint="eastAsia" w:ascii="宋体" w:hAnsi="宋体"/>
          <w:color w:val="auto"/>
          <w:spacing w:val="4"/>
          <w:kern w:val="0"/>
          <w:sz w:val="24"/>
          <w:szCs w:val="24"/>
          <w:highlight w:val="none"/>
        </w:rPr>
        <w:t>格式六：施工组织架构图</w:t>
      </w:r>
      <w:bookmarkEnd w:id="133"/>
      <w:bookmarkEnd w:id="134"/>
      <w:bookmarkEnd w:id="135"/>
      <w:bookmarkEnd w:id="136"/>
      <w:bookmarkEnd w:id="137"/>
      <w:bookmarkEnd w:id="138"/>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施工组织架构图</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1、投标人应结合本工程的类型和特点，科学、合理地设置本项目的施工组织架构；</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bookmarkStart w:id="139" w:name="_Toc484958704"/>
      <w:bookmarkStart w:id="140" w:name="_Toc464131229"/>
      <w:bookmarkStart w:id="141" w:name="_Toc449308425"/>
      <w:r>
        <w:rPr>
          <w:rFonts w:hint="eastAsia" w:ascii="宋体" w:hAnsi="宋体"/>
          <w:color w:val="auto"/>
          <w:spacing w:val="4"/>
          <w:kern w:val="0"/>
          <w:sz w:val="24"/>
          <w:szCs w:val="24"/>
          <w:highlight w:val="none"/>
        </w:rPr>
        <w:t>2、施工组织架构图由投标人</w:t>
      </w:r>
      <w:bookmarkEnd w:id="139"/>
      <w:bookmarkEnd w:id="140"/>
      <w:bookmarkEnd w:id="141"/>
      <w:r>
        <w:rPr>
          <w:rFonts w:hint="eastAsia" w:ascii="宋体" w:hAnsi="宋体"/>
          <w:color w:val="auto"/>
          <w:spacing w:val="4"/>
          <w:kern w:val="0"/>
          <w:sz w:val="24"/>
          <w:szCs w:val="24"/>
          <w:highlight w:val="none"/>
        </w:rPr>
        <w:t>结合招标人对本工程的具体要求自行设定；</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3、可结合自身情况附相关</w:t>
      </w:r>
      <w:r>
        <w:rPr>
          <w:rFonts w:ascii="宋体" w:hAnsi="宋体"/>
          <w:color w:val="auto"/>
          <w:spacing w:val="4"/>
          <w:kern w:val="0"/>
          <w:sz w:val="24"/>
          <w:szCs w:val="24"/>
          <w:highlight w:val="none"/>
        </w:rPr>
        <w:t>辅助说明资料。</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42" w:name="_Toc29476917"/>
      <w:bookmarkStart w:id="143" w:name="_Toc1959"/>
      <w:bookmarkStart w:id="144" w:name="_Toc504722515"/>
      <w:bookmarkStart w:id="145" w:name="_Toc4489949"/>
      <w:bookmarkStart w:id="146" w:name="_Toc13445"/>
      <w:bookmarkStart w:id="147" w:name="_Toc62056038"/>
      <w:r>
        <w:rPr>
          <w:rFonts w:hint="eastAsia" w:ascii="宋体" w:hAnsi="宋体"/>
          <w:color w:val="auto"/>
          <w:spacing w:val="4"/>
          <w:kern w:val="0"/>
          <w:sz w:val="24"/>
          <w:szCs w:val="24"/>
          <w:highlight w:val="none"/>
        </w:rPr>
        <w:t>格式七：</w:t>
      </w:r>
      <w:bookmarkEnd w:id="142"/>
      <w:bookmarkEnd w:id="143"/>
      <w:bookmarkEnd w:id="144"/>
      <w:bookmarkEnd w:id="145"/>
      <w:r>
        <w:rPr>
          <w:rFonts w:hint="eastAsia" w:ascii="宋体" w:hAnsi="宋体"/>
          <w:color w:val="auto"/>
          <w:spacing w:val="4"/>
          <w:kern w:val="0"/>
          <w:sz w:val="24"/>
          <w:szCs w:val="24"/>
          <w:highlight w:val="none"/>
        </w:rPr>
        <w:t>项目经理部组成人员配备表</w:t>
      </w:r>
      <w:bookmarkEnd w:id="146"/>
      <w:bookmarkEnd w:id="147"/>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项目经理部组成人员配备表</w:t>
      </w:r>
    </w:p>
    <w:tbl>
      <w:tblPr>
        <w:tblStyle w:val="36"/>
        <w:tblW w:w="13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170"/>
        <w:gridCol w:w="920"/>
        <w:gridCol w:w="990"/>
        <w:gridCol w:w="670"/>
        <w:gridCol w:w="1580"/>
        <w:gridCol w:w="2283"/>
        <w:gridCol w:w="685"/>
        <w:gridCol w:w="2712"/>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序号</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姓名</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年龄</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职称</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原任职务</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在本项目任职</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身份证</w:t>
            </w:r>
          </w:p>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号码</w:t>
            </w:r>
          </w:p>
        </w:tc>
        <w:tc>
          <w:tcPr>
            <w:tcW w:w="685"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数量</w:t>
            </w:r>
          </w:p>
        </w:tc>
        <w:tc>
          <w:tcPr>
            <w:tcW w:w="2712"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资质情况</w:t>
            </w:r>
          </w:p>
        </w:tc>
        <w:tc>
          <w:tcPr>
            <w:tcW w:w="1576"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rFonts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1</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tabs>
                <w:tab w:val="left" w:pos="2520"/>
              </w:tabs>
              <w:adjustRightInd w:val="0"/>
              <w:snapToGrid w:val="0"/>
              <w:spacing w:line="240" w:lineRule="exact"/>
              <w:jc w:val="center"/>
              <w:rPr>
                <w:rFonts w:ascii="宋体" w:hAnsi="宋体"/>
                <w:color w:val="auto"/>
                <w:sz w:val="20"/>
                <w:szCs w:val="20"/>
                <w:highlight w:val="none"/>
              </w:rPr>
            </w:pPr>
            <w:r>
              <w:rPr>
                <w:rFonts w:hint="eastAsia" w:ascii="宋体" w:hAnsi="宋体" w:cs="宋体"/>
                <w:bCs/>
                <w:color w:val="auto"/>
                <w:kern w:val="44"/>
                <w:sz w:val="20"/>
                <w:szCs w:val="20"/>
                <w:highlight w:val="none"/>
              </w:rPr>
              <w:t>项目负责人</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10"/>
              <w:spacing w:line="240" w:lineRule="exact"/>
              <w:ind w:firstLine="0"/>
              <w:jc w:val="left"/>
              <w:rPr>
                <w:color w:val="auto"/>
                <w:highlight w:val="none"/>
              </w:rPr>
            </w:pPr>
            <w:r>
              <w:rPr>
                <w:rFonts w:hint="eastAsia" w:ascii="宋体" w:hAnsi="宋体"/>
                <w:color w:val="auto"/>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2</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color w:val="auto"/>
                <w:kern w:val="0"/>
                <w:sz w:val="20"/>
                <w:szCs w:val="20"/>
                <w:highlight w:val="none"/>
              </w:rPr>
            </w:pPr>
            <w:r>
              <w:rPr>
                <w:rFonts w:hint="eastAsia" w:ascii="宋体" w:hAnsi="宋体" w:cs="宋体"/>
                <w:bCs/>
                <w:color w:val="auto"/>
                <w:kern w:val="44"/>
                <w:sz w:val="20"/>
                <w:szCs w:val="20"/>
                <w:highlight w:val="none"/>
              </w:rPr>
              <w:t>技术负责人</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tabs>
                <w:tab w:val="left" w:pos="2520"/>
              </w:tabs>
              <w:spacing w:line="240" w:lineRule="exact"/>
              <w:jc w:val="left"/>
              <w:rPr>
                <w:rFonts w:ascii="宋体" w:hAnsi="宋体" w:cs="宋体"/>
                <w:color w:val="auto"/>
                <w:kern w:val="0"/>
                <w:sz w:val="20"/>
                <w:szCs w:val="20"/>
                <w:highlight w:val="none"/>
              </w:rPr>
            </w:pPr>
            <w:r>
              <w:rPr>
                <w:rFonts w:hint="eastAsia" w:ascii="宋体" w:hAnsi="宋体"/>
                <w:color w:val="auto"/>
                <w:sz w:val="20"/>
                <w:szCs w:val="20"/>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3</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color w:val="auto"/>
                <w:kern w:val="0"/>
                <w:sz w:val="20"/>
                <w:szCs w:val="20"/>
                <w:highlight w:val="none"/>
              </w:rPr>
            </w:pPr>
            <w:r>
              <w:rPr>
                <w:rFonts w:hint="eastAsia" w:ascii="宋体" w:hAnsi="宋体" w:cs="宋体"/>
                <w:bCs/>
                <w:color w:val="auto"/>
                <w:kern w:val="44"/>
                <w:sz w:val="20"/>
                <w:szCs w:val="20"/>
                <w:highlight w:val="none"/>
              </w:rPr>
              <w:t>专职安全员</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20"/>
                <w:szCs w:val="20"/>
                <w:highlight w:val="none"/>
              </w:rPr>
            </w:pPr>
            <w:r>
              <w:rPr>
                <w:rFonts w:hint="eastAsia" w:ascii="宋体" w:hAnsi="宋体"/>
                <w:color w:val="auto"/>
                <w:sz w:val="20"/>
                <w:szCs w:val="20"/>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4</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highlight w:val="none"/>
              </w:rPr>
            </w:pPr>
            <w:r>
              <w:rPr>
                <w:rFonts w:hint="eastAsia" w:ascii="宋体" w:hAnsi="宋体"/>
                <w:color w:val="auto"/>
                <w:sz w:val="18"/>
                <w:szCs w:val="18"/>
                <w:highlight w:val="none"/>
              </w:rPr>
              <w:t>质量负责人</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left="-361" w:leftChars="-172" w:firstLine="400" w:firstLineChars="200"/>
              <w:jc w:val="center"/>
              <w:rPr>
                <w:rFonts w:ascii="宋体" w:hAnsi="宋体" w:cs="宋体"/>
                <w:bCs/>
                <w:color w:val="auto"/>
                <w:kern w:val="44"/>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left="-361" w:leftChars="-172" w:firstLine="400" w:firstLineChars="200"/>
              <w:jc w:val="center"/>
              <w:rPr>
                <w:rFonts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40" w:lineRule="exact"/>
              <w:jc w:val="left"/>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5</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0"/>
                <w:highlight w:val="none"/>
              </w:rPr>
            </w:pPr>
            <w:r>
              <w:rPr>
                <w:rFonts w:hint="eastAsia" w:ascii="宋体" w:hAnsi="宋体"/>
                <w:color w:val="auto"/>
                <w:sz w:val="18"/>
                <w:szCs w:val="18"/>
                <w:highlight w:val="none"/>
              </w:rPr>
              <w:t>安全负责人</w:t>
            </w:r>
          </w:p>
        </w:tc>
        <w:tc>
          <w:tcPr>
            <w:tcW w:w="22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left="-361" w:leftChars="-172" w:firstLine="400" w:firstLineChars="200"/>
              <w:jc w:val="center"/>
              <w:rPr>
                <w:rFonts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auto"/>
                <w:kern w:val="0"/>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auto"/>
                <w:kern w:val="0"/>
                <w:highlight w:val="none"/>
              </w:rPr>
            </w:pPr>
            <w:r>
              <w:rPr>
                <w:rFonts w:hint="eastAsia" w:ascii="Times New Roman" w:hAnsi="Times New Roman"/>
                <w:color w:val="auto"/>
                <w:kern w:val="0"/>
                <w:highlight w:val="none"/>
              </w:rPr>
              <w:t>6</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jc w:val="center"/>
              <w:rPr>
                <w:rFonts w:ascii="宋体" w:hAnsi="宋体" w:cs="宋体"/>
                <w:bCs/>
                <w:color w:val="auto"/>
                <w:kern w:val="44"/>
                <w:sz w:val="20"/>
                <w:szCs w:val="20"/>
                <w:highlight w:val="none"/>
              </w:rPr>
            </w:pPr>
            <w:r>
              <w:rPr>
                <w:rFonts w:hint="eastAsia" w:ascii="宋体" w:hAnsi="宋体" w:cs="宋体"/>
                <w:color w:val="auto"/>
                <w:szCs w:val="21"/>
                <w:highlight w:val="none"/>
              </w:rPr>
              <w:t>造价负责人</w:t>
            </w:r>
          </w:p>
        </w:tc>
        <w:tc>
          <w:tcPr>
            <w:tcW w:w="22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left="-361" w:leftChars="-172" w:firstLine="400" w:firstLineChars="200"/>
              <w:jc w:val="center"/>
              <w:rPr>
                <w:rFonts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olor w:val="auto"/>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宋体" w:hAnsi="宋体"/>
                <w:color w:val="auto"/>
                <w:sz w:val="20"/>
                <w:szCs w:val="20"/>
                <w:highlight w:val="none"/>
              </w:rPr>
            </w:pPr>
          </w:p>
        </w:tc>
      </w:tr>
    </w:tbl>
    <w:p>
      <w:pPr>
        <w:widowControl/>
        <w:topLinePunct/>
        <w:adjustRightInd w:val="0"/>
        <w:snapToGrid w:val="0"/>
        <w:jc w:val="left"/>
        <w:rPr>
          <w:rFonts w:ascii="宋体" w:hAnsi="宋体" w:cs="宋体"/>
          <w:bCs/>
          <w:color w:val="auto"/>
          <w:highlight w:val="none"/>
        </w:rPr>
      </w:pPr>
      <w:r>
        <w:rPr>
          <w:rFonts w:hint="eastAsia"/>
          <w:snapToGrid w:val="0"/>
          <w:color w:val="auto"/>
          <w:szCs w:val="21"/>
          <w:highlight w:val="none"/>
        </w:rPr>
        <w:t>注：</w:t>
      </w:r>
      <w:r>
        <w:rPr>
          <w:snapToGrid w:val="0"/>
          <w:color w:val="auto"/>
          <w:szCs w:val="21"/>
          <w:highlight w:val="none"/>
        </w:rPr>
        <w:t xml:space="preserve"> </w:t>
      </w:r>
      <w:r>
        <w:rPr>
          <w:rFonts w:ascii="宋体" w:hAnsi="宋体" w:cs="宋体"/>
          <w:bCs/>
          <w:color w:val="auto"/>
          <w:highlight w:val="none"/>
        </w:rPr>
        <w:t>1</w:t>
      </w:r>
      <w:r>
        <w:rPr>
          <w:rFonts w:hint="eastAsia" w:ascii="宋体" w:hAnsi="宋体" w:cs="宋体"/>
          <w:bCs/>
          <w:color w:val="auto"/>
          <w:highlight w:val="none"/>
        </w:rPr>
        <w:t>、本表“投入主要人员”应根据招标文件第四章中“项目经理部组成人员配备表”的要求进行配备。</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2、本表“投入主要人员”须提供的证明文件复印件详见上表备注要求，并按格式八附简历表以及近一个月（202</w:t>
      </w:r>
      <w:r>
        <w:rPr>
          <w:rFonts w:hint="eastAsia" w:ascii="宋体" w:hAnsi="宋体" w:cs="宋体"/>
          <w:bCs/>
          <w:color w:val="auto"/>
          <w:highlight w:val="none"/>
          <w:lang w:val="en-US" w:eastAsia="zh-CN"/>
        </w:rPr>
        <w:t>3</w:t>
      </w:r>
      <w:r>
        <w:rPr>
          <w:rFonts w:hint="eastAsia" w:ascii="宋体" w:hAnsi="宋体" w:cs="宋体"/>
          <w:bCs/>
          <w:color w:val="auto"/>
          <w:highlight w:val="none"/>
        </w:rPr>
        <w:t>年</w:t>
      </w:r>
      <w:r>
        <w:rPr>
          <w:rFonts w:hint="eastAsia" w:ascii="宋体" w:hAnsi="宋体" w:cs="宋体"/>
          <w:bCs/>
          <w:color w:val="auto"/>
          <w:highlight w:val="none"/>
          <w:lang w:val="en-US" w:eastAsia="zh-CN"/>
        </w:rPr>
        <w:t>2</w:t>
      </w:r>
      <w:r>
        <w:rPr>
          <w:rFonts w:hint="eastAsia" w:ascii="宋体" w:hAnsi="宋体" w:cs="宋体"/>
          <w:bCs/>
          <w:color w:val="auto"/>
          <w:highlight w:val="none"/>
        </w:rPr>
        <w:t>月）社保证明文件复印件，</w:t>
      </w:r>
      <w:r>
        <w:rPr>
          <w:color w:val="auto"/>
          <w:highlight w:val="none"/>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ascii="宋体" w:hAnsi="宋体" w:cs="宋体"/>
          <w:bCs/>
          <w:color w:val="auto"/>
          <w:highlight w:val="none"/>
        </w:rPr>
        <w:t>投入人员工作经验以毕业证毕业时间为准。</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3、本表投标人可根据企业自身及项目实际情况自行增加人员配置。</w:t>
      </w:r>
    </w:p>
    <w:p>
      <w:pPr>
        <w:shd w:val="clear" w:color="auto" w:fill="FFFFFF"/>
        <w:adjustRightInd w:val="0"/>
        <w:ind w:firstLine="525" w:firstLineChars="250"/>
        <w:rPr>
          <w:rFonts w:ascii="宋体" w:hAnsi="宋体" w:cs="宋体"/>
          <w:bCs/>
          <w:color w:val="auto"/>
          <w:highlight w:val="none"/>
        </w:rPr>
      </w:pPr>
      <w:r>
        <w:rPr>
          <w:rFonts w:hint="eastAsia" w:ascii="宋体" w:hAnsi="宋体" w:cs="宋体"/>
          <w:bCs/>
          <w:color w:val="auto"/>
          <w:highlight w:val="none"/>
        </w:rPr>
        <w:t>4、拟投入的项目部人员，未经招标人同意，中标后不得更换，否则按合同约定承担违约责任。</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8362" w:firstLineChars="3372"/>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8362" w:firstLineChars="3372"/>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firstLine="8364" w:firstLineChars="3485"/>
        <w:jc w:val="left"/>
        <w:rPr>
          <w:rFonts w:ascii="宋体" w:hAnsi="宋体"/>
          <w:color w:val="auto"/>
          <w:sz w:val="24"/>
          <w:szCs w:val="24"/>
          <w:highlight w:val="none"/>
        </w:rPr>
      </w:pPr>
      <w:r>
        <w:rPr>
          <w:rFonts w:hint="eastAsia" w:ascii="宋体" w:hAnsi="宋体"/>
          <w:color w:val="auto"/>
          <w:sz w:val="24"/>
          <w:szCs w:val="24"/>
          <w:highlight w:val="none"/>
        </w:rPr>
        <w:t>日   期：    年    月    日</w:t>
      </w:r>
    </w:p>
    <w:p>
      <w:pPr>
        <w:spacing w:line="360" w:lineRule="auto"/>
        <w:jc w:val="center"/>
        <w:rPr>
          <w:rFonts w:ascii="宋体" w:hAnsi="宋体" w:eastAsia="黑体"/>
          <w:color w:val="auto"/>
          <w:spacing w:val="4"/>
          <w:kern w:val="0"/>
          <w:sz w:val="24"/>
          <w:szCs w:val="24"/>
          <w:highlight w:val="none"/>
        </w:rPr>
      </w:pPr>
    </w:p>
    <w:p>
      <w:pPr>
        <w:spacing w:line="360" w:lineRule="auto"/>
        <w:jc w:val="center"/>
        <w:rPr>
          <w:rFonts w:ascii="宋体" w:hAnsi="宋体" w:eastAsia="黑体"/>
          <w:color w:val="auto"/>
          <w:spacing w:val="4"/>
          <w:kern w:val="0"/>
          <w:sz w:val="24"/>
          <w:szCs w:val="24"/>
          <w:highlight w:val="none"/>
        </w:rPr>
        <w:sectPr>
          <w:pgSz w:w="16840" w:h="11907" w:orient="landscape"/>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48" w:name="_Toc4489950"/>
      <w:bookmarkStart w:id="149" w:name="_Toc15808"/>
      <w:bookmarkStart w:id="150" w:name="_Toc29476918"/>
      <w:bookmarkStart w:id="151" w:name="_Toc62056040"/>
      <w:r>
        <w:rPr>
          <w:rFonts w:hint="eastAsia" w:ascii="宋体" w:hAnsi="宋体"/>
          <w:color w:val="auto"/>
          <w:spacing w:val="4"/>
          <w:kern w:val="0"/>
          <w:sz w:val="24"/>
          <w:szCs w:val="24"/>
          <w:highlight w:val="none"/>
        </w:rPr>
        <w:t>格式八：</w:t>
      </w:r>
      <w:bookmarkEnd w:id="148"/>
      <w:r>
        <w:rPr>
          <w:rFonts w:hint="eastAsia" w:ascii="宋体" w:hAnsi="宋体"/>
          <w:color w:val="auto"/>
          <w:spacing w:val="4"/>
          <w:kern w:val="0"/>
          <w:sz w:val="24"/>
          <w:szCs w:val="24"/>
          <w:highlight w:val="none"/>
        </w:rPr>
        <w:t>主要人员简历表</w:t>
      </w:r>
      <w:bookmarkEnd w:id="149"/>
      <w:bookmarkEnd w:id="150"/>
      <w:bookmarkEnd w:id="151"/>
    </w:p>
    <w:p>
      <w:pPr>
        <w:rPr>
          <w:rFonts w:ascii="宋体" w:hAnsi="宋体"/>
          <w:b/>
          <w:color w:val="auto"/>
          <w:spacing w:val="4"/>
          <w:kern w:val="0"/>
          <w:sz w:val="36"/>
          <w:szCs w:val="36"/>
          <w:highlight w:val="none"/>
        </w:rPr>
      </w:pPr>
    </w:p>
    <w:p>
      <w:pPr>
        <w:rPr>
          <w:rFonts w:ascii="宋体" w:hAnsi="宋体"/>
          <w:b/>
          <w:color w:val="auto"/>
          <w:spacing w:val="4"/>
          <w:kern w:val="0"/>
          <w:sz w:val="36"/>
          <w:szCs w:val="36"/>
          <w:highlight w:val="none"/>
        </w:rPr>
      </w:pPr>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36"/>
        <w:tblpPr w:leftFromText="180" w:rightFromText="180" w:vertAnchor="text" w:tblpX="-206"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ascii="宋体" w:hAnsi="宋体"/>
                <w:b/>
                <w:bCs/>
                <w:color w:val="auto"/>
                <w:kern w:val="0"/>
                <w:sz w:val="22"/>
                <w:szCs w:val="21"/>
                <w:highlight w:val="none"/>
                <w:lang w:eastAsia="en-US" w:bidi="en-US"/>
              </w:rPr>
              <w:t>身份证号码</w:t>
            </w:r>
          </w:p>
        </w:tc>
        <w:tc>
          <w:tcPr>
            <w:tcW w:w="7999" w:type="dxa"/>
            <w:gridSpan w:val="10"/>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1701"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182"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1620" w:type="dxa"/>
            <w:gridSpan w:val="2"/>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2126" w:type="dxa"/>
            <w:gridSpan w:val="3"/>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c>
          <w:tcPr>
            <w:tcW w:w="1370"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4503" w:type="dxa"/>
            <w:gridSpan w:val="5"/>
            <w:vAlign w:val="center"/>
          </w:tcPr>
          <w:p>
            <w:pPr>
              <w:keepNext/>
              <w:keepLines/>
              <w:widowControl/>
              <w:spacing w:before="120" w:after="120" w:line="276" w:lineRule="auto"/>
              <w:jc w:val="center"/>
              <w:outlineLvl w:val="0"/>
              <w:rPr>
                <w:rFonts w:ascii="宋体" w:hAnsi="宋体"/>
                <w:b/>
                <w:color w:val="auto"/>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1526"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152" w:name="_Toc239216038"/>
            <w:bookmarkStart w:id="153" w:name="_Toc358370585"/>
            <w:bookmarkStart w:id="154" w:name="_Toc226209010"/>
            <w:bookmarkStart w:id="155" w:name="_Toc352240530"/>
            <w:bookmarkStart w:id="156" w:name="_Toc239311753"/>
            <w:bookmarkStart w:id="157" w:name="_Toc318924502"/>
            <w:bookmarkStart w:id="158" w:name="_Toc369536777"/>
            <w:bookmarkStart w:id="159" w:name="_Toc395261106"/>
            <w:bookmarkStart w:id="160" w:name="_Toc449308427"/>
            <w:bookmarkStart w:id="161" w:name="_Toc337720098"/>
            <w:bookmarkStart w:id="162" w:name="_Toc163337627"/>
            <w:bookmarkStart w:id="163" w:name="_Toc352623428"/>
            <w:r>
              <w:rPr>
                <w:rFonts w:hint="eastAsia" w:ascii="宋体" w:hAnsi="宋体"/>
                <w:b/>
                <w:color w:val="auto"/>
                <w:kern w:val="0"/>
                <w:sz w:val="24"/>
                <w:szCs w:val="24"/>
                <w:highlight w:val="none"/>
                <w:lang w:eastAsia="en-US" w:bidi="en-US"/>
              </w:rPr>
              <w:t>格证书号</w:t>
            </w:r>
          </w:p>
        </w:tc>
        <w:tc>
          <w:tcPr>
            <w:tcW w:w="7999" w:type="dxa"/>
            <w:gridSpan w:val="10"/>
            <w:vAlign w:val="center"/>
          </w:tcPr>
          <w:p>
            <w:pPr>
              <w:keepNext/>
              <w:keepLines/>
              <w:widowControl/>
              <w:topLinePunct/>
              <w:adjustRightInd w:val="0"/>
              <w:snapToGrid w:val="0"/>
              <w:spacing w:before="120" w:after="120" w:line="360" w:lineRule="auto"/>
              <w:jc w:val="center"/>
              <w:outlineLvl w:val="0"/>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pPr>
              <w:widowControl/>
              <w:topLinePunct/>
              <w:adjustRightInd w:val="0"/>
              <w:snapToGrid w:val="0"/>
              <w:spacing w:before="240" w:after="200"/>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152"/>
            <w:bookmarkEnd w:id="153"/>
            <w:bookmarkEnd w:id="154"/>
            <w:bookmarkEnd w:id="155"/>
            <w:bookmarkEnd w:id="156"/>
            <w:bookmarkEnd w:id="157"/>
            <w:bookmarkEnd w:id="158"/>
            <w:bookmarkEnd w:id="159"/>
            <w:bookmarkEnd w:id="160"/>
            <w:bookmarkEnd w:id="161"/>
            <w:bookmarkEnd w:id="162"/>
            <w:bookmarkEnd w:id="163"/>
          </w:p>
        </w:tc>
        <w:tc>
          <w:tcPr>
            <w:tcW w:w="1547"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1549"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1783" w:type="dxa"/>
            <w:gridSpan w:val="2"/>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1547" w:type="dxa"/>
            <w:gridSpan w:val="3"/>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1551" w:type="dxa"/>
            <w:vAlign w:val="center"/>
          </w:tcPr>
          <w:p>
            <w:pPr>
              <w:widowControl/>
              <w:spacing w:after="200" w:line="276" w:lineRule="auto"/>
              <w:jc w:val="center"/>
              <w:rPr>
                <w:rFonts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9"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783" w:type="dxa"/>
            <w:gridSpan w:val="2"/>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47" w:type="dxa"/>
            <w:gridSpan w:val="3"/>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c>
          <w:tcPr>
            <w:tcW w:w="1551" w:type="dxa"/>
            <w:vAlign w:val="center"/>
          </w:tcPr>
          <w:p>
            <w:pPr>
              <w:widowControl/>
              <w:topLinePunct/>
              <w:adjustRightInd w:val="0"/>
              <w:snapToGrid w:val="0"/>
              <w:spacing w:after="200" w:line="360" w:lineRule="auto"/>
              <w:jc w:val="center"/>
              <w:rPr>
                <w:rFonts w:ascii="宋体" w:hAnsi="宋体" w:eastAsia="等线"/>
                <w:snapToGrid w:val="0"/>
                <w:color w:val="auto"/>
                <w:spacing w:val="4"/>
                <w:sz w:val="24"/>
                <w:szCs w:val="24"/>
                <w:highlight w:val="none"/>
                <w:lang w:bidi="en-US"/>
              </w:rPr>
            </w:pPr>
          </w:p>
        </w:tc>
      </w:tr>
    </w:tbl>
    <w:p>
      <w:pPr>
        <w:ind w:firstLine="551" w:firstLineChars="196"/>
        <w:rPr>
          <w:rFonts w:ascii="仿宋" w:hAnsi="仿宋" w:eastAsia="仿宋"/>
          <w:b/>
          <w:bCs/>
          <w:color w:val="auto"/>
          <w:sz w:val="28"/>
          <w:szCs w:val="28"/>
          <w:highlight w:val="none"/>
        </w:rPr>
      </w:pPr>
    </w:p>
    <w:p>
      <w:pPr>
        <w:widowControl/>
        <w:topLinePunct/>
        <w:adjustRightInd w:val="0"/>
        <w:snapToGrid w:val="0"/>
        <w:spacing w:after="200" w:line="360" w:lineRule="auto"/>
        <w:ind w:firstLine="198" w:firstLineChars="8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bookmarkStart w:id="164" w:name="_Toc177015373"/>
      <w:bookmarkStart w:id="165" w:name="_Toc174439519"/>
      <w:bookmarkStart w:id="166" w:name="_Toc4486083"/>
      <w:bookmarkStart w:id="167" w:name="_Toc177015447"/>
      <w:bookmarkStart w:id="168" w:name="_Toc4489951"/>
      <w:bookmarkStart w:id="169" w:name="_Toc182301153"/>
      <w:bookmarkStart w:id="170" w:name="_Toc177015504"/>
      <w:bookmarkStart w:id="171" w:name="_Toc181984153"/>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eastAsia="黑体"/>
          <w:color w:val="auto"/>
          <w:spacing w:val="4"/>
          <w:kern w:val="0"/>
          <w:sz w:val="24"/>
          <w:szCs w:val="24"/>
          <w:highlight w:val="none"/>
        </w:rPr>
        <w:br w:type="page"/>
      </w:r>
      <w:bookmarkStart w:id="172" w:name="_Toc29476919"/>
      <w:bookmarkStart w:id="173" w:name="_Toc62056041"/>
      <w:bookmarkStart w:id="174" w:name="_Toc6313"/>
      <w:r>
        <w:rPr>
          <w:rFonts w:hint="eastAsia" w:ascii="宋体" w:hAnsi="宋体"/>
          <w:color w:val="auto"/>
          <w:spacing w:val="4"/>
          <w:kern w:val="0"/>
          <w:sz w:val="24"/>
          <w:szCs w:val="24"/>
          <w:highlight w:val="none"/>
        </w:rPr>
        <w:t>格式九：</w:t>
      </w:r>
      <w:bookmarkEnd w:id="172"/>
      <w:bookmarkEnd w:id="173"/>
      <w:r>
        <w:rPr>
          <w:rFonts w:hint="eastAsia" w:ascii="宋体" w:hAnsi="宋体"/>
          <w:color w:val="auto"/>
          <w:spacing w:val="4"/>
          <w:kern w:val="0"/>
          <w:sz w:val="24"/>
          <w:szCs w:val="24"/>
          <w:highlight w:val="none"/>
        </w:rPr>
        <w:t>施工组织方案</w:t>
      </w:r>
      <w:bookmarkEnd w:id="174"/>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施工组织方案</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由投标人有针对性的描述，各部分文字直接简炼。</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施工组织方案包括但不限于以下方面内容：</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eastAsia="Times New Roman"/>
          <w:snapToGrid w:val="0"/>
          <w:color w:val="auto"/>
          <w:spacing w:val="4"/>
          <w:sz w:val="24"/>
          <w:szCs w:val="24"/>
          <w:highlight w:val="none"/>
        </w:rPr>
        <w:t>一、施工方案</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eastAsia="Times New Roman"/>
          <w:snapToGrid w:val="0"/>
          <w:color w:val="auto"/>
          <w:spacing w:val="4"/>
          <w:sz w:val="24"/>
          <w:szCs w:val="24"/>
          <w:highlight w:val="none"/>
        </w:rPr>
        <w:t>二、送电方案</w:t>
      </w:r>
    </w:p>
    <w:p>
      <w:pPr>
        <w:widowControl/>
        <w:topLinePunct/>
        <w:adjustRightInd w:val="0"/>
        <w:snapToGrid w:val="0"/>
        <w:spacing w:line="400" w:lineRule="exact"/>
        <w:ind w:firstLine="496" w:firstLineChars="200"/>
        <w:jc w:val="left"/>
        <w:rPr>
          <w:rFonts w:eastAsia="Times New Roman"/>
          <w:snapToGrid w:val="0"/>
          <w:color w:val="auto"/>
          <w:spacing w:val="4"/>
          <w:sz w:val="24"/>
          <w:szCs w:val="24"/>
          <w:highlight w:val="none"/>
        </w:rPr>
      </w:pPr>
      <w:r>
        <w:rPr>
          <w:rFonts w:hint="eastAsia" w:eastAsia="Times New Roman"/>
          <w:snapToGrid w:val="0"/>
          <w:color w:val="auto"/>
          <w:spacing w:val="4"/>
          <w:sz w:val="24"/>
          <w:szCs w:val="24"/>
          <w:highlight w:val="none"/>
        </w:rPr>
        <w:t>三、运行维护及质保期服务方案</w:t>
      </w:r>
    </w:p>
    <w:p>
      <w:pPr>
        <w:widowControl/>
        <w:topLinePunct/>
        <w:adjustRightInd w:val="0"/>
        <w:snapToGrid w:val="0"/>
        <w:ind w:firstLine="496" w:firstLineChars="200"/>
        <w:jc w:val="left"/>
        <w:rPr>
          <w:snapToGrid w:val="0"/>
          <w:color w:val="auto"/>
          <w:spacing w:val="4"/>
          <w:sz w:val="24"/>
          <w:szCs w:val="24"/>
          <w:highlight w:val="none"/>
        </w:rPr>
      </w:pPr>
      <w:r>
        <w:rPr>
          <w:rFonts w:hint="eastAsia"/>
          <w:snapToGrid w:val="0"/>
          <w:color w:val="auto"/>
          <w:spacing w:val="4"/>
          <w:sz w:val="24"/>
          <w:szCs w:val="24"/>
          <w:highlight w:val="none"/>
        </w:rPr>
        <w:t>四、投标人认为还需提供的其它资料</w:t>
      </w:r>
    </w:p>
    <w:p>
      <w:pPr>
        <w:widowControl/>
        <w:topLinePunct/>
        <w:adjustRightInd w:val="0"/>
        <w:snapToGrid w:val="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注：此部分投标文件最后一页必须按下列格式签署盖章。</w:t>
      </w:r>
    </w:p>
    <w:p>
      <w:pPr>
        <w:widowControl/>
        <w:topLinePunct/>
        <w:adjustRightInd w:val="0"/>
        <w:snapToGrid w:val="0"/>
        <w:ind w:firstLine="3596" w:firstLineChars="1450"/>
        <w:jc w:val="left"/>
        <w:rPr>
          <w:rFonts w:eastAsia="Times New Roman"/>
          <w:snapToGrid w:val="0"/>
          <w:color w:val="auto"/>
          <w:spacing w:val="4"/>
          <w:sz w:val="24"/>
          <w:szCs w:val="24"/>
          <w:highlight w:val="none"/>
        </w:rPr>
      </w:pPr>
    </w:p>
    <w:p>
      <w:pPr>
        <w:widowControl/>
        <w:topLinePunct/>
        <w:adjustRightInd w:val="0"/>
        <w:snapToGrid w:val="0"/>
        <w:ind w:firstLine="3596" w:firstLineChars="145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eastAsia="Times New Roman"/>
          <w:b/>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eastAsia="Times New Roman"/>
          <w:snapToGrid w:val="0"/>
          <w:color w:val="auto"/>
          <w:spacing w:val="4"/>
          <w:sz w:val="24"/>
          <w:szCs w:val="24"/>
          <w:highlight w:val="none"/>
        </w:rPr>
        <w:br w:type="page"/>
      </w:r>
      <w:bookmarkStart w:id="175" w:name="_Toc239216045"/>
      <w:bookmarkStart w:id="176" w:name="_Toc163337634"/>
      <w:bookmarkStart w:id="177" w:name="_Toc239311760"/>
      <w:bookmarkStart w:id="178" w:name="_Toc352623434"/>
      <w:bookmarkStart w:id="179" w:name="_Toc318924509"/>
      <w:bookmarkStart w:id="180" w:name="_Toc319444835"/>
      <w:bookmarkStart w:id="181" w:name="_Toc337720104"/>
      <w:bookmarkStart w:id="182" w:name="_Toc352240536"/>
      <w:bookmarkStart w:id="183" w:name="_Toc226209017"/>
      <w:bookmarkStart w:id="184" w:name="_Toc239216041"/>
      <w:bookmarkStart w:id="185" w:name="_Toc226209013"/>
      <w:bookmarkStart w:id="186" w:name="_Toc239311756"/>
      <w:bookmarkStart w:id="187" w:name="_Toc319444831"/>
      <w:bookmarkStart w:id="188" w:name="_Toc163337630"/>
      <w:bookmarkStart w:id="189" w:name="_Toc318924505"/>
      <w:r>
        <w:rPr>
          <w:rFonts w:hint="eastAsia" w:ascii="宋体" w:hAnsi="宋体" w:cs="宋体"/>
          <w:b/>
          <w:snapToGrid w:val="0"/>
          <w:color w:val="auto"/>
          <w:spacing w:val="4"/>
          <w:sz w:val="24"/>
          <w:szCs w:val="24"/>
          <w:highlight w:val="none"/>
        </w:rPr>
        <w:t>附表</w:t>
      </w:r>
      <w:r>
        <w:rPr>
          <w:rFonts w:hint="eastAsia" w:eastAsia="Times New Roman"/>
          <w:b/>
          <w:snapToGrid w:val="0"/>
          <w:color w:val="auto"/>
          <w:spacing w:val="4"/>
          <w:sz w:val="24"/>
          <w:szCs w:val="24"/>
          <w:highlight w:val="none"/>
        </w:rPr>
        <w:t>1</w:t>
      </w:r>
      <w:r>
        <w:rPr>
          <w:rFonts w:hint="eastAsia" w:ascii="宋体" w:hAnsi="宋体" w:cs="宋体"/>
          <w:b/>
          <w:snapToGrid w:val="0"/>
          <w:color w:val="auto"/>
          <w:spacing w:val="4"/>
          <w:sz w:val="24"/>
          <w:szCs w:val="24"/>
          <w:highlight w:val="none"/>
        </w:rPr>
        <w:t>：施工进度计划表</w:t>
      </w:r>
      <w:bookmarkEnd w:id="175"/>
      <w:bookmarkEnd w:id="176"/>
      <w:bookmarkEnd w:id="177"/>
      <w:bookmarkEnd w:id="178"/>
      <w:bookmarkEnd w:id="179"/>
      <w:bookmarkEnd w:id="180"/>
      <w:bookmarkEnd w:id="181"/>
      <w:bookmarkEnd w:id="182"/>
      <w:bookmarkEnd w:id="183"/>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施工进度计划表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工程项目</w:t>
            </w:r>
          </w:p>
        </w:tc>
        <w:tc>
          <w:tcPr>
            <w:tcW w:w="87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工程量</w:t>
            </w:r>
          </w:p>
        </w:tc>
        <w:tc>
          <w:tcPr>
            <w:tcW w:w="72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开工时间</w:t>
            </w:r>
          </w:p>
        </w:tc>
        <w:tc>
          <w:tcPr>
            <w:tcW w:w="77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完工时间</w:t>
            </w:r>
          </w:p>
        </w:tc>
        <w:tc>
          <w:tcPr>
            <w:tcW w:w="4860" w:type="dxa"/>
            <w:gridSpan w:val="9"/>
            <w:vAlign w:val="center"/>
          </w:tcPr>
          <w:p>
            <w:pPr>
              <w:jc w:val="center"/>
              <w:rPr>
                <w:rFonts w:ascii="宋体" w:hAnsi="宋体"/>
                <w:color w:val="auto"/>
                <w:szCs w:val="21"/>
                <w:highlight w:val="none"/>
              </w:rPr>
            </w:pPr>
            <w:r>
              <w:rPr>
                <w:rFonts w:hint="eastAsia" w:ascii="宋体" w:hAnsi="宋体"/>
                <w:color w:val="auto"/>
                <w:szCs w:val="21"/>
                <w:highlight w:val="none"/>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Merge w:val="continue"/>
            <w:vAlign w:val="center"/>
          </w:tcPr>
          <w:p>
            <w:pPr>
              <w:jc w:val="center"/>
              <w:rPr>
                <w:rFonts w:ascii="宋体" w:hAnsi="宋体"/>
                <w:color w:val="auto"/>
                <w:szCs w:val="21"/>
                <w:highlight w:val="none"/>
              </w:rPr>
            </w:pPr>
          </w:p>
        </w:tc>
        <w:tc>
          <w:tcPr>
            <w:tcW w:w="1620" w:type="dxa"/>
            <w:vMerge w:val="continue"/>
            <w:vAlign w:val="center"/>
          </w:tcPr>
          <w:p>
            <w:pPr>
              <w:jc w:val="center"/>
              <w:rPr>
                <w:rFonts w:ascii="宋体" w:hAnsi="宋体"/>
                <w:color w:val="auto"/>
                <w:szCs w:val="21"/>
                <w:highlight w:val="none"/>
              </w:rPr>
            </w:pPr>
          </w:p>
        </w:tc>
        <w:tc>
          <w:tcPr>
            <w:tcW w:w="876" w:type="dxa"/>
            <w:vMerge w:val="continue"/>
            <w:vAlign w:val="center"/>
          </w:tcPr>
          <w:p>
            <w:pPr>
              <w:jc w:val="center"/>
              <w:rPr>
                <w:rFonts w:ascii="宋体" w:hAnsi="宋体"/>
                <w:color w:val="auto"/>
                <w:szCs w:val="21"/>
                <w:highlight w:val="none"/>
              </w:rPr>
            </w:pPr>
          </w:p>
        </w:tc>
        <w:tc>
          <w:tcPr>
            <w:tcW w:w="720" w:type="dxa"/>
            <w:vMerge w:val="continue"/>
            <w:vAlign w:val="center"/>
          </w:tcPr>
          <w:p>
            <w:pPr>
              <w:jc w:val="center"/>
              <w:rPr>
                <w:rFonts w:ascii="宋体" w:hAnsi="宋体"/>
                <w:color w:val="auto"/>
                <w:szCs w:val="21"/>
                <w:highlight w:val="none"/>
              </w:rPr>
            </w:pPr>
          </w:p>
        </w:tc>
        <w:tc>
          <w:tcPr>
            <w:tcW w:w="776" w:type="dxa"/>
            <w:vMerge w:val="continue"/>
            <w:vAlign w:val="center"/>
          </w:tcPr>
          <w:p>
            <w:pPr>
              <w:jc w:val="center"/>
              <w:rPr>
                <w:rFonts w:ascii="宋体" w:hAnsi="宋体"/>
                <w:color w:val="auto"/>
                <w:szCs w:val="21"/>
                <w:highlight w:val="none"/>
              </w:rPr>
            </w:pPr>
          </w:p>
        </w:tc>
        <w:tc>
          <w:tcPr>
            <w:tcW w:w="4860" w:type="dxa"/>
            <w:gridSpan w:val="9"/>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vAlign w:val="center"/>
          </w:tcPr>
          <w:p>
            <w:pPr>
              <w:jc w:val="center"/>
              <w:rPr>
                <w:rFonts w:ascii="宋体" w:hAnsi="宋体"/>
                <w:color w:val="auto"/>
                <w:szCs w:val="21"/>
                <w:highlight w:val="none"/>
              </w:rPr>
            </w:pPr>
          </w:p>
        </w:tc>
        <w:tc>
          <w:tcPr>
            <w:tcW w:w="1620" w:type="dxa"/>
            <w:vMerge w:val="continue"/>
            <w:vAlign w:val="center"/>
          </w:tcPr>
          <w:p>
            <w:pPr>
              <w:jc w:val="center"/>
              <w:rPr>
                <w:rFonts w:ascii="宋体" w:hAnsi="宋体"/>
                <w:color w:val="auto"/>
                <w:szCs w:val="21"/>
                <w:highlight w:val="none"/>
              </w:rPr>
            </w:pPr>
          </w:p>
        </w:tc>
        <w:tc>
          <w:tcPr>
            <w:tcW w:w="876" w:type="dxa"/>
            <w:vMerge w:val="continue"/>
            <w:vAlign w:val="center"/>
          </w:tcPr>
          <w:p>
            <w:pPr>
              <w:jc w:val="center"/>
              <w:rPr>
                <w:rFonts w:ascii="宋体" w:hAnsi="宋体"/>
                <w:color w:val="auto"/>
                <w:szCs w:val="21"/>
                <w:highlight w:val="none"/>
              </w:rPr>
            </w:pPr>
          </w:p>
        </w:tc>
        <w:tc>
          <w:tcPr>
            <w:tcW w:w="720" w:type="dxa"/>
            <w:vMerge w:val="continue"/>
            <w:vAlign w:val="center"/>
          </w:tcPr>
          <w:p>
            <w:pPr>
              <w:jc w:val="center"/>
              <w:rPr>
                <w:rFonts w:ascii="宋体" w:hAnsi="宋体"/>
                <w:color w:val="auto"/>
                <w:szCs w:val="21"/>
                <w:highlight w:val="none"/>
              </w:rPr>
            </w:pPr>
          </w:p>
        </w:tc>
        <w:tc>
          <w:tcPr>
            <w:tcW w:w="776" w:type="dxa"/>
            <w:vMerge w:val="continue"/>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c>
          <w:tcPr>
            <w:tcW w:w="54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w:t>
            </w:r>
          </w:p>
        </w:tc>
        <w:tc>
          <w:tcPr>
            <w:tcW w:w="1620" w:type="dxa"/>
            <w:vAlign w:val="center"/>
          </w:tcPr>
          <w:p>
            <w:pPr>
              <w:jc w:val="left"/>
              <w:rPr>
                <w:rFonts w:ascii="宋体" w:hAnsi="宋体"/>
                <w:color w:val="auto"/>
                <w:sz w:val="18"/>
                <w:szCs w:val="18"/>
                <w:highlight w:val="none"/>
              </w:rPr>
            </w:pPr>
            <w:r>
              <w:rPr>
                <w:rFonts w:hint="eastAsia" w:ascii="宋体" w:hAnsi="宋体"/>
                <w:color w:val="auto"/>
                <w:sz w:val="18"/>
                <w:szCs w:val="18"/>
                <w:highlight w:val="none"/>
              </w:rPr>
              <w:t>施工准备</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2</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3</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4</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5</w:t>
            </w:r>
          </w:p>
        </w:tc>
        <w:tc>
          <w:tcPr>
            <w:tcW w:w="1620" w:type="dxa"/>
            <w:vAlign w:val="center"/>
          </w:tcPr>
          <w:p>
            <w:pPr>
              <w:jc w:val="left"/>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工程</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6</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7</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8</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9</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10</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11</w:t>
            </w:r>
          </w:p>
        </w:tc>
        <w:tc>
          <w:tcPr>
            <w:tcW w:w="1620" w:type="dxa"/>
            <w:vAlign w:val="center"/>
          </w:tcPr>
          <w:p>
            <w:pPr>
              <w:jc w:val="left"/>
              <w:rPr>
                <w:rFonts w:ascii="宋体" w:hAnsi="宋体"/>
                <w:color w:val="auto"/>
                <w:sz w:val="18"/>
                <w:szCs w:val="18"/>
                <w:highlight w:val="none"/>
              </w:rPr>
            </w:pP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8" w:type="dxa"/>
            <w:vAlign w:val="center"/>
          </w:tcPr>
          <w:p>
            <w:pPr>
              <w:jc w:val="left"/>
              <w:rPr>
                <w:rFonts w:ascii="宋体" w:hAnsi="宋体"/>
                <w:color w:val="auto"/>
                <w:szCs w:val="21"/>
                <w:highlight w:val="none"/>
              </w:rPr>
            </w:pPr>
            <w:r>
              <w:rPr>
                <w:rFonts w:hint="eastAsia" w:ascii="宋体" w:hAnsi="宋体"/>
                <w:color w:val="auto"/>
                <w:szCs w:val="21"/>
                <w:highlight w:val="none"/>
              </w:rPr>
              <w:t>12</w:t>
            </w:r>
          </w:p>
        </w:tc>
        <w:tc>
          <w:tcPr>
            <w:tcW w:w="1620" w:type="dxa"/>
            <w:vAlign w:val="center"/>
          </w:tcPr>
          <w:p>
            <w:pPr>
              <w:jc w:val="left"/>
              <w:rPr>
                <w:rFonts w:ascii="宋体" w:hAnsi="宋体"/>
                <w:color w:val="auto"/>
                <w:sz w:val="15"/>
                <w:szCs w:val="24"/>
                <w:highlight w:val="none"/>
              </w:rPr>
            </w:pPr>
            <w:r>
              <w:rPr>
                <w:rFonts w:ascii="宋体" w:hAnsi="宋体"/>
                <w:color w:val="auto"/>
                <w:szCs w:val="24"/>
                <w:highlight w:val="none"/>
              </w:rPr>
              <w:t>……</w:t>
            </w:r>
          </w:p>
        </w:tc>
        <w:tc>
          <w:tcPr>
            <w:tcW w:w="876" w:type="dxa"/>
            <w:vAlign w:val="center"/>
          </w:tcPr>
          <w:p>
            <w:pPr>
              <w:jc w:val="left"/>
              <w:rPr>
                <w:rFonts w:ascii="宋体" w:hAnsi="宋体"/>
                <w:color w:val="auto"/>
                <w:szCs w:val="21"/>
                <w:highlight w:val="none"/>
              </w:rPr>
            </w:pPr>
          </w:p>
        </w:tc>
        <w:tc>
          <w:tcPr>
            <w:tcW w:w="720" w:type="dxa"/>
            <w:vAlign w:val="center"/>
          </w:tcPr>
          <w:p>
            <w:pPr>
              <w:jc w:val="left"/>
              <w:rPr>
                <w:rFonts w:ascii="宋体" w:hAnsi="宋体"/>
                <w:color w:val="auto"/>
                <w:szCs w:val="21"/>
                <w:highlight w:val="none"/>
              </w:rPr>
            </w:pPr>
          </w:p>
        </w:tc>
        <w:tc>
          <w:tcPr>
            <w:tcW w:w="776"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c>
          <w:tcPr>
            <w:tcW w:w="540" w:type="dxa"/>
            <w:vAlign w:val="center"/>
          </w:tcPr>
          <w:p>
            <w:pPr>
              <w:jc w:val="left"/>
              <w:rPr>
                <w:rFonts w:ascii="宋体" w:hAnsi="宋体"/>
                <w:color w:val="auto"/>
                <w:szCs w:val="21"/>
                <w:highlight w:val="none"/>
              </w:rPr>
            </w:pPr>
          </w:p>
        </w:tc>
      </w:tr>
    </w:tbl>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jc w:val="left"/>
        <w:rPr>
          <w:b/>
          <w:snapToGrid w:val="0"/>
          <w:color w:val="auto"/>
          <w:spacing w:val="4"/>
          <w:sz w:val="24"/>
          <w:szCs w:val="24"/>
          <w:highlight w:val="none"/>
        </w:rPr>
      </w:pPr>
      <w:r>
        <w:rPr>
          <w:rFonts w:ascii="黑体" w:hAnsi="宋体" w:eastAsia="黑体"/>
          <w:b/>
          <w:bCs/>
          <w:snapToGrid w:val="0"/>
          <w:color w:val="auto"/>
          <w:spacing w:val="4"/>
          <w:sz w:val="24"/>
          <w:szCs w:val="24"/>
          <w:highlight w:val="none"/>
        </w:rPr>
        <w:br w:type="page"/>
      </w:r>
      <w:bookmarkStart w:id="190" w:name="_Toc6395"/>
      <w:bookmarkStart w:id="191" w:name="_Toc478044846"/>
      <w:bookmarkStart w:id="192" w:name="_Toc9094"/>
      <w:bookmarkStart w:id="193" w:name="_Toc16347"/>
      <w:bookmarkStart w:id="194" w:name="_Toc28233"/>
      <w:bookmarkStart w:id="195" w:name="_Toc19204"/>
      <w:bookmarkStart w:id="196" w:name="_Toc11050"/>
      <w:bookmarkStart w:id="197" w:name="_Toc7013"/>
      <w:bookmarkStart w:id="198" w:name="_Toc15133"/>
      <w:r>
        <w:rPr>
          <w:rFonts w:hint="eastAsia" w:ascii="宋体" w:hAnsi="宋体" w:cs="宋体"/>
          <w:b/>
          <w:snapToGrid w:val="0"/>
          <w:color w:val="auto"/>
          <w:spacing w:val="4"/>
          <w:sz w:val="24"/>
          <w:szCs w:val="24"/>
          <w:highlight w:val="none"/>
        </w:rPr>
        <w:t>附表2：投入劳动力计划表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投入劳动力计划表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440"/>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序号</w:t>
            </w:r>
          </w:p>
        </w:tc>
        <w:tc>
          <w:tcPr>
            <w:tcW w:w="721"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工种</w:t>
            </w:r>
          </w:p>
        </w:tc>
        <w:tc>
          <w:tcPr>
            <w:tcW w:w="1440"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投入总数量</w:t>
            </w:r>
          </w:p>
        </w:tc>
        <w:tc>
          <w:tcPr>
            <w:tcW w:w="6825"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pPr>
              <w:jc w:val="left"/>
              <w:rPr>
                <w:rFonts w:ascii="宋体" w:hAnsi="宋体"/>
                <w:color w:val="auto"/>
                <w:szCs w:val="21"/>
                <w:highlight w:val="none"/>
              </w:rPr>
            </w:pPr>
          </w:p>
        </w:tc>
        <w:tc>
          <w:tcPr>
            <w:tcW w:w="721" w:type="dxa"/>
            <w:vMerge w:val="continue"/>
            <w:vAlign w:val="center"/>
          </w:tcPr>
          <w:p>
            <w:pPr>
              <w:jc w:val="left"/>
              <w:rPr>
                <w:rFonts w:ascii="宋体" w:hAnsi="宋体"/>
                <w:color w:val="auto"/>
                <w:szCs w:val="21"/>
                <w:highlight w:val="none"/>
              </w:rPr>
            </w:pPr>
          </w:p>
        </w:tc>
        <w:tc>
          <w:tcPr>
            <w:tcW w:w="1440" w:type="dxa"/>
            <w:vMerge w:val="continue"/>
            <w:vAlign w:val="center"/>
          </w:tcPr>
          <w:p>
            <w:pPr>
              <w:jc w:val="left"/>
              <w:rPr>
                <w:rFonts w:ascii="宋体" w:hAnsi="宋体"/>
                <w:color w:val="auto"/>
                <w:szCs w:val="21"/>
                <w:highlight w:val="none"/>
              </w:rPr>
            </w:pPr>
          </w:p>
        </w:tc>
        <w:tc>
          <w:tcPr>
            <w:tcW w:w="6825" w:type="dxa"/>
            <w:gridSpan w:val="6"/>
            <w:tcBorders>
              <w:bottom w:val="nil"/>
            </w:tcBorders>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pPr>
              <w:jc w:val="left"/>
              <w:rPr>
                <w:rFonts w:ascii="宋体" w:hAnsi="宋体"/>
                <w:color w:val="auto"/>
                <w:szCs w:val="21"/>
                <w:highlight w:val="none"/>
              </w:rPr>
            </w:pPr>
          </w:p>
        </w:tc>
        <w:tc>
          <w:tcPr>
            <w:tcW w:w="721" w:type="dxa"/>
            <w:vMerge w:val="continue"/>
            <w:vAlign w:val="center"/>
          </w:tcPr>
          <w:p>
            <w:pPr>
              <w:jc w:val="left"/>
              <w:rPr>
                <w:rFonts w:ascii="宋体" w:hAnsi="宋体"/>
                <w:color w:val="auto"/>
                <w:szCs w:val="21"/>
                <w:highlight w:val="none"/>
              </w:rPr>
            </w:pPr>
          </w:p>
        </w:tc>
        <w:tc>
          <w:tcPr>
            <w:tcW w:w="1440" w:type="dxa"/>
            <w:vMerge w:val="continue"/>
            <w:vAlign w:val="center"/>
          </w:tcPr>
          <w:p>
            <w:pPr>
              <w:jc w:val="left"/>
              <w:rPr>
                <w:rFonts w:ascii="宋体" w:hAnsi="宋体"/>
                <w:color w:val="auto"/>
                <w:szCs w:val="21"/>
                <w:highlight w:val="none"/>
              </w:rPr>
            </w:pPr>
          </w:p>
        </w:tc>
        <w:tc>
          <w:tcPr>
            <w:tcW w:w="1137" w:type="dxa"/>
            <w:tcBorders>
              <w:top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7"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7"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c>
          <w:tcPr>
            <w:tcW w:w="1138" w:type="dxa"/>
            <w:vAlign w:val="center"/>
          </w:tcPr>
          <w:p>
            <w:pPr>
              <w:jc w:val="center"/>
              <w:rPr>
                <w:rFonts w:ascii="宋体" w:hAnsi="宋体"/>
                <w:color w:val="auto"/>
                <w:szCs w:val="21"/>
                <w:highlight w:val="none"/>
              </w:rPr>
            </w:pPr>
            <w:r>
              <w:rPr>
                <w:rFonts w:hint="eastAsia" w:ascii="宋体" w:hAnsi="宋体"/>
                <w:color w:val="auto"/>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1</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2</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3</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4</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5</w:t>
            </w:r>
          </w:p>
        </w:tc>
        <w:tc>
          <w:tcPr>
            <w:tcW w:w="721" w:type="dxa"/>
            <w:vAlign w:val="center"/>
          </w:tcPr>
          <w:p>
            <w:pPr>
              <w:jc w:val="left"/>
              <w:rPr>
                <w:rFonts w:ascii="宋体" w:hAnsi="宋体"/>
                <w:color w:val="auto"/>
                <w:szCs w:val="21"/>
                <w:highlight w:val="none"/>
              </w:rPr>
            </w:pP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467" w:type="dxa"/>
            <w:vAlign w:val="center"/>
          </w:tcPr>
          <w:p>
            <w:pPr>
              <w:jc w:val="left"/>
              <w:rPr>
                <w:rFonts w:ascii="宋体" w:hAnsi="宋体"/>
                <w:color w:val="auto"/>
                <w:szCs w:val="21"/>
                <w:highlight w:val="none"/>
              </w:rPr>
            </w:pPr>
            <w:r>
              <w:rPr>
                <w:rFonts w:hint="eastAsia" w:ascii="宋体" w:hAnsi="宋体"/>
                <w:color w:val="auto"/>
                <w:szCs w:val="21"/>
                <w:highlight w:val="none"/>
              </w:rPr>
              <w:t>6</w:t>
            </w:r>
          </w:p>
        </w:tc>
        <w:tc>
          <w:tcPr>
            <w:tcW w:w="721" w:type="dxa"/>
            <w:vAlign w:val="center"/>
          </w:tcPr>
          <w:p>
            <w:pPr>
              <w:jc w:val="left"/>
              <w:rPr>
                <w:rFonts w:ascii="宋体" w:hAnsi="宋体"/>
                <w:color w:val="auto"/>
                <w:szCs w:val="21"/>
                <w:highlight w:val="none"/>
              </w:rPr>
            </w:pPr>
            <w:r>
              <w:rPr>
                <w:rFonts w:hint="eastAsia" w:ascii="宋体" w:hAnsi="宋体"/>
                <w:color w:val="auto"/>
                <w:szCs w:val="21"/>
                <w:highlight w:val="none"/>
              </w:rPr>
              <w:t>…</w:t>
            </w:r>
          </w:p>
        </w:tc>
        <w:tc>
          <w:tcPr>
            <w:tcW w:w="1440"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c>
          <w:tcPr>
            <w:tcW w:w="1137" w:type="dxa"/>
            <w:vAlign w:val="center"/>
          </w:tcPr>
          <w:p>
            <w:pPr>
              <w:jc w:val="left"/>
              <w:rPr>
                <w:rFonts w:ascii="宋体" w:hAnsi="宋体"/>
                <w:color w:val="auto"/>
                <w:szCs w:val="21"/>
                <w:highlight w:val="none"/>
              </w:rPr>
            </w:pPr>
          </w:p>
        </w:tc>
        <w:tc>
          <w:tcPr>
            <w:tcW w:w="1138" w:type="dxa"/>
            <w:vAlign w:val="center"/>
          </w:tcPr>
          <w:p>
            <w:pPr>
              <w:jc w:val="left"/>
              <w:rPr>
                <w:rFonts w:ascii="宋体" w:hAnsi="宋体"/>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注：本表后应附投入劳动力计划柱状图。</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r>
        <w:rPr>
          <w:rFonts w:eastAsia="Times New Roman"/>
          <w:snapToGrid w:val="0"/>
          <w:color w:val="auto"/>
          <w:spacing w:val="4"/>
          <w:sz w:val="24"/>
          <w:szCs w:val="24"/>
          <w:highlight w:val="none"/>
        </w:rPr>
        <w:t xml:space="preserve"> </w:t>
      </w:r>
    </w:p>
    <w:p>
      <w:pPr>
        <w:topLinePunct/>
        <w:adjustRightInd w:val="0"/>
        <w:snapToGrid w:val="0"/>
        <w:spacing w:after="156" w:afterLines="50"/>
        <w:jc w:val="left"/>
        <w:outlineLvl w:val="2"/>
        <w:rPr>
          <w:rFonts w:ascii="黑体" w:hAnsi="宋体" w:eastAsia="黑体"/>
          <w:snapToGrid w:val="0"/>
          <w:color w:val="auto"/>
          <w:spacing w:val="4"/>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line="360" w:lineRule="auto"/>
        <w:jc w:val="left"/>
        <w:rPr>
          <w:b/>
          <w:snapToGrid w:val="0"/>
          <w:color w:val="auto"/>
          <w:spacing w:val="4"/>
          <w:sz w:val="24"/>
          <w:szCs w:val="24"/>
          <w:highlight w:val="none"/>
        </w:rPr>
      </w:pPr>
      <w:bookmarkStart w:id="199" w:name="_Toc239311757"/>
      <w:bookmarkStart w:id="200" w:name="_Toc226209014"/>
      <w:bookmarkStart w:id="201" w:name="_Toc3588"/>
      <w:bookmarkStart w:id="202" w:name="_Toc319444832"/>
      <w:bookmarkStart w:id="203" w:name="_Toc239216042"/>
      <w:bookmarkStart w:id="204" w:name="_Toc352240533"/>
      <w:bookmarkStart w:id="205" w:name="_Toc640"/>
      <w:bookmarkStart w:id="206" w:name="_Toc318924506"/>
      <w:bookmarkStart w:id="207" w:name="_Toc337720101"/>
      <w:bookmarkStart w:id="208" w:name="_Toc10968"/>
      <w:bookmarkStart w:id="209" w:name="_Toc771"/>
      <w:bookmarkStart w:id="210" w:name="_Toc352623431"/>
      <w:bookmarkStart w:id="211" w:name="_Toc16890"/>
      <w:bookmarkStart w:id="212" w:name="_Toc10552"/>
      <w:bookmarkStart w:id="213" w:name="_Toc369536780"/>
      <w:bookmarkStart w:id="214" w:name="_Toc20014"/>
      <w:bookmarkStart w:id="215" w:name="_Toc163337631"/>
      <w:bookmarkStart w:id="216" w:name="_Toc478044847"/>
      <w:bookmarkStart w:id="217" w:name="_Toc20133"/>
      <w:bookmarkStart w:id="218" w:name="_Toc358370588"/>
      <w:r>
        <w:rPr>
          <w:rFonts w:hint="eastAsia" w:ascii="黑体" w:hAnsi="宋体" w:eastAsia="黑体"/>
          <w:b/>
          <w:bCs/>
          <w:snapToGrid w:val="0"/>
          <w:color w:val="auto"/>
          <w:spacing w:val="4"/>
          <w:sz w:val="24"/>
          <w:szCs w:val="24"/>
          <w:highlight w:val="none"/>
        </w:rPr>
        <w:t>附表3：主要材料、设备采购计划表</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主要材料、设备采购计划表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713"/>
        <w:gridCol w:w="749"/>
        <w:gridCol w:w="802"/>
        <w:gridCol w:w="966"/>
        <w:gridCol w:w="1687"/>
        <w:gridCol w:w="141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序号</w:t>
            </w:r>
          </w:p>
        </w:tc>
        <w:tc>
          <w:tcPr>
            <w:tcW w:w="1713"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材料设备名称</w:t>
            </w:r>
          </w:p>
        </w:tc>
        <w:tc>
          <w:tcPr>
            <w:tcW w:w="749"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规格型号</w:t>
            </w:r>
          </w:p>
        </w:tc>
        <w:tc>
          <w:tcPr>
            <w:tcW w:w="802"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计量单位</w:t>
            </w:r>
          </w:p>
        </w:tc>
        <w:tc>
          <w:tcPr>
            <w:tcW w:w="966"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暂定数量</w:t>
            </w:r>
          </w:p>
        </w:tc>
        <w:tc>
          <w:tcPr>
            <w:tcW w:w="1687"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采购合同签订时间</w:t>
            </w:r>
          </w:p>
        </w:tc>
        <w:tc>
          <w:tcPr>
            <w:tcW w:w="1417"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到货时间</w:t>
            </w:r>
          </w:p>
        </w:tc>
        <w:tc>
          <w:tcPr>
            <w:tcW w:w="1430" w:type="dxa"/>
            <w:vAlign w:val="center"/>
          </w:tcPr>
          <w:p>
            <w:pPr>
              <w:adjustRightInd w:val="0"/>
              <w:snapToGrid w:val="0"/>
              <w:spacing w:line="360" w:lineRule="auto"/>
              <w:ind w:right="11"/>
              <w:jc w:val="center"/>
              <w:rPr>
                <w:rFonts w:ascii="宋体" w:hAnsi="宋体"/>
                <w:snapToGrid w:val="0"/>
                <w:color w:val="auto"/>
                <w:kern w:val="0"/>
                <w:highlight w:val="none"/>
              </w:rPr>
            </w:pPr>
            <w:r>
              <w:rPr>
                <w:rFonts w:hint="eastAsia" w:ascii="宋体" w:hAnsi="宋体"/>
                <w:snapToGrid w:val="0"/>
                <w:color w:val="auto"/>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 w:type="dxa"/>
          </w:tcPr>
          <w:p>
            <w:pPr>
              <w:adjustRightInd w:val="0"/>
              <w:snapToGrid w:val="0"/>
              <w:spacing w:line="360" w:lineRule="auto"/>
              <w:ind w:right="11"/>
              <w:rPr>
                <w:rFonts w:ascii="宋体" w:hAnsi="宋体"/>
                <w:snapToGrid w:val="0"/>
                <w:color w:val="auto"/>
                <w:kern w:val="0"/>
                <w:highlight w:val="none"/>
              </w:rPr>
            </w:pPr>
          </w:p>
        </w:tc>
        <w:tc>
          <w:tcPr>
            <w:tcW w:w="1713" w:type="dxa"/>
          </w:tcPr>
          <w:p>
            <w:pPr>
              <w:adjustRightInd w:val="0"/>
              <w:snapToGrid w:val="0"/>
              <w:spacing w:line="360" w:lineRule="auto"/>
              <w:ind w:right="11"/>
              <w:rPr>
                <w:rFonts w:ascii="宋体" w:hAnsi="宋体"/>
                <w:snapToGrid w:val="0"/>
                <w:color w:val="auto"/>
                <w:kern w:val="0"/>
                <w:highlight w:val="none"/>
              </w:rPr>
            </w:pPr>
          </w:p>
        </w:tc>
        <w:tc>
          <w:tcPr>
            <w:tcW w:w="749" w:type="dxa"/>
          </w:tcPr>
          <w:p>
            <w:pPr>
              <w:adjustRightInd w:val="0"/>
              <w:snapToGrid w:val="0"/>
              <w:spacing w:line="360" w:lineRule="auto"/>
              <w:ind w:right="11"/>
              <w:rPr>
                <w:rFonts w:ascii="宋体" w:hAnsi="宋体"/>
                <w:snapToGrid w:val="0"/>
                <w:color w:val="auto"/>
                <w:kern w:val="0"/>
                <w:highlight w:val="none"/>
              </w:rPr>
            </w:pPr>
          </w:p>
        </w:tc>
        <w:tc>
          <w:tcPr>
            <w:tcW w:w="802" w:type="dxa"/>
          </w:tcPr>
          <w:p>
            <w:pPr>
              <w:adjustRightInd w:val="0"/>
              <w:snapToGrid w:val="0"/>
              <w:spacing w:line="360" w:lineRule="auto"/>
              <w:ind w:right="11"/>
              <w:rPr>
                <w:rFonts w:ascii="宋体" w:hAnsi="宋体"/>
                <w:snapToGrid w:val="0"/>
                <w:color w:val="auto"/>
                <w:kern w:val="0"/>
                <w:highlight w:val="none"/>
              </w:rPr>
            </w:pPr>
          </w:p>
        </w:tc>
        <w:tc>
          <w:tcPr>
            <w:tcW w:w="966" w:type="dxa"/>
          </w:tcPr>
          <w:p>
            <w:pPr>
              <w:adjustRightInd w:val="0"/>
              <w:snapToGrid w:val="0"/>
              <w:spacing w:line="360" w:lineRule="auto"/>
              <w:ind w:right="11"/>
              <w:rPr>
                <w:rFonts w:ascii="宋体" w:hAnsi="宋体"/>
                <w:snapToGrid w:val="0"/>
                <w:color w:val="auto"/>
                <w:kern w:val="0"/>
                <w:highlight w:val="none"/>
              </w:rPr>
            </w:pPr>
          </w:p>
        </w:tc>
        <w:tc>
          <w:tcPr>
            <w:tcW w:w="1687" w:type="dxa"/>
          </w:tcPr>
          <w:p>
            <w:pPr>
              <w:adjustRightInd w:val="0"/>
              <w:snapToGrid w:val="0"/>
              <w:spacing w:line="360" w:lineRule="auto"/>
              <w:ind w:right="11"/>
              <w:rPr>
                <w:rFonts w:ascii="宋体" w:hAnsi="宋体"/>
                <w:snapToGrid w:val="0"/>
                <w:color w:val="auto"/>
                <w:kern w:val="0"/>
                <w:highlight w:val="none"/>
              </w:rPr>
            </w:pPr>
          </w:p>
        </w:tc>
        <w:tc>
          <w:tcPr>
            <w:tcW w:w="1417" w:type="dxa"/>
          </w:tcPr>
          <w:p>
            <w:pPr>
              <w:adjustRightInd w:val="0"/>
              <w:snapToGrid w:val="0"/>
              <w:spacing w:line="360" w:lineRule="auto"/>
              <w:ind w:right="11"/>
              <w:rPr>
                <w:rFonts w:ascii="宋体" w:hAnsi="宋体"/>
                <w:snapToGrid w:val="0"/>
                <w:color w:val="auto"/>
                <w:kern w:val="0"/>
                <w:highlight w:val="none"/>
              </w:rPr>
            </w:pPr>
          </w:p>
        </w:tc>
        <w:tc>
          <w:tcPr>
            <w:tcW w:w="1430" w:type="dxa"/>
          </w:tcPr>
          <w:p>
            <w:pPr>
              <w:adjustRightInd w:val="0"/>
              <w:snapToGrid w:val="0"/>
              <w:spacing w:line="360" w:lineRule="auto"/>
              <w:ind w:right="11"/>
              <w:rPr>
                <w:rFonts w:ascii="宋体" w:hAnsi="宋体"/>
                <w:snapToGrid w:val="0"/>
                <w:color w:val="auto"/>
                <w:kern w:val="0"/>
                <w:highlight w:val="none"/>
              </w:rPr>
            </w:pPr>
          </w:p>
        </w:tc>
      </w:tr>
    </w:tbl>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widowControl/>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915" w:firstLineChars="1579"/>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968" w:firstLineChars="160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sectPr>
          <w:footerReference r:id="rId15" w:type="default"/>
          <w:pgSz w:w="11907" w:h="16840"/>
          <w:pgMar w:top="1418" w:right="1418" w:bottom="1418" w:left="1418" w:header="851" w:footer="851" w:gutter="0"/>
          <w:cols w:space="720" w:num="1"/>
          <w:docGrid w:type="lines" w:linePitch="312" w:charSpace="0"/>
        </w:sectPr>
      </w:pPr>
    </w:p>
    <w:p>
      <w:pPr>
        <w:widowControl/>
        <w:topLinePunct/>
        <w:adjustRightInd w:val="0"/>
        <w:snapToGrid w:val="0"/>
        <w:spacing w:line="360" w:lineRule="auto"/>
        <w:jc w:val="left"/>
        <w:rPr>
          <w:b/>
          <w:snapToGrid w:val="0"/>
          <w:color w:val="auto"/>
          <w:spacing w:val="4"/>
          <w:sz w:val="24"/>
          <w:szCs w:val="24"/>
          <w:highlight w:val="none"/>
        </w:rPr>
      </w:pPr>
      <w:bookmarkStart w:id="219" w:name="_Toc352623432"/>
      <w:bookmarkStart w:id="220" w:name="_Toc337720102"/>
      <w:bookmarkStart w:id="221" w:name="_Toc319444833"/>
      <w:bookmarkStart w:id="222" w:name="_Toc358370589"/>
      <w:bookmarkStart w:id="223" w:name="_Toc163337632"/>
      <w:bookmarkStart w:id="224" w:name="_Toc239311758"/>
      <w:bookmarkStart w:id="225" w:name="_Toc352240534"/>
      <w:bookmarkStart w:id="226" w:name="_Toc369536781"/>
      <w:bookmarkStart w:id="227" w:name="_Toc239216043"/>
      <w:bookmarkStart w:id="228" w:name="_Toc395261110"/>
      <w:bookmarkStart w:id="229" w:name="_Toc318924507"/>
      <w:bookmarkStart w:id="230" w:name="_Toc226209015"/>
      <w:r>
        <w:rPr>
          <w:rFonts w:hint="eastAsia" w:ascii="黑体" w:hAnsi="宋体" w:eastAsia="黑体"/>
          <w:b/>
          <w:bCs/>
          <w:snapToGrid w:val="0"/>
          <w:color w:val="auto"/>
          <w:spacing w:val="4"/>
          <w:sz w:val="24"/>
          <w:szCs w:val="24"/>
          <w:highlight w:val="none"/>
        </w:rPr>
        <w:t>附表4：投入主要施工机械设备表</w:t>
      </w:r>
    </w:p>
    <w:bookmarkEnd w:id="219"/>
    <w:bookmarkEnd w:id="220"/>
    <w:bookmarkEnd w:id="221"/>
    <w:bookmarkEnd w:id="222"/>
    <w:bookmarkEnd w:id="223"/>
    <w:bookmarkEnd w:id="224"/>
    <w:bookmarkEnd w:id="225"/>
    <w:bookmarkEnd w:id="226"/>
    <w:bookmarkEnd w:id="227"/>
    <w:bookmarkEnd w:id="228"/>
    <w:bookmarkEnd w:id="229"/>
    <w:bookmarkEnd w:id="230"/>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投入主要施工机械设备表</w:t>
      </w:r>
    </w:p>
    <w:tbl>
      <w:tblPr>
        <w:tblStyle w:val="36"/>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2091"/>
        <w:gridCol w:w="2100"/>
        <w:gridCol w:w="900"/>
        <w:gridCol w:w="900"/>
        <w:gridCol w:w="1080"/>
        <w:gridCol w:w="816"/>
        <w:gridCol w:w="134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523"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名称及型号</w:t>
            </w:r>
          </w:p>
        </w:tc>
        <w:tc>
          <w:tcPr>
            <w:tcW w:w="7140"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523" w:type="dxa"/>
            <w:gridSpan w:val="2"/>
            <w:vMerge w:val="continue"/>
            <w:vAlign w:val="center"/>
          </w:tcPr>
          <w:p>
            <w:pPr>
              <w:jc w:val="center"/>
              <w:rPr>
                <w:rFonts w:ascii="宋体" w:hAnsi="宋体"/>
                <w:color w:val="auto"/>
                <w:szCs w:val="21"/>
                <w:highlight w:val="none"/>
              </w:rPr>
            </w:pPr>
          </w:p>
        </w:tc>
        <w:tc>
          <w:tcPr>
            <w:tcW w:w="2100" w:type="dxa"/>
            <w:vAlign w:val="center"/>
          </w:tcPr>
          <w:p>
            <w:pPr>
              <w:jc w:val="center"/>
              <w:rPr>
                <w:rFonts w:ascii="宋体" w:hAnsi="宋体"/>
                <w:color w:val="auto"/>
                <w:szCs w:val="21"/>
                <w:highlight w:val="none"/>
              </w:rPr>
            </w:pPr>
            <w:r>
              <w:rPr>
                <w:rFonts w:hint="eastAsia" w:ascii="宋体" w:hAnsi="宋体"/>
                <w:color w:val="auto"/>
                <w:szCs w:val="21"/>
                <w:highlight w:val="none"/>
              </w:rPr>
              <w:t>机械最少投入数量</w:t>
            </w:r>
          </w:p>
        </w:tc>
        <w:tc>
          <w:tcPr>
            <w:tcW w:w="5040"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5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p>
        </w:tc>
        <w:tc>
          <w:tcPr>
            <w:tcW w:w="2100" w:type="dxa"/>
            <w:vAlign w:val="center"/>
          </w:tcPr>
          <w:p>
            <w:pPr>
              <w:jc w:val="center"/>
              <w:rPr>
                <w:rFonts w:ascii="宋体" w:hAnsi="宋体"/>
                <w:color w:val="auto"/>
                <w:szCs w:val="21"/>
                <w:highlight w:val="none"/>
              </w:rPr>
            </w:pPr>
            <w:r>
              <w:rPr>
                <w:rFonts w:hint="eastAsia" w:ascii="宋体" w:hAnsi="宋体"/>
                <w:color w:val="auto"/>
                <w:szCs w:val="21"/>
                <w:highlight w:val="none"/>
              </w:rPr>
              <w:t>数量（台套）</w:t>
            </w:r>
          </w:p>
        </w:tc>
        <w:tc>
          <w:tcPr>
            <w:tcW w:w="900" w:type="dxa"/>
            <w:vAlign w:val="center"/>
          </w:tcPr>
          <w:p>
            <w:pPr>
              <w:jc w:val="center"/>
              <w:rPr>
                <w:rFonts w:ascii="宋体" w:hAnsi="宋体"/>
                <w:color w:val="auto"/>
                <w:szCs w:val="21"/>
                <w:highlight w:val="none"/>
              </w:rPr>
            </w:pPr>
            <w:r>
              <w:rPr>
                <w:rFonts w:hint="eastAsia" w:ascii="宋体" w:hAnsi="宋体"/>
                <w:color w:val="auto"/>
                <w:szCs w:val="21"/>
                <w:highlight w:val="none"/>
              </w:rPr>
              <w:t>小计</w:t>
            </w:r>
          </w:p>
        </w:tc>
        <w:tc>
          <w:tcPr>
            <w:tcW w:w="900" w:type="dxa"/>
            <w:vAlign w:val="center"/>
          </w:tcPr>
          <w:p>
            <w:pPr>
              <w:jc w:val="center"/>
              <w:rPr>
                <w:rFonts w:ascii="宋体" w:hAnsi="宋体"/>
                <w:color w:val="auto"/>
                <w:szCs w:val="21"/>
                <w:highlight w:val="none"/>
              </w:rPr>
            </w:pPr>
            <w:r>
              <w:rPr>
                <w:rFonts w:hint="eastAsia" w:ascii="宋体" w:hAnsi="宋体"/>
                <w:color w:val="auto"/>
                <w:szCs w:val="21"/>
                <w:highlight w:val="none"/>
              </w:rPr>
              <w:t>新购</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自有</w:t>
            </w:r>
          </w:p>
        </w:tc>
        <w:tc>
          <w:tcPr>
            <w:tcW w:w="816" w:type="dxa"/>
            <w:vAlign w:val="center"/>
          </w:tcPr>
          <w:p>
            <w:pPr>
              <w:jc w:val="center"/>
              <w:rPr>
                <w:rFonts w:ascii="宋体" w:hAnsi="宋体"/>
                <w:color w:val="auto"/>
                <w:szCs w:val="21"/>
                <w:highlight w:val="none"/>
              </w:rPr>
            </w:pPr>
            <w:r>
              <w:rPr>
                <w:rFonts w:hint="eastAsia" w:ascii="宋体" w:hAnsi="宋体"/>
                <w:color w:val="auto"/>
                <w:szCs w:val="21"/>
                <w:highlight w:val="none"/>
              </w:rPr>
              <w:t>租赁</w:t>
            </w:r>
          </w:p>
        </w:tc>
        <w:tc>
          <w:tcPr>
            <w:tcW w:w="1344" w:type="dxa"/>
            <w:vAlign w:val="center"/>
          </w:tcPr>
          <w:p>
            <w:pPr>
              <w:jc w:val="center"/>
              <w:rPr>
                <w:rFonts w:ascii="宋体" w:hAnsi="宋体"/>
                <w:color w:val="auto"/>
                <w:szCs w:val="21"/>
                <w:highlight w:val="none"/>
              </w:rPr>
            </w:pPr>
            <w:r>
              <w:rPr>
                <w:rFonts w:hint="eastAsia" w:ascii="宋体" w:hAnsi="宋体"/>
                <w:color w:val="auto"/>
                <w:szCs w:val="21"/>
                <w:highlight w:val="none"/>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施工机械设备</w:t>
            </w: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kern w:val="0"/>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vAlign w:val="center"/>
          </w:tcPr>
          <w:p>
            <w:pPr>
              <w:jc w:val="left"/>
              <w:rPr>
                <w:rFonts w:ascii="宋体" w:hAnsi="宋体"/>
                <w:color w:val="auto"/>
                <w:szCs w:val="21"/>
                <w:highlight w:val="none"/>
              </w:rPr>
            </w:pPr>
            <w:r>
              <w:rPr>
                <w:rFonts w:hint="eastAsia" w:ascii="宋体" w:hAnsi="宋体"/>
                <w:color w:val="auto"/>
                <w:szCs w:val="21"/>
                <w:highlight w:val="none"/>
              </w:rPr>
              <w:t>其他设备</w:t>
            </w: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 w:val="24"/>
                <w:szCs w:val="21"/>
                <w:highlight w:val="none"/>
              </w:rPr>
            </w:pPr>
          </w:p>
        </w:tc>
        <w:tc>
          <w:tcPr>
            <w:tcW w:w="2100" w:type="dxa"/>
            <w:vAlign w:val="center"/>
          </w:tcPr>
          <w:p>
            <w:pPr>
              <w:jc w:val="left"/>
              <w:rPr>
                <w:rFonts w:ascii="宋体" w:hAnsi="宋体"/>
                <w:color w:val="auto"/>
                <w:sz w:val="24"/>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vAlign w:val="center"/>
          </w:tcPr>
          <w:p>
            <w:pPr>
              <w:jc w:val="left"/>
              <w:rPr>
                <w:rFonts w:ascii="宋体" w:hAnsi="宋体"/>
                <w:color w:val="auto"/>
                <w:szCs w:val="21"/>
                <w:highlight w:val="none"/>
              </w:rPr>
            </w:pPr>
          </w:p>
        </w:tc>
        <w:tc>
          <w:tcPr>
            <w:tcW w:w="2091" w:type="dxa"/>
            <w:vAlign w:val="center"/>
          </w:tcPr>
          <w:p>
            <w:pPr>
              <w:jc w:val="left"/>
              <w:rPr>
                <w:rFonts w:ascii="宋体" w:hAnsi="宋体"/>
                <w:color w:val="auto"/>
                <w:szCs w:val="21"/>
                <w:highlight w:val="none"/>
              </w:rPr>
            </w:pPr>
            <w:r>
              <w:rPr>
                <w:rFonts w:ascii="宋体" w:hAnsi="宋体"/>
                <w:color w:val="auto"/>
                <w:szCs w:val="21"/>
                <w:highlight w:val="none"/>
              </w:rPr>
              <w:t>…</w:t>
            </w:r>
          </w:p>
        </w:tc>
        <w:tc>
          <w:tcPr>
            <w:tcW w:w="21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900" w:type="dxa"/>
            <w:vAlign w:val="center"/>
          </w:tcPr>
          <w:p>
            <w:pPr>
              <w:jc w:val="left"/>
              <w:rPr>
                <w:rFonts w:ascii="宋体" w:hAnsi="宋体"/>
                <w:color w:val="auto"/>
                <w:szCs w:val="21"/>
                <w:highlight w:val="none"/>
              </w:rPr>
            </w:pPr>
          </w:p>
        </w:tc>
        <w:tc>
          <w:tcPr>
            <w:tcW w:w="1080" w:type="dxa"/>
            <w:vAlign w:val="center"/>
          </w:tcPr>
          <w:p>
            <w:pPr>
              <w:jc w:val="left"/>
              <w:rPr>
                <w:rFonts w:ascii="宋体" w:hAnsi="宋体"/>
                <w:color w:val="auto"/>
                <w:szCs w:val="21"/>
                <w:highlight w:val="none"/>
              </w:rPr>
            </w:pPr>
          </w:p>
        </w:tc>
        <w:tc>
          <w:tcPr>
            <w:tcW w:w="816" w:type="dxa"/>
            <w:vAlign w:val="center"/>
          </w:tcPr>
          <w:p>
            <w:pPr>
              <w:jc w:val="left"/>
              <w:rPr>
                <w:rFonts w:ascii="宋体" w:hAnsi="宋体"/>
                <w:color w:val="auto"/>
                <w:szCs w:val="21"/>
                <w:highlight w:val="none"/>
              </w:rPr>
            </w:pPr>
          </w:p>
        </w:tc>
        <w:tc>
          <w:tcPr>
            <w:tcW w:w="1344" w:type="dxa"/>
            <w:vAlign w:val="center"/>
          </w:tcPr>
          <w:p>
            <w:pPr>
              <w:jc w:val="left"/>
              <w:rPr>
                <w:rFonts w:ascii="宋体" w:hAnsi="宋体"/>
                <w:color w:val="auto"/>
                <w:szCs w:val="21"/>
                <w:highlight w:val="none"/>
              </w:rPr>
            </w:pPr>
          </w:p>
        </w:tc>
      </w:tr>
    </w:tbl>
    <w:p>
      <w:pPr>
        <w:widowControl/>
        <w:topLinePunct/>
        <w:adjustRightInd w:val="0"/>
        <w:snapToGrid w:val="0"/>
        <w:ind w:firstLine="436" w:firstLineChars="200"/>
        <w:jc w:val="left"/>
        <w:rPr>
          <w:rFonts w:eastAsia="Times New Roman"/>
          <w:snapToGrid w:val="0"/>
          <w:color w:val="auto"/>
          <w:spacing w:val="4"/>
          <w:szCs w:val="21"/>
          <w:highlight w:val="none"/>
        </w:rPr>
      </w:pPr>
      <w:r>
        <w:rPr>
          <w:rFonts w:hint="eastAsia" w:ascii="宋体" w:hAnsi="宋体" w:cs="宋体"/>
          <w:snapToGrid w:val="0"/>
          <w:color w:val="auto"/>
          <w:spacing w:val="4"/>
          <w:szCs w:val="21"/>
          <w:highlight w:val="none"/>
        </w:rPr>
        <w:t>注：</w:t>
      </w:r>
      <w:r>
        <w:rPr>
          <w:rFonts w:hint="eastAsia" w:eastAsia="Times New Roman"/>
          <w:snapToGrid w:val="0"/>
          <w:color w:val="auto"/>
          <w:spacing w:val="4"/>
          <w:szCs w:val="21"/>
          <w:highlight w:val="none"/>
        </w:rPr>
        <w:t>1</w:t>
      </w:r>
      <w:r>
        <w:rPr>
          <w:rFonts w:hint="eastAsia" w:ascii="宋体" w:hAnsi="宋体" w:cs="宋体"/>
          <w:snapToGrid w:val="0"/>
          <w:color w:val="auto"/>
          <w:spacing w:val="4"/>
          <w:szCs w:val="21"/>
          <w:highlight w:val="none"/>
        </w:rPr>
        <w:t>、设备名称及要求数量由投标人视本工程具体情况结合招标人对本工程的具体要求自行配备；</w:t>
      </w:r>
    </w:p>
    <w:p>
      <w:pPr>
        <w:ind w:firstLine="420" w:firstLineChars="200"/>
        <w:jc w:val="left"/>
        <w:rPr>
          <w:rFonts w:ascii="宋体" w:hAnsi="宋体"/>
          <w:color w:val="auto"/>
          <w:szCs w:val="21"/>
          <w:highlight w:val="none"/>
        </w:rPr>
      </w:pPr>
      <w:r>
        <w:rPr>
          <w:rFonts w:hint="eastAsia" w:ascii="宋体" w:hAnsi="宋体"/>
          <w:color w:val="auto"/>
          <w:szCs w:val="21"/>
          <w:highlight w:val="none"/>
        </w:rPr>
        <w:t>2、投入的设备如为自有，须附购货发票、报关单（如为进口）；如为租用，须附租赁合同及上述证明资料，并准备原件待查。</w:t>
      </w:r>
    </w:p>
    <w:p>
      <w:pPr>
        <w:widowControl/>
        <w:topLinePunct/>
        <w:adjustRightInd w:val="0"/>
        <w:snapToGrid w:val="0"/>
        <w:spacing w:line="360" w:lineRule="auto"/>
        <w:ind w:firstLine="496" w:firstLineChars="200"/>
        <w:jc w:val="left"/>
        <w:rPr>
          <w:rFonts w:eastAsia="Times New Roman"/>
          <w:snapToGrid w:val="0"/>
          <w:color w:val="auto"/>
          <w:spacing w:val="4"/>
          <w:sz w:val="24"/>
          <w:szCs w:val="24"/>
          <w:highlight w:val="none"/>
        </w:rPr>
      </w:pP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投标人：　　（盖章）</w:t>
      </w:r>
    </w:p>
    <w:p>
      <w:pPr>
        <w:widowControl/>
        <w:topLinePunct/>
        <w:adjustRightInd w:val="0"/>
        <w:snapToGrid w:val="0"/>
        <w:spacing w:line="360" w:lineRule="auto"/>
        <w:ind w:firstLine="3596" w:firstLineChars="1450"/>
        <w:jc w:val="left"/>
        <w:rPr>
          <w:rFonts w:eastAsia="Times New Roman"/>
          <w:snapToGrid w:val="0"/>
          <w:color w:val="auto"/>
          <w:spacing w:val="4"/>
          <w:sz w:val="24"/>
          <w:szCs w:val="24"/>
          <w:highlight w:val="none"/>
        </w:rPr>
      </w:pPr>
      <w:r>
        <w:rPr>
          <w:rFonts w:hint="eastAsia" w:ascii="宋体" w:hAnsi="宋体" w:cs="宋体"/>
          <w:snapToGrid w:val="0"/>
          <w:color w:val="auto"/>
          <w:spacing w:val="4"/>
          <w:sz w:val="24"/>
          <w:szCs w:val="24"/>
          <w:highlight w:val="none"/>
        </w:rPr>
        <w:t>法定代表人或授权代理人</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签名或盖章</w:t>
      </w:r>
      <w:r>
        <w:rPr>
          <w:rFonts w:hint="eastAsia" w:eastAsia="Times New Roman"/>
          <w:snapToGrid w:val="0"/>
          <w:color w:val="auto"/>
          <w:spacing w:val="4"/>
          <w:sz w:val="24"/>
          <w:szCs w:val="24"/>
          <w:highlight w:val="none"/>
        </w:rPr>
        <w:t>)</w:t>
      </w:r>
      <w:r>
        <w:rPr>
          <w:rFonts w:hint="eastAsia" w:ascii="宋体" w:hAnsi="宋体" w:cs="宋体"/>
          <w:snapToGrid w:val="0"/>
          <w:color w:val="auto"/>
          <w:spacing w:val="4"/>
          <w:sz w:val="24"/>
          <w:szCs w:val="24"/>
          <w:highlight w:val="none"/>
        </w:rPr>
        <w:t>：</w:t>
      </w:r>
    </w:p>
    <w:p>
      <w:pPr>
        <w:widowControl/>
        <w:topLinePunct/>
        <w:adjustRightInd w:val="0"/>
        <w:snapToGrid w:val="0"/>
        <w:spacing w:line="360" w:lineRule="auto"/>
        <w:ind w:firstLine="3596" w:firstLineChars="1450"/>
        <w:jc w:val="left"/>
        <w:rPr>
          <w:rFonts w:ascii="宋体"/>
          <w:color w:val="auto"/>
          <w:sz w:val="24"/>
          <w:szCs w:val="24"/>
          <w:highlight w:val="none"/>
        </w:rPr>
      </w:pP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期：</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年</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月</w:t>
      </w:r>
      <w:r>
        <w:rPr>
          <w:rFonts w:hint="eastAsia" w:eastAsia="Times New Roman"/>
          <w:snapToGrid w:val="0"/>
          <w:color w:val="auto"/>
          <w:spacing w:val="4"/>
          <w:sz w:val="24"/>
          <w:szCs w:val="24"/>
          <w:highlight w:val="none"/>
        </w:rPr>
        <w:t xml:space="preserve">    </w:t>
      </w:r>
      <w:r>
        <w:rPr>
          <w:rFonts w:hint="eastAsia" w:ascii="宋体" w:hAnsi="宋体" w:cs="宋体"/>
          <w:snapToGrid w:val="0"/>
          <w:color w:val="auto"/>
          <w:spacing w:val="4"/>
          <w:sz w:val="24"/>
          <w:szCs w:val="24"/>
          <w:highlight w:val="none"/>
        </w:rPr>
        <w:t>日</w:t>
      </w:r>
      <w:r>
        <w:rPr>
          <w:rFonts w:hint="eastAsia" w:eastAsia="Times New Roman"/>
          <w:snapToGrid w:val="0"/>
          <w:color w:val="auto"/>
          <w:spacing w:val="4"/>
          <w:sz w:val="24"/>
          <w:szCs w:val="24"/>
          <w:highlight w:val="none"/>
        </w:rPr>
        <w:t xml:space="preserve"> </w:t>
      </w:r>
      <w:bookmarkEnd w:id="164"/>
      <w:bookmarkEnd w:id="165"/>
      <w:bookmarkEnd w:id="166"/>
      <w:bookmarkEnd w:id="167"/>
      <w:bookmarkEnd w:id="168"/>
      <w:bookmarkEnd w:id="169"/>
      <w:bookmarkEnd w:id="170"/>
      <w:bookmarkEnd w:id="171"/>
      <w:r>
        <w:rPr>
          <w:color w:val="auto"/>
          <w:szCs w:val="21"/>
          <w:highlight w:val="none"/>
        </w:rPr>
        <w:br w:type="page"/>
      </w:r>
      <w:bookmarkStart w:id="231" w:name="_Toc62056045"/>
      <w:r>
        <w:rPr>
          <w:rFonts w:hint="eastAsia" w:ascii="宋体" w:hAnsi="宋体"/>
          <w:color w:val="auto"/>
          <w:spacing w:val="4"/>
          <w:kern w:val="0"/>
          <w:sz w:val="24"/>
          <w:szCs w:val="24"/>
          <w:highlight w:val="none"/>
        </w:rPr>
        <w:t>格式十：参与编制技术标投标文件人员名单</w:t>
      </w:r>
      <w:bookmarkEnd w:id="231"/>
    </w:p>
    <w:p>
      <w:pPr>
        <w:autoSpaceDE w:val="0"/>
        <w:autoSpaceDN w:val="0"/>
        <w:adjustRightInd w:val="0"/>
        <w:rPr>
          <w:color w:val="auto"/>
          <w:szCs w:val="21"/>
          <w:highlight w:val="none"/>
        </w:rPr>
      </w:pPr>
    </w:p>
    <w:p>
      <w:pPr>
        <w:tabs>
          <w:tab w:val="left" w:pos="720"/>
        </w:tabs>
        <w:snapToGrid w:val="0"/>
        <w:spacing w:line="360" w:lineRule="auto"/>
        <w:jc w:val="center"/>
        <w:rPr>
          <w:b/>
          <w:color w:val="auto"/>
          <w:szCs w:val="21"/>
          <w:highlight w:val="none"/>
        </w:rPr>
      </w:pPr>
      <w:r>
        <w:rPr>
          <w:rFonts w:hint="eastAsia"/>
          <w:b/>
          <w:color w:val="auto"/>
          <w:szCs w:val="21"/>
          <w:highlight w:val="none"/>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注：参与编制技术标投标文件所有人员名单应包括如编制技术投标方案、负责清样校对、负责打印及复印等所有人员在内的人员名单。</w:t>
      </w:r>
    </w:p>
    <w:p>
      <w:pPr>
        <w:pStyle w:val="115"/>
        <w:autoSpaceDE w:val="0"/>
        <w:autoSpaceDN w:val="0"/>
        <w:ind w:right="496" w:firstLine="0" w:firstLineChars="0"/>
        <w:jc w:val="left"/>
        <w:outlineLvl w:val="2"/>
        <w:rPr>
          <w:rFonts w:ascii="宋体" w:hAnsi="宋体"/>
          <w:color w:val="auto"/>
          <w:highlight w:val="none"/>
        </w:rPr>
      </w:pPr>
      <w:bookmarkStart w:id="232" w:name="_Toc62056046"/>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b/>
          <w:color w:val="auto"/>
          <w:highlight w:val="none"/>
        </w:rPr>
      </w:pPr>
      <w:bookmarkStart w:id="233" w:name="_Toc15122"/>
      <w:r>
        <w:rPr>
          <w:rFonts w:hint="eastAsia" w:ascii="宋体" w:hAnsi="宋体"/>
          <w:color w:val="auto"/>
          <w:highlight w:val="none"/>
        </w:rPr>
        <w:t xml:space="preserve">格式十一 </w:t>
      </w:r>
      <w:bookmarkEnd w:id="232"/>
      <w:r>
        <w:rPr>
          <w:rFonts w:hint="eastAsia"/>
          <w:b/>
          <w:color w:val="auto"/>
          <w:highlight w:val="none"/>
        </w:rPr>
        <w:t>危险性较大的分部分项工程安全管理措施</w:t>
      </w:r>
      <w:bookmarkEnd w:id="233"/>
    </w:p>
    <w:p>
      <w:pPr>
        <w:pStyle w:val="119"/>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危险性较大的分部分项工程清单及</w:t>
      </w:r>
    </w:p>
    <w:p>
      <w:pPr>
        <w:pStyle w:val="119"/>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超过一定规模的危险性较大的分部分项工程清单</w:t>
      </w:r>
    </w:p>
    <w:p>
      <w:pPr>
        <w:pStyle w:val="110"/>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0"/>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0"/>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110"/>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110"/>
        <w:numPr>
          <w:ilvl w:val="0"/>
          <w:numId w:val="7"/>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110"/>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投标单位应当在投标时根据招标人提供的下述第5点清单，在投标施工组织中编制专项施工方案。</w:t>
      </w:r>
    </w:p>
    <w:p>
      <w:pPr>
        <w:pStyle w:val="110"/>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110"/>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1063"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bookmarkStart w:id="289" w:name="_GoBack"/>
            <w:bookmarkEnd w:id="289"/>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78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rPr>
              <w:t>√</w:t>
            </w:r>
            <w:r>
              <w:rPr>
                <w:rFonts w:hint="eastAsia" w:ascii="Times New Roman" w:hAnsi="Times New Roman"/>
                <w:color w:val="auto"/>
                <w:szCs w:val="21"/>
                <w:highlight w:val="none"/>
              </w:rPr>
              <w:t>)</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361" w:type="dxa"/>
            <w:vAlign w:val="center"/>
          </w:tcPr>
          <w:p>
            <w:pPr>
              <w:spacing w:line="276" w:lineRule="auto"/>
              <w:jc w:val="center"/>
              <w:rPr>
                <w:rFonts w:ascii="Times New Roman" w:hAnsi="Times New Roman"/>
                <w:color w:val="auto"/>
                <w:szCs w:val="21"/>
                <w:highlight w:val="none"/>
              </w:rPr>
            </w:pPr>
          </w:p>
        </w:tc>
        <w:tc>
          <w:tcPr>
            <w:tcW w:w="1361" w:type="dxa"/>
            <w:vAlign w:val="center"/>
          </w:tcPr>
          <w:p>
            <w:pPr>
              <w:spacing w:line="276" w:lineRule="auto"/>
              <w:jc w:val="center"/>
              <w:rPr>
                <w:rFonts w:ascii="Times New Roman" w:hAnsi="Times New Roman"/>
                <w:color w:val="auto"/>
                <w:szCs w:val="21"/>
                <w:highlight w:val="none"/>
              </w:rPr>
            </w:pP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ind w:firstLine="48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spacing w:line="276" w:lineRule="auto"/>
              <w:jc w:val="center"/>
              <w:rPr>
                <w:rFonts w:ascii="Times New Roman" w:hAnsi="Times New Roman"/>
                <w:color w:val="auto"/>
                <w:szCs w:val="21"/>
                <w:highlight w:val="none"/>
              </w:rPr>
            </w:pPr>
          </w:p>
        </w:tc>
      </w:tr>
    </w:tbl>
    <w:p>
      <w:pPr>
        <w:pStyle w:val="115"/>
        <w:ind w:firstLine="496"/>
        <w:rPr>
          <w:color w:val="auto"/>
          <w:highlight w:val="none"/>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spacing w:line="360" w:lineRule="auto"/>
        <w:ind w:right="26"/>
        <w:jc w:val="right"/>
        <w:rPr>
          <w:rFonts w:cs="宋体"/>
          <w:color w:val="auto"/>
          <w:sz w:val="24"/>
          <w:szCs w:val="20"/>
          <w:highlight w:val="none"/>
        </w:rPr>
      </w:pPr>
      <w:r>
        <w:rPr>
          <w:rFonts w:hint="eastAsia" w:cs="宋体"/>
          <w:color w:val="auto"/>
          <w:sz w:val="24"/>
          <w:szCs w:val="20"/>
          <w:highlight w:val="none"/>
        </w:rPr>
        <w:t>法定代表人或被授权人（签字或盖章）：</w:t>
      </w:r>
    </w:p>
    <w:p>
      <w:pPr>
        <w:widowControl/>
        <w:topLinePunct/>
        <w:adjustRightInd w:val="0"/>
        <w:snapToGrid w:val="0"/>
        <w:spacing w:after="200"/>
        <w:jc w:val="left"/>
        <w:outlineLvl w:val="2"/>
        <w:rPr>
          <w:color w:val="auto"/>
          <w:highlight w:val="none"/>
        </w:rPr>
      </w:pPr>
      <w:bookmarkStart w:id="234" w:name="_Toc13721"/>
      <w:r>
        <w:rPr>
          <w:rFonts w:hint="eastAsia" w:cs="宋体"/>
          <w:color w:val="auto"/>
          <w:sz w:val="24"/>
          <w:szCs w:val="20"/>
          <w:highlight w:val="none"/>
        </w:rPr>
        <w:t>日期：   年  月  日</w:t>
      </w:r>
      <w:bookmarkEnd w:id="234"/>
    </w:p>
    <w:p>
      <w:pPr>
        <w:widowControl/>
        <w:topLinePunct/>
        <w:adjustRightInd w:val="0"/>
        <w:snapToGrid w:val="0"/>
        <w:spacing w:after="200"/>
        <w:jc w:val="left"/>
        <w:outlineLvl w:val="1"/>
        <w:rPr>
          <w:rFonts w:ascii="宋体" w:hAnsi="宋体"/>
          <w:b/>
          <w:color w:val="auto"/>
          <w:sz w:val="28"/>
          <w:highlight w:val="none"/>
        </w:rPr>
      </w:pPr>
      <w:bookmarkStart w:id="235" w:name="_Toc1507"/>
      <w:bookmarkStart w:id="236" w:name="_Toc504722518"/>
      <w:r>
        <w:rPr>
          <w:rFonts w:ascii="宋体" w:hAnsi="宋体"/>
          <w:b/>
          <w:color w:val="auto"/>
          <w:sz w:val="28"/>
          <w:highlight w:val="none"/>
        </w:rPr>
        <w:br w:type="page"/>
      </w:r>
      <w:bookmarkStart w:id="237" w:name="_Toc28464"/>
      <w:bookmarkStart w:id="238" w:name="_Toc62056047"/>
      <w:r>
        <w:rPr>
          <w:rFonts w:hint="eastAsia" w:ascii="宋体" w:hAnsi="宋体"/>
          <w:b/>
          <w:color w:val="auto"/>
          <w:sz w:val="28"/>
          <w:highlight w:val="none"/>
        </w:rPr>
        <w:t>二、经济标投标文件格式</w:t>
      </w:r>
      <w:bookmarkEnd w:id="235"/>
      <w:bookmarkEnd w:id="236"/>
      <w:bookmarkEnd w:id="237"/>
      <w:bookmarkEnd w:id="238"/>
    </w:p>
    <w:p>
      <w:pPr>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239" w:name="_Toc7061"/>
      <w:bookmarkStart w:id="240" w:name="_Toc62056048"/>
      <w:bookmarkStart w:id="241" w:name="_Toc504722519"/>
      <w:bookmarkStart w:id="242" w:name="_Toc4489953"/>
      <w:bookmarkStart w:id="243" w:name="_Toc22912"/>
      <w:bookmarkStart w:id="244" w:name="_Toc29476922"/>
      <w:r>
        <w:rPr>
          <w:rFonts w:hint="eastAsia" w:ascii="宋体" w:hAnsi="宋体"/>
          <w:color w:val="auto"/>
          <w:spacing w:val="4"/>
          <w:kern w:val="0"/>
          <w:sz w:val="24"/>
          <w:szCs w:val="24"/>
          <w:highlight w:val="none"/>
        </w:rPr>
        <w:t>格式一：经济标封面</w:t>
      </w:r>
      <w:bookmarkEnd w:id="239"/>
      <w:bookmarkEnd w:id="240"/>
      <w:bookmarkEnd w:id="241"/>
      <w:bookmarkEnd w:id="242"/>
      <w:bookmarkEnd w:id="243"/>
      <w:bookmarkEnd w:id="244"/>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245" w:name="_Toc337720111"/>
      <w:bookmarkStart w:id="246" w:name="_Toc318924517"/>
      <w:bookmarkStart w:id="247" w:name="_Toc163337643"/>
      <w:bookmarkStart w:id="248" w:name="_Toc239311767"/>
      <w:bookmarkStart w:id="249" w:name="_Toc239216052"/>
      <w:bookmarkStart w:id="250" w:name="_Toc226209025"/>
      <w:bookmarkStart w:id="251" w:name="_Toc358370596"/>
      <w:bookmarkStart w:id="252" w:name="_Toc464131240"/>
      <w:bookmarkStart w:id="253" w:name="_Toc449308436"/>
      <w:bookmarkStart w:id="254" w:name="_Toc369536788"/>
      <w:bookmarkStart w:id="255" w:name="_Toc352623441"/>
      <w:bookmarkStart w:id="256" w:name="_Toc352240543"/>
      <w:bookmarkStart w:id="257" w:name="_Toc484958710"/>
      <w:bookmarkStart w:id="258" w:name="_Toc395261116"/>
      <w:r>
        <w:rPr>
          <w:rFonts w:hint="eastAsia" w:ascii="宋体" w:hAnsi="宋体"/>
          <w:color w:val="auto"/>
          <w:spacing w:val="4"/>
          <w:kern w:val="0"/>
          <w:sz w:val="30"/>
          <w:szCs w:val="30"/>
          <w:highlight w:val="none"/>
          <w:u w:val="single"/>
        </w:rPr>
        <w:t xml:space="preserve">       （填写投标人单位</w:t>
      </w:r>
      <w:bookmarkEnd w:id="245"/>
      <w:bookmarkEnd w:id="246"/>
      <w:bookmarkEnd w:id="247"/>
      <w:bookmarkEnd w:id="248"/>
      <w:bookmarkEnd w:id="249"/>
      <w:bookmarkEnd w:id="250"/>
      <w:r>
        <w:rPr>
          <w:rFonts w:hint="eastAsia" w:ascii="宋体" w:hAnsi="宋体"/>
          <w:color w:val="auto"/>
          <w:spacing w:val="4"/>
          <w:kern w:val="0"/>
          <w:sz w:val="30"/>
          <w:szCs w:val="30"/>
          <w:highlight w:val="none"/>
          <w:u w:val="single"/>
        </w:rPr>
        <w:t xml:space="preserve">名称）  </w:t>
      </w:r>
      <w:bookmarkEnd w:id="251"/>
      <w:bookmarkEnd w:id="252"/>
      <w:bookmarkEnd w:id="253"/>
      <w:bookmarkEnd w:id="254"/>
      <w:bookmarkEnd w:id="255"/>
      <w:bookmarkEnd w:id="256"/>
      <w:bookmarkEnd w:id="257"/>
      <w:bookmarkEnd w:id="258"/>
      <w:r>
        <w:rPr>
          <w:rFonts w:hint="eastAsia" w:ascii="宋体" w:hAnsi="宋体"/>
          <w:color w:val="auto"/>
          <w:spacing w:val="4"/>
          <w:kern w:val="0"/>
          <w:sz w:val="30"/>
          <w:szCs w:val="30"/>
          <w:highlight w:val="none"/>
          <w:u w:val="single"/>
        </w:rPr>
        <w:t xml:space="preserve">     （盖章）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259" w:name="_Toc19679"/>
      <w:bookmarkStart w:id="260" w:name="_Toc62056049"/>
      <w:bookmarkStart w:id="261" w:name="_Toc29476923"/>
      <w:bookmarkStart w:id="262" w:name="_Toc4489954"/>
      <w:r>
        <w:rPr>
          <w:rFonts w:hint="eastAsia" w:ascii="宋体" w:hAnsi="宋体"/>
          <w:color w:val="auto"/>
          <w:spacing w:val="4"/>
          <w:kern w:val="0"/>
          <w:sz w:val="24"/>
          <w:szCs w:val="24"/>
          <w:highlight w:val="none"/>
        </w:rPr>
        <w:t>格式二</w:t>
      </w:r>
      <w:bookmarkStart w:id="263" w:name="_Toc29524"/>
      <w:bookmarkStart w:id="264" w:name="_Toc504722521"/>
      <w:r>
        <w:rPr>
          <w:rFonts w:hint="eastAsia" w:ascii="宋体" w:hAnsi="宋体"/>
          <w:color w:val="auto"/>
          <w:spacing w:val="4"/>
          <w:kern w:val="0"/>
          <w:sz w:val="24"/>
          <w:szCs w:val="24"/>
          <w:highlight w:val="none"/>
        </w:rPr>
        <w:t>：工程量清单计价表</w:t>
      </w:r>
      <w:bookmarkEnd w:id="259"/>
      <w:bookmarkEnd w:id="260"/>
      <w:bookmarkEnd w:id="261"/>
      <w:bookmarkEnd w:id="262"/>
      <w:bookmarkEnd w:id="263"/>
      <w:bookmarkEnd w:id="264"/>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265" w:name="_Toc62056050"/>
      <w:bookmarkStart w:id="266" w:name="_Toc4037"/>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265"/>
      <w:bookmarkEnd w:id="266"/>
    </w:p>
    <w:p>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color w:val="auto"/>
          <w:kern w:val="0"/>
          <w:sz w:val="24"/>
          <w:szCs w:val="24"/>
          <w:highlight w:val="none"/>
        </w:rPr>
      </w:pPr>
    </w:p>
    <w:p>
      <w:pPr>
        <w:autoSpaceDE w:val="0"/>
        <w:autoSpaceDN w:val="0"/>
        <w:adjustRightInd w:val="0"/>
        <w:outlineLvl w:val="2"/>
        <w:rPr>
          <w:color w:val="auto"/>
          <w:szCs w:val="21"/>
          <w:highlight w:val="none"/>
        </w:rPr>
      </w:pPr>
      <w:r>
        <w:rPr>
          <w:color w:val="auto"/>
          <w:szCs w:val="21"/>
          <w:highlight w:val="none"/>
        </w:rPr>
        <w:br w:type="page"/>
      </w:r>
      <w:bookmarkStart w:id="267" w:name="_Toc5169"/>
      <w:bookmarkStart w:id="268" w:name="_Toc62056051"/>
      <w:r>
        <w:rPr>
          <w:rFonts w:hint="eastAsia" w:ascii="宋体" w:hAnsi="宋体"/>
          <w:snapToGrid w:val="0"/>
          <w:color w:val="auto"/>
          <w:spacing w:val="4"/>
          <w:kern w:val="0"/>
          <w:sz w:val="24"/>
          <w:szCs w:val="24"/>
          <w:highlight w:val="none"/>
        </w:rPr>
        <w:t>格式四：对投标文件编制的承诺</w:t>
      </w:r>
      <w:bookmarkEnd w:id="267"/>
      <w:bookmarkEnd w:id="268"/>
    </w:p>
    <w:p>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spacing w:line="360" w:lineRule="auto"/>
        <w:rPr>
          <w:b/>
          <w:color w:val="auto"/>
          <w:kern w:val="0"/>
          <w:sz w:val="32"/>
          <w:szCs w:val="32"/>
          <w:highlight w:val="none"/>
        </w:rPr>
      </w:pPr>
    </w:p>
    <w:p>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电脑类型</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电脑所属单位</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widowControl/>
        <w:jc w:val="left"/>
        <w:rPr>
          <w:bCs/>
          <w:color w:val="auto"/>
          <w:szCs w:val="21"/>
          <w:highlight w:val="none"/>
        </w:rPr>
      </w:pPr>
    </w:p>
    <w:p>
      <w:pPr>
        <w:tabs>
          <w:tab w:val="left" w:pos="720"/>
        </w:tabs>
        <w:snapToGrid w:val="0"/>
        <w:spacing w:line="360" w:lineRule="auto"/>
        <w:jc w:val="center"/>
        <w:rPr>
          <w:rStyle w:val="60"/>
          <w:color w:val="auto"/>
          <w:highlight w:val="none"/>
        </w:rPr>
      </w:pPr>
      <w:r>
        <w:rPr>
          <w:color w:val="auto"/>
          <w:sz w:val="24"/>
          <w:szCs w:val="24"/>
          <w:highlight w:val="none"/>
        </w:rPr>
        <w:br w:type="page"/>
      </w:r>
      <w:bookmarkStart w:id="269" w:name="_Toc21525513"/>
      <w:bookmarkStart w:id="270" w:name="_Toc2272568"/>
      <w:bookmarkStart w:id="271" w:name="_Toc27457"/>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269"/>
      <w:bookmarkEnd w:id="270"/>
    </w:p>
    <w:bookmarkEnd w:id="271"/>
    <w:p>
      <w:pPr>
        <w:pStyle w:val="3"/>
        <w:jc w:val="left"/>
        <w:rPr>
          <w:rStyle w:val="60"/>
          <w:rFonts w:ascii="宋体" w:hAnsi="宋体" w:cs="宋体"/>
          <w:b w:val="0"/>
          <w:color w:val="auto"/>
          <w:szCs w:val="21"/>
          <w:highlight w:val="none"/>
        </w:rPr>
      </w:pPr>
      <w:bookmarkStart w:id="272" w:name="_Toc5642"/>
      <w:bookmarkStart w:id="273" w:name="_Toc503284277"/>
      <w:bookmarkStart w:id="274" w:name="_Toc43251299"/>
      <w:bookmarkStart w:id="275" w:name="_Toc10065"/>
      <w:r>
        <w:rPr>
          <w:rStyle w:val="60"/>
          <w:rFonts w:hint="eastAsia" w:ascii="宋体" w:hAnsi="宋体" w:cs="宋体"/>
          <w:b w:val="0"/>
          <w:color w:val="auto"/>
          <w:szCs w:val="21"/>
          <w:highlight w:val="none"/>
        </w:rPr>
        <w:t>1、具体按施工图纸。</w:t>
      </w:r>
      <w:bookmarkEnd w:id="272"/>
      <w:bookmarkEnd w:id="273"/>
      <w:bookmarkEnd w:id="274"/>
      <w:bookmarkEnd w:id="275"/>
    </w:p>
    <w:p>
      <w:pPr>
        <w:pStyle w:val="5"/>
        <w:spacing w:line="360" w:lineRule="auto"/>
        <w:ind w:firstLine="0"/>
        <w:rPr>
          <w:rFonts w:ascii="宋体" w:hAnsi="宋体" w:cs="宋体"/>
          <w:color w:val="auto"/>
          <w:highlight w:val="none"/>
        </w:rPr>
      </w:pPr>
      <w:bookmarkStart w:id="276" w:name="_Toc43251300"/>
      <w:bookmarkStart w:id="277" w:name="_Toc12020"/>
      <w:bookmarkStart w:id="278" w:name="_Toc12842"/>
      <w:bookmarkStart w:id="279" w:name="_Toc503284278"/>
      <w:r>
        <w:rPr>
          <w:rStyle w:val="60"/>
          <w:rFonts w:hint="eastAsia" w:ascii="宋体" w:hAnsi="宋体" w:cs="宋体"/>
          <w:b w:val="0"/>
          <w:color w:val="auto"/>
          <w:szCs w:val="21"/>
          <w:highlight w:val="none"/>
        </w:rPr>
        <w:t>2、依据设计文件的要求，本招标工程项目的材料、设备、施工须达到中华人民共和国以及省、市或行业的工程建设标准、规范的要求。</w:t>
      </w:r>
      <w:bookmarkEnd w:id="276"/>
      <w:bookmarkEnd w:id="277"/>
      <w:bookmarkEnd w:id="278"/>
      <w:bookmarkEnd w:id="279"/>
    </w:p>
    <w:p>
      <w:pPr>
        <w:pStyle w:val="3"/>
        <w:rPr>
          <w:rStyle w:val="60"/>
          <w:rFonts w:ascii="宋体" w:hAnsi="宋体" w:cs="宋体"/>
          <w:b w:val="0"/>
          <w:color w:val="auto"/>
          <w:szCs w:val="21"/>
          <w:highlight w:val="none"/>
        </w:rPr>
      </w:pPr>
      <w:r>
        <w:rPr>
          <w:rStyle w:val="60"/>
          <w:rFonts w:ascii="宋体" w:hAnsi="宋体" w:cs="宋体"/>
          <w:b w:val="0"/>
          <w:color w:val="auto"/>
          <w:szCs w:val="21"/>
          <w:highlight w:val="none"/>
        </w:rPr>
        <w:t>3、《主要设备材料、品牌、生产厂家推荐表》（优于或相当于）</w:t>
      </w:r>
    </w:p>
    <w:p>
      <w:pPr>
        <w:pStyle w:val="3"/>
        <w:rPr>
          <w:color w:val="auto"/>
          <w:highlight w:val="none"/>
        </w:rPr>
      </w:pPr>
      <w:r>
        <w:rPr>
          <w:color w:val="auto"/>
          <w:highlight w:val="none"/>
        </w:rPr>
        <w:drawing>
          <wp:inline distT="0" distB="0" distL="114300" distR="114300">
            <wp:extent cx="5431790" cy="466534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5431790" cy="4665345"/>
                    </a:xfrm>
                    <a:prstGeom prst="rect">
                      <a:avLst/>
                    </a:prstGeom>
                    <a:noFill/>
                    <a:ln>
                      <a:noFill/>
                    </a:ln>
                  </pic:spPr>
                </pic:pic>
              </a:graphicData>
            </a:graphic>
          </wp:inline>
        </w:drawing>
      </w:r>
      <w:r>
        <w:rPr>
          <w:color w:val="auto"/>
          <w:sz w:val="24"/>
          <w:szCs w:val="24"/>
          <w:highlight w:val="none"/>
        </w:rPr>
        <w:br w:type="page"/>
      </w:r>
      <w:bookmarkStart w:id="280" w:name="_Toc2272569"/>
      <w:bookmarkStart w:id="281" w:name="_Toc21525514"/>
      <w:bookmarkStart w:id="282" w:name="_Toc23764"/>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80"/>
      <w:bookmarkEnd w:id="281"/>
      <w:bookmarkEnd w:id="282"/>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3"/>
        <w:rPr>
          <w:color w:val="auto"/>
          <w:highlight w:val="none"/>
        </w:rPr>
      </w:pPr>
      <w:r>
        <w:rPr>
          <w:color w:val="auto"/>
          <w:sz w:val="24"/>
          <w:szCs w:val="24"/>
          <w:highlight w:val="none"/>
        </w:rPr>
        <w:br w:type="page"/>
      </w:r>
      <w:bookmarkStart w:id="283" w:name="_Toc21525515"/>
      <w:bookmarkStart w:id="284" w:name="_Toc23566"/>
      <w:bookmarkStart w:id="285"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283"/>
      <w:bookmarkEnd w:id="284"/>
      <w:bookmarkEnd w:id="285"/>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286" w:name="_Toc2272571"/>
      <w:bookmarkStart w:id="287" w:name="_Toc11203"/>
      <w:bookmarkStart w:id="288"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286"/>
      <w:bookmarkEnd w:id="287"/>
      <w:bookmarkEnd w:id="288"/>
    </w:p>
    <w:p>
      <w:pPr>
        <w:spacing w:line="360" w:lineRule="auto"/>
        <w:ind w:firstLine="48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详见最高投标限价公布函。</w:t>
      </w:r>
    </w:p>
    <w:p>
      <w:pPr>
        <w:spacing w:line="360" w:lineRule="auto"/>
        <w:ind w:firstLine="48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0000000000000000000"/>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53</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82207"/>
    </w:sdtPr>
    <w:sdtContent>
      <w:p>
        <w:pPr>
          <w:pStyle w:val="25"/>
          <w:jc w:val="right"/>
        </w:pPr>
        <w:r>
          <w:fldChar w:fldCharType="begin"/>
        </w:r>
        <w:r>
          <w:instrText xml:space="preserve">PAGE   \* MERGEFORMAT</w:instrText>
        </w:r>
        <w:r>
          <w:fldChar w:fldCharType="separate"/>
        </w:r>
        <w:r>
          <w:rPr>
            <w:lang w:val="zh-CN"/>
          </w:rPr>
          <w:t>50</w:t>
        </w:r>
        <w:r>
          <w:fldChar w:fldCharType="end"/>
        </w:r>
      </w:p>
    </w:sdtContent>
  </w:sdt>
  <w:p>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67</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1"/>
      </w:rPr>
      <w:fldChar w:fldCharType="begin"/>
    </w:r>
    <w:r>
      <w:rPr>
        <w:rStyle w:val="41"/>
      </w:rPr>
      <w:instrText xml:space="preserve"> PAGE </w:instrText>
    </w:r>
    <w:r>
      <w:rPr>
        <w:rStyle w:val="41"/>
      </w:rPr>
      <w:fldChar w:fldCharType="separate"/>
    </w:r>
    <w:r>
      <w:rPr>
        <w:rStyle w:val="41"/>
      </w:rPr>
      <w:t>54</w:t>
    </w:r>
    <w:r>
      <w:rPr>
        <w:rStyle w:val="4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77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1"/>
      <w:numFmt w:val="decimal"/>
      <w:suff w:val="nothing"/>
      <w:lvlText w:val="（%1）"/>
      <w:lvlJc w:val="left"/>
    </w:lvl>
  </w:abstractNum>
  <w:abstractNum w:abstractNumId="1">
    <w:nsid w:val="CA2D4391"/>
    <w:multiLevelType w:val="singleLevel"/>
    <w:tmpl w:val="CA2D4391"/>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5">
    <w:nsid w:val="7370694D"/>
    <w:multiLevelType w:val="multilevel"/>
    <w:tmpl w:val="7370694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MDkwZjdlY2U5NzcwNzZkZjc0NzQ1ODMzZTZhNmIifQ=="/>
  </w:docVars>
  <w:rsids>
    <w:rsidRoot w:val="007B41BE"/>
    <w:rsid w:val="00006429"/>
    <w:rsid w:val="000200EE"/>
    <w:rsid w:val="000320AB"/>
    <w:rsid w:val="0003663D"/>
    <w:rsid w:val="000425DB"/>
    <w:rsid w:val="0004347B"/>
    <w:rsid w:val="000575F8"/>
    <w:rsid w:val="00065975"/>
    <w:rsid w:val="0006767F"/>
    <w:rsid w:val="00085E30"/>
    <w:rsid w:val="00094639"/>
    <w:rsid w:val="000C1007"/>
    <w:rsid w:val="000C11E0"/>
    <w:rsid w:val="000C2710"/>
    <w:rsid w:val="000C2C31"/>
    <w:rsid w:val="000C38C7"/>
    <w:rsid w:val="000D396E"/>
    <w:rsid w:val="000F0E92"/>
    <w:rsid w:val="000F3F80"/>
    <w:rsid w:val="00112589"/>
    <w:rsid w:val="001130A2"/>
    <w:rsid w:val="00135545"/>
    <w:rsid w:val="001674D3"/>
    <w:rsid w:val="001769A4"/>
    <w:rsid w:val="00181CAA"/>
    <w:rsid w:val="001949DF"/>
    <w:rsid w:val="001B5334"/>
    <w:rsid w:val="001B71D1"/>
    <w:rsid w:val="001C1BB1"/>
    <w:rsid w:val="001C273E"/>
    <w:rsid w:val="001D392E"/>
    <w:rsid w:val="001E0786"/>
    <w:rsid w:val="001E1A86"/>
    <w:rsid w:val="001F50C5"/>
    <w:rsid w:val="00213CF6"/>
    <w:rsid w:val="002164B5"/>
    <w:rsid w:val="0028444F"/>
    <w:rsid w:val="002A27DF"/>
    <w:rsid w:val="002A70A7"/>
    <w:rsid w:val="00300178"/>
    <w:rsid w:val="00336AA3"/>
    <w:rsid w:val="0037385D"/>
    <w:rsid w:val="003879DD"/>
    <w:rsid w:val="0039049E"/>
    <w:rsid w:val="003E43F3"/>
    <w:rsid w:val="003E61FC"/>
    <w:rsid w:val="004219A2"/>
    <w:rsid w:val="00424082"/>
    <w:rsid w:val="004370EC"/>
    <w:rsid w:val="004424B8"/>
    <w:rsid w:val="00451EA6"/>
    <w:rsid w:val="0046136A"/>
    <w:rsid w:val="00477162"/>
    <w:rsid w:val="004B295D"/>
    <w:rsid w:val="004C728D"/>
    <w:rsid w:val="0050213B"/>
    <w:rsid w:val="005041AD"/>
    <w:rsid w:val="00504FF2"/>
    <w:rsid w:val="0052726F"/>
    <w:rsid w:val="00533B4F"/>
    <w:rsid w:val="00554382"/>
    <w:rsid w:val="00575509"/>
    <w:rsid w:val="005866FB"/>
    <w:rsid w:val="005C212B"/>
    <w:rsid w:val="005C4AB6"/>
    <w:rsid w:val="005D1411"/>
    <w:rsid w:val="006036EF"/>
    <w:rsid w:val="006127D8"/>
    <w:rsid w:val="006158F4"/>
    <w:rsid w:val="0063398A"/>
    <w:rsid w:val="0065308B"/>
    <w:rsid w:val="00673B83"/>
    <w:rsid w:val="00676C82"/>
    <w:rsid w:val="00680BFD"/>
    <w:rsid w:val="006B1C0E"/>
    <w:rsid w:val="006B6B0D"/>
    <w:rsid w:val="006C345F"/>
    <w:rsid w:val="006D3A80"/>
    <w:rsid w:val="006F3576"/>
    <w:rsid w:val="0073229B"/>
    <w:rsid w:val="00746239"/>
    <w:rsid w:val="007744DF"/>
    <w:rsid w:val="00780EC8"/>
    <w:rsid w:val="0079191D"/>
    <w:rsid w:val="00793B30"/>
    <w:rsid w:val="007B41BE"/>
    <w:rsid w:val="007C0968"/>
    <w:rsid w:val="007D0CBC"/>
    <w:rsid w:val="007D6D06"/>
    <w:rsid w:val="008146A8"/>
    <w:rsid w:val="00835C9E"/>
    <w:rsid w:val="00882181"/>
    <w:rsid w:val="008A4C5B"/>
    <w:rsid w:val="008D2515"/>
    <w:rsid w:val="008E4AD1"/>
    <w:rsid w:val="00920E49"/>
    <w:rsid w:val="009477A3"/>
    <w:rsid w:val="00976975"/>
    <w:rsid w:val="00991949"/>
    <w:rsid w:val="009A704D"/>
    <w:rsid w:val="009C625D"/>
    <w:rsid w:val="009E1438"/>
    <w:rsid w:val="00A01D8D"/>
    <w:rsid w:val="00A0387A"/>
    <w:rsid w:val="00A0619D"/>
    <w:rsid w:val="00A20AF3"/>
    <w:rsid w:val="00A227AC"/>
    <w:rsid w:val="00A2579D"/>
    <w:rsid w:val="00A50D34"/>
    <w:rsid w:val="00A64E29"/>
    <w:rsid w:val="00A77EB7"/>
    <w:rsid w:val="00A83ADA"/>
    <w:rsid w:val="00A857ED"/>
    <w:rsid w:val="00A97626"/>
    <w:rsid w:val="00AB4980"/>
    <w:rsid w:val="00AB5B43"/>
    <w:rsid w:val="00AC40F7"/>
    <w:rsid w:val="00AD3DEE"/>
    <w:rsid w:val="00AD5731"/>
    <w:rsid w:val="00AD6716"/>
    <w:rsid w:val="00AE3791"/>
    <w:rsid w:val="00AE4A01"/>
    <w:rsid w:val="00B22E77"/>
    <w:rsid w:val="00B5769C"/>
    <w:rsid w:val="00B66488"/>
    <w:rsid w:val="00B849A8"/>
    <w:rsid w:val="00B874B6"/>
    <w:rsid w:val="00BA702D"/>
    <w:rsid w:val="00BC7B91"/>
    <w:rsid w:val="00BD3A23"/>
    <w:rsid w:val="00BE1732"/>
    <w:rsid w:val="00BE216D"/>
    <w:rsid w:val="00C17AD6"/>
    <w:rsid w:val="00C2307C"/>
    <w:rsid w:val="00C254EF"/>
    <w:rsid w:val="00C267C0"/>
    <w:rsid w:val="00C32C1E"/>
    <w:rsid w:val="00C33D00"/>
    <w:rsid w:val="00C3703A"/>
    <w:rsid w:val="00C408D3"/>
    <w:rsid w:val="00C75AEA"/>
    <w:rsid w:val="00C81F53"/>
    <w:rsid w:val="00C82C8A"/>
    <w:rsid w:val="00C8578D"/>
    <w:rsid w:val="00CD156B"/>
    <w:rsid w:val="00CD451C"/>
    <w:rsid w:val="00D0090D"/>
    <w:rsid w:val="00D05E2F"/>
    <w:rsid w:val="00D06AFB"/>
    <w:rsid w:val="00D50C75"/>
    <w:rsid w:val="00D60911"/>
    <w:rsid w:val="00D646F3"/>
    <w:rsid w:val="00D64AAD"/>
    <w:rsid w:val="00D75B45"/>
    <w:rsid w:val="00D84E64"/>
    <w:rsid w:val="00DB6CBE"/>
    <w:rsid w:val="00DF0249"/>
    <w:rsid w:val="00E06EEC"/>
    <w:rsid w:val="00E10990"/>
    <w:rsid w:val="00E21EBC"/>
    <w:rsid w:val="00E22EAB"/>
    <w:rsid w:val="00E3063A"/>
    <w:rsid w:val="00E423BC"/>
    <w:rsid w:val="00E457F6"/>
    <w:rsid w:val="00E60CBB"/>
    <w:rsid w:val="00E638F3"/>
    <w:rsid w:val="00E70809"/>
    <w:rsid w:val="00E91172"/>
    <w:rsid w:val="00E9344A"/>
    <w:rsid w:val="00EA534F"/>
    <w:rsid w:val="00EB6530"/>
    <w:rsid w:val="00EC014E"/>
    <w:rsid w:val="00EC259D"/>
    <w:rsid w:val="00EC2950"/>
    <w:rsid w:val="00EC709A"/>
    <w:rsid w:val="00EF56CA"/>
    <w:rsid w:val="00F40301"/>
    <w:rsid w:val="00F40C0E"/>
    <w:rsid w:val="00F42086"/>
    <w:rsid w:val="00F7129C"/>
    <w:rsid w:val="00F7467F"/>
    <w:rsid w:val="00F83252"/>
    <w:rsid w:val="00F903CD"/>
    <w:rsid w:val="00FA5926"/>
    <w:rsid w:val="00FC5596"/>
    <w:rsid w:val="012859DF"/>
    <w:rsid w:val="012862E0"/>
    <w:rsid w:val="01912822"/>
    <w:rsid w:val="020153E9"/>
    <w:rsid w:val="022C0942"/>
    <w:rsid w:val="02E92345"/>
    <w:rsid w:val="03A95216"/>
    <w:rsid w:val="04CB3E7D"/>
    <w:rsid w:val="053B310D"/>
    <w:rsid w:val="05716ECB"/>
    <w:rsid w:val="05935ABA"/>
    <w:rsid w:val="062370D4"/>
    <w:rsid w:val="069D2020"/>
    <w:rsid w:val="072F44E3"/>
    <w:rsid w:val="07A34FF1"/>
    <w:rsid w:val="09922983"/>
    <w:rsid w:val="09F33618"/>
    <w:rsid w:val="0A922DED"/>
    <w:rsid w:val="0B18224D"/>
    <w:rsid w:val="0BBC4223"/>
    <w:rsid w:val="0BFB63DB"/>
    <w:rsid w:val="0C493ED1"/>
    <w:rsid w:val="0C990D6B"/>
    <w:rsid w:val="0CBB102F"/>
    <w:rsid w:val="0CC62F7A"/>
    <w:rsid w:val="0E032C8D"/>
    <w:rsid w:val="0E39635B"/>
    <w:rsid w:val="0ED63EFE"/>
    <w:rsid w:val="0EF05B91"/>
    <w:rsid w:val="0F7E4AB5"/>
    <w:rsid w:val="0FEF45D8"/>
    <w:rsid w:val="1033671D"/>
    <w:rsid w:val="10C607D4"/>
    <w:rsid w:val="116E272C"/>
    <w:rsid w:val="11BE163A"/>
    <w:rsid w:val="11E35BA1"/>
    <w:rsid w:val="11E8746F"/>
    <w:rsid w:val="121C57F5"/>
    <w:rsid w:val="124F79E9"/>
    <w:rsid w:val="12CA0DD4"/>
    <w:rsid w:val="135E56F6"/>
    <w:rsid w:val="141D7112"/>
    <w:rsid w:val="14D34591"/>
    <w:rsid w:val="1528122B"/>
    <w:rsid w:val="163065E9"/>
    <w:rsid w:val="1687517E"/>
    <w:rsid w:val="16E865EE"/>
    <w:rsid w:val="17CF1E32"/>
    <w:rsid w:val="18151F96"/>
    <w:rsid w:val="181C07FE"/>
    <w:rsid w:val="18233D92"/>
    <w:rsid w:val="18251EC7"/>
    <w:rsid w:val="18586E57"/>
    <w:rsid w:val="19425463"/>
    <w:rsid w:val="19592823"/>
    <w:rsid w:val="1A2F4635"/>
    <w:rsid w:val="1ACF1B46"/>
    <w:rsid w:val="1AD03189"/>
    <w:rsid w:val="1AF75BCA"/>
    <w:rsid w:val="1B425EC3"/>
    <w:rsid w:val="1B6046B1"/>
    <w:rsid w:val="1B7B1927"/>
    <w:rsid w:val="1D7F49B2"/>
    <w:rsid w:val="1DAC40AF"/>
    <w:rsid w:val="1DF60FCA"/>
    <w:rsid w:val="1E167DA9"/>
    <w:rsid w:val="1E486D96"/>
    <w:rsid w:val="1EBA5A37"/>
    <w:rsid w:val="1FA1395A"/>
    <w:rsid w:val="23E80503"/>
    <w:rsid w:val="24A972CC"/>
    <w:rsid w:val="252E0005"/>
    <w:rsid w:val="25DB577D"/>
    <w:rsid w:val="26CF74AD"/>
    <w:rsid w:val="26D67E2C"/>
    <w:rsid w:val="275477D4"/>
    <w:rsid w:val="275E4ED9"/>
    <w:rsid w:val="27714DB7"/>
    <w:rsid w:val="27A71F87"/>
    <w:rsid w:val="28303B7B"/>
    <w:rsid w:val="28790229"/>
    <w:rsid w:val="289B6BAD"/>
    <w:rsid w:val="295178D7"/>
    <w:rsid w:val="2A7A5E78"/>
    <w:rsid w:val="2A880A7B"/>
    <w:rsid w:val="2AF6062B"/>
    <w:rsid w:val="2AFA6460"/>
    <w:rsid w:val="2AFD391A"/>
    <w:rsid w:val="2AFF440D"/>
    <w:rsid w:val="2C6E6B90"/>
    <w:rsid w:val="2DC01F23"/>
    <w:rsid w:val="2DC4660F"/>
    <w:rsid w:val="2E180CEC"/>
    <w:rsid w:val="2EA94D33"/>
    <w:rsid w:val="2FA417C3"/>
    <w:rsid w:val="2FF563EE"/>
    <w:rsid w:val="30997F39"/>
    <w:rsid w:val="315F530D"/>
    <w:rsid w:val="32BF3509"/>
    <w:rsid w:val="336062F5"/>
    <w:rsid w:val="33A16D02"/>
    <w:rsid w:val="34C65CBE"/>
    <w:rsid w:val="35516B4C"/>
    <w:rsid w:val="3579103D"/>
    <w:rsid w:val="35F92E7B"/>
    <w:rsid w:val="368D5637"/>
    <w:rsid w:val="37073AA7"/>
    <w:rsid w:val="375D203C"/>
    <w:rsid w:val="38026A6F"/>
    <w:rsid w:val="382819FC"/>
    <w:rsid w:val="39C15447"/>
    <w:rsid w:val="3A6C1087"/>
    <w:rsid w:val="3ACC4283"/>
    <w:rsid w:val="3B2225DD"/>
    <w:rsid w:val="3B484CC6"/>
    <w:rsid w:val="3B9432C7"/>
    <w:rsid w:val="3BA70C12"/>
    <w:rsid w:val="3C223913"/>
    <w:rsid w:val="3C3B2277"/>
    <w:rsid w:val="3CD80FAC"/>
    <w:rsid w:val="3D110B2C"/>
    <w:rsid w:val="3D60411F"/>
    <w:rsid w:val="3DF871B1"/>
    <w:rsid w:val="3F2C2198"/>
    <w:rsid w:val="4028527E"/>
    <w:rsid w:val="41A3115F"/>
    <w:rsid w:val="41E657FF"/>
    <w:rsid w:val="422210F1"/>
    <w:rsid w:val="42BC2818"/>
    <w:rsid w:val="43170066"/>
    <w:rsid w:val="44801246"/>
    <w:rsid w:val="454D643E"/>
    <w:rsid w:val="454F69F1"/>
    <w:rsid w:val="45A04F83"/>
    <w:rsid w:val="45A8081F"/>
    <w:rsid w:val="45B263A1"/>
    <w:rsid w:val="478D1D86"/>
    <w:rsid w:val="47A95DE3"/>
    <w:rsid w:val="48523C0A"/>
    <w:rsid w:val="49867CF3"/>
    <w:rsid w:val="49F552ED"/>
    <w:rsid w:val="4A3B6AE1"/>
    <w:rsid w:val="4A461F3D"/>
    <w:rsid w:val="4B3F6B82"/>
    <w:rsid w:val="4B6B7860"/>
    <w:rsid w:val="4C2032CB"/>
    <w:rsid w:val="4C5D2882"/>
    <w:rsid w:val="4D7417E6"/>
    <w:rsid w:val="4DFA13E7"/>
    <w:rsid w:val="4E3C4E24"/>
    <w:rsid w:val="4E6C325B"/>
    <w:rsid w:val="4EB8094F"/>
    <w:rsid w:val="4F3A25E5"/>
    <w:rsid w:val="504B1150"/>
    <w:rsid w:val="52F0763D"/>
    <w:rsid w:val="53075FED"/>
    <w:rsid w:val="53F92C98"/>
    <w:rsid w:val="545C4D54"/>
    <w:rsid w:val="582A1347"/>
    <w:rsid w:val="58BE4750"/>
    <w:rsid w:val="58C1761D"/>
    <w:rsid w:val="58C3061C"/>
    <w:rsid w:val="5943175D"/>
    <w:rsid w:val="59C87E43"/>
    <w:rsid w:val="59C9560C"/>
    <w:rsid w:val="5CDC0081"/>
    <w:rsid w:val="5CDF456F"/>
    <w:rsid w:val="5CEA51C8"/>
    <w:rsid w:val="5D0E1B62"/>
    <w:rsid w:val="5D314285"/>
    <w:rsid w:val="5D572C78"/>
    <w:rsid w:val="5D5E3674"/>
    <w:rsid w:val="5E286A9B"/>
    <w:rsid w:val="5E8A398A"/>
    <w:rsid w:val="5E905FD2"/>
    <w:rsid w:val="5F084F1A"/>
    <w:rsid w:val="5F4B72E8"/>
    <w:rsid w:val="5F562FF3"/>
    <w:rsid w:val="626C4459"/>
    <w:rsid w:val="62B86D17"/>
    <w:rsid w:val="630C52F1"/>
    <w:rsid w:val="636B3D8A"/>
    <w:rsid w:val="6490562C"/>
    <w:rsid w:val="64B5517A"/>
    <w:rsid w:val="64C26724"/>
    <w:rsid w:val="653505E7"/>
    <w:rsid w:val="65451B94"/>
    <w:rsid w:val="6545310B"/>
    <w:rsid w:val="658A5755"/>
    <w:rsid w:val="65F36023"/>
    <w:rsid w:val="66526610"/>
    <w:rsid w:val="672B23E7"/>
    <w:rsid w:val="697D1440"/>
    <w:rsid w:val="69B72349"/>
    <w:rsid w:val="6B5477F9"/>
    <w:rsid w:val="6BCF4E29"/>
    <w:rsid w:val="6C7621DF"/>
    <w:rsid w:val="6C787452"/>
    <w:rsid w:val="6CEF4F0F"/>
    <w:rsid w:val="6CF32166"/>
    <w:rsid w:val="6D341690"/>
    <w:rsid w:val="6D361005"/>
    <w:rsid w:val="6DAB59DE"/>
    <w:rsid w:val="6E7812D4"/>
    <w:rsid w:val="6F21151B"/>
    <w:rsid w:val="6F73290D"/>
    <w:rsid w:val="6FB97C34"/>
    <w:rsid w:val="70D52114"/>
    <w:rsid w:val="716C4614"/>
    <w:rsid w:val="72741777"/>
    <w:rsid w:val="736D52FD"/>
    <w:rsid w:val="73CC483B"/>
    <w:rsid w:val="749367DF"/>
    <w:rsid w:val="74DF50FB"/>
    <w:rsid w:val="75750A98"/>
    <w:rsid w:val="76515061"/>
    <w:rsid w:val="76D80BC1"/>
    <w:rsid w:val="77114627"/>
    <w:rsid w:val="77BD1CC3"/>
    <w:rsid w:val="78B76111"/>
    <w:rsid w:val="78FD72DD"/>
    <w:rsid w:val="79A5034F"/>
    <w:rsid w:val="79D57D57"/>
    <w:rsid w:val="79EB30D7"/>
    <w:rsid w:val="7A0718DE"/>
    <w:rsid w:val="7ADC31A8"/>
    <w:rsid w:val="7BD84DCC"/>
    <w:rsid w:val="7C4C3E63"/>
    <w:rsid w:val="7CBD0AA9"/>
    <w:rsid w:val="7D421296"/>
    <w:rsid w:val="7D910439"/>
    <w:rsid w:val="7E4454A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link w:val="12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77"/>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rPr>
      <w:rFonts w:ascii="Times New Roman" w:hAnsi="Times New Roman" w:eastAsia="等线" w:cs="等线"/>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8"/>
    <w:link w:val="112"/>
    <w:unhideWhenUsed/>
    <w:qFormat/>
    <w:uiPriority w:val="99"/>
    <w:pPr>
      <w:spacing w:after="120"/>
      <w:ind w:left="420" w:leftChars="200" w:firstLine="420" w:firstLineChars="200"/>
    </w:pPr>
    <w:rPr>
      <w:rFonts w:ascii="Calibri" w:hAnsi="Calibri"/>
      <w:sz w:val="21"/>
      <w:szCs w:val="2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99"/>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99"/>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正文首行缩进 2 字符"/>
    <w:basedOn w:val="77"/>
    <w:link w:val="35"/>
    <w:qFormat/>
    <w:uiPriority w:val="99"/>
    <w:rPr>
      <w:rFonts w:ascii="Calibri" w:hAnsi="Calibri" w:eastAsia="宋体" w:cs="Times New Roman"/>
      <w:kern w:val="2"/>
      <w:sz w:val="21"/>
      <w:szCs w:val="22"/>
    </w:rPr>
  </w:style>
  <w:style w:type="paragraph" w:customStyle="1" w:styleId="113">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114">
    <w:name w:val="文一 Char"/>
    <w:link w:val="115"/>
    <w:qFormat/>
    <w:uiPriority w:val="0"/>
    <w:rPr>
      <w:rFonts w:ascii="Times New Roman" w:hAnsi="Times New Roman" w:eastAsia="宋体"/>
      <w:spacing w:val="4"/>
      <w:sz w:val="24"/>
      <w:szCs w:val="24"/>
    </w:rPr>
  </w:style>
  <w:style w:type="paragraph" w:customStyle="1" w:styleId="115">
    <w:name w:val="文一"/>
    <w:basedOn w:val="1"/>
    <w:link w:val="114"/>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6">
    <w:name w:val="封二"/>
    <w:basedOn w:val="115"/>
    <w:next w:val="115"/>
    <w:qFormat/>
    <w:uiPriority w:val="0"/>
    <w:pPr>
      <w:ind w:firstLine="0" w:firstLineChars="0"/>
      <w:jc w:val="center"/>
    </w:pPr>
    <w:rPr>
      <w:rFonts w:eastAsia="黑体"/>
      <w:b/>
      <w:sz w:val="36"/>
      <w:szCs w:val="36"/>
    </w:rPr>
  </w:style>
  <w:style w:type="paragraph" w:customStyle="1" w:styleId="117">
    <w:name w:val="封四"/>
    <w:basedOn w:val="115"/>
    <w:next w:val="115"/>
    <w:qFormat/>
    <w:uiPriority w:val="0"/>
    <w:pPr>
      <w:jc w:val="left"/>
    </w:pPr>
    <w:rPr>
      <w:sz w:val="30"/>
      <w:szCs w:val="30"/>
    </w:rPr>
  </w:style>
  <w:style w:type="paragraph" w:customStyle="1" w:styleId="118">
    <w:name w:val="封一"/>
    <w:basedOn w:val="115"/>
    <w:next w:val="115"/>
    <w:qFormat/>
    <w:uiPriority w:val="0"/>
    <w:pPr>
      <w:ind w:firstLine="0" w:firstLineChars="0"/>
      <w:jc w:val="center"/>
    </w:pPr>
    <w:rPr>
      <w:rFonts w:eastAsia="黑体"/>
      <w:b/>
      <w:sz w:val="84"/>
      <w:szCs w:val="84"/>
    </w:rPr>
  </w:style>
  <w:style w:type="paragraph" w:customStyle="1" w:styleId="119">
    <w:name w:val="正题"/>
    <w:basedOn w:val="1"/>
    <w:next w:val="115"/>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20">
    <w:name w:val="文二"/>
    <w:basedOn w:val="1"/>
    <w:qFormat/>
    <w:uiPriority w:val="0"/>
    <w:pPr>
      <w:jc w:val="left"/>
    </w:pPr>
    <w:rPr>
      <w:rFonts w:ascii="宋体" w:hAnsi="宋体"/>
      <w:szCs w:val="21"/>
    </w:rPr>
  </w:style>
  <w:style w:type="character" w:customStyle="1" w:styleId="121">
    <w:name w:val="正文缩进 字符"/>
    <w:link w:val="10"/>
    <w:qFormat/>
    <w:uiPriority w:val="0"/>
    <w:rPr>
      <w:rFonts w:ascii="Times New Roman" w:hAnsi="Times New Roman" w:eastAsia="宋体"/>
      <w:kern w:val="2"/>
      <w:sz w:val="21"/>
    </w:rPr>
  </w:style>
  <w:style w:type="paragraph" w:customStyle="1" w:styleId="122">
    <w:name w:val="修订2"/>
    <w:hidden/>
    <w:unhideWhenUsed/>
    <w:qFormat/>
    <w:uiPriority w:val="99"/>
    <w:rPr>
      <w:rFonts w:ascii="Calibri" w:hAnsi="Calibri" w:eastAsia="宋体" w:cs="Times New Roman"/>
      <w:kern w:val="2"/>
      <w:sz w:val="21"/>
      <w:szCs w:val="22"/>
      <w:lang w:val="en-US" w:eastAsia="zh-CN" w:bidi="ar-SA"/>
    </w:rPr>
  </w:style>
  <w:style w:type="character" w:customStyle="1" w:styleId="123">
    <w:name w:val="NormalCharacter"/>
    <w:qFormat/>
    <w:uiPriority w:val="0"/>
  </w:style>
  <w:style w:type="paragraph" w:customStyle="1" w:styleId="12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5">
    <w:name w:val="font51"/>
    <w:qFormat/>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9C3B4-2423-40FC-80B3-74CCFEFABD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46670</Words>
  <Characters>48963</Characters>
  <Lines>401</Lines>
  <Paragraphs>113</Paragraphs>
  <TotalTime>236</TotalTime>
  <ScaleCrop>false</ScaleCrop>
  <LinksUpToDate>false</LinksUpToDate>
  <CharactersWithSpaces>52555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2022-04-24T02:20:00Z</dcterms:created>
  <dc:creator>Lenovo</dc:creator>
  <cp:lastModifiedBy>YHJ</cp:lastModifiedBy>
  <cp:lastPrinted>2022-12-13T08:03:00Z</cp:lastPrinted>
  <dcterms:modified xsi:type="dcterms:W3CDTF">2023-03-28T02:23:40Z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315BC83680E5460FAA99C7684B4DD0CE</vt:lpwstr>
  </property>
</Properties>
</file>