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6A78C">
      <w:pPr>
        <w:spacing w:line="361" w:lineRule="auto"/>
        <w:rPr>
          <w:rFonts w:ascii="Arial"/>
          <w:sz w:val="21"/>
        </w:rPr>
      </w:pPr>
    </w:p>
    <w:p w14:paraId="71239CC1">
      <w:pPr>
        <w:spacing w:line="247" w:lineRule="auto"/>
        <w:rPr>
          <w:rFonts w:ascii="Arial"/>
          <w:sz w:val="21"/>
        </w:rPr>
      </w:pPr>
    </w:p>
    <w:p w14:paraId="4CF64AFB">
      <w:pPr>
        <w:spacing w:line="247" w:lineRule="auto"/>
        <w:rPr>
          <w:rFonts w:ascii="Arial"/>
          <w:sz w:val="21"/>
        </w:rPr>
      </w:pPr>
    </w:p>
    <w:p w14:paraId="495F169E">
      <w:pPr>
        <w:spacing w:line="247" w:lineRule="auto"/>
        <w:rPr>
          <w:rFonts w:ascii="Arial"/>
          <w:sz w:val="21"/>
        </w:rPr>
      </w:pPr>
    </w:p>
    <w:p w14:paraId="22EF97E1">
      <w:pPr>
        <w:spacing w:line="247" w:lineRule="auto"/>
        <w:rPr>
          <w:rFonts w:ascii="Arial"/>
          <w:sz w:val="21"/>
        </w:rPr>
      </w:pPr>
    </w:p>
    <w:p w14:paraId="0E0225B7">
      <w:pPr>
        <w:spacing w:line="247" w:lineRule="auto"/>
        <w:rPr>
          <w:rFonts w:ascii="Arial"/>
          <w:sz w:val="21"/>
        </w:rPr>
      </w:pPr>
    </w:p>
    <w:p w14:paraId="26F4FDB4">
      <w:pPr>
        <w:spacing w:line="247" w:lineRule="auto"/>
        <w:rPr>
          <w:rFonts w:ascii="Arial"/>
          <w:sz w:val="21"/>
        </w:rPr>
      </w:pPr>
    </w:p>
    <w:p w14:paraId="1A3CA760">
      <w:pPr>
        <w:spacing w:line="247" w:lineRule="auto"/>
        <w:rPr>
          <w:rFonts w:ascii="Arial"/>
          <w:sz w:val="21"/>
        </w:rPr>
      </w:pPr>
    </w:p>
    <w:p w14:paraId="4824E520">
      <w:pPr>
        <w:spacing w:line="247" w:lineRule="auto"/>
        <w:rPr>
          <w:rFonts w:ascii="Arial"/>
          <w:sz w:val="21"/>
        </w:rPr>
      </w:pPr>
    </w:p>
    <w:p w14:paraId="339B1019">
      <w:pPr>
        <w:spacing w:line="247" w:lineRule="auto"/>
        <w:rPr>
          <w:rFonts w:ascii="Arial"/>
          <w:sz w:val="21"/>
        </w:rPr>
      </w:pPr>
    </w:p>
    <w:p w14:paraId="682FA2AD">
      <w:pPr>
        <w:spacing w:line="247" w:lineRule="auto"/>
        <w:rPr>
          <w:rFonts w:ascii="Arial"/>
          <w:sz w:val="21"/>
        </w:rPr>
      </w:pPr>
    </w:p>
    <w:p w14:paraId="1FED4ED6">
      <w:pPr>
        <w:spacing w:line="248" w:lineRule="auto"/>
        <w:rPr>
          <w:rFonts w:ascii="Arial"/>
          <w:sz w:val="21"/>
        </w:rPr>
      </w:pPr>
    </w:p>
    <w:p w14:paraId="1E5DCD27">
      <w:pPr>
        <w:spacing w:line="248" w:lineRule="auto"/>
        <w:rPr>
          <w:rFonts w:ascii="Arial"/>
          <w:sz w:val="21"/>
        </w:rPr>
      </w:pPr>
    </w:p>
    <w:p w14:paraId="57FD7BB4">
      <w:pPr>
        <w:spacing w:line="248" w:lineRule="auto"/>
        <w:rPr>
          <w:rFonts w:ascii="Arial"/>
          <w:sz w:val="21"/>
        </w:rPr>
      </w:pPr>
    </w:p>
    <w:p w14:paraId="5ECD2BB5">
      <w:pPr>
        <w:spacing w:line="248" w:lineRule="auto"/>
        <w:rPr>
          <w:rFonts w:ascii="Arial"/>
          <w:sz w:val="21"/>
        </w:rPr>
      </w:pPr>
    </w:p>
    <w:p w14:paraId="010B2B39">
      <w:pPr>
        <w:spacing w:line="248" w:lineRule="auto"/>
        <w:rPr>
          <w:rFonts w:ascii="Arial"/>
          <w:sz w:val="21"/>
        </w:rPr>
      </w:pPr>
    </w:p>
    <w:p w14:paraId="4EC9AFFB">
      <w:pPr>
        <w:spacing w:line="248" w:lineRule="auto"/>
        <w:rPr>
          <w:rFonts w:ascii="Arial"/>
          <w:sz w:val="21"/>
        </w:rPr>
      </w:pPr>
    </w:p>
    <w:p w14:paraId="38E885B0">
      <w:pPr>
        <w:spacing w:line="248" w:lineRule="auto"/>
        <w:rPr>
          <w:rFonts w:ascii="Arial"/>
          <w:sz w:val="21"/>
        </w:rPr>
      </w:pPr>
    </w:p>
    <w:p w14:paraId="64936C5E">
      <w:pPr>
        <w:spacing w:line="248" w:lineRule="auto"/>
        <w:rPr>
          <w:rFonts w:ascii="Arial"/>
          <w:sz w:val="21"/>
        </w:rPr>
      </w:pPr>
    </w:p>
    <w:p w14:paraId="415B7C92">
      <w:pPr>
        <w:spacing w:line="248" w:lineRule="auto"/>
        <w:rPr>
          <w:rFonts w:ascii="Arial"/>
          <w:sz w:val="21"/>
        </w:rPr>
      </w:pPr>
    </w:p>
    <w:p w14:paraId="5357C83D">
      <w:pPr>
        <w:spacing w:line="248" w:lineRule="auto"/>
        <w:rPr>
          <w:rFonts w:ascii="Arial"/>
          <w:sz w:val="21"/>
        </w:rPr>
      </w:pPr>
    </w:p>
    <w:p w14:paraId="730FFF4D">
      <w:pPr>
        <w:spacing w:line="248" w:lineRule="auto"/>
        <w:rPr>
          <w:rFonts w:ascii="Arial"/>
          <w:sz w:val="21"/>
        </w:rPr>
      </w:pPr>
    </w:p>
    <w:p w14:paraId="02C5C527">
      <w:pPr>
        <w:spacing w:line="248" w:lineRule="auto"/>
        <w:rPr>
          <w:rFonts w:ascii="Arial"/>
          <w:sz w:val="21"/>
        </w:rPr>
      </w:pPr>
    </w:p>
    <w:p w14:paraId="14AE364D">
      <w:pPr>
        <w:spacing w:before="140" w:line="222" w:lineRule="auto"/>
        <w:ind w:left="2114"/>
        <w:outlineLvl w:val="0"/>
        <w:rPr>
          <w:rFonts w:ascii="宋体" w:hAnsi="宋体" w:eastAsia="宋体" w:cs="宋体"/>
          <w:sz w:val="43"/>
          <w:szCs w:val="43"/>
        </w:rPr>
      </w:pPr>
      <w:bookmarkStart w:id="0" w:name="bookmark10"/>
      <w:bookmarkEnd w:id="0"/>
      <w:r>
        <w:rPr>
          <w:rFonts w:ascii="宋体" w:hAnsi="宋体" w:eastAsia="宋体" w:cs="宋体"/>
          <w:b/>
          <w:bCs/>
          <w:spacing w:val="5"/>
          <w:sz w:val="43"/>
          <w:szCs w:val="43"/>
        </w:rPr>
        <w:t>第四章</w:t>
      </w:r>
      <w:r>
        <w:rPr>
          <w:rFonts w:ascii="宋体" w:hAnsi="宋体" w:eastAsia="宋体" w:cs="宋体"/>
          <w:spacing w:val="5"/>
          <w:sz w:val="43"/>
          <w:szCs w:val="43"/>
        </w:rPr>
        <w:t xml:space="preserve">  </w:t>
      </w:r>
      <w:r>
        <w:rPr>
          <w:rFonts w:ascii="宋体" w:hAnsi="宋体" w:eastAsia="宋体" w:cs="宋体"/>
          <w:b/>
          <w:bCs/>
          <w:spacing w:val="5"/>
          <w:sz w:val="43"/>
          <w:szCs w:val="43"/>
        </w:rPr>
        <w:t>合同条款及格式</w:t>
      </w:r>
    </w:p>
    <w:p w14:paraId="2D02FE89">
      <w:pPr>
        <w:spacing w:line="222" w:lineRule="auto"/>
        <w:rPr>
          <w:rFonts w:ascii="宋体" w:hAnsi="宋体" w:eastAsia="宋体" w:cs="宋体"/>
          <w:sz w:val="43"/>
          <w:szCs w:val="43"/>
        </w:rPr>
        <w:sectPr>
          <w:headerReference r:id="rId5" w:type="default"/>
          <w:footerReference r:id="rId6" w:type="default"/>
          <w:pgSz w:w="11900" w:h="16839"/>
          <w:pgMar w:top="1106" w:right="1416" w:bottom="1026" w:left="1423" w:header="829" w:footer="791" w:gutter="0"/>
          <w:pgNumType w:fmt="decimal"/>
          <w:cols w:space="720" w:num="1"/>
        </w:sectPr>
      </w:pPr>
    </w:p>
    <w:p w14:paraId="1FF898F3">
      <w:pPr>
        <w:spacing w:line="269" w:lineRule="auto"/>
        <w:rPr>
          <w:rFonts w:ascii="Arial"/>
          <w:sz w:val="21"/>
        </w:rPr>
      </w:pPr>
    </w:p>
    <w:p w14:paraId="38A31495">
      <w:pPr>
        <w:spacing w:before="101" w:line="225" w:lineRule="auto"/>
        <w:ind w:left="3053"/>
        <w:rPr>
          <w:rFonts w:ascii="宋体" w:hAnsi="宋体" w:eastAsia="宋体" w:cs="宋体"/>
          <w:sz w:val="31"/>
          <w:szCs w:val="31"/>
        </w:rPr>
      </w:pPr>
      <w:r>
        <w:rPr>
          <w:rFonts w:ascii="宋体" w:hAnsi="宋体" w:eastAsia="宋体" w:cs="宋体"/>
          <w:b/>
          <w:bCs/>
          <w:spacing w:val="4"/>
          <w:sz w:val="31"/>
          <w:szCs w:val="31"/>
        </w:rPr>
        <w:t>第一节</w:t>
      </w:r>
      <w:r>
        <w:rPr>
          <w:rFonts w:ascii="宋体" w:hAnsi="宋体" w:eastAsia="宋体" w:cs="宋体"/>
          <w:spacing w:val="-56"/>
          <w:sz w:val="31"/>
          <w:szCs w:val="31"/>
        </w:rPr>
        <w:t xml:space="preserve"> </w:t>
      </w:r>
      <w:r>
        <w:rPr>
          <w:rFonts w:ascii="宋体" w:hAnsi="宋体" w:eastAsia="宋体" w:cs="宋体"/>
          <w:b/>
          <w:bCs/>
          <w:spacing w:val="4"/>
          <w:sz w:val="31"/>
          <w:szCs w:val="31"/>
        </w:rPr>
        <w:t>通用合同条款</w:t>
      </w:r>
    </w:p>
    <w:p w14:paraId="6819B38D">
      <w:pPr>
        <w:spacing w:line="253" w:lineRule="auto"/>
        <w:rPr>
          <w:rFonts w:ascii="Arial"/>
          <w:sz w:val="21"/>
        </w:rPr>
      </w:pPr>
    </w:p>
    <w:p w14:paraId="34F554A0">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一般约定</w:t>
      </w:r>
    </w:p>
    <w:p w14:paraId="1C7B2098">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1.1 词语定义</w:t>
      </w:r>
    </w:p>
    <w:p w14:paraId="07F71A2A">
      <w:pPr>
        <w:spacing w:line="400" w:lineRule="exact"/>
        <w:ind w:firstLine="480" w:firstLineChars="200"/>
        <w:jc w:val="both"/>
        <w:rPr>
          <w:rFonts w:hint="eastAsia"/>
          <w:color w:val="auto"/>
          <w:sz w:val="24"/>
          <w:szCs w:val="24"/>
          <w:highlight w:val="none"/>
        </w:rPr>
      </w:pPr>
      <w:r>
        <w:rPr>
          <w:rFonts w:hint="eastAsia"/>
          <w:color w:val="auto"/>
          <w:sz w:val="24"/>
          <w:szCs w:val="24"/>
          <w:highlight w:val="none"/>
        </w:rPr>
        <w:t>通用合同条款、专用合同条款中的下列词语应具有本款所赋予的含义。</w:t>
      </w:r>
    </w:p>
    <w:p w14:paraId="54AB09BC">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合同</w:t>
      </w:r>
    </w:p>
    <w:p w14:paraId="3FDA92A8">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1.1.1.1 合同文件（或称合同）：指合同协议书、中标通知书、投标函及投标函附录、专用合同条款、通用合同条款、技术标准和要求、图纸、已标价工程量清单，以及其他合同文件。</w:t>
      </w:r>
    </w:p>
    <w:p w14:paraId="573DD3D6">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1.1.1.2 合同协议书：指第1.5款所指的合同协议书。</w:t>
      </w:r>
    </w:p>
    <w:p w14:paraId="319C787E">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1.1.1.3 中标通知书：指发包人通知承包人中标的函件。</w:t>
      </w:r>
    </w:p>
    <w:p w14:paraId="43969D78">
      <w:pPr>
        <w:spacing w:line="400" w:lineRule="exact"/>
        <w:ind w:firstLine="820" w:firstLineChars="342"/>
        <w:jc w:val="both"/>
        <w:rPr>
          <w:rFonts w:hint="eastAsia" w:asciiTheme="minorEastAsia" w:hAnsiTheme="minorEastAsia" w:eastAsiaTheme="minorEastAsia" w:cstheme="minorEastAsia"/>
          <w:dstrike/>
          <w:color w:val="auto"/>
          <w:sz w:val="24"/>
          <w:szCs w:val="24"/>
          <w:highlight w:val="none"/>
        </w:rPr>
      </w:pPr>
      <w:r>
        <w:rPr>
          <w:rFonts w:hint="eastAsia" w:asciiTheme="minorEastAsia" w:hAnsiTheme="minorEastAsia" w:eastAsiaTheme="minorEastAsia" w:cstheme="minorEastAsia"/>
          <w:color w:val="auto"/>
          <w:sz w:val="24"/>
          <w:szCs w:val="24"/>
          <w:highlight w:val="none"/>
        </w:rPr>
        <w:t>1.1.1.4 投标函：指构成合同文件组成部分的由承包人填写并签署的投标函。</w:t>
      </w:r>
    </w:p>
    <w:p w14:paraId="4A90E7C7">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1.1.1.5 投标函附录：指附在投标函后构成合同文件的投标函附录。</w:t>
      </w:r>
    </w:p>
    <w:p w14:paraId="1A36B765">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1.1.1.6 技术标准和要求：指构成合同文件组成部分的名为技术标准和要求的文件，包括合同双方当事人约定对其所作的修改或补充。</w:t>
      </w:r>
    </w:p>
    <w:p w14:paraId="5F7689F4">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1.1.1.7图纸：指包含在合同中的工程图纸，以及由发包人按合同约定提供的任何补充和修改的图纸，包括配套的说明。</w:t>
      </w:r>
    </w:p>
    <w:p w14:paraId="71F8D2C3">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1.1.1.8 已标价工程量清单：指构成合同文件组成部分的由承包人按照规定的格式和要求填写并标明价格的工程量清单。</w:t>
      </w:r>
    </w:p>
    <w:p w14:paraId="45533B83">
      <w:pPr>
        <w:spacing w:line="400" w:lineRule="exact"/>
        <w:ind w:firstLine="820" w:firstLineChars="342"/>
        <w:jc w:val="both"/>
        <w:rPr>
          <w:rFonts w:hint="eastAsia"/>
          <w:color w:val="auto"/>
          <w:sz w:val="24"/>
          <w:szCs w:val="24"/>
          <w:highlight w:val="none"/>
        </w:rPr>
      </w:pPr>
      <w:r>
        <w:rPr>
          <w:rFonts w:hint="eastAsia" w:asciiTheme="minorEastAsia" w:hAnsiTheme="minorEastAsia" w:eastAsiaTheme="minorEastAsia" w:cstheme="minorEastAsia"/>
          <w:color w:val="auto"/>
          <w:sz w:val="24"/>
          <w:szCs w:val="24"/>
          <w:highlight w:val="none"/>
        </w:rPr>
        <w:t>1.1.1.9 其他合同文件：指经合同双方当事人确认构成合同文件的其他文件。</w:t>
      </w:r>
    </w:p>
    <w:p w14:paraId="6C4EBC23">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 合同当事人和人员</w:t>
      </w:r>
    </w:p>
    <w:p w14:paraId="32052B68">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1.1.2.1 合同当事人:指发包人和（或）承包人。</w:t>
      </w:r>
    </w:p>
    <w:p w14:paraId="4FC359B3">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1.1.2.2 发包人：指专用合同条款中指明并与承包人在合同协议书中签字的当事人。</w:t>
      </w:r>
    </w:p>
    <w:p w14:paraId="3788306D">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1.1.2.3 承包人：指与发包人签订合同协议书的当事人。</w:t>
      </w:r>
    </w:p>
    <w:p w14:paraId="7AE7311D">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1.1.2.4 承包人项目经理：指承包人派驻施工场地的全权负责人。</w:t>
      </w:r>
    </w:p>
    <w:p w14:paraId="2B91EF33">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1.1.2.5 分包人：指从承包人处分包合同中某一部分工程，并与其签订分包合同的分包人。</w:t>
      </w:r>
    </w:p>
    <w:p w14:paraId="07E71AB1">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1.1.2.6 监理人：指在专用合同条款中指明的，受发包人委托对合同履行实施管理的法人或其他组织。</w:t>
      </w:r>
    </w:p>
    <w:p w14:paraId="1E246DED">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1.1.2.7 总监理工程师（总监）：指由监理人委派常驻施工场地对合同履行实施管理的全权负责人。</w:t>
      </w:r>
    </w:p>
    <w:p w14:paraId="788CC049">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 工程和设备</w:t>
      </w:r>
    </w:p>
    <w:p w14:paraId="3985975A">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1.1.3.1 工程：指永久工程和（或）临时工程。</w:t>
      </w:r>
    </w:p>
    <w:p w14:paraId="3102F699">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1.1.3.2 永久工程：指按合同约定建造并移交给发包人的工程，包括工程设备。</w:t>
      </w:r>
    </w:p>
    <w:p w14:paraId="43329266">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1.1.3.3 临时工程：指为完成合同约定的永久工程所修建的各类临时性工程，不包括施工设备。</w:t>
      </w:r>
    </w:p>
    <w:p w14:paraId="122E6186">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1.1.3.4 单位工程：指专用合同条款中指明特定范围的永久工程。</w:t>
      </w:r>
    </w:p>
    <w:p w14:paraId="1CFE12CD">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1.1.3.5 工程设备：指构成或计划构成永久工程一部分的机电设备、金属结构设备、仪器装置及其他类似的设备和装置。</w:t>
      </w:r>
    </w:p>
    <w:p w14:paraId="38B5EBC8">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1.1.3.6 施工设备：指为完成合同约定的各项工作所需的设备、器具和其他物品，不包括临时工程和材料。</w:t>
      </w:r>
    </w:p>
    <w:p w14:paraId="731D425D">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1.1.3.7 临时设施：指为完成合同约定的各项工作所服务的临时性生产和生活设施。</w:t>
      </w:r>
    </w:p>
    <w:p w14:paraId="5D3D9260">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1.1.3.8 承包人设备：指承包人自带的施工设备。</w:t>
      </w:r>
    </w:p>
    <w:p w14:paraId="77A3F3D5">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1.1.3.9 施工场地（或称工地、现场）：指用于合同工程施工的场所，以及在合同中指定作为施工场地组成部分的其他场所，包括永久占地和临时占地。</w:t>
      </w:r>
    </w:p>
    <w:p w14:paraId="6DCB1F24">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1.1.3.10 永久占地：指专用合同条款中指明为实施合同工程需永久占用的土地。</w:t>
      </w:r>
    </w:p>
    <w:p w14:paraId="35EAA747">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1.1.3.11 临时占地：指专用合同条款中指明为实施合同工程需临时占用的土地。</w:t>
      </w:r>
    </w:p>
    <w:p w14:paraId="6EEA478C">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 日期</w:t>
      </w:r>
    </w:p>
    <w:p w14:paraId="5A3D5C37">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1.1.4.1 开工通知：指监理人按第11.1款通知承包人开工的函件。</w:t>
      </w:r>
    </w:p>
    <w:p w14:paraId="00DC884D">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1.1.4.2 开工日期：指监理人按第11.1款发出的开工通知中写明的开工日期。</w:t>
      </w:r>
    </w:p>
    <w:p w14:paraId="766A7829">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1.1.4.3工期：指承包人在投标函中承诺的完成合同工程所需的期限，包括按第11.3款、第11.4款和第11.6款约定所作的变更。</w:t>
      </w:r>
    </w:p>
    <w:p w14:paraId="22EB1090">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1.1.4.4 竣工日期：指第1.1.4.3目约定工期届满时的日期。实际竣工日期以工程接收证书中写明的日期为准。</w:t>
      </w:r>
    </w:p>
    <w:p w14:paraId="1C2F79DF">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1.1.4.5 缺陷责任期：指履行第19.2款约定的缺陷责任的期限，具体期限由专用合同条款约定，包括根据第19.3款约定所作的延长。</w:t>
      </w:r>
    </w:p>
    <w:p w14:paraId="53422CFC">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1.1.4.6 基准日期：指投标截止时间前28天的日期。</w:t>
      </w:r>
    </w:p>
    <w:p w14:paraId="0B399584">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1.1.4.7 天：除特别指明外，指日历天。合同中按天计算时间的，开始当天不计入，从次日开始计算。期限最后一天的截止时间为当天24:00。</w:t>
      </w:r>
    </w:p>
    <w:p w14:paraId="35EEE428">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合同价格和费用</w:t>
      </w:r>
    </w:p>
    <w:p w14:paraId="0AFE6024">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1.1.5.1 签约合同价：指签定合同时合同协议书中写明的，包括了暂列金额、暂估价的合同总金额。</w:t>
      </w:r>
    </w:p>
    <w:p w14:paraId="14FD2EEE">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1.1.5.2 合同价格：指承包人按合同约定完成了包括缺陷责任期内的全部承包工作后，发包人应付给承包人的金额，包括在履行合同过程中按合同约定进行的变更和调整。</w:t>
      </w:r>
    </w:p>
    <w:p w14:paraId="237270EB">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1.1.5.3 费用：指为履行合同所发生的或将要发生的所有合理开支，包括管理费和应分摊的其他费用，但不包括利润。</w:t>
      </w:r>
    </w:p>
    <w:p w14:paraId="10D33899">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1.1.5.4 暂列金额：指已标价工程量清单中所列的暂列金额，用于在签订协议书时尚未确定或不可预见变更的施工及其所需材料、工程设备、服务等的金额，包括以计日工方式支付的金额。</w:t>
      </w:r>
    </w:p>
    <w:p w14:paraId="658D7576">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1.1.5.5暂估价：指发包人在工程量清单中给定的用于支付必然发生但暂时不能确定价格的材料、设备以及专业工程的金额。</w:t>
      </w:r>
    </w:p>
    <w:p w14:paraId="6C79C6D5">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1.1.5.6 计日工：指对零星工作采取的一种计价方式，按合同中的计日工子目及其单价计价付款。</w:t>
      </w:r>
    </w:p>
    <w:p w14:paraId="4A1BF78E">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1.1.5.7 质量保证金（或称保留金）：指按第17.4.1项约定用于保证在缺陷责任期内履行缺陷修复义务的金额。</w:t>
      </w:r>
    </w:p>
    <w:p w14:paraId="4793607C">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 其他</w:t>
      </w:r>
    </w:p>
    <w:p w14:paraId="2AFA5AAE">
      <w:pPr>
        <w:spacing w:line="400" w:lineRule="exact"/>
        <w:ind w:firstLine="820" w:firstLineChars="34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1.1.6.1 书面形式：指合同文件、信函、电报、传真等可以有形地表现所载内容的形式。</w:t>
      </w:r>
    </w:p>
    <w:p w14:paraId="66470F57">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1.2 语言文字</w:t>
      </w:r>
    </w:p>
    <w:p w14:paraId="3E985F1C">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除专用术语外，合同使用的语言文字为中文。必要时专用术语应附有中文注释。</w:t>
      </w:r>
    </w:p>
    <w:p w14:paraId="36692650">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1.3 法律</w:t>
      </w:r>
    </w:p>
    <w:p w14:paraId="527F4C94">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适用于合同的法律包括中华人民共和国法律、行政法规、部门规章，以及工程所在地的地方法规、自治条例、单行条例和地方政府规章。</w:t>
      </w:r>
    </w:p>
    <w:p w14:paraId="59CB1F6E">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1.4 合同文件的优先顺序</w:t>
      </w:r>
    </w:p>
    <w:p w14:paraId="01E72665">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组成合同的各项文件应互相解释，互为说明。除专用合同条款另有约定外，解释合同文件的优先顺序如下：</w:t>
      </w:r>
    </w:p>
    <w:p w14:paraId="7D31ECE6">
      <w:pPr>
        <w:spacing w:line="400" w:lineRule="exact"/>
        <w:ind w:firstLine="410" w:firstLineChars="17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（1）合同协议书；</w:t>
      </w:r>
    </w:p>
    <w:p w14:paraId="0D4BA589">
      <w:pPr>
        <w:spacing w:line="400" w:lineRule="exact"/>
        <w:ind w:firstLine="410" w:firstLineChars="17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（2）中标通知书；</w:t>
      </w:r>
    </w:p>
    <w:p w14:paraId="5CA88DCB">
      <w:pPr>
        <w:spacing w:line="400" w:lineRule="exact"/>
        <w:ind w:firstLine="410" w:firstLineChars="17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（3）投标函及投标函附录；</w:t>
      </w:r>
    </w:p>
    <w:p w14:paraId="5767E422">
      <w:pPr>
        <w:spacing w:line="400" w:lineRule="exact"/>
        <w:ind w:firstLine="410" w:firstLineChars="17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（4）专用合同条款；</w:t>
      </w:r>
    </w:p>
    <w:p w14:paraId="70FA9DAC">
      <w:pPr>
        <w:spacing w:line="400" w:lineRule="exact"/>
        <w:ind w:firstLine="410" w:firstLineChars="17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（5）通用合同条款；</w:t>
      </w:r>
    </w:p>
    <w:p w14:paraId="45EC0E4C">
      <w:pPr>
        <w:spacing w:line="400" w:lineRule="exact"/>
        <w:ind w:firstLine="410" w:firstLineChars="17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（6）技术标准和要求；</w:t>
      </w:r>
    </w:p>
    <w:p w14:paraId="5FAC45AA">
      <w:pPr>
        <w:spacing w:line="400" w:lineRule="exact"/>
        <w:ind w:firstLine="410" w:firstLineChars="17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（7）图纸；</w:t>
      </w:r>
    </w:p>
    <w:p w14:paraId="52B3BC22">
      <w:pPr>
        <w:spacing w:line="400" w:lineRule="exact"/>
        <w:ind w:firstLine="410" w:firstLineChars="17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（8）已标价工程量清单；</w:t>
      </w:r>
    </w:p>
    <w:p w14:paraId="7F53CCE7">
      <w:pPr>
        <w:spacing w:line="400" w:lineRule="exact"/>
        <w:ind w:firstLine="410" w:firstLineChars="17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（9）其他合同文件。</w:t>
      </w:r>
    </w:p>
    <w:p w14:paraId="11218F05">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1.5 合同协议书</w:t>
      </w:r>
    </w:p>
    <w:p w14:paraId="0E4C898E">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08FB791A">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1.6 图纸和承包人文件</w:t>
      </w:r>
    </w:p>
    <w:p w14:paraId="79C61D3C">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1.6.1图纸的提供</w:t>
      </w:r>
    </w:p>
    <w:p w14:paraId="2AD82577">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除专用合同条款另有约定外，图纸应在合理的期限内按照合同约定的数量提供给承包人。由于发包人未按时提供图纸造成工期延误的，按第11.3款的约定办理。</w:t>
      </w:r>
    </w:p>
    <w:p w14:paraId="13B23B0E">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 承包人提供的文件</w:t>
      </w:r>
    </w:p>
    <w:p w14:paraId="24894DDA">
      <w:pPr>
        <w:spacing w:line="4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按专用合同条款约定由承包人提供的文件，包括部分工程的大样图、加工图等，承包人应按约定的数量和期限报送监理人。监理人应在专用合同条款约定的期限内批复。</w:t>
      </w:r>
    </w:p>
    <w:p w14:paraId="668B31F9">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 图纸的修改</w:t>
      </w:r>
    </w:p>
    <w:p w14:paraId="1D7F456C">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7D9E2807">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1.6.4 图纸的错误</w:t>
      </w:r>
    </w:p>
    <w:p w14:paraId="6F7BF4D0">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承包人发现发包人提供的图纸存在明显错误或疏忽，应及时通知监理人。</w:t>
      </w:r>
    </w:p>
    <w:p w14:paraId="6F5F5824">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1.6.5 图纸和承包人文件的保管</w:t>
      </w:r>
    </w:p>
    <w:p w14:paraId="50825569">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监理人和承包人均应在施工场地各保存一套完整的包含第1.6.1项、第1.6.2项、第1.6.3项约定内容的图纸和承包人文件。</w:t>
      </w:r>
    </w:p>
    <w:p w14:paraId="5663652A">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1.7 联络</w:t>
      </w:r>
    </w:p>
    <w:p w14:paraId="08DC07EE">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1.7.1 与合同有关的通知、批准、证明、证书、指示、要求、请求、同意、意见、确定和决定等，均应采用书面形式。</w:t>
      </w:r>
    </w:p>
    <w:p w14:paraId="4477FB4E">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1.7.2 第1.7.1项中的通知、批准、证明、证书、指示、要求、请求、同意、意见、确定和决定等来往函件，均应在合同约定的期限内送达指定地点和接收人，并办理签收手续。</w:t>
      </w:r>
    </w:p>
    <w:p w14:paraId="14582A15">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1.8 转让</w:t>
      </w:r>
    </w:p>
    <w:p w14:paraId="5339EC7D">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除合同另有约定外，未经对方当事人同意，一方当事人不得将合同权利全部或部分转让给第三人，也不得全部或部分转移合同义务。</w:t>
      </w:r>
    </w:p>
    <w:p w14:paraId="2449D013">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1.9 严禁贿赂</w:t>
      </w:r>
    </w:p>
    <w:p w14:paraId="54487186">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合同双方当事人不得以贿赂或变相贿赂的方式，谋取不当利益或损害对方权益。因贿赂造成对方损失的，行为人应赔偿损失，并承担相应的法律责任。</w:t>
      </w:r>
    </w:p>
    <w:p w14:paraId="5C2B7EF2">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1.10 化石、文物</w:t>
      </w:r>
    </w:p>
    <w:p w14:paraId="57AB5A6A">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7998AE4">
      <w:pPr>
        <w:spacing w:line="40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1.10.2 承包人发现文物后不及时报告或隐瞒不报，致使文物丢失或损坏的，应赔偿损失，并承担相应的法律责任。</w:t>
      </w:r>
    </w:p>
    <w:p w14:paraId="3260EDD9">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1.11 专利技术</w:t>
      </w:r>
    </w:p>
    <w:p w14:paraId="461A3AC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37C5886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承包人在投标文件中采用专利技术的，专利技术的使用费包含在投标报价内。</w:t>
      </w:r>
    </w:p>
    <w:p w14:paraId="5D949C3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 承包人的技术秘密和声明需要保密的资料和信息，发包人和监理人不得为合同以外的目的泄露给他人。</w:t>
      </w:r>
    </w:p>
    <w:p w14:paraId="5F455968">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1.12 图纸和文件的保密</w:t>
      </w:r>
    </w:p>
    <w:p w14:paraId="0861688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 发包人提供的图纸和文件，未经发包人同意，承包人不得为合同以外的目的泄露给他人或公开发表与引用。</w:t>
      </w:r>
    </w:p>
    <w:p w14:paraId="74252B8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承包人提供的文件，未经承包人同意，发包人和监理人不得为合同以外的目的泄露给他人或公开发表与引用。</w:t>
      </w:r>
    </w:p>
    <w:p w14:paraId="3AAB6BA4">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发包人义务</w:t>
      </w:r>
    </w:p>
    <w:p w14:paraId="1A25579E">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2.1 遵守法律</w:t>
      </w:r>
    </w:p>
    <w:p w14:paraId="71C76EA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发包人在履行合同过程中应遵守法律，并保证承包人免于承担因发包人违反法律而引起的任何责任。</w:t>
      </w:r>
    </w:p>
    <w:p w14:paraId="25558D59">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2.2 发出开工通知</w:t>
      </w:r>
    </w:p>
    <w:p w14:paraId="6D06647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发包人应委托监理人按第11.1款的约定向承包人发出开工通知。</w:t>
      </w:r>
    </w:p>
    <w:p w14:paraId="6377367F">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2.3 提供施工场地</w:t>
      </w:r>
    </w:p>
    <w:p w14:paraId="50DADE4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发包人应按专用合同条款约定向承包人提供施工场地，以及施工场地内地下管线和地下设施等有关资料，并保证资料的真实、准确、完整。</w:t>
      </w:r>
    </w:p>
    <w:p w14:paraId="26FCA189">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2.4 协助承包人办理证件和批件</w:t>
      </w:r>
    </w:p>
    <w:p w14:paraId="690B2BA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发包人应协助承包人办理法律规定的有关施工证件和批件。</w:t>
      </w:r>
    </w:p>
    <w:p w14:paraId="00DE8AD0">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2.5 组织设计交底</w:t>
      </w:r>
    </w:p>
    <w:p w14:paraId="0AB7E4D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发包人应根据合同进度计划，组织设计单位向承包人进行设计交底。</w:t>
      </w:r>
    </w:p>
    <w:p w14:paraId="3A630134">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2.6 支付合同价款</w:t>
      </w:r>
    </w:p>
    <w:p w14:paraId="46A1F98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发包人应按合同约定向承包人及时支付合同价款。</w:t>
      </w:r>
    </w:p>
    <w:p w14:paraId="3D4B3980">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2.7 组织竣工验收</w:t>
      </w:r>
    </w:p>
    <w:p w14:paraId="4507BAF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发包人应按合同约定及时组织竣工验收。</w:t>
      </w:r>
    </w:p>
    <w:p w14:paraId="7EB9E514">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2.8 其他义务</w:t>
      </w:r>
    </w:p>
    <w:p w14:paraId="3FECB67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发包人应履行合同约定的其他义务。</w:t>
      </w:r>
    </w:p>
    <w:p w14:paraId="352DD32A">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监理人</w:t>
      </w:r>
    </w:p>
    <w:p w14:paraId="7197C7B3">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3.1 监理人的职责和权力</w:t>
      </w:r>
    </w:p>
    <w:p w14:paraId="0D785B6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监理人受发包人委托，享有合同约定的权力。监理人在行使某项权力前需要经发包人事先批准而通用合同条款没有指明的，应在专用合同条款中指明。</w:t>
      </w:r>
    </w:p>
    <w:p w14:paraId="70C4057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监理人发出的任何指示应视为已得到发包人的批准，但监理人无权免除或变更合同约定的发包人和承包人的权利、义务和责任。</w:t>
      </w:r>
    </w:p>
    <w:p w14:paraId="2617922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合同约定应由承包人承担的义务和责任，不因监理人对承包人提交文件的审查或批准，对工程、材料和设备的检查和检验，以及为实施监理作出的指示等职务行为而减轻或解除。</w:t>
      </w:r>
    </w:p>
    <w:p w14:paraId="3C13F276">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3.2 总监理工程师</w:t>
      </w:r>
    </w:p>
    <w:p w14:paraId="025CC62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753A300B">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3.3 监理人员</w:t>
      </w:r>
    </w:p>
    <w:p w14:paraId="266B5CC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CD3406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09C8F31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承包人对总监理工程师授权的监理人员发出的指示有疑问的，可向总监理工程师提出书面异议，总监理工程师应在48小时内对该指示予以确认、更改或撤销。</w:t>
      </w:r>
    </w:p>
    <w:p w14:paraId="4B60F8D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除专用合同条款另有约定外，总监理工程师不应将第3.5款约定应由总监理工程师作出确定的权力授权或委托给其他监理人员。</w:t>
      </w:r>
    </w:p>
    <w:p w14:paraId="078C0857">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3.4 监理人的指示</w:t>
      </w:r>
    </w:p>
    <w:p w14:paraId="13FE378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监理人应按第3.1款的约定向承包人发出指示，监理人的指示应盖有监理人授权的施工场地机构章，并由总监理工程师或总监理工程师按第3.3.1项约定授权的监理人员签字。</w:t>
      </w:r>
    </w:p>
    <w:p w14:paraId="428CEB5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承包人收到监理人按第3.4.1项作出的指示后应遵照执行。指示构成变更的，应按第15条处理。</w:t>
      </w:r>
    </w:p>
    <w:p w14:paraId="6A6EB0D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6CB1514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 除合同另有约定外，承包人只从总监理工程师或按第3.3.1项被授权的监理人员处取得指示。</w:t>
      </w:r>
    </w:p>
    <w:p w14:paraId="37F2E1E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3.4.5 由于监理人未能按合同约定发出指示、指示延误或指示错误而导致承包人费用增加和（或）工期延误的，由发包人承担赔偿责任。 </w:t>
      </w:r>
    </w:p>
    <w:p w14:paraId="24AD3290">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3.5 商定或确定</w:t>
      </w:r>
    </w:p>
    <w:p w14:paraId="0A221AE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3.5.1合同约定总监理工程师应按照本款对任何事项进行商定或确定时，总监理工程师应与合同当事人协商，尽量达成一致。不能达成一致的，总监理工程师应认真研究后审慎确定。</w:t>
      </w:r>
    </w:p>
    <w:p w14:paraId="5215B4A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164969AE">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承包人</w:t>
      </w:r>
    </w:p>
    <w:p w14:paraId="684CA10D">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4.1 承包人的一般义务</w:t>
      </w:r>
    </w:p>
    <w:p w14:paraId="10E7486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遵守法律</w:t>
      </w:r>
    </w:p>
    <w:p w14:paraId="3626544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承包人在履行合同过程中应遵守法律，并保证发包人免于承担因承包人违反法律而引起的任何责任。</w:t>
      </w:r>
    </w:p>
    <w:p w14:paraId="76C7508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依法纳税</w:t>
      </w:r>
    </w:p>
    <w:p w14:paraId="18ADDDC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承包人应按有关法律规定纳税，应缴纳的税金包括在合同价格内。</w:t>
      </w:r>
    </w:p>
    <w:p w14:paraId="7B2C669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完成各项承包工作</w:t>
      </w:r>
    </w:p>
    <w:p w14:paraId="695F7AE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6BF65C3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对施工作业和施工方法的完备性负责</w:t>
      </w:r>
    </w:p>
    <w:p w14:paraId="1A13A9F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承包人应按合同约定的工作内容和施工进度要求，编制施工组织设计和施工措施计划，并对所有施工作业和施工方法的完备性和安全可靠性负责。</w:t>
      </w:r>
    </w:p>
    <w:p w14:paraId="4A2B413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 保证工程施工和人员的安全</w:t>
      </w:r>
    </w:p>
    <w:p w14:paraId="564CE92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承包人应按第9.2款约定采取施工安全措施，确保工程及其人员、材料、设备和设施的安全，防止因工程施工造成的人身伤害和财产损失。</w:t>
      </w:r>
    </w:p>
    <w:p w14:paraId="627821C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4.1.6 负责施工场地及其周边环境与生态的保护工作</w:t>
      </w:r>
    </w:p>
    <w:p w14:paraId="1C2CB80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承包人应按照第9.4款约定负责施工场地及其周边环境与生态的保护工作。</w:t>
      </w:r>
    </w:p>
    <w:p w14:paraId="6B59275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4.1.7 避免施工对公众与他人的利益造成损害</w:t>
      </w:r>
    </w:p>
    <w:p w14:paraId="37063A9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03C239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4.1.8 为他人提供方便</w:t>
      </w:r>
    </w:p>
    <w:p w14:paraId="6BD27D8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2CF0444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4.1.9 工程的维护和照管</w:t>
      </w:r>
    </w:p>
    <w:p w14:paraId="6E71137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工程接收证书颁发前，承包人应负责照管和维护工程。工程接收证书颁发时尚有部分未竣工工程的，承包人还应负责该未竣工工程的照管和维护工作，直至竣工后移交给发包人为止。</w:t>
      </w:r>
    </w:p>
    <w:p w14:paraId="0D3FB27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4.1.10 其他义务</w:t>
      </w:r>
    </w:p>
    <w:p w14:paraId="055EB65E">
      <w:pPr>
        <w:spacing w:line="400" w:lineRule="exact"/>
        <w:ind w:firstLine="480" w:firstLineChars="200"/>
        <w:jc w:val="both"/>
        <w:rPr>
          <w:rFonts w:hint="eastAsia"/>
          <w:color w:val="auto"/>
          <w:sz w:val="24"/>
          <w:szCs w:val="24"/>
          <w:highlight w:val="none"/>
        </w:rPr>
      </w:pPr>
      <w:r>
        <w:rPr>
          <w:rFonts w:hint="eastAsia" w:ascii="宋体" w:hAnsi="宋体" w:eastAsia="宋体" w:cs="宋体"/>
          <w:color w:val="auto"/>
          <w:sz w:val="24"/>
          <w:szCs w:val="24"/>
          <w:highlight w:val="none"/>
        </w:rPr>
        <w:t>承包人应履行合同约定的其他义务。</w:t>
      </w:r>
    </w:p>
    <w:p w14:paraId="601D67A0">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4.2 履约担保</w:t>
      </w:r>
    </w:p>
    <w:p w14:paraId="15C736C6">
      <w:pPr>
        <w:spacing w:line="400" w:lineRule="exact"/>
        <w:ind w:firstLine="480" w:firstLineChars="200"/>
        <w:jc w:val="both"/>
        <w:rPr>
          <w:rFonts w:hint="eastAsia"/>
          <w:color w:val="auto"/>
          <w:sz w:val="24"/>
          <w:szCs w:val="24"/>
          <w:highlight w:val="none"/>
        </w:rPr>
      </w:pPr>
      <w:r>
        <w:rPr>
          <w:rFonts w:hint="eastAsia" w:ascii="宋体" w:hAnsi="宋体" w:eastAsia="宋体" w:cs="宋体"/>
          <w:color w:val="auto"/>
          <w:sz w:val="24"/>
          <w:szCs w:val="24"/>
          <w:highlight w:val="none"/>
        </w:rPr>
        <w:t>承包人应保证其履约担保在发包人颁发工程接收证书前一直有效。发包人应在工程接收证书颁发后28天内把履约担保退还给承包人。</w:t>
      </w:r>
    </w:p>
    <w:p w14:paraId="5D76FD6B">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4.3 分包</w:t>
      </w:r>
    </w:p>
    <w:p w14:paraId="70FCFCB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 承包人不得将其承包的全部工程转包给第三人，或将其承包的全部工程肢解后以分包的名义转包给第三人。</w:t>
      </w:r>
    </w:p>
    <w:p w14:paraId="2A2B4D5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 承包人不得将工程主体、关键性工作分包给第三人。除专用合同条款另有约定外，未经发包人同意，承包人不得将工程的其他部分或工作分包给第三人。</w:t>
      </w:r>
    </w:p>
    <w:p w14:paraId="73CCE99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 分包人的资格能力应与其分包工程的标准和规模相适应。</w:t>
      </w:r>
    </w:p>
    <w:p w14:paraId="50DF838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 按投标函附录约定分包工程的，承包人应向发包人和监理人提交分包合同副本。</w:t>
      </w:r>
    </w:p>
    <w:p w14:paraId="4307BA3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 承包人应与分包人就分包工程向发包人承担连带责任。</w:t>
      </w:r>
    </w:p>
    <w:p w14:paraId="5D89AC06">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4.4 联合体</w:t>
      </w:r>
    </w:p>
    <w:p w14:paraId="477FA8D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 联合体各方应共同与发包人签订合同协议书。联合体各方应为履行合同承担连带责任。</w:t>
      </w:r>
    </w:p>
    <w:p w14:paraId="7849671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 联合体协议经发包人确认后作为合同附件。在履行合同过程中，未经发包人同意，不得修改联合体协议。</w:t>
      </w:r>
    </w:p>
    <w:p w14:paraId="18210590">
      <w:pPr>
        <w:spacing w:line="400" w:lineRule="exact"/>
        <w:ind w:firstLine="480" w:firstLineChars="200"/>
        <w:jc w:val="both"/>
        <w:rPr>
          <w:rFonts w:hint="eastAsia"/>
          <w:color w:val="auto"/>
          <w:sz w:val="24"/>
          <w:szCs w:val="24"/>
          <w:highlight w:val="none"/>
        </w:rPr>
      </w:pPr>
      <w:r>
        <w:rPr>
          <w:rFonts w:hint="eastAsia" w:ascii="宋体" w:hAnsi="宋体" w:eastAsia="宋体" w:cs="宋体"/>
          <w:color w:val="auto"/>
          <w:sz w:val="24"/>
          <w:szCs w:val="24"/>
          <w:highlight w:val="none"/>
        </w:rPr>
        <w:t>4.4.3 联合体牵头人负责与发包人和监理人联系，并接受指示，负责组织联合体各成员全面履行合同。</w:t>
      </w:r>
    </w:p>
    <w:p w14:paraId="7EDC70B7">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4.5 承包人项目经理</w:t>
      </w:r>
    </w:p>
    <w:p w14:paraId="7FCAF24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FFE495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EBA564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4.5.3承包人为履行合同发出的一切函件均应盖有承包人授权的施工场地管理机构章，并由承包人项目经理或其授权代表签字。</w:t>
      </w:r>
    </w:p>
    <w:p w14:paraId="7AB28CC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 承包人项目经理可以授权其下属人员履行其某项职责，但事先应将这些人员的姓名和授权范围通知监理人。</w:t>
      </w:r>
    </w:p>
    <w:p w14:paraId="66B50EF0">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4.6 承包人人员的管理</w:t>
      </w:r>
    </w:p>
    <w:p w14:paraId="5E84F0E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2E4E595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 为完成合同约定的各项工作，承包人应向施工场地派遣或雇佣足够数量的下列人员：</w:t>
      </w:r>
    </w:p>
    <w:p w14:paraId="07F0BBF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（1）具有相应资格的专业技工和合格的普工；</w:t>
      </w:r>
    </w:p>
    <w:p w14:paraId="74AB389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（2）具有相应施工经验的技术人员；</w:t>
      </w:r>
    </w:p>
    <w:p w14:paraId="14E7681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（3）具有相应岗位资格的各级管理人员。</w:t>
      </w:r>
    </w:p>
    <w:p w14:paraId="0C042FD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4.6.3 承包人安排在施工场地的主要管理人员和技术骨干应相对稳定。承包人更换主要管理人员和技术骨干时，应取得监理人的同意。</w:t>
      </w:r>
    </w:p>
    <w:p w14:paraId="634465A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4.6.4 特殊岗位的工作人员均应持有相应的资格证明，监理人有权随时检查。监理人认为有必要时，可进行现场考核。</w:t>
      </w:r>
    </w:p>
    <w:p w14:paraId="4BBA0011">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4.7 撤换承包人项目经理和其他人员</w:t>
      </w:r>
    </w:p>
    <w:p w14:paraId="03D35CB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承包人应对其项目经理和其他人员进行有效管理。监理人要求撤换不能胜任本职工作、行为不端或玩忽职守的承包人项目经理和其他人员的，承包人应予以撤换。</w:t>
      </w:r>
    </w:p>
    <w:p w14:paraId="0479E53C">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4.8 保障承包人人员的合法权益</w:t>
      </w:r>
    </w:p>
    <w:p w14:paraId="77EE219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4.8.1 承包人应与其雇佣的人员签订劳动合同，并按时发放工资。</w:t>
      </w:r>
    </w:p>
    <w:p w14:paraId="2106574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763B0C5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4.8.3 承包人应为其雇佣人员提供必要的食宿条件，以及符合环境保护和卫生要求的生活环境，在远离城镇的施工场地，还应配备必要的伤病防治和急救的医务人员与医疗设施。</w:t>
      </w:r>
    </w:p>
    <w:p w14:paraId="72E0745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41089B3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4.8.5 承包人应按有关法律规定和合同约定，为其雇佣人员办理保险。</w:t>
      </w:r>
    </w:p>
    <w:p w14:paraId="5E7C245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4.8.6 承包人应负责处理其雇佣人员因工伤亡事故的善后事宜。</w:t>
      </w:r>
    </w:p>
    <w:p w14:paraId="2E3E3488">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4.9 工程价款应专款专用</w:t>
      </w:r>
    </w:p>
    <w:p w14:paraId="360F186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发包人按合同约定支付给承包人的各项价款应专用于合同工程。</w:t>
      </w:r>
    </w:p>
    <w:p w14:paraId="6B29448A">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 xml:space="preserve">4.10 承包人现场查勘                                                                                                           </w:t>
      </w:r>
    </w:p>
    <w:p w14:paraId="4D6130C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4.10.1 发包人应将其持有的现场地质勘探资料、水文气象资料提供给承包人，并对其准确性负责。但承包人应对其阅读上述有关资料后所作出的解释和推断负责。</w:t>
      </w:r>
    </w:p>
    <w:p w14:paraId="1766A39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32F7B213">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4.11 不利物质条件</w:t>
      </w:r>
    </w:p>
    <w:p w14:paraId="111FAA5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4.11.1 不利物质条件，除专用合同条款另有约定外，是指承包人在施工场地遇到的不可预见的自然物质条件、非自然的物质障碍和污染物，包括地下和水文条件，但不包括气候条件。</w:t>
      </w:r>
    </w:p>
    <w:p w14:paraId="5587EAB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1F42EDCD">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材料和工程设备</w:t>
      </w:r>
    </w:p>
    <w:p w14:paraId="51A317E0">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5.1 承包人提供的材料和工程设备</w:t>
      </w:r>
    </w:p>
    <w:p w14:paraId="00C49B2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除专用合同条款另有约定外，承包人提供的材料和工程设备均由承包人负责采购、运输和保管。承包人应对其采购的材料和工程设备负责。</w:t>
      </w:r>
    </w:p>
    <w:p w14:paraId="1D65C4E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7C52B6C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5DEFEA9F">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5.2 发包人提供的材料和工程设备</w:t>
      </w:r>
    </w:p>
    <w:p w14:paraId="524EAC9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发包人提供的材料和工程设备，应在专用合同条款中写明材料和工程设备的名称、规格、数量、价格、交货方式、交货地点和计划交货日期等。</w:t>
      </w:r>
    </w:p>
    <w:p w14:paraId="1A934C8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承包人应根据合同进度计划的安排，向监理人报送要求发包人交货的日期计划。发包人应按照监理人与合同双方当事人商定的交货日期，向承包人提交材料和工程设备。</w:t>
      </w:r>
    </w:p>
    <w:p w14:paraId="135D9DD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52E1FFC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5.2.4 发包人要求向承包人提前交货的，承包人不得拒绝，但发包人应承担承包人由此增加的费用。 </w:t>
      </w:r>
    </w:p>
    <w:p w14:paraId="40D26E3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5.2.5 承包人要求更改交货日期或地点的，应事先报请监理人批准。由于承包人要求更改交货时间或地点所增加的费用和（或）工期延误由承包人承担。 </w:t>
      </w:r>
    </w:p>
    <w:p w14:paraId="3BDC697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515A78F8">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5.3 材料和工程设备专用于合同工程</w:t>
      </w:r>
    </w:p>
    <w:p w14:paraId="0B39803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5.3.1运入施工场地的材料、工程设备，包括备品备件、安装专用工器具与随机资料，必须专用于合同工程，未经监理人同意，承包人不得运出施工场地或挪作他用。</w:t>
      </w:r>
    </w:p>
    <w:p w14:paraId="4EDE83C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C5A986B">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5.4 禁止使用不合格的材料和工程设备</w:t>
      </w:r>
    </w:p>
    <w:p w14:paraId="1013A2A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 监理人有权拒绝承包人提供的不合格材料或工程设备，并要求承包人立即进行更换。监理人应在更换后再次进行检查和检验，由此增加的费用和（或）工期延误由承包人承担。</w:t>
      </w:r>
    </w:p>
    <w:p w14:paraId="53BB9B2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 监理人发现承包人使用了不合格的材料和工程设备，应即时发出指示要求承包人立即改正，并禁止在工程中继续使用不合格的材料和工程设备。</w:t>
      </w:r>
    </w:p>
    <w:p w14:paraId="31ED384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5.4.3 发包人提供的材料或工程设备不符合合同要求的，承包人有权拒绝，并可要求发包人更换，由此增加的费用和（或）工期延误由发包人承担。</w:t>
      </w:r>
    </w:p>
    <w:p w14:paraId="3C63DE06">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 施工设备和临时设施</w:t>
      </w:r>
    </w:p>
    <w:p w14:paraId="739B07E5">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6.1 承包人提供的施工设备和临时设施</w:t>
      </w:r>
    </w:p>
    <w:p w14:paraId="092AF78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63E4200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6.1.2除专用合同条款另有约定外，承包人应自行承担修建临时设施的费用，需要临时占地的，应由发包人办理申请手续并承担相应费用。</w:t>
      </w:r>
    </w:p>
    <w:p w14:paraId="1E279635">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6.2 发包人提供的施工设备和临时设施</w:t>
      </w:r>
    </w:p>
    <w:p w14:paraId="45CB10B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发包人提供的施工设备或临时设施在专用合同条款中约定。</w:t>
      </w:r>
    </w:p>
    <w:p w14:paraId="2851E753">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6.3 要求承包人增加或更换施工设备</w:t>
      </w:r>
    </w:p>
    <w:p w14:paraId="7A4328F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4D4ABC74">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6.4 施工设备和临时设施专用于合同工程</w:t>
      </w:r>
    </w:p>
    <w:p w14:paraId="5B190FD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1C7A6A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6.4.2 经监理人同意，承包人可根据合同进度计划撤走闲置的施工设备。</w:t>
      </w:r>
    </w:p>
    <w:p w14:paraId="47FB8A45">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 交通运输</w:t>
      </w:r>
    </w:p>
    <w:p w14:paraId="0D442A3E">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7.1 道路通行权和场外设施</w:t>
      </w:r>
    </w:p>
    <w:p w14:paraId="1AC35AF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6A85D7B0">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7.2 场内施工道路</w:t>
      </w:r>
    </w:p>
    <w:p w14:paraId="0D67B3F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 除专用合同条款另有约定外，承包人应负责修建、维修、养护和管理施工所需的临时道路和交通设施，包括维修、养护和管理发包人提供的道路和交通设施，并承担相应费用。</w:t>
      </w:r>
    </w:p>
    <w:p w14:paraId="6C04672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除专用合同条款另有约定外，承包人修建的临时道路和交通设施应免费提供发包人和监理人使用。</w:t>
      </w:r>
    </w:p>
    <w:p w14:paraId="77011A82">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7.3 场外交通</w:t>
      </w:r>
    </w:p>
    <w:p w14:paraId="3B3FC6C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承包人车辆外出行驶所需的场外公共道路的通行费、养路费和税款等由承包人承担。</w:t>
      </w:r>
    </w:p>
    <w:p w14:paraId="2CF8A837">
      <w:pPr>
        <w:spacing w:line="400" w:lineRule="exact"/>
        <w:ind w:firstLine="480" w:firstLineChars="200"/>
        <w:jc w:val="both"/>
        <w:rPr>
          <w:rFonts w:hint="eastAsia"/>
          <w:color w:val="auto"/>
          <w:sz w:val="24"/>
          <w:szCs w:val="24"/>
          <w:highlight w:val="none"/>
        </w:rPr>
      </w:pPr>
      <w:r>
        <w:rPr>
          <w:rFonts w:hint="eastAsia" w:ascii="宋体" w:hAnsi="宋体" w:eastAsia="宋体" w:cs="宋体"/>
          <w:color w:val="auto"/>
          <w:sz w:val="24"/>
          <w:szCs w:val="24"/>
          <w:highlight w:val="none"/>
        </w:rPr>
        <w:t>7.3.2 承包人应遵守有关交通法规，严格按照道路和桥梁的限制荷重安全行驶，并服从交通管理部门的检查和监督。</w:t>
      </w:r>
    </w:p>
    <w:p w14:paraId="2E41F875">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7.4 超大件和超重件的运输</w:t>
      </w:r>
    </w:p>
    <w:p w14:paraId="0CA65B1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B79D4B9">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7.5 道路和桥梁的损坏责任</w:t>
      </w:r>
    </w:p>
    <w:p w14:paraId="5ACE611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因承包人运输造成施工场地内外公共道路和桥梁损坏的，由承包人承担修复损坏的全部费用和可能引起的赔偿。</w:t>
      </w:r>
    </w:p>
    <w:p w14:paraId="2FC5174A">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7.6 水路和航空运输</w:t>
      </w:r>
    </w:p>
    <w:p w14:paraId="4F1FFF1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437B64FF">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 测量放线</w:t>
      </w:r>
    </w:p>
    <w:p w14:paraId="5A195466">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8.1 施工控制网</w:t>
      </w:r>
    </w:p>
    <w:p w14:paraId="0F0D101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6AE156F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8.1.2承包人应负责管理施工控制网点。施工控制网点丢失或损坏的，承包人应及时修复。承包人应承担施工控制网点的管理与修复费用，并在工程竣工后将施工控制网点移交发包人。</w:t>
      </w:r>
    </w:p>
    <w:p w14:paraId="15570AAE">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8.2 施工测量</w:t>
      </w:r>
    </w:p>
    <w:p w14:paraId="436B16F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8.2.1承包人应负责施工过程中的全部施工测量放线工作，并配置合格的人员、仪器、设备和其他物品。</w:t>
      </w:r>
    </w:p>
    <w:p w14:paraId="20E9D69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8.2.2监理人可以指示承包人进行抽样复测，当复测中发现错误或出现超过合同约定的误差时，承包人应按监理人指示进行修正或补测，并承担相应的复测费用。</w:t>
      </w:r>
    </w:p>
    <w:p w14:paraId="0D57F865">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8.3 基准资料错误的责任</w:t>
      </w:r>
    </w:p>
    <w:p w14:paraId="72D8A0D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7E763E0">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8.4 监理人使用施工控制网</w:t>
      </w:r>
    </w:p>
    <w:p w14:paraId="7C294D5E">
      <w:pPr>
        <w:spacing w:line="400" w:lineRule="exact"/>
        <w:ind w:firstLine="480" w:firstLineChars="200"/>
        <w:jc w:val="both"/>
        <w:rPr>
          <w:rFonts w:hint="eastAsia" w:ascii="宋体" w:hAnsi="宋体" w:eastAsia="宋体" w:cs="宋体"/>
          <w:dstrike w:val="0"/>
          <w:color w:val="auto"/>
          <w:sz w:val="24"/>
          <w:szCs w:val="24"/>
          <w:highlight w:val="none"/>
        </w:rPr>
      </w:pPr>
      <w:r>
        <w:rPr>
          <w:rFonts w:hint="eastAsia" w:ascii="宋体" w:hAnsi="宋体" w:eastAsia="宋体" w:cs="宋体"/>
          <w:color w:val="auto"/>
          <w:sz w:val="24"/>
          <w:szCs w:val="24"/>
          <w:highlight w:val="none"/>
        </w:rPr>
        <w:t>监理人需要使用施工控制网的，承包人应提供必要的协助，发包人不再为此支付费用。</w:t>
      </w:r>
    </w:p>
    <w:p w14:paraId="6D74EA0C">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 施工安全、治安保卫和环境保护</w:t>
      </w:r>
    </w:p>
    <w:p w14:paraId="3F855DCB">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9.1 发包人的施工安全责任</w:t>
      </w:r>
    </w:p>
    <w:p w14:paraId="7A03BA0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9.1.1 发包人应按合同约定履行安全职责，授权监理人按合同约定的安全工作内容监督、检查承包人安全工作的实施，组织承包人和有关单位进行安全检查。</w:t>
      </w:r>
    </w:p>
    <w:p w14:paraId="3B3DBFE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9.1.2 发包人应对其现场机构雇佣的全部人员的工伤事故承担责任，但由于承包人原因造成发包人人员工伤的，应由承包人承担责任。</w:t>
      </w:r>
    </w:p>
    <w:p w14:paraId="536C2D3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9.1.3 发包人应负责赔偿以下各种情况造成的第三者人身伤亡和财产损失：</w:t>
      </w:r>
    </w:p>
    <w:p w14:paraId="19064AD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工程或工程的任何部分对土地的占用所造成的第三者财产损失；</w:t>
      </w:r>
    </w:p>
    <w:p w14:paraId="2E8C27D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由于发包人原因在施工场地及其毗邻地带造成的第三者人身伤亡和财产损失。</w:t>
      </w:r>
    </w:p>
    <w:p w14:paraId="5D4EEEA2">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9.2 承包人的施工安全责任</w:t>
      </w:r>
    </w:p>
    <w:p w14:paraId="01F7FC6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9.2.1 承包人应按合同约定履行安全职责,执行监理人有关安全工作的指示,并在专用合同条款约定的期限内，按合同约定的安全工作内容，编制施工安全措施计划报送监理人审批。</w:t>
      </w:r>
    </w:p>
    <w:p w14:paraId="1F82DF1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9.2.2 承包人应加强施工作业安全管理，特别应加强易燃、易爆材料、火工器材、有毒与腐蚀性材料和其他危险品的管理，以及对爆破作业和地下工程施工等危险作业的管理。</w:t>
      </w:r>
    </w:p>
    <w:p w14:paraId="3092852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9.2.3 承包人应严格按照国家安全标准制定施工安全操作规程，配备必要的安全生产和劳动保护设施，加强对承包人人员的安全教育，并发放安全工作手册和劳动保护用具。</w:t>
      </w:r>
    </w:p>
    <w:p w14:paraId="72D9148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9.2.4 承包人应按监理人的指示制定应对灾害的紧急预案，报送监理人审批。承包人还应按预案做好安全检查，配置必要的救助物资和器材，切实保护好有关人员的人身和财产安全。</w:t>
      </w:r>
    </w:p>
    <w:p w14:paraId="698585F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31B6965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9.2.6 承包人应对其履行合同所雇佣的全部人员，包括分包人人员的工伤事故承担责任，但由于发包人原因造成承包人人员工伤事故的，应由发包人承担责任。</w:t>
      </w:r>
    </w:p>
    <w:p w14:paraId="26ABA0E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9.2.7 由于承包人原因在施工场地内及其毗邻地带造成的第三者人员伤亡和财产损失，由承包人负责赔偿。</w:t>
      </w:r>
    </w:p>
    <w:p w14:paraId="011E564D">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9.3 治安保卫</w:t>
      </w:r>
    </w:p>
    <w:p w14:paraId="19E3E38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9.3.1 除合同另有约定外，发包人应与当地公安部门协商，在现场建立治安管理机构或联防组织，统一管理施工场地的治安保卫事项，履行合同工程的治安保卫职责。</w:t>
      </w:r>
    </w:p>
    <w:p w14:paraId="6717CD7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9.3.2 发包人和承包人除应协助现场治安管理机构或联防组织维护施工场地的社会治安外，还应做好包括生活区在内的各自管辖区的治安保卫工作。</w:t>
      </w:r>
    </w:p>
    <w:p w14:paraId="14742A6F">
      <w:pPr>
        <w:spacing w:line="400" w:lineRule="exact"/>
        <w:ind w:firstLine="480" w:firstLineChars="200"/>
        <w:jc w:val="both"/>
        <w:rPr>
          <w:rFonts w:hint="eastAsia"/>
          <w:color w:val="auto"/>
          <w:sz w:val="24"/>
          <w:szCs w:val="24"/>
          <w:highlight w:val="none"/>
        </w:rPr>
      </w:pPr>
      <w:r>
        <w:rPr>
          <w:rFonts w:hint="eastAsia" w:ascii="宋体" w:hAnsi="宋体" w:eastAsia="宋体" w:cs="宋体"/>
          <w:color w:val="auto"/>
          <w:sz w:val="24"/>
          <w:szCs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089BB6E">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9.4 环境保护</w:t>
      </w:r>
    </w:p>
    <w:p w14:paraId="52A4133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9.4.1 承包人在施工过程中，应遵守有关环境保护的法律，履行合同约定的环境保护义务，并对违反法律和合同约定义务所造成的环境破坏、人身伤害和财产损失负责。</w:t>
      </w:r>
    </w:p>
    <w:p w14:paraId="383FE92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9.4.2 承包人应按合同约定的环保工作内容，编制施工环保措施计划，报送监理人审批。</w:t>
      </w:r>
    </w:p>
    <w:p w14:paraId="2AE6E79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28630A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9.4.4 承包人应按合同约定采取有效措施，对施工开挖的边坡及时进行支护,维护排水设施，并进行水土保护，避免因施工造成的地质灾害。</w:t>
      </w:r>
    </w:p>
    <w:p w14:paraId="6BE3E2D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9.4.5 承包人应按国家饮用水管理标准定期对饮用水源进行监测，防止施工活动污染饮用水源。</w:t>
      </w:r>
    </w:p>
    <w:p w14:paraId="13CDDCD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9.4.6 承包人应按合同约定，加强对噪声、粉尘、废气、废水和废油的控制，努力降低噪声，控制粉尘和废气浓度，做好废水和废油的治理和排放。</w:t>
      </w:r>
    </w:p>
    <w:p w14:paraId="4B89AA9A">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9.5 事故处理</w:t>
      </w:r>
    </w:p>
    <w:p w14:paraId="709C3B6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2B0D671">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 进度计划</w:t>
      </w:r>
    </w:p>
    <w:p w14:paraId="0184C1A5">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10.1 合同进度计划</w:t>
      </w:r>
    </w:p>
    <w:p w14:paraId="515AA8A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76B949CD">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10.2 合同进度计划的修订</w:t>
      </w:r>
    </w:p>
    <w:p w14:paraId="606E28C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7DDDBA98">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开工和竣工</w:t>
      </w:r>
    </w:p>
    <w:p w14:paraId="3C742877">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11.1 开工</w:t>
      </w:r>
    </w:p>
    <w:p w14:paraId="562BCF2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2576550D">
      <w:pPr>
        <w:spacing w:line="400" w:lineRule="exact"/>
        <w:ind w:firstLine="480" w:firstLineChars="20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2CC6778E">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11.2 竣工</w:t>
      </w:r>
    </w:p>
    <w:p w14:paraId="67DCF55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承包人应在第1.1.4.3目约定的期限内完成合同工程。实际竣工日期在接收证书中写明。</w:t>
      </w:r>
    </w:p>
    <w:p w14:paraId="469783F6">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11.3 发包人的工期延误</w:t>
      </w:r>
    </w:p>
    <w:p w14:paraId="1BDB98D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在履行合同过程中，由于发包人的下列原因造成工期延误的，承包人有权要求发包人延长工期和（或）增加费用，并支付合理利润。需要修订合同进度计划的，按照第10.2款的约定办理。</w:t>
      </w:r>
    </w:p>
    <w:p w14:paraId="4411C60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（1）增加合同工作内容；</w:t>
      </w:r>
    </w:p>
    <w:p w14:paraId="2A7ED5D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（2）改变合同中任何一项工作的质量要求或其他特性；</w:t>
      </w:r>
    </w:p>
    <w:p w14:paraId="034EA11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（3）发包人迟延提供材料、工程设备或变更交货地点的；</w:t>
      </w:r>
    </w:p>
    <w:p w14:paraId="075C91D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（4）因发包人原因导致的暂停施工；</w:t>
      </w:r>
    </w:p>
    <w:p w14:paraId="1ECA3FC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（5）提供图纸延误；</w:t>
      </w:r>
    </w:p>
    <w:p w14:paraId="6DE5764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（6）未按合同约定及时支付预付款、进度款；</w:t>
      </w:r>
    </w:p>
    <w:p w14:paraId="7ED2E1C7">
      <w:pPr>
        <w:spacing w:line="400" w:lineRule="exact"/>
        <w:ind w:firstLine="480" w:firstLineChars="200"/>
        <w:rPr>
          <w:rFonts w:hint="eastAsia"/>
          <w:color w:val="auto"/>
          <w:sz w:val="24"/>
          <w:szCs w:val="24"/>
          <w:highlight w:val="none"/>
        </w:rPr>
      </w:pPr>
      <w:r>
        <w:rPr>
          <w:rFonts w:hint="eastAsia" w:ascii="宋体" w:hAnsi="宋体" w:eastAsia="宋体" w:cs="宋体"/>
          <w:color w:val="auto"/>
          <w:sz w:val="24"/>
          <w:szCs w:val="24"/>
          <w:highlight w:val="none"/>
        </w:rPr>
        <w:t>（7）发包人造成工期延误的其他原因。</w:t>
      </w:r>
    </w:p>
    <w:p w14:paraId="5111CFE8">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11.4 异常恶劣的气候条件</w:t>
      </w:r>
    </w:p>
    <w:p w14:paraId="724E007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由于出现专用合同条款规定的异常恶劣气候的条件导致工期延误的，承包人有权要求发包人延长工期。</w:t>
      </w:r>
    </w:p>
    <w:p w14:paraId="744191FF">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11.5 承包人的工期延误</w:t>
      </w:r>
    </w:p>
    <w:p w14:paraId="03AACB7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645A6279">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11.6 工期提前</w:t>
      </w:r>
    </w:p>
    <w:p w14:paraId="64E916F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380EAF9A">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暂停施工</w:t>
      </w:r>
    </w:p>
    <w:p w14:paraId="5D5E1955">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12.1 承包人暂停施工的责任</w:t>
      </w:r>
    </w:p>
    <w:p w14:paraId="7314AF3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因下列暂停施工增加的费用和（或）工期延误由承包人承担：</w:t>
      </w:r>
    </w:p>
    <w:p w14:paraId="2882D93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（1）承包人违约引起的暂停施工；</w:t>
      </w:r>
    </w:p>
    <w:p w14:paraId="64DD947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（2）由于承包人原因为工程合理施工和安全保障所必需的暂停施工；</w:t>
      </w:r>
    </w:p>
    <w:p w14:paraId="5219351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（3）承包人擅自暂停施工；</w:t>
      </w:r>
    </w:p>
    <w:p w14:paraId="09FC61D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（4）承包人其他原因引起的暂停施工；</w:t>
      </w:r>
    </w:p>
    <w:p w14:paraId="0345D21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（5）专用合同条款约定由承包人承担的其他暂停施工。</w:t>
      </w:r>
    </w:p>
    <w:p w14:paraId="6C3E1F51">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12.2 发包人暂停施工的责任</w:t>
      </w:r>
    </w:p>
    <w:p w14:paraId="2A35DFB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由于发包人原因引起的暂停施工造成工期延误的，承包人有权要求发包人延长工期和（或）增加费用，并支付合理利润。</w:t>
      </w:r>
    </w:p>
    <w:p w14:paraId="07F82F7D">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12.3 监理人暂停施工指示</w:t>
      </w:r>
    </w:p>
    <w:p w14:paraId="0447A2E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2211931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7E738B0">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12.4 暂停施工后的复工</w:t>
      </w:r>
    </w:p>
    <w:p w14:paraId="526B072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18DCA2B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承包人无故拖延和拒绝复工的，由此增加的费用和工期延误由承包人承担；因发包人原因无法按时复工的，承包人有权要求发包人延长工期和（或）增加费用，并支付合理利润。</w:t>
      </w:r>
    </w:p>
    <w:p w14:paraId="4A4E846E">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12.5 暂停施工持续56天以上</w:t>
      </w:r>
    </w:p>
    <w:p w14:paraId="4EC1C7D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3F0CB00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12.5.2 由于承包人责任引起的暂停施工，如承包人在收到监理人暂停施工指示后56天内不认真采取有效的复工措施，造成工期延误，可视为承包人违约，应按第22.1款的规定办理。</w:t>
      </w:r>
    </w:p>
    <w:p w14:paraId="3FBABF86">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 工程质量</w:t>
      </w:r>
    </w:p>
    <w:p w14:paraId="62E531D7">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13.1 工程质量要求</w:t>
      </w:r>
    </w:p>
    <w:p w14:paraId="5128708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 工程质量验收按合同约定验收标准执行。</w:t>
      </w:r>
    </w:p>
    <w:p w14:paraId="63AD059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 因承包人原因造成工程质量达不到合同约定验收标准的，监理人有权要求承包人返工直至符合合同要求为止，由此造成的费用增加和（或）工期延误由承包人承担。</w:t>
      </w:r>
    </w:p>
    <w:p w14:paraId="69BE962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13.1.3 因发包人原因造成工程质量达不到合同约定验收标准的，发包人应承担由于承包人返工造成的费用增加和（或）工期延误，并支付承包人合理利润。</w:t>
      </w:r>
    </w:p>
    <w:p w14:paraId="552A3242">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13.2 承包人的质量管理</w:t>
      </w:r>
    </w:p>
    <w:p w14:paraId="5833E90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1B1DBDE5">
      <w:pPr>
        <w:spacing w:line="400" w:lineRule="exact"/>
        <w:ind w:firstLine="480" w:firstLineChars="200"/>
        <w:jc w:val="both"/>
        <w:rPr>
          <w:rFonts w:hint="eastAsia"/>
          <w:color w:val="auto"/>
          <w:sz w:val="24"/>
          <w:szCs w:val="24"/>
          <w:highlight w:val="none"/>
        </w:rPr>
      </w:pPr>
      <w:r>
        <w:rPr>
          <w:rFonts w:hint="eastAsia" w:ascii="宋体" w:hAnsi="宋体" w:eastAsia="宋体" w:cs="宋体"/>
          <w:color w:val="auto"/>
          <w:sz w:val="24"/>
          <w:szCs w:val="24"/>
          <w:highlight w:val="none"/>
        </w:rPr>
        <w:t>13.2.2 承包人应加强对施工人员的质量教育和技术培训，定期考核施工人员的劳动技能，严格执行规范和操作规程。</w:t>
      </w:r>
    </w:p>
    <w:p w14:paraId="3DEC5255">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13.3 承包人的质量检查</w:t>
      </w:r>
    </w:p>
    <w:p w14:paraId="5610BA9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承包人应按合同约定对材料、工程设备以及工程的所有部位及其施工工艺进行全过程的质量检查和检验，并作详细记录，编制工程质量报表，报送监理人审查。</w:t>
      </w:r>
    </w:p>
    <w:p w14:paraId="41867543">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13.4 监理人的质量检查</w:t>
      </w:r>
    </w:p>
    <w:p w14:paraId="105BFC1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1941BE01">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13.5 工程隐蔽部位覆盖前的检查</w:t>
      </w:r>
    </w:p>
    <w:p w14:paraId="0BE79C2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13.5.1 通知监理人检查</w:t>
      </w:r>
    </w:p>
    <w:p w14:paraId="7FC1BA1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2E46542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13.5.2 监理人未到场检查</w:t>
      </w:r>
    </w:p>
    <w:p w14:paraId="240A145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68D38A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13.5.3 监理人重新检查</w:t>
      </w:r>
    </w:p>
    <w:p w14:paraId="7DEC72D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0985DF9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13.5.4 承包人私自覆盖</w:t>
      </w:r>
    </w:p>
    <w:p w14:paraId="1184212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承包人未通知监理人到场检查，私自将工程隐蔽部位覆盖的，监理人有权指示承包人钻孔探测或揭开检查，由此增加的费用和（或）工期延误由承包人承担。</w:t>
      </w:r>
    </w:p>
    <w:p w14:paraId="650B1BAE">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13.6 清除不合格工程</w:t>
      </w:r>
    </w:p>
    <w:p w14:paraId="22C6D95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6AE7D61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13.6.2 由于发包人提供的材料或工程设备不合格造成的工程不合格，需要承包人采取措施补救的，发包人应承担由此增加的费用和（或）工期延误，并支付承包人合理利润。</w:t>
      </w:r>
    </w:p>
    <w:p w14:paraId="50FB970B">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 试验和检验</w:t>
      </w:r>
    </w:p>
    <w:p w14:paraId="0F25AFD8">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14.1 材料、工程设备和工程的试验和检验</w:t>
      </w:r>
    </w:p>
    <w:p w14:paraId="0601C34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F73A8F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14.1.2 监理人未按合同约定派员参加试验和检验的，除监理人另有指示外，承包人可自行试验和检验，并应立即将试验和检验结果报送监理人，监理人应签字确认。</w:t>
      </w:r>
    </w:p>
    <w:p w14:paraId="1BE2FBF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2FCC780">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14.2 现场材料试验</w:t>
      </w:r>
    </w:p>
    <w:p w14:paraId="37C0177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 承包人根据合同约定或监理人指示进行的现场材料试验，应由承包人提供试验场所、试验人员、试验设备器材以及其他必要的试验条件。</w:t>
      </w:r>
    </w:p>
    <w:p w14:paraId="3736B82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 监理人在必要时可以使用承包人的试验场所、试验设备器材以及其他试验条件，进行以工程质量检查为目的的复核性材料试验，承包人应予以协助。</w:t>
      </w:r>
    </w:p>
    <w:p w14:paraId="5DEFD7CB">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14.3 现场工艺试验</w:t>
      </w:r>
    </w:p>
    <w:p w14:paraId="382D8B4A">
      <w:pPr>
        <w:spacing w:line="400" w:lineRule="exact"/>
        <w:ind w:firstLine="480" w:firstLineChars="200"/>
        <w:jc w:val="both"/>
        <w:rPr>
          <w:rFonts w:hint="eastAsia"/>
          <w:color w:val="auto"/>
          <w:sz w:val="24"/>
          <w:szCs w:val="24"/>
          <w:highlight w:val="none"/>
        </w:rPr>
      </w:pPr>
      <w:r>
        <w:rPr>
          <w:rFonts w:hint="eastAsia" w:ascii="宋体" w:hAnsi="宋体" w:eastAsia="宋体" w:cs="宋体"/>
          <w:color w:val="auto"/>
          <w:sz w:val="24"/>
          <w:szCs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7CCCD5CA">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 变更</w:t>
      </w:r>
    </w:p>
    <w:p w14:paraId="06465948">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15.1 变更的范围和内容</w:t>
      </w:r>
    </w:p>
    <w:p w14:paraId="0A32ACA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除专用合同条款另有约定外，在履行合同中发生以下情形之一，应按照本条规定进行变更。</w:t>
      </w:r>
    </w:p>
    <w:p w14:paraId="4E95348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（1）取消合同中任何一项工作，但被取消的工作不能转由发包人或其他人实施；</w:t>
      </w:r>
    </w:p>
    <w:p w14:paraId="49DD1F2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（2）改变合同中任何一项工作的质量或其他特性；</w:t>
      </w:r>
    </w:p>
    <w:p w14:paraId="30B8699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（3）改变合同工程的基线、标高、位置或尺寸；</w:t>
      </w:r>
    </w:p>
    <w:p w14:paraId="32CF946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（4）改变合同中任何一项工作的施工时间或改变已批准的施工工艺或顺序；</w:t>
      </w:r>
    </w:p>
    <w:p w14:paraId="4711327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（5）为完成工程需要追加的额外工作。</w:t>
      </w:r>
    </w:p>
    <w:p w14:paraId="6E7B8EA8">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15.2 变更权</w:t>
      </w:r>
    </w:p>
    <w:p w14:paraId="03E52B5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在履行合同过程中，经发包人同意，监理人可按第15.3款约定的变更程序向承包人作出变更指示，承包人应遵照执行。没有监理人的变更指示，承包人不得擅自变更。</w:t>
      </w:r>
    </w:p>
    <w:p w14:paraId="4A4BDA0F">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15.3 变更程序</w:t>
      </w:r>
    </w:p>
    <w:p w14:paraId="7D182D5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变更的提出</w:t>
      </w:r>
    </w:p>
    <w:p w14:paraId="7B068D1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5914FB6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（2）在合同履行过程中，发生第15.1款约定情形的，监理人应按照第15.3.3项约定向承包人发出变更指示。</w:t>
      </w:r>
    </w:p>
    <w:p w14:paraId="0B98A8B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4FE1507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（4）若承包人收到监理人的变更意向书后认为难以实施此项变更，应立即通知监理人，说明原因并附详细依据。监理人与承包人和发包人协商后确定撤销、改变或不改变原变更意向书。</w:t>
      </w:r>
    </w:p>
    <w:p w14:paraId="7D734BC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15.3.2 变更估价</w:t>
      </w:r>
    </w:p>
    <w:p w14:paraId="32E8317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30EA02C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（2）变更工作影响工期的，承包人应提出调整工期的具体细节。监理人认为有必要时，可要求承包人提交要求提前或延长工期的施工进度计划及相应施工措施等详细资料。</w:t>
      </w:r>
    </w:p>
    <w:p w14:paraId="13A73AF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（3）除专用合同条款对期限另有约定外，监理人收到承包人变更报价书后的14天内，根据第15.4款约定的估价原则，按照第3.5款商定或确定变更价格。</w:t>
      </w:r>
    </w:p>
    <w:p w14:paraId="4CEB37E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15.3.3 变更指示</w:t>
      </w:r>
    </w:p>
    <w:p w14:paraId="0C0469E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（1）变更指示只能由监理人发出。</w:t>
      </w:r>
    </w:p>
    <w:p w14:paraId="0083141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（2）变更指示应说明变更的目的、范围、变更内容以及变更的工程量及其进度和技术要求，并附有关图纸和文件。承包人收到变更指示后，应按变更指示进行变更工作。</w:t>
      </w:r>
    </w:p>
    <w:p w14:paraId="4CDC6C91">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变更的估价原则</w:t>
      </w:r>
    </w:p>
    <w:p w14:paraId="6A0917F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除专用合同条款另有约定外，因变更引起的价格调整按照本款约定处理。</w:t>
      </w:r>
    </w:p>
    <w:p w14:paraId="409C980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已标价工程量清单中有适用于变更工作的子目的，采用该子目的单价。</w:t>
      </w:r>
    </w:p>
    <w:p w14:paraId="266F29E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 已标价工程量清单中无适用于变更工作的子目，但有类似子目的，可在合理范围内参照类似子目的单价，由监理人按第3.5款商定或确定变更工作的单价。</w:t>
      </w:r>
    </w:p>
    <w:p w14:paraId="4826ACD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已标价工程量清单中无适用或类似子目的单价，可按照成本加利润的原则，由监理人按第3.5款商定或确定变更工作的单价。</w:t>
      </w:r>
    </w:p>
    <w:p w14:paraId="75F90D9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标价工程量清单中无适用或类似子目的单价，根据《汕头建设工程造价信息》、周边市（按与汕头市的距离确定优先级，市级人民政府距离短的优先）的施工同期工程造价管理机构发布的信息（参考）价格）、《广东省交通建设工程主要外购材料信息价》。</w:t>
      </w:r>
    </w:p>
    <w:p w14:paraId="52F49499">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 承包人的合理化建议</w:t>
      </w:r>
    </w:p>
    <w:p w14:paraId="4E82B5C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3644928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15.5.2 承包人提出的合理化建议降低了合同价格、缩短了工期或者提高了工程经济效益的，发包人可按国家有关规定在专用合同条款中约定给予奖励。</w:t>
      </w:r>
    </w:p>
    <w:p w14:paraId="64239920">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15.6 暂列金额</w:t>
      </w:r>
    </w:p>
    <w:p w14:paraId="2CCA475F">
      <w:pPr>
        <w:spacing w:line="400" w:lineRule="exact"/>
        <w:ind w:firstLine="480" w:firstLineChars="200"/>
        <w:jc w:val="both"/>
        <w:rPr>
          <w:rFonts w:hint="eastAsia"/>
          <w:color w:val="auto"/>
          <w:sz w:val="24"/>
          <w:szCs w:val="24"/>
          <w:highlight w:val="none"/>
        </w:rPr>
      </w:pPr>
      <w:r>
        <w:rPr>
          <w:rFonts w:hint="eastAsia" w:ascii="宋体" w:hAnsi="宋体" w:eastAsia="宋体" w:cs="宋体"/>
          <w:color w:val="auto"/>
          <w:sz w:val="24"/>
          <w:szCs w:val="24"/>
          <w:highlight w:val="none"/>
        </w:rPr>
        <w:t>暂列金额只能按照监理人的指示使用，并对合同价格进行相应调整。</w:t>
      </w:r>
    </w:p>
    <w:p w14:paraId="457E8CDD">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15.7 计日工</w:t>
      </w:r>
    </w:p>
    <w:p w14:paraId="7E07AF4C">
      <w:pPr>
        <w:spacing w:line="400" w:lineRule="exact"/>
        <w:ind w:firstLine="480" w:firstLineChars="20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15.7.1 发包人认为有必要时，由监理人通知承包人以计日工方式实施变更的零星工作。其价款按列入已标价工程量清单中的计日工计价子目及其单价进行计算。</w:t>
      </w:r>
    </w:p>
    <w:p w14:paraId="494D807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15.7.2 采用计日工计价的任何一项变更工作，应从暂列金额中支付，承包人应在该项变更的实施过程中，每天提交以下报表和有关凭证报送监理人审批：</w:t>
      </w:r>
    </w:p>
    <w:p w14:paraId="12BB97A7">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（1）工作名称、内容和数量；</w:t>
      </w:r>
    </w:p>
    <w:p w14:paraId="1F918E74">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（2）投入该工作所有人员的姓名、工种、级别和耗用工时；</w:t>
      </w:r>
    </w:p>
    <w:p w14:paraId="58AA8C83">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（3）投入该工作的材料类别和数量；</w:t>
      </w:r>
    </w:p>
    <w:p w14:paraId="2ED66A7F">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（4）投入该工作的施工设备型号、台数和耗用台时；</w:t>
      </w:r>
    </w:p>
    <w:p w14:paraId="7E06F948">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（5）监理人要求提交的其他资料和凭证。</w:t>
      </w:r>
    </w:p>
    <w:p w14:paraId="18ACAA1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15.7.3 计日工由承包人汇总后，按第17.3.2项的约定列入进度付款申请单，由监理人复核并经发包人同意后列入进度付款。</w:t>
      </w:r>
    </w:p>
    <w:p w14:paraId="4775751D">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15.8 暂估价</w:t>
      </w:r>
    </w:p>
    <w:p w14:paraId="22E5E1FD">
      <w:pPr>
        <w:spacing w:line="400" w:lineRule="exact"/>
        <w:ind w:firstLine="480" w:firstLineChars="200"/>
        <w:jc w:val="both"/>
        <w:rPr>
          <w:rFonts w:hint="eastAsia" w:ascii="宋体" w:hAnsi="宋体" w:eastAsia="宋体" w:cs="宋体"/>
          <w:color w:val="auto"/>
          <w:sz w:val="24"/>
          <w:szCs w:val="24"/>
          <w:highlight w:val="none"/>
        </w:rPr>
      </w:pPr>
      <w:r>
        <w:rPr>
          <w:rFonts w:hint="eastAsia"/>
          <w:color w:val="auto"/>
          <w:sz w:val="24"/>
          <w:szCs w:val="24"/>
          <w:highlight w:val="none"/>
        </w:rPr>
        <w:t xml:space="preserve"> </w:t>
      </w:r>
      <w:r>
        <w:rPr>
          <w:rFonts w:hint="eastAsia" w:ascii="宋体" w:hAnsi="宋体" w:eastAsia="宋体" w:cs="宋体"/>
          <w:color w:val="auto"/>
          <w:sz w:val="24"/>
          <w:szCs w:val="24"/>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12E3E80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3A1C36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36830922">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 价格调整</w:t>
      </w:r>
    </w:p>
    <w:p w14:paraId="0092024D">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16.1 物价波动引起的价格调整</w:t>
      </w:r>
    </w:p>
    <w:p w14:paraId="1C075A0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除专用合同条款另有约定外，因物价波动引起的价格调整按照本款约定处理。</w:t>
      </w:r>
    </w:p>
    <w:p w14:paraId="4ABB02E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 采用价格指数调整价格差额</w:t>
      </w:r>
    </w:p>
    <w:p w14:paraId="2BA4C1B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16.1.1.1 价格调整公式</w:t>
      </w:r>
    </w:p>
    <w:p w14:paraId="4034648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因人工、材料和设备等价格波动影响合同价格时，根据投标函附录中的价格指数和权重表约定的数据，按以下公式计算差额并调整合同价格。</w:t>
      </w:r>
    </w:p>
    <w:p w14:paraId="2C43059A">
      <w:pPr>
        <w:autoSpaceDE w:val="0"/>
        <w:autoSpaceDN w:val="0"/>
        <w:adjustRightInd w:val="0"/>
        <w:spacing w:line="1200" w:lineRule="exact"/>
        <w:ind w:right="248" w:firstLine="956" w:firstLineChars="398"/>
        <w:rPr>
          <w:rFonts w:hint="eastAsia"/>
          <w:color w:val="auto"/>
          <w:sz w:val="24"/>
          <w:szCs w:val="24"/>
          <w:highlight w:val="none"/>
        </w:rPr>
      </w:pPr>
      <w:r>
        <w:rPr>
          <w:rFonts w:hint="eastAsia"/>
          <w:b/>
          <w:bCs/>
          <w:color w:val="auto"/>
          <w:kern w:val="0"/>
          <w:sz w:val="24"/>
          <w:szCs w:val="24"/>
          <w:highlight w:val="none"/>
          <w:lang w:val="zh-CN"/>
        </w:rPr>
        <w:t xml:space="preserve">        </w:t>
      </w:r>
      <w:r>
        <w:rPr>
          <w:color w:val="auto"/>
          <w:position w:val="-34"/>
          <w:sz w:val="24"/>
          <w:szCs w:val="24"/>
          <w:highlight w:val="none"/>
        </w:rPr>
        <w:object>
          <v:shape id="_x0000_i1025" o:spt="75" type="#_x0000_t75" style="height:40pt;width:306pt;" o:ole="t" filled="f" o:preferrelative="t" stroked="f" coordsize="21600,21600">
            <v:path/>
            <v:fill on="f" alignshape="1" focussize="0,0"/>
            <v:stroke on="f"/>
            <v:imagedata r:id="rId22" o:title=""/>
            <o:lock v:ext="edit" aspectratio="t"/>
            <w10:wrap type="none"/>
            <w10:anchorlock/>
          </v:shape>
          <o:OLEObject Type="Embed" ProgID="Equation.3" ShapeID="_x0000_i1025" DrawAspect="Content" ObjectID="_1468075725" r:id="rId21">
            <o:LockedField>false</o:LockedField>
          </o:OLEObject>
        </w:object>
      </w:r>
    </w:p>
    <w:p w14:paraId="1FF2FFC4">
      <w:pPr>
        <w:tabs>
          <w:tab w:val="left" w:pos="1260"/>
        </w:tabs>
        <w:spacing w:line="400" w:lineRule="exact"/>
        <w:ind w:firstLine="480" w:firstLineChars="200"/>
        <w:rPr>
          <w:rFonts w:hint="eastAsia"/>
          <w:color w:val="auto"/>
          <w:sz w:val="24"/>
          <w:szCs w:val="24"/>
          <w:highlight w:val="none"/>
        </w:rPr>
      </w:pPr>
      <w:r>
        <w:rPr>
          <w:rFonts w:hint="eastAsia"/>
          <w:color w:val="auto"/>
          <w:sz w:val="24"/>
          <w:szCs w:val="24"/>
          <w:highlight w:val="none"/>
        </w:rPr>
        <w:t xml:space="preserve"> </w:t>
      </w:r>
    </w:p>
    <w:p w14:paraId="11B9D8B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 △P -- 需调整的价格差额；</w:t>
      </w:r>
    </w:p>
    <w:p w14:paraId="17DBC28D">
      <w:pPr>
        <w:spacing w:line="400" w:lineRule="exact"/>
        <w:ind w:firstLine="1200" w:firstLineChars="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w:t>
      </w:r>
      <w:r>
        <w:rPr>
          <w:rFonts w:hint="eastAsia" w:ascii="宋体" w:hAnsi="宋体" w:eastAsia="宋体" w:cs="宋体"/>
          <w:color w:val="auto"/>
          <w:sz w:val="24"/>
          <w:szCs w:val="24"/>
          <w:highlight w:val="none"/>
          <w:vertAlign w:val="baseline"/>
        </w:rPr>
        <w:t>0</w:t>
      </w:r>
      <w:r>
        <w:rPr>
          <w:rFonts w:hint="eastAsia" w:ascii="宋体" w:hAnsi="宋体" w:eastAsia="宋体" w:cs="宋体"/>
          <w:color w:val="auto"/>
          <w:sz w:val="24"/>
          <w:szCs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64239F92">
      <w:pPr>
        <w:spacing w:line="400" w:lineRule="exact"/>
        <w:ind w:firstLine="1200" w:firstLineChars="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 定值权重(即不调部分的权重)；</w:t>
      </w:r>
    </w:p>
    <w:p w14:paraId="52CDD8DC">
      <w:pPr>
        <w:spacing w:line="400" w:lineRule="exact"/>
        <w:ind w:firstLine="1200" w:firstLineChars="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vertAlign w:val="baseline"/>
        </w:rPr>
        <w:t>1</w:t>
      </w:r>
      <w:r>
        <w:rPr>
          <w:rFonts w:hint="eastAsia" w:ascii="宋体" w:hAnsi="宋体" w:eastAsia="宋体" w:cs="宋体"/>
          <w:color w:val="auto"/>
          <w:sz w:val="24"/>
          <w:szCs w:val="24"/>
          <w:highlight w:val="none"/>
        </w:rPr>
        <w:t>; B</w:t>
      </w:r>
      <w:r>
        <w:rPr>
          <w:rFonts w:hint="eastAsia" w:ascii="宋体" w:hAnsi="宋体" w:eastAsia="宋体" w:cs="宋体"/>
          <w:color w:val="auto"/>
          <w:sz w:val="24"/>
          <w:szCs w:val="24"/>
          <w:highlight w:val="none"/>
          <w:vertAlign w:val="baseline"/>
        </w:rPr>
        <w:t>2</w:t>
      </w:r>
      <w:r>
        <w:rPr>
          <w:rFonts w:hint="eastAsia" w:ascii="宋体" w:hAnsi="宋体" w:eastAsia="宋体" w:cs="宋体"/>
          <w:color w:val="auto"/>
          <w:sz w:val="24"/>
          <w:szCs w:val="24"/>
          <w:highlight w:val="none"/>
        </w:rPr>
        <w:t xml:space="preserve"> ;B</w:t>
      </w:r>
      <w:r>
        <w:rPr>
          <w:rFonts w:hint="eastAsia" w:ascii="宋体" w:hAnsi="宋体" w:eastAsia="宋体" w:cs="宋体"/>
          <w:color w:val="auto"/>
          <w:sz w:val="24"/>
          <w:szCs w:val="24"/>
          <w:highlight w:val="none"/>
          <w:vertAlign w:val="baseline"/>
        </w:rPr>
        <w:t>3</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vertAlign w:val="baseline"/>
        </w:rPr>
        <w:t>n</w:t>
      </w:r>
      <w:r>
        <w:rPr>
          <w:rFonts w:hint="eastAsia" w:ascii="宋体" w:hAnsi="宋体" w:eastAsia="宋体" w:cs="宋体"/>
          <w:color w:val="auto"/>
          <w:sz w:val="24"/>
          <w:szCs w:val="24"/>
          <w:highlight w:val="none"/>
        </w:rPr>
        <w:t xml:space="preserve"> -- 各可调因子的变值权重(即可调部分的权重)为各可调因子在投标函投标总报价中所占的比例；</w:t>
      </w:r>
    </w:p>
    <w:p w14:paraId="42444282">
      <w:pPr>
        <w:spacing w:line="400" w:lineRule="exact"/>
        <w:ind w:firstLine="1200" w:firstLineChars="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baseline"/>
        </w:rPr>
        <w:t>t1</w:t>
      </w:r>
      <w:r>
        <w:rPr>
          <w:rFonts w:hint="eastAsia" w:ascii="宋体" w:hAnsi="宋体" w:eastAsia="宋体" w:cs="宋体"/>
          <w:color w:val="auto"/>
          <w:sz w:val="24"/>
          <w:szCs w:val="24"/>
          <w:highlight w:val="none"/>
        </w:rPr>
        <w:t xml:space="preserve"> ;F</w:t>
      </w:r>
      <w:r>
        <w:rPr>
          <w:rFonts w:hint="eastAsia" w:ascii="宋体" w:hAnsi="宋体" w:eastAsia="宋体" w:cs="宋体"/>
          <w:color w:val="auto"/>
          <w:sz w:val="24"/>
          <w:szCs w:val="24"/>
          <w:highlight w:val="none"/>
          <w:vertAlign w:val="baseline"/>
        </w:rPr>
        <w:t>t2</w:t>
      </w:r>
      <w:r>
        <w:rPr>
          <w:rFonts w:hint="eastAsia" w:ascii="宋体" w:hAnsi="宋体" w:eastAsia="宋体" w:cs="宋体"/>
          <w:color w:val="auto"/>
          <w:sz w:val="24"/>
          <w:szCs w:val="24"/>
          <w:highlight w:val="none"/>
        </w:rPr>
        <w:t xml:space="preserve"> ;F</w:t>
      </w:r>
      <w:r>
        <w:rPr>
          <w:rFonts w:hint="eastAsia" w:ascii="宋体" w:hAnsi="宋体" w:eastAsia="宋体" w:cs="宋体"/>
          <w:color w:val="auto"/>
          <w:sz w:val="24"/>
          <w:szCs w:val="24"/>
          <w:highlight w:val="none"/>
          <w:vertAlign w:val="baseline"/>
        </w:rPr>
        <w:t>t3</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baseline"/>
        </w:rPr>
        <w:t>tn</w:t>
      </w:r>
      <w:r>
        <w:rPr>
          <w:rFonts w:hint="eastAsia" w:ascii="宋体" w:hAnsi="宋体" w:eastAsia="宋体" w:cs="宋体"/>
          <w:color w:val="auto"/>
          <w:sz w:val="24"/>
          <w:szCs w:val="24"/>
          <w:highlight w:val="none"/>
        </w:rPr>
        <w:t xml:space="preserve"> -- 各可调因子的现行价格指数，指第17.3.3项、第17.5.2项和第17.6.2项约定的付款证书相关周期最后一天的前42天的各可调因子的价格指数；</w:t>
      </w:r>
    </w:p>
    <w:p w14:paraId="3FB0C45A">
      <w:pPr>
        <w:spacing w:line="400" w:lineRule="exact"/>
        <w:ind w:firstLine="720"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baseline"/>
        </w:rPr>
        <w:t>o1</w:t>
      </w:r>
      <w:r>
        <w:rPr>
          <w:rFonts w:hint="eastAsia" w:ascii="宋体" w:hAnsi="宋体" w:eastAsia="宋体" w:cs="宋体"/>
          <w:color w:val="auto"/>
          <w:sz w:val="24"/>
          <w:szCs w:val="24"/>
          <w:highlight w:val="none"/>
        </w:rPr>
        <w:t>; F</w:t>
      </w:r>
      <w:r>
        <w:rPr>
          <w:rFonts w:hint="eastAsia" w:ascii="宋体" w:hAnsi="宋体" w:eastAsia="宋体" w:cs="宋体"/>
          <w:color w:val="auto"/>
          <w:sz w:val="24"/>
          <w:szCs w:val="24"/>
          <w:highlight w:val="none"/>
          <w:vertAlign w:val="baseline"/>
        </w:rPr>
        <w:t>o2</w:t>
      </w:r>
      <w:r>
        <w:rPr>
          <w:rFonts w:hint="eastAsia" w:ascii="宋体" w:hAnsi="宋体" w:eastAsia="宋体" w:cs="宋体"/>
          <w:color w:val="auto"/>
          <w:sz w:val="24"/>
          <w:szCs w:val="24"/>
          <w:highlight w:val="none"/>
        </w:rPr>
        <w:t>; F</w:t>
      </w:r>
      <w:r>
        <w:rPr>
          <w:rFonts w:hint="eastAsia" w:ascii="宋体" w:hAnsi="宋体" w:eastAsia="宋体" w:cs="宋体"/>
          <w:color w:val="auto"/>
          <w:sz w:val="24"/>
          <w:szCs w:val="24"/>
          <w:highlight w:val="none"/>
          <w:vertAlign w:val="baseline"/>
        </w:rPr>
        <w:t>o3</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vertAlign w:val="baseline"/>
        </w:rPr>
        <w:t>on</w:t>
      </w:r>
      <w:r>
        <w:rPr>
          <w:rFonts w:hint="eastAsia" w:ascii="宋体" w:hAnsi="宋体" w:eastAsia="宋体" w:cs="宋体"/>
          <w:color w:val="auto"/>
          <w:sz w:val="24"/>
          <w:szCs w:val="24"/>
          <w:highlight w:val="none"/>
        </w:rPr>
        <w:t xml:space="preserve"> -- 各可调因子的基本价格指数，指基准日期的各可调因子的价格指数。</w:t>
      </w:r>
    </w:p>
    <w:p w14:paraId="72B1C03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4C7C24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16.1.1.2 暂时确定调整差额</w:t>
      </w:r>
    </w:p>
    <w:p w14:paraId="7F8D348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在计算调整差额时得不到现行价格指数的，可暂用上一次价格指数计算，并在以后的付款中再按实际价格指数进行调整。</w:t>
      </w:r>
    </w:p>
    <w:p w14:paraId="6E1DB76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16.1.1.3 权重的调整</w:t>
      </w:r>
    </w:p>
    <w:p w14:paraId="1315A44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按第15.1款约定的变更导致原定合同中的权重不合理时，由监理人与承包人和发包人协商后进行调整。</w:t>
      </w:r>
    </w:p>
    <w:p w14:paraId="61E8A0C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16.1.1.4 承包人工期延误后的价格调整</w:t>
      </w:r>
    </w:p>
    <w:p w14:paraId="1B9D580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72CE46B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16.1.2 采用造价信息调整价格差额</w:t>
      </w:r>
    </w:p>
    <w:p w14:paraId="3D46693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4B4F8201">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16.2 法律变化引起的价格调整</w:t>
      </w:r>
    </w:p>
    <w:p w14:paraId="1C002DF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FEFA90B">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 计量与支付</w:t>
      </w:r>
    </w:p>
    <w:p w14:paraId="7BA4B98F">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17.1 计量</w:t>
      </w:r>
    </w:p>
    <w:p w14:paraId="691BBE9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17.1.1 计量单位</w:t>
      </w:r>
    </w:p>
    <w:p w14:paraId="30C2876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计量采用国家法定的计量单位。</w:t>
      </w:r>
    </w:p>
    <w:p w14:paraId="026FB1F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17.1.2 计量方法</w:t>
      </w:r>
    </w:p>
    <w:p w14:paraId="1E170D7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工程量清单中的工程量计算规则应按有关国家标准、行业标准的规定，并在合同中约定执行。</w:t>
      </w:r>
    </w:p>
    <w:p w14:paraId="11FA06F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17.1.3 计量周期</w:t>
      </w:r>
    </w:p>
    <w:p w14:paraId="14F25A3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除专用合同条款另有约定外，单价子目已完成工程量按月计量，总价子目的计量周期按批准的支付分解报告确定。</w:t>
      </w:r>
    </w:p>
    <w:p w14:paraId="48A5DBC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17.1.4 单价子目的计量</w:t>
      </w:r>
    </w:p>
    <w:p w14:paraId="0E5BC20E">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（1）已标价工程量清单中的单价子目工程量为估算工程量。结算工程量是承包人实际完成的，并按合同约定的计量方法进行计量的工程量。</w:t>
      </w:r>
    </w:p>
    <w:p w14:paraId="302B95B9">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（2）承包人对已完成的工程进行计量，向监理人提交进度付款申请单、已完成工程量报表和有关计量资料。</w:t>
      </w:r>
    </w:p>
    <w:p w14:paraId="6C82C0A3">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39EFBD34">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（4）监理人认为有必要时，可通知承包人共同进行联合测量、计量，承包人应遵照执行。</w:t>
      </w:r>
    </w:p>
    <w:p w14:paraId="45C5E7D2">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71BBCC85">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7B46F1A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17.1.5 总价子目的计量</w:t>
      </w:r>
    </w:p>
    <w:p w14:paraId="5424CF5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除专用合同条款另有约定外，总价子目的分解和计量按照下述约定进行。</w:t>
      </w:r>
    </w:p>
    <w:p w14:paraId="79364B5E">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（1）总价子目的计量和支付应以总价为基础，不因第16.1款中的因素而进行调整。承包人实际完成的工程量，是进行工程目标管理和控制进度支付的依据。</w:t>
      </w:r>
    </w:p>
    <w:p w14:paraId="032A6C6D">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5D76D9B6">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（3）监理人对承包人提交的上述资料进行复核，以确定分阶段实际完成的工程量和工程形象目标。对其有异议的，可要求承包人按第8.2款约定进行共同复核和抽样复测。</w:t>
      </w:r>
    </w:p>
    <w:p w14:paraId="5872C716">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（4）除按照第15条约定的变更外，总价子目的工程量是承包人用于结算的最终工程量。 </w:t>
      </w:r>
    </w:p>
    <w:p w14:paraId="7DAA187A">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17.2 预付款</w:t>
      </w:r>
    </w:p>
    <w:p w14:paraId="2B87F1A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17.2.1 预付款</w:t>
      </w:r>
    </w:p>
    <w:p w14:paraId="39287DE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6474B0D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17.2.2 预付款保函</w:t>
      </w:r>
    </w:p>
    <w:p w14:paraId="6FD1954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4A7C92D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17.2.3 预付款的扣回与还清</w:t>
      </w:r>
    </w:p>
    <w:p w14:paraId="717B937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57FFFB64">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17.3 工程进度付款</w:t>
      </w:r>
    </w:p>
    <w:p w14:paraId="4F4F7ED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 付款周期</w:t>
      </w:r>
    </w:p>
    <w:p w14:paraId="2EF0EB6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付款周期同计量周期。</w:t>
      </w:r>
    </w:p>
    <w:p w14:paraId="5F2913D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 进度付款申请单</w:t>
      </w:r>
    </w:p>
    <w:p w14:paraId="7465D9F6">
      <w:pPr>
        <w:spacing w:line="400" w:lineRule="exact"/>
        <w:ind w:firstLine="480" w:firstLineChars="200"/>
        <w:jc w:val="both"/>
        <w:rPr>
          <w:rFonts w:hint="eastAsia" w:ascii="宋体" w:hAnsi="宋体" w:eastAsia="宋体" w:cs="宋体"/>
          <w:dstrike w:val="0"/>
          <w:color w:val="auto"/>
          <w:sz w:val="24"/>
          <w:szCs w:val="24"/>
          <w:highlight w:val="none"/>
        </w:rPr>
      </w:pPr>
      <w:r>
        <w:rPr>
          <w:rFonts w:hint="eastAsia" w:ascii="宋体" w:hAnsi="宋体" w:eastAsia="宋体" w:cs="宋体"/>
          <w:color w:val="auto"/>
          <w:sz w:val="24"/>
          <w:szCs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780E5A9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（1）截至本次付款周期末已实施工程的价款；</w:t>
      </w:r>
    </w:p>
    <w:p w14:paraId="72FF309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（2）根据第15条应增加和扣减的变更金额；</w:t>
      </w:r>
    </w:p>
    <w:p w14:paraId="2AD867A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（3）根据第23条应增加和扣减的索赔金额；</w:t>
      </w:r>
    </w:p>
    <w:p w14:paraId="3813803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（4）根据第17.2款约定应支付的预付款和扣减的返还预付款；</w:t>
      </w:r>
    </w:p>
    <w:p w14:paraId="1169628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（5）根据第17.4.1项约定应扣减的质量保证金；</w:t>
      </w:r>
    </w:p>
    <w:p w14:paraId="68FC478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（6）根据合同应增加和扣减的其他金额。</w:t>
      </w:r>
    </w:p>
    <w:p w14:paraId="281DE73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17.3.3 进度付款证书和支付时间</w:t>
      </w:r>
    </w:p>
    <w:p w14:paraId="0CBD451E">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634DE50D">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（2）发包人应在监理人收到进度付款申请单后的28天内，将进度应付款支付给承包人。发包人不按期支付的，按专用合同条款的约定支付逾期付款违约金。</w:t>
      </w:r>
    </w:p>
    <w:p w14:paraId="6AEACCFE">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（3）监理人出具进度付款证书，不应视为监理人已同意、批准或接受了承包人完成的该部分工作。</w:t>
      </w:r>
    </w:p>
    <w:p w14:paraId="4EF5EC1E">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（4）进度付款涉及政府投资资金的，按照国库集中支付等国家相关规定和专用合同条款的约定办理。</w:t>
      </w:r>
    </w:p>
    <w:p w14:paraId="6982A43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17.3.4 工程进度付款的修正</w:t>
      </w:r>
    </w:p>
    <w:p w14:paraId="36C2BCB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55C8E338">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17.4 质量保证金</w:t>
      </w:r>
    </w:p>
    <w:p w14:paraId="39FA066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66E8249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1D7A638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195531FE">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17.5 竣工结算</w:t>
      </w:r>
    </w:p>
    <w:p w14:paraId="0EE95B2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17.5.1 竣工付款申请单</w:t>
      </w:r>
    </w:p>
    <w:p w14:paraId="5B2D87E2">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09D9550F">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（2）监理人对竣工付款申请单有异议的，有权要求承包人进行修正和提供补充资料。经监理人和承包人协商后，由承包人向监理人提交修正后的竣工付款申请单。</w:t>
      </w:r>
    </w:p>
    <w:p w14:paraId="64F324D5">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17.5.2 竣工付款证书及支付时间</w:t>
      </w:r>
    </w:p>
    <w:p w14:paraId="0EF2421E">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2FD57F41">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（2）发包人应在监理人出具竣工付款证书后的14天内，将应支付款支付给承包人。发包人不按期支付的，按第17.3.3（2）目的约定，将逾期付款违约金支付给承包人。</w:t>
      </w:r>
    </w:p>
    <w:p w14:paraId="59B5DD77">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（3）承包人对发包人签认的竣工付款证书有异议的，发包人可出具竣工付款申请单中承包人已同意部分的临时付款证书。存在争议的部分，按第24条的约定办理。</w:t>
      </w:r>
    </w:p>
    <w:p w14:paraId="322E3CCB">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（4）竣工付款涉及政府投资资金的，按第17.3.3（４）目的约定办理。</w:t>
      </w:r>
    </w:p>
    <w:p w14:paraId="0DB16661">
      <w:pPr>
        <w:pStyle w:val="20"/>
        <w:ind w:left="0" w:leftChars="0" w:firstLine="0" w:firstLineChars="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17.6 最终结清</w:t>
      </w:r>
    </w:p>
    <w:p w14:paraId="1A687B3F">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17.6.1 最终结清申请单</w:t>
      </w:r>
    </w:p>
    <w:p w14:paraId="71ABE706">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（1）缺陷责任期终止证书签发后，承包人可按专用合同条款约定的份数和期限向监理人提交最终结清申请单，并提供相关证明材料。</w:t>
      </w:r>
    </w:p>
    <w:p w14:paraId="69C3FA43">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（2）发包人对最终结清申请单内容有异议的，有权要求承包人进行修正和提供补充资料，由承包人向监理人提交修正后的最终结清申请单。</w:t>
      </w:r>
    </w:p>
    <w:p w14:paraId="7EDA6CE7">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17.6.2 最终结清证书和支付时间</w:t>
      </w:r>
    </w:p>
    <w:p w14:paraId="66D5BEE0">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0A45174">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（2）发包人应在监理人出具最终结清证书后的14天内，将应支付款支付给承包人。发包人不按期支付的，按第17.3.3（2）目的约定，将逾期付款违约金支付给承包人。</w:t>
      </w:r>
    </w:p>
    <w:p w14:paraId="6C1B4183">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（3）承包人对发包人签认的最终结清证书有异议的，按第24条的约定办理。</w:t>
      </w:r>
    </w:p>
    <w:p w14:paraId="630003D3">
      <w:pPr>
        <w:spacing w:line="400" w:lineRule="exact"/>
        <w:ind w:left="0" w:leftChars="0" w:firstLine="480" w:firstLineChars="200"/>
        <w:jc w:val="both"/>
        <w:rPr>
          <w:rFonts w:hint="eastAsia"/>
          <w:color w:val="auto"/>
          <w:sz w:val="24"/>
          <w:szCs w:val="24"/>
          <w:highlight w:val="none"/>
        </w:rPr>
      </w:pPr>
      <w:r>
        <w:rPr>
          <w:rFonts w:hint="eastAsia" w:ascii="宋体" w:hAnsi="宋体" w:eastAsia="宋体" w:cs="宋体"/>
          <w:color w:val="auto"/>
          <w:sz w:val="24"/>
          <w:szCs w:val="24"/>
          <w:highlight w:val="none"/>
        </w:rPr>
        <w:t>（4）最终结清付款涉及政府投资资金的，按第17.3.3（４）目的约定办理。</w:t>
      </w:r>
    </w:p>
    <w:p w14:paraId="51C3773F">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 竣工验收</w:t>
      </w:r>
    </w:p>
    <w:p w14:paraId="442072DD">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18.1 竣工验收的含义</w:t>
      </w:r>
    </w:p>
    <w:p w14:paraId="1B1BB6F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18.1.1 竣工验收指承包人完成了全部合同工作后，发包人按合同要求进行的验收。</w:t>
      </w:r>
    </w:p>
    <w:p w14:paraId="2B2B6ED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18.1.2 国家验收是政府有关部门根据法律、规范、规程和政策要求，针对发包人全面组织实施的整个工程正式交付投运前的验收。</w:t>
      </w:r>
    </w:p>
    <w:p w14:paraId="5351966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23F72CCD">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18.2 竣工验收申请报告</w:t>
      </w:r>
    </w:p>
    <w:p w14:paraId="3084F74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当工程具备以下条件时，承包人即可向监理人报送竣工验收申请报告：</w:t>
      </w:r>
    </w:p>
    <w:p w14:paraId="667F770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2CA06EC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（2）已按合同约定的内容和份数备齐了符合要求的竣工资料； </w:t>
      </w:r>
    </w:p>
    <w:p w14:paraId="48B82E8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（3）已按监理人的要求编制了在缺陷责任期内完成的尾工（甩项）工程和缺陷修补工作清单以及相应施工计划；</w:t>
      </w:r>
    </w:p>
    <w:p w14:paraId="35A250A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（4）监理人要求在竣工验收前应完成的其他工作；</w:t>
      </w:r>
    </w:p>
    <w:p w14:paraId="25D2A07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（5）监理人要求提交的竣工验收资料清单。</w:t>
      </w:r>
    </w:p>
    <w:p w14:paraId="4EE41CDA">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18.3 验收</w:t>
      </w:r>
    </w:p>
    <w:p w14:paraId="5C1E4E0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监理人收到承包人按第18.2款约定提交的竣工验收申请报告后，应审查申请报告的各项内容，并按以下不同情况进行处理。</w:t>
      </w:r>
    </w:p>
    <w:p w14:paraId="6793CC1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268E5E6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18.3.2 监理人审查后认为已具备竣工验收条件的，应在收到竣工验收申请报告后的28天内提请发包人进行工程验收。</w:t>
      </w:r>
    </w:p>
    <w:p w14:paraId="142EC75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3E37F5E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6E24CB6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18.3.5 除专用合同条款另有约定外，经验收合格工程的实际竣工日期，以提交竣工验收申请报告的日期为准，并在工程接收证书中写明。</w:t>
      </w:r>
    </w:p>
    <w:p w14:paraId="6018FFF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18.3.6 发包人在收到承包人竣工验收申请报告56天后未进行验收的，视为验收合格，实际竣工日期以提交竣工验收申请报告的日期为准，但发包人由于不可抗力不能进行验收的除外。</w:t>
      </w:r>
    </w:p>
    <w:p w14:paraId="694A5A1A">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18.4 单位工程验收</w:t>
      </w:r>
    </w:p>
    <w:p w14:paraId="2581A46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6701348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18.4.2 发包人在全部工程竣工前，使用已接收的单位工程导致承包人费用增加的，发包人应承担由此增加的费用和（或）工期延误，并支付承包人合理利润。</w:t>
      </w:r>
    </w:p>
    <w:p w14:paraId="1DB2C1A4">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18.5 施工期运行</w:t>
      </w:r>
    </w:p>
    <w:p w14:paraId="4C5BE57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50B5ACB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18.5.2 在施工期运行中发现工程或工程设备损坏或存在缺陷的，由承包人按第19.2款约定进行修复。</w:t>
      </w:r>
    </w:p>
    <w:p w14:paraId="7AC981DE">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18.6 试运行</w:t>
      </w:r>
    </w:p>
    <w:p w14:paraId="3BE61B0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18.6.1 除专用合同条款另有约定外，承包人应按专用合同条款约定进行工程及工程设备试运行，负责提供试运行所需的人员、器材和必要的条件，并承担全部试运行费用。</w:t>
      </w:r>
    </w:p>
    <w:p w14:paraId="25FAF57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7E55086A">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18.7 竣工清场</w:t>
      </w:r>
    </w:p>
    <w:p w14:paraId="3C0229F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18.7.1 除合同另有约定外，工程接收证书颁发后，承包人应按以下要求对施工场地进行清理，直至监理人检验合格为止。竣工清场费用由承包人承担。</w:t>
      </w:r>
    </w:p>
    <w:p w14:paraId="4D98F32B">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（1）施工场地内残留的垃圾已全部清除出场；</w:t>
      </w:r>
    </w:p>
    <w:p w14:paraId="26BDF6D5">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（2）临时工程已拆除，场地已按合同要求进行清理、平整或复原；</w:t>
      </w:r>
    </w:p>
    <w:p w14:paraId="5EDB5C6A">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（3）按合同约定应撤离的承包人设备和剩余的材料，包括废弃的施工设备和材料，已按计划撤离施工场地；</w:t>
      </w:r>
    </w:p>
    <w:p w14:paraId="20F883E9">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（4）工程建筑物周边及其附近道路、河道的施工堆积物，已按监理人指示全部清理；</w:t>
      </w:r>
    </w:p>
    <w:p w14:paraId="4982F5B4">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（5）监理人指示的其他场地清理工作已全部完成。</w:t>
      </w:r>
    </w:p>
    <w:p w14:paraId="7677BDA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18.7.2 承包人未按监理人的要求恢复临时占地，或者场地清理未达到合同约定的，发包人有权委托其他人恢复或清理，所发生的金额从拟支付给承包人的款项中扣除。</w:t>
      </w:r>
    </w:p>
    <w:p w14:paraId="1D367CF8">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18.8 施工队伍的撤离</w:t>
      </w:r>
    </w:p>
    <w:p w14:paraId="6A4014E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460B9929">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 缺陷责任与保修责任</w:t>
      </w:r>
    </w:p>
    <w:p w14:paraId="27D1E948">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19.1 缺陷责任期的起算时间</w:t>
      </w:r>
    </w:p>
    <w:p w14:paraId="753ABDF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缺陷责任期自实际竣工日期起计算。在全部工程竣工验收前，已经发包人提前验收的单位工程，其缺陷责任期的起算日期相应提前。</w:t>
      </w:r>
    </w:p>
    <w:p w14:paraId="50BA05BD">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19.2 缺陷责任</w:t>
      </w:r>
    </w:p>
    <w:p w14:paraId="0342C62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 承包人应在缺陷责任期内对已交付使用的工程承担缺陷责任。</w:t>
      </w:r>
    </w:p>
    <w:p w14:paraId="4ECAC99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341BA46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170084B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 承包人不能在合理时间内修复缺陷的，发包人可自行修复或委托其他人修复，所需费用和利润的承担，按第19.2.3项约定办理。</w:t>
      </w:r>
    </w:p>
    <w:p w14:paraId="77CAAB68">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19.3 缺陷责任期的延长</w:t>
      </w:r>
    </w:p>
    <w:p w14:paraId="197506A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52562753">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19.4 进一步试验和试运行</w:t>
      </w:r>
    </w:p>
    <w:p w14:paraId="10A4A10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任何一项缺陷或损坏修复后，经检查证明其影响了工程或工程设备的使用性能，承包人应重新进行合同约定的试验和试运行，试验和试运行的全部费用应由责任方承担。</w:t>
      </w:r>
    </w:p>
    <w:p w14:paraId="530B6411">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19.5 承包人的进入权</w:t>
      </w:r>
    </w:p>
    <w:p w14:paraId="1A33DFE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缺陷责任期内承包人为缺陷修复工作需要，有权进入工程现场，但应遵守发包人的保安和保密规定。</w:t>
      </w:r>
    </w:p>
    <w:p w14:paraId="4A8DB8A9">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19.6 缺陷责任期终止证书</w:t>
      </w:r>
    </w:p>
    <w:p w14:paraId="72BE013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在第1.1.4.5目约定的缺陷责任期，包括根据第19.3款延长的期限终止后14天内，由监理人向承包人出具经发包人签认的缺陷责任期终止证书，并退还剩余的质量保证金。</w:t>
      </w:r>
    </w:p>
    <w:p w14:paraId="418AB1BE">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19.7 保修责任</w:t>
      </w:r>
    </w:p>
    <w:p w14:paraId="4055028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6819CA28">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 保险</w:t>
      </w:r>
    </w:p>
    <w:p w14:paraId="675BF2C9">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20.1 工程保险</w:t>
      </w:r>
    </w:p>
    <w:p w14:paraId="0BC260A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35FFD90B">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20.2 人员工伤事故的保险</w:t>
      </w:r>
    </w:p>
    <w:p w14:paraId="491EF50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承包人员工伤事故的保险</w:t>
      </w:r>
    </w:p>
    <w:p w14:paraId="25DC438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承包人应依照有关法律规定参加工伤保险，为其履行合同所雇佣的全部人员，缴纳工伤保险费，并要求其分包人也进行此项保险。</w:t>
      </w:r>
    </w:p>
    <w:p w14:paraId="0FFBD28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 发包人员工伤事故的保险</w:t>
      </w:r>
    </w:p>
    <w:p w14:paraId="367FB82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发包人应依照有关法律规定参加工伤保险，为其现场机构雇佣的全部人员，缴纳工伤保险费，并要求其监理人也进行此项保险。</w:t>
      </w:r>
    </w:p>
    <w:p w14:paraId="6C695BE7">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20.3 人身意外伤害险</w:t>
      </w:r>
    </w:p>
    <w:p w14:paraId="15DEB1C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发包人应在整个施工期间为其现场机构雇用的全部人员，投保人身意外伤害险，缴纳保险费，并要求其监理人也进行此项保险。</w:t>
      </w:r>
    </w:p>
    <w:p w14:paraId="185A834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20.3.2 承包人应在整个施工期间为其现场机构雇用的全部人员，投保人身意外伤害险，缴纳保险费，并要求其分包人也进行此项保险。</w:t>
      </w:r>
    </w:p>
    <w:p w14:paraId="4892F6B5">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20.4 第三者责任险</w:t>
      </w:r>
    </w:p>
    <w:p w14:paraId="24A9402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25FAB25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20.4.2 在缺陷责任期终止证书颁发前，承包人应以承包人和发包人的共同名义，投保第20.4.1项约定的第三者责任险，其保险费率、保险金额等有关内容在专用合同条款中约定。</w:t>
      </w:r>
    </w:p>
    <w:p w14:paraId="0E380149">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20.5 其他保险</w:t>
      </w:r>
    </w:p>
    <w:p w14:paraId="172640D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除专用合同条款另有约定外，承包人应为其施工设备、进场的材料和工程设备等办理保险。</w:t>
      </w:r>
    </w:p>
    <w:p w14:paraId="56163B1F">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20.6 对各项保险的一般要求</w:t>
      </w:r>
    </w:p>
    <w:p w14:paraId="196600F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20.6.1 保险凭证</w:t>
      </w:r>
    </w:p>
    <w:p w14:paraId="380DBCA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承包人应在专用合同条款约定的期限内向发包人提交各项保险生效的证据和保险单副本，保险单必须与专用合同条款约定的条件保持一致。</w:t>
      </w:r>
    </w:p>
    <w:p w14:paraId="13511D1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20.6.2 保险合同条款的变动</w:t>
      </w:r>
    </w:p>
    <w:p w14:paraId="0F6D71C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承包人需要变动保险合同条款时，应事先征得发包人同意，并通知监理人。保险人作出变动的，承包人应在收到保险人通知后立即通知发包人和监理人。</w:t>
      </w:r>
    </w:p>
    <w:p w14:paraId="5BAB161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20.6.3 持续保险</w:t>
      </w:r>
    </w:p>
    <w:p w14:paraId="161E7EF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承包人应与保险人保持联系，使保险人能够随时了解工程实施中的变动，并确保按保险合同条款要求持续保险。</w:t>
      </w:r>
    </w:p>
    <w:p w14:paraId="5BF685F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20.6.4 保险金不足的补偿</w:t>
      </w:r>
    </w:p>
    <w:p w14:paraId="091BA82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保险金不足以补偿损失的，应由承包人和（或）发包人按合同约定负责补偿。</w:t>
      </w:r>
    </w:p>
    <w:p w14:paraId="1198604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20.6.5 未按约定投保的补救</w:t>
      </w:r>
    </w:p>
    <w:p w14:paraId="124D4F3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（1）由于负有投保义务的一方当事人未按合同约定办理保险，或未能使保险持续有效的，另一方当事人可代为办理，所需费用由对方当事人承担。</w:t>
      </w:r>
    </w:p>
    <w:p w14:paraId="60A192E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（2）由于负有投保义务的一方当事人未按合同约定办理某项保险，导致受益人未能得到保险人的赔偿，原应从该项保险得到的保险金应由负有投保义务的一方当事人支付。</w:t>
      </w:r>
    </w:p>
    <w:p w14:paraId="333BDAF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20.6.6 报告义务</w:t>
      </w:r>
    </w:p>
    <w:p w14:paraId="11B92D0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当保险事故发生时，投保人应按照保险单规定的条件和期限及时向保险人报告。</w:t>
      </w:r>
    </w:p>
    <w:p w14:paraId="7DE7AF0D">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不可抗力</w:t>
      </w:r>
    </w:p>
    <w:p w14:paraId="6D75C235">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21.1 不可抗力的确认</w:t>
      </w:r>
    </w:p>
    <w:p w14:paraId="280499D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28512C1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19C93BEF">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21.2 不可抗力的通知</w:t>
      </w:r>
    </w:p>
    <w:p w14:paraId="779FB57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21.2.1 合同一方当事人遇到不可抗力事件，使其履行合同义务受到阻碍时，应立即通知合同另一方当事人和监理人，书面说明不可抗力和受阻碍的详细情况，并提供必要的证明。</w:t>
      </w:r>
    </w:p>
    <w:p w14:paraId="791C0CC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4A0FD9A7">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21.3 不可抗力后果及其处理</w:t>
      </w:r>
    </w:p>
    <w:p w14:paraId="5D844D1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21.3.1 不可抗力造成损害的责任</w:t>
      </w:r>
    </w:p>
    <w:p w14:paraId="01C6F4F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除专用合同条款另有约定外，不可抗力导致的人员伤亡、财产损失、费用增加和（或）工期延误等后果，由合同双方按以下原则承担：</w:t>
      </w:r>
    </w:p>
    <w:p w14:paraId="5995BCAB">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（1）永久工程，包括已运至施工场地的材料和工程设备的损害，以及因工程损害造成的第三者人员伤亡和财产损失由发包人承担；</w:t>
      </w:r>
    </w:p>
    <w:p w14:paraId="18A5A59C">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（2）承包人设备的损坏由承包人承担；</w:t>
      </w:r>
    </w:p>
    <w:p w14:paraId="58470D76">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（3）发包人和承包人各自承担其人员伤亡和其他财产损失及其相关费用；</w:t>
      </w:r>
    </w:p>
    <w:p w14:paraId="74390055">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（4）承包人的停工损失由承包人承担，但停工期间应监理人要求照管工程和清理、修复工程的金额由发包人承担；</w:t>
      </w:r>
    </w:p>
    <w:p w14:paraId="779141E3">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（5）不能按期竣工的，应合理延长工期，承包人不需支付逾期竣工违约金。发包人要求赶工的，承包人应采取赶工措施，赶工费用由发包人承担。</w:t>
      </w:r>
    </w:p>
    <w:p w14:paraId="5BBFC6A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21.3.2 延迟履行期间发生的不可抗力</w:t>
      </w:r>
    </w:p>
    <w:p w14:paraId="14C11BC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合同一方当事人延迟履行，在延迟履行期间发生不可抗力的，不免除其责任。</w:t>
      </w:r>
    </w:p>
    <w:p w14:paraId="198EA2F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 避免和减少不可抗力损失</w:t>
      </w:r>
    </w:p>
    <w:p w14:paraId="4F21883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不可抗力发生后，发包人和承包人均应采取措施尽量避免和减少损失的扩大，任何一方没有采取有效措施导致损失扩大的，应对扩大的损失承担责任。</w:t>
      </w:r>
    </w:p>
    <w:p w14:paraId="39B854A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21.3.4 因不可抗力解除合同</w:t>
      </w:r>
    </w:p>
    <w:p w14:paraId="4A7D397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35F4A1EF">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违约</w:t>
      </w:r>
    </w:p>
    <w:p w14:paraId="6A0C7026">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22.1 承包人违约</w:t>
      </w:r>
    </w:p>
    <w:p w14:paraId="3A7C216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22.1.1 承包人违约的情形</w:t>
      </w:r>
    </w:p>
    <w:p w14:paraId="446218B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在履行合同过程中发生的下列情况属承包人违约：</w:t>
      </w:r>
    </w:p>
    <w:p w14:paraId="46F1BA66">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（1）承包人违反第1.8款或第4.3款的约定，私自将合同的全部或部分权利转让给其他人，或私自将合同的全部或部分义务转移给其他人；</w:t>
      </w:r>
    </w:p>
    <w:p w14:paraId="3F5DE31C">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（2）承包人违反第5.3款或第6.4款的约定，未经监理人批准，私自将已按合同约定进入施工场地的施工设备、临时设施或材料撤离施工场地；</w:t>
      </w:r>
    </w:p>
    <w:p w14:paraId="29430537">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（3）承包人违反第5.4款的约定使用了不合格材料或工程设备，工程质量达不到标准要求，又拒绝清除不合格工程；</w:t>
      </w:r>
    </w:p>
    <w:p w14:paraId="34E51ECC">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（4）承包人未能按合同进度计划及时完成合同约定的工作，已造成或预期造成工期延误；</w:t>
      </w:r>
    </w:p>
    <w:p w14:paraId="13DFDD6F">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（5）承包人在缺陷责任期内，未能对工程接收证书所列的缺陷清单的内容或缺陷责任期内发生的缺陷进行修复，而又拒绝按监理人指示再进行修补；</w:t>
      </w:r>
    </w:p>
    <w:p w14:paraId="3AD251B9">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（6）承包人无法继续履行或明确表示不履行或实质上已停止履行合同；</w:t>
      </w:r>
    </w:p>
    <w:p w14:paraId="2D09EBF2">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（7）承包人不按合同约定履行义务的其他情况。</w:t>
      </w:r>
    </w:p>
    <w:p w14:paraId="092552E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22.1.2 对承包人违约的处理</w:t>
      </w:r>
    </w:p>
    <w:p w14:paraId="053C9D49">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（1）承包人发生第22.1.1（6）目约定的违约情况时，发包人可通知承包人立即解除合同，并按有关法律处理。</w:t>
      </w:r>
    </w:p>
    <w:p w14:paraId="056CE7BB">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（2）承包人发生除第22.1.1（6）目约定以外的其他违约情况时，监理人可向承包人发出整改通知，要求其在指定的期限内改正。承包人应承担其违约所引起的费用增加和（或）工期延误。</w:t>
      </w:r>
    </w:p>
    <w:p w14:paraId="267C1F9D">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（3）经检查证明承包人已采取了有效措施纠正违约行为，具备复工条件的，可由监理人签发复工通知复工。</w:t>
      </w:r>
    </w:p>
    <w:p w14:paraId="1E6C0ED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22.1.3 承包人违约解除合同</w:t>
      </w:r>
    </w:p>
    <w:p w14:paraId="7ABA236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1E9A477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22.1.4 合同解除后的估价、付款和结清</w:t>
      </w:r>
    </w:p>
    <w:p w14:paraId="5EFE98C3">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（1）合同解除后，监理人按第3.5款商定或确定承包人实际完成工作的价值，以及承包人已提供的材料、施工设备、工程设备和临时工程等的价值。 </w:t>
      </w:r>
    </w:p>
    <w:p w14:paraId="492F94F0">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（2）合同解除后，发包人应暂停对承包人的一切付款，查清各项付款和已扣款金额，包括承包人应支付的违约金。 </w:t>
      </w:r>
    </w:p>
    <w:p w14:paraId="5E6C0A16">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（3）合同解除后，发包人应按第23.4款的约定向承包人索赔由于解除合同给发包人造成的损失。</w:t>
      </w:r>
    </w:p>
    <w:p w14:paraId="1C818848">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（4）合同双方确认上述往来款项后，出具最终结清付款证书，结清全部合同款项。</w:t>
      </w:r>
    </w:p>
    <w:p w14:paraId="4A7E7C48">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（5）发包人和承包人未能就解除合同后的结清达成一致而形成争议的，按第24条的约定办理。</w:t>
      </w:r>
    </w:p>
    <w:p w14:paraId="5F891C6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22.1.5 协议利益的转让</w:t>
      </w:r>
    </w:p>
    <w:p w14:paraId="646D2AE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49207DC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22.1.6 紧急情况下无能力或不愿进行抢救</w:t>
      </w:r>
    </w:p>
    <w:p w14:paraId="05050CA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093B138">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22.2 发包人违约</w:t>
      </w:r>
    </w:p>
    <w:p w14:paraId="328A9EF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22.2.1 发包人违约的情形</w:t>
      </w:r>
    </w:p>
    <w:p w14:paraId="5DBE797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在履行合同过程中发生的下列情形，属发包人违约：</w:t>
      </w:r>
    </w:p>
    <w:p w14:paraId="433187C8">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（1）发包人未能按合同约定支付预付款或合同价款，或拖延、拒绝批准付款申请和支付凭证，导致付款延误的；</w:t>
      </w:r>
    </w:p>
    <w:p w14:paraId="664E9C65">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（2）发包人原因造成停工的；</w:t>
      </w:r>
    </w:p>
    <w:p w14:paraId="0B0853F7">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（3）监理人无正当理由没有在约定期限内发出复工指示，导致承包人无法复工的；</w:t>
      </w:r>
    </w:p>
    <w:p w14:paraId="7F95EBB8">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（4）发包人无法继续履行或明确表示不履行或实质上已停止履行合同的；</w:t>
      </w:r>
    </w:p>
    <w:p w14:paraId="18B7473C">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（5）发包人不履行合同约定其他义务的。</w:t>
      </w:r>
    </w:p>
    <w:p w14:paraId="54B42D4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22.2.2 承包人有权暂停施工</w:t>
      </w:r>
    </w:p>
    <w:p w14:paraId="74D3991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1B28A8B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22.2.3 发包人违约解除合同 </w:t>
      </w:r>
    </w:p>
    <w:p w14:paraId="151F27D9">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（1）发生第22.2.1（4）目的违约情况时，承包人可书面通知发包人解除合同。   </w:t>
      </w:r>
    </w:p>
    <w:p w14:paraId="291BE844">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240C6E6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22.2.4 解除合同后的付款</w:t>
      </w:r>
    </w:p>
    <w:p w14:paraId="085BD1F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因发包人违约解除合同的，发包人应在解除合同后28天内向承包人支付下列金额，承包人应在此期限内及时向发包人提交要求支付下列金额的有关资料和凭证：</w:t>
      </w:r>
    </w:p>
    <w:p w14:paraId="71414BDB">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（1）合同解除日以前所完成工作的价款；</w:t>
      </w:r>
    </w:p>
    <w:p w14:paraId="19964A32">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（2）承包人为该工程施工订购并已付款的材料、工程设备和其他物品的金额。发包人付还后，该材料、工程设备和其他物品归发包人所有；</w:t>
      </w:r>
    </w:p>
    <w:p w14:paraId="2BDAAD03">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（3）承包人为完成工程所发生的，而发包人未支付的金额；</w:t>
      </w:r>
    </w:p>
    <w:p w14:paraId="558E5559">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（4）承包人撤离施工场地以及遣散承包人人员的金额；</w:t>
      </w:r>
    </w:p>
    <w:p w14:paraId="31DC73BE">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（5）由于解除合同应赔偿的承包人损失；</w:t>
      </w:r>
    </w:p>
    <w:p w14:paraId="16320D7D">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（6）按合同约定在合同解除日前应支付给承包人的其他金额。</w:t>
      </w:r>
    </w:p>
    <w:p w14:paraId="1B96CB69">
      <w:pPr>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发包人应按本项约定支付上述金额并退还质量保证金和履约担保，但有权要求承包人支付应偿还给发包人的各项金额。</w:t>
      </w:r>
    </w:p>
    <w:p w14:paraId="04967E3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22.2.5 解除合同后的承包人撤离</w:t>
      </w:r>
    </w:p>
    <w:p w14:paraId="00E40A6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F8D0F49">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22.3 第三人造成的违约</w:t>
      </w:r>
    </w:p>
    <w:p w14:paraId="1F564EC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在履行合同过程中，一方当事人因第三人的原因造成违约的，应当向对方当事人承担违约责任。一方当事人和第三人之间的纠纷，依照法律规定或者按照约定解决。</w:t>
      </w:r>
    </w:p>
    <w:p w14:paraId="7F5E3119">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索赔</w:t>
      </w:r>
    </w:p>
    <w:p w14:paraId="150B01F5">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23.1 承包人索赔的提出</w:t>
      </w:r>
    </w:p>
    <w:p w14:paraId="33EBD5B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根据合同约定，承包人认为有权得到追加付款和（或）延长工期的，应按以下程序向发包人提出索赔：</w:t>
      </w:r>
    </w:p>
    <w:p w14:paraId="3CFFDB5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B87046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5EDD41F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（3）索赔事件具有连续影响的，承包人应按合理时间间隔继续递交延续索赔通知，说明连续影响的实际情况和记录，列出累计的追加付款金额和（或）工期延长天数；</w:t>
      </w:r>
    </w:p>
    <w:p w14:paraId="1E834F8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（4）在索赔事件影响结束后的28天内，承包人应向监理人递交最终索赔通知书，说明最终要求索赔的追加付款金额和延长的工期，并附必要的记录和证明材料。</w:t>
      </w:r>
    </w:p>
    <w:p w14:paraId="4FC5F94B">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23.2 承包人索赔处理程序</w:t>
      </w:r>
    </w:p>
    <w:p w14:paraId="7B3BEC0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（1）监理人收到承包人提交的索赔通知书后，应及时审查索赔通知书的内容、查验承包人的记录和证明材料，必要时监理人可要求承包人提交全部原始记录副本。</w:t>
      </w:r>
    </w:p>
    <w:p w14:paraId="3A540C54">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（2）监理人应按第3.5款商定或确定追加的付款和（或）延长的工期，并在收到上述索赔通知书或有关索赔的进一步证明材料后的42天内，将索赔处理结果答复承包人。</w:t>
      </w:r>
    </w:p>
    <w:p w14:paraId="6D25786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（3）承包人接受索赔处理结果的，发包人应在作出索赔处理结果答复后28天内完成赔付。承包人不接受索赔处理结果的，按第24条的约定办理。</w:t>
      </w:r>
    </w:p>
    <w:p w14:paraId="5124152D">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23.3 承包人提出索赔的期限</w:t>
      </w:r>
    </w:p>
    <w:p w14:paraId="7853FF9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23.3.1 承包人按第17.5款的约定接受了竣工付款证书后，应被认为已无权再提出在合同工程接收证书颁发前所发生的任何索赔。</w:t>
      </w:r>
    </w:p>
    <w:p w14:paraId="740FB714">
      <w:pPr>
        <w:spacing w:line="400" w:lineRule="exact"/>
        <w:ind w:firstLine="480" w:firstLineChars="20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 xml:space="preserve">23.3.2 承包人按第17.6款的约定提交的最终结清申请单中，只限于提出工程接收证书颁发后发生的索赔。提出索赔的期限自接受最终结清证书时终止。 </w:t>
      </w:r>
    </w:p>
    <w:p w14:paraId="692A2E7D">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23.4 发包人的索赔</w:t>
      </w:r>
    </w:p>
    <w:p w14:paraId="194EA25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278D75EB">
      <w:pPr>
        <w:spacing w:line="400" w:lineRule="exact"/>
        <w:ind w:firstLine="480" w:firstLineChars="200"/>
        <w:jc w:val="both"/>
        <w:rPr>
          <w:rFonts w:hint="eastAsia"/>
          <w:color w:val="auto"/>
          <w:sz w:val="24"/>
          <w:szCs w:val="24"/>
          <w:highlight w:val="none"/>
        </w:rPr>
      </w:pPr>
      <w:r>
        <w:rPr>
          <w:rFonts w:hint="eastAsia" w:ascii="宋体" w:hAnsi="宋体" w:eastAsia="宋体" w:cs="宋体"/>
          <w:color w:val="auto"/>
          <w:sz w:val="24"/>
          <w:szCs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242A3EEA">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争议的解决</w:t>
      </w:r>
    </w:p>
    <w:p w14:paraId="52084E91">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24.1 争议的解决方式</w:t>
      </w:r>
    </w:p>
    <w:p w14:paraId="4E31D6FD">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23EE18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（1）向约定的仲裁委员会申请仲裁；</w:t>
      </w:r>
    </w:p>
    <w:p w14:paraId="197AD5B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（2）向有管辖权的人民法院提起诉讼。</w:t>
      </w:r>
    </w:p>
    <w:p w14:paraId="30914FAA">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24.2 友好解决</w:t>
      </w:r>
    </w:p>
    <w:p w14:paraId="06429396">
      <w:pPr>
        <w:spacing w:line="400" w:lineRule="exact"/>
        <w:ind w:firstLine="480" w:firstLineChars="200"/>
        <w:jc w:val="both"/>
        <w:rPr>
          <w:rFonts w:hint="eastAsia"/>
          <w:color w:val="auto"/>
          <w:sz w:val="24"/>
          <w:szCs w:val="24"/>
          <w:highlight w:val="none"/>
        </w:rPr>
      </w:pPr>
      <w:r>
        <w:rPr>
          <w:rFonts w:hint="eastAsia" w:ascii="宋体" w:hAnsi="宋体" w:eastAsia="宋体" w:cs="宋体"/>
          <w:color w:val="auto"/>
          <w:sz w:val="24"/>
          <w:szCs w:val="24"/>
          <w:highlight w:val="none"/>
        </w:rPr>
        <w:t>在提请争议评审、仲裁或者诉讼前，以及在争议评审、仲裁或诉讼过程中，发包人和承包人均可共同努力友好协商解决争议。</w:t>
      </w:r>
    </w:p>
    <w:p w14:paraId="64FCDC87">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24.3 争议评审</w:t>
      </w:r>
    </w:p>
    <w:p w14:paraId="17C35E7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24.3.1 采用争议评审的，发包人和承包人应在开工日后的28天内或在争议发生后，协商成立争议评审组。争议评审组由有合同管理和工程实践经验的专家组成。</w:t>
      </w:r>
    </w:p>
    <w:p w14:paraId="1FB1547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24.3.2 合同双方的争议，应首先由申请人向争议评审组提交一份详细的评审申请报告，并附必要的文件、图纸和证明材料，申请人还应将上述报告的副本同时提交给被申请人和监理人。</w:t>
      </w:r>
    </w:p>
    <w:p w14:paraId="03B9DD1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24.3.3 被申请人在收到申请人评审申请报告副本后的28天内，向争议评审组提交一份答辩报告，并附证明材料。被申请人应将答辩报告的副本同时提交给申请人和监理人。</w:t>
      </w:r>
    </w:p>
    <w:p w14:paraId="5430414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62E2F2AF">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7A94CD8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24.3.6 发包人和承包人接受评审意见的，由监理人根据评审意见拟定执行协议，经争议双方签字后作为合同的补充文件，并遵照执行。</w:t>
      </w:r>
    </w:p>
    <w:p w14:paraId="747373A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3900216">
      <w:pPr>
        <w:spacing w:line="253" w:lineRule="auto"/>
        <w:rPr>
          <w:rFonts w:ascii="Arial"/>
          <w:sz w:val="21"/>
        </w:rPr>
      </w:pPr>
    </w:p>
    <w:p w14:paraId="0778E9B4">
      <w:pPr>
        <w:spacing w:line="253" w:lineRule="auto"/>
        <w:rPr>
          <w:rFonts w:ascii="Arial"/>
          <w:sz w:val="21"/>
        </w:rPr>
      </w:pPr>
    </w:p>
    <w:p w14:paraId="75FE3F3F">
      <w:pPr>
        <w:spacing w:line="253" w:lineRule="auto"/>
        <w:rPr>
          <w:rFonts w:ascii="Arial"/>
          <w:sz w:val="21"/>
        </w:rPr>
      </w:pPr>
    </w:p>
    <w:p w14:paraId="04AC2684">
      <w:pPr>
        <w:spacing w:line="251" w:lineRule="auto"/>
        <w:rPr>
          <w:rFonts w:ascii="Arial"/>
          <w:sz w:val="21"/>
        </w:rPr>
      </w:pPr>
    </w:p>
    <w:p w14:paraId="50DB703B">
      <w:pPr>
        <w:spacing w:line="251" w:lineRule="auto"/>
        <w:rPr>
          <w:rFonts w:ascii="Arial"/>
          <w:sz w:val="21"/>
        </w:rPr>
      </w:pPr>
    </w:p>
    <w:p w14:paraId="15EF4EEC">
      <w:pPr>
        <w:spacing w:before="101" w:line="241" w:lineRule="auto"/>
        <w:ind w:left="2980"/>
        <w:rPr>
          <w:rFonts w:ascii="宋体" w:hAnsi="宋体" w:eastAsia="宋体" w:cs="宋体"/>
          <w:b/>
          <w:bCs/>
          <w:spacing w:val="4"/>
          <w:sz w:val="31"/>
          <w:szCs w:val="31"/>
        </w:rPr>
        <w:sectPr>
          <w:headerReference r:id="rId7" w:type="default"/>
          <w:footerReference r:id="rId8" w:type="default"/>
          <w:pgSz w:w="11900" w:h="16839"/>
          <w:pgMar w:top="1106" w:right="1416" w:bottom="1026" w:left="1417" w:header="829" w:footer="793" w:gutter="0"/>
          <w:pgNumType w:fmt="decimal"/>
          <w:cols w:space="720" w:num="1"/>
        </w:sectPr>
      </w:pPr>
      <w:bookmarkStart w:id="1" w:name="bookmark153"/>
      <w:bookmarkEnd w:id="1"/>
    </w:p>
    <w:p w14:paraId="04C6B04F">
      <w:pPr>
        <w:spacing w:before="101" w:line="241" w:lineRule="auto"/>
        <w:ind w:left="2980"/>
        <w:rPr>
          <w:rFonts w:ascii="宋体" w:hAnsi="宋体" w:eastAsia="宋体" w:cs="宋体"/>
          <w:sz w:val="16"/>
          <w:szCs w:val="16"/>
        </w:rPr>
      </w:pPr>
      <w:r>
        <w:rPr>
          <w:rFonts w:ascii="宋体" w:hAnsi="宋体" w:eastAsia="宋体" w:cs="宋体"/>
          <w:b/>
          <w:bCs/>
          <w:spacing w:val="4"/>
          <w:sz w:val="31"/>
          <w:szCs w:val="31"/>
        </w:rPr>
        <w:t>第二节</w:t>
      </w:r>
      <w:r>
        <w:rPr>
          <w:rFonts w:ascii="宋体" w:hAnsi="宋体" w:eastAsia="宋体" w:cs="宋体"/>
          <w:spacing w:val="-56"/>
          <w:sz w:val="31"/>
          <w:szCs w:val="31"/>
        </w:rPr>
        <w:t xml:space="preserve"> </w:t>
      </w:r>
      <w:r>
        <w:rPr>
          <w:rFonts w:ascii="宋体" w:hAnsi="宋体" w:eastAsia="宋体" w:cs="宋体"/>
          <w:b/>
          <w:bCs/>
          <w:spacing w:val="4"/>
          <w:sz w:val="31"/>
          <w:szCs w:val="31"/>
        </w:rPr>
        <w:t>专用合同条款</w:t>
      </w:r>
      <w:r>
        <w:fldChar w:fldCharType="begin"/>
      </w:r>
      <w:r>
        <w:instrText xml:space="preserve"> HYPERLINK \l "bookmark153" </w:instrText>
      </w:r>
      <w:r>
        <w:fldChar w:fldCharType="separate"/>
      </w:r>
      <w:r>
        <w:rPr>
          <w:rFonts w:ascii="宋体" w:hAnsi="宋体" w:eastAsia="宋体" w:cs="宋体"/>
          <w:spacing w:val="4"/>
          <w:position w:val="15"/>
          <w:sz w:val="16"/>
          <w:szCs w:val="16"/>
        </w:rPr>
        <w:t>①</w:t>
      </w:r>
      <w:r>
        <w:rPr>
          <w:rFonts w:ascii="宋体" w:hAnsi="宋体" w:eastAsia="宋体" w:cs="宋体"/>
          <w:spacing w:val="4"/>
          <w:position w:val="15"/>
          <w:sz w:val="16"/>
          <w:szCs w:val="16"/>
        </w:rPr>
        <w:fldChar w:fldCharType="end"/>
      </w:r>
    </w:p>
    <w:p w14:paraId="369B57FD">
      <w:pPr>
        <w:spacing w:line="244" w:lineRule="auto"/>
        <w:rPr>
          <w:rFonts w:ascii="Arial"/>
          <w:sz w:val="21"/>
        </w:rPr>
      </w:pPr>
    </w:p>
    <w:p w14:paraId="2B012780">
      <w:pPr>
        <w:spacing w:line="244" w:lineRule="auto"/>
        <w:rPr>
          <w:rFonts w:ascii="Arial"/>
          <w:sz w:val="21"/>
        </w:rPr>
      </w:pPr>
    </w:p>
    <w:p w14:paraId="75317CE2">
      <w:pPr>
        <w:spacing w:line="244" w:lineRule="auto"/>
        <w:rPr>
          <w:rFonts w:ascii="Arial"/>
          <w:sz w:val="21"/>
        </w:rPr>
      </w:pPr>
    </w:p>
    <w:p w14:paraId="4438A0C2">
      <w:pPr>
        <w:spacing w:line="244" w:lineRule="auto"/>
        <w:rPr>
          <w:rFonts w:ascii="Arial"/>
          <w:sz w:val="21"/>
        </w:rPr>
      </w:pPr>
    </w:p>
    <w:p w14:paraId="68137593">
      <w:pPr>
        <w:spacing w:line="244" w:lineRule="auto"/>
        <w:rPr>
          <w:rFonts w:ascii="Arial"/>
          <w:sz w:val="21"/>
        </w:rPr>
      </w:pPr>
    </w:p>
    <w:p w14:paraId="53AF0D62">
      <w:pPr>
        <w:spacing w:line="244" w:lineRule="auto"/>
        <w:rPr>
          <w:rFonts w:ascii="Arial"/>
          <w:sz w:val="21"/>
        </w:rPr>
      </w:pPr>
    </w:p>
    <w:p w14:paraId="6F6E3DA7">
      <w:pPr>
        <w:spacing w:line="244" w:lineRule="auto"/>
        <w:rPr>
          <w:rFonts w:ascii="Arial"/>
          <w:sz w:val="21"/>
        </w:rPr>
      </w:pPr>
    </w:p>
    <w:p w14:paraId="3560AB35">
      <w:pPr>
        <w:spacing w:line="244" w:lineRule="auto"/>
        <w:rPr>
          <w:rFonts w:ascii="Arial"/>
          <w:sz w:val="21"/>
        </w:rPr>
      </w:pPr>
    </w:p>
    <w:p w14:paraId="184EEC32">
      <w:pPr>
        <w:spacing w:line="244" w:lineRule="auto"/>
        <w:rPr>
          <w:rFonts w:ascii="Arial"/>
          <w:sz w:val="21"/>
        </w:rPr>
      </w:pPr>
    </w:p>
    <w:p w14:paraId="09545CC7">
      <w:pPr>
        <w:spacing w:line="244" w:lineRule="auto"/>
        <w:rPr>
          <w:rFonts w:ascii="Arial"/>
          <w:sz w:val="21"/>
        </w:rPr>
      </w:pPr>
    </w:p>
    <w:p w14:paraId="6A70FA9F">
      <w:pPr>
        <w:spacing w:line="244" w:lineRule="auto"/>
        <w:rPr>
          <w:rFonts w:ascii="Arial"/>
          <w:sz w:val="21"/>
        </w:rPr>
      </w:pPr>
    </w:p>
    <w:p w14:paraId="3ACF8B96">
      <w:pPr>
        <w:spacing w:line="244" w:lineRule="auto"/>
        <w:rPr>
          <w:rFonts w:ascii="Arial"/>
          <w:sz w:val="21"/>
        </w:rPr>
      </w:pPr>
    </w:p>
    <w:p w14:paraId="327B645E">
      <w:pPr>
        <w:spacing w:line="244" w:lineRule="auto"/>
        <w:rPr>
          <w:rFonts w:ascii="Arial"/>
          <w:sz w:val="21"/>
        </w:rPr>
      </w:pPr>
    </w:p>
    <w:p w14:paraId="472C474E">
      <w:pPr>
        <w:spacing w:line="244" w:lineRule="auto"/>
        <w:rPr>
          <w:rFonts w:ascii="Arial"/>
          <w:sz w:val="21"/>
        </w:rPr>
      </w:pPr>
    </w:p>
    <w:p w14:paraId="6DE424F6">
      <w:pPr>
        <w:spacing w:line="244" w:lineRule="auto"/>
        <w:rPr>
          <w:rFonts w:ascii="Arial"/>
          <w:sz w:val="21"/>
        </w:rPr>
      </w:pPr>
    </w:p>
    <w:p w14:paraId="4DDF6557">
      <w:pPr>
        <w:spacing w:line="244" w:lineRule="auto"/>
        <w:rPr>
          <w:rFonts w:ascii="Arial"/>
          <w:sz w:val="21"/>
        </w:rPr>
      </w:pPr>
    </w:p>
    <w:p w14:paraId="79BD5D15">
      <w:pPr>
        <w:spacing w:line="244" w:lineRule="auto"/>
        <w:rPr>
          <w:rFonts w:ascii="Arial"/>
          <w:sz w:val="21"/>
        </w:rPr>
      </w:pPr>
    </w:p>
    <w:p w14:paraId="2246611A">
      <w:pPr>
        <w:spacing w:line="244" w:lineRule="auto"/>
        <w:rPr>
          <w:rFonts w:ascii="Arial"/>
          <w:sz w:val="21"/>
        </w:rPr>
      </w:pPr>
    </w:p>
    <w:p w14:paraId="1BD374AD">
      <w:pPr>
        <w:spacing w:line="244" w:lineRule="auto"/>
        <w:rPr>
          <w:rFonts w:ascii="Arial"/>
          <w:sz w:val="21"/>
        </w:rPr>
      </w:pPr>
    </w:p>
    <w:p w14:paraId="23C89F69">
      <w:pPr>
        <w:spacing w:line="244" w:lineRule="auto"/>
        <w:rPr>
          <w:rFonts w:ascii="Arial"/>
          <w:sz w:val="21"/>
        </w:rPr>
      </w:pPr>
    </w:p>
    <w:p w14:paraId="213CE063">
      <w:pPr>
        <w:spacing w:line="244" w:lineRule="auto"/>
        <w:rPr>
          <w:rFonts w:ascii="Arial"/>
          <w:sz w:val="21"/>
        </w:rPr>
      </w:pPr>
    </w:p>
    <w:p w14:paraId="00F61AD6">
      <w:pPr>
        <w:spacing w:line="244" w:lineRule="auto"/>
        <w:rPr>
          <w:rFonts w:ascii="Arial"/>
          <w:sz w:val="21"/>
        </w:rPr>
      </w:pPr>
    </w:p>
    <w:p w14:paraId="398DFC54">
      <w:pPr>
        <w:spacing w:line="244" w:lineRule="auto"/>
        <w:rPr>
          <w:rFonts w:ascii="Arial"/>
          <w:sz w:val="21"/>
        </w:rPr>
      </w:pPr>
    </w:p>
    <w:p w14:paraId="68E7B92C">
      <w:pPr>
        <w:spacing w:line="244" w:lineRule="auto"/>
        <w:rPr>
          <w:rFonts w:ascii="Arial"/>
          <w:sz w:val="21"/>
        </w:rPr>
      </w:pPr>
    </w:p>
    <w:p w14:paraId="2CB50B61">
      <w:pPr>
        <w:spacing w:line="244" w:lineRule="auto"/>
        <w:rPr>
          <w:rFonts w:ascii="Arial"/>
          <w:sz w:val="21"/>
        </w:rPr>
      </w:pPr>
    </w:p>
    <w:p w14:paraId="45AC4231">
      <w:pPr>
        <w:spacing w:line="244" w:lineRule="auto"/>
        <w:rPr>
          <w:rFonts w:ascii="Arial"/>
          <w:sz w:val="21"/>
        </w:rPr>
      </w:pPr>
    </w:p>
    <w:p w14:paraId="00D6B715">
      <w:pPr>
        <w:spacing w:line="245" w:lineRule="auto"/>
        <w:rPr>
          <w:rFonts w:ascii="Arial"/>
          <w:sz w:val="21"/>
        </w:rPr>
      </w:pPr>
    </w:p>
    <w:p w14:paraId="16247B87">
      <w:pPr>
        <w:spacing w:line="245" w:lineRule="auto"/>
        <w:rPr>
          <w:rFonts w:ascii="Arial"/>
          <w:sz w:val="21"/>
        </w:rPr>
      </w:pPr>
    </w:p>
    <w:p w14:paraId="264EF02E">
      <w:pPr>
        <w:spacing w:line="245" w:lineRule="auto"/>
        <w:rPr>
          <w:rFonts w:ascii="Arial"/>
          <w:sz w:val="21"/>
        </w:rPr>
      </w:pPr>
    </w:p>
    <w:p w14:paraId="6DAADCCA">
      <w:pPr>
        <w:spacing w:line="245" w:lineRule="auto"/>
        <w:rPr>
          <w:rFonts w:ascii="Arial"/>
          <w:sz w:val="21"/>
        </w:rPr>
      </w:pPr>
    </w:p>
    <w:p w14:paraId="6B385B8F">
      <w:pPr>
        <w:spacing w:line="245" w:lineRule="auto"/>
        <w:rPr>
          <w:rFonts w:ascii="Arial"/>
          <w:sz w:val="21"/>
        </w:rPr>
      </w:pPr>
    </w:p>
    <w:p w14:paraId="0E81887D">
      <w:pPr>
        <w:spacing w:line="245" w:lineRule="auto"/>
        <w:rPr>
          <w:rFonts w:ascii="Arial"/>
          <w:sz w:val="21"/>
        </w:rPr>
      </w:pPr>
    </w:p>
    <w:p w14:paraId="3907516C">
      <w:pPr>
        <w:spacing w:line="245" w:lineRule="auto"/>
        <w:rPr>
          <w:rFonts w:ascii="Arial"/>
          <w:sz w:val="21"/>
        </w:rPr>
      </w:pPr>
    </w:p>
    <w:p w14:paraId="3BADCBF9">
      <w:pPr>
        <w:spacing w:line="245" w:lineRule="auto"/>
        <w:rPr>
          <w:rFonts w:ascii="Arial"/>
          <w:sz w:val="21"/>
        </w:rPr>
      </w:pPr>
    </w:p>
    <w:p w14:paraId="2C3ADFC1">
      <w:pPr>
        <w:spacing w:line="245" w:lineRule="auto"/>
        <w:rPr>
          <w:rFonts w:ascii="Arial"/>
          <w:sz w:val="21"/>
        </w:rPr>
      </w:pPr>
    </w:p>
    <w:p w14:paraId="4F66327C">
      <w:pPr>
        <w:spacing w:line="245" w:lineRule="auto"/>
        <w:rPr>
          <w:rFonts w:ascii="Arial"/>
          <w:sz w:val="21"/>
        </w:rPr>
      </w:pPr>
    </w:p>
    <w:p w14:paraId="72106D35">
      <w:pPr>
        <w:spacing w:line="245" w:lineRule="auto"/>
        <w:rPr>
          <w:rFonts w:ascii="Arial"/>
          <w:sz w:val="21"/>
        </w:rPr>
      </w:pPr>
    </w:p>
    <w:p w14:paraId="165BD31B">
      <w:pPr>
        <w:spacing w:line="245" w:lineRule="auto"/>
        <w:rPr>
          <w:rFonts w:ascii="Arial"/>
          <w:sz w:val="21"/>
        </w:rPr>
      </w:pPr>
    </w:p>
    <w:p w14:paraId="681FA487">
      <w:pPr>
        <w:spacing w:line="245" w:lineRule="auto"/>
        <w:rPr>
          <w:rFonts w:ascii="Arial"/>
          <w:sz w:val="21"/>
        </w:rPr>
      </w:pPr>
    </w:p>
    <w:p w14:paraId="21E030E5">
      <w:pPr>
        <w:spacing w:line="245" w:lineRule="auto"/>
        <w:rPr>
          <w:rFonts w:ascii="Arial"/>
          <w:sz w:val="21"/>
        </w:rPr>
      </w:pPr>
    </w:p>
    <w:p w14:paraId="3CA43C7C">
      <w:pPr>
        <w:spacing w:line="245" w:lineRule="auto"/>
        <w:rPr>
          <w:rFonts w:ascii="Arial"/>
          <w:sz w:val="21"/>
        </w:rPr>
      </w:pPr>
    </w:p>
    <w:p w14:paraId="4DF28AE6">
      <w:pPr>
        <w:spacing w:line="245" w:lineRule="auto"/>
        <w:rPr>
          <w:rFonts w:ascii="Arial"/>
          <w:sz w:val="21"/>
        </w:rPr>
      </w:pPr>
    </w:p>
    <w:p w14:paraId="79BD9A3E">
      <w:pPr>
        <w:spacing w:line="245" w:lineRule="auto"/>
        <w:rPr>
          <w:rFonts w:ascii="Arial"/>
          <w:sz w:val="21"/>
        </w:rPr>
      </w:pPr>
    </w:p>
    <w:p w14:paraId="7C457EF8">
      <w:pPr>
        <w:spacing w:line="245" w:lineRule="auto"/>
        <w:rPr>
          <w:rFonts w:ascii="Arial"/>
          <w:sz w:val="21"/>
        </w:rPr>
      </w:pPr>
    </w:p>
    <w:p w14:paraId="469BD908">
      <w:pPr>
        <w:spacing w:line="245" w:lineRule="auto"/>
        <w:rPr>
          <w:rFonts w:ascii="Arial"/>
          <w:sz w:val="21"/>
        </w:rPr>
      </w:pPr>
    </w:p>
    <w:p w14:paraId="7584B2C2">
      <w:pPr>
        <w:spacing w:line="245" w:lineRule="auto"/>
        <w:rPr>
          <w:rFonts w:ascii="Arial"/>
          <w:sz w:val="21"/>
        </w:rPr>
      </w:pPr>
    </w:p>
    <w:p w14:paraId="5BC10AA6">
      <w:pPr>
        <w:spacing w:line="245" w:lineRule="auto"/>
        <w:rPr>
          <w:rFonts w:ascii="Arial"/>
          <w:sz w:val="21"/>
        </w:rPr>
      </w:pPr>
    </w:p>
    <w:p w14:paraId="6BB1B432">
      <w:pPr>
        <w:spacing w:line="245" w:lineRule="auto"/>
        <w:rPr>
          <w:rFonts w:ascii="Arial"/>
          <w:sz w:val="21"/>
        </w:rPr>
      </w:pPr>
    </w:p>
    <w:p w14:paraId="7D961096">
      <w:pPr>
        <w:spacing w:line="220" w:lineRule="auto"/>
        <w:rPr>
          <w:rFonts w:ascii="宋体" w:hAnsi="宋体" w:eastAsia="宋体" w:cs="宋体"/>
          <w:sz w:val="18"/>
          <w:szCs w:val="18"/>
        </w:rPr>
        <w:sectPr>
          <w:pgSz w:w="11900" w:h="16839"/>
          <w:pgMar w:top="1106" w:right="1416" w:bottom="1026" w:left="1417" w:header="829" w:footer="793" w:gutter="0"/>
          <w:pgNumType w:fmt="decimal"/>
          <w:cols w:space="720" w:num="1"/>
        </w:sectPr>
      </w:pPr>
    </w:p>
    <w:p w14:paraId="023BCE76">
      <w:pPr>
        <w:spacing w:line="256" w:lineRule="auto"/>
        <w:rPr>
          <w:rFonts w:ascii="Arial"/>
          <w:sz w:val="21"/>
        </w:rPr>
      </w:pPr>
    </w:p>
    <w:p w14:paraId="5605CC73">
      <w:pPr>
        <w:spacing w:before="97" w:line="219" w:lineRule="auto"/>
        <w:ind w:left="3634"/>
        <w:rPr>
          <w:rFonts w:ascii="宋体" w:hAnsi="宋体" w:eastAsia="宋体" w:cs="宋体"/>
          <w:sz w:val="30"/>
          <w:szCs w:val="30"/>
        </w:rPr>
      </w:pPr>
      <w:r>
        <w:rPr>
          <w:rFonts w:ascii="宋体" w:hAnsi="宋体" w:eastAsia="宋体" w:cs="宋体"/>
          <w:b/>
          <w:bCs/>
          <w:spacing w:val="-5"/>
          <w:sz w:val="30"/>
          <w:szCs w:val="30"/>
        </w:rPr>
        <w:t>专用合同条款</w:t>
      </w:r>
    </w:p>
    <w:p w14:paraId="418B6ACA">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1．一般约定</w:t>
      </w:r>
    </w:p>
    <w:p w14:paraId="59E3F737">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1.1 词语定义</w:t>
      </w:r>
    </w:p>
    <w:p w14:paraId="4D6FB21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合同</w:t>
      </w:r>
    </w:p>
    <w:p w14:paraId="3FC87321">
      <w:pPr>
        <w:spacing w:beforeLines="0" w:afterLines="0" w:line="400" w:lineRule="exact"/>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通用条款本款增加1.1.1.10至1.1.1.1</w:t>
      </w:r>
      <w:r>
        <w:rPr>
          <w:rFonts w:hint="eastAsia" w:ascii="宋体" w:hAnsi="宋体" w:eastAsia="宋体" w:cs="宋体"/>
          <w:b w:val="0"/>
          <w:bCs w:val="0"/>
          <w:color w:val="auto"/>
          <w:sz w:val="24"/>
          <w:szCs w:val="24"/>
          <w:highlight w:val="none"/>
          <w:lang w:val="en-US"/>
        </w:rPr>
        <w:t>2</w:t>
      </w:r>
      <w:r>
        <w:rPr>
          <w:rFonts w:hint="eastAsia" w:ascii="宋体" w:hAnsi="宋体" w:eastAsia="宋体" w:cs="宋体"/>
          <w:b w:val="0"/>
          <w:bCs w:val="0"/>
          <w:color w:val="auto"/>
          <w:sz w:val="24"/>
          <w:szCs w:val="24"/>
          <w:highlight w:val="none"/>
        </w:rPr>
        <w:t>项的内容：</w:t>
      </w:r>
    </w:p>
    <w:p w14:paraId="75666C60">
      <w:pPr>
        <w:spacing w:beforeLines="0" w:afterLines="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1.1.1.10 补遗书：指发出招标文件之后由</w:t>
      </w:r>
      <w:r>
        <w:rPr>
          <w:rFonts w:hint="eastAsia" w:ascii="宋体" w:hAnsi="宋体" w:eastAsia="宋体" w:cs="宋体"/>
          <w:color w:val="auto"/>
          <w:sz w:val="24"/>
          <w:szCs w:val="24"/>
          <w:highlight w:val="none"/>
          <w:lang w:val="en-US"/>
        </w:rPr>
        <w:t>招标</w:t>
      </w:r>
      <w:r>
        <w:rPr>
          <w:rFonts w:hint="eastAsia" w:ascii="宋体" w:hAnsi="宋体" w:eastAsia="宋体" w:cs="宋体"/>
          <w:color w:val="auto"/>
          <w:sz w:val="24"/>
          <w:szCs w:val="24"/>
          <w:highlight w:val="none"/>
        </w:rPr>
        <w:t>人向已取得招标文件的投标人发出的对招标文件补充或修改的书面文件。补遗书是招标文件的组成部分。</w:t>
      </w:r>
    </w:p>
    <w:p w14:paraId="33859700">
      <w:pPr>
        <w:spacing w:beforeLines="0" w:afterLines="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1.1.1.11 固定总价合同：总价合同是指合同当事人约定以施工图、已标价工程量清单或预算书及有关条件进行合同价格计算、调整和确认的建设工程施工合同，在约定的范围内合同总价不作调整。</w:t>
      </w:r>
    </w:p>
    <w:p w14:paraId="3281D980">
      <w:pPr>
        <w:spacing w:beforeLines="0" w:afterLines="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1.1.1.12 固定单价合同：单价合同是指合同当事人约定以工程量清单及其综合单价进行合同价格计算、调整和确认的建设工程施工合同，在约定的范围内合同单价不作调整。</w:t>
      </w:r>
    </w:p>
    <w:p w14:paraId="5B6F4E19">
      <w:pPr>
        <w:spacing w:beforeLines="0" w:afterLines="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合同当事人和人员</w:t>
      </w:r>
    </w:p>
    <w:p w14:paraId="703BC632">
      <w:pPr>
        <w:spacing w:beforeLines="0" w:afterLines="0" w:line="400" w:lineRule="exact"/>
        <w:ind w:firstLine="480" w:firstLineChars="20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1.1.2.2 发包人：指专用合同条款中指明并与承包人在合同协议书中签字的当事人</w:t>
      </w:r>
      <w:r>
        <w:rPr>
          <w:rFonts w:hint="eastAsia" w:ascii="宋体" w:hAnsi="宋体" w:eastAsia="宋体" w:cs="宋体"/>
          <w:color w:val="auto"/>
          <w:sz w:val="24"/>
          <w:szCs w:val="24"/>
          <w:highlight w:val="none"/>
          <w:lang w:val="en-US" w:eastAsia="zh-CN"/>
        </w:rPr>
        <w:t>。</w:t>
      </w:r>
    </w:p>
    <w:p w14:paraId="3ADB4BEB">
      <w:pPr>
        <w:spacing w:beforeLines="0" w:afterLines="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3承包</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指在协议中约定，被发包人接受的具有工程施工承包主体资格的当事人以及取得该当事人资格的合法继承人。本合同及其附件中出现的“投标人”、“施工单位”、“承包商”、“承包单位”、“承包方”、“乙方”均指承包人。</w:t>
      </w:r>
    </w:p>
    <w:p w14:paraId="450C2C3E">
      <w:pPr>
        <w:spacing w:beforeLines="0" w:afterLines="0"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1.1.2.4 承包人项目经理：</w:t>
      </w:r>
      <w:r>
        <w:rPr>
          <w:rFonts w:hint="eastAsia" w:ascii="宋体" w:hAnsi="宋体" w:eastAsia="宋体" w:cs="宋体"/>
          <w:color w:val="auto"/>
          <w:sz w:val="24"/>
          <w:szCs w:val="24"/>
          <w:highlight w:val="none"/>
        </w:rPr>
        <w:t>指承包人按投标文件承诺派驻施工场地的全权负责人。</w:t>
      </w:r>
      <w:r>
        <w:rPr>
          <w:rFonts w:hint="eastAsia" w:ascii="宋体" w:hAnsi="宋体" w:eastAsia="宋体" w:cs="宋体"/>
          <w:color w:val="auto"/>
          <w:sz w:val="24"/>
          <w:szCs w:val="24"/>
          <w:highlight w:val="none"/>
          <w:lang w:val="en-US"/>
        </w:rPr>
        <w:t>或称“项目负责人”。</w:t>
      </w:r>
    </w:p>
    <w:p w14:paraId="0CA4E4CF">
      <w:pPr>
        <w:spacing w:beforeLines="0" w:afterLines="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 监理人：本合同专指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p>
    <w:p w14:paraId="6182E181">
      <w:pPr>
        <w:spacing w:beforeLines="0" w:afterLines="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1.1.2.8工程建设项目代理人：指受发包人委托，具有相应资质及法定代理委托资格，代表发包人负责管理本合同的企业法人。</w:t>
      </w:r>
    </w:p>
    <w:p w14:paraId="6A803C77">
      <w:pPr>
        <w:spacing w:beforeLines="0" w:afterLines="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1.1.2.9 发包人代表：</w:t>
      </w:r>
      <w:r>
        <w:rPr>
          <w:rFonts w:hint="eastAsia" w:ascii="宋体" w:hAnsi="宋体" w:eastAsia="宋体" w:cs="宋体"/>
          <w:color w:val="auto"/>
          <w:sz w:val="24"/>
          <w:szCs w:val="24"/>
          <w:highlight w:val="none"/>
          <w:lang w:val="en-US"/>
        </w:rPr>
        <w:t>指发包人代表（或称发包人驻地代表）是发包人派出到合同段执行发包人授予的一定权力及职责的现场管理人员</w:t>
      </w:r>
      <w:r>
        <w:rPr>
          <w:rFonts w:hint="eastAsia" w:ascii="宋体" w:hAnsi="宋体" w:eastAsia="宋体" w:cs="宋体"/>
          <w:color w:val="auto"/>
          <w:sz w:val="24"/>
          <w:szCs w:val="24"/>
          <w:highlight w:val="none"/>
        </w:rPr>
        <w:t>。</w:t>
      </w:r>
    </w:p>
    <w:p w14:paraId="702AA6A7">
      <w:pPr>
        <w:spacing w:beforeLines="0" w:afterLines="0"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1.1.2.1</w:t>
      </w:r>
      <w:r>
        <w:rPr>
          <w:rFonts w:hint="eastAsia" w:ascii="宋体" w:hAnsi="宋体" w:eastAsia="宋体" w:cs="宋体"/>
          <w:color w:val="auto"/>
          <w:sz w:val="24"/>
          <w:szCs w:val="24"/>
          <w:highlight w:val="none"/>
          <w:lang w:val="en-US"/>
        </w:rPr>
        <w:t>0</w:t>
      </w:r>
      <w:r>
        <w:rPr>
          <w:rFonts w:hint="eastAsia" w:ascii="宋体" w:hAnsi="宋体" w:eastAsia="宋体" w:cs="宋体"/>
          <w:color w:val="auto"/>
          <w:sz w:val="24"/>
          <w:szCs w:val="24"/>
          <w:highlight w:val="none"/>
        </w:rPr>
        <w:t xml:space="preserve"> 项目技术负责人：指由承包人按投标文件承诺派驻施工现场负责施工技术管理的总工程师或技术总负责人。</w:t>
      </w:r>
    </w:p>
    <w:p w14:paraId="689B3157">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5D4616F8">
      <w:pPr>
        <w:spacing w:beforeLines="0" w:afterLines="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 单位工程：本合同的单位工程包括：</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5889D7B">
      <w:pPr>
        <w:spacing w:beforeLines="0" w:afterLines="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1.1.3.10 永久占地：</w:t>
      </w:r>
      <w:r>
        <w:rPr>
          <w:rFonts w:hint="eastAsia" w:ascii="宋体" w:hAnsi="宋体" w:eastAsia="宋体" w:cs="宋体"/>
          <w:color w:val="auto"/>
          <w:sz w:val="24"/>
          <w:szCs w:val="24"/>
          <w:highlight w:val="none"/>
          <w:u w:val="single"/>
        </w:rPr>
        <w:t>按本合同有关批准文件</w:t>
      </w:r>
      <w:r>
        <w:rPr>
          <w:rFonts w:hint="eastAsia" w:ascii="宋体" w:hAnsi="宋体" w:eastAsia="宋体" w:cs="宋体"/>
          <w:color w:val="auto"/>
          <w:sz w:val="24"/>
          <w:szCs w:val="24"/>
          <w:highlight w:val="none"/>
        </w:rPr>
        <w:t>。</w:t>
      </w:r>
    </w:p>
    <w:p w14:paraId="3C51B5C8">
      <w:pPr>
        <w:spacing w:beforeLines="0" w:afterLines="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1.1.3.11 临时占地：</w:t>
      </w:r>
      <w:r>
        <w:rPr>
          <w:rFonts w:hint="eastAsia" w:ascii="宋体" w:hAnsi="宋体" w:eastAsia="宋体" w:cs="宋体"/>
          <w:color w:val="auto"/>
          <w:sz w:val="24"/>
          <w:szCs w:val="24"/>
          <w:highlight w:val="none"/>
          <w:u w:val="single"/>
          <w:lang w:val="en-US" w:eastAsia="zh-CN"/>
        </w:rPr>
        <w:t>除合同另有约定外，</w:t>
      </w:r>
      <w:r>
        <w:rPr>
          <w:rFonts w:hint="eastAsia" w:ascii="宋体" w:hAnsi="宋体" w:eastAsia="宋体" w:cs="宋体"/>
          <w:color w:val="auto"/>
          <w:sz w:val="24"/>
          <w:szCs w:val="24"/>
          <w:highlight w:val="none"/>
          <w:u w:val="single"/>
        </w:rPr>
        <w:t>由承包人自行解决</w:t>
      </w:r>
      <w:r>
        <w:rPr>
          <w:rFonts w:hint="eastAsia" w:ascii="宋体" w:hAnsi="宋体" w:eastAsia="宋体" w:cs="宋体"/>
          <w:color w:val="auto"/>
          <w:sz w:val="24"/>
          <w:szCs w:val="24"/>
          <w:highlight w:val="none"/>
          <w:u w:val="none"/>
        </w:rPr>
        <w:t>。</w:t>
      </w:r>
    </w:p>
    <w:p w14:paraId="43CDEFC6">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1.4 合同文件的优先顺序</w:t>
      </w:r>
    </w:p>
    <w:p w14:paraId="7B0D4AB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组成合同的各项文件应互相解释，互为说明，解释合同文件的优先顺序如下：</w:t>
      </w:r>
    </w:p>
    <w:p w14:paraId="4C5CA70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rPr>
        <w:t>合同协议书及各种合同附件（包括廉政合同、安全生产合同、建设工程农民工工资支付保证书、工程资金监管协议、评标期间的澄清文件和补充资料、以及合同谈判过程中双方签署的相关文件或纪要）</w:t>
      </w:r>
      <w:r>
        <w:rPr>
          <w:rFonts w:hint="eastAsia" w:ascii="宋体" w:hAnsi="宋体" w:eastAsia="宋体" w:cs="宋体"/>
          <w:color w:val="auto"/>
          <w:sz w:val="24"/>
          <w:szCs w:val="24"/>
          <w:highlight w:val="none"/>
        </w:rPr>
        <w:t>；</w:t>
      </w:r>
    </w:p>
    <w:p w14:paraId="3C627CC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）中标通知书；</w:t>
      </w:r>
    </w:p>
    <w:p w14:paraId="714D6BE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）投标函及投标函附录；</w:t>
      </w:r>
    </w:p>
    <w:p w14:paraId="09CA8CE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）专用合同条款；</w:t>
      </w:r>
    </w:p>
    <w:p w14:paraId="5EE19A2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）通用合同条款；</w:t>
      </w:r>
    </w:p>
    <w:p w14:paraId="5ECA779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rPr>
        <w:t>标准和要求</w:t>
      </w:r>
      <w:r>
        <w:rPr>
          <w:rFonts w:hint="eastAsia" w:ascii="宋体" w:hAnsi="宋体" w:eastAsia="宋体" w:cs="宋体"/>
          <w:color w:val="auto"/>
          <w:sz w:val="24"/>
          <w:szCs w:val="24"/>
          <w:highlight w:val="none"/>
        </w:rPr>
        <w:t>；</w:t>
      </w:r>
    </w:p>
    <w:p w14:paraId="78388C2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）图纸；</w:t>
      </w:r>
    </w:p>
    <w:p w14:paraId="35BCDB2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）已标价工程量清单；</w:t>
      </w:r>
    </w:p>
    <w:p w14:paraId="625E5F7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9</w:t>
      </w:r>
      <w:r>
        <w:rPr>
          <w:rFonts w:hint="eastAsia" w:ascii="宋体" w:hAnsi="宋体" w:eastAsia="宋体" w:cs="宋体"/>
          <w:color w:val="auto"/>
          <w:sz w:val="24"/>
          <w:szCs w:val="24"/>
          <w:highlight w:val="none"/>
        </w:rPr>
        <w:t>）其他合同文件。</w:t>
      </w:r>
    </w:p>
    <w:p w14:paraId="17C0C7D4">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1.5 合同协议书</w:t>
      </w:r>
    </w:p>
    <w:p w14:paraId="5D32B68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合同价格和费用</w:t>
      </w:r>
    </w:p>
    <w:p w14:paraId="50843AD9">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本合同含税价为</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不含税价为</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增值税税率</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增值税</w:t>
      </w:r>
      <w:r>
        <w:rPr>
          <w:rFonts w:hint="eastAsia" w:ascii="宋体" w:hAnsi="宋体" w:eastAsia="宋体" w:cs="宋体"/>
          <w:color w:val="auto"/>
          <w:sz w:val="24"/>
          <w:szCs w:val="24"/>
          <w:highlight w:val="none"/>
          <w:lang w:val="en-US" w:eastAsia="zh-CN"/>
        </w:rPr>
        <w:t>专用</w:t>
      </w:r>
      <w:r>
        <w:rPr>
          <w:rFonts w:hint="eastAsia" w:ascii="宋体" w:hAnsi="宋体" w:eastAsia="宋体" w:cs="宋体"/>
          <w:color w:val="auto"/>
          <w:sz w:val="24"/>
          <w:szCs w:val="24"/>
          <w:highlight w:val="none"/>
        </w:rPr>
        <w:t>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本合同的承包价格和费用，包括承包人按照合同约定应当完成的全部合同范围内的工作及缺陷责任期内的全部工作。因税率政策改变，对应期间工程价款按不含税价不变的原则进行</w:t>
      </w:r>
      <w:r>
        <w:rPr>
          <w:rFonts w:hint="eastAsia" w:ascii="宋体" w:hAnsi="宋体" w:eastAsia="宋体" w:cs="宋体"/>
          <w:color w:val="auto"/>
          <w:sz w:val="24"/>
          <w:szCs w:val="24"/>
          <w:highlight w:val="none"/>
          <w:lang w:val="en-US" w:eastAsia="zh-CN"/>
        </w:rPr>
        <w:t>调整。</w:t>
      </w:r>
    </w:p>
    <w:p w14:paraId="08865EFE">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承包人按以下</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方式确定承包合同价格：</w:t>
      </w:r>
    </w:p>
    <w:p w14:paraId="2A1878A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（1）固定总价合同；</w:t>
      </w:r>
    </w:p>
    <w:p w14:paraId="4B2B17D2">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（2）固定单价合同；</w:t>
      </w:r>
    </w:p>
    <w:p w14:paraId="3D74196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w:t>
      </w:r>
    </w:p>
    <w:p w14:paraId="2161A81D">
      <w:pPr>
        <w:spacing w:line="400" w:lineRule="exact"/>
        <w:ind w:firstLine="480" w:firstLineChars="200"/>
        <w:jc w:val="both"/>
        <w:rPr>
          <w:rFonts w:hint="eastAsia"/>
          <w:color w:val="000000"/>
          <w:sz w:val="24"/>
          <w:szCs w:val="24"/>
          <w:highlight w:val="none"/>
        </w:rPr>
      </w:pPr>
      <w:r>
        <w:rPr>
          <w:rFonts w:hint="eastAsia" w:ascii="宋体" w:hAnsi="宋体" w:eastAsia="宋体" w:cs="宋体"/>
          <w:color w:val="auto"/>
          <w:sz w:val="24"/>
          <w:szCs w:val="24"/>
          <w:highlight w:val="none"/>
        </w:rPr>
        <w:t>1.5.2 合同生效的其他条件：</w:t>
      </w:r>
      <w:r>
        <w:rPr>
          <w:rFonts w:hint="eastAsia" w:ascii="宋体" w:hAnsi="宋体" w:eastAsia="宋体" w:cs="宋体"/>
          <w:color w:val="auto"/>
          <w:sz w:val="24"/>
          <w:szCs w:val="24"/>
          <w:highlight w:val="none"/>
          <w:u w:val="single"/>
          <w:lang w:val="en-US"/>
        </w:rPr>
        <w:t xml:space="preserve"> 无</w:t>
      </w:r>
      <w:r>
        <w:rPr>
          <w:rFonts w:hint="eastAsia" w:ascii="宋体" w:hAnsi="宋体" w:eastAsia="宋体" w:cs="宋体"/>
          <w:color w:val="auto"/>
          <w:sz w:val="24"/>
          <w:szCs w:val="24"/>
          <w:highlight w:val="none"/>
          <w:u w:val="none"/>
          <w:lang w:val="en-US"/>
        </w:rPr>
        <w:t xml:space="preserve"> </w:t>
      </w:r>
      <w:r>
        <w:rPr>
          <w:rFonts w:hint="eastAsia" w:ascii="宋体" w:hAnsi="宋体" w:eastAsia="宋体" w:cs="宋体"/>
          <w:color w:val="auto"/>
          <w:sz w:val="24"/>
          <w:szCs w:val="24"/>
          <w:highlight w:val="none"/>
        </w:rPr>
        <w:t>。</w:t>
      </w:r>
    </w:p>
    <w:p w14:paraId="0E77DF06">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1.6 图纸和承包人文件</w:t>
      </w:r>
    </w:p>
    <w:p w14:paraId="57BF35B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0F1E16D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发包人提供图纸的期限：合同签订后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u w:val="none"/>
        </w:rPr>
        <w:t>个</w:t>
      </w:r>
      <w:r>
        <w:rPr>
          <w:rFonts w:hint="eastAsia" w:ascii="宋体" w:hAnsi="宋体" w:eastAsia="宋体" w:cs="宋体"/>
          <w:color w:val="auto"/>
          <w:sz w:val="24"/>
          <w:szCs w:val="24"/>
          <w:highlight w:val="none"/>
        </w:rPr>
        <w:t>日历天</w:t>
      </w:r>
      <w:r>
        <w:rPr>
          <w:rFonts w:hint="eastAsia" w:ascii="宋体" w:hAnsi="宋体" w:eastAsia="宋体" w:cs="宋体"/>
          <w:color w:val="auto"/>
          <w:sz w:val="24"/>
          <w:szCs w:val="24"/>
          <w:highlight w:val="none"/>
          <w:lang w:val="en-US"/>
        </w:rPr>
        <w:t>内</w:t>
      </w:r>
      <w:r>
        <w:rPr>
          <w:rFonts w:hint="eastAsia" w:ascii="宋体" w:hAnsi="宋体" w:eastAsia="宋体" w:cs="宋体"/>
          <w:color w:val="auto"/>
          <w:sz w:val="24"/>
          <w:szCs w:val="24"/>
          <w:highlight w:val="none"/>
        </w:rPr>
        <w:t xml:space="preserve"> 。</w:t>
      </w:r>
    </w:p>
    <w:p w14:paraId="1B2579FA">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发包人提供图纸的数量：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4BAFAB09">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发包人应在合同签订后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u w:val="none"/>
        </w:rPr>
        <w:t>个</w:t>
      </w:r>
      <w:r>
        <w:rPr>
          <w:rFonts w:hint="eastAsia" w:ascii="宋体" w:hAnsi="宋体" w:eastAsia="宋体" w:cs="宋体"/>
          <w:color w:val="auto"/>
          <w:sz w:val="24"/>
          <w:szCs w:val="24"/>
          <w:highlight w:val="none"/>
        </w:rPr>
        <w:t>日历天内，向承包人免费提供由发包人或其委托的设计单位其他技术资料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份，并向承包人进行技术交底。未经发包人同意，承包人不得将设计文件提供给第三方。</w:t>
      </w:r>
    </w:p>
    <w:p w14:paraId="7A64E73D">
      <w:pPr>
        <w:spacing w:line="400" w:lineRule="exact"/>
        <w:ind w:firstLine="480" w:firstLineChars="200"/>
        <w:jc w:val="both"/>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承包人提供的文件：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根据水运工程交工资料编制、归档相关要求及发包人开工相关要求提供， 包括但不限于：施工组织设计、施工进度计划、专项施工方案、 应急预案、施工总进度计划、安全与质量计划书、隐蔽验收资料、检验批/分项工程质量检验资料、材料/构配件试验检测资料、付款申请、结算书、竣工图、施工总结报告及其他应该由承包人提供的文件 ，且应采用合同中双方约定的格式和载体。</w:t>
      </w:r>
    </w:p>
    <w:p w14:paraId="00D914E0">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图纸的修改</w:t>
      </w:r>
    </w:p>
    <w:p w14:paraId="311F6B3E">
      <w:pPr>
        <w:spacing w:line="400" w:lineRule="exact"/>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通用条款本款的内容不适用于本合同，代之以：</w:t>
      </w:r>
    </w:p>
    <w:p w14:paraId="5CD25DEB">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图纸需要修改和补充的，应由监理人取得发包人同意后，在该工程或工程相应部位施工前的</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rPr>
        <w:t>7</w:t>
      </w:r>
      <w:r>
        <w:rPr>
          <w:rFonts w:hint="eastAsia" w:ascii="宋体" w:hAnsi="宋体" w:eastAsia="宋体" w:cs="宋体"/>
          <w:color w:val="auto"/>
          <w:sz w:val="24"/>
          <w:szCs w:val="24"/>
          <w:highlight w:val="none"/>
          <w:u w:val="none"/>
        </w:rPr>
        <w:t xml:space="preserve"> 个</w:t>
      </w:r>
      <w:r>
        <w:rPr>
          <w:rFonts w:hint="eastAsia" w:ascii="宋体" w:hAnsi="宋体" w:eastAsia="宋体" w:cs="宋体"/>
          <w:color w:val="auto"/>
          <w:sz w:val="24"/>
          <w:szCs w:val="24"/>
          <w:highlight w:val="none"/>
        </w:rPr>
        <w:t>日历天内由设计单位签发图纸修改图给承包人。承包人应办理设计变更手续并按修改后的图纸施工。</w:t>
      </w:r>
    </w:p>
    <w:p w14:paraId="0AEDDAC8">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图纸的错误</w:t>
      </w:r>
    </w:p>
    <w:p w14:paraId="27B8A9A7">
      <w:pPr>
        <w:spacing w:line="400" w:lineRule="exact"/>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通用条款本款的内容不适用于本合同，代之以：</w:t>
      </w:r>
    </w:p>
    <w:p w14:paraId="07B751E1">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当承包人在查阅合同文件或在本合同工程实施过程中，发现有关的工程设计、技术规范、图纸或其他资料中的任何差错、遗漏或缺陷后，应及时书面通知监理人。监理人接到该通知后，应在</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rPr>
        <w:t>个日历天内审核并通过发包人通知设计单位修改后及时书面通知承包人。</w:t>
      </w:r>
    </w:p>
    <w:p w14:paraId="11A88571">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1.7 联络</w:t>
      </w:r>
    </w:p>
    <w:p w14:paraId="01607565">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各类来往书面函件的联络送达期限：</w:t>
      </w:r>
    </w:p>
    <w:p w14:paraId="6738C82C">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（1）邮件以“特快专递”、“挂号信函”方式邮寄，以收件人签收日期为准；</w:t>
      </w:r>
    </w:p>
    <w:p w14:paraId="60E7562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（2）传真、电子邮件以到达收件人的日期为准；</w:t>
      </w:r>
    </w:p>
    <w:p w14:paraId="4714546E">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（3）人工送达以收件人签收日期为准。</w:t>
      </w:r>
    </w:p>
    <w:p w14:paraId="6F0C9E2B">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1.8 转让</w:t>
      </w:r>
    </w:p>
    <w:p w14:paraId="05FB6866">
      <w:pPr>
        <w:spacing w:line="400" w:lineRule="exact"/>
        <w:ind w:firstLine="480" w:firstLineChars="200"/>
        <w:jc w:val="both"/>
        <w:rPr>
          <w:rFonts w:hint="eastAsia"/>
          <w:color w:val="000000"/>
          <w:sz w:val="24"/>
          <w:szCs w:val="24"/>
          <w:highlight w:val="none"/>
        </w:rPr>
      </w:pPr>
      <w:r>
        <w:rPr>
          <w:rFonts w:hint="eastAsia" w:ascii="宋体" w:hAnsi="宋体" w:eastAsia="宋体" w:cs="宋体"/>
          <w:color w:val="auto"/>
          <w:sz w:val="24"/>
          <w:szCs w:val="24"/>
          <w:highlight w:val="none"/>
        </w:rPr>
        <w:t>合同转让：</w:t>
      </w:r>
      <w:r>
        <w:rPr>
          <w:rFonts w:hint="eastAsia" w:ascii="宋体" w:hAnsi="宋体" w:eastAsia="宋体" w:cs="宋体"/>
          <w:color w:val="auto"/>
          <w:sz w:val="24"/>
          <w:szCs w:val="24"/>
          <w:highlight w:val="none"/>
          <w:u w:val="single"/>
        </w:rPr>
        <w:t>本合同不得转让</w:t>
      </w:r>
      <w:r>
        <w:rPr>
          <w:rFonts w:hint="eastAsia" w:ascii="宋体" w:hAnsi="宋体" w:eastAsia="宋体" w:cs="宋体"/>
          <w:color w:val="auto"/>
          <w:sz w:val="24"/>
          <w:szCs w:val="24"/>
          <w:highlight w:val="none"/>
        </w:rPr>
        <w:t>。</w:t>
      </w:r>
    </w:p>
    <w:p w14:paraId="2C575EA9">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1.11 专利技术</w:t>
      </w:r>
    </w:p>
    <w:p w14:paraId="4F979739">
      <w:pPr>
        <w:spacing w:line="400" w:lineRule="exact"/>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11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 xml:space="preserve">1 </w:t>
      </w:r>
      <w:r>
        <w:rPr>
          <w:rFonts w:hint="eastAsia" w:ascii="宋体" w:hAnsi="宋体" w:eastAsia="宋体" w:cs="宋体"/>
          <w:b w:val="0"/>
          <w:bCs w:val="0"/>
          <w:color w:val="auto"/>
          <w:sz w:val="24"/>
          <w:szCs w:val="24"/>
          <w:highlight w:val="none"/>
        </w:rPr>
        <w:t>通用条款本款修改为：</w:t>
      </w:r>
    </w:p>
    <w:p w14:paraId="367FCFC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承包人在使用任何材料、承包人设备、工程设备或采用施工工艺时，因侵犯专利权或其他知识产权所引起的责任，由承包人承担，但由于遵照发包人提供的设计或技术引起的除外。</w:t>
      </w:r>
    </w:p>
    <w:p w14:paraId="283F2D9B">
      <w:pPr>
        <w:spacing w:line="400" w:lineRule="exact"/>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11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 xml:space="preserve">3 </w:t>
      </w:r>
      <w:r>
        <w:rPr>
          <w:rFonts w:hint="eastAsia" w:ascii="宋体" w:hAnsi="宋体" w:eastAsia="宋体" w:cs="宋体"/>
          <w:b w:val="0"/>
          <w:bCs w:val="0"/>
          <w:color w:val="auto"/>
          <w:sz w:val="24"/>
          <w:szCs w:val="24"/>
          <w:highlight w:val="none"/>
        </w:rPr>
        <w:t>通用条款本款修改为：</w:t>
      </w:r>
    </w:p>
    <w:p w14:paraId="418AF9F3">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承包人的技术秘密和声明需要保密的资料和信息，发包人和监理人不得为实现合同以外的目的泄露给他人或公开发表与引用。</w:t>
      </w:r>
    </w:p>
    <w:p w14:paraId="1A3BDE89">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 承包人因本项目产生的所有专利，专利成果必须与发包人共享，发包人署名优先排序在前。</w:t>
      </w:r>
    </w:p>
    <w:p w14:paraId="7A9FF382">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2．发包人义务</w:t>
      </w:r>
    </w:p>
    <w:p w14:paraId="0E9CD28F">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2.3 提供施工场地</w:t>
      </w:r>
    </w:p>
    <w:p w14:paraId="5A308E66">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发包人提供施工场地的约定：除现场已具备的条件外，承包人应自行按发包人提供的资料（但不限于上述资料）调查施工场地内地下管线、设施和地下工程等有关资料，并做好完善的保护措施，由此产生的一切责任由承包人承担。承包人应自行开通公共通道与施工场地间的道路，获得供水、供电、通讯等线路接点及施工船舶临时停泊水域，并保证施工期间的畅通，完成以上工作所需的费用，除有专门的报价项目外，发包人不另行支付任何费用。</w:t>
      </w:r>
    </w:p>
    <w:p w14:paraId="36D486BB">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2.5 组织设计交底</w:t>
      </w:r>
    </w:p>
    <w:p w14:paraId="109D3B4F">
      <w:pPr>
        <w:spacing w:line="400" w:lineRule="exact"/>
        <w:ind w:firstLine="480" w:firstLineChars="200"/>
        <w:jc w:val="both"/>
        <w:rPr>
          <w:rFonts w:hint="eastAsia"/>
          <w:color w:val="000000"/>
          <w:sz w:val="24"/>
          <w:szCs w:val="24"/>
          <w:highlight w:val="none"/>
          <w:lang w:val="en-US"/>
        </w:rPr>
      </w:pPr>
      <w:r>
        <w:rPr>
          <w:rFonts w:hint="eastAsia" w:ascii="宋体" w:hAnsi="宋体" w:eastAsia="宋体" w:cs="宋体"/>
          <w:color w:val="auto"/>
          <w:sz w:val="24"/>
          <w:szCs w:val="24"/>
          <w:highlight w:val="none"/>
          <w:lang w:val="en-US"/>
        </w:rPr>
        <w:t>2.5.1 发包人应在合同签订后</w:t>
      </w:r>
      <w:r>
        <w:rPr>
          <w:rFonts w:hint="eastAsia" w:ascii="宋体" w:hAnsi="宋体" w:eastAsia="宋体" w:cs="宋体"/>
          <w:color w:val="auto"/>
          <w:sz w:val="24"/>
          <w:szCs w:val="24"/>
          <w:highlight w:val="none"/>
          <w:u w:val="none"/>
          <w:lang w:val="en-US"/>
        </w:rPr>
        <w:t xml:space="preserve"> 7 个</w:t>
      </w:r>
      <w:r>
        <w:rPr>
          <w:rFonts w:hint="eastAsia" w:ascii="宋体" w:hAnsi="宋体" w:eastAsia="宋体" w:cs="宋体"/>
          <w:color w:val="auto"/>
          <w:sz w:val="24"/>
          <w:szCs w:val="24"/>
          <w:highlight w:val="none"/>
          <w:lang w:val="en-US"/>
        </w:rPr>
        <w:t>日历天内，组织设计单位向承包人进行设计交底。设计交底会应由发包人主持，设计单位、承包人、监理人和工程有关方面的人员参加，会后形成会议纪要。</w:t>
      </w:r>
    </w:p>
    <w:p w14:paraId="48394DFA">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2.8 其他义务</w:t>
      </w:r>
    </w:p>
    <w:p w14:paraId="61B4795D">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2.8.1 发包人应在合同协议书签署的同时任命发包人代表；发包人需更换其代表时，应至少提前</w:t>
      </w:r>
      <w:r>
        <w:rPr>
          <w:rFonts w:hint="eastAsia" w:ascii="宋体" w:hAnsi="宋体" w:eastAsia="宋体" w:cs="宋体"/>
          <w:color w:val="auto"/>
          <w:sz w:val="24"/>
          <w:szCs w:val="24"/>
          <w:highlight w:val="none"/>
          <w:u w:val="single"/>
          <w:lang w:val="en-US"/>
        </w:rPr>
        <w:t xml:space="preserve"> 14 </w:t>
      </w:r>
      <w:r>
        <w:rPr>
          <w:rFonts w:hint="eastAsia" w:ascii="宋体" w:hAnsi="宋体" w:eastAsia="宋体" w:cs="宋体"/>
          <w:color w:val="auto"/>
          <w:sz w:val="24"/>
          <w:szCs w:val="24"/>
          <w:highlight w:val="none"/>
          <w:lang w:val="en-US"/>
        </w:rPr>
        <w:t>日历天书面通知承包人。</w:t>
      </w:r>
    </w:p>
    <w:p w14:paraId="524BAD62">
      <w:pPr>
        <w:spacing w:line="400" w:lineRule="exact"/>
        <w:ind w:firstLine="480" w:firstLineChars="200"/>
        <w:jc w:val="both"/>
        <w:rPr>
          <w:rFonts w:hint="eastAsia"/>
          <w:color w:val="000000"/>
          <w:sz w:val="24"/>
          <w:szCs w:val="24"/>
          <w:highlight w:val="none"/>
          <w:lang w:val="en-US"/>
        </w:rPr>
      </w:pPr>
      <w:r>
        <w:rPr>
          <w:rFonts w:hint="eastAsia" w:ascii="宋体" w:hAnsi="宋体" w:eastAsia="宋体" w:cs="宋体"/>
          <w:color w:val="auto"/>
          <w:sz w:val="24"/>
          <w:szCs w:val="24"/>
          <w:highlight w:val="none"/>
          <w:lang w:val="en-US"/>
        </w:rPr>
        <w:t>2.8.2 发包人应在合同签订后</w:t>
      </w:r>
      <w:r>
        <w:rPr>
          <w:rFonts w:hint="eastAsia" w:ascii="宋体" w:hAnsi="宋体" w:eastAsia="宋体" w:cs="宋体"/>
          <w:color w:val="auto"/>
          <w:sz w:val="24"/>
          <w:szCs w:val="24"/>
          <w:highlight w:val="none"/>
          <w:u w:val="single"/>
          <w:lang w:val="en-US"/>
        </w:rPr>
        <w:t xml:space="preserve"> 7个 </w:t>
      </w:r>
      <w:r>
        <w:rPr>
          <w:rFonts w:hint="eastAsia" w:ascii="宋体" w:hAnsi="宋体" w:eastAsia="宋体" w:cs="宋体"/>
          <w:color w:val="auto"/>
          <w:sz w:val="24"/>
          <w:szCs w:val="24"/>
          <w:highlight w:val="none"/>
          <w:lang w:val="en-US"/>
        </w:rPr>
        <w:t>日历天内向承包人提供与施工现场相关的现有工程地质和地下管线资料，工程地质报告以及交验测量的水准点、坐标控制点等技术资料，并对其提供的上述资料的真实性、准确性负责。</w:t>
      </w:r>
    </w:p>
    <w:p w14:paraId="2F30CA51">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2.8.</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lang w:val="en-US" w:eastAsia="zh-CN"/>
        </w:rPr>
        <w:t>水上水下施工许可（含</w:t>
      </w:r>
      <w:r>
        <w:rPr>
          <w:rFonts w:hint="eastAsia" w:ascii="宋体" w:hAnsi="宋体" w:eastAsia="宋体" w:cs="宋体"/>
          <w:color w:val="auto"/>
          <w:sz w:val="24"/>
          <w:szCs w:val="24"/>
          <w:highlight w:val="none"/>
          <w:lang w:val="en-US"/>
        </w:rPr>
        <w:t>通</w:t>
      </w:r>
      <w:r>
        <w:rPr>
          <w:rFonts w:hint="eastAsia" w:ascii="宋体" w:hAnsi="宋体" w:eastAsia="宋体" w:cs="宋体"/>
          <w:color w:val="auto"/>
          <w:sz w:val="24"/>
          <w:szCs w:val="24"/>
          <w:highlight w:val="none"/>
          <w:lang w:val="en-US" w:eastAsia="zh-CN"/>
        </w:rPr>
        <w:t>航</w:t>
      </w:r>
      <w:r>
        <w:rPr>
          <w:rFonts w:hint="eastAsia" w:ascii="宋体" w:hAnsi="宋体" w:eastAsia="宋体" w:cs="宋体"/>
          <w:color w:val="auto"/>
          <w:sz w:val="24"/>
          <w:szCs w:val="24"/>
          <w:highlight w:val="none"/>
          <w:lang w:val="en-US"/>
        </w:rPr>
        <w:t>保障方案的编制以及审查</w:t>
      </w:r>
      <w:r>
        <w:rPr>
          <w:rFonts w:hint="eastAsia" w:ascii="宋体" w:hAnsi="宋体" w:eastAsia="宋体" w:cs="宋体"/>
          <w:color w:val="auto"/>
          <w:sz w:val="24"/>
          <w:szCs w:val="24"/>
          <w:highlight w:val="none"/>
          <w:lang w:val="en-US" w:eastAsia="zh-CN"/>
        </w:rPr>
        <w:t>、航行通告等）、疏浚物海洋倾倒许可证（含疏浚物海洋倾倒检测评价、疏浚物生物学检验评价、环保资料等）、临时用水用电等施工所需的各种手续由承包人负责办理，所需相关费用由承包人在报价中综合考虑，发包人有协助承包人办理上述施工手续的义务。</w:t>
      </w:r>
    </w:p>
    <w:p w14:paraId="41A4EF3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7"/>
        <w:textAlignment w:val="baseline"/>
        <w:rPr>
          <w:rFonts w:ascii="宋体" w:hAnsi="宋体" w:eastAsia="宋体" w:cs="宋体"/>
          <w:sz w:val="24"/>
          <w:szCs w:val="24"/>
        </w:rPr>
      </w:pPr>
      <w:r>
        <w:rPr>
          <w:rFonts w:ascii="宋体" w:hAnsi="宋体" w:eastAsia="宋体" w:cs="宋体"/>
          <w:spacing w:val="-1"/>
          <w:sz w:val="24"/>
          <w:szCs w:val="24"/>
        </w:rPr>
        <w:t>2.8.4发包人原则上与承包人签订合同前应向承包人提供工程款支付担保，具体约</w:t>
      </w:r>
      <w:r>
        <w:rPr>
          <w:rFonts w:ascii="宋体" w:hAnsi="宋体" w:eastAsia="宋体" w:cs="宋体"/>
          <w:spacing w:val="-4"/>
          <w:sz w:val="24"/>
          <w:szCs w:val="24"/>
        </w:rPr>
        <w:t>定如下：</w:t>
      </w:r>
    </w:p>
    <w:p w14:paraId="0D2F8F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9"/>
        <w:textAlignment w:val="baseline"/>
        <w:rPr>
          <w:rFonts w:ascii="宋体" w:hAnsi="宋体" w:eastAsia="宋体" w:cs="宋体"/>
          <w:sz w:val="24"/>
          <w:szCs w:val="24"/>
        </w:rPr>
      </w:pPr>
      <w:r>
        <w:rPr>
          <w:rFonts w:ascii="宋体" w:hAnsi="宋体" w:eastAsia="宋体" w:cs="宋体"/>
          <w:spacing w:val="-2"/>
          <w:sz w:val="24"/>
          <w:szCs w:val="24"/>
        </w:rPr>
        <w:t>①工程款支付担保形式：可采用银行保函、工程担保公司保函、工程保证保险或其</w:t>
      </w:r>
      <w:r>
        <w:rPr>
          <w:rFonts w:ascii="宋体" w:hAnsi="宋体" w:eastAsia="宋体" w:cs="宋体"/>
          <w:spacing w:val="-1"/>
          <w:sz w:val="24"/>
          <w:szCs w:val="24"/>
        </w:rPr>
        <w:t>他合法形式，不能以承诺的方式替代工程款支付担保。</w:t>
      </w:r>
    </w:p>
    <w:p w14:paraId="16D32B1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宋体" w:hAnsi="宋体" w:eastAsia="宋体" w:cs="宋体"/>
          <w:sz w:val="24"/>
          <w:szCs w:val="24"/>
        </w:rPr>
      </w:pPr>
      <w:r>
        <w:rPr>
          <w:rFonts w:ascii="宋体" w:hAnsi="宋体" w:eastAsia="宋体" w:cs="宋体"/>
          <w:spacing w:val="-1"/>
          <w:sz w:val="24"/>
          <w:szCs w:val="24"/>
        </w:rPr>
        <w:t>②工程款支付担保方式</w:t>
      </w:r>
    </w:p>
    <w:p w14:paraId="161D085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宋体" w:hAnsi="宋体" w:eastAsia="宋体" w:cs="宋体"/>
          <w:sz w:val="24"/>
          <w:szCs w:val="24"/>
        </w:rPr>
      </w:pPr>
      <w:r>
        <w:rPr>
          <w:rFonts w:hint="eastAsia" w:ascii="宋体" w:hAnsi="宋体" w:eastAsia="宋体" w:cs="宋体"/>
          <w:spacing w:val="-4"/>
          <w:sz w:val="24"/>
          <w:szCs w:val="24"/>
          <w:lang w:eastAsia="zh-CN"/>
        </w:rPr>
        <w:t>☑</w:t>
      </w:r>
      <w:r>
        <w:rPr>
          <w:rFonts w:ascii="宋体" w:hAnsi="宋体" w:eastAsia="宋体" w:cs="宋体"/>
          <w:spacing w:val="-4"/>
          <w:sz w:val="24"/>
          <w:szCs w:val="24"/>
        </w:rPr>
        <w:t>非分段滚动方式</w:t>
      </w:r>
    </w:p>
    <w:p w14:paraId="42FD0FB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宋体" w:hAnsi="宋体" w:eastAsia="宋体" w:cs="宋体"/>
          <w:sz w:val="24"/>
          <w:szCs w:val="24"/>
        </w:rPr>
      </w:pPr>
      <w:r>
        <w:rPr>
          <w:rFonts w:ascii="宋体" w:hAnsi="宋体" w:eastAsia="宋体" w:cs="宋体"/>
          <w:spacing w:val="-1"/>
          <w:sz w:val="24"/>
          <w:szCs w:val="24"/>
        </w:rPr>
        <w:t xml:space="preserve">支付担保的金额：中标合同额的 </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 xml:space="preserve"> %，</w:t>
      </w:r>
    </w:p>
    <w:p w14:paraId="0534BA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宋体" w:hAnsi="宋体" w:eastAsia="宋体" w:cs="宋体"/>
          <w:sz w:val="24"/>
          <w:szCs w:val="24"/>
        </w:rPr>
      </w:pPr>
      <w:r>
        <w:rPr>
          <w:rFonts w:ascii="宋体" w:hAnsi="宋体" w:eastAsia="宋体" w:cs="宋体"/>
          <w:spacing w:val="-5"/>
          <w:sz w:val="24"/>
          <w:szCs w:val="24"/>
        </w:rPr>
        <w:t>□ 分段滚动方式</w:t>
      </w:r>
    </w:p>
    <w:p w14:paraId="0B05193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宋体" w:hAnsi="宋体" w:eastAsia="宋体" w:cs="宋体"/>
          <w:sz w:val="24"/>
          <w:szCs w:val="24"/>
        </w:rPr>
      </w:pPr>
      <w:r>
        <w:rPr>
          <w:rFonts w:ascii="宋体" w:hAnsi="宋体" w:eastAsia="宋体" w:cs="宋体"/>
          <w:sz w:val="24"/>
          <w:szCs w:val="24"/>
        </w:rPr>
        <w:t>A.分段中标合同额的   %，其中，分段中标合同额=中标合同额÷分段</w:t>
      </w:r>
      <w:r>
        <w:rPr>
          <w:rFonts w:ascii="宋体" w:hAnsi="宋体" w:eastAsia="宋体" w:cs="宋体"/>
          <w:spacing w:val="-1"/>
          <w:sz w:val="24"/>
          <w:szCs w:val="24"/>
        </w:rPr>
        <w:t>周期。</w:t>
      </w:r>
    </w:p>
    <w:p w14:paraId="0BBB5EB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textAlignment w:val="baseline"/>
        <w:rPr>
          <w:rFonts w:ascii="宋体" w:hAnsi="宋体" w:eastAsia="宋体" w:cs="宋体"/>
          <w:sz w:val="24"/>
          <w:szCs w:val="24"/>
        </w:rPr>
      </w:pPr>
      <w:r>
        <w:rPr>
          <w:rFonts w:ascii="宋体" w:hAnsi="宋体" w:eastAsia="宋体" w:cs="宋体"/>
          <w:spacing w:val="2"/>
          <w:sz w:val="24"/>
          <w:szCs w:val="24"/>
        </w:rPr>
        <w:t>B.分段一般是指将中标合同额按分段周期平均划分</w:t>
      </w:r>
      <w:r>
        <w:rPr>
          <w:rFonts w:ascii="宋体" w:hAnsi="宋体" w:eastAsia="宋体" w:cs="宋体"/>
          <w:spacing w:val="1"/>
          <w:sz w:val="24"/>
          <w:szCs w:val="24"/>
        </w:rPr>
        <w:t>，如分段周期为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（招标人</w:t>
      </w:r>
      <w:r>
        <w:rPr>
          <w:rFonts w:ascii="宋体" w:hAnsi="宋体" w:eastAsia="宋体" w:cs="宋体"/>
          <w:spacing w:val="-1"/>
          <w:sz w:val="24"/>
          <w:szCs w:val="24"/>
        </w:rPr>
        <w:t>可选择年、或季度、或月）。</w:t>
      </w:r>
    </w:p>
    <w:p w14:paraId="034AF8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7"/>
        <w:textAlignment w:val="baseline"/>
        <w:rPr>
          <w:rFonts w:ascii="宋体" w:hAnsi="宋体" w:eastAsia="宋体" w:cs="宋体"/>
          <w:sz w:val="24"/>
          <w:szCs w:val="24"/>
        </w:rPr>
      </w:pPr>
      <w:r>
        <w:rPr>
          <w:rFonts w:ascii="宋体" w:hAnsi="宋体" w:eastAsia="宋体" w:cs="宋体"/>
          <w:spacing w:val="-2"/>
          <w:sz w:val="24"/>
          <w:szCs w:val="24"/>
        </w:rPr>
        <w:t>C.滚动是在承包人、发包人和监理人签字确认分段工程进度款，且发包人支付该分段工程款后，当期工程款支付担保解除，自动进入下一期工程款的担保。</w:t>
      </w:r>
    </w:p>
    <w:p w14:paraId="00073E5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9"/>
        <w:textAlignment w:val="baseline"/>
        <w:rPr>
          <w:rFonts w:ascii="宋体" w:hAnsi="宋体" w:eastAsia="宋体" w:cs="宋体"/>
          <w:sz w:val="24"/>
          <w:szCs w:val="24"/>
        </w:rPr>
      </w:pPr>
      <w:r>
        <w:rPr>
          <w:rFonts w:ascii="宋体" w:hAnsi="宋体" w:eastAsia="宋体" w:cs="宋体"/>
          <w:sz w:val="24"/>
          <w:szCs w:val="24"/>
        </w:rPr>
        <w:t>④工程款支付担保的有效期自发包人与承包人签订的合同生</w:t>
      </w:r>
      <w:r>
        <w:rPr>
          <w:rFonts w:ascii="宋体" w:hAnsi="宋体" w:eastAsia="宋体" w:cs="宋体"/>
          <w:spacing w:val="-1"/>
          <w:sz w:val="24"/>
          <w:szCs w:val="24"/>
        </w:rPr>
        <w:t>效之日起至发包人根</w:t>
      </w:r>
      <w:r>
        <w:rPr>
          <w:rFonts w:ascii="宋体" w:hAnsi="宋体" w:eastAsia="宋体" w:cs="宋体"/>
          <w:spacing w:val="-2"/>
          <w:sz w:val="24"/>
          <w:szCs w:val="24"/>
        </w:rPr>
        <w:t>据本合同约定支付完除质量保证金以外的全部款项之日止。承包人应在发包人退还其履</w:t>
      </w:r>
      <w:r>
        <w:rPr>
          <w:rFonts w:ascii="宋体" w:hAnsi="宋体" w:eastAsia="宋体" w:cs="宋体"/>
          <w:spacing w:val="-1"/>
          <w:sz w:val="24"/>
          <w:szCs w:val="24"/>
        </w:rPr>
        <w:t>约保证金时同步一次性向发包人退还工程款支付担保。</w:t>
      </w:r>
    </w:p>
    <w:p w14:paraId="61B283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⑤发包人未按合同约定提供工程款支付担保的责任：</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5CAB830">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3.监理人</w:t>
      </w:r>
    </w:p>
    <w:p w14:paraId="74A0034C">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3.1 监理人的职责和权力</w:t>
      </w:r>
    </w:p>
    <w:p w14:paraId="55FD42F4">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3.1.1 监理人在行使</w:t>
      </w:r>
      <w:r>
        <w:rPr>
          <w:rFonts w:hint="eastAsia" w:ascii="宋体" w:hAnsi="宋体" w:eastAsia="宋体" w:cs="宋体"/>
          <w:color w:val="auto"/>
          <w:sz w:val="24"/>
          <w:szCs w:val="24"/>
          <w:highlight w:val="none"/>
          <w:lang w:val="en-US" w:eastAsia="zh-CN"/>
        </w:rPr>
        <w:t>监理合同规定外的</w:t>
      </w:r>
      <w:r>
        <w:rPr>
          <w:rFonts w:hint="eastAsia" w:ascii="宋体" w:hAnsi="宋体" w:eastAsia="宋体" w:cs="宋体"/>
          <w:color w:val="auto"/>
          <w:sz w:val="24"/>
          <w:szCs w:val="24"/>
          <w:highlight w:val="none"/>
          <w:lang w:val="en-US"/>
        </w:rPr>
        <w:t>权力前需要经发包人事先批准：监理人在发出</w:t>
      </w:r>
      <w:r>
        <w:rPr>
          <w:rFonts w:hint="eastAsia" w:ascii="宋体" w:hAnsi="宋体" w:eastAsia="宋体" w:cs="宋体"/>
          <w:color w:val="auto"/>
          <w:sz w:val="24"/>
          <w:szCs w:val="24"/>
          <w:highlight w:val="none"/>
          <w:lang w:val="en-US" w:eastAsia="zh-CN"/>
        </w:rPr>
        <w:t>监理合同规定外</w:t>
      </w:r>
      <w:r>
        <w:rPr>
          <w:rFonts w:hint="eastAsia" w:ascii="宋体" w:hAnsi="宋体" w:eastAsia="宋体" w:cs="宋体"/>
          <w:color w:val="auto"/>
          <w:sz w:val="24"/>
          <w:szCs w:val="24"/>
          <w:highlight w:val="none"/>
          <w:lang w:val="en-US"/>
        </w:rPr>
        <w:t>的任何指示前应得到发包人的书面批准。</w:t>
      </w:r>
    </w:p>
    <w:p w14:paraId="61B2AC1D">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3.1.4 监理人职责：</w:t>
      </w:r>
      <w:r>
        <w:rPr>
          <w:rFonts w:hint="eastAsia" w:ascii="宋体" w:hAnsi="宋体" w:eastAsia="宋体" w:cs="宋体"/>
          <w:color w:val="auto"/>
          <w:sz w:val="24"/>
          <w:szCs w:val="24"/>
          <w:highlight w:val="none"/>
          <w:u w:val="none"/>
          <w:lang w:val="en-US"/>
        </w:rPr>
        <w:t>按监理合同中规定的职责执行</w:t>
      </w:r>
      <w:r>
        <w:rPr>
          <w:rFonts w:hint="eastAsia" w:ascii="宋体" w:hAnsi="宋体" w:eastAsia="宋体" w:cs="宋体"/>
          <w:color w:val="auto"/>
          <w:sz w:val="24"/>
          <w:szCs w:val="24"/>
          <w:highlight w:val="none"/>
          <w:lang w:val="en-US"/>
        </w:rPr>
        <w:t>。</w:t>
      </w:r>
    </w:p>
    <w:p w14:paraId="7B720E43">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3.1.5 监理人的权力：</w:t>
      </w:r>
      <w:r>
        <w:rPr>
          <w:rFonts w:hint="eastAsia" w:ascii="宋体" w:hAnsi="宋体" w:eastAsia="宋体" w:cs="宋体"/>
          <w:color w:val="auto"/>
          <w:sz w:val="24"/>
          <w:szCs w:val="24"/>
          <w:highlight w:val="none"/>
          <w:u w:val="none"/>
          <w:lang w:val="en-US"/>
        </w:rPr>
        <w:t>按监理合同中规定的权力执行</w:t>
      </w:r>
      <w:r>
        <w:rPr>
          <w:rFonts w:hint="eastAsia" w:ascii="宋体" w:hAnsi="宋体" w:eastAsia="宋体" w:cs="宋体"/>
          <w:color w:val="auto"/>
          <w:sz w:val="24"/>
          <w:szCs w:val="24"/>
          <w:highlight w:val="none"/>
          <w:lang w:val="en-US"/>
        </w:rPr>
        <w:t>。</w:t>
      </w:r>
    </w:p>
    <w:p w14:paraId="65F0A199">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rPr>
        <w:t>通用条款本款增加第3.1.6项的内容：</w:t>
      </w:r>
    </w:p>
    <w:p w14:paraId="04ED4244">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开工审核前，监理人必须按照国家及省市相关规定所要求的认定标准，对本工程承包人所投入的专业技术人员职业资格是否存在“挂证”等违法违规行为进行排查、核实、处理，确保投入人员到岗履职以及人员实际工作单位（工作单位同承包单位）与注册单位一致、人员社会保险缴纳单位与注册单位一致，否则必须整改落实到位后方可批准开工。</w:t>
      </w:r>
    </w:p>
    <w:p w14:paraId="422AB18A">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3.3 监理人员</w:t>
      </w:r>
    </w:p>
    <w:p w14:paraId="4AD3C52C">
      <w:pPr>
        <w:spacing w:line="400" w:lineRule="exact"/>
        <w:ind w:firstLine="480" w:firstLineChars="20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3.3.1 通用条款本款修改为：</w:t>
      </w:r>
    </w:p>
    <w:p w14:paraId="11B8DEEB">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总监理工程师可以授权其他适格监理人员负责执行其指派的一项或多项监理工作。总监理工程师应将被授权适格监理人员的姓名及其授权范围及时通知承包人。被授权的监理人员在授权范围内发出的指示视为已得到总监理工程师的同意，与总监理工程师发出的指示具有同等效力。总监理工程师撤销某项授权时，应将撤销授权的决定及时通知承包人。</w:t>
      </w:r>
    </w:p>
    <w:p w14:paraId="12977D13">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3.4 监理人的指示</w:t>
      </w:r>
    </w:p>
    <w:p w14:paraId="3BCD4021">
      <w:pPr>
        <w:spacing w:line="400" w:lineRule="exact"/>
        <w:ind w:firstLine="480" w:firstLineChars="20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3</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4</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 xml:space="preserve">3 </w:t>
      </w:r>
      <w:r>
        <w:rPr>
          <w:rFonts w:hint="eastAsia" w:ascii="宋体" w:hAnsi="宋体" w:eastAsia="宋体" w:cs="宋体"/>
          <w:b w:val="0"/>
          <w:bCs w:val="0"/>
          <w:color w:val="auto"/>
          <w:sz w:val="24"/>
          <w:szCs w:val="24"/>
          <w:highlight w:val="none"/>
        </w:rPr>
        <w:t>通用条款本款修改为：</w:t>
      </w:r>
    </w:p>
    <w:p w14:paraId="14C10434">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在紧急情况下，总监理工程师或被授权的监理人员可以当场签发临时书面指示，承包人应及时遵照执行。承包人应在收到上述临时书面指示后24小时内，应向监理人发出书面确认函。监理人在收到书面确认函后24小时内未予答复的，该书面确认函应被视为监理人的正式指示。</w:t>
      </w:r>
    </w:p>
    <w:p w14:paraId="527AFBEB">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通用条款3.4.5项的内容不适用于本合同。</w:t>
      </w:r>
    </w:p>
    <w:p w14:paraId="10234654">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4．承包人义务</w:t>
      </w:r>
    </w:p>
    <w:p w14:paraId="31339A97">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4.1 承包人的一般义务</w:t>
      </w:r>
    </w:p>
    <w:p w14:paraId="0C1753EC">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 遵守法律</w:t>
      </w:r>
    </w:p>
    <w:p w14:paraId="6C625038">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承包人在履行合同过程中应遵守法律，并保证发包人免于承担因承包人违反法律而引起的任何责任。</w:t>
      </w:r>
    </w:p>
    <w:p w14:paraId="3D3996C6">
      <w:pPr>
        <w:spacing w:line="400" w:lineRule="exact"/>
        <w:ind w:firstLine="480" w:firstLineChars="20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通用条款本款增加以下内容：</w:t>
      </w:r>
    </w:p>
    <w:p w14:paraId="72C74A6A">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开工审核前，承包人必须严格按照国家及省市相关规定所要求的认定标准，对本工程承包人所投入的专业技术人员职业资格是否存在“挂证”等违法违规行为进行排查、核实、处理，确保投入人员到岗履职以及人员实际工作单位（工作单位同承包单位）与注册单位一致、人员社会保险缴纳单位与注册单位一致。如发现拟投入技术人员未到岗履职、注册单位不在承包人单位、人员社会保险缴纳单位与注册单位不一致等“挂证”行为，视为承包人违约，承担违约责任。并由发包人上报交通运输主管部门和发证机关依法依规从严处罚，承包人承担有关法律责任。</w:t>
      </w:r>
    </w:p>
    <w:p w14:paraId="313CF103">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4.1.5 保证工程施工和人员的安全</w:t>
      </w:r>
    </w:p>
    <w:p w14:paraId="085FBFF5">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4.1.5.1 承包人应按国家和有关部门的规定，对施工现场人员和施工机械、设备的防台风、防突风、防风暴潮、防汛、防雷击等进行安全管理，对施工现场加强治安防范和消防安全防护措施，如造成事故或损失的，由此发生的费用及责任均由承包人承担。</w:t>
      </w:r>
    </w:p>
    <w:p w14:paraId="251AFEEA">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4.1.5.2 承包人在高压线、水上、水下及地下管线、易燃、易爆地段或其他有害环境下施工时，施工前应提出安全保护措施，经监理人审查同意后实施。监理人的同意不能免除承包人应承担的责任。防护措施费用由承包人承担。</w:t>
      </w:r>
    </w:p>
    <w:p w14:paraId="32B34CC3">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4.1.5.3 施工现场发生安全事故时，承包人应立即采取有效措施，并将事故情况按规定上报有关部门并报告发包人与监理人。</w:t>
      </w:r>
    </w:p>
    <w:p w14:paraId="37158C03">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4.1.8 为他人提供方便</w:t>
      </w:r>
    </w:p>
    <w:p w14:paraId="24066A1A">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承包人免费为发包人驻现场管理人员及监理人员等提供由项目施工准备期到工程竣工验收为止的现场办公设备、办公环境及所需提供、使用和维护的相关费用。</w:t>
      </w:r>
    </w:p>
    <w:p w14:paraId="2AF3F5FA">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 其他义务</w:t>
      </w:r>
    </w:p>
    <w:p w14:paraId="23938007">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rPr>
        <w:t>通用条款本款的内容不适用于本合同，代之以：</w:t>
      </w:r>
    </w:p>
    <w:p w14:paraId="5F6578AC">
      <w:pPr>
        <w:keepNext w:val="0"/>
        <w:keepLines w:val="0"/>
        <w:numPr>
          <w:ilvl w:val="0"/>
          <w:numId w:val="0"/>
        </w:numPr>
        <w:spacing w:before="0"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4.1.10.1本项目后方有开山石、开山土资源可供利用，包括块石、开山石、开山土等注1，在确保合同工期和工程质量的前提下，优先利用后方块石、开山石、开山土，并遵循以下原则：</w:t>
      </w:r>
    </w:p>
    <w:p w14:paraId="16E13E97">
      <w:pPr>
        <w:keepNext w:val="0"/>
        <w:keepLines w:val="0"/>
        <w:numPr>
          <w:ilvl w:val="0"/>
          <w:numId w:val="0"/>
        </w:numPr>
        <w:spacing w:before="0"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（1）承包商必须确保本项目进度、质量符合合同约定。</w:t>
      </w:r>
    </w:p>
    <w:p w14:paraId="61396CE1">
      <w:pPr>
        <w:keepNext w:val="0"/>
        <w:keepLines w:val="0"/>
        <w:numPr>
          <w:ilvl w:val="0"/>
          <w:numId w:val="0"/>
        </w:numPr>
        <w:spacing w:before="0"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（2）本项目沉箱内开山石、开山土为暂估价。承包商购买沉箱内开山石、开山土，按实际购买沉箱内开山石、开山土价格进行据实结算。</w:t>
      </w:r>
    </w:p>
    <w:p w14:paraId="0D115EDA">
      <w:pPr>
        <w:keepNext w:val="0"/>
        <w:keepLines w:val="0"/>
        <w:numPr>
          <w:ilvl w:val="0"/>
          <w:numId w:val="0"/>
        </w:numPr>
        <w:spacing w:before="0"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（3）若承包商使用后方块石，当后方块石到场除税价低于承包商投标块石单价注2时，按使用的后方块石价格进行计价；当后方块石到场除税价高于承包商投标块石单价时，按合同价执行。</w:t>
      </w:r>
    </w:p>
    <w:p w14:paraId="22D2E6F1">
      <w:pPr>
        <w:keepNext w:val="0"/>
        <w:keepLines w:val="0"/>
        <w:numPr>
          <w:ilvl w:val="0"/>
          <w:numId w:val="0"/>
        </w:numPr>
        <w:spacing w:before="0"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堆载预压堆载料使用后方开山土料，沉降预留于本项目范围内的堆载料计算开山土价值（按开山土暂估价计），卸载料弃置后方开山堆存区，卸载料投标报价不考虑材料费。若后方开山土供给无法满足项目进度要求，承包商需外购土方，按实际购买价格进行据实结算。</w:t>
      </w:r>
    </w:p>
    <w:p w14:paraId="5BBF21C7">
      <w:pPr>
        <w:keepNext w:val="0"/>
        <w:keepLines w:val="0"/>
        <w:numPr>
          <w:ilvl w:val="0"/>
          <w:numId w:val="0"/>
        </w:numPr>
        <w:spacing w:before="0"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注1：该区域石材资源、开山土资源由第三方负责开采，包括但不限于本项目可使用的块石、开山石、开山土等石材。</w:t>
      </w:r>
    </w:p>
    <w:p w14:paraId="22B10197">
      <w:pPr>
        <w:keepNext w:val="0"/>
        <w:keepLines w:val="0"/>
        <w:numPr>
          <w:ilvl w:val="0"/>
          <w:numId w:val="0"/>
        </w:numPr>
        <w:spacing w:before="0"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注2：指投标单价分析表中块石除税材料单价 。</w:t>
      </w:r>
    </w:p>
    <w:p w14:paraId="7793F055">
      <w:pPr>
        <w:keepNext w:val="0"/>
        <w:keepLines w:val="0"/>
        <w:numPr>
          <w:ilvl w:val="0"/>
          <w:numId w:val="0"/>
        </w:numPr>
        <w:spacing w:before="0"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kern w:val="0"/>
          <w:sz w:val="24"/>
          <w:szCs w:val="24"/>
          <w:highlight w:val="none"/>
          <w:lang w:val="en-US" w:eastAsia="zh-CN" w:bidi="ar"/>
        </w:rPr>
        <w:t>4.1.10.2</w:t>
      </w:r>
      <w:r>
        <w:rPr>
          <w:rFonts w:hint="eastAsia" w:ascii="宋体" w:hAnsi="宋体" w:eastAsia="宋体" w:cs="宋体"/>
          <w:color w:val="auto"/>
          <w:sz w:val="24"/>
          <w:szCs w:val="24"/>
          <w:highlight w:val="none"/>
          <w:lang w:eastAsia="zh-CN" w:bidi="ar"/>
        </w:rPr>
        <w:t>本标段与邻近专用附属设施及疏浚项目</w:t>
      </w:r>
      <w:r>
        <w:rPr>
          <w:rFonts w:hint="eastAsia" w:ascii="宋体" w:hAnsi="宋体" w:eastAsia="宋体" w:cs="宋体"/>
          <w:color w:val="auto"/>
          <w:sz w:val="24"/>
          <w:szCs w:val="24"/>
          <w:highlight w:val="none"/>
          <w:lang w:val="en-US" w:eastAsia="zh-CN" w:bidi="ar"/>
        </w:rPr>
        <w:t>临近</w:t>
      </w:r>
      <w:r>
        <w:rPr>
          <w:rFonts w:hint="eastAsia" w:ascii="宋体" w:hAnsi="宋体" w:eastAsia="宋体" w:cs="宋体"/>
          <w:color w:val="auto"/>
          <w:sz w:val="24"/>
          <w:szCs w:val="24"/>
          <w:highlight w:val="none"/>
          <w:lang w:eastAsia="zh-CN" w:bidi="ar"/>
        </w:rPr>
        <w:t>。具体</w:t>
      </w:r>
      <w:r>
        <w:rPr>
          <w:rFonts w:hint="eastAsia" w:ascii="宋体" w:hAnsi="宋体" w:eastAsia="宋体" w:cs="宋体"/>
          <w:color w:val="auto"/>
          <w:sz w:val="24"/>
          <w:szCs w:val="24"/>
          <w:highlight w:val="none"/>
          <w:lang w:val="en-US" w:eastAsia="zh-CN" w:bidi="ar"/>
        </w:rPr>
        <w:t>界面</w:t>
      </w:r>
      <w:r>
        <w:rPr>
          <w:rFonts w:hint="eastAsia" w:ascii="宋体" w:hAnsi="宋体" w:eastAsia="宋体" w:cs="宋体"/>
          <w:color w:val="auto"/>
          <w:sz w:val="24"/>
          <w:szCs w:val="24"/>
          <w:highlight w:val="none"/>
          <w:lang w:eastAsia="zh-CN" w:bidi="ar"/>
        </w:rPr>
        <w:t>划分详见设计图，</w:t>
      </w:r>
      <w:r>
        <w:rPr>
          <w:rFonts w:hint="eastAsia" w:ascii="宋体" w:hAnsi="宋体" w:eastAsia="宋体" w:cs="宋体"/>
          <w:color w:val="auto"/>
          <w:sz w:val="24"/>
          <w:szCs w:val="24"/>
          <w:highlight w:val="none"/>
          <w:lang w:val="en-US" w:eastAsia="zh-CN" w:bidi="ar"/>
        </w:rPr>
        <w:t>施工时</w:t>
      </w:r>
      <w:r>
        <w:rPr>
          <w:rFonts w:hint="eastAsia" w:ascii="宋体" w:hAnsi="宋体" w:eastAsia="宋体" w:cs="宋体"/>
          <w:color w:val="auto"/>
          <w:sz w:val="24"/>
          <w:szCs w:val="24"/>
          <w:highlight w:val="none"/>
          <w:lang w:eastAsia="zh-CN" w:bidi="ar"/>
        </w:rPr>
        <w:t>可能存在不同标段交叉施工情况，存在包括但不限于安全管理、质量控制任务加重及施工区域回淤等情况，请投标单位在投标报价中自行考虑。</w:t>
      </w:r>
    </w:p>
    <w:p w14:paraId="2BEC9BBB">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 xml:space="preserve"> 施工准备：承包人负责施工现场的布置和临时设施的施工，在收到中标通知书后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个日历天内向监理人提交详细的施工组织设计（包括劳动力进场计划）、施工进度计划及开工申请报告。承包人应在开工5日历天前进驻施工场地，并将开工所需施工船舶、机械、设备按照合同约定进场到位，按规范要求办理进场手续。</w:t>
      </w:r>
    </w:p>
    <w:p w14:paraId="45D7F720">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 xml:space="preserve"> 承包人按照批准的临时设施总平面图布置图及相关生活配套设施，负责施工现场的布置和临时设施的施工。</w:t>
      </w:r>
    </w:p>
    <w:p w14:paraId="4BBF89CB">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 xml:space="preserve"> 承包人应妥善处理好与工程其他承包人的配合关系。发生交叉施工时，承包人和工程其他承包人应相互配合，友好协作，并服从监理人的统一协调。</w:t>
      </w:r>
    </w:p>
    <w:p w14:paraId="00F91136">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承包人应根据工程施工情况及监理人指令，及时向监理人提交开工报告、测量报告、试验检验报告、隐蔽工程验收申请、工程质量自检报告、交工验收申请报告及工程事故报告等。</w:t>
      </w:r>
    </w:p>
    <w:p w14:paraId="6C4FAA8C">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 xml:space="preserve"> </w:t>
      </w:r>
      <w:r>
        <w:rPr>
          <w:rFonts w:hint="eastAsia" w:ascii="宋体" w:hAnsi="宋体" w:eastAsia="宋体" w:cs="宋体"/>
          <w:bCs w:val="0"/>
          <w:color w:val="auto"/>
          <w:sz w:val="24"/>
          <w:szCs w:val="24"/>
          <w:highlight w:val="none"/>
          <w:lang w:val="en-US" w:eastAsia="zh-CN"/>
        </w:rPr>
        <w:t>承包人应支付为获得施工许可证及到港船舶检验等有关证件所需的费用；办理应由承包人办理的施工所需各种证件、批件和其他审批手续。施工过程中应遵守政府及地方的有关航道、水利、海事、海洋、环保等方面法律、法规和规章。</w:t>
      </w:r>
    </w:p>
    <w:p w14:paraId="2BFDAABA">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rPr>
        <w:t xml:space="preserve"> 承包人应解决施工船舶的临时停泊设施并不得阻碍航道、妨碍进出港船舶航行及安全，保证船舶在施工水域内航行安全和畅通。</w:t>
      </w:r>
    </w:p>
    <w:p w14:paraId="061A35F1">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 xml:space="preserve"> 承包人应采取一切措施，防止施工船舶、机械、设备及材料的沉没。若发生沉没，应立即向有关部门报告，并及时通知发包人、监理人。承包人应采取得当措施，及时设置浮标或障碍指示灯，直至打捞工作完成为止，并支付相关费用，发包人不另行支付任何费用。</w:t>
      </w:r>
    </w:p>
    <w:p w14:paraId="0EF7A5AD">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rPr>
        <w:t xml:space="preserve"> 承包人应充分考虑到施工现场所有的设备、临时建筑等防火安全，配备足够的防火设备。</w:t>
      </w:r>
    </w:p>
    <w:p w14:paraId="36BD0CAD">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en-US"/>
        </w:rPr>
        <w:t xml:space="preserve"> 承包人应在施工过程中对工程建筑物进行监测，并承担相应费用。</w:t>
      </w:r>
    </w:p>
    <w:p w14:paraId="18D74DDF">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 xml:space="preserve"> 为了确保工程顺利实施，监理人按合同条款约定在现场发出的指令，承包人应无条件执行，若承包人拒不执行，发包人可委托第三方完成，所需费用直接从承包人的工程款中扣除（金额不限于承包人相应工程的报价金额），无须经过承包人同意，承包人应承担的全部责任，发包人有权追究承包人的合同违约责任。</w:t>
      </w:r>
    </w:p>
    <w:p w14:paraId="23DF2EA2">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 xml:space="preserve"> 承包人应严格遵守政府有关解决拖欠工程款和劳务人员工资的法律、法规，及时支付工程中的材料、设备货款、租赁费、工程款及劳务人员工资等费用。承包人不得以任何借口拖欠材料、设备货款、租赁费、工程款及劳务人员工资等费用，一旦出现此类事件，一律上报交通行政主管部门行政处罚，记入信用档案。承包人认可：在必要时，发包人有权从承包人的工程款中代为支付其在本工程上拖欠的各类费用，无须经过承包人同意。</w:t>
      </w:r>
    </w:p>
    <w:p w14:paraId="3DBDA618">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 xml:space="preserve"> 承包人应按《保障农民工工资支付条例》《广东省交通运输厅关于加强交通建设工程从业人员实名制管理和作业工人工资支付管理的通知》等文件的规定严格执行。</w:t>
      </w:r>
    </w:p>
    <w:p w14:paraId="5B7FCA32">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承包人项目经理部是劳务人员工资支付行为的主体，承包人的项目负责人（项目经理）是劳务人员工资支付的责任人。承包人项目负责人（项目经理）部要建立全体劳务人员花名册和工资支付表，应委托银行发放劳务人员工资，并保留相关支付凭证，确保将工资直接发放给劳务人员本人。严禁发放给其他不具备用工主体资格的组织和个人。工资支付表应如实记录支付单位、支付时间、支付对象、支付数额、支付对象的身份证号和签字等工资支付情况。劳务人员花名册和工资支付表报监理人备查。</w:t>
      </w:r>
    </w:p>
    <w:p w14:paraId="32A00487">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承包人必须按时支付其雇用人员、实际为承包人或其分包单位服务、应从承包人中得到报酬的人员（包括但不限于农民工）的工资，不得拖欠上述人员的工资。同时，承包人有责任和义务监督其分包单位对属下员工工资的支付。发包人和监理人有权监督承包人使用农民工的管理，对不签订劳动合同、非法使用农民工的，或者拖延和克扣农民工工资的，一经发现，发包人将予以通报并上报上级主管单位。若因上述原因造成劳务人员上访、纠纷等情况，承包人须承担一切经济和法律责任。除按国家有关法律、法规、规章及上述合同条款的规定进行处理外，同时按照合同相关条款对承包人违约处理。</w:t>
      </w:r>
    </w:p>
    <w:p w14:paraId="67F10322">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 xml:space="preserve"> 临时道路、临时码头、临时用电、临时用水、临时通信、临时用地所需费用承包人在投标时已自行报价，并包含在合同总价中，由承包人负责支付，发包人不另行支付费用。</w:t>
      </w:r>
    </w:p>
    <w:p w14:paraId="114399C5">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 xml:space="preserve"> 若承包人在已投入投标承诺施工设备外，因施工需求而增加投入施工的船舶，如船舶为承包人租赁的，租赁的船舶必须为租赁协议的出租方所有（船舶有效证件的所有人的名字需与出租方一致），须经监理人审查并报发包人批准后方可投入施工。</w:t>
      </w:r>
    </w:p>
    <w:p w14:paraId="23FD2F40">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4.1.10.1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rPr>
        <w:t xml:space="preserve"> 承包人及其施工船舶严格遵守发包人对疏浚土抛卸的管理规定，若被核实存在偷卸（不按指定位置抛卸）、偷砂等行为，将接受罚款（每次</w:t>
      </w:r>
      <w:r>
        <w:rPr>
          <w:rFonts w:hint="eastAsia" w:ascii="宋体" w:hAnsi="宋体" w:eastAsia="宋体" w:cs="宋体"/>
          <w:color w:val="auto"/>
          <w:sz w:val="24"/>
          <w:szCs w:val="24"/>
          <w:highlight w:val="none"/>
          <w:u w:val="none"/>
          <w:lang w:val="en-US"/>
        </w:rPr>
        <w:t xml:space="preserve"> 10 </w:t>
      </w:r>
      <w:r>
        <w:rPr>
          <w:rFonts w:hint="eastAsia" w:ascii="宋体" w:hAnsi="宋体" w:eastAsia="宋体" w:cs="宋体"/>
          <w:color w:val="auto"/>
          <w:sz w:val="24"/>
          <w:szCs w:val="24"/>
          <w:highlight w:val="none"/>
          <w:lang w:val="en-US"/>
        </w:rPr>
        <w:t>万元）、设备清退出场、清挖偷卸土方、信用评价扣分、行政处罚等，情节严重（超过</w:t>
      </w:r>
      <w:r>
        <w:rPr>
          <w:rFonts w:hint="eastAsia" w:ascii="宋体" w:hAnsi="宋体" w:eastAsia="宋体" w:cs="宋体"/>
          <w:color w:val="auto"/>
          <w:sz w:val="24"/>
          <w:szCs w:val="24"/>
          <w:highlight w:val="none"/>
          <w:u w:val="none"/>
          <w:lang w:val="en-US"/>
        </w:rPr>
        <w:t xml:space="preserve"> 3 </w:t>
      </w:r>
      <w:r>
        <w:rPr>
          <w:rFonts w:hint="eastAsia" w:ascii="宋体" w:hAnsi="宋体" w:eastAsia="宋体" w:cs="宋体"/>
          <w:color w:val="auto"/>
          <w:sz w:val="24"/>
          <w:szCs w:val="24"/>
          <w:highlight w:val="none"/>
          <w:lang w:val="en-US"/>
        </w:rPr>
        <w:t>次）的视为违约，发包人可解除合同，由此造成的损失由承包人负责，若核实存在明显超载作业的，扣罚</w:t>
      </w:r>
      <w:r>
        <w:rPr>
          <w:rFonts w:hint="eastAsia" w:ascii="宋体" w:hAnsi="宋体" w:eastAsia="宋体" w:cs="宋体"/>
          <w:color w:val="auto"/>
          <w:sz w:val="24"/>
          <w:szCs w:val="24"/>
          <w:highlight w:val="none"/>
          <w:u w:val="none"/>
          <w:lang w:val="en-US"/>
        </w:rPr>
        <w:t xml:space="preserve"> 2 </w:t>
      </w:r>
      <w:r>
        <w:rPr>
          <w:rFonts w:hint="eastAsia" w:ascii="宋体" w:hAnsi="宋体" w:eastAsia="宋体" w:cs="宋体"/>
          <w:color w:val="auto"/>
          <w:sz w:val="24"/>
          <w:szCs w:val="24"/>
          <w:highlight w:val="none"/>
          <w:lang w:val="en-US"/>
        </w:rPr>
        <w:t>万/艘次。同一艘船发现</w:t>
      </w:r>
      <w:r>
        <w:rPr>
          <w:rFonts w:hint="eastAsia" w:ascii="宋体" w:hAnsi="宋体" w:eastAsia="宋体" w:cs="宋体"/>
          <w:color w:val="auto"/>
          <w:sz w:val="24"/>
          <w:szCs w:val="24"/>
          <w:highlight w:val="none"/>
          <w:u w:val="none"/>
          <w:lang w:val="en-US"/>
        </w:rPr>
        <w:t xml:space="preserve"> 2 </w:t>
      </w:r>
      <w:r>
        <w:rPr>
          <w:rFonts w:hint="eastAsia" w:ascii="宋体" w:hAnsi="宋体" w:eastAsia="宋体" w:cs="宋体"/>
          <w:color w:val="auto"/>
          <w:sz w:val="24"/>
          <w:szCs w:val="24"/>
          <w:highlight w:val="none"/>
          <w:lang w:val="en-US"/>
        </w:rPr>
        <w:t>次及以上超载行为的，扣罚款的同时作清退出场处理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如涉及违法行为的，将移交相关执法部门处理</w:t>
      </w:r>
      <w:r>
        <w:rPr>
          <w:rFonts w:hint="eastAsia" w:ascii="宋体" w:hAnsi="宋体" w:eastAsia="宋体" w:cs="宋体"/>
          <w:color w:val="auto"/>
          <w:sz w:val="24"/>
          <w:szCs w:val="24"/>
          <w:highlight w:val="none"/>
          <w:lang w:val="en-US" w:eastAsia="zh-CN"/>
        </w:rPr>
        <w:t>。</w:t>
      </w:r>
    </w:p>
    <w:p w14:paraId="36A9E68B">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如涉及</w:t>
      </w:r>
      <w:r>
        <w:rPr>
          <w:rFonts w:hint="eastAsia" w:ascii="宋体" w:hAnsi="宋体" w:eastAsia="宋体" w:cs="宋体"/>
          <w:color w:val="auto"/>
          <w:sz w:val="24"/>
          <w:szCs w:val="24"/>
          <w:highlight w:val="none"/>
          <w:lang w:val="en-US" w:eastAsia="zh-CN"/>
        </w:rPr>
        <w:t>围填海、用海、用地及生态环保等</w:t>
      </w:r>
      <w:r>
        <w:rPr>
          <w:rFonts w:hint="eastAsia" w:ascii="宋体" w:hAnsi="宋体" w:eastAsia="宋体" w:cs="宋体"/>
          <w:color w:val="auto"/>
          <w:sz w:val="24"/>
          <w:szCs w:val="24"/>
          <w:highlight w:val="none"/>
          <w:lang w:val="en-US"/>
        </w:rPr>
        <w:t>违法行为的，</w:t>
      </w:r>
      <w:r>
        <w:rPr>
          <w:rFonts w:hint="eastAsia" w:ascii="宋体" w:hAnsi="宋体" w:eastAsia="宋体" w:cs="宋体"/>
          <w:color w:val="auto"/>
          <w:sz w:val="24"/>
          <w:szCs w:val="24"/>
          <w:highlight w:val="none"/>
          <w:lang w:val="en-US" w:eastAsia="zh-CN"/>
        </w:rPr>
        <w:t>一切责任及后果由承包商承担，</w:t>
      </w:r>
      <w:r>
        <w:rPr>
          <w:rFonts w:hint="eastAsia" w:ascii="宋体" w:hAnsi="宋体" w:eastAsia="宋体" w:cs="宋体"/>
          <w:color w:val="auto"/>
          <w:sz w:val="24"/>
          <w:szCs w:val="24"/>
          <w:highlight w:val="none"/>
          <w:lang w:val="en-US"/>
        </w:rPr>
        <w:t>相关执法部门</w:t>
      </w:r>
      <w:r>
        <w:rPr>
          <w:rFonts w:hint="eastAsia" w:ascii="宋体" w:hAnsi="宋体" w:eastAsia="宋体" w:cs="宋体"/>
          <w:color w:val="auto"/>
          <w:sz w:val="24"/>
          <w:szCs w:val="24"/>
          <w:highlight w:val="none"/>
          <w:lang w:val="en-US" w:eastAsia="zh-CN"/>
        </w:rPr>
        <w:t>下发的处罚由承包商承担</w:t>
      </w:r>
      <w:r>
        <w:rPr>
          <w:rFonts w:hint="eastAsia" w:ascii="宋体" w:hAnsi="宋体" w:eastAsia="宋体" w:cs="宋体"/>
          <w:color w:val="auto"/>
          <w:sz w:val="24"/>
          <w:szCs w:val="24"/>
          <w:highlight w:val="none"/>
          <w:lang w:val="en-US"/>
        </w:rPr>
        <w:t>。</w:t>
      </w:r>
    </w:p>
    <w:p w14:paraId="66B0A049">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 xml:space="preserve"> 承包人需按交通主管部门或项目所属地政府要求落实相关的疫情防控措施。</w:t>
      </w:r>
    </w:p>
    <w:p w14:paraId="31FE65B4">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en-US"/>
        </w:rPr>
        <w:t xml:space="preserve"> 开工前承包人须委托有相应资质的第三方测量单位对本标段施工涉及水域进行多波束测量，按1:2000比例出图。相关费用已包含在综合单价中由承包人自行承担，发包人不另行支付。开工前测量只作地形变化对比，作为挖土运抛监管的基础依据资料，但不作为计量依据。</w:t>
      </w:r>
    </w:p>
    <w:p w14:paraId="29B8C0D6">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rPr>
        <w:t xml:space="preserve"> 本项目所需费用在报价清单中有按项目单项报价的，按相应报价包干使用，没有单独报价项目的，视为已包含在总报价中，发包人不另行支付任何费用。</w:t>
      </w:r>
    </w:p>
    <w:p w14:paraId="1EA8D41E">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 xml:space="preserve"> 承包人自行到水、电管理部门办理有关用水用电手续。如未及时按上述要求办理，所造成损失由承包人负责。承包人的用水用电由发包人收费的，按发包人有关规定执行，如发包人标准有变动，按变动后的新标准执行。水、电费用由发包人</w:t>
      </w:r>
      <w:r>
        <w:rPr>
          <w:rFonts w:hint="eastAsia" w:ascii="宋体" w:hAnsi="宋体" w:eastAsia="宋体" w:cs="宋体"/>
          <w:color w:val="auto"/>
          <w:sz w:val="24"/>
          <w:szCs w:val="24"/>
          <w:highlight w:val="none"/>
          <w:lang w:val="en-US" w:eastAsia="zh-CN"/>
        </w:rPr>
        <w:t>水电</w:t>
      </w:r>
      <w:r>
        <w:rPr>
          <w:rFonts w:hint="eastAsia" w:ascii="宋体" w:hAnsi="宋体" w:eastAsia="宋体" w:cs="宋体"/>
          <w:color w:val="auto"/>
          <w:sz w:val="24"/>
          <w:szCs w:val="24"/>
          <w:highlight w:val="none"/>
          <w:lang w:val="en-US"/>
        </w:rPr>
        <w:t>管理单位按承包人实际使用量向承包人收取，承包人应按签订的相关供水供电协议及时结清水、电费用。</w:t>
      </w:r>
      <w:r>
        <w:rPr>
          <w:rFonts w:hint="eastAsia" w:ascii="宋体" w:hAnsi="宋体" w:eastAsia="宋体" w:cs="宋体"/>
          <w:color w:val="auto"/>
          <w:sz w:val="24"/>
          <w:szCs w:val="24"/>
          <w:highlight w:val="none"/>
          <w:lang w:val="en-US" w:eastAsia="zh-CN"/>
        </w:rPr>
        <w:t>承包人应遵守地方政府和上级有关主管部门对施工场地交通、施工噪音以及环境保护、污水排放和安全生产文明施工等的管理规定，按规定办理有关手续，承包人应于本合同签订后10日内，负责完成前述各项相关手续，承担全部所需费用。</w:t>
      </w:r>
    </w:p>
    <w:p w14:paraId="232275C9">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 xml:space="preserve"> 发包人或监理工程师要求承包人在规定的时间完成或整改的事项，承包人应在规定的时间内完成。</w:t>
      </w:r>
    </w:p>
    <w:p w14:paraId="6A62823B">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lang w:val="en-US" w:eastAsia="zh-CN"/>
        </w:rPr>
        <w:t>承包人应积极配合项目审计、稽查和检查等工作</w:t>
      </w:r>
    </w:p>
    <w:p w14:paraId="7E0D8415">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（a）与本工程项目相关的审计和稽查，承包人应高度重视并委派专人积极予以配合，对审计和稽查的有关意见承包人应无条件地及时整改；</w:t>
      </w:r>
    </w:p>
    <w:p w14:paraId="40A1309E">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（b）有关单位对本项目的各种检查和视察等活动，承包人和监理人有义务积极配合开展各项工作；</w:t>
      </w:r>
    </w:p>
    <w:p w14:paraId="5D2775F4">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（c）本工程项目有关的各类统计报表和汇报材料，承包人和监理人有义务配合发包人做好编制工作并提供相应的资料；</w:t>
      </w:r>
    </w:p>
    <w:p w14:paraId="3F13B91A">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（d）承包人应按监理人和发包人有关要求，建立相应的计量、支付和变更、造价台帐，同时承包人和监理人应配合发包人建立相应的台帐，三方各自的台帐应相应保持一致并保持其持续有效直至工程结算完成。</w:t>
      </w:r>
    </w:p>
    <w:p w14:paraId="44011EA9">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 xml:space="preserve"> 承包人应填写施工日志，并于每月底前向发包人提交当月施工日志扫描件。施工日志应包括施工日期、主要施工内容、会议情况、存在问题、安全管理情况、质量控制情况、施工环境情况（水、电、灾害）等。施工日志应连续记录，由项目经理或项目经理指定人员签名确认，并接受发包人及监理的检查。施工日志首页日期应是监理开具的开工令上明确的开工日期。</w:t>
      </w:r>
    </w:p>
    <w:p w14:paraId="659E4D62">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4.1.10.2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lang w:val="en-US" w:eastAsia="zh-CN"/>
        </w:rPr>
        <w:t>承包人应按发包人要求做好文明施工、安全生产工作，做好迎接上级部门检查指导的各项工作，执行发包人及监理人关于做好文明施工、安全生产的各项口头及书面指令，所发生的相关费用投标人已在投标报价时综合考虑。</w:t>
      </w:r>
    </w:p>
    <w:p w14:paraId="52047A58">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承包人应建立档案管理机构，指定一位总工程师或技术负责人分管档案工作， 制定档案管理制度，制定档案工作计划，对文件材料的形成、收集、整理及归档工作提出明确要求。配备具有水运相关专业学历或技术职称的专职档案管理人员并保持人员稳定性，提供档案管理所需经费、设备和场地条件等。</w:t>
      </w:r>
    </w:p>
    <w:p w14:paraId="72E841FB">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rPr>
        <w:t>承包人应根据实际情况，采取有效措施，确保档案与施工进度同步，确保施工档案完整、准确和系统。承包人应统一管理分包单位档案工作，对其档案的收集、整理、移交进行业务指导和审核。</w:t>
      </w:r>
    </w:p>
    <w:p w14:paraId="7E27D04D">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4.1.10.</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val="en-US"/>
        </w:rPr>
        <w:t>承包人应建立应急救援机构或组织，制定应急救援预案，定期组织演练，并按预案要求配备应急救援装备。</w:t>
      </w:r>
    </w:p>
    <w:p w14:paraId="6A59A3CF">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4.1.10.</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承包人应配合发包人为本项目开展的专项（消防、规划、安全设施、职业病防治、竣工环境保护、水土保持、档案、竣工等）验收工作，部分验收协调费用包含在合同总价中，由承包人负责，发包人不另行支付费用</w:t>
      </w:r>
      <w:r>
        <w:rPr>
          <w:rFonts w:hint="eastAsia" w:ascii="宋体" w:hAnsi="宋体" w:eastAsia="宋体" w:cs="宋体"/>
          <w:color w:val="auto"/>
          <w:sz w:val="24"/>
          <w:szCs w:val="24"/>
          <w:highlight w:val="none"/>
          <w:lang w:val="en-US" w:eastAsia="zh-CN"/>
        </w:rPr>
        <w:t>。</w:t>
      </w:r>
    </w:p>
    <w:p w14:paraId="233ACC2D">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4.2 履约担保</w:t>
      </w:r>
    </w:p>
    <w:p w14:paraId="0F591022">
      <w:pPr>
        <w:spacing w:line="400" w:lineRule="exact"/>
        <w:ind w:firstLine="480" w:firstLineChars="20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通用条款本款的内容不适用于本合同，代之以：</w:t>
      </w:r>
    </w:p>
    <w:p w14:paraId="574A64B5">
      <w:pPr>
        <w:spacing w:line="40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rPr>
        <w:t>4.2.1 履约担保形式：</w:t>
      </w:r>
      <w:r>
        <w:rPr>
          <w:rFonts w:hint="eastAsia" w:ascii="宋体" w:hAnsi="宋体" w:eastAsia="宋体" w:cs="宋体"/>
          <w:color w:val="auto"/>
          <w:sz w:val="24"/>
          <w:szCs w:val="24"/>
          <w:highlight w:val="none"/>
          <w:u w:val="single"/>
          <w:lang w:val="en-US" w:eastAsia="zh-CN"/>
        </w:rPr>
        <w:t>详见招标人须知</w:t>
      </w:r>
    </w:p>
    <w:p w14:paraId="176E79E6">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4.2.2 承包人应在合同生效后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0个日历天内按附件六格式向发包人提交一份履约担保（有效期至工程竣工验收合格后30个日历天，如承包人提供的履约保函在此有效期前失效的，需在失效前20个工作日向发包人继续提供有效的履约保函）。承包人未按本条规定提交履约担保的，发包人有权不予支付合同款项，并有权扣付工程款、任一期进度款及其他与承包人相关的款项作为履约保证金。如发包人通知承包人后仍未提交有效履约担保的，发包人有权解除合同。</w:t>
      </w:r>
    </w:p>
    <w:p w14:paraId="7883D3E2">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4.2.3 如果发生下述情况，发包人有权从履约保证金中扣罚违约金或赔偿金等：</w:t>
      </w:r>
    </w:p>
    <w:p w14:paraId="136C190D">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（1）监理工程师指出承包人有违反合同的行为后，承包人仍继续违反该合同的行为；</w:t>
      </w:r>
    </w:p>
    <w:p w14:paraId="7CACA09B">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（2）承包人被发包人扣罚的款项。</w:t>
      </w:r>
    </w:p>
    <w:p w14:paraId="1C743605">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根据合同约定，扣罚承包人的违约罚金及赔偿金等费用，应首先从当期应支付进度款等工程款项中扣除，如果当期进度款等工程款项不足以抵扣时，则发包人可从履约保证金中直接扣罚。</w:t>
      </w:r>
    </w:p>
    <w:p w14:paraId="0421B4BA">
      <w:pPr>
        <w:spacing w:line="400" w:lineRule="exact"/>
        <w:ind w:firstLine="480" w:firstLineChars="200"/>
        <w:jc w:val="both"/>
        <w:rPr>
          <w:rFonts w:hint="eastAsia"/>
          <w:color w:val="000000"/>
          <w:sz w:val="24"/>
          <w:szCs w:val="24"/>
          <w:highlight w:val="none"/>
          <w:lang w:val="en-US"/>
        </w:rPr>
      </w:pPr>
      <w:r>
        <w:rPr>
          <w:rFonts w:hint="eastAsia" w:ascii="宋体" w:hAnsi="宋体" w:eastAsia="宋体" w:cs="宋体"/>
          <w:color w:val="auto"/>
          <w:sz w:val="24"/>
          <w:szCs w:val="24"/>
          <w:highlight w:val="none"/>
          <w:lang w:val="en-US"/>
        </w:rPr>
        <w:t>如果出现履约保证金不足以抵扣应扣罚承包人违约罚金及赔偿金等费用的情况，承包人应按照发包人要求的方式及时间向发包人支付，否则发包人有权按本合同第24款“争议的解决”相关约定获得赔偿。</w:t>
      </w:r>
    </w:p>
    <w:p w14:paraId="3B8064BC">
      <w:pPr>
        <w:pStyle w:val="20"/>
        <w:ind w:firstLine="0" w:firstLineChars="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 xml:space="preserve">4.3 </w:t>
      </w:r>
      <w:r>
        <w:rPr>
          <w:rFonts w:hint="eastAsia" w:asciiTheme="minorEastAsia" w:hAnsiTheme="minorEastAsia" w:eastAsiaTheme="minorEastAsia" w:cstheme="minorEastAsia"/>
          <w:b/>
          <w:bCs w:val="0"/>
          <w:color w:val="auto"/>
          <w:kern w:val="2"/>
          <w:sz w:val="24"/>
          <w:szCs w:val="24"/>
          <w:highlight w:val="none"/>
          <w:lang w:val="en-US" w:eastAsia="en-US" w:bidi="ar-SA"/>
        </w:rPr>
        <w:t>分包</w:t>
      </w:r>
    </w:p>
    <w:p w14:paraId="4F393D36">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4.3.2 承包人不得将工程主体分包给第三人。经发包人同意，承包人可将</w:t>
      </w:r>
      <w:r>
        <w:rPr>
          <w:rFonts w:hint="eastAsia" w:ascii="宋体" w:hAnsi="宋体" w:eastAsia="宋体" w:cs="宋体"/>
          <w:color w:val="auto"/>
          <w:sz w:val="24"/>
          <w:szCs w:val="24"/>
          <w:highlight w:val="none"/>
        </w:rPr>
        <w:t>导助航工程、</w:t>
      </w:r>
      <w:r>
        <w:rPr>
          <w:rFonts w:hint="eastAsia" w:ascii="宋体" w:hAnsi="宋体" w:eastAsia="宋体" w:cs="宋体"/>
          <w:color w:val="auto"/>
          <w:sz w:val="24"/>
          <w:szCs w:val="24"/>
          <w:highlight w:val="none"/>
          <w:lang w:val="en-US" w:eastAsia="zh-CN"/>
        </w:rPr>
        <w:t>警戒服务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供电照明工程（含外供电）、环保工程、通信工程、给排水消防等</w:t>
      </w:r>
      <w:r>
        <w:rPr>
          <w:rFonts w:hint="eastAsia" w:ascii="宋体" w:hAnsi="宋体" w:eastAsia="宋体" w:cs="宋体"/>
          <w:color w:val="auto"/>
          <w:sz w:val="24"/>
          <w:szCs w:val="24"/>
          <w:highlight w:val="none"/>
          <w:lang w:val="en-US"/>
        </w:rPr>
        <w:t>工程分包给第三人。分包包括专业分包和劳务分包。</w:t>
      </w:r>
    </w:p>
    <w:p w14:paraId="0A394AAB">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4.3.2.1 专业分包：在工程施工过程中，承包人如有专业分包计划，则必须遵守以下规定：</w:t>
      </w:r>
    </w:p>
    <w:p w14:paraId="5E215F1E">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（1）接受分包的第三人资质要求:具备相应的专业承包资质；</w:t>
      </w:r>
    </w:p>
    <w:p w14:paraId="03103DA6">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（2）分包工程不得再次分包；</w:t>
      </w:r>
    </w:p>
    <w:p w14:paraId="3B0995BF">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（3）工程分包单位资质、分包计划和所有分包协议须报监理人审查，并报发包人批准；</w:t>
      </w:r>
    </w:p>
    <w:p w14:paraId="34AD4F66">
      <w:p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（4）承包人和分包人应对分包工程承担连带责任；</w:t>
      </w:r>
    </w:p>
    <w:p w14:paraId="7B67C4E4">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（5）其他有关要求执行广东省最新颁布的水运工程施工分包方面的规定或办法。</w:t>
      </w:r>
    </w:p>
    <w:p w14:paraId="7AD38BB9">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4.3.2.2 劳务分包：承包人如需劳务分包，则必须遵守以下规定：</w:t>
      </w:r>
    </w:p>
    <w:p w14:paraId="0006FEA2">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（1）分包计划和所有分包协议须报监理人审查，并报发包人批准。</w:t>
      </w:r>
    </w:p>
    <w:p w14:paraId="0600C2F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宋体" w:hAnsi="宋体" w:eastAsia="宋体" w:cs="宋体"/>
          <w:sz w:val="24"/>
          <w:szCs w:val="24"/>
        </w:rPr>
      </w:pPr>
      <w:r>
        <w:rPr>
          <w:rFonts w:ascii="宋体" w:hAnsi="宋体" w:eastAsia="宋体" w:cs="宋体"/>
          <w:b/>
          <w:bCs/>
          <w:spacing w:val="-5"/>
          <w:sz w:val="24"/>
          <w:szCs w:val="24"/>
        </w:rPr>
        <w:t>4.4联合体</w:t>
      </w:r>
    </w:p>
    <w:p w14:paraId="57F5FCB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详见投标人须知1.4.2款。</w:t>
      </w:r>
    </w:p>
    <w:p w14:paraId="3241D3A6">
      <w:pPr>
        <w:pStyle w:val="2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4.5 承包人项目负责人及项目技术负责人</w:t>
      </w:r>
    </w:p>
    <w:p w14:paraId="660F0049">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4.5.1 承包人项目负责人及项目技术负责人人选及到职期限约定如下：</w:t>
      </w:r>
    </w:p>
    <w:p w14:paraId="165FF594">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1）人选的约定：承包人应按投标文件中所报名单委派项目负责人及项目技术负责人，项目负责人和项目技术负责人不能为同一人，承包人应保证及时到位并保持其岗位的相对稳定，常驻现场实施本合同工程管理。原则上，项目负责人和项目技术负责人不得更换，因特殊原因需要更换的，所替代人员的资格条件应不低于投标文件承诺投入人员要求，须事先与监理工程师协商并取得发包人的同意。同时，除不可抗力原因外，承包人更换项目负责人或项目技术负责人须向发包人支付违约金。承包人不得擅自更换，承包人擅自更换的，可视为承包人违约，</w:t>
      </w:r>
      <w:r>
        <w:rPr>
          <w:rFonts w:hint="eastAsia" w:ascii="宋体" w:hAnsi="宋体" w:eastAsia="宋体" w:cs="宋体"/>
          <w:color w:val="auto"/>
          <w:sz w:val="24"/>
          <w:szCs w:val="24"/>
          <w:highlight w:val="none"/>
          <w:lang w:val="en-US" w:eastAsia="zh-CN"/>
        </w:rPr>
        <w:t>每次发包人对承包人处以违约金，详见</w:t>
      </w:r>
      <w:r>
        <w:rPr>
          <w:rFonts w:hint="eastAsia" w:ascii="宋体" w:hAnsi="宋体" w:eastAsia="宋体" w:cs="宋体"/>
          <w:color w:val="auto"/>
          <w:sz w:val="24"/>
          <w:szCs w:val="24"/>
          <w:highlight w:val="none"/>
        </w:rPr>
        <w:t>22.1.2 对承包人违约的处理</w:t>
      </w:r>
      <w:r>
        <w:rPr>
          <w:rFonts w:hint="eastAsia" w:ascii="宋体" w:hAnsi="宋体" w:eastAsia="宋体" w:cs="宋体"/>
          <w:color w:val="auto"/>
          <w:sz w:val="24"/>
          <w:szCs w:val="24"/>
          <w:highlight w:val="none"/>
          <w:lang w:val="en-US" w:eastAsia="zh-CN"/>
        </w:rPr>
        <w:t>。</w:t>
      </w:r>
    </w:p>
    <w:p w14:paraId="6EB0E250">
      <w:pPr>
        <w:spacing w:line="400" w:lineRule="exact"/>
        <w:ind w:firstLine="480" w:firstLineChars="200"/>
        <w:jc w:val="both"/>
        <w:rPr>
          <w:rFonts w:hint="eastAsia"/>
          <w:color w:val="000000"/>
          <w:sz w:val="24"/>
          <w:szCs w:val="24"/>
          <w:highlight w:val="none"/>
          <w:lang w:val="en-US"/>
        </w:rPr>
      </w:pPr>
      <w:r>
        <w:rPr>
          <w:rFonts w:hint="eastAsia" w:ascii="宋体" w:hAnsi="宋体" w:eastAsia="宋体" w:cs="宋体"/>
          <w:color w:val="auto"/>
          <w:sz w:val="24"/>
          <w:szCs w:val="24"/>
          <w:highlight w:val="none"/>
          <w:lang w:val="en-US"/>
        </w:rPr>
        <w:t>（2）到岗履职的约定：承包人在投标中承诺投入本工程的项目负责人及项目技术负责人必须在签定合同后的3个日历天内进场，在现场的时间不得低于22日历天/月，</w:t>
      </w:r>
      <w:r>
        <w:rPr>
          <w:rFonts w:hint="eastAsia" w:ascii="宋体" w:hAnsi="宋体" w:eastAsia="宋体" w:cs="宋体"/>
          <w:color w:val="auto"/>
          <w:sz w:val="24"/>
          <w:szCs w:val="24"/>
          <w:highlight w:val="none"/>
        </w:rPr>
        <w:t>以上人员离开</w:t>
      </w:r>
      <w:r>
        <w:rPr>
          <w:rFonts w:hint="eastAsia" w:ascii="宋体" w:hAnsi="宋体" w:eastAsia="宋体" w:cs="宋体"/>
          <w:color w:val="auto"/>
          <w:sz w:val="24"/>
          <w:szCs w:val="24"/>
          <w:highlight w:val="none"/>
          <w:lang w:val="en-US" w:eastAsia="zh-CN"/>
        </w:rPr>
        <w:t>项目所在地</w:t>
      </w:r>
      <w:r>
        <w:rPr>
          <w:rFonts w:hint="eastAsia" w:ascii="宋体" w:hAnsi="宋体" w:eastAsia="宋体" w:cs="宋体"/>
          <w:color w:val="auto"/>
          <w:sz w:val="24"/>
          <w:szCs w:val="24"/>
          <w:highlight w:val="none"/>
        </w:rPr>
        <w:t>的，两日历天以内须书面报监理人同意，两日历天以上还须书面报发包人同意。</w:t>
      </w:r>
      <w:r>
        <w:rPr>
          <w:rFonts w:hint="eastAsia" w:ascii="宋体" w:hAnsi="宋体" w:eastAsia="宋体" w:cs="宋体"/>
          <w:color w:val="auto"/>
          <w:sz w:val="24"/>
          <w:szCs w:val="24"/>
          <w:highlight w:val="none"/>
          <w:lang w:val="en-US"/>
        </w:rPr>
        <w:t>到期未到现场或在现场的时间不足的，承包人应向发包人支付违约金；到期后超过</w:t>
      </w:r>
      <w:r>
        <w:rPr>
          <w:rFonts w:hint="eastAsia" w:ascii="宋体" w:hAnsi="宋体" w:eastAsia="宋体" w:cs="宋体"/>
          <w:color w:val="auto"/>
          <w:sz w:val="24"/>
          <w:szCs w:val="24"/>
          <w:highlight w:val="none"/>
          <w:u w:val="single"/>
          <w:lang w:val="en-US"/>
        </w:rPr>
        <w:t xml:space="preserve"> 30 </w:t>
      </w:r>
      <w:r>
        <w:rPr>
          <w:rFonts w:hint="eastAsia" w:ascii="宋体" w:hAnsi="宋体" w:eastAsia="宋体" w:cs="宋体"/>
          <w:color w:val="auto"/>
          <w:sz w:val="24"/>
          <w:szCs w:val="24"/>
          <w:highlight w:val="none"/>
          <w:lang w:val="en-US"/>
        </w:rPr>
        <w:t>日历天仍未能到现场，或在现场的时间不足情形发生</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3 </w:t>
      </w:r>
      <w:r>
        <w:rPr>
          <w:rFonts w:hint="eastAsia" w:ascii="宋体" w:hAnsi="宋体" w:eastAsia="宋体" w:cs="宋体"/>
          <w:color w:val="auto"/>
          <w:sz w:val="24"/>
          <w:szCs w:val="24"/>
          <w:highlight w:val="none"/>
          <w:lang w:val="en-US"/>
        </w:rPr>
        <w:t>次及以上，又或项目负责人或项目技术负责人超过1个月未到岗，发包人有权解除合同，并按本合同第22.1.2项、22.1.3项处理。同时投入本工程的项目负责人、项目技术负责人在本工程开工至全部内容完工前，不得兼任其他工程的项目管理职责，若经发现核实，处以</w:t>
      </w:r>
      <w:r>
        <w:rPr>
          <w:rFonts w:hint="eastAsia" w:ascii="宋体" w:hAnsi="宋体" w:eastAsia="宋体" w:cs="宋体"/>
          <w:color w:val="auto"/>
          <w:sz w:val="24"/>
          <w:szCs w:val="24"/>
          <w:highlight w:val="none"/>
          <w:lang w:val="en-US" w:eastAsia="zh-CN"/>
        </w:rPr>
        <w:t>违约金，详见</w:t>
      </w:r>
      <w:r>
        <w:rPr>
          <w:rFonts w:hint="eastAsia" w:ascii="宋体" w:hAnsi="宋体" w:eastAsia="宋体" w:cs="宋体"/>
          <w:color w:val="auto"/>
          <w:sz w:val="24"/>
          <w:szCs w:val="24"/>
          <w:highlight w:val="none"/>
        </w:rPr>
        <w:t>22.1.2 对承包人违约的处理</w:t>
      </w:r>
      <w:r>
        <w:rPr>
          <w:rFonts w:hint="eastAsia" w:ascii="宋体" w:hAnsi="宋体" w:eastAsia="宋体" w:cs="宋体"/>
          <w:color w:val="auto"/>
          <w:sz w:val="24"/>
          <w:szCs w:val="24"/>
          <w:highlight w:val="none"/>
          <w:lang w:val="en-US"/>
        </w:rPr>
        <w:t>。若有继续违反的，可视为承包人</w:t>
      </w:r>
      <w:r>
        <w:rPr>
          <w:rFonts w:hint="eastAsia" w:ascii="宋体" w:hAnsi="宋体" w:eastAsia="宋体" w:cs="宋体"/>
          <w:color w:val="auto"/>
          <w:sz w:val="24"/>
          <w:szCs w:val="24"/>
          <w:highlight w:val="none"/>
          <w:lang w:val="en-US" w:eastAsia="zh-CN"/>
        </w:rPr>
        <w:t>严重</w:t>
      </w:r>
      <w:r>
        <w:rPr>
          <w:rFonts w:hint="eastAsia" w:ascii="宋体" w:hAnsi="宋体" w:eastAsia="宋体" w:cs="宋体"/>
          <w:color w:val="auto"/>
          <w:sz w:val="24"/>
          <w:szCs w:val="24"/>
          <w:highlight w:val="none"/>
          <w:lang w:val="en-US"/>
        </w:rPr>
        <w:t>违约，发包人有权解除合同。</w:t>
      </w:r>
    </w:p>
    <w:p w14:paraId="3D9C83EC">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（3）考勤：承包人按照发包人要求考勤，进场后，由监理人对承包人主要人员每天进行考勤。</w:t>
      </w:r>
    </w:p>
    <w:p w14:paraId="6D7B0103">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4.5.4 </w:t>
      </w:r>
      <w:r>
        <w:rPr>
          <w:rFonts w:hint="eastAsia" w:ascii="宋体" w:hAnsi="宋体" w:eastAsia="宋体" w:cs="宋体"/>
          <w:b w:val="0"/>
          <w:bCs w:val="0"/>
          <w:color w:val="auto"/>
          <w:sz w:val="24"/>
          <w:szCs w:val="24"/>
          <w:highlight w:val="none"/>
          <w:lang w:val="en-US"/>
        </w:rPr>
        <w:t xml:space="preserve">通用条款本条不适用，代之以: </w:t>
      </w:r>
      <w:r>
        <w:rPr>
          <w:rFonts w:hint="eastAsia" w:ascii="宋体" w:hAnsi="宋体" w:eastAsia="宋体" w:cs="宋体"/>
          <w:color w:val="auto"/>
          <w:sz w:val="24"/>
          <w:szCs w:val="24"/>
          <w:highlight w:val="none"/>
          <w:lang w:val="en-US"/>
        </w:rPr>
        <w:t>承包人项目负责人应亲自履行本合同约定职责。</w:t>
      </w:r>
    </w:p>
    <w:p w14:paraId="49B13D15">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 承包人人员的管理</w:t>
      </w:r>
    </w:p>
    <w:p w14:paraId="46A55CCA">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4.6.2 主要技术人员和管理人员最低要求见本合同条款附件4《其他管理人员和技术人员最低要求》。在合同履约过程中，承包人须填报派驻本标段的主要人员，在经发包人审批后作为派驻本标段的主要人员且不允许无故更换。如果承包人不能在本项目签定合同后的3个日历天内，委派主要技术人员和管理人员全部到位开展工作，则视为相应岗位空缺，将严格按照合同条款的规定承担违约责任。</w:t>
      </w:r>
    </w:p>
    <w:p w14:paraId="2890F3A2">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到岗履职的约定：承包人承诺投入本工程的其他管理人员</w:t>
      </w:r>
      <w:r>
        <w:rPr>
          <w:rFonts w:hint="eastAsia" w:ascii="宋体" w:hAnsi="宋体" w:eastAsia="宋体" w:cs="宋体"/>
          <w:color w:val="auto"/>
          <w:sz w:val="24"/>
          <w:szCs w:val="24"/>
          <w:highlight w:val="none"/>
          <w:lang w:val="en-US" w:eastAsia="zh-CN"/>
        </w:rPr>
        <w:t>和技术人员</w:t>
      </w:r>
      <w:r>
        <w:rPr>
          <w:rFonts w:hint="eastAsia" w:ascii="宋体" w:hAnsi="宋体" w:eastAsia="宋体" w:cs="宋体"/>
          <w:color w:val="auto"/>
          <w:sz w:val="24"/>
          <w:szCs w:val="24"/>
          <w:highlight w:val="none"/>
          <w:lang w:val="en-US"/>
        </w:rPr>
        <w:t>，在现场的时间不得低于22日历天/月，若在现场的时间不足的，承包人应向发包人支付违约金</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22.1.2 对承包人违约的处理</w:t>
      </w:r>
      <w:r>
        <w:rPr>
          <w:rFonts w:hint="eastAsia" w:ascii="宋体" w:hAnsi="宋体" w:eastAsia="宋体" w:cs="宋体"/>
          <w:color w:val="auto"/>
          <w:sz w:val="24"/>
          <w:szCs w:val="24"/>
          <w:highlight w:val="none"/>
          <w:lang w:val="en-US"/>
        </w:rPr>
        <w:t>。承包人承诺派驻现场的所有管理人员均要接受智能人脸识别考勤机的考勤。</w:t>
      </w:r>
    </w:p>
    <w:p w14:paraId="04D69B4F">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通用条款4.6.3款细化如下：</w:t>
      </w:r>
    </w:p>
    <w:p w14:paraId="6B4B2B1D">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4.6.3承包人安排在施工场地的主要技术人员和管理人员应与投标文件所承诺的名单一致，并保持相对稳定。承包人更换主要技术人员和管理人员时，应取得监理人、发包人的同意。</w:t>
      </w:r>
    </w:p>
    <w:p w14:paraId="1E06C9EC">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（1）未经监理人和发包人批准，上述人员不应无故不到位或被替换；若确实无法到位或需替换，需经监理人审核并报发包人批准后，用同等或高于合同要求的质和经历的人员替换。</w:t>
      </w:r>
    </w:p>
    <w:p w14:paraId="28EE0EE3">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（2）为保证承包人的档案资料整理工作具有连续性、稳定性，要求承包人的档案资料整理负责人在本项目连续工作，若确实需替换，需经监理人审核并报发包人批准后，用同等资质和经历的人员替换。</w:t>
      </w:r>
    </w:p>
    <w:p w14:paraId="344F3E91">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（3）承包人应按《公路水运工程安全生产监督管理办法》（交通部令2017年第25 号）的要求，设立安全生产管理机构，配备专职安全生产管理人员。</w:t>
      </w:r>
    </w:p>
    <w:p w14:paraId="07B605A4">
      <w:pPr>
        <w:spacing w:line="400" w:lineRule="exact"/>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4.6.5 投入本工程的安全负责人为项目现场的安全直接责任人，不能与项目负责人或项目技术负责人为同一个人，在本工程开工至全部内容完工前，不得兼任其他工程的项目管理职责，若经发现核实，处以</w:t>
      </w:r>
      <w:r>
        <w:rPr>
          <w:rFonts w:hint="eastAsia" w:ascii="宋体" w:hAnsi="宋体" w:eastAsia="宋体" w:cs="宋体"/>
          <w:color w:val="auto"/>
          <w:sz w:val="24"/>
          <w:szCs w:val="24"/>
          <w:highlight w:val="none"/>
          <w:lang w:val="en-US" w:eastAsia="zh-CN"/>
        </w:rPr>
        <w:t>违约金，详见</w:t>
      </w:r>
      <w:r>
        <w:rPr>
          <w:rFonts w:hint="eastAsia" w:ascii="宋体" w:hAnsi="宋体" w:eastAsia="宋体" w:cs="宋体"/>
          <w:color w:val="auto"/>
          <w:sz w:val="24"/>
          <w:szCs w:val="24"/>
          <w:highlight w:val="none"/>
        </w:rPr>
        <w:t>22.1.2 对承包人违约的处理</w:t>
      </w:r>
      <w:r>
        <w:rPr>
          <w:rFonts w:hint="eastAsia" w:ascii="宋体" w:hAnsi="宋体" w:eastAsia="宋体" w:cs="宋体"/>
          <w:color w:val="auto"/>
          <w:sz w:val="24"/>
          <w:szCs w:val="24"/>
          <w:highlight w:val="none"/>
          <w:lang w:val="en-US"/>
        </w:rPr>
        <w:t>。原则上，安全负责人不得更换，因特殊原因需要更换的，所替代人员的资格条件应不低于投标文件承诺投入人员要求，须事先与监理工程师协商并取得发包人的同意。承包人不得擅自更换，承包人擅自更换的，可视为承包人违约，发包人有权解除合同</w:t>
      </w:r>
      <w:r>
        <w:rPr>
          <w:rFonts w:hint="eastAsia" w:ascii="宋体" w:hAnsi="宋体" w:eastAsia="宋体" w:cs="宋体"/>
          <w:color w:val="auto"/>
          <w:sz w:val="24"/>
          <w:szCs w:val="24"/>
          <w:highlight w:val="none"/>
          <w:lang w:val="en-US" w:eastAsia="zh-CN"/>
        </w:rPr>
        <w:t>，对承包人处违约金，详见</w:t>
      </w:r>
      <w:r>
        <w:rPr>
          <w:rFonts w:hint="eastAsia" w:ascii="宋体" w:hAnsi="宋体" w:eastAsia="宋体" w:cs="宋体"/>
          <w:color w:val="auto"/>
          <w:sz w:val="24"/>
          <w:szCs w:val="24"/>
          <w:highlight w:val="none"/>
        </w:rPr>
        <w:t>22.1.2 对承包人违约的处理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承包人投入本工程的安全负责人必须在签定合同后的3个日历天内进场，在现场的时间不得低于22日历天/月，以上人员离开工地（</w:t>
      </w:r>
      <w:r>
        <w:rPr>
          <w:rFonts w:hint="eastAsia" w:ascii="宋体" w:hAnsi="宋体" w:eastAsia="宋体" w:cs="宋体"/>
          <w:color w:val="auto"/>
          <w:sz w:val="24"/>
          <w:szCs w:val="24"/>
          <w:highlight w:val="none"/>
          <w:lang w:val="en-US" w:eastAsia="zh-CN"/>
        </w:rPr>
        <w:t>汕头</w:t>
      </w:r>
      <w:r>
        <w:rPr>
          <w:rFonts w:hint="eastAsia" w:ascii="宋体" w:hAnsi="宋体" w:eastAsia="宋体" w:cs="宋体"/>
          <w:color w:val="auto"/>
          <w:sz w:val="24"/>
          <w:szCs w:val="24"/>
          <w:highlight w:val="none"/>
          <w:lang w:val="en-US"/>
        </w:rPr>
        <w:t>地区）的，两日历天以内须书面报监理人同意，两日历天以上还须书面报发包人同意。到期未到现场或在现场的时间不足的，承包人应向发包人支付违约金；到期后超过 30 日历天仍未能到现场，或在现场的时间不足情形发生 5 次及以上，又或超过1个月未到岗，发包人有权解除合同，并按本合同第22.1.2项、22.1.3项处理。</w:t>
      </w:r>
    </w:p>
    <w:p w14:paraId="409183BE">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4.7 撤换承包人项目负责人和其他人员</w:t>
      </w:r>
    </w:p>
    <w:p w14:paraId="6839F6F6">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通用条款本款补充以下内容：</w:t>
      </w:r>
    </w:p>
    <w:p w14:paraId="30AFE3A6">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监理工程师或发包人有权要求承包人撤换不能胜任本职工作、行为不端或玩忽职守的项目经理和其他人员，承包人应自接到发包人书面通知</w:t>
      </w:r>
      <w:r>
        <w:rPr>
          <w:rFonts w:hint="eastAsia" w:ascii="宋体" w:hAnsi="宋体" w:eastAsia="宋体" w:cs="宋体"/>
          <w:color w:val="auto"/>
          <w:sz w:val="24"/>
          <w:szCs w:val="24"/>
          <w:highlight w:val="none"/>
          <w:u w:val="none"/>
          <w:lang w:val="en-US" w:eastAsia="zh-CN"/>
        </w:rPr>
        <w:t xml:space="preserve"> 15 </w:t>
      </w:r>
      <w:r>
        <w:rPr>
          <w:rFonts w:hint="eastAsia" w:ascii="宋体" w:hAnsi="宋体" w:eastAsia="宋体" w:cs="宋体"/>
          <w:color w:val="auto"/>
          <w:sz w:val="24"/>
          <w:szCs w:val="24"/>
          <w:highlight w:val="none"/>
          <w:lang w:val="en-US" w:eastAsia="zh-CN"/>
        </w:rPr>
        <w:t>日历天内予以更换；同时委派经发包人与监理工程师同意的新的人选。否则将视为承包人违约，发包人有权按本合同第22.1.2项、22.1.3项处理，且发包人有权没收履约保证金。撤换后人员的资格不得低于投标时资格。</w:t>
      </w:r>
    </w:p>
    <w:p w14:paraId="0CB9ACC7">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4.8 保障承包人人员的合法权益</w:t>
      </w:r>
    </w:p>
    <w:p w14:paraId="1180B84D">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4.8.5 </w:t>
      </w:r>
      <w:r>
        <w:rPr>
          <w:rFonts w:hint="eastAsia" w:ascii="宋体" w:hAnsi="宋体" w:eastAsia="宋体" w:cs="宋体"/>
          <w:b w:val="0"/>
          <w:bCs w:val="0"/>
          <w:color w:val="auto"/>
          <w:sz w:val="24"/>
          <w:szCs w:val="24"/>
          <w:highlight w:val="none"/>
          <w:lang w:eastAsia="zh-CN"/>
        </w:rPr>
        <w:t>通用条款本款修改为：</w:t>
      </w:r>
    </w:p>
    <w:p w14:paraId="1C07B8C0">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承包人应按有关法律规定和合同约定，为其雇佣人员办理与缴纳各项保险及公积金等。</w:t>
      </w:r>
    </w:p>
    <w:p w14:paraId="072C4700">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4.8.7 承包人必须严格遵守《建筑法》、《劳动合同法》、《保障农民工工资支付条例》、《国务院办公厅关于全面治理拖欠农民工工资问题的意见》（国办发[2016]1号）、《广东省建设工程领域工人工资支付专用账户管理办法》（粤人社规[2018]14号）、《人力资源社会保障部等七部门关于印发&lt;工程建设领域农民工工资保证金规定&gt;的通知》（人社部发〔2021〕65号）、《人力资源社会保障部等十部门关于印发&lt;工程建设领域农民工工资专用账户管理暂行办法&gt;的通知》（人社部发〔2021〕53号）及国家有关解决拖欠农民工工资的法律法规的规定，做好相关工作，并通过实名制管理系统平台进行管理。若以上法律法规修改或新颁，按最新规定执行。</w:t>
      </w:r>
    </w:p>
    <w:p w14:paraId="4EF107B3">
      <w:pPr>
        <w:pStyle w:val="19"/>
        <w:adjustRightInd w:val="0"/>
        <w:snapToGrid w:val="0"/>
        <w:outlineLvl w:val="3"/>
        <w:rPr>
          <w:rFonts w:hint="eastAsia" w:asciiTheme="minorEastAsia" w:hAnsiTheme="minorEastAsia" w:eastAsiaTheme="minorEastAsia" w:cstheme="minorEastAsia"/>
          <w:bCs w:val="0"/>
          <w:color w:val="auto"/>
          <w:sz w:val="24"/>
          <w:szCs w:val="24"/>
          <w:highlight w:val="none"/>
          <w:lang w:eastAsia="zh-CN"/>
        </w:rPr>
      </w:pPr>
      <w:r>
        <w:rPr>
          <w:rFonts w:hint="eastAsia" w:asciiTheme="minorEastAsia" w:hAnsiTheme="minorEastAsia" w:eastAsiaTheme="minorEastAsia" w:cstheme="minorEastAsia"/>
          <w:bCs w:val="0"/>
          <w:color w:val="auto"/>
          <w:sz w:val="24"/>
          <w:szCs w:val="24"/>
          <w:highlight w:val="none"/>
          <w:lang w:eastAsia="zh-CN"/>
        </w:rPr>
        <w:t>4.9 工程价款应专款专用</w:t>
      </w:r>
    </w:p>
    <w:p w14:paraId="1C408F9C">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通用条款本款补充以下内容：</w:t>
      </w:r>
    </w:p>
    <w:p w14:paraId="29CB1E50">
      <w:pPr>
        <w:adjustRightInd/>
        <w:snapToGrid/>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包人支付的预付款、工程进度款应为本工程的专款专用资金，不得转移或用于其他工程。为保障项目建设资金专款专用，发包人委托国有商业银行或股份制商业银行的地市级支行或以上级别的银行对建设专项资金进行第三方资金监管，所有预付款、工程进度款均转入所签订的监管账户中，承包人使用工程款应报经发包人及监理机构审核同意。发包人及其派出机构有权不定期对承包人工程资金使用情况进行检查，发现问题及时责令承包人限期改正，否则，将终止月支付，直至承包人改正为止。承包人应按不低于发包人工程款支付的比例支付相应的材料费、租赁费等工程款项。承包人所有在本工程发生的应付账款付清并提供相应资料给发包人核实后，监管账户余下的款项才能转回承包人的基本账户。本项目要求承包人签订《建设项目资金监管（</w:t>
      </w:r>
      <w:r>
        <w:rPr>
          <w:rFonts w:hint="eastAsia" w:ascii="宋体" w:hAnsi="宋体" w:eastAsia="宋体" w:cs="宋体"/>
          <w:color w:val="auto"/>
          <w:sz w:val="24"/>
          <w:szCs w:val="24"/>
          <w:highlight w:val="none"/>
          <w:lang w:val="en-US" w:eastAsia="zh-CN"/>
        </w:rPr>
        <w:t>托管）</w:t>
      </w:r>
      <w:r>
        <w:rPr>
          <w:rFonts w:hint="eastAsia" w:ascii="宋体" w:hAnsi="宋体" w:eastAsia="宋体" w:cs="宋体"/>
          <w:color w:val="auto"/>
          <w:sz w:val="24"/>
          <w:szCs w:val="24"/>
          <w:highlight w:val="none"/>
          <w:lang w:eastAsia="zh-CN"/>
        </w:rPr>
        <w:t>协议》，并按协议接受监管。</w:t>
      </w:r>
    </w:p>
    <w:p w14:paraId="6605C68C">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4.10 承包人现场查勘</w:t>
      </w:r>
    </w:p>
    <w:p w14:paraId="1861906A">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4.10.2 </w:t>
      </w:r>
      <w:r>
        <w:rPr>
          <w:rFonts w:hint="eastAsia" w:ascii="宋体" w:hAnsi="宋体" w:eastAsia="宋体" w:cs="宋体"/>
          <w:b w:val="0"/>
          <w:bCs w:val="0"/>
          <w:color w:val="auto"/>
          <w:sz w:val="24"/>
          <w:szCs w:val="24"/>
          <w:highlight w:val="none"/>
          <w:lang w:eastAsia="zh-CN"/>
        </w:rPr>
        <w:t>通用条款本款修改为：</w:t>
      </w:r>
    </w:p>
    <w:p w14:paraId="30AF1A1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应在投标前对施工场地和周围环境进行查勘，并收集有关地质、水文、气象条件、交通条件、风俗习惯以及其他为完成合同工作有关的当地资料。在全部合同工作中，应视为承包人已充分估计了应承担的责任和风险。</w:t>
      </w:r>
    </w:p>
    <w:p w14:paraId="371A0312">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4.11</w:t>
      </w:r>
      <w:r>
        <w:rPr>
          <w:rFonts w:hint="eastAsia" w:asciiTheme="minorEastAsia" w:hAnsiTheme="minorEastAsia" w:eastAsiaTheme="minorEastAsia" w:cstheme="minorEastAsia"/>
          <w:b/>
          <w:bCs w:val="0"/>
          <w:color w:val="auto"/>
          <w:sz w:val="24"/>
          <w:szCs w:val="24"/>
          <w:highlight w:val="none"/>
          <w:lang w:val="en-US" w:eastAsia="zh-CN"/>
        </w:rPr>
        <w:t xml:space="preserve"> </w:t>
      </w:r>
      <w:r>
        <w:rPr>
          <w:rFonts w:hint="eastAsia" w:asciiTheme="minorEastAsia" w:hAnsiTheme="minorEastAsia" w:eastAsiaTheme="minorEastAsia" w:cstheme="minorEastAsia"/>
          <w:b/>
          <w:bCs w:val="0"/>
          <w:color w:val="auto"/>
          <w:sz w:val="24"/>
          <w:szCs w:val="24"/>
          <w:highlight w:val="none"/>
          <w:lang w:eastAsia="zh-CN"/>
        </w:rPr>
        <w:t>不利物质条件</w:t>
      </w:r>
    </w:p>
    <w:p w14:paraId="3950C19B">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通用条款本款增加4.11.3项的内容：</w:t>
      </w:r>
    </w:p>
    <w:p w14:paraId="13E09A68">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4.11.3 可预见的不利物质条件</w:t>
      </w:r>
    </w:p>
    <w:p w14:paraId="0A73049C">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（1）对于已经明确指出的不利物质条件无论承包人是否有其经历和经验均视为承包人在接受合同时已预见其影响，并已在签约合同价中计入因其影响而可能发生的一切费用。</w:t>
      </w:r>
    </w:p>
    <w:p w14:paraId="77B75F2D">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（2）对于未明确指出，但是在不利物质条件发生之前，监理人已经指示承包人有可能发生，但承包人未能及时采取有效措施，而导致的损失和后果均由承包人承担。</w:t>
      </w:r>
    </w:p>
    <w:p w14:paraId="71C234F2">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5．材料和工程设备</w:t>
      </w:r>
    </w:p>
    <w:p w14:paraId="51BE117E">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5.1 承包人提供的材料和工程设备</w:t>
      </w:r>
    </w:p>
    <w:p w14:paraId="7A28230B">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5.1.2 承包人应报送各项材料和工程设备的供货人及品种、规格、数量和供货时间的约定：承包人选用材料和工程设备（供货人、品种、规格、数量和供货时间等）应报监理和发包人审批同意后方准采购和使用。材料、构件、配件和工程设备订货前，承包人应向监理人提供生产厂家的生产许可证和相应资质证明文件等材料，对新材料、新产品还应提供鉴定证明和有关确认文件。承包商选用主要材料和工程设备要求：详见附件十一：承包商选用主要材料和工程设备要求表</w:t>
      </w:r>
      <w:r>
        <w:rPr>
          <w:rFonts w:hint="eastAsia" w:ascii="宋体" w:hAnsi="宋体" w:eastAsia="宋体" w:cs="宋体"/>
          <w:color w:val="auto"/>
          <w:sz w:val="24"/>
          <w:szCs w:val="24"/>
          <w:highlight w:val="none"/>
          <w:lang w:eastAsia="zh-CN"/>
        </w:rPr>
        <w:t>5.2 发包人提供的材料和工程设备</w:t>
      </w:r>
    </w:p>
    <w:p w14:paraId="012A1C4F">
      <w:pPr>
        <w:spacing w:line="400" w:lineRule="exact"/>
        <w:ind w:firstLine="480" w:firstLineChars="20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5.2.1 发包人提供的材料和工程设备：无。</w:t>
      </w:r>
    </w:p>
    <w:p w14:paraId="70F6C43C">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5.4 禁止使用不合格的材料和工程设备</w:t>
      </w:r>
    </w:p>
    <w:p w14:paraId="3954069E">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5.4.2 </w:t>
      </w:r>
      <w:r>
        <w:rPr>
          <w:rFonts w:hint="eastAsia" w:ascii="宋体" w:hAnsi="宋体" w:eastAsia="宋体" w:cs="宋体"/>
          <w:b w:val="0"/>
          <w:bCs w:val="0"/>
          <w:color w:val="auto"/>
          <w:sz w:val="24"/>
          <w:szCs w:val="24"/>
          <w:highlight w:val="none"/>
          <w:lang w:eastAsia="zh-CN"/>
        </w:rPr>
        <w:t>通用条款本款修改为：</w:t>
      </w:r>
    </w:p>
    <w:p w14:paraId="24968339">
      <w:pPr>
        <w:spacing w:line="400" w:lineRule="exact"/>
        <w:ind w:firstLine="480" w:firstLineChars="200"/>
        <w:jc w:val="both"/>
        <w:rPr>
          <w:rFonts w:hint="eastAsia"/>
          <w:b/>
          <w:bCs/>
          <w:color w:val="000000"/>
          <w:sz w:val="24"/>
          <w:szCs w:val="24"/>
          <w:highlight w:val="none"/>
          <w:lang w:val="en-US"/>
        </w:rPr>
      </w:pPr>
      <w:r>
        <w:rPr>
          <w:rFonts w:hint="eastAsia" w:ascii="宋体" w:hAnsi="宋体" w:eastAsia="宋体" w:cs="宋体"/>
          <w:color w:val="auto"/>
          <w:sz w:val="24"/>
          <w:szCs w:val="24"/>
          <w:highlight w:val="none"/>
          <w:lang w:val="en-US" w:eastAsia="zh-CN"/>
        </w:rPr>
        <w:t>监理人发现承包人使用了不合格的材料和工程设备，应即时发出指示要求承包人立即改正，并禁止在工程中继续使用不合格的材料和工程设备。</w:t>
      </w:r>
    </w:p>
    <w:p w14:paraId="6AFDBBC5">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6．施工设备和临时设施</w:t>
      </w:r>
    </w:p>
    <w:p w14:paraId="26C31C9D">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6.1 承包人提供的施工设备和临时设施</w:t>
      </w:r>
    </w:p>
    <w:p w14:paraId="0DE29DE7">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6.1.1 承包人应按合同进度计划的要求，及时配置施工设备和修建临时设施。进入施工场地的承包人设备需经监理人核查批准后才能投入使用。承包人若不按要求投入设备的则视为违约，发包人有权解除合同。</w:t>
      </w:r>
    </w:p>
    <w:p w14:paraId="34BA03D8">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承包人非特殊原因不得更换现有设备，若因特殊情况需更换现有的设备，替换的设备也须满足招标文件对船机设备的要求，所有施工船机设备更换均应报监理人审核，并经发包人批准。</w:t>
      </w:r>
    </w:p>
    <w:p w14:paraId="01EDE27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承包人投入的施工船舶不足以保证计划工期实现的，在施工过程中，承包人须按发包人要求增加符合设计施工工艺对应的船机设备进场，船舶的型号规格、进退场时间等均按发包人要求，有关所有费用全部包含在承包人的投标总报价之内。</w:t>
      </w:r>
    </w:p>
    <w:p w14:paraId="06B2BE0D">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承包人在投入自有施工设备外，所投入的设备为采用租赁方式的，租赁的船舶必须为租赁协议的出租方所有（船舶有效证件的所有人的名字需与出租方一致），租赁协议必须经监理人审核并报发包人批准，设备方可投入使用。</w:t>
      </w:r>
    </w:p>
    <w:p w14:paraId="7A5C2E9F">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的进场设备（含船舶）必须满足安全生产相关要求，在设备进场前需报监理核查同意批准后才能投入，并服从发包人、监理人的监督、管理，若违反相关管理制度，则承包人承担全部责任并接受发包人、监理人依规进行处理。</w:t>
      </w:r>
    </w:p>
    <w:p w14:paraId="7EAA96A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 承包人应自行承担修建临时设施的费用，需要临时占地的，应由承包人自行办理申请手续并承担相应费用。</w:t>
      </w:r>
    </w:p>
    <w:p w14:paraId="4E85311C">
      <w:pPr>
        <w:spacing w:line="400" w:lineRule="exact"/>
        <w:ind w:firstLine="480" w:firstLineChars="200"/>
        <w:jc w:val="both"/>
        <w:rPr>
          <w:rFonts w:hint="eastAsia"/>
          <w:color w:val="000000"/>
          <w:sz w:val="24"/>
          <w:szCs w:val="24"/>
          <w:highlight w:val="yellow"/>
          <w:lang w:val="en-US" w:eastAsia="zh-CN"/>
        </w:rPr>
      </w:pPr>
      <w:r>
        <w:rPr>
          <w:rFonts w:hint="eastAsia" w:ascii="宋体" w:hAnsi="宋体" w:eastAsia="宋体" w:cs="宋体"/>
          <w:color w:val="auto"/>
          <w:sz w:val="24"/>
          <w:szCs w:val="24"/>
          <w:highlight w:val="none"/>
          <w:lang w:val="en-US" w:eastAsia="zh-CN"/>
        </w:rPr>
        <w:t>通用条款本款增加6.1.3项的内容：承包人投入的施工船舶如未按时到位，发包人有权对承包人处以违约金人民币1万元/天；超过30天未按时到位，对承包人处以违约金人民币5万元/天。同时，视为承包人违约，发包人有权按专用条款22.1项约定处以违约金，承包人应赔偿发包人因该事项造成的所有损失，且发包人有权没收履约保证金。</w:t>
      </w:r>
    </w:p>
    <w:p w14:paraId="6FB3D793">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6.2 发包人提供的施工设备和临时设施</w:t>
      </w:r>
    </w:p>
    <w:p w14:paraId="28780D87">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本合同发包人不提供施工设备和临时设施。</w:t>
      </w:r>
    </w:p>
    <w:p w14:paraId="5B6405DE">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7．交通运输</w:t>
      </w:r>
    </w:p>
    <w:p w14:paraId="1CDD4743">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7.1 道路通行权和场外设施</w:t>
      </w:r>
    </w:p>
    <w:p w14:paraId="5CE586ED">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本合同约定为：</w:t>
      </w:r>
      <w:r>
        <w:rPr>
          <w:rFonts w:hint="eastAsia" w:ascii="宋体" w:hAnsi="宋体" w:eastAsia="宋体" w:cs="宋体"/>
          <w:color w:val="auto"/>
          <w:sz w:val="24"/>
          <w:szCs w:val="24"/>
          <w:highlight w:val="none"/>
          <w:lang w:val="en-US" w:eastAsia="zh-CN"/>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63298E1B">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通用条款7.3.1款补充以下内容：</w:t>
      </w:r>
    </w:p>
    <w:p w14:paraId="14F90AB4">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7.3.1凡是与已建公路有交叉、干扰的地段，承包人应合理安排施工组织计划，采取有效措施保证施工安全及交通的畅通；凡是与其他在建工程有互扰的地段，承包人应做好与其它施工单位、当地有关部门的协调工作；承包人应对上述所有工作负责，发包人将根据承包人的要求给予适当协助。承包人应将其采取上述措施而可能发生的全部费用计入投标报价中，发包人不另行支付。如因承包人采取措施不力，影响公路正常安全运营而给其他部门或个人造成的一切损失，或由上述原因造成本工程工期的拖延或费用的增加，均由承包人自行负责。施工可能需要的包括但不限于施工便道、临时通道等承包商自行考虑，所需相关费用由承包人在报价中综合考虑。</w:t>
      </w:r>
    </w:p>
    <w:p w14:paraId="2B32A616">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8．测量放线</w:t>
      </w:r>
    </w:p>
    <w:p w14:paraId="4545DCA8">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8.1 施工控制网</w:t>
      </w:r>
    </w:p>
    <w:p w14:paraId="7F381FE9">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8.1.1 发包人应在合同生效后</w:t>
      </w:r>
      <w:r>
        <w:rPr>
          <w:rFonts w:hint="eastAsia" w:ascii="宋体" w:hAnsi="宋体" w:eastAsia="宋体" w:cs="宋体"/>
          <w:color w:val="auto"/>
          <w:sz w:val="24"/>
          <w:szCs w:val="24"/>
          <w:highlight w:val="none"/>
          <w:u w:val="single"/>
          <w:lang w:val="en-US" w:eastAsia="zh-CN"/>
        </w:rPr>
        <w:t xml:space="preserve"> 7个 </w:t>
      </w:r>
      <w:r>
        <w:rPr>
          <w:rFonts w:hint="eastAsia" w:ascii="宋体" w:hAnsi="宋体" w:eastAsia="宋体" w:cs="宋体"/>
          <w:color w:val="auto"/>
          <w:sz w:val="24"/>
          <w:szCs w:val="24"/>
          <w:highlight w:val="none"/>
          <w:lang w:val="en-US" w:eastAsia="zh-CN"/>
        </w:rPr>
        <w:t>日历天内，通过监理人向承包人提供符合国家有关规定的测量基准点、基准线和水准点及其书面资料。承包人应在收到上述材料后</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5 日历天内</w:t>
      </w:r>
      <w:r>
        <w:rPr>
          <w:rFonts w:hint="eastAsia" w:ascii="宋体" w:hAnsi="宋体" w:eastAsia="宋体" w:cs="宋体"/>
          <w:color w:val="auto"/>
          <w:sz w:val="24"/>
          <w:szCs w:val="24"/>
          <w:highlight w:val="none"/>
          <w:lang w:val="en-US" w:eastAsia="zh-CN"/>
        </w:rPr>
        <w:t>，将施工控制网资料报送监理人审批。</w:t>
      </w:r>
    </w:p>
    <w:p w14:paraId="5E5E4661">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9．施工安全、治安保卫和环境保护</w:t>
      </w:r>
    </w:p>
    <w:p w14:paraId="1C3267BA">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9.1 发包人的施工安全责任</w:t>
      </w:r>
    </w:p>
    <w:p w14:paraId="63D943B7">
      <w:pPr>
        <w:spacing w:line="400" w:lineRule="exact"/>
        <w:ind w:firstLine="480" w:firstLineChars="200"/>
        <w:jc w:val="both"/>
        <w:rPr>
          <w:rFonts w:hint="eastAsia"/>
          <w:color w:val="000000"/>
          <w:sz w:val="24"/>
          <w:szCs w:val="24"/>
          <w:highlight w:val="none"/>
          <w:lang w:val="en-US"/>
        </w:rPr>
      </w:pPr>
      <w:r>
        <w:rPr>
          <w:rFonts w:hint="eastAsia" w:ascii="宋体" w:hAnsi="宋体" w:eastAsia="宋体" w:cs="宋体"/>
          <w:color w:val="auto"/>
          <w:sz w:val="24"/>
          <w:szCs w:val="24"/>
          <w:highlight w:val="none"/>
          <w:lang w:val="en-US" w:eastAsia="zh-CN"/>
        </w:rPr>
        <w:t>9.1.1 发包人的安全职责：按《公路水运工程安全生产监督管理办法》《广东省交通运输厅关于公路水运建设工程安全生产费用的管理办法》（或更新修订后的最新文件或有关通知的）规定执行。</w:t>
      </w:r>
    </w:p>
    <w:p w14:paraId="718FBB75">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9.2 承包人的施工安全责任</w:t>
      </w:r>
    </w:p>
    <w:p w14:paraId="098BD085">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9.2.1 承包人的安全职责：按《公路水运工程安全生产监督管理办法》《广东省交通运输厅关于公路水运建设工程安全生产费用的管理办法》规定执行。承包人应按《公路水运工程安全生产监督管理办法》的要求，设立安全生产管理机构，配备专职安全生产管理人员。承包人应当根据工程施工作业特点、安全风险以及施工组织难度，按照年度施工产值配备专职安全生产管理人员。</w:t>
      </w:r>
    </w:p>
    <w:p w14:paraId="3C4F6326">
      <w:pPr>
        <w:spacing w:line="400" w:lineRule="exact"/>
        <w:ind w:firstLine="480" w:firstLineChars="200"/>
        <w:jc w:val="both"/>
        <w:rPr>
          <w:rFonts w:hint="eastAsia"/>
          <w:color w:val="000000"/>
          <w:sz w:val="24"/>
          <w:szCs w:val="24"/>
          <w:highlight w:val="none"/>
          <w:lang w:val="en-US"/>
        </w:rPr>
      </w:pPr>
      <w:r>
        <w:rPr>
          <w:rFonts w:hint="eastAsia" w:ascii="宋体" w:hAnsi="宋体" w:eastAsia="宋体" w:cs="宋体"/>
          <w:color w:val="auto"/>
          <w:sz w:val="24"/>
          <w:szCs w:val="24"/>
          <w:highlight w:val="none"/>
          <w:lang w:val="en-US" w:eastAsia="zh-CN"/>
        </w:rPr>
        <w:t>承包人报送施工安全措施计划的期限：</w:t>
      </w:r>
      <w:r>
        <w:rPr>
          <w:rFonts w:hint="eastAsia" w:ascii="宋体" w:hAnsi="宋体" w:eastAsia="宋体" w:cs="宋体"/>
          <w:color w:val="auto"/>
          <w:sz w:val="24"/>
          <w:szCs w:val="24"/>
          <w:highlight w:val="none"/>
          <w:u w:val="single"/>
          <w:lang w:val="en-US" w:eastAsia="zh-CN"/>
        </w:rPr>
        <w:t>合同生效后 10个日历天内</w:t>
      </w:r>
      <w:r>
        <w:rPr>
          <w:rFonts w:hint="eastAsia" w:ascii="宋体" w:hAnsi="宋体" w:eastAsia="宋体" w:cs="宋体"/>
          <w:color w:val="auto"/>
          <w:sz w:val="24"/>
          <w:szCs w:val="24"/>
          <w:highlight w:val="none"/>
          <w:lang w:val="en-US" w:eastAsia="zh-CN"/>
        </w:rPr>
        <w:t>；</w:t>
      </w:r>
    </w:p>
    <w:p w14:paraId="5B4D24B0">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报送的施工安全措施计划的安全工作内容要求：除满足《公路水运工程安全生产监督管理办法》（或更新修订后的最新文件或有关通知的）规定外，承包人应根据本工程的实际安全施工要求，编制本工程的实施性施工安全组织设计。该实施性施工安全组织设计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危险性较大的工程应编制专项施工方案，并附安全验算结果，经承包人项目技术负责人签字并报监理人和发包人批准后实施，由专职安全生产管理人员进行现场监督。</w:t>
      </w:r>
    </w:p>
    <w:p w14:paraId="51D28DAF">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出现以下情形之一的，需要编制专项施工方案：</w:t>
      </w:r>
    </w:p>
    <w:p w14:paraId="285E4A4E">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（1）不良地质条件下有潜在危险性的土方、石方开挖：</w:t>
      </w:r>
    </w:p>
    <w:p w14:paraId="6DF0177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（2）滑坡和高边坡处理：</w:t>
      </w:r>
    </w:p>
    <w:p w14:paraId="3F4780FE">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（3）桩基础、挡墙基础、深水基础及围堰工程；</w:t>
      </w:r>
    </w:p>
    <w:p w14:paraId="193140EC">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（4）水上工程中的沉排船、抛枕船、抛石船、挖泥船等施工船作业，外海孤岛作业，边通航边施工作业等；</w:t>
      </w:r>
    </w:p>
    <w:p w14:paraId="61A166A2">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（5）水下工程中的水下焊接、混凝土浇注、爆破工程等；</w:t>
      </w:r>
    </w:p>
    <w:p w14:paraId="40982301">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（6）炸礁、清礁工程；</w:t>
      </w:r>
    </w:p>
    <w:p w14:paraId="37DF6BC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（7）大型临时工程中的大型支架、模板、便桥的架设与拆除，桥梁、码头的加固与拆除；</w:t>
      </w:r>
    </w:p>
    <w:p w14:paraId="00832876">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（8）潜水作业；</w:t>
      </w:r>
    </w:p>
    <w:p w14:paraId="2605730F">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（9）其他危险性较大的工程。</w:t>
      </w:r>
    </w:p>
    <w:p w14:paraId="49B70FE1">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理人和发包人在检查中发现有安全问题或有违反安全管理规章制度的情况时，可视其情节轻重，分别给予承包人通报批评、警告、撤换责任人、责令停工整改等处罚，由此增加的工程费用和工期延误由承包人承担。</w:t>
      </w:r>
    </w:p>
    <w:p w14:paraId="1A1FA536">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9.2.5 本合同约定的安全作业环境：确保安全生产。</w:t>
      </w:r>
    </w:p>
    <w:p w14:paraId="71B60146">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关安全施工措施所需费用即安全生产费用，已包含在合同一般项目清单的安全生产费用中。开工时，承包人应做好安全保障措施，并获得发包人代表和监理同意。在施工过程中，监理发现存在安全事故隐患的，应当要求承包人整改。若施工过程中承包人对发包人、监理发现的安全隐患拒不及时整改，发包人有权代购安全生产物资并委托第三方落实安全措施，所发生费用从合同总价中扣除，且不能免除承包人的责任。若安全生产费用使用完毕，承包人仍然需要采取安全生产措施并承担安全责任。</w:t>
      </w:r>
    </w:p>
    <w:p w14:paraId="69352F8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安全生产费用为固定报价，不随项目总价的变化而调整，应根据《广东省交通运输厅关于公路水运建设工程安全生产费用的管理办法》（粤交〔2021〕6 号）的要求，按照“企业提取，政府监督，确保需要，规范使用”的原则和细化费用清单进行管理。安全生产费用用于施工安全防护用具及设施的采购和更新、安全施工措施的落实、安全生产条件的改善等。安全生产费用来源于承包人，也用于承包人，不得挪作他用。如承包人在此基础上增加安全生产费用以满足项目施工需要，则承包人应在本项目工程量清单其他相关子目的单价或总额价中予以考虑，发包人不再另行支付。</w:t>
      </w:r>
    </w:p>
    <w:p w14:paraId="72650F79">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在项目开工前或施工过程中，发包人及上级主管单位对承包人的安全生产情况进行检查，发现隐患而承包人未能在限期内完成整改的，由发包人单位代为整改，所需费用在计提的安全生产经费中支付。</w:t>
      </w:r>
    </w:p>
    <w:p w14:paraId="6851C867">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生产费实行专款专用、专户核算，任何单位或个人不得挤占或挪用。承包人应当建立健全工程项目安全生产费用计取、使用等制度，明确安全生产费用计取和使用的程序、职责及权限、规范安全生产费用的使用；设立安全生产费用使用台帐，健全安全生产费用痕迹管理资料台帐，包含安全生产费用使用环节的监控和有关票据凭证资料。</w:t>
      </w:r>
    </w:p>
    <w:p w14:paraId="574B7846">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9.2.8 承包人应对施工船舶机械、设备、仪器等进行定期检查，消除隐患，并取得有关部门的检验许可证明。</w:t>
      </w:r>
    </w:p>
    <w:p w14:paraId="34543AC8">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9.2.9 承包人应按有关要求，设置施工水域的警示标志和施工船舶夜间警示标志。</w:t>
      </w:r>
    </w:p>
    <w:p w14:paraId="7BCC0B3B">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9.2.10 承包人应对施工现场的供电、消防、基坑开挖、水下作业、爆破、不良工程地质以及施工通航等制定专项的措施及应急预案，并报监理人审查同意。发包人或监理人的认可不能免除承包人所应承担的责任。</w:t>
      </w:r>
    </w:p>
    <w:p w14:paraId="54A03CAF">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增加第9.2.11至9.2.15项的内容，下述内容所产生的费用由承包人承担：</w:t>
      </w:r>
    </w:p>
    <w:p w14:paraId="2274D0D4">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9.2.11 承包人应按政府和有关部门的规定，对施工现场人员和施工船舶、机械、设备的防台风、防突风、防风暴潮、防汛、防雷击等进行安全管理，对施工现场加强治安防范和消防安全防护措施，并承担由于措施不力造成的事故责任和由此发生的费用。</w:t>
      </w:r>
    </w:p>
    <w:p w14:paraId="6E1FE63F">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9.2.12 承包人在高压线、水上、水下及地下管线、易燃、易爆地段或其他有害环境下施工时，施工前应提交安全保护措施及应急救援预案，经监理人审查同意后实施。监理人的同意不能免除承包人应承担的责任。防护措施费用由承包人承担。</w:t>
      </w:r>
    </w:p>
    <w:p w14:paraId="7B154F56">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9.2.13 施工现场发生安全事故时，承包人应立即采取有效措施，并将事故情况按规定上报有关部门并报告发包人与监理人。</w:t>
      </w:r>
    </w:p>
    <w:p w14:paraId="20FAC71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9.2.14承包人应对其施工人员组织相关的安全培训，以及技能培训，确保所有施工人员有能力能胜任其所负责的施工作业。</w:t>
      </w:r>
    </w:p>
    <w:p w14:paraId="15F9CD39">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9.2.15承包人应遵守工程建设安全生产有关管理规定，严格按安全标准组织施工，并随时接受行业安全检查人员依照法规实施的监督检查，采取必要的安全防范措施，消</w:t>
      </w:r>
    </w:p>
    <w:p w14:paraId="3F55F892">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除事故隐患。由于承包人造成事故的责任和因此发生的费用，由承包人承担。</w:t>
      </w:r>
    </w:p>
    <w:p w14:paraId="7C9396A6">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（1）承包人应对合同工程施工现场的安全负总责，履行总承包单位安全生产组织、协调等职责。</w:t>
      </w:r>
    </w:p>
    <w:p w14:paraId="4A833AD9">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承包人应遵守执行《中华人民共和国安全生产法》、《公路水运工程安全生产监督管理办法》、《生产安全事故调查报告和调查处理条例》等国家法律、法规以及行业安全标准和国家电投管理规章制度、标准、文件。按照“安全第一、预防为主、综合治理”的方针，保证建设工程安全生产。</w:t>
      </w:r>
    </w:p>
    <w:p w14:paraId="5F9097A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（3）承包人应协助发包人成立项目安全生产委员会，项目负责人作为项目安委会成员，全面负责工程项目日常安全、文明施工及环境保护等管理工作。</w:t>
      </w:r>
    </w:p>
    <w:p w14:paraId="02E99DA1">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（4）承包人负责贯彻落实由发包人制定的建设工程安全总目标，负责制定年度安全目标，经发包人和监理单位审查批准后组织实施。</w:t>
      </w:r>
    </w:p>
    <w:p w14:paraId="0933D244">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（5）承包人负责编制本项目安全文明施工总策划书，编制建设项目各项安全管理制度。</w:t>
      </w:r>
    </w:p>
    <w:p w14:paraId="293726AE">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（6）承包人负责开工前，组织全员进行全面的安全技术交底，并分工种进行安全教育和考试，考试合格者方可进行作业，并做好记录备查。</w:t>
      </w:r>
    </w:p>
    <w:p w14:paraId="578A25F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（7）承包人应于合同工程的第一个单位工程开工报告批准之日起15个工作日内，将合同工程的安全生产管理情况向工程所在地政府部门备案。在安全生产管理情况发生变化时，及时向工程所在地政府部门报告。</w:t>
      </w:r>
    </w:p>
    <w:p w14:paraId="38CA864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（8）承包人负责建立、健全安全管理体系和监督体系并运行维护；制定项目安全生产责任制，负责建立专项安全奖励基金和奖惩机制，建立安全管理网络，组织对总承包范围内工程进行安全检查、评比、考核。</w:t>
      </w:r>
    </w:p>
    <w:p w14:paraId="6AA0F2E0">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承包人应向发包人提供有效的资质证明，包括：企业法人营业执照、施工资质和安全资质证书；单位工作业绩和近三年的安全施工记录；项目负责人、工程技术人员、安全总监、安全专职人员和特殊工种工人上岗资格证书等。</w:t>
      </w:r>
    </w:p>
    <w:p w14:paraId="5C8AEC2C">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承包人应在施工分包招标文件中对投标人的资质、安全生产条件、安全生产信用、施工安全措施费用提取、安全生产保障措施等提出明确要求。承包人应按照国家有关高危行业企业安全生产费用财务规定，在施工分包招标文件中明确规定施工安全措施费用不能纳入投标竞价范围，不得调减或挪用。承包人应审查施工分包人主要负责人、项目经理、专职安全人员是否达到国家有关安全生产许可证规定的考核要求，并将该条件作为投标资格的必备条件。</w:t>
      </w:r>
    </w:p>
    <w:p w14:paraId="627D92B6">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（11）承包人应保证安全生产投入的有效实施。按规定提取安全文明生产管理费，做到专款专用。</w:t>
      </w:r>
    </w:p>
    <w:p w14:paraId="33B10A08">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承包人所有安全设施、施工机具设备和高空作业的设备均应符合国家或行业安全技术标准并应定期检查，并有安全员的签字记录；特种设备（电梯、升降机、起重机械、厂内机动车辆、防爆电气设备等）应取得地方政府质量技术监督部门的许可使用证件方可使用。承包人特殊工种要经专业培训，并持有政府主管部门签发的合格证上岗。</w:t>
      </w:r>
    </w:p>
    <w:p w14:paraId="0851F43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（13）承包人负责制定反事故措施计划，安全技术劳动保护措施计划及实施方案，做好人防、物防和技术防范措施编审、实施，并取得良好效果。</w:t>
      </w:r>
    </w:p>
    <w:p w14:paraId="4785E900">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（14）承包人负责组织开展安全生产标准化建设，开展安全生产标准化的自查、自纠及自评报告的编制并上报发包人。</w:t>
      </w:r>
    </w:p>
    <w:p w14:paraId="441D6D2E">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（15）承包人负责安全培训管理，编制年度安全培训计划；监督检查作业人员的安全教育培训情况，并做好检查记录。</w:t>
      </w:r>
    </w:p>
    <w:p w14:paraId="4844CDD6">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（16）承包人负责组织对重大危险源登记建档，定期检测、评估、监控工作。</w:t>
      </w:r>
    </w:p>
    <w:p w14:paraId="503A425B">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（17）承包人应组织制订合同工程的各类安全应急预案，定期组织演练。发生事故后，应及时启动相关应急预案，采取有效措施，最大程度减少人员伤亡、工程与设备损失，防止事故扩大。</w:t>
      </w:r>
    </w:p>
    <w:p w14:paraId="0696CFB9">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（18）承包人负责逐级建立并落实隐患排查治理和监控责任制。分级负责，落实隐患整改责任和措施。</w:t>
      </w:r>
    </w:p>
    <w:p w14:paraId="2C02146F">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（19）承包人按照规定及时报送安全事故情况。组织、参加或配合安全事故的调查与处理。</w:t>
      </w:r>
    </w:p>
    <w:p w14:paraId="20B6250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（20）承包人负责编发安全简报；定期或不定期编发安全通报、快报；负责向监理单位和发包人上报月度、季度、半年和年度安全文明生产总结。</w:t>
      </w:r>
    </w:p>
    <w:p w14:paraId="6687779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（21）承包人必须按规定参加由监理工程师和发包人组织的各种安全活动和召开的安全会议。</w:t>
      </w:r>
    </w:p>
    <w:p w14:paraId="48F92FDF">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（22）负责做好本项目消防、警卫、治安与交通安全管理工作。</w:t>
      </w:r>
    </w:p>
    <w:p w14:paraId="244F61F4">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9.3 治安保卫</w:t>
      </w:r>
    </w:p>
    <w:p w14:paraId="7A042BEC">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9.3.1 关于治安保卫职责的约定：承包人负责统一管理施工场地的治安保卫事项，在现场建立治安管理机构或联防组织，履行合同工程的治安保卫职责。</w:t>
      </w:r>
    </w:p>
    <w:p w14:paraId="60C7935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9.3.3 关于施工场地治安管理计划和紧急预案编制的约定：承包人应在合同生效后</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15 个</w:t>
      </w:r>
      <w:r>
        <w:rPr>
          <w:rFonts w:hint="eastAsia" w:ascii="宋体" w:hAnsi="宋体" w:eastAsia="宋体" w:cs="宋体"/>
          <w:color w:val="auto"/>
          <w:sz w:val="24"/>
          <w:szCs w:val="24"/>
          <w:highlight w:val="none"/>
          <w:lang w:val="en-US" w:eastAsia="zh-CN"/>
        </w:rPr>
        <w:t>日历天内，编制施工场地治安管理计划，并制定应对突发治安事件的紧急预案报发包人备案。在工程施工过程中，发生暴乱、爆炸等恐怖事件，以及群殴、械斗等群体性突发治安事件的，承包人应立即向当地政府报告，积极协助当地有关部门采取措施平息事态，防止事态扩大，尽量减少财产损失和避免人员伤亡。必要时，发包人给予协助。</w:t>
      </w:r>
    </w:p>
    <w:p w14:paraId="5B978323">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9.4 环境保护</w:t>
      </w:r>
    </w:p>
    <w:p w14:paraId="533D6FE9">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9.4.1 承包人的环境保护义务：承包人在施工过程中，应遵守有关环境保护的法律法规及发包人的环保规章制度，履行环境保护义务，并对违反法律法规和发包人的环保规章制度所造成的环境破坏、污染、人身伤害和财产损失负责。</w:t>
      </w:r>
    </w:p>
    <w:p w14:paraId="362E71B4">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9.4.2 承包人的环保工作内容：遵循政府及地方对于环保工作的相关规定，并应采取所有合理的措施来保护现场内外的环境，并避免由于其操作方法所造成的污染、噪声或其它问题而对人员或公私财产造成的损失或损害。承包人还应严格执行政府有关水域环境生态保护的规定，合理选择施工船机和施工工艺，采取有效措施，减少施工对周边水域的影响，如对周边环境造成影响的应承担相应责任并按要求采取补救措施。</w:t>
      </w:r>
    </w:p>
    <w:p w14:paraId="024E754E">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承包人采取有效措施，对施工开挖的边坡及时进行支护，维护排水设施，并进行水土保护，避免因施工造成的地质灾害。</w:t>
      </w:r>
    </w:p>
    <w:p w14:paraId="029F21B8">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承包人应按国家饮用水管理标准定期对饮用水源进行监测，防止施工活动污染饮用水源。</w:t>
      </w:r>
    </w:p>
    <w:p w14:paraId="28FE46A0">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应加强对噪声、粉尘、废气、废水和废油的控制，努力降低噪声，控制粉尘和废气浓度，做好废水和废油的治理和排放。施工方案应包含水土保持、污染治理、生态保护设施设备建设和生态环保过程监管要求，按要求建立环境监测计划并实施，并自行承担费用。</w:t>
      </w:r>
    </w:p>
    <w:p w14:paraId="20997B22">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承包人应文明施工，保持施工现场清洁，争创文明工地。承包人应落实生态保护和水土保持相关要求。</w:t>
      </w:r>
    </w:p>
    <w:p w14:paraId="6F1DAEF8">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承包人还应严格执行政府有关水域环境生态保护的规定，合理选择施工船机和施工工艺，采取有效措施，减少施工对周边水域的影响，如对周边环境造成影响的应承担相应责任并按要求采取补救措施。</w:t>
      </w:r>
    </w:p>
    <w:p w14:paraId="21BDB378">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9.4.6 承包人应加强对噪声、粉尘、废气、废水、废油和固体废物、危险废物的控制，努力降低噪声，控制粉尘和废气浓度，做好废水和废油的治理和排放，保证其排放或处理符合国家和地方有关标准。项目施工过程中应特别加强以下环保和水保工作：</w:t>
      </w:r>
    </w:p>
    <w:p w14:paraId="15A3BC0E">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9.4.6.1 项目沿线涉及水生生物保护区和水产种质资源保护区的，工程施工应遵守《自然保护区条例》等有关环境保护的法律、法规，减轻工程施工对沿线鱼类索饵、产卵、栖息场所的影响，避开鱼类洄游产卵高峰期，加强对保护动物及其他珍稀鱼类的保护。</w:t>
      </w:r>
    </w:p>
    <w:p w14:paraId="042AED69">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9.4.6.2 依据《中华人民共和国环境保护法》、《中华人民共和国固体废物污染环境防治法》和《广东省固体废物污染环境防治条例》等环境保护法律、法规的规定，承包人在生产过程中所产生的危险废物，不可随意排放、弃置或者转移。需委托有从事工业危险废物处理的专业机构，负责处理施工期间产生的危险废物。施工期船舶含油污水收集后必须送交有资质的单位处理，生活污水交污水处理厂处理，船舶垃圾、施工垃圾经收集后交环卫部门统一处理，禁止排入水域。同时，船舶含油污水、生活污水、船舶垃圾、施工垃圾处理措施应自觉接受发包人和监理的监督管理，并将相关资料报备发包人。</w:t>
      </w:r>
    </w:p>
    <w:p w14:paraId="020EAE8B">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9.4.6.3 承包人施工前，应与有资质的单位签订危废处理协议，按照要求合理配布、设置危废堆放点，及时转移、处理危废。相关资料在有关环保部门备案后，同时提交发包方归档、备查。资料需满足项目竣工环保专项验收要求，并自行承担有关费用。</w:t>
      </w:r>
    </w:p>
    <w:p w14:paraId="1FC2D5C7">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9.4.6.4 承包人须制定环境风险事故防范及应急预案，落实有效的事故防范和应急措施，加强演练，防止因船舶相撞、管道破损泥浆外泄及溢油事故等造成水环境污染，确保水环境安全。</w:t>
      </w:r>
    </w:p>
    <w:p w14:paraId="1B3968F0">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9.4.7 施工船舶产生的含油污水委托有资质的单位接收后上岸送污水处理厂达标处理，严禁直接外排；施工船舶产生的污油属危险废物，不得擅自处置及排放，应交有资质的单位处理。上述费用承包人应在投标时在综合单价中考虑，发包人不再另行支付。如果发生上述擅自处理或偷排的现象，发包人将按照有关的规定进行严肃处理，有关的一切损失全部由承包人承担，同时发包人有权对承包人可以</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万元/次的违约金处罚,，并由承包人负责承担相应的行政处罚。</w:t>
      </w:r>
    </w:p>
    <w:p w14:paraId="20B04F6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9.4.8 施工期船舶污水环保处理、固体废物环保处理、弃土区吹填后场地绿化、压载土弃土处理以及施工过程采取其它环保措施应满足环保监测要求，如承包人采取的环保措施不能达到环保监测要求时或造成周边影响的，应按要求整改，所增加的费用（含环保部门的罚款）由承包人自行解决。拒不整改的或整改不到位的由发包人在工程计量款中扣除相应费用，并有权对承包人可以</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万元/次的违约金，并由承包人负责承担相应的行政处罚，必要时发包人可解除合同。</w:t>
      </w:r>
    </w:p>
    <w:p w14:paraId="3DF1B98C">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10．进度计划</w:t>
      </w:r>
    </w:p>
    <w:p w14:paraId="2C584D9C">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10.1 合同进度计划</w:t>
      </w:r>
    </w:p>
    <w:p w14:paraId="51D7556E">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进度计划的内容：满足施工需要的详细的施工组织设计，其中包括总体进度计划及节点进度计划等及为实施此计划将采取的措施，在施工过程须如实执行，若有改变，须取得发包人同意，否则将视为承包人违约，发包人保留取消或中止本合同的权力，造成的损失由承包人承担。经审批后的总体进度计划及节点进度计划作为工期考核的依据。</w:t>
      </w:r>
    </w:p>
    <w:p w14:paraId="11D4CDFD">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承包人报送合同进度计划的期限：合同生效后</w:t>
      </w:r>
      <w:r>
        <w:rPr>
          <w:rFonts w:hint="eastAsia" w:ascii="宋体" w:hAnsi="宋体" w:eastAsia="宋体" w:cs="宋体"/>
          <w:color w:val="auto"/>
          <w:sz w:val="24"/>
          <w:szCs w:val="24"/>
          <w:highlight w:val="none"/>
          <w:u w:val="single"/>
          <w:lang w:val="en-US" w:eastAsia="zh-CN"/>
        </w:rPr>
        <w:t xml:space="preserve"> 9 个</w:t>
      </w:r>
      <w:r>
        <w:rPr>
          <w:rFonts w:hint="eastAsia" w:ascii="宋体" w:hAnsi="宋体" w:eastAsia="宋体" w:cs="宋体"/>
          <w:color w:val="auto"/>
          <w:sz w:val="24"/>
          <w:szCs w:val="24"/>
          <w:highlight w:val="none"/>
          <w:lang w:val="en-US" w:eastAsia="zh-CN"/>
        </w:rPr>
        <w:t>日历天内编制详细的施工进度计划和施工方案一式</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lang w:val="en-US" w:eastAsia="zh-CN"/>
        </w:rPr>
        <w:t>份说明报监理人；每月28日前报送下月进度计划一式</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lang w:val="en-US" w:eastAsia="zh-CN"/>
        </w:rPr>
        <w:t>份；每季度末</w:t>
      </w:r>
      <w:r>
        <w:rPr>
          <w:rFonts w:hint="eastAsia" w:ascii="宋体" w:hAnsi="宋体" w:eastAsia="宋体" w:cs="宋体"/>
          <w:color w:val="auto"/>
          <w:sz w:val="24"/>
          <w:szCs w:val="24"/>
          <w:highlight w:val="none"/>
          <w:u w:val="single"/>
          <w:lang w:val="en-US" w:eastAsia="zh-CN"/>
        </w:rPr>
        <w:t xml:space="preserve"> 25 </w:t>
      </w:r>
      <w:r>
        <w:rPr>
          <w:rFonts w:hint="eastAsia" w:ascii="宋体" w:hAnsi="宋体" w:eastAsia="宋体" w:cs="宋体"/>
          <w:color w:val="auto"/>
          <w:sz w:val="24"/>
          <w:szCs w:val="24"/>
          <w:highlight w:val="none"/>
          <w:lang w:val="en-US" w:eastAsia="zh-CN"/>
        </w:rPr>
        <w:t>日前报送下季度进度计划一式</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lang w:val="en-US" w:eastAsia="zh-CN"/>
        </w:rPr>
        <w:t>份；每年12月底前报送次年进度计划（如果需要）一式</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lang w:val="en-US" w:eastAsia="zh-CN"/>
        </w:rPr>
        <w:t>份。</w:t>
      </w:r>
    </w:p>
    <w:p w14:paraId="7BF0CC29">
      <w:pPr>
        <w:spacing w:line="400" w:lineRule="exact"/>
        <w:ind w:firstLine="480" w:firstLineChars="200"/>
        <w:jc w:val="both"/>
        <w:rPr>
          <w:rFonts w:hint="eastAsia"/>
          <w:color w:val="000000"/>
          <w:sz w:val="24"/>
          <w:szCs w:val="24"/>
          <w:highlight w:val="none"/>
          <w:lang w:val="en-US"/>
        </w:rPr>
      </w:pPr>
      <w:r>
        <w:rPr>
          <w:rFonts w:hint="eastAsia" w:ascii="宋体" w:hAnsi="宋体" w:eastAsia="宋体" w:cs="宋体"/>
          <w:color w:val="auto"/>
          <w:sz w:val="24"/>
          <w:szCs w:val="24"/>
          <w:highlight w:val="none"/>
          <w:lang w:val="en-US" w:eastAsia="zh-CN"/>
        </w:rPr>
        <w:t>监理人对合同进度计划的批复或提出修改意见的期限：监理人收到合同进度计划后</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7 </w:t>
      </w:r>
      <w:r>
        <w:rPr>
          <w:rFonts w:hint="eastAsia" w:ascii="宋体" w:hAnsi="宋体" w:eastAsia="宋体" w:cs="宋体"/>
          <w:color w:val="auto"/>
          <w:sz w:val="24"/>
          <w:szCs w:val="24"/>
          <w:highlight w:val="none"/>
          <w:lang w:val="en-US" w:eastAsia="zh-CN"/>
        </w:rPr>
        <w:t>日历天内批复或提出修改意见,否则视为已得到批准。</w:t>
      </w:r>
    </w:p>
    <w:p w14:paraId="6F9FD595">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10.2 合同进度计划的修订</w:t>
      </w:r>
    </w:p>
    <w:p w14:paraId="34469D34">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10.2.1承包人应在</w:t>
      </w:r>
      <w:r>
        <w:rPr>
          <w:rFonts w:hint="eastAsia" w:ascii="宋体" w:hAnsi="宋体" w:eastAsia="宋体" w:cs="宋体"/>
          <w:color w:val="auto"/>
          <w:sz w:val="24"/>
          <w:szCs w:val="24"/>
          <w:highlight w:val="none"/>
          <w:u w:val="single"/>
          <w:lang w:val="en-US" w:eastAsia="zh-CN"/>
        </w:rPr>
        <w:t>48</w:t>
      </w:r>
      <w:r>
        <w:rPr>
          <w:rFonts w:hint="eastAsia" w:ascii="宋体" w:hAnsi="宋体" w:eastAsia="宋体" w:cs="宋体"/>
          <w:color w:val="auto"/>
          <w:sz w:val="24"/>
          <w:szCs w:val="24"/>
          <w:highlight w:val="none"/>
          <w:lang w:val="en-US" w:eastAsia="zh-CN"/>
        </w:rPr>
        <w:t>小时前向监理人提交修订合同进度计划的申请报告；监理人应在</w:t>
      </w:r>
      <w:r>
        <w:rPr>
          <w:rFonts w:hint="eastAsia" w:ascii="宋体" w:hAnsi="宋体" w:eastAsia="宋体" w:cs="宋体"/>
          <w:color w:val="auto"/>
          <w:sz w:val="24"/>
          <w:szCs w:val="24"/>
          <w:highlight w:val="none"/>
          <w:u w:val="single"/>
          <w:lang w:val="en-US" w:eastAsia="zh-CN"/>
        </w:rPr>
        <w:t>48</w:t>
      </w:r>
      <w:r>
        <w:rPr>
          <w:rFonts w:hint="eastAsia" w:ascii="宋体" w:hAnsi="宋体" w:eastAsia="宋体" w:cs="宋体"/>
          <w:color w:val="auto"/>
          <w:sz w:val="24"/>
          <w:szCs w:val="24"/>
          <w:highlight w:val="none"/>
          <w:lang w:val="en-US" w:eastAsia="zh-CN"/>
        </w:rPr>
        <w:t>小时内对承包人提交的申请报告批复，否则视为已得到批准。</w:t>
      </w:r>
    </w:p>
    <w:p w14:paraId="06B9A8B1">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10.2.2对非承包人自身原因每月累计停水或停电不超过</w:t>
      </w:r>
      <w:r>
        <w:rPr>
          <w:rFonts w:hint="eastAsia" w:ascii="宋体" w:hAnsi="宋体" w:eastAsia="宋体" w:cs="宋体"/>
          <w:color w:val="auto"/>
          <w:sz w:val="24"/>
          <w:szCs w:val="24"/>
          <w:highlight w:val="none"/>
          <w:u w:val="single"/>
          <w:lang w:val="en-US" w:eastAsia="zh-CN"/>
        </w:rPr>
        <w:t>48</w:t>
      </w:r>
      <w:r>
        <w:rPr>
          <w:rFonts w:hint="eastAsia" w:ascii="宋体" w:hAnsi="宋体" w:eastAsia="宋体" w:cs="宋体"/>
          <w:color w:val="auto"/>
          <w:sz w:val="24"/>
          <w:szCs w:val="24"/>
          <w:highlight w:val="none"/>
          <w:lang w:val="en-US" w:eastAsia="zh-CN"/>
        </w:rPr>
        <w:t>小时的情况，施工组织设计中应有相应的保证措施。承包人不得因此顺延工期。</w:t>
      </w:r>
    </w:p>
    <w:p w14:paraId="2C24CB06">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通用条款本条增加10.3款的内容：</w:t>
      </w:r>
    </w:p>
    <w:p w14:paraId="61738133">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10.3 合同用款计划</w:t>
      </w:r>
    </w:p>
    <w:p w14:paraId="7267C49B">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承包人应在签订本合同协议书后</w:t>
      </w:r>
      <w:r>
        <w:rPr>
          <w:rFonts w:hint="eastAsia" w:ascii="宋体" w:hAnsi="宋体" w:eastAsia="宋体" w:cs="宋体"/>
          <w:color w:val="auto"/>
          <w:sz w:val="24"/>
          <w:szCs w:val="24"/>
          <w:highlight w:val="none"/>
          <w:u w:val="single"/>
          <w:lang w:val="en-US" w:eastAsia="zh-CN"/>
        </w:rPr>
        <w:t xml:space="preserve"> 28 </w:t>
      </w:r>
      <w:r>
        <w:rPr>
          <w:rFonts w:hint="eastAsia" w:ascii="宋体" w:hAnsi="宋体" w:eastAsia="宋体" w:cs="宋体"/>
          <w:color w:val="auto"/>
          <w:sz w:val="24"/>
          <w:szCs w:val="24"/>
          <w:highlight w:val="none"/>
          <w:lang w:val="en-US" w:eastAsia="zh-CN"/>
        </w:rPr>
        <w:t>天之内，向监理人提交一式</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lang w:val="en-US" w:eastAsia="zh-CN"/>
        </w:rPr>
        <w:t>份详细的季度合同用款计划，以备发包人和监理人查阅。如果发包人和监理人提出要求，承包人还应按季度提交修订的合同用款计划。</w:t>
      </w:r>
    </w:p>
    <w:p w14:paraId="579247D5">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11.开工和竣工</w:t>
      </w:r>
    </w:p>
    <w:p w14:paraId="59BFE927">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11.1 开工</w:t>
      </w:r>
    </w:p>
    <w:p w14:paraId="3CA5BDF6">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11.1.1 </w:t>
      </w:r>
      <w:r>
        <w:rPr>
          <w:rFonts w:hint="eastAsia" w:ascii="宋体" w:hAnsi="宋体" w:eastAsia="宋体" w:cs="宋体"/>
          <w:color w:val="auto"/>
          <w:sz w:val="24"/>
          <w:szCs w:val="24"/>
          <w:highlight w:val="none"/>
          <w:lang w:val="en-US" w:eastAsia="zh-CN"/>
        </w:rPr>
        <w:t>承包人向监理申请并经复核符合开工条件的，</w:t>
      </w:r>
      <w:r>
        <w:rPr>
          <w:rFonts w:hint="eastAsia" w:ascii="宋体" w:hAnsi="宋体" w:eastAsia="宋体" w:cs="宋体"/>
          <w:color w:val="auto"/>
          <w:sz w:val="24"/>
          <w:szCs w:val="24"/>
          <w:highlight w:val="none"/>
          <w:lang w:eastAsia="zh-CN"/>
        </w:rPr>
        <w:t>监理应向承包人发出开工通知（开工令），工期自监理人发出的开工通知（开工令）中写明的开工日期起计算。</w:t>
      </w:r>
    </w:p>
    <w:p w14:paraId="0EDB845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 分部分项工程的开工应事先得到监理人的书面同意，承包人应提前48小时将申请开工的书面通知报送监理人，监理人应在收到通知48小时内予以书面答复，否则视为同意。</w:t>
      </w:r>
    </w:p>
    <w:p w14:paraId="4FC46F9E">
      <w:pPr>
        <w:spacing w:line="400" w:lineRule="exact"/>
        <w:ind w:firstLine="480" w:firstLineChars="200"/>
        <w:jc w:val="both"/>
        <w:rPr>
          <w:rFonts w:hint="eastAsia"/>
          <w:color w:val="000000"/>
          <w:sz w:val="24"/>
          <w:szCs w:val="24"/>
          <w:highlight w:val="none"/>
          <w:lang w:val="en-US"/>
        </w:rPr>
      </w:pPr>
      <w:r>
        <w:rPr>
          <w:rFonts w:hint="eastAsia" w:ascii="宋体" w:hAnsi="宋体" w:eastAsia="宋体" w:cs="宋体"/>
          <w:color w:val="auto"/>
          <w:sz w:val="24"/>
          <w:szCs w:val="24"/>
          <w:highlight w:val="none"/>
          <w:lang w:val="en-US" w:eastAsia="zh-CN"/>
        </w:rPr>
        <w:t>11.1.4 承包人不能按期开工时，应在接到开工令24小时内向监理人提出延期开工申请报告，监理人应在接到报告24小时内作出答复。若监理人在24小时内同意或未予答复，工期相应顺延；若监理人不同意延期要求，则工期不予顺延。</w:t>
      </w:r>
    </w:p>
    <w:p w14:paraId="47D10C49">
      <w:pPr>
        <w:pStyle w:val="2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11.2</w:t>
      </w:r>
      <w:r>
        <w:rPr>
          <w:rFonts w:hint="eastAsia" w:asciiTheme="minorEastAsia" w:hAnsiTheme="minorEastAsia" w:eastAsiaTheme="minorEastAsia" w:cstheme="minorEastAsia"/>
          <w:b/>
          <w:bCs w:val="0"/>
          <w:color w:val="auto"/>
          <w:sz w:val="24"/>
          <w:szCs w:val="24"/>
          <w:highlight w:val="none"/>
          <w:lang w:val="en-US" w:eastAsia="zh-CN"/>
        </w:rPr>
        <w:t xml:space="preserve"> 重要节点工期</w:t>
      </w:r>
    </w:p>
    <w:p w14:paraId="466EC9C5">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11.2.1 工期整体要求：</w:t>
      </w:r>
    </w:p>
    <w:p w14:paraId="561F120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开工后15个月内（450日历天）完成内容如下：护岸及临时围堰、码头前沿停泊水域疏浚（含炸礁）、港池疏浚（含炸礁）、水工建筑物、陆域形成（吹填）、道路，以使码头具备正常通车行驶的能力，具备出运风电设备的条件。</w:t>
      </w:r>
    </w:p>
    <w:p w14:paraId="53CD49C1">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开工后20个月内（600日历天）完成全部地基处理工作及本次招标范围内的全部工作。</w:t>
      </w:r>
    </w:p>
    <w:p w14:paraId="3DB2B590">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11.2.2 重要节点工期：</w:t>
      </w:r>
    </w:p>
    <w:p w14:paraId="74B7F4F9">
      <w:pPr>
        <w:numPr>
          <w:ilvl w:val="0"/>
          <w:numId w:val="1"/>
        </w:numPr>
        <w:spacing w:line="400" w:lineRule="exact"/>
        <w:ind w:firstLine="480" w:firstLineChars="200"/>
        <w:jc w:val="both"/>
        <w:rPr>
          <w:rFonts w:hint="eastAsia" w:asciiTheme="minorEastAsia" w:hAnsiTheme="minorEastAsia" w:eastAsiaTheme="minorEastAsia" w:cstheme="minorEastAsia"/>
          <w:color w:val="00000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u w:val="none"/>
          <w:lang w:val="en-US" w:eastAsia="zh-CN" w:bidi="ar"/>
        </w:rPr>
        <w:t>承包人应在合同签订之日起 10个日历天内完成开工准备并具备发出开工通知的条件；</w:t>
      </w:r>
    </w:p>
    <w:p w14:paraId="62768C50">
      <w:pPr>
        <w:numPr>
          <w:ilvl w:val="0"/>
          <w:numId w:val="1"/>
        </w:numPr>
        <w:spacing w:line="400" w:lineRule="exact"/>
        <w:ind w:firstLine="480" w:firstLineChars="200"/>
        <w:jc w:val="both"/>
        <w:rPr>
          <w:rFonts w:hint="eastAsia" w:asciiTheme="minorEastAsia" w:hAnsiTheme="minorEastAsia" w:eastAsiaTheme="minorEastAsia" w:cstheme="minorEastAsia"/>
          <w:color w:val="000000"/>
          <w:sz w:val="24"/>
          <w:szCs w:val="24"/>
          <w:highlight w:val="none"/>
          <w:u w:val="none"/>
          <w:lang w:eastAsia="zh-CN" w:bidi="ar"/>
        </w:rPr>
      </w:pPr>
      <w:r>
        <w:rPr>
          <w:rFonts w:hint="eastAsia" w:asciiTheme="minorEastAsia" w:hAnsiTheme="minorEastAsia" w:eastAsiaTheme="minorEastAsia" w:cstheme="minorEastAsia"/>
          <w:color w:val="000000"/>
          <w:sz w:val="24"/>
          <w:szCs w:val="24"/>
          <w:highlight w:val="none"/>
          <w:u w:val="none"/>
          <w:lang w:eastAsia="zh-CN" w:bidi="ar"/>
        </w:rPr>
        <w:t>完成废弃物海洋倾倒许可（</w:t>
      </w:r>
      <w:r>
        <w:rPr>
          <w:rFonts w:hint="eastAsia" w:asciiTheme="minorEastAsia" w:hAnsiTheme="minorEastAsia" w:eastAsiaTheme="minorEastAsia" w:cstheme="minorEastAsia"/>
          <w:color w:val="000000"/>
          <w:sz w:val="24"/>
          <w:szCs w:val="24"/>
          <w:highlight w:val="none"/>
          <w:u w:val="none"/>
          <w:lang w:val="en-US" w:eastAsia="zh-CN" w:bidi="ar"/>
        </w:rPr>
        <w:t>如需办理）</w:t>
      </w:r>
      <w:r>
        <w:rPr>
          <w:rFonts w:hint="eastAsia" w:asciiTheme="minorEastAsia" w:hAnsiTheme="minorEastAsia" w:eastAsiaTheme="minorEastAsia" w:cstheme="minorEastAsia"/>
          <w:color w:val="000000"/>
          <w:sz w:val="24"/>
          <w:szCs w:val="24"/>
          <w:highlight w:val="none"/>
          <w:u w:val="none"/>
          <w:lang w:eastAsia="zh-CN" w:bidi="ar"/>
        </w:rPr>
        <w:t>在合同签订之日起</w:t>
      </w:r>
      <w:r>
        <w:rPr>
          <w:rFonts w:hint="eastAsia" w:asciiTheme="minorEastAsia" w:hAnsiTheme="minorEastAsia" w:eastAsiaTheme="minorEastAsia" w:cstheme="minorEastAsia"/>
          <w:color w:val="000000"/>
          <w:sz w:val="24"/>
          <w:szCs w:val="24"/>
          <w:highlight w:val="none"/>
          <w:u w:val="none"/>
          <w:lang w:val="en-US" w:eastAsia="zh-CN" w:bidi="ar"/>
        </w:rPr>
        <w:t>90</w:t>
      </w:r>
      <w:r>
        <w:rPr>
          <w:rFonts w:hint="eastAsia" w:asciiTheme="minorEastAsia" w:hAnsiTheme="minorEastAsia" w:eastAsiaTheme="minorEastAsia" w:cstheme="minorEastAsia"/>
          <w:color w:val="000000"/>
          <w:sz w:val="24"/>
          <w:szCs w:val="24"/>
          <w:highlight w:val="none"/>
          <w:u w:val="none"/>
          <w:lang w:eastAsia="zh-CN" w:bidi="ar"/>
        </w:rPr>
        <w:t>个日历天内完成；</w:t>
      </w:r>
    </w:p>
    <w:p w14:paraId="06B70B02">
      <w:pPr>
        <w:numPr>
          <w:ilvl w:val="0"/>
          <w:numId w:val="1"/>
        </w:numPr>
        <w:spacing w:line="400" w:lineRule="exact"/>
        <w:ind w:firstLine="480" w:firstLineChars="200"/>
        <w:jc w:val="both"/>
        <w:rPr>
          <w:rFonts w:hint="eastAsia" w:asciiTheme="minorEastAsia" w:hAnsiTheme="minorEastAsia" w:eastAsiaTheme="minorEastAsia" w:cstheme="minorEastAsia"/>
          <w:color w:val="000000"/>
          <w:sz w:val="24"/>
          <w:szCs w:val="24"/>
          <w:highlight w:val="none"/>
          <w:u w:val="none"/>
          <w:lang w:eastAsia="zh-CN" w:bidi="ar"/>
        </w:rPr>
      </w:pPr>
      <w:r>
        <w:rPr>
          <w:rFonts w:hint="eastAsia" w:asciiTheme="minorEastAsia" w:hAnsiTheme="minorEastAsia" w:eastAsiaTheme="minorEastAsia" w:cstheme="minorEastAsia"/>
          <w:color w:val="000000"/>
          <w:sz w:val="24"/>
          <w:szCs w:val="24"/>
          <w:highlight w:val="none"/>
          <w:u w:val="none"/>
          <w:lang w:val="en-US" w:eastAsia="zh-CN" w:bidi="ar"/>
        </w:rPr>
        <w:t>完成</w:t>
      </w:r>
      <w:r>
        <w:rPr>
          <w:rFonts w:hint="eastAsia" w:asciiTheme="minorEastAsia" w:hAnsiTheme="minorEastAsia" w:eastAsiaTheme="minorEastAsia" w:cstheme="minorEastAsia"/>
          <w:color w:val="000000"/>
          <w:sz w:val="24"/>
          <w:szCs w:val="24"/>
          <w:highlight w:val="none"/>
          <w:u w:val="none"/>
          <w:lang w:eastAsia="zh-CN" w:bidi="ar"/>
        </w:rPr>
        <w:t>水上水下施工许可的办理并具备水域施工条件应在合同签订之日起</w:t>
      </w:r>
      <w:r>
        <w:rPr>
          <w:rFonts w:hint="eastAsia" w:asciiTheme="minorEastAsia" w:hAnsiTheme="minorEastAsia" w:eastAsiaTheme="minorEastAsia" w:cstheme="minorEastAsia"/>
          <w:color w:val="000000"/>
          <w:sz w:val="24"/>
          <w:szCs w:val="24"/>
          <w:highlight w:val="none"/>
          <w:u w:val="none"/>
          <w:lang w:val="en-US" w:eastAsia="zh-CN" w:bidi="ar"/>
        </w:rPr>
        <w:t xml:space="preserve"> 30</w:t>
      </w:r>
      <w:r>
        <w:rPr>
          <w:rFonts w:hint="eastAsia" w:asciiTheme="minorEastAsia" w:hAnsiTheme="minorEastAsia" w:eastAsiaTheme="minorEastAsia" w:cstheme="minorEastAsia"/>
          <w:color w:val="000000"/>
          <w:sz w:val="24"/>
          <w:szCs w:val="24"/>
          <w:highlight w:val="none"/>
          <w:u w:val="none"/>
          <w:lang w:eastAsia="zh-CN" w:bidi="ar"/>
        </w:rPr>
        <w:t>个日历天内完成；</w:t>
      </w:r>
    </w:p>
    <w:p w14:paraId="10DF57DE">
      <w:pPr>
        <w:keepNext w:val="0"/>
        <w:keepLines w:val="0"/>
        <w:widowControl/>
        <w:numPr>
          <w:ilvl w:val="0"/>
          <w:numId w:val="1"/>
        </w:numPr>
        <w:suppressLineNumbers w:val="0"/>
        <w:spacing w:before="0" w:beforeAutospacing="0" w:after="0" w:afterAutospacing="0" w:line="400" w:lineRule="exact"/>
        <w:ind w:leftChars="0" w:right="0" w:rightChars="0" w:firstLine="480" w:firstLineChars="200"/>
        <w:jc w:val="both"/>
        <w:rPr>
          <w:rFonts w:hint="eastAsia" w:asciiTheme="minorEastAsia" w:hAnsiTheme="minorEastAsia" w:eastAsiaTheme="minorEastAsia" w:cstheme="minorEastAsia"/>
          <w:i w:val="0"/>
          <w:iCs w:val="0"/>
          <w:caps w:val="0"/>
          <w:color w:val="000000"/>
          <w:spacing w:val="0"/>
          <w:kern w:val="0"/>
          <w:sz w:val="24"/>
          <w:szCs w:val="24"/>
          <w:highlight w:val="none"/>
          <w:u w:val="no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highlight w:val="none"/>
          <w:u w:val="none"/>
          <w:lang w:val="en-US" w:eastAsia="zh-CN" w:bidi="ar"/>
        </w:rPr>
        <w:t>开工后4个月内完成护岸及临时围堰；开工后7个月内第一件沉箱开始安装；开工后13个月内完成所有沉箱安装完成；开工后15个月内完成所有胸墙浇筑；开工后15个月内完成所有疏浚吹填工作（含炸礁）。</w:t>
      </w:r>
    </w:p>
    <w:p w14:paraId="27C8DE5A">
      <w:pPr>
        <w:numPr>
          <w:ilvl w:val="0"/>
          <w:numId w:val="1"/>
        </w:numPr>
        <w:spacing w:line="400" w:lineRule="exact"/>
        <w:ind w:firstLine="480" w:firstLineChars="200"/>
        <w:jc w:val="both"/>
        <w:rPr>
          <w:rFonts w:hint="default" w:eastAsia="宋体"/>
          <w:color w:val="000000"/>
          <w:sz w:val="24"/>
          <w:szCs w:val="24"/>
          <w:highlight w:val="none"/>
          <w:u w:val="none"/>
          <w:lang w:val="en-US" w:eastAsia="zh-CN"/>
        </w:rPr>
      </w:pPr>
      <w:r>
        <w:rPr>
          <w:rFonts w:hint="eastAsia" w:asciiTheme="minorEastAsia" w:hAnsiTheme="minorEastAsia" w:eastAsiaTheme="minorEastAsia" w:cstheme="minorEastAsia"/>
          <w:color w:val="000000"/>
          <w:sz w:val="24"/>
          <w:szCs w:val="24"/>
          <w:highlight w:val="none"/>
          <w:u w:val="none"/>
          <w:lang w:val="en-US" w:eastAsia="zh-CN"/>
        </w:rPr>
        <w:t>全部工程完成应在合同约定的工期前完</w:t>
      </w:r>
      <w:r>
        <w:rPr>
          <w:rFonts w:hint="eastAsia"/>
          <w:color w:val="000000"/>
          <w:sz w:val="24"/>
          <w:szCs w:val="24"/>
          <w:highlight w:val="none"/>
          <w:u w:val="none"/>
          <w:lang w:val="en-US" w:eastAsia="zh-CN"/>
        </w:rPr>
        <w:t>成。</w:t>
      </w:r>
    </w:p>
    <w:p w14:paraId="06B3432A">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11.3 发包人的工期延误</w:t>
      </w:r>
    </w:p>
    <w:p w14:paraId="19AB69CF">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通用条款本款第一自然段修改为：</w:t>
      </w:r>
      <w:r>
        <w:rPr>
          <w:rFonts w:hint="eastAsia" w:ascii="宋体" w:hAnsi="宋体" w:eastAsia="宋体" w:cs="宋体"/>
          <w:color w:val="auto"/>
          <w:sz w:val="24"/>
          <w:szCs w:val="24"/>
          <w:highlight w:val="none"/>
          <w:lang w:val="en-US" w:eastAsia="zh-CN"/>
        </w:rPr>
        <w:t>在履行合同过程中，由于发包人的下列原因造成工期延误的，承包人可获得适当的工期延长；需要修订合同进度计划的，按照专用条款第10.2款的约定办理。</w:t>
      </w:r>
    </w:p>
    <w:p w14:paraId="73E0533D">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通用条款本款第（6）点的内容不适用于本合同。</w:t>
      </w:r>
    </w:p>
    <w:p w14:paraId="21B33FB1">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通用条款本款文末补充：</w:t>
      </w:r>
      <w:r>
        <w:rPr>
          <w:rFonts w:hint="eastAsia" w:ascii="宋体" w:hAnsi="宋体" w:eastAsia="宋体" w:cs="宋体"/>
          <w:color w:val="auto"/>
          <w:sz w:val="24"/>
          <w:szCs w:val="24"/>
          <w:highlight w:val="none"/>
          <w:lang w:val="en-US" w:eastAsia="zh-CN"/>
        </w:rPr>
        <w:t>承包人要求发包人延长工期的，必须在14日历天内向监理人提交报告，举证证明延误工期的因素符合合同约定，并证明这个因素确实导致工期延误的具体天数以及延误工期的因素和延误的天数之间具有因果关系；监理人在收到报告7日历天内报发包人确认并予以答复，以确定工期延长的天数；发包人不支付增加费用和利润。</w:t>
      </w:r>
    </w:p>
    <w:p w14:paraId="5A46F501">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11.4 异常恶劣的气候条件</w:t>
      </w:r>
    </w:p>
    <w:p w14:paraId="0E6487F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11.4.1 异常恶劣的气候条件是指水运工程水域施工作业难以正常进行或须采取其他补救措施才能进行的气候条件，一般包括：</w:t>
      </w:r>
    </w:p>
    <w:p w14:paraId="44F29C8B">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（1）持续高温：连续三日日最高气温38℃以上；</w:t>
      </w:r>
    </w:p>
    <w:p w14:paraId="3B1ACC3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（2）持续低温：连续三日日最低气温-20℃以下；</w:t>
      </w:r>
    </w:p>
    <w:p w14:paraId="707B50A5">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（3）大风天气：施工水域日风力在6级以上且持续时间不少于4小时，或阵风大于8级；</w:t>
      </w:r>
    </w:p>
    <w:p w14:paraId="6465ED2B">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（4）暴雨天气：降雨量大于200mm/d特大暴雨；</w:t>
      </w:r>
    </w:p>
    <w:p w14:paraId="17B3100B">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（5）暴雪天气：日降雪量10mm及以上；</w:t>
      </w:r>
    </w:p>
    <w:p w14:paraId="3322B162">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（6）流速或波浪：内河3.5米/秒及以上流速，海上2米及以上的大浪和强浪；</w:t>
      </w:r>
    </w:p>
    <w:p w14:paraId="02C4B7F2">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（7）水淹：施工场地大部或全部被潮水、洪水或雨水淹没超过1日历天；</w:t>
      </w:r>
    </w:p>
    <w:p w14:paraId="45A5A3F7">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（8）大雾：定点施工船舶能见度小于50米的雾天超过1日历天；运动船舶按有关规定。</w:t>
      </w:r>
    </w:p>
    <w:p w14:paraId="6A4AFB77">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11.5 承包人的工期延误</w:t>
      </w:r>
    </w:p>
    <w:p w14:paraId="61AFDE46">
      <w:pPr>
        <w:spacing w:line="400" w:lineRule="exact"/>
        <w:ind w:firstLine="480" w:firstLineChars="20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逾期竣工违约金的计算方法：在合同实际工期超过原定工期（包括经批准的延期后工期）的情况下，超过原定工期（包括经批准的延期后工期）的违约金：</w:t>
      </w:r>
      <w:r>
        <w:rPr>
          <w:rFonts w:hint="eastAsia" w:ascii="宋体" w:hAnsi="宋体" w:eastAsia="宋体" w:cs="宋体"/>
          <w:color w:val="auto"/>
          <w:sz w:val="24"/>
          <w:szCs w:val="24"/>
          <w:highlight w:val="none"/>
          <w:u w:val="none"/>
          <w:lang w:val="en-US" w:eastAsia="zh-CN"/>
        </w:rPr>
        <w:t>1月以内2万1天，超过1个月为5万1天。</w:t>
      </w:r>
    </w:p>
    <w:p w14:paraId="71379CB4">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逾期竣工违约金累计最高不得超过合同总价的5%。超过合同总价5%的，发包人有权解除合同。</w:t>
      </w:r>
    </w:p>
    <w:p w14:paraId="4CC1050D">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本款细化为：</w:t>
      </w:r>
    </w:p>
    <w:p w14:paraId="2CE0235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（1）因承包人原因造成工期延误的，承包人支付逾期竣工违约金后，不免除承包人继续完成工程及修补缺陷的义务</w:t>
      </w:r>
    </w:p>
    <w:p w14:paraId="3F45E231">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承包人应严格执行监理人批准的合同进度计划，对工作量计划和形象进度计划分别控制。当承包人实际进度过慢时，发包人及监理人有权责令承包人采取必要措施以加快工程进度，确保工程能在预定的工期内竣工。承包人应采取措施加快进度，并承担加快进度所增加的费用。</w:t>
      </w:r>
    </w:p>
    <w:p w14:paraId="5D64AF36">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（3）承包人应赔偿因工期延误给发包人造成的相关损失。包括但不限于监理费用、管理费等。</w:t>
      </w:r>
    </w:p>
    <w:p w14:paraId="1B91C692">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11.6 工期提前</w:t>
      </w:r>
    </w:p>
    <w:p w14:paraId="0B500637">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11.6.1 发包人</w:t>
      </w:r>
      <w:r>
        <w:rPr>
          <w:rFonts w:hint="eastAsia" w:ascii="宋体" w:hAnsi="宋体" w:eastAsia="宋体" w:cs="宋体"/>
          <w:color w:val="auto"/>
          <w:sz w:val="24"/>
          <w:szCs w:val="24"/>
          <w:highlight w:val="none"/>
          <w:u w:val="single"/>
          <w:lang w:val="en-US" w:eastAsia="zh-CN"/>
        </w:rPr>
        <w:t xml:space="preserve"> 不同意 </w:t>
      </w:r>
      <w:r>
        <w:rPr>
          <w:rFonts w:hint="eastAsia" w:ascii="宋体" w:hAnsi="宋体" w:eastAsia="宋体" w:cs="宋体"/>
          <w:color w:val="auto"/>
          <w:sz w:val="24"/>
          <w:szCs w:val="24"/>
          <w:highlight w:val="none"/>
          <w:lang w:val="en-US" w:eastAsia="zh-CN"/>
        </w:rPr>
        <w:t>向承包人支付提前工期奖。</w:t>
      </w:r>
    </w:p>
    <w:p w14:paraId="2BBEE801">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12.暂停施工</w:t>
      </w:r>
    </w:p>
    <w:p w14:paraId="387D3488">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12.2 发包人暂停施工的责任</w:t>
      </w:r>
    </w:p>
    <w:p w14:paraId="0932096F">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通用条款本款修改为：</w:t>
      </w:r>
    </w:p>
    <w:p w14:paraId="360A7B07">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由于发包人原因引起的暂停施工造成工期延误的，承包人可获得适当的工期延长。</w:t>
      </w:r>
    </w:p>
    <w:p w14:paraId="0DEE6F8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要求发包人延长工期的，必须在14日历天内向监理人提交报告，举证证明延误工期的因素符合合同约定，并证明这个因素确实导致工期延误的具体天数以及延误工期的因素和延误的天数之间具有因果关系。监理人在收到报告7日历天内报发包人确认并予以答复，以确定工期延长的天数；发包人不支付增加费用和利润。</w:t>
      </w:r>
    </w:p>
    <w:p w14:paraId="27C503B2">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因发包人原因或不可抗力或其他标段影响等非承包人原因造成的工期延误，双方协商确定工期顺延时间，不补偿费用。</w:t>
      </w:r>
    </w:p>
    <w:p w14:paraId="58BC3F53">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12.4 暂停施工后的复工</w:t>
      </w:r>
    </w:p>
    <w:p w14:paraId="51E8A3D3">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通用条款本款第12.4.2项修改为：</w:t>
      </w:r>
    </w:p>
    <w:p w14:paraId="113B21A1">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承包人无故拖延和拒绝复工的，由此增加的费用和工期延误由承包人承担；因发包人原因无法按时复工的，承包人可获得适当的工期延长；发包人不支付增加费用和利润。</w:t>
      </w:r>
    </w:p>
    <w:p w14:paraId="112E3E34">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要求发包人延长工期的，必须在14日历天内向监理人提交报告，举证证明延误工期的因素符合合同约定，并证明这个因素确实导致工期延误的具体天数以及延误工期的因素和延误的天数之间具有因果关系。监理人在收到报告7日历天内报发包人确认并予以答复，以确定工期延长的天数；发包人不支付增加费用和利润。</w:t>
      </w:r>
    </w:p>
    <w:p w14:paraId="0F6339CC">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13．工程质量</w:t>
      </w:r>
    </w:p>
    <w:p w14:paraId="5EC81CB2">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13.1 工程质量要求</w:t>
      </w:r>
    </w:p>
    <w:p w14:paraId="65EB2407">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质量验收按现行水运工程质量检验标准执行，若标准有修订，按新修订的标准执行，质量标准的评定以国家和相关行业的质量检验评定标准、工程图纸及技术规格书、技术标准和要求等中较严格者为准。其中疏浚工程验收以发包人委托第三方采取多波束扫测方式及硬扫验收。</w:t>
      </w:r>
    </w:p>
    <w:p w14:paraId="669DF1C3">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13.1.3 通用条款本款修改为：</w:t>
      </w:r>
    </w:p>
    <w:p w14:paraId="1EFC92BB">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因发包人原因造成工程质量达不到合同约定验收标准的，发包人应承担由于承包人返工造成的直接成本费用补偿（不含利润）和适当的工期延误。</w:t>
      </w:r>
    </w:p>
    <w:p w14:paraId="0B44ED9D">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13.1.4 质量标准</w:t>
      </w:r>
    </w:p>
    <w:p w14:paraId="4C450C39">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(1)现行水运工程质量检验标准；</w:t>
      </w:r>
    </w:p>
    <w:p w14:paraId="0938C80B">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(2)其他现行工程质量检验标准；</w:t>
      </w:r>
    </w:p>
    <w:p w14:paraId="0BCD5D5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(3)以上标准如有修订，按新修订的标准执行。</w:t>
      </w:r>
    </w:p>
    <w:p w14:paraId="66CC9C68">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13.1.5 质量目标</w:t>
      </w:r>
    </w:p>
    <w:p w14:paraId="5D038F9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本工程质量目标：</w:t>
      </w:r>
      <w:r>
        <w:rPr>
          <w:rFonts w:hint="eastAsia" w:ascii="宋体" w:hAnsi="宋体" w:eastAsia="宋体" w:cs="宋体"/>
          <w:color w:val="auto"/>
          <w:sz w:val="24"/>
          <w:szCs w:val="24"/>
          <w:highlight w:val="none"/>
          <w:u w:val="single"/>
          <w:lang w:val="en-US" w:eastAsia="zh-CN"/>
        </w:rPr>
        <w:t xml:space="preserve"> 合格 </w:t>
      </w:r>
      <w:r>
        <w:rPr>
          <w:rFonts w:hint="eastAsia" w:ascii="宋体" w:hAnsi="宋体" w:eastAsia="宋体" w:cs="宋体"/>
          <w:color w:val="auto"/>
          <w:sz w:val="24"/>
          <w:szCs w:val="24"/>
          <w:highlight w:val="none"/>
          <w:lang w:val="en-US" w:eastAsia="zh-CN"/>
        </w:rPr>
        <w:t>。</w:t>
      </w:r>
    </w:p>
    <w:p w14:paraId="71AFC9F2">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13.2 承包人的质量管理</w:t>
      </w:r>
    </w:p>
    <w:p w14:paraId="1F4F204E">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本条补充：承包人应在合同生效后</w:t>
      </w:r>
      <w:r>
        <w:rPr>
          <w:rFonts w:hint="eastAsia" w:ascii="宋体" w:hAnsi="宋体" w:eastAsia="宋体" w:cs="宋体"/>
          <w:color w:val="auto"/>
          <w:sz w:val="24"/>
          <w:szCs w:val="24"/>
          <w:highlight w:val="none"/>
          <w:u w:val="single"/>
          <w:lang w:val="en-US" w:eastAsia="zh-CN"/>
        </w:rPr>
        <w:t xml:space="preserve"> 15 个</w:t>
      </w:r>
      <w:r>
        <w:rPr>
          <w:rFonts w:hint="eastAsia" w:ascii="宋体" w:hAnsi="宋体" w:eastAsia="宋体" w:cs="宋体"/>
          <w:color w:val="auto"/>
          <w:sz w:val="24"/>
          <w:szCs w:val="24"/>
          <w:highlight w:val="none"/>
          <w:lang w:val="en-US" w:eastAsia="zh-CN"/>
        </w:rPr>
        <w:t>日历天内，提交工程质量保证措施文件。</w:t>
      </w:r>
    </w:p>
    <w:p w14:paraId="2276DAB8">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13.5 工程隐蔽部位覆盖前的检查</w:t>
      </w:r>
    </w:p>
    <w:p w14:paraId="3689B86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13.5.1 通知监理人检查</w:t>
      </w:r>
    </w:p>
    <w:p w14:paraId="271A2812">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承包人通知及监理人检查时限：承包人在自检合格后，填写隐蔽工程验收申请单，在覆盖前</w:t>
      </w:r>
      <w:r>
        <w:rPr>
          <w:rFonts w:hint="eastAsia" w:ascii="宋体" w:hAnsi="宋体" w:eastAsia="宋体" w:cs="宋体"/>
          <w:color w:val="auto"/>
          <w:sz w:val="24"/>
          <w:szCs w:val="24"/>
          <w:highlight w:val="none"/>
          <w:u w:val="single"/>
          <w:lang w:val="en-US" w:eastAsia="zh-CN"/>
        </w:rPr>
        <w:t xml:space="preserve"> 24 </w:t>
      </w:r>
      <w:r>
        <w:rPr>
          <w:rFonts w:hint="eastAsia" w:ascii="宋体" w:hAnsi="宋体" w:eastAsia="宋体" w:cs="宋体"/>
          <w:color w:val="auto"/>
          <w:sz w:val="24"/>
          <w:szCs w:val="24"/>
          <w:highlight w:val="none"/>
          <w:lang w:val="en-US" w:eastAsia="zh-CN"/>
        </w:rPr>
        <w:t>小时，通知监理人进行验收；监理人在接到通知</w:t>
      </w:r>
      <w:r>
        <w:rPr>
          <w:rFonts w:hint="eastAsia" w:ascii="宋体" w:hAnsi="宋体" w:eastAsia="宋体" w:cs="宋体"/>
          <w:color w:val="auto"/>
          <w:sz w:val="24"/>
          <w:szCs w:val="24"/>
          <w:highlight w:val="none"/>
          <w:u w:val="single"/>
          <w:lang w:val="en-US" w:eastAsia="zh-CN"/>
        </w:rPr>
        <w:t xml:space="preserve"> 24 </w:t>
      </w:r>
      <w:r>
        <w:rPr>
          <w:rFonts w:hint="eastAsia" w:ascii="宋体" w:hAnsi="宋体" w:eastAsia="宋体" w:cs="宋体"/>
          <w:color w:val="auto"/>
          <w:sz w:val="24"/>
          <w:szCs w:val="24"/>
          <w:highlight w:val="none"/>
          <w:lang w:val="en-US" w:eastAsia="zh-CN"/>
        </w:rPr>
        <w:t>小时内进行验收。经监理人验收合格并在验收记录上签认后，承包人可进行覆盖和继续施工；若验收不合格，承包人应按监理人的要求整改并重新申请验收。</w:t>
      </w:r>
    </w:p>
    <w:p w14:paraId="3389A84F">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13.</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通用条款本款修改为：</w:t>
      </w:r>
    </w:p>
    <w:p w14:paraId="52AD56D3">
      <w:pPr>
        <w:spacing w:line="400" w:lineRule="exact"/>
        <w:ind w:firstLine="480" w:firstLineChars="200"/>
        <w:jc w:val="both"/>
        <w:rPr>
          <w:rFonts w:hint="eastAsia"/>
          <w:color w:val="000000"/>
          <w:sz w:val="24"/>
          <w:szCs w:val="24"/>
          <w:highlight w:val="none"/>
          <w:lang w:val="en-US"/>
        </w:rPr>
      </w:pPr>
      <w:r>
        <w:rPr>
          <w:rFonts w:hint="eastAsia" w:ascii="宋体" w:hAnsi="宋体" w:eastAsia="宋体" w:cs="宋体"/>
          <w:color w:val="auto"/>
          <w:sz w:val="24"/>
          <w:szCs w:val="24"/>
          <w:highlight w:val="none"/>
          <w:lang w:eastAsia="zh-CN"/>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如果因此导致承包人费用增加的，可获得直接成本费用补偿（不含利润）；经检验证明工程质量不符合合同要求的，由此增加的费用和（或）工期延误由承包人承担。</w:t>
      </w:r>
    </w:p>
    <w:p w14:paraId="517F529B">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13.6 清除不合格工程</w:t>
      </w:r>
    </w:p>
    <w:p w14:paraId="3F79B51D">
      <w:pPr>
        <w:spacing w:line="400" w:lineRule="exact"/>
        <w:ind w:firstLine="480" w:firstLineChars="200"/>
        <w:jc w:val="both"/>
        <w:rPr>
          <w:rFonts w:hint="eastAsia"/>
          <w:color w:val="000000"/>
          <w:sz w:val="24"/>
          <w:szCs w:val="24"/>
          <w:highlight w:val="none"/>
        </w:rPr>
      </w:pPr>
      <w:r>
        <w:rPr>
          <w:rFonts w:hint="eastAsia" w:ascii="宋体" w:hAnsi="宋体" w:eastAsia="宋体" w:cs="宋体"/>
          <w:color w:val="auto"/>
          <w:sz w:val="24"/>
          <w:szCs w:val="24"/>
          <w:highlight w:val="none"/>
          <w:lang w:eastAsia="zh-CN"/>
        </w:rPr>
        <w:t>通用条款本款第13.6.2项本合同不适用。</w:t>
      </w:r>
    </w:p>
    <w:p w14:paraId="14FD8A4D">
      <w:pPr>
        <w:spacing w:line="400" w:lineRule="exact"/>
        <w:ind w:firstLine="480" w:firstLineChars="200"/>
        <w:jc w:val="both"/>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通用条款本条增加第13.7款的内容：</w:t>
      </w:r>
    </w:p>
    <w:p w14:paraId="02FC82A1">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13.7 质量监督与处罚</w:t>
      </w:r>
    </w:p>
    <w:p w14:paraId="5A394214">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若质量监督部门有关检查工作中发现有涉及工程质量或安全问题，承包人不按要求整改，同一问题再次发生的，发包人有权对承包人处以</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万元/次违约金。由此而发生质量事故、安全生产事故，承包人按照有关规定承担全部责任，同时发包人有权按第22.1.3项、22.1.4项约定解除本合同。</w:t>
      </w:r>
    </w:p>
    <w:p w14:paraId="7B9EE423">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14．试验和检验</w:t>
      </w:r>
    </w:p>
    <w:p w14:paraId="2FD9F20C">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14.1 材料、工程设备和工程的试验和检验</w:t>
      </w:r>
    </w:p>
    <w:p w14:paraId="24AED41F">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14.1.1 承包人进行材料、工程设备和工程的试验和检验的规定：</w:t>
      </w:r>
    </w:p>
    <w:p w14:paraId="726AA833">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（1）有关试验和检验应严格按照相关规范执行；</w:t>
      </w:r>
    </w:p>
    <w:p w14:paraId="1F58AB73">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（2）材料、构件、配件和工程设备订货前，承包人应向监理人提供生产厂家的生产许可证和相应资质证明文件等材料，对新材料、新产品还应提供鉴定证明和有关确认文件。</w:t>
      </w:r>
    </w:p>
    <w:p w14:paraId="25C7559D">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监理人与承包人应共同进行试验和检验的项目：按最新水运工程施工监理规范执行。</w:t>
      </w:r>
    </w:p>
    <w:p w14:paraId="6F21A006">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 xml:space="preserve">3 </w:t>
      </w:r>
      <w:r>
        <w:rPr>
          <w:rFonts w:hint="eastAsia" w:ascii="宋体" w:hAnsi="宋体" w:eastAsia="宋体" w:cs="宋体"/>
          <w:b w:val="0"/>
          <w:bCs w:val="0"/>
          <w:color w:val="auto"/>
          <w:sz w:val="24"/>
          <w:szCs w:val="24"/>
          <w:highlight w:val="none"/>
          <w:lang w:eastAsia="zh-CN"/>
        </w:rPr>
        <w:t>通用条款本款修改为：</w:t>
      </w:r>
    </w:p>
    <w:p w14:paraId="4BB2905F">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承包人可获得适当的工期延长，如果因此导致承包人费用增加的，可获得直接成本费用补偿（不含利润）。</w:t>
      </w:r>
    </w:p>
    <w:p w14:paraId="6CD265C1">
      <w:pPr>
        <w:spacing w:line="400" w:lineRule="exact"/>
        <w:ind w:firstLine="480" w:firstLineChars="200"/>
        <w:jc w:val="both"/>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通用条款本条增加第14.4款的内容：</w:t>
      </w:r>
    </w:p>
    <w:p w14:paraId="26FF759D">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14.4 试验和检验费用</w:t>
      </w:r>
    </w:p>
    <w:p w14:paraId="64294C93">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国家规范或行业主管部门要求必须由招标人、监理单位负责的</w:t>
      </w:r>
      <w:r>
        <w:rPr>
          <w:rFonts w:hint="eastAsia" w:ascii="宋体" w:hAnsi="宋体" w:eastAsia="宋体" w:cs="宋体"/>
          <w:color w:val="auto"/>
          <w:sz w:val="24"/>
          <w:szCs w:val="24"/>
          <w:highlight w:val="none"/>
          <w:lang w:eastAsia="zh-CN"/>
        </w:rPr>
        <w:t>试验、</w:t>
      </w:r>
      <w:r>
        <w:rPr>
          <w:rFonts w:hint="eastAsia" w:ascii="宋体" w:hAnsi="宋体" w:eastAsia="宋体" w:cs="宋体"/>
          <w:color w:val="auto"/>
          <w:sz w:val="24"/>
          <w:szCs w:val="24"/>
          <w:highlight w:val="none"/>
          <w:lang w:val="en-US" w:eastAsia="zh-CN"/>
        </w:rPr>
        <w:t>检测、监测，由招标人、监理单位负责并承担相应费用，其余本次招标施工范围内的</w:t>
      </w:r>
      <w:r>
        <w:rPr>
          <w:rFonts w:hint="eastAsia" w:ascii="宋体" w:hAnsi="宋体" w:eastAsia="宋体" w:cs="宋体"/>
          <w:color w:val="auto"/>
          <w:sz w:val="24"/>
          <w:szCs w:val="24"/>
          <w:highlight w:val="none"/>
          <w:lang w:eastAsia="zh-CN"/>
        </w:rPr>
        <w:t>试验、</w:t>
      </w:r>
      <w:r>
        <w:rPr>
          <w:rFonts w:hint="eastAsia" w:ascii="宋体" w:hAnsi="宋体" w:eastAsia="宋体" w:cs="宋体"/>
          <w:color w:val="auto"/>
          <w:sz w:val="24"/>
          <w:szCs w:val="24"/>
          <w:highlight w:val="none"/>
          <w:lang w:val="en-US" w:eastAsia="zh-CN"/>
        </w:rPr>
        <w:t>检测、监测</w:t>
      </w:r>
      <w:r>
        <w:rPr>
          <w:rFonts w:hint="eastAsia" w:ascii="宋体" w:hAnsi="宋体" w:eastAsia="宋体" w:cs="宋体"/>
          <w:color w:val="auto"/>
          <w:sz w:val="24"/>
          <w:szCs w:val="24"/>
          <w:highlight w:val="none"/>
          <w:lang w:eastAsia="zh-CN"/>
        </w:rPr>
        <w:t>全部由投标人负责。</w:t>
      </w:r>
    </w:p>
    <w:p w14:paraId="24ECEAAD">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15．变更</w:t>
      </w:r>
    </w:p>
    <w:p w14:paraId="64376A50">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15.1 变更的范围和内容</w:t>
      </w:r>
    </w:p>
    <w:p w14:paraId="1BB71F55">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在履行合同中发生以下情形之一，应按照通用条</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lang w:eastAsia="zh-CN"/>
        </w:rPr>
        <w:t>15.1条和本条约定进行变更。</w:t>
      </w:r>
    </w:p>
    <w:p w14:paraId="58AC7CEC">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通用条款15.1（1）至（5）的情形；</w:t>
      </w:r>
    </w:p>
    <w:p w14:paraId="3F38E521">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）工程量清单中某单项工程量变化时，工程结算时按发包人审核后的实际工程量进行结算。</w:t>
      </w:r>
    </w:p>
    <w:p w14:paraId="79AA506D">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15.2 下列事项不应被视为本条所指的变更：</w:t>
      </w:r>
    </w:p>
    <w:p w14:paraId="464C1192">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(1)因承包人（包括其任何分包人、供货商、服务商等）的原因导致合同项下工作的任何改变、修改、修正；</w:t>
      </w:r>
    </w:p>
    <w:p w14:paraId="01D2AD6F">
      <w:pPr>
        <w:spacing w:line="400" w:lineRule="exact"/>
        <w:ind w:firstLine="480" w:firstLineChars="200"/>
        <w:jc w:val="both"/>
        <w:rPr>
          <w:rFonts w:hint="eastAsia"/>
          <w:color w:val="000000"/>
          <w:sz w:val="24"/>
          <w:szCs w:val="24"/>
          <w:highlight w:val="none"/>
          <w:lang w:val="en-US"/>
        </w:rPr>
      </w:pPr>
      <w:r>
        <w:rPr>
          <w:rFonts w:hint="eastAsia" w:ascii="宋体" w:hAnsi="宋体" w:eastAsia="宋体" w:cs="宋体"/>
          <w:color w:val="auto"/>
          <w:sz w:val="24"/>
          <w:szCs w:val="24"/>
          <w:highlight w:val="none"/>
          <w:lang w:val="en-US" w:eastAsia="zh-CN"/>
        </w:rPr>
        <w:t>(2)合同中虽未明确规定但系承包人完成工程所必须完成的工作；</w:t>
      </w:r>
    </w:p>
    <w:p w14:paraId="5B271FAD">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15.4 变更的估价原则</w:t>
      </w:r>
    </w:p>
    <w:p w14:paraId="7197A68E">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15.4.1</w:t>
      </w:r>
      <w:r>
        <w:rPr>
          <w:rFonts w:hint="eastAsia" w:ascii="宋体" w:hAnsi="宋体" w:eastAsia="宋体" w:cs="宋体"/>
          <w:color w:val="auto"/>
          <w:sz w:val="24"/>
          <w:szCs w:val="24"/>
          <w:highlight w:val="none"/>
          <w:lang w:eastAsia="zh-CN"/>
        </w:rPr>
        <w:t>合同中已有适用于变更工程的综合单价，按合同已有的综合单价结算变更工程价款；</w:t>
      </w:r>
    </w:p>
    <w:p w14:paraId="436A189E">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15.4.2</w:t>
      </w:r>
      <w:r>
        <w:rPr>
          <w:rFonts w:hint="eastAsia" w:ascii="宋体" w:hAnsi="宋体" w:eastAsia="宋体" w:cs="宋体"/>
          <w:color w:val="auto"/>
          <w:sz w:val="24"/>
          <w:szCs w:val="24"/>
          <w:highlight w:val="none"/>
          <w:lang w:eastAsia="zh-CN"/>
        </w:rPr>
        <w:t>合同中已有类似于变更工程的综合单价，参照类似综合单价并共同协商确定变更工程的单价，结算变更工程价款；</w:t>
      </w:r>
    </w:p>
    <w:p w14:paraId="47BC1EA3">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15.4.3</w:t>
      </w:r>
      <w:r>
        <w:rPr>
          <w:rFonts w:hint="eastAsia" w:ascii="宋体" w:hAnsi="宋体" w:eastAsia="宋体" w:cs="宋体"/>
          <w:color w:val="auto"/>
          <w:sz w:val="24"/>
          <w:szCs w:val="24"/>
          <w:highlight w:val="none"/>
          <w:lang w:eastAsia="zh-CN"/>
        </w:rPr>
        <w:t>合同中没有适用或类似变更工程的单价，由乙方依据变更工程资料，参</w:t>
      </w:r>
      <w:r>
        <w:rPr>
          <w:rFonts w:hint="eastAsia" w:ascii="宋体" w:hAnsi="宋体" w:eastAsia="宋体" w:cs="宋体"/>
          <w:color w:val="auto"/>
          <w:sz w:val="24"/>
          <w:szCs w:val="24"/>
          <w:highlight w:val="none"/>
          <w:lang w:val="en-US" w:eastAsia="zh-CN"/>
        </w:rPr>
        <w:t>照现行的行业、地方</w:t>
      </w:r>
      <w:r>
        <w:rPr>
          <w:rFonts w:hint="eastAsia" w:ascii="宋体" w:hAnsi="宋体" w:eastAsia="宋体" w:cs="宋体"/>
          <w:color w:val="auto"/>
          <w:sz w:val="24"/>
          <w:szCs w:val="24"/>
          <w:highlight w:val="none"/>
          <w:lang w:eastAsia="zh-CN"/>
        </w:rPr>
        <w:t>计量、计价规范、及费率、税金、</w:t>
      </w:r>
      <w:r>
        <w:rPr>
          <w:rFonts w:hint="eastAsia" w:ascii="宋体" w:hAnsi="宋体" w:eastAsia="宋体" w:cs="宋体"/>
          <w:color w:val="auto"/>
          <w:sz w:val="24"/>
          <w:szCs w:val="24"/>
          <w:highlight w:val="none"/>
          <w:lang w:val="en-US" w:eastAsia="zh-CN"/>
        </w:rPr>
        <w:t>报价浮动率</w:t>
      </w:r>
      <w:r>
        <w:rPr>
          <w:rFonts w:hint="eastAsia" w:ascii="宋体" w:hAnsi="宋体" w:eastAsia="宋体" w:cs="宋体"/>
          <w:color w:val="auto"/>
          <w:sz w:val="24"/>
          <w:szCs w:val="24"/>
          <w:highlight w:val="none"/>
          <w:lang w:eastAsia="zh-CN"/>
        </w:rPr>
        <w:t>标准编制新单价，并经</w:t>
      </w:r>
      <w:r>
        <w:rPr>
          <w:rFonts w:hint="eastAsia" w:ascii="宋体" w:hAnsi="宋体" w:eastAsia="宋体" w:cs="宋体"/>
          <w:color w:val="auto"/>
          <w:sz w:val="24"/>
          <w:szCs w:val="24"/>
          <w:highlight w:val="none"/>
          <w:lang w:val="en-US" w:eastAsia="zh-CN"/>
        </w:rPr>
        <w:t>监理人及发包人</w:t>
      </w:r>
      <w:r>
        <w:rPr>
          <w:rFonts w:hint="eastAsia" w:ascii="宋体" w:hAnsi="宋体" w:eastAsia="宋体" w:cs="宋体"/>
          <w:color w:val="auto"/>
          <w:sz w:val="24"/>
          <w:szCs w:val="24"/>
          <w:highlight w:val="none"/>
          <w:lang w:eastAsia="zh-CN"/>
        </w:rPr>
        <w:t>审核，结合工程实际情况共同协商确定变更工程的单价。</w:t>
      </w:r>
    </w:p>
    <w:p w14:paraId="195BC23D">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15.4.</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另行委托的合同外项目</w:t>
      </w:r>
    </w:p>
    <w:p w14:paraId="450F2648">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合同中</w:t>
      </w:r>
      <w:r>
        <w:rPr>
          <w:rFonts w:hint="eastAsia" w:ascii="宋体" w:hAnsi="宋体" w:eastAsia="宋体" w:cs="宋体"/>
          <w:b w:val="0"/>
          <w:bCs w:val="0"/>
          <w:color w:val="auto"/>
          <w:sz w:val="24"/>
          <w:szCs w:val="24"/>
          <w:highlight w:val="none"/>
          <w:lang w:eastAsia="zh-CN"/>
        </w:rPr>
        <w:t>有适用于变更工作的子目的，采用该子目的单价。</w:t>
      </w:r>
    </w:p>
    <w:p w14:paraId="621BAAF7">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合同中</w:t>
      </w:r>
      <w:r>
        <w:rPr>
          <w:rFonts w:hint="eastAsia" w:ascii="宋体" w:hAnsi="宋体" w:eastAsia="宋体" w:cs="宋体"/>
          <w:b w:val="0"/>
          <w:bCs w:val="0"/>
          <w:color w:val="auto"/>
          <w:sz w:val="24"/>
          <w:szCs w:val="24"/>
          <w:highlight w:val="none"/>
          <w:lang w:eastAsia="zh-CN"/>
        </w:rPr>
        <w:t>无适用于变更工作的子目，但有类似子目的，可在合理范围内参照类似子目的单价，由监理人、甲方与乙方商定，最终由甲方确定变更工作的单价。</w:t>
      </w:r>
    </w:p>
    <w:p w14:paraId="36F29798">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合同中</w:t>
      </w:r>
      <w:r>
        <w:rPr>
          <w:rFonts w:hint="eastAsia" w:ascii="宋体" w:hAnsi="宋体" w:eastAsia="宋体" w:cs="宋体"/>
          <w:b w:val="0"/>
          <w:bCs w:val="0"/>
          <w:color w:val="auto"/>
          <w:sz w:val="24"/>
          <w:szCs w:val="24"/>
          <w:highlight w:val="none"/>
          <w:lang w:eastAsia="zh-CN"/>
        </w:rPr>
        <w:t>无适用或类似子目的单价，</w:t>
      </w:r>
      <w:r>
        <w:rPr>
          <w:rFonts w:hint="eastAsia" w:ascii="宋体" w:hAnsi="宋体" w:eastAsia="宋体" w:cs="宋体"/>
          <w:color w:val="auto"/>
          <w:sz w:val="24"/>
          <w:szCs w:val="24"/>
          <w:highlight w:val="none"/>
          <w:lang w:eastAsia="zh-CN"/>
        </w:rPr>
        <w:t>由乙方依据变更工程资料，参</w:t>
      </w:r>
      <w:r>
        <w:rPr>
          <w:rFonts w:hint="eastAsia" w:ascii="宋体" w:hAnsi="宋体" w:eastAsia="宋体" w:cs="宋体"/>
          <w:color w:val="auto"/>
          <w:sz w:val="24"/>
          <w:szCs w:val="24"/>
          <w:highlight w:val="none"/>
          <w:lang w:val="en-US" w:eastAsia="zh-CN"/>
        </w:rPr>
        <w:t>照现行的行业、地方</w:t>
      </w:r>
      <w:r>
        <w:rPr>
          <w:rFonts w:hint="eastAsia" w:ascii="宋体" w:hAnsi="宋体" w:eastAsia="宋体" w:cs="宋体"/>
          <w:color w:val="auto"/>
          <w:sz w:val="24"/>
          <w:szCs w:val="24"/>
          <w:highlight w:val="none"/>
          <w:lang w:eastAsia="zh-CN"/>
        </w:rPr>
        <w:t>计量、计价规范、及费率、税金、</w:t>
      </w:r>
      <w:r>
        <w:rPr>
          <w:rFonts w:hint="eastAsia" w:ascii="宋体" w:hAnsi="宋体" w:eastAsia="宋体" w:cs="宋体"/>
          <w:color w:val="auto"/>
          <w:sz w:val="24"/>
          <w:szCs w:val="24"/>
          <w:highlight w:val="none"/>
          <w:lang w:val="en-US" w:eastAsia="zh-CN"/>
        </w:rPr>
        <w:t>报价浮动率</w:t>
      </w:r>
      <w:r>
        <w:rPr>
          <w:rFonts w:hint="eastAsia" w:ascii="宋体" w:hAnsi="宋体" w:eastAsia="宋体" w:cs="宋体"/>
          <w:color w:val="auto"/>
          <w:sz w:val="24"/>
          <w:szCs w:val="24"/>
          <w:highlight w:val="none"/>
          <w:lang w:eastAsia="zh-CN"/>
        </w:rPr>
        <w:t>标准编制新单价，并经</w:t>
      </w:r>
      <w:r>
        <w:rPr>
          <w:rFonts w:hint="eastAsia" w:ascii="宋体" w:hAnsi="宋体" w:eastAsia="宋体" w:cs="宋体"/>
          <w:color w:val="auto"/>
          <w:sz w:val="24"/>
          <w:szCs w:val="24"/>
          <w:highlight w:val="none"/>
          <w:lang w:val="en-US" w:eastAsia="zh-CN"/>
        </w:rPr>
        <w:t>监理人及发包人</w:t>
      </w:r>
      <w:r>
        <w:rPr>
          <w:rFonts w:hint="eastAsia" w:ascii="宋体" w:hAnsi="宋体" w:eastAsia="宋体" w:cs="宋体"/>
          <w:color w:val="auto"/>
          <w:sz w:val="24"/>
          <w:szCs w:val="24"/>
          <w:highlight w:val="none"/>
          <w:lang w:eastAsia="zh-CN"/>
        </w:rPr>
        <w:t>审核，结合工程实际情况共同协商确定变更工程的单价。</w:t>
      </w:r>
    </w:p>
    <w:p w14:paraId="4F1C0E79">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设计漏项：即招标文件中遗漏或新增的项目，</w:t>
      </w:r>
      <w:r>
        <w:rPr>
          <w:rFonts w:hint="eastAsia" w:ascii="宋体" w:hAnsi="宋体" w:eastAsia="宋体" w:cs="宋体"/>
          <w:color w:val="auto"/>
          <w:sz w:val="24"/>
          <w:szCs w:val="24"/>
          <w:highlight w:val="none"/>
          <w:lang w:val="en-US" w:eastAsia="zh-CN"/>
        </w:rPr>
        <w:t>参照上述15.4.1、15.4.2、15.4.3及15.4.4执行</w:t>
      </w:r>
      <w:r>
        <w:rPr>
          <w:rFonts w:hint="eastAsia" w:ascii="宋体" w:hAnsi="宋体" w:eastAsia="宋体" w:cs="宋体"/>
          <w:color w:val="auto"/>
          <w:sz w:val="24"/>
          <w:szCs w:val="24"/>
          <w:highlight w:val="none"/>
          <w:lang w:eastAsia="zh-CN"/>
        </w:rPr>
        <w:t>。</w:t>
      </w:r>
    </w:p>
    <w:p w14:paraId="6A7DAF0D">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通用条款15.4.3项文末增加以下内容：</w:t>
      </w:r>
    </w:p>
    <w:p w14:paraId="4BC5E8C7">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已标价工程量清单中无适用或类似子目的单价，根据工程所在地区信息价（优先级为</w:t>
      </w:r>
      <w:r>
        <w:rPr>
          <w:rFonts w:hint="eastAsia" w:ascii="宋体" w:hAnsi="宋体" w:eastAsia="宋体" w:cs="宋体"/>
          <w:color w:val="auto"/>
          <w:sz w:val="24"/>
          <w:szCs w:val="24"/>
          <w:highlight w:val="none"/>
          <w:lang w:val="en-US" w:eastAsia="zh-CN"/>
        </w:rPr>
        <w:t>投标材料单价、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汕头</w:t>
      </w:r>
      <w:r>
        <w:rPr>
          <w:rFonts w:hint="eastAsia" w:ascii="宋体" w:hAnsi="宋体" w:eastAsia="宋体" w:cs="宋体"/>
          <w:color w:val="auto"/>
          <w:sz w:val="24"/>
          <w:szCs w:val="24"/>
          <w:highlight w:val="none"/>
          <w:lang w:eastAsia="zh-CN"/>
        </w:rPr>
        <w:t>建设工程造价信息》、周边市（按与</w:t>
      </w:r>
      <w:r>
        <w:rPr>
          <w:rFonts w:hint="eastAsia" w:ascii="宋体" w:hAnsi="宋体" w:eastAsia="宋体" w:cs="宋体"/>
          <w:color w:val="auto"/>
          <w:sz w:val="24"/>
          <w:szCs w:val="24"/>
          <w:highlight w:val="none"/>
          <w:lang w:val="en-US" w:eastAsia="zh-CN"/>
        </w:rPr>
        <w:t>汕头</w:t>
      </w:r>
      <w:r>
        <w:rPr>
          <w:rFonts w:hint="eastAsia" w:ascii="宋体" w:hAnsi="宋体" w:eastAsia="宋体" w:cs="宋体"/>
          <w:color w:val="auto"/>
          <w:sz w:val="24"/>
          <w:szCs w:val="24"/>
          <w:highlight w:val="none"/>
          <w:lang w:eastAsia="zh-CN"/>
        </w:rPr>
        <w:t>市的距离确定优先级，市级人民政府距离短的优先）、《广东省交通建设工程主要外购材料信息价》的施工同期工程造价管理机构发布的信息（参考）价格）和承包人报价浮动率计算清单项目的单价；如工程所在地区的工程造价管理机构发布的信息（参考）价格缺价的，通过市场询价，经合同双方当事人确认后调整，根据调整后价格和承包人报价浮动率计算清单项目的单价。其中，承包人报价浮动率=1-[(中标价格-不可竞争费用) / (招标控制价-不可竞争费用)]×100%，不可竞争费用是指安全文明施工措施费、暂列金额和暂估价。</w:t>
      </w:r>
    </w:p>
    <w:p w14:paraId="49F98F65">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通用条款本款增加15.4.4项：</w:t>
      </w:r>
    </w:p>
    <w:p w14:paraId="08D99114">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15.4.4 如果本工程的变更指示是因承包人过错、承包人违反合同或承包人责任造成的，则这种违约引起的任何额外费用应由承包人承担。</w:t>
      </w:r>
    </w:p>
    <w:p w14:paraId="08EBF2C0">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15.5 承包人的合理化建议</w:t>
      </w:r>
    </w:p>
    <w:p w14:paraId="53BD8C9F">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15.5.2 对承包人合理化建议奖励的标准</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eastAsia="zh-CN"/>
        </w:rPr>
        <w:t xml:space="preserve">  无  </w:t>
      </w:r>
      <w:r>
        <w:rPr>
          <w:rFonts w:hint="eastAsia" w:ascii="宋体" w:hAnsi="宋体" w:eastAsia="宋体" w:cs="宋体"/>
          <w:color w:val="auto"/>
          <w:sz w:val="24"/>
          <w:szCs w:val="24"/>
          <w:highlight w:val="none"/>
          <w:lang w:eastAsia="zh-CN"/>
        </w:rPr>
        <w:t>。</w:t>
      </w:r>
    </w:p>
    <w:p w14:paraId="05C5B408">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15.6 暂列金额</w:t>
      </w:r>
    </w:p>
    <w:p w14:paraId="12A4C1C8">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本项目暂列金额</w:t>
      </w:r>
      <w:r>
        <w:rPr>
          <w:rFonts w:hint="eastAsia" w:ascii="宋体" w:hAnsi="宋体" w:eastAsia="宋体" w:cs="宋体"/>
          <w:color w:val="auto"/>
          <w:sz w:val="24"/>
          <w:szCs w:val="24"/>
          <w:highlight w:val="none"/>
          <w:lang w:val="en-US" w:eastAsia="zh-CN"/>
        </w:rPr>
        <w:t>包含于投标总价中，具体额度详见工程量清单</w:t>
      </w:r>
      <w:r>
        <w:rPr>
          <w:rFonts w:hint="eastAsia" w:ascii="宋体" w:hAnsi="宋体" w:eastAsia="宋体" w:cs="宋体"/>
          <w:color w:val="auto"/>
          <w:sz w:val="24"/>
          <w:szCs w:val="24"/>
          <w:highlight w:val="none"/>
          <w:lang w:eastAsia="zh-CN"/>
        </w:rPr>
        <w:t>。</w:t>
      </w:r>
    </w:p>
    <w:p w14:paraId="06AB0A1E">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通用条款本条增加15.9款内容：</w:t>
      </w:r>
    </w:p>
    <w:p w14:paraId="44A8AF68">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15.9 变更管理</w:t>
      </w:r>
    </w:p>
    <w:p w14:paraId="42E73DAD">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15.9.1 设计变更管理按照交通运输部、广东省交通运输厅有关变更管理规定执行。</w:t>
      </w:r>
    </w:p>
    <w:p w14:paraId="3C9AF605">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15.9.2 所有变更必须遵循提出—批复—实施的先后顺序原则进行。承包人必须在实施变更工程</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eastAsia="zh-CN"/>
        </w:rPr>
        <w:t>日历天（特殊紧急工程不少于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eastAsia="zh-CN"/>
        </w:rPr>
        <w:t>日历天）前报送书面的变更申请报告及相应的工程预算书，否则发包人有权拒绝支付全部或部分变更工程费用。由于承包人逾期提交变更申请报告及相应的工程预算书导致发包人全部或部分不支付变更工程费用的，不免除承包人按合同约定实施变更工程的责任和义务。</w:t>
      </w:r>
    </w:p>
    <w:p w14:paraId="225B1156">
      <w:pPr>
        <w:numPr>
          <w:ilvl w:val="-1"/>
          <w:numId w:val="0"/>
        </w:num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有关变更新增：本项目后期可能出现的设计优化、工程变更、发包人取消指令等，发包人有权取消任何工作,不补偿与取消工作相关的一切费用。</w:t>
      </w:r>
    </w:p>
    <w:p w14:paraId="3FE38A5C">
      <w:pPr>
        <w:pStyle w:val="1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16．价格调整</w:t>
      </w:r>
    </w:p>
    <w:p w14:paraId="09AB2CCF">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16.1 物价波动引起的价格调整</w:t>
      </w:r>
    </w:p>
    <w:p w14:paraId="766DB33D">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通用条款本款修改为：</w:t>
      </w:r>
    </w:p>
    <w:p w14:paraId="40433AF9">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物价波动引起的价格调整方法：参照《广东省交通运输厅关于印发我省交通建设项目材料价差调整指导性意见的通知》（粤交基函〔2019〕1302 号）执行，</w:t>
      </w:r>
    </w:p>
    <w:p w14:paraId="523AC254">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72F752D9">
      <w:pPr>
        <w:spacing w:line="400" w:lineRule="exact"/>
        <w:ind w:firstLine="480" w:firstLineChars="200"/>
        <w:jc w:val="both"/>
        <w:rPr>
          <w:rFonts w:hint="eastAsia" w:ascii="宋体" w:hAnsi="宋体" w:eastAsia="宋体" w:cs="宋体"/>
          <w:color w:val="auto"/>
          <w:sz w:val="24"/>
          <w:szCs w:val="24"/>
          <w:highlight w:val="none"/>
          <w:u w:val="single"/>
          <w:lang w:eastAsia="zh-CN"/>
        </w:rPr>
      </w:pPr>
      <w:r>
        <w:rPr>
          <w:rFonts w:hint="eastAsia"/>
          <w:color w:val="000000"/>
          <w:sz w:val="24"/>
          <w:szCs w:val="24"/>
          <w:highlight w:val="none"/>
          <w:lang w:eastAsia="zh-CN"/>
        </w:rPr>
        <w:t>（</w:t>
      </w:r>
      <w:r>
        <w:rPr>
          <w:rFonts w:hint="eastAsia" w:ascii="宋体" w:hAnsi="宋体" w:eastAsia="宋体" w:cs="宋体"/>
          <w:color w:val="auto"/>
          <w:sz w:val="24"/>
          <w:szCs w:val="24"/>
          <w:highlight w:val="none"/>
          <w:lang w:eastAsia="zh-CN"/>
        </w:rPr>
        <w:t>1）可调差主要材料范围为：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钢材、商品混凝土 、石料（用于沉箱后方棱体）、疏浚工程船舶用燃料油</w:t>
      </w:r>
      <w:r>
        <w:rPr>
          <w:rFonts w:hint="eastAsia" w:ascii="宋体" w:hAnsi="宋体" w:eastAsia="宋体" w:cs="宋体"/>
          <w:color w:val="auto"/>
          <w:sz w:val="24"/>
          <w:szCs w:val="24"/>
          <w:highlight w:val="none"/>
          <w:u w:val="single"/>
          <w:lang w:eastAsia="zh-CN"/>
        </w:rPr>
        <w:t>；</w:t>
      </w:r>
    </w:p>
    <w:p w14:paraId="6389717F">
      <w:pPr>
        <w:spacing w:line="400" w:lineRule="exact"/>
        <w:ind w:firstLine="480" w:firstLineChars="200"/>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（2）风险幅度为：</w:t>
      </w:r>
      <w:r>
        <w:rPr>
          <w:rFonts w:hint="eastAsia" w:asciiTheme="minorEastAsia" w:hAnsiTheme="minorEastAsia" w:eastAsiaTheme="minorEastAsia" w:cstheme="minorEastAsia"/>
          <w:color w:val="000000"/>
          <w:sz w:val="24"/>
          <w:szCs w:val="24"/>
          <w:highlight w:val="none"/>
          <w:u w:val="single"/>
          <w:lang w:eastAsia="zh-CN"/>
        </w:rPr>
        <w:t>-</w:t>
      </w:r>
      <w:r>
        <w:rPr>
          <w:rFonts w:hint="eastAsia" w:asciiTheme="minorEastAsia" w:hAnsiTheme="minorEastAsia" w:eastAsiaTheme="minorEastAsia" w:cstheme="minorEastAsia"/>
          <w:color w:val="000000"/>
          <w:sz w:val="24"/>
          <w:szCs w:val="24"/>
          <w:highlight w:val="none"/>
          <w:u w:val="single"/>
          <w:lang w:val="en-US" w:eastAsia="zh-CN"/>
        </w:rPr>
        <w:t xml:space="preserve"> 5</w:t>
      </w:r>
      <w:r>
        <w:rPr>
          <w:rFonts w:hint="eastAsia" w:asciiTheme="minorEastAsia" w:hAnsiTheme="minorEastAsia" w:eastAsiaTheme="minorEastAsia" w:cstheme="minorEastAsia"/>
          <w:color w:val="000000"/>
          <w:sz w:val="24"/>
          <w:szCs w:val="24"/>
          <w:highlight w:val="none"/>
          <w:u w:val="single"/>
          <w:lang w:eastAsia="zh-CN"/>
        </w:rPr>
        <w:t>%（含）～+</w:t>
      </w:r>
      <w:r>
        <w:rPr>
          <w:rFonts w:hint="eastAsia" w:asciiTheme="minorEastAsia" w:hAnsiTheme="minorEastAsia" w:eastAsiaTheme="minorEastAsia" w:cstheme="minorEastAsia"/>
          <w:color w:val="000000"/>
          <w:sz w:val="24"/>
          <w:szCs w:val="24"/>
          <w:highlight w:val="none"/>
          <w:u w:val="single"/>
          <w:lang w:val="en-US" w:eastAsia="zh-CN"/>
        </w:rPr>
        <w:t xml:space="preserve"> 5</w:t>
      </w:r>
      <w:r>
        <w:rPr>
          <w:rFonts w:hint="eastAsia" w:asciiTheme="minorEastAsia" w:hAnsiTheme="minorEastAsia" w:eastAsiaTheme="minorEastAsia" w:cstheme="minorEastAsia"/>
          <w:color w:val="000000"/>
          <w:sz w:val="24"/>
          <w:szCs w:val="24"/>
          <w:highlight w:val="none"/>
          <w:u w:val="single"/>
          <w:lang w:eastAsia="zh-CN"/>
        </w:rPr>
        <w:t>%（含）</w:t>
      </w:r>
      <w:r>
        <w:rPr>
          <w:rFonts w:hint="eastAsia" w:asciiTheme="minorEastAsia" w:hAnsiTheme="minorEastAsia" w:eastAsiaTheme="minorEastAsia" w:cstheme="minorEastAsia"/>
          <w:color w:val="000000"/>
          <w:sz w:val="24"/>
          <w:szCs w:val="24"/>
          <w:highlight w:val="none"/>
          <w:lang w:eastAsia="zh-CN"/>
        </w:rPr>
        <w:t>，风险幅度范围内的价差应作为发包人、承包人的风险，不予调差，风险幅度范围外的价差予以调差</w:t>
      </w:r>
    </w:p>
    <w:p w14:paraId="213E51DF">
      <w:pPr>
        <w:spacing w:line="400" w:lineRule="exact"/>
        <w:ind w:firstLine="480" w:firstLineChars="200"/>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（3）计算方法为“信息价格法”，基准价为发包人确定招标控制价时所采用的建设项目所在地地级市及以上工程造价专业机构发布的当月信息价（优先级为</w:t>
      </w:r>
      <w:r>
        <w:rPr>
          <w:rFonts w:hint="eastAsia" w:asciiTheme="minorEastAsia" w:hAnsiTheme="minorEastAsia" w:eastAsiaTheme="minorEastAsia" w:cstheme="minorEastAsia"/>
          <w:color w:val="000000"/>
          <w:sz w:val="24"/>
          <w:szCs w:val="24"/>
          <w:highlight w:val="none"/>
          <w:lang w:val="en-US" w:eastAsia="zh-CN"/>
        </w:rPr>
        <w:t>省</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市</w:t>
      </w:r>
      <w:r>
        <w:rPr>
          <w:rFonts w:hint="eastAsia" w:asciiTheme="minorEastAsia" w:hAnsiTheme="minorEastAsia" w:eastAsiaTheme="minorEastAsia" w:cstheme="minorEastAsia"/>
          <w:color w:val="000000"/>
          <w:sz w:val="24"/>
          <w:szCs w:val="24"/>
          <w:highlight w:val="none"/>
          <w:lang w:eastAsia="zh-CN"/>
        </w:rPr>
        <w:t>、周边市），基准期为</w:t>
      </w:r>
      <w:r>
        <w:rPr>
          <w:rFonts w:hint="eastAsia" w:asciiTheme="minorEastAsia" w:hAnsiTheme="minorEastAsia" w:eastAsiaTheme="minorEastAsia" w:cstheme="minorEastAsia"/>
          <w:color w:val="000000"/>
          <w:sz w:val="24"/>
          <w:szCs w:val="24"/>
          <w:highlight w:val="none"/>
          <w:u w:val="single"/>
          <w:lang w:eastAsia="zh-CN"/>
        </w:rPr>
        <w:t xml:space="preserve"> </w:t>
      </w:r>
      <w:r>
        <w:rPr>
          <w:rFonts w:hint="eastAsia" w:asciiTheme="minorEastAsia" w:hAnsiTheme="minorEastAsia" w:eastAsiaTheme="minorEastAsia" w:cstheme="minorEastAsia"/>
          <w:color w:val="000000"/>
          <w:sz w:val="24"/>
          <w:szCs w:val="24"/>
          <w:highlight w:val="none"/>
          <w:u w:val="single"/>
          <w:lang w:val="en-US" w:eastAsia="zh-CN"/>
        </w:rPr>
        <w:t>2025</w:t>
      </w:r>
      <w:r>
        <w:rPr>
          <w:rFonts w:hint="eastAsia" w:asciiTheme="minorEastAsia" w:hAnsiTheme="minorEastAsia" w:eastAsiaTheme="minorEastAsia" w:cstheme="minorEastAsia"/>
          <w:color w:val="000000"/>
          <w:sz w:val="24"/>
          <w:szCs w:val="24"/>
          <w:highlight w:val="none"/>
          <w:lang w:eastAsia="zh-CN"/>
        </w:rPr>
        <w:t>年</w:t>
      </w:r>
      <w:r>
        <w:rPr>
          <w:rFonts w:hint="eastAsia" w:asciiTheme="minorEastAsia" w:hAnsiTheme="minorEastAsia" w:eastAsiaTheme="minorEastAsia" w:cstheme="minorEastAsia"/>
          <w:color w:val="000000"/>
          <w:sz w:val="24"/>
          <w:szCs w:val="24"/>
          <w:highlight w:val="none"/>
          <w:u w:val="single"/>
          <w:lang w:eastAsia="zh-CN"/>
        </w:rPr>
        <w:t xml:space="preserve"> </w:t>
      </w:r>
      <w:r>
        <w:rPr>
          <w:rFonts w:hint="eastAsia" w:asciiTheme="minorEastAsia" w:hAnsiTheme="minorEastAsia" w:eastAsiaTheme="minorEastAsia" w:cstheme="minorEastAsia"/>
          <w:color w:val="000000"/>
          <w:sz w:val="24"/>
          <w:szCs w:val="24"/>
          <w:highlight w:val="none"/>
          <w:u w:val="single"/>
          <w:lang w:val="en-US" w:eastAsia="zh-CN"/>
        </w:rPr>
        <w:t>11</w:t>
      </w:r>
      <w:r>
        <w:rPr>
          <w:rFonts w:hint="eastAsia" w:asciiTheme="minorEastAsia" w:hAnsiTheme="minorEastAsia" w:eastAsiaTheme="minorEastAsia" w:cstheme="minorEastAsia"/>
          <w:color w:val="000000"/>
          <w:sz w:val="24"/>
          <w:szCs w:val="24"/>
          <w:highlight w:val="none"/>
          <w:u w:val="single"/>
          <w:lang w:eastAsia="zh-CN"/>
        </w:rPr>
        <w:t xml:space="preserve"> </w:t>
      </w:r>
      <w:r>
        <w:rPr>
          <w:rFonts w:hint="eastAsia" w:asciiTheme="minorEastAsia" w:hAnsiTheme="minorEastAsia" w:eastAsiaTheme="minorEastAsia" w:cstheme="minorEastAsia"/>
          <w:color w:val="000000"/>
          <w:sz w:val="24"/>
          <w:szCs w:val="24"/>
          <w:highlight w:val="none"/>
          <w:lang w:eastAsia="zh-CN"/>
        </w:rPr>
        <w:t>月。</w:t>
      </w:r>
    </w:p>
    <w:p w14:paraId="121DE16F">
      <w:pPr>
        <w:spacing w:line="400" w:lineRule="exact"/>
        <w:ind w:firstLine="480" w:firstLineChars="200"/>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（4）物价波动引起的价格调整每3个月进行一次统计审核，暂按审核的价格调整费用随工程款一同支付，在暂列金列支。最终的价格调整费用以结算审核为准。</w:t>
      </w:r>
    </w:p>
    <w:p w14:paraId="13730BDF">
      <w:pPr>
        <w:spacing w:line="400" w:lineRule="exact"/>
        <w:ind w:firstLine="480" w:firstLineChars="200"/>
        <w:jc w:val="both"/>
        <w:rPr>
          <w:rFonts w:hint="eastAsia"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highlight w:val="none"/>
          <w:lang w:val="en-US" w:eastAsia="zh-CN"/>
        </w:rPr>
        <w:t>将本款内容细化和修改如下：</w:t>
      </w:r>
    </w:p>
    <w:p w14:paraId="380AE9BB">
      <w:pPr>
        <w:spacing w:line="400" w:lineRule="exact"/>
        <w:ind w:firstLine="480" w:firstLineChars="200"/>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材料价差调整费用系指材料价格（包含</w:t>
      </w:r>
      <w:r>
        <w:rPr>
          <w:rFonts w:hint="eastAsia" w:asciiTheme="minorEastAsia" w:hAnsiTheme="minorEastAsia" w:eastAsiaTheme="minorEastAsia" w:cstheme="minorEastAsia"/>
          <w:color w:val="000000"/>
          <w:sz w:val="24"/>
          <w:szCs w:val="24"/>
          <w:highlight w:val="none"/>
          <w:lang w:val="en-US" w:eastAsia="zh-CN"/>
        </w:rPr>
        <w:t>税费</w:t>
      </w:r>
      <w:r>
        <w:rPr>
          <w:rFonts w:hint="eastAsia" w:asciiTheme="minorEastAsia" w:hAnsiTheme="minorEastAsia" w:eastAsiaTheme="minorEastAsia" w:cstheme="minorEastAsia"/>
          <w:color w:val="000000"/>
          <w:sz w:val="24"/>
          <w:szCs w:val="24"/>
          <w:highlight w:val="none"/>
          <w:lang w:eastAsia="zh-CN"/>
        </w:rPr>
        <w:t>）变化产生的综合调整费用。除</w:t>
      </w:r>
      <w:r>
        <w:rPr>
          <w:rFonts w:hint="eastAsia" w:asciiTheme="minorEastAsia" w:hAnsiTheme="minorEastAsia" w:eastAsiaTheme="minorEastAsia" w:cstheme="minorEastAsia"/>
          <w:color w:val="000000"/>
          <w:sz w:val="24"/>
          <w:szCs w:val="24"/>
          <w:highlight w:val="none"/>
          <w:u w:val="none"/>
          <w:lang w:val="en-US" w:eastAsia="zh-CN"/>
        </w:rPr>
        <w:t xml:space="preserve"> </w:t>
      </w:r>
      <w:r>
        <w:rPr>
          <w:rFonts w:hint="eastAsia" w:asciiTheme="minorEastAsia" w:hAnsiTheme="minorEastAsia" w:eastAsiaTheme="minorEastAsia" w:cstheme="minorEastAsia"/>
          <w:color w:val="000000"/>
          <w:sz w:val="24"/>
          <w:szCs w:val="24"/>
          <w:highlight w:val="none"/>
          <w:u w:val="single"/>
          <w:lang w:val="en-US" w:eastAsia="zh-CN"/>
        </w:rPr>
        <w:t xml:space="preserve">钢材、商品混凝土 、石料（用于沉箱后方棱体）、疏浚工程船舶用燃料油 </w:t>
      </w:r>
      <w:r>
        <w:rPr>
          <w:rFonts w:hint="eastAsia" w:asciiTheme="minorEastAsia" w:hAnsiTheme="minorEastAsia" w:eastAsiaTheme="minorEastAsia" w:cstheme="minorEastAsia"/>
          <w:color w:val="000000"/>
          <w:sz w:val="24"/>
          <w:szCs w:val="24"/>
          <w:highlight w:val="none"/>
          <w:lang w:eastAsia="zh-CN"/>
        </w:rPr>
        <w:t>以外的材料、人工、设备、机械台班及其他费用，一律不予调整，承包人应将上述风险考虑在投标报价中。</w:t>
      </w:r>
    </w:p>
    <w:p w14:paraId="3C01EF7C">
      <w:pPr>
        <w:spacing w:line="400" w:lineRule="exact"/>
        <w:ind w:firstLine="480" w:firstLineChars="200"/>
        <w:jc w:val="both"/>
        <w:rPr>
          <w:rFonts w:hint="eastAsia" w:ascii="宋体" w:hAnsi="宋体" w:eastAsia="宋体" w:cs="宋体"/>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材料调差数量应按照经监理人及发包人审核确认的进度款支付证书中列明的清单工程量。</w:t>
      </w:r>
    </w:p>
    <w:p w14:paraId="52A98709">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17．计量与支付</w:t>
      </w:r>
    </w:p>
    <w:p w14:paraId="6B047EBF">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17.1 计量</w:t>
      </w:r>
    </w:p>
    <w:p w14:paraId="0E555150">
      <w:pPr>
        <w:spacing w:line="400" w:lineRule="exact"/>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17.1.2 计量方法</w:t>
      </w:r>
    </w:p>
    <w:p w14:paraId="70947671">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通用条款本款增加以下内容：</w:t>
      </w:r>
    </w:p>
    <w:p w14:paraId="456BFDF4">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工程量计量方法执行《水运工程工程量清单计价规范》(JTS/T271-2020)附录B水运工程工程量计算规则、《</w:t>
      </w:r>
      <w:r>
        <w:rPr>
          <w:rFonts w:hint="eastAsia" w:ascii="宋体" w:hAnsi="宋体" w:eastAsia="宋体" w:cs="宋体"/>
          <w:b w:val="0"/>
          <w:bCs w:val="0"/>
          <w:color w:val="auto"/>
          <w:sz w:val="24"/>
          <w:szCs w:val="24"/>
          <w:highlight w:val="none"/>
          <w:lang w:val="en-US" w:eastAsia="zh-CN"/>
        </w:rPr>
        <w:t>建设工程工程量清单计价规范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（GB50500-2013）</w:t>
      </w:r>
      <w:r>
        <w:rPr>
          <w:rFonts w:hint="eastAsia" w:ascii="宋体" w:hAnsi="宋体" w:eastAsia="宋体" w:cs="宋体"/>
          <w:b w:val="0"/>
          <w:bCs w:val="0"/>
          <w:color w:val="auto"/>
          <w:sz w:val="24"/>
          <w:szCs w:val="24"/>
          <w:highlight w:val="none"/>
          <w:lang w:eastAsia="zh-CN"/>
        </w:rPr>
        <w:t>计算规则。涉及安全生产费用的计量支付执行《广东省交通运输厅关于公路水运建设工程安全生产费用的管理办法》。</w:t>
      </w:r>
    </w:p>
    <w:p w14:paraId="7EA717D5">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通用条款本款增加17.1.6项的内容：</w:t>
      </w:r>
    </w:p>
    <w:p w14:paraId="69C54ACF">
      <w:pPr>
        <w:spacing w:line="400" w:lineRule="exact"/>
        <w:ind w:firstLine="480" w:firstLineChars="200"/>
        <w:jc w:val="both"/>
        <w:rPr>
          <w:rFonts w:hint="eastAsia" w:eastAsia="宋体"/>
          <w:color w:val="000000"/>
          <w:sz w:val="24"/>
          <w:szCs w:val="24"/>
          <w:highlight w:val="none"/>
          <w:lang w:eastAsia="zh-CN"/>
        </w:rPr>
      </w:pPr>
      <w:r>
        <w:rPr>
          <w:rFonts w:hint="eastAsia" w:ascii="宋体" w:hAnsi="宋体" w:eastAsia="宋体" w:cs="宋体"/>
          <w:color w:val="auto"/>
          <w:sz w:val="24"/>
          <w:szCs w:val="24"/>
          <w:highlight w:val="none"/>
          <w:lang w:eastAsia="zh-CN"/>
        </w:rPr>
        <w:t>17.1.6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承包人应将月度计量报表于每月</w:t>
      </w:r>
      <w:r>
        <w:rPr>
          <w:rFonts w:hint="eastAsia" w:ascii="宋体" w:hAnsi="宋体" w:eastAsia="宋体" w:cs="宋体"/>
          <w:color w:val="auto"/>
          <w:sz w:val="24"/>
          <w:szCs w:val="24"/>
          <w:highlight w:val="none"/>
          <w:u w:val="single"/>
          <w:lang w:eastAsia="zh-CN"/>
        </w:rPr>
        <w:t xml:space="preserve"> 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日前报监理人壹式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lang w:eastAsia="zh-CN"/>
        </w:rPr>
        <w:t>份；</w:t>
      </w:r>
    </w:p>
    <w:p w14:paraId="22B4B1CA">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17.2 预付款</w:t>
      </w:r>
    </w:p>
    <w:p w14:paraId="4CDE5428">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17.2.1 预付款</w:t>
      </w:r>
    </w:p>
    <w:p w14:paraId="56424533">
      <w:pPr>
        <w:spacing w:line="400" w:lineRule="exact"/>
        <w:ind w:firstLine="480" w:firstLineChars="200"/>
        <w:jc w:val="both"/>
        <w:rPr>
          <w:rFonts w:hint="eastAsia"/>
          <w:color w:val="000000"/>
          <w:sz w:val="24"/>
          <w:szCs w:val="24"/>
          <w:highlight w:val="yellow"/>
        </w:rPr>
      </w:pPr>
      <w:r>
        <w:rPr>
          <w:rFonts w:hint="eastAsia" w:ascii="宋体" w:hAnsi="宋体" w:eastAsia="宋体" w:cs="宋体"/>
          <w:color w:val="auto"/>
          <w:sz w:val="24"/>
          <w:szCs w:val="24"/>
          <w:highlight w:val="none"/>
          <w:lang w:eastAsia="zh-CN"/>
        </w:rPr>
        <w:t>施工合同生效</w:t>
      </w:r>
      <w:r>
        <w:rPr>
          <w:rFonts w:hint="eastAsia" w:ascii="宋体" w:hAnsi="宋体" w:eastAsia="宋体" w:cs="宋体"/>
          <w:color w:val="auto"/>
          <w:sz w:val="24"/>
          <w:szCs w:val="24"/>
          <w:highlight w:val="none"/>
          <w:lang w:val="en-US" w:eastAsia="zh-CN"/>
        </w:rPr>
        <w:t>且监理发出分部分项工程开工令</w:t>
      </w:r>
      <w:r>
        <w:rPr>
          <w:rFonts w:hint="eastAsia" w:ascii="宋体" w:hAnsi="宋体" w:eastAsia="宋体" w:cs="宋体"/>
          <w:color w:val="auto"/>
          <w:sz w:val="24"/>
          <w:szCs w:val="24"/>
          <w:highlight w:val="none"/>
          <w:lang w:eastAsia="zh-CN"/>
        </w:rPr>
        <w:t>后，发包人收到承包人履约</w:t>
      </w:r>
      <w:r>
        <w:rPr>
          <w:rFonts w:hint="eastAsia" w:ascii="宋体" w:hAnsi="宋体" w:eastAsia="宋体" w:cs="宋体"/>
          <w:color w:val="auto"/>
          <w:sz w:val="24"/>
          <w:szCs w:val="24"/>
          <w:highlight w:val="none"/>
          <w:lang w:val="en-US" w:eastAsia="zh-CN"/>
        </w:rPr>
        <w:t>保函、财务收据</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lang w:val="en-US" w:eastAsia="zh-CN"/>
        </w:rPr>
        <w:t>预付款申请审批后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40</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个工作日内，</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lang w:eastAsia="zh-CN"/>
        </w:rPr>
        <w:t>向承包人支付</w:t>
      </w:r>
      <w:r>
        <w:rPr>
          <w:rFonts w:hint="eastAsia" w:ascii="宋体" w:hAnsi="宋体" w:eastAsia="宋体" w:cs="宋体"/>
          <w:color w:val="auto"/>
          <w:sz w:val="24"/>
          <w:szCs w:val="24"/>
          <w:highlight w:val="none"/>
          <w:lang w:val="en-US" w:eastAsia="zh-CN"/>
        </w:rPr>
        <w:t>该分部分项工程</w:t>
      </w:r>
      <w:r>
        <w:rPr>
          <w:rFonts w:hint="eastAsia" w:ascii="宋体" w:hAnsi="宋体" w:eastAsia="宋体" w:cs="宋体"/>
          <w:color w:val="auto"/>
          <w:sz w:val="24"/>
          <w:szCs w:val="24"/>
          <w:highlight w:val="none"/>
          <w:lang w:eastAsia="zh-CN"/>
        </w:rPr>
        <w:t>扣除安全生产费用后</w:t>
      </w:r>
      <w:r>
        <w:rPr>
          <w:rFonts w:hint="eastAsia" w:ascii="宋体" w:hAnsi="宋体" w:eastAsia="宋体" w:cs="宋体"/>
          <w:color w:val="auto"/>
          <w:sz w:val="24"/>
          <w:szCs w:val="24"/>
          <w:highlight w:val="none"/>
          <w:lang w:val="en-US" w:eastAsia="zh-CN"/>
        </w:rPr>
        <w:t>的列支金额</w:t>
      </w:r>
      <w:r>
        <w:rPr>
          <w:rFonts w:hint="eastAsia" w:ascii="宋体" w:hAnsi="宋体" w:eastAsia="宋体" w:cs="宋体"/>
          <w:color w:val="auto"/>
          <w:sz w:val="24"/>
          <w:szCs w:val="24"/>
          <w:highlight w:val="none"/>
          <w:u w:val="single"/>
          <w:lang w:eastAsia="zh-CN"/>
        </w:rPr>
        <w:t xml:space="preserve"> 1</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%的工程预付款，即¥</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元</w:t>
      </w:r>
      <w:r>
        <w:rPr>
          <w:rFonts w:hint="eastAsia" w:ascii="宋体" w:hAnsi="宋体" w:eastAsia="宋体" w:cs="宋体"/>
          <w:b w:val="0"/>
          <w:bCs w:val="0"/>
          <w:color w:val="auto"/>
          <w:sz w:val="24"/>
          <w:szCs w:val="24"/>
          <w:highlight w:val="none"/>
          <w:lang w:eastAsia="zh-CN"/>
        </w:rPr>
        <w:t>（大写：人民币</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u w:val="none"/>
          <w:lang w:eastAsia="zh-CN"/>
        </w:rPr>
        <w:t xml:space="preserve">    </w:t>
      </w:r>
      <w:r>
        <w:rPr>
          <w:rFonts w:hint="eastAsia" w:ascii="宋体" w:hAnsi="宋体" w:eastAsia="宋体" w:cs="宋体"/>
          <w:b w:val="0"/>
          <w:bCs w:val="0"/>
          <w:color w:val="auto"/>
          <w:sz w:val="24"/>
          <w:szCs w:val="24"/>
          <w:highlight w:val="none"/>
          <w:lang w:eastAsia="zh-CN"/>
        </w:rPr>
        <w:t>元），</w:t>
      </w:r>
      <w:r>
        <w:rPr>
          <w:rFonts w:hint="eastAsia" w:ascii="宋体" w:hAnsi="宋体" w:eastAsia="宋体" w:cs="宋体"/>
          <w:color w:val="auto"/>
          <w:sz w:val="24"/>
          <w:szCs w:val="24"/>
          <w:highlight w:val="none"/>
          <w:lang w:eastAsia="zh-CN"/>
        </w:rPr>
        <w:t>该款项的</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%银行转账至“工人工资支付专用户”，安全</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lang w:eastAsia="zh-CN"/>
        </w:rPr>
        <w:t>费</w:t>
      </w:r>
      <w:r>
        <w:rPr>
          <w:rFonts w:hint="eastAsia" w:ascii="宋体" w:hAnsi="宋体" w:eastAsia="宋体" w:cs="宋体"/>
          <w:color w:val="auto"/>
          <w:sz w:val="24"/>
          <w:szCs w:val="24"/>
          <w:highlight w:val="none"/>
          <w:lang w:val="en-US" w:eastAsia="zh-CN"/>
        </w:rPr>
        <w:t>用按当年该分部分项工程的</w:t>
      </w:r>
      <w:r>
        <w:rPr>
          <w:rFonts w:hint="eastAsia" w:ascii="宋体" w:hAnsi="宋体" w:eastAsia="宋体" w:cs="宋体"/>
          <w:color w:val="auto"/>
          <w:sz w:val="24"/>
          <w:szCs w:val="24"/>
          <w:highlight w:val="none"/>
          <w:lang w:eastAsia="zh-CN"/>
        </w:rPr>
        <w:t>安全</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lang w:eastAsia="zh-CN"/>
        </w:rPr>
        <w:t>费</w:t>
      </w:r>
      <w:r>
        <w:rPr>
          <w:rFonts w:hint="eastAsia" w:ascii="宋体" w:hAnsi="宋体" w:eastAsia="宋体" w:cs="宋体"/>
          <w:color w:val="auto"/>
          <w:sz w:val="24"/>
          <w:szCs w:val="24"/>
          <w:highlight w:val="none"/>
          <w:lang w:val="en-US" w:eastAsia="zh-CN"/>
        </w:rPr>
        <w:t>用60%支付</w:t>
      </w:r>
      <w:r>
        <w:rPr>
          <w:rFonts w:hint="eastAsia" w:ascii="宋体" w:hAnsi="宋体" w:eastAsia="宋体" w:cs="宋体"/>
          <w:color w:val="auto"/>
          <w:sz w:val="24"/>
          <w:szCs w:val="24"/>
          <w:highlight w:val="none"/>
          <w:lang w:eastAsia="zh-CN"/>
        </w:rPr>
        <w:t>。</w:t>
      </w:r>
    </w:p>
    <w:p w14:paraId="0272C487">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17.2.2 预付款保函</w:t>
      </w:r>
    </w:p>
    <w:p w14:paraId="21436809">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无。</w:t>
      </w:r>
    </w:p>
    <w:p w14:paraId="607D31BC">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17.2.3 预付款的扣回与还清</w:t>
      </w:r>
    </w:p>
    <w:p w14:paraId="2CA2775B">
      <w:pPr>
        <w:ind w:firstLineChars="200"/>
        <w:jc w:val="both"/>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当工程进度款累计支付比例达到合同总价的10%后，开始按工程进度，以固定比例（按每完成合同价格的1%，扣回开工预付款的2%）分期从各月中期支付证书中扣回，工程进度款累计支付至60%时扣清。</w:t>
      </w:r>
    </w:p>
    <w:p w14:paraId="512DD4D6">
      <w:pPr>
        <w:pStyle w:val="20"/>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17.3 工程进度付款</w:t>
      </w:r>
    </w:p>
    <w:p w14:paraId="2BF69DA3">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17.3.2 进度付款申请单</w:t>
      </w:r>
    </w:p>
    <w:p w14:paraId="28322977">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承包人应在每个付款周期末（每月</w:t>
      </w:r>
      <w:r>
        <w:rPr>
          <w:rFonts w:hint="eastAsia" w:ascii="宋体" w:hAnsi="宋体" w:eastAsia="宋体" w:cs="宋体"/>
          <w:color w:val="auto"/>
          <w:sz w:val="24"/>
          <w:szCs w:val="24"/>
          <w:highlight w:val="none"/>
          <w:u w:val="single"/>
          <w:lang w:eastAsia="zh-CN"/>
        </w:rPr>
        <w:t xml:space="preserve"> 20 </w:t>
      </w:r>
      <w:r>
        <w:rPr>
          <w:rFonts w:hint="eastAsia" w:ascii="宋体" w:hAnsi="宋体" w:eastAsia="宋体" w:cs="宋体"/>
          <w:color w:val="auto"/>
          <w:sz w:val="24"/>
          <w:szCs w:val="24"/>
          <w:highlight w:val="none"/>
          <w:lang w:eastAsia="zh-CN"/>
        </w:rPr>
        <w:t>日前），按监理人批准的格式，向监理人提交进度付款申请单，并附相应的支持性证明文件，付款申请单壹式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份。除通用条款第17.3.2款内容外，付款申请单还应包括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lang w:eastAsia="zh-CN"/>
        </w:rPr>
        <w:t>以下内容：</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证明材料、</w:t>
      </w:r>
      <w:r>
        <w:rPr>
          <w:rFonts w:hint="eastAsia" w:ascii="宋体" w:hAnsi="宋体" w:eastAsia="宋体" w:cs="宋体"/>
          <w:color w:val="auto"/>
          <w:sz w:val="24"/>
          <w:szCs w:val="24"/>
          <w:highlight w:val="none"/>
          <w:u w:val="single"/>
          <w:lang w:eastAsia="zh-CN"/>
        </w:rPr>
        <w:t>计算公式、累计支付情况等</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lang w:eastAsia="zh-CN"/>
        </w:rPr>
        <w:t>。</w:t>
      </w:r>
    </w:p>
    <w:p w14:paraId="76DDDDB9">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17.3.3 进度付款证书和支付时间:</w:t>
      </w:r>
    </w:p>
    <w:p w14:paraId="0DBC1F46">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（2）每期进度款发包人收到承包人开具的合法有效增值税专用发票后</w:t>
      </w:r>
      <w:r>
        <w:rPr>
          <w:rFonts w:hint="eastAsia" w:ascii="宋体" w:hAnsi="宋体" w:eastAsia="宋体" w:cs="宋体"/>
          <w:color w:val="auto"/>
          <w:sz w:val="24"/>
          <w:szCs w:val="24"/>
          <w:highlight w:val="none"/>
          <w:u w:val="single"/>
          <w:lang w:val="en-US" w:eastAsia="zh-CN"/>
        </w:rPr>
        <w:t xml:space="preserve"> 60 </w:t>
      </w:r>
      <w:r>
        <w:rPr>
          <w:rFonts w:hint="eastAsia" w:ascii="宋体" w:hAnsi="宋体" w:eastAsia="宋体" w:cs="宋体"/>
          <w:color w:val="auto"/>
          <w:sz w:val="24"/>
          <w:szCs w:val="24"/>
          <w:highlight w:val="none"/>
          <w:lang w:eastAsia="zh-CN"/>
        </w:rPr>
        <w:t>个工作日内</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银行转账至“工人工资支付专用户”。为确保能足额支付人工工资，当出现“工人工资支付专用户”的资金不足以支付工人工资的情形时，发包人有权提高相关工程款项转至“工人工资支付专用账户”的比例。发包人不按期支付的，不支付逾期付款违约金。</w:t>
      </w:r>
    </w:p>
    <w:p w14:paraId="54AF44DB">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工程进度款支付的方式：按照月度工程计量（扣除安全</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lang w:eastAsia="zh-CN"/>
        </w:rPr>
        <w:t>费</w:t>
      </w:r>
      <w:r>
        <w:rPr>
          <w:rFonts w:hint="eastAsia" w:ascii="宋体" w:hAnsi="宋体" w:eastAsia="宋体" w:cs="宋体"/>
          <w:color w:val="auto"/>
          <w:sz w:val="24"/>
          <w:szCs w:val="24"/>
          <w:highlight w:val="none"/>
          <w:lang w:val="en-US" w:eastAsia="zh-CN"/>
        </w:rPr>
        <w:t>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u w:val="single"/>
          <w:lang w:val="en-US" w:eastAsia="zh-CN"/>
        </w:rPr>
        <w:t>80</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eastAsia="zh-CN"/>
        </w:rPr>
        <w:t>支付（安全生产费用支付另详第</w:t>
      </w:r>
      <w:r>
        <w:rPr>
          <w:rFonts w:hint="eastAsia" w:ascii="宋体" w:hAnsi="宋体" w:eastAsia="宋体" w:cs="宋体"/>
          <w:b w:val="0"/>
          <w:bCs w:val="0"/>
          <w:color w:val="auto"/>
          <w:sz w:val="24"/>
          <w:szCs w:val="24"/>
          <w:highlight w:val="none"/>
          <w:lang w:eastAsia="zh-CN"/>
        </w:rPr>
        <w:t>17.7款</w:t>
      </w:r>
      <w:r>
        <w:rPr>
          <w:rFonts w:hint="eastAsia" w:ascii="宋体" w:hAnsi="宋体" w:eastAsia="宋体" w:cs="宋体"/>
          <w:color w:val="auto"/>
          <w:sz w:val="24"/>
          <w:szCs w:val="24"/>
          <w:highlight w:val="none"/>
          <w:lang w:eastAsia="zh-CN"/>
        </w:rPr>
        <w:t>）；当工程款暂列金列支部分支付累计达到暂列金额</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eastAsia="zh-CN"/>
        </w:rPr>
        <w:t>85</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lang w:eastAsia="zh-CN"/>
        </w:rPr>
        <w:t>时，停止支付暂列金列支部分进度款；</w:t>
      </w:r>
    </w:p>
    <w:p w14:paraId="03413926">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当工程款（不含暂列金列支部分）支付累计达到扣除本项目安全生产费用及暂列金额后合同价</w:t>
      </w:r>
      <w:r>
        <w:rPr>
          <w:rFonts w:hint="eastAsia" w:ascii="宋体" w:hAnsi="宋体" w:eastAsia="宋体" w:cs="宋体"/>
          <w:color w:val="auto"/>
          <w:sz w:val="24"/>
          <w:szCs w:val="24"/>
          <w:highlight w:val="none"/>
          <w:u w:val="single"/>
          <w:lang w:eastAsia="zh-CN"/>
        </w:rPr>
        <w:t>85</w:t>
      </w:r>
      <w:r>
        <w:rPr>
          <w:rFonts w:hint="eastAsia" w:ascii="宋体" w:hAnsi="宋体" w:eastAsia="宋体" w:cs="宋体"/>
          <w:color w:val="auto"/>
          <w:sz w:val="24"/>
          <w:szCs w:val="24"/>
          <w:highlight w:val="none"/>
          <w:lang w:eastAsia="zh-CN"/>
        </w:rPr>
        <w:t>%时，停止支付进度款；</w:t>
      </w:r>
    </w:p>
    <w:p w14:paraId="317541DD">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待工程</w:t>
      </w:r>
      <w:r>
        <w:rPr>
          <w:rFonts w:hint="eastAsia" w:ascii="宋体" w:hAnsi="宋体" w:eastAsia="宋体" w:cs="宋体"/>
          <w:color w:val="auto"/>
          <w:sz w:val="24"/>
          <w:szCs w:val="24"/>
          <w:highlight w:val="none"/>
          <w:lang w:val="en-US" w:eastAsia="zh-CN"/>
        </w:rPr>
        <w:t>交工</w:t>
      </w:r>
      <w:r>
        <w:rPr>
          <w:rFonts w:hint="eastAsia" w:ascii="宋体" w:hAnsi="宋体" w:eastAsia="宋体" w:cs="宋体"/>
          <w:color w:val="auto"/>
          <w:sz w:val="24"/>
          <w:szCs w:val="24"/>
          <w:highlight w:val="none"/>
          <w:lang w:eastAsia="zh-CN"/>
        </w:rPr>
        <w:t>验收并提交经监理审核的结算书后，支付至合同总价的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90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17149318">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待工程结算</w:t>
      </w:r>
      <w:r>
        <w:rPr>
          <w:rFonts w:hint="eastAsia" w:ascii="宋体" w:hAnsi="宋体" w:eastAsia="宋体" w:cs="宋体"/>
          <w:color w:val="auto"/>
          <w:sz w:val="24"/>
          <w:szCs w:val="24"/>
          <w:highlight w:val="none"/>
          <w:lang w:val="en-US" w:eastAsia="zh-CN"/>
        </w:rPr>
        <w:t>且完成结算审计后，</w:t>
      </w:r>
      <w:r>
        <w:rPr>
          <w:rFonts w:hint="eastAsia" w:ascii="宋体" w:hAnsi="宋体" w:eastAsia="宋体" w:cs="宋体"/>
          <w:color w:val="auto"/>
          <w:sz w:val="24"/>
          <w:szCs w:val="24"/>
          <w:highlight w:val="none"/>
          <w:lang w:eastAsia="zh-CN"/>
        </w:rPr>
        <w:t>支付至结算价的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9</w:t>
      </w:r>
      <w:r>
        <w:rPr>
          <w:rFonts w:hint="eastAsia" w:ascii="宋体" w:hAnsi="宋体" w:eastAsia="宋体" w:cs="宋体"/>
          <w:color w:val="auto"/>
          <w:sz w:val="24"/>
          <w:szCs w:val="24"/>
          <w:highlight w:val="none"/>
          <w:u w:val="single"/>
          <w:lang w:val="en-US" w:eastAsia="zh-CN"/>
        </w:rPr>
        <w:t xml:space="preserve">7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剩余工程</w:t>
      </w:r>
      <w:r>
        <w:rPr>
          <w:rFonts w:hint="eastAsia" w:ascii="宋体" w:hAnsi="宋体" w:eastAsia="宋体" w:cs="宋体"/>
          <w:color w:val="auto"/>
          <w:sz w:val="24"/>
          <w:szCs w:val="24"/>
          <w:highlight w:val="none"/>
          <w:lang w:eastAsia="zh-CN"/>
        </w:rPr>
        <w:t>结算价的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作为</w:t>
      </w:r>
      <w:r>
        <w:rPr>
          <w:rFonts w:hint="eastAsia" w:ascii="宋体" w:hAnsi="宋体" w:eastAsia="宋体" w:cs="宋体"/>
          <w:color w:val="auto"/>
          <w:sz w:val="24"/>
          <w:szCs w:val="24"/>
          <w:highlight w:val="none"/>
          <w:lang w:eastAsia="zh-CN"/>
        </w:rPr>
        <w:t>本工程质量保证金。</w:t>
      </w:r>
    </w:p>
    <w:p w14:paraId="7ABE001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17.3.3.3 变更支付：在支付进度款时，经审批同意并已实施的设计变更增加的项目内容可先按变更价款暂定金额的</w:t>
      </w:r>
      <w:r>
        <w:rPr>
          <w:rFonts w:hint="eastAsia" w:ascii="宋体" w:hAnsi="宋体" w:eastAsia="宋体" w:cs="宋体"/>
          <w:color w:val="auto"/>
          <w:sz w:val="24"/>
          <w:szCs w:val="24"/>
          <w:highlight w:val="none"/>
          <w:u w:val="single"/>
          <w:lang w:val="en-US" w:eastAsia="zh-CN"/>
        </w:rPr>
        <w:t>80</w:t>
      </w:r>
      <w:r>
        <w:rPr>
          <w:rFonts w:hint="eastAsia" w:ascii="宋体" w:hAnsi="宋体" w:eastAsia="宋体" w:cs="宋体"/>
          <w:color w:val="auto"/>
          <w:sz w:val="24"/>
          <w:szCs w:val="24"/>
          <w:highlight w:val="none"/>
          <w:lang w:val="en-US" w:eastAsia="zh-CN"/>
        </w:rPr>
        <w:t>%支付，待工程交工验收后补充支付余下金额，设计变更减少内容的按进度款正常支付规定进行支付。</w:t>
      </w:r>
    </w:p>
    <w:p w14:paraId="2F2F6DCC">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17.3.3.4 调价支付：按专用条款第16条的规定调价，待批复后进行支付。</w:t>
      </w:r>
    </w:p>
    <w:p w14:paraId="648C92B2">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17.3.3.5 承包人发生合同约定的违约情况时，无论发包人是否解除合同，发包人均有权按本合同的规定向承包人扣罚违约金，发包人按合同规定向承包人开出的任何违约惩罚金，除合同另有规定外，均从发包人应向承包人支付的工程款中直接扣除。除非合同另有规定，发包人向承包人开出的任何违约惩罚金将导致承包人最终的应得结算价款相应地减少。承包人必须完全接受上述条款。发包人按合同规定向承包人开出的任何违约惩罚金的扣除时间，可以在发包人认为合适的任何一个期中支付月份中扣除。发包人扣除违约惩罚金时间的延迟或滞后并不代表对承包人当时各种行为的认可或默认。</w:t>
      </w:r>
    </w:p>
    <w:p w14:paraId="35660B6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17.3.3.6 监理人出具进度付款证书，应视为监理人已同意、批准或接受了承包人完成的该部分工作。但是监理人的同意、批准或接受不免除承包人应承担的工程质量责任。</w:t>
      </w:r>
    </w:p>
    <w:p w14:paraId="1046325D">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17.3.3.7 发包人付款前，承包人需要开具相应金额的增值税发票。进度付款涉及政府投资资金的，按照国库集中支付等政府相关规定和专用合同条款的约定办理。涉及到市财政资金的，按市财政资金支付管理办法执行。</w:t>
      </w:r>
    </w:p>
    <w:p w14:paraId="4EAAD796">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17.3.</w:t>
      </w:r>
      <w:r>
        <w:rPr>
          <w:rFonts w:hint="eastAsia" w:ascii="宋体" w:hAnsi="宋体" w:eastAsia="宋体" w:cs="宋体"/>
          <w:color w:val="auto"/>
          <w:sz w:val="24"/>
          <w:szCs w:val="24"/>
          <w:highlight w:val="none"/>
          <w:lang w:val="en-US" w:eastAsia="zh-CN" w:bidi="ar-SA"/>
        </w:rPr>
        <w:t>4</w:t>
      </w:r>
      <w:r>
        <w:rPr>
          <w:rFonts w:hint="eastAsia" w:ascii="宋体" w:hAnsi="宋体" w:eastAsia="宋体" w:cs="宋体"/>
          <w:color w:val="auto"/>
          <w:sz w:val="24"/>
          <w:szCs w:val="24"/>
          <w:highlight w:val="none"/>
          <w:lang w:eastAsia="zh-CN"/>
        </w:rPr>
        <w:t>农民工工资保证金</w:t>
      </w:r>
    </w:p>
    <w:p w14:paraId="115544CF">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按广东省交通运输厅转发人力资源社会保障部等部门《工程建设领域农民工工资保证金规定》的通知执行。</w:t>
      </w:r>
    </w:p>
    <w:p w14:paraId="0FF36A85">
      <w:pPr>
        <w:bidi w:val="0"/>
        <w:spacing w:line="400" w:lineRule="exact"/>
        <w:ind w:firstLine="480" w:firstLineChars="200"/>
        <w:jc w:val="both"/>
        <w:rPr>
          <w:rFonts w:hint="eastAsia"/>
          <w:color w:val="000000"/>
          <w:sz w:val="24"/>
          <w:szCs w:val="24"/>
          <w:highlight w:val="none"/>
          <w:lang w:eastAsia="en-US"/>
        </w:rPr>
      </w:pPr>
      <w:r>
        <w:rPr>
          <w:rFonts w:hint="eastAsia" w:ascii="宋体" w:hAnsi="宋体" w:eastAsia="宋体" w:cs="宋体"/>
          <w:color w:val="auto"/>
          <w:sz w:val="24"/>
          <w:szCs w:val="24"/>
          <w:highlight w:val="none"/>
          <w:lang w:eastAsia="zh-CN"/>
        </w:rPr>
        <w:t>农民工工资保证金按“关于《广东省人力资源和社会保障厅广东省住房和城乡建设厅广东省交通运输厅广东省水利厅关于建设工程领域农民工工资支付保证金管理办法》的通知（粤人社规[2019]10号）”执行。</w:t>
      </w:r>
    </w:p>
    <w:p w14:paraId="22F0A473">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17.4 质量保证金</w:t>
      </w:r>
    </w:p>
    <w:p w14:paraId="05A543D3">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本条</w:t>
      </w:r>
      <w:r>
        <w:rPr>
          <w:rFonts w:hint="eastAsia" w:ascii="宋体" w:hAnsi="宋体" w:eastAsia="宋体" w:cs="宋体"/>
          <w:b w:val="0"/>
          <w:bCs w:val="0"/>
          <w:color w:val="auto"/>
          <w:sz w:val="24"/>
          <w:szCs w:val="24"/>
          <w:highlight w:val="none"/>
          <w:lang w:eastAsia="zh-CN"/>
        </w:rPr>
        <w:t>通用条款本款修改为：</w:t>
      </w:r>
    </w:p>
    <w:p w14:paraId="40993C84">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17.4.1 本工程质量保证金为结算价的3%</w:t>
      </w:r>
      <w:r>
        <w:rPr>
          <w:rFonts w:hint="eastAsia" w:ascii="宋体" w:hAnsi="宋体" w:eastAsia="宋体" w:cs="宋体"/>
          <w:color w:val="auto"/>
          <w:sz w:val="24"/>
          <w:szCs w:val="24"/>
          <w:highlight w:val="none"/>
          <w:lang w:val="en-US" w:eastAsia="zh-CN"/>
        </w:rPr>
        <w:t>在工程结算款中暂扣</w:t>
      </w:r>
      <w:r>
        <w:rPr>
          <w:rFonts w:hint="eastAsia" w:ascii="宋体" w:hAnsi="宋体" w:eastAsia="宋体" w:cs="宋体"/>
          <w:color w:val="auto"/>
          <w:sz w:val="24"/>
          <w:szCs w:val="24"/>
          <w:highlight w:val="none"/>
          <w:lang w:eastAsia="zh-CN"/>
        </w:rPr>
        <w:t>，待工程缺陷责任期满，经监理人向发包人给予确认后，发包人凭承包人的书面申请于60日历天内扣付有关费用（如有）后付清（不计利息）。</w:t>
      </w:r>
    </w:p>
    <w:p w14:paraId="1E82C72C">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eastAsia="zh-CN"/>
        </w:rPr>
        <w:t>在第1.1.4.5目约定的缺陷责任期满时，承包人向监理人、发包人申请到期应返还承包人剩余的质量保证金金额，发包人应在14日历天内会同监理人、承包人按照合同约定的内容核实承包人是否完成缺陷责任。如无异议，发包人应当在核实后将剩余保证金返还承包人。</w:t>
      </w:r>
    </w:p>
    <w:p w14:paraId="341A9F3C">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在第1.1.4.5目约定的缺陷责任期满时，经监理人核查，承包人没有完成缺陷责任的，发包人有权扣留与未履行责任剩余工作所需金额相应的质量保证金余额，并有权根据第19.3款约定要求延长缺陷责任期，直至完成剩余工作为止。</w:t>
      </w:r>
    </w:p>
    <w:p w14:paraId="177B82D9">
      <w:pPr>
        <w:pStyle w:val="20"/>
        <w:ind w:firstLineChars="20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17.5竣工结算</w:t>
      </w:r>
    </w:p>
    <w:p w14:paraId="67E046A9">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通用条款中的“竣工付款申请单”统一修改为“工程结算书”。</w:t>
      </w:r>
    </w:p>
    <w:p w14:paraId="25502967">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17.5.1工程结算书</w:t>
      </w:r>
    </w:p>
    <w:p w14:paraId="3B2E33F1">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工程</w:t>
      </w:r>
      <w:r>
        <w:rPr>
          <w:rFonts w:hint="eastAsia" w:ascii="宋体" w:hAnsi="宋体" w:eastAsia="宋体" w:cs="宋体"/>
          <w:b w:val="0"/>
          <w:bCs w:val="0"/>
          <w:color w:val="auto"/>
          <w:sz w:val="24"/>
          <w:szCs w:val="24"/>
          <w:highlight w:val="none"/>
          <w:lang w:val="en-US" w:eastAsia="zh-CN"/>
        </w:rPr>
        <w:t>竣工</w:t>
      </w:r>
      <w:r>
        <w:rPr>
          <w:rFonts w:hint="eastAsia" w:ascii="宋体" w:hAnsi="宋体" w:eastAsia="宋体" w:cs="宋体"/>
          <w:b w:val="0"/>
          <w:bCs w:val="0"/>
          <w:color w:val="auto"/>
          <w:sz w:val="24"/>
          <w:szCs w:val="24"/>
          <w:highlight w:val="none"/>
          <w:lang w:eastAsia="zh-CN"/>
        </w:rPr>
        <w:t>验收证书签发后10天内，承包人应向监理人提交一式8份工程结算书等完整的合同结算材料，且对提供的合同结算资料的真实性、完整性及有效性负责并书面承诺。</w:t>
      </w:r>
    </w:p>
    <w:p w14:paraId="1E7017DE">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监理人收到工程结算书等结算资料10天内完成结算审核并提交发包人一式8份审核意见。</w:t>
      </w:r>
    </w:p>
    <w:p w14:paraId="4B73BDB5">
      <w:pPr>
        <w:pStyle w:val="20"/>
        <w:ind w:firstLineChars="20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17.6最终结清</w:t>
      </w:r>
    </w:p>
    <w:p w14:paraId="2BE2D800">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17.6.1最终结清申请单</w:t>
      </w:r>
    </w:p>
    <w:p w14:paraId="3A500444">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最终结算费用以</w:t>
      </w:r>
      <w:r>
        <w:rPr>
          <w:rFonts w:hint="eastAsia" w:ascii="宋体" w:hAnsi="宋体" w:eastAsia="宋体" w:cs="宋体"/>
          <w:b w:val="0"/>
          <w:bCs w:val="0"/>
          <w:color w:val="auto"/>
          <w:sz w:val="24"/>
          <w:szCs w:val="24"/>
          <w:highlight w:val="none"/>
          <w:lang w:val="en-US" w:eastAsia="zh-CN"/>
        </w:rPr>
        <w:t>竣工决算</w:t>
      </w:r>
      <w:r>
        <w:rPr>
          <w:rFonts w:hint="eastAsia" w:ascii="宋体" w:hAnsi="宋体" w:eastAsia="宋体" w:cs="宋体"/>
          <w:b w:val="0"/>
          <w:bCs w:val="0"/>
          <w:color w:val="auto"/>
          <w:sz w:val="24"/>
          <w:szCs w:val="24"/>
          <w:highlight w:val="none"/>
          <w:lang w:eastAsia="zh-CN"/>
        </w:rPr>
        <w:t>审查批复意见为准，承包人同意发包人按结算批复意见调整承包人最终合同费用。项目整体竣工</w:t>
      </w:r>
      <w:r>
        <w:rPr>
          <w:rFonts w:hint="eastAsia" w:ascii="宋体" w:hAnsi="宋体" w:eastAsia="宋体" w:cs="宋体"/>
          <w:b w:val="0"/>
          <w:bCs w:val="0"/>
          <w:color w:val="auto"/>
          <w:sz w:val="24"/>
          <w:szCs w:val="24"/>
          <w:highlight w:val="none"/>
          <w:lang w:val="en-US" w:eastAsia="zh-CN"/>
        </w:rPr>
        <w:t>决算</w:t>
      </w:r>
      <w:r>
        <w:rPr>
          <w:rFonts w:hint="eastAsia" w:ascii="宋体" w:hAnsi="宋体" w:eastAsia="宋体" w:cs="宋体"/>
          <w:b w:val="0"/>
          <w:bCs w:val="0"/>
          <w:color w:val="auto"/>
          <w:sz w:val="24"/>
          <w:szCs w:val="24"/>
          <w:highlight w:val="none"/>
          <w:lang w:eastAsia="zh-CN"/>
        </w:rPr>
        <w:t>通过后，承包人应在10天内按照批复意见的结算金额向监理人提交尾款支付申请一式8份，并提供相关证明材料。发包人、监理人根据批复意见，向上级申请支付余下未付款项。</w:t>
      </w:r>
    </w:p>
    <w:p w14:paraId="3860B02D">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17.6.</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质量保证金退还</w:t>
      </w:r>
      <w:r>
        <w:rPr>
          <w:rFonts w:hint="eastAsia" w:ascii="宋体" w:hAnsi="宋体" w:eastAsia="宋体" w:cs="宋体"/>
          <w:color w:val="auto"/>
          <w:sz w:val="24"/>
          <w:szCs w:val="24"/>
          <w:highlight w:val="none"/>
          <w:lang w:eastAsia="zh-CN"/>
        </w:rPr>
        <w:t>申请单</w:t>
      </w:r>
    </w:p>
    <w:p w14:paraId="6A4F6B9C">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缺陷责任期终止证书签发后，承包人应在</w:t>
      </w:r>
      <w:r>
        <w:rPr>
          <w:rFonts w:hint="eastAsia" w:ascii="宋体" w:hAnsi="宋体" w:eastAsia="宋体" w:cs="宋体"/>
          <w:color w:val="auto"/>
          <w:sz w:val="24"/>
          <w:szCs w:val="24"/>
          <w:highlight w:val="none"/>
          <w:u w:val="single"/>
          <w:lang w:eastAsia="zh-CN"/>
        </w:rPr>
        <w:t xml:space="preserve"> 30 日历天</w:t>
      </w:r>
      <w:r>
        <w:rPr>
          <w:rFonts w:hint="eastAsia" w:ascii="宋体" w:hAnsi="宋体" w:eastAsia="宋体" w:cs="宋体"/>
          <w:color w:val="auto"/>
          <w:sz w:val="24"/>
          <w:szCs w:val="24"/>
          <w:highlight w:val="none"/>
          <w:lang w:eastAsia="zh-CN"/>
        </w:rPr>
        <w:t>内向监理人提交质保金退还申请单壹式 3 份。</w:t>
      </w:r>
    </w:p>
    <w:p w14:paraId="4131A841">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17.6.</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质量保证金退还</w:t>
      </w:r>
      <w:r>
        <w:rPr>
          <w:rFonts w:hint="eastAsia" w:ascii="宋体" w:hAnsi="宋体" w:eastAsia="宋体" w:cs="宋体"/>
          <w:color w:val="auto"/>
          <w:sz w:val="24"/>
          <w:szCs w:val="24"/>
          <w:highlight w:val="none"/>
          <w:lang w:eastAsia="zh-CN"/>
        </w:rPr>
        <w:t>申请单和支付时间</w:t>
      </w:r>
    </w:p>
    <w:p w14:paraId="727D5935">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质量保证金退还</w:t>
      </w:r>
      <w:r>
        <w:rPr>
          <w:rFonts w:hint="eastAsia" w:ascii="宋体" w:hAnsi="宋体" w:eastAsia="宋体" w:cs="宋体"/>
          <w:color w:val="auto"/>
          <w:sz w:val="24"/>
          <w:szCs w:val="24"/>
          <w:highlight w:val="none"/>
          <w:lang w:eastAsia="zh-CN"/>
        </w:rPr>
        <w:t>申请单经监理人向发包人给予确认后，</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60</w:t>
      </w:r>
      <w:r>
        <w:rPr>
          <w:rFonts w:hint="eastAsia" w:ascii="宋体" w:hAnsi="宋体" w:eastAsia="宋体" w:cs="宋体"/>
          <w:color w:val="auto"/>
          <w:sz w:val="24"/>
          <w:szCs w:val="24"/>
          <w:highlight w:val="none"/>
          <w:u w:val="single"/>
          <w:lang w:val="en-US" w:eastAsia="zh-CN"/>
        </w:rPr>
        <w:t xml:space="preserve"> 日历天</w:t>
      </w:r>
      <w:r>
        <w:rPr>
          <w:rFonts w:hint="eastAsia" w:ascii="宋体" w:hAnsi="宋体" w:eastAsia="宋体" w:cs="宋体"/>
          <w:color w:val="auto"/>
          <w:sz w:val="24"/>
          <w:szCs w:val="24"/>
          <w:highlight w:val="none"/>
          <w:lang w:eastAsia="zh-CN"/>
        </w:rPr>
        <w:t>内扣付有关费用（如有）后付清（不计利息）。</w:t>
      </w:r>
    </w:p>
    <w:p w14:paraId="492F8BC1">
      <w:pPr>
        <w:adjustRightInd/>
        <w:snapToGrid/>
        <w:spacing w:line="400" w:lineRule="exact"/>
        <w:ind w:firstLine="480" w:firstLineChars="200"/>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通用条款本</w:t>
      </w:r>
      <w:r>
        <w:rPr>
          <w:rFonts w:hint="eastAsia" w:ascii="宋体" w:hAnsi="宋体" w:eastAsia="宋体" w:cs="宋体"/>
          <w:b w:val="0"/>
          <w:bCs w:val="0"/>
          <w:color w:val="auto"/>
          <w:sz w:val="24"/>
          <w:szCs w:val="24"/>
          <w:highlight w:val="none"/>
          <w:lang w:val="en-US" w:eastAsia="zh-CN"/>
        </w:rPr>
        <w:t>条</w:t>
      </w:r>
      <w:r>
        <w:rPr>
          <w:rFonts w:hint="eastAsia" w:ascii="宋体" w:hAnsi="宋体" w:eastAsia="宋体" w:cs="宋体"/>
          <w:b w:val="0"/>
          <w:color w:val="auto"/>
          <w:sz w:val="24"/>
          <w:szCs w:val="24"/>
          <w:highlight w:val="none"/>
          <w:lang w:val="en-US" w:eastAsia="zh-CN"/>
        </w:rPr>
        <w:t>增加17.7款：</w:t>
      </w:r>
    </w:p>
    <w:p w14:paraId="479FA6F3">
      <w:pPr>
        <w:pStyle w:val="20"/>
        <w:adjustRightInd w:val="0"/>
        <w:snapToGrid w:val="0"/>
        <w:ind w:firstLineChars="20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17.7 安全生产费的计量支付及审核程序</w:t>
      </w:r>
    </w:p>
    <w:p w14:paraId="20D0846F">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17.7.1 开工预付款已包括安全生产预付费用，因此工程项目开工前，不再另行预付安全生产费用。</w:t>
      </w:r>
    </w:p>
    <w:p w14:paraId="2F8E9D56">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17.7.2 项目实施工程中，承包人应根据每一计量周期投入安全生产费用使用情况，按照合同文件规定，编制安全生产费用工程量清单计量申请表（附相关凭证）和下期使用计划，经安全负责人与项目负责人签字盖章后，报送监理工程师审核。</w:t>
      </w:r>
    </w:p>
    <w:p w14:paraId="2FBDF1D9">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监理工程师收到安全生产费用计量申请表后，应当在7天内完成对计量申请表的审核，核实无误签字后报总监办再审核。</w:t>
      </w:r>
    </w:p>
    <w:p w14:paraId="16424947">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发包人对经监理单位审核后的安全生产费用计量表进行审定后，按时将安全生产费用支付给施工单位。</w:t>
      </w:r>
    </w:p>
    <w:p w14:paraId="517F1090">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17.7.3 工程结算时安全生产费用未计量部分原则上不再计量支付。</w:t>
      </w:r>
    </w:p>
    <w:p w14:paraId="32D5B48A">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17.7.4账户信息：</w:t>
      </w:r>
    </w:p>
    <w:p w14:paraId="2B980E7E">
      <w:pPr>
        <w:numPr>
          <w:ilvl w:val="-1"/>
          <w:numId w:val="0"/>
        </w:num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（1）乙方收款信息</w:t>
      </w:r>
    </w:p>
    <w:p w14:paraId="07322C6C">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w:t>
      </w:r>
    </w:p>
    <w:p w14:paraId="31A5852D">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p>
    <w:p w14:paraId="018EF894">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账号信息：</w:t>
      </w:r>
    </w:p>
    <w:p w14:paraId="66DF3D3D">
      <w:pPr>
        <w:numPr>
          <w:ilvl w:val="-1"/>
          <w:numId w:val="0"/>
        </w:num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）工人工资支付专用户</w:t>
      </w:r>
      <w:r>
        <w:rPr>
          <w:rFonts w:hint="eastAsia" w:ascii="宋体" w:hAnsi="宋体" w:eastAsia="宋体" w:cs="宋体"/>
          <w:color w:val="auto"/>
          <w:sz w:val="24"/>
          <w:szCs w:val="24"/>
          <w:highlight w:val="none"/>
          <w:lang w:val="en-US" w:eastAsia="zh-CN"/>
        </w:rPr>
        <w:t>信息</w:t>
      </w:r>
    </w:p>
    <w:p w14:paraId="57AD1A43">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w:t>
      </w:r>
    </w:p>
    <w:p w14:paraId="507848BF">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p>
    <w:p w14:paraId="0762BA54">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账号信息：</w:t>
      </w:r>
    </w:p>
    <w:p w14:paraId="1FD23ABA">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18．竣工验收</w:t>
      </w:r>
    </w:p>
    <w:p w14:paraId="4FA70AF9">
      <w:pPr>
        <w:pStyle w:val="20"/>
        <w:bidi w:val="0"/>
        <w:ind w:firstLineChars="20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18.1竣工验收的含义</w:t>
      </w:r>
    </w:p>
    <w:p w14:paraId="1A7CEA85">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通用条款本款增加18.1.4项：</w:t>
      </w:r>
    </w:p>
    <w:p w14:paraId="2550376A">
      <w:pPr>
        <w:bidi w:val="0"/>
        <w:spacing w:line="400" w:lineRule="exact"/>
        <w:ind w:firstLine="480" w:firstLineChars="200"/>
        <w:jc w:val="both"/>
        <w:rPr>
          <w:rFonts w:hint="eastAsia"/>
          <w:color w:val="000000"/>
          <w:sz w:val="24"/>
          <w:szCs w:val="24"/>
          <w:highlight w:val="none"/>
          <w:lang w:eastAsia="zh-CN"/>
        </w:rPr>
      </w:pPr>
      <w:r>
        <w:rPr>
          <w:rFonts w:hint="eastAsia" w:ascii="宋体" w:hAnsi="宋体" w:eastAsia="宋体" w:cs="宋体"/>
          <w:color w:val="auto"/>
          <w:sz w:val="24"/>
          <w:szCs w:val="24"/>
          <w:highlight w:val="none"/>
          <w:lang w:eastAsia="zh-CN"/>
        </w:rPr>
        <w:t>18.1.4承包人应在竣工验收15天前，向发包人提供竣工资料一式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份，声像资料一式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份</w:t>
      </w:r>
      <w:r>
        <w:rPr>
          <w:rFonts w:hint="eastAsia"/>
          <w:color w:val="000000"/>
          <w:sz w:val="24"/>
          <w:szCs w:val="24"/>
          <w:highlight w:val="none"/>
          <w:lang w:eastAsia="zh-CN"/>
        </w:rPr>
        <w:t>。</w:t>
      </w:r>
    </w:p>
    <w:p w14:paraId="5B1E2835">
      <w:pPr>
        <w:pStyle w:val="20"/>
        <w:bidi w:val="0"/>
        <w:ind w:firstLineChars="200"/>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18.4单位工程验收</w:t>
      </w:r>
    </w:p>
    <w:p w14:paraId="472D1699">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通用条款本款第18.4.2项本合同不适用。</w:t>
      </w:r>
    </w:p>
    <w:p w14:paraId="343FBD6D">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通用条款本条增加18.9款的内容：</w:t>
      </w:r>
    </w:p>
    <w:p w14:paraId="5509069C">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18.9 竣工资料</w:t>
      </w:r>
    </w:p>
    <w:p w14:paraId="458C0BE4">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承包人应按照交通运输部《水运建设项目文件材料立卷归档管理办法》及交通运输部现行《航道工程建设管理规定》《港口工程建设管理规定》的要求进行竣工资料的整理，并按交通运输主管部门等相关部门要求提交工程档案资料。承包人应补充交工资料，并在签发交工验收证书之前提交一式</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份装订整齐、符合要求的竣工资料给发包人。</w:t>
      </w:r>
      <w:r>
        <w:rPr>
          <w:rFonts w:hint="eastAsia" w:ascii="宋体" w:hAnsi="宋体" w:eastAsia="宋体" w:cs="宋体"/>
          <w:color w:val="auto"/>
          <w:sz w:val="24"/>
          <w:szCs w:val="24"/>
          <w:highlight w:val="none"/>
          <w:lang w:val="en-US" w:eastAsia="zh-CN"/>
        </w:rPr>
        <w:t xml:space="preserve"> </w:t>
      </w:r>
    </w:p>
    <w:p w14:paraId="1EB4DA7B">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）竣工图纸和资料；</w:t>
      </w:r>
    </w:p>
    <w:p w14:paraId="36EFA5A4">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）工程质量自评报告；</w:t>
      </w:r>
    </w:p>
    <w:p w14:paraId="21C7C200">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）阶段验收和隐蔽工程验收资料；</w:t>
      </w:r>
    </w:p>
    <w:p w14:paraId="57399C0C">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）工程材料及设备试验与检验资料；</w:t>
      </w:r>
    </w:p>
    <w:p w14:paraId="6AEAF6DC">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）沉降及位移观测资料；</w:t>
      </w:r>
    </w:p>
    <w:p w14:paraId="091BF852">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）竣工工程整体尺度测量报告；</w:t>
      </w:r>
    </w:p>
    <w:p w14:paraId="29EEA1B4">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）施工报告；</w:t>
      </w:r>
    </w:p>
    <w:p w14:paraId="7EB370C7">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）工程结算报告；</w:t>
      </w:r>
    </w:p>
    <w:p w14:paraId="39694564">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）上述资料的电子文件；</w:t>
      </w:r>
    </w:p>
    <w:p w14:paraId="3C047B59">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）声像资料。</w:t>
      </w:r>
    </w:p>
    <w:p w14:paraId="69DE8342">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19．缺陷责任与保修责任</w:t>
      </w:r>
    </w:p>
    <w:p w14:paraId="2F3590CA">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19.1 缺陷责任期的起算时间</w:t>
      </w:r>
    </w:p>
    <w:p w14:paraId="5A2F5000">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通用条款本款第19.1.1项修改为：</w:t>
      </w:r>
    </w:p>
    <w:p w14:paraId="71E03445">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19.1.1本工程缺陷责任期从工程</w:t>
      </w:r>
      <w:r>
        <w:rPr>
          <w:rFonts w:hint="eastAsia" w:ascii="宋体" w:hAnsi="宋体" w:eastAsia="宋体" w:cs="宋体"/>
          <w:color w:val="auto"/>
          <w:sz w:val="24"/>
          <w:szCs w:val="24"/>
          <w:highlight w:val="none"/>
          <w:lang w:val="en-US" w:eastAsia="zh-CN"/>
        </w:rPr>
        <w:t>交工</w:t>
      </w:r>
      <w:r>
        <w:rPr>
          <w:rFonts w:hint="eastAsia" w:ascii="宋体" w:hAnsi="宋体" w:eastAsia="宋体" w:cs="宋体"/>
          <w:color w:val="auto"/>
          <w:sz w:val="24"/>
          <w:szCs w:val="24"/>
          <w:highlight w:val="none"/>
          <w:lang w:eastAsia="zh-CN"/>
        </w:rPr>
        <w:t>验收合格之日起算</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其中</w:t>
      </w:r>
    </w:p>
    <w:p w14:paraId="5B401515">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（1）疏浚工程不设缺陷责任期；</w:t>
      </w:r>
    </w:p>
    <w:p w14:paraId="7CB32518">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（2）缺陷责任期自实际</w:t>
      </w:r>
      <w:r>
        <w:rPr>
          <w:rFonts w:hint="eastAsia" w:ascii="宋体" w:hAnsi="宋体" w:eastAsia="宋体" w:cs="宋体"/>
          <w:color w:val="auto"/>
          <w:sz w:val="24"/>
          <w:szCs w:val="24"/>
          <w:highlight w:val="none"/>
          <w:lang w:val="en-US" w:eastAsia="zh-CN"/>
        </w:rPr>
        <w:t>交工</w:t>
      </w:r>
      <w:r>
        <w:rPr>
          <w:rFonts w:hint="eastAsia" w:ascii="宋体" w:hAnsi="宋体" w:eastAsia="宋体" w:cs="宋体"/>
          <w:color w:val="auto"/>
          <w:sz w:val="24"/>
          <w:szCs w:val="24"/>
          <w:highlight w:val="none"/>
          <w:lang w:eastAsia="zh-CN"/>
        </w:rPr>
        <w:t>日期起计算。在全部工程竣工验收前，已经发包人提前</w:t>
      </w:r>
      <w:r>
        <w:rPr>
          <w:rFonts w:hint="eastAsia" w:ascii="宋体" w:hAnsi="宋体" w:eastAsia="宋体" w:cs="宋体"/>
          <w:color w:val="auto"/>
          <w:sz w:val="24"/>
          <w:szCs w:val="24"/>
          <w:highlight w:val="none"/>
          <w:lang w:val="en-US" w:eastAsia="zh-CN"/>
        </w:rPr>
        <w:t>交工</w:t>
      </w:r>
      <w:r>
        <w:rPr>
          <w:rFonts w:hint="eastAsia" w:ascii="宋体" w:hAnsi="宋体" w:eastAsia="宋体" w:cs="宋体"/>
          <w:color w:val="auto"/>
          <w:sz w:val="24"/>
          <w:szCs w:val="24"/>
          <w:highlight w:val="none"/>
          <w:lang w:eastAsia="zh-CN"/>
        </w:rPr>
        <w:t>验收的单位工程，其缺陷责任期的起算日期相应提前。</w:t>
      </w:r>
    </w:p>
    <w:p w14:paraId="7A1BA10D">
      <w:pPr>
        <w:pStyle w:val="2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19.2 缺陷责任</w:t>
      </w:r>
    </w:p>
    <w:p w14:paraId="1B8AD1D8">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删除本条第19.2.3项内容，代之以：</w:t>
      </w:r>
    </w:p>
    <w:p w14:paraId="189062FC">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19.2.3监理人和承包人应共同査清缺陷和（或）损坏的原因。经査明属承包人原因造成的，应由承包人承担修复和査验的费用，并赔偿发包人相应的损失。经査验属发包人原因造成的，发包人应承担修复和查验的费用。</w:t>
      </w:r>
    </w:p>
    <w:p w14:paraId="7FDE70DF">
      <w:pPr>
        <w:spacing w:line="400" w:lineRule="exact"/>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删除本条第19.2.</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项内容，代之以：</w:t>
      </w:r>
    </w:p>
    <w:p w14:paraId="1B77CAD2">
      <w:pPr>
        <w:spacing w:line="4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19.2.</w:t>
      </w:r>
      <w:r>
        <w:rPr>
          <w:rFonts w:hint="eastAsia" w:ascii="宋体" w:hAnsi="宋体" w:eastAsia="宋体" w:cs="宋体"/>
          <w:color w:val="auto"/>
          <w:sz w:val="24"/>
          <w:szCs w:val="24"/>
          <w:highlight w:val="none"/>
          <w:lang w:val="en-US" w:eastAsia="zh-CN"/>
        </w:rPr>
        <w:t>4属承包人原因造成缺陷和（或）损坏的，</w:t>
      </w:r>
      <w:r>
        <w:rPr>
          <w:rFonts w:hint="eastAsia" w:ascii="宋体" w:hAnsi="宋体" w:eastAsia="宋体" w:cs="宋体"/>
          <w:color w:val="auto"/>
          <w:sz w:val="24"/>
          <w:szCs w:val="24"/>
          <w:highlight w:val="none"/>
          <w:lang w:eastAsia="zh-CN"/>
        </w:rPr>
        <w:t>承包人不能在合理时间内修复的，发包人可自行修复或委托其他人修复，</w:t>
      </w:r>
      <w:r>
        <w:rPr>
          <w:rFonts w:hint="eastAsia" w:ascii="宋体" w:hAnsi="宋体" w:eastAsia="宋体" w:cs="宋体"/>
          <w:color w:val="auto"/>
          <w:sz w:val="24"/>
          <w:szCs w:val="24"/>
          <w:highlight w:val="none"/>
          <w:lang w:val="en-US" w:eastAsia="zh-CN"/>
        </w:rPr>
        <w:t>相关费用经发包人审核后由承包人负责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并在质保金中扣除。</w:t>
      </w:r>
    </w:p>
    <w:p w14:paraId="5972818E">
      <w:pPr>
        <w:pStyle w:val="20"/>
        <w:rPr>
          <w:rFonts w:hint="eastAsia"/>
          <w:color w:val="000000"/>
          <w:sz w:val="24"/>
          <w:szCs w:val="24"/>
          <w:highlight w:val="none"/>
        </w:rPr>
      </w:pPr>
      <w:r>
        <w:rPr>
          <w:rFonts w:hint="eastAsia"/>
          <w:color w:val="000000"/>
          <w:sz w:val="24"/>
          <w:szCs w:val="24"/>
          <w:highlight w:val="none"/>
        </w:rPr>
        <w:t>19.7 保修责任</w:t>
      </w:r>
    </w:p>
    <w:p w14:paraId="5189809E">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保修期</w:t>
      </w:r>
      <w:r>
        <w:rPr>
          <w:rFonts w:hint="eastAsia" w:ascii="宋体" w:hAnsi="宋体" w:eastAsia="宋体" w:cs="宋体"/>
          <w:color w:val="auto"/>
          <w:sz w:val="24"/>
          <w:szCs w:val="24"/>
          <w:highlight w:val="none"/>
          <w:lang w:val="en-US" w:eastAsia="zh-CN"/>
        </w:rPr>
        <w:t>由交工验收</w:t>
      </w:r>
      <w:r>
        <w:rPr>
          <w:rFonts w:hint="eastAsia" w:ascii="宋体" w:hAnsi="宋体" w:eastAsia="宋体" w:cs="宋体"/>
          <w:color w:val="auto"/>
          <w:sz w:val="24"/>
          <w:szCs w:val="24"/>
          <w:highlight w:val="none"/>
          <w:lang w:eastAsia="zh-CN"/>
        </w:rPr>
        <w:t>日期起计算，其中电气管线、给排水管道、设备安装和装修工程保修期限为三年，其他工程部分不低于法律法规规定的最低保修期限</w:t>
      </w:r>
      <w:r>
        <w:rPr>
          <w:rFonts w:hint="eastAsia" w:ascii="宋体" w:hAnsi="宋体" w:eastAsia="宋体" w:cs="宋体"/>
          <w:color w:val="auto"/>
          <w:sz w:val="24"/>
          <w:szCs w:val="24"/>
          <w:highlight w:val="none"/>
          <w:lang w:val="en-US" w:eastAsia="zh-CN"/>
        </w:rPr>
        <w:t>。</w:t>
      </w:r>
    </w:p>
    <w:p w14:paraId="2B687A35">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20．保险</w:t>
      </w:r>
    </w:p>
    <w:p w14:paraId="59C82528">
      <w:pPr>
        <w:pStyle w:val="20"/>
        <w:bidi w:val="0"/>
        <w:ind w:firstLineChars="200"/>
        <w:rPr>
          <w:rFonts w:hint="eastAsia"/>
          <w:color w:val="000000"/>
          <w:sz w:val="24"/>
          <w:szCs w:val="24"/>
          <w:highlight w:val="none"/>
          <w:lang w:eastAsia="zh-CN"/>
        </w:rPr>
      </w:pPr>
      <w:r>
        <w:rPr>
          <w:rFonts w:hint="eastAsia"/>
          <w:color w:val="000000"/>
          <w:sz w:val="24"/>
          <w:szCs w:val="24"/>
          <w:highlight w:val="none"/>
          <w:lang w:eastAsia="zh-CN"/>
        </w:rPr>
        <w:t>20.1工程保险</w:t>
      </w:r>
    </w:p>
    <w:p w14:paraId="3B4067A1">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安工程险包含工程一切责任险，由发包人投保，若发生在保险索赔范围内的事件，承包人应在事故发生后48小时内第一时间向保险机构申请报案，并负责收集相关相片、视频、事故说明、损失清单等案发资料提交给保险机构，同时书面告知发包人。索赔过程由承包人主导负责，发包人提供必要协助。在申请索赔时，承包人必须向发包人提供理赔所需的全部可靠资料，包括但不限于事故报告、费用凭证、修复方案等。</w:t>
      </w:r>
    </w:p>
    <w:p w14:paraId="52B11DF9">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保险免赔额按保单要求的范围内免赔。免赔额部分的损失由承包人承担。​</w:t>
      </w:r>
    </w:p>
    <w:p w14:paraId="59FFC3D4">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个案件取得的理赔金额，需由保险机构直接转账至发包人指定账户。发包人在收到理赔款后，扣除应由承包人承担的相关费用后，将剩余款项支付给承包人。若因承包人未及时报案、资料不全或操作不当导致理赔延误或失败，相关损失由承包人承担。因损失不在保险索赔范围内部分或索赔不足的差额部分，由承包人承担。</w:t>
      </w:r>
    </w:p>
    <w:p w14:paraId="3723A283">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20.2.1承包人员工伤事故的保险</w:t>
      </w:r>
    </w:p>
    <w:p w14:paraId="6DF80373">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建设项目（标段）工伤保险费由承包人投保并购买，在建设项目开工前由承包人向项目所在地的税务部门一次性代缴，覆盖建设项目使用的所有职工，包括施工总承包单位、专业承包单位、劳务分包单位的使用的职工等。具体措施按照《关于做好我省铁路、公路、水运、水利、能源、机场工程建设项目参加工伤保险工作的通知》（粤人社规[2018]15号）执行。</w:t>
      </w:r>
    </w:p>
    <w:p w14:paraId="091F714D">
      <w:pPr>
        <w:pStyle w:val="20"/>
        <w:bidi w:val="0"/>
        <w:ind w:firstLineChars="200"/>
        <w:rPr>
          <w:rFonts w:hint="eastAsia"/>
          <w:color w:val="000000"/>
          <w:sz w:val="24"/>
          <w:szCs w:val="24"/>
          <w:highlight w:val="none"/>
          <w:lang w:eastAsia="zh-CN"/>
        </w:rPr>
      </w:pPr>
      <w:r>
        <w:rPr>
          <w:rFonts w:hint="eastAsia"/>
          <w:color w:val="000000"/>
          <w:sz w:val="24"/>
          <w:szCs w:val="24"/>
          <w:highlight w:val="none"/>
          <w:lang w:eastAsia="zh-CN"/>
        </w:rPr>
        <w:t>20.5其他保险</w:t>
      </w:r>
    </w:p>
    <w:p w14:paraId="3DAFC8BF">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通用条款本款补充以下内容：</w:t>
      </w:r>
    </w:p>
    <w:p w14:paraId="60AC1D9E">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需要投保的其它内容：承包人除应为其施工设备、进场材料和工程设备等办理保险外，还应自费投保并维持包括但不限于安全生产责任险、机动车辆保险等中国法律要求承包人投保的以及发包人合理要求的保险。</w:t>
      </w:r>
    </w:p>
    <w:p w14:paraId="164AFE5C">
      <w:pPr>
        <w:bidi w:val="0"/>
        <w:spacing w:line="400" w:lineRule="exact"/>
        <w:ind w:firstLine="480" w:firstLineChars="200"/>
        <w:jc w:val="both"/>
        <w:rPr>
          <w:rFonts w:hint="eastAsia"/>
          <w:color w:val="000000"/>
          <w:sz w:val="24"/>
          <w:szCs w:val="24"/>
          <w:highlight w:val="none"/>
          <w:lang w:eastAsia="zh-CN"/>
        </w:rPr>
      </w:pPr>
      <w:r>
        <w:rPr>
          <w:rFonts w:hint="eastAsia" w:ascii="宋体" w:hAnsi="宋体" w:eastAsia="宋体" w:cs="宋体"/>
          <w:color w:val="auto"/>
          <w:sz w:val="24"/>
          <w:szCs w:val="24"/>
          <w:highlight w:val="none"/>
          <w:lang w:eastAsia="zh-CN"/>
        </w:rPr>
        <w:t>保险金额、保险费率和保险期限：保险金额不低于法规要求，保险费率由承包人自行与保险人协商，保险期限覆盖合同对应的实际工期。</w:t>
      </w:r>
    </w:p>
    <w:p w14:paraId="2D7AF05E">
      <w:pPr>
        <w:pStyle w:val="20"/>
        <w:bidi w:val="0"/>
        <w:ind w:firstLineChars="200"/>
        <w:rPr>
          <w:rFonts w:hint="eastAsia"/>
          <w:color w:val="000000"/>
          <w:sz w:val="24"/>
          <w:szCs w:val="24"/>
          <w:highlight w:val="none"/>
          <w:lang w:eastAsia="zh-CN"/>
        </w:rPr>
      </w:pPr>
      <w:r>
        <w:rPr>
          <w:rFonts w:hint="eastAsia"/>
          <w:color w:val="000000"/>
          <w:sz w:val="24"/>
          <w:szCs w:val="24"/>
          <w:highlight w:val="none"/>
          <w:lang w:eastAsia="zh-CN"/>
        </w:rPr>
        <w:t>20.6对各项保险的一般要求</w:t>
      </w:r>
    </w:p>
    <w:p w14:paraId="556347B6">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20.6.1保险凭证</w:t>
      </w:r>
    </w:p>
    <w:p w14:paraId="33E38FA2">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承包人在开工后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天内向发包人提交各项保险（包含安责险、人身意外险等）生效的证据和保险单副本。如提交工伤保险缴费凭证、安全生产责任险保单原件扫描件（加盖公章）及参保职工清单等。施工期间若发生人员变动，承包人应在15日内更新参保信息并报备发包人。</w:t>
      </w:r>
    </w:p>
    <w:p w14:paraId="1EE3C576">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20.6.3持续保险</w:t>
      </w:r>
    </w:p>
    <w:p w14:paraId="6E2B9369">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通用条款本项文末增加：若由承包人原因引起的工程延期，承包人应及时地无条件续保，并承担相应费用，相关费用含在合同总价中，发包人不另行支付费用。</w:t>
      </w:r>
    </w:p>
    <w:p w14:paraId="0EA0097A">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20.6.4保险金不足的补偿</w:t>
      </w:r>
    </w:p>
    <w:p w14:paraId="0F721C84">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保险金不足以补偿损失的部分由承包人自行承担，相关费用含在合同总价中。</w:t>
      </w:r>
    </w:p>
    <w:p w14:paraId="736AE7FA">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20.6.5未按约定投保的补救</w:t>
      </w:r>
    </w:p>
    <w:p w14:paraId="1EA2F69F">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约定为：由于承包人未按合同约定办理各项保险，或未按保险单规定的条件和期限及时向保险人报告事故情况，或未按要求的保险期限进行投保，或未按要求投保足够的保险金额，承包人应承担一切经济损失和赔偿责任。</w:t>
      </w:r>
    </w:p>
    <w:p w14:paraId="20C1F806">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20.6.6报告义务</w:t>
      </w:r>
    </w:p>
    <w:p w14:paraId="2825072C">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通用条款本款20.6.6项内容细化如下：</w:t>
      </w:r>
    </w:p>
    <w:p w14:paraId="0C499979">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本合同工程</w:t>
      </w:r>
      <w:r>
        <w:rPr>
          <w:rFonts w:hint="eastAsia" w:ascii="宋体" w:hAnsi="宋体" w:eastAsia="宋体" w:cs="宋体"/>
          <w:color w:val="auto"/>
          <w:sz w:val="24"/>
          <w:szCs w:val="24"/>
          <w:highlight w:val="none"/>
          <w:lang w:val="en-US" w:eastAsia="zh-CN"/>
        </w:rPr>
        <w:t>一切</w:t>
      </w:r>
      <w:r>
        <w:rPr>
          <w:rFonts w:hint="eastAsia" w:ascii="宋体" w:hAnsi="宋体" w:eastAsia="宋体" w:cs="宋体"/>
          <w:color w:val="auto"/>
          <w:sz w:val="24"/>
          <w:szCs w:val="24"/>
          <w:highlight w:val="none"/>
          <w:lang w:eastAsia="zh-CN"/>
        </w:rPr>
        <w:t>保险</w:t>
      </w:r>
      <w:r>
        <w:rPr>
          <w:rFonts w:hint="eastAsia" w:ascii="宋体" w:hAnsi="宋体" w:eastAsia="宋体" w:cs="宋体"/>
          <w:color w:val="auto"/>
          <w:sz w:val="24"/>
          <w:szCs w:val="24"/>
          <w:highlight w:val="none"/>
          <w:lang w:val="en-US" w:eastAsia="zh-CN"/>
        </w:rPr>
        <w:t>投保期间</w:t>
      </w:r>
      <w:r>
        <w:rPr>
          <w:rFonts w:hint="eastAsia" w:ascii="宋体" w:hAnsi="宋体" w:eastAsia="宋体" w:cs="宋体"/>
          <w:color w:val="auto"/>
          <w:sz w:val="24"/>
          <w:szCs w:val="24"/>
          <w:highlight w:val="none"/>
          <w:lang w:eastAsia="zh-CN"/>
        </w:rPr>
        <w:t>，当发生保险合同约定的保险责任范围的损失或损害时，承包人应按保险单规定的条件和期限及时向</w:t>
      </w:r>
      <w:r>
        <w:rPr>
          <w:rFonts w:hint="eastAsia" w:ascii="宋体" w:hAnsi="宋体" w:eastAsia="宋体" w:cs="宋体"/>
          <w:color w:val="auto"/>
          <w:sz w:val="24"/>
          <w:szCs w:val="24"/>
          <w:highlight w:val="none"/>
          <w:lang w:val="en-US" w:eastAsia="zh-CN"/>
        </w:rPr>
        <w:t>发包方</w:t>
      </w:r>
      <w:r>
        <w:rPr>
          <w:rFonts w:hint="eastAsia" w:ascii="宋体" w:hAnsi="宋体" w:eastAsia="宋体" w:cs="宋体"/>
          <w:color w:val="auto"/>
          <w:sz w:val="24"/>
          <w:szCs w:val="24"/>
          <w:highlight w:val="none"/>
          <w:lang w:eastAsia="zh-CN"/>
        </w:rPr>
        <w:t>报告，并抄送监理工程师。如损害继续发生，承包人在递交第一次报告后，每</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天报告一次，直到损害结束。</w:t>
      </w:r>
    </w:p>
    <w:p w14:paraId="044D4F61">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通用条款本款增加第20.6.7项的内容：</w:t>
      </w:r>
    </w:p>
    <w:p w14:paraId="703400AD">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20.6.7遵守保险单的条件</w:t>
      </w:r>
    </w:p>
    <w:p w14:paraId="64768938">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如果承包人未能遵守根据合同生效的保险单规定的条件，承包人应保障发包人受由于未能遵守保险单的条件而造成的全部损失和索赔。</w:t>
      </w:r>
    </w:p>
    <w:p w14:paraId="2B621149">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21．不可抗力</w:t>
      </w:r>
    </w:p>
    <w:p w14:paraId="0F763337">
      <w:pPr>
        <w:pStyle w:val="20"/>
        <w:rPr>
          <w:rFonts w:hint="eastAsia"/>
          <w:color w:val="000000"/>
          <w:sz w:val="24"/>
          <w:szCs w:val="24"/>
          <w:highlight w:val="none"/>
          <w:lang w:val="en-US" w:eastAsia="zh-CN"/>
        </w:rPr>
      </w:pPr>
      <w:r>
        <w:rPr>
          <w:rFonts w:hint="eastAsia"/>
          <w:color w:val="000000"/>
          <w:sz w:val="24"/>
          <w:szCs w:val="24"/>
          <w:highlight w:val="none"/>
          <w:lang w:val="en-US" w:eastAsia="zh-CN"/>
        </w:rPr>
        <w:t>21.3 不可抗力后果及其处理</w:t>
      </w:r>
    </w:p>
    <w:p w14:paraId="58D6B111">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21.3.1不可抗力造成损害的责任</w:t>
      </w:r>
    </w:p>
    <w:p w14:paraId="0FE8F2F0">
      <w:pPr>
        <w:spacing w:line="400" w:lineRule="exact"/>
        <w:ind w:firstLine="480" w:firstLineChars="200"/>
        <w:jc w:val="both"/>
        <w:rPr>
          <w:rFonts w:hint="eastAsia"/>
          <w:color w:val="000000"/>
          <w:sz w:val="24"/>
          <w:szCs w:val="24"/>
          <w:highlight w:val="none"/>
        </w:rPr>
      </w:pPr>
      <w:r>
        <w:rPr>
          <w:rFonts w:hint="eastAsia" w:ascii="宋体" w:hAnsi="宋体" w:eastAsia="宋体" w:cs="宋体"/>
          <w:color w:val="auto"/>
          <w:sz w:val="24"/>
          <w:szCs w:val="24"/>
          <w:highlight w:val="none"/>
          <w:lang w:eastAsia="zh-CN"/>
        </w:rPr>
        <w:t>通用条款本项第（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）目的内容不适用本合同，代之以：承包人须按专用条款第</w:t>
      </w:r>
      <w:r>
        <w:rPr>
          <w:rFonts w:hint="eastAsia" w:ascii="宋体" w:hAnsi="宋体" w:eastAsia="宋体" w:cs="宋体"/>
          <w:color w:val="auto"/>
          <w:sz w:val="24"/>
          <w:szCs w:val="24"/>
          <w:highlight w:val="none"/>
          <w:lang w:val="en-US" w:eastAsia="zh-CN"/>
        </w:rPr>
        <w:t>20条约定办理相关保险，否则，一切责任由承包人承担</w:t>
      </w:r>
      <w:r>
        <w:rPr>
          <w:rFonts w:hint="eastAsia" w:ascii="宋体" w:hAnsi="宋体" w:eastAsia="宋体" w:cs="宋体"/>
          <w:color w:val="auto"/>
          <w:sz w:val="24"/>
          <w:szCs w:val="24"/>
          <w:highlight w:val="none"/>
          <w:lang w:eastAsia="zh-CN"/>
        </w:rPr>
        <w:t>。</w:t>
      </w:r>
    </w:p>
    <w:p w14:paraId="14C271B8">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22．违约</w:t>
      </w:r>
    </w:p>
    <w:p w14:paraId="46E7B191">
      <w:pPr>
        <w:pStyle w:val="20"/>
        <w:bidi w:val="0"/>
        <w:ind w:firstLineChars="200"/>
        <w:rPr>
          <w:rFonts w:hint="eastAsia"/>
          <w:color w:val="000000"/>
          <w:sz w:val="24"/>
          <w:szCs w:val="24"/>
          <w:highlight w:val="none"/>
          <w:lang w:eastAsia="zh-CN"/>
        </w:rPr>
      </w:pPr>
      <w:r>
        <w:rPr>
          <w:rFonts w:hint="eastAsia"/>
          <w:color w:val="000000"/>
          <w:sz w:val="24"/>
          <w:szCs w:val="24"/>
          <w:highlight w:val="none"/>
          <w:lang w:eastAsia="zh-CN"/>
        </w:rPr>
        <w:t>22.1承包人违约</w:t>
      </w:r>
    </w:p>
    <w:p w14:paraId="5B4539F9">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22.1.1承包人违约的情形</w:t>
      </w:r>
    </w:p>
    <w:p w14:paraId="71AB6B79">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通用条款本项增加（8）、（9）、（10）、（11）、（12）目：</w:t>
      </w:r>
    </w:p>
    <w:p w14:paraId="057D7B82">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（8）承包人未能按期开工；</w:t>
      </w:r>
    </w:p>
    <w:p w14:paraId="3161A73E">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（9）承包人违反第4.6款关于按投标文件及时配备称职的主要管理人员与技术骨干的规定，违反第9.4款关于环境保护的规定；</w:t>
      </w:r>
    </w:p>
    <w:p w14:paraId="479861A2">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（10）承包人未按专用条款6.1.1和6.1.3项投入施工船舶的；</w:t>
      </w:r>
    </w:p>
    <w:p w14:paraId="26C8F9A5">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（11）承包人提供虚假资料，导致发包人遭受损失。</w:t>
      </w:r>
    </w:p>
    <w:p w14:paraId="7BDD2B73">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（12）承包人被发现确定存在偷卸、偷砂等违规行为共达到2次以上的。</w:t>
      </w:r>
    </w:p>
    <w:p w14:paraId="5DB676C8">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22.1.2对承包人违约的处理</w:t>
      </w:r>
    </w:p>
    <w:p w14:paraId="4C633D65">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通用条款本项第（2）目文末补充：承包人违约的，无论发包人是否解除合同，发包人均有权向承包人扣以合同总价</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lang w:eastAsia="zh-CN"/>
        </w:rPr>
        <w:t>2%的违约金，且最高不超过1000万元，并要求承包人承担由此给发包人造成的实际损失。</w:t>
      </w:r>
    </w:p>
    <w:p w14:paraId="36FB08FE">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通用条款本项增加第（4）目：承包人违约的，发包人将上报上级交通行政主管部门，计入承包人的诚信档案。</w:t>
      </w:r>
    </w:p>
    <w:p w14:paraId="0E90B6EC">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22.1.3承包人违约解除合同</w:t>
      </w:r>
    </w:p>
    <w:p w14:paraId="69369A54">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通用条款本项的内容不适用于本合同，代之以：</w:t>
      </w:r>
    </w:p>
    <w:p w14:paraId="301A96C4">
      <w:pPr>
        <w:bidi w:val="0"/>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理人发出整改通知28天后，承包人仍不纠正违约行为的，发包人可向承包人发出解除合同通知。合同解除后28天内，承包人须完成现场设备、材料、农民工的清退工作。否则视为承包人二次违约，发包人有权向承包人索赔合同总价5%的违约金。</w:t>
      </w:r>
    </w:p>
    <w:p w14:paraId="6403E23E">
      <w:pPr>
        <w:pStyle w:val="20"/>
        <w:rPr>
          <w:rFonts w:hint="eastAsia"/>
          <w:color w:val="000000"/>
          <w:sz w:val="24"/>
          <w:szCs w:val="24"/>
          <w:highlight w:val="none"/>
          <w:lang w:val="en-US" w:eastAsia="zh-CN"/>
        </w:rPr>
      </w:pPr>
      <w:r>
        <w:rPr>
          <w:rFonts w:hint="eastAsia"/>
          <w:color w:val="000000"/>
          <w:sz w:val="24"/>
          <w:szCs w:val="24"/>
          <w:highlight w:val="none"/>
          <w:lang w:val="en-US" w:eastAsia="zh-CN"/>
        </w:rPr>
        <w:t>22.2 发包人违约</w:t>
      </w:r>
    </w:p>
    <w:p w14:paraId="5D356E85">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不约定。</w:t>
      </w:r>
    </w:p>
    <w:p w14:paraId="229CB5CF">
      <w:pPr>
        <w:pStyle w:val="20"/>
        <w:rPr>
          <w:rFonts w:hint="eastAsia"/>
          <w:color w:val="000000"/>
          <w:sz w:val="24"/>
          <w:szCs w:val="24"/>
          <w:highlight w:val="none"/>
          <w:lang w:val="en-US" w:eastAsia="zh-CN"/>
        </w:rPr>
      </w:pPr>
      <w:r>
        <w:rPr>
          <w:rFonts w:hint="eastAsia"/>
          <w:color w:val="000000"/>
          <w:sz w:val="24"/>
          <w:szCs w:val="24"/>
          <w:highlight w:val="none"/>
          <w:lang w:val="en-US" w:eastAsia="zh-CN"/>
        </w:rPr>
        <w:t>22.4  违约金扣付</w:t>
      </w:r>
    </w:p>
    <w:p w14:paraId="5FB6F9B0">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22.4.1 承包人应向发包人支付的违约金，发包人可在进度款、工程结算款或履约保证金中扣付，扣付后，发包人向承包人开具相应的违约金扣付收据（国家法律法规另有规定的除外），承包人应向发包人开具足额（未扣付违约金）的进度款、工程结算款有效发票，否则，不能办理进度款、工程结算款等款项的支付申请。</w:t>
      </w:r>
    </w:p>
    <w:p w14:paraId="66465DA9">
      <w:pPr>
        <w:spacing w:line="400" w:lineRule="exact"/>
        <w:ind w:firstLine="480" w:firstLineChars="200"/>
        <w:jc w:val="both"/>
        <w:rPr>
          <w:rFonts w:hint="eastAsia"/>
          <w:color w:val="000000"/>
          <w:sz w:val="24"/>
          <w:szCs w:val="24"/>
          <w:highlight w:val="none"/>
        </w:rPr>
      </w:pPr>
      <w:r>
        <w:rPr>
          <w:rFonts w:hint="eastAsia" w:ascii="宋体" w:hAnsi="宋体" w:eastAsia="宋体" w:cs="宋体"/>
          <w:color w:val="auto"/>
          <w:sz w:val="24"/>
          <w:szCs w:val="24"/>
          <w:highlight w:val="none"/>
          <w:lang w:eastAsia="zh-CN"/>
        </w:rPr>
        <w:t>22.4.2 发生专用条款22.1.2款第（</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）目至（</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）目情形之一的，每月计</w:t>
      </w:r>
      <w:r>
        <w:rPr>
          <w:rFonts w:hint="eastAsia" w:ascii="宋体" w:hAnsi="宋体" w:eastAsia="宋体" w:cs="宋体"/>
          <w:color w:val="auto"/>
          <w:sz w:val="24"/>
          <w:szCs w:val="24"/>
          <w:highlight w:val="none"/>
          <w:lang w:val="en-US" w:eastAsia="zh-CN"/>
        </w:rPr>
        <w:t>扣</w:t>
      </w:r>
      <w:r>
        <w:rPr>
          <w:rFonts w:hint="eastAsia" w:ascii="宋体" w:hAnsi="宋体" w:eastAsia="宋体" w:cs="宋体"/>
          <w:color w:val="auto"/>
          <w:sz w:val="24"/>
          <w:szCs w:val="24"/>
          <w:highlight w:val="none"/>
          <w:lang w:eastAsia="zh-CN"/>
        </w:rPr>
        <w:t>一次。</w:t>
      </w:r>
    </w:p>
    <w:p w14:paraId="09151C51">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24．争议的解决</w:t>
      </w:r>
    </w:p>
    <w:p w14:paraId="7B005A22">
      <w:pPr>
        <w:pStyle w:val="20"/>
        <w:rPr>
          <w:rFonts w:hint="eastAsia"/>
          <w:color w:val="000000"/>
          <w:sz w:val="24"/>
          <w:szCs w:val="24"/>
          <w:highlight w:val="none"/>
          <w:lang w:val="en-US" w:eastAsia="zh-CN"/>
        </w:rPr>
      </w:pPr>
      <w:r>
        <w:rPr>
          <w:rFonts w:hint="eastAsia"/>
          <w:color w:val="000000"/>
          <w:sz w:val="24"/>
          <w:szCs w:val="24"/>
          <w:highlight w:val="none"/>
          <w:lang w:val="en-US" w:eastAsia="zh-CN"/>
        </w:rPr>
        <w:t>24.1 争议的解决方式</w:t>
      </w:r>
    </w:p>
    <w:p w14:paraId="1646290E">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发包人和承包人在履行合同中发生争议的，可以友好协商解决。合同当事人友好协商解决不成，按以下方式解决：</w:t>
      </w:r>
    </w:p>
    <w:p w14:paraId="264BA2F7">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向发包人所在地的人民法院提起诉讼。</w:t>
      </w:r>
    </w:p>
    <w:p w14:paraId="3DE63580">
      <w:pPr>
        <w:pStyle w:val="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25．其他约定</w:t>
      </w:r>
    </w:p>
    <w:p w14:paraId="0565F69E">
      <w:pPr>
        <w:pStyle w:val="20"/>
        <w:rPr>
          <w:rFonts w:hint="eastAsia"/>
          <w:color w:val="000000"/>
          <w:sz w:val="24"/>
          <w:szCs w:val="24"/>
          <w:highlight w:val="none"/>
          <w:lang w:val="en-US" w:eastAsia="zh-CN"/>
        </w:rPr>
      </w:pPr>
      <w:r>
        <w:rPr>
          <w:rFonts w:hint="eastAsia"/>
          <w:color w:val="000000"/>
          <w:sz w:val="24"/>
          <w:szCs w:val="24"/>
          <w:highlight w:val="none"/>
          <w:lang w:val="en-US" w:eastAsia="zh-CN"/>
        </w:rPr>
        <w:t>25.1 合同当事人和人员姓名及联系方式</w:t>
      </w:r>
    </w:p>
    <w:p w14:paraId="150188B9">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25.1.1 监理人：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电子邮箱：</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lang w:eastAsia="zh-CN"/>
        </w:rPr>
        <w:t>。</w:t>
      </w:r>
    </w:p>
    <w:p w14:paraId="7C10B13E">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25.1.2 总监理工程师：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电子邮箱：</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573DCC01">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25.1.3 承包人项目负责人：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电子邮箱：</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24B589C4">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25.1.4 承包人项目技术负责人：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电子邮箱：</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7B83C1A0">
      <w:pPr>
        <w:spacing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25.1.5 发包人代表：</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电子邮箱：</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76A72A11">
      <w:pPr>
        <w:pStyle w:val="20"/>
        <w:rPr>
          <w:rFonts w:hint="eastAsia"/>
          <w:color w:val="000000"/>
          <w:sz w:val="24"/>
          <w:szCs w:val="24"/>
          <w:highlight w:val="none"/>
          <w:lang w:val="en-US" w:eastAsia="zh-CN"/>
        </w:rPr>
      </w:pPr>
      <w:r>
        <w:rPr>
          <w:rFonts w:hint="eastAsia"/>
          <w:color w:val="000000"/>
          <w:sz w:val="24"/>
          <w:szCs w:val="24"/>
          <w:highlight w:val="none"/>
          <w:lang w:val="en-US" w:eastAsia="zh-CN"/>
        </w:rPr>
        <w:t>25.4 其他</w:t>
      </w:r>
    </w:p>
    <w:p w14:paraId="0431E736">
      <w:pPr>
        <w:autoSpaceDE/>
        <w:autoSpaceDN/>
        <w:spacing w:line="400" w:lineRule="exact"/>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25.4.1</w:t>
      </w:r>
      <w:r>
        <w:rPr>
          <w:rFonts w:hint="eastAsia" w:ascii="宋体" w:hAnsi="宋体" w:eastAsia="宋体" w:cs="宋体"/>
          <w:color w:val="auto"/>
          <w:sz w:val="24"/>
          <w:szCs w:val="24"/>
          <w:highlight w:val="none"/>
          <w:lang w:eastAsia="zh-CN"/>
        </w:rPr>
        <w:t>账户查询</w:t>
      </w:r>
    </w:p>
    <w:p w14:paraId="1B1F3288">
      <w:pPr>
        <w:autoSpaceDE/>
        <w:autoSpaceDN/>
        <w:spacing w:line="400" w:lineRule="exact"/>
        <w:ind w:left="0" w:righ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为确保专款专用，发包人要求承包人在项目所在地设立专用帐户，并要求承包人在银行开户时将其中一个印鉴留在发包人代表处，承包人提款或转帐须经发包人代表同意，接受发包人代表和监理监督。</w:t>
      </w:r>
    </w:p>
    <w:p w14:paraId="60393DA3">
      <w:pPr>
        <w:autoSpaceDE/>
        <w:autoSpaceDN/>
        <w:spacing w:line="400" w:lineRule="exact"/>
        <w:ind w:lef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专用账户信息如下：</w:t>
      </w:r>
    </w:p>
    <w:tbl>
      <w:tblPr>
        <w:tblStyle w:val="12"/>
        <w:tblpPr w:leftFromText="180" w:rightFromText="180" w:vertAnchor="text" w:horzAnchor="page" w:tblpX="2099" w:tblpY="7"/>
        <w:tblOverlap w:val="never"/>
        <w:tblW w:w="8320" w:type="dxa"/>
        <w:tblInd w:w="0" w:type="dxa"/>
        <w:tblLayout w:type="fixed"/>
        <w:tblCellMar>
          <w:top w:w="0" w:type="dxa"/>
          <w:left w:w="108" w:type="dxa"/>
          <w:bottom w:w="0" w:type="dxa"/>
          <w:right w:w="108" w:type="dxa"/>
        </w:tblCellMar>
      </w:tblPr>
      <w:tblGrid>
        <w:gridCol w:w="2420"/>
        <w:gridCol w:w="5900"/>
      </w:tblGrid>
      <w:tr w14:paraId="42927603">
        <w:tblPrEx>
          <w:tblCellMar>
            <w:top w:w="0" w:type="dxa"/>
            <w:left w:w="108" w:type="dxa"/>
            <w:bottom w:w="0" w:type="dxa"/>
            <w:right w:w="108" w:type="dxa"/>
          </w:tblCellMar>
        </w:tblPrEx>
        <w:trPr>
          <w:trHeight w:val="480" w:hRule="exact"/>
        </w:trPr>
        <w:tc>
          <w:tcPr>
            <w:tcW w:w="2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32B2F65">
            <w:pPr>
              <w:spacing w:before="0"/>
              <w:ind w:left="720"/>
              <w:rPr>
                <w:sz w:val="24"/>
                <w:szCs w:val="24"/>
                <w:highlight w:val="none"/>
              </w:rPr>
            </w:pPr>
            <w:r>
              <w:rPr>
                <w:rFonts w:hint="eastAsia" w:ascii="宋体" w:hAnsi="宋体" w:eastAsia="宋体" w:cs="宋体"/>
                <w:sz w:val="24"/>
                <w:szCs w:val="24"/>
                <w:highlight w:val="none"/>
              </w:rPr>
              <w:t>帐户名称</w:t>
            </w:r>
          </w:p>
        </w:tc>
        <w:tc>
          <w:tcPr>
            <w:tcW w:w="590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BFF7F9A">
            <w:pPr>
              <w:rPr>
                <w:sz w:val="24"/>
                <w:szCs w:val="24"/>
                <w:highlight w:val="none"/>
              </w:rPr>
            </w:pPr>
          </w:p>
        </w:tc>
      </w:tr>
      <w:tr w14:paraId="129A66C9">
        <w:tblPrEx>
          <w:tblCellMar>
            <w:top w:w="0" w:type="dxa"/>
            <w:left w:w="108" w:type="dxa"/>
            <w:bottom w:w="0" w:type="dxa"/>
            <w:right w:w="108" w:type="dxa"/>
          </w:tblCellMar>
        </w:tblPrEx>
        <w:trPr>
          <w:trHeight w:val="480" w:hRule="exact"/>
        </w:trPr>
        <w:tc>
          <w:tcPr>
            <w:tcW w:w="2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7E7B425">
            <w:pPr>
              <w:spacing w:before="0"/>
              <w:ind w:left="720"/>
              <w:rPr>
                <w:sz w:val="24"/>
                <w:szCs w:val="24"/>
                <w:highlight w:val="none"/>
              </w:rPr>
            </w:pPr>
            <w:r>
              <w:rPr>
                <w:rFonts w:hint="eastAsia" w:ascii="宋体" w:hAnsi="宋体" w:eastAsia="宋体" w:cs="宋体"/>
                <w:sz w:val="24"/>
                <w:szCs w:val="24"/>
                <w:highlight w:val="none"/>
              </w:rPr>
              <w:t>开户银行</w:t>
            </w:r>
          </w:p>
        </w:tc>
        <w:tc>
          <w:tcPr>
            <w:tcW w:w="590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FD71206">
            <w:pPr>
              <w:rPr>
                <w:sz w:val="24"/>
                <w:szCs w:val="24"/>
                <w:highlight w:val="none"/>
              </w:rPr>
            </w:pPr>
          </w:p>
        </w:tc>
      </w:tr>
      <w:tr w14:paraId="4CBB3596">
        <w:tblPrEx>
          <w:tblCellMar>
            <w:top w:w="0" w:type="dxa"/>
            <w:left w:w="108" w:type="dxa"/>
            <w:bottom w:w="0" w:type="dxa"/>
            <w:right w:w="108" w:type="dxa"/>
          </w:tblCellMar>
        </w:tblPrEx>
        <w:trPr>
          <w:trHeight w:val="480" w:hRule="exact"/>
        </w:trPr>
        <w:tc>
          <w:tcPr>
            <w:tcW w:w="2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1C01F5A">
            <w:pPr>
              <w:spacing w:before="0"/>
              <w:ind w:left="720"/>
              <w:rPr>
                <w:sz w:val="24"/>
                <w:szCs w:val="24"/>
                <w:highlight w:val="none"/>
              </w:rPr>
            </w:pPr>
            <w:r>
              <w:rPr>
                <w:rFonts w:hint="eastAsia" w:ascii="宋体" w:hAnsi="宋体" w:eastAsia="宋体" w:cs="宋体"/>
                <w:sz w:val="24"/>
                <w:szCs w:val="24"/>
                <w:highlight w:val="none"/>
              </w:rPr>
              <w:t>银行帐号</w:t>
            </w:r>
          </w:p>
        </w:tc>
        <w:tc>
          <w:tcPr>
            <w:tcW w:w="590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1AE0EB5">
            <w:pPr>
              <w:rPr>
                <w:sz w:val="24"/>
                <w:szCs w:val="24"/>
                <w:highlight w:val="none"/>
              </w:rPr>
            </w:pPr>
          </w:p>
        </w:tc>
      </w:tr>
      <w:tr w14:paraId="2C211BA4">
        <w:tblPrEx>
          <w:tblCellMar>
            <w:top w:w="0" w:type="dxa"/>
            <w:left w:w="108" w:type="dxa"/>
            <w:bottom w:w="0" w:type="dxa"/>
            <w:right w:w="108" w:type="dxa"/>
          </w:tblCellMar>
        </w:tblPrEx>
        <w:trPr>
          <w:trHeight w:val="480" w:hRule="exact"/>
        </w:trPr>
        <w:tc>
          <w:tcPr>
            <w:tcW w:w="2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2997277">
            <w:pPr>
              <w:spacing w:before="0"/>
              <w:ind w:left="600"/>
              <w:rPr>
                <w:sz w:val="24"/>
                <w:szCs w:val="24"/>
                <w:highlight w:val="none"/>
              </w:rPr>
            </w:pPr>
            <w:r>
              <w:rPr>
                <w:rFonts w:hint="eastAsia" w:ascii="宋体" w:hAnsi="宋体" w:eastAsia="宋体" w:cs="宋体"/>
                <w:sz w:val="24"/>
                <w:szCs w:val="24"/>
                <w:highlight w:val="none"/>
              </w:rPr>
              <w:t>地址及邮编</w:t>
            </w:r>
          </w:p>
        </w:tc>
        <w:tc>
          <w:tcPr>
            <w:tcW w:w="590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BC566F6">
            <w:pPr>
              <w:rPr>
                <w:sz w:val="24"/>
                <w:szCs w:val="24"/>
                <w:highlight w:val="none"/>
              </w:rPr>
            </w:pPr>
          </w:p>
        </w:tc>
      </w:tr>
      <w:tr w14:paraId="42C6FA8F">
        <w:tblPrEx>
          <w:tblCellMar>
            <w:top w:w="0" w:type="dxa"/>
            <w:left w:w="108" w:type="dxa"/>
            <w:bottom w:w="0" w:type="dxa"/>
            <w:right w:w="108" w:type="dxa"/>
          </w:tblCellMar>
        </w:tblPrEx>
        <w:trPr>
          <w:trHeight w:val="480" w:hRule="exact"/>
        </w:trPr>
        <w:tc>
          <w:tcPr>
            <w:tcW w:w="2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6F278E0">
            <w:pPr>
              <w:spacing w:before="0"/>
              <w:ind w:left="480"/>
              <w:rPr>
                <w:sz w:val="24"/>
                <w:szCs w:val="24"/>
                <w:highlight w:val="none"/>
              </w:rPr>
            </w:pPr>
            <w:r>
              <w:rPr>
                <w:rFonts w:hint="eastAsia" w:ascii="宋体" w:hAnsi="宋体" w:eastAsia="宋体" w:cs="宋体"/>
                <w:sz w:val="24"/>
                <w:szCs w:val="24"/>
                <w:highlight w:val="none"/>
              </w:rPr>
              <w:t>联系人及电话</w:t>
            </w:r>
          </w:p>
        </w:tc>
        <w:tc>
          <w:tcPr>
            <w:tcW w:w="590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796E382">
            <w:pPr>
              <w:rPr>
                <w:sz w:val="24"/>
                <w:szCs w:val="24"/>
                <w:highlight w:val="none"/>
              </w:rPr>
            </w:pPr>
          </w:p>
        </w:tc>
      </w:tr>
    </w:tbl>
    <w:p w14:paraId="7ED15003">
      <w:pPr>
        <w:spacing w:line="200" w:lineRule="exact"/>
        <w:rPr>
          <w:rFonts w:hint="eastAsia" w:ascii="宋体" w:hAnsi="宋体" w:eastAsia="宋体" w:cs="宋体"/>
          <w:sz w:val="24"/>
          <w:szCs w:val="24"/>
          <w:highlight w:val="none"/>
        </w:rPr>
      </w:pPr>
    </w:p>
    <w:p w14:paraId="33F3F7BD">
      <w:pPr>
        <w:spacing w:line="200" w:lineRule="exact"/>
        <w:rPr>
          <w:rFonts w:hint="eastAsia" w:ascii="宋体" w:hAnsi="宋体" w:eastAsia="宋体" w:cs="宋体"/>
          <w:sz w:val="24"/>
          <w:szCs w:val="24"/>
          <w:highlight w:val="none"/>
        </w:rPr>
      </w:pPr>
    </w:p>
    <w:p w14:paraId="3CB3DE3C">
      <w:pPr>
        <w:spacing w:line="200" w:lineRule="exact"/>
        <w:rPr>
          <w:rFonts w:hint="eastAsia" w:ascii="宋体" w:hAnsi="宋体" w:eastAsia="宋体" w:cs="宋体"/>
          <w:sz w:val="24"/>
          <w:szCs w:val="24"/>
          <w:highlight w:val="none"/>
        </w:rPr>
      </w:pPr>
    </w:p>
    <w:p w14:paraId="70FBD9D1">
      <w:pPr>
        <w:spacing w:line="200" w:lineRule="exact"/>
        <w:rPr>
          <w:rFonts w:hint="eastAsia" w:ascii="宋体" w:hAnsi="宋体" w:eastAsia="宋体" w:cs="宋体"/>
          <w:sz w:val="24"/>
          <w:szCs w:val="24"/>
          <w:highlight w:val="none"/>
        </w:rPr>
      </w:pPr>
    </w:p>
    <w:p w14:paraId="54B058A7">
      <w:pPr>
        <w:spacing w:line="200" w:lineRule="exact"/>
        <w:rPr>
          <w:rFonts w:hint="eastAsia" w:ascii="宋体" w:hAnsi="宋体" w:eastAsia="宋体" w:cs="宋体"/>
          <w:sz w:val="24"/>
          <w:szCs w:val="24"/>
          <w:highlight w:val="none"/>
        </w:rPr>
      </w:pPr>
    </w:p>
    <w:p w14:paraId="50DB5022">
      <w:pPr>
        <w:spacing w:line="200" w:lineRule="exact"/>
        <w:rPr>
          <w:rFonts w:hint="eastAsia" w:ascii="宋体" w:hAnsi="宋体" w:eastAsia="宋体" w:cs="宋体"/>
          <w:sz w:val="24"/>
          <w:szCs w:val="24"/>
          <w:highlight w:val="none"/>
        </w:rPr>
      </w:pPr>
    </w:p>
    <w:p w14:paraId="606B6F8C">
      <w:pPr>
        <w:spacing w:line="200" w:lineRule="exact"/>
        <w:rPr>
          <w:rFonts w:hint="eastAsia" w:ascii="宋体" w:hAnsi="宋体" w:eastAsia="宋体" w:cs="宋体"/>
          <w:sz w:val="24"/>
          <w:szCs w:val="24"/>
          <w:highlight w:val="none"/>
        </w:rPr>
      </w:pPr>
    </w:p>
    <w:p w14:paraId="0B386E61">
      <w:pPr>
        <w:spacing w:line="200" w:lineRule="exact"/>
        <w:rPr>
          <w:rFonts w:hint="eastAsia" w:ascii="宋体" w:hAnsi="宋体" w:eastAsia="宋体" w:cs="宋体"/>
          <w:sz w:val="24"/>
          <w:szCs w:val="24"/>
          <w:highlight w:val="none"/>
        </w:rPr>
      </w:pPr>
    </w:p>
    <w:p w14:paraId="21C94B39">
      <w:pPr>
        <w:spacing w:line="200" w:lineRule="exact"/>
        <w:rPr>
          <w:rFonts w:hint="eastAsia" w:ascii="宋体" w:hAnsi="宋体" w:eastAsia="宋体" w:cs="宋体"/>
          <w:sz w:val="24"/>
          <w:szCs w:val="24"/>
          <w:highlight w:val="none"/>
        </w:rPr>
      </w:pPr>
    </w:p>
    <w:p w14:paraId="2090D6B3">
      <w:pPr>
        <w:spacing w:line="200" w:lineRule="exact"/>
        <w:rPr>
          <w:rFonts w:hint="eastAsia" w:ascii="宋体" w:hAnsi="宋体" w:eastAsia="宋体" w:cs="宋体"/>
          <w:sz w:val="24"/>
          <w:szCs w:val="24"/>
          <w:highlight w:val="none"/>
        </w:rPr>
      </w:pPr>
    </w:p>
    <w:p w14:paraId="439F45E3">
      <w:pPr>
        <w:spacing w:line="200" w:lineRule="exact"/>
        <w:rPr>
          <w:rFonts w:hint="eastAsia" w:ascii="宋体" w:hAnsi="宋体" w:eastAsia="宋体" w:cs="宋体"/>
          <w:sz w:val="24"/>
          <w:szCs w:val="24"/>
          <w:highlight w:val="none"/>
        </w:rPr>
      </w:pPr>
    </w:p>
    <w:p w14:paraId="3D1B95F3">
      <w:pPr>
        <w:spacing w:line="200" w:lineRule="exact"/>
        <w:rPr>
          <w:rFonts w:hint="eastAsia" w:ascii="宋体" w:hAnsi="宋体" w:eastAsia="宋体" w:cs="宋体"/>
          <w:sz w:val="24"/>
          <w:szCs w:val="24"/>
          <w:highlight w:val="none"/>
        </w:rPr>
      </w:pPr>
    </w:p>
    <w:p w14:paraId="50CE20D9">
      <w:pPr>
        <w:spacing w:line="200" w:lineRule="exact"/>
        <w:rPr>
          <w:rFonts w:hint="eastAsia" w:ascii="宋体" w:hAnsi="宋体" w:eastAsia="宋体" w:cs="宋体"/>
          <w:sz w:val="24"/>
          <w:szCs w:val="24"/>
          <w:highlight w:val="none"/>
        </w:rPr>
      </w:pPr>
    </w:p>
    <w:p w14:paraId="70C10BE5">
      <w:pPr>
        <w:spacing w:line="40" w:lineRule="exact"/>
        <w:rPr>
          <w:rFonts w:hint="eastAsia" w:ascii="宋体" w:hAnsi="宋体" w:eastAsia="宋体" w:cs="宋体"/>
          <w:sz w:val="24"/>
          <w:szCs w:val="24"/>
          <w:highlight w:val="none"/>
        </w:rPr>
      </w:pPr>
    </w:p>
    <w:p w14:paraId="52FE3038">
      <w:pPr>
        <w:spacing w:line="200" w:lineRule="exact"/>
        <w:rPr>
          <w:rFonts w:hint="eastAsia" w:ascii="宋体" w:hAnsi="宋体" w:eastAsia="宋体" w:cs="宋体"/>
          <w:sz w:val="24"/>
          <w:szCs w:val="24"/>
          <w:highlight w:val="none"/>
        </w:rPr>
      </w:pPr>
    </w:p>
    <w:p w14:paraId="73BDB92F">
      <w:pPr>
        <w:autoSpaceDE/>
        <w:autoSpaceDN/>
        <w:spacing w:line="400" w:lineRule="exact"/>
        <w:ind w:lef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开发票信息如下：</w:t>
      </w:r>
    </w:p>
    <w:p w14:paraId="5AB4CF4D">
      <w:pPr>
        <w:spacing w:line="200" w:lineRule="exact"/>
        <w:rPr>
          <w:rFonts w:hint="eastAsia" w:ascii="宋体" w:hAnsi="宋体" w:eastAsia="宋体" w:cs="宋体"/>
          <w:sz w:val="24"/>
          <w:szCs w:val="24"/>
          <w:highlight w:val="none"/>
        </w:rPr>
      </w:pPr>
    </w:p>
    <w:p w14:paraId="5A2582DA">
      <w:pPr>
        <w:spacing w:line="40" w:lineRule="exact"/>
        <w:rPr>
          <w:rFonts w:hint="eastAsia" w:ascii="宋体" w:hAnsi="宋体" w:eastAsia="宋体" w:cs="宋体"/>
          <w:sz w:val="24"/>
          <w:szCs w:val="24"/>
          <w:highlight w:val="none"/>
        </w:rPr>
      </w:pPr>
    </w:p>
    <w:tbl>
      <w:tblPr>
        <w:tblStyle w:val="12"/>
        <w:tblpPr w:leftFromText="180" w:rightFromText="180" w:vertAnchor="text" w:horzAnchor="page" w:tblpX="2087" w:tblpY="199"/>
        <w:tblOverlap w:val="never"/>
        <w:tblW w:w="8320" w:type="dxa"/>
        <w:tblInd w:w="0" w:type="dxa"/>
        <w:tblLayout w:type="fixed"/>
        <w:tblCellMar>
          <w:top w:w="0" w:type="dxa"/>
          <w:left w:w="108" w:type="dxa"/>
          <w:bottom w:w="0" w:type="dxa"/>
          <w:right w:w="108" w:type="dxa"/>
        </w:tblCellMar>
      </w:tblPr>
      <w:tblGrid>
        <w:gridCol w:w="2420"/>
        <w:gridCol w:w="5900"/>
      </w:tblGrid>
      <w:tr w14:paraId="0C6EA41A">
        <w:tblPrEx>
          <w:tblCellMar>
            <w:top w:w="0" w:type="dxa"/>
            <w:left w:w="108" w:type="dxa"/>
            <w:bottom w:w="0" w:type="dxa"/>
            <w:right w:w="108" w:type="dxa"/>
          </w:tblCellMar>
        </w:tblPrEx>
        <w:trPr>
          <w:trHeight w:val="480" w:hRule="exact"/>
        </w:trPr>
        <w:tc>
          <w:tcPr>
            <w:tcW w:w="2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6CE0A8C">
            <w:pPr>
              <w:spacing w:before="0"/>
              <w:ind w:left="720"/>
              <w:rPr>
                <w:sz w:val="24"/>
                <w:szCs w:val="24"/>
                <w:highlight w:val="none"/>
              </w:rPr>
            </w:pPr>
            <w:r>
              <w:rPr>
                <w:rFonts w:hint="eastAsia" w:ascii="宋体" w:hAnsi="宋体" w:eastAsia="宋体" w:cs="宋体"/>
                <w:sz w:val="24"/>
                <w:szCs w:val="24"/>
                <w:highlight w:val="none"/>
              </w:rPr>
              <w:t>帐户名称</w:t>
            </w:r>
          </w:p>
        </w:tc>
        <w:tc>
          <w:tcPr>
            <w:tcW w:w="590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2CAA1EA">
            <w:pPr>
              <w:rPr>
                <w:sz w:val="24"/>
                <w:szCs w:val="24"/>
                <w:highlight w:val="none"/>
              </w:rPr>
            </w:pPr>
          </w:p>
        </w:tc>
      </w:tr>
      <w:tr w14:paraId="29B3D91F">
        <w:tblPrEx>
          <w:tblCellMar>
            <w:top w:w="0" w:type="dxa"/>
            <w:left w:w="108" w:type="dxa"/>
            <w:bottom w:w="0" w:type="dxa"/>
            <w:right w:w="108" w:type="dxa"/>
          </w:tblCellMar>
        </w:tblPrEx>
        <w:trPr>
          <w:trHeight w:val="480" w:hRule="exact"/>
        </w:trPr>
        <w:tc>
          <w:tcPr>
            <w:tcW w:w="2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21EF402">
            <w:pPr>
              <w:spacing w:before="0"/>
              <w:ind w:left="720" w:leftChars="0"/>
              <w:rPr>
                <w:rFonts w:hint="eastAsia" w:ascii="Calibri" w:hAnsi="Calibri" w:eastAsia="Calibri" w:cs="Times New Roman"/>
                <w:sz w:val="24"/>
                <w:szCs w:val="24"/>
                <w:highlight w:val="none"/>
                <w:lang w:val="en-US" w:eastAsia="en-US" w:bidi="ar-SA"/>
              </w:rPr>
            </w:pPr>
            <w:r>
              <w:rPr>
                <w:rFonts w:hint="eastAsia" w:ascii="宋体" w:hAnsi="宋体" w:eastAsia="宋体" w:cs="宋体"/>
                <w:sz w:val="24"/>
                <w:szCs w:val="24"/>
                <w:highlight w:val="none"/>
              </w:rPr>
              <w:t>开户银行</w:t>
            </w:r>
          </w:p>
        </w:tc>
        <w:tc>
          <w:tcPr>
            <w:tcW w:w="590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640C4D3">
            <w:pPr>
              <w:rPr>
                <w:sz w:val="24"/>
                <w:szCs w:val="24"/>
                <w:highlight w:val="none"/>
              </w:rPr>
            </w:pPr>
          </w:p>
        </w:tc>
      </w:tr>
      <w:tr w14:paraId="1A49E44A">
        <w:tblPrEx>
          <w:tblCellMar>
            <w:top w:w="0" w:type="dxa"/>
            <w:left w:w="108" w:type="dxa"/>
            <w:bottom w:w="0" w:type="dxa"/>
            <w:right w:w="108" w:type="dxa"/>
          </w:tblCellMar>
        </w:tblPrEx>
        <w:trPr>
          <w:trHeight w:val="480" w:hRule="exact"/>
        </w:trPr>
        <w:tc>
          <w:tcPr>
            <w:tcW w:w="2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1ACD2C2">
            <w:pPr>
              <w:spacing w:before="0"/>
              <w:ind w:left="720" w:leftChars="0"/>
              <w:rPr>
                <w:rFonts w:hint="eastAsia" w:ascii="Calibri" w:hAnsi="Calibri" w:eastAsia="Calibri" w:cs="Times New Roman"/>
                <w:sz w:val="24"/>
                <w:szCs w:val="24"/>
                <w:highlight w:val="none"/>
                <w:lang w:val="en-US" w:eastAsia="en-US" w:bidi="ar-SA"/>
              </w:rPr>
            </w:pPr>
            <w:r>
              <w:rPr>
                <w:rFonts w:hint="eastAsia" w:ascii="宋体" w:hAnsi="宋体" w:eastAsia="宋体" w:cs="宋体"/>
                <w:sz w:val="24"/>
                <w:szCs w:val="24"/>
                <w:highlight w:val="none"/>
              </w:rPr>
              <w:t>银行帐号</w:t>
            </w:r>
          </w:p>
        </w:tc>
        <w:tc>
          <w:tcPr>
            <w:tcW w:w="590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D7DAAF7">
            <w:pPr>
              <w:rPr>
                <w:sz w:val="24"/>
                <w:szCs w:val="24"/>
                <w:highlight w:val="none"/>
              </w:rPr>
            </w:pPr>
          </w:p>
        </w:tc>
      </w:tr>
      <w:tr w14:paraId="3E20A0FB">
        <w:tblPrEx>
          <w:tblCellMar>
            <w:top w:w="0" w:type="dxa"/>
            <w:left w:w="108" w:type="dxa"/>
            <w:bottom w:w="0" w:type="dxa"/>
            <w:right w:w="108" w:type="dxa"/>
          </w:tblCellMar>
        </w:tblPrEx>
        <w:trPr>
          <w:trHeight w:val="480" w:hRule="exact"/>
        </w:trPr>
        <w:tc>
          <w:tcPr>
            <w:tcW w:w="2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46CBAB2">
            <w:pPr>
              <w:spacing w:before="0"/>
              <w:ind w:left="600" w:leftChars="0"/>
              <w:rPr>
                <w:rFonts w:hint="eastAsia" w:ascii="Calibri" w:hAnsi="Calibri" w:eastAsia="Calibri" w:cs="Times New Roman"/>
                <w:sz w:val="24"/>
                <w:szCs w:val="24"/>
                <w:highlight w:val="none"/>
                <w:lang w:val="en-US" w:eastAsia="en-US" w:bidi="ar-SA"/>
              </w:rPr>
            </w:pPr>
            <w:r>
              <w:rPr>
                <w:rFonts w:hint="eastAsia" w:ascii="宋体" w:hAnsi="宋体" w:eastAsia="宋体" w:cs="宋体"/>
                <w:sz w:val="24"/>
                <w:szCs w:val="24"/>
                <w:highlight w:val="none"/>
              </w:rPr>
              <w:t>地址及邮编</w:t>
            </w:r>
          </w:p>
        </w:tc>
        <w:tc>
          <w:tcPr>
            <w:tcW w:w="590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ED4A728">
            <w:pPr>
              <w:rPr>
                <w:sz w:val="24"/>
                <w:szCs w:val="24"/>
                <w:highlight w:val="none"/>
              </w:rPr>
            </w:pPr>
          </w:p>
        </w:tc>
      </w:tr>
      <w:tr w14:paraId="520EFCD6">
        <w:tblPrEx>
          <w:tblCellMar>
            <w:top w:w="0" w:type="dxa"/>
            <w:left w:w="108" w:type="dxa"/>
            <w:bottom w:w="0" w:type="dxa"/>
            <w:right w:w="108" w:type="dxa"/>
          </w:tblCellMar>
        </w:tblPrEx>
        <w:trPr>
          <w:trHeight w:val="480" w:hRule="exact"/>
        </w:trPr>
        <w:tc>
          <w:tcPr>
            <w:tcW w:w="2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23214A7">
            <w:pPr>
              <w:spacing w:before="0"/>
              <w:ind w:left="480" w:leftChars="0"/>
              <w:rPr>
                <w:rFonts w:hint="eastAsia" w:ascii="Calibri" w:hAnsi="Calibri" w:eastAsia="Calibri" w:cs="Times New Roman"/>
                <w:sz w:val="24"/>
                <w:szCs w:val="24"/>
                <w:highlight w:val="none"/>
                <w:lang w:val="en-US" w:eastAsia="en-US" w:bidi="ar-SA"/>
              </w:rPr>
            </w:pPr>
            <w:r>
              <w:rPr>
                <w:rFonts w:hint="eastAsia" w:ascii="宋体" w:hAnsi="宋体" w:eastAsia="宋体" w:cs="宋体"/>
                <w:sz w:val="24"/>
                <w:szCs w:val="24"/>
                <w:highlight w:val="none"/>
              </w:rPr>
              <w:t>联系人及电话</w:t>
            </w:r>
          </w:p>
        </w:tc>
        <w:tc>
          <w:tcPr>
            <w:tcW w:w="590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81172E3">
            <w:pPr>
              <w:rPr>
                <w:sz w:val="24"/>
                <w:szCs w:val="24"/>
                <w:highlight w:val="none"/>
              </w:rPr>
            </w:pPr>
          </w:p>
        </w:tc>
      </w:tr>
      <w:tr w14:paraId="40D48534">
        <w:tblPrEx>
          <w:tblCellMar>
            <w:top w:w="0" w:type="dxa"/>
            <w:left w:w="108" w:type="dxa"/>
            <w:bottom w:w="0" w:type="dxa"/>
            <w:right w:w="108" w:type="dxa"/>
          </w:tblCellMar>
        </w:tblPrEx>
        <w:trPr>
          <w:trHeight w:val="480" w:hRule="exact"/>
        </w:trPr>
        <w:tc>
          <w:tcPr>
            <w:tcW w:w="2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62B12EC">
            <w:pPr>
              <w:spacing w:before="0"/>
              <w:ind w:left="960" w:leftChars="0"/>
              <w:rPr>
                <w:rFonts w:hint="eastAsia" w:ascii="Calibri" w:hAnsi="Calibri" w:eastAsia="Calibri" w:cs="Times New Roman"/>
                <w:sz w:val="24"/>
                <w:szCs w:val="24"/>
                <w:highlight w:val="none"/>
                <w:lang w:val="en-US" w:eastAsia="en-US" w:bidi="ar-SA"/>
              </w:rPr>
            </w:pPr>
            <w:r>
              <w:rPr>
                <w:rFonts w:hint="eastAsia" w:ascii="宋体" w:hAnsi="宋体" w:eastAsia="宋体" w:cs="宋体"/>
                <w:sz w:val="24"/>
                <w:szCs w:val="24"/>
                <w:highlight w:val="none"/>
              </w:rPr>
              <w:t>税号</w:t>
            </w:r>
          </w:p>
        </w:tc>
        <w:tc>
          <w:tcPr>
            <w:tcW w:w="590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97F49E0">
            <w:pPr>
              <w:rPr>
                <w:sz w:val="24"/>
                <w:szCs w:val="24"/>
                <w:highlight w:val="none"/>
              </w:rPr>
            </w:pPr>
          </w:p>
        </w:tc>
      </w:tr>
    </w:tbl>
    <w:p w14:paraId="3E655FC6">
      <w:pPr>
        <w:ind w:firstLine="480" w:firstLineChars="200"/>
        <w:jc w:val="left"/>
        <w:rPr>
          <w:rFonts w:hint="eastAsia" w:ascii="Calibri" w:hAnsi="Calibri" w:eastAsia="Calibri" w:cs="Times New Roman"/>
          <w:color w:val="000000"/>
          <w:sz w:val="24"/>
          <w:szCs w:val="24"/>
          <w:highlight w:val="none"/>
          <w:lang w:eastAsia="zh-CN"/>
        </w:rPr>
      </w:pPr>
    </w:p>
    <w:p w14:paraId="38894159">
      <w:pPr>
        <w:spacing w:line="400" w:lineRule="exact"/>
        <w:ind w:firstLine="480" w:firstLineChars="200"/>
        <w:jc w:val="left"/>
        <w:rPr>
          <w:rFonts w:hint="eastAsia" w:ascii="Calibri" w:hAnsi="Calibri" w:eastAsia="Calibri" w:cs="Times New Roman"/>
          <w:color w:val="000000"/>
          <w:sz w:val="24"/>
          <w:szCs w:val="24"/>
          <w:highlight w:val="none"/>
          <w:lang w:eastAsia="zh-CN"/>
        </w:rPr>
      </w:pPr>
    </w:p>
    <w:p w14:paraId="32022CF4">
      <w:pPr>
        <w:spacing w:line="400" w:lineRule="exact"/>
        <w:ind w:firstLine="480" w:firstLineChars="200"/>
        <w:jc w:val="left"/>
        <w:rPr>
          <w:rFonts w:hint="eastAsia" w:ascii="Calibri" w:hAnsi="Calibri" w:eastAsia="Calibri" w:cs="Times New Roman"/>
          <w:color w:val="000000"/>
          <w:sz w:val="24"/>
          <w:szCs w:val="24"/>
          <w:highlight w:val="none"/>
          <w:lang w:eastAsia="zh-CN"/>
        </w:rPr>
      </w:pPr>
    </w:p>
    <w:p w14:paraId="1EDB3519">
      <w:pPr>
        <w:spacing w:line="400" w:lineRule="exact"/>
        <w:ind w:firstLine="480" w:firstLineChars="200"/>
        <w:jc w:val="left"/>
        <w:rPr>
          <w:rFonts w:hint="eastAsia" w:ascii="Calibri" w:hAnsi="Calibri" w:eastAsia="Calibri" w:cs="Times New Roman"/>
          <w:color w:val="000000"/>
          <w:sz w:val="24"/>
          <w:szCs w:val="24"/>
          <w:highlight w:val="none"/>
          <w:lang w:eastAsia="zh-CN"/>
        </w:rPr>
      </w:pPr>
    </w:p>
    <w:p w14:paraId="4E5FB790">
      <w:pPr>
        <w:spacing w:line="400" w:lineRule="exact"/>
        <w:ind w:firstLine="480" w:firstLineChars="200"/>
        <w:jc w:val="left"/>
        <w:rPr>
          <w:rFonts w:hint="eastAsia" w:ascii="Calibri" w:hAnsi="Calibri" w:eastAsia="Calibri" w:cs="Times New Roman"/>
          <w:color w:val="000000"/>
          <w:sz w:val="24"/>
          <w:szCs w:val="24"/>
          <w:highlight w:val="none"/>
          <w:lang w:eastAsia="zh-CN"/>
        </w:rPr>
      </w:pPr>
    </w:p>
    <w:p w14:paraId="37C32335">
      <w:pPr>
        <w:spacing w:line="400" w:lineRule="exact"/>
        <w:ind w:firstLine="480" w:firstLineChars="200"/>
        <w:jc w:val="left"/>
        <w:rPr>
          <w:rFonts w:hint="eastAsia" w:ascii="Calibri" w:hAnsi="Calibri" w:eastAsia="Calibri" w:cs="Times New Roman"/>
          <w:color w:val="000000"/>
          <w:sz w:val="24"/>
          <w:szCs w:val="24"/>
          <w:highlight w:val="none"/>
          <w:lang w:eastAsia="zh-CN"/>
        </w:rPr>
      </w:pPr>
    </w:p>
    <w:p w14:paraId="2AC3D585">
      <w:pPr>
        <w:spacing w:line="400" w:lineRule="exact"/>
        <w:ind w:firstLine="480" w:firstLineChars="200"/>
        <w:jc w:val="left"/>
        <w:rPr>
          <w:rFonts w:hint="eastAsia" w:ascii="Calibri" w:hAnsi="Calibri" w:eastAsia="Calibri" w:cs="Times New Roman"/>
          <w:color w:val="000000"/>
          <w:sz w:val="24"/>
          <w:szCs w:val="24"/>
          <w:highlight w:val="none"/>
          <w:lang w:eastAsia="zh-CN"/>
        </w:rPr>
      </w:pPr>
    </w:p>
    <w:p w14:paraId="437F9E3A">
      <w:pPr>
        <w:spacing w:line="400" w:lineRule="exact"/>
        <w:ind w:firstLine="480" w:firstLineChars="200"/>
        <w:jc w:val="left"/>
        <w:rPr>
          <w:rFonts w:hint="eastAsia" w:ascii="Calibri" w:hAnsi="Calibri" w:eastAsia="Calibri" w:cs="Times New Roman"/>
          <w:color w:val="000000"/>
          <w:sz w:val="24"/>
          <w:szCs w:val="24"/>
          <w:highlight w:val="none"/>
          <w:lang w:eastAsia="zh-CN"/>
        </w:rPr>
      </w:pPr>
    </w:p>
    <w:p w14:paraId="0992DEEB">
      <w:pPr>
        <w:spacing w:line="400" w:lineRule="exact"/>
        <w:ind w:firstLine="480" w:firstLineChars="200"/>
        <w:jc w:val="left"/>
        <w:rPr>
          <w:rFonts w:hint="eastAsia" w:ascii="Calibri" w:hAnsi="Calibri" w:eastAsia="Calibri" w:cs="Times New Roman"/>
          <w:color w:val="000000"/>
          <w:sz w:val="24"/>
          <w:szCs w:val="24"/>
          <w:highlight w:val="none"/>
          <w:lang w:eastAsia="zh-CN"/>
        </w:rPr>
      </w:pPr>
    </w:p>
    <w:p w14:paraId="65B2D8D3">
      <w:pPr>
        <w:spacing w:line="400" w:lineRule="exact"/>
        <w:ind w:firstLine="0" w:firstLineChars="0"/>
        <w:jc w:val="left"/>
        <w:rPr>
          <w:rFonts w:hint="eastAsia" w:ascii="Calibri" w:hAnsi="Calibri" w:eastAsia="Calibri" w:cs="Times New Roman"/>
          <w:color w:val="000000"/>
          <w:sz w:val="24"/>
          <w:szCs w:val="24"/>
          <w:highlight w:val="none"/>
          <w:lang w:eastAsia="zh-CN"/>
        </w:rPr>
      </w:pPr>
    </w:p>
    <w:p w14:paraId="60487921">
      <w:pPr>
        <w:autoSpaceDE/>
        <w:autoSpaceDN/>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承包人应向发包人授权进行本合同工程开户银行工程资金的查询，发包人支付的预付款、工程进度款应为本工程的专款专用资金，不得转移或用于其他工程。发包人的中期支付款将转入承包人指定并经发包人批准的银行所设的专门帐户,发包人及其派出机构有权不定期对承包人工程资金使用情况进行检查,发现问题及时责令承包人限期改正，否则，将终止月支付，直至承包人改正为止。</w:t>
      </w:r>
    </w:p>
    <w:p w14:paraId="1D4432F1">
      <w:pPr>
        <w:autoSpaceDE/>
        <w:autoSpaceDN/>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关于阳光工程</w:t>
      </w:r>
    </w:p>
    <w:p w14:paraId="1FF38566">
      <w:pPr>
        <w:autoSpaceDE/>
        <w:autoSpaceDN/>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将着力打造成为“阳光工程”，在合同执行过程中，将加强合同管理，严格依照合同约定执行，对于违反合同的行为，决不姑息。一旦发现，将直接提交相关主管部门严肃处理，并计入诚信评价体系。同时将从业单位信用评价及绩效考核结果在项目现场公示，向参建各方公开。</w:t>
      </w:r>
    </w:p>
    <w:p w14:paraId="35ED7F02">
      <w:pPr>
        <w:autoSpaceDE/>
        <w:autoSpaceDN/>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 xml:space="preserve"> 关于水运工程施工标准化管理</w:t>
      </w:r>
    </w:p>
    <w:p w14:paraId="3E09CB62">
      <w:pPr>
        <w:autoSpaceDE/>
        <w:autoSpaceDN/>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交通运输部办公厅关于开展水运工程施工标准化示范创建活动的通知》《关于加强公路水运工程质量和安全管理工作的若干意见》《广东省交通运输厅关于印发广东省水运工程施工标准化活动实施方案的通知》《广东省水运工程施工标准化指南》,承包人应参照上述文件以及之后公布的有关水运工程施工标准化活动的规定，加强施工标准化管理，所需费用在安全生产费用和临时工程费中列支，发包人不另行支付其他费用。</w:t>
      </w:r>
    </w:p>
    <w:p w14:paraId="6B7D5EF9">
      <w:pPr>
        <w:autoSpaceDE/>
        <w:autoSpaceDN/>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 xml:space="preserve"> 本项目在施工期间按交通运输部、广东省交通运输厅有关文件要求开展平安工地建设活动，所需费用包含在合同总价中，发包人不另行支付费用。</w:t>
      </w:r>
    </w:p>
    <w:p w14:paraId="255FD8FE">
      <w:pPr>
        <w:autoSpaceDE/>
        <w:autoSpaceDN/>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本项目将使用从业人员实名制管理系统等项目管理软件。若政策需要购买相关的项目管理软件或软件配套需购置相关设备的，所需费用包含在合同总价中，推行实名管理所需费用，在工程安全文明措施费列支，发包人不另行支付费用。</w:t>
      </w:r>
    </w:p>
    <w:p w14:paraId="18CCB55C">
      <w:pPr>
        <w:autoSpaceDE/>
        <w:autoSpaceDN/>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承包人退出机制</w:t>
      </w:r>
    </w:p>
    <w:p w14:paraId="2FB5205A">
      <w:pPr>
        <w:autoSpaceDE/>
        <w:autoSpaceDN/>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发包人对不能满足各阶段工作目标的承包人实行强制退出本项目建设的办法。</w:t>
      </w:r>
    </w:p>
    <w:p w14:paraId="36A61779">
      <w:pPr>
        <w:autoSpaceDE/>
        <w:autoSpaceDN/>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包人将视承包人的实际施工能力情况，可将该标段内剩余工程的部分或全部进行特殊分包，强制部分或整体退出。由发包人在本项目选择履约情况好的承包人承接剩余工程或采用招标方式选择承包人。如承包人逾期不退场的，发包人有权委托第三方清理，所需费用由承包人承担。</w:t>
      </w:r>
    </w:p>
    <w:p w14:paraId="345621F5">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25.4.6.1部分退出</w:t>
      </w:r>
    </w:p>
    <w:p w14:paraId="07AF8DBA">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（1）人员退出：承包人的主要管理人员和技术骨干如不满足要求的，按合同条款的规定进行违约处理。</w:t>
      </w:r>
    </w:p>
    <w:p w14:paraId="6D0D8314">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（2）机械退出：机械设备达不到额定产能的 85 %者退出，并按监理人或发包人的要求及时组织性能良好的同类型的机械进驻施工现场。</w:t>
      </w:r>
    </w:p>
    <w:p w14:paraId="1BC2C9C9">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（3）专业队伍退出：在施工过程中累计发生两次较大质量问题者强制退出。</w:t>
      </w:r>
    </w:p>
    <w:p w14:paraId="43D59E3B">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（4）工程进度达不到上述要求，承包人增加人员、设备仍达不到进度要求的，发包人有权对相应分项工程进行强制分割处理。</w:t>
      </w:r>
    </w:p>
    <w:p w14:paraId="16AD03BA">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25.4.6.2整体退出</w:t>
      </w:r>
    </w:p>
    <w:p w14:paraId="7B4E8C87">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（1）出现转包、非法分包；</w:t>
      </w:r>
    </w:p>
    <w:p w14:paraId="405FF6DE">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（2）出现重大安全责任，造成严重社会影响；</w:t>
      </w:r>
    </w:p>
    <w:p w14:paraId="5AED1945">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（3）出现重大质量事故，严重影响工程质量和进度，造成严重社会影响；</w:t>
      </w:r>
    </w:p>
    <w:p w14:paraId="7FD90B7C">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（4）由承包人自身原因导致使上述计划任务无法完成的；</w:t>
      </w:r>
    </w:p>
    <w:p w14:paraId="1F8DC9B3">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整体退出的施工企业，发包人将建议交通主管部门降低其信用等级。</w:t>
      </w:r>
    </w:p>
    <w:p w14:paraId="6262C388">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25.4.6.3退出清算</w:t>
      </w:r>
    </w:p>
    <w:p w14:paraId="6A280EEC">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（1）发包人对承包人整体退出本项目工程建设进行公示，并要求承包人对拖欠款项的单位和个人及时清算。</w:t>
      </w:r>
    </w:p>
    <w:p w14:paraId="4E268A3A">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（2）发包人扣押履约担保、质量保证金、停止计量支付。</w:t>
      </w:r>
    </w:p>
    <w:p w14:paraId="724D54C5">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（3）承包人必须向发包人提交已完成工程的齐全的施工资料。</w:t>
      </w:r>
    </w:p>
    <w:p w14:paraId="64E3814F">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（4）清算后特殊分包单位及分包价的确定原则：</w:t>
      </w:r>
    </w:p>
    <w:p w14:paraId="05A3C09D">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①由发包人选择本项目实力较强、质量进度评比排名靠前的承包单位。</w:t>
      </w:r>
    </w:p>
    <w:p w14:paraId="74ECA91C">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②对承包人进行询价，并将分包单位选择情况上报上级行政主管部门；</w:t>
      </w:r>
    </w:p>
    <w:p w14:paraId="605F8488">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③特殊分包单位应具备特殊分包工程相对应的资质要求。</w:t>
      </w:r>
    </w:p>
    <w:p w14:paraId="17E921BE">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（5）清算后费用承担：特殊分包范围内的项目，由于上述（4）确定的分包价与承包人合同价产生的价差由承包人承担。</w:t>
      </w:r>
    </w:p>
    <w:p w14:paraId="778AF8B3">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（6）承包人应无条件接受，指定特殊分包单位无须向承包人交纳管理费。</w:t>
      </w:r>
    </w:p>
    <w:p w14:paraId="516563DD">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但无论如何，承包人应按发包人要求提供已有的临时设施（如便道、电力线路等）供特殊分包人使用，承包人不得为此要求增加任何费用。</w:t>
      </w:r>
    </w:p>
    <w:p w14:paraId="161D0FC9">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25.4.7合同结算</w:t>
      </w:r>
    </w:p>
    <w:p w14:paraId="5388C8CA">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本合同工程交工验收后，承包人应按广东省相关文件的具体要求完成结算工作，发包人可根据项目实际情况制定相应的奖罚措施。</w:t>
      </w:r>
    </w:p>
    <w:p w14:paraId="1946BE8C">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为了按期完成工程竣工决算审查、审计及竣工验收工作，如发包人和承包人对结算确实存在分歧，经双方协商未果情况下，</w:t>
      </w:r>
      <w:r>
        <w:rPr>
          <w:rFonts w:hint="eastAsia" w:ascii="宋体" w:hAnsi="宋体" w:eastAsia="宋体" w:cs="宋体"/>
          <w:color w:val="auto"/>
          <w:sz w:val="24"/>
          <w:szCs w:val="24"/>
          <w:highlight w:val="none"/>
          <w:lang w:eastAsia="zh-CN"/>
        </w:rPr>
        <w:t>双方可委托有资质的第三方造价鉴定机构进行结算审查</w:t>
      </w:r>
      <w:r>
        <w:rPr>
          <w:rFonts w:hint="eastAsia" w:ascii="宋体" w:hAnsi="宋体" w:eastAsia="宋体" w:cs="宋体"/>
          <w:color w:val="auto"/>
          <w:sz w:val="24"/>
          <w:szCs w:val="24"/>
          <w:highlight w:val="none"/>
          <w:lang w:val="en-US" w:eastAsia="zh-CN"/>
        </w:rPr>
        <w:t>。</w:t>
      </w:r>
    </w:p>
    <w:p w14:paraId="6AD0492F">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25.4.8本合同未尽事宜</w:t>
      </w:r>
    </w:p>
    <w:p w14:paraId="185CDA23">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未能明确的有关规定，如质量管理、计划管理、计量与支付管理、台帐管理办法、变更管理、材料管理、安全管理、有关评比方案以及奖惩办法等，按发包人在项目建设管理过程中颁发的项目管理手册或另行发布的相关管理办法执行。（如有）</w:t>
      </w:r>
    </w:p>
    <w:p w14:paraId="4C7C079A">
      <w:pPr>
        <w:autoSpaceDE/>
        <w:autoSpaceDN/>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发包人对项目实施动态管理，根据工程进展情况及项目目标实现情况，通过修正专用项目管理制度，不断建设完善项目管理责任体系，承包人须积极配合并无条件的接受。</w:t>
      </w:r>
    </w:p>
    <w:p w14:paraId="2C0B04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宋体" w:hAnsi="宋体" w:eastAsia="宋体" w:cs="宋体"/>
          <w:spacing w:val="-6"/>
          <w:sz w:val="24"/>
          <w:szCs w:val="24"/>
        </w:rPr>
      </w:pPr>
    </w:p>
    <w:p w14:paraId="49D95F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宋体" w:hAnsi="宋体" w:eastAsia="宋体" w:cs="宋体"/>
          <w:sz w:val="24"/>
          <w:szCs w:val="24"/>
        </w:rPr>
      </w:pPr>
    </w:p>
    <w:p w14:paraId="42C59E2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宋体" w:hAnsi="宋体" w:eastAsia="宋体" w:cs="宋体"/>
          <w:sz w:val="24"/>
          <w:szCs w:val="24"/>
        </w:rPr>
        <w:sectPr>
          <w:headerReference r:id="rId9" w:type="default"/>
          <w:footerReference r:id="rId10" w:type="default"/>
          <w:pgSz w:w="11900" w:h="16839"/>
          <w:pgMar w:top="1106" w:right="1336" w:bottom="1026" w:left="1423" w:header="829" w:footer="793" w:gutter="0"/>
          <w:pgNumType w:fmt="decimal"/>
          <w:cols w:space="720" w:num="1"/>
        </w:sectPr>
      </w:pPr>
    </w:p>
    <w:p w14:paraId="06AAB13C">
      <w:pPr>
        <w:spacing w:line="266" w:lineRule="auto"/>
        <w:rPr>
          <w:rFonts w:ascii="Arial"/>
          <w:sz w:val="21"/>
        </w:rPr>
      </w:pPr>
    </w:p>
    <w:p w14:paraId="4F3ABB5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宋体" w:hAnsi="宋体" w:eastAsia="宋体" w:cs="宋体"/>
          <w:sz w:val="31"/>
          <w:szCs w:val="31"/>
        </w:rPr>
      </w:pPr>
      <w:r>
        <w:rPr>
          <w:rFonts w:ascii="宋体" w:hAnsi="宋体" w:eastAsia="宋体" w:cs="宋体"/>
          <w:b/>
          <w:bCs/>
          <w:spacing w:val="4"/>
          <w:sz w:val="31"/>
          <w:szCs w:val="31"/>
        </w:rPr>
        <w:t>第三节</w:t>
      </w:r>
      <w:r>
        <w:rPr>
          <w:rFonts w:ascii="宋体" w:hAnsi="宋体" w:eastAsia="宋体" w:cs="宋体"/>
          <w:spacing w:val="40"/>
          <w:sz w:val="31"/>
          <w:szCs w:val="31"/>
        </w:rPr>
        <w:t xml:space="preserve"> </w:t>
      </w:r>
      <w:r>
        <w:rPr>
          <w:rFonts w:ascii="宋体" w:hAnsi="宋体" w:eastAsia="宋体" w:cs="宋体"/>
          <w:b/>
          <w:bCs/>
          <w:spacing w:val="4"/>
          <w:sz w:val="31"/>
          <w:szCs w:val="31"/>
        </w:rPr>
        <w:t>合同附件格式</w:t>
      </w:r>
    </w:p>
    <w:p w14:paraId="611336C9">
      <w:pPr>
        <w:autoSpaceDE w:val="0"/>
        <w:autoSpaceDN w:val="0"/>
        <w:spacing w:line="560" w:lineRule="exact"/>
        <w:ind w:left="60"/>
        <w:jc w:val="both"/>
        <w:rPr>
          <w:highlight w:val="none"/>
        </w:rPr>
      </w:pPr>
      <w:r>
        <w:rPr>
          <w:rFonts w:hint="eastAsia" w:ascii="宋体" w:hAnsi="宋体" w:eastAsia="宋体" w:cs="宋体"/>
          <w:sz w:val="24"/>
          <w:highlight w:val="none"/>
        </w:rPr>
        <w:t>附件一：合同协议书（格式）</w:t>
      </w:r>
    </w:p>
    <w:p w14:paraId="1AA4C8B0">
      <w:pPr>
        <w:autoSpaceDE w:val="0"/>
        <w:autoSpaceDN w:val="0"/>
        <w:spacing w:line="460" w:lineRule="exact"/>
        <w:ind w:left="60"/>
        <w:jc w:val="both"/>
        <w:rPr>
          <w:highlight w:val="none"/>
        </w:rPr>
      </w:pPr>
      <w:r>
        <w:rPr>
          <w:rFonts w:hint="eastAsia" w:ascii="宋体" w:hAnsi="宋体" w:eastAsia="宋体" w:cs="宋体"/>
          <w:sz w:val="24"/>
          <w:highlight w:val="none"/>
        </w:rPr>
        <w:t>附件二：廉政合同（格式）</w:t>
      </w:r>
    </w:p>
    <w:p w14:paraId="57B97FDF">
      <w:pPr>
        <w:autoSpaceDE w:val="0"/>
        <w:autoSpaceDN w:val="0"/>
        <w:spacing w:line="460" w:lineRule="exact"/>
        <w:ind w:left="60"/>
        <w:jc w:val="both"/>
        <w:rPr>
          <w:highlight w:val="none"/>
        </w:rPr>
      </w:pPr>
      <w:r>
        <w:rPr>
          <w:rFonts w:hint="eastAsia" w:ascii="宋体" w:hAnsi="宋体" w:eastAsia="宋体" w:cs="宋体"/>
          <w:sz w:val="24"/>
          <w:highlight w:val="none"/>
        </w:rPr>
        <w:t>附件三：安全生产合同（格式）</w:t>
      </w:r>
    </w:p>
    <w:p w14:paraId="53BC75D4">
      <w:pPr>
        <w:autoSpaceDE w:val="0"/>
        <w:autoSpaceDN w:val="0"/>
        <w:spacing w:line="480" w:lineRule="exact"/>
        <w:ind w:left="60"/>
        <w:jc w:val="both"/>
        <w:rPr>
          <w:highlight w:val="none"/>
        </w:rPr>
      </w:pPr>
      <w:r>
        <w:rPr>
          <w:rFonts w:hint="eastAsia" w:ascii="宋体" w:hAnsi="宋体" w:eastAsia="宋体" w:cs="宋体"/>
          <w:sz w:val="24"/>
          <w:highlight w:val="none"/>
        </w:rPr>
        <w:t>附件四：其他管理人员和技术人员最低要求</w:t>
      </w:r>
    </w:p>
    <w:p w14:paraId="0068E269">
      <w:pPr>
        <w:autoSpaceDE w:val="0"/>
        <w:autoSpaceDN w:val="0"/>
        <w:spacing w:line="460" w:lineRule="exact"/>
        <w:ind w:left="60"/>
        <w:jc w:val="both"/>
        <w:rPr>
          <w:highlight w:val="none"/>
        </w:rPr>
      </w:pPr>
      <w:r>
        <w:rPr>
          <w:rFonts w:hint="eastAsia" w:ascii="宋体" w:hAnsi="宋体" w:eastAsia="宋体" w:cs="宋体"/>
          <w:sz w:val="24"/>
          <w:highlight w:val="none"/>
        </w:rPr>
        <w:t>附件五：主要设备最低要求</w:t>
      </w:r>
    </w:p>
    <w:p w14:paraId="60B8C7B4">
      <w:pPr>
        <w:autoSpaceDE w:val="0"/>
        <w:autoSpaceDN w:val="0"/>
        <w:spacing w:line="460" w:lineRule="exact"/>
        <w:ind w:left="60"/>
        <w:jc w:val="both"/>
        <w:rPr>
          <w:highlight w:val="none"/>
        </w:rPr>
      </w:pPr>
      <w:r>
        <w:rPr>
          <w:rFonts w:hint="eastAsia" w:ascii="宋体" w:hAnsi="宋体" w:eastAsia="宋体" w:cs="宋体"/>
          <w:sz w:val="24"/>
          <w:highlight w:val="none"/>
        </w:rPr>
        <w:t>附件六：履约保证金格式</w:t>
      </w:r>
    </w:p>
    <w:p w14:paraId="0F1ABA95">
      <w:pPr>
        <w:autoSpaceDE w:val="0"/>
        <w:autoSpaceDN w:val="0"/>
        <w:spacing w:line="480" w:lineRule="exact"/>
        <w:ind w:left="60"/>
        <w:jc w:val="both"/>
        <w:rPr>
          <w:highlight w:val="none"/>
        </w:rPr>
      </w:pPr>
      <w:r>
        <w:rPr>
          <w:rFonts w:hint="eastAsia" w:ascii="宋体" w:hAnsi="宋体" w:eastAsia="宋体" w:cs="宋体"/>
          <w:sz w:val="24"/>
          <w:highlight w:val="none"/>
        </w:rPr>
        <w:t>附件七：建设项目资金监管（托管）协议</w:t>
      </w:r>
    </w:p>
    <w:p w14:paraId="4E326267">
      <w:pPr>
        <w:autoSpaceDE w:val="0"/>
        <w:autoSpaceDN w:val="0"/>
        <w:spacing w:line="460" w:lineRule="exact"/>
        <w:ind w:left="60"/>
        <w:jc w:val="both"/>
        <w:rPr>
          <w:rFonts w:hint="eastAsia" w:ascii="宋体" w:hAnsi="宋体" w:eastAsia="宋体" w:cs="宋体"/>
          <w:sz w:val="24"/>
          <w:highlight w:val="none"/>
        </w:rPr>
      </w:pPr>
      <w:r>
        <w:rPr>
          <w:rFonts w:hint="eastAsia" w:ascii="宋体" w:hAnsi="宋体" w:eastAsia="宋体" w:cs="宋体"/>
          <w:sz w:val="24"/>
          <w:highlight w:val="none"/>
        </w:rPr>
        <w:t>附件八：建设工程农民工工资支付保证书</w:t>
      </w:r>
    </w:p>
    <w:p w14:paraId="66DCF8B5">
      <w:pPr>
        <w:autoSpaceDE w:val="0"/>
        <w:autoSpaceDN w:val="0"/>
        <w:spacing w:line="480" w:lineRule="exact"/>
        <w:ind w:left="60"/>
        <w:jc w:val="both"/>
        <w:rPr>
          <w:rFonts w:hint="eastAsia" w:ascii="宋体" w:hAnsi="宋体" w:eastAsia="宋体" w:cs="宋体"/>
          <w:sz w:val="24"/>
          <w:highlight w:val="none"/>
        </w:rPr>
      </w:pPr>
      <w:r>
        <w:rPr>
          <w:rFonts w:hint="eastAsia" w:ascii="宋体" w:hAnsi="宋体" w:eastAsia="宋体" w:cs="宋体"/>
          <w:sz w:val="24"/>
          <w:highlight w:val="none"/>
          <w:lang w:eastAsia="zh-CN"/>
        </w:rPr>
        <w:t>附件</w:t>
      </w:r>
      <w:r>
        <w:rPr>
          <w:rFonts w:hint="eastAsia" w:ascii="宋体" w:hAnsi="宋体" w:eastAsia="宋体" w:cs="宋体"/>
          <w:sz w:val="24"/>
          <w:highlight w:val="none"/>
          <w:lang w:val="en-US" w:eastAsia="zh-CN"/>
        </w:rPr>
        <w:t>九</w:t>
      </w:r>
      <w:r>
        <w:rPr>
          <w:rFonts w:hint="eastAsia" w:ascii="宋体" w:hAnsi="宋体" w:eastAsia="宋体" w:cs="宋体"/>
          <w:sz w:val="24"/>
          <w:highlight w:val="none"/>
          <w:lang w:eastAsia="zh-CN"/>
        </w:rPr>
        <w:t>：工程质量保修书</w:t>
      </w:r>
    </w:p>
    <w:p w14:paraId="57211FBA">
      <w:pPr>
        <w:autoSpaceDE w:val="0"/>
        <w:autoSpaceDN w:val="0"/>
        <w:spacing w:line="480" w:lineRule="exact"/>
        <w:ind w:left="60"/>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附件</w:t>
      </w:r>
      <w:r>
        <w:rPr>
          <w:rFonts w:hint="eastAsia" w:ascii="宋体" w:hAnsi="宋体" w:eastAsia="宋体" w:cs="宋体"/>
          <w:sz w:val="24"/>
          <w:highlight w:val="none"/>
          <w:lang w:val="en-US" w:eastAsia="zh-CN"/>
        </w:rPr>
        <w:t>十</w:t>
      </w:r>
      <w:r>
        <w:rPr>
          <w:rFonts w:hint="eastAsia" w:ascii="宋体" w:hAnsi="宋体" w:eastAsia="宋体" w:cs="宋体"/>
          <w:sz w:val="24"/>
          <w:highlight w:val="none"/>
          <w:lang w:eastAsia="zh-CN"/>
        </w:rPr>
        <w:t>：</w:t>
      </w:r>
      <w:r>
        <w:rPr>
          <w:rFonts w:hint="eastAsia" w:ascii="宋体" w:hAnsi="宋体" w:eastAsia="宋体" w:cs="宋体"/>
          <w:sz w:val="24"/>
          <w:highlight w:val="none"/>
        </w:rPr>
        <w:t>生态环保管理协议</w:t>
      </w:r>
    </w:p>
    <w:p w14:paraId="3F70596C">
      <w:pPr>
        <w:autoSpaceDE w:val="0"/>
        <w:autoSpaceDN w:val="0"/>
        <w:spacing w:line="460" w:lineRule="exact"/>
        <w:ind w:left="60"/>
        <w:jc w:val="both"/>
        <w:rPr>
          <w:highlight w:val="none"/>
        </w:rPr>
      </w:pPr>
      <w:r>
        <w:rPr>
          <w:rFonts w:hint="eastAsia" w:ascii="宋体" w:hAnsi="宋体" w:eastAsia="宋体" w:cs="宋体"/>
          <w:sz w:val="24"/>
          <w:highlight w:val="none"/>
        </w:rPr>
        <w:t>以上格式参见如下附件。</w:t>
      </w:r>
    </w:p>
    <w:p w14:paraId="4EDE31C8">
      <w:pPr>
        <w:spacing w:line="200" w:lineRule="exact"/>
        <w:rPr>
          <w:rFonts w:hint="eastAsia" w:ascii="宋体" w:hAnsi="宋体" w:eastAsia="宋体" w:cs="宋体"/>
          <w:sz w:val="20"/>
          <w:highlight w:val="none"/>
        </w:rPr>
      </w:pPr>
    </w:p>
    <w:p w14:paraId="71D71F64">
      <w:pPr>
        <w:spacing w:line="200" w:lineRule="exact"/>
        <w:rPr>
          <w:rFonts w:hint="eastAsia" w:ascii="宋体" w:hAnsi="宋体" w:eastAsia="宋体" w:cs="宋体"/>
          <w:sz w:val="20"/>
          <w:highlight w:val="none"/>
        </w:rPr>
      </w:pPr>
    </w:p>
    <w:p w14:paraId="629FB11C">
      <w:pPr>
        <w:autoSpaceDE w:val="0"/>
        <w:autoSpaceDN w:val="0"/>
        <w:spacing w:line="260" w:lineRule="exact"/>
        <w:ind w:left="60"/>
        <w:jc w:val="both"/>
        <w:rPr>
          <w:highlight w:val="none"/>
        </w:rPr>
      </w:pPr>
      <w:r>
        <w:rPr>
          <w:rFonts w:hint="eastAsia" w:ascii="宋体" w:hAnsi="宋体" w:eastAsia="宋体" w:cs="宋体"/>
          <w:sz w:val="24"/>
          <w:highlight w:val="none"/>
        </w:rPr>
        <w:t>附件</w:t>
      </w:r>
      <w:r>
        <w:rPr>
          <w:rFonts w:hint="eastAsia" w:ascii="宋体" w:hAnsi="宋体" w:eastAsia="宋体" w:cs="宋体"/>
          <w:sz w:val="24"/>
          <w:highlight w:val="none"/>
          <w:lang w:val="en-US" w:eastAsia="zh-CN"/>
        </w:rPr>
        <w:t>十一</w:t>
      </w:r>
      <w:r>
        <w:rPr>
          <w:rFonts w:hint="eastAsia" w:ascii="宋体" w:hAnsi="宋体" w:eastAsia="宋体" w:cs="宋体"/>
          <w:sz w:val="24"/>
          <w:highlight w:val="none"/>
        </w:rPr>
        <w:t>：分包合同（示范文本）</w:t>
      </w:r>
    </w:p>
    <w:p w14:paraId="6AD54E4B">
      <w:pPr>
        <w:autoSpaceDE w:val="0"/>
        <w:autoSpaceDN w:val="0"/>
        <w:spacing w:line="460" w:lineRule="exact"/>
        <w:ind w:left="60"/>
        <w:jc w:val="both"/>
        <w:rPr>
          <w:rFonts w:hint="eastAsia" w:ascii="宋体" w:hAnsi="宋体" w:eastAsia="宋体" w:cs="宋体"/>
          <w:sz w:val="24"/>
          <w:highlight w:val="none"/>
        </w:rPr>
      </w:pPr>
      <w:r>
        <w:rPr>
          <w:rFonts w:hint="eastAsia" w:ascii="宋体" w:hAnsi="宋体" w:eastAsia="宋体" w:cs="宋体"/>
          <w:sz w:val="24"/>
          <w:highlight w:val="none"/>
        </w:rPr>
        <w:t>附件十</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：劳务合作合同（示范文本）</w:t>
      </w:r>
    </w:p>
    <w:p w14:paraId="72344AC3">
      <w:pPr>
        <w:autoSpaceDE w:val="0"/>
        <w:autoSpaceDN w:val="0"/>
        <w:spacing w:line="460" w:lineRule="exact"/>
        <w:ind w:left="6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附件十三：</w:t>
      </w:r>
      <w:r>
        <w:rPr>
          <w:rFonts w:hint="eastAsia" w:ascii="宋体" w:hAnsi="宋体" w:eastAsia="宋体" w:cs="宋体"/>
          <w:color w:val="auto"/>
          <w:sz w:val="24"/>
          <w:highlight w:val="none"/>
          <w:lang w:val="en-US"/>
        </w:rPr>
        <w:t>承包商选用主要材料和工程设备要求</w:t>
      </w:r>
      <w:r>
        <w:rPr>
          <w:rFonts w:hint="eastAsia" w:ascii="宋体" w:hAnsi="宋体" w:eastAsia="宋体" w:cs="宋体"/>
          <w:sz w:val="24"/>
          <w:highlight w:val="none"/>
          <w:lang w:val="en-US" w:eastAsia="zh-CN"/>
        </w:rPr>
        <w:t>表</w:t>
      </w:r>
    </w:p>
    <w:p w14:paraId="6F7C7AD1">
      <w:pPr>
        <w:autoSpaceDE w:val="0"/>
        <w:autoSpaceDN w:val="0"/>
        <w:spacing w:line="460" w:lineRule="exact"/>
        <w:ind w:left="6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附件十四：承包人违约金一览表</w:t>
      </w:r>
    </w:p>
    <w:p w14:paraId="49625221">
      <w:pPr>
        <w:autoSpaceDE w:val="0"/>
        <w:autoSpaceDN w:val="0"/>
        <w:spacing w:line="460" w:lineRule="exact"/>
        <w:ind w:left="60"/>
        <w:jc w:val="both"/>
        <w:rPr>
          <w:rFonts w:hint="eastAsia" w:ascii="宋体" w:hAnsi="宋体" w:eastAsia="宋体" w:cs="宋体"/>
          <w:sz w:val="24"/>
          <w:highlight w:val="none"/>
          <w:lang w:val="en-US" w:eastAsia="zh-CN"/>
        </w:rPr>
      </w:pPr>
    </w:p>
    <w:p w14:paraId="1FFAAB90">
      <w:pPr>
        <w:autoSpaceDE w:val="0"/>
        <w:autoSpaceDN w:val="0"/>
        <w:spacing w:line="480" w:lineRule="exact"/>
        <w:ind w:left="60"/>
        <w:jc w:val="both"/>
        <w:rPr>
          <w:highlight w:val="none"/>
        </w:rPr>
      </w:pPr>
      <w:r>
        <w:rPr>
          <w:rFonts w:hint="eastAsia" w:ascii="宋体" w:hAnsi="宋体" w:eastAsia="宋体" w:cs="宋体"/>
          <w:sz w:val="24"/>
          <w:highlight w:val="none"/>
        </w:rPr>
        <w:t>以上附件</w:t>
      </w:r>
      <w:r>
        <w:rPr>
          <w:rFonts w:hint="eastAsia" w:ascii="宋体" w:hAnsi="宋体" w:eastAsia="宋体" w:cs="宋体"/>
          <w:sz w:val="24"/>
          <w:highlight w:val="none"/>
          <w:lang w:val="en-US" w:eastAsia="zh-CN"/>
        </w:rPr>
        <w:t>十一</w:t>
      </w:r>
      <w:r>
        <w:rPr>
          <w:rFonts w:hint="eastAsia" w:ascii="宋体" w:hAnsi="宋体" w:eastAsia="宋体" w:cs="宋体"/>
          <w:sz w:val="24"/>
          <w:highlight w:val="none"/>
          <w:lang w:eastAsia="zh-CN"/>
        </w:rPr>
        <w:t>、十</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的示范文本见广东省交通运输厅《广东省水运工程施工分包管理实施细则》的附件，可参照执行。</w:t>
      </w:r>
    </w:p>
    <w:p w14:paraId="24D7BB9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Arial"/>
          <w:sz w:val="21"/>
        </w:rPr>
      </w:pPr>
    </w:p>
    <w:p w14:paraId="520FA4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Arial"/>
          <w:sz w:val="21"/>
        </w:rPr>
      </w:pPr>
    </w:p>
    <w:p w14:paraId="570C3DC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Arial"/>
          <w:sz w:val="21"/>
        </w:rPr>
      </w:pPr>
    </w:p>
    <w:p w14:paraId="336861E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Arial"/>
          <w:sz w:val="21"/>
        </w:rPr>
      </w:pPr>
    </w:p>
    <w:p w14:paraId="5E21298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Arial"/>
          <w:sz w:val="21"/>
        </w:rPr>
      </w:pPr>
    </w:p>
    <w:p w14:paraId="587F27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Arial"/>
          <w:sz w:val="21"/>
        </w:rPr>
      </w:pPr>
    </w:p>
    <w:p w14:paraId="5945D8D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Arial"/>
          <w:sz w:val="21"/>
        </w:rPr>
      </w:pPr>
    </w:p>
    <w:p w14:paraId="75E4BF8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Arial"/>
          <w:sz w:val="21"/>
        </w:rPr>
      </w:pPr>
    </w:p>
    <w:p w14:paraId="4D01CC3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Arial"/>
          <w:sz w:val="21"/>
        </w:rPr>
      </w:pPr>
    </w:p>
    <w:p w14:paraId="7BECCAD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Arial"/>
          <w:sz w:val="21"/>
        </w:rPr>
      </w:pPr>
    </w:p>
    <w:p w14:paraId="465C36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Arial"/>
          <w:sz w:val="21"/>
        </w:rPr>
      </w:pPr>
    </w:p>
    <w:p w14:paraId="4C69D4B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ascii="Arial"/>
          <w:sz w:val="21"/>
        </w:rPr>
      </w:pPr>
    </w:p>
    <w:p w14:paraId="647375DC">
      <w:pPr>
        <w:autoSpaceDE w:val="0"/>
        <w:autoSpaceDN w:val="0"/>
        <w:spacing w:line="280" w:lineRule="exact"/>
        <w:ind w:left="210" w:leftChars="100" w:firstLine="0" w:firstLineChars="0"/>
        <w:jc w:val="both"/>
        <w:rPr>
          <w:highlight w:val="none"/>
        </w:rPr>
      </w:pPr>
      <w:r>
        <w:rPr>
          <w:rFonts w:hint="eastAsia" w:ascii="宋体" w:hAnsi="宋体" w:eastAsia="宋体" w:cs="宋体"/>
          <w:b/>
          <w:sz w:val="24"/>
          <w:highlight w:val="none"/>
        </w:rPr>
        <w:t>附件一：合同协议书</w:t>
      </w:r>
    </w:p>
    <w:p w14:paraId="368ADFF9">
      <w:pPr>
        <w:autoSpaceDE w:val="0"/>
        <w:autoSpaceDN w:val="0"/>
        <w:spacing w:line="640" w:lineRule="exact"/>
        <w:ind w:left="210" w:leftChars="100" w:firstLine="0" w:firstLineChars="0"/>
        <w:jc w:val="center"/>
        <w:rPr>
          <w:highlight w:val="none"/>
        </w:rPr>
      </w:pPr>
      <w:r>
        <w:rPr>
          <w:rFonts w:hint="eastAsia" w:ascii="宋体" w:hAnsi="宋体" w:eastAsia="宋体" w:cs="宋体"/>
          <w:b/>
          <w:sz w:val="30"/>
          <w:highlight w:val="none"/>
        </w:rPr>
        <w:t>合同协议书</w:t>
      </w:r>
    </w:p>
    <w:p w14:paraId="066DB49A">
      <w:pPr>
        <w:spacing w:line="200" w:lineRule="exact"/>
        <w:ind w:left="210" w:leftChars="100" w:firstLine="0" w:firstLineChars="0"/>
        <w:rPr>
          <w:rFonts w:hint="eastAsia" w:ascii="宋体" w:hAnsi="宋体" w:eastAsia="宋体" w:cs="宋体"/>
          <w:sz w:val="20"/>
          <w:highlight w:val="none"/>
        </w:rPr>
      </w:pPr>
    </w:p>
    <w:p w14:paraId="45CE3655">
      <w:pPr>
        <w:spacing w:line="200" w:lineRule="exact"/>
        <w:ind w:left="210" w:leftChars="100" w:firstLine="0" w:firstLineChars="0"/>
        <w:rPr>
          <w:rFonts w:hint="eastAsia" w:ascii="宋体" w:hAnsi="宋体" w:eastAsia="宋体" w:cs="宋体"/>
          <w:sz w:val="20"/>
          <w:highlight w:val="none"/>
        </w:rPr>
      </w:pPr>
    </w:p>
    <w:p w14:paraId="726B1473">
      <w:pPr>
        <w:autoSpaceDE w:val="0"/>
        <w:autoSpaceDN w:val="0"/>
        <w:spacing w:line="400" w:lineRule="exact"/>
        <w:ind w:left="210" w:leftChars="100" w:right="0" w:firstLine="191" w:firstLineChars="91"/>
        <w:jc w:val="both"/>
        <w:rPr>
          <w:highlight w:val="none"/>
        </w:rPr>
      </w:pPr>
      <w:r>
        <w:rPr>
          <w:highlight w:val="none"/>
          <w:u w:val="single" w:color="000000"/>
        </w:rPr>
        <w:tab/>
      </w:r>
      <w:r>
        <w:rPr>
          <w:rFonts w:hint="eastAsia" w:eastAsia="宋体"/>
          <w:highlight w:val="none"/>
          <w:u w:val="single" w:color="000000"/>
          <w:lang w:val="en-US" w:eastAsia="zh-CN"/>
        </w:rPr>
        <w:t xml:space="preserve">        </w:t>
      </w:r>
      <w:r>
        <w:rPr>
          <w:rFonts w:hint="eastAsia" w:ascii="宋体" w:hAnsi="宋体" w:eastAsia="宋体" w:cs="宋体"/>
          <w:sz w:val="24"/>
          <w:highlight w:val="none"/>
        </w:rPr>
        <w:t>(以下简称“发包人”)为建设</w:t>
      </w:r>
      <w:r>
        <w:rPr>
          <w:highlight w:val="none"/>
          <w:u w:val="single" w:color="000000"/>
        </w:rPr>
        <w:tab/>
      </w:r>
      <w:r>
        <w:rPr>
          <w:rFonts w:hint="eastAsia" w:ascii="宋体" w:hAnsi="宋体" w:eastAsia="宋体" w:cs="宋体"/>
          <w:sz w:val="24"/>
          <w:highlight w:val="none"/>
          <w:u w:val="single" w:color="000000"/>
        </w:rPr>
        <w:t>（项目名称）</w:t>
      </w:r>
      <w:r>
        <w:rPr>
          <w:highlight w:val="none"/>
        </w:rPr>
        <w:tab/>
      </w:r>
      <w:r>
        <w:rPr>
          <w:rFonts w:hint="eastAsia" w:ascii="宋体" w:hAnsi="宋体" w:eastAsia="宋体" w:cs="宋体"/>
          <w:sz w:val="24"/>
          <w:highlight w:val="none"/>
          <w:u w:val="single" w:color="000000"/>
        </w:rPr>
        <w:t>，</w:t>
      </w:r>
      <w:r>
        <w:rPr>
          <w:rFonts w:hint="eastAsia" w:ascii="宋体" w:hAnsi="宋体" w:eastAsia="宋体" w:cs="宋体"/>
          <w:sz w:val="24"/>
          <w:highlight w:val="none"/>
        </w:rPr>
        <w:t>接受了（以下简称“承包人”）对本项目合同工程的投标，为明确双方的责任、权利及义务，经双方协商签订如下协议：</w:t>
      </w:r>
    </w:p>
    <w:p w14:paraId="3C38EBA7">
      <w:pPr>
        <w:numPr>
          <w:ilvl w:val="0"/>
          <w:numId w:val="2"/>
        </w:numPr>
        <w:autoSpaceDE w:val="0"/>
        <w:autoSpaceDN w:val="0"/>
        <w:spacing w:line="480" w:lineRule="exact"/>
        <w:ind w:left="210" w:leftChars="100" w:firstLine="0" w:firstLineChars="0"/>
        <w:jc w:val="both"/>
        <w:rPr>
          <w:color w:val="000000"/>
          <w:sz w:val="24"/>
          <w:highlight w:val="none"/>
        </w:rPr>
      </w:pPr>
      <w:r>
        <w:rPr>
          <w:rFonts w:hint="eastAsia" w:ascii="宋体" w:hAnsi="宋体" w:eastAsia="宋体" w:cs="宋体"/>
          <w:sz w:val="24"/>
          <w:highlight w:val="none"/>
        </w:rPr>
        <w:t>本协议书中的名词和用语均与下文提到的合同条款中规定的含义相同。</w:t>
      </w:r>
    </w:p>
    <w:p w14:paraId="1BE6CC52">
      <w:pPr>
        <w:numPr>
          <w:ilvl w:val="0"/>
          <w:numId w:val="2"/>
        </w:numPr>
        <w:autoSpaceDE w:val="0"/>
        <w:autoSpaceDN w:val="0"/>
        <w:spacing w:line="460" w:lineRule="exact"/>
        <w:ind w:left="210" w:leftChars="100" w:firstLine="0" w:firstLineChars="0"/>
        <w:jc w:val="both"/>
        <w:rPr>
          <w:highlight w:val="none"/>
        </w:rPr>
      </w:pPr>
      <w:r>
        <w:rPr>
          <w:rFonts w:hint="eastAsia" w:ascii="宋体" w:hAnsi="宋体" w:eastAsia="宋体" w:cs="宋体"/>
          <w:sz w:val="24"/>
          <w:highlight w:val="none"/>
        </w:rPr>
        <w:t>合同文件：合同文件互相解释、互为说明，除合同专用条款另有约定外，其组成和解释次序如下：</w:t>
      </w:r>
    </w:p>
    <w:p w14:paraId="2091B2B7">
      <w:pPr>
        <w:numPr>
          <w:ilvl w:val="0"/>
          <w:numId w:val="0"/>
        </w:numPr>
        <w:autoSpaceDE w:val="0"/>
        <w:autoSpaceDN w:val="0"/>
        <w:spacing w:line="480" w:lineRule="exact"/>
        <w:ind w:left="210" w:leftChars="100" w:firstLine="0" w:firstLineChars="0"/>
        <w:jc w:val="both"/>
        <w:rPr>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1）合同协议书及各种合同附件（包括廉政合同、安全生产合同、建设工程农民工工资支付保证书、工程资金监管协议、评标期间的澄清文件和补充资料、以及合同谈判过程中双方签署的相关文件或纪要）；</w:t>
      </w:r>
    </w:p>
    <w:p w14:paraId="3C9E1312">
      <w:pPr>
        <w:numPr>
          <w:ilvl w:val="0"/>
          <w:numId w:val="0"/>
        </w:numPr>
        <w:autoSpaceDE w:val="0"/>
        <w:autoSpaceDN w:val="0"/>
        <w:spacing w:line="480" w:lineRule="exact"/>
        <w:ind w:left="210" w:leftChars="100" w:firstLine="0" w:firstLineChars="0"/>
        <w:jc w:val="both"/>
        <w:rPr>
          <w:color w:val="000000"/>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2）中标通知书；</w:t>
      </w:r>
    </w:p>
    <w:p w14:paraId="6D4CA2DD">
      <w:pPr>
        <w:numPr>
          <w:ilvl w:val="0"/>
          <w:numId w:val="0"/>
        </w:numPr>
        <w:autoSpaceDE w:val="0"/>
        <w:autoSpaceDN w:val="0"/>
        <w:spacing w:line="460" w:lineRule="exact"/>
        <w:ind w:left="210" w:leftChars="100" w:firstLine="0" w:firstLineChars="0"/>
        <w:jc w:val="both"/>
        <w:rPr>
          <w:color w:val="000000"/>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3）投标函及投标函附录；</w:t>
      </w:r>
    </w:p>
    <w:p w14:paraId="0D920F8A">
      <w:pPr>
        <w:numPr>
          <w:ilvl w:val="0"/>
          <w:numId w:val="0"/>
        </w:numPr>
        <w:autoSpaceDE w:val="0"/>
        <w:autoSpaceDN w:val="0"/>
        <w:spacing w:line="460" w:lineRule="exact"/>
        <w:ind w:left="210" w:leftChars="100" w:firstLine="0" w:firstLineChars="0"/>
        <w:jc w:val="both"/>
        <w:rPr>
          <w:color w:val="000000"/>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4）专用合同条款；</w:t>
      </w:r>
    </w:p>
    <w:p w14:paraId="22406724">
      <w:pPr>
        <w:numPr>
          <w:ilvl w:val="0"/>
          <w:numId w:val="0"/>
        </w:numPr>
        <w:autoSpaceDE w:val="0"/>
        <w:autoSpaceDN w:val="0"/>
        <w:spacing w:line="480" w:lineRule="exact"/>
        <w:ind w:left="210" w:leftChars="100" w:firstLine="0" w:firstLineChars="0"/>
        <w:jc w:val="both"/>
        <w:rPr>
          <w:color w:val="000000"/>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5）通用合同条款；</w:t>
      </w:r>
    </w:p>
    <w:p w14:paraId="1200130C">
      <w:pPr>
        <w:numPr>
          <w:ilvl w:val="0"/>
          <w:numId w:val="0"/>
        </w:numPr>
        <w:autoSpaceDE w:val="0"/>
        <w:autoSpaceDN w:val="0"/>
        <w:spacing w:line="460" w:lineRule="exact"/>
        <w:ind w:left="210" w:leftChars="100" w:firstLine="0" w:firstLineChars="0"/>
        <w:jc w:val="both"/>
        <w:rPr>
          <w:color w:val="000000"/>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6）技术标准和要求；</w:t>
      </w:r>
    </w:p>
    <w:p w14:paraId="102DF71F">
      <w:pPr>
        <w:numPr>
          <w:ilvl w:val="0"/>
          <w:numId w:val="0"/>
        </w:numPr>
        <w:autoSpaceDE w:val="0"/>
        <w:autoSpaceDN w:val="0"/>
        <w:spacing w:line="480" w:lineRule="exact"/>
        <w:ind w:left="210" w:leftChars="100" w:firstLine="0" w:firstLineChars="0"/>
        <w:jc w:val="both"/>
        <w:rPr>
          <w:color w:val="000000"/>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7）图纸；</w:t>
      </w:r>
    </w:p>
    <w:p w14:paraId="4BD7FF91">
      <w:pPr>
        <w:numPr>
          <w:ilvl w:val="0"/>
          <w:numId w:val="0"/>
        </w:numPr>
        <w:autoSpaceDE w:val="0"/>
        <w:autoSpaceDN w:val="0"/>
        <w:spacing w:line="460" w:lineRule="exact"/>
        <w:ind w:left="210" w:leftChars="100" w:firstLine="0" w:firstLineChars="0"/>
        <w:jc w:val="both"/>
        <w:rPr>
          <w:color w:val="000000"/>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8）已标价工程量清单；</w:t>
      </w:r>
    </w:p>
    <w:p w14:paraId="3CE3B676">
      <w:pPr>
        <w:numPr>
          <w:ilvl w:val="0"/>
          <w:numId w:val="0"/>
        </w:numPr>
        <w:autoSpaceDE w:val="0"/>
        <w:autoSpaceDN w:val="0"/>
        <w:spacing w:line="460" w:lineRule="exact"/>
        <w:ind w:left="210" w:leftChars="100" w:firstLine="0" w:firstLineChars="0"/>
        <w:jc w:val="both"/>
        <w:rPr>
          <w:color w:val="000000"/>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9）其他合同文件。</w:t>
      </w:r>
    </w:p>
    <w:p w14:paraId="13D5C2EA">
      <w:pPr>
        <w:autoSpaceDE w:val="0"/>
        <w:autoSpaceDN w:val="0"/>
        <w:spacing w:line="460" w:lineRule="exact"/>
        <w:ind w:left="210" w:leftChars="100" w:right="160" w:firstLine="0" w:firstLineChars="0"/>
        <w:jc w:val="both"/>
        <w:rPr>
          <w:highlight w:val="none"/>
        </w:rPr>
      </w:pPr>
      <w:r>
        <w:rPr>
          <w:rFonts w:hint="eastAsia" w:ascii="宋体" w:hAnsi="宋体" w:eastAsia="宋体" w:cs="宋体"/>
          <w:sz w:val="24"/>
          <w:highlight w:val="none"/>
        </w:rPr>
        <w:t>当合同文件出现含糊不清或不一致时，在不影响工程进度的情况下，由双方协商解决；若双方意见不能统一，则按本合同专用条款第24条中约定的办法处理。</w:t>
      </w:r>
    </w:p>
    <w:p w14:paraId="61AE41A7">
      <w:pPr>
        <w:autoSpaceDE w:val="0"/>
        <w:autoSpaceDN w:val="0"/>
        <w:spacing w:line="460" w:lineRule="exact"/>
        <w:ind w:left="210" w:leftChars="100" w:firstLine="0" w:firstLineChars="0"/>
        <w:jc w:val="both"/>
        <w:rPr>
          <w:highlight w:val="none"/>
        </w:rPr>
      </w:pPr>
      <w:r>
        <w:rPr>
          <w:rFonts w:hint="eastAsia" w:ascii="宋体" w:hAnsi="宋体" w:eastAsia="宋体" w:cs="宋体"/>
          <w:sz w:val="24"/>
          <w:highlight w:val="none"/>
        </w:rPr>
        <w:t>3. 本合同暂定总金额</w:t>
      </w:r>
      <w:r>
        <w:rPr>
          <w:highlight w:val="none"/>
          <w:u w:val="single" w:color="000000"/>
        </w:rPr>
        <w:tab/>
      </w:r>
      <w:r>
        <w:rPr>
          <w:rFonts w:hint="eastAsia" w:ascii="宋体" w:hAnsi="宋体" w:eastAsia="宋体" w:cs="宋体"/>
          <w:sz w:val="24"/>
          <w:highlight w:val="none"/>
          <w:u w:val="single" w:color="000000"/>
        </w:rPr>
        <w:t>元（</w:t>
      </w:r>
      <w:r>
        <w:rPr>
          <w:rFonts w:hint="eastAsia" w:ascii="宋体" w:hAnsi="宋体" w:eastAsia="宋体" w:cs="宋体"/>
          <w:sz w:val="24"/>
          <w:highlight w:val="none"/>
        </w:rPr>
        <w:t>大写人民币：</w:t>
      </w:r>
      <w:r>
        <w:rPr>
          <w:highlight w:val="none"/>
          <w:u w:val="single" w:color="000000"/>
        </w:rPr>
        <w:tab/>
      </w:r>
      <w:r>
        <w:rPr>
          <w:rFonts w:hint="eastAsia" w:ascii="宋体" w:hAnsi="宋体" w:eastAsia="宋体" w:cs="宋体"/>
          <w:sz w:val="24"/>
          <w:highlight w:val="none"/>
          <w:u w:val="single" w:color="000000"/>
        </w:rPr>
        <w:t>）,</w:t>
      </w:r>
      <w:r>
        <w:rPr>
          <w:rFonts w:hint="eastAsia" w:ascii="宋体" w:hAnsi="宋体" w:eastAsia="宋体" w:cs="宋体"/>
          <w:sz w:val="24"/>
          <w:highlight w:val="none"/>
        </w:rPr>
        <w:t>合同固定单价详见已标价的工程量清单。</w:t>
      </w:r>
    </w:p>
    <w:p w14:paraId="7560325E">
      <w:pPr>
        <w:numPr>
          <w:ilvl w:val="0"/>
          <w:numId w:val="3"/>
        </w:numPr>
        <w:autoSpaceDE w:val="0"/>
        <w:autoSpaceDN w:val="0"/>
        <w:spacing w:line="460" w:lineRule="exact"/>
        <w:ind w:left="210" w:leftChars="100" w:firstLine="0" w:firstLineChars="0"/>
        <w:jc w:val="both"/>
        <w:rPr>
          <w:color w:val="000000"/>
          <w:sz w:val="24"/>
          <w:highlight w:val="none"/>
        </w:rPr>
      </w:pPr>
      <w:r>
        <w:rPr>
          <w:rFonts w:hint="eastAsia" w:ascii="宋体" w:hAnsi="宋体" w:eastAsia="宋体" w:cs="宋体"/>
          <w:sz w:val="24"/>
          <w:highlight w:val="none"/>
        </w:rPr>
        <w:t>计划施工工期：</w:t>
      </w:r>
      <w:r>
        <w:rPr>
          <w:rFonts w:hint="eastAsia" w:ascii="宋体" w:hAnsi="宋体" w:eastAsia="宋体" w:cs="宋体"/>
          <w:sz w:val="24"/>
          <w:highlight w:val="none"/>
          <w:u w:val="single" w:color="auto"/>
          <w:lang w:val="en-US" w:eastAsia="zh-CN"/>
        </w:rPr>
        <w:t>****</w:t>
      </w:r>
      <w:r>
        <w:rPr>
          <w:rFonts w:hint="eastAsia" w:eastAsia="宋体"/>
          <w:highlight w:val="none"/>
          <w:u w:val="single" w:color="auto"/>
          <w:lang w:val="en-US" w:eastAsia="zh-CN"/>
        </w:rPr>
        <w:t>日</w:t>
      </w:r>
      <w:r>
        <w:rPr>
          <w:rFonts w:hint="eastAsia" w:eastAsia="宋体"/>
          <w:highlight w:val="none"/>
          <w:u w:val="single" w:color="000000"/>
          <w:lang w:val="en-US" w:eastAsia="zh-CN"/>
        </w:rPr>
        <w:t>历</w:t>
      </w:r>
      <w:r>
        <w:rPr>
          <w:rFonts w:hint="eastAsia" w:ascii="宋体" w:hAnsi="宋体" w:eastAsia="宋体" w:cs="宋体"/>
          <w:sz w:val="24"/>
          <w:highlight w:val="none"/>
          <w:u w:val="single" w:color="000000"/>
        </w:rPr>
        <w:t>天，</w:t>
      </w:r>
      <w:r>
        <w:rPr>
          <w:rFonts w:hint="eastAsia" w:ascii="宋体" w:hAnsi="宋体" w:eastAsia="宋体" w:cs="宋体"/>
          <w:sz w:val="24"/>
          <w:highlight w:val="none"/>
        </w:rPr>
        <w:t>从监理工程师签发开工令的日期开始起算。</w:t>
      </w:r>
    </w:p>
    <w:p w14:paraId="0168C208">
      <w:pPr>
        <w:numPr>
          <w:ilvl w:val="0"/>
          <w:numId w:val="3"/>
        </w:numPr>
        <w:autoSpaceDE w:val="0"/>
        <w:autoSpaceDN w:val="0"/>
        <w:spacing w:line="460" w:lineRule="exact"/>
        <w:ind w:left="210" w:leftChars="100" w:firstLine="0" w:firstLineChars="0"/>
        <w:jc w:val="both"/>
        <w:rPr>
          <w:color w:val="000000"/>
          <w:sz w:val="24"/>
          <w:highlight w:val="none"/>
        </w:rPr>
      </w:pPr>
      <w:r>
        <w:rPr>
          <w:rFonts w:hint="eastAsia" w:ascii="宋体" w:hAnsi="宋体" w:eastAsia="宋体" w:cs="宋体"/>
          <w:sz w:val="24"/>
          <w:highlight w:val="none"/>
        </w:rPr>
        <w:t>施工地点及范围为：</w:t>
      </w:r>
      <w:r>
        <w:rPr>
          <w:color w:val="FFFFFF"/>
          <w:sz w:val="16"/>
          <w:highlight w:val="none"/>
        </w:rPr>
        <w:t xml:space="preserve"> </w:t>
      </w:r>
      <w:r>
        <w:rPr>
          <w:rFonts w:hint="eastAsia" w:ascii="宋体" w:hAnsi="宋体" w:eastAsia="宋体" w:cs="宋体"/>
          <w:sz w:val="24"/>
          <w:highlight w:val="none"/>
        </w:rPr>
        <w:t>。</w:t>
      </w:r>
    </w:p>
    <w:p w14:paraId="63CF3C92">
      <w:pPr>
        <w:numPr>
          <w:ilvl w:val="0"/>
          <w:numId w:val="3"/>
        </w:numPr>
        <w:autoSpaceDE w:val="0"/>
        <w:autoSpaceDN w:val="0"/>
        <w:spacing w:line="480" w:lineRule="exact"/>
        <w:ind w:left="210" w:leftChars="100" w:firstLine="0" w:firstLineChars="0"/>
        <w:jc w:val="both"/>
        <w:rPr>
          <w:color w:val="000000"/>
          <w:sz w:val="24"/>
          <w:highlight w:val="none"/>
        </w:rPr>
      </w:pPr>
      <w:r>
        <w:rPr>
          <w:rFonts w:hint="eastAsia" w:ascii="宋体" w:hAnsi="宋体" w:eastAsia="宋体" w:cs="宋体"/>
          <w:sz w:val="24"/>
          <w:highlight w:val="none"/>
        </w:rPr>
        <w:t>施工内容为：</w:t>
      </w:r>
      <w:r>
        <w:rPr>
          <w:color w:val="FFFFFF"/>
          <w:sz w:val="16"/>
          <w:highlight w:val="none"/>
        </w:rPr>
        <w:t xml:space="preserve"> </w:t>
      </w:r>
      <w:r>
        <w:rPr>
          <w:rFonts w:hint="default" w:ascii="宋体" w:hAnsi="宋体" w:eastAsia="宋体" w:cs="宋体"/>
          <w:sz w:val="24"/>
          <w:highlight w:val="none"/>
        </w:rPr>
        <w:t xml:space="preserve"> </w:t>
      </w:r>
      <w:r>
        <w:rPr>
          <w:rFonts w:hint="eastAsia" w:eastAsia="宋体"/>
          <w:color w:val="FFFFFF"/>
          <w:sz w:val="16"/>
          <w:highlight w:val="none"/>
          <w:u w:val="single"/>
          <w:lang w:eastAsia="zh-CN"/>
        </w:rPr>
        <w:t xml:space="preserve"> </w:t>
      </w:r>
      <w:r>
        <w:rPr>
          <w:rFonts w:hint="eastAsia" w:eastAsia="宋体"/>
          <w:color w:val="FFFFFF"/>
          <w:sz w:val="16"/>
          <w:highlight w:val="none"/>
          <w:u w:val="single"/>
          <w:lang w:val="en-US" w:eastAsia="zh-CN"/>
        </w:rPr>
        <w:t xml:space="preserve"> </w:t>
      </w:r>
      <w:r>
        <w:rPr>
          <w:rFonts w:hint="eastAsia" w:eastAsia="宋体"/>
          <w:color w:val="FFFFFF"/>
          <w:sz w:val="16"/>
          <w:highlight w:val="none"/>
          <w:u w:val="none"/>
          <w:lang w:val="en-US" w:eastAsia="zh-CN"/>
        </w:rPr>
        <w:t xml:space="preserve">  </w:t>
      </w:r>
      <w:r>
        <w:rPr>
          <w:rFonts w:hint="eastAsia" w:ascii="宋体" w:hAnsi="宋体" w:eastAsia="宋体" w:cs="宋体"/>
          <w:sz w:val="24"/>
          <w:highlight w:val="none"/>
        </w:rPr>
        <w:t>。</w:t>
      </w:r>
    </w:p>
    <w:p w14:paraId="6548484D">
      <w:pPr>
        <w:numPr>
          <w:ilvl w:val="0"/>
          <w:numId w:val="3"/>
        </w:numPr>
        <w:autoSpaceDE w:val="0"/>
        <w:autoSpaceDN w:val="0"/>
        <w:spacing w:line="460" w:lineRule="exact"/>
        <w:ind w:left="210" w:leftChars="100" w:firstLine="0" w:firstLineChars="0"/>
        <w:jc w:val="both"/>
        <w:rPr>
          <w:color w:val="000000"/>
          <w:sz w:val="24"/>
          <w:highlight w:val="none"/>
        </w:rPr>
      </w:pPr>
      <w:r>
        <w:rPr>
          <w:rFonts w:hint="eastAsia" w:ascii="宋体" w:hAnsi="宋体" w:eastAsia="宋体" w:cs="宋体"/>
          <w:sz w:val="24"/>
          <w:highlight w:val="none"/>
        </w:rPr>
        <w:t>竣工验收标准按照执行。</w:t>
      </w:r>
    </w:p>
    <w:p w14:paraId="3B71C261">
      <w:pPr>
        <w:autoSpaceDE w:val="0"/>
        <w:autoSpaceDN w:val="0"/>
        <w:spacing w:line="460" w:lineRule="exact"/>
        <w:ind w:left="210" w:leftChars="100" w:firstLine="0" w:firstLineChars="0"/>
        <w:jc w:val="both"/>
        <w:rPr>
          <w:highlight w:val="none"/>
        </w:rPr>
      </w:pPr>
      <w:r>
        <w:rPr>
          <w:rFonts w:hint="eastAsia" w:ascii="宋体" w:hAnsi="宋体" w:eastAsia="宋体" w:cs="宋体"/>
          <w:sz w:val="24"/>
          <w:highlight w:val="none"/>
        </w:rPr>
        <w:t>8.双方在此立约：保证按照本合同文件的约定，承担和履行各自的全部责任和义务。本合同文件经双方签字盖章且发包人收到承包人按合同规定提交履约保证金后生效，工程经竣工验收合格、合同总价款结清后合同终止。</w:t>
      </w:r>
    </w:p>
    <w:p w14:paraId="782CEDC4">
      <w:pPr>
        <w:autoSpaceDE w:val="0"/>
        <w:autoSpaceDN w:val="0"/>
        <w:spacing w:line="460" w:lineRule="exact"/>
        <w:ind w:left="17" w:leftChars="8" w:firstLine="199" w:firstLineChars="83"/>
        <w:jc w:val="both"/>
        <w:rPr>
          <w:highlight w:val="none"/>
        </w:rPr>
      </w:pPr>
      <w:r>
        <w:rPr>
          <w:rFonts w:hint="eastAsia" w:ascii="宋体" w:hAnsi="宋体" w:eastAsia="宋体" w:cs="宋体"/>
          <w:sz w:val="24"/>
          <w:highlight w:val="none"/>
        </w:rPr>
        <w:t>9. 本协议书正本贰份，双方各执壹份，具有同等法律效力；副本</w:t>
      </w:r>
      <w:r>
        <w:rPr>
          <w:rFonts w:hint="eastAsia" w:eastAsia="宋体"/>
          <w:highlight w:val="none"/>
          <w:u w:val="single" w:color="000000"/>
          <w:lang w:val="en-US" w:eastAsia="zh-CN"/>
        </w:rPr>
        <w:t xml:space="preserve">     </w:t>
      </w:r>
      <w:r>
        <w:rPr>
          <w:rFonts w:hint="eastAsia" w:ascii="宋体" w:hAnsi="宋体" w:eastAsia="宋体" w:cs="宋体"/>
          <w:sz w:val="24"/>
          <w:highlight w:val="none"/>
          <w:u w:val="single" w:color="000000"/>
        </w:rPr>
        <w:t>份</w:t>
      </w:r>
      <w:r>
        <w:rPr>
          <w:rFonts w:hint="eastAsia" w:ascii="宋体" w:hAnsi="宋体" w:eastAsia="宋体" w:cs="宋体"/>
          <w:sz w:val="24"/>
          <w:highlight w:val="none"/>
          <w:u w:val="none" w:color="auto"/>
        </w:rPr>
        <w:t>，</w:t>
      </w:r>
      <w:r>
        <w:rPr>
          <w:rFonts w:hint="eastAsia" w:ascii="宋体" w:hAnsi="宋体" w:eastAsia="宋体" w:cs="宋体"/>
          <w:sz w:val="24"/>
          <w:highlight w:val="none"/>
          <w:u w:val="none" w:color="auto"/>
          <w:lang w:val="en-US" w:eastAsia="zh-CN"/>
        </w:rPr>
        <w:t>发</w:t>
      </w:r>
      <w:r>
        <w:rPr>
          <w:rFonts w:hint="eastAsia" w:ascii="宋体" w:hAnsi="宋体" w:eastAsia="宋体" w:cs="宋体"/>
          <w:sz w:val="24"/>
          <w:highlight w:val="none"/>
        </w:rPr>
        <w:t>包人执</w:t>
      </w:r>
      <w:r>
        <w:rPr>
          <w:highlight w:val="none"/>
          <w:u w:val="none" w:color="auto"/>
        </w:rPr>
        <w:tab/>
      </w:r>
      <w:r>
        <w:rPr>
          <w:rFonts w:hint="eastAsia" w:ascii="宋体" w:hAnsi="宋体" w:eastAsia="宋体" w:cs="宋体"/>
          <w:sz w:val="24"/>
          <w:highlight w:val="none"/>
          <w:u w:val="none" w:color="auto"/>
        </w:rPr>
        <w:t>份，</w:t>
      </w:r>
      <w:r>
        <w:rPr>
          <w:rFonts w:hint="eastAsia" w:ascii="宋体" w:hAnsi="宋体" w:eastAsia="宋体" w:cs="宋体"/>
          <w:sz w:val="24"/>
          <w:highlight w:val="none"/>
        </w:rPr>
        <w:t>承包人执</w:t>
      </w:r>
      <w:r>
        <w:rPr>
          <w:highlight w:val="none"/>
          <w:u w:val="none" w:color="auto"/>
        </w:rPr>
        <w:tab/>
      </w:r>
      <w:r>
        <w:rPr>
          <w:rFonts w:hint="eastAsia" w:ascii="宋体" w:hAnsi="宋体" w:eastAsia="宋体" w:cs="宋体"/>
          <w:sz w:val="24"/>
          <w:highlight w:val="none"/>
          <w:u w:val="none" w:color="auto"/>
        </w:rPr>
        <w:t>份。</w:t>
      </w:r>
      <w:r>
        <w:rPr>
          <w:rFonts w:hint="eastAsia" w:ascii="宋体" w:hAnsi="宋体" w:eastAsia="宋体" w:cs="宋体"/>
          <w:sz w:val="24"/>
          <w:highlight w:val="none"/>
        </w:rPr>
        <w:t>当副本与正本不一致时，以正本为准。</w:t>
      </w:r>
    </w:p>
    <w:p w14:paraId="46C4B177">
      <w:pPr>
        <w:tabs>
          <w:tab w:val="left" w:pos="1320"/>
        </w:tabs>
        <w:spacing w:line="200" w:lineRule="exact"/>
        <w:ind w:left="1200" w:leftChars="0" w:hanging="1200" w:hangingChars="600"/>
        <w:rPr>
          <w:rFonts w:hint="eastAsia" w:ascii="宋体" w:hAnsi="宋体" w:eastAsia="宋体" w:cs="宋体"/>
          <w:sz w:val="20"/>
          <w:highlight w:val="none"/>
        </w:rPr>
      </w:pPr>
    </w:p>
    <w:p w14:paraId="72F1A607">
      <w:pPr>
        <w:tabs>
          <w:tab w:val="left" w:pos="1320"/>
        </w:tabs>
        <w:spacing w:line="200" w:lineRule="exact"/>
        <w:ind w:left="1200" w:leftChars="0" w:hanging="1200" w:hangingChars="600"/>
        <w:rPr>
          <w:rFonts w:hint="eastAsia" w:ascii="宋体" w:hAnsi="宋体" w:eastAsia="宋体" w:cs="宋体"/>
          <w:sz w:val="20"/>
          <w:highlight w:val="none"/>
        </w:rPr>
      </w:pPr>
    </w:p>
    <w:p w14:paraId="084F1D71">
      <w:pPr>
        <w:tabs>
          <w:tab w:val="left" w:pos="1320"/>
        </w:tabs>
        <w:spacing w:line="200" w:lineRule="exact"/>
        <w:ind w:left="1200" w:leftChars="0" w:hanging="1200" w:hangingChars="600"/>
        <w:rPr>
          <w:rFonts w:hint="eastAsia" w:ascii="宋体" w:hAnsi="宋体" w:eastAsia="宋体" w:cs="宋体"/>
          <w:sz w:val="20"/>
          <w:highlight w:val="none"/>
        </w:rPr>
      </w:pPr>
    </w:p>
    <w:p w14:paraId="5E7AB078">
      <w:pPr>
        <w:tabs>
          <w:tab w:val="left" w:pos="1320"/>
        </w:tabs>
        <w:autoSpaceDE w:val="0"/>
        <w:autoSpaceDN w:val="0"/>
        <w:spacing w:line="360" w:lineRule="auto"/>
        <w:ind w:left="1260" w:leftChars="0" w:hanging="1260" w:hangingChars="6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发</w:t>
      </w:r>
      <w:r>
        <w:rPr>
          <w:rFonts w:hint="eastAsia" w:ascii="宋体" w:hAnsi="宋体" w:eastAsia="宋体" w:cs="宋体"/>
          <w:sz w:val="24"/>
          <w:highlight w:val="none"/>
        </w:rPr>
        <w:t>包人（盖章）：</w:t>
      </w:r>
      <w:r>
        <w:rPr>
          <w:rFonts w:hint="eastAsia" w:ascii="宋体" w:hAnsi="宋体" w:eastAsia="宋体" w:cs="宋体"/>
          <w:sz w:val="24"/>
          <w:highlight w:val="none"/>
          <w:lang w:val="en-US" w:eastAsia="zh-CN"/>
        </w:rPr>
        <w:t xml:space="preserve">               </w:t>
      </w:r>
    </w:p>
    <w:p w14:paraId="71671060">
      <w:pPr>
        <w:tabs>
          <w:tab w:val="left" w:pos="1320"/>
        </w:tabs>
        <w:autoSpaceDE w:val="0"/>
        <w:autoSpaceDN w:val="0"/>
        <w:spacing w:line="360" w:lineRule="auto"/>
        <w:ind w:left="1320" w:leftChars="0" w:hanging="1320" w:hangingChars="600"/>
        <w:jc w:val="both"/>
        <w:rPr>
          <w:rFonts w:hint="eastAsia" w:ascii="宋体" w:hAnsi="宋体" w:eastAsia="宋体" w:cs="宋体"/>
          <w:highlight w:val="none"/>
          <w:lang w:eastAsia="zh-CN"/>
        </w:rPr>
      </w:pPr>
      <w:r>
        <w:rPr>
          <w:rFonts w:hint="eastAsia" w:ascii="宋体" w:hAnsi="宋体" w:eastAsia="宋体" w:cs="宋体"/>
          <w:sz w:val="22"/>
          <w:highlight w:val="none"/>
          <w:lang w:eastAsia="zh-CN"/>
        </w:rPr>
        <w:t>法定代表人或</w:t>
      </w:r>
      <w:r>
        <w:rPr>
          <w:rFonts w:hint="eastAsia" w:ascii="宋体" w:hAnsi="宋体" w:eastAsia="宋体" w:cs="宋体"/>
          <w:highlight w:val="none"/>
          <w:lang w:val="en-US" w:eastAsia="zh-CN"/>
        </w:rPr>
        <w:t>授</w:t>
      </w:r>
      <w:r>
        <w:rPr>
          <w:rFonts w:hint="eastAsia" w:ascii="宋体" w:hAnsi="宋体" w:eastAsia="宋体" w:cs="宋体"/>
          <w:sz w:val="22"/>
          <w:highlight w:val="none"/>
          <w:lang w:eastAsia="zh-CN"/>
        </w:rPr>
        <w:t>权代理人（签字）：</w:t>
      </w:r>
      <w:r>
        <w:rPr>
          <w:rFonts w:hint="eastAsia" w:ascii="宋体" w:hAnsi="宋体" w:eastAsia="宋体" w:cs="宋体"/>
          <w:highlight w:val="none"/>
          <w:lang w:val="en-US" w:eastAsia="zh-CN"/>
        </w:rPr>
        <w:t xml:space="preserve">                         </w:t>
      </w:r>
    </w:p>
    <w:p w14:paraId="4A385497">
      <w:pPr>
        <w:tabs>
          <w:tab w:val="left" w:pos="1320"/>
        </w:tabs>
        <w:autoSpaceDE w:val="0"/>
        <w:autoSpaceDN w:val="0"/>
        <w:spacing w:line="360" w:lineRule="auto"/>
        <w:ind w:left="1260" w:leftChars="0" w:hanging="1260" w:hangingChars="600"/>
        <w:jc w:val="both"/>
        <w:rPr>
          <w:rFonts w:hint="eastAsia" w:ascii="宋体" w:hAnsi="宋体" w:eastAsia="宋体" w:cs="宋体"/>
          <w:highlight w:val="none"/>
          <w:lang w:val="en-US" w:eastAsia="zh-CN"/>
        </w:rPr>
      </w:pPr>
      <w:r>
        <w:rPr>
          <w:rFonts w:hint="eastAsia" w:ascii="宋体" w:hAnsi="宋体" w:eastAsia="宋体" w:cs="宋体"/>
          <w:highlight w:val="none"/>
          <w:lang w:eastAsia="zh-CN"/>
        </w:rPr>
        <w:t>详细地址：</w:t>
      </w:r>
    </w:p>
    <w:p w14:paraId="55A71845">
      <w:pPr>
        <w:tabs>
          <w:tab w:val="left" w:pos="1320"/>
        </w:tabs>
        <w:autoSpaceDE w:val="0"/>
        <w:autoSpaceDN w:val="0"/>
        <w:spacing w:line="360" w:lineRule="auto"/>
        <w:ind w:left="1320" w:leftChars="0" w:hanging="1320" w:hangingChars="600"/>
        <w:jc w:val="both"/>
        <w:rPr>
          <w:rFonts w:hint="eastAsia" w:ascii="宋体" w:hAnsi="宋体" w:eastAsia="宋体" w:cs="宋体"/>
          <w:highlight w:val="none"/>
          <w:lang w:eastAsia="zh-CN"/>
        </w:rPr>
      </w:pPr>
      <w:r>
        <w:rPr>
          <w:rFonts w:hint="eastAsia" w:ascii="宋体" w:hAnsi="宋体" w:eastAsia="宋体" w:cs="宋体"/>
          <w:sz w:val="22"/>
          <w:highlight w:val="none"/>
          <w:lang w:eastAsia="zh-CN"/>
        </w:rPr>
        <w:t>联 系 电 话 ：</w:t>
      </w:r>
      <w:r>
        <w:rPr>
          <w:rFonts w:hint="eastAsia" w:ascii="宋体" w:hAnsi="宋体" w:eastAsia="宋体" w:cs="宋体"/>
          <w:highlight w:val="none"/>
          <w:lang w:val="en-US" w:eastAsia="zh-CN"/>
        </w:rPr>
        <w:t xml:space="preserve">                                        </w:t>
      </w:r>
    </w:p>
    <w:p w14:paraId="00B95F26">
      <w:pPr>
        <w:tabs>
          <w:tab w:val="left" w:pos="1320"/>
        </w:tabs>
        <w:autoSpaceDE w:val="0"/>
        <w:autoSpaceDN w:val="0"/>
        <w:spacing w:line="360" w:lineRule="auto"/>
        <w:ind w:left="1320" w:leftChars="0" w:hanging="1320" w:hangingChars="600"/>
        <w:jc w:val="both"/>
        <w:rPr>
          <w:rFonts w:hint="eastAsia" w:ascii="宋体" w:hAnsi="宋体" w:eastAsia="宋体" w:cs="宋体"/>
          <w:highlight w:val="none"/>
          <w:lang w:eastAsia="zh-CN"/>
        </w:rPr>
      </w:pPr>
      <w:r>
        <w:rPr>
          <w:rFonts w:hint="eastAsia" w:ascii="宋体" w:hAnsi="宋体" w:eastAsia="宋体" w:cs="宋体"/>
          <w:sz w:val="22"/>
          <w:highlight w:val="none"/>
          <w:lang w:eastAsia="zh-CN"/>
        </w:rPr>
        <w:t>传真 ：</w:t>
      </w:r>
      <w:r>
        <w:rPr>
          <w:rFonts w:hint="eastAsia" w:ascii="宋体" w:hAnsi="宋体" w:eastAsia="宋体" w:cs="宋体"/>
          <w:highlight w:val="none"/>
          <w:lang w:val="en-US" w:eastAsia="zh-CN"/>
        </w:rPr>
        <w:t xml:space="preserve">                                                          </w:t>
      </w:r>
    </w:p>
    <w:p w14:paraId="667AD850">
      <w:pPr>
        <w:tabs>
          <w:tab w:val="left" w:pos="1320"/>
        </w:tabs>
        <w:autoSpaceDE w:val="0"/>
        <w:autoSpaceDN w:val="0"/>
        <w:spacing w:line="360" w:lineRule="auto"/>
        <w:ind w:left="1320" w:leftChars="0" w:hanging="1320" w:hangingChars="600"/>
        <w:jc w:val="both"/>
        <w:rPr>
          <w:rFonts w:hint="eastAsia" w:ascii="宋体" w:hAnsi="宋体" w:eastAsia="宋体" w:cs="宋体"/>
          <w:sz w:val="22"/>
          <w:highlight w:val="none"/>
          <w:lang w:val="en-US" w:eastAsia="zh-CN"/>
        </w:rPr>
      </w:pPr>
      <w:r>
        <w:rPr>
          <w:rFonts w:hint="eastAsia" w:ascii="宋体" w:hAnsi="宋体" w:eastAsia="宋体" w:cs="宋体"/>
          <w:sz w:val="22"/>
          <w:highlight w:val="none"/>
          <w:lang w:eastAsia="zh-CN"/>
        </w:rPr>
        <w:t>签 约 日 期 ：</w:t>
      </w:r>
      <w:r>
        <w:rPr>
          <w:rFonts w:hint="eastAsia" w:ascii="宋体" w:hAnsi="宋体" w:eastAsia="宋体" w:cs="宋体"/>
          <w:sz w:val="22"/>
          <w:highlight w:val="none"/>
          <w:lang w:val="en-US" w:eastAsia="zh-CN"/>
        </w:rPr>
        <w:t xml:space="preserve">                 </w:t>
      </w:r>
    </w:p>
    <w:p w14:paraId="5FF2353B">
      <w:pPr>
        <w:tabs>
          <w:tab w:val="left" w:pos="1320"/>
        </w:tabs>
        <w:autoSpaceDE w:val="0"/>
        <w:autoSpaceDN w:val="0"/>
        <w:spacing w:line="360" w:lineRule="auto"/>
        <w:ind w:left="1260" w:leftChars="0" w:hanging="1260" w:hangingChars="600"/>
        <w:jc w:val="both"/>
        <w:rPr>
          <w:rFonts w:hint="eastAsia" w:ascii="宋体" w:hAnsi="宋体" w:eastAsia="宋体" w:cs="宋体"/>
          <w:sz w:val="22"/>
          <w:highlight w:val="none"/>
          <w:lang w:val="en-US" w:eastAsia="zh-CN"/>
        </w:rPr>
      </w:pPr>
      <w:r>
        <w:rPr>
          <w:rFonts w:hint="eastAsia" w:ascii="宋体" w:hAnsi="宋体" w:eastAsia="宋体" w:cs="宋体"/>
          <w:highlight w:val="none"/>
          <w:lang w:eastAsia="zh-CN"/>
        </w:rPr>
        <w:t>统一社会信用代码</w:t>
      </w: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 xml:space="preserve">                    </w:t>
      </w:r>
    </w:p>
    <w:p w14:paraId="1FB49FCC">
      <w:pPr>
        <w:tabs>
          <w:tab w:val="left" w:pos="1320"/>
        </w:tabs>
        <w:autoSpaceDE w:val="0"/>
        <w:autoSpaceDN w:val="0"/>
        <w:spacing w:line="360" w:lineRule="auto"/>
        <w:ind w:left="1320" w:leftChars="0" w:hanging="1320" w:hangingChars="600"/>
        <w:jc w:val="both"/>
        <w:rPr>
          <w:rFonts w:hint="eastAsia" w:ascii="宋体" w:hAnsi="宋体" w:eastAsia="宋体" w:cs="宋体"/>
          <w:sz w:val="22"/>
          <w:highlight w:val="none"/>
          <w:lang w:eastAsia="zh-CN"/>
        </w:rPr>
      </w:pPr>
      <w:r>
        <w:rPr>
          <w:rFonts w:hint="eastAsia" w:ascii="宋体" w:hAnsi="宋体" w:eastAsia="宋体" w:cs="宋体"/>
          <w:sz w:val="22"/>
          <w:highlight w:val="none"/>
          <w:lang w:val="en-US" w:eastAsia="zh-CN"/>
        </w:rPr>
        <w:t>开户</w:t>
      </w:r>
      <w:r>
        <w:rPr>
          <w:rFonts w:hint="eastAsia" w:ascii="宋体" w:hAnsi="宋体" w:eastAsia="宋体" w:cs="宋体"/>
          <w:sz w:val="22"/>
          <w:highlight w:val="none"/>
          <w:lang w:eastAsia="zh-CN"/>
        </w:rPr>
        <w:t>银行：</w:t>
      </w:r>
      <w:r>
        <w:rPr>
          <w:rFonts w:hint="eastAsia" w:ascii="宋体" w:hAnsi="宋体" w:eastAsia="宋体" w:cs="宋体"/>
          <w:sz w:val="22"/>
          <w:highlight w:val="none"/>
          <w:lang w:val="en-US" w:eastAsia="zh-CN"/>
        </w:rPr>
        <w:t xml:space="preserve">                    </w:t>
      </w:r>
    </w:p>
    <w:p w14:paraId="6F4549F6">
      <w:pPr>
        <w:tabs>
          <w:tab w:val="left" w:pos="1320"/>
        </w:tabs>
        <w:autoSpaceDE w:val="0"/>
        <w:autoSpaceDN w:val="0"/>
        <w:spacing w:line="360" w:lineRule="auto"/>
        <w:ind w:left="1320" w:leftChars="0" w:hanging="1320" w:hangingChars="600"/>
        <w:jc w:val="both"/>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 xml:space="preserve">账号：                       </w:t>
      </w:r>
    </w:p>
    <w:p w14:paraId="6CCA7A9C">
      <w:pPr>
        <w:tabs>
          <w:tab w:val="left" w:pos="1320"/>
        </w:tabs>
        <w:autoSpaceDE w:val="0"/>
        <w:autoSpaceDN w:val="0"/>
        <w:spacing w:line="360" w:lineRule="auto"/>
        <w:ind w:left="0" w:firstLine="0" w:firstLineChars="0"/>
        <w:jc w:val="both"/>
        <w:rPr>
          <w:rFonts w:hint="eastAsia" w:ascii="宋体" w:hAnsi="宋体" w:eastAsia="宋体" w:cs="宋体"/>
          <w:sz w:val="22"/>
          <w:highlight w:val="none"/>
          <w:lang w:eastAsia="zh-CN"/>
        </w:rPr>
      </w:pPr>
    </w:p>
    <w:p w14:paraId="4ECF18FA">
      <w:pPr>
        <w:tabs>
          <w:tab w:val="left" w:pos="1320"/>
        </w:tabs>
        <w:autoSpaceDE w:val="0"/>
        <w:autoSpaceDN w:val="0"/>
        <w:spacing w:line="360" w:lineRule="auto"/>
        <w:ind w:left="1320" w:hanging="1320" w:hangingChars="600"/>
        <w:jc w:val="both"/>
        <w:rPr>
          <w:rFonts w:hint="eastAsia" w:ascii="宋体" w:hAnsi="宋体" w:eastAsia="宋体" w:cs="宋体"/>
          <w:sz w:val="22"/>
          <w:highlight w:val="none"/>
          <w:lang w:eastAsia="zh-CN"/>
        </w:rPr>
      </w:pPr>
    </w:p>
    <w:p w14:paraId="2AA8F267">
      <w:pPr>
        <w:tabs>
          <w:tab w:val="left" w:pos="1320"/>
        </w:tabs>
        <w:autoSpaceDE w:val="0"/>
        <w:autoSpaceDN w:val="0"/>
        <w:spacing w:line="360" w:lineRule="auto"/>
        <w:ind w:left="1320" w:hanging="1320" w:hangingChars="600"/>
        <w:jc w:val="both"/>
        <w:rPr>
          <w:rFonts w:hint="eastAsia" w:ascii="宋体" w:hAnsi="宋体" w:eastAsia="宋体" w:cs="宋体"/>
          <w:sz w:val="22"/>
          <w:highlight w:val="none"/>
          <w:lang w:eastAsia="zh-CN"/>
        </w:rPr>
      </w:pPr>
      <w:r>
        <w:rPr>
          <w:rFonts w:hint="eastAsia" w:ascii="宋体" w:hAnsi="宋体" w:eastAsia="宋体" w:cs="宋体"/>
          <w:sz w:val="22"/>
          <w:highlight w:val="none"/>
          <w:lang w:eastAsia="zh-CN"/>
        </w:rPr>
        <w:t>承包人（盖章）：</w:t>
      </w:r>
    </w:p>
    <w:p w14:paraId="5E81629E">
      <w:pPr>
        <w:tabs>
          <w:tab w:val="left" w:pos="1320"/>
        </w:tabs>
        <w:autoSpaceDE w:val="0"/>
        <w:autoSpaceDN w:val="0"/>
        <w:spacing w:line="360" w:lineRule="auto"/>
        <w:ind w:left="1320" w:leftChars="0" w:hanging="1320" w:hangingChars="600"/>
        <w:jc w:val="both"/>
        <w:rPr>
          <w:rFonts w:hint="eastAsia" w:ascii="宋体" w:hAnsi="宋体" w:eastAsia="宋体" w:cs="宋体"/>
          <w:sz w:val="22"/>
          <w:highlight w:val="none"/>
          <w:lang w:eastAsia="zh-CN"/>
        </w:rPr>
      </w:pP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lang w:eastAsia="zh-CN"/>
        </w:rPr>
        <w:t>法定代表人或</w:t>
      </w:r>
      <w:r>
        <w:rPr>
          <w:rFonts w:hint="eastAsia" w:ascii="宋体" w:hAnsi="宋体" w:eastAsia="宋体" w:cs="宋体"/>
          <w:highlight w:val="none"/>
          <w:lang w:val="en-US" w:eastAsia="zh-CN"/>
        </w:rPr>
        <w:t xml:space="preserve"> </w:t>
      </w:r>
      <w:r>
        <w:rPr>
          <w:rFonts w:hint="eastAsia" w:ascii="宋体" w:hAnsi="宋体" w:eastAsia="宋体" w:cs="宋体"/>
          <w:sz w:val="22"/>
          <w:highlight w:val="none"/>
          <w:lang w:eastAsia="zh-CN"/>
        </w:rPr>
        <w:t>授权代理人（签字）：</w:t>
      </w:r>
    </w:p>
    <w:p w14:paraId="2E33C341">
      <w:pPr>
        <w:tabs>
          <w:tab w:val="left" w:pos="1320"/>
        </w:tabs>
        <w:autoSpaceDE w:val="0"/>
        <w:autoSpaceDN w:val="0"/>
        <w:spacing w:line="360" w:lineRule="auto"/>
        <w:ind w:left="1320" w:hanging="1260" w:hangingChars="600"/>
        <w:jc w:val="both"/>
        <w:rPr>
          <w:rFonts w:hint="eastAsia" w:ascii="宋体" w:hAnsi="宋体" w:eastAsia="宋体" w:cs="宋体"/>
          <w:sz w:val="22"/>
          <w:highlight w:val="none"/>
          <w:lang w:eastAsia="zh-CN"/>
        </w:rPr>
      </w:pPr>
      <w:r>
        <w:rPr>
          <w:rFonts w:hint="eastAsia" w:ascii="宋体" w:hAnsi="宋体" w:eastAsia="宋体" w:cs="宋体"/>
          <w:highlight w:val="none"/>
          <w:lang w:eastAsia="zh-CN"/>
        </w:rPr>
        <w:t>详细地址：</w:t>
      </w:r>
    </w:p>
    <w:p w14:paraId="6BA05E16">
      <w:pPr>
        <w:tabs>
          <w:tab w:val="left" w:pos="1320"/>
        </w:tabs>
        <w:autoSpaceDE w:val="0"/>
        <w:autoSpaceDN w:val="0"/>
        <w:spacing w:line="360" w:lineRule="auto"/>
        <w:ind w:left="1320" w:hanging="1320" w:hangingChars="600"/>
        <w:jc w:val="both"/>
        <w:rPr>
          <w:rFonts w:hint="eastAsia" w:ascii="宋体" w:hAnsi="宋体" w:eastAsia="宋体" w:cs="宋体"/>
          <w:sz w:val="22"/>
          <w:highlight w:val="none"/>
          <w:lang w:eastAsia="zh-CN"/>
        </w:rPr>
      </w:pPr>
      <w:r>
        <w:rPr>
          <w:rFonts w:hint="eastAsia" w:ascii="宋体" w:hAnsi="宋体" w:eastAsia="宋体" w:cs="宋体"/>
          <w:sz w:val="22"/>
          <w:highlight w:val="none"/>
          <w:lang w:eastAsia="zh-CN"/>
        </w:rPr>
        <w:t>联 系 电 话 ：</w:t>
      </w:r>
    </w:p>
    <w:p w14:paraId="7D8DE629">
      <w:pPr>
        <w:tabs>
          <w:tab w:val="left" w:pos="1320"/>
        </w:tabs>
        <w:autoSpaceDE w:val="0"/>
        <w:autoSpaceDN w:val="0"/>
        <w:spacing w:line="360" w:lineRule="auto"/>
        <w:ind w:left="1320" w:hanging="1260" w:hangingChars="600"/>
        <w:jc w:val="both"/>
        <w:rPr>
          <w:rFonts w:hint="eastAsia" w:ascii="宋体" w:hAnsi="宋体" w:eastAsia="宋体" w:cs="宋体"/>
          <w:sz w:val="22"/>
          <w:highlight w:val="none"/>
          <w:lang w:eastAsia="zh-CN"/>
        </w:rPr>
      </w:pPr>
      <w:r>
        <w:rPr>
          <w:rFonts w:hint="eastAsia" w:ascii="宋体" w:hAnsi="宋体" w:eastAsia="宋体" w:cs="宋体"/>
          <w:highlight w:val="none"/>
          <w:lang w:val="en-US" w:eastAsia="zh-CN"/>
        </w:rPr>
        <w:t xml:space="preserve"> </w:t>
      </w:r>
      <w:r>
        <w:rPr>
          <w:rFonts w:hint="eastAsia" w:ascii="宋体" w:hAnsi="宋体" w:eastAsia="宋体" w:cs="宋体"/>
          <w:sz w:val="22"/>
          <w:highlight w:val="none"/>
          <w:lang w:eastAsia="zh-CN"/>
        </w:rPr>
        <w:t>传真 ：</w:t>
      </w:r>
    </w:p>
    <w:p w14:paraId="05AFBC37">
      <w:pPr>
        <w:tabs>
          <w:tab w:val="left" w:pos="1320"/>
        </w:tabs>
        <w:autoSpaceDE w:val="0"/>
        <w:autoSpaceDN w:val="0"/>
        <w:spacing w:line="360" w:lineRule="auto"/>
        <w:ind w:left="1320" w:hanging="1320" w:hangingChars="600"/>
        <w:jc w:val="both"/>
        <w:rPr>
          <w:rFonts w:hint="eastAsia" w:ascii="宋体" w:hAnsi="宋体" w:eastAsia="宋体" w:cs="宋体"/>
          <w:sz w:val="22"/>
          <w:highlight w:val="none"/>
          <w:lang w:eastAsia="zh-CN"/>
        </w:rPr>
      </w:pPr>
      <w:r>
        <w:rPr>
          <w:rFonts w:hint="eastAsia" w:ascii="宋体" w:hAnsi="宋体" w:eastAsia="宋体" w:cs="宋体"/>
          <w:sz w:val="22"/>
          <w:highlight w:val="none"/>
          <w:lang w:eastAsia="zh-CN"/>
        </w:rPr>
        <w:t>统一社会信用代码：</w:t>
      </w:r>
    </w:p>
    <w:p w14:paraId="3DA37435">
      <w:pPr>
        <w:tabs>
          <w:tab w:val="left" w:pos="1320"/>
        </w:tabs>
        <w:autoSpaceDE w:val="0"/>
        <w:autoSpaceDN w:val="0"/>
        <w:spacing w:line="360" w:lineRule="auto"/>
        <w:ind w:left="1320" w:hanging="1320" w:hangingChars="600"/>
        <w:jc w:val="both"/>
        <w:rPr>
          <w:rFonts w:hint="eastAsia" w:ascii="宋体" w:hAnsi="宋体" w:eastAsia="宋体" w:cs="宋体"/>
          <w:sz w:val="22"/>
          <w:highlight w:val="none"/>
          <w:lang w:eastAsia="zh-CN"/>
        </w:rPr>
      </w:pPr>
      <w:r>
        <w:rPr>
          <w:rFonts w:hint="eastAsia" w:ascii="宋体" w:hAnsi="宋体" w:eastAsia="宋体" w:cs="宋体"/>
          <w:sz w:val="22"/>
          <w:highlight w:val="none"/>
          <w:lang w:val="en-US" w:eastAsia="zh-CN"/>
        </w:rPr>
        <w:t>开户</w:t>
      </w:r>
      <w:r>
        <w:rPr>
          <w:rFonts w:hint="eastAsia" w:ascii="宋体" w:hAnsi="宋体" w:eastAsia="宋体" w:cs="宋体"/>
          <w:sz w:val="22"/>
          <w:highlight w:val="none"/>
          <w:lang w:eastAsia="zh-CN"/>
        </w:rPr>
        <w:t>银行：</w:t>
      </w:r>
    </w:p>
    <w:p w14:paraId="32BD27A2">
      <w:pPr>
        <w:tabs>
          <w:tab w:val="left" w:pos="1320"/>
        </w:tabs>
        <w:autoSpaceDE w:val="0"/>
        <w:autoSpaceDN w:val="0"/>
        <w:spacing w:line="360" w:lineRule="auto"/>
        <w:ind w:left="1320" w:hanging="1320" w:hangingChars="600"/>
        <w:jc w:val="both"/>
        <w:rPr>
          <w:rFonts w:hint="eastAsia" w:ascii="宋体" w:hAnsi="宋体" w:eastAsia="宋体" w:cs="宋体"/>
          <w:sz w:val="22"/>
          <w:highlight w:val="none"/>
          <w:lang w:eastAsia="zh-CN"/>
        </w:rPr>
      </w:pPr>
      <w:r>
        <w:rPr>
          <w:rFonts w:hint="eastAsia" w:ascii="宋体" w:hAnsi="宋体" w:eastAsia="宋体" w:cs="宋体"/>
          <w:sz w:val="22"/>
          <w:highlight w:val="none"/>
          <w:lang w:val="en-US" w:eastAsia="zh-CN"/>
        </w:rPr>
        <w:t>账  号：</w:t>
      </w:r>
    </w:p>
    <w:p w14:paraId="13FF4B82">
      <w:pPr>
        <w:spacing w:line="200" w:lineRule="exact"/>
        <w:rPr>
          <w:rFonts w:hint="eastAsia" w:ascii="宋体" w:hAnsi="宋体" w:eastAsia="宋体" w:cs="宋体"/>
          <w:sz w:val="20"/>
          <w:highlight w:val="none"/>
        </w:rPr>
      </w:pPr>
    </w:p>
    <w:p w14:paraId="5C9E8BEF">
      <w:pPr>
        <w:spacing w:line="200" w:lineRule="exact"/>
        <w:rPr>
          <w:rFonts w:hint="eastAsia" w:ascii="宋体" w:hAnsi="宋体" w:eastAsia="宋体" w:cs="宋体"/>
          <w:sz w:val="20"/>
          <w:highlight w:val="none"/>
        </w:rPr>
      </w:pPr>
    </w:p>
    <w:p w14:paraId="265009C7">
      <w:pPr>
        <w:spacing w:line="200" w:lineRule="exact"/>
        <w:rPr>
          <w:rFonts w:hint="eastAsia" w:ascii="宋体" w:hAnsi="宋体" w:eastAsia="宋体" w:cs="宋体"/>
          <w:sz w:val="20"/>
          <w:highlight w:val="none"/>
        </w:rPr>
      </w:pPr>
    </w:p>
    <w:p w14:paraId="2004C27F">
      <w:pPr>
        <w:spacing w:line="200" w:lineRule="exact"/>
        <w:rPr>
          <w:rFonts w:hint="eastAsia" w:ascii="宋体" w:hAnsi="宋体" w:eastAsia="宋体" w:cs="宋体"/>
          <w:sz w:val="20"/>
          <w:highlight w:val="none"/>
        </w:rPr>
      </w:pPr>
    </w:p>
    <w:p w14:paraId="4C4C0F36">
      <w:pPr>
        <w:spacing w:line="200" w:lineRule="exact"/>
        <w:rPr>
          <w:rFonts w:hint="eastAsia" w:ascii="宋体" w:hAnsi="宋体" w:eastAsia="宋体" w:cs="宋体"/>
          <w:sz w:val="20"/>
          <w:highlight w:val="none"/>
        </w:rPr>
      </w:pPr>
    </w:p>
    <w:p w14:paraId="61F82B0E">
      <w:pPr>
        <w:spacing w:line="200" w:lineRule="exact"/>
        <w:rPr>
          <w:rFonts w:hint="eastAsia" w:ascii="宋体" w:hAnsi="宋体" w:eastAsia="宋体" w:cs="宋体"/>
          <w:sz w:val="20"/>
          <w:highlight w:val="none"/>
        </w:rPr>
      </w:pPr>
    </w:p>
    <w:p w14:paraId="490FC262">
      <w:pPr>
        <w:spacing w:line="200" w:lineRule="exact"/>
        <w:rPr>
          <w:rFonts w:hint="eastAsia" w:ascii="宋体" w:hAnsi="宋体" w:eastAsia="宋体" w:cs="宋体"/>
          <w:sz w:val="20"/>
          <w:highlight w:val="none"/>
        </w:rPr>
      </w:pPr>
    </w:p>
    <w:p w14:paraId="238B9967">
      <w:pPr>
        <w:spacing w:line="200" w:lineRule="exact"/>
        <w:rPr>
          <w:rFonts w:hint="eastAsia" w:ascii="宋体" w:hAnsi="宋体" w:eastAsia="宋体" w:cs="宋体"/>
          <w:sz w:val="20"/>
          <w:highlight w:val="none"/>
        </w:rPr>
      </w:pPr>
    </w:p>
    <w:p w14:paraId="4FAC3B51">
      <w:pPr>
        <w:spacing w:line="200" w:lineRule="exact"/>
        <w:rPr>
          <w:rFonts w:hint="eastAsia" w:ascii="宋体" w:hAnsi="宋体" w:eastAsia="宋体" w:cs="宋体"/>
          <w:sz w:val="20"/>
          <w:highlight w:val="none"/>
        </w:rPr>
      </w:pPr>
    </w:p>
    <w:p w14:paraId="6854FFED">
      <w:pPr>
        <w:spacing w:line="200" w:lineRule="exact"/>
        <w:rPr>
          <w:rFonts w:hint="eastAsia" w:ascii="宋体" w:hAnsi="宋体" w:eastAsia="宋体" w:cs="宋体"/>
          <w:sz w:val="20"/>
          <w:highlight w:val="none"/>
        </w:rPr>
      </w:pPr>
    </w:p>
    <w:p w14:paraId="72FD8DEC">
      <w:pPr>
        <w:spacing w:line="200" w:lineRule="exact"/>
        <w:rPr>
          <w:rFonts w:hint="eastAsia" w:ascii="宋体" w:hAnsi="宋体" w:eastAsia="宋体" w:cs="宋体"/>
          <w:sz w:val="20"/>
          <w:highlight w:val="none"/>
        </w:rPr>
      </w:pPr>
    </w:p>
    <w:p w14:paraId="6BA67E59">
      <w:pPr>
        <w:spacing w:line="200" w:lineRule="exact"/>
        <w:rPr>
          <w:rFonts w:hint="eastAsia" w:ascii="宋体" w:hAnsi="宋体" w:eastAsia="宋体" w:cs="宋体"/>
          <w:sz w:val="20"/>
          <w:highlight w:val="none"/>
        </w:rPr>
      </w:pPr>
    </w:p>
    <w:p w14:paraId="6030D6E9">
      <w:pPr>
        <w:pageBreakBefore/>
        <w:spacing w:line="200" w:lineRule="exact"/>
        <w:rPr>
          <w:rFonts w:hint="eastAsia" w:ascii="宋体" w:hAnsi="宋体" w:eastAsia="宋体" w:cs="宋体"/>
          <w:sz w:val="20"/>
          <w:highlight w:val="none"/>
        </w:rPr>
      </w:pPr>
    </w:p>
    <w:p w14:paraId="67AC2301">
      <w:pPr>
        <w:autoSpaceDE w:val="0"/>
        <w:autoSpaceDN w:val="0"/>
        <w:spacing w:line="280" w:lineRule="exact"/>
        <w:ind w:left="60"/>
        <w:jc w:val="both"/>
        <w:rPr>
          <w:highlight w:val="none"/>
        </w:rPr>
      </w:pPr>
      <w:r>
        <w:rPr>
          <w:rFonts w:hint="eastAsia" w:ascii="宋体" w:hAnsi="宋体" w:eastAsia="宋体" w:cs="宋体"/>
          <w:b/>
          <w:sz w:val="24"/>
          <w:highlight w:val="none"/>
        </w:rPr>
        <w:t>附件二：廉政合同</w:t>
      </w:r>
    </w:p>
    <w:p w14:paraId="07BA0E0C">
      <w:pPr>
        <w:autoSpaceDE w:val="0"/>
        <w:autoSpaceDN w:val="0"/>
        <w:spacing w:line="700" w:lineRule="exact"/>
        <w:ind w:left="3480"/>
        <w:jc w:val="both"/>
        <w:rPr>
          <w:highlight w:val="none"/>
        </w:rPr>
      </w:pPr>
      <w:r>
        <w:rPr>
          <w:rFonts w:hint="eastAsia" w:ascii="宋体" w:hAnsi="宋体" w:eastAsia="宋体" w:cs="宋体"/>
          <w:sz w:val="36"/>
          <w:highlight w:val="none"/>
        </w:rPr>
        <w:t>廉政合同格式</w:t>
      </w:r>
    </w:p>
    <w:p w14:paraId="45644253">
      <w:pPr>
        <w:autoSpaceDE w:val="0"/>
        <w:autoSpaceDN w:val="0"/>
        <w:spacing w:line="340" w:lineRule="exact"/>
        <w:ind w:left="540"/>
        <w:jc w:val="both"/>
        <w:rPr>
          <w:highlight w:val="none"/>
        </w:rPr>
      </w:pPr>
      <w:r>
        <w:rPr>
          <w:rFonts w:hint="eastAsia" w:ascii="宋体" w:hAnsi="宋体" w:eastAsia="宋体" w:cs="宋体"/>
          <w:b/>
          <w:sz w:val="24"/>
          <w:highlight w:val="none"/>
        </w:rPr>
        <w:t>工程项目名称：</w:t>
      </w:r>
    </w:p>
    <w:p w14:paraId="40C07689">
      <w:pPr>
        <w:autoSpaceDE w:val="0"/>
        <w:autoSpaceDN w:val="0"/>
        <w:spacing w:line="480" w:lineRule="exact"/>
        <w:ind w:left="540"/>
        <w:jc w:val="both"/>
        <w:rPr>
          <w:highlight w:val="none"/>
        </w:rPr>
      </w:pPr>
      <w:r>
        <w:rPr>
          <w:rFonts w:hint="eastAsia" w:ascii="宋体" w:hAnsi="宋体" w:eastAsia="宋体" w:cs="宋体"/>
          <w:b/>
          <w:sz w:val="24"/>
          <w:highlight w:val="none"/>
        </w:rPr>
        <w:t>工程项目地址：</w:t>
      </w:r>
    </w:p>
    <w:p w14:paraId="0865A1B9">
      <w:pPr>
        <w:autoSpaceDE w:val="0"/>
        <w:autoSpaceDN w:val="0"/>
        <w:spacing w:line="460" w:lineRule="exact"/>
        <w:ind w:left="540"/>
        <w:jc w:val="both"/>
        <w:rPr>
          <w:highlight w:val="none"/>
        </w:rPr>
      </w:pPr>
      <w:r>
        <w:rPr>
          <w:rFonts w:hint="eastAsia" w:ascii="宋体" w:hAnsi="宋体" w:eastAsia="宋体" w:cs="宋体"/>
          <w:b/>
          <w:sz w:val="24"/>
          <w:highlight w:val="none"/>
        </w:rPr>
        <w:t>发包人：</w:t>
      </w:r>
    </w:p>
    <w:p w14:paraId="36903FF2">
      <w:pPr>
        <w:autoSpaceDE w:val="0"/>
        <w:autoSpaceDN w:val="0"/>
        <w:spacing w:line="460" w:lineRule="exact"/>
        <w:ind w:left="540"/>
        <w:jc w:val="both"/>
        <w:rPr>
          <w:highlight w:val="none"/>
        </w:rPr>
      </w:pPr>
      <w:r>
        <w:rPr>
          <w:rFonts w:hint="eastAsia" w:ascii="宋体" w:hAnsi="宋体" w:eastAsia="宋体" w:cs="宋体"/>
          <w:b/>
          <w:sz w:val="24"/>
          <w:highlight w:val="none"/>
        </w:rPr>
        <w:t>承包人：</w:t>
      </w:r>
    </w:p>
    <w:p w14:paraId="611613E0">
      <w:pPr>
        <w:autoSpaceDE w:val="0"/>
        <w:autoSpaceDN w:val="0"/>
        <w:spacing w:line="460" w:lineRule="exact"/>
        <w:ind w:left="60" w:right="0" w:firstLine="480"/>
        <w:jc w:val="both"/>
        <w:rPr>
          <w:highlight w:val="none"/>
        </w:rPr>
      </w:pPr>
      <w:r>
        <w:rPr>
          <w:rFonts w:hint="eastAsia" w:ascii="宋体" w:hAnsi="宋体" w:eastAsia="宋体" w:cs="宋体"/>
          <w:sz w:val="24"/>
          <w:highlight w:val="none"/>
        </w:rPr>
        <w:t>为加强工程建设中的廉政建设，规范工程建设项目承发包双方的各项活动，防止发生各种谋取不正当利益的违法违纪行为，保护政府、集体和当事人的合法权益，根据政府有关工程建设的法律法规和廉政建设责任制规定，特订立本廉政合同。</w:t>
      </w:r>
    </w:p>
    <w:p w14:paraId="5C1F8663">
      <w:pPr>
        <w:autoSpaceDE w:val="0"/>
        <w:autoSpaceDN w:val="0"/>
        <w:spacing w:line="480" w:lineRule="exact"/>
        <w:ind w:left="540"/>
        <w:jc w:val="both"/>
        <w:rPr>
          <w:highlight w:val="none"/>
        </w:rPr>
      </w:pPr>
      <w:r>
        <w:rPr>
          <w:rFonts w:hint="eastAsia" w:ascii="宋体" w:hAnsi="宋体" w:eastAsia="宋体" w:cs="宋体"/>
          <w:b/>
          <w:sz w:val="24"/>
          <w:highlight w:val="none"/>
        </w:rPr>
        <w:t>第一条双方的责任</w:t>
      </w:r>
    </w:p>
    <w:p w14:paraId="53AC4DD2">
      <w:pPr>
        <w:autoSpaceDE w:val="0"/>
        <w:autoSpaceDN w:val="0"/>
        <w:spacing w:line="460" w:lineRule="exact"/>
        <w:ind w:left="0" w:firstLine="439" w:firstLineChars="183"/>
        <w:jc w:val="both"/>
        <w:rPr>
          <w:highlight w:val="none"/>
        </w:rPr>
      </w:pPr>
      <w:r>
        <w:rPr>
          <w:rFonts w:hint="eastAsia" w:ascii="宋体" w:hAnsi="宋体" w:eastAsia="宋体" w:cs="宋体"/>
          <w:sz w:val="24"/>
          <w:highlight w:val="none"/>
        </w:rPr>
        <w:t>(一)应严格遵守政府关于市场准入、项目招标投标、工程建设、施工安装和市场活动等有关法律、法规，相关政策，以及廉政建设的各项规定。</w:t>
      </w:r>
    </w:p>
    <w:p w14:paraId="663A0C46">
      <w:pPr>
        <w:autoSpaceDE w:val="0"/>
        <w:autoSpaceDN w:val="0"/>
        <w:spacing w:line="480" w:lineRule="exact"/>
        <w:ind w:left="540"/>
        <w:jc w:val="both"/>
        <w:rPr>
          <w:highlight w:val="none"/>
        </w:rPr>
      </w:pPr>
      <w:r>
        <w:rPr>
          <w:rFonts w:hint="eastAsia" w:ascii="宋体" w:hAnsi="宋体" w:eastAsia="宋体" w:cs="宋体"/>
          <w:sz w:val="24"/>
          <w:highlight w:val="none"/>
        </w:rPr>
        <w:t>(二)严格执行建设工程项目承发包合同文件，自觉按合同办事。</w:t>
      </w:r>
    </w:p>
    <w:p w14:paraId="65F3350C">
      <w:pPr>
        <w:autoSpaceDE w:val="0"/>
        <w:autoSpaceDN w:val="0"/>
        <w:spacing w:line="460" w:lineRule="exact"/>
        <w:ind w:left="60" w:right="0" w:firstLine="480"/>
        <w:jc w:val="both"/>
        <w:rPr>
          <w:highlight w:val="none"/>
        </w:rPr>
      </w:pPr>
      <w:r>
        <w:rPr>
          <w:rFonts w:hint="eastAsia" w:ascii="宋体" w:hAnsi="宋体" w:eastAsia="宋体" w:cs="宋体"/>
          <w:sz w:val="24"/>
          <w:highlight w:val="none"/>
        </w:rPr>
        <w:t>(三)业务活动必须坚持公开、公平、公正、诚信、透明的原则(除法律法规另有规定者外)，不得为获取不正当的利益，损害政府、集体和对方利益，不得违反工程建设管理、施工安装的规章制度。</w:t>
      </w:r>
    </w:p>
    <w:p w14:paraId="2A6F8F79">
      <w:pPr>
        <w:autoSpaceDE w:val="0"/>
        <w:autoSpaceDN w:val="0"/>
        <w:spacing w:line="460" w:lineRule="exact"/>
        <w:ind w:left="60" w:right="0" w:firstLine="480"/>
        <w:jc w:val="both"/>
        <w:rPr>
          <w:highlight w:val="none"/>
        </w:rPr>
      </w:pPr>
      <w:r>
        <w:rPr>
          <w:rFonts w:hint="eastAsia" w:ascii="宋体" w:hAnsi="宋体" w:eastAsia="宋体" w:cs="宋体"/>
          <w:sz w:val="24"/>
          <w:highlight w:val="none"/>
        </w:rPr>
        <w:t>(四)发现对方在业务活动中有违规、违纪、违法行为的，应及时提醒对方，情节严重的，应向其上级主管部门或纪检监察、司法等有关机关举报。</w:t>
      </w:r>
    </w:p>
    <w:p w14:paraId="53068B5B">
      <w:pPr>
        <w:autoSpaceDE w:val="0"/>
        <w:autoSpaceDN w:val="0"/>
        <w:spacing w:line="480" w:lineRule="exact"/>
        <w:ind w:left="540"/>
        <w:jc w:val="both"/>
        <w:rPr>
          <w:highlight w:val="none"/>
        </w:rPr>
      </w:pPr>
      <w:r>
        <w:rPr>
          <w:rFonts w:hint="eastAsia" w:ascii="宋体" w:hAnsi="宋体" w:eastAsia="宋体" w:cs="宋体"/>
          <w:b/>
          <w:sz w:val="24"/>
          <w:highlight w:val="none"/>
        </w:rPr>
        <w:t>第二条发包人的责任</w:t>
      </w:r>
    </w:p>
    <w:p w14:paraId="7ACD8CE8">
      <w:pPr>
        <w:autoSpaceDE w:val="0"/>
        <w:autoSpaceDN w:val="0"/>
        <w:spacing w:line="460" w:lineRule="exact"/>
        <w:ind w:left="60" w:right="0" w:firstLine="480"/>
        <w:jc w:val="both"/>
        <w:rPr>
          <w:highlight w:val="none"/>
        </w:rPr>
      </w:pPr>
      <w:r>
        <w:rPr>
          <w:rFonts w:hint="eastAsia" w:ascii="宋体" w:hAnsi="宋体" w:eastAsia="宋体" w:cs="宋体"/>
          <w:sz w:val="24"/>
          <w:highlight w:val="none"/>
        </w:rPr>
        <w:t>发包人的领导和从事该建设工程项目的工作人员，在工程建设的事前、事中、事后应遵守以下规定：</w:t>
      </w:r>
    </w:p>
    <w:p w14:paraId="735EED20">
      <w:pPr>
        <w:autoSpaceDE w:val="0"/>
        <w:autoSpaceDN w:val="0"/>
        <w:spacing w:line="480" w:lineRule="exact"/>
        <w:ind w:left="0" w:leftChars="0" w:firstLine="439" w:firstLineChars="183"/>
        <w:jc w:val="both"/>
        <w:rPr>
          <w:highlight w:val="none"/>
        </w:rPr>
      </w:pPr>
      <w:r>
        <w:rPr>
          <w:rFonts w:hint="eastAsia" w:ascii="宋体" w:hAnsi="宋体" w:eastAsia="宋体" w:cs="宋体"/>
          <w:sz w:val="24"/>
          <w:highlight w:val="none"/>
        </w:rPr>
        <w:t>(一)不准向承包人和相关单位索要或接受回扣、礼金、有价证券、贵重物品和好处费、感谢费等。</w:t>
      </w:r>
    </w:p>
    <w:p w14:paraId="7306AFDA">
      <w:pPr>
        <w:autoSpaceDE w:val="0"/>
        <w:autoSpaceDN w:val="0"/>
        <w:spacing w:line="480" w:lineRule="exact"/>
        <w:ind w:left="0" w:leftChars="0" w:firstLine="439" w:firstLineChars="183"/>
        <w:jc w:val="both"/>
        <w:rPr>
          <w:highlight w:val="none"/>
        </w:rPr>
      </w:pPr>
      <w:r>
        <w:rPr>
          <w:rFonts w:hint="eastAsia" w:ascii="宋体" w:hAnsi="宋体" w:eastAsia="宋体" w:cs="宋体"/>
          <w:sz w:val="24"/>
          <w:highlight w:val="none"/>
        </w:rPr>
        <w:t>(二)不准在承包人和相关单位报销任何应由发包人或个人支付的费用。</w:t>
      </w:r>
    </w:p>
    <w:p w14:paraId="76B891E2">
      <w:pPr>
        <w:autoSpaceDE w:val="0"/>
        <w:autoSpaceDN w:val="0"/>
        <w:spacing w:line="460" w:lineRule="exact"/>
        <w:ind w:left="0" w:leftChars="0" w:firstLine="439" w:firstLineChars="183"/>
        <w:jc w:val="both"/>
        <w:rPr>
          <w:highlight w:val="none"/>
        </w:rPr>
      </w:pPr>
      <w:r>
        <w:rPr>
          <w:rFonts w:hint="eastAsia" w:ascii="宋体" w:hAnsi="宋体" w:eastAsia="宋体" w:cs="宋体"/>
          <w:sz w:val="24"/>
          <w:highlight w:val="none"/>
        </w:rPr>
        <w:t>(三)不准要求、暗示和接受承包人和相关单位为个人装修住房、婚丧嫁娶、配偶子女的工作安排以及出国(境)、旅游等提供方便。</w:t>
      </w:r>
    </w:p>
    <w:p w14:paraId="5B35F293">
      <w:pPr>
        <w:autoSpaceDE w:val="0"/>
        <w:autoSpaceDN w:val="0"/>
        <w:spacing w:line="480" w:lineRule="exact"/>
        <w:ind w:left="0" w:leftChars="0" w:firstLine="439" w:firstLineChars="183"/>
        <w:jc w:val="both"/>
        <w:rPr>
          <w:highlight w:val="none"/>
        </w:rPr>
      </w:pPr>
      <w:r>
        <w:rPr>
          <w:rFonts w:hint="eastAsia" w:ascii="宋体" w:hAnsi="宋体" w:eastAsia="宋体" w:cs="宋体"/>
          <w:sz w:val="24"/>
          <w:highlight w:val="none"/>
        </w:rPr>
        <w:t>(四)不准参加有可能影响公正执行公务的承包人和相关单位的宴请和健身、娱乐等活动。</w:t>
      </w:r>
    </w:p>
    <w:p w14:paraId="6662A688">
      <w:pPr>
        <w:autoSpaceDE w:val="0"/>
        <w:autoSpaceDN w:val="0"/>
        <w:spacing w:line="460" w:lineRule="exact"/>
        <w:ind w:left="0" w:leftChars="0" w:firstLine="439" w:firstLineChars="183"/>
        <w:jc w:val="both"/>
        <w:rPr>
          <w:highlight w:val="none"/>
        </w:rPr>
      </w:pPr>
      <w:r>
        <w:rPr>
          <w:rFonts w:hint="eastAsia" w:ascii="宋体" w:hAnsi="宋体" w:eastAsia="宋体" w:cs="宋体"/>
          <w:sz w:val="24"/>
          <w:highlight w:val="none"/>
        </w:rPr>
        <w:t>(五)不准向承包人介绍或为配偶、子女、亲属参与同发包人项目工程施工合同有关的设备、材料、工程分包、劳务等经济活动。不得以任何理由向承包人和相关单位推荐分包单位和要求承包人购买项目工程施工合同规定以外的材料、设备等。</w:t>
      </w:r>
    </w:p>
    <w:p w14:paraId="2D1C5042">
      <w:pPr>
        <w:autoSpaceDE w:val="0"/>
        <w:autoSpaceDN w:val="0"/>
        <w:spacing w:line="460" w:lineRule="exact"/>
        <w:ind w:left="4" w:leftChars="0" w:firstLine="436" w:firstLineChars="181"/>
        <w:jc w:val="both"/>
        <w:rPr>
          <w:highlight w:val="none"/>
        </w:rPr>
      </w:pPr>
      <w:r>
        <w:rPr>
          <w:rFonts w:hint="eastAsia" w:ascii="宋体" w:hAnsi="宋体" w:eastAsia="宋体" w:cs="宋体"/>
          <w:b/>
          <w:sz w:val="24"/>
          <w:highlight w:val="none"/>
        </w:rPr>
        <w:t>第三条承包人的责任</w:t>
      </w:r>
    </w:p>
    <w:p w14:paraId="0DD47310">
      <w:pPr>
        <w:tabs>
          <w:tab w:val="left" w:pos="7040"/>
        </w:tabs>
        <w:autoSpaceDE w:val="0"/>
        <w:autoSpaceDN w:val="0"/>
        <w:spacing w:line="460" w:lineRule="exact"/>
        <w:ind w:left="4" w:leftChars="0" w:right="160" w:rightChars="0" w:firstLine="434" w:firstLineChars="181"/>
        <w:jc w:val="both"/>
        <w:rPr>
          <w:highlight w:val="none"/>
        </w:rPr>
      </w:pPr>
      <w:r>
        <w:rPr>
          <w:rFonts w:hint="eastAsia" w:ascii="宋体" w:hAnsi="宋体" w:eastAsia="宋体" w:cs="宋体"/>
          <w:sz w:val="24"/>
          <w:highlight w:val="none"/>
        </w:rPr>
        <w:t>应与发包人保持正常的业务交往，按照有关法律法规和程序开展业务工作，严格执行工程建设的有关方针、政策，尤其是有关建筑施工安装的强制性标准和规范，并遵守以下规定：</w:t>
      </w:r>
    </w:p>
    <w:p w14:paraId="4778F335">
      <w:pPr>
        <w:autoSpaceDE w:val="0"/>
        <w:autoSpaceDN w:val="0"/>
        <w:spacing w:line="480" w:lineRule="exact"/>
        <w:ind w:left="4" w:leftChars="0" w:firstLine="434" w:firstLineChars="181"/>
        <w:jc w:val="both"/>
        <w:rPr>
          <w:highlight w:val="none"/>
        </w:rPr>
      </w:pPr>
      <w:r>
        <w:rPr>
          <w:rFonts w:hint="eastAsia" w:ascii="宋体" w:hAnsi="宋体" w:eastAsia="宋体" w:cs="宋体"/>
          <w:sz w:val="24"/>
          <w:highlight w:val="none"/>
        </w:rPr>
        <w:t>(一)不准以任何理由向发包人、相关单位及其工作人员索要、接受或赠送礼金、有价证券、贵重物品和回扣、好处费、感谢费等。</w:t>
      </w:r>
    </w:p>
    <w:p w14:paraId="1B7CBB24">
      <w:pPr>
        <w:autoSpaceDE w:val="0"/>
        <w:autoSpaceDN w:val="0"/>
        <w:spacing w:line="460" w:lineRule="exact"/>
        <w:ind w:left="4" w:leftChars="0" w:firstLine="434" w:firstLineChars="181"/>
        <w:jc w:val="both"/>
        <w:rPr>
          <w:highlight w:val="none"/>
        </w:rPr>
      </w:pPr>
      <w:r>
        <w:rPr>
          <w:rFonts w:hint="eastAsia" w:ascii="宋体" w:hAnsi="宋体" w:eastAsia="宋体" w:cs="宋体"/>
          <w:sz w:val="24"/>
          <w:highlight w:val="none"/>
        </w:rPr>
        <w:t>(二)不准以任何理由为发包人和相关单位报销应由对方或个人支付的费用。</w:t>
      </w:r>
    </w:p>
    <w:p w14:paraId="0AB18CBB">
      <w:pPr>
        <w:autoSpaceDE w:val="0"/>
        <w:autoSpaceDN w:val="0"/>
        <w:spacing w:line="480" w:lineRule="exact"/>
        <w:ind w:left="4" w:leftChars="0" w:firstLine="434" w:firstLineChars="181"/>
        <w:jc w:val="both"/>
        <w:rPr>
          <w:highlight w:val="none"/>
        </w:rPr>
      </w:pPr>
      <w:r>
        <w:rPr>
          <w:rFonts w:hint="eastAsia" w:ascii="宋体" w:hAnsi="宋体" w:eastAsia="宋体" w:cs="宋体"/>
          <w:sz w:val="24"/>
          <w:highlight w:val="none"/>
        </w:rPr>
        <w:t>(三)不准接受或暗示为发包人、相关单位或个人装修住房、婚丧嫁娶、配偶子女的工作安排以及出国(境)、旅游等提供方便。</w:t>
      </w:r>
    </w:p>
    <w:p w14:paraId="0A45088F">
      <w:pPr>
        <w:autoSpaceDE w:val="0"/>
        <w:autoSpaceDN w:val="0"/>
        <w:spacing w:line="460" w:lineRule="exact"/>
        <w:ind w:left="4" w:leftChars="0" w:firstLine="434" w:firstLineChars="181"/>
        <w:jc w:val="both"/>
        <w:rPr>
          <w:highlight w:val="none"/>
        </w:rPr>
      </w:pPr>
      <w:r>
        <w:rPr>
          <w:rFonts w:hint="eastAsia" w:ascii="宋体" w:hAnsi="宋体" w:eastAsia="宋体" w:cs="宋体"/>
          <w:sz w:val="24"/>
          <w:highlight w:val="none"/>
        </w:rPr>
        <w:t>(四)不准以任何理由为发包人、相关单位或个人组织有可能影响公正执行公务的宴请、健身、娱乐等活动。</w:t>
      </w:r>
    </w:p>
    <w:p w14:paraId="0F0F7EBE">
      <w:pPr>
        <w:autoSpaceDE w:val="0"/>
        <w:autoSpaceDN w:val="0"/>
        <w:spacing w:line="460" w:lineRule="exact"/>
        <w:ind w:left="4" w:leftChars="0" w:firstLine="436" w:firstLineChars="181"/>
        <w:jc w:val="both"/>
        <w:rPr>
          <w:highlight w:val="none"/>
        </w:rPr>
      </w:pPr>
      <w:r>
        <w:rPr>
          <w:rFonts w:hint="eastAsia" w:ascii="宋体" w:hAnsi="宋体" w:eastAsia="宋体" w:cs="宋体"/>
          <w:b/>
          <w:sz w:val="24"/>
          <w:highlight w:val="none"/>
        </w:rPr>
        <w:t>第四条违约责任</w:t>
      </w:r>
    </w:p>
    <w:p w14:paraId="7611B504">
      <w:pPr>
        <w:tabs>
          <w:tab w:val="left" w:pos="0"/>
        </w:tabs>
        <w:autoSpaceDE w:val="0"/>
        <w:autoSpaceDN w:val="0"/>
        <w:spacing w:line="460" w:lineRule="exact"/>
        <w:ind w:left="17" w:leftChars="8" w:right="-57" w:rightChars="-27" w:firstLine="420" w:firstLineChars="175"/>
        <w:jc w:val="both"/>
        <w:rPr>
          <w:highlight w:val="none"/>
        </w:rPr>
      </w:pPr>
      <w:r>
        <w:rPr>
          <w:rFonts w:hint="eastAsia" w:ascii="宋体" w:hAnsi="宋体" w:eastAsia="宋体" w:cs="宋体"/>
          <w:sz w:val="24"/>
          <w:highlight w:val="none"/>
        </w:rPr>
        <w:t>(一)发包人工作人员有违反本合同第一、二条责任行为的，按照管理权限，依据有关法律法规和规定给予党纪、政纪处分或组织处理；涉嫌犯罪的，移交司法机关追究刑事责任；给承包人单位造成经济损失的，应予以赔偿。</w:t>
      </w:r>
    </w:p>
    <w:p w14:paraId="1AF1718C">
      <w:pPr>
        <w:tabs>
          <w:tab w:val="left" w:pos="0"/>
        </w:tabs>
        <w:autoSpaceDE w:val="0"/>
        <w:autoSpaceDN w:val="0"/>
        <w:spacing w:line="460" w:lineRule="exact"/>
        <w:ind w:left="17" w:leftChars="8" w:right="-57" w:rightChars="-27" w:firstLine="420" w:firstLineChars="175"/>
        <w:jc w:val="both"/>
        <w:rPr>
          <w:highlight w:val="none"/>
        </w:rPr>
      </w:pPr>
      <w:r>
        <w:rPr>
          <w:rFonts w:hint="eastAsia" w:ascii="宋体" w:hAnsi="宋体" w:eastAsia="宋体" w:cs="宋体"/>
          <w:sz w:val="24"/>
          <w:highlight w:val="none"/>
        </w:rPr>
        <w:t>(二)承包人工作人员有违反本合同第一、三条责任行为的，按照管理权限，依据有关法律法规和规定给予党纪、政纪处分或组织处理；涉嫌犯罪的，移交司法机关追究刑事责任；给发包人单位造成经济损失的，应予以赔偿。</w:t>
      </w:r>
    </w:p>
    <w:p w14:paraId="739BF045">
      <w:pPr>
        <w:tabs>
          <w:tab w:val="left" w:pos="0"/>
        </w:tabs>
        <w:autoSpaceDE w:val="0"/>
        <w:autoSpaceDN w:val="0"/>
        <w:spacing w:line="460" w:lineRule="exact"/>
        <w:ind w:left="17" w:leftChars="8" w:right="-57" w:rightChars="-27" w:firstLine="420" w:firstLineChars="175"/>
        <w:jc w:val="both"/>
        <w:rPr>
          <w:highlight w:val="none"/>
        </w:rPr>
      </w:pPr>
      <w:r>
        <w:rPr>
          <w:rFonts w:hint="eastAsia" w:ascii="宋体" w:hAnsi="宋体" w:eastAsia="宋体" w:cs="宋体"/>
          <w:sz w:val="24"/>
          <w:highlight w:val="none"/>
        </w:rPr>
        <w:t>第五条本合同作为工程施工合同的附件，与工程施工合同具有同等法律效力。经双方签署后立即生效。</w:t>
      </w:r>
    </w:p>
    <w:p w14:paraId="2F04BE01">
      <w:pPr>
        <w:tabs>
          <w:tab w:val="left" w:pos="0"/>
        </w:tabs>
        <w:autoSpaceDE w:val="0"/>
        <w:autoSpaceDN w:val="0"/>
        <w:spacing w:line="460" w:lineRule="exact"/>
        <w:ind w:left="17" w:leftChars="8" w:right="-57" w:rightChars="-27" w:firstLine="420" w:firstLineChars="175"/>
        <w:jc w:val="both"/>
        <w:rPr>
          <w:highlight w:val="none"/>
        </w:rPr>
      </w:pPr>
      <w:r>
        <w:rPr>
          <w:rFonts w:hint="eastAsia" w:ascii="宋体" w:hAnsi="宋体" w:eastAsia="宋体" w:cs="宋体"/>
          <w:sz w:val="24"/>
          <w:highlight w:val="none"/>
        </w:rPr>
        <w:t>第六条本合同的有效期为双方签署之日起至该工程项目竣工验收合格时止。</w:t>
      </w:r>
    </w:p>
    <w:p w14:paraId="611190BE">
      <w:pPr>
        <w:tabs>
          <w:tab w:val="left" w:pos="0"/>
        </w:tabs>
        <w:autoSpaceDE w:val="0"/>
        <w:autoSpaceDN w:val="0"/>
        <w:spacing w:line="480" w:lineRule="exact"/>
        <w:ind w:left="17" w:leftChars="8" w:right="-57" w:rightChars="-27" w:firstLine="420" w:firstLineChars="175"/>
        <w:jc w:val="both"/>
        <w:rPr>
          <w:highlight w:val="none"/>
        </w:rPr>
      </w:pPr>
      <w:r>
        <w:rPr>
          <w:rFonts w:hint="eastAsia" w:ascii="宋体" w:hAnsi="宋体" w:eastAsia="宋体" w:cs="宋体"/>
          <w:sz w:val="24"/>
          <w:highlight w:val="none"/>
        </w:rPr>
        <w:t>第七条本合同正本贰份，双方各执壹份，具有同等法律效力；副本</w:t>
      </w:r>
      <w:r>
        <w:rPr>
          <w:highlight w:val="none"/>
          <w:u w:val="single" w:color="000000"/>
        </w:rPr>
        <w:tab/>
      </w:r>
      <w:r>
        <w:rPr>
          <w:rFonts w:hint="eastAsia" w:ascii="宋体" w:hAnsi="宋体" w:eastAsia="宋体" w:cs="宋体"/>
          <w:sz w:val="24"/>
          <w:highlight w:val="none"/>
          <w:u w:val="single" w:color="000000"/>
        </w:rPr>
        <w:t>份，</w:t>
      </w:r>
      <w:r>
        <w:rPr>
          <w:rFonts w:hint="eastAsia" w:ascii="宋体" w:hAnsi="宋体" w:eastAsia="宋体" w:cs="宋体"/>
          <w:sz w:val="24"/>
          <w:highlight w:val="none"/>
        </w:rPr>
        <w:t>发包</w:t>
      </w:r>
    </w:p>
    <w:p w14:paraId="1825BB19">
      <w:pPr>
        <w:tabs>
          <w:tab w:val="left" w:pos="0"/>
        </w:tabs>
        <w:autoSpaceDE w:val="0"/>
        <w:autoSpaceDN w:val="0"/>
        <w:spacing w:line="460" w:lineRule="exact"/>
        <w:ind w:left="17" w:leftChars="8" w:right="-57" w:rightChars="-27" w:firstLine="420" w:firstLineChars="175"/>
        <w:jc w:val="both"/>
        <w:rPr>
          <w:highlight w:val="none"/>
        </w:rPr>
      </w:pPr>
      <w:r>
        <w:rPr>
          <w:rFonts w:hint="eastAsia" w:ascii="宋体" w:hAnsi="宋体" w:eastAsia="宋体" w:cs="宋体"/>
          <w:sz w:val="24"/>
          <w:highlight w:val="none"/>
        </w:rPr>
        <w:t>人执</w:t>
      </w:r>
      <w:r>
        <w:rPr>
          <w:highlight w:val="none"/>
          <w:u w:val="single" w:color="000000"/>
        </w:rPr>
        <w:tab/>
      </w:r>
      <w:r>
        <w:rPr>
          <w:rFonts w:hint="eastAsia" w:ascii="宋体" w:hAnsi="宋体" w:eastAsia="宋体" w:cs="宋体"/>
          <w:sz w:val="24"/>
          <w:highlight w:val="none"/>
          <w:u w:val="single" w:color="000000"/>
        </w:rPr>
        <w:t>份，</w:t>
      </w:r>
      <w:r>
        <w:rPr>
          <w:rFonts w:hint="eastAsia" w:ascii="宋体" w:hAnsi="宋体" w:eastAsia="宋体" w:cs="宋体"/>
          <w:sz w:val="24"/>
          <w:highlight w:val="none"/>
        </w:rPr>
        <w:t>承包人执</w:t>
      </w:r>
      <w:r>
        <w:rPr>
          <w:highlight w:val="none"/>
          <w:u w:val="single" w:color="000000"/>
        </w:rPr>
        <w:tab/>
      </w:r>
      <w:r>
        <w:rPr>
          <w:rFonts w:hint="eastAsia" w:ascii="宋体" w:hAnsi="宋体" w:eastAsia="宋体" w:cs="宋体"/>
          <w:sz w:val="24"/>
          <w:highlight w:val="none"/>
          <w:u w:val="single" w:color="000000"/>
        </w:rPr>
        <w:t>份。</w:t>
      </w:r>
      <w:r>
        <w:rPr>
          <w:rFonts w:hint="eastAsia" w:ascii="宋体" w:hAnsi="宋体" w:eastAsia="宋体" w:cs="宋体"/>
          <w:sz w:val="24"/>
          <w:highlight w:val="none"/>
        </w:rPr>
        <w:t>当副本与正本不一致时，以正本为准。</w:t>
      </w:r>
    </w:p>
    <w:p w14:paraId="2C1CB0D9">
      <w:pPr>
        <w:tabs>
          <w:tab w:val="left" w:pos="0"/>
        </w:tabs>
        <w:spacing w:line="200" w:lineRule="exact"/>
        <w:ind w:left="17" w:leftChars="8" w:right="-57" w:rightChars="-27" w:firstLine="350" w:firstLineChars="175"/>
        <w:rPr>
          <w:rFonts w:hint="eastAsia" w:ascii="宋体" w:hAnsi="宋体" w:eastAsia="宋体" w:cs="宋体"/>
          <w:sz w:val="20"/>
          <w:highlight w:val="none"/>
        </w:rPr>
      </w:pPr>
    </w:p>
    <w:p w14:paraId="6961C511">
      <w:pPr>
        <w:spacing w:line="200" w:lineRule="exact"/>
        <w:rPr>
          <w:rFonts w:hint="eastAsia" w:ascii="宋体" w:hAnsi="宋体" w:eastAsia="宋体" w:cs="宋体"/>
          <w:sz w:val="20"/>
          <w:highlight w:val="none"/>
        </w:rPr>
      </w:pPr>
    </w:p>
    <w:p w14:paraId="0350C60B">
      <w:pPr>
        <w:spacing w:line="200" w:lineRule="exact"/>
        <w:rPr>
          <w:rFonts w:hint="eastAsia" w:ascii="宋体" w:hAnsi="宋体" w:eastAsia="宋体" w:cs="宋体"/>
          <w:sz w:val="20"/>
          <w:highlight w:val="none"/>
        </w:rPr>
      </w:pPr>
    </w:p>
    <w:p w14:paraId="533775D6">
      <w:pPr>
        <w:spacing w:line="200" w:lineRule="exact"/>
        <w:rPr>
          <w:rFonts w:hint="eastAsia" w:ascii="宋体" w:hAnsi="宋体" w:eastAsia="宋体" w:cs="宋体"/>
          <w:sz w:val="20"/>
          <w:highlight w:val="none"/>
        </w:rPr>
      </w:pPr>
    </w:p>
    <w:p w14:paraId="5E65104A">
      <w:pPr>
        <w:spacing w:line="200" w:lineRule="exact"/>
        <w:rPr>
          <w:rFonts w:hint="eastAsia" w:ascii="宋体" w:hAnsi="宋体" w:eastAsia="宋体" w:cs="宋体"/>
          <w:sz w:val="20"/>
          <w:highlight w:val="none"/>
        </w:rPr>
      </w:pPr>
    </w:p>
    <w:p w14:paraId="4F8DCC16">
      <w:pPr>
        <w:spacing w:line="200" w:lineRule="exact"/>
        <w:rPr>
          <w:rFonts w:hint="eastAsia" w:ascii="宋体" w:hAnsi="宋体" w:eastAsia="宋体" w:cs="宋体"/>
          <w:sz w:val="20"/>
          <w:highlight w:val="none"/>
        </w:rPr>
      </w:pPr>
    </w:p>
    <w:p w14:paraId="4A513B8D">
      <w:pPr>
        <w:spacing w:line="200" w:lineRule="exact"/>
        <w:rPr>
          <w:rFonts w:hint="eastAsia" w:ascii="宋体" w:hAnsi="宋体" w:eastAsia="宋体" w:cs="宋体"/>
          <w:sz w:val="20"/>
          <w:highlight w:val="none"/>
        </w:rPr>
      </w:pPr>
    </w:p>
    <w:p w14:paraId="3FB31765">
      <w:pPr>
        <w:spacing w:line="20" w:lineRule="exact"/>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 xml:space="preserve"> </w:t>
      </w:r>
    </w:p>
    <w:p w14:paraId="3B37A1A7">
      <w:pPr>
        <w:autoSpaceDE w:val="0"/>
        <w:autoSpaceDN w:val="0"/>
        <w:spacing w:line="280" w:lineRule="exact"/>
        <w:ind w:left="0" w:leftChars="0" w:firstLine="0" w:firstLineChars="0"/>
        <w:jc w:val="both"/>
        <w:rPr>
          <w:highlight w:val="none"/>
        </w:rPr>
      </w:pPr>
      <w:r>
        <w:rPr>
          <w:rFonts w:hint="eastAsia" w:eastAsia="宋体"/>
          <w:highlight w:val="none"/>
          <w:lang w:val="en-US" w:eastAsia="zh-CN"/>
        </w:rPr>
        <w:t xml:space="preserve"> </w:t>
      </w:r>
      <w:r>
        <w:rPr>
          <w:rFonts w:hint="eastAsia" w:ascii="宋体" w:hAnsi="宋体" w:eastAsia="宋体" w:cs="宋体"/>
          <w:sz w:val="24"/>
          <w:highlight w:val="none"/>
          <w:lang w:val="en-US" w:eastAsia="zh-CN"/>
        </w:rPr>
        <w:t>发</w:t>
      </w:r>
      <w:r>
        <w:rPr>
          <w:rFonts w:hint="eastAsia" w:ascii="宋体" w:hAnsi="宋体" w:eastAsia="宋体" w:cs="宋体"/>
          <w:sz w:val="24"/>
          <w:highlight w:val="none"/>
        </w:rPr>
        <w:t>包人（盖章）：</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承包人（盖章）：</w:t>
      </w:r>
    </w:p>
    <w:p w14:paraId="5A5A5D1A">
      <w:pPr>
        <w:autoSpaceDE w:val="0"/>
        <w:autoSpaceDN w:val="0"/>
        <w:spacing w:line="280" w:lineRule="exact"/>
        <w:ind w:left="0" w:leftChars="0" w:firstLine="0" w:firstLineChars="0"/>
        <w:jc w:val="both"/>
        <w:rPr>
          <w:highlight w:val="none"/>
        </w:rPr>
      </w:pPr>
    </w:p>
    <w:p w14:paraId="41C10BE7">
      <w:pPr>
        <w:autoSpaceDE w:val="0"/>
        <w:autoSpaceDN w:val="0"/>
        <w:spacing w:line="520" w:lineRule="exact"/>
        <w:ind w:left="0" w:leftChars="0" w:firstLine="0" w:firstLineChars="0"/>
        <w:jc w:val="both"/>
        <w:rPr>
          <w:highlight w:val="none"/>
        </w:rPr>
      </w:pPr>
      <w:r>
        <w:rPr>
          <w:rFonts w:hint="eastAsia" w:ascii="宋体" w:hAnsi="宋体" w:eastAsia="宋体" w:cs="宋体"/>
          <w:sz w:val="24"/>
          <w:highlight w:val="none"/>
        </w:rPr>
        <w:t>法定代表人或</w:t>
      </w:r>
      <w:r>
        <w:rPr>
          <w:rFonts w:hint="eastAsia" w:eastAsia="宋体"/>
          <w:highlight w:val="none"/>
          <w:lang w:val="en-US" w:eastAsia="zh-CN"/>
        </w:rPr>
        <w:t xml:space="preserve">                         </w:t>
      </w:r>
      <w:r>
        <w:rPr>
          <w:rFonts w:hint="eastAsia" w:ascii="宋体" w:hAnsi="宋体" w:eastAsia="宋体" w:cs="宋体"/>
          <w:sz w:val="24"/>
          <w:highlight w:val="none"/>
        </w:rPr>
        <w:t>法定代表人或</w:t>
      </w:r>
    </w:p>
    <w:p w14:paraId="247C3468">
      <w:pPr>
        <w:spacing w:line="200" w:lineRule="exact"/>
        <w:ind w:left="0" w:leftChars="0" w:firstLine="0" w:firstLineChars="0"/>
        <w:rPr>
          <w:rFonts w:hint="eastAsia" w:ascii="宋体" w:hAnsi="宋体" w:eastAsia="宋体" w:cs="宋体"/>
          <w:sz w:val="20"/>
          <w:highlight w:val="none"/>
        </w:rPr>
      </w:pPr>
    </w:p>
    <w:p w14:paraId="28A2023F">
      <w:pPr>
        <w:spacing w:line="200" w:lineRule="exact"/>
        <w:ind w:left="0" w:leftChars="0" w:firstLine="0" w:firstLineChars="0"/>
        <w:rPr>
          <w:rFonts w:hint="eastAsia" w:ascii="宋体" w:hAnsi="宋体" w:eastAsia="宋体" w:cs="宋体"/>
          <w:sz w:val="20"/>
          <w:highlight w:val="none"/>
        </w:rPr>
      </w:pPr>
    </w:p>
    <w:p w14:paraId="68BE3413">
      <w:pPr>
        <w:autoSpaceDE w:val="0"/>
        <w:autoSpaceDN w:val="0"/>
        <w:spacing w:line="360" w:lineRule="exact"/>
        <w:ind w:left="0" w:leftChars="0" w:firstLine="0" w:firstLineChars="0"/>
        <w:jc w:val="both"/>
        <w:rPr>
          <w:highlight w:val="none"/>
        </w:rPr>
      </w:pPr>
      <w:r>
        <w:rPr>
          <w:rFonts w:hint="eastAsia" w:ascii="宋体" w:hAnsi="宋体" w:eastAsia="宋体" w:cs="宋体"/>
          <w:sz w:val="24"/>
          <w:highlight w:val="none"/>
        </w:rPr>
        <w:t>授权代理人（签字）：</w:t>
      </w:r>
      <w:r>
        <w:rPr>
          <w:rFonts w:hint="eastAsia" w:eastAsia="宋体"/>
          <w:highlight w:val="none"/>
          <w:lang w:val="en-US" w:eastAsia="zh-CN"/>
        </w:rPr>
        <w:t xml:space="preserve">                </w:t>
      </w:r>
      <w:r>
        <w:rPr>
          <w:rFonts w:hint="eastAsia" w:ascii="宋体" w:hAnsi="宋体" w:eastAsia="宋体" w:cs="宋体"/>
          <w:sz w:val="24"/>
          <w:highlight w:val="none"/>
        </w:rPr>
        <w:t>授权代理人（签字）：</w:t>
      </w:r>
    </w:p>
    <w:p w14:paraId="487423E6">
      <w:pPr>
        <w:spacing w:line="200" w:lineRule="exact"/>
        <w:ind w:left="0" w:leftChars="0" w:firstLine="0" w:firstLineChars="0"/>
        <w:rPr>
          <w:rFonts w:hint="eastAsia" w:ascii="宋体" w:hAnsi="宋体" w:eastAsia="宋体" w:cs="宋体"/>
          <w:sz w:val="20"/>
          <w:highlight w:val="none"/>
        </w:rPr>
      </w:pPr>
    </w:p>
    <w:p w14:paraId="650E1138">
      <w:pPr>
        <w:spacing w:line="200" w:lineRule="exact"/>
        <w:ind w:left="0" w:leftChars="0" w:firstLine="0" w:firstLineChars="0"/>
        <w:rPr>
          <w:rFonts w:hint="eastAsia" w:ascii="宋体" w:hAnsi="宋体" w:eastAsia="宋体" w:cs="宋体"/>
          <w:sz w:val="20"/>
          <w:highlight w:val="none"/>
        </w:rPr>
      </w:pPr>
    </w:p>
    <w:p w14:paraId="538E14EA">
      <w:pPr>
        <w:spacing w:line="200" w:lineRule="exact"/>
        <w:ind w:left="0" w:leftChars="0" w:firstLine="0" w:firstLineChars="0"/>
        <w:rPr>
          <w:rFonts w:hint="eastAsia" w:ascii="宋体" w:hAnsi="宋体" w:eastAsia="宋体" w:cs="宋体"/>
          <w:sz w:val="20"/>
          <w:highlight w:val="none"/>
        </w:rPr>
      </w:pPr>
    </w:p>
    <w:p w14:paraId="79212B68">
      <w:pPr>
        <w:spacing w:line="200" w:lineRule="exact"/>
        <w:ind w:left="0" w:leftChars="0" w:firstLine="0" w:firstLineChars="0"/>
        <w:rPr>
          <w:rFonts w:hint="eastAsia" w:ascii="宋体" w:hAnsi="宋体" w:eastAsia="宋体" w:cs="宋体"/>
          <w:sz w:val="20"/>
          <w:highlight w:val="none"/>
        </w:rPr>
      </w:pPr>
    </w:p>
    <w:p w14:paraId="5D992D6D">
      <w:pPr>
        <w:spacing w:line="200" w:lineRule="exact"/>
        <w:ind w:left="0" w:leftChars="0" w:firstLine="0" w:firstLineChars="0"/>
        <w:rPr>
          <w:rFonts w:hint="eastAsia" w:ascii="宋体" w:hAnsi="宋体" w:eastAsia="宋体" w:cs="宋体"/>
          <w:sz w:val="20"/>
          <w:highlight w:val="none"/>
        </w:rPr>
      </w:pPr>
    </w:p>
    <w:p w14:paraId="2C0F1DC9">
      <w:pPr>
        <w:autoSpaceDE w:val="0"/>
        <w:autoSpaceDN w:val="0"/>
        <w:spacing w:line="360" w:lineRule="exact"/>
        <w:ind w:left="0" w:leftChars="0" w:firstLine="0" w:firstLineChars="0"/>
        <w:jc w:val="both"/>
        <w:rPr>
          <w:highlight w:val="none"/>
        </w:rPr>
      </w:pPr>
      <w:r>
        <w:rPr>
          <w:rFonts w:hint="eastAsia" w:ascii="宋体" w:hAnsi="宋体" w:eastAsia="宋体" w:cs="宋体"/>
          <w:sz w:val="24"/>
          <w:highlight w:val="none"/>
        </w:rPr>
        <w:t>监</w:t>
      </w:r>
      <w:r>
        <w:rPr>
          <w:highlight w:val="none"/>
        </w:rPr>
        <w:tab/>
      </w:r>
      <w:r>
        <w:rPr>
          <w:rFonts w:hint="eastAsia" w:ascii="宋体" w:hAnsi="宋体" w:eastAsia="宋体" w:cs="宋体"/>
          <w:sz w:val="24"/>
          <w:highlight w:val="none"/>
        </w:rPr>
        <w:t>督 ：</w:t>
      </w:r>
      <w:r>
        <w:rPr>
          <w:rFonts w:hint="eastAsia" w:eastAsia="宋体"/>
          <w:highlight w:val="none"/>
          <w:lang w:val="en-US" w:eastAsia="zh-CN"/>
        </w:rPr>
        <w:t xml:space="preserve">                              </w:t>
      </w:r>
      <w:r>
        <w:rPr>
          <w:rFonts w:hint="eastAsia" w:ascii="宋体" w:hAnsi="宋体" w:eastAsia="宋体" w:cs="宋体"/>
          <w:sz w:val="24"/>
          <w:highlight w:val="none"/>
        </w:rPr>
        <w:t>监</w:t>
      </w:r>
      <w:r>
        <w:rPr>
          <w:highlight w:val="none"/>
        </w:rPr>
        <w:tab/>
      </w:r>
      <w:r>
        <w:rPr>
          <w:rFonts w:hint="eastAsia" w:ascii="宋体" w:hAnsi="宋体" w:eastAsia="宋体" w:cs="宋体"/>
          <w:sz w:val="24"/>
          <w:highlight w:val="none"/>
        </w:rPr>
        <w:t>督 ：</w:t>
      </w:r>
    </w:p>
    <w:p w14:paraId="2E36BA80">
      <w:pPr>
        <w:spacing w:line="200" w:lineRule="exact"/>
        <w:ind w:left="0" w:leftChars="0" w:firstLine="0" w:firstLineChars="0"/>
        <w:rPr>
          <w:rFonts w:hint="eastAsia" w:ascii="宋体" w:hAnsi="宋体" w:eastAsia="宋体" w:cs="宋体"/>
          <w:sz w:val="20"/>
          <w:highlight w:val="none"/>
        </w:rPr>
      </w:pPr>
    </w:p>
    <w:p w14:paraId="44C3912C">
      <w:pPr>
        <w:spacing w:line="200" w:lineRule="exact"/>
        <w:ind w:left="0" w:leftChars="0" w:firstLine="0" w:firstLineChars="0"/>
        <w:rPr>
          <w:rFonts w:hint="eastAsia" w:ascii="宋体" w:hAnsi="宋体" w:eastAsia="宋体" w:cs="宋体"/>
          <w:sz w:val="20"/>
          <w:highlight w:val="none"/>
        </w:rPr>
      </w:pPr>
    </w:p>
    <w:p w14:paraId="4EA004F5">
      <w:pPr>
        <w:autoSpaceDE w:val="0"/>
        <w:autoSpaceDN w:val="0"/>
        <w:spacing w:line="280" w:lineRule="exact"/>
        <w:ind w:left="0" w:leftChars="0" w:firstLine="0" w:firstLineChars="0"/>
        <w:jc w:val="both"/>
        <w:rPr>
          <w:highlight w:val="none"/>
        </w:rPr>
      </w:pPr>
      <w:r>
        <w:rPr>
          <w:rFonts w:hint="eastAsia" w:ascii="宋体" w:hAnsi="宋体" w:eastAsia="宋体" w:cs="宋体"/>
          <w:sz w:val="24"/>
          <w:highlight w:val="none"/>
        </w:rPr>
        <w:t>联 系 电 话 ：</w:t>
      </w:r>
      <w:r>
        <w:rPr>
          <w:rFonts w:hint="eastAsia" w:eastAsia="宋体"/>
          <w:highlight w:val="none"/>
          <w:lang w:val="en-US" w:eastAsia="zh-CN"/>
        </w:rPr>
        <w:t xml:space="preserve">                        </w:t>
      </w:r>
      <w:r>
        <w:rPr>
          <w:rFonts w:hint="eastAsia" w:ascii="宋体" w:hAnsi="宋体" w:eastAsia="宋体" w:cs="宋体"/>
          <w:sz w:val="24"/>
          <w:highlight w:val="none"/>
        </w:rPr>
        <w:t>联 系 电 话 ：</w:t>
      </w:r>
    </w:p>
    <w:p w14:paraId="193DD4DE">
      <w:pPr>
        <w:spacing w:line="200" w:lineRule="exact"/>
        <w:ind w:left="0" w:leftChars="0" w:firstLine="0" w:firstLineChars="0"/>
        <w:rPr>
          <w:rFonts w:hint="eastAsia" w:ascii="宋体" w:hAnsi="宋体" w:eastAsia="宋体" w:cs="宋体"/>
          <w:sz w:val="20"/>
          <w:highlight w:val="none"/>
        </w:rPr>
      </w:pPr>
    </w:p>
    <w:p w14:paraId="205A5B75">
      <w:pPr>
        <w:autoSpaceDE w:val="0"/>
        <w:autoSpaceDN w:val="0"/>
        <w:spacing w:line="280" w:lineRule="exact"/>
        <w:ind w:left="0" w:leftChars="0" w:firstLine="0" w:firstLineChars="0"/>
        <w:jc w:val="both"/>
        <w:rPr>
          <w:highlight w:val="none"/>
        </w:rPr>
      </w:pPr>
      <w:r>
        <w:rPr>
          <w:rFonts w:hint="eastAsia" w:ascii="宋体" w:hAnsi="宋体" w:eastAsia="宋体" w:cs="宋体"/>
          <w:sz w:val="24"/>
          <w:highlight w:val="none"/>
        </w:rPr>
        <w:t>传</w:t>
      </w:r>
      <w:r>
        <w:rPr>
          <w:highlight w:val="none"/>
        </w:rPr>
        <w:tab/>
      </w:r>
      <w:r>
        <w:rPr>
          <w:rFonts w:hint="eastAsia" w:ascii="宋体" w:hAnsi="宋体" w:eastAsia="宋体" w:cs="宋体"/>
          <w:sz w:val="24"/>
          <w:highlight w:val="none"/>
        </w:rPr>
        <w:t>真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传</w:t>
      </w:r>
      <w:r>
        <w:rPr>
          <w:highlight w:val="none"/>
        </w:rPr>
        <w:tab/>
      </w:r>
      <w:r>
        <w:rPr>
          <w:rFonts w:hint="eastAsia" w:ascii="宋体" w:hAnsi="宋体" w:eastAsia="宋体" w:cs="宋体"/>
          <w:sz w:val="24"/>
          <w:highlight w:val="none"/>
        </w:rPr>
        <w:t>真 ：</w:t>
      </w:r>
    </w:p>
    <w:p w14:paraId="7942D09F">
      <w:pPr>
        <w:autoSpaceDE w:val="0"/>
        <w:autoSpaceDN w:val="0"/>
        <w:spacing w:line="300" w:lineRule="exact"/>
        <w:ind w:left="0" w:leftChars="0" w:firstLine="0" w:firstLineChars="0"/>
        <w:jc w:val="both"/>
        <w:rPr>
          <w:rFonts w:hint="eastAsia" w:eastAsia="宋体"/>
          <w:highlight w:val="none"/>
          <w:lang w:val="en-US" w:eastAsia="zh-CN"/>
        </w:rPr>
      </w:pPr>
      <w:r>
        <w:rPr>
          <w:rFonts w:hint="eastAsia" w:eastAsia="宋体"/>
          <w:highlight w:val="none"/>
          <w:lang w:val="en-US" w:eastAsia="zh-CN"/>
        </w:rPr>
        <w:t xml:space="preserve"> </w:t>
      </w:r>
    </w:p>
    <w:p w14:paraId="137559F6">
      <w:pPr>
        <w:autoSpaceDE w:val="0"/>
        <w:autoSpaceDN w:val="0"/>
        <w:spacing w:line="300" w:lineRule="exact"/>
        <w:ind w:left="0" w:leftChars="0" w:firstLine="0" w:firstLineChars="0"/>
        <w:jc w:val="both"/>
        <w:rPr>
          <w:highlight w:val="none"/>
        </w:rPr>
      </w:pPr>
      <w:r>
        <w:rPr>
          <w:rFonts w:hint="eastAsia" w:ascii="宋体" w:hAnsi="宋体" w:eastAsia="宋体" w:cs="宋体"/>
          <w:sz w:val="24"/>
          <w:highlight w:val="none"/>
        </w:rPr>
        <w:t>签 约 日 期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签 约 日 期 ：</w:t>
      </w:r>
    </w:p>
    <w:p w14:paraId="1080EAD1">
      <w:pPr>
        <w:autoSpaceDE w:val="0"/>
        <w:autoSpaceDN w:val="0"/>
        <w:spacing w:line="300" w:lineRule="exact"/>
        <w:ind w:left="1600"/>
        <w:jc w:val="both"/>
        <w:rPr>
          <w:highlight w:val="none"/>
        </w:rPr>
      </w:pPr>
    </w:p>
    <w:p w14:paraId="4048201A">
      <w:pPr>
        <w:spacing w:line="200" w:lineRule="exact"/>
        <w:rPr>
          <w:rFonts w:hint="eastAsia" w:ascii="宋体" w:hAnsi="宋体" w:eastAsia="宋体" w:cs="宋体"/>
          <w:sz w:val="20"/>
          <w:highlight w:val="none"/>
        </w:rPr>
      </w:pPr>
    </w:p>
    <w:p w14:paraId="03C23DE9">
      <w:pPr>
        <w:spacing w:line="200" w:lineRule="exact"/>
        <w:rPr>
          <w:rFonts w:hint="eastAsia" w:ascii="宋体" w:hAnsi="宋体" w:eastAsia="宋体" w:cs="宋体"/>
          <w:sz w:val="20"/>
          <w:highlight w:val="none"/>
        </w:rPr>
      </w:pPr>
    </w:p>
    <w:p w14:paraId="12006FB7">
      <w:pPr>
        <w:spacing w:line="200" w:lineRule="exact"/>
        <w:rPr>
          <w:rFonts w:hint="eastAsia" w:ascii="宋体" w:hAnsi="宋体" w:eastAsia="宋体" w:cs="宋体"/>
          <w:sz w:val="20"/>
          <w:highlight w:val="none"/>
        </w:rPr>
      </w:pPr>
    </w:p>
    <w:p w14:paraId="67F8867F">
      <w:pPr>
        <w:spacing w:line="200" w:lineRule="exact"/>
        <w:rPr>
          <w:rFonts w:hint="eastAsia" w:ascii="宋体" w:hAnsi="宋体" w:eastAsia="宋体" w:cs="宋体"/>
          <w:sz w:val="20"/>
          <w:highlight w:val="none"/>
        </w:rPr>
      </w:pPr>
    </w:p>
    <w:p w14:paraId="12085193">
      <w:pPr>
        <w:spacing w:line="200" w:lineRule="exact"/>
        <w:rPr>
          <w:rFonts w:hint="eastAsia" w:ascii="宋体" w:hAnsi="宋体" w:eastAsia="宋体" w:cs="宋体"/>
          <w:sz w:val="20"/>
          <w:highlight w:val="none"/>
        </w:rPr>
      </w:pPr>
    </w:p>
    <w:p w14:paraId="37E89EC9">
      <w:pPr>
        <w:spacing w:line="200" w:lineRule="exact"/>
        <w:rPr>
          <w:rFonts w:hint="eastAsia" w:ascii="宋体" w:hAnsi="宋体" w:eastAsia="宋体" w:cs="宋体"/>
          <w:sz w:val="20"/>
          <w:highlight w:val="none"/>
        </w:rPr>
      </w:pPr>
    </w:p>
    <w:p w14:paraId="25433E84">
      <w:pPr>
        <w:spacing w:line="200" w:lineRule="exact"/>
        <w:rPr>
          <w:rFonts w:hint="eastAsia" w:ascii="宋体" w:hAnsi="宋体" w:eastAsia="宋体" w:cs="宋体"/>
          <w:sz w:val="20"/>
          <w:highlight w:val="none"/>
        </w:rPr>
      </w:pPr>
    </w:p>
    <w:p w14:paraId="75034B1D">
      <w:pPr>
        <w:spacing w:line="200" w:lineRule="exact"/>
        <w:rPr>
          <w:rFonts w:hint="eastAsia" w:ascii="宋体" w:hAnsi="宋体" w:eastAsia="宋体" w:cs="宋体"/>
          <w:sz w:val="20"/>
          <w:highlight w:val="none"/>
        </w:rPr>
      </w:pPr>
    </w:p>
    <w:p w14:paraId="20284567">
      <w:pPr>
        <w:spacing w:line="200" w:lineRule="exact"/>
        <w:rPr>
          <w:rFonts w:hint="eastAsia" w:ascii="宋体" w:hAnsi="宋体" w:eastAsia="宋体" w:cs="宋体"/>
          <w:sz w:val="20"/>
          <w:highlight w:val="none"/>
        </w:rPr>
      </w:pPr>
    </w:p>
    <w:p w14:paraId="56E03744">
      <w:pPr>
        <w:spacing w:line="200" w:lineRule="exact"/>
        <w:rPr>
          <w:rFonts w:hint="eastAsia" w:ascii="宋体" w:hAnsi="宋体" w:eastAsia="宋体" w:cs="宋体"/>
          <w:sz w:val="20"/>
          <w:highlight w:val="none"/>
        </w:rPr>
      </w:pPr>
    </w:p>
    <w:p w14:paraId="02FE0ABC">
      <w:pPr>
        <w:spacing w:line="200" w:lineRule="exact"/>
        <w:rPr>
          <w:rFonts w:hint="eastAsia" w:ascii="宋体" w:hAnsi="宋体" w:eastAsia="宋体" w:cs="宋体"/>
          <w:sz w:val="20"/>
          <w:highlight w:val="none"/>
        </w:rPr>
      </w:pPr>
    </w:p>
    <w:p w14:paraId="488EDF7C">
      <w:pPr>
        <w:spacing w:line="200" w:lineRule="exact"/>
        <w:rPr>
          <w:rFonts w:hint="eastAsia" w:ascii="宋体" w:hAnsi="宋体" w:eastAsia="宋体" w:cs="宋体"/>
          <w:sz w:val="20"/>
          <w:highlight w:val="none"/>
        </w:rPr>
      </w:pPr>
    </w:p>
    <w:p w14:paraId="3805B904">
      <w:pPr>
        <w:spacing w:line="200" w:lineRule="exact"/>
        <w:rPr>
          <w:rFonts w:hint="eastAsia" w:ascii="宋体" w:hAnsi="宋体" w:eastAsia="宋体" w:cs="宋体"/>
          <w:sz w:val="20"/>
          <w:highlight w:val="none"/>
        </w:rPr>
      </w:pPr>
    </w:p>
    <w:p w14:paraId="5053BE48">
      <w:pPr>
        <w:spacing w:line="200" w:lineRule="exact"/>
        <w:rPr>
          <w:rFonts w:hint="eastAsia" w:ascii="宋体" w:hAnsi="宋体" w:eastAsia="宋体" w:cs="宋体"/>
          <w:sz w:val="20"/>
          <w:highlight w:val="none"/>
        </w:rPr>
      </w:pPr>
    </w:p>
    <w:p w14:paraId="43361233">
      <w:pPr>
        <w:spacing w:line="200" w:lineRule="exact"/>
        <w:rPr>
          <w:rFonts w:hint="eastAsia" w:ascii="宋体" w:hAnsi="宋体" w:eastAsia="宋体" w:cs="宋体"/>
          <w:sz w:val="20"/>
          <w:highlight w:val="none"/>
        </w:rPr>
      </w:pPr>
    </w:p>
    <w:p w14:paraId="775D4B89">
      <w:pPr>
        <w:spacing w:line="200" w:lineRule="exact"/>
        <w:rPr>
          <w:rFonts w:hint="eastAsia" w:ascii="宋体" w:hAnsi="宋体" w:eastAsia="宋体" w:cs="宋体"/>
          <w:sz w:val="20"/>
          <w:highlight w:val="none"/>
        </w:rPr>
      </w:pPr>
    </w:p>
    <w:p w14:paraId="1A24F325">
      <w:pPr>
        <w:spacing w:line="200" w:lineRule="exact"/>
        <w:rPr>
          <w:rFonts w:hint="eastAsia" w:ascii="宋体" w:hAnsi="宋体" w:eastAsia="宋体" w:cs="宋体"/>
          <w:sz w:val="20"/>
          <w:highlight w:val="none"/>
        </w:rPr>
      </w:pPr>
    </w:p>
    <w:p w14:paraId="474BE834">
      <w:pPr>
        <w:spacing w:line="200" w:lineRule="exact"/>
        <w:rPr>
          <w:rFonts w:hint="eastAsia" w:ascii="宋体" w:hAnsi="宋体" w:eastAsia="宋体" w:cs="宋体"/>
          <w:sz w:val="20"/>
          <w:highlight w:val="none"/>
        </w:rPr>
      </w:pPr>
    </w:p>
    <w:p w14:paraId="6B197370">
      <w:pPr>
        <w:keepNext w:val="0"/>
        <w:keepLines w:val="0"/>
        <w:pageBreakBefore/>
        <w:widowControl/>
        <w:kinsoku/>
        <w:wordWrap/>
        <w:overflowPunct/>
        <w:topLinePunct w:val="0"/>
        <w:autoSpaceDE w:val="0"/>
        <w:autoSpaceDN w:val="0"/>
        <w:bidi w:val="0"/>
        <w:adjustRightInd/>
        <w:snapToGrid/>
        <w:spacing w:line="280" w:lineRule="exact"/>
        <w:jc w:val="both"/>
        <w:textAlignment w:val="auto"/>
        <w:rPr>
          <w:highlight w:val="none"/>
        </w:rPr>
      </w:pPr>
      <w:r>
        <w:rPr>
          <w:rFonts w:hint="eastAsia" w:ascii="宋体" w:hAnsi="宋体" w:eastAsia="宋体" w:cs="宋体"/>
          <w:b/>
          <w:sz w:val="24"/>
          <w:highlight w:val="none"/>
        </w:rPr>
        <w:t>附件三：安全生产合同</w:t>
      </w:r>
    </w:p>
    <w:p w14:paraId="7AF53174">
      <w:pPr>
        <w:autoSpaceDE w:val="0"/>
        <w:autoSpaceDN w:val="0"/>
        <w:spacing w:line="700" w:lineRule="exact"/>
        <w:jc w:val="center"/>
        <w:rPr>
          <w:highlight w:val="none"/>
        </w:rPr>
      </w:pPr>
      <w:r>
        <w:rPr>
          <w:rFonts w:hint="eastAsia" w:ascii="宋体" w:hAnsi="宋体" w:eastAsia="宋体" w:cs="宋体"/>
          <w:sz w:val="36"/>
          <w:highlight w:val="none"/>
        </w:rPr>
        <w:t>三、安全生产合同格式</w:t>
      </w:r>
    </w:p>
    <w:p w14:paraId="13E78EE1">
      <w:pPr>
        <w:spacing w:line="200" w:lineRule="exact"/>
        <w:rPr>
          <w:rFonts w:hint="eastAsia" w:ascii="宋体" w:hAnsi="宋体" w:eastAsia="宋体" w:cs="宋体"/>
          <w:sz w:val="20"/>
          <w:highlight w:val="none"/>
        </w:rPr>
      </w:pPr>
    </w:p>
    <w:p w14:paraId="0CF0C019">
      <w:pPr>
        <w:spacing w:line="200" w:lineRule="exact"/>
        <w:rPr>
          <w:rFonts w:hint="eastAsia" w:ascii="宋体" w:hAnsi="宋体" w:eastAsia="宋体" w:cs="宋体"/>
          <w:sz w:val="20"/>
          <w:highlight w:val="none"/>
        </w:rPr>
      </w:pPr>
    </w:p>
    <w:p w14:paraId="36CA77E4">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发包人：                         </w:t>
      </w:r>
    </w:p>
    <w:p w14:paraId="346A347E">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承包人：                                               </w:t>
      </w:r>
    </w:p>
    <w:p w14:paraId="01F3E68F">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为了贯彻“安全第一，预防为主”的安全生产方针，确保</w:t>
      </w:r>
      <w:r>
        <w:rPr>
          <w:rFonts w:hint="eastAsia" w:ascii="宋体" w:hAnsi="宋体" w:eastAsia="宋体" w:cs="宋体"/>
          <w:sz w:val="24"/>
          <w:highlight w:val="none"/>
          <w:lang w:val="en-US" w:eastAsia="zh-CN"/>
        </w:rPr>
        <w:t xml:space="preserve">    项目名称      </w:t>
      </w:r>
      <w:r>
        <w:rPr>
          <w:rFonts w:hint="eastAsia" w:ascii="宋体" w:hAnsi="宋体" w:eastAsia="宋体" w:cs="宋体"/>
          <w:sz w:val="24"/>
          <w:highlight w:val="none"/>
          <w:lang w:eastAsia="zh-CN"/>
        </w:rPr>
        <w:t>安全、优质、高效地按期完工，进一步明确双方的安全管理责任，加强安全生产管理工作的协调、管理力度，</w:t>
      </w:r>
      <w:r>
        <w:rPr>
          <w:rFonts w:hint="eastAsia" w:ascii="宋体" w:hAnsi="宋体" w:eastAsia="宋体" w:cs="宋体"/>
          <w:sz w:val="24"/>
          <w:highlight w:val="none"/>
          <w:lang w:val="en-US" w:eastAsia="zh-CN"/>
        </w:rPr>
        <w:t>发包人名称</w:t>
      </w:r>
      <w:r>
        <w:rPr>
          <w:rFonts w:hint="eastAsia" w:ascii="宋体" w:hAnsi="宋体" w:eastAsia="宋体" w:cs="宋体"/>
          <w:sz w:val="24"/>
          <w:highlight w:val="none"/>
          <w:lang w:eastAsia="zh-CN"/>
        </w:rPr>
        <w:t>（以下简称甲方）与</w:t>
      </w:r>
      <w:r>
        <w:rPr>
          <w:rFonts w:hint="eastAsia" w:ascii="宋体" w:hAnsi="宋体" w:eastAsia="宋体" w:cs="宋体"/>
          <w:sz w:val="24"/>
          <w:highlight w:val="none"/>
          <w:lang w:val="en-US" w:eastAsia="zh-CN"/>
        </w:rPr>
        <w:t>承包人名称</w:t>
      </w:r>
      <w:r>
        <w:rPr>
          <w:rFonts w:hint="eastAsia" w:ascii="宋体" w:hAnsi="宋体" w:eastAsia="宋体" w:cs="宋体"/>
          <w:sz w:val="24"/>
          <w:highlight w:val="none"/>
          <w:lang w:eastAsia="zh-CN"/>
        </w:rPr>
        <w:t>（以下简称乙方）依据国家安全生产相关的法律、法规和安全方面的国家标准或行业标准，双方同意签订该协议作为本合同（以下称主合同）安全管理方面的补充规定，并承诺本协议具有与主合同相同的法律效力。具体条款如下：</w:t>
      </w:r>
    </w:p>
    <w:p w14:paraId="52C57653">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1.协议有效期限 </w:t>
      </w:r>
    </w:p>
    <w:p w14:paraId="528675DD">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本协议随主合同同时生效，至主合同项目完成验收后失效。</w:t>
      </w:r>
    </w:p>
    <w:p w14:paraId="25AAB3D2">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2.安全管理目标</w:t>
      </w:r>
    </w:p>
    <w:p w14:paraId="35033BA7">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2.1不发生轻伤及以上事故。</w:t>
      </w:r>
    </w:p>
    <w:p w14:paraId="12BFBE2E">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2.2不发生火灾事故。</w:t>
      </w:r>
    </w:p>
    <w:p w14:paraId="30E82499">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2.3不发生设备事故。</w:t>
      </w:r>
    </w:p>
    <w:p w14:paraId="65CE0F61">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2.4不发生质量事故。</w:t>
      </w:r>
    </w:p>
    <w:p w14:paraId="2D58EA0F">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2.5不发生网络信息安全事件。</w:t>
      </w:r>
    </w:p>
    <w:p w14:paraId="4B17D647">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2.6不发生职业病病例。</w:t>
      </w:r>
    </w:p>
    <w:p w14:paraId="694D2C6A">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2.7不发生放射源管理失控事件。</w:t>
      </w:r>
    </w:p>
    <w:p w14:paraId="49AF116A">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2.8不发生急性职业中毒事故。</w:t>
      </w:r>
    </w:p>
    <w:p w14:paraId="056FF514">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2.9不发生同等责任及以上交通安全事故。</w:t>
      </w:r>
    </w:p>
    <w:p w14:paraId="686BCCF4">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2.10不发生治安保卫事件。</w:t>
      </w:r>
    </w:p>
    <w:p w14:paraId="7AF344DF">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2.11不发生受到地方环境保护部门处罚的环境事件。</w:t>
      </w:r>
    </w:p>
    <w:p w14:paraId="0336324A">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2.12不发生较大的突性群体事件。</w:t>
      </w:r>
    </w:p>
    <w:p w14:paraId="6F74A074">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2.13不发生迟报、谎报、瞒报、漏报安全事故。</w:t>
      </w:r>
    </w:p>
    <w:p w14:paraId="19EEC256">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  发包人的权利和义务：</w:t>
      </w:r>
    </w:p>
    <w:p w14:paraId="637A780C">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3.1  发包人贯彻执行国家、地方政府和上级单位有关承包商安全管理的政策法规及制 </w:t>
      </w:r>
    </w:p>
    <w:p w14:paraId="68B00936">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度规定。为乙方提供符合相关法规规定及合同约定的安全生产条件，承担本工程安全生产的监督职责；</w:t>
      </w:r>
    </w:p>
    <w:p w14:paraId="402664CB">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3.2  发包人负责现场总体协调管理，对施工中出现的不安全行为，有权纠正或立即停止其工作。对不服从安全管理或严重违章作业、管理混乱的施工单位，有权终止合同，并限期退出，有权按照本约定对承包人及其分包商进行考核和奖罚；</w:t>
      </w:r>
    </w:p>
    <w:p w14:paraId="1E0327D2">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3.3  发包人有协助承包人搞好安全、健康、环保及文明施工的义务；</w:t>
      </w:r>
    </w:p>
    <w:p w14:paraId="5156D11F">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3.4  对承包人制订的施工组织设计文件包括机构人员组织措施、施工技术方案和安全技术措施进行审核，审查合格后监督实施。</w:t>
      </w:r>
    </w:p>
    <w:p w14:paraId="404E60A7">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  承包人的责任和义务：</w:t>
      </w:r>
    </w:p>
    <w:p w14:paraId="3842E63A">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4.1　负责向发包人提供有效的资质证明，包括：企业法人营业执照、施工资质和安全资质证书；单位工作业绩和近三年的安全施工记录；项目负责人、工程技术人员、安全专职人员和特殊工种工人上岗资格证书等。</w:t>
      </w:r>
    </w:p>
    <w:p w14:paraId="7A0A54D7">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4.2  承包人代表是本合同工程安全、健康、环保与文明施工管理的第一责任人。负责组织、协调、检查、督促承包人及其分包商认真贯彻落实有关安全、健康、环保与文明施工管理方面的规程、规范、规定。</w:t>
      </w:r>
    </w:p>
    <w:p w14:paraId="13856259">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承包人应建立安全管理体系，明确在施工现场负责安全生产的领导。乙方不得以任何形式招录或使用 18 周岁以下人员，不得安排 60 周岁以上男性或 50 周岁以上女性进入生产现场从事三级及以上体力劳动。 禁止 55 周岁以上男性、45 周岁以上女性进入施工现场从事井下、高空、高温、受限空间，特别是繁重体力劳动或其他影响身体健康以及危险性、风险性高的特殊工作。</w:t>
      </w:r>
    </w:p>
    <w:p w14:paraId="439269A2">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4.3 　承包人及其分包商必须建立安全管理制度，各级安全生产岗位责任制和定期安全检查、安全教育制度，包括各工种的安全操作规程、特种作业人员的考核制度等；</w:t>
      </w:r>
    </w:p>
    <w:p w14:paraId="6251C037">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4.4　承包人及其分包商在项目施工开始前要根据本工程施工组织设计或《安全施工方案（措施）》向施工人员进行安全技术交底；</w:t>
      </w:r>
    </w:p>
    <w:p w14:paraId="2BE671F6">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承包人及其分包商必须严格按照施工组织设计和有关安全要求规定组织施工。对有可能发生火灾、爆炸、触电、中毒、窒息、机械伤害、烧烫伤等危险或会引起严重设备事故的作业，承包人及其分包商应制定专项施工安全技术措施；</w:t>
      </w:r>
    </w:p>
    <w:p w14:paraId="1A918E95">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4.5　工程开工前，承包商应办理开工许可手续，组织本项目全体员工学习掌握施工组织和施工安全技术措施，传达贯彻发包人安全管理和安全技术交底要求，并分工种进行安全教育和考试，增强职工法制观念，提高职工安全意识和自我保护能力，督促职工自觉遵守安全生产纪律、制度和法规。</w:t>
      </w:r>
    </w:p>
    <w:p w14:paraId="0BD85FD2">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4.6　承包人及其分包商必须对本单位人员进行安全教育和安全考试，更换工种，必须及时进行安全教育和考试，受教育人员的名单和考试成绩必须报发包人安监部门备案，未接受安全教育和安全考试不合格者不得进入现场施工。</w:t>
      </w:r>
    </w:p>
    <w:p w14:paraId="75771912">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4.7　对发包人违反安全生产规定、制度的指令，承包人有权拒绝执行、有权要求发包人改进；</w:t>
      </w:r>
    </w:p>
    <w:p w14:paraId="75A3C7F1">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4.8　承包人及其分包商施工人员应对所在的施工区域、作业环境、操作设施设备、工器具等进行认真检查，发现隐患立即处理，并自觉接受发包人的检查和监督，落实整改措施，并向发包人安监部门报告；</w:t>
      </w:r>
    </w:p>
    <w:p w14:paraId="4261735A">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4.9　承包人及其分包商在施工期间由于施工机械、工器具原因或使用操作不当而造成伤亡事故，由承包人及其分包商负责；</w:t>
      </w:r>
    </w:p>
    <w:p w14:paraId="1966BA9A">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4.10　承包人及其分包商对施工现场安全设施每天开工前必须检查，发现隐患及时整改；</w:t>
      </w:r>
    </w:p>
    <w:p w14:paraId="21411D5B">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各类安全防护设施、安全标志牌、警告牌和接地线等不得擅自拆除、更动。如确实需要拆除、更动的、必须经施工负责人和发包人、承包人及其分包商指派的安全管理人员的同意，办理手续，并采取必要、可靠的安全措施后方能拆除、更动；任何一方人员擅自拆除、更动所造成的后果，均由该方负责；</w:t>
      </w:r>
    </w:p>
    <w:p w14:paraId="5451B9D3">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4.11　特种作业必须执行国家《特种作业人员安全技术培训考核管理规定》，特种作业人员须经省、市、地区的特种作业安全技术考核站培训考核后持证上岗，并按规定定期审证，中、小型机械的作业人员必须按规定做到“定机定人”和有证操作；起重吊装作业人员严禁无证操作；严禁不懂电器、机械设备的人，擅自操作使用电器、机械设备；</w:t>
      </w:r>
    </w:p>
    <w:p w14:paraId="5624AC67">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4.12  承包人及其分包商必须实施安全健康和环境风险预控管理，并依据工程项目风险的大小，编制作业过程的危险源、环境因素分析清单和控制措施。</w:t>
      </w:r>
    </w:p>
    <w:p w14:paraId="0827ADC8">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4.13 承包人及其分包商必须严格执行电业系统动火规定，正确使用动火工作票，正确处置现场危险品，落实防火、防爆、防中毒措施，并指派专人值班；</w:t>
      </w:r>
    </w:p>
    <w:p w14:paraId="753DD470">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4.14 施工中应与带电设备保持足够的安全距离或采取可靠的安全措施。必要时应验电、放电、加挂接地线，并增设专门监护人员；</w:t>
      </w:r>
    </w:p>
    <w:p w14:paraId="54D496CD">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4.15  承包人及其分包商在施工中，应注意地下管线、光缆及高压架空线的保护。承包人及其分包商应向发包人了解地下管线和障碍物详细情况，会同发包人明确施工方法。如遇有特殊情况，应及时向发包人和有关部门联系，采取保护措施后施工，严禁冒险作业、野蛮作业；</w:t>
      </w:r>
    </w:p>
    <w:p w14:paraId="4ADD4BCD">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4.16　承包人及其分包商必须按规定为作业人员配备应有的劳动保护用品、用具，承包人及其分包商所属人员的身体健康状况必须能满足所从事工作的要求。</w:t>
      </w:r>
    </w:p>
    <w:p w14:paraId="12517F62">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4.17  承包人及其分包商要制定现场成品保护办法,确保一切材料、设备、成品、半成品的完好；</w:t>
      </w:r>
    </w:p>
    <w:p w14:paraId="664178C7">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4.18  承包人及其分包商要制定施工现场交通安全管理办法，确保施工生产运输任务的顺利进行。</w:t>
      </w:r>
    </w:p>
    <w:p w14:paraId="2D1133AD">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承包人及其分包商有义务协助发包人及其上级主管单位，对本合同工程现场的安全、健康、环保及文明施工管理情况进行监督、检查和考核。</w:t>
      </w:r>
    </w:p>
    <w:p w14:paraId="1A481DFF">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4.19  承包人及其分包商必须坚持文明施工，严格按照施工总平面布置图进行施工管理，明确责任区负责人，物品堆放做到定置管理，作业面施工做到工完料尽场地清，现场工业垃圾应及时清理。</w:t>
      </w:r>
    </w:p>
    <w:p w14:paraId="19E2E07F">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4.20  承包人在工程正式开工前向发包人安监部门提交项目负责人、安监人员、施工人员、特殊作业人员、安全考试和大型施工机械台帐等资料，并要随着工程的进展情况实行动态管理。</w:t>
      </w:r>
    </w:p>
    <w:p w14:paraId="21C46627">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4.21  承包人对发包人及其上级单位组织的安全环境大检查、安全工作会议等应及时派员参加并认真贯彻落实；</w:t>
      </w:r>
    </w:p>
    <w:p w14:paraId="79665069">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  奖罚</w:t>
      </w:r>
    </w:p>
    <w:p w14:paraId="446A3856">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5.1  在施工期间承包人及其分包商未严格执行有关规程、规范、规定，虽未造成严重后果，但经检查发现有下列情形时，视情节轻重对承包人给予相应处罚：</w:t>
      </w:r>
    </w:p>
    <w:p w14:paraId="67819E1C">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(1)同一个分包商一个月之内发生两起同类型事故，除按“四不放过”的原则处理外，罚款5000～10000元；</w:t>
      </w:r>
    </w:p>
    <w:p w14:paraId="202E2CFC">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(2)承包人及其分包商未在规定时间内建立健全各级安全施工责任制、安全管理网络，未确定专兼职安全员，将给予5000～10000元处罚；</w:t>
      </w:r>
    </w:p>
    <w:p w14:paraId="244B0F85">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(3)承包人及其分包商未在开工前编制安全文明施工计划及保证措施，不能按时上报各项管理措施，给予3000～5000元的处罚；</w:t>
      </w:r>
    </w:p>
    <w:p w14:paraId="464CB8BF">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(4)分项、分部工程施工未进行安全措施交底，除立即停工外，罚款1000元/次，两次以上加倍处罚；</w:t>
      </w:r>
    </w:p>
    <w:p w14:paraId="149D4094">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(5)警戒标志缺失或设置不规范，每发现一处罚款200元；</w:t>
      </w:r>
    </w:p>
    <w:p w14:paraId="6AF00554">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(6)承包人及其分包商未及时分工种进行安全技术的学习、考试或未严把三级安全教育关，每发现1人/次，罚款200元；</w:t>
      </w:r>
    </w:p>
    <w:p w14:paraId="7AD22E1E">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(7)安全文明施工责任区内脏、乱、差不能在限定时间内整改完毕，则每次处罚1000～3000元。如仍未及时整改，则由发包人组织清理，所发生的一切费用由承包人承担，并加倍处罚；</w:t>
      </w:r>
    </w:p>
    <w:p w14:paraId="75B8FCC4">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(8)承包人及其分包商接到安全施工问题整改通知，不按期整改，或借故拖延不进行彻底整改者，罚款1000～3000元；</w:t>
      </w:r>
    </w:p>
    <w:p w14:paraId="1701FC32">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(9)擅自拆除、毁坏、挪用安全设施，罚款500～1000元；</w:t>
      </w:r>
    </w:p>
    <w:p w14:paraId="1459D0D7">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(10)非电工乱拉施工电源，无证驾驶机动车辆，处罚200～1000元；</w:t>
      </w:r>
    </w:p>
    <w:p w14:paraId="3846CE2A">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(11)进入施工现场不能正确佩带安全帽，罚款100元。</w:t>
      </w:r>
    </w:p>
    <w:p w14:paraId="1EE323C5">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(12)安全网设置不到位、破损后不及时更换的，处罚500～2000元/次；</w:t>
      </w:r>
    </w:p>
    <w:p w14:paraId="538C5F48">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(13)承包人及其分包商人员酒后进入施工现场，罚款200元人/次；</w:t>
      </w:r>
    </w:p>
    <w:p w14:paraId="1685973D">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(14)施工现场、组合场50米及以内严禁吸烟（设置定点吸烟处及饮水处），发现流动吸烟罚款100元；</w:t>
      </w:r>
    </w:p>
    <w:p w14:paraId="2D4B4AAA">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(15)不在规定通道内行走，而攀登脚手架上下者，或高处作业抛掷杂物，野蛮施工者，罚款200～1000元；</w:t>
      </w:r>
    </w:p>
    <w:p w14:paraId="7C39BBA3">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(16) 因管理不善,造成员工发生中毒、传染病等，每发现一例罚款100～500元；</w:t>
      </w:r>
    </w:p>
    <w:p w14:paraId="07B45F3B">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(17) 发生环境污染事故，除接受当地环保部门的处罚外，每次罚款1000～5000元;</w:t>
      </w:r>
    </w:p>
    <w:p w14:paraId="0C61BD74">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(18) 生产、生活废水未能达标排放，罚款500～2000元;</w:t>
      </w:r>
    </w:p>
    <w:p w14:paraId="049FC24B">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(19) 现场施工设备噪声超过国家标准，罚款500～2000元；</w:t>
      </w:r>
    </w:p>
    <w:p w14:paraId="6B24B07E">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(20) 在发包人及其上级单位组织的月度、季度安全文明施工检查、考核、评比中总分未达合格的单位，给予3000～5000元的处罚。</w:t>
      </w:r>
    </w:p>
    <w:p w14:paraId="39015CD6">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(21)现场主要施工道路未按批准的施工组织设计进行硬化，经书面通知整改，仍未执行的，由发包人组织进行实施，实施费用由承包人承担，并处罚10000-30000元。</w:t>
      </w:r>
    </w:p>
    <w:p w14:paraId="6C573D6F">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(22)施工现场道路不能保持整洁、无杂物、无积水，无扬尘，每出现一次，处罚1000-5000元；</w:t>
      </w:r>
    </w:p>
    <w:p w14:paraId="14E89090">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(23)未经许可在本工程永久供电、供水、供汽（气）等设施上私拉乱接，每发现一次，处罚1000-5000元；</w:t>
      </w:r>
    </w:p>
    <w:p w14:paraId="0C439FAC">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(24)在施工过程中，未采取有效保护措施，造成永久或临时设施（含电缆、管线、沟道等）损坏，每发现一次，处罚10000-50000元；</w:t>
      </w:r>
    </w:p>
    <w:p w14:paraId="572CFC3F">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(25)施工、生活区域排水不畅，导致积水等，每发现一次，处罚1000-5000元；</w:t>
      </w:r>
    </w:p>
    <w:p w14:paraId="21CF0D82">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(26)施工过程中产生的余土、废弃物、垃圾等未能及时按要求集中处置或排放，每发现一次，处罚1000-5000元；</w:t>
      </w:r>
    </w:p>
    <w:p w14:paraId="7E1D40B5">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(27)因承包人及其分包商管理不善，引发纠纷和社会矛盾等，并造成恶劣影响由承包人承担全部责任；同时发包人将处罚承包人1000-10000元；</w:t>
      </w:r>
    </w:p>
    <w:p w14:paraId="6F011391">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(28)现场必须建设物资棚库和仓库，库内设备、材料必须分类堆放整齐。如发现现场物资、材料有乱堆乱放和不按要求放入仓库现象，发包人在例行检查中发现并发出整改通知后，承包人仍未执行，发包人将处罚承包人1000-10000元。 </w:t>
      </w:r>
    </w:p>
    <w:p w14:paraId="72BFC9E1">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(29)成品保护措施不到位，造成污染、损坏等，除由责任方负责赔付外，每发现一处，处罚500-5000元。</w:t>
      </w:r>
    </w:p>
    <w:p w14:paraId="0E2AE26F">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(30)出现船舶翻覆、撞建（构）筑物、撞桩基、撞电缆、撞船等意外，考核10000-50000元。</w:t>
      </w:r>
    </w:p>
    <w:p w14:paraId="570CF579">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(31)水上作业时生产垃圾、生活垃圾、废水废油未定点回收并固定，导致生产垃圾、生活垃圾、废水废油掉入海里，每处考核1000-10000元。</w:t>
      </w:r>
    </w:p>
    <w:p w14:paraId="1901B4DD">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32）项目经理、技术管理人员、安全管理人员必须按要求及时到岗，离开项目3天以上需向发包方履行请假手续，如发现未按要求执行首次考核3000元，在发包方要求期限内未返回，将按天考核，每天2000元；同时，发包方可以要求更换相关管理人员，并做出处罚。</w:t>
      </w:r>
    </w:p>
    <w:p w14:paraId="0430F241">
      <w:pPr>
        <w:tabs>
          <w:tab w:val="left" w:pos="0"/>
        </w:tabs>
        <w:autoSpaceDE w:val="0"/>
        <w:autoSpaceDN w:val="0"/>
        <w:spacing w:line="460" w:lineRule="exact"/>
        <w:ind w:firstLine="439" w:firstLineChars="183"/>
        <w:jc w:val="both"/>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5.2实行隐患排查奖励机制：落实国家能源局关于隐患报告奖励和国家电投集团公司《关于进一步完善事故隐患内部报告奖励机制的通知》的要求，完善机制、提高标准，明确本工程项目提取安全生产费用1%-2%的金额用于奖励承包商隐患排查工作（具体奖励方案在工程开工前，由建设单位、监理单位、施工单位共同商议发布，可奖励至单位或个人），鼓励作业人员主动报告身边隐患，提升施工安全管理水平。</w:t>
      </w:r>
    </w:p>
    <w:p w14:paraId="62D5854A">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 合同协议双方须认真履行本协议所列条款。承</w:t>
      </w:r>
      <w:bookmarkStart w:id="6" w:name="_GoBack"/>
      <w:bookmarkEnd w:id="6"/>
      <w:r>
        <w:rPr>
          <w:rFonts w:hint="eastAsia" w:ascii="宋体" w:hAnsi="宋体" w:eastAsia="宋体" w:cs="宋体"/>
          <w:sz w:val="24"/>
          <w:highlight w:val="none"/>
          <w:lang w:eastAsia="zh-CN"/>
        </w:rPr>
        <w:t>包人不履行或不认真履行协议规定条款，经劝告无效，发包人有权提出警告、罚款直至解除承包合同。</w:t>
      </w:r>
    </w:p>
    <w:p w14:paraId="0A940FFD">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7 工程竣工后必须持本协议，经发包人安全部门按照前述条款办理完安全奖惩处理手续后，方可进行结算，否则不予办理结算手续。</w:t>
      </w:r>
    </w:p>
    <w:p w14:paraId="6330DC8A">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 本协议未尽事宜，按国家有关规定及发包方相关管理规定，由双方协商解决。</w:t>
      </w:r>
    </w:p>
    <w:p w14:paraId="6AA9A633">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p>
    <w:p w14:paraId="23BAE59D">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p>
    <w:p w14:paraId="5EB312F7">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发包人（盖章）：                 承包人（盖章）： </w:t>
      </w:r>
    </w:p>
    <w:p w14:paraId="26B865E3">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p>
    <w:p w14:paraId="12CDD007">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委托代理人：          </w:t>
      </w:r>
      <w:r>
        <w:rPr>
          <w:rFonts w:hint="eastAsia" w:ascii="宋体" w:hAnsi="宋体" w:eastAsia="宋体" w:cs="宋体"/>
          <w:sz w:val="24"/>
          <w:highlight w:val="none"/>
          <w:lang w:eastAsia="zh-CN"/>
        </w:rPr>
        <w:tab/>
      </w:r>
      <w:r>
        <w:rPr>
          <w:rFonts w:hint="eastAsia" w:ascii="宋体" w:hAnsi="宋体" w:eastAsia="宋体" w:cs="宋体"/>
          <w:sz w:val="24"/>
          <w:highlight w:val="none"/>
          <w:lang w:eastAsia="zh-CN"/>
        </w:rPr>
        <w:tab/>
      </w:r>
      <w:r>
        <w:rPr>
          <w:rFonts w:hint="eastAsia" w:ascii="宋体" w:hAnsi="宋体" w:eastAsia="宋体" w:cs="宋体"/>
          <w:sz w:val="24"/>
          <w:highlight w:val="none"/>
          <w:lang w:eastAsia="zh-CN"/>
        </w:rPr>
        <w:tab/>
      </w:r>
      <w:r>
        <w:rPr>
          <w:rFonts w:hint="eastAsia" w:ascii="宋体" w:hAnsi="宋体" w:eastAsia="宋体" w:cs="宋体"/>
          <w:sz w:val="24"/>
          <w:highlight w:val="none"/>
          <w:lang w:eastAsia="zh-CN"/>
        </w:rPr>
        <w:t xml:space="preserve">  法定代表人或委托代理人：      </w:t>
      </w:r>
    </w:p>
    <w:p w14:paraId="597AD97F">
      <w:pPr>
        <w:tabs>
          <w:tab w:val="left" w:pos="0"/>
        </w:tabs>
        <w:autoSpaceDE w:val="0"/>
        <w:autoSpaceDN w:val="0"/>
        <w:spacing w:line="460" w:lineRule="exact"/>
        <w:ind w:firstLine="439" w:firstLineChars="183"/>
        <w:jc w:val="both"/>
        <w:rPr>
          <w:rFonts w:hint="eastAsia" w:ascii="宋体" w:hAnsi="宋体" w:eastAsia="宋体" w:cs="宋体"/>
          <w:sz w:val="24"/>
          <w:highlight w:val="none"/>
          <w:lang w:eastAsia="zh-CN"/>
        </w:rPr>
      </w:pPr>
    </w:p>
    <w:p w14:paraId="46958766">
      <w:pPr>
        <w:tabs>
          <w:tab w:val="left" w:pos="0"/>
        </w:tabs>
        <w:autoSpaceDE w:val="0"/>
        <w:autoSpaceDN w:val="0"/>
        <w:spacing w:line="460" w:lineRule="exact"/>
        <w:ind w:firstLine="439" w:firstLineChars="183"/>
        <w:jc w:val="both"/>
        <w:rPr>
          <w:rFonts w:hint="eastAsia" w:ascii="宋体" w:hAnsi="宋体" w:eastAsia="宋体" w:cs="宋体"/>
          <w:sz w:val="24"/>
          <w:highlight w:val="none"/>
        </w:rPr>
      </w:pPr>
      <w:r>
        <w:rPr>
          <w:rFonts w:hint="eastAsia" w:ascii="宋体" w:hAnsi="宋体" w:eastAsia="宋体" w:cs="宋体"/>
          <w:sz w:val="24"/>
          <w:highlight w:val="none"/>
          <w:lang w:eastAsia="zh-CN"/>
        </w:rPr>
        <w:t xml:space="preserve">日     期 ：                      日     期 ：   </w:t>
      </w:r>
    </w:p>
    <w:p w14:paraId="1EF1EF03">
      <w:pPr>
        <w:tabs>
          <w:tab w:val="left" w:pos="0"/>
        </w:tabs>
        <w:autoSpaceDE w:val="0"/>
        <w:autoSpaceDN w:val="0"/>
        <w:spacing w:line="460" w:lineRule="exact"/>
        <w:ind w:firstLine="439" w:firstLineChars="183"/>
        <w:jc w:val="both"/>
        <w:rPr>
          <w:rFonts w:hint="eastAsia" w:ascii="宋体" w:hAnsi="宋体" w:eastAsia="宋体" w:cs="宋体"/>
          <w:sz w:val="24"/>
          <w:highlight w:val="none"/>
        </w:rPr>
      </w:pPr>
    </w:p>
    <w:p w14:paraId="5BF7AE55">
      <w:pPr>
        <w:spacing w:line="200" w:lineRule="exact"/>
        <w:rPr>
          <w:rFonts w:hint="eastAsia" w:ascii="宋体" w:hAnsi="宋体" w:eastAsia="宋体" w:cs="宋体"/>
          <w:sz w:val="20"/>
          <w:highlight w:val="none"/>
        </w:rPr>
      </w:pPr>
    </w:p>
    <w:p w14:paraId="2928B70E">
      <w:pPr>
        <w:spacing w:line="200" w:lineRule="exact"/>
        <w:rPr>
          <w:rFonts w:hint="eastAsia" w:ascii="宋体" w:hAnsi="宋体" w:eastAsia="宋体" w:cs="宋体"/>
          <w:sz w:val="20"/>
          <w:highlight w:val="none"/>
        </w:rPr>
      </w:pPr>
    </w:p>
    <w:p w14:paraId="7786A83B">
      <w:pPr>
        <w:spacing w:line="200" w:lineRule="exact"/>
        <w:rPr>
          <w:rFonts w:hint="eastAsia" w:ascii="宋体" w:hAnsi="宋体" w:eastAsia="宋体" w:cs="宋体"/>
          <w:sz w:val="20"/>
          <w:highlight w:val="none"/>
        </w:rPr>
      </w:pPr>
    </w:p>
    <w:p w14:paraId="53E2BBEB">
      <w:pPr>
        <w:spacing w:line="200" w:lineRule="exact"/>
        <w:rPr>
          <w:rFonts w:hint="eastAsia" w:ascii="宋体" w:hAnsi="宋体" w:eastAsia="宋体" w:cs="宋体"/>
          <w:sz w:val="20"/>
          <w:highlight w:val="none"/>
        </w:rPr>
      </w:pPr>
    </w:p>
    <w:p w14:paraId="4151CE3B">
      <w:pPr>
        <w:spacing w:line="200" w:lineRule="exact"/>
        <w:rPr>
          <w:rFonts w:hint="eastAsia" w:ascii="宋体" w:hAnsi="宋体" w:eastAsia="宋体" w:cs="宋体"/>
          <w:sz w:val="20"/>
          <w:highlight w:val="none"/>
        </w:rPr>
      </w:pPr>
    </w:p>
    <w:p w14:paraId="5FE7853A">
      <w:pPr>
        <w:spacing w:line="200" w:lineRule="exact"/>
        <w:rPr>
          <w:rFonts w:hint="eastAsia" w:ascii="宋体" w:hAnsi="宋体" w:eastAsia="宋体" w:cs="宋体"/>
          <w:sz w:val="20"/>
          <w:highlight w:val="none"/>
        </w:rPr>
      </w:pPr>
    </w:p>
    <w:p w14:paraId="7DBE7EAD">
      <w:pPr>
        <w:spacing w:line="200" w:lineRule="exact"/>
        <w:rPr>
          <w:rFonts w:hint="eastAsia" w:ascii="宋体" w:hAnsi="宋体" w:eastAsia="宋体" w:cs="宋体"/>
          <w:sz w:val="20"/>
          <w:highlight w:val="none"/>
        </w:rPr>
      </w:pPr>
    </w:p>
    <w:p w14:paraId="49F47D3A">
      <w:pPr>
        <w:spacing w:line="200" w:lineRule="exact"/>
        <w:rPr>
          <w:rFonts w:hint="eastAsia" w:ascii="宋体" w:hAnsi="宋体" w:eastAsia="宋体" w:cs="宋体"/>
          <w:sz w:val="20"/>
          <w:highlight w:val="none"/>
        </w:rPr>
      </w:pPr>
    </w:p>
    <w:p w14:paraId="6918EDC2">
      <w:pPr>
        <w:spacing w:line="200" w:lineRule="exact"/>
        <w:rPr>
          <w:rFonts w:hint="eastAsia" w:ascii="宋体" w:hAnsi="宋体" w:eastAsia="宋体" w:cs="宋体"/>
          <w:sz w:val="20"/>
          <w:highlight w:val="none"/>
        </w:rPr>
      </w:pPr>
    </w:p>
    <w:p w14:paraId="524179F2">
      <w:pPr>
        <w:spacing w:line="200" w:lineRule="exact"/>
        <w:rPr>
          <w:rFonts w:hint="eastAsia" w:ascii="宋体" w:hAnsi="宋体" w:eastAsia="宋体" w:cs="宋体"/>
          <w:sz w:val="20"/>
          <w:highlight w:val="none"/>
        </w:rPr>
      </w:pPr>
    </w:p>
    <w:p w14:paraId="203A69FB">
      <w:pPr>
        <w:spacing w:line="200" w:lineRule="exact"/>
        <w:rPr>
          <w:rFonts w:hint="eastAsia" w:ascii="宋体" w:hAnsi="宋体" w:eastAsia="宋体" w:cs="宋体"/>
          <w:sz w:val="20"/>
          <w:highlight w:val="none"/>
        </w:rPr>
      </w:pPr>
    </w:p>
    <w:p w14:paraId="13FB7D90">
      <w:pPr>
        <w:spacing w:line="200" w:lineRule="exact"/>
        <w:rPr>
          <w:rFonts w:hint="eastAsia" w:ascii="宋体" w:hAnsi="宋体" w:eastAsia="宋体" w:cs="宋体"/>
          <w:sz w:val="20"/>
          <w:highlight w:val="none"/>
        </w:rPr>
      </w:pPr>
    </w:p>
    <w:p w14:paraId="537E54BE">
      <w:pPr>
        <w:spacing w:line="200" w:lineRule="exact"/>
        <w:rPr>
          <w:rFonts w:hint="eastAsia" w:ascii="宋体" w:hAnsi="宋体" w:eastAsia="宋体" w:cs="宋体"/>
          <w:sz w:val="20"/>
          <w:highlight w:val="none"/>
        </w:rPr>
      </w:pPr>
    </w:p>
    <w:p w14:paraId="7240C279">
      <w:pPr>
        <w:spacing w:line="200" w:lineRule="exact"/>
        <w:rPr>
          <w:rFonts w:hint="eastAsia" w:ascii="宋体" w:hAnsi="宋体" w:eastAsia="宋体" w:cs="宋体"/>
          <w:sz w:val="20"/>
          <w:highlight w:val="none"/>
        </w:rPr>
      </w:pPr>
    </w:p>
    <w:p w14:paraId="783E03AD">
      <w:pPr>
        <w:spacing w:line="200" w:lineRule="exact"/>
        <w:rPr>
          <w:rFonts w:hint="eastAsia" w:ascii="宋体" w:hAnsi="宋体" w:eastAsia="宋体" w:cs="宋体"/>
          <w:sz w:val="20"/>
          <w:highlight w:val="none"/>
        </w:rPr>
      </w:pPr>
    </w:p>
    <w:p w14:paraId="609E5478">
      <w:pPr>
        <w:spacing w:line="200" w:lineRule="exact"/>
        <w:rPr>
          <w:rFonts w:hint="eastAsia" w:ascii="宋体" w:hAnsi="宋体" w:eastAsia="宋体" w:cs="宋体"/>
          <w:sz w:val="20"/>
          <w:highlight w:val="none"/>
        </w:rPr>
      </w:pPr>
    </w:p>
    <w:p w14:paraId="6EC2C00E">
      <w:pPr>
        <w:spacing w:line="200" w:lineRule="exact"/>
        <w:rPr>
          <w:rFonts w:hint="eastAsia" w:ascii="宋体" w:hAnsi="宋体" w:eastAsia="宋体" w:cs="宋体"/>
          <w:sz w:val="20"/>
          <w:highlight w:val="none"/>
        </w:rPr>
      </w:pPr>
    </w:p>
    <w:p w14:paraId="7BE3C95F">
      <w:pPr>
        <w:spacing w:line="200" w:lineRule="exact"/>
        <w:rPr>
          <w:rFonts w:hint="eastAsia" w:ascii="宋体" w:hAnsi="宋体" w:eastAsia="宋体" w:cs="宋体"/>
          <w:sz w:val="20"/>
          <w:highlight w:val="none"/>
        </w:rPr>
      </w:pPr>
    </w:p>
    <w:p w14:paraId="11921EFF">
      <w:pPr>
        <w:spacing w:line="200" w:lineRule="exact"/>
        <w:rPr>
          <w:rFonts w:hint="eastAsia" w:ascii="宋体" w:hAnsi="宋体" w:eastAsia="宋体" w:cs="宋体"/>
          <w:sz w:val="20"/>
          <w:highlight w:val="none"/>
        </w:rPr>
      </w:pPr>
    </w:p>
    <w:p w14:paraId="1BE920DF">
      <w:pPr>
        <w:pageBreakBefore/>
        <w:autoSpaceDE w:val="0"/>
        <w:autoSpaceDN w:val="0"/>
        <w:spacing w:line="400" w:lineRule="exact"/>
        <w:jc w:val="both"/>
        <w:rPr>
          <w:highlight w:val="none"/>
        </w:rPr>
      </w:pPr>
      <w:r>
        <w:rPr>
          <w:rFonts w:hint="eastAsia" w:ascii="宋体" w:hAnsi="宋体" w:eastAsia="宋体" w:cs="宋体"/>
          <w:b/>
          <w:sz w:val="24"/>
          <w:highlight w:val="none"/>
        </w:rPr>
        <w:t>附件四：其他管理人员和技术人员最低要求</w:t>
      </w:r>
    </w:p>
    <w:p w14:paraId="5F4EA16F">
      <w:pPr>
        <w:autoSpaceDE w:val="0"/>
        <w:autoSpaceDN w:val="0"/>
        <w:spacing w:line="600" w:lineRule="exact"/>
        <w:ind w:left="60"/>
        <w:jc w:val="both"/>
        <w:rPr>
          <w:highlight w:val="none"/>
        </w:rPr>
      </w:pPr>
      <w:r>
        <w:rPr>
          <w:rFonts w:hint="eastAsia" w:ascii="宋体" w:hAnsi="宋体" w:eastAsia="宋体" w:cs="宋体"/>
          <w:b/>
          <w:sz w:val="24"/>
          <w:highlight w:val="none"/>
        </w:rPr>
        <w:t>详见第二章投标人须知附录</w:t>
      </w:r>
      <w:r>
        <w:rPr>
          <w:rFonts w:hint="eastAsia" w:ascii="Times New Roman" w:hAnsi="Times New Roman" w:eastAsia="Times New Roman" w:cs="Times New Roman"/>
          <w:b/>
          <w:sz w:val="24"/>
          <w:highlight w:val="none"/>
        </w:rPr>
        <w:t>6</w:t>
      </w:r>
      <w:r>
        <w:rPr>
          <w:rFonts w:hint="eastAsia" w:ascii="宋体" w:hAnsi="宋体" w:eastAsia="宋体" w:cs="宋体"/>
          <w:b/>
          <w:sz w:val="24"/>
          <w:highlight w:val="none"/>
        </w:rPr>
        <w:t>资格审查条件(其他管理人员和技术人员最低要求)</w:t>
      </w:r>
    </w:p>
    <w:p w14:paraId="6AE64B29">
      <w:pPr>
        <w:spacing w:line="200" w:lineRule="exact"/>
        <w:rPr>
          <w:rFonts w:hint="eastAsia" w:ascii="宋体" w:hAnsi="宋体" w:eastAsia="宋体" w:cs="宋体"/>
          <w:sz w:val="20"/>
          <w:highlight w:val="none"/>
        </w:rPr>
      </w:pPr>
    </w:p>
    <w:p w14:paraId="53CFD945">
      <w:pPr>
        <w:spacing w:line="200" w:lineRule="exact"/>
        <w:rPr>
          <w:rFonts w:hint="eastAsia" w:ascii="宋体" w:hAnsi="宋体" w:eastAsia="宋体" w:cs="宋体"/>
          <w:sz w:val="20"/>
          <w:highlight w:val="none"/>
        </w:rPr>
      </w:pPr>
    </w:p>
    <w:p w14:paraId="5A26BC2F">
      <w:pPr>
        <w:spacing w:line="200" w:lineRule="exact"/>
        <w:rPr>
          <w:rFonts w:hint="eastAsia" w:ascii="宋体" w:hAnsi="宋体" w:eastAsia="宋体" w:cs="宋体"/>
          <w:sz w:val="21"/>
          <w:szCs w:val="21"/>
          <w:highlight w:val="none"/>
        </w:rPr>
      </w:pPr>
    </w:p>
    <w:p w14:paraId="1F858A64">
      <w:pPr>
        <w:autoSpaceDE w:val="0"/>
        <w:autoSpaceDN w:val="0"/>
        <w:spacing w:line="280" w:lineRule="exact"/>
        <w:ind w:left="60" w:right="0"/>
        <w:jc w:val="both"/>
        <w:rPr>
          <w:sz w:val="21"/>
          <w:szCs w:val="21"/>
          <w:highlight w:val="none"/>
        </w:rPr>
      </w:pPr>
      <w:r>
        <w:rPr>
          <w:rFonts w:hint="eastAsia" w:ascii="宋体" w:hAnsi="宋体" w:eastAsia="宋体" w:cs="宋体"/>
          <w:sz w:val="21"/>
          <w:szCs w:val="21"/>
          <w:highlight w:val="none"/>
        </w:rPr>
        <w:t>注：1、投标人应按投标函的规定，承诺中标后按照本表的最低要求填报派驻本标段的主要人员，在经发包人审批后作为派驻本标段的项目管理机构主要人员且不允许无故更换。</w:t>
      </w:r>
    </w:p>
    <w:p w14:paraId="00BF1D58">
      <w:pPr>
        <w:autoSpaceDE w:val="0"/>
        <w:autoSpaceDN w:val="0"/>
        <w:spacing w:line="260" w:lineRule="exact"/>
        <w:ind w:left="60" w:right="0" w:firstLine="420"/>
        <w:jc w:val="both"/>
        <w:rPr>
          <w:sz w:val="21"/>
          <w:szCs w:val="21"/>
          <w:highlight w:val="none"/>
        </w:rPr>
      </w:pPr>
      <w:r>
        <w:rPr>
          <w:rFonts w:hint="eastAsia" w:ascii="宋体" w:hAnsi="宋体" w:eastAsia="宋体" w:cs="宋体"/>
          <w:sz w:val="21"/>
          <w:szCs w:val="21"/>
          <w:highlight w:val="none"/>
        </w:rPr>
        <w:t>2、如果承包人不能在规定时间内派驻合格的人员，则视为相应岗位空缺，将严格按照合同条款的规定承担违约责任。</w:t>
      </w:r>
    </w:p>
    <w:p w14:paraId="3E17C44B">
      <w:pPr>
        <w:spacing w:line="200" w:lineRule="exact"/>
        <w:rPr>
          <w:rFonts w:hint="eastAsia" w:ascii="宋体" w:hAnsi="宋体" w:eastAsia="宋体" w:cs="宋体"/>
          <w:sz w:val="20"/>
          <w:highlight w:val="none"/>
        </w:rPr>
      </w:pPr>
    </w:p>
    <w:p w14:paraId="3FC0CEEC">
      <w:pPr>
        <w:spacing w:line="200" w:lineRule="exact"/>
        <w:rPr>
          <w:rFonts w:hint="eastAsia" w:ascii="宋体" w:hAnsi="宋体" w:eastAsia="宋体" w:cs="宋体"/>
          <w:sz w:val="20"/>
          <w:highlight w:val="none"/>
        </w:rPr>
      </w:pPr>
    </w:p>
    <w:p w14:paraId="22E81A36">
      <w:pPr>
        <w:spacing w:line="200" w:lineRule="exact"/>
        <w:rPr>
          <w:rFonts w:hint="eastAsia" w:ascii="宋体" w:hAnsi="宋体" w:eastAsia="宋体" w:cs="宋体"/>
          <w:sz w:val="20"/>
          <w:highlight w:val="none"/>
        </w:rPr>
      </w:pPr>
    </w:p>
    <w:p w14:paraId="422067A2">
      <w:pPr>
        <w:spacing w:line="200" w:lineRule="exact"/>
        <w:rPr>
          <w:rFonts w:hint="eastAsia" w:ascii="宋体" w:hAnsi="宋体" w:eastAsia="宋体" w:cs="宋体"/>
          <w:sz w:val="20"/>
          <w:highlight w:val="none"/>
        </w:rPr>
      </w:pPr>
    </w:p>
    <w:p w14:paraId="5234E103">
      <w:pPr>
        <w:spacing w:line="200" w:lineRule="exact"/>
        <w:rPr>
          <w:rFonts w:hint="eastAsia" w:ascii="宋体" w:hAnsi="宋体" w:eastAsia="宋体" w:cs="宋体"/>
          <w:sz w:val="20"/>
          <w:highlight w:val="none"/>
        </w:rPr>
      </w:pPr>
    </w:p>
    <w:p w14:paraId="25752B56">
      <w:pPr>
        <w:spacing w:line="200" w:lineRule="exact"/>
        <w:rPr>
          <w:rFonts w:hint="eastAsia" w:ascii="宋体" w:hAnsi="宋体" w:eastAsia="宋体" w:cs="宋体"/>
          <w:sz w:val="20"/>
          <w:highlight w:val="none"/>
        </w:rPr>
      </w:pPr>
    </w:p>
    <w:p w14:paraId="50A5BA65">
      <w:pPr>
        <w:spacing w:line="200" w:lineRule="exact"/>
        <w:rPr>
          <w:rFonts w:hint="eastAsia" w:ascii="宋体" w:hAnsi="宋体" w:eastAsia="宋体" w:cs="宋体"/>
          <w:sz w:val="20"/>
          <w:highlight w:val="none"/>
        </w:rPr>
      </w:pPr>
    </w:p>
    <w:p w14:paraId="7BC20BD0">
      <w:pPr>
        <w:spacing w:line="200" w:lineRule="exact"/>
        <w:rPr>
          <w:rFonts w:hint="eastAsia" w:ascii="宋体" w:hAnsi="宋体" w:eastAsia="宋体" w:cs="宋体"/>
          <w:sz w:val="20"/>
          <w:highlight w:val="none"/>
        </w:rPr>
      </w:pPr>
    </w:p>
    <w:p w14:paraId="3C50274B">
      <w:pPr>
        <w:spacing w:line="200" w:lineRule="exact"/>
        <w:rPr>
          <w:rFonts w:hint="eastAsia" w:ascii="宋体" w:hAnsi="宋体" w:eastAsia="宋体" w:cs="宋体"/>
          <w:sz w:val="20"/>
          <w:highlight w:val="none"/>
        </w:rPr>
      </w:pPr>
    </w:p>
    <w:p w14:paraId="77797E7A">
      <w:pPr>
        <w:spacing w:line="200" w:lineRule="exact"/>
        <w:rPr>
          <w:rFonts w:hint="eastAsia" w:ascii="宋体" w:hAnsi="宋体" w:eastAsia="宋体" w:cs="宋体"/>
          <w:sz w:val="20"/>
          <w:highlight w:val="none"/>
        </w:rPr>
      </w:pPr>
    </w:p>
    <w:p w14:paraId="7C52257D">
      <w:pPr>
        <w:spacing w:line="200" w:lineRule="exact"/>
        <w:rPr>
          <w:rFonts w:hint="eastAsia" w:ascii="宋体" w:hAnsi="宋体" w:eastAsia="宋体" w:cs="宋体"/>
          <w:sz w:val="20"/>
          <w:highlight w:val="none"/>
        </w:rPr>
      </w:pPr>
    </w:p>
    <w:p w14:paraId="41613F5D">
      <w:pPr>
        <w:spacing w:line="200" w:lineRule="exact"/>
        <w:rPr>
          <w:rFonts w:hint="eastAsia" w:ascii="宋体" w:hAnsi="宋体" w:eastAsia="宋体" w:cs="宋体"/>
          <w:sz w:val="20"/>
          <w:highlight w:val="none"/>
        </w:rPr>
      </w:pPr>
    </w:p>
    <w:p w14:paraId="245844A5">
      <w:pPr>
        <w:spacing w:line="200" w:lineRule="exact"/>
        <w:rPr>
          <w:rFonts w:hint="eastAsia" w:ascii="宋体" w:hAnsi="宋体" w:eastAsia="宋体" w:cs="宋体"/>
          <w:sz w:val="20"/>
          <w:highlight w:val="none"/>
        </w:rPr>
      </w:pPr>
    </w:p>
    <w:p w14:paraId="4F799CF5">
      <w:pPr>
        <w:spacing w:line="200" w:lineRule="exact"/>
        <w:rPr>
          <w:rFonts w:hint="eastAsia" w:ascii="宋体" w:hAnsi="宋体" w:eastAsia="宋体" w:cs="宋体"/>
          <w:sz w:val="20"/>
          <w:highlight w:val="none"/>
        </w:rPr>
      </w:pPr>
    </w:p>
    <w:p w14:paraId="778FE398">
      <w:pPr>
        <w:spacing w:line="200" w:lineRule="exact"/>
        <w:rPr>
          <w:rFonts w:hint="eastAsia" w:ascii="宋体" w:hAnsi="宋体" w:eastAsia="宋体" w:cs="宋体"/>
          <w:sz w:val="20"/>
          <w:highlight w:val="none"/>
        </w:rPr>
      </w:pPr>
    </w:p>
    <w:p w14:paraId="3E99D9FE">
      <w:pPr>
        <w:spacing w:line="200" w:lineRule="exact"/>
        <w:rPr>
          <w:rFonts w:hint="eastAsia" w:ascii="宋体" w:hAnsi="宋体" w:eastAsia="宋体" w:cs="宋体"/>
          <w:sz w:val="20"/>
          <w:highlight w:val="none"/>
        </w:rPr>
      </w:pPr>
    </w:p>
    <w:p w14:paraId="4E45CB61">
      <w:pPr>
        <w:spacing w:line="200" w:lineRule="exact"/>
        <w:rPr>
          <w:rFonts w:hint="eastAsia" w:ascii="宋体" w:hAnsi="宋体" w:eastAsia="宋体" w:cs="宋体"/>
          <w:sz w:val="20"/>
          <w:highlight w:val="none"/>
        </w:rPr>
      </w:pPr>
    </w:p>
    <w:p w14:paraId="7847C308">
      <w:pPr>
        <w:spacing w:line="200" w:lineRule="exact"/>
        <w:rPr>
          <w:rFonts w:hint="eastAsia" w:ascii="宋体" w:hAnsi="宋体" w:eastAsia="宋体" w:cs="宋体"/>
          <w:sz w:val="20"/>
          <w:highlight w:val="none"/>
        </w:rPr>
      </w:pPr>
    </w:p>
    <w:p w14:paraId="6DBDB363">
      <w:pPr>
        <w:spacing w:line="200" w:lineRule="exact"/>
        <w:rPr>
          <w:rFonts w:hint="eastAsia" w:ascii="宋体" w:hAnsi="宋体" w:eastAsia="宋体" w:cs="宋体"/>
          <w:sz w:val="20"/>
          <w:highlight w:val="none"/>
        </w:rPr>
      </w:pPr>
    </w:p>
    <w:p w14:paraId="0067E6CC">
      <w:pPr>
        <w:spacing w:line="200" w:lineRule="exact"/>
        <w:rPr>
          <w:rFonts w:hint="eastAsia" w:ascii="宋体" w:hAnsi="宋体" w:eastAsia="宋体" w:cs="宋体"/>
          <w:sz w:val="20"/>
          <w:highlight w:val="none"/>
        </w:rPr>
      </w:pPr>
    </w:p>
    <w:p w14:paraId="05DC0F69">
      <w:pPr>
        <w:spacing w:line="200" w:lineRule="exact"/>
        <w:rPr>
          <w:rFonts w:hint="eastAsia" w:ascii="宋体" w:hAnsi="宋体" w:eastAsia="宋体" w:cs="宋体"/>
          <w:sz w:val="20"/>
          <w:highlight w:val="none"/>
        </w:rPr>
      </w:pPr>
    </w:p>
    <w:p w14:paraId="5BA50415">
      <w:pPr>
        <w:spacing w:line="200" w:lineRule="exact"/>
        <w:rPr>
          <w:rFonts w:hint="eastAsia" w:ascii="宋体" w:hAnsi="宋体" w:eastAsia="宋体" w:cs="宋体"/>
          <w:sz w:val="20"/>
          <w:highlight w:val="none"/>
        </w:rPr>
      </w:pPr>
    </w:p>
    <w:p w14:paraId="7EF273BD">
      <w:pPr>
        <w:spacing w:line="200" w:lineRule="exact"/>
        <w:rPr>
          <w:rFonts w:hint="eastAsia" w:ascii="宋体" w:hAnsi="宋体" w:eastAsia="宋体" w:cs="宋体"/>
          <w:sz w:val="20"/>
          <w:highlight w:val="none"/>
        </w:rPr>
      </w:pPr>
    </w:p>
    <w:p w14:paraId="7A772762">
      <w:pPr>
        <w:spacing w:line="200" w:lineRule="exact"/>
        <w:rPr>
          <w:rFonts w:hint="eastAsia" w:ascii="宋体" w:hAnsi="宋体" w:eastAsia="宋体" w:cs="宋体"/>
          <w:sz w:val="20"/>
          <w:highlight w:val="none"/>
        </w:rPr>
      </w:pPr>
    </w:p>
    <w:p w14:paraId="41948DFD">
      <w:pPr>
        <w:spacing w:line="200" w:lineRule="exact"/>
        <w:rPr>
          <w:rFonts w:hint="eastAsia" w:ascii="宋体" w:hAnsi="宋体" w:eastAsia="宋体" w:cs="宋体"/>
          <w:sz w:val="20"/>
          <w:highlight w:val="none"/>
        </w:rPr>
      </w:pPr>
    </w:p>
    <w:p w14:paraId="74525AB7">
      <w:pPr>
        <w:spacing w:line="200" w:lineRule="exact"/>
        <w:rPr>
          <w:rFonts w:hint="eastAsia" w:ascii="宋体" w:hAnsi="宋体" w:eastAsia="宋体" w:cs="宋体"/>
          <w:sz w:val="20"/>
          <w:highlight w:val="none"/>
        </w:rPr>
      </w:pPr>
    </w:p>
    <w:p w14:paraId="400C6285">
      <w:pPr>
        <w:spacing w:line="200" w:lineRule="exact"/>
        <w:rPr>
          <w:rFonts w:hint="eastAsia" w:ascii="宋体" w:hAnsi="宋体" w:eastAsia="宋体" w:cs="宋体"/>
          <w:sz w:val="20"/>
          <w:highlight w:val="none"/>
        </w:rPr>
      </w:pPr>
    </w:p>
    <w:p w14:paraId="0E50274D">
      <w:pPr>
        <w:spacing w:line="200" w:lineRule="exact"/>
        <w:rPr>
          <w:rFonts w:hint="eastAsia" w:ascii="宋体" w:hAnsi="宋体" w:eastAsia="宋体" w:cs="宋体"/>
          <w:sz w:val="20"/>
          <w:highlight w:val="none"/>
        </w:rPr>
      </w:pPr>
    </w:p>
    <w:p w14:paraId="43A879F5">
      <w:pPr>
        <w:spacing w:line="200" w:lineRule="exact"/>
        <w:rPr>
          <w:rFonts w:hint="eastAsia" w:ascii="宋体" w:hAnsi="宋体" w:eastAsia="宋体" w:cs="宋体"/>
          <w:sz w:val="20"/>
          <w:highlight w:val="none"/>
        </w:rPr>
      </w:pPr>
    </w:p>
    <w:p w14:paraId="700FDF8B">
      <w:pPr>
        <w:spacing w:line="200" w:lineRule="exact"/>
        <w:rPr>
          <w:rFonts w:hint="eastAsia" w:ascii="宋体" w:hAnsi="宋体" w:eastAsia="宋体" w:cs="宋体"/>
          <w:sz w:val="20"/>
          <w:highlight w:val="none"/>
        </w:rPr>
      </w:pPr>
    </w:p>
    <w:p w14:paraId="5A5E463E">
      <w:pPr>
        <w:spacing w:line="200" w:lineRule="exact"/>
        <w:rPr>
          <w:rFonts w:hint="eastAsia" w:ascii="宋体" w:hAnsi="宋体" w:eastAsia="宋体" w:cs="宋体"/>
          <w:sz w:val="20"/>
          <w:highlight w:val="none"/>
        </w:rPr>
      </w:pPr>
    </w:p>
    <w:p w14:paraId="6CC3802C">
      <w:pPr>
        <w:spacing w:line="200" w:lineRule="exact"/>
        <w:rPr>
          <w:rFonts w:hint="eastAsia" w:ascii="宋体" w:hAnsi="宋体" w:eastAsia="宋体" w:cs="宋体"/>
          <w:sz w:val="20"/>
          <w:highlight w:val="none"/>
        </w:rPr>
      </w:pPr>
    </w:p>
    <w:p w14:paraId="1EC5B0E6">
      <w:pPr>
        <w:spacing w:line="200" w:lineRule="exact"/>
        <w:rPr>
          <w:rFonts w:hint="eastAsia" w:ascii="宋体" w:hAnsi="宋体" w:eastAsia="宋体" w:cs="宋体"/>
          <w:sz w:val="20"/>
          <w:highlight w:val="none"/>
        </w:rPr>
      </w:pPr>
    </w:p>
    <w:p w14:paraId="10EC32A0">
      <w:pPr>
        <w:spacing w:line="200" w:lineRule="exact"/>
        <w:rPr>
          <w:rFonts w:hint="eastAsia" w:ascii="宋体" w:hAnsi="宋体" w:eastAsia="宋体" w:cs="宋体"/>
          <w:sz w:val="20"/>
          <w:highlight w:val="none"/>
        </w:rPr>
      </w:pPr>
    </w:p>
    <w:p w14:paraId="1F986860">
      <w:pPr>
        <w:spacing w:line="200" w:lineRule="exact"/>
        <w:rPr>
          <w:rFonts w:hint="eastAsia" w:ascii="宋体" w:hAnsi="宋体" w:eastAsia="宋体" w:cs="宋体"/>
          <w:sz w:val="20"/>
          <w:highlight w:val="none"/>
        </w:rPr>
      </w:pPr>
    </w:p>
    <w:p w14:paraId="4E9D0E0E">
      <w:pPr>
        <w:spacing w:line="200" w:lineRule="exact"/>
        <w:rPr>
          <w:rFonts w:hint="eastAsia" w:ascii="宋体" w:hAnsi="宋体" w:eastAsia="宋体" w:cs="宋体"/>
          <w:sz w:val="20"/>
          <w:highlight w:val="none"/>
        </w:rPr>
      </w:pPr>
    </w:p>
    <w:p w14:paraId="07715C94">
      <w:pPr>
        <w:spacing w:line="200" w:lineRule="exact"/>
        <w:rPr>
          <w:rFonts w:hint="eastAsia" w:ascii="宋体" w:hAnsi="宋体" w:eastAsia="宋体" w:cs="宋体"/>
          <w:sz w:val="20"/>
          <w:highlight w:val="none"/>
        </w:rPr>
      </w:pPr>
    </w:p>
    <w:p w14:paraId="452C9328">
      <w:pPr>
        <w:spacing w:line="200" w:lineRule="exact"/>
        <w:rPr>
          <w:rFonts w:hint="eastAsia" w:ascii="宋体" w:hAnsi="宋体" w:eastAsia="宋体" w:cs="宋体"/>
          <w:sz w:val="20"/>
          <w:highlight w:val="none"/>
        </w:rPr>
      </w:pPr>
    </w:p>
    <w:p w14:paraId="3E39E9AF">
      <w:pPr>
        <w:spacing w:line="200" w:lineRule="exact"/>
        <w:rPr>
          <w:rFonts w:hint="eastAsia" w:ascii="宋体" w:hAnsi="宋体" w:eastAsia="宋体" w:cs="宋体"/>
          <w:sz w:val="20"/>
          <w:highlight w:val="none"/>
        </w:rPr>
      </w:pPr>
    </w:p>
    <w:p w14:paraId="0DC6FFFD">
      <w:pPr>
        <w:spacing w:line="200" w:lineRule="exact"/>
        <w:rPr>
          <w:rFonts w:hint="eastAsia" w:ascii="宋体" w:hAnsi="宋体" w:eastAsia="宋体" w:cs="宋体"/>
          <w:sz w:val="20"/>
          <w:highlight w:val="none"/>
        </w:rPr>
      </w:pPr>
    </w:p>
    <w:p w14:paraId="28751ED1">
      <w:pPr>
        <w:spacing w:line="200" w:lineRule="exact"/>
        <w:rPr>
          <w:rFonts w:hint="eastAsia" w:ascii="宋体" w:hAnsi="宋体" w:eastAsia="宋体" w:cs="宋体"/>
          <w:sz w:val="20"/>
          <w:highlight w:val="none"/>
        </w:rPr>
      </w:pPr>
    </w:p>
    <w:p w14:paraId="2DAB2E44">
      <w:pPr>
        <w:spacing w:line="200" w:lineRule="exact"/>
        <w:rPr>
          <w:rFonts w:hint="eastAsia" w:ascii="宋体" w:hAnsi="宋体" w:eastAsia="宋体" w:cs="宋体"/>
          <w:sz w:val="20"/>
          <w:highlight w:val="none"/>
        </w:rPr>
      </w:pPr>
    </w:p>
    <w:p w14:paraId="121B009A">
      <w:pPr>
        <w:spacing w:line="200" w:lineRule="exact"/>
        <w:rPr>
          <w:rFonts w:hint="eastAsia" w:ascii="宋体" w:hAnsi="宋体" w:eastAsia="宋体" w:cs="宋体"/>
          <w:sz w:val="20"/>
          <w:highlight w:val="none"/>
        </w:rPr>
      </w:pPr>
    </w:p>
    <w:p w14:paraId="4911FEC0">
      <w:pPr>
        <w:spacing w:line="200" w:lineRule="exact"/>
        <w:rPr>
          <w:rFonts w:hint="eastAsia" w:ascii="宋体" w:hAnsi="宋体" w:eastAsia="宋体" w:cs="宋体"/>
          <w:sz w:val="20"/>
          <w:highlight w:val="none"/>
        </w:rPr>
      </w:pPr>
    </w:p>
    <w:p w14:paraId="2A7583C3">
      <w:pPr>
        <w:spacing w:line="200" w:lineRule="exact"/>
        <w:rPr>
          <w:rFonts w:hint="eastAsia" w:ascii="宋体" w:hAnsi="宋体" w:eastAsia="宋体" w:cs="宋体"/>
          <w:sz w:val="20"/>
          <w:highlight w:val="none"/>
        </w:rPr>
      </w:pPr>
    </w:p>
    <w:p w14:paraId="69421B7B">
      <w:pPr>
        <w:spacing w:line="200" w:lineRule="exact"/>
        <w:rPr>
          <w:rFonts w:hint="eastAsia" w:ascii="宋体" w:hAnsi="宋体" w:eastAsia="宋体" w:cs="宋体"/>
          <w:sz w:val="20"/>
          <w:highlight w:val="none"/>
        </w:rPr>
      </w:pPr>
    </w:p>
    <w:p w14:paraId="1403BC16">
      <w:pPr>
        <w:spacing w:line="200" w:lineRule="exact"/>
        <w:rPr>
          <w:rFonts w:hint="eastAsia" w:ascii="宋体" w:hAnsi="宋体" w:eastAsia="宋体" w:cs="宋体"/>
          <w:sz w:val="20"/>
          <w:highlight w:val="none"/>
        </w:rPr>
      </w:pPr>
    </w:p>
    <w:p w14:paraId="17B4D377">
      <w:pPr>
        <w:spacing w:line="200" w:lineRule="exact"/>
        <w:rPr>
          <w:rFonts w:hint="eastAsia" w:ascii="宋体" w:hAnsi="宋体" w:eastAsia="宋体" w:cs="宋体"/>
          <w:sz w:val="20"/>
          <w:highlight w:val="none"/>
        </w:rPr>
      </w:pPr>
    </w:p>
    <w:p w14:paraId="6DEBF0CD">
      <w:pPr>
        <w:spacing w:line="200" w:lineRule="exact"/>
        <w:rPr>
          <w:rFonts w:hint="eastAsia" w:ascii="宋体" w:hAnsi="宋体" w:eastAsia="宋体" w:cs="宋体"/>
          <w:sz w:val="20"/>
          <w:highlight w:val="none"/>
        </w:rPr>
      </w:pPr>
    </w:p>
    <w:p w14:paraId="44D3FFC5">
      <w:pPr>
        <w:spacing w:line="200" w:lineRule="exact"/>
        <w:rPr>
          <w:rFonts w:hint="eastAsia" w:ascii="宋体" w:hAnsi="宋体" w:eastAsia="宋体" w:cs="宋体"/>
          <w:sz w:val="20"/>
          <w:highlight w:val="none"/>
        </w:rPr>
      </w:pPr>
    </w:p>
    <w:p w14:paraId="26D53632">
      <w:pPr>
        <w:pageBreakBefore/>
        <w:autoSpaceDE w:val="0"/>
        <w:autoSpaceDN w:val="0"/>
        <w:spacing w:line="280" w:lineRule="exact"/>
        <w:ind w:left="62"/>
        <w:jc w:val="both"/>
        <w:rPr>
          <w:highlight w:val="none"/>
        </w:rPr>
      </w:pPr>
      <w:r>
        <w:rPr>
          <w:rFonts w:hint="eastAsia" w:ascii="宋体" w:hAnsi="宋体" w:eastAsia="宋体" w:cs="宋体"/>
          <w:b/>
          <w:sz w:val="24"/>
          <w:highlight w:val="none"/>
        </w:rPr>
        <w:t>附件五：主要设备最低要求</w:t>
      </w:r>
    </w:p>
    <w:p w14:paraId="48837690">
      <w:pPr>
        <w:spacing w:line="200" w:lineRule="exact"/>
        <w:rPr>
          <w:rFonts w:hint="eastAsia" w:ascii="宋体" w:hAnsi="宋体" w:eastAsia="宋体" w:cs="宋体"/>
          <w:sz w:val="20"/>
          <w:highlight w:val="none"/>
        </w:rPr>
      </w:pPr>
    </w:p>
    <w:p w14:paraId="69A87C2F">
      <w:pPr>
        <w:spacing w:line="200" w:lineRule="exact"/>
        <w:rPr>
          <w:rFonts w:hint="eastAsia" w:ascii="宋体" w:hAnsi="宋体" w:eastAsia="宋体" w:cs="宋体"/>
          <w:sz w:val="20"/>
          <w:highlight w:val="none"/>
        </w:rPr>
      </w:pPr>
    </w:p>
    <w:p w14:paraId="1E11432B">
      <w:pPr>
        <w:spacing w:line="200" w:lineRule="exact"/>
        <w:rPr>
          <w:rFonts w:hint="eastAsia" w:ascii="宋体" w:hAnsi="宋体" w:eastAsia="宋体" w:cs="宋体"/>
          <w:sz w:val="20"/>
          <w:highlight w:val="none"/>
        </w:rPr>
      </w:pPr>
    </w:p>
    <w:p w14:paraId="5D794CCD">
      <w:pPr>
        <w:autoSpaceDE w:val="0"/>
        <w:autoSpaceDN w:val="0"/>
        <w:spacing w:line="420" w:lineRule="exact"/>
        <w:ind w:left="60"/>
        <w:jc w:val="both"/>
        <w:rPr>
          <w:highlight w:val="none"/>
        </w:rPr>
      </w:pPr>
      <w:r>
        <w:rPr>
          <w:rFonts w:hint="eastAsia" w:ascii="宋体" w:hAnsi="宋体" w:eastAsia="宋体" w:cs="宋体"/>
          <w:b/>
          <w:sz w:val="24"/>
          <w:highlight w:val="none"/>
        </w:rPr>
        <w:t>详见第二章投标人须知附录7资格审查条件(主要设备最低要求)</w:t>
      </w:r>
    </w:p>
    <w:p w14:paraId="549A702F">
      <w:pPr>
        <w:spacing w:line="200" w:lineRule="exact"/>
        <w:rPr>
          <w:rFonts w:hint="eastAsia" w:ascii="宋体" w:hAnsi="宋体" w:eastAsia="宋体" w:cs="宋体"/>
          <w:sz w:val="20"/>
          <w:highlight w:val="none"/>
        </w:rPr>
      </w:pPr>
    </w:p>
    <w:p w14:paraId="09279779">
      <w:pPr>
        <w:spacing w:line="200" w:lineRule="exact"/>
        <w:rPr>
          <w:rFonts w:hint="eastAsia" w:ascii="宋体" w:hAnsi="宋体" w:eastAsia="宋体" w:cs="宋体"/>
          <w:sz w:val="20"/>
          <w:highlight w:val="none"/>
        </w:rPr>
      </w:pPr>
    </w:p>
    <w:p w14:paraId="4B52DDF8">
      <w:pPr>
        <w:spacing w:line="200" w:lineRule="exact"/>
        <w:rPr>
          <w:rFonts w:hint="eastAsia" w:ascii="宋体" w:hAnsi="宋体" w:eastAsia="宋体" w:cs="宋体"/>
          <w:sz w:val="20"/>
          <w:highlight w:val="none"/>
        </w:rPr>
      </w:pPr>
    </w:p>
    <w:p w14:paraId="2D03442A">
      <w:pPr>
        <w:autoSpaceDE w:val="0"/>
        <w:autoSpaceDN w:val="0"/>
        <w:spacing w:line="280" w:lineRule="exact"/>
        <w:ind w:left="60" w:right="0"/>
        <w:jc w:val="both"/>
        <w:rPr>
          <w:highlight w:val="none"/>
        </w:rPr>
      </w:pPr>
      <w:r>
        <w:rPr>
          <w:rFonts w:hint="eastAsia" w:ascii="宋体" w:hAnsi="宋体" w:eastAsia="宋体" w:cs="宋体"/>
          <w:sz w:val="21"/>
          <w:highlight w:val="none"/>
        </w:rPr>
        <w:t>注：1、投标人应按投标函的规定，承诺中标后按照本表的最低要求填报主要设备，在经发包人审批后作为投入本标段的主要设备且不允许无故更换。</w:t>
      </w:r>
    </w:p>
    <w:p w14:paraId="1DF010AE">
      <w:pPr>
        <w:autoSpaceDE w:val="0"/>
        <w:autoSpaceDN w:val="0"/>
        <w:spacing w:line="260" w:lineRule="exact"/>
        <w:ind w:left="60" w:right="0" w:firstLine="420"/>
        <w:jc w:val="both"/>
        <w:rPr>
          <w:highlight w:val="none"/>
        </w:rPr>
      </w:pPr>
      <w:r>
        <w:rPr>
          <w:rFonts w:hint="eastAsia" w:ascii="宋体" w:hAnsi="宋体" w:eastAsia="宋体" w:cs="宋体"/>
          <w:sz w:val="21"/>
          <w:highlight w:val="none"/>
        </w:rPr>
        <w:t>2、如果承包人不能在规定时间内投入满足本表要求的设备，将严格按照合同条款的规定承担违约责任。</w:t>
      </w:r>
    </w:p>
    <w:p w14:paraId="7FF090E5">
      <w:pPr>
        <w:spacing w:line="200" w:lineRule="exact"/>
        <w:rPr>
          <w:rFonts w:hint="eastAsia" w:ascii="宋体" w:hAnsi="宋体" w:eastAsia="宋体" w:cs="宋体"/>
          <w:sz w:val="20"/>
          <w:highlight w:val="none"/>
        </w:rPr>
      </w:pPr>
    </w:p>
    <w:p w14:paraId="367CA641">
      <w:pPr>
        <w:spacing w:line="200" w:lineRule="exact"/>
        <w:rPr>
          <w:rFonts w:hint="eastAsia" w:ascii="宋体" w:hAnsi="宋体" w:eastAsia="宋体" w:cs="宋体"/>
          <w:sz w:val="20"/>
          <w:highlight w:val="none"/>
        </w:rPr>
      </w:pPr>
    </w:p>
    <w:p w14:paraId="58136A8B">
      <w:pPr>
        <w:spacing w:line="200" w:lineRule="exact"/>
        <w:rPr>
          <w:rFonts w:hint="eastAsia" w:ascii="宋体" w:hAnsi="宋体" w:eastAsia="宋体" w:cs="宋体"/>
          <w:sz w:val="20"/>
          <w:highlight w:val="none"/>
        </w:rPr>
      </w:pPr>
    </w:p>
    <w:p w14:paraId="47187F15">
      <w:pPr>
        <w:spacing w:line="200" w:lineRule="exact"/>
        <w:rPr>
          <w:rFonts w:hint="eastAsia" w:ascii="宋体" w:hAnsi="宋体" w:eastAsia="宋体" w:cs="宋体"/>
          <w:sz w:val="20"/>
          <w:highlight w:val="none"/>
        </w:rPr>
      </w:pPr>
    </w:p>
    <w:p w14:paraId="100C05DB">
      <w:pPr>
        <w:spacing w:line="200" w:lineRule="exact"/>
        <w:rPr>
          <w:rFonts w:hint="eastAsia" w:ascii="宋体" w:hAnsi="宋体" w:eastAsia="宋体" w:cs="宋体"/>
          <w:sz w:val="20"/>
          <w:highlight w:val="none"/>
        </w:rPr>
      </w:pPr>
    </w:p>
    <w:p w14:paraId="3D1AF361">
      <w:pPr>
        <w:spacing w:line="200" w:lineRule="exact"/>
        <w:rPr>
          <w:rFonts w:hint="eastAsia" w:ascii="宋体" w:hAnsi="宋体" w:eastAsia="宋体" w:cs="宋体"/>
          <w:sz w:val="20"/>
          <w:highlight w:val="none"/>
        </w:rPr>
      </w:pPr>
    </w:p>
    <w:p w14:paraId="217D3980">
      <w:pPr>
        <w:spacing w:line="200" w:lineRule="exact"/>
        <w:rPr>
          <w:rFonts w:hint="eastAsia" w:ascii="宋体" w:hAnsi="宋体" w:eastAsia="宋体" w:cs="宋体"/>
          <w:sz w:val="20"/>
          <w:highlight w:val="none"/>
        </w:rPr>
      </w:pPr>
    </w:p>
    <w:p w14:paraId="2EA5D7DC">
      <w:pPr>
        <w:spacing w:line="200" w:lineRule="exact"/>
        <w:rPr>
          <w:rFonts w:hint="eastAsia" w:ascii="宋体" w:hAnsi="宋体" w:eastAsia="宋体" w:cs="宋体"/>
          <w:sz w:val="20"/>
          <w:highlight w:val="none"/>
        </w:rPr>
      </w:pPr>
    </w:p>
    <w:p w14:paraId="046CE750">
      <w:pPr>
        <w:spacing w:line="200" w:lineRule="exact"/>
        <w:rPr>
          <w:rFonts w:hint="eastAsia" w:ascii="宋体" w:hAnsi="宋体" w:eastAsia="宋体" w:cs="宋体"/>
          <w:sz w:val="20"/>
          <w:highlight w:val="none"/>
        </w:rPr>
      </w:pPr>
    </w:p>
    <w:p w14:paraId="460200FD">
      <w:pPr>
        <w:spacing w:line="200" w:lineRule="exact"/>
        <w:rPr>
          <w:rFonts w:hint="eastAsia" w:ascii="宋体" w:hAnsi="宋体" w:eastAsia="宋体" w:cs="宋体"/>
          <w:sz w:val="20"/>
          <w:highlight w:val="none"/>
        </w:rPr>
      </w:pPr>
    </w:p>
    <w:p w14:paraId="670E627E">
      <w:pPr>
        <w:spacing w:line="200" w:lineRule="exact"/>
        <w:rPr>
          <w:rFonts w:hint="eastAsia" w:ascii="宋体" w:hAnsi="宋体" w:eastAsia="宋体" w:cs="宋体"/>
          <w:sz w:val="20"/>
          <w:highlight w:val="none"/>
        </w:rPr>
      </w:pPr>
    </w:p>
    <w:p w14:paraId="15504483">
      <w:pPr>
        <w:spacing w:line="200" w:lineRule="exact"/>
        <w:rPr>
          <w:rFonts w:hint="eastAsia" w:ascii="宋体" w:hAnsi="宋体" w:eastAsia="宋体" w:cs="宋体"/>
          <w:sz w:val="20"/>
          <w:highlight w:val="none"/>
        </w:rPr>
      </w:pPr>
    </w:p>
    <w:p w14:paraId="3BF9F9AF">
      <w:pPr>
        <w:spacing w:line="200" w:lineRule="exact"/>
        <w:rPr>
          <w:rFonts w:hint="eastAsia" w:ascii="宋体" w:hAnsi="宋体" w:eastAsia="宋体" w:cs="宋体"/>
          <w:sz w:val="20"/>
          <w:highlight w:val="none"/>
        </w:rPr>
      </w:pPr>
    </w:p>
    <w:p w14:paraId="3A691080">
      <w:pPr>
        <w:spacing w:line="200" w:lineRule="exact"/>
        <w:rPr>
          <w:rFonts w:hint="eastAsia" w:ascii="宋体" w:hAnsi="宋体" w:eastAsia="宋体" w:cs="宋体"/>
          <w:sz w:val="20"/>
          <w:highlight w:val="none"/>
        </w:rPr>
      </w:pPr>
    </w:p>
    <w:p w14:paraId="368EC4F9">
      <w:pPr>
        <w:spacing w:line="200" w:lineRule="exact"/>
        <w:rPr>
          <w:rFonts w:hint="eastAsia" w:ascii="宋体" w:hAnsi="宋体" w:eastAsia="宋体" w:cs="宋体"/>
          <w:sz w:val="20"/>
          <w:highlight w:val="none"/>
        </w:rPr>
      </w:pPr>
    </w:p>
    <w:p w14:paraId="14E54137">
      <w:pPr>
        <w:spacing w:line="200" w:lineRule="exact"/>
        <w:rPr>
          <w:rFonts w:hint="eastAsia" w:ascii="宋体" w:hAnsi="宋体" w:eastAsia="宋体" w:cs="宋体"/>
          <w:sz w:val="20"/>
          <w:highlight w:val="none"/>
        </w:rPr>
      </w:pPr>
    </w:p>
    <w:p w14:paraId="53E2DF06">
      <w:pPr>
        <w:spacing w:line="200" w:lineRule="exact"/>
        <w:rPr>
          <w:rFonts w:hint="eastAsia" w:ascii="宋体" w:hAnsi="宋体" w:eastAsia="宋体" w:cs="宋体"/>
          <w:sz w:val="20"/>
          <w:highlight w:val="none"/>
        </w:rPr>
      </w:pPr>
    </w:p>
    <w:p w14:paraId="584FF259">
      <w:pPr>
        <w:spacing w:line="200" w:lineRule="exact"/>
        <w:rPr>
          <w:rFonts w:hint="eastAsia" w:ascii="宋体" w:hAnsi="宋体" w:eastAsia="宋体" w:cs="宋体"/>
          <w:sz w:val="20"/>
          <w:highlight w:val="none"/>
        </w:rPr>
      </w:pPr>
    </w:p>
    <w:p w14:paraId="2BEED9A4">
      <w:pPr>
        <w:spacing w:line="200" w:lineRule="exact"/>
        <w:rPr>
          <w:rFonts w:hint="eastAsia" w:ascii="宋体" w:hAnsi="宋体" w:eastAsia="宋体" w:cs="宋体"/>
          <w:sz w:val="20"/>
          <w:highlight w:val="none"/>
        </w:rPr>
      </w:pPr>
    </w:p>
    <w:p w14:paraId="08EDCC30">
      <w:pPr>
        <w:spacing w:line="200" w:lineRule="exact"/>
        <w:rPr>
          <w:rFonts w:hint="eastAsia" w:ascii="宋体" w:hAnsi="宋体" w:eastAsia="宋体" w:cs="宋体"/>
          <w:sz w:val="20"/>
          <w:highlight w:val="none"/>
        </w:rPr>
      </w:pPr>
    </w:p>
    <w:p w14:paraId="0A2CF116">
      <w:pPr>
        <w:spacing w:line="200" w:lineRule="exact"/>
        <w:rPr>
          <w:rFonts w:hint="eastAsia" w:ascii="宋体" w:hAnsi="宋体" w:eastAsia="宋体" w:cs="宋体"/>
          <w:sz w:val="20"/>
          <w:highlight w:val="none"/>
        </w:rPr>
      </w:pPr>
    </w:p>
    <w:p w14:paraId="67A86EB3">
      <w:pPr>
        <w:spacing w:line="200" w:lineRule="exact"/>
        <w:rPr>
          <w:rFonts w:hint="eastAsia" w:ascii="宋体" w:hAnsi="宋体" w:eastAsia="宋体" w:cs="宋体"/>
          <w:sz w:val="20"/>
          <w:highlight w:val="none"/>
        </w:rPr>
      </w:pPr>
    </w:p>
    <w:p w14:paraId="7F1DAD70">
      <w:pPr>
        <w:spacing w:line="200" w:lineRule="exact"/>
        <w:rPr>
          <w:rFonts w:hint="eastAsia" w:ascii="宋体" w:hAnsi="宋体" w:eastAsia="宋体" w:cs="宋体"/>
          <w:sz w:val="20"/>
          <w:highlight w:val="none"/>
        </w:rPr>
      </w:pPr>
    </w:p>
    <w:p w14:paraId="03793015">
      <w:pPr>
        <w:spacing w:line="200" w:lineRule="exact"/>
        <w:rPr>
          <w:rFonts w:hint="eastAsia" w:ascii="宋体" w:hAnsi="宋体" w:eastAsia="宋体" w:cs="宋体"/>
          <w:sz w:val="20"/>
          <w:highlight w:val="none"/>
        </w:rPr>
      </w:pPr>
    </w:p>
    <w:p w14:paraId="6A273F66">
      <w:pPr>
        <w:spacing w:line="200" w:lineRule="exact"/>
        <w:rPr>
          <w:rFonts w:hint="eastAsia" w:ascii="宋体" w:hAnsi="宋体" w:eastAsia="宋体" w:cs="宋体"/>
          <w:sz w:val="20"/>
          <w:highlight w:val="none"/>
        </w:rPr>
      </w:pPr>
    </w:p>
    <w:p w14:paraId="0781AC43">
      <w:pPr>
        <w:spacing w:line="200" w:lineRule="exact"/>
        <w:rPr>
          <w:rFonts w:hint="eastAsia" w:ascii="宋体" w:hAnsi="宋体" w:eastAsia="宋体" w:cs="宋体"/>
          <w:sz w:val="20"/>
          <w:highlight w:val="none"/>
        </w:rPr>
      </w:pPr>
    </w:p>
    <w:p w14:paraId="69BF0977">
      <w:pPr>
        <w:spacing w:line="200" w:lineRule="exact"/>
        <w:rPr>
          <w:rFonts w:hint="eastAsia" w:ascii="宋体" w:hAnsi="宋体" w:eastAsia="宋体" w:cs="宋体"/>
          <w:sz w:val="20"/>
          <w:highlight w:val="none"/>
        </w:rPr>
      </w:pPr>
    </w:p>
    <w:p w14:paraId="2ADEC518">
      <w:pPr>
        <w:pStyle w:val="8"/>
        <w:rPr>
          <w:rFonts w:hint="eastAsia" w:ascii="宋体" w:hAnsi="宋体" w:eastAsia="宋体" w:cs="宋体"/>
          <w:sz w:val="20"/>
          <w:highlight w:val="none"/>
        </w:rPr>
      </w:pPr>
    </w:p>
    <w:p w14:paraId="772DA148">
      <w:pPr>
        <w:pStyle w:val="8"/>
        <w:rPr>
          <w:rFonts w:hint="eastAsia" w:ascii="宋体" w:hAnsi="宋体" w:eastAsia="宋体" w:cs="宋体"/>
          <w:sz w:val="20"/>
          <w:highlight w:val="none"/>
        </w:rPr>
      </w:pPr>
    </w:p>
    <w:p w14:paraId="3AFD6294">
      <w:pPr>
        <w:pStyle w:val="8"/>
        <w:rPr>
          <w:rFonts w:hint="eastAsia" w:ascii="宋体" w:hAnsi="宋体" w:eastAsia="宋体" w:cs="宋体"/>
          <w:sz w:val="20"/>
          <w:highlight w:val="none"/>
        </w:rPr>
      </w:pPr>
    </w:p>
    <w:p w14:paraId="117491FA">
      <w:pPr>
        <w:pStyle w:val="8"/>
        <w:rPr>
          <w:rFonts w:hint="eastAsia" w:ascii="宋体" w:hAnsi="宋体" w:eastAsia="宋体" w:cs="宋体"/>
          <w:sz w:val="20"/>
          <w:highlight w:val="none"/>
        </w:rPr>
      </w:pPr>
    </w:p>
    <w:p w14:paraId="5C5B5269">
      <w:pPr>
        <w:pStyle w:val="8"/>
        <w:rPr>
          <w:rFonts w:hint="eastAsia" w:ascii="宋体" w:hAnsi="宋体" w:eastAsia="宋体" w:cs="宋体"/>
          <w:sz w:val="20"/>
          <w:highlight w:val="none"/>
        </w:rPr>
      </w:pPr>
    </w:p>
    <w:p w14:paraId="345752E3">
      <w:pPr>
        <w:keepNext w:val="0"/>
        <w:keepLines w:val="0"/>
        <w:pageBreakBefore/>
        <w:widowControl/>
        <w:kinsoku/>
        <w:wordWrap/>
        <w:overflowPunct/>
        <w:topLinePunct w:val="0"/>
        <w:autoSpaceDE w:val="0"/>
        <w:autoSpaceDN w:val="0"/>
        <w:bidi w:val="0"/>
        <w:adjustRightInd/>
        <w:snapToGrid/>
        <w:spacing w:line="400" w:lineRule="exact"/>
        <w:jc w:val="both"/>
        <w:textAlignment w:val="auto"/>
        <w:rPr>
          <w:highlight w:val="none"/>
        </w:rPr>
      </w:pPr>
      <w:r>
        <w:rPr>
          <w:rFonts w:hint="eastAsia" w:ascii="宋体" w:hAnsi="宋体" w:eastAsia="宋体" w:cs="宋体"/>
          <w:b/>
          <w:sz w:val="24"/>
          <w:highlight w:val="none"/>
        </w:rPr>
        <w:t>附件六履约保证金格式</w:t>
      </w:r>
    </w:p>
    <w:p w14:paraId="50DA3547">
      <w:pPr>
        <w:spacing w:line="200" w:lineRule="exact"/>
        <w:rPr>
          <w:rFonts w:hint="eastAsia" w:ascii="宋体" w:hAnsi="宋体" w:eastAsia="宋体" w:cs="宋体"/>
          <w:sz w:val="20"/>
          <w:highlight w:val="none"/>
        </w:rPr>
      </w:pPr>
    </w:p>
    <w:p w14:paraId="5AF5ED42">
      <w:pPr>
        <w:spacing w:line="200" w:lineRule="exact"/>
        <w:rPr>
          <w:rFonts w:hint="eastAsia" w:ascii="宋体" w:hAnsi="宋体" w:eastAsia="宋体" w:cs="宋体"/>
          <w:sz w:val="20"/>
          <w:highlight w:val="none"/>
        </w:rPr>
      </w:pPr>
    </w:p>
    <w:p w14:paraId="01A1AA78">
      <w:pPr>
        <w:spacing w:line="200" w:lineRule="exact"/>
        <w:rPr>
          <w:rFonts w:hint="eastAsia" w:ascii="宋体" w:hAnsi="宋体" w:eastAsia="宋体" w:cs="宋体"/>
          <w:sz w:val="20"/>
          <w:highlight w:val="none"/>
        </w:rPr>
      </w:pPr>
    </w:p>
    <w:p w14:paraId="49EE3F5F">
      <w:pPr>
        <w:spacing w:line="200" w:lineRule="exact"/>
        <w:rPr>
          <w:rFonts w:hint="eastAsia" w:ascii="宋体" w:hAnsi="宋体" w:eastAsia="宋体" w:cs="宋体"/>
          <w:sz w:val="20"/>
          <w:highlight w:val="none"/>
        </w:rPr>
      </w:pPr>
    </w:p>
    <w:p w14:paraId="495F7FF1">
      <w:pPr>
        <w:autoSpaceDE w:val="0"/>
        <w:autoSpaceDN w:val="0"/>
        <w:spacing w:line="260" w:lineRule="exact"/>
        <w:ind w:left="0" w:leftChars="0" w:firstLine="436" w:firstLineChars="182"/>
        <w:jc w:val="both"/>
        <w:rPr>
          <w:highlight w:val="none"/>
        </w:rPr>
      </w:pPr>
      <w:r>
        <w:rPr>
          <w:rFonts w:hint="eastAsia" w:ascii="宋体" w:hAnsi="宋体" w:eastAsia="宋体" w:cs="宋体"/>
          <w:sz w:val="24"/>
          <w:highlight w:val="none"/>
        </w:rPr>
        <w:t>如采用银行保函，格式如下。</w:t>
      </w:r>
    </w:p>
    <w:p w14:paraId="5ECF7FD2">
      <w:pPr>
        <w:autoSpaceDE w:val="0"/>
        <w:autoSpaceDN w:val="0"/>
        <w:spacing w:line="480" w:lineRule="exact"/>
        <w:ind w:left="0" w:leftChars="0" w:firstLine="436" w:firstLineChars="182"/>
        <w:jc w:val="center"/>
        <w:rPr>
          <w:highlight w:val="none"/>
        </w:rPr>
      </w:pPr>
      <w:r>
        <w:rPr>
          <w:rFonts w:hint="eastAsia" w:ascii="宋体" w:hAnsi="宋体" w:eastAsia="宋体" w:cs="宋体"/>
          <w:sz w:val="24"/>
          <w:highlight w:val="none"/>
        </w:rPr>
        <w:t>履约保证金</w:t>
      </w:r>
      <w:r>
        <w:rPr>
          <w:rFonts w:hint="eastAsia" w:ascii="宋体" w:hAnsi="宋体" w:eastAsia="宋体" w:cs="宋体"/>
          <w:sz w:val="24"/>
          <w:highlight w:val="none"/>
          <w:lang w:val="en-US" w:eastAsia="zh-CN"/>
        </w:rPr>
        <w:t>/保函</w:t>
      </w:r>
      <w:r>
        <w:rPr>
          <w:rFonts w:hint="eastAsia" w:ascii="宋体" w:hAnsi="宋体" w:eastAsia="宋体" w:cs="宋体"/>
          <w:sz w:val="24"/>
          <w:highlight w:val="none"/>
        </w:rPr>
        <w:t>（格式）</w:t>
      </w:r>
    </w:p>
    <w:p w14:paraId="002A590B">
      <w:pPr>
        <w:autoSpaceDE w:val="0"/>
        <w:autoSpaceDN w:val="0"/>
        <w:spacing w:line="460" w:lineRule="exact"/>
        <w:ind w:left="0" w:leftChars="0" w:firstLine="382" w:firstLineChars="182"/>
        <w:jc w:val="both"/>
        <w:rPr>
          <w:highlight w:val="none"/>
        </w:rPr>
      </w:pPr>
      <w:r>
        <w:rPr>
          <w:highlight w:val="none"/>
        </w:rPr>
        <w:tab/>
      </w:r>
      <w:r>
        <w:rPr>
          <w:rFonts w:hint="eastAsia" w:ascii="宋体" w:hAnsi="宋体" w:eastAsia="宋体" w:cs="宋体"/>
          <w:sz w:val="24"/>
          <w:highlight w:val="none"/>
          <w:u w:val="single" w:color="000000"/>
        </w:rPr>
        <w:t>（发包人名称）：</w:t>
      </w:r>
    </w:p>
    <w:p w14:paraId="425FB75F">
      <w:pPr>
        <w:autoSpaceDE w:val="0"/>
        <w:autoSpaceDN w:val="0"/>
        <w:spacing w:line="460" w:lineRule="exact"/>
        <w:ind w:left="0" w:leftChars="0" w:firstLine="436" w:firstLineChars="182"/>
        <w:jc w:val="both"/>
        <w:rPr>
          <w:highlight w:val="none"/>
        </w:rPr>
      </w:pPr>
      <w:r>
        <w:rPr>
          <w:rFonts w:hint="eastAsia" w:ascii="宋体" w:hAnsi="宋体" w:eastAsia="宋体" w:cs="宋体"/>
          <w:sz w:val="24"/>
          <w:highlight w:val="none"/>
        </w:rPr>
        <w:t>鉴于</w:t>
      </w:r>
      <w:r>
        <w:rPr>
          <w:highlight w:val="none"/>
          <w:u w:val="single" w:color="000000"/>
        </w:rPr>
        <w:tab/>
      </w:r>
      <w:r>
        <w:rPr>
          <w:rFonts w:hint="eastAsia" w:ascii="宋体" w:hAnsi="宋体" w:eastAsia="宋体" w:cs="宋体"/>
          <w:sz w:val="24"/>
          <w:highlight w:val="none"/>
          <w:u w:val="single" w:color="000000"/>
        </w:rPr>
        <w:t>（发</w:t>
      </w:r>
      <w:r>
        <w:rPr>
          <w:rFonts w:hint="eastAsia" w:ascii="宋体" w:hAnsi="宋体" w:eastAsia="宋体" w:cs="宋体"/>
          <w:sz w:val="24"/>
          <w:highlight w:val="none"/>
        </w:rPr>
        <w:t>包人名称，以下简称“发包人”）接受</w:t>
      </w:r>
      <w:r>
        <w:rPr>
          <w:highlight w:val="none"/>
          <w:u w:val="single" w:color="000000"/>
        </w:rPr>
        <w:tab/>
      </w:r>
      <w:r>
        <w:rPr>
          <w:rFonts w:hint="eastAsia" w:ascii="宋体" w:hAnsi="宋体" w:eastAsia="宋体" w:cs="宋体"/>
          <w:sz w:val="24"/>
          <w:highlight w:val="none"/>
          <w:u w:val="single" w:color="000000"/>
        </w:rPr>
        <w:t>（承</w:t>
      </w:r>
      <w:r>
        <w:rPr>
          <w:rFonts w:hint="eastAsia" w:ascii="宋体" w:hAnsi="宋体" w:eastAsia="宋体" w:cs="宋体"/>
          <w:sz w:val="24"/>
          <w:highlight w:val="none"/>
        </w:rPr>
        <w:t>包人名称，以下简称“承包人”）于</w:t>
      </w:r>
      <w:r>
        <w:rPr>
          <w:highlight w:val="none"/>
          <w:u w:val="single" w:color="000000"/>
        </w:rPr>
        <w:tab/>
      </w:r>
      <w:r>
        <w:rPr>
          <w:rFonts w:hint="eastAsia" w:ascii="宋体" w:hAnsi="宋体" w:eastAsia="宋体" w:cs="宋体"/>
          <w:sz w:val="24"/>
          <w:highlight w:val="none"/>
          <w:u w:val="single" w:color="000000"/>
        </w:rPr>
        <w:t>年</w:t>
      </w:r>
      <w:r>
        <w:rPr>
          <w:highlight w:val="none"/>
          <w:u w:val="single" w:color="000000"/>
        </w:rPr>
        <w:tab/>
      </w:r>
      <w:r>
        <w:rPr>
          <w:rFonts w:hint="eastAsia" w:ascii="宋体" w:hAnsi="宋体" w:eastAsia="宋体" w:cs="宋体"/>
          <w:sz w:val="24"/>
          <w:highlight w:val="none"/>
          <w:u w:val="single" w:color="000000"/>
        </w:rPr>
        <w:t>月</w:t>
      </w:r>
      <w:r>
        <w:rPr>
          <w:highlight w:val="none"/>
          <w:u w:val="single" w:color="000000"/>
        </w:rPr>
        <w:tab/>
      </w:r>
      <w:r>
        <w:rPr>
          <w:rFonts w:hint="eastAsia" w:ascii="宋体" w:hAnsi="宋体" w:eastAsia="宋体" w:cs="宋体"/>
          <w:sz w:val="24"/>
          <w:highlight w:val="none"/>
          <w:u w:val="single" w:color="000000"/>
        </w:rPr>
        <w:t>日参</w:t>
      </w:r>
      <w:r>
        <w:rPr>
          <w:rFonts w:hint="eastAsia" w:ascii="宋体" w:hAnsi="宋体" w:eastAsia="宋体" w:cs="宋体"/>
          <w:sz w:val="24"/>
          <w:highlight w:val="none"/>
        </w:rPr>
        <w:t>加</w:t>
      </w:r>
      <w:r>
        <w:rPr>
          <w:highlight w:val="none"/>
          <w:u w:val="single" w:color="000000"/>
        </w:rPr>
        <w:tab/>
      </w:r>
      <w:r>
        <w:rPr>
          <w:rFonts w:hint="eastAsia" w:ascii="宋体" w:hAnsi="宋体" w:eastAsia="宋体" w:cs="宋体"/>
          <w:sz w:val="24"/>
          <w:highlight w:val="none"/>
          <w:u w:val="single" w:color="000000"/>
        </w:rPr>
        <w:t>（项目名称）标类（或标段）施</w:t>
      </w:r>
      <w:r>
        <w:rPr>
          <w:rFonts w:hint="eastAsia" w:ascii="宋体" w:hAnsi="宋体" w:eastAsia="宋体" w:cs="宋体"/>
          <w:sz w:val="24"/>
          <w:highlight w:val="none"/>
        </w:rPr>
        <w:t>工的投标。我方愿意无条件地、不可撤销地就承包人履行与你方订立的合同，向你方提供担保。</w:t>
      </w:r>
    </w:p>
    <w:p w14:paraId="3B9F1FA7">
      <w:pPr>
        <w:numPr>
          <w:ilvl w:val="0"/>
          <w:numId w:val="0"/>
        </w:numPr>
        <w:autoSpaceDE w:val="0"/>
        <w:autoSpaceDN w:val="0"/>
        <w:spacing w:line="480" w:lineRule="exact"/>
        <w:ind w:leftChars="182"/>
        <w:jc w:val="both"/>
        <w:rPr>
          <w:color w:val="000000"/>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担保金额人民币（大写）</w:t>
      </w:r>
      <w:r>
        <w:rPr>
          <w:highlight w:val="none"/>
          <w:u w:val="single" w:color="000000"/>
        </w:rPr>
        <w:tab/>
      </w:r>
      <w:r>
        <w:rPr>
          <w:rFonts w:hint="eastAsia" w:ascii="宋体" w:hAnsi="宋体" w:eastAsia="宋体" w:cs="宋体"/>
          <w:sz w:val="24"/>
          <w:highlight w:val="none"/>
          <w:u w:val="single" w:color="000000"/>
        </w:rPr>
        <w:t>元（</w:t>
      </w:r>
      <w:r>
        <w:rPr>
          <w:rFonts w:hint="eastAsia" w:ascii="宋体" w:hAnsi="宋体" w:eastAsia="宋体" w:cs="宋体"/>
          <w:sz w:val="24"/>
          <w:highlight w:val="none"/>
        </w:rPr>
        <w:t>¥</w:t>
      </w:r>
      <w:r>
        <w:rPr>
          <w:highlight w:val="none"/>
          <w:u w:val="single" w:color="000000"/>
        </w:rPr>
        <w:tab/>
      </w:r>
      <w:r>
        <w:rPr>
          <w:rFonts w:hint="eastAsia" w:ascii="宋体" w:hAnsi="宋体" w:eastAsia="宋体" w:cs="宋体"/>
          <w:sz w:val="24"/>
          <w:highlight w:val="none"/>
          <w:u w:val="single" w:color="000000"/>
        </w:rPr>
        <w:t>）。</w:t>
      </w:r>
    </w:p>
    <w:p w14:paraId="12A9A254">
      <w:pPr>
        <w:numPr>
          <w:ilvl w:val="0"/>
          <w:numId w:val="0"/>
        </w:numPr>
        <w:autoSpaceDE w:val="0"/>
        <w:autoSpaceDN w:val="0"/>
        <w:spacing w:line="460" w:lineRule="exact"/>
        <w:ind w:left="0" w:leftChars="0" w:firstLine="439" w:firstLineChars="183"/>
        <w:jc w:val="both"/>
        <w:rPr>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担保有效期自发包人与承包人签订的合同生效之日起至发包人签发交工验收证书且承包人按照合同约定缴纳质量保证金之日止。</w:t>
      </w:r>
    </w:p>
    <w:p w14:paraId="0E41C1E8">
      <w:pPr>
        <w:autoSpaceDE w:val="0"/>
        <w:autoSpaceDN w:val="0"/>
        <w:spacing w:line="460" w:lineRule="exact"/>
        <w:ind w:left="0" w:leftChars="0" w:right="160" w:rightChars="0" w:firstLine="436" w:firstLineChars="182"/>
        <w:jc w:val="both"/>
        <w:rPr>
          <w:highlight w:val="none"/>
        </w:rPr>
      </w:pPr>
      <w:r>
        <w:rPr>
          <w:rFonts w:hint="eastAsia" w:ascii="宋体" w:hAnsi="宋体" w:eastAsia="宋体" w:cs="宋体"/>
          <w:sz w:val="24"/>
          <w:highlight w:val="none"/>
        </w:rPr>
        <w:t>3.在本担保有效期内，因承包人违反合同约定的义务给你方造成经济损失时，我方在收到你方以书面形式提出的在担保金额内的赔偿要求后，在7日内无条件支付，无须你方出具证明或陈述理由。</w:t>
      </w:r>
    </w:p>
    <w:p w14:paraId="752DB985">
      <w:pPr>
        <w:autoSpaceDE w:val="0"/>
        <w:autoSpaceDN w:val="0"/>
        <w:spacing w:line="480" w:lineRule="exact"/>
        <w:ind w:left="0" w:leftChars="0" w:firstLine="436" w:firstLineChars="182"/>
        <w:jc w:val="both"/>
        <w:rPr>
          <w:highlight w:val="none"/>
        </w:rPr>
      </w:pPr>
      <w:r>
        <w:rPr>
          <w:rFonts w:hint="eastAsia" w:ascii="宋体" w:hAnsi="宋体" w:eastAsia="宋体" w:cs="宋体"/>
          <w:sz w:val="24"/>
          <w:highlight w:val="none"/>
        </w:rPr>
        <w:t>4.发包人和承包人按合同条款第15条变更合同时，无论我方是否收到该变更，我方承担本担保规定的义务不变。</w:t>
      </w:r>
    </w:p>
    <w:p w14:paraId="4037124A">
      <w:pPr>
        <w:spacing w:line="200" w:lineRule="exact"/>
        <w:rPr>
          <w:rFonts w:hint="eastAsia" w:ascii="宋体" w:hAnsi="宋体" w:eastAsia="宋体" w:cs="宋体"/>
          <w:sz w:val="20"/>
          <w:highlight w:val="none"/>
        </w:rPr>
      </w:pPr>
    </w:p>
    <w:p w14:paraId="3428B096">
      <w:pPr>
        <w:spacing w:line="200" w:lineRule="exact"/>
        <w:rPr>
          <w:rFonts w:hint="eastAsia" w:ascii="宋体" w:hAnsi="宋体" w:eastAsia="宋体" w:cs="宋体"/>
          <w:sz w:val="20"/>
          <w:highlight w:val="none"/>
        </w:rPr>
      </w:pPr>
    </w:p>
    <w:p w14:paraId="2B252B72">
      <w:pPr>
        <w:spacing w:line="200" w:lineRule="exact"/>
        <w:rPr>
          <w:rFonts w:hint="eastAsia" w:ascii="宋体" w:hAnsi="宋体" w:eastAsia="宋体" w:cs="宋体"/>
          <w:sz w:val="20"/>
          <w:highlight w:val="none"/>
        </w:rPr>
      </w:pPr>
    </w:p>
    <w:p w14:paraId="585B4951">
      <w:pPr>
        <w:spacing w:line="200" w:lineRule="exact"/>
        <w:rPr>
          <w:rFonts w:hint="eastAsia" w:ascii="宋体" w:hAnsi="宋体" w:eastAsia="宋体" w:cs="宋体"/>
          <w:sz w:val="20"/>
          <w:highlight w:val="none"/>
        </w:rPr>
      </w:pPr>
    </w:p>
    <w:p w14:paraId="7A792F0F">
      <w:pPr>
        <w:autoSpaceDE w:val="0"/>
        <w:autoSpaceDN w:val="0"/>
        <w:spacing w:line="400" w:lineRule="exact"/>
        <w:ind w:left="630" w:leftChars="300" w:firstLine="3518" w:firstLineChars="1466"/>
        <w:jc w:val="both"/>
        <w:rPr>
          <w:highlight w:val="none"/>
        </w:rPr>
      </w:pPr>
      <w:r>
        <w:rPr>
          <w:rFonts w:hint="eastAsia" w:ascii="宋体" w:hAnsi="宋体" w:eastAsia="宋体" w:cs="宋体"/>
          <w:sz w:val="24"/>
          <w:highlight w:val="none"/>
        </w:rPr>
        <w:t>担保人名称：</w:t>
      </w:r>
      <w:r>
        <w:rPr>
          <w:rFonts w:hint="eastAsia" w:ascii="宋体" w:hAnsi="宋体" w:eastAsia="宋体" w:cs="宋体"/>
          <w:sz w:val="24"/>
          <w:highlight w:val="none"/>
          <w:u w:val="single" w:color="000000"/>
        </w:rPr>
        <w:t>（盖单位章）</w:t>
      </w:r>
      <w:r>
        <w:rPr>
          <w:highlight w:val="none"/>
          <w:u w:val="single" w:color="000000"/>
        </w:rPr>
        <w:tab/>
      </w:r>
    </w:p>
    <w:p w14:paraId="4077D0F2">
      <w:pPr>
        <w:autoSpaceDE w:val="0"/>
        <w:autoSpaceDN w:val="0"/>
        <w:spacing w:line="460" w:lineRule="exact"/>
        <w:ind w:left="630" w:leftChars="300" w:firstLine="3518" w:firstLineChars="1466"/>
        <w:jc w:val="both"/>
        <w:rPr>
          <w:highlight w:val="none"/>
        </w:rPr>
      </w:pPr>
      <w:r>
        <w:rPr>
          <w:rFonts w:hint="eastAsia" w:ascii="宋体" w:hAnsi="宋体" w:eastAsia="宋体" w:cs="宋体"/>
          <w:sz w:val="24"/>
          <w:highlight w:val="none"/>
        </w:rPr>
        <w:t>法定代表人或其委托代理人：</w:t>
      </w:r>
      <w:r>
        <w:rPr>
          <w:rFonts w:hint="eastAsia" w:ascii="宋体" w:hAnsi="宋体" w:eastAsia="宋体" w:cs="宋体"/>
          <w:sz w:val="24"/>
          <w:highlight w:val="none"/>
          <w:u w:val="single" w:color="000000"/>
        </w:rPr>
        <w:t>（签字）</w:t>
      </w:r>
    </w:p>
    <w:p w14:paraId="72241DDF">
      <w:pPr>
        <w:autoSpaceDE w:val="0"/>
        <w:autoSpaceDN w:val="0"/>
        <w:spacing w:line="480" w:lineRule="exact"/>
        <w:ind w:left="630" w:leftChars="300" w:firstLine="3518" w:firstLineChars="1466"/>
        <w:jc w:val="both"/>
        <w:rPr>
          <w:highlight w:val="none"/>
        </w:rPr>
      </w:pPr>
      <w:r>
        <w:rPr>
          <w:rFonts w:hint="eastAsia" w:ascii="宋体" w:hAnsi="宋体" w:eastAsia="宋体" w:cs="宋体"/>
          <w:sz w:val="24"/>
          <w:highlight w:val="none"/>
        </w:rPr>
        <w:t>地址：</w:t>
      </w:r>
    </w:p>
    <w:p w14:paraId="3EF3F1C5">
      <w:pPr>
        <w:autoSpaceDE w:val="0"/>
        <w:autoSpaceDN w:val="0"/>
        <w:spacing w:line="460" w:lineRule="exact"/>
        <w:ind w:left="630" w:leftChars="300" w:firstLine="3518" w:firstLineChars="1466"/>
        <w:jc w:val="both"/>
        <w:rPr>
          <w:highlight w:val="none"/>
        </w:rPr>
      </w:pPr>
      <w:r>
        <w:rPr>
          <w:rFonts w:hint="eastAsia" w:ascii="宋体" w:hAnsi="宋体" w:eastAsia="宋体" w:cs="宋体"/>
          <w:sz w:val="24"/>
          <w:highlight w:val="none"/>
        </w:rPr>
        <w:t>邮政编码：</w:t>
      </w:r>
    </w:p>
    <w:p w14:paraId="3F05F7A6">
      <w:pPr>
        <w:autoSpaceDE w:val="0"/>
        <w:autoSpaceDN w:val="0"/>
        <w:spacing w:line="460" w:lineRule="exact"/>
        <w:ind w:left="630" w:leftChars="300" w:firstLine="3518" w:firstLineChars="1466"/>
        <w:jc w:val="both"/>
        <w:rPr>
          <w:highlight w:val="none"/>
        </w:rPr>
      </w:pPr>
      <w:r>
        <w:rPr>
          <w:rFonts w:hint="eastAsia" w:ascii="宋体" w:hAnsi="宋体" w:eastAsia="宋体" w:cs="宋体"/>
          <w:sz w:val="24"/>
          <w:highlight w:val="none"/>
        </w:rPr>
        <w:t>电话：</w:t>
      </w:r>
    </w:p>
    <w:p w14:paraId="5E3E6598">
      <w:pPr>
        <w:autoSpaceDE w:val="0"/>
        <w:autoSpaceDN w:val="0"/>
        <w:spacing w:line="480" w:lineRule="exact"/>
        <w:ind w:left="630" w:leftChars="300" w:firstLine="3518" w:firstLineChars="1466"/>
        <w:jc w:val="both"/>
        <w:rPr>
          <w:highlight w:val="none"/>
        </w:rPr>
      </w:pPr>
      <w:r>
        <w:rPr>
          <w:rFonts w:hint="eastAsia" w:ascii="宋体" w:hAnsi="宋体" w:eastAsia="宋体" w:cs="宋体"/>
          <w:sz w:val="24"/>
          <w:highlight w:val="none"/>
        </w:rPr>
        <w:t>传真：</w:t>
      </w:r>
    </w:p>
    <w:p w14:paraId="60042313">
      <w:pPr>
        <w:spacing w:line="200" w:lineRule="exact"/>
        <w:rPr>
          <w:rFonts w:hint="eastAsia" w:ascii="宋体" w:hAnsi="宋体" w:eastAsia="宋体" w:cs="宋体"/>
          <w:sz w:val="20"/>
          <w:highlight w:val="none"/>
        </w:rPr>
      </w:pPr>
    </w:p>
    <w:p w14:paraId="2192327C">
      <w:pPr>
        <w:spacing w:line="200" w:lineRule="exact"/>
        <w:rPr>
          <w:rFonts w:hint="eastAsia" w:ascii="宋体" w:hAnsi="宋体" w:eastAsia="宋体" w:cs="宋体"/>
          <w:sz w:val="20"/>
          <w:highlight w:val="none"/>
        </w:rPr>
      </w:pPr>
    </w:p>
    <w:p w14:paraId="4A91DF02">
      <w:pPr>
        <w:spacing w:line="200" w:lineRule="exact"/>
        <w:rPr>
          <w:rFonts w:hint="eastAsia" w:ascii="宋体" w:hAnsi="宋体" w:eastAsia="宋体" w:cs="宋体"/>
          <w:sz w:val="20"/>
          <w:highlight w:val="none"/>
        </w:rPr>
      </w:pPr>
    </w:p>
    <w:p w14:paraId="40BAE4CF">
      <w:pPr>
        <w:autoSpaceDE w:val="0"/>
        <w:autoSpaceDN w:val="0"/>
        <w:spacing w:line="320" w:lineRule="exact"/>
        <w:ind w:firstLine="5760" w:firstLineChars="2400"/>
        <w:jc w:val="both"/>
        <w:rPr>
          <w:highlight w:val="none"/>
        </w:rPr>
      </w:pP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19B30E40">
      <w:pPr>
        <w:spacing w:line="200" w:lineRule="exact"/>
        <w:rPr>
          <w:rFonts w:hint="eastAsia" w:ascii="宋体" w:hAnsi="宋体" w:eastAsia="宋体" w:cs="宋体"/>
          <w:sz w:val="20"/>
          <w:highlight w:val="none"/>
        </w:rPr>
      </w:pPr>
    </w:p>
    <w:p w14:paraId="3F7EA644">
      <w:pPr>
        <w:spacing w:line="200" w:lineRule="exact"/>
        <w:rPr>
          <w:rFonts w:hint="eastAsia" w:ascii="宋体" w:hAnsi="宋体" w:eastAsia="宋体" w:cs="宋体"/>
          <w:sz w:val="20"/>
          <w:highlight w:val="none"/>
        </w:rPr>
      </w:pPr>
    </w:p>
    <w:p w14:paraId="36310A46">
      <w:pPr>
        <w:spacing w:line="200" w:lineRule="exact"/>
        <w:rPr>
          <w:rFonts w:hint="eastAsia" w:ascii="宋体" w:hAnsi="宋体" w:eastAsia="宋体" w:cs="宋体"/>
          <w:sz w:val="20"/>
          <w:highlight w:val="none"/>
        </w:rPr>
      </w:pPr>
    </w:p>
    <w:p w14:paraId="4B33D818">
      <w:pPr>
        <w:spacing w:line="200" w:lineRule="exact"/>
        <w:rPr>
          <w:rFonts w:hint="eastAsia" w:ascii="宋体" w:hAnsi="宋体" w:eastAsia="宋体" w:cs="宋体"/>
          <w:sz w:val="20"/>
          <w:highlight w:val="none"/>
        </w:rPr>
      </w:pPr>
    </w:p>
    <w:p w14:paraId="3680E253">
      <w:pPr>
        <w:spacing w:line="1" w:lineRule="exact"/>
        <w:rPr>
          <w:rFonts w:hint="eastAsia" w:ascii="Arial" w:hAnsi="Arial" w:eastAsia="Arial" w:cs="Arial"/>
          <w:sz w:val="10"/>
          <w:highlight w:val="none"/>
        </w:rPr>
      </w:pPr>
    </w:p>
    <w:p w14:paraId="5D537B60">
      <w:pPr>
        <w:spacing w:line="200" w:lineRule="exact"/>
        <w:rPr>
          <w:rFonts w:hint="eastAsia" w:ascii="宋体" w:hAnsi="宋体" w:eastAsia="宋体" w:cs="宋体"/>
          <w:sz w:val="20"/>
          <w:highlight w:val="none"/>
        </w:rPr>
      </w:pPr>
    </w:p>
    <w:p w14:paraId="545F0E53">
      <w:pPr>
        <w:keepNext w:val="0"/>
        <w:keepLines w:val="0"/>
        <w:pageBreakBefore/>
        <w:widowControl/>
        <w:kinsoku/>
        <w:wordWrap/>
        <w:overflowPunct/>
        <w:topLinePunct w:val="0"/>
        <w:autoSpaceDE w:val="0"/>
        <w:autoSpaceDN w:val="0"/>
        <w:bidi w:val="0"/>
        <w:adjustRightInd/>
        <w:snapToGrid/>
        <w:spacing w:line="400" w:lineRule="exact"/>
        <w:ind w:left="6" w:leftChars="0" w:firstLine="436" w:firstLineChars="181"/>
        <w:jc w:val="both"/>
        <w:textAlignment w:val="auto"/>
        <w:rPr>
          <w:highlight w:val="none"/>
        </w:rPr>
      </w:pPr>
      <w:r>
        <w:rPr>
          <w:rFonts w:hint="eastAsia" w:ascii="宋体" w:hAnsi="宋体" w:eastAsia="宋体" w:cs="宋体"/>
          <w:b/>
          <w:sz w:val="24"/>
          <w:highlight w:val="none"/>
        </w:rPr>
        <w:t>附件七：水运工程建设项目资金监管（托管）协议</w:t>
      </w:r>
    </w:p>
    <w:p w14:paraId="1F66055D">
      <w:pPr>
        <w:spacing w:line="200" w:lineRule="exact"/>
        <w:ind w:left="4" w:leftChars="0" w:firstLine="362" w:firstLineChars="181"/>
        <w:rPr>
          <w:rFonts w:hint="eastAsia" w:ascii="宋体" w:hAnsi="宋体" w:eastAsia="宋体" w:cs="宋体"/>
          <w:sz w:val="20"/>
          <w:highlight w:val="none"/>
        </w:rPr>
      </w:pPr>
    </w:p>
    <w:p w14:paraId="1F99501F">
      <w:pPr>
        <w:spacing w:line="200" w:lineRule="exact"/>
        <w:ind w:left="4" w:leftChars="0" w:firstLine="362" w:firstLineChars="181"/>
        <w:rPr>
          <w:rFonts w:hint="eastAsia" w:ascii="宋体" w:hAnsi="宋体" w:eastAsia="宋体" w:cs="宋体"/>
          <w:sz w:val="20"/>
          <w:highlight w:val="none"/>
        </w:rPr>
      </w:pPr>
    </w:p>
    <w:p w14:paraId="7F2C8812">
      <w:pPr>
        <w:spacing w:line="200" w:lineRule="exact"/>
        <w:ind w:left="4" w:leftChars="0" w:firstLine="362" w:firstLineChars="181"/>
        <w:rPr>
          <w:rFonts w:hint="eastAsia" w:ascii="宋体" w:hAnsi="宋体" w:eastAsia="宋体" w:cs="宋体"/>
          <w:sz w:val="20"/>
          <w:highlight w:val="none"/>
        </w:rPr>
      </w:pPr>
    </w:p>
    <w:p w14:paraId="7C17DB4A">
      <w:pPr>
        <w:spacing w:line="200" w:lineRule="exact"/>
        <w:ind w:left="4" w:leftChars="0" w:firstLine="362" w:firstLineChars="181"/>
        <w:rPr>
          <w:rFonts w:hint="eastAsia" w:ascii="宋体" w:hAnsi="宋体" w:eastAsia="宋体" w:cs="宋体"/>
          <w:sz w:val="20"/>
          <w:highlight w:val="none"/>
        </w:rPr>
      </w:pPr>
    </w:p>
    <w:p w14:paraId="204204F2">
      <w:pPr>
        <w:spacing w:line="200" w:lineRule="exact"/>
        <w:ind w:left="4" w:leftChars="0" w:firstLine="362" w:firstLineChars="181"/>
        <w:rPr>
          <w:rFonts w:hint="eastAsia" w:ascii="宋体" w:hAnsi="宋体" w:eastAsia="宋体" w:cs="宋体"/>
          <w:sz w:val="20"/>
          <w:highlight w:val="none"/>
        </w:rPr>
      </w:pPr>
    </w:p>
    <w:p w14:paraId="70AF9C1F">
      <w:pPr>
        <w:autoSpaceDE w:val="0"/>
        <w:autoSpaceDN w:val="0"/>
        <w:spacing w:line="380" w:lineRule="exact"/>
        <w:ind w:left="4" w:leftChars="0" w:firstLine="636" w:firstLineChars="181"/>
        <w:jc w:val="both"/>
        <w:rPr>
          <w:highlight w:val="none"/>
        </w:rPr>
      </w:pPr>
      <w:r>
        <w:rPr>
          <w:rFonts w:hint="eastAsia" w:ascii="宋体" w:hAnsi="宋体" w:eastAsia="宋体" w:cs="宋体"/>
          <w:b/>
          <w:sz w:val="35"/>
          <w:highlight w:val="none"/>
        </w:rPr>
        <w:t>水运工程建设项目资金监管（托管）协议</w:t>
      </w:r>
    </w:p>
    <w:p w14:paraId="72432E3F">
      <w:pPr>
        <w:autoSpaceDE w:val="0"/>
        <w:autoSpaceDN w:val="0"/>
        <w:spacing w:line="580" w:lineRule="exact"/>
        <w:ind w:left="4" w:leftChars="0" w:firstLine="434" w:firstLineChars="181"/>
        <w:jc w:val="both"/>
        <w:rPr>
          <w:highlight w:val="none"/>
        </w:rPr>
      </w:pPr>
      <w:r>
        <w:rPr>
          <w:rFonts w:hint="eastAsia" w:ascii="宋体" w:hAnsi="宋体" w:eastAsia="宋体" w:cs="宋体"/>
          <w:sz w:val="24"/>
          <w:highlight w:val="none"/>
        </w:rPr>
        <w:t>协议编号：</w:t>
      </w:r>
    </w:p>
    <w:p w14:paraId="727F45AD">
      <w:pPr>
        <w:spacing w:line="200" w:lineRule="exact"/>
        <w:ind w:left="4" w:leftChars="0" w:firstLine="362" w:firstLineChars="181"/>
        <w:rPr>
          <w:rFonts w:hint="eastAsia" w:ascii="宋体" w:hAnsi="宋体" w:eastAsia="宋体" w:cs="宋体"/>
          <w:sz w:val="20"/>
          <w:highlight w:val="none"/>
        </w:rPr>
      </w:pPr>
    </w:p>
    <w:p w14:paraId="6295A276">
      <w:pPr>
        <w:spacing w:line="200" w:lineRule="exact"/>
        <w:ind w:left="4" w:leftChars="0" w:firstLine="362" w:firstLineChars="181"/>
        <w:rPr>
          <w:rFonts w:hint="eastAsia" w:ascii="宋体" w:hAnsi="宋体" w:eastAsia="宋体" w:cs="宋体"/>
          <w:sz w:val="20"/>
          <w:highlight w:val="none"/>
        </w:rPr>
      </w:pPr>
    </w:p>
    <w:p w14:paraId="6B482E2C">
      <w:pPr>
        <w:spacing w:line="200" w:lineRule="exact"/>
        <w:ind w:left="4" w:leftChars="0" w:firstLine="362" w:firstLineChars="181"/>
        <w:rPr>
          <w:rFonts w:hint="eastAsia" w:ascii="宋体" w:hAnsi="宋体" w:eastAsia="宋体" w:cs="宋体"/>
          <w:sz w:val="20"/>
          <w:highlight w:val="none"/>
        </w:rPr>
      </w:pPr>
    </w:p>
    <w:p w14:paraId="33CF86E2">
      <w:pPr>
        <w:autoSpaceDE w:val="0"/>
        <w:autoSpaceDN w:val="0"/>
        <w:spacing w:line="340" w:lineRule="exact"/>
        <w:ind w:left="4" w:leftChars="0" w:firstLine="436" w:firstLineChars="181"/>
        <w:jc w:val="both"/>
        <w:rPr>
          <w:highlight w:val="none"/>
        </w:rPr>
      </w:pPr>
      <w:r>
        <w:rPr>
          <w:rFonts w:hint="eastAsia" w:ascii="宋体" w:hAnsi="宋体" w:eastAsia="宋体" w:cs="宋体"/>
          <w:b/>
          <w:sz w:val="24"/>
          <w:highlight w:val="none"/>
        </w:rPr>
        <w:t>甲方（发包人）：</w:t>
      </w:r>
    </w:p>
    <w:p w14:paraId="32018C7D">
      <w:pPr>
        <w:autoSpaceDE w:val="0"/>
        <w:autoSpaceDN w:val="0"/>
        <w:spacing w:line="460" w:lineRule="exact"/>
        <w:ind w:left="4" w:leftChars="0" w:firstLine="436" w:firstLineChars="181"/>
        <w:jc w:val="both"/>
        <w:rPr>
          <w:highlight w:val="none"/>
        </w:rPr>
      </w:pPr>
      <w:r>
        <w:rPr>
          <w:rFonts w:hint="eastAsia" w:ascii="宋体" w:hAnsi="宋体" w:eastAsia="宋体" w:cs="宋体"/>
          <w:b/>
          <w:sz w:val="24"/>
          <w:highlight w:val="none"/>
        </w:rPr>
        <w:t>住所（地址）：</w:t>
      </w:r>
    </w:p>
    <w:p w14:paraId="6100039B">
      <w:pPr>
        <w:autoSpaceDE w:val="0"/>
        <w:autoSpaceDN w:val="0"/>
        <w:spacing w:line="460" w:lineRule="exact"/>
        <w:ind w:left="4" w:leftChars="0" w:firstLine="436" w:firstLineChars="181"/>
        <w:jc w:val="both"/>
        <w:rPr>
          <w:highlight w:val="none"/>
        </w:rPr>
      </w:pPr>
      <w:r>
        <w:rPr>
          <w:rFonts w:hint="eastAsia" w:ascii="宋体" w:hAnsi="宋体" w:eastAsia="宋体" w:cs="宋体"/>
          <w:b/>
          <w:sz w:val="24"/>
          <w:highlight w:val="none"/>
        </w:rPr>
        <w:t>电话：传真：</w:t>
      </w:r>
    </w:p>
    <w:p w14:paraId="2B4C47F0">
      <w:pPr>
        <w:autoSpaceDE w:val="0"/>
        <w:autoSpaceDN w:val="0"/>
        <w:spacing w:line="480" w:lineRule="exact"/>
        <w:ind w:left="4" w:leftChars="0" w:firstLine="436" w:firstLineChars="181"/>
        <w:jc w:val="both"/>
        <w:rPr>
          <w:highlight w:val="none"/>
        </w:rPr>
      </w:pPr>
      <w:r>
        <w:rPr>
          <w:rFonts w:hint="eastAsia" w:ascii="宋体" w:hAnsi="宋体" w:eastAsia="宋体" w:cs="宋体"/>
          <w:b/>
          <w:sz w:val="24"/>
          <w:highlight w:val="none"/>
        </w:rPr>
        <w:t>法定代表人/负责人：</w:t>
      </w:r>
    </w:p>
    <w:p w14:paraId="403357CE">
      <w:pPr>
        <w:spacing w:line="200" w:lineRule="exact"/>
        <w:ind w:left="4" w:leftChars="0" w:firstLine="362" w:firstLineChars="181"/>
        <w:rPr>
          <w:rFonts w:hint="eastAsia" w:ascii="宋体" w:hAnsi="宋体" w:eastAsia="宋体" w:cs="宋体"/>
          <w:sz w:val="20"/>
          <w:highlight w:val="none"/>
        </w:rPr>
      </w:pPr>
    </w:p>
    <w:p w14:paraId="6C862A9A">
      <w:pPr>
        <w:spacing w:line="200" w:lineRule="exact"/>
        <w:ind w:left="4" w:leftChars="0" w:firstLine="362" w:firstLineChars="181"/>
        <w:rPr>
          <w:rFonts w:hint="eastAsia" w:ascii="宋体" w:hAnsi="宋体" w:eastAsia="宋体" w:cs="宋体"/>
          <w:sz w:val="20"/>
          <w:highlight w:val="none"/>
        </w:rPr>
      </w:pPr>
    </w:p>
    <w:p w14:paraId="686E368A">
      <w:pPr>
        <w:spacing w:line="200" w:lineRule="exact"/>
        <w:ind w:left="4" w:leftChars="0" w:firstLine="362" w:firstLineChars="181"/>
        <w:rPr>
          <w:rFonts w:hint="eastAsia" w:ascii="宋体" w:hAnsi="宋体" w:eastAsia="宋体" w:cs="宋体"/>
          <w:sz w:val="20"/>
          <w:highlight w:val="none"/>
        </w:rPr>
      </w:pPr>
    </w:p>
    <w:p w14:paraId="065EA940">
      <w:pPr>
        <w:autoSpaceDE w:val="0"/>
        <w:autoSpaceDN w:val="0"/>
        <w:spacing w:line="320" w:lineRule="exact"/>
        <w:ind w:left="4" w:leftChars="0" w:firstLine="436" w:firstLineChars="181"/>
        <w:jc w:val="both"/>
        <w:rPr>
          <w:highlight w:val="none"/>
        </w:rPr>
      </w:pPr>
      <w:r>
        <w:rPr>
          <w:rFonts w:hint="eastAsia" w:ascii="宋体" w:hAnsi="宋体" w:eastAsia="宋体" w:cs="宋体"/>
          <w:b/>
          <w:sz w:val="24"/>
          <w:highlight w:val="none"/>
        </w:rPr>
        <w:t>乙方（承包人）：</w:t>
      </w:r>
    </w:p>
    <w:p w14:paraId="2E7FB59A">
      <w:pPr>
        <w:autoSpaceDE w:val="0"/>
        <w:autoSpaceDN w:val="0"/>
        <w:spacing w:line="480" w:lineRule="exact"/>
        <w:ind w:left="4" w:leftChars="0" w:firstLine="436" w:firstLineChars="181"/>
        <w:jc w:val="both"/>
        <w:rPr>
          <w:highlight w:val="none"/>
        </w:rPr>
      </w:pPr>
      <w:r>
        <w:rPr>
          <w:rFonts w:hint="eastAsia" w:ascii="宋体" w:hAnsi="宋体" w:eastAsia="宋体" w:cs="宋体"/>
          <w:b/>
          <w:sz w:val="24"/>
          <w:highlight w:val="none"/>
        </w:rPr>
        <w:t>住所（地址）：</w:t>
      </w:r>
    </w:p>
    <w:p w14:paraId="71107919">
      <w:pPr>
        <w:autoSpaceDE w:val="0"/>
        <w:autoSpaceDN w:val="0"/>
        <w:spacing w:line="460" w:lineRule="exact"/>
        <w:ind w:left="4" w:leftChars="0" w:firstLine="436" w:firstLineChars="181"/>
        <w:jc w:val="both"/>
        <w:rPr>
          <w:highlight w:val="none"/>
        </w:rPr>
      </w:pPr>
      <w:r>
        <w:rPr>
          <w:rFonts w:hint="eastAsia" w:ascii="宋体" w:hAnsi="宋体" w:eastAsia="宋体" w:cs="宋体"/>
          <w:b/>
          <w:sz w:val="24"/>
          <w:highlight w:val="none"/>
        </w:rPr>
        <w:t>电话：传真：</w:t>
      </w:r>
    </w:p>
    <w:p w14:paraId="6BAD33CC">
      <w:pPr>
        <w:autoSpaceDE w:val="0"/>
        <w:autoSpaceDN w:val="0"/>
        <w:spacing w:line="460" w:lineRule="exact"/>
        <w:ind w:left="4" w:leftChars="0" w:firstLine="436" w:firstLineChars="181"/>
        <w:jc w:val="both"/>
        <w:rPr>
          <w:highlight w:val="none"/>
        </w:rPr>
      </w:pPr>
      <w:r>
        <w:rPr>
          <w:rFonts w:hint="eastAsia" w:ascii="宋体" w:hAnsi="宋体" w:eastAsia="宋体" w:cs="宋体"/>
          <w:b/>
          <w:sz w:val="24"/>
          <w:highlight w:val="none"/>
        </w:rPr>
        <w:t>法定代表人/负责人：</w:t>
      </w:r>
    </w:p>
    <w:p w14:paraId="1297D694">
      <w:pPr>
        <w:spacing w:line="200" w:lineRule="exact"/>
        <w:ind w:left="4" w:leftChars="0" w:firstLine="362" w:firstLineChars="181"/>
        <w:rPr>
          <w:rFonts w:hint="eastAsia" w:ascii="宋体" w:hAnsi="宋体" w:eastAsia="宋体" w:cs="宋体"/>
          <w:sz w:val="20"/>
          <w:highlight w:val="none"/>
        </w:rPr>
      </w:pPr>
    </w:p>
    <w:p w14:paraId="00F9F6C8">
      <w:pPr>
        <w:spacing w:line="200" w:lineRule="exact"/>
        <w:ind w:left="4" w:leftChars="0" w:firstLine="362" w:firstLineChars="181"/>
        <w:rPr>
          <w:rFonts w:hint="eastAsia" w:ascii="宋体" w:hAnsi="宋体" w:eastAsia="宋体" w:cs="宋体"/>
          <w:sz w:val="20"/>
          <w:highlight w:val="none"/>
        </w:rPr>
      </w:pPr>
    </w:p>
    <w:p w14:paraId="68821729">
      <w:pPr>
        <w:spacing w:line="200" w:lineRule="exact"/>
        <w:ind w:left="4" w:leftChars="0" w:firstLine="362" w:firstLineChars="181"/>
        <w:rPr>
          <w:rFonts w:hint="eastAsia" w:ascii="宋体" w:hAnsi="宋体" w:eastAsia="宋体" w:cs="宋体"/>
          <w:sz w:val="20"/>
          <w:highlight w:val="none"/>
        </w:rPr>
      </w:pPr>
    </w:p>
    <w:p w14:paraId="3C175EF5">
      <w:pPr>
        <w:autoSpaceDE w:val="0"/>
        <w:autoSpaceDN w:val="0"/>
        <w:spacing w:line="340" w:lineRule="exact"/>
        <w:ind w:left="4" w:leftChars="0" w:firstLine="436" w:firstLineChars="181"/>
        <w:jc w:val="both"/>
        <w:rPr>
          <w:highlight w:val="none"/>
        </w:rPr>
      </w:pPr>
      <w:r>
        <w:rPr>
          <w:rFonts w:hint="eastAsia" w:ascii="宋体" w:hAnsi="宋体" w:eastAsia="宋体" w:cs="宋体"/>
          <w:b/>
          <w:sz w:val="24"/>
          <w:highlight w:val="none"/>
        </w:rPr>
        <w:t>丙方（监管银行）：</w:t>
      </w:r>
    </w:p>
    <w:p w14:paraId="1E471DF0">
      <w:pPr>
        <w:autoSpaceDE w:val="0"/>
        <w:autoSpaceDN w:val="0"/>
        <w:spacing w:line="460" w:lineRule="exact"/>
        <w:ind w:left="4" w:leftChars="0" w:firstLine="436" w:firstLineChars="181"/>
        <w:jc w:val="both"/>
        <w:rPr>
          <w:highlight w:val="none"/>
        </w:rPr>
      </w:pPr>
      <w:r>
        <w:rPr>
          <w:rFonts w:hint="eastAsia" w:ascii="宋体" w:hAnsi="宋体" w:eastAsia="宋体" w:cs="宋体"/>
          <w:b/>
          <w:sz w:val="24"/>
          <w:highlight w:val="none"/>
        </w:rPr>
        <w:t>住所（地址）：</w:t>
      </w:r>
    </w:p>
    <w:p w14:paraId="5011386A">
      <w:pPr>
        <w:autoSpaceDE w:val="0"/>
        <w:autoSpaceDN w:val="0"/>
        <w:spacing w:line="480" w:lineRule="exact"/>
        <w:ind w:left="4" w:leftChars="0" w:firstLine="436" w:firstLineChars="181"/>
        <w:jc w:val="both"/>
        <w:rPr>
          <w:highlight w:val="none"/>
        </w:rPr>
      </w:pPr>
      <w:r>
        <w:rPr>
          <w:rFonts w:hint="eastAsia" w:ascii="宋体" w:hAnsi="宋体" w:eastAsia="宋体" w:cs="宋体"/>
          <w:b/>
          <w:sz w:val="24"/>
          <w:highlight w:val="none"/>
        </w:rPr>
        <w:t>电话：传真：</w:t>
      </w:r>
    </w:p>
    <w:p w14:paraId="510F157B">
      <w:pPr>
        <w:autoSpaceDE w:val="0"/>
        <w:autoSpaceDN w:val="0"/>
        <w:spacing w:line="460" w:lineRule="exact"/>
        <w:ind w:left="4" w:leftChars="0" w:firstLine="436" w:firstLineChars="181"/>
        <w:jc w:val="both"/>
        <w:rPr>
          <w:highlight w:val="none"/>
        </w:rPr>
      </w:pPr>
      <w:r>
        <w:rPr>
          <w:rFonts w:hint="eastAsia" w:ascii="宋体" w:hAnsi="宋体" w:eastAsia="宋体" w:cs="宋体"/>
          <w:b/>
          <w:sz w:val="24"/>
          <w:highlight w:val="none"/>
        </w:rPr>
        <w:t>法定代表人/负责人：</w:t>
      </w:r>
    </w:p>
    <w:p w14:paraId="349B0EF3">
      <w:pPr>
        <w:spacing w:line="200" w:lineRule="exact"/>
        <w:ind w:left="4" w:leftChars="0" w:firstLine="362" w:firstLineChars="181"/>
        <w:rPr>
          <w:rFonts w:hint="eastAsia" w:ascii="宋体" w:hAnsi="宋体" w:eastAsia="宋体" w:cs="宋体"/>
          <w:sz w:val="20"/>
          <w:highlight w:val="none"/>
        </w:rPr>
      </w:pPr>
    </w:p>
    <w:p w14:paraId="2A0F2DB4">
      <w:pPr>
        <w:spacing w:line="200" w:lineRule="exact"/>
        <w:ind w:left="4" w:leftChars="0" w:firstLine="362" w:firstLineChars="181"/>
        <w:rPr>
          <w:rFonts w:hint="eastAsia" w:ascii="宋体" w:hAnsi="宋体" w:eastAsia="宋体" w:cs="宋体"/>
          <w:sz w:val="20"/>
          <w:highlight w:val="none"/>
        </w:rPr>
      </w:pPr>
    </w:p>
    <w:p w14:paraId="6CC1B210">
      <w:pPr>
        <w:spacing w:line="200" w:lineRule="exact"/>
        <w:ind w:left="4" w:leftChars="0" w:firstLine="362" w:firstLineChars="181"/>
        <w:rPr>
          <w:rFonts w:hint="eastAsia" w:ascii="宋体" w:hAnsi="宋体" w:eastAsia="宋体" w:cs="宋体"/>
          <w:sz w:val="20"/>
          <w:highlight w:val="none"/>
        </w:rPr>
      </w:pPr>
    </w:p>
    <w:p w14:paraId="0C6AAC6B">
      <w:pPr>
        <w:autoSpaceDE w:val="0"/>
        <w:autoSpaceDN w:val="0"/>
        <w:spacing w:line="340" w:lineRule="exact"/>
        <w:ind w:left="4" w:leftChars="0" w:firstLine="434" w:firstLineChars="181"/>
        <w:jc w:val="both"/>
        <w:rPr>
          <w:highlight w:val="none"/>
        </w:rPr>
      </w:pPr>
      <w:r>
        <w:rPr>
          <w:rFonts w:hint="eastAsia" w:ascii="宋体" w:hAnsi="宋体" w:eastAsia="宋体" w:cs="宋体"/>
          <w:sz w:val="24"/>
          <w:highlight w:val="none"/>
        </w:rPr>
        <w:t>根据甲方和乙方于</w:t>
      </w:r>
      <w:r>
        <w:rPr>
          <w:highlight w:val="none"/>
          <w:u w:val="single" w:color="000000"/>
        </w:rPr>
        <w:tab/>
      </w:r>
      <w:r>
        <w:rPr>
          <w:rFonts w:hint="eastAsia" w:ascii="宋体" w:hAnsi="宋体" w:eastAsia="宋体" w:cs="宋体"/>
          <w:sz w:val="24"/>
          <w:highlight w:val="none"/>
          <w:u w:val="single" w:color="000000"/>
        </w:rPr>
        <w:t>年</w:t>
      </w:r>
      <w:r>
        <w:rPr>
          <w:highlight w:val="none"/>
          <w:u w:val="single" w:color="000000"/>
        </w:rPr>
        <w:tab/>
      </w:r>
      <w:r>
        <w:rPr>
          <w:rFonts w:hint="eastAsia" w:ascii="宋体" w:hAnsi="宋体" w:eastAsia="宋体" w:cs="宋体"/>
          <w:sz w:val="24"/>
          <w:highlight w:val="none"/>
          <w:u w:val="single" w:color="000000"/>
        </w:rPr>
        <w:t>月</w:t>
      </w:r>
      <w:r>
        <w:rPr>
          <w:highlight w:val="none"/>
          <w:u w:val="single" w:color="000000"/>
        </w:rPr>
        <w:tab/>
      </w:r>
      <w:r>
        <w:rPr>
          <w:rFonts w:hint="eastAsia" w:ascii="宋体" w:hAnsi="宋体" w:eastAsia="宋体" w:cs="宋体"/>
          <w:sz w:val="24"/>
          <w:highlight w:val="none"/>
          <w:u w:val="single" w:color="000000"/>
        </w:rPr>
        <w:t>日签</w:t>
      </w:r>
      <w:r>
        <w:rPr>
          <w:rFonts w:hint="eastAsia" w:ascii="宋体" w:hAnsi="宋体" w:eastAsia="宋体" w:cs="宋体"/>
          <w:sz w:val="24"/>
          <w:highlight w:val="none"/>
        </w:rPr>
        <w:t>订的《</w:t>
      </w:r>
      <w:r>
        <w:rPr>
          <w:highlight w:val="none"/>
          <w:u w:val="single" w:color="000000"/>
        </w:rPr>
        <w:tab/>
      </w:r>
      <w:r>
        <w:rPr>
          <w:rFonts w:hint="eastAsia" w:ascii="宋体" w:hAnsi="宋体" w:eastAsia="宋体" w:cs="宋体"/>
          <w:sz w:val="24"/>
          <w:highlight w:val="none"/>
          <w:u w:val="single" w:color="000000"/>
        </w:rPr>
        <w:t>》（</w:t>
      </w:r>
      <w:r>
        <w:rPr>
          <w:rFonts w:hint="eastAsia" w:ascii="宋体" w:hAnsi="宋体" w:eastAsia="宋体" w:cs="宋体"/>
          <w:sz w:val="24"/>
          <w:highlight w:val="none"/>
        </w:rPr>
        <w:t>合同号：</w:t>
      </w:r>
      <w:r>
        <w:rPr>
          <w:highlight w:val="none"/>
          <w:u w:val="single" w:color="000000"/>
        </w:rPr>
        <w:tab/>
      </w:r>
      <w:r>
        <w:rPr>
          <w:rFonts w:hint="eastAsia" w:ascii="宋体" w:hAnsi="宋体" w:eastAsia="宋体" w:cs="宋体"/>
          <w:sz w:val="24"/>
          <w:highlight w:val="none"/>
          <w:u w:val="single" w:color="000000"/>
        </w:rPr>
        <w:t>，下</w:t>
      </w:r>
      <w:r>
        <w:rPr>
          <w:rFonts w:hint="eastAsia" w:ascii="宋体" w:hAnsi="宋体" w:eastAsia="宋体" w:cs="宋体"/>
          <w:sz w:val="24"/>
          <w:highlight w:val="none"/>
        </w:rPr>
        <w:t>称“专项合同”），为保证专项合同项下建设项目（下称“建设项目”）按计划完工，确保建设资金专款专用，防止挤占、挪用工程资金和拖欠施工人员工资、材料款、租赁费、分包费等，甲、乙、丙三方本着平等自愿、诚实信用原则，经协商一致，就建设项目资金托管服务有关事宜订立本协议。</w:t>
      </w:r>
    </w:p>
    <w:p w14:paraId="3C49D077">
      <w:pPr>
        <w:autoSpaceDE w:val="0"/>
        <w:autoSpaceDN w:val="0"/>
        <w:spacing w:line="460" w:lineRule="exact"/>
        <w:ind w:left="4" w:leftChars="0" w:firstLine="436" w:firstLineChars="181"/>
        <w:jc w:val="both"/>
        <w:rPr>
          <w:highlight w:val="none"/>
        </w:rPr>
      </w:pPr>
      <w:r>
        <w:rPr>
          <w:rFonts w:hint="eastAsia" w:ascii="宋体" w:hAnsi="宋体" w:eastAsia="宋体" w:cs="宋体"/>
          <w:b/>
          <w:sz w:val="24"/>
          <w:highlight w:val="none"/>
        </w:rPr>
        <w:t>第一条账户开立</w:t>
      </w:r>
    </w:p>
    <w:p w14:paraId="1F950E6E">
      <w:pPr>
        <w:autoSpaceDE w:val="0"/>
        <w:autoSpaceDN w:val="0"/>
        <w:spacing w:line="480" w:lineRule="exact"/>
        <w:ind w:left="4" w:leftChars="0" w:firstLine="434" w:firstLineChars="181"/>
        <w:jc w:val="both"/>
        <w:rPr>
          <w:rFonts w:hint="eastAsia" w:ascii="宋体" w:hAnsi="宋体" w:eastAsia="宋体" w:cs="宋体"/>
          <w:sz w:val="20"/>
          <w:highlight w:val="none"/>
        </w:rPr>
      </w:pPr>
      <w:r>
        <w:rPr>
          <w:rFonts w:hint="eastAsia" w:ascii="宋体" w:hAnsi="宋体" w:eastAsia="宋体" w:cs="宋体"/>
          <w:sz w:val="24"/>
          <w:highlight w:val="none"/>
        </w:rPr>
        <w:t>（一）为便于建设项目资金监管，乙方在丙方经办网点开立唯一的建设项目资金收支人民币活期结算账户（开户行</w:t>
      </w:r>
      <w:r>
        <w:rPr>
          <w:rFonts w:hint="eastAsia" w:ascii="宋体" w:hAnsi="宋体" w:eastAsia="宋体" w:cs="宋体"/>
          <w:sz w:val="24"/>
          <w:highlight w:val="none"/>
          <w:u w:val="single" w:color="000000"/>
        </w:rPr>
        <w:t>：</w:t>
      </w:r>
      <w:r>
        <w:rPr>
          <w:highlight w:val="none"/>
        </w:rPr>
        <w:tab/>
      </w:r>
      <w:r>
        <w:rPr>
          <w:rFonts w:hint="eastAsia" w:ascii="宋体" w:hAnsi="宋体" w:eastAsia="宋体" w:cs="宋体"/>
          <w:sz w:val="24"/>
          <w:highlight w:val="none"/>
          <w:u w:val="single" w:color="000000"/>
        </w:rPr>
        <w:t>，</w:t>
      </w:r>
      <w:r>
        <w:rPr>
          <w:rFonts w:hint="eastAsia" w:ascii="宋体" w:hAnsi="宋体" w:eastAsia="宋体" w:cs="宋体"/>
          <w:sz w:val="24"/>
          <w:highlight w:val="none"/>
        </w:rPr>
        <w:t>户名：</w:t>
      </w:r>
      <w:r>
        <w:rPr>
          <w:highlight w:val="none"/>
          <w:u w:val="single" w:color="000000"/>
        </w:rPr>
        <w:tab/>
      </w:r>
      <w:r>
        <w:rPr>
          <w:rFonts w:hint="eastAsia" w:ascii="宋体" w:hAnsi="宋体" w:eastAsia="宋体" w:cs="宋体"/>
          <w:sz w:val="24"/>
          <w:highlight w:val="none"/>
          <w:u w:val="single" w:color="000000"/>
        </w:rPr>
        <w:t>，账</w:t>
      </w:r>
      <w:r>
        <w:rPr>
          <w:rFonts w:hint="eastAsia" w:ascii="宋体" w:hAnsi="宋体" w:eastAsia="宋体" w:cs="宋体"/>
          <w:sz w:val="24"/>
          <w:highlight w:val="none"/>
        </w:rPr>
        <w:t>号：</w:t>
      </w:r>
      <w:r>
        <w:rPr>
          <w:highlight w:val="none"/>
          <w:u w:val="single" w:color="000000"/>
        </w:rPr>
        <w:tab/>
      </w:r>
      <w:r>
        <w:rPr>
          <w:rFonts w:hint="eastAsia" w:ascii="宋体" w:hAnsi="宋体" w:eastAsia="宋体" w:cs="宋体"/>
          <w:sz w:val="24"/>
          <w:highlight w:val="none"/>
          <w:u w:val="single" w:color="000000"/>
        </w:rPr>
        <w:t>），</w:t>
      </w:r>
      <w:r>
        <w:rPr>
          <w:highlight w:val="none"/>
        </w:rPr>
        <w:br w:type="page"/>
      </w:r>
    </w:p>
    <w:p w14:paraId="49214272">
      <w:pPr>
        <w:spacing w:line="1" w:lineRule="exact"/>
        <w:rPr>
          <w:rFonts w:hint="eastAsia" w:ascii="Arial" w:hAnsi="Arial" w:eastAsia="Arial" w:cs="Arial"/>
          <w:sz w:val="10"/>
          <w:highlight w:val="none"/>
        </w:rPr>
      </w:pPr>
    </w:p>
    <w:p w14:paraId="5398617C">
      <w:pPr>
        <w:spacing w:line="200" w:lineRule="exact"/>
        <w:rPr>
          <w:rFonts w:hint="eastAsia" w:ascii="宋体" w:hAnsi="宋体" w:eastAsia="宋体" w:cs="宋体"/>
          <w:sz w:val="20"/>
          <w:highlight w:val="none"/>
        </w:rPr>
      </w:pPr>
    </w:p>
    <w:p w14:paraId="3CF977D7">
      <w:pPr>
        <w:autoSpaceDE w:val="0"/>
        <w:autoSpaceDN w:val="0"/>
        <w:spacing w:line="400" w:lineRule="exact"/>
        <w:ind w:left="0" w:leftChars="0" w:right="-57" w:rightChars="-27" w:firstLine="439" w:firstLineChars="183"/>
        <w:jc w:val="both"/>
        <w:rPr>
          <w:highlight w:val="none"/>
        </w:rPr>
      </w:pPr>
      <w:r>
        <w:rPr>
          <w:rFonts w:hint="eastAsia" w:ascii="宋体" w:hAnsi="宋体" w:eastAsia="宋体" w:cs="宋体"/>
          <w:sz w:val="24"/>
          <w:highlight w:val="none"/>
        </w:rPr>
        <w:t>仅用于核算甲方支付给乙方的建设项目资金归集和支付。自本协议签订之日起，至建设项目交竣工且结算结清完毕之日止，乙方在建设项目中所有收入和支出均纳入该账户进行结算。乙方应保证账户正常使用，该账户不得使用网上银行。</w:t>
      </w:r>
    </w:p>
    <w:p w14:paraId="301257AE">
      <w:pPr>
        <w:autoSpaceDE w:val="0"/>
        <w:autoSpaceDN w:val="0"/>
        <w:spacing w:line="480" w:lineRule="exact"/>
        <w:ind w:left="0" w:leftChars="0" w:right="-57" w:rightChars="-27" w:firstLine="439" w:firstLineChars="183"/>
        <w:jc w:val="both"/>
        <w:rPr>
          <w:highlight w:val="none"/>
        </w:rPr>
      </w:pPr>
      <w:r>
        <w:rPr>
          <w:rFonts w:hint="eastAsia" w:ascii="宋体" w:hAnsi="宋体" w:eastAsia="宋体" w:cs="宋体"/>
          <w:sz w:val="24"/>
          <w:highlight w:val="none"/>
        </w:rPr>
        <w:t>（二）乙方委托丙方开立保管建设项目专项资金的专用托管账户（开户行：</w:t>
      </w:r>
      <w:r>
        <w:rPr>
          <w:color w:val="FFFFFF"/>
          <w:sz w:val="16"/>
          <w:highlight w:val="none"/>
        </w:rPr>
        <w:t xml:space="preserve"> </w:t>
      </w:r>
      <w:r>
        <w:rPr>
          <w:rFonts w:hint="eastAsia" w:ascii="宋体" w:hAnsi="宋体" w:eastAsia="宋体" w:cs="宋体"/>
          <w:sz w:val="24"/>
          <w:highlight w:val="none"/>
        </w:rPr>
        <w:t>，</w:t>
      </w:r>
    </w:p>
    <w:p w14:paraId="12E5E35A">
      <w:pPr>
        <w:autoSpaceDE w:val="0"/>
        <w:autoSpaceDN w:val="0"/>
        <w:spacing w:line="460" w:lineRule="exact"/>
        <w:ind w:left="0" w:leftChars="0" w:right="-57" w:rightChars="-27" w:firstLine="439" w:firstLineChars="183"/>
        <w:jc w:val="both"/>
        <w:rPr>
          <w:highlight w:val="none"/>
        </w:rPr>
      </w:pPr>
      <w:r>
        <w:rPr>
          <w:rFonts w:hint="eastAsia" w:ascii="宋体" w:hAnsi="宋体" w:eastAsia="宋体" w:cs="宋体"/>
          <w:sz w:val="24"/>
          <w:highlight w:val="none"/>
        </w:rPr>
        <w:t>账户名称：</w:t>
      </w:r>
      <w:r>
        <w:rPr>
          <w:highlight w:val="none"/>
          <w:u w:val="single" w:color="000000"/>
        </w:rPr>
        <w:tab/>
      </w:r>
      <w:r>
        <w:rPr>
          <w:rFonts w:hint="eastAsia" w:ascii="宋体" w:hAnsi="宋体" w:eastAsia="宋体" w:cs="宋体"/>
          <w:sz w:val="24"/>
          <w:highlight w:val="none"/>
          <w:u w:val="single" w:color="000000"/>
        </w:rPr>
        <w:t xml:space="preserve"> ，账</w:t>
      </w:r>
      <w:r>
        <w:rPr>
          <w:rFonts w:hint="eastAsia" w:ascii="宋体" w:hAnsi="宋体" w:eastAsia="宋体" w:cs="宋体"/>
          <w:sz w:val="24"/>
          <w:highlight w:val="none"/>
        </w:rPr>
        <w:t>户账号：</w:t>
      </w:r>
      <w:r>
        <w:rPr>
          <w:highlight w:val="none"/>
          <w:u w:val="single" w:color="000000"/>
        </w:rPr>
        <w:tab/>
      </w:r>
      <w:r>
        <w:rPr>
          <w:rFonts w:hint="eastAsia" w:ascii="宋体" w:hAnsi="宋体" w:eastAsia="宋体" w:cs="宋体"/>
          <w:sz w:val="24"/>
          <w:highlight w:val="none"/>
          <w:u w:val="single" w:color="000000"/>
        </w:rPr>
        <w:t>）。</w:t>
      </w:r>
      <w:r>
        <w:rPr>
          <w:rFonts w:hint="eastAsia" w:ascii="宋体" w:hAnsi="宋体" w:eastAsia="宋体" w:cs="宋体"/>
          <w:sz w:val="24"/>
          <w:highlight w:val="none"/>
        </w:rPr>
        <w:t>乙方应在收到建设项目资金起日之内，</w:t>
      </w:r>
    </w:p>
    <w:p w14:paraId="475DFF12">
      <w:pPr>
        <w:autoSpaceDE w:val="0"/>
        <w:autoSpaceDN w:val="0"/>
        <w:spacing w:line="460" w:lineRule="exact"/>
        <w:ind w:left="0" w:leftChars="0" w:right="-57" w:rightChars="-27" w:firstLine="439" w:firstLineChars="183"/>
        <w:jc w:val="both"/>
        <w:rPr>
          <w:highlight w:val="none"/>
        </w:rPr>
      </w:pPr>
      <w:r>
        <w:rPr>
          <w:rFonts w:hint="eastAsia" w:ascii="宋体" w:hAnsi="宋体" w:eastAsia="宋体" w:cs="宋体"/>
          <w:sz w:val="24"/>
          <w:highlight w:val="none"/>
        </w:rPr>
        <w:t>提供支付凭证，由丙方将资金从乙方活期结算账户转入专用托管账户。</w:t>
      </w:r>
    </w:p>
    <w:p w14:paraId="60872C79">
      <w:pPr>
        <w:autoSpaceDE w:val="0"/>
        <w:autoSpaceDN w:val="0"/>
        <w:spacing w:line="480" w:lineRule="exact"/>
        <w:ind w:left="0" w:leftChars="0" w:right="-57" w:rightChars="-27" w:firstLine="441" w:firstLineChars="183"/>
        <w:jc w:val="both"/>
        <w:rPr>
          <w:highlight w:val="none"/>
        </w:rPr>
      </w:pPr>
      <w:r>
        <w:rPr>
          <w:rFonts w:hint="eastAsia" w:ascii="宋体" w:hAnsi="宋体" w:eastAsia="宋体" w:cs="宋体"/>
          <w:b/>
          <w:sz w:val="24"/>
          <w:highlight w:val="none"/>
        </w:rPr>
        <w:t>第二条甲、乙、丙三方共同承诺</w:t>
      </w:r>
    </w:p>
    <w:p w14:paraId="1D0F6BBE">
      <w:pPr>
        <w:autoSpaceDE w:val="0"/>
        <w:autoSpaceDN w:val="0"/>
        <w:spacing w:line="460" w:lineRule="exact"/>
        <w:ind w:left="0" w:leftChars="0" w:right="-57" w:rightChars="-27" w:firstLine="439" w:firstLineChars="183"/>
        <w:jc w:val="both"/>
        <w:rPr>
          <w:highlight w:val="none"/>
        </w:rPr>
      </w:pPr>
      <w:r>
        <w:rPr>
          <w:rFonts w:hint="eastAsia" w:ascii="宋体" w:hAnsi="宋体" w:eastAsia="宋体" w:cs="宋体"/>
          <w:sz w:val="24"/>
          <w:highlight w:val="none"/>
        </w:rPr>
        <w:t>（一）三方必须严格按照本协议的规定支付、使用和监管建设项目资金，任何单位和个人不得挤占、挪用。</w:t>
      </w:r>
    </w:p>
    <w:p w14:paraId="52FB8582">
      <w:pPr>
        <w:autoSpaceDE w:val="0"/>
        <w:autoSpaceDN w:val="0"/>
        <w:spacing w:line="480" w:lineRule="exact"/>
        <w:ind w:left="0" w:leftChars="0" w:right="-57" w:rightChars="-27" w:firstLine="439" w:firstLineChars="183"/>
        <w:jc w:val="both"/>
        <w:rPr>
          <w:highlight w:val="none"/>
        </w:rPr>
      </w:pPr>
      <w:r>
        <w:rPr>
          <w:rFonts w:hint="eastAsia" w:ascii="宋体" w:hAnsi="宋体" w:eastAsia="宋体" w:cs="宋体"/>
          <w:sz w:val="24"/>
          <w:highlight w:val="none"/>
        </w:rPr>
        <w:t>（二）以实时对账、月度对账等约定方式核对账务。</w:t>
      </w:r>
    </w:p>
    <w:p w14:paraId="3FDE1B28">
      <w:pPr>
        <w:autoSpaceDE w:val="0"/>
        <w:autoSpaceDN w:val="0"/>
        <w:spacing w:line="460" w:lineRule="exact"/>
        <w:ind w:left="0" w:leftChars="0" w:right="-57" w:rightChars="-27" w:firstLine="441" w:firstLineChars="183"/>
        <w:jc w:val="both"/>
        <w:rPr>
          <w:highlight w:val="none"/>
        </w:rPr>
      </w:pPr>
      <w:r>
        <w:rPr>
          <w:rFonts w:hint="eastAsia" w:ascii="宋体" w:hAnsi="宋体" w:eastAsia="宋体" w:cs="宋体"/>
          <w:b/>
          <w:sz w:val="24"/>
          <w:highlight w:val="none"/>
        </w:rPr>
        <w:t>第三条甲方的权利和义务</w:t>
      </w:r>
    </w:p>
    <w:p w14:paraId="6D98F1E6">
      <w:pPr>
        <w:autoSpaceDE w:val="0"/>
        <w:autoSpaceDN w:val="0"/>
        <w:spacing w:line="460" w:lineRule="exact"/>
        <w:ind w:left="0" w:leftChars="0" w:right="-57" w:rightChars="-27" w:firstLine="439" w:firstLineChars="183"/>
        <w:jc w:val="both"/>
        <w:rPr>
          <w:highlight w:val="none"/>
        </w:rPr>
      </w:pPr>
      <w:r>
        <w:rPr>
          <w:rFonts w:hint="eastAsia" w:ascii="宋体" w:hAnsi="宋体" w:eastAsia="宋体" w:cs="宋体"/>
          <w:sz w:val="24"/>
          <w:highlight w:val="none"/>
        </w:rPr>
        <w:t>甲方作为项目业主，应履行以下职责：</w:t>
      </w:r>
    </w:p>
    <w:p w14:paraId="616FF44D">
      <w:pPr>
        <w:autoSpaceDE w:val="0"/>
        <w:autoSpaceDN w:val="0"/>
        <w:spacing w:line="460" w:lineRule="exact"/>
        <w:ind w:left="0" w:leftChars="0" w:right="-57" w:rightChars="-27" w:firstLine="439" w:firstLineChars="183"/>
        <w:jc w:val="both"/>
        <w:rPr>
          <w:highlight w:val="none"/>
        </w:rPr>
      </w:pPr>
      <w:r>
        <w:rPr>
          <w:rFonts w:hint="eastAsia" w:ascii="宋体" w:hAnsi="宋体" w:eastAsia="宋体" w:cs="宋体"/>
          <w:sz w:val="24"/>
          <w:highlight w:val="none"/>
        </w:rPr>
        <w:t>（一）甲方按工程承包合同约定的支付条款，将建设项目资金支付至乙方在丙方开立的建设项目资金收支专用账户。</w:t>
      </w:r>
    </w:p>
    <w:p w14:paraId="667D82F2">
      <w:pPr>
        <w:autoSpaceDE w:val="0"/>
        <w:autoSpaceDN w:val="0"/>
        <w:spacing w:line="460" w:lineRule="exact"/>
        <w:ind w:left="0" w:leftChars="0" w:right="-57" w:rightChars="-27" w:firstLine="439" w:firstLineChars="183"/>
        <w:jc w:val="both"/>
        <w:rPr>
          <w:highlight w:val="none"/>
        </w:rPr>
      </w:pPr>
      <w:r>
        <w:rPr>
          <w:rFonts w:hint="eastAsia" w:ascii="宋体" w:hAnsi="宋体" w:eastAsia="宋体" w:cs="宋体"/>
          <w:sz w:val="24"/>
          <w:highlight w:val="none"/>
        </w:rPr>
        <w:t>（二）甲方只对乙方建设项目资金专用账户的资金使用支出情况进行监管，对乙方申请使用专用账户资金不合理的，有权停止其支出。</w:t>
      </w:r>
    </w:p>
    <w:p w14:paraId="55E0948C">
      <w:pPr>
        <w:autoSpaceDE w:val="0"/>
        <w:autoSpaceDN w:val="0"/>
        <w:spacing w:line="460" w:lineRule="exact"/>
        <w:ind w:left="0" w:leftChars="0" w:right="-57" w:rightChars="-27" w:firstLine="439" w:firstLineChars="183"/>
        <w:jc w:val="both"/>
        <w:rPr>
          <w:highlight w:val="none"/>
        </w:rPr>
      </w:pPr>
      <w:r>
        <w:rPr>
          <w:rFonts w:hint="eastAsia" w:ascii="宋体" w:hAnsi="宋体" w:eastAsia="宋体" w:cs="宋体"/>
          <w:sz w:val="24"/>
          <w:highlight w:val="none"/>
        </w:rPr>
        <w:t>（三）当乙方出现挪用建设项目资金、拖欠施工人员工资等情况，甲方有权召见乙方负责人并向乙方发出警告通知，甲方有权暂缓或停止向乙方拨付资金，责成乙方限期予以整改。乙方须按挪用资金金额的10%向甲方支付违约金。</w:t>
      </w:r>
    </w:p>
    <w:p w14:paraId="754E27D2">
      <w:pPr>
        <w:autoSpaceDE w:val="0"/>
        <w:autoSpaceDN w:val="0"/>
        <w:spacing w:line="460" w:lineRule="exact"/>
        <w:ind w:left="0" w:leftChars="0" w:right="-57" w:rightChars="-27" w:firstLine="439" w:firstLineChars="183"/>
        <w:jc w:val="both"/>
        <w:rPr>
          <w:highlight w:val="none"/>
        </w:rPr>
      </w:pPr>
      <w:r>
        <w:rPr>
          <w:rFonts w:hint="eastAsia" w:ascii="宋体" w:hAnsi="宋体" w:eastAsia="宋体" w:cs="宋体"/>
          <w:sz w:val="24"/>
          <w:highlight w:val="none"/>
        </w:rPr>
        <w:t>（四）甲方应向丙方提供建设项目资金使用的相关证明资料，包括但不限于：建设项目专项合同、建设项目整体或年/季/月度资金使用计划、监理方资金报告等。</w:t>
      </w:r>
    </w:p>
    <w:p w14:paraId="30781075">
      <w:pPr>
        <w:autoSpaceDE w:val="0"/>
        <w:autoSpaceDN w:val="0"/>
        <w:spacing w:line="480" w:lineRule="exact"/>
        <w:ind w:left="0" w:leftChars="0" w:right="-57" w:rightChars="-27" w:firstLine="441" w:firstLineChars="183"/>
        <w:jc w:val="both"/>
        <w:rPr>
          <w:highlight w:val="none"/>
        </w:rPr>
      </w:pPr>
      <w:r>
        <w:rPr>
          <w:rFonts w:hint="eastAsia" w:ascii="宋体" w:hAnsi="宋体" w:eastAsia="宋体" w:cs="宋体"/>
          <w:b/>
          <w:sz w:val="24"/>
          <w:highlight w:val="none"/>
        </w:rPr>
        <w:t>第四条乙方的权利和义务</w:t>
      </w:r>
    </w:p>
    <w:p w14:paraId="0F8C4B08">
      <w:pPr>
        <w:autoSpaceDE w:val="0"/>
        <w:autoSpaceDN w:val="0"/>
        <w:spacing w:line="460" w:lineRule="exact"/>
        <w:ind w:left="0" w:leftChars="0" w:right="-57" w:rightChars="-27" w:firstLine="439" w:firstLineChars="183"/>
        <w:jc w:val="both"/>
        <w:rPr>
          <w:highlight w:val="none"/>
        </w:rPr>
      </w:pPr>
      <w:r>
        <w:rPr>
          <w:rFonts w:hint="eastAsia" w:ascii="宋体" w:hAnsi="宋体" w:eastAsia="宋体" w:cs="宋体"/>
          <w:sz w:val="24"/>
          <w:highlight w:val="none"/>
        </w:rPr>
        <w:t>乙方作为建设项目资金的接收和使用方，应履行以下职责：</w:t>
      </w:r>
    </w:p>
    <w:p w14:paraId="3D4E946C">
      <w:pPr>
        <w:autoSpaceDE w:val="0"/>
        <w:autoSpaceDN w:val="0"/>
        <w:spacing w:line="460" w:lineRule="exact"/>
        <w:ind w:left="0" w:leftChars="0" w:right="-57" w:rightChars="-27" w:firstLine="439" w:firstLineChars="183"/>
        <w:jc w:val="both"/>
        <w:rPr>
          <w:highlight w:val="none"/>
        </w:rPr>
      </w:pPr>
      <w:r>
        <w:rPr>
          <w:rFonts w:hint="eastAsia" w:ascii="宋体" w:hAnsi="宋体" w:eastAsia="宋体" w:cs="宋体"/>
          <w:sz w:val="24"/>
          <w:highlight w:val="none"/>
        </w:rPr>
        <w:t>（一）乙方在丙方开立建设项目资金收支专用账户，授权甲方和丙方按本协议规定对账户进行监管。</w:t>
      </w:r>
    </w:p>
    <w:p w14:paraId="3ED0092C">
      <w:pPr>
        <w:autoSpaceDE w:val="0"/>
        <w:autoSpaceDN w:val="0"/>
        <w:spacing w:line="460" w:lineRule="exact"/>
        <w:ind w:left="0" w:leftChars="0" w:right="-57" w:rightChars="-27" w:firstLine="439" w:firstLineChars="183"/>
        <w:jc w:val="both"/>
        <w:rPr>
          <w:highlight w:val="none"/>
        </w:rPr>
      </w:pPr>
      <w:r>
        <w:rPr>
          <w:rFonts w:hint="eastAsia" w:ascii="宋体" w:hAnsi="宋体" w:eastAsia="宋体" w:cs="宋体"/>
          <w:sz w:val="24"/>
          <w:highlight w:val="none"/>
        </w:rPr>
        <w:t>（二）乙方必须在施工现场设置财务机构，配备财务人员，建立账册，对所承包工程发生的费用进行会计核算，定期向甲方报送资金使用情况表。</w:t>
      </w:r>
    </w:p>
    <w:p w14:paraId="1A5DCAA8">
      <w:pPr>
        <w:autoSpaceDE w:val="0"/>
        <w:autoSpaceDN w:val="0"/>
        <w:spacing w:line="460" w:lineRule="exact"/>
        <w:ind w:left="0" w:leftChars="0" w:right="-57" w:rightChars="-27" w:firstLine="439" w:firstLineChars="183"/>
        <w:jc w:val="both"/>
        <w:rPr>
          <w:highlight w:val="none"/>
        </w:rPr>
      </w:pPr>
      <w:r>
        <w:rPr>
          <w:rFonts w:hint="eastAsia" w:ascii="宋体" w:hAnsi="宋体" w:eastAsia="宋体" w:cs="宋体"/>
          <w:sz w:val="24"/>
          <w:highlight w:val="none"/>
        </w:rPr>
        <w:t>（三）乙方必须按约定的程序办理工程款支取业务，不得以任何方式和理由挤占、挪用专用账户资金，否则须按挪用资金金额的10%向甲方支付违约金。</w:t>
      </w:r>
    </w:p>
    <w:p w14:paraId="3B3F6DAB">
      <w:pPr>
        <w:autoSpaceDE w:val="0"/>
        <w:autoSpaceDN w:val="0"/>
        <w:spacing w:line="380" w:lineRule="exact"/>
        <w:ind w:left="60" w:right="0"/>
        <w:jc w:val="both"/>
        <w:rPr>
          <w:highlight w:val="none"/>
        </w:rPr>
      </w:pPr>
      <w:r>
        <w:rPr>
          <w:rFonts w:hint="eastAsia" w:ascii="宋体" w:hAnsi="宋体" w:eastAsia="宋体" w:cs="宋体"/>
          <w:sz w:val="24"/>
          <w:highlight w:val="none"/>
        </w:rPr>
        <w:t>（四）乙方应按照专款专用的原则使用托管资金，不得设置任何妨碍丙方履行本协议的事实或法律障碍。接受丙方对托管资金的监督，自行承担其对托管资金运用产生的一切风险。</w:t>
      </w:r>
    </w:p>
    <w:p w14:paraId="5C90CCFE">
      <w:pPr>
        <w:autoSpaceDE w:val="0"/>
        <w:autoSpaceDN w:val="0"/>
        <w:spacing w:line="460" w:lineRule="exact"/>
        <w:ind w:left="60" w:right="0" w:firstLine="540"/>
        <w:jc w:val="both"/>
        <w:rPr>
          <w:highlight w:val="none"/>
        </w:rPr>
      </w:pPr>
      <w:r>
        <w:rPr>
          <w:rFonts w:hint="eastAsia" w:ascii="宋体" w:hAnsi="宋体" w:eastAsia="宋体" w:cs="宋体"/>
          <w:sz w:val="24"/>
          <w:highlight w:val="none"/>
        </w:rPr>
        <w:t>（五）乙方必须向甲方和丙方编报资金使用计划表及相关费用合同，包括对建设项目的整体资金使用计划和年度/月度资金使用计划。资金使用计划表及相关费用合同由建设项目监理方审核、甲方复核。丙方根据经甲方审核同意的资金使用计划表，在相关要素范围内进行资金支付核查。如本协议履行期间，乙方提出调整资金使用计划的，需重新编报资金使用计划表供甲方审核。</w:t>
      </w:r>
    </w:p>
    <w:p w14:paraId="2BA352C3">
      <w:pPr>
        <w:autoSpaceDE w:val="0"/>
        <w:autoSpaceDN w:val="0"/>
        <w:spacing w:line="460" w:lineRule="exact"/>
        <w:ind w:left="60" w:right="0" w:firstLine="540"/>
        <w:jc w:val="both"/>
        <w:rPr>
          <w:highlight w:val="none"/>
        </w:rPr>
      </w:pPr>
      <w:r>
        <w:rPr>
          <w:rFonts w:hint="eastAsia" w:ascii="宋体" w:hAnsi="宋体" w:eastAsia="宋体" w:cs="宋体"/>
          <w:sz w:val="24"/>
          <w:highlight w:val="none"/>
        </w:rPr>
        <w:t>（六）申请资金使用支付时，乙方必须提交工程用款申请，附相关证明资料并确保相关资料真实，该资料内容和收款人范围须包含于甲方向丙方提供的建设项目资金使用证明资料和资金使用计划表中。经监理方审核、甲方现场管理机构审批同意之后，由甲方在《托管资金转出指令》上出具同意资金使用的意见。为确保专款专用，每次《托管资金转出指令》必须由甲方盖章同意后方能生效，乙方才可授权丙方将申请资金通过托管账户直接到账材料、设备、设施、劳务等供应商、租赁方或服务商、分包商，且每次工程用款转出后乙方均需提供银行对账单，由监理方核对、汇总、备查并报备甲方。</w:t>
      </w:r>
    </w:p>
    <w:p w14:paraId="568D0880">
      <w:pPr>
        <w:autoSpaceDE w:val="0"/>
        <w:autoSpaceDN w:val="0"/>
        <w:spacing w:line="460" w:lineRule="exact"/>
        <w:ind w:left="60" w:right="0" w:firstLine="540"/>
        <w:jc w:val="both"/>
        <w:rPr>
          <w:highlight w:val="none"/>
        </w:rPr>
      </w:pPr>
      <w:r>
        <w:rPr>
          <w:rFonts w:hint="eastAsia" w:ascii="宋体" w:hAnsi="宋体" w:eastAsia="宋体" w:cs="宋体"/>
          <w:sz w:val="24"/>
          <w:highlight w:val="none"/>
        </w:rPr>
        <w:t>（七）乙方每月首次使用资金时，需提供上月度建设项目施工工人工资发放执行情况（如工资清单等）和银行支付凭证，以确保工人工资全额正常发放。</w:t>
      </w:r>
    </w:p>
    <w:p w14:paraId="697EEF26">
      <w:pPr>
        <w:autoSpaceDE w:val="0"/>
        <w:autoSpaceDN w:val="0"/>
        <w:spacing w:line="460" w:lineRule="exact"/>
        <w:ind w:left="600"/>
        <w:jc w:val="both"/>
        <w:rPr>
          <w:highlight w:val="none"/>
        </w:rPr>
      </w:pPr>
      <w:r>
        <w:rPr>
          <w:rFonts w:hint="eastAsia" w:ascii="宋体" w:hAnsi="宋体" w:eastAsia="宋体" w:cs="宋体"/>
          <w:b/>
          <w:sz w:val="24"/>
          <w:highlight w:val="none"/>
        </w:rPr>
        <w:t>第五条丙方的权利和义务</w:t>
      </w:r>
    </w:p>
    <w:p w14:paraId="67F76FAD">
      <w:pPr>
        <w:autoSpaceDE w:val="0"/>
        <w:autoSpaceDN w:val="0"/>
        <w:spacing w:line="460" w:lineRule="exact"/>
        <w:ind w:left="600"/>
        <w:jc w:val="both"/>
        <w:rPr>
          <w:highlight w:val="none"/>
        </w:rPr>
      </w:pPr>
      <w:r>
        <w:rPr>
          <w:rFonts w:hint="eastAsia" w:ascii="宋体" w:hAnsi="宋体" w:eastAsia="宋体" w:cs="宋体"/>
          <w:sz w:val="24"/>
          <w:highlight w:val="none"/>
        </w:rPr>
        <w:t>丙方作为乙方专业账户的主办银行，应履行以下职责：</w:t>
      </w:r>
    </w:p>
    <w:p w14:paraId="0224F8F8">
      <w:pPr>
        <w:autoSpaceDE w:val="0"/>
        <w:autoSpaceDN w:val="0"/>
        <w:spacing w:line="460" w:lineRule="exact"/>
        <w:ind w:left="60" w:right="0" w:firstLine="540"/>
        <w:jc w:val="both"/>
        <w:rPr>
          <w:highlight w:val="none"/>
        </w:rPr>
      </w:pPr>
      <w:r>
        <w:rPr>
          <w:rFonts w:hint="eastAsia" w:ascii="宋体" w:hAnsi="宋体" w:eastAsia="宋体" w:cs="宋体"/>
          <w:sz w:val="24"/>
          <w:highlight w:val="none"/>
        </w:rPr>
        <w:t>（一）根据本协议约定托管乙方的建设项目专项资金，履行托管账户开立、安全保管托管资金、监督托管资金支付等职责。做好信息保密工作，做好金融配套服务工作，</w:t>
      </w:r>
    </w:p>
    <w:p w14:paraId="4D2AB8F2">
      <w:pPr>
        <w:autoSpaceDE w:val="0"/>
        <w:autoSpaceDN w:val="0"/>
        <w:spacing w:line="460" w:lineRule="exact"/>
        <w:ind w:left="60"/>
        <w:jc w:val="both"/>
        <w:rPr>
          <w:highlight w:val="none"/>
        </w:rPr>
      </w:pPr>
      <w:r>
        <w:rPr>
          <w:rFonts w:hint="eastAsia" w:ascii="宋体" w:hAnsi="宋体" w:eastAsia="宋体" w:cs="宋体"/>
          <w:sz w:val="24"/>
          <w:highlight w:val="none"/>
        </w:rPr>
        <w:t>方便甲方、乙方办理建设项目资金的正常结算业务。</w:t>
      </w:r>
    </w:p>
    <w:p w14:paraId="3FE1769B">
      <w:pPr>
        <w:autoSpaceDE w:val="0"/>
        <w:autoSpaceDN w:val="0"/>
        <w:spacing w:line="460" w:lineRule="exact"/>
        <w:ind w:left="60" w:right="0" w:firstLine="540"/>
        <w:jc w:val="both"/>
        <w:rPr>
          <w:highlight w:val="none"/>
        </w:rPr>
      </w:pPr>
      <w:r>
        <w:rPr>
          <w:rFonts w:hint="eastAsia" w:ascii="宋体" w:hAnsi="宋体" w:eastAsia="宋体" w:cs="宋体"/>
          <w:sz w:val="24"/>
          <w:highlight w:val="none"/>
        </w:rPr>
        <w:t>（二）严格根据本协议约定做好建设项目的资金监管，对有转移、挪用资金嫌疑的大额付款，及时向甲方通报。</w:t>
      </w:r>
    </w:p>
    <w:p w14:paraId="18E87BB3">
      <w:pPr>
        <w:autoSpaceDE w:val="0"/>
        <w:autoSpaceDN w:val="0"/>
        <w:spacing w:line="460" w:lineRule="exact"/>
        <w:ind w:left="60" w:right="0" w:firstLine="540"/>
        <w:jc w:val="both"/>
        <w:rPr>
          <w:highlight w:val="none"/>
        </w:rPr>
      </w:pPr>
      <w:r>
        <w:rPr>
          <w:rFonts w:hint="eastAsia" w:ascii="宋体" w:hAnsi="宋体" w:eastAsia="宋体" w:cs="宋体"/>
          <w:sz w:val="24"/>
          <w:highlight w:val="none"/>
        </w:rPr>
        <w:t>（三）丙方审核乙方出具的《托管资金转出指令》，在确认支付指令中载明的资金金额、用途和收款人信息在甲方提交的月度资金使用计划和资金使用相关证明资料（如有）约定的范围内（每月第一笔支付指令须附上本月月度资金使用计划），且监理方、甲方现场管理机构出具的书面同意及甲方在支付指令签章同意后，将托管资金转出至收款人账户。丙方仅对乙方出具的授权、支付指令、资金使用计划、其他资金使用证明资</w:t>
      </w:r>
    </w:p>
    <w:p w14:paraId="0CBAC070">
      <w:pPr>
        <w:autoSpaceDE w:val="0"/>
        <w:autoSpaceDN w:val="0"/>
        <w:spacing w:line="460" w:lineRule="exact"/>
        <w:ind w:left="60"/>
        <w:jc w:val="both"/>
        <w:rPr>
          <w:highlight w:val="none"/>
        </w:rPr>
      </w:pPr>
      <w:r>
        <w:rPr>
          <w:rFonts w:hint="eastAsia" w:ascii="宋体" w:hAnsi="宋体" w:eastAsia="宋体" w:cs="宋体"/>
          <w:sz w:val="24"/>
          <w:highlight w:val="none"/>
        </w:rPr>
        <w:t>料做表面验证，丙方按照支付指令划转托管资金的后果由乙方自行承担。</w:t>
      </w:r>
    </w:p>
    <w:p w14:paraId="387961B3">
      <w:pPr>
        <w:tabs>
          <w:tab w:val="left" w:pos="440"/>
        </w:tabs>
        <w:autoSpaceDE w:val="0"/>
        <w:autoSpaceDN w:val="0"/>
        <w:spacing w:line="460" w:lineRule="exact"/>
        <w:ind w:left="0" w:leftChars="0" w:firstLine="439" w:firstLineChars="183"/>
        <w:jc w:val="both"/>
        <w:rPr>
          <w:highlight w:val="none"/>
        </w:rPr>
      </w:pPr>
      <w:r>
        <w:rPr>
          <w:rFonts w:hint="eastAsia" w:ascii="宋体" w:hAnsi="宋体" w:eastAsia="宋体" w:cs="宋体"/>
          <w:sz w:val="24"/>
          <w:highlight w:val="none"/>
        </w:rPr>
        <w:t>（四）托管期间，丙方将对托管账户中的资金，按照监管银行有关存款管理规定进行计息。如乙方账户发生国家法律政策调整或被有权机关查封、冻结、扣划等情况，致使丙方无法完成资金划转的，丙方有权终止本协议，不承担由此产生的后果或责任。</w:t>
      </w:r>
    </w:p>
    <w:p w14:paraId="0E53F832">
      <w:pPr>
        <w:autoSpaceDE w:val="0"/>
        <w:autoSpaceDN w:val="0"/>
        <w:spacing w:line="460" w:lineRule="exact"/>
        <w:ind w:left="600"/>
        <w:jc w:val="both"/>
        <w:rPr>
          <w:highlight w:val="none"/>
        </w:rPr>
      </w:pPr>
      <w:r>
        <w:rPr>
          <w:rFonts w:hint="eastAsia" w:ascii="宋体" w:hAnsi="宋体" w:eastAsia="宋体" w:cs="宋体"/>
          <w:sz w:val="24"/>
          <w:highlight w:val="none"/>
        </w:rPr>
        <w:t>（五）托管账户的对账。</w:t>
      </w:r>
    </w:p>
    <w:p w14:paraId="697A0324">
      <w:pPr>
        <w:autoSpaceDE w:val="0"/>
        <w:autoSpaceDN w:val="0"/>
        <w:spacing w:line="460" w:lineRule="exact"/>
        <w:ind w:left="60" w:right="0" w:firstLine="540"/>
        <w:jc w:val="both"/>
        <w:rPr>
          <w:highlight w:val="none"/>
        </w:rPr>
      </w:pPr>
      <w:r>
        <w:rPr>
          <w:rFonts w:hint="eastAsia" w:ascii="宋体" w:hAnsi="宋体" w:eastAsia="宋体" w:cs="宋体"/>
          <w:sz w:val="24"/>
          <w:highlight w:val="none"/>
        </w:rPr>
        <w:t>1、实时对账。甲方、乙方如需即时了解专用托管账户信息，丙方应及时反馈相关账务信息，并对数据真实性负责。</w:t>
      </w:r>
    </w:p>
    <w:p w14:paraId="353DE6EF">
      <w:pPr>
        <w:autoSpaceDE w:val="0"/>
        <w:autoSpaceDN w:val="0"/>
        <w:spacing w:line="460" w:lineRule="exact"/>
        <w:ind w:left="60" w:right="0" w:firstLine="540"/>
        <w:jc w:val="both"/>
        <w:rPr>
          <w:highlight w:val="none"/>
        </w:rPr>
      </w:pPr>
      <w:r>
        <w:rPr>
          <w:rFonts w:hint="eastAsia" w:ascii="宋体" w:hAnsi="宋体" w:eastAsia="宋体" w:cs="宋体"/>
          <w:sz w:val="24"/>
          <w:highlight w:val="none"/>
        </w:rPr>
        <w:t>2、每月对账。丙方每月负责提供建设项目资金专用托管账户对账单予乙方核对，并对数据真实性负责；乙方须积极配合丙方对账工作，收到对账单核对无误后盖章确认并送回丙方。</w:t>
      </w:r>
    </w:p>
    <w:p w14:paraId="7340C98F">
      <w:pPr>
        <w:autoSpaceDE w:val="0"/>
        <w:autoSpaceDN w:val="0"/>
        <w:spacing w:line="460" w:lineRule="exact"/>
        <w:ind w:left="60" w:right="0" w:firstLine="540"/>
        <w:jc w:val="both"/>
        <w:rPr>
          <w:highlight w:val="none"/>
        </w:rPr>
      </w:pPr>
      <w:r>
        <w:rPr>
          <w:rFonts w:hint="eastAsia" w:ascii="宋体" w:hAnsi="宋体" w:eastAsia="宋体" w:cs="宋体"/>
          <w:sz w:val="24"/>
          <w:highlight w:val="none"/>
        </w:rPr>
        <w:t>3、丙方在账务核对时如发现账务不符，应及时向乙方反映，丙方应积极与乙方配合及时处理有关差错，确保账务准确无误。</w:t>
      </w:r>
    </w:p>
    <w:p w14:paraId="7AE1A5F4">
      <w:pPr>
        <w:autoSpaceDE w:val="0"/>
        <w:autoSpaceDN w:val="0"/>
        <w:spacing w:line="460" w:lineRule="exact"/>
        <w:ind w:left="60" w:right="0" w:firstLine="540"/>
        <w:jc w:val="both"/>
        <w:rPr>
          <w:highlight w:val="none"/>
        </w:rPr>
      </w:pPr>
      <w:r>
        <w:rPr>
          <w:rFonts w:hint="eastAsia" w:ascii="宋体" w:hAnsi="宋体" w:eastAsia="宋体" w:cs="宋体"/>
          <w:sz w:val="24"/>
          <w:highlight w:val="none"/>
        </w:rPr>
        <w:t>（六）托管资金转出时，如为异地交易，丙方根据有关法律法规确定的收费标准收取异地交易手续费。如乙方符合监管银行手续费减免的相关条件，丙方将对异地交易手续费予以减免。</w:t>
      </w:r>
    </w:p>
    <w:p w14:paraId="44863459">
      <w:pPr>
        <w:autoSpaceDE w:val="0"/>
        <w:autoSpaceDN w:val="0"/>
        <w:spacing w:line="460" w:lineRule="exact"/>
        <w:ind w:left="600"/>
        <w:jc w:val="both"/>
        <w:rPr>
          <w:highlight w:val="none"/>
        </w:rPr>
      </w:pPr>
      <w:r>
        <w:rPr>
          <w:rFonts w:hint="eastAsia" w:ascii="宋体" w:hAnsi="宋体" w:eastAsia="宋体" w:cs="宋体"/>
          <w:b/>
          <w:sz w:val="24"/>
          <w:highlight w:val="none"/>
        </w:rPr>
        <w:t>第六条托管期限及协议终止</w:t>
      </w:r>
    </w:p>
    <w:p w14:paraId="2590F5DA">
      <w:pPr>
        <w:autoSpaceDE w:val="0"/>
        <w:autoSpaceDN w:val="0"/>
        <w:spacing w:line="460" w:lineRule="exact"/>
        <w:ind w:left="60" w:right="0" w:firstLine="540"/>
        <w:jc w:val="both"/>
        <w:rPr>
          <w:highlight w:val="none"/>
        </w:rPr>
      </w:pPr>
      <w:r>
        <w:rPr>
          <w:rFonts w:hint="eastAsia" w:ascii="宋体" w:hAnsi="宋体" w:eastAsia="宋体" w:cs="宋体"/>
          <w:sz w:val="24"/>
          <w:highlight w:val="none"/>
        </w:rPr>
        <w:t>（一）托管期限自本协议生效之日起至工程全部完成结清支付并由甲方出具终止书面指令止。结清前提是乙方完成支付所有应付工程费用并确保不存在挤占、挪用、拖欠任何形式的工程费用情况下，方可申请《协议终止申请书》。经甲、丙方同意后，将人民币活期结算账户中的剩余资金转出至乙方合法账户。同时乙方应提供相关佐证资料给</w:t>
      </w:r>
    </w:p>
    <w:p w14:paraId="4B0F7A4C">
      <w:pPr>
        <w:autoSpaceDE w:val="0"/>
        <w:autoSpaceDN w:val="0"/>
        <w:spacing w:line="480" w:lineRule="exact"/>
        <w:ind w:left="60"/>
        <w:jc w:val="both"/>
        <w:rPr>
          <w:highlight w:val="none"/>
        </w:rPr>
      </w:pPr>
      <w:r>
        <w:rPr>
          <w:rFonts w:hint="eastAsia" w:ascii="宋体" w:hAnsi="宋体" w:eastAsia="宋体" w:cs="宋体"/>
          <w:sz w:val="24"/>
          <w:highlight w:val="none"/>
        </w:rPr>
        <w:t>甲、丙方，并确保资料的齐全、完整、真实性。</w:t>
      </w:r>
    </w:p>
    <w:p w14:paraId="2C4E60E0">
      <w:pPr>
        <w:autoSpaceDE w:val="0"/>
        <w:autoSpaceDN w:val="0"/>
        <w:spacing w:line="460" w:lineRule="exact"/>
        <w:ind w:left="600"/>
        <w:jc w:val="both"/>
        <w:rPr>
          <w:highlight w:val="none"/>
        </w:rPr>
      </w:pPr>
      <w:r>
        <w:rPr>
          <w:rFonts w:hint="eastAsia" w:ascii="宋体" w:hAnsi="宋体" w:eastAsia="宋体" w:cs="宋体"/>
          <w:sz w:val="24"/>
          <w:highlight w:val="none"/>
        </w:rPr>
        <w:t>（二）发生下列情况，本协议终止：</w:t>
      </w:r>
    </w:p>
    <w:p w14:paraId="78D5B987">
      <w:pPr>
        <w:autoSpaceDE w:val="0"/>
        <w:autoSpaceDN w:val="0"/>
        <w:spacing w:line="460" w:lineRule="exact"/>
        <w:ind w:left="600"/>
        <w:jc w:val="both"/>
        <w:rPr>
          <w:highlight w:val="none"/>
        </w:rPr>
      </w:pPr>
      <w:r>
        <w:rPr>
          <w:rFonts w:hint="eastAsia" w:ascii="宋体" w:hAnsi="宋体" w:eastAsia="宋体" w:cs="宋体"/>
          <w:sz w:val="24"/>
          <w:highlight w:val="none"/>
        </w:rPr>
        <w:t>1、本协议履行完毕。</w:t>
      </w:r>
    </w:p>
    <w:p w14:paraId="4D50138D">
      <w:pPr>
        <w:autoSpaceDE w:val="0"/>
        <w:autoSpaceDN w:val="0"/>
        <w:spacing w:line="480" w:lineRule="exact"/>
        <w:ind w:left="600"/>
        <w:jc w:val="both"/>
        <w:rPr>
          <w:highlight w:val="none"/>
        </w:rPr>
      </w:pPr>
      <w:r>
        <w:rPr>
          <w:rFonts w:hint="eastAsia" w:ascii="宋体" w:hAnsi="宋体" w:eastAsia="宋体" w:cs="宋体"/>
          <w:sz w:val="24"/>
          <w:highlight w:val="none"/>
        </w:rPr>
        <w:t>2、甲、乙、丙三方一致同意协议终止的。</w:t>
      </w:r>
    </w:p>
    <w:p w14:paraId="5DC7D6C2">
      <w:pPr>
        <w:autoSpaceDE w:val="0"/>
        <w:autoSpaceDN w:val="0"/>
        <w:spacing w:line="460" w:lineRule="exact"/>
        <w:ind w:left="540"/>
        <w:jc w:val="both"/>
        <w:rPr>
          <w:highlight w:val="none"/>
        </w:rPr>
      </w:pPr>
      <w:r>
        <w:rPr>
          <w:rFonts w:hint="eastAsia" w:ascii="宋体" w:hAnsi="宋体" w:eastAsia="宋体" w:cs="宋体"/>
          <w:sz w:val="24"/>
          <w:highlight w:val="none"/>
        </w:rPr>
        <w:t>（三）本协议终止，丙方有权向甲方、乙方及丙方经办网点发送《协议终止通知书》。</w:t>
      </w:r>
    </w:p>
    <w:p w14:paraId="5D59F32B">
      <w:pPr>
        <w:autoSpaceDE w:val="0"/>
        <w:autoSpaceDN w:val="0"/>
        <w:spacing w:line="460" w:lineRule="exact"/>
        <w:ind w:left="60"/>
        <w:jc w:val="both"/>
        <w:rPr>
          <w:highlight w:val="none"/>
        </w:rPr>
      </w:pPr>
      <w:r>
        <w:rPr>
          <w:rFonts w:hint="eastAsia" w:ascii="宋体" w:hAnsi="宋体" w:eastAsia="宋体" w:cs="宋体"/>
          <w:sz w:val="24"/>
          <w:highlight w:val="none"/>
        </w:rPr>
        <w:t>丙方经办网点办理托管终止手续并注销托管账户。</w:t>
      </w:r>
    </w:p>
    <w:p w14:paraId="32758710">
      <w:pPr>
        <w:autoSpaceDE w:val="0"/>
        <w:autoSpaceDN w:val="0"/>
        <w:spacing w:line="480" w:lineRule="exact"/>
        <w:ind w:left="600"/>
        <w:jc w:val="both"/>
        <w:rPr>
          <w:highlight w:val="none"/>
        </w:rPr>
      </w:pPr>
      <w:r>
        <w:rPr>
          <w:rFonts w:hint="eastAsia" w:ascii="宋体" w:hAnsi="宋体" w:eastAsia="宋体" w:cs="宋体"/>
          <w:b/>
          <w:sz w:val="24"/>
          <w:highlight w:val="none"/>
        </w:rPr>
        <w:t>第七条托管资金的拒付</w:t>
      </w:r>
    </w:p>
    <w:p w14:paraId="41E9916C">
      <w:pPr>
        <w:autoSpaceDE w:val="0"/>
        <w:autoSpaceDN w:val="0"/>
        <w:spacing w:line="460" w:lineRule="exact"/>
        <w:ind w:left="60" w:right="0" w:firstLine="420"/>
        <w:jc w:val="both"/>
        <w:rPr>
          <w:highlight w:val="none"/>
        </w:rPr>
      </w:pPr>
      <w:r>
        <w:rPr>
          <w:rFonts w:hint="eastAsia" w:ascii="宋体" w:hAnsi="宋体" w:eastAsia="宋体" w:cs="宋体"/>
          <w:sz w:val="24"/>
          <w:highlight w:val="none"/>
        </w:rPr>
        <w:t>具备下列情形之一的，丙方有权拒绝乙方从托管账户划款的请求，由此造成的后果由乙方承担：</w:t>
      </w:r>
    </w:p>
    <w:p w14:paraId="4D386801">
      <w:pPr>
        <w:autoSpaceDE w:val="0"/>
        <w:autoSpaceDN w:val="0"/>
        <w:spacing w:line="480" w:lineRule="exact"/>
        <w:ind w:left="0" w:firstLine="439" w:firstLineChars="183"/>
        <w:jc w:val="both"/>
        <w:rPr>
          <w:highlight w:val="none"/>
        </w:rPr>
      </w:pPr>
      <w:r>
        <w:rPr>
          <w:rFonts w:hint="eastAsia" w:ascii="宋体" w:hAnsi="宋体" w:eastAsia="宋体" w:cs="宋体"/>
          <w:sz w:val="24"/>
          <w:highlight w:val="none"/>
        </w:rPr>
        <w:t>（一）《托管资金转出指令》等支付指令中的签章与预留印鉴不符或付款金额超出托管资金余额；</w:t>
      </w:r>
    </w:p>
    <w:p w14:paraId="6FA034BD">
      <w:pPr>
        <w:autoSpaceDE w:val="0"/>
        <w:autoSpaceDN w:val="0"/>
        <w:spacing w:line="460" w:lineRule="exact"/>
        <w:ind w:left="60" w:right="0" w:firstLine="480"/>
        <w:jc w:val="both"/>
        <w:rPr>
          <w:rFonts w:hint="eastAsia" w:ascii="宋体" w:hAnsi="宋体" w:eastAsia="宋体" w:cs="宋体"/>
          <w:sz w:val="24"/>
          <w:highlight w:val="none"/>
        </w:rPr>
      </w:pPr>
      <w:r>
        <w:rPr>
          <w:rFonts w:hint="eastAsia" w:ascii="宋体" w:hAnsi="宋体" w:eastAsia="宋体" w:cs="宋体"/>
          <w:sz w:val="24"/>
          <w:highlight w:val="none"/>
        </w:rPr>
        <w:t>（二）乙方提交的资料或证明文件不符合法律法规规定和本协议约定；</w:t>
      </w:r>
    </w:p>
    <w:p w14:paraId="005FF877">
      <w:pPr>
        <w:autoSpaceDE w:val="0"/>
        <w:autoSpaceDN w:val="0"/>
        <w:spacing w:line="460" w:lineRule="exact"/>
        <w:ind w:left="60" w:right="0" w:firstLine="480"/>
        <w:jc w:val="both"/>
        <w:rPr>
          <w:rFonts w:hint="eastAsia" w:ascii="宋体" w:hAnsi="宋体" w:eastAsia="宋体" w:cs="宋体"/>
          <w:sz w:val="24"/>
          <w:highlight w:val="none"/>
        </w:rPr>
      </w:pPr>
      <w:r>
        <w:rPr>
          <w:rFonts w:hint="eastAsia" w:ascii="宋体" w:hAnsi="宋体" w:eastAsia="宋体" w:cs="宋体"/>
          <w:sz w:val="24"/>
          <w:highlight w:val="none"/>
        </w:rPr>
        <w:t>（三）乙方应经监管部门等相关方同意而未出具相关方同意意见或资金用途不符合相关约定或监管要求；</w:t>
      </w:r>
    </w:p>
    <w:p w14:paraId="6CDB7FD2">
      <w:pPr>
        <w:autoSpaceDE w:val="0"/>
        <w:autoSpaceDN w:val="0"/>
        <w:spacing w:line="460" w:lineRule="exact"/>
        <w:ind w:left="600"/>
        <w:jc w:val="both"/>
        <w:rPr>
          <w:highlight w:val="none"/>
        </w:rPr>
      </w:pPr>
      <w:r>
        <w:rPr>
          <w:rFonts w:hint="eastAsia" w:ascii="宋体" w:hAnsi="宋体" w:eastAsia="宋体" w:cs="宋体"/>
          <w:b/>
          <w:sz w:val="24"/>
          <w:highlight w:val="none"/>
        </w:rPr>
        <w:t>第八条托管资金的退款</w:t>
      </w:r>
    </w:p>
    <w:p w14:paraId="6975049A">
      <w:pPr>
        <w:autoSpaceDE w:val="0"/>
        <w:autoSpaceDN w:val="0"/>
        <w:spacing w:line="460" w:lineRule="exact"/>
        <w:ind w:left="60" w:right="0" w:firstLine="480"/>
        <w:jc w:val="both"/>
        <w:rPr>
          <w:highlight w:val="none"/>
        </w:rPr>
      </w:pPr>
      <w:r>
        <w:rPr>
          <w:rFonts w:hint="eastAsia" w:ascii="宋体" w:hAnsi="宋体" w:eastAsia="宋体" w:cs="宋体"/>
          <w:sz w:val="24"/>
          <w:highlight w:val="none"/>
        </w:rPr>
        <w:t>（一）项目建设期间，乙方专用托管账户内的资金原则上不退回至乙方人民币活期结算账户，如因特殊情况确实需要退回的，乙方签发《托管资金退回指令》并应征得甲方和丙方出具同意退回的意见。</w:t>
      </w:r>
    </w:p>
    <w:p w14:paraId="220AE961">
      <w:pPr>
        <w:autoSpaceDE w:val="0"/>
        <w:autoSpaceDN w:val="0"/>
        <w:spacing w:line="460" w:lineRule="exact"/>
        <w:ind w:left="60" w:right="0" w:firstLine="480"/>
        <w:jc w:val="both"/>
        <w:rPr>
          <w:highlight w:val="none"/>
        </w:rPr>
      </w:pPr>
      <w:r>
        <w:rPr>
          <w:rFonts w:hint="eastAsia" w:ascii="宋体" w:hAnsi="宋体" w:eastAsia="宋体" w:cs="宋体"/>
          <w:sz w:val="24"/>
          <w:highlight w:val="none"/>
        </w:rPr>
        <w:t>（二）建设项目交竣工且结算完毕后，乙方完成支付所有应付工程费用并确保不存在挤占、挪用、拖欠任何形式的工程费用情况下，方可申请退款。退款申请须经甲方书面同意，乙方方可持甲方审核同意的书面资料，授权丙方将托管账户中的剩余资金退回至乙方人民币活期结算账户。丙方应核对相关资料齐全、真实的情况下方可办理托管资</w:t>
      </w:r>
    </w:p>
    <w:p w14:paraId="0FA5F59F">
      <w:pPr>
        <w:autoSpaceDE w:val="0"/>
        <w:autoSpaceDN w:val="0"/>
        <w:spacing w:line="460" w:lineRule="exact"/>
        <w:ind w:left="60"/>
        <w:jc w:val="both"/>
        <w:rPr>
          <w:highlight w:val="none"/>
        </w:rPr>
      </w:pPr>
      <w:r>
        <w:rPr>
          <w:rFonts w:hint="eastAsia" w:ascii="宋体" w:hAnsi="宋体" w:eastAsia="宋体" w:cs="宋体"/>
          <w:sz w:val="24"/>
          <w:highlight w:val="none"/>
        </w:rPr>
        <w:t>金的退款。</w:t>
      </w:r>
    </w:p>
    <w:p w14:paraId="70A8E11D">
      <w:pPr>
        <w:autoSpaceDE w:val="0"/>
        <w:autoSpaceDN w:val="0"/>
        <w:spacing w:line="460" w:lineRule="exact"/>
        <w:ind w:left="600"/>
        <w:jc w:val="both"/>
        <w:rPr>
          <w:highlight w:val="none"/>
        </w:rPr>
      </w:pPr>
      <w:r>
        <w:rPr>
          <w:rFonts w:hint="eastAsia" w:ascii="宋体" w:hAnsi="宋体" w:eastAsia="宋体" w:cs="宋体"/>
          <w:b/>
          <w:sz w:val="24"/>
          <w:highlight w:val="none"/>
        </w:rPr>
        <w:t>第九条其他约定</w:t>
      </w:r>
    </w:p>
    <w:p w14:paraId="50CBD422">
      <w:pPr>
        <w:autoSpaceDE w:val="0"/>
        <w:autoSpaceDN w:val="0"/>
        <w:spacing w:line="480" w:lineRule="exact"/>
        <w:ind w:left="0" w:leftChars="0" w:firstLine="600" w:firstLineChars="250"/>
        <w:jc w:val="both"/>
        <w:rPr>
          <w:highlight w:val="none"/>
        </w:rPr>
      </w:pPr>
      <w:r>
        <w:rPr>
          <w:rFonts w:hint="eastAsia" w:ascii="宋体" w:hAnsi="宋体" w:eastAsia="宋体" w:cs="宋体"/>
          <w:sz w:val="24"/>
          <w:highlight w:val="none"/>
        </w:rPr>
        <w:t>（一）与本协议有关的授权和支付指令文书中所使用的印鉴应与预留印鉴保持一致。</w:t>
      </w:r>
    </w:p>
    <w:p w14:paraId="07274AC2">
      <w:pPr>
        <w:autoSpaceDE w:val="0"/>
        <w:autoSpaceDN w:val="0"/>
        <w:spacing w:line="460" w:lineRule="exact"/>
        <w:ind w:left="0" w:leftChars="0" w:firstLine="600" w:firstLineChars="250"/>
        <w:jc w:val="both"/>
        <w:rPr>
          <w:highlight w:val="none"/>
        </w:rPr>
      </w:pPr>
      <w:r>
        <w:rPr>
          <w:rFonts w:hint="eastAsia" w:ascii="宋体" w:hAnsi="宋体" w:eastAsia="宋体" w:cs="宋体"/>
          <w:sz w:val="24"/>
          <w:highlight w:val="none"/>
        </w:rPr>
        <w:t>（二）与本协议有关的《专项资金托管业务申请书》、《托管指令授权书》、《托管资金转出指令》、《托管资金退回指令》、《违约通知书》、《协议继续履行申请书》、《协议终止申请书》、《协议终止通知书》和《交易与专项资金托管报告》等授权和支付指令等文书，为本协议的组成部分。应采用原件递送方式。</w:t>
      </w:r>
    </w:p>
    <w:p w14:paraId="06E4DB22">
      <w:pPr>
        <w:autoSpaceDE w:val="0"/>
        <w:autoSpaceDN w:val="0"/>
        <w:spacing w:line="480" w:lineRule="exact"/>
        <w:ind w:left="0" w:leftChars="0" w:firstLine="600" w:firstLineChars="250"/>
        <w:jc w:val="both"/>
        <w:rPr>
          <w:highlight w:val="none"/>
        </w:rPr>
      </w:pPr>
      <w:r>
        <w:rPr>
          <w:rFonts w:hint="eastAsia" w:ascii="宋体" w:hAnsi="宋体" w:eastAsia="宋体" w:cs="宋体"/>
          <w:sz w:val="24"/>
          <w:highlight w:val="none"/>
        </w:rPr>
        <w:t>（三）补充条款：</w:t>
      </w:r>
    </w:p>
    <w:p w14:paraId="26562B22">
      <w:pPr>
        <w:autoSpaceDE w:val="0"/>
        <w:autoSpaceDN w:val="0"/>
        <w:spacing w:line="460" w:lineRule="exact"/>
        <w:ind w:left="600"/>
        <w:jc w:val="both"/>
        <w:rPr>
          <w:highlight w:val="none"/>
        </w:rPr>
      </w:pPr>
      <w:r>
        <w:rPr>
          <w:rFonts w:hint="eastAsia" w:ascii="宋体" w:hAnsi="宋体" w:eastAsia="宋体" w:cs="宋体"/>
          <w:b/>
          <w:sz w:val="24"/>
          <w:highlight w:val="none"/>
        </w:rPr>
        <w:t>第十条争议解决</w:t>
      </w:r>
    </w:p>
    <w:p w14:paraId="2587403B">
      <w:pPr>
        <w:autoSpaceDE w:val="0"/>
        <w:autoSpaceDN w:val="0"/>
        <w:spacing w:line="460" w:lineRule="exact"/>
        <w:ind w:left="60" w:right="0" w:firstLine="540"/>
        <w:jc w:val="both"/>
        <w:rPr>
          <w:highlight w:val="none"/>
        </w:rPr>
      </w:pPr>
      <w:r>
        <w:rPr>
          <w:rFonts w:hint="eastAsia" w:ascii="宋体" w:hAnsi="宋体" w:eastAsia="宋体" w:cs="宋体"/>
          <w:sz w:val="24"/>
          <w:highlight w:val="none"/>
        </w:rPr>
        <w:t>与本协议有关的任何争议，各方应协商解决；协商不成的，按下述第</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种方式解决：</w:t>
      </w:r>
    </w:p>
    <w:p w14:paraId="567D2116">
      <w:pPr>
        <w:numPr>
          <w:ilvl w:val="0"/>
          <w:numId w:val="4"/>
        </w:numPr>
        <w:autoSpaceDE w:val="0"/>
        <w:autoSpaceDN w:val="0"/>
        <w:spacing w:line="460" w:lineRule="exact"/>
        <w:ind w:left="840" w:hanging="240"/>
        <w:jc w:val="both"/>
        <w:rPr>
          <w:color w:val="000000"/>
          <w:sz w:val="24"/>
          <w:highlight w:val="none"/>
        </w:rPr>
      </w:pPr>
      <w:r>
        <w:rPr>
          <w:rFonts w:hint="eastAsia" w:ascii="宋体" w:hAnsi="宋体" w:eastAsia="宋体" w:cs="宋体"/>
          <w:sz w:val="24"/>
          <w:highlight w:val="none"/>
        </w:rPr>
        <w:t>提交（仲裁委员会全称）依其仲裁规则仲裁解决。</w:t>
      </w:r>
    </w:p>
    <w:p w14:paraId="656781EE">
      <w:pPr>
        <w:numPr>
          <w:ilvl w:val="0"/>
          <w:numId w:val="4"/>
        </w:numPr>
        <w:autoSpaceDE w:val="0"/>
        <w:autoSpaceDN w:val="0"/>
        <w:spacing w:line="460" w:lineRule="exact"/>
        <w:ind w:left="840" w:hanging="240"/>
        <w:jc w:val="both"/>
        <w:rPr>
          <w:color w:val="000000"/>
          <w:sz w:val="24"/>
          <w:highlight w:val="none"/>
        </w:rPr>
      </w:pPr>
      <w:r>
        <w:rPr>
          <w:rFonts w:hint="eastAsia" w:ascii="宋体" w:hAnsi="宋体" w:eastAsia="宋体" w:cs="宋体"/>
          <w:sz w:val="24"/>
          <w:highlight w:val="none"/>
        </w:rPr>
        <w:t>向</w:t>
      </w:r>
      <w:r>
        <w:rPr>
          <w:rFonts w:hint="eastAsia" w:ascii="宋体" w:hAnsi="宋体" w:eastAsia="宋体" w:cs="宋体"/>
          <w:sz w:val="24"/>
          <w:highlight w:val="none"/>
          <w:lang w:val="en-US" w:eastAsia="zh-CN"/>
        </w:rPr>
        <w:t>甲方所在地</w:t>
      </w:r>
      <w:r>
        <w:rPr>
          <w:rFonts w:hint="eastAsia" w:ascii="宋体" w:hAnsi="宋体" w:eastAsia="宋体" w:cs="宋体"/>
          <w:sz w:val="24"/>
          <w:highlight w:val="none"/>
        </w:rPr>
        <w:t>人民法院提起诉讼。</w:t>
      </w:r>
    </w:p>
    <w:p w14:paraId="2AEF8365">
      <w:pPr>
        <w:autoSpaceDE w:val="0"/>
        <w:autoSpaceDN w:val="0"/>
        <w:spacing w:line="480" w:lineRule="exact"/>
        <w:ind w:left="600"/>
        <w:jc w:val="both"/>
        <w:rPr>
          <w:highlight w:val="none"/>
        </w:rPr>
      </w:pPr>
      <w:r>
        <w:rPr>
          <w:rFonts w:hint="eastAsia" w:ascii="宋体" w:hAnsi="宋体" w:eastAsia="宋体" w:cs="宋体"/>
          <w:b/>
          <w:sz w:val="24"/>
          <w:highlight w:val="none"/>
        </w:rPr>
        <w:t>第十一条协议的效力</w:t>
      </w:r>
    </w:p>
    <w:p w14:paraId="261D54CF">
      <w:pPr>
        <w:autoSpaceDE w:val="0"/>
        <w:autoSpaceDN w:val="0"/>
        <w:spacing w:line="460" w:lineRule="exact"/>
        <w:ind w:left="0" w:firstLine="439" w:firstLineChars="183"/>
        <w:jc w:val="both"/>
        <w:rPr>
          <w:highlight w:val="none"/>
        </w:rPr>
      </w:pPr>
      <w:r>
        <w:rPr>
          <w:rFonts w:hint="eastAsia" w:ascii="宋体" w:hAnsi="宋体" w:eastAsia="宋体" w:cs="宋体"/>
          <w:sz w:val="24"/>
          <w:highlight w:val="none"/>
        </w:rPr>
        <w:t>本协议自各方签章之日起生效，一式</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份，其中甲方</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份、乙方</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份、丙方</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份，具有同等法律效力。</w:t>
      </w:r>
    </w:p>
    <w:p w14:paraId="53BF0BE3">
      <w:pPr>
        <w:spacing w:line="200" w:lineRule="exact"/>
        <w:rPr>
          <w:rFonts w:hint="eastAsia" w:ascii="宋体" w:hAnsi="宋体" w:eastAsia="宋体" w:cs="宋体"/>
          <w:sz w:val="20"/>
          <w:highlight w:val="none"/>
        </w:rPr>
      </w:pPr>
    </w:p>
    <w:p w14:paraId="58BEEADC">
      <w:pPr>
        <w:spacing w:line="200" w:lineRule="exact"/>
        <w:rPr>
          <w:rFonts w:hint="eastAsia" w:ascii="宋体" w:hAnsi="宋体" w:eastAsia="宋体" w:cs="宋体"/>
          <w:sz w:val="20"/>
          <w:highlight w:val="none"/>
        </w:rPr>
      </w:pPr>
    </w:p>
    <w:p w14:paraId="2200247D">
      <w:pPr>
        <w:spacing w:line="200" w:lineRule="exact"/>
        <w:rPr>
          <w:rFonts w:hint="eastAsia" w:ascii="宋体" w:hAnsi="宋体" w:eastAsia="宋体" w:cs="宋体"/>
          <w:sz w:val="20"/>
          <w:highlight w:val="none"/>
        </w:rPr>
      </w:pPr>
    </w:p>
    <w:p w14:paraId="0B6DC2BA">
      <w:pPr>
        <w:spacing w:line="200" w:lineRule="exact"/>
        <w:rPr>
          <w:rFonts w:hint="eastAsia" w:ascii="宋体" w:hAnsi="宋体" w:eastAsia="宋体" w:cs="宋体"/>
          <w:sz w:val="20"/>
          <w:highlight w:val="none"/>
        </w:rPr>
      </w:pPr>
    </w:p>
    <w:p w14:paraId="2B4914EF">
      <w:pPr>
        <w:spacing w:line="200" w:lineRule="exact"/>
        <w:rPr>
          <w:rFonts w:hint="eastAsia" w:ascii="宋体" w:hAnsi="宋体" w:eastAsia="宋体" w:cs="宋体"/>
          <w:sz w:val="20"/>
          <w:highlight w:val="none"/>
        </w:rPr>
      </w:pPr>
    </w:p>
    <w:p w14:paraId="18C56736">
      <w:pPr>
        <w:spacing w:line="200" w:lineRule="exact"/>
        <w:rPr>
          <w:rFonts w:hint="eastAsia" w:ascii="宋体" w:hAnsi="宋体" w:eastAsia="宋体" w:cs="宋体"/>
          <w:sz w:val="20"/>
          <w:highlight w:val="none"/>
        </w:rPr>
      </w:pPr>
    </w:p>
    <w:p w14:paraId="3A237FED">
      <w:pPr>
        <w:spacing w:line="200" w:lineRule="exact"/>
        <w:rPr>
          <w:rFonts w:hint="eastAsia" w:ascii="宋体" w:hAnsi="宋体" w:eastAsia="宋体" w:cs="宋体"/>
          <w:sz w:val="20"/>
          <w:highlight w:val="none"/>
        </w:rPr>
      </w:pPr>
    </w:p>
    <w:p w14:paraId="65A097A0">
      <w:pPr>
        <w:autoSpaceDE w:val="0"/>
        <w:autoSpaceDN w:val="0"/>
        <w:spacing w:line="280" w:lineRule="exact"/>
        <w:ind w:left="600"/>
        <w:jc w:val="both"/>
        <w:rPr>
          <w:highlight w:val="none"/>
        </w:rPr>
      </w:pPr>
      <w:r>
        <w:rPr>
          <w:rFonts w:hint="eastAsia" w:ascii="宋体" w:hAnsi="宋体" w:eastAsia="宋体" w:cs="宋体"/>
          <w:sz w:val="24"/>
          <w:highlight w:val="none"/>
        </w:rPr>
        <w:t>甲方（签章）：</w:t>
      </w:r>
    </w:p>
    <w:p w14:paraId="2E60F6A9">
      <w:pPr>
        <w:autoSpaceDE w:val="0"/>
        <w:autoSpaceDN w:val="0"/>
        <w:spacing w:line="480" w:lineRule="exact"/>
        <w:ind w:left="600"/>
        <w:jc w:val="both"/>
        <w:rPr>
          <w:highlight w:val="none"/>
        </w:rPr>
      </w:pPr>
      <w:r>
        <w:rPr>
          <w:rFonts w:hint="eastAsia" w:ascii="宋体" w:hAnsi="宋体" w:eastAsia="宋体" w:cs="宋体"/>
          <w:sz w:val="24"/>
          <w:highlight w:val="none"/>
        </w:rPr>
        <w:t>法定代表人/授权代理人（签章）：</w:t>
      </w:r>
    </w:p>
    <w:p w14:paraId="616774DA">
      <w:pPr>
        <w:spacing w:line="200" w:lineRule="exact"/>
        <w:rPr>
          <w:rFonts w:hint="eastAsia" w:ascii="宋体" w:hAnsi="宋体" w:eastAsia="宋体" w:cs="宋体"/>
          <w:sz w:val="20"/>
          <w:highlight w:val="none"/>
        </w:rPr>
      </w:pPr>
    </w:p>
    <w:p w14:paraId="7D098CF2">
      <w:pPr>
        <w:spacing w:line="200" w:lineRule="exact"/>
        <w:rPr>
          <w:rFonts w:hint="eastAsia" w:ascii="宋体" w:hAnsi="宋体" w:eastAsia="宋体" w:cs="宋体"/>
          <w:sz w:val="20"/>
          <w:highlight w:val="none"/>
        </w:rPr>
      </w:pPr>
    </w:p>
    <w:p w14:paraId="3891F9C9">
      <w:pPr>
        <w:spacing w:line="200" w:lineRule="exact"/>
        <w:rPr>
          <w:rFonts w:hint="eastAsia" w:ascii="宋体" w:hAnsi="宋体" w:eastAsia="宋体" w:cs="宋体"/>
          <w:sz w:val="20"/>
          <w:highlight w:val="none"/>
        </w:rPr>
      </w:pPr>
    </w:p>
    <w:p w14:paraId="5975090F">
      <w:pPr>
        <w:spacing w:line="200" w:lineRule="exact"/>
        <w:rPr>
          <w:rFonts w:hint="eastAsia" w:ascii="宋体" w:hAnsi="宋体" w:eastAsia="宋体" w:cs="宋体"/>
          <w:sz w:val="20"/>
          <w:highlight w:val="none"/>
        </w:rPr>
      </w:pPr>
    </w:p>
    <w:p w14:paraId="281FF412">
      <w:pPr>
        <w:spacing w:line="200" w:lineRule="exact"/>
        <w:rPr>
          <w:rFonts w:hint="eastAsia" w:ascii="宋体" w:hAnsi="宋体" w:eastAsia="宋体" w:cs="宋体"/>
          <w:sz w:val="20"/>
          <w:highlight w:val="none"/>
        </w:rPr>
      </w:pPr>
    </w:p>
    <w:p w14:paraId="65368668">
      <w:pPr>
        <w:autoSpaceDE w:val="0"/>
        <w:autoSpaceDN w:val="0"/>
        <w:spacing w:line="400" w:lineRule="exact"/>
        <w:ind w:left="600"/>
        <w:jc w:val="both"/>
        <w:rPr>
          <w:highlight w:val="none"/>
        </w:rPr>
      </w:pPr>
      <w:r>
        <w:rPr>
          <w:rFonts w:hint="eastAsia" w:ascii="宋体" w:hAnsi="宋体" w:eastAsia="宋体" w:cs="宋体"/>
          <w:sz w:val="24"/>
          <w:highlight w:val="none"/>
        </w:rPr>
        <w:t>乙方（签章）：</w:t>
      </w:r>
    </w:p>
    <w:p w14:paraId="7FAFDDD1">
      <w:pPr>
        <w:autoSpaceDE w:val="0"/>
        <w:autoSpaceDN w:val="0"/>
        <w:spacing w:line="460" w:lineRule="exact"/>
        <w:ind w:left="600"/>
        <w:jc w:val="both"/>
        <w:rPr>
          <w:highlight w:val="none"/>
        </w:rPr>
      </w:pPr>
      <w:r>
        <w:rPr>
          <w:rFonts w:hint="eastAsia" w:ascii="宋体" w:hAnsi="宋体" w:eastAsia="宋体" w:cs="宋体"/>
          <w:sz w:val="24"/>
          <w:highlight w:val="none"/>
        </w:rPr>
        <w:t>法定代表人/授权代理人（签章）：</w:t>
      </w:r>
    </w:p>
    <w:p w14:paraId="1998D884">
      <w:pPr>
        <w:spacing w:line="200" w:lineRule="exact"/>
        <w:rPr>
          <w:rFonts w:hint="eastAsia" w:ascii="宋体" w:hAnsi="宋体" w:eastAsia="宋体" w:cs="宋体"/>
          <w:sz w:val="20"/>
          <w:highlight w:val="none"/>
        </w:rPr>
      </w:pPr>
    </w:p>
    <w:p w14:paraId="24A12BF6">
      <w:pPr>
        <w:spacing w:line="200" w:lineRule="exact"/>
        <w:rPr>
          <w:rFonts w:hint="eastAsia" w:ascii="宋体" w:hAnsi="宋体" w:eastAsia="宋体" w:cs="宋体"/>
          <w:sz w:val="20"/>
          <w:highlight w:val="none"/>
        </w:rPr>
      </w:pPr>
    </w:p>
    <w:p w14:paraId="6FB6B64A">
      <w:pPr>
        <w:spacing w:line="200" w:lineRule="exact"/>
        <w:rPr>
          <w:rFonts w:hint="eastAsia" w:ascii="宋体" w:hAnsi="宋体" w:eastAsia="宋体" w:cs="宋体"/>
          <w:sz w:val="20"/>
          <w:highlight w:val="none"/>
        </w:rPr>
      </w:pPr>
    </w:p>
    <w:p w14:paraId="34B3F680">
      <w:pPr>
        <w:autoSpaceDE w:val="0"/>
        <w:autoSpaceDN w:val="0"/>
        <w:spacing w:line="340" w:lineRule="exact"/>
        <w:ind w:left="600"/>
        <w:jc w:val="both"/>
        <w:rPr>
          <w:highlight w:val="none"/>
        </w:rPr>
      </w:pPr>
      <w:r>
        <w:rPr>
          <w:rFonts w:hint="eastAsia" w:ascii="宋体" w:hAnsi="宋体" w:eastAsia="宋体" w:cs="宋体"/>
          <w:sz w:val="24"/>
          <w:highlight w:val="none"/>
        </w:rPr>
        <w:t>丙方（签章）：</w:t>
      </w:r>
    </w:p>
    <w:p w14:paraId="27BAADD6">
      <w:pPr>
        <w:autoSpaceDE w:val="0"/>
        <w:autoSpaceDN w:val="0"/>
        <w:spacing w:line="460" w:lineRule="exact"/>
        <w:ind w:left="600"/>
        <w:jc w:val="both"/>
        <w:rPr>
          <w:highlight w:val="none"/>
        </w:rPr>
      </w:pPr>
      <w:r>
        <w:rPr>
          <w:rFonts w:hint="eastAsia" w:ascii="宋体" w:hAnsi="宋体" w:eastAsia="宋体" w:cs="宋体"/>
          <w:sz w:val="24"/>
          <w:highlight w:val="none"/>
        </w:rPr>
        <w:t>法定代表人/授权代理人（签章）：</w:t>
      </w:r>
    </w:p>
    <w:p w14:paraId="04702417">
      <w:pPr>
        <w:spacing w:line="200" w:lineRule="exact"/>
        <w:rPr>
          <w:rFonts w:hint="eastAsia" w:ascii="宋体" w:hAnsi="宋体" w:eastAsia="宋体" w:cs="宋体"/>
          <w:sz w:val="20"/>
          <w:highlight w:val="none"/>
        </w:rPr>
      </w:pPr>
    </w:p>
    <w:p w14:paraId="663D4D91">
      <w:pPr>
        <w:spacing w:line="200" w:lineRule="exact"/>
        <w:rPr>
          <w:rFonts w:hint="eastAsia" w:ascii="宋体" w:hAnsi="宋体" w:eastAsia="宋体" w:cs="宋体"/>
          <w:sz w:val="20"/>
          <w:highlight w:val="none"/>
        </w:rPr>
      </w:pPr>
    </w:p>
    <w:p w14:paraId="6AC120EF">
      <w:pPr>
        <w:spacing w:line="200" w:lineRule="exact"/>
        <w:rPr>
          <w:rFonts w:hint="eastAsia" w:ascii="宋体" w:hAnsi="宋体" w:eastAsia="宋体" w:cs="宋体"/>
          <w:sz w:val="20"/>
          <w:highlight w:val="none"/>
        </w:rPr>
      </w:pPr>
    </w:p>
    <w:p w14:paraId="44A0DD7E">
      <w:pPr>
        <w:spacing w:line="200" w:lineRule="exact"/>
        <w:rPr>
          <w:rFonts w:hint="eastAsia" w:ascii="宋体" w:hAnsi="宋体" w:eastAsia="宋体" w:cs="宋体"/>
          <w:sz w:val="20"/>
          <w:highlight w:val="none"/>
        </w:rPr>
      </w:pPr>
    </w:p>
    <w:p w14:paraId="4F8546D5">
      <w:pPr>
        <w:spacing w:line="200" w:lineRule="exact"/>
        <w:rPr>
          <w:rFonts w:hint="eastAsia" w:ascii="宋体" w:hAnsi="宋体" w:eastAsia="宋体" w:cs="宋体"/>
          <w:sz w:val="20"/>
          <w:highlight w:val="none"/>
        </w:rPr>
      </w:pPr>
    </w:p>
    <w:p w14:paraId="79A3F4BF">
      <w:pPr>
        <w:autoSpaceDE w:val="0"/>
        <w:autoSpaceDN w:val="0"/>
        <w:spacing w:line="400" w:lineRule="exact"/>
        <w:ind w:left="600"/>
        <w:jc w:val="both"/>
        <w:rPr>
          <w:highlight w:val="none"/>
        </w:rPr>
      </w:pPr>
      <w:r>
        <w:rPr>
          <w:rFonts w:hint="eastAsia" w:ascii="宋体" w:hAnsi="宋体" w:eastAsia="宋体" w:cs="宋体"/>
          <w:sz w:val="24"/>
          <w:highlight w:val="none"/>
        </w:rPr>
        <w:t>签约日期：</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04188C6E">
      <w:pPr>
        <w:autoSpaceDE w:val="0"/>
        <w:autoSpaceDN w:val="0"/>
        <w:spacing w:line="480" w:lineRule="exact"/>
        <w:ind w:left="600"/>
        <w:jc w:val="both"/>
        <w:rPr>
          <w:highlight w:val="none"/>
        </w:rPr>
      </w:pPr>
      <w:r>
        <w:rPr>
          <w:rFonts w:hint="eastAsia" w:ascii="宋体" w:hAnsi="宋体" w:eastAsia="宋体" w:cs="宋体"/>
          <w:sz w:val="24"/>
          <w:highlight w:val="none"/>
        </w:rPr>
        <w:t>签约地点：</w:t>
      </w:r>
    </w:p>
    <w:p w14:paraId="7C3B4608">
      <w:pPr>
        <w:spacing w:line="200" w:lineRule="exact"/>
        <w:rPr>
          <w:rFonts w:hint="eastAsia" w:ascii="宋体" w:hAnsi="宋体" w:eastAsia="宋体" w:cs="宋体"/>
          <w:sz w:val="20"/>
          <w:highlight w:val="none"/>
        </w:rPr>
      </w:pPr>
    </w:p>
    <w:p w14:paraId="080CCBCF">
      <w:pPr>
        <w:spacing w:line="200" w:lineRule="exact"/>
        <w:rPr>
          <w:rFonts w:hint="eastAsia" w:ascii="宋体" w:hAnsi="宋体" w:eastAsia="宋体" w:cs="宋体"/>
          <w:sz w:val="20"/>
          <w:highlight w:val="none"/>
        </w:rPr>
      </w:pPr>
    </w:p>
    <w:p w14:paraId="5A9821C9">
      <w:pPr>
        <w:spacing w:line="200" w:lineRule="exact"/>
        <w:rPr>
          <w:rFonts w:hint="eastAsia" w:ascii="宋体" w:hAnsi="宋体" w:eastAsia="宋体" w:cs="宋体"/>
          <w:sz w:val="20"/>
          <w:highlight w:val="none"/>
        </w:rPr>
      </w:pPr>
    </w:p>
    <w:p w14:paraId="027BB6B7">
      <w:pPr>
        <w:spacing w:line="200" w:lineRule="exact"/>
        <w:rPr>
          <w:rFonts w:hint="eastAsia" w:ascii="宋体" w:hAnsi="宋体" w:eastAsia="宋体" w:cs="宋体"/>
          <w:sz w:val="20"/>
          <w:highlight w:val="none"/>
        </w:rPr>
      </w:pPr>
    </w:p>
    <w:p w14:paraId="7171A985">
      <w:pPr>
        <w:spacing w:line="200" w:lineRule="exact"/>
        <w:rPr>
          <w:rFonts w:hint="eastAsia" w:ascii="宋体" w:hAnsi="宋体" w:eastAsia="宋体" w:cs="宋体"/>
          <w:sz w:val="20"/>
          <w:highlight w:val="none"/>
        </w:rPr>
      </w:pPr>
    </w:p>
    <w:p w14:paraId="4C29A8EE">
      <w:pPr>
        <w:pageBreakBefore/>
        <w:autoSpaceDE w:val="0"/>
        <w:autoSpaceDN w:val="0"/>
        <w:spacing w:line="280" w:lineRule="exact"/>
        <w:jc w:val="both"/>
        <w:rPr>
          <w:highlight w:val="none"/>
        </w:rPr>
      </w:pPr>
      <w:r>
        <w:rPr>
          <w:rFonts w:hint="eastAsia" w:ascii="宋体" w:hAnsi="宋体" w:eastAsia="宋体" w:cs="宋体"/>
          <w:b/>
          <w:sz w:val="24"/>
          <w:highlight w:val="none"/>
        </w:rPr>
        <w:t>附件八：建设工程农民工工资支付保证书</w:t>
      </w:r>
    </w:p>
    <w:p w14:paraId="160BD361">
      <w:pPr>
        <w:autoSpaceDE w:val="0"/>
        <w:autoSpaceDN w:val="0"/>
        <w:spacing w:line="540" w:lineRule="exact"/>
        <w:jc w:val="center"/>
        <w:rPr>
          <w:highlight w:val="none"/>
        </w:rPr>
      </w:pPr>
      <w:r>
        <w:rPr>
          <w:rFonts w:hint="eastAsia" w:ascii="宋体" w:hAnsi="宋体" w:eastAsia="宋体" w:cs="宋体"/>
          <w:b/>
          <w:sz w:val="30"/>
          <w:highlight w:val="none"/>
        </w:rPr>
        <w:t>建设工程农民工工资支付保证书</w:t>
      </w:r>
      <w:r>
        <w:rPr>
          <w:highlight w:val="none"/>
        </w:rPr>
        <mc:AlternateContent>
          <mc:Choice Requires="wps">
            <w:drawing>
              <wp:anchor distT="0" distB="0" distL="114300" distR="114300" simplePos="0" relativeHeight="251661312" behindDoc="0" locked="0" layoutInCell="1" allowOverlap="1">
                <wp:simplePos x="0" y="0"/>
                <wp:positionH relativeFrom="column">
                  <wp:posOffset>889000</wp:posOffset>
                </wp:positionH>
                <wp:positionV relativeFrom="line">
                  <wp:posOffset>584200</wp:posOffset>
                </wp:positionV>
                <wp:extent cx="317500" cy="215900"/>
                <wp:effectExtent l="0" t="0" r="0" b="0"/>
                <wp:wrapTopAndBottom/>
                <wp:docPr id="9" name="矩形 9"/>
                <wp:cNvGraphicFramePr/>
                <a:graphic xmlns:a="http://schemas.openxmlformats.org/drawingml/2006/main">
                  <a:graphicData uri="http://schemas.microsoft.com/office/word/2010/wordprocessingShape">
                    <wps:wsp>
                      <wps:cNvSpPr/>
                      <wps:spPr>
                        <a:xfrm>
                          <a:off x="0" y="0"/>
                          <a:ext cx="317500" cy="215900"/>
                        </a:xfrm>
                        <a:prstGeom prst="rect">
                          <a:avLst/>
                        </a:prstGeom>
                        <a:noFill/>
                        <a:ln>
                          <a:noFill/>
                        </a:ln>
                        <a:effectLst/>
                      </wps:spPr>
                      <wps:txbx>
                        <w:txbxContent>
                          <w:p w14:paraId="5ECE2DA8">
                            <w:pPr>
                              <w:spacing w:line="280" w:lineRule="exact"/>
                              <w:ind w:left="0"/>
                              <w:jc w:val="both"/>
                            </w:pPr>
                            <w:r>
                              <w:rPr>
                                <w:rFonts w:hint="eastAsia" w:ascii="宋体" w:hAnsi="宋体" w:eastAsia="宋体" w:cs="宋体"/>
                                <w:sz w:val="24"/>
                              </w:rPr>
                              <w:t>致：</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rect id="_x0000_s1026" o:spid="_x0000_s1026" o:spt="1" style="position:absolute;left:0pt;margin-left:70pt;margin-top:46pt;height:17pt;width:25pt;mso-position-vertical-relative:line;mso-wrap-distance-bottom:0pt;mso-wrap-distance-top:0pt;mso-wrap-style:none;z-index:251661312;mso-width-relative:page;mso-height-relative:page;" filled="f" stroked="f" coordsize="21600,21600" o:gfxdata="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0q/7J0wAA&#10;AAoBAAAPAAAAAAAAAAEAIAAAACIAAABkcnMvZG93bnJldi54bWxQSwECFAAUAAAACACHTuJAUoW3&#10;xSMCAABLBAAADgAAAAAAAAABACAAAAAiAQAAZHJzL2Uyb0RvYy54bWxQSwUGAAAAAAYABgBZAQAA&#10;twUAAAAA&#10;">
                <v:fill on="f" focussize="0,0"/>
                <v:stroke on="f"/>
                <v:imagedata o:title=""/>
                <o:lock v:ext="edit" aspectratio="f"/>
                <v:textbox inset="0mm,0mm,0mm,0mm" style="mso-fit-shape-to-text:t;">
                  <w:txbxContent>
                    <w:p w14:paraId="5ECE2DA8">
                      <w:pPr>
                        <w:spacing w:line="280" w:lineRule="exact"/>
                        <w:ind w:left="0"/>
                        <w:jc w:val="both"/>
                      </w:pPr>
                      <w:r>
                        <w:rPr>
                          <w:rFonts w:hint="eastAsia" w:ascii="宋体" w:hAnsi="宋体" w:eastAsia="宋体" w:cs="宋体"/>
                          <w:sz w:val="24"/>
                        </w:rPr>
                        <w:t>致：</w:t>
                      </w:r>
                    </w:p>
                  </w:txbxContent>
                </v:textbox>
                <w10:wrap type="topAndBottom"/>
              </v:rect>
            </w:pict>
          </mc:Fallback>
        </mc:AlternateContent>
      </w:r>
    </w:p>
    <w:p w14:paraId="326C106C">
      <w:pPr>
        <w:autoSpaceDE w:val="0"/>
        <w:autoSpaceDN w:val="0"/>
        <w:spacing w:line="460" w:lineRule="exact"/>
        <w:ind w:left="0" w:leftChars="0" w:right="0" w:rightChars="0" w:firstLine="436" w:firstLineChars="182"/>
        <w:jc w:val="both"/>
        <w:rPr>
          <w:highlight w:val="none"/>
        </w:rPr>
      </w:pPr>
      <w:r>
        <w:rPr>
          <w:rFonts w:hint="eastAsia" w:ascii="宋体" w:hAnsi="宋体" w:eastAsia="宋体" w:cs="宋体"/>
          <w:sz w:val="24"/>
          <w:highlight w:val="none"/>
        </w:rPr>
        <w:t>鉴于</w:t>
      </w:r>
      <w:r>
        <w:rPr>
          <w:highlight w:val="none"/>
          <w:u w:val="single" w:color="000000"/>
        </w:rPr>
        <w:tab/>
      </w:r>
      <w:r>
        <w:rPr>
          <w:rFonts w:hint="eastAsia" w:ascii="宋体" w:hAnsi="宋体" w:eastAsia="宋体" w:cs="宋体"/>
          <w:sz w:val="24"/>
          <w:highlight w:val="none"/>
          <w:u w:val="single" w:color="000000"/>
        </w:rPr>
        <w:t xml:space="preserve"> (以</w:t>
      </w:r>
      <w:r>
        <w:rPr>
          <w:rFonts w:hint="eastAsia" w:ascii="宋体" w:hAnsi="宋体" w:eastAsia="宋体" w:cs="宋体"/>
          <w:sz w:val="24"/>
          <w:highlight w:val="none"/>
        </w:rPr>
        <w:t>下简称“承包人”)拟与</w:t>
      </w:r>
      <w:r>
        <w:rPr>
          <w:highlight w:val="none"/>
          <w:u w:val="single" w:color="000000"/>
        </w:rPr>
        <w:tab/>
      </w:r>
      <w:r>
        <w:rPr>
          <w:rFonts w:hint="eastAsia" w:ascii="宋体" w:hAnsi="宋体" w:eastAsia="宋体" w:cs="宋体"/>
          <w:sz w:val="24"/>
          <w:highlight w:val="none"/>
          <w:u w:val="single" w:color="000000"/>
        </w:rPr>
        <w:t>(以</w:t>
      </w:r>
      <w:r>
        <w:rPr>
          <w:rFonts w:hint="eastAsia" w:ascii="宋体" w:hAnsi="宋体" w:eastAsia="宋体" w:cs="宋体"/>
          <w:sz w:val="24"/>
          <w:highlight w:val="none"/>
        </w:rPr>
        <w:t>下简称“发包人”)签订</w:t>
      </w:r>
      <w:r>
        <w:rPr>
          <w:rFonts w:hint="eastAsia" w:ascii="宋体" w:hAnsi="宋体" w:eastAsia="宋体" w:cs="宋体"/>
          <w:sz w:val="24"/>
          <w:highlight w:val="none"/>
          <w:lang w:val="en-US" w:eastAsia="zh-CN"/>
        </w:rPr>
        <w:t xml:space="preserve"> </w:t>
      </w:r>
      <w:r>
        <w:rPr>
          <w:highlight w:val="none"/>
          <w:u w:val="single" w:color="auto"/>
        </w:rPr>
        <w:tab/>
      </w:r>
      <w:r>
        <w:rPr>
          <w:rFonts w:hint="eastAsia" w:eastAsia="宋体"/>
          <w:highlight w:val="none"/>
          <w:u w:val="single" w:color="auto"/>
          <w:lang w:val="en-US" w:eastAsia="zh-CN"/>
        </w:rPr>
        <w:t xml:space="preserve">          </w:t>
      </w:r>
      <w:r>
        <w:rPr>
          <w:rFonts w:hint="eastAsia" w:ascii="宋体" w:hAnsi="宋体" w:eastAsia="宋体" w:cs="宋体"/>
          <w:sz w:val="24"/>
          <w:highlight w:val="none"/>
          <w:u w:val="single" w:color="000000"/>
        </w:rPr>
        <w:t>（项目名称）标类（或标段）的</w:t>
      </w:r>
      <w:r>
        <w:rPr>
          <w:rFonts w:hint="eastAsia" w:ascii="宋体" w:hAnsi="宋体" w:eastAsia="宋体" w:cs="宋体"/>
          <w:sz w:val="24"/>
          <w:highlight w:val="none"/>
        </w:rPr>
        <w:t>施工承包合同，为规范本项目农民工工资的支付行为，预防和解决施工承包人拖欠或克扣农民工工资问题，切实保障农民工的合法利益，维护社会稳定，根据《中华人民共和国劳动合同法》《中华人民共和国建筑法》《保障农民工工资支付条例》《广东省建设工程领域工人工资支付专用账户管理办法》《广东省建设工程领域用工实名制管理暂行办法》《广东省交通运输厅关于加强交通建设工程从业人员实名制管理和作业工人工资支付管理的通知》等有关法规制度要求，结合本项目建设管理的具体情况，承包人在此承诺：</w:t>
      </w:r>
    </w:p>
    <w:p w14:paraId="54AC31DE">
      <w:pPr>
        <w:autoSpaceDE w:val="0"/>
        <w:autoSpaceDN w:val="0"/>
        <w:spacing w:line="440" w:lineRule="exact"/>
        <w:ind w:left="0" w:leftChars="0" w:right="151" w:rightChars="72" w:firstLine="439" w:firstLineChars="183"/>
        <w:jc w:val="both"/>
        <w:rPr>
          <w:highlight w:val="none"/>
        </w:rPr>
      </w:pPr>
      <w:r>
        <w:rPr>
          <w:rFonts w:hint="eastAsia" w:ascii="宋体" w:hAnsi="宋体" w:eastAsia="宋体" w:cs="宋体"/>
          <w:sz w:val="24"/>
          <w:highlight w:val="none"/>
        </w:rPr>
        <w:t>一、承诺严格按照国家法规和相关规定与农民工或与具备用工主体资格的组织签订劳动合同，按照当地劳动保障部门要求及时进行用工备案，推行实名制管理。严格根据劳动合同约定的农民工工资标准等内容，按照依法签订的劳动合同约定的日期按月支付工资，且不低于当地最低工资标准。若因违反上述法律、法规及相关管理办法而引发的民工工资纠纷等，承包人承担所有的民事及刑事法律责任。</w:t>
      </w:r>
    </w:p>
    <w:p w14:paraId="24486D74">
      <w:pPr>
        <w:autoSpaceDE w:val="0"/>
        <w:autoSpaceDN w:val="0"/>
        <w:spacing w:line="440" w:lineRule="exact"/>
        <w:ind w:left="0" w:leftChars="0" w:right="151" w:rightChars="72" w:firstLine="439" w:firstLineChars="183"/>
        <w:jc w:val="both"/>
        <w:rPr>
          <w:highlight w:val="none"/>
        </w:rPr>
      </w:pPr>
      <w:r>
        <w:rPr>
          <w:rFonts w:hint="eastAsia" w:ascii="宋体" w:hAnsi="宋体" w:eastAsia="宋体" w:cs="宋体"/>
          <w:sz w:val="24"/>
          <w:highlight w:val="none"/>
        </w:rPr>
        <w:t>二、决不违反有关规定，将工程转包、分包给不具备用工主体资格的组织或个人，并独自承担因违反上述规定而引发的民工工资纠纷等所有民事及刑事的法律连带责任。</w:t>
      </w:r>
    </w:p>
    <w:p w14:paraId="517DBC3B">
      <w:pPr>
        <w:autoSpaceDE w:val="0"/>
        <w:autoSpaceDN w:val="0"/>
        <w:spacing w:line="440" w:lineRule="exact"/>
        <w:ind w:left="0" w:leftChars="0" w:right="151" w:rightChars="72" w:firstLine="439" w:firstLineChars="183"/>
        <w:jc w:val="both"/>
        <w:rPr>
          <w:highlight w:val="none"/>
        </w:rPr>
      </w:pPr>
      <w:r>
        <w:rPr>
          <w:rFonts w:hint="eastAsia" w:ascii="宋体" w:hAnsi="宋体" w:eastAsia="宋体" w:cs="宋体"/>
          <w:sz w:val="24"/>
          <w:highlight w:val="none"/>
        </w:rPr>
        <w:t>三、承诺开展劳动法、建筑法等普法学习教育活动，建立健全承包人农民工用工实名制度，制定农民工劳动保护措施，实施劳动工资支付监控机制，建立劳动用工的举报投诉制度，设立专门的举报投诉电话，受理相关单位和个人的举报及投诉，监督并认真查处合同范围内的侵害农民工按劳取酬合法权益的行为。</w:t>
      </w:r>
    </w:p>
    <w:p w14:paraId="2FEBFA06">
      <w:pPr>
        <w:autoSpaceDE w:val="0"/>
        <w:autoSpaceDN w:val="0"/>
        <w:spacing w:line="440" w:lineRule="exact"/>
        <w:ind w:firstLine="480" w:firstLineChars="200"/>
        <w:jc w:val="both"/>
        <w:rPr>
          <w:highlight w:val="none"/>
        </w:rPr>
      </w:pPr>
      <w:r>
        <w:rPr>
          <w:rFonts w:hint="eastAsia" w:ascii="宋体" w:hAnsi="宋体" w:eastAsia="宋体" w:cs="宋体"/>
          <w:sz w:val="24"/>
          <w:highlight w:val="none"/>
        </w:rPr>
        <w:t>四、承诺在工地现场宣传栏中公布发包人关于农民工工资管理的有关法律法规、制度，公开发包人的投诉电话。</w:t>
      </w:r>
    </w:p>
    <w:p w14:paraId="6C2B4D71">
      <w:pPr>
        <w:autoSpaceDE w:val="0"/>
        <w:autoSpaceDN w:val="0"/>
        <w:spacing w:line="440" w:lineRule="exact"/>
        <w:ind w:left="0" w:leftChars="0" w:right="-60" w:rightChars="0" w:firstLine="440" w:firstLineChars="0"/>
        <w:jc w:val="both"/>
        <w:rPr>
          <w:highlight w:val="none"/>
        </w:rPr>
      </w:pPr>
      <w:r>
        <w:rPr>
          <w:rFonts w:hint="eastAsia" w:ascii="宋体" w:hAnsi="宋体" w:eastAsia="宋体" w:cs="宋体"/>
          <w:sz w:val="24"/>
          <w:highlight w:val="none"/>
        </w:rPr>
        <w:t>五、承诺在本项目工程开工前承包人制定内部工资支付办法，并抄报监理、发包人，同时告知全体农民工。内部工资支付办法包括以下内容：支付项目、支付标准、支付方式、支付周期和日期、加班工资计算基数、特殊情况下的工资支付以及其他工资支付等。</w:t>
      </w:r>
    </w:p>
    <w:p w14:paraId="61411EA5">
      <w:pPr>
        <w:tabs>
          <w:tab w:val="left" w:pos="7260"/>
        </w:tabs>
        <w:autoSpaceDE w:val="0"/>
        <w:autoSpaceDN w:val="0"/>
        <w:spacing w:line="440" w:lineRule="exact"/>
        <w:ind w:left="0" w:leftChars="0" w:right="160" w:rightChars="0" w:firstLine="439" w:firstLineChars="183"/>
        <w:jc w:val="both"/>
        <w:rPr>
          <w:highlight w:val="none"/>
        </w:rPr>
      </w:pPr>
      <w:r>
        <w:rPr>
          <w:rFonts w:hint="eastAsia" w:ascii="宋体" w:hAnsi="宋体" w:eastAsia="宋体" w:cs="宋体"/>
          <w:sz w:val="24"/>
          <w:highlight w:val="none"/>
        </w:rPr>
        <w:t>支付程序也将明文规定，且严格按章办事。工资支付管理接受监理、发包人及上级主管单位的监督和检查。</w:t>
      </w:r>
    </w:p>
    <w:p w14:paraId="0CE5E6E8">
      <w:pPr>
        <w:tabs>
          <w:tab w:val="left" w:pos="7260"/>
        </w:tabs>
        <w:autoSpaceDE w:val="0"/>
        <w:autoSpaceDN w:val="0"/>
        <w:spacing w:line="440" w:lineRule="exact"/>
        <w:ind w:left="0" w:leftChars="0" w:right="160" w:rightChars="0" w:firstLine="439" w:firstLineChars="183"/>
        <w:jc w:val="both"/>
        <w:rPr>
          <w:highlight w:val="none"/>
        </w:rPr>
      </w:pPr>
      <w:r>
        <w:rPr>
          <w:rFonts w:hint="eastAsia" w:ascii="宋体" w:hAnsi="宋体" w:eastAsia="宋体" w:cs="宋体"/>
          <w:sz w:val="24"/>
          <w:highlight w:val="none"/>
        </w:rPr>
        <w:t>六、承诺指定专人负责对农民工工资进行发放，实行专户管理，以银行转账方式按月直接支付工资（原则上是当月支付，最多不超过拖欠两个月）。</w:t>
      </w:r>
    </w:p>
    <w:p w14:paraId="708E5118">
      <w:pPr>
        <w:spacing w:line="200" w:lineRule="exact"/>
        <w:ind w:left="0" w:leftChars="0" w:firstLine="440" w:firstLineChars="220"/>
        <w:rPr>
          <w:rFonts w:hint="eastAsia" w:ascii="宋体" w:hAnsi="宋体" w:eastAsia="宋体" w:cs="宋体"/>
          <w:sz w:val="20"/>
          <w:highlight w:val="none"/>
        </w:rPr>
      </w:pPr>
    </w:p>
    <w:p w14:paraId="357615B2">
      <w:pPr>
        <w:autoSpaceDE w:val="0"/>
        <w:autoSpaceDN w:val="0"/>
        <w:spacing w:line="380" w:lineRule="exact"/>
        <w:ind w:left="0" w:leftChars="0" w:right="-60" w:rightChars="0" w:firstLine="528" w:firstLineChars="220"/>
        <w:jc w:val="both"/>
        <w:rPr>
          <w:highlight w:val="none"/>
        </w:rPr>
      </w:pPr>
      <w:r>
        <w:rPr>
          <w:rFonts w:hint="eastAsia" w:ascii="宋体" w:hAnsi="宋体" w:eastAsia="宋体" w:cs="宋体"/>
          <w:sz w:val="24"/>
          <w:highlight w:val="none"/>
        </w:rPr>
        <w:t>七、在合同工程范围内，一旦承包人发现任何下属单位、分包单位、施工班组等在劳动用工与工资结算支付活动中存在有违反法律法规规定的行为，承包人将以最快的速度、采取最得力的措施就地予以纠正，同时将有关问题抄报监理人及发包人，在监理人、发包人或劳动监察部门有要求或规定时，将处理结果上报备案。</w:t>
      </w:r>
    </w:p>
    <w:p w14:paraId="167177B6">
      <w:pPr>
        <w:autoSpaceDE w:val="0"/>
        <w:autoSpaceDN w:val="0"/>
        <w:spacing w:line="440" w:lineRule="exact"/>
        <w:ind w:left="0" w:leftChars="0" w:firstLine="528" w:firstLineChars="220"/>
        <w:jc w:val="both"/>
        <w:rPr>
          <w:highlight w:val="none"/>
        </w:rPr>
      </w:pPr>
      <w:r>
        <w:rPr>
          <w:rFonts w:hint="eastAsia" w:ascii="宋体" w:hAnsi="宋体" w:eastAsia="宋体" w:cs="宋体"/>
          <w:sz w:val="24"/>
          <w:highlight w:val="none"/>
        </w:rPr>
        <w:t>八、承诺在收到中标通知书后且合同签署前，按规定向发包人缴纳工资保障金，</w:t>
      </w:r>
      <w:r>
        <w:rPr>
          <w:rFonts w:hint="eastAsia" w:ascii="宋体" w:hAnsi="宋体" w:eastAsia="宋体" w:cs="宋体"/>
          <w:b/>
          <w:sz w:val="24"/>
          <w:highlight w:val="none"/>
        </w:rPr>
        <w:t>金</w:t>
      </w:r>
      <w:r>
        <w:rPr>
          <w:rFonts w:hint="eastAsia" w:ascii="宋体" w:hAnsi="宋体" w:eastAsia="宋体" w:cs="宋体"/>
          <w:b/>
          <w:sz w:val="24"/>
          <w:highlight w:val="none"/>
          <w:u w:val="single" w:color="000000"/>
        </w:rPr>
        <w:t>额为</w:t>
      </w:r>
      <w:r>
        <w:rPr>
          <w:highlight w:val="none"/>
          <w:u w:val="single" w:color="000000"/>
        </w:rPr>
        <w:tab/>
      </w:r>
      <w:r>
        <w:rPr>
          <w:rFonts w:hint="eastAsia" w:ascii="宋体" w:hAnsi="宋体" w:eastAsia="宋体" w:cs="宋体"/>
          <w:b/>
          <w:sz w:val="24"/>
          <w:highlight w:val="none"/>
          <w:u w:val="single" w:color="000000"/>
        </w:rPr>
        <w:t>元人民币</w:t>
      </w:r>
      <w:r>
        <w:rPr>
          <w:rFonts w:hint="eastAsia" w:ascii="宋体" w:hAnsi="宋体" w:eastAsia="宋体" w:cs="宋体"/>
          <w:sz w:val="24"/>
          <w:highlight w:val="none"/>
          <w:u w:val="single" w:color="000000"/>
          <w:vertAlign w:val="superscript"/>
        </w:rPr>
        <w:t>1</w:t>
      </w:r>
      <w:r>
        <w:rPr>
          <w:rFonts w:hint="eastAsia" w:ascii="宋体" w:hAnsi="宋体" w:eastAsia="宋体" w:cs="宋体"/>
          <w:sz w:val="24"/>
          <w:highlight w:val="none"/>
        </w:rPr>
        <w:t>，用于支付拖欠的农民工工资，如工资保障金不足，发包人有权利在应支付给承包人的工程款或是履约保证金中划扣支付。该保障金余额发包人将于本项目施工完毕，并交工验收合格后退还。</w:t>
      </w:r>
    </w:p>
    <w:p w14:paraId="48D5A476">
      <w:pPr>
        <w:autoSpaceDE w:val="0"/>
        <w:autoSpaceDN w:val="0"/>
        <w:spacing w:line="440" w:lineRule="exact"/>
        <w:ind w:left="0" w:leftChars="0" w:right="-60" w:rightChars="0" w:firstLine="528" w:firstLineChars="220"/>
        <w:jc w:val="both"/>
        <w:rPr>
          <w:highlight w:val="none"/>
        </w:rPr>
      </w:pPr>
      <w:r>
        <w:rPr>
          <w:rFonts w:hint="eastAsia" w:ascii="宋体" w:hAnsi="宋体" w:eastAsia="宋体" w:cs="宋体"/>
          <w:sz w:val="24"/>
          <w:highlight w:val="none"/>
        </w:rPr>
        <w:t>九、承诺建立农民工工资支付台帐，如实记录支付时间、支付对象、支付数额等工资支付情况，并于每月申请支付计量款时将上期工资表及工资支付台帐上报监理和发包人。若承包人拖欠民工工资两个月以上且一直未得到解决的，发包人有权利不给予承包人当月计量的工程款，直至拖欠的民工工资得到支付，或者发包人有权利直接从承包人按规定缴纳的工资保障金或应支付给承包人的工程款或是履约保证金中直接扣除相应费用后向民工进行支付，承包人均无异议。</w:t>
      </w:r>
    </w:p>
    <w:p w14:paraId="7F0EF41A">
      <w:pPr>
        <w:autoSpaceDE w:val="0"/>
        <w:autoSpaceDN w:val="0"/>
        <w:spacing w:line="440" w:lineRule="exact"/>
        <w:ind w:left="0" w:leftChars="0" w:firstLine="528" w:firstLineChars="220"/>
        <w:jc w:val="both"/>
        <w:rPr>
          <w:highlight w:val="none"/>
        </w:rPr>
      </w:pPr>
      <w:r>
        <w:rPr>
          <w:rFonts w:hint="eastAsia" w:ascii="宋体" w:hAnsi="宋体" w:eastAsia="宋体" w:cs="宋体"/>
          <w:sz w:val="24"/>
          <w:highlight w:val="none"/>
        </w:rPr>
        <w:t>十、在合同工程实施过程中如有发生:</w:t>
      </w:r>
    </w:p>
    <w:p w14:paraId="075CF589">
      <w:pPr>
        <w:numPr>
          <w:ilvl w:val="0"/>
          <w:numId w:val="0"/>
        </w:numPr>
        <w:autoSpaceDE w:val="0"/>
        <w:autoSpaceDN w:val="0"/>
        <w:spacing w:line="440" w:lineRule="exact"/>
        <w:ind w:left="0" w:leftChars="0" w:firstLine="528" w:firstLineChars="220"/>
        <w:jc w:val="both"/>
        <w:rPr>
          <w:color w:val="000000"/>
          <w:sz w:val="24"/>
          <w:highlight w:val="none"/>
        </w:rPr>
      </w:pPr>
      <w:r>
        <w:rPr>
          <w:rFonts w:hint="eastAsia" w:ascii="宋体" w:hAnsi="宋体" w:eastAsia="宋体" w:cs="宋体"/>
          <w:sz w:val="24"/>
          <w:highlight w:val="none"/>
        </w:rPr>
        <w:t>1)不按规定签订劳动合同或签订劳动合同不规范情况；或</w:t>
      </w:r>
    </w:p>
    <w:p w14:paraId="683061EA">
      <w:pPr>
        <w:numPr>
          <w:ilvl w:val="0"/>
          <w:numId w:val="0"/>
        </w:numPr>
        <w:autoSpaceDE w:val="0"/>
        <w:autoSpaceDN w:val="0"/>
        <w:spacing w:line="440" w:lineRule="exact"/>
        <w:ind w:left="0" w:leftChars="0" w:firstLine="528" w:firstLineChars="220"/>
        <w:jc w:val="both"/>
        <w:rPr>
          <w:color w:val="000000"/>
          <w:sz w:val="24"/>
          <w:highlight w:val="none"/>
        </w:rPr>
      </w:pPr>
      <w:r>
        <w:rPr>
          <w:rFonts w:hint="eastAsia" w:ascii="宋体" w:hAnsi="宋体" w:eastAsia="宋体" w:cs="宋体"/>
          <w:sz w:val="24"/>
          <w:highlight w:val="none"/>
        </w:rPr>
        <w:t>2)拖欠农民工工资、侵害农民工合法权益、农民工劳动安全保护欠缺的情况；或</w:t>
      </w:r>
    </w:p>
    <w:p w14:paraId="17F466D4">
      <w:pPr>
        <w:numPr>
          <w:ilvl w:val="0"/>
          <w:numId w:val="0"/>
        </w:numPr>
        <w:autoSpaceDE w:val="0"/>
        <w:autoSpaceDN w:val="0"/>
        <w:spacing w:line="440" w:lineRule="exact"/>
        <w:ind w:left="0" w:leftChars="0" w:firstLine="439" w:firstLineChars="183"/>
        <w:jc w:val="both"/>
        <w:rPr>
          <w:highlight w:val="none"/>
        </w:rPr>
      </w:pPr>
      <w:r>
        <w:rPr>
          <w:rFonts w:hint="eastAsia" w:ascii="宋体" w:hAnsi="宋体" w:eastAsia="宋体" w:cs="宋体"/>
          <w:sz w:val="24"/>
          <w:highlight w:val="none"/>
        </w:rPr>
        <w:t>3)因欠薪导致的闹事、打斗、死伤、上访事件，承包人愿接受监理人和/或发包人按合同或下发的管理办法规定的违约金。如果发生上述情况是因为我方违法分包、转包或出让资质、挂靠投标造成的，承包人对发包人或发包人的上级主管部门、政府机构提出的取消中标资格、终止合同、通报批评等违约金表示理解并无条件接受。</w:t>
      </w:r>
    </w:p>
    <w:p w14:paraId="737B3F03">
      <w:pPr>
        <w:autoSpaceDE w:val="0"/>
        <w:autoSpaceDN w:val="0"/>
        <w:spacing w:line="440" w:lineRule="exact"/>
        <w:ind w:left="0" w:leftChars="0" w:right="-60" w:rightChars="0" w:firstLine="440" w:firstLineChars="0"/>
        <w:jc w:val="both"/>
        <w:rPr>
          <w:highlight w:val="none"/>
        </w:rPr>
      </w:pPr>
      <w:r>
        <w:rPr>
          <w:rFonts w:hint="eastAsia" w:ascii="宋体" w:hAnsi="宋体" w:eastAsia="宋体" w:cs="宋体"/>
          <w:sz w:val="24"/>
          <w:highlight w:val="none"/>
        </w:rPr>
        <w:t>十一、本保证书作为本项目施工承包合同的有效组成部分，纳入合同一并签署，在承包人法定代表人或委托代理人签署并加盖公章后生效，并保证在施工承包合同有效期内一直保持有效。</w:t>
      </w:r>
    </w:p>
    <w:p w14:paraId="74769EFC">
      <w:pPr>
        <w:autoSpaceDE w:val="0"/>
        <w:autoSpaceDN w:val="0"/>
        <w:spacing w:line="440" w:lineRule="exact"/>
        <w:ind w:left="5719" w:leftChars="2400" w:hanging="679" w:hangingChars="283"/>
        <w:jc w:val="both"/>
        <w:rPr>
          <w:highlight w:val="none"/>
        </w:rPr>
      </w:pPr>
      <w:r>
        <w:rPr>
          <w:rFonts w:hint="eastAsia" w:ascii="宋体" w:hAnsi="宋体" w:eastAsia="宋体" w:cs="宋体"/>
          <w:sz w:val="24"/>
          <w:highlight w:val="none"/>
        </w:rPr>
        <w:t>承包人（盖章）：</w:t>
      </w:r>
    </w:p>
    <w:p w14:paraId="154AD3F1">
      <w:pPr>
        <w:autoSpaceDE w:val="0"/>
        <w:autoSpaceDN w:val="0"/>
        <w:spacing w:line="440" w:lineRule="exact"/>
        <w:ind w:left="5719" w:leftChars="2400" w:hanging="679" w:hangingChars="283"/>
        <w:jc w:val="both"/>
        <w:rPr>
          <w:highlight w:val="none"/>
        </w:rPr>
      </w:pPr>
      <w:r>
        <w:rPr>
          <w:rFonts w:hint="eastAsia" w:ascii="宋体" w:hAnsi="宋体" w:eastAsia="宋体" w:cs="宋体"/>
          <w:sz w:val="24"/>
          <w:highlight w:val="none"/>
        </w:rPr>
        <w:t>法定代表人或其委托代理人：（签字）</w:t>
      </w:r>
    </w:p>
    <w:p w14:paraId="2E101872">
      <w:pPr>
        <w:autoSpaceDE w:val="0"/>
        <w:autoSpaceDN w:val="0"/>
        <w:spacing w:line="440" w:lineRule="exact"/>
        <w:ind w:left="5727" w:leftChars="2727" w:firstLine="1000" w:firstLineChars="417"/>
        <w:jc w:val="both"/>
        <w:rPr>
          <w:highlight w:val="none"/>
        </w:rPr>
      </w:pP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22CB3D04">
      <w:pPr>
        <w:spacing w:line="200" w:lineRule="exact"/>
        <w:rPr>
          <w:rFonts w:hint="eastAsia" w:ascii="宋体" w:hAnsi="宋体" w:eastAsia="宋体" w:cs="宋体"/>
          <w:sz w:val="20"/>
          <w:highlight w:val="none"/>
        </w:rPr>
      </w:pPr>
    </w:p>
    <w:p w14:paraId="6C31F5DC">
      <w:pPr>
        <w:spacing w:line="200" w:lineRule="exact"/>
        <w:rPr>
          <w:rFonts w:hint="eastAsia" w:ascii="宋体" w:hAnsi="宋体" w:eastAsia="宋体" w:cs="宋体"/>
          <w:sz w:val="20"/>
          <w:highlight w:val="none"/>
        </w:rPr>
      </w:pPr>
    </w:p>
    <w:p w14:paraId="4D959D94">
      <w:pPr>
        <w:spacing w:line="200" w:lineRule="exact"/>
        <w:rPr>
          <w:rFonts w:hint="eastAsia" w:ascii="宋体" w:hAnsi="宋体" w:eastAsia="宋体" w:cs="宋体"/>
          <w:sz w:val="20"/>
          <w:highlight w:val="none"/>
        </w:rPr>
      </w:pPr>
    </w:p>
    <w:p w14:paraId="0F88B6DD">
      <w:pPr>
        <w:spacing w:line="200" w:lineRule="exact"/>
        <w:rPr>
          <w:rFonts w:hint="eastAsia" w:ascii="宋体" w:hAnsi="宋体" w:eastAsia="宋体" w:cs="宋体"/>
          <w:sz w:val="20"/>
          <w:highlight w:val="none"/>
        </w:rPr>
      </w:pPr>
    </w:p>
    <w:p w14:paraId="23CAF4C7">
      <w:pPr>
        <w:spacing w:line="240" w:lineRule="auto"/>
        <w:rPr>
          <w:rFonts w:hint="eastAsia" w:ascii="宋体" w:hAnsi="宋体" w:eastAsia="宋体" w:cs="宋体"/>
          <w:sz w:val="20"/>
          <w:highlight w:val="none"/>
        </w:rPr>
      </w:pPr>
    </w:p>
    <w:p w14:paraId="09D9C48A">
      <w:pPr>
        <w:spacing w:line="240" w:lineRule="auto"/>
        <w:rPr>
          <w:rFonts w:hint="eastAsia" w:ascii="宋体" w:hAnsi="宋体" w:eastAsia="宋体" w:cs="宋体"/>
          <w:sz w:val="20"/>
          <w:highlight w:val="none"/>
        </w:rPr>
      </w:pPr>
    </w:p>
    <w:p w14:paraId="4C5B2003">
      <w:pPr>
        <w:spacing w:line="240" w:lineRule="auto"/>
        <w:rPr>
          <w:rFonts w:hint="eastAsia" w:ascii="宋体" w:hAnsi="宋体" w:eastAsia="宋体" w:cs="宋体"/>
          <w:sz w:val="20"/>
          <w:highlight w:val="none"/>
        </w:rPr>
      </w:pPr>
    </w:p>
    <w:p w14:paraId="6A323DC7">
      <w:pPr>
        <w:spacing w:line="240" w:lineRule="auto"/>
        <w:rPr>
          <w:rFonts w:hint="eastAsia" w:ascii="宋体" w:hAnsi="宋体" w:eastAsia="宋体" w:cs="宋体"/>
          <w:sz w:val="20"/>
          <w:highlight w:val="none"/>
        </w:rPr>
      </w:pPr>
    </w:p>
    <w:p w14:paraId="054E3796">
      <w:pPr>
        <w:spacing w:line="240" w:lineRule="auto"/>
        <w:rPr>
          <w:rFonts w:hint="eastAsia" w:ascii="宋体" w:hAnsi="宋体" w:eastAsia="宋体" w:cs="宋体"/>
          <w:sz w:val="20"/>
          <w:highlight w:val="none"/>
        </w:rPr>
      </w:pPr>
    </w:p>
    <w:p w14:paraId="58E65CF0">
      <w:pPr>
        <w:spacing w:line="240" w:lineRule="auto"/>
        <w:rPr>
          <w:rFonts w:hint="eastAsia" w:ascii="宋体" w:hAnsi="宋体" w:eastAsia="宋体" w:cs="宋体"/>
          <w:sz w:val="20"/>
          <w:highlight w:val="none"/>
        </w:rPr>
      </w:pPr>
    </w:p>
    <w:p w14:paraId="6DF673E9">
      <w:pPr>
        <w:spacing w:line="240" w:lineRule="auto"/>
        <w:rPr>
          <w:rFonts w:hint="eastAsia" w:ascii="宋体" w:hAnsi="宋体" w:eastAsia="宋体" w:cs="宋体"/>
          <w:sz w:val="20"/>
          <w:highlight w:val="none"/>
        </w:rPr>
      </w:pPr>
    </w:p>
    <w:p w14:paraId="59F0EB91">
      <w:pPr>
        <w:spacing w:line="240" w:lineRule="auto"/>
        <w:rPr>
          <w:rFonts w:hint="eastAsia" w:ascii="宋体" w:hAnsi="宋体" w:eastAsia="宋体" w:cs="宋体"/>
          <w:sz w:val="20"/>
          <w:highlight w:val="none"/>
        </w:rPr>
      </w:pPr>
    </w:p>
    <w:p w14:paraId="6F5D1260">
      <w:pPr>
        <w:spacing w:line="240" w:lineRule="auto"/>
        <w:rPr>
          <w:rFonts w:hint="eastAsia" w:ascii="宋体" w:hAnsi="宋体" w:eastAsia="宋体" w:cs="宋体"/>
          <w:sz w:val="20"/>
          <w:highlight w:val="none"/>
        </w:rPr>
      </w:pPr>
    </w:p>
    <w:p w14:paraId="662ED9CB">
      <w:pPr>
        <w:spacing w:line="240" w:lineRule="auto"/>
        <w:rPr>
          <w:rFonts w:hint="eastAsia" w:ascii="宋体" w:hAnsi="宋体" w:eastAsia="宋体" w:cs="宋体"/>
          <w:sz w:val="20"/>
          <w:highlight w:val="none"/>
        </w:rPr>
      </w:pPr>
    </w:p>
    <w:p w14:paraId="32AE2FF0">
      <w:pPr>
        <w:spacing w:line="240" w:lineRule="auto"/>
        <w:rPr>
          <w:rFonts w:hint="eastAsia" w:ascii="宋体" w:hAnsi="宋体" w:eastAsia="宋体" w:cs="宋体"/>
          <w:sz w:val="20"/>
          <w:highlight w:val="none"/>
        </w:rPr>
      </w:pPr>
    </w:p>
    <w:p w14:paraId="409B804B">
      <w:pPr>
        <w:spacing w:line="240" w:lineRule="auto"/>
        <w:rPr>
          <w:rFonts w:hint="eastAsia" w:ascii="宋体" w:hAnsi="宋体" w:eastAsia="宋体" w:cs="宋体"/>
          <w:sz w:val="20"/>
          <w:highlight w:val="none"/>
        </w:rPr>
      </w:pPr>
    </w:p>
    <w:p w14:paraId="0773FA53">
      <w:pPr>
        <w:spacing w:line="240" w:lineRule="auto"/>
        <w:rPr>
          <w:rFonts w:hint="eastAsia" w:ascii="宋体" w:hAnsi="宋体" w:eastAsia="宋体" w:cs="宋体"/>
          <w:sz w:val="20"/>
          <w:highlight w:val="none"/>
        </w:rPr>
      </w:pPr>
    </w:p>
    <w:p w14:paraId="7324E6AB">
      <w:pPr>
        <w:spacing w:line="240" w:lineRule="auto"/>
        <w:rPr>
          <w:rFonts w:hint="eastAsia" w:ascii="宋体" w:hAnsi="宋体" w:eastAsia="宋体" w:cs="宋体"/>
          <w:sz w:val="20"/>
          <w:highlight w:val="none"/>
        </w:rPr>
      </w:pPr>
    </w:p>
    <w:p w14:paraId="16AB2821">
      <w:pPr>
        <w:spacing w:line="240" w:lineRule="auto"/>
        <w:rPr>
          <w:rFonts w:hint="eastAsia" w:ascii="宋体" w:hAnsi="宋体" w:eastAsia="宋体" w:cs="宋体"/>
          <w:sz w:val="20"/>
          <w:highlight w:val="none"/>
        </w:rPr>
      </w:pPr>
    </w:p>
    <w:p w14:paraId="0B723FEA">
      <w:pPr>
        <w:spacing w:line="240" w:lineRule="auto"/>
        <w:rPr>
          <w:rFonts w:hint="eastAsia" w:ascii="宋体" w:hAnsi="宋体" w:eastAsia="宋体" w:cs="宋体"/>
          <w:sz w:val="20"/>
          <w:highlight w:val="none"/>
        </w:rPr>
      </w:pPr>
    </w:p>
    <w:p w14:paraId="3F0A37F1">
      <w:pPr>
        <w:spacing w:line="240" w:lineRule="auto"/>
        <w:rPr>
          <w:rFonts w:hint="eastAsia" w:ascii="宋体" w:hAnsi="宋体" w:eastAsia="宋体" w:cs="宋体"/>
          <w:sz w:val="20"/>
          <w:highlight w:val="none"/>
        </w:rPr>
      </w:pPr>
    </w:p>
    <w:p w14:paraId="210597E6">
      <w:pPr>
        <w:spacing w:line="240" w:lineRule="auto"/>
        <w:rPr>
          <w:rFonts w:hint="eastAsia" w:ascii="宋体" w:hAnsi="宋体" w:eastAsia="宋体" w:cs="宋体"/>
          <w:sz w:val="20"/>
          <w:highlight w:val="none"/>
        </w:rPr>
      </w:pPr>
    </w:p>
    <w:p w14:paraId="720408D6">
      <w:pPr>
        <w:spacing w:line="240" w:lineRule="auto"/>
        <w:rPr>
          <w:rFonts w:hint="eastAsia" w:ascii="宋体" w:hAnsi="宋体" w:eastAsia="宋体" w:cs="宋体"/>
          <w:sz w:val="20"/>
          <w:highlight w:val="none"/>
        </w:rPr>
      </w:pPr>
    </w:p>
    <w:p w14:paraId="2A1BDF04">
      <w:pPr>
        <w:spacing w:line="240" w:lineRule="auto"/>
        <w:rPr>
          <w:rFonts w:hint="eastAsia" w:ascii="宋体" w:hAnsi="宋体" w:eastAsia="宋体" w:cs="宋体"/>
          <w:sz w:val="20"/>
          <w:highlight w:val="none"/>
        </w:rPr>
      </w:pPr>
    </w:p>
    <w:p w14:paraId="5FFAD867">
      <w:pPr>
        <w:spacing w:line="240" w:lineRule="auto"/>
        <w:rPr>
          <w:rFonts w:hint="eastAsia" w:ascii="宋体" w:hAnsi="宋体" w:eastAsia="宋体" w:cs="宋体"/>
          <w:sz w:val="20"/>
          <w:highlight w:val="none"/>
        </w:rPr>
      </w:pPr>
    </w:p>
    <w:p w14:paraId="2F13330D">
      <w:pPr>
        <w:spacing w:line="240" w:lineRule="auto"/>
        <w:rPr>
          <w:rFonts w:hint="eastAsia" w:ascii="宋体" w:hAnsi="宋体" w:eastAsia="宋体" w:cs="宋体"/>
          <w:sz w:val="20"/>
          <w:highlight w:val="none"/>
        </w:rPr>
      </w:pPr>
    </w:p>
    <w:p w14:paraId="15B20091">
      <w:pPr>
        <w:spacing w:line="240" w:lineRule="auto"/>
        <w:rPr>
          <w:rFonts w:hint="eastAsia" w:ascii="宋体" w:hAnsi="宋体" w:eastAsia="宋体" w:cs="宋体"/>
          <w:sz w:val="20"/>
          <w:highlight w:val="none"/>
        </w:rPr>
      </w:pPr>
    </w:p>
    <w:p w14:paraId="1271B529">
      <w:pPr>
        <w:spacing w:line="240" w:lineRule="auto"/>
        <w:rPr>
          <w:rFonts w:hint="eastAsia" w:ascii="宋体" w:hAnsi="宋体" w:eastAsia="宋体" w:cs="宋体"/>
          <w:sz w:val="20"/>
          <w:highlight w:val="none"/>
        </w:rPr>
      </w:pPr>
    </w:p>
    <w:p w14:paraId="0EDA14D7">
      <w:pPr>
        <w:spacing w:line="240" w:lineRule="auto"/>
        <w:rPr>
          <w:rFonts w:hint="eastAsia" w:ascii="宋体" w:hAnsi="宋体" w:eastAsia="宋体" w:cs="宋体"/>
          <w:sz w:val="20"/>
          <w:highlight w:val="none"/>
        </w:rPr>
      </w:pPr>
    </w:p>
    <w:p w14:paraId="7F31257A">
      <w:pPr>
        <w:spacing w:line="240" w:lineRule="auto"/>
        <w:rPr>
          <w:rFonts w:hint="eastAsia" w:ascii="宋体" w:hAnsi="宋体" w:eastAsia="宋体" w:cs="宋体"/>
          <w:sz w:val="20"/>
          <w:highlight w:val="none"/>
        </w:rPr>
      </w:pPr>
    </w:p>
    <w:p w14:paraId="2278457A">
      <w:pPr>
        <w:spacing w:line="240" w:lineRule="auto"/>
        <w:rPr>
          <w:rFonts w:hint="eastAsia" w:ascii="宋体" w:hAnsi="宋体" w:eastAsia="宋体" w:cs="宋体"/>
          <w:sz w:val="20"/>
          <w:highlight w:val="none"/>
        </w:rPr>
      </w:pPr>
    </w:p>
    <w:p w14:paraId="4684A9BA">
      <w:pPr>
        <w:spacing w:line="240" w:lineRule="auto"/>
        <w:rPr>
          <w:rFonts w:hint="eastAsia" w:ascii="宋体" w:hAnsi="宋体" w:eastAsia="宋体" w:cs="宋体"/>
          <w:sz w:val="20"/>
          <w:highlight w:val="none"/>
        </w:rPr>
      </w:pPr>
    </w:p>
    <w:p w14:paraId="7B308C57">
      <w:pPr>
        <w:spacing w:line="240" w:lineRule="auto"/>
        <w:rPr>
          <w:rFonts w:hint="eastAsia" w:ascii="宋体" w:hAnsi="宋体" w:eastAsia="宋体" w:cs="宋体"/>
          <w:sz w:val="20"/>
          <w:highlight w:val="none"/>
        </w:rPr>
      </w:pPr>
    </w:p>
    <w:p w14:paraId="78844E4F">
      <w:pPr>
        <w:spacing w:line="240" w:lineRule="auto"/>
        <w:ind w:firstLine="658" w:firstLineChars="329"/>
        <w:rPr>
          <w:rFonts w:hint="eastAsia" w:ascii="宋体" w:hAnsi="宋体" w:eastAsia="宋体" w:cs="宋体"/>
          <w:sz w:val="20"/>
          <w:highlight w:val="none"/>
        </w:rPr>
      </w:pPr>
    </w:p>
    <w:p w14:paraId="5FA55661">
      <w:pPr>
        <w:tabs>
          <w:tab w:val="left" w:pos="7040"/>
        </w:tabs>
        <w:autoSpaceDE w:val="0"/>
        <w:autoSpaceDN w:val="0"/>
        <w:spacing w:line="240" w:lineRule="auto"/>
        <w:ind w:left="0" w:right="160" w:firstLine="394" w:firstLineChars="329"/>
        <w:jc w:val="both"/>
        <w:rPr>
          <w:highlight w:val="none"/>
        </w:rPr>
      </w:pPr>
      <w:r>
        <w:rPr>
          <w:rFonts w:hint="eastAsia" w:ascii="Times New Roman" w:hAnsi="Times New Roman" w:eastAsia="Times New Roman" w:cs="Times New Roman"/>
          <w:sz w:val="12"/>
          <w:highlight w:val="none"/>
        </w:rPr>
        <w:t>1</w:t>
      </w:r>
      <w:r>
        <w:rPr>
          <w:rFonts w:hint="eastAsia" w:ascii="宋体" w:hAnsi="宋体" w:eastAsia="宋体" w:cs="宋体"/>
          <w:sz w:val="18"/>
          <w:highlight w:val="none"/>
        </w:rPr>
        <w:t>设置原则：按广东省交通运输厅转发人力资源社会保障部等部门《工程建设领域农民工工资保证金规定》的通知（粤交基函【</w:t>
      </w:r>
      <w:r>
        <w:rPr>
          <w:rFonts w:hint="eastAsia" w:ascii="Times New Roman" w:hAnsi="Times New Roman" w:eastAsia="Times New Roman" w:cs="Times New Roman"/>
          <w:sz w:val="18"/>
          <w:highlight w:val="none"/>
        </w:rPr>
        <w:t>2021</w:t>
      </w:r>
      <w:r>
        <w:rPr>
          <w:rFonts w:hint="eastAsia" w:ascii="宋体" w:hAnsi="宋体" w:eastAsia="宋体" w:cs="宋体"/>
          <w:sz w:val="18"/>
          <w:highlight w:val="none"/>
        </w:rPr>
        <w:t>】</w:t>
      </w:r>
      <w:r>
        <w:rPr>
          <w:rFonts w:hint="eastAsia" w:ascii="Times New Roman" w:hAnsi="Times New Roman" w:eastAsia="Times New Roman" w:cs="Times New Roman"/>
          <w:sz w:val="18"/>
          <w:highlight w:val="none"/>
        </w:rPr>
        <w:t>606</w:t>
      </w:r>
      <w:r>
        <w:rPr>
          <w:rFonts w:hint="eastAsia" w:ascii="宋体" w:hAnsi="宋体" w:eastAsia="宋体" w:cs="宋体"/>
          <w:sz w:val="18"/>
          <w:highlight w:val="none"/>
        </w:rPr>
        <w:t>号文）的规定执行。</w:t>
      </w:r>
    </w:p>
    <w:p w14:paraId="0669FDFE">
      <w:pPr>
        <w:rPr>
          <w:highlight w:val="none"/>
        </w:rPr>
        <w:sectPr>
          <w:pgSz w:w="11900" w:h="16840"/>
          <w:pgMar w:top="1440" w:right="1800" w:bottom="1440" w:left="1800" w:header="720" w:footer="720" w:gutter="0"/>
          <w:pgNumType w:fmt="decimal"/>
          <w:cols w:space="720" w:num="1"/>
        </w:sectPr>
      </w:pPr>
    </w:p>
    <w:p w14:paraId="49198DE1">
      <w:pPr>
        <w:pStyle w:val="3"/>
        <w:adjustRightInd w:val="0"/>
        <w:snapToGrid w:val="0"/>
        <w:spacing w:before="0" w:after="0" w:line="360" w:lineRule="auto"/>
        <w:rPr>
          <w:rFonts w:hint="eastAsia" w:ascii="宋体" w:hAnsi="宋体" w:cs="宋体"/>
          <w:bCs w:val="0"/>
          <w:color w:val="auto"/>
          <w:sz w:val="24"/>
          <w:szCs w:val="22"/>
          <w:highlight w:val="none"/>
        </w:rPr>
      </w:pPr>
      <w:r>
        <w:rPr>
          <w:rFonts w:hint="eastAsia" w:ascii="宋体" w:hAnsi="宋体" w:cs="宋体"/>
          <w:bCs w:val="0"/>
          <w:color w:val="auto"/>
          <w:sz w:val="24"/>
          <w:szCs w:val="22"/>
          <w:highlight w:val="none"/>
        </w:rPr>
        <w:t>附件</w:t>
      </w:r>
      <w:r>
        <w:rPr>
          <w:rFonts w:hint="eastAsia" w:ascii="宋体" w:hAnsi="宋体" w:cs="宋体"/>
          <w:bCs w:val="0"/>
          <w:color w:val="auto"/>
          <w:sz w:val="24"/>
          <w:szCs w:val="22"/>
          <w:highlight w:val="none"/>
          <w:lang w:val="en-US" w:eastAsia="en-US"/>
        </w:rPr>
        <w:t>九：</w:t>
      </w:r>
      <w:r>
        <w:rPr>
          <w:rFonts w:hint="eastAsia" w:ascii="宋体" w:hAnsi="宋体" w:cs="宋体"/>
          <w:bCs w:val="0"/>
          <w:color w:val="auto"/>
          <w:sz w:val="24"/>
          <w:szCs w:val="22"/>
          <w:highlight w:val="none"/>
        </w:rPr>
        <w:t>工程质量保修书</w:t>
      </w:r>
    </w:p>
    <w:p w14:paraId="00A3058C">
      <w:pPr>
        <w:autoSpaceDE w:val="0"/>
        <w:autoSpaceDN w:val="0"/>
        <w:spacing w:line="440" w:lineRule="exact"/>
        <w:ind w:right="-60" w:firstLine="440"/>
        <w:jc w:val="both"/>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rPr>
        <w:t>发包人：</w:t>
      </w:r>
      <w:r>
        <w:rPr>
          <w:rFonts w:hint="eastAsia" w:ascii="宋体" w:hAnsi="宋体" w:eastAsia="宋体" w:cs="宋体"/>
          <w:sz w:val="24"/>
          <w:szCs w:val="22"/>
          <w:highlight w:val="none"/>
          <w:u w:val="none"/>
        </w:rPr>
        <w:t xml:space="preserve">                   </w:t>
      </w:r>
    </w:p>
    <w:p w14:paraId="41FDB2BF">
      <w:pPr>
        <w:autoSpaceDE w:val="0"/>
        <w:autoSpaceDN w:val="0"/>
        <w:spacing w:line="440" w:lineRule="exact"/>
        <w:ind w:right="-60" w:firstLine="440"/>
        <w:jc w:val="both"/>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rPr>
        <w:t>承包人：</w:t>
      </w:r>
      <w:r>
        <w:rPr>
          <w:rFonts w:hint="eastAsia" w:ascii="宋体" w:hAnsi="宋体" w:eastAsia="宋体" w:cs="宋体"/>
          <w:kern w:val="0"/>
          <w:sz w:val="24"/>
          <w:szCs w:val="22"/>
          <w:highlight w:val="none"/>
          <w:u w:val="none"/>
        </w:rPr>
        <w:t xml:space="preserve">                   </w:t>
      </w:r>
    </w:p>
    <w:p w14:paraId="1D6011A2">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为保证××××××工程在合理年限内正常使用，发包人、承包人协商一致签订工程质量保修书。承包人在质量保修期内按照有关管理规定及双方约定承担工程质量保修责任。</w:t>
      </w:r>
    </w:p>
    <w:p w14:paraId="27466831">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一、工程质量保修范围和内容</w:t>
      </w:r>
    </w:p>
    <w:p w14:paraId="6DF8F5B2">
      <w:pPr>
        <w:autoSpaceDE w:val="0"/>
        <w:autoSpaceDN w:val="0"/>
        <w:spacing w:line="440" w:lineRule="exact"/>
        <w:ind w:right="-60" w:firstLine="44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 xml:space="preserve">  质量保修范围：工程承包范围。</w:t>
      </w:r>
    </w:p>
    <w:p w14:paraId="04C26FEE">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二、质量保修期</w:t>
      </w:r>
    </w:p>
    <w:p w14:paraId="622694ED">
      <w:pPr>
        <w:autoSpaceDE w:val="0"/>
        <w:autoSpaceDN w:val="0"/>
        <w:adjustRightInd/>
        <w:spacing w:line="440" w:lineRule="exact"/>
        <w:ind w:right="-60" w:firstLine="440" w:firstLineChars="0"/>
        <w:rPr>
          <w:rFonts w:hint="eastAsia" w:ascii="宋体" w:hAnsi="宋体" w:eastAsia="宋体" w:cs="宋体"/>
          <w:sz w:val="24"/>
          <w:szCs w:val="22"/>
          <w:highlight w:val="none"/>
        </w:rPr>
      </w:pPr>
      <w:r>
        <w:rPr>
          <w:rFonts w:hint="eastAsia" w:ascii="宋体" w:hAnsi="宋体" w:eastAsia="宋体" w:cs="宋体"/>
          <w:sz w:val="24"/>
          <w:szCs w:val="22"/>
          <w:highlight w:val="none"/>
        </w:rPr>
        <w:t xml:space="preserve">  从</w:t>
      </w:r>
      <w:r>
        <w:rPr>
          <w:rFonts w:hint="eastAsia" w:ascii="宋体" w:hAnsi="宋体" w:eastAsia="宋体" w:cs="宋体"/>
          <w:sz w:val="24"/>
          <w:szCs w:val="22"/>
          <w:highlight w:val="none"/>
          <w:u w:val="none"/>
        </w:rPr>
        <w:t xml:space="preserve">                  </w:t>
      </w:r>
      <w:r>
        <w:rPr>
          <w:rFonts w:hint="eastAsia" w:ascii="宋体" w:hAnsi="宋体" w:eastAsia="宋体" w:cs="宋体"/>
          <w:sz w:val="24"/>
          <w:szCs w:val="22"/>
          <w:highlight w:val="none"/>
        </w:rPr>
        <w:t>起计算保修期。本工程约定的保修期为：</w:t>
      </w:r>
    </w:p>
    <w:p w14:paraId="405BCA4C">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（1）基础工程和主体工程保修期为设计使用年限。</w:t>
      </w:r>
    </w:p>
    <w:p w14:paraId="3CB7EADC">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（2）防水工程为五年。</w:t>
      </w:r>
    </w:p>
    <w:p w14:paraId="01E6F44C">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（3）其他工程保修期为两年。</w:t>
      </w:r>
    </w:p>
    <w:p w14:paraId="02054916">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三、质量保修责任</w:t>
      </w:r>
    </w:p>
    <w:p w14:paraId="0F0E9B21">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1.属于保修范围和内容的项目，承包人应在接到修理通知之日起7天内派人修理。承包人不在约定期限内派人修理，发包人可委托其他人员修理，保修费从质量保证金内扣除。</w:t>
      </w:r>
    </w:p>
    <w:p w14:paraId="1CC3FF83">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2.发生紧急抢修事故，承包人接到事故通知后，应立即到达事故现场抢修。非承包人施工质量引起的事故，抢修费用由发包人承担。</w:t>
      </w:r>
    </w:p>
    <w:p w14:paraId="51117874">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3.在国家规定的工程合理使用年限内，承包人应确保主体结构质量。因承包人原因致使工程在合理使用期限内造成人身和财产损害的，承包人应承担损害赔偿责任。</w:t>
      </w:r>
    </w:p>
    <w:p w14:paraId="07B78B05">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四、质量保证金的支付</w:t>
      </w:r>
    </w:p>
    <w:p w14:paraId="6F06763E">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本工程约定的工程质量保证金为竣工结算价款的</w:t>
      </w:r>
      <w:r>
        <w:rPr>
          <w:rFonts w:hint="eastAsia" w:ascii="宋体" w:hAnsi="宋体" w:eastAsia="宋体" w:cs="宋体"/>
          <w:sz w:val="24"/>
          <w:szCs w:val="22"/>
          <w:highlight w:val="none"/>
          <w:u w:val="none"/>
        </w:rPr>
        <w:t xml:space="preserve">  </w:t>
      </w:r>
      <w:r>
        <w:rPr>
          <w:rFonts w:hint="eastAsia" w:ascii="宋体" w:hAnsi="宋体" w:eastAsia="宋体" w:cs="宋体"/>
          <w:sz w:val="24"/>
          <w:szCs w:val="22"/>
          <w:highlight w:val="none"/>
        </w:rPr>
        <w:t>%。</w:t>
      </w:r>
    </w:p>
    <w:p w14:paraId="343CB3DD">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五、质量保证金的退还</w:t>
      </w:r>
    </w:p>
    <w:p w14:paraId="5A0C1FFF">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发包人在本工程质量保证期过后，工程结算经过国家规定部门审计结束，将剩余质量保证金本金返还承包人。</w:t>
      </w:r>
    </w:p>
    <w:p w14:paraId="664AE07F">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六、其他</w:t>
      </w:r>
    </w:p>
    <w:p w14:paraId="4B9B8CD0">
      <w:pPr>
        <w:autoSpaceDE w:val="0"/>
        <w:autoSpaceDN w:val="0"/>
        <w:spacing w:line="440" w:lineRule="exact"/>
        <w:ind w:right="-60" w:firstLine="440" w:firstLineChars="0"/>
        <w:jc w:val="both"/>
        <w:rPr>
          <w:rFonts w:hint="eastAsia" w:ascii="宋体" w:hAnsi="宋体" w:eastAsia="宋体" w:cs="宋体"/>
          <w:bCs w:val="0"/>
          <w:sz w:val="24"/>
          <w:szCs w:val="22"/>
          <w:highlight w:val="none"/>
        </w:rPr>
      </w:pPr>
      <w:r>
        <w:rPr>
          <w:rFonts w:hint="eastAsia" w:ascii="宋体" w:hAnsi="宋体" w:eastAsia="宋体" w:cs="宋体"/>
          <w:sz w:val="24"/>
          <w:szCs w:val="22"/>
          <w:highlight w:val="none"/>
        </w:rPr>
        <w:t>双方约定的其它工程质量保修事项：</w:t>
      </w:r>
      <w:r>
        <w:rPr>
          <w:rFonts w:hint="eastAsia" w:ascii="宋体" w:hAnsi="宋体" w:eastAsia="宋体" w:cs="宋体"/>
          <w:bCs w:val="0"/>
          <w:sz w:val="24"/>
          <w:szCs w:val="22"/>
          <w:highlight w:val="none"/>
        </w:rPr>
        <w:t>质量保证金返还后，并不免除承包人对所施工范围在设计使用年限内的保修责任。</w:t>
      </w:r>
    </w:p>
    <w:p w14:paraId="533F6B0B">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本工程质量保修书作为施工合同附件，由发包人和承包人双方共同签署。</w:t>
      </w:r>
    </w:p>
    <w:p w14:paraId="06A92EC5">
      <w:pPr>
        <w:autoSpaceDE w:val="0"/>
        <w:autoSpaceDN w:val="0"/>
        <w:spacing w:line="440" w:lineRule="exact"/>
        <w:ind w:right="-60" w:firstLine="440"/>
        <w:jc w:val="both"/>
        <w:rPr>
          <w:rFonts w:hint="eastAsia" w:ascii="宋体" w:hAnsi="宋体" w:eastAsia="宋体" w:cs="宋体"/>
          <w:sz w:val="24"/>
          <w:szCs w:val="22"/>
          <w:highlight w:val="none"/>
        </w:rPr>
      </w:pPr>
    </w:p>
    <w:p w14:paraId="70DD0BC5">
      <w:pPr>
        <w:autoSpaceDE w:val="0"/>
        <w:autoSpaceDN w:val="0"/>
        <w:spacing w:line="440" w:lineRule="exact"/>
        <w:ind w:right="-60" w:firstLine="440"/>
        <w:jc w:val="both"/>
        <w:rPr>
          <w:rFonts w:hint="eastAsia" w:ascii="宋体" w:hAnsi="宋体" w:eastAsia="宋体" w:cs="宋体"/>
          <w:sz w:val="24"/>
          <w:szCs w:val="22"/>
          <w:highlight w:val="none"/>
        </w:rPr>
      </w:pPr>
    </w:p>
    <w:p w14:paraId="40B83658">
      <w:pPr>
        <w:autoSpaceDE w:val="0"/>
        <w:autoSpaceDN w:val="0"/>
        <w:spacing w:line="440" w:lineRule="exact"/>
        <w:ind w:right="-60" w:firstLine="440"/>
        <w:jc w:val="both"/>
        <w:rPr>
          <w:rFonts w:hint="eastAsia" w:ascii="宋体" w:hAnsi="宋体" w:eastAsia="宋体" w:cs="宋体"/>
          <w:sz w:val="24"/>
          <w:szCs w:val="22"/>
          <w:highlight w:val="none"/>
        </w:rPr>
      </w:pPr>
    </w:p>
    <w:p w14:paraId="077AB808">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发包人（盖章）：                                 承包人（盖章）：</w:t>
      </w:r>
    </w:p>
    <w:p w14:paraId="6BA5A0B3">
      <w:pPr>
        <w:autoSpaceDE w:val="0"/>
        <w:autoSpaceDN w:val="0"/>
        <w:spacing w:line="440" w:lineRule="exact"/>
        <w:ind w:right="-60" w:firstLine="440" w:firstLineChars="0"/>
        <w:jc w:val="both"/>
        <w:rPr>
          <w:rFonts w:hint="eastAsia" w:ascii="宋体" w:hAnsi="宋体" w:eastAsia="宋体" w:cs="宋体"/>
          <w:sz w:val="24"/>
          <w:szCs w:val="22"/>
          <w:highlight w:val="none"/>
        </w:rPr>
      </w:pPr>
    </w:p>
    <w:p w14:paraId="78E2513A">
      <w:pPr>
        <w:autoSpaceDE w:val="0"/>
        <w:autoSpaceDN w:val="0"/>
        <w:spacing w:line="440" w:lineRule="exact"/>
        <w:ind w:right="-60" w:firstLine="440" w:firstLineChars="0"/>
        <w:jc w:val="both"/>
        <w:rPr>
          <w:rFonts w:hint="eastAsia" w:ascii="宋体" w:hAnsi="宋体" w:eastAsia="宋体" w:cs="宋体"/>
          <w:sz w:val="24"/>
          <w:szCs w:val="22"/>
          <w:highlight w:val="none"/>
        </w:rPr>
      </w:pPr>
    </w:p>
    <w:p w14:paraId="04EF1524">
      <w:pPr>
        <w:autoSpaceDE w:val="0"/>
        <w:autoSpaceDN w:val="0"/>
        <w:spacing w:line="440" w:lineRule="exact"/>
        <w:ind w:right="-60" w:firstLine="440" w:firstLineChars="0"/>
        <w:jc w:val="both"/>
        <w:rPr>
          <w:rFonts w:hint="eastAsia" w:ascii="宋体" w:hAnsi="宋体" w:eastAsia="宋体" w:cs="宋体"/>
          <w:sz w:val="24"/>
          <w:szCs w:val="22"/>
          <w:highlight w:val="none"/>
        </w:rPr>
      </w:pPr>
      <w:r>
        <w:rPr>
          <w:rFonts w:hint="eastAsia" w:ascii="宋体" w:hAnsi="宋体" w:eastAsia="宋体" w:cs="宋体"/>
          <w:sz w:val="24"/>
          <w:szCs w:val="22"/>
          <w:highlight w:val="none"/>
        </w:rPr>
        <w:t>授权委托人（签字）：                             授权委托人（签字）：</w:t>
      </w:r>
    </w:p>
    <w:p w14:paraId="6642E424">
      <w:pPr>
        <w:autoSpaceDE w:val="0"/>
        <w:autoSpaceDN w:val="0"/>
        <w:spacing w:line="440" w:lineRule="exact"/>
        <w:ind w:right="-60" w:firstLine="440"/>
        <w:jc w:val="both"/>
        <w:rPr>
          <w:rFonts w:hint="eastAsia" w:ascii="宋体" w:hAnsi="宋体" w:eastAsia="宋体" w:cs="宋体"/>
          <w:sz w:val="24"/>
          <w:szCs w:val="22"/>
          <w:highlight w:val="none"/>
        </w:rPr>
      </w:pPr>
    </w:p>
    <w:p w14:paraId="63C4ACF4">
      <w:pPr>
        <w:autoSpaceDE w:val="0"/>
        <w:autoSpaceDN w:val="0"/>
        <w:spacing w:line="440" w:lineRule="exact"/>
        <w:ind w:right="-60" w:firstLine="440"/>
        <w:jc w:val="both"/>
        <w:rPr>
          <w:rFonts w:hint="eastAsia" w:ascii="宋体" w:hAnsi="宋体" w:eastAsia="宋体" w:cs="宋体"/>
          <w:sz w:val="24"/>
          <w:szCs w:val="22"/>
          <w:highlight w:val="none"/>
        </w:rPr>
      </w:pPr>
    </w:p>
    <w:p w14:paraId="526CBE54">
      <w:pPr>
        <w:autoSpaceDE w:val="0"/>
        <w:autoSpaceDN w:val="0"/>
        <w:spacing w:line="440" w:lineRule="exact"/>
        <w:ind w:right="-60" w:firstLine="440" w:firstLineChars="0"/>
        <w:jc w:val="both"/>
        <w:rPr>
          <w:rFonts w:hint="eastAsia" w:ascii="宋体" w:hAnsi="宋体"/>
          <w:sz w:val="24"/>
        </w:rPr>
      </w:pPr>
      <w:r>
        <w:rPr>
          <w:rFonts w:hint="eastAsia" w:ascii="宋体" w:hAnsi="宋体" w:eastAsia="宋体" w:cs="宋体"/>
          <w:sz w:val="24"/>
          <w:highlight w:val="none"/>
        </w:rPr>
        <w:t>年   月   日                                     年   月   日</w:t>
      </w:r>
    </w:p>
    <w:p w14:paraId="14DE5028">
      <w:pPr>
        <w:spacing w:line="360" w:lineRule="auto"/>
        <w:ind w:firstLine="960" w:firstLineChars="400"/>
        <w:rPr>
          <w:rFonts w:hint="eastAsia" w:ascii="宋体" w:hAnsi="宋体"/>
          <w:sz w:val="24"/>
        </w:rPr>
      </w:pPr>
    </w:p>
    <w:p w14:paraId="1B80BEFF">
      <w:pPr>
        <w:adjustRightInd/>
        <w:snapToGrid/>
        <w:spacing w:line="240" w:lineRule="auto"/>
        <w:jc w:val="left"/>
        <w:rPr>
          <w:rFonts w:hint="eastAsia"/>
          <w:b/>
          <w:bCs/>
          <w:sz w:val="28"/>
          <w:szCs w:val="28"/>
          <w:lang w:val="en-US" w:eastAsia="zh-CN"/>
        </w:rPr>
      </w:pPr>
      <w:r>
        <w:rPr>
          <w:rFonts w:hint="eastAsia"/>
          <w:b/>
          <w:bCs/>
          <w:sz w:val="28"/>
          <w:szCs w:val="28"/>
          <w:lang w:val="en-US" w:eastAsia="zh-CN"/>
        </w:rPr>
        <w:br w:type="page"/>
      </w:r>
    </w:p>
    <w:p w14:paraId="07CB3667">
      <w:pPr>
        <w:pStyle w:val="8"/>
        <w:sectPr>
          <w:pgSz w:w="11900" w:h="16840"/>
          <w:pgMar w:top="1440" w:right="1800" w:bottom="1440" w:left="1800" w:header="720" w:footer="720" w:gutter="0"/>
          <w:pgNumType w:fmt="decimal"/>
          <w:cols w:space="720" w:num="1"/>
        </w:sectPr>
      </w:pPr>
    </w:p>
    <w:p w14:paraId="56F4F76C">
      <w:pPr>
        <w:pStyle w:val="3"/>
        <w:adjustRightInd w:val="0"/>
        <w:snapToGrid w:val="0"/>
        <w:ind w:firstLineChars="0"/>
        <w:jc w:val="both"/>
        <w:rPr>
          <w:rFonts w:hint="eastAsia" w:ascii="宋体" w:hAnsi="宋体" w:eastAsia="宋体" w:cs="宋体"/>
          <w:bCs w:val="0"/>
          <w:color w:val="auto"/>
          <w:sz w:val="24"/>
          <w:highlight w:val="none"/>
        </w:rPr>
      </w:pPr>
      <w:r>
        <w:rPr>
          <w:rFonts w:hint="eastAsia" w:ascii="宋体" w:hAnsi="宋体" w:eastAsia="宋体" w:cs="宋体"/>
          <w:b/>
          <w:bCs w:val="0"/>
          <w:color w:val="auto"/>
          <w:sz w:val="24"/>
          <w:szCs w:val="22"/>
          <w:highlight w:val="none"/>
          <w:lang w:val="en-US" w:eastAsia="zh-CN"/>
        </w:rPr>
        <w:t>附件十：</w:t>
      </w:r>
      <w:r>
        <w:rPr>
          <w:rFonts w:hint="eastAsia" w:ascii="宋体" w:hAnsi="宋体" w:eastAsia="宋体" w:cs="宋体"/>
          <w:b/>
          <w:bCs w:val="0"/>
          <w:color w:val="auto"/>
          <w:sz w:val="24"/>
          <w:szCs w:val="22"/>
          <w:highlight w:val="none"/>
        </w:rPr>
        <w:t>生态环保管理协议</w:t>
      </w:r>
    </w:p>
    <w:p w14:paraId="5DE685BF">
      <w:pPr>
        <w:autoSpaceDE w:val="0"/>
        <w:autoSpaceDN w:val="0"/>
        <w:adjustRightInd/>
        <w:snapToGrid/>
        <w:spacing w:line="440" w:lineRule="exact"/>
        <w:ind w:right="-60" w:firstLine="440"/>
        <w:jc w:val="both"/>
        <w:rPr>
          <w:rFonts w:hint="eastAsia" w:ascii="宋体" w:hAnsi="宋体" w:eastAsia="宋体" w:cs="宋体"/>
          <w:sz w:val="24"/>
          <w:highlight w:val="none"/>
        </w:rPr>
      </w:pPr>
      <w:r>
        <w:rPr>
          <w:rFonts w:hint="eastAsia" w:ascii="宋体" w:hAnsi="宋体" w:eastAsia="宋体" w:cs="宋体"/>
          <w:b w:val="0"/>
          <w:bCs w:val="0"/>
          <w:sz w:val="24"/>
          <w:highlight w:val="none"/>
        </w:rPr>
        <w:t>工程项目名称</w:t>
      </w:r>
      <w:r>
        <w:rPr>
          <w:rFonts w:hint="eastAsia" w:ascii="宋体" w:hAnsi="宋体" w:eastAsia="宋体" w:cs="宋体"/>
          <w:sz w:val="24"/>
          <w:highlight w:val="none"/>
        </w:rPr>
        <w:t>：</w:t>
      </w:r>
    </w:p>
    <w:p w14:paraId="002E41FB">
      <w:pPr>
        <w:autoSpaceDE w:val="0"/>
        <w:autoSpaceDN w:val="0"/>
        <w:adjustRightInd/>
        <w:snapToGrid/>
        <w:spacing w:line="440" w:lineRule="exact"/>
        <w:ind w:right="-60" w:firstLine="440"/>
        <w:jc w:val="both"/>
        <w:rPr>
          <w:rFonts w:hint="eastAsia" w:ascii="宋体" w:hAnsi="宋体" w:eastAsia="宋体" w:cs="宋体"/>
          <w:sz w:val="24"/>
          <w:highlight w:val="none"/>
        </w:rPr>
      </w:pPr>
      <w:r>
        <w:rPr>
          <w:rFonts w:hint="eastAsia" w:ascii="宋体" w:hAnsi="宋体" w:eastAsia="宋体" w:cs="宋体"/>
          <w:b w:val="0"/>
          <w:bCs w:val="0"/>
          <w:sz w:val="24"/>
          <w:highlight w:val="none"/>
        </w:rPr>
        <w:t>发包方：                                                  （以下简称甲方）</w:t>
      </w:r>
      <w:r>
        <w:rPr>
          <w:rFonts w:hint="eastAsia" w:ascii="宋体" w:hAnsi="宋体" w:eastAsia="宋体" w:cs="宋体"/>
          <w:sz w:val="24"/>
          <w:highlight w:val="none"/>
        </w:rPr>
        <w:t xml:space="preserve">  </w:t>
      </w:r>
    </w:p>
    <w:p w14:paraId="7AB7069E">
      <w:pPr>
        <w:autoSpaceDE w:val="0"/>
        <w:autoSpaceDN w:val="0"/>
        <w:adjustRightInd/>
        <w:snapToGrid/>
        <w:spacing w:line="440" w:lineRule="exact"/>
        <w:ind w:right="-60" w:firstLine="440"/>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承包方：                                                  （以下简称乙方）</w:t>
      </w:r>
    </w:p>
    <w:p w14:paraId="22E1A8BD">
      <w:pPr>
        <w:autoSpaceDE w:val="0"/>
        <w:autoSpaceDN w:val="0"/>
        <w:adjustRightInd/>
        <w:snapToGrid/>
        <w:spacing w:line="440" w:lineRule="exact"/>
        <w:ind w:right="-60" w:firstLine="440"/>
        <w:jc w:val="both"/>
        <w:rPr>
          <w:rFonts w:hint="eastAsia" w:ascii="宋体" w:hAnsi="宋体" w:eastAsia="宋体" w:cs="宋体"/>
          <w:sz w:val="24"/>
          <w:highlight w:val="none"/>
        </w:rPr>
      </w:pPr>
      <w:r>
        <w:rPr>
          <w:rFonts w:hint="eastAsia" w:ascii="宋体" w:hAnsi="宋体" w:eastAsia="宋体" w:cs="宋体"/>
          <w:b w:val="0"/>
          <w:bCs w:val="0"/>
          <w:sz w:val="24"/>
          <w:highlight w:val="none"/>
        </w:rPr>
        <w:t>协议期限：</w:t>
      </w:r>
      <w:r>
        <w:rPr>
          <w:rFonts w:hint="eastAsia" w:ascii="宋体" w:hAnsi="宋体" w:eastAsia="宋体" w:cs="宋体"/>
          <w:sz w:val="24"/>
          <w:highlight w:val="none"/>
        </w:rPr>
        <w:t xml:space="preserve">自      年   月   日 至      年   月   日 </w:t>
      </w:r>
    </w:p>
    <w:p w14:paraId="4DD88C64">
      <w:pPr>
        <w:widowControl/>
        <w:autoSpaceDE w:val="0"/>
        <w:autoSpaceDN w:val="0"/>
        <w:adjustRightInd/>
        <w:snapToGrid/>
        <w:spacing w:line="440" w:lineRule="exact"/>
        <w:ind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为了确保实现XXXXXX（三级单位规范全称）</w:t>
      </w:r>
      <w:r>
        <w:rPr>
          <w:rFonts w:hint="eastAsia" w:ascii="宋体" w:hAnsi="宋体" w:eastAsia="宋体" w:cs="宋体"/>
          <w:kern w:val="0"/>
          <w:sz w:val="24"/>
          <w:highlight w:val="none"/>
          <w:u w:val="none"/>
          <w:lang w:bidi="ar"/>
        </w:rPr>
        <w:t xml:space="preserve">                          </w:t>
      </w:r>
      <w:r>
        <w:rPr>
          <w:rFonts w:hint="eastAsia" w:ascii="宋体" w:hAnsi="宋体" w:eastAsia="宋体" w:cs="宋体"/>
          <w:snapToGrid/>
          <w:kern w:val="0"/>
          <w:sz w:val="24"/>
          <w:highlight w:val="none"/>
          <w:lang w:bidi="ar"/>
        </w:rPr>
        <w:t>项目的安全与环保目标，进一步明确双方在生态环保方面的管理责任，加强管理工作的协调和力度，XXXXXX（三级单位规范全称）</w:t>
      </w:r>
      <w:r>
        <w:rPr>
          <w:rFonts w:hint="eastAsia" w:ascii="宋体" w:hAnsi="宋体" w:eastAsia="宋体" w:cs="宋体"/>
          <w:kern w:val="0"/>
          <w:sz w:val="24"/>
          <w:highlight w:val="none"/>
          <w:u w:val="none"/>
          <w:lang w:bidi="ar"/>
        </w:rPr>
        <w:t xml:space="preserve">                          </w:t>
      </w:r>
      <w:r>
        <w:rPr>
          <w:rFonts w:hint="eastAsia" w:ascii="宋体" w:hAnsi="宋体" w:eastAsia="宋体" w:cs="宋体"/>
          <w:snapToGrid/>
          <w:kern w:val="0"/>
          <w:sz w:val="24"/>
          <w:highlight w:val="none"/>
          <w:lang w:bidi="ar"/>
        </w:rPr>
        <w:t>（以下简称甲方）与</w:t>
      </w:r>
      <w:r>
        <w:rPr>
          <w:rFonts w:hint="eastAsia" w:ascii="宋体" w:hAnsi="宋体" w:eastAsia="宋体" w:cs="宋体"/>
          <w:kern w:val="0"/>
          <w:sz w:val="24"/>
          <w:highlight w:val="none"/>
          <w:u w:val="none"/>
          <w:lang w:bidi="ar"/>
        </w:rPr>
        <w:t xml:space="preserve">                          </w:t>
      </w:r>
      <w:r>
        <w:rPr>
          <w:rFonts w:hint="eastAsia" w:ascii="宋体" w:hAnsi="宋体" w:eastAsia="宋体" w:cs="宋体"/>
          <w:snapToGrid/>
          <w:kern w:val="0"/>
          <w:sz w:val="24"/>
          <w:highlight w:val="none"/>
          <w:lang w:bidi="ar"/>
        </w:rPr>
        <w:t>（以下简称乙方）依据国家相关的法律、法规和标准，双方同意签订该协议作为</w:t>
      </w:r>
      <w:r>
        <w:rPr>
          <w:rFonts w:hint="eastAsia" w:ascii="宋体" w:hAnsi="宋体" w:eastAsia="宋体" w:cs="宋体"/>
          <w:kern w:val="0"/>
          <w:sz w:val="24"/>
          <w:highlight w:val="none"/>
          <w:u w:val="none"/>
          <w:lang w:bidi="ar"/>
        </w:rPr>
        <w:t xml:space="preserve">                          </w:t>
      </w:r>
      <w:r>
        <w:rPr>
          <w:rFonts w:hint="eastAsia" w:ascii="宋体" w:hAnsi="宋体" w:eastAsia="宋体" w:cs="宋体"/>
          <w:snapToGrid/>
          <w:kern w:val="0"/>
          <w:sz w:val="24"/>
          <w:highlight w:val="none"/>
          <w:lang w:bidi="ar"/>
        </w:rPr>
        <w:t>合同（以下称主合同）生态环保方面的补充规定，并承诺本协议具有与主合同相同的法律效力。具体条款如下：</w:t>
      </w:r>
    </w:p>
    <w:p w14:paraId="0A2AADB6">
      <w:pPr>
        <w:widowControl/>
        <w:autoSpaceDE w:val="0"/>
        <w:autoSpaceDN w:val="0"/>
        <w:spacing w:line="440" w:lineRule="exact"/>
        <w:ind w:right="-60" w:firstLine="440" w:firstLineChars="0"/>
        <w:jc w:val="both"/>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一、协议签订目的</w:t>
      </w:r>
    </w:p>
    <w:p w14:paraId="089F8442">
      <w:pPr>
        <w:widowControl/>
        <w:autoSpaceDE w:val="0"/>
        <w:autoSpaceDN w:val="0"/>
        <w:snapToGrid/>
        <w:spacing w:line="440" w:lineRule="exact"/>
        <w:ind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为落实《中华人民共和国环境保护法》《大气污染防治法》《固体废物污染环境防治法》等法律法规要求，规范双方生态环境保护责任，特签订本协议。</w:t>
      </w:r>
    </w:p>
    <w:p w14:paraId="37C8406F">
      <w:pPr>
        <w:widowControl/>
        <w:autoSpaceDE w:val="0"/>
        <w:autoSpaceDN w:val="0"/>
        <w:spacing w:line="440" w:lineRule="exact"/>
        <w:ind w:right="-60" w:firstLine="440" w:firstLineChars="0"/>
        <w:jc w:val="both"/>
        <w:rPr>
          <w:rFonts w:hint="eastAsia" w:ascii="宋体" w:hAnsi="宋体" w:eastAsia="宋体" w:cs="宋体"/>
          <w:sz w:val="24"/>
          <w:highlight w:val="none"/>
        </w:rPr>
      </w:pPr>
      <w:r>
        <w:rPr>
          <w:rFonts w:hint="eastAsia" w:ascii="宋体" w:hAnsi="宋体" w:eastAsia="宋体" w:cs="宋体"/>
          <w:kern w:val="0"/>
          <w:sz w:val="24"/>
          <w:highlight w:val="none"/>
          <w:lang w:bidi="ar"/>
        </w:rPr>
        <w:t>二、协议有效期限</w:t>
      </w:r>
    </w:p>
    <w:p w14:paraId="4DB91F8A">
      <w:pPr>
        <w:widowControl/>
        <w:autoSpaceDE w:val="0"/>
        <w:autoSpaceDN w:val="0"/>
        <w:snapToGrid/>
        <w:spacing w:line="440" w:lineRule="exact"/>
        <w:ind w:right="-60" w:firstLine="440" w:firstLineChars="0"/>
        <w:jc w:val="both"/>
        <w:rPr>
          <w:rFonts w:hint="eastAsia" w:ascii="宋体" w:hAnsi="宋体" w:eastAsia="宋体" w:cs="宋体"/>
          <w:sz w:val="24"/>
          <w:highlight w:val="none"/>
        </w:rPr>
      </w:pPr>
      <w:r>
        <w:rPr>
          <w:rFonts w:hint="eastAsia" w:ascii="宋体" w:hAnsi="宋体" w:eastAsia="宋体" w:cs="宋体"/>
          <w:snapToGrid/>
          <w:kern w:val="0"/>
          <w:sz w:val="24"/>
          <w:highlight w:val="none"/>
          <w:lang w:bidi="ar"/>
        </w:rPr>
        <w:t>本协议随主合同同时生效，至主合同项目完成验收后终止。</w:t>
      </w:r>
    </w:p>
    <w:p w14:paraId="7DB26B16">
      <w:pPr>
        <w:widowControl/>
        <w:autoSpaceDE w:val="0"/>
        <w:autoSpaceDN w:val="0"/>
        <w:spacing w:line="440" w:lineRule="exact"/>
        <w:ind w:right="-60" w:firstLine="440" w:firstLineChars="0"/>
        <w:jc w:val="both"/>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三、生态环保管理目标</w:t>
      </w:r>
    </w:p>
    <w:p w14:paraId="28A68302">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z w:val="24"/>
          <w:highlight w:val="none"/>
        </w:rPr>
      </w:pPr>
      <w:r>
        <w:rPr>
          <w:rFonts w:hint="eastAsia" w:ascii="宋体" w:hAnsi="宋体" w:eastAsia="宋体" w:cs="宋体"/>
          <w:snapToGrid/>
          <w:kern w:val="0"/>
          <w:sz w:val="24"/>
          <w:highlight w:val="none"/>
          <w:lang w:bidi="ar"/>
        </w:rPr>
        <w:t>乙方承诺履行和承担合同和甲方规章制度所规定的环保责任，且满足要求。</w:t>
      </w:r>
    </w:p>
    <w:p w14:paraId="45C54CB7">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乙方的生态环保控制目标：</w:t>
      </w:r>
    </w:p>
    <w:p w14:paraId="047E47A1">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不发生环境污染事件：不发生因合同项目实施导致的土壤、水、大气污染。</w:t>
      </w:r>
    </w:p>
    <w:p w14:paraId="51AEE20B">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不发生环境破坏事件：不发生因合同项目实施导致的生态破坏；不发生因合同项目实施导致的资源浪费。</w:t>
      </w:r>
    </w:p>
    <w:p w14:paraId="1E9246D7">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不发生违反生态环保（含文物保护）法律法规的事件。</w:t>
      </w:r>
    </w:p>
    <w:p w14:paraId="591A3D98">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不发生其他重大环境风险事件。</w:t>
      </w:r>
    </w:p>
    <w:p w14:paraId="09F39C73">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不发生因作业导致的危险化学品、危险废物泄露，火灾、爆炸等突发环境事故事件。</w:t>
      </w:r>
    </w:p>
    <w:p w14:paraId="5D13495B">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乙方承诺在作业中控制以下环境事故事件的发生：</w:t>
      </w:r>
    </w:p>
    <w:p w14:paraId="6BA2B64F">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生态环保未遂事件。</w:t>
      </w:r>
    </w:p>
    <w:p w14:paraId="23468AA0">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生态环保事故事件隐患。</w:t>
      </w:r>
    </w:p>
    <w:p w14:paraId="1089E503">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生态环保相关违章。</w:t>
      </w:r>
    </w:p>
    <w:p w14:paraId="0876BFD1">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生态环保管理缺陷。</w:t>
      </w:r>
    </w:p>
    <w:p w14:paraId="7A8FD07F">
      <w:pPr>
        <w:widowControl/>
        <w:autoSpaceDE w:val="0"/>
        <w:autoSpaceDN w:val="0"/>
        <w:spacing w:line="440" w:lineRule="exact"/>
        <w:ind w:right="-60" w:firstLine="440" w:firstLineChars="0"/>
        <w:jc w:val="both"/>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三、双方生态环保责任</w:t>
      </w:r>
    </w:p>
    <w:p w14:paraId="7450EFE6">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甲方对所发包项目负有生态环保的监管责任，履行以下职责：</w:t>
      </w:r>
    </w:p>
    <w:p w14:paraId="367196F3">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贯彻执行国家、地方政府和甲方上级单位有关生态环保管理的政策法规及制度规定。</w:t>
      </w:r>
    </w:p>
    <w:p w14:paraId="2FB7F50D">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统一协调、监督、督促、检查包括乙方在内的相关方（含承包商）生态环保管理工作。</w:t>
      </w:r>
    </w:p>
    <w:p w14:paraId="1787A6F7">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对乙方的生态环保相关资质、生态环保管理组织机构、规章制度、现场管理等情况进行检查；发现问题，督促立即整改。</w:t>
      </w:r>
    </w:p>
    <w:p w14:paraId="59B9865A">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乙方对所承揽项目（提供服务）的生态环保负责，对承包范围内的工作（提供服务）负有生态环保的直接责任，除依法履行《环境保护法》《大气污染防治法》等法规规定的职责外，还应履行以下职责：</w:t>
      </w:r>
    </w:p>
    <w:p w14:paraId="64D44950">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乙方应具备承揽项目所需的生态环保相关资质且在有效期内条件，严格遵守生态环保法律法规、标准规范以及甲方生态环保管理规章制度，落实生态环保责任，保证承揽项目生态环保工作质量。</w:t>
      </w:r>
    </w:p>
    <w:p w14:paraId="320C305C">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保证选遣到本项目人员的资质、身体条件、作业技能、技术水平符合要求。</w:t>
      </w:r>
    </w:p>
    <w:p w14:paraId="02DA8ECA">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接受和配合甲方（含项目所在地政府主管部门、甲方上级单位、项目监理单位以及甲方委托管理的单位）的生态环保监督管理，落实甲方提出的整改要求。</w:t>
      </w:r>
    </w:p>
    <w:p w14:paraId="5BD0A2CA">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建立生态环保管理体系（也可按等同化管理的原则，以签收确认的方式明确乙方执行甲方相关生态环保管理制度而不再另行编制生态环保管理制度）。</w:t>
      </w:r>
    </w:p>
    <w:p w14:paraId="738D41D7">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保证为乙方在本项目所有工作人员配备符合国家标准的劳动防护用品。</w:t>
      </w:r>
    </w:p>
    <w:p w14:paraId="0FAF956C">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乙方保证作业现场（提供服务）符合生态环保法律法规要求和合同约定，保持现场的良好秩序和整洁的作业环境，废料、废物要分类收集，安全通道要畅通。</w:t>
      </w:r>
    </w:p>
    <w:p w14:paraId="185F2735">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乙方保证项目完工后清理废物、废料（含危险废物）并按照有关法规妥善处置。</w:t>
      </w:r>
    </w:p>
    <w:p w14:paraId="2580C357">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乙方应依法开展环境影响评价工作，落实环评批复中提出的生态环保措施。</w:t>
      </w:r>
    </w:p>
    <w:p w14:paraId="4BBAD40F">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乙方实施所承揽项目作业（提供服务）过程中不占用生态保护红线范围，不破坏永久基本农田，施工前需核实用地合法性。</w:t>
      </w:r>
    </w:p>
    <w:p w14:paraId="1C99FF7D">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乙方应承揽项目（提供服务）所需履行生态修复义务并承担恢复费用及相关法律责任。</w:t>
      </w:r>
    </w:p>
    <w:p w14:paraId="5BC31393">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乙方应制定突发环境事件应急预案，报甲方备案，并每半年至少组织一次演练。</w:t>
      </w:r>
    </w:p>
    <w:p w14:paraId="04A95AD4">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z w:val="24"/>
          <w:highlight w:val="none"/>
        </w:rPr>
      </w:pPr>
      <w:r>
        <w:rPr>
          <w:rFonts w:hint="eastAsia" w:ascii="宋体" w:hAnsi="宋体" w:eastAsia="宋体" w:cs="宋体"/>
          <w:snapToGrid/>
          <w:kern w:val="0"/>
          <w:sz w:val="24"/>
          <w:highlight w:val="none"/>
          <w:lang w:bidi="ar"/>
        </w:rPr>
        <w:t>乙方应配备充足的应急物资，确保事故时污染物不外泄。</w:t>
      </w:r>
    </w:p>
    <w:p w14:paraId="1FD79746">
      <w:pPr>
        <w:widowControl/>
        <w:autoSpaceDE w:val="0"/>
        <w:autoSpaceDN w:val="0"/>
        <w:spacing w:line="440" w:lineRule="exact"/>
        <w:ind w:right="-60" w:firstLine="440" w:firstLineChars="0"/>
        <w:jc w:val="both"/>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四、甲方作业现场环境保护管理规定</w:t>
      </w:r>
    </w:p>
    <w:p w14:paraId="0225BE97">
      <w:pPr>
        <w:widowControl/>
        <w:autoSpaceDE w:val="0"/>
        <w:autoSpaceDN w:val="0"/>
        <w:snapToGrid/>
        <w:spacing w:line="440" w:lineRule="exact"/>
        <w:ind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甲方依据国家和有关环境保护的法律、法规和标准规定，结合本项目的特点，特制定以下现场环境保护工作管理规定，乙方必须严格遵照执行。</w:t>
      </w:r>
    </w:p>
    <w:p w14:paraId="6BDA6C6B">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作业过程中噪声控制：</w:t>
      </w:r>
    </w:p>
    <w:p w14:paraId="7339DE2B">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作业现场产生机械的、人为的噪声排放应按国家环保噪声排放综合标准加以控制，按有关规定执行。</w:t>
      </w:r>
    </w:p>
    <w:p w14:paraId="38C49ACB">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凡在作业中使用的机械设备，应在规定的时间、区域内操作，大型机械要及时检修，防止部件松动引起噪声。</w:t>
      </w:r>
    </w:p>
    <w:p w14:paraId="31C39A5F">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减少搬运装卸发出的噪声，在人工搬运和机械装卸过程中应轻拿轻放，杜绝野蛮装卸。</w:t>
      </w:r>
    </w:p>
    <w:p w14:paraId="51940054">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实施所承揽项目作业（提供服务）期间污水排放及节水电资源管理：乙方在承包项目开展服务过程中应严格遵守国家对污水排放的法律、法规，强化对污水排放的管理和治理措施，同时要合理利用水电资源,通过加强管理，应用节水、节电技术和先进的施工工艺，减少水电资源的浪费，乙方在过程中应做到：</w:t>
      </w:r>
    </w:p>
    <w:p w14:paraId="1AD5E6FF">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办公生活区（食堂、宿舍、办公室）的生活污水排入城镇污水管网要满足地方政府的有关要求。</w:t>
      </w:r>
    </w:p>
    <w:p w14:paraId="6BA9A604">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使用的自来水要严格按管理规定执行，严禁跑、冒、滴、漏，要使用节水型龙头，对人为的浪费水的现象要严肃处理。</w:t>
      </w:r>
    </w:p>
    <w:p w14:paraId="2B85ECF2">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要节约用电，随手关灯。机械设备操作工序完成后应立即关停电源，不得长时间空转，造成电的大量浪费。办公生活区的电脑、空调、电扇、照明必须做到人走断电。</w:t>
      </w:r>
    </w:p>
    <w:p w14:paraId="296B8862">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有毒有害化学品和易燃易爆品管理：乙方在承包项目中使用有毒有害化学品和易燃易爆品，应严格执行国家《化学危险品安全管理条例》等有关规定，做到保证生态环保，保护环境。应做到以下规定：</w:t>
      </w:r>
    </w:p>
    <w:p w14:paraId="5CF16E96">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接触有毒有害物质和易燃易爆物品的作业人员应进行职业培训，持证上岗；有毒有害作业人员应配发专业防护用具，如：防护服、手套、鞋、帽、面具等，防止人体受到损害，从事工作较长的操作人员要定期进行职业病体检。</w:t>
      </w:r>
    </w:p>
    <w:p w14:paraId="7A78B2D6">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有毒有害、易燃易爆品的存放应严格遵守管理规定，分类存放，设专人负责，存放点应封闭并设置明显的警示标识。</w:t>
      </w:r>
    </w:p>
    <w:p w14:paraId="476886F5">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对有毒有害品的包装、容器要严格回收制度，不得乱扔乱放，要设置专门的存放地点。使用中和使用后的容器要及时封闭，防止有毒有害气体挥发。</w:t>
      </w:r>
    </w:p>
    <w:p w14:paraId="601C27D3">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在作业过程中，应严格遵守操作规程，对有毒有害、易燃易爆品要有防火、防爆、防敲击、防非操作人员接触的警示牌。</w:t>
      </w:r>
    </w:p>
    <w:p w14:paraId="5C9868DF">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使用和存放应严格控制乙炔、氧气瓶的操作和存放距离，操作人员必须持证上岗。</w:t>
      </w:r>
    </w:p>
    <w:p w14:paraId="10104FBF">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固体废物处置：乙方对固体废物应当采取措施防止或减少对环境的污染，应严格执行以下要求：</w:t>
      </w:r>
    </w:p>
    <w:p w14:paraId="190B04D1">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作业现场和作业过程中产生的固体废弃物应按作业现场有关固体废弃物的管理规定进行收集、存放和清理，建筑垃圾和生活垃圾应分类存放，防止污染环境。</w:t>
      </w:r>
    </w:p>
    <w:p w14:paraId="073B4C8C">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对可能造成重大环境污染的固体废弃物，如含油废弃物、有毒有害废弃物等，要采取有效措施严格管理，分类收集和存放，设专人负责，同时固废物的清运和处理应由具备相应资质的单位负责。</w:t>
      </w:r>
    </w:p>
    <w:p w14:paraId="7B1F4FF6">
      <w:pPr>
        <w:numPr>
          <w:ilvl w:val="-1"/>
          <w:numId w:val="0"/>
        </w:numPr>
        <w:autoSpaceDE w:val="0"/>
        <w:autoSpaceDN w:val="0"/>
        <w:adjustRightInd/>
        <w:snapToGrid/>
        <w:spacing w:line="440" w:lineRule="exact"/>
        <w:ind w:left="0" w:right="-60" w:firstLine="440" w:firstLineChars="0"/>
        <w:jc w:val="both"/>
        <w:textAlignment w:val="auto"/>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乙方应建立危险废物管理台账，委托持有危险废物经营许可证的单位处置，并执行转移联单制度。</w:t>
      </w:r>
    </w:p>
    <w:p w14:paraId="204F5ABE">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作业过程中涉及喷涂、印刷等产生VOCs的工序，乙方应采取密闭操作、安装净化装置等措施。</w:t>
      </w:r>
    </w:p>
    <w:p w14:paraId="61594E4C">
      <w:pPr>
        <w:widowControl/>
        <w:autoSpaceDE w:val="0"/>
        <w:autoSpaceDN w:val="0"/>
        <w:spacing w:line="440" w:lineRule="exact"/>
        <w:ind w:right="-60" w:firstLine="440" w:firstLineChars="0"/>
        <w:jc w:val="both"/>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五、处罚规定</w:t>
      </w:r>
    </w:p>
    <w:p w14:paraId="1B457C74">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乙方作业人员应服从甲方现场管理人员的监督、检查；对违反环保管理有关制度和规定者，甲方管理人员有权进行批评教育，对严重违章者有权按照甲方有关规章制度的规定进行经济处罚或清退出厂。</w:t>
      </w:r>
    </w:p>
    <w:p w14:paraId="2B3E5534">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因乙方责任区存在生态环保问题不落实整改或整改不及时而受到政府有关部门处罚的，乙方承担全部责任并承担由此造成的经济损失，同时甲方有权给予乙方相应的经济处罚。若乙方因同一违法行为被连续处罚两次以上，甲方有权实施按日连续处罚（依据《环境保护法》相关规定）。</w:t>
      </w:r>
    </w:p>
    <w:p w14:paraId="60E49440">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乙方违反国家和地方有关环保管理法律、法规和本协议中规定的内容与条款，发生受到政府有关部门处罚的环保事件或发生环境污染事故造成严重后果者，移送国家司法机关追究法律责任。</w:t>
      </w:r>
    </w:p>
    <w:p w14:paraId="15B833E1">
      <w:pPr>
        <w:widowControl/>
        <w:autoSpaceDE w:val="0"/>
        <w:autoSpaceDN w:val="0"/>
        <w:spacing w:line="440" w:lineRule="exact"/>
        <w:ind w:right="-60" w:firstLine="440" w:firstLineChars="0"/>
        <w:jc w:val="both"/>
        <w:rPr>
          <w:rFonts w:hint="eastAsia" w:ascii="宋体" w:hAnsi="宋体" w:eastAsia="宋体" w:cs="宋体"/>
          <w:sz w:val="24"/>
          <w:highlight w:val="none"/>
        </w:rPr>
      </w:pPr>
      <w:r>
        <w:rPr>
          <w:rFonts w:hint="eastAsia" w:ascii="宋体" w:hAnsi="宋体" w:eastAsia="宋体" w:cs="宋体"/>
          <w:kern w:val="0"/>
          <w:sz w:val="24"/>
          <w:highlight w:val="none"/>
          <w:lang w:bidi="ar"/>
        </w:rPr>
        <w:t>六、其他</w:t>
      </w:r>
    </w:p>
    <w:p w14:paraId="24EF3C26">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 xml:space="preserve">合同协议双方须认真履行本协议所列条款。 </w:t>
      </w:r>
    </w:p>
    <w:p w14:paraId="4716DC26">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在主合同范围内增加的相关内容同样适用本协议。</w:t>
      </w:r>
    </w:p>
    <w:p w14:paraId="7BB340B7">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z w:val="24"/>
          <w:highlight w:val="none"/>
        </w:rPr>
      </w:pPr>
      <w:r>
        <w:rPr>
          <w:rFonts w:hint="eastAsia" w:ascii="宋体" w:hAnsi="宋体" w:eastAsia="宋体" w:cs="宋体"/>
          <w:snapToGrid/>
          <w:kern w:val="0"/>
          <w:sz w:val="24"/>
          <w:highlight w:val="none"/>
          <w:lang w:bidi="ar"/>
        </w:rPr>
        <w:t>本协议未尽事宜，按有关法律法规规定，由双方协商解决，协商不成可向项目所在地生态环境主管部门申请调解。</w:t>
      </w:r>
    </w:p>
    <w:p w14:paraId="3F352BAC">
      <w:pPr>
        <w:widowControl/>
        <w:numPr>
          <w:ilvl w:val="-1"/>
          <w:numId w:val="0"/>
        </w:numPr>
        <w:autoSpaceDE w:val="0"/>
        <w:autoSpaceDN w:val="0"/>
        <w:snapToGrid/>
        <w:spacing w:line="440" w:lineRule="exact"/>
        <w:ind w:left="0" w:right="-60" w:firstLine="440" w:firstLineChars="0"/>
        <w:jc w:val="both"/>
        <w:rPr>
          <w:rFonts w:hint="eastAsia" w:ascii="宋体" w:hAnsi="宋体" w:eastAsia="宋体" w:cs="宋体"/>
          <w:snapToGrid/>
          <w:kern w:val="0"/>
          <w:sz w:val="24"/>
          <w:highlight w:val="none"/>
          <w:lang w:bidi="ar"/>
        </w:rPr>
      </w:pPr>
      <w:r>
        <w:rPr>
          <w:rFonts w:hint="eastAsia" w:ascii="宋体" w:hAnsi="宋体" w:eastAsia="宋体" w:cs="宋体"/>
          <w:snapToGrid/>
          <w:kern w:val="0"/>
          <w:sz w:val="24"/>
          <w:highlight w:val="none"/>
          <w:lang w:bidi="ar"/>
        </w:rPr>
        <w:t>本协议书如与法律法规规定相抵触时，以法律法规规定为准。</w:t>
      </w:r>
    </w:p>
    <w:p w14:paraId="5767F87E">
      <w:pPr>
        <w:autoSpaceDE w:val="0"/>
        <w:autoSpaceDN w:val="0"/>
        <w:spacing w:line="440" w:lineRule="exact"/>
        <w:ind w:right="-60" w:firstLine="440"/>
        <w:rPr>
          <w:rFonts w:hint="eastAsia" w:ascii="宋体" w:hAnsi="宋体" w:eastAsia="宋体" w:cs="宋体"/>
          <w:sz w:val="24"/>
          <w:highlight w:val="none"/>
        </w:rPr>
      </w:pPr>
    </w:p>
    <w:p w14:paraId="1F4180E8">
      <w:pPr>
        <w:autoSpaceDE w:val="0"/>
        <w:autoSpaceDN w:val="0"/>
        <w:adjustRightInd/>
        <w:snapToGrid/>
        <w:spacing w:line="440" w:lineRule="exact"/>
        <w:ind w:right="-60" w:firstLine="440"/>
        <w:jc w:val="both"/>
        <w:rPr>
          <w:rFonts w:hint="eastAsia" w:ascii="宋体" w:hAnsi="宋体" w:eastAsia="宋体" w:cs="宋体"/>
          <w:sz w:val="24"/>
          <w:highlight w:val="none"/>
        </w:rPr>
      </w:pPr>
      <w:r>
        <w:rPr>
          <w:rFonts w:hint="eastAsia" w:ascii="宋体" w:hAnsi="宋体" w:eastAsia="宋体" w:cs="宋体"/>
          <w:sz w:val="24"/>
          <w:highlight w:val="none"/>
        </w:rPr>
        <w:t>发包人： （签章）</w:t>
      </w:r>
    </w:p>
    <w:p w14:paraId="138342E0">
      <w:pPr>
        <w:autoSpaceDE w:val="0"/>
        <w:autoSpaceDN w:val="0"/>
        <w:adjustRightInd/>
        <w:snapToGrid/>
        <w:spacing w:line="440" w:lineRule="exact"/>
        <w:ind w:right="-60" w:firstLine="440"/>
        <w:jc w:val="both"/>
        <w:rPr>
          <w:rFonts w:hint="eastAsia" w:ascii="宋体" w:hAnsi="宋体" w:eastAsia="宋体" w:cs="宋体"/>
          <w:sz w:val="24"/>
          <w:highlight w:val="none"/>
        </w:rPr>
      </w:pPr>
      <w:r>
        <w:rPr>
          <w:rFonts w:hint="eastAsia" w:ascii="宋体" w:hAnsi="宋体" w:eastAsia="宋体" w:cs="宋体"/>
          <w:sz w:val="24"/>
          <w:highlight w:val="none"/>
        </w:rPr>
        <w:t xml:space="preserve">委托代理人：          </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 xml:space="preserve">  20</w:t>
      </w:r>
      <w:r>
        <w:rPr>
          <w:rFonts w:hint="eastAsia" w:ascii="宋体" w:hAnsi="宋体" w:eastAsia="宋体" w:cs="宋体"/>
          <w:sz w:val="24"/>
          <w:highlight w:val="none"/>
          <w:u w:val="none"/>
        </w:rPr>
        <w:t xml:space="preserve">   </w:t>
      </w:r>
      <w:r>
        <w:rPr>
          <w:rFonts w:hint="eastAsia" w:ascii="宋体" w:hAnsi="宋体" w:eastAsia="宋体" w:cs="宋体"/>
          <w:sz w:val="24"/>
          <w:highlight w:val="none"/>
        </w:rPr>
        <w:t>年   月   日</w:t>
      </w:r>
    </w:p>
    <w:p w14:paraId="57E8D047">
      <w:pPr>
        <w:autoSpaceDE w:val="0"/>
        <w:autoSpaceDN w:val="0"/>
        <w:adjustRightInd/>
        <w:snapToGrid/>
        <w:spacing w:line="440" w:lineRule="exact"/>
        <w:ind w:right="-60" w:firstLine="440"/>
        <w:jc w:val="both"/>
        <w:rPr>
          <w:rFonts w:hint="eastAsia" w:ascii="宋体" w:hAnsi="宋体" w:eastAsia="宋体" w:cs="宋体"/>
          <w:sz w:val="24"/>
          <w:highlight w:val="none"/>
        </w:rPr>
      </w:pPr>
    </w:p>
    <w:p w14:paraId="2C338EA5">
      <w:pPr>
        <w:autoSpaceDE w:val="0"/>
        <w:autoSpaceDN w:val="0"/>
        <w:adjustRightInd/>
        <w:snapToGrid/>
        <w:spacing w:line="440" w:lineRule="exact"/>
        <w:ind w:right="-60" w:firstLine="440"/>
        <w:jc w:val="both"/>
        <w:rPr>
          <w:rFonts w:hint="eastAsia" w:ascii="宋体" w:hAnsi="宋体" w:eastAsia="宋体" w:cs="宋体"/>
          <w:sz w:val="24"/>
          <w:highlight w:val="none"/>
        </w:rPr>
      </w:pPr>
      <w:r>
        <w:rPr>
          <w:rFonts w:hint="eastAsia" w:ascii="宋体" w:hAnsi="宋体" w:eastAsia="宋体" w:cs="宋体"/>
          <w:sz w:val="24"/>
          <w:highlight w:val="none"/>
        </w:rPr>
        <w:t>承包人：               ××××公司（签章）</w:t>
      </w:r>
    </w:p>
    <w:p w14:paraId="74281DB4">
      <w:pPr>
        <w:autoSpaceDE w:val="0"/>
        <w:autoSpaceDN w:val="0"/>
        <w:adjustRightInd/>
        <w:snapToGrid/>
        <w:spacing w:line="440" w:lineRule="exact"/>
        <w:ind w:right="-60" w:firstLine="440"/>
        <w:jc w:val="both"/>
        <w:rPr>
          <w:rFonts w:hint="eastAsia" w:ascii="宋体" w:hAnsi="宋体" w:eastAsia="宋体" w:cs="宋体"/>
          <w:sz w:val="24"/>
          <w:highlight w:val="none"/>
          <w:u w:val="none"/>
        </w:rPr>
      </w:pPr>
      <w:r>
        <w:rPr>
          <w:rFonts w:hint="eastAsia" w:ascii="宋体" w:hAnsi="宋体" w:eastAsia="宋体" w:cs="宋体"/>
          <w:sz w:val="24"/>
          <w:highlight w:val="none"/>
        </w:rPr>
        <w:t xml:space="preserve">法定代表人或委托代理人：           </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 xml:space="preserve"> 20</w:t>
      </w:r>
      <w:r>
        <w:rPr>
          <w:rFonts w:hint="eastAsia" w:ascii="宋体" w:hAnsi="宋体" w:eastAsia="宋体" w:cs="宋体"/>
          <w:sz w:val="24"/>
          <w:highlight w:val="none"/>
          <w:u w:val="none"/>
        </w:rPr>
        <w:t xml:space="preserve">   </w:t>
      </w:r>
      <w:r>
        <w:rPr>
          <w:rFonts w:hint="eastAsia" w:ascii="宋体" w:hAnsi="宋体" w:eastAsia="宋体" w:cs="宋体"/>
          <w:sz w:val="24"/>
          <w:highlight w:val="none"/>
        </w:rPr>
        <w:t>年   月   日</w:t>
      </w:r>
    </w:p>
    <w:p w14:paraId="4D0B50B8">
      <w:pPr>
        <w:autoSpaceDE w:val="0"/>
        <w:autoSpaceDN w:val="0"/>
        <w:adjustRightInd/>
        <w:snapToGrid/>
        <w:spacing w:line="440" w:lineRule="exact"/>
        <w:ind w:right="-60" w:firstLine="440"/>
        <w:jc w:val="both"/>
        <w:rPr>
          <w:rFonts w:hint="eastAsia" w:ascii="宋体" w:hAnsi="宋体" w:eastAsia="宋体" w:cs="宋体"/>
          <w:sz w:val="24"/>
          <w:highlight w:val="none"/>
        </w:rPr>
      </w:pPr>
      <w:r>
        <w:rPr>
          <w:rFonts w:hint="eastAsia" w:ascii="宋体" w:hAnsi="宋体" w:eastAsia="宋体" w:cs="宋体"/>
          <w:sz w:val="24"/>
          <w:highlight w:val="none"/>
        </w:rPr>
        <w:t>现场项目负责人（项目经理）：             20</w:t>
      </w:r>
      <w:r>
        <w:rPr>
          <w:rFonts w:hint="eastAsia" w:ascii="宋体" w:hAnsi="宋体" w:eastAsia="宋体" w:cs="宋体"/>
          <w:sz w:val="24"/>
          <w:highlight w:val="none"/>
          <w:u w:val="none"/>
        </w:rPr>
        <w:t xml:space="preserve">   </w:t>
      </w:r>
      <w:r>
        <w:rPr>
          <w:rFonts w:hint="eastAsia" w:ascii="宋体" w:hAnsi="宋体" w:eastAsia="宋体" w:cs="宋体"/>
          <w:sz w:val="24"/>
          <w:highlight w:val="none"/>
        </w:rPr>
        <w:t>年   月   日</w:t>
      </w:r>
    </w:p>
    <w:p w14:paraId="25891793">
      <w:pPr>
        <w:autoSpaceDE w:val="0"/>
        <w:autoSpaceDN w:val="0"/>
        <w:spacing w:line="440" w:lineRule="exact"/>
        <w:ind w:right="-60" w:firstLine="440"/>
        <w:jc w:val="both"/>
        <w:rPr>
          <w:rFonts w:hint="eastAsia" w:ascii="宋体" w:hAnsi="宋体" w:eastAsia="宋体" w:cs="宋体"/>
          <w:sz w:val="24"/>
          <w:highlight w:val="none"/>
        </w:rPr>
        <w:sectPr>
          <w:pgSz w:w="11900" w:h="16840"/>
          <w:pgMar w:top="1440" w:right="1800" w:bottom="1440" w:left="1800" w:header="720" w:footer="720" w:gutter="0"/>
          <w:pgNumType w:fmt="decimal"/>
          <w:cols w:space="720" w:num="1"/>
        </w:sectPr>
      </w:pPr>
    </w:p>
    <w:p w14:paraId="6FA87D92">
      <w:pPr>
        <w:pStyle w:val="3"/>
        <w:pageBreakBefore/>
        <w:jc w:val="left"/>
        <w:rPr>
          <w:rFonts w:hint="eastAsia" w:ascii="宋体" w:hAnsi="宋体" w:eastAsia="宋体" w:cs="宋体"/>
          <w:bCs w:val="0"/>
          <w:color w:val="auto"/>
          <w:sz w:val="24"/>
          <w:highlight w:val="none"/>
          <w:lang w:val="en-US" w:eastAsia="zh-CN"/>
        </w:rPr>
      </w:pPr>
      <w:r>
        <w:rPr>
          <w:rFonts w:hint="eastAsia" w:ascii="宋体" w:hAnsi="宋体" w:eastAsia="宋体" w:cs="宋体"/>
          <w:bCs w:val="0"/>
          <w:color w:val="auto"/>
          <w:sz w:val="24"/>
          <w:highlight w:val="none"/>
          <w:lang w:val="en-US" w:eastAsia="zh-CN"/>
        </w:rPr>
        <w:t>附件十一：承包商选用主要材料和工程设备要求表</w:t>
      </w:r>
    </w:p>
    <w:tbl>
      <w:tblPr>
        <w:tblStyle w:val="12"/>
        <w:tblW w:w="82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6"/>
        <w:gridCol w:w="2248"/>
        <w:gridCol w:w="5743"/>
      </w:tblGrid>
      <w:tr w14:paraId="2321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209" w:type="dxa"/>
            <w:gridSpan w:val="3"/>
            <w:tcBorders>
              <w:top w:val="nil"/>
              <w:left w:val="nil"/>
              <w:bottom w:val="nil"/>
              <w:right w:val="nil"/>
            </w:tcBorders>
            <w:noWrap/>
            <w:vAlign w:val="center"/>
          </w:tcPr>
          <w:p w14:paraId="6243608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承包商选用主要材料和工程设备要求表</w:t>
            </w:r>
          </w:p>
        </w:tc>
      </w:tr>
      <w:tr w14:paraId="2637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AB07D7">
            <w:pPr>
              <w:keepNext w:val="0"/>
              <w:keepLines w:val="0"/>
              <w:widowControl/>
              <w:suppressLineNumbers w:val="0"/>
              <w:jc w:val="center"/>
              <w:textAlignment w:val="center"/>
              <w:rPr>
                <w:rStyle w:val="25"/>
                <w:lang w:eastAsia="zh-CN" w:bidi="ar"/>
              </w:rPr>
            </w:pPr>
            <w:r>
              <w:rPr>
                <w:rStyle w:val="25"/>
              </w:rPr>
              <w:t>序号</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787EEE1E">
            <w:pPr>
              <w:keepNext w:val="0"/>
              <w:keepLines w:val="0"/>
              <w:widowControl/>
              <w:suppressLineNumbers w:val="0"/>
              <w:jc w:val="center"/>
              <w:textAlignment w:val="center"/>
              <w:rPr>
                <w:rStyle w:val="25"/>
                <w:lang w:eastAsia="zh-CN" w:bidi="ar"/>
              </w:rPr>
            </w:pPr>
            <w:r>
              <w:rPr>
                <w:rStyle w:val="25"/>
              </w:rPr>
              <w:t>材料名称（如有）</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39C47860">
            <w:pPr>
              <w:keepNext w:val="0"/>
              <w:keepLines w:val="0"/>
              <w:widowControl/>
              <w:suppressLineNumbers w:val="0"/>
              <w:jc w:val="center"/>
              <w:textAlignment w:val="center"/>
              <w:rPr>
                <w:rStyle w:val="25"/>
                <w:lang w:eastAsia="zh-CN" w:bidi="ar"/>
              </w:rPr>
            </w:pPr>
            <w:r>
              <w:rPr>
                <w:rStyle w:val="25"/>
              </w:rPr>
              <w:t>品牌或厂家名称</w:t>
            </w:r>
          </w:p>
        </w:tc>
      </w:tr>
      <w:tr w14:paraId="3A70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B04B7D">
            <w:pPr>
              <w:keepNext w:val="0"/>
              <w:keepLines w:val="0"/>
              <w:widowControl/>
              <w:suppressLineNumbers w:val="0"/>
              <w:jc w:val="center"/>
              <w:textAlignment w:val="center"/>
              <w:rPr>
                <w:rStyle w:val="25"/>
                <w:lang w:eastAsia="zh-CN" w:bidi="ar"/>
              </w:rPr>
            </w:pPr>
            <w:r>
              <w:rPr>
                <w:rStyle w:val="25"/>
              </w:rPr>
              <w:t>1</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E2115BB">
            <w:pPr>
              <w:keepNext w:val="0"/>
              <w:keepLines w:val="0"/>
              <w:widowControl/>
              <w:suppressLineNumbers w:val="0"/>
              <w:jc w:val="center"/>
              <w:textAlignment w:val="center"/>
              <w:rPr>
                <w:rStyle w:val="25"/>
                <w:lang w:eastAsia="zh-CN" w:bidi="ar"/>
              </w:rPr>
            </w:pPr>
            <w:r>
              <w:rPr>
                <w:rStyle w:val="25"/>
              </w:rPr>
              <w:t>水泥</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5F8BB9EF">
            <w:pPr>
              <w:keepNext w:val="0"/>
              <w:keepLines w:val="0"/>
              <w:widowControl/>
              <w:suppressLineNumbers w:val="0"/>
              <w:jc w:val="center"/>
              <w:textAlignment w:val="center"/>
              <w:rPr>
                <w:rStyle w:val="25"/>
                <w:lang w:eastAsia="zh-CN" w:bidi="ar"/>
              </w:rPr>
            </w:pPr>
            <w:r>
              <w:rPr>
                <w:rStyle w:val="25"/>
              </w:rPr>
              <w:t>海螺、塔牌、华润等知名品牌</w:t>
            </w:r>
          </w:p>
        </w:tc>
      </w:tr>
      <w:tr w14:paraId="3DE4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6CD299">
            <w:pPr>
              <w:keepNext w:val="0"/>
              <w:keepLines w:val="0"/>
              <w:widowControl/>
              <w:suppressLineNumbers w:val="0"/>
              <w:jc w:val="center"/>
              <w:textAlignment w:val="center"/>
              <w:rPr>
                <w:rStyle w:val="25"/>
                <w:lang w:eastAsia="zh-CN" w:bidi="ar"/>
              </w:rPr>
            </w:pPr>
            <w:r>
              <w:rPr>
                <w:rStyle w:val="25"/>
              </w:rPr>
              <w:t>2</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64C8A7B">
            <w:pPr>
              <w:keepNext w:val="0"/>
              <w:keepLines w:val="0"/>
              <w:widowControl/>
              <w:suppressLineNumbers w:val="0"/>
              <w:jc w:val="center"/>
              <w:textAlignment w:val="center"/>
              <w:rPr>
                <w:rStyle w:val="25"/>
                <w:lang w:eastAsia="zh-CN" w:bidi="ar"/>
              </w:rPr>
            </w:pPr>
            <w:r>
              <w:rPr>
                <w:rStyle w:val="25"/>
              </w:rPr>
              <w:t>钢材、钢筋</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2B96E005">
            <w:pPr>
              <w:keepNext w:val="0"/>
              <w:keepLines w:val="0"/>
              <w:widowControl/>
              <w:suppressLineNumbers w:val="0"/>
              <w:jc w:val="center"/>
              <w:textAlignment w:val="center"/>
              <w:rPr>
                <w:rStyle w:val="25"/>
                <w:lang w:eastAsia="zh-CN" w:bidi="ar"/>
              </w:rPr>
            </w:pPr>
            <w:r>
              <w:rPr>
                <w:rStyle w:val="25"/>
              </w:rPr>
              <w:t>首钢、宝钢、鞍钢、武钢、柳钢、重钢、韶钢等国家大中型骨干钢铁企业生产的正品</w:t>
            </w:r>
          </w:p>
        </w:tc>
      </w:tr>
      <w:tr w14:paraId="2D23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7EDA86">
            <w:pPr>
              <w:keepNext w:val="0"/>
              <w:keepLines w:val="0"/>
              <w:widowControl/>
              <w:suppressLineNumbers w:val="0"/>
              <w:jc w:val="center"/>
              <w:textAlignment w:val="center"/>
              <w:rPr>
                <w:rStyle w:val="25"/>
                <w:lang w:eastAsia="zh-CN" w:bidi="ar"/>
              </w:rPr>
            </w:pPr>
            <w:r>
              <w:rPr>
                <w:rStyle w:val="25"/>
              </w:rPr>
              <w:t>3</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705649D4">
            <w:pPr>
              <w:keepNext w:val="0"/>
              <w:keepLines w:val="0"/>
              <w:widowControl/>
              <w:suppressLineNumbers w:val="0"/>
              <w:jc w:val="center"/>
              <w:textAlignment w:val="center"/>
              <w:rPr>
                <w:rStyle w:val="25"/>
                <w:lang w:eastAsia="zh-CN" w:bidi="ar"/>
              </w:rPr>
            </w:pPr>
            <w:r>
              <w:rPr>
                <w:rStyle w:val="25"/>
              </w:rPr>
              <w:t>橡胶护舷</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2328BA90">
            <w:pPr>
              <w:keepNext w:val="0"/>
              <w:keepLines w:val="0"/>
              <w:widowControl/>
              <w:suppressLineNumbers w:val="0"/>
              <w:jc w:val="center"/>
              <w:textAlignment w:val="center"/>
              <w:rPr>
                <w:rStyle w:val="25"/>
                <w:lang w:eastAsia="zh-CN" w:bidi="ar"/>
              </w:rPr>
            </w:pPr>
            <w:r>
              <w:rPr>
                <w:rStyle w:val="25"/>
              </w:rPr>
              <w:t>大连巅峰橡胶有限公司、烟台泰鸿橡胶有限公司、青岛吉尔工程橡胶有限公司、青岛天盾橡胶有限公司、广州海宁橡胶有限公司、广州市海盾橡胶有限公司、扬州市美华橡胶护舷有限公司等知名品牌</w:t>
            </w:r>
          </w:p>
        </w:tc>
      </w:tr>
      <w:tr w14:paraId="112B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100BC8">
            <w:pPr>
              <w:keepNext w:val="0"/>
              <w:keepLines w:val="0"/>
              <w:widowControl/>
              <w:suppressLineNumbers w:val="0"/>
              <w:jc w:val="center"/>
              <w:textAlignment w:val="center"/>
              <w:rPr>
                <w:rStyle w:val="25"/>
                <w:lang w:eastAsia="zh-CN" w:bidi="ar"/>
              </w:rPr>
            </w:pPr>
            <w:r>
              <w:rPr>
                <w:rStyle w:val="25"/>
              </w:rPr>
              <w:t>4</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5FB9DF86">
            <w:pPr>
              <w:keepNext w:val="0"/>
              <w:keepLines w:val="0"/>
              <w:widowControl/>
              <w:suppressLineNumbers w:val="0"/>
              <w:jc w:val="center"/>
              <w:textAlignment w:val="center"/>
              <w:rPr>
                <w:rStyle w:val="25"/>
                <w:lang w:eastAsia="zh-CN" w:bidi="ar"/>
              </w:rPr>
            </w:pPr>
            <w:r>
              <w:rPr>
                <w:rStyle w:val="25"/>
              </w:rPr>
              <w:t>硅烷防腐</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50DC1637">
            <w:pPr>
              <w:keepNext w:val="0"/>
              <w:keepLines w:val="0"/>
              <w:widowControl/>
              <w:suppressLineNumbers w:val="0"/>
              <w:jc w:val="center"/>
              <w:textAlignment w:val="center"/>
              <w:rPr>
                <w:rStyle w:val="25"/>
                <w:lang w:eastAsia="zh-CN" w:bidi="ar"/>
              </w:rPr>
            </w:pPr>
            <w:r>
              <w:rPr>
                <w:rStyle w:val="25"/>
              </w:rPr>
              <w:t>瓦克化学、赢创、山东硅科、天三海（广东巨三）等知名品牌</w:t>
            </w:r>
          </w:p>
        </w:tc>
      </w:tr>
      <w:tr w14:paraId="4C89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2E4B69">
            <w:pPr>
              <w:keepNext w:val="0"/>
              <w:keepLines w:val="0"/>
              <w:widowControl/>
              <w:suppressLineNumbers w:val="0"/>
              <w:jc w:val="center"/>
              <w:textAlignment w:val="center"/>
              <w:rPr>
                <w:rStyle w:val="25"/>
                <w:lang w:eastAsia="zh-CN" w:bidi="ar"/>
              </w:rPr>
            </w:pPr>
            <w:r>
              <w:rPr>
                <w:rStyle w:val="25"/>
              </w:rPr>
              <w:t>5</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778D68A">
            <w:pPr>
              <w:keepNext w:val="0"/>
              <w:keepLines w:val="0"/>
              <w:widowControl/>
              <w:suppressLineNumbers w:val="0"/>
              <w:jc w:val="center"/>
              <w:textAlignment w:val="center"/>
              <w:rPr>
                <w:rStyle w:val="25"/>
                <w:lang w:eastAsia="zh-CN" w:bidi="ar"/>
              </w:rPr>
            </w:pPr>
            <w:r>
              <w:rPr>
                <w:rStyle w:val="25"/>
              </w:rPr>
              <w:t>防腐涂料</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1B233AA1">
            <w:pPr>
              <w:keepNext w:val="0"/>
              <w:keepLines w:val="0"/>
              <w:widowControl/>
              <w:suppressLineNumbers w:val="0"/>
              <w:jc w:val="center"/>
              <w:textAlignment w:val="center"/>
              <w:rPr>
                <w:rStyle w:val="25"/>
                <w:lang w:eastAsia="zh-CN" w:bidi="ar"/>
              </w:rPr>
            </w:pPr>
            <w:r>
              <w:rPr>
                <w:rStyle w:val="25"/>
              </w:rPr>
              <w:t>瓦克化学、赢创、山东硅科、天三海（广东巨三）等知名品牌</w:t>
            </w:r>
          </w:p>
        </w:tc>
      </w:tr>
      <w:tr w14:paraId="6EA2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28D0CD">
            <w:pPr>
              <w:keepNext w:val="0"/>
              <w:keepLines w:val="0"/>
              <w:widowControl/>
              <w:suppressLineNumbers w:val="0"/>
              <w:jc w:val="center"/>
              <w:textAlignment w:val="center"/>
              <w:rPr>
                <w:rStyle w:val="25"/>
                <w:lang w:eastAsia="zh-CN" w:bidi="ar"/>
              </w:rPr>
            </w:pPr>
            <w:r>
              <w:rPr>
                <w:rStyle w:val="25"/>
              </w:rPr>
              <w:t>6</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8B03608">
            <w:pPr>
              <w:keepNext w:val="0"/>
              <w:keepLines w:val="0"/>
              <w:widowControl/>
              <w:suppressLineNumbers w:val="0"/>
              <w:jc w:val="center"/>
              <w:textAlignment w:val="center"/>
              <w:rPr>
                <w:rStyle w:val="25"/>
                <w:lang w:eastAsia="zh-CN" w:bidi="ar"/>
              </w:rPr>
            </w:pPr>
            <w:r>
              <w:rPr>
                <w:rStyle w:val="25"/>
              </w:rPr>
              <w:t>联锁块</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7993D6F5">
            <w:pPr>
              <w:keepNext w:val="0"/>
              <w:keepLines w:val="0"/>
              <w:widowControl/>
              <w:suppressLineNumbers w:val="0"/>
              <w:jc w:val="center"/>
              <w:textAlignment w:val="center"/>
              <w:rPr>
                <w:rStyle w:val="25"/>
                <w:lang w:eastAsia="zh-CN" w:bidi="ar"/>
              </w:rPr>
            </w:pPr>
            <w:r>
              <w:rPr>
                <w:rStyle w:val="25"/>
              </w:rPr>
              <w:t>吴川市黄坡荣威联锁块建材厂、双威建材（东莞）有限公司、珠海市哈特半年型建材制品有限公司等知名品牌</w:t>
            </w:r>
          </w:p>
        </w:tc>
      </w:tr>
      <w:tr w14:paraId="219E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788DE8">
            <w:pPr>
              <w:keepNext w:val="0"/>
              <w:keepLines w:val="0"/>
              <w:widowControl/>
              <w:suppressLineNumbers w:val="0"/>
              <w:jc w:val="center"/>
              <w:textAlignment w:val="center"/>
              <w:rPr>
                <w:rStyle w:val="25"/>
                <w:lang w:eastAsia="zh-CN" w:bidi="ar"/>
              </w:rPr>
            </w:pPr>
            <w:r>
              <w:rPr>
                <w:rStyle w:val="25"/>
              </w:rPr>
              <w:t>7</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ED87D9B">
            <w:pPr>
              <w:keepNext w:val="0"/>
              <w:keepLines w:val="0"/>
              <w:widowControl/>
              <w:suppressLineNumbers w:val="0"/>
              <w:jc w:val="center"/>
              <w:textAlignment w:val="center"/>
              <w:rPr>
                <w:rStyle w:val="25"/>
                <w:lang w:eastAsia="zh-CN" w:bidi="ar"/>
              </w:rPr>
            </w:pPr>
            <w:r>
              <w:rPr>
                <w:rStyle w:val="25"/>
              </w:rPr>
              <w:t>塑料排水板</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5A9C22DC">
            <w:pPr>
              <w:keepNext w:val="0"/>
              <w:keepLines w:val="0"/>
              <w:widowControl/>
              <w:suppressLineNumbers w:val="0"/>
              <w:jc w:val="center"/>
              <w:textAlignment w:val="center"/>
              <w:rPr>
                <w:rStyle w:val="25"/>
                <w:lang w:eastAsia="zh-CN" w:bidi="ar"/>
              </w:rPr>
            </w:pPr>
            <w:r>
              <w:rPr>
                <w:rStyle w:val="25"/>
              </w:rPr>
              <w:t>中山市固基塑料排水板厂、珠海深龙工程材料有限公司、江门鑫利盈塑料排水板有限公司等知名品牌</w:t>
            </w:r>
          </w:p>
        </w:tc>
      </w:tr>
      <w:tr w14:paraId="30D8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65E5A2">
            <w:pPr>
              <w:keepNext w:val="0"/>
              <w:keepLines w:val="0"/>
              <w:widowControl/>
              <w:suppressLineNumbers w:val="0"/>
              <w:jc w:val="center"/>
              <w:textAlignment w:val="center"/>
              <w:rPr>
                <w:rStyle w:val="25"/>
                <w:lang w:eastAsia="zh-CN" w:bidi="ar"/>
              </w:rPr>
            </w:pPr>
            <w:r>
              <w:rPr>
                <w:rStyle w:val="25"/>
              </w:rPr>
              <w:t>8</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EB2B1DC">
            <w:pPr>
              <w:keepNext w:val="0"/>
              <w:keepLines w:val="0"/>
              <w:widowControl/>
              <w:suppressLineNumbers w:val="0"/>
              <w:jc w:val="center"/>
              <w:textAlignment w:val="center"/>
              <w:rPr>
                <w:rStyle w:val="25"/>
                <w:lang w:eastAsia="zh-CN" w:bidi="ar"/>
              </w:rPr>
            </w:pPr>
            <w:r>
              <w:rPr>
                <w:rStyle w:val="25"/>
              </w:rPr>
              <w:t>土工布、编织布</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72261303">
            <w:pPr>
              <w:keepNext w:val="0"/>
              <w:keepLines w:val="0"/>
              <w:widowControl/>
              <w:suppressLineNumbers w:val="0"/>
              <w:jc w:val="center"/>
              <w:textAlignment w:val="center"/>
              <w:rPr>
                <w:rStyle w:val="25"/>
                <w:lang w:eastAsia="zh-CN" w:bidi="ar"/>
              </w:rPr>
            </w:pPr>
            <w:r>
              <w:rPr>
                <w:rStyle w:val="25"/>
              </w:rPr>
              <w:t>珠海健发轻纺有限公司、珠海永丰源实业有限公司、珠海金捷建筑材料有限公司等知名品牌</w:t>
            </w:r>
          </w:p>
        </w:tc>
      </w:tr>
      <w:tr w14:paraId="2ADD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9FA1C4">
            <w:pPr>
              <w:keepNext w:val="0"/>
              <w:keepLines w:val="0"/>
              <w:widowControl/>
              <w:suppressLineNumbers w:val="0"/>
              <w:jc w:val="center"/>
              <w:textAlignment w:val="center"/>
              <w:rPr>
                <w:rStyle w:val="25"/>
                <w:lang w:eastAsia="zh-CN" w:bidi="ar"/>
              </w:rPr>
            </w:pPr>
            <w:r>
              <w:rPr>
                <w:rStyle w:val="25"/>
              </w:rPr>
              <w:t>9</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42CD5FE">
            <w:pPr>
              <w:keepNext w:val="0"/>
              <w:keepLines w:val="0"/>
              <w:widowControl/>
              <w:suppressLineNumbers w:val="0"/>
              <w:jc w:val="center"/>
              <w:textAlignment w:val="center"/>
              <w:rPr>
                <w:rStyle w:val="25"/>
                <w:lang w:eastAsia="zh-CN" w:bidi="ar"/>
              </w:rPr>
            </w:pPr>
            <w:r>
              <w:rPr>
                <w:rStyle w:val="25"/>
              </w:rPr>
              <w:t>商品砂浆</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0DFBED27">
            <w:pPr>
              <w:keepNext w:val="0"/>
              <w:keepLines w:val="0"/>
              <w:widowControl/>
              <w:suppressLineNumbers w:val="0"/>
              <w:jc w:val="center"/>
              <w:textAlignment w:val="center"/>
              <w:rPr>
                <w:rStyle w:val="25"/>
                <w:lang w:eastAsia="zh-CN" w:bidi="ar"/>
              </w:rPr>
            </w:pPr>
            <w:r>
              <w:rPr>
                <w:rStyle w:val="25"/>
              </w:rPr>
              <w:t>超力、派安、建安、长兴、信强、长峰、番翔等知名品牌</w:t>
            </w:r>
          </w:p>
        </w:tc>
      </w:tr>
      <w:tr w14:paraId="47B7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693FF2">
            <w:pPr>
              <w:keepNext w:val="0"/>
              <w:keepLines w:val="0"/>
              <w:widowControl/>
              <w:suppressLineNumbers w:val="0"/>
              <w:jc w:val="center"/>
              <w:textAlignment w:val="center"/>
              <w:rPr>
                <w:rStyle w:val="25"/>
                <w:lang w:eastAsia="zh-CN" w:bidi="ar"/>
              </w:rPr>
            </w:pPr>
            <w:r>
              <w:rPr>
                <w:rStyle w:val="25"/>
              </w:rPr>
              <w:t>10</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15C24239">
            <w:pPr>
              <w:keepNext w:val="0"/>
              <w:keepLines w:val="0"/>
              <w:widowControl/>
              <w:suppressLineNumbers w:val="0"/>
              <w:jc w:val="center"/>
              <w:textAlignment w:val="center"/>
              <w:rPr>
                <w:rStyle w:val="25"/>
                <w:lang w:eastAsia="zh-CN" w:bidi="ar"/>
              </w:rPr>
            </w:pPr>
            <w:r>
              <w:rPr>
                <w:rStyle w:val="25"/>
              </w:rPr>
              <w:t>灰砂砖</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4FD966ED">
            <w:pPr>
              <w:keepNext w:val="0"/>
              <w:keepLines w:val="0"/>
              <w:widowControl/>
              <w:suppressLineNumbers w:val="0"/>
              <w:jc w:val="center"/>
              <w:textAlignment w:val="center"/>
              <w:rPr>
                <w:rStyle w:val="25"/>
                <w:lang w:eastAsia="zh-CN" w:bidi="ar"/>
              </w:rPr>
            </w:pPr>
            <w:r>
              <w:rPr>
                <w:rStyle w:val="25"/>
              </w:rPr>
              <w:t>广州灰砂砖厂、顺德祥和灰砂砖厂、佛山市南海盐步有望灰砂砖有限公司、南海水电灰砂砖厂、东莞市麻涌镇盛恒灰砂砖厂、广州航丰、番禺沙公堡等知名品牌</w:t>
            </w:r>
          </w:p>
        </w:tc>
      </w:tr>
      <w:tr w14:paraId="646F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F69757">
            <w:pPr>
              <w:keepNext w:val="0"/>
              <w:keepLines w:val="0"/>
              <w:widowControl/>
              <w:suppressLineNumbers w:val="0"/>
              <w:jc w:val="center"/>
              <w:textAlignment w:val="center"/>
              <w:rPr>
                <w:rStyle w:val="25"/>
                <w:lang w:eastAsia="zh-CN" w:bidi="ar"/>
              </w:rPr>
            </w:pPr>
            <w:r>
              <w:rPr>
                <w:rStyle w:val="25"/>
              </w:rPr>
              <w:t>11</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63F1E58F">
            <w:pPr>
              <w:keepNext w:val="0"/>
              <w:keepLines w:val="0"/>
              <w:widowControl/>
              <w:suppressLineNumbers w:val="0"/>
              <w:jc w:val="center"/>
              <w:textAlignment w:val="center"/>
              <w:rPr>
                <w:rStyle w:val="25"/>
                <w:lang w:eastAsia="zh-CN" w:bidi="ar"/>
              </w:rPr>
            </w:pPr>
            <w:r>
              <w:rPr>
                <w:rStyle w:val="25"/>
              </w:rPr>
              <w:t>砌块</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78CCD17C">
            <w:pPr>
              <w:keepNext w:val="0"/>
              <w:keepLines w:val="0"/>
              <w:widowControl/>
              <w:suppressLineNumbers w:val="0"/>
              <w:jc w:val="center"/>
              <w:textAlignment w:val="center"/>
              <w:rPr>
                <w:rStyle w:val="25"/>
                <w:lang w:eastAsia="zh-CN" w:bidi="ar"/>
              </w:rPr>
            </w:pPr>
            <w:r>
              <w:rPr>
                <w:rStyle w:val="25"/>
              </w:rPr>
              <w:t>广州发展环保建材有限公司、广州市佑佳加气混凝土制品有限公司、东莞市虎门摩天建材实业有限公司、惠州市鑫业建材有限公司、惠州市誉峰建业实业有限公司、广州航丰、番禺沙公堡等知名品牌</w:t>
            </w:r>
          </w:p>
        </w:tc>
      </w:tr>
      <w:tr w14:paraId="68F3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CF8A2F">
            <w:pPr>
              <w:keepNext w:val="0"/>
              <w:keepLines w:val="0"/>
              <w:widowControl/>
              <w:suppressLineNumbers w:val="0"/>
              <w:jc w:val="center"/>
              <w:textAlignment w:val="center"/>
              <w:rPr>
                <w:rStyle w:val="25"/>
                <w:lang w:eastAsia="zh-CN" w:bidi="ar"/>
              </w:rPr>
            </w:pPr>
            <w:r>
              <w:rPr>
                <w:rStyle w:val="25"/>
              </w:rPr>
              <w:t>12</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13BB26B7">
            <w:pPr>
              <w:keepNext w:val="0"/>
              <w:keepLines w:val="0"/>
              <w:widowControl/>
              <w:suppressLineNumbers w:val="0"/>
              <w:jc w:val="center"/>
              <w:textAlignment w:val="center"/>
              <w:rPr>
                <w:rStyle w:val="25"/>
                <w:lang w:eastAsia="zh-CN" w:bidi="ar"/>
              </w:rPr>
            </w:pPr>
            <w:r>
              <w:rPr>
                <w:rStyle w:val="25"/>
              </w:rPr>
              <w:t>防水涂料</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5CC76E6C">
            <w:pPr>
              <w:keepNext w:val="0"/>
              <w:keepLines w:val="0"/>
              <w:widowControl/>
              <w:suppressLineNumbers w:val="0"/>
              <w:jc w:val="center"/>
              <w:textAlignment w:val="center"/>
              <w:rPr>
                <w:rStyle w:val="25"/>
                <w:lang w:eastAsia="zh-CN" w:bidi="ar"/>
              </w:rPr>
            </w:pPr>
            <w:r>
              <w:rPr>
                <w:rStyle w:val="25"/>
              </w:rPr>
              <w:t>禹能、科顺、东方雨虹等知名品牌</w:t>
            </w:r>
          </w:p>
        </w:tc>
      </w:tr>
      <w:tr w14:paraId="5CB5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2FCB05">
            <w:pPr>
              <w:keepNext w:val="0"/>
              <w:keepLines w:val="0"/>
              <w:widowControl/>
              <w:suppressLineNumbers w:val="0"/>
              <w:jc w:val="center"/>
              <w:textAlignment w:val="center"/>
              <w:rPr>
                <w:rStyle w:val="25"/>
                <w:lang w:eastAsia="zh-CN" w:bidi="ar"/>
              </w:rPr>
            </w:pPr>
            <w:r>
              <w:rPr>
                <w:rStyle w:val="25"/>
              </w:rPr>
              <w:t>13</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CBDC4B9">
            <w:pPr>
              <w:keepNext w:val="0"/>
              <w:keepLines w:val="0"/>
              <w:widowControl/>
              <w:suppressLineNumbers w:val="0"/>
              <w:jc w:val="center"/>
              <w:textAlignment w:val="center"/>
              <w:rPr>
                <w:rStyle w:val="25"/>
                <w:lang w:eastAsia="zh-CN" w:bidi="ar"/>
              </w:rPr>
            </w:pPr>
            <w:r>
              <w:rPr>
                <w:rStyle w:val="25"/>
              </w:rPr>
              <w:t>膨胀纤维、抗裂防水剂</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7FCAD42B">
            <w:pPr>
              <w:keepNext w:val="0"/>
              <w:keepLines w:val="0"/>
              <w:widowControl/>
              <w:suppressLineNumbers w:val="0"/>
              <w:jc w:val="center"/>
              <w:textAlignment w:val="center"/>
              <w:rPr>
                <w:rStyle w:val="25"/>
                <w:lang w:eastAsia="zh-CN" w:bidi="ar"/>
              </w:rPr>
            </w:pPr>
            <w:r>
              <w:rPr>
                <w:rStyle w:val="25"/>
              </w:rPr>
              <w:t>广东粤盛特种建材有限公司、上海申御特种建材有限公司、广东建盛、庐江晶石等知名品牌</w:t>
            </w:r>
          </w:p>
        </w:tc>
      </w:tr>
      <w:tr w14:paraId="3E12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3996BF">
            <w:pPr>
              <w:keepNext w:val="0"/>
              <w:keepLines w:val="0"/>
              <w:widowControl/>
              <w:suppressLineNumbers w:val="0"/>
              <w:jc w:val="center"/>
              <w:textAlignment w:val="center"/>
              <w:rPr>
                <w:rStyle w:val="25"/>
                <w:lang w:eastAsia="zh-CN" w:bidi="ar"/>
              </w:rPr>
            </w:pPr>
            <w:r>
              <w:rPr>
                <w:rStyle w:val="25"/>
              </w:rPr>
              <w:t>14</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0F9EDFA">
            <w:pPr>
              <w:keepNext w:val="0"/>
              <w:keepLines w:val="0"/>
              <w:widowControl/>
              <w:suppressLineNumbers w:val="0"/>
              <w:jc w:val="center"/>
              <w:textAlignment w:val="center"/>
              <w:rPr>
                <w:rStyle w:val="25"/>
                <w:lang w:eastAsia="zh-CN" w:bidi="ar"/>
              </w:rPr>
            </w:pPr>
            <w:r>
              <w:rPr>
                <w:rStyle w:val="25"/>
              </w:rPr>
              <w:t>抗腐蚀增强剂和膨胀剂，纤维</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6274241F">
            <w:pPr>
              <w:keepNext w:val="0"/>
              <w:keepLines w:val="0"/>
              <w:widowControl/>
              <w:suppressLineNumbers w:val="0"/>
              <w:jc w:val="center"/>
              <w:textAlignment w:val="center"/>
              <w:rPr>
                <w:rStyle w:val="25"/>
                <w:lang w:eastAsia="zh-CN" w:bidi="ar"/>
              </w:rPr>
            </w:pPr>
            <w:r>
              <w:rPr>
                <w:rStyle w:val="25"/>
              </w:rPr>
              <w:t>广东建盛、庐江晶石、广西天力源等知名品牌</w:t>
            </w:r>
          </w:p>
        </w:tc>
      </w:tr>
      <w:tr w14:paraId="7281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84691D">
            <w:pPr>
              <w:keepNext w:val="0"/>
              <w:keepLines w:val="0"/>
              <w:widowControl/>
              <w:suppressLineNumbers w:val="0"/>
              <w:jc w:val="center"/>
              <w:textAlignment w:val="center"/>
              <w:rPr>
                <w:rStyle w:val="25"/>
                <w:lang w:eastAsia="zh-CN" w:bidi="ar"/>
              </w:rPr>
            </w:pPr>
            <w:r>
              <w:rPr>
                <w:rStyle w:val="25"/>
              </w:rPr>
              <w:t>15</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0D1A99A">
            <w:pPr>
              <w:keepNext w:val="0"/>
              <w:keepLines w:val="0"/>
              <w:widowControl/>
              <w:suppressLineNumbers w:val="0"/>
              <w:jc w:val="center"/>
              <w:textAlignment w:val="center"/>
              <w:rPr>
                <w:rStyle w:val="25"/>
                <w:lang w:eastAsia="zh-CN" w:bidi="ar"/>
              </w:rPr>
            </w:pPr>
            <w:r>
              <w:rPr>
                <w:rStyle w:val="25"/>
              </w:rPr>
              <w:t>混凝土减水剂</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64B830B3">
            <w:pPr>
              <w:keepNext w:val="0"/>
              <w:keepLines w:val="0"/>
              <w:widowControl/>
              <w:suppressLineNumbers w:val="0"/>
              <w:jc w:val="center"/>
              <w:textAlignment w:val="center"/>
              <w:rPr>
                <w:rStyle w:val="25"/>
                <w:lang w:eastAsia="zh-CN" w:bidi="ar"/>
              </w:rPr>
            </w:pPr>
            <w:r>
              <w:rPr>
                <w:rStyle w:val="25"/>
              </w:rPr>
              <w:t>广东汇强、中交华东物资公司，广东巨三，建中宝等知名品牌</w:t>
            </w:r>
          </w:p>
        </w:tc>
      </w:tr>
      <w:tr w14:paraId="7815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28043A">
            <w:pPr>
              <w:keepNext w:val="0"/>
              <w:keepLines w:val="0"/>
              <w:widowControl/>
              <w:suppressLineNumbers w:val="0"/>
              <w:jc w:val="center"/>
              <w:textAlignment w:val="center"/>
              <w:rPr>
                <w:rStyle w:val="25"/>
                <w:lang w:eastAsia="zh-CN" w:bidi="ar"/>
              </w:rPr>
            </w:pPr>
            <w:r>
              <w:rPr>
                <w:rStyle w:val="25"/>
              </w:rPr>
              <w:t>16</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6CB3EE46">
            <w:pPr>
              <w:keepNext w:val="0"/>
              <w:keepLines w:val="0"/>
              <w:widowControl/>
              <w:suppressLineNumbers w:val="0"/>
              <w:jc w:val="center"/>
              <w:textAlignment w:val="center"/>
              <w:rPr>
                <w:rStyle w:val="25"/>
                <w:lang w:eastAsia="zh-CN" w:bidi="ar"/>
              </w:rPr>
            </w:pPr>
            <w:r>
              <w:rPr>
                <w:rStyle w:val="25"/>
              </w:rPr>
              <w:t>配电柜（开关柜）</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0E7BB4A1">
            <w:pPr>
              <w:keepNext w:val="0"/>
              <w:keepLines w:val="0"/>
              <w:widowControl/>
              <w:suppressLineNumbers w:val="0"/>
              <w:jc w:val="center"/>
              <w:textAlignment w:val="center"/>
              <w:rPr>
                <w:rStyle w:val="25"/>
                <w:lang w:eastAsia="zh-CN" w:bidi="ar"/>
              </w:rPr>
            </w:pPr>
            <w:r>
              <w:rPr>
                <w:rStyle w:val="25"/>
              </w:rPr>
              <w:t>广州白云、大全集团、海鸿电气、江苏成城、武汉港迪、厦门华电等知名品牌</w:t>
            </w:r>
          </w:p>
        </w:tc>
      </w:tr>
      <w:tr w14:paraId="4FAE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2BE56C">
            <w:pPr>
              <w:keepNext w:val="0"/>
              <w:keepLines w:val="0"/>
              <w:widowControl/>
              <w:suppressLineNumbers w:val="0"/>
              <w:jc w:val="center"/>
              <w:textAlignment w:val="center"/>
              <w:rPr>
                <w:rStyle w:val="25"/>
                <w:lang w:eastAsia="zh-CN" w:bidi="ar"/>
              </w:rPr>
            </w:pPr>
            <w:r>
              <w:rPr>
                <w:rStyle w:val="25"/>
              </w:rPr>
              <w:t>17</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149AFE4">
            <w:pPr>
              <w:keepNext w:val="0"/>
              <w:keepLines w:val="0"/>
              <w:widowControl/>
              <w:suppressLineNumbers w:val="0"/>
              <w:jc w:val="center"/>
              <w:textAlignment w:val="center"/>
              <w:rPr>
                <w:rStyle w:val="25"/>
                <w:lang w:eastAsia="zh-CN" w:bidi="ar"/>
              </w:rPr>
            </w:pPr>
            <w:r>
              <w:rPr>
                <w:rStyle w:val="25"/>
              </w:rPr>
              <w:t>直流电源</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63FB6298">
            <w:pPr>
              <w:keepNext w:val="0"/>
              <w:keepLines w:val="0"/>
              <w:widowControl/>
              <w:suppressLineNumbers w:val="0"/>
              <w:jc w:val="center"/>
              <w:textAlignment w:val="center"/>
              <w:rPr>
                <w:rStyle w:val="25"/>
                <w:lang w:eastAsia="zh-CN" w:bidi="ar"/>
              </w:rPr>
            </w:pPr>
            <w:r>
              <w:rPr>
                <w:rStyle w:val="25"/>
              </w:rPr>
              <w:t>珠海拓普智能、许继电气、长沙浩能电气、深圳恒通等知名品牌</w:t>
            </w:r>
          </w:p>
        </w:tc>
      </w:tr>
      <w:tr w14:paraId="150A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F1BF94">
            <w:pPr>
              <w:keepNext w:val="0"/>
              <w:keepLines w:val="0"/>
              <w:widowControl/>
              <w:suppressLineNumbers w:val="0"/>
              <w:jc w:val="center"/>
              <w:textAlignment w:val="center"/>
              <w:rPr>
                <w:rStyle w:val="25"/>
                <w:lang w:eastAsia="zh-CN" w:bidi="ar"/>
              </w:rPr>
            </w:pPr>
            <w:r>
              <w:rPr>
                <w:rStyle w:val="25"/>
              </w:rPr>
              <w:t>18</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4365963">
            <w:pPr>
              <w:keepNext w:val="0"/>
              <w:keepLines w:val="0"/>
              <w:widowControl/>
              <w:suppressLineNumbers w:val="0"/>
              <w:jc w:val="center"/>
              <w:textAlignment w:val="center"/>
              <w:rPr>
                <w:rStyle w:val="25"/>
                <w:lang w:eastAsia="zh-CN" w:bidi="ar"/>
              </w:rPr>
            </w:pPr>
            <w:r>
              <w:rPr>
                <w:rStyle w:val="25"/>
              </w:rPr>
              <w:t>配电箱</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0AF51DEE">
            <w:pPr>
              <w:keepNext w:val="0"/>
              <w:keepLines w:val="0"/>
              <w:widowControl/>
              <w:suppressLineNumbers w:val="0"/>
              <w:jc w:val="center"/>
              <w:textAlignment w:val="center"/>
              <w:rPr>
                <w:rStyle w:val="25"/>
              </w:rPr>
            </w:pPr>
            <w:r>
              <w:rPr>
                <w:rStyle w:val="25"/>
              </w:rPr>
              <w:t>汕头科润、南京曼奈柯斯、华荣科技、西蒙等知名品牌</w:t>
            </w:r>
          </w:p>
        </w:tc>
      </w:tr>
      <w:tr w14:paraId="2A27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FE7095">
            <w:pPr>
              <w:keepNext w:val="0"/>
              <w:keepLines w:val="0"/>
              <w:widowControl/>
              <w:suppressLineNumbers w:val="0"/>
              <w:jc w:val="center"/>
              <w:textAlignment w:val="center"/>
              <w:rPr>
                <w:rStyle w:val="25"/>
                <w:lang w:eastAsia="zh-CN" w:bidi="ar"/>
              </w:rPr>
            </w:pPr>
            <w:r>
              <w:rPr>
                <w:rStyle w:val="25"/>
              </w:rPr>
              <w:t>19</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AF356F1">
            <w:pPr>
              <w:keepNext w:val="0"/>
              <w:keepLines w:val="0"/>
              <w:widowControl/>
              <w:suppressLineNumbers w:val="0"/>
              <w:jc w:val="center"/>
              <w:textAlignment w:val="center"/>
              <w:rPr>
                <w:rStyle w:val="25"/>
                <w:lang w:eastAsia="zh-CN" w:bidi="ar"/>
              </w:rPr>
            </w:pPr>
            <w:r>
              <w:rPr>
                <w:rStyle w:val="25"/>
              </w:rPr>
              <w:t>热浸锌电缆桥架</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667CD312">
            <w:pPr>
              <w:keepNext w:val="0"/>
              <w:keepLines w:val="0"/>
              <w:widowControl/>
              <w:suppressLineNumbers w:val="0"/>
              <w:jc w:val="center"/>
              <w:textAlignment w:val="center"/>
              <w:rPr>
                <w:rStyle w:val="25"/>
              </w:rPr>
            </w:pPr>
            <w:r>
              <w:rPr>
                <w:rStyle w:val="25"/>
              </w:rPr>
              <w:t>江苏成城、有能、国众、金来、隆鑫、大全等知名品牌</w:t>
            </w:r>
          </w:p>
        </w:tc>
      </w:tr>
      <w:tr w14:paraId="3A4E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845A3B">
            <w:pPr>
              <w:keepNext w:val="0"/>
              <w:keepLines w:val="0"/>
              <w:widowControl/>
              <w:suppressLineNumbers w:val="0"/>
              <w:jc w:val="center"/>
              <w:textAlignment w:val="center"/>
              <w:rPr>
                <w:rStyle w:val="25"/>
                <w:lang w:eastAsia="zh-CN" w:bidi="ar"/>
              </w:rPr>
            </w:pPr>
            <w:r>
              <w:rPr>
                <w:rStyle w:val="25"/>
              </w:rPr>
              <w:t>20</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3A7BB6B">
            <w:pPr>
              <w:keepNext w:val="0"/>
              <w:keepLines w:val="0"/>
              <w:widowControl/>
              <w:suppressLineNumbers w:val="0"/>
              <w:jc w:val="center"/>
              <w:textAlignment w:val="center"/>
              <w:rPr>
                <w:rStyle w:val="25"/>
                <w:lang w:eastAsia="zh-CN" w:bidi="ar"/>
              </w:rPr>
            </w:pPr>
            <w:r>
              <w:rPr>
                <w:rStyle w:val="25"/>
              </w:rPr>
              <w:t>变压器</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49BB3789">
            <w:pPr>
              <w:keepNext w:val="0"/>
              <w:keepLines w:val="0"/>
              <w:widowControl/>
              <w:suppressLineNumbers w:val="0"/>
              <w:jc w:val="center"/>
              <w:textAlignment w:val="center"/>
              <w:rPr>
                <w:rStyle w:val="25"/>
                <w:lang w:eastAsia="zh-CN" w:bidi="ar"/>
              </w:rPr>
            </w:pPr>
            <w:r>
              <w:rPr>
                <w:rStyle w:val="25"/>
              </w:rPr>
              <w:t>GE、顺特、许继、海鸿等知名品牌</w:t>
            </w:r>
          </w:p>
        </w:tc>
      </w:tr>
      <w:tr w14:paraId="0761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AD54F0">
            <w:pPr>
              <w:keepNext w:val="0"/>
              <w:keepLines w:val="0"/>
              <w:widowControl/>
              <w:suppressLineNumbers w:val="0"/>
              <w:jc w:val="center"/>
              <w:textAlignment w:val="center"/>
              <w:rPr>
                <w:rStyle w:val="25"/>
                <w:lang w:eastAsia="zh-CN" w:bidi="ar"/>
              </w:rPr>
            </w:pPr>
            <w:r>
              <w:rPr>
                <w:rStyle w:val="25"/>
              </w:rPr>
              <w:t>21</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78C5B4A8">
            <w:pPr>
              <w:keepNext w:val="0"/>
              <w:keepLines w:val="0"/>
              <w:widowControl/>
              <w:suppressLineNumbers w:val="0"/>
              <w:jc w:val="center"/>
              <w:textAlignment w:val="center"/>
              <w:rPr>
                <w:rStyle w:val="25"/>
                <w:lang w:eastAsia="zh-CN" w:bidi="ar"/>
              </w:rPr>
            </w:pPr>
            <w:r>
              <w:rPr>
                <w:rStyle w:val="25"/>
              </w:rPr>
              <w:t>低压补偿装置（含谐波抑制）</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029CBAF8">
            <w:pPr>
              <w:keepNext w:val="0"/>
              <w:keepLines w:val="0"/>
              <w:widowControl/>
              <w:suppressLineNumbers w:val="0"/>
              <w:jc w:val="center"/>
              <w:textAlignment w:val="center"/>
              <w:rPr>
                <w:rStyle w:val="25"/>
                <w:lang w:eastAsia="zh-CN" w:bidi="ar"/>
              </w:rPr>
            </w:pPr>
            <w:r>
              <w:rPr>
                <w:rStyle w:val="25"/>
              </w:rPr>
              <w:t>深圳慧能、天津威瀚、上虞电力、哈尔滨森源、深圳盛弘等知名品牌</w:t>
            </w:r>
          </w:p>
        </w:tc>
      </w:tr>
      <w:tr w14:paraId="2E91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FDB508">
            <w:pPr>
              <w:keepNext w:val="0"/>
              <w:keepLines w:val="0"/>
              <w:widowControl/>
              <w:suppressLineNumbers w:val="0"/>
              <w:jc w:val="center"/>
              <w:textAlignment w:val="center"/>
              <w:rPr>
                <w:rStyle w:val="25"/>
                <w:lang w:eastAsia="zh-CN" w:bidi="ar"/>
              </w:rPr>
            </w:pPr>
            <w:r>
              <w:rPr>
                <w:rStyle w:val="25"/>
              </w:rPr>
              <w:t>22</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26FBDA0">
            <w:pPr>
              <w:keepNext w:val="0"/>
              <w:keepLines w:val="0"/>
              <w:widowControl/>
              <w:suppressLineNumbers w:val="0"/>
              <w:jc w:val="center"/>
              <w:textAlignment w:val="center"/>
              <w:rPr>
                <w:rStyle w:val="25"/>
                <w:lang w:eastAsia="zh-CN" w:bidi="ar"/>
              </w:rPr>
            </w:pPr>
            <w:r>
              <w:rPr>
                <w:rStyle w:val="25"/>
              </w:rPr>
              <w:t>柜内元气件</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735A7B9C">
            <w:pPr>
              <w:keepNext w:val="0"/>
              <w:keepLines w:val="0"/>
              <w:widowControl/>
              <w:suppressLineNumbers w:val="0"/>
              <w:jc w:val="center"/>
              <w:textAlignment w:val="center"/>
              <w:rPr>
                <w:rStyle w:val="25"/>
                <w:lang w:eastAsia="zh-CN" w:bidi="ar"/>
              </w:rPr>
            </w:pPr>
            <w:r>
              <w:rPr>
                <w:rStyle w:val="25"/>
              </w:rPr>
              <w:t>ABB、Schneider、SIEMENS等知名品牌</w:t>
            </w:r>
          </w:p>
        </w:tc>
      </w:tr>
      <w:tr w14:paraId="500E0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523E2D">
            <w:pPr>
              <w:keepNext w:val="0"/>
              <w:keepLines w:val="0"/>
              <w:widowControl/>
              <w:suppressLineNumbers w:val="0"/>
              <w:jc w:val="center"/>
              <w:textAlignment w:val="center"/>
              <w:rPr>
                <w:rStyle w:val="25"/>
                <w:lang w:eastAsia="zh-CN" w:bidi="ar"/>
              </w:rPr>
            </w:pPr>
            <w:r>
              <w:rPr>
                <w:rStyle w:val="25"/>
              </w:rPr>
              <w:t>23</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60F90920">
            <w:pPr>
              <w:keepNext w:val="0"/>
              <w:keepLines w:val="0"/>
              <w:widowControl/>
              <w:suppressLineNumbers w:val="0"/>
              <w:jc w:val="center"/>
              <w:textAlignment w:val="center"/>
              <w:rPr>
                <w:rStyle w:val="25"/>
                <w:lang w:eastAsia="zh-CN" w:bidi="ar"/>
              </w:rPr>
            </w:pPr>
            <w:r>
              <w:rPr>
                <w:rStyle w:val="25"/>
              </w:rPr>
              <w:t>动力电缆</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64DBB782">
            <w:pPr>
              <w:keepNext w:val="0"/>
              <w:keepLines w:val="0"/>
              <w:widowControl/>
              <w:suppressLineNumbers w:val="0"/>
              <w:jc w:val="center"/>
              <w:textAlignment w:val="center"/>
              <w:rPr>
                <w:rStyle w:val="25"/>
                <w:lang w:eastAsia="zh-CN" w:bidi="ar"/>
              </w:rPr>
            </w:pPr>
            <w:r>
              <w:rPr>
                <w:rStyle w:val="25"/>
              </w:rPr>
              <w:t>广东电缆、扬州曙光、江苏上上、广州南洋等知名品牌</w:t>
            </w:r>
          </w:p>
        </w:tc>
      </w:tr>
      <w:tr w14:paraId="2E64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F6781C">
            <w:pPr>
              <w:keepNext w:val="0"/>
              <w:keepLines w:val="0"/>
              <w:widowControl/>
              <w:suppressLineNumbers w:val="0"/>
              <w:jc w:val="center"/>
              <w:textAlignment w:val="center"/>
              <w:rPr>
                <w:rStyle w:val="25"/>
                <w:lang w:eastAsia="zh-CN" w:bidi="ar"/>
              </w:rPr>
            </w:pPr>
            <w:r>
              <w:rPr>
                <w:rStyle w:val="25"/>
              </w:rPr>
              <w:t>24</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5FBA7B63">
            <w:pPr>
              <w:keepNext w:val="0"/>
              <w:keepLines w:val="0"/>
              <w:widowControl/>
              <w:suppressLineNumbers w:val="0"/>
              <w:jc w:val="center"/>
              <w:textAlignment w:val="center"/>
              <w:rPr>
                <w:rStyle w:val="25"/>
                <w:lang w:eastAsia="zh-CN" w:bidi="ar"/>
              </w:rPr>
            </w:pPr>
            <w:r>
              <w:rPr>
                <w:rStyle w:val="25"/>
              </w:rPr>
              <w:t>UPS电源</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19754B29">
            <w:pPr>
              <w:keepNext w:val="0"/>
              <w:keepLines w:val="0"/>
              <w:widowControl/>
              <w:suppressLineNumbers w:val="0"/>
              <w:jc w:val="center"/>
              <w:textAlignment w:val="center"/>
              <w:rPr>
                <w:rStyle w:val="25"/>
                <w:lang w:eastAsia="zh-CN" w:bidi="ar"/>
              </w:rPr>
            </w:pPr>
            <w:r>
              <w:rPr>
                <w:rStyle w:val="25"/>
              </w:rPr>
              <w:t>维谛、山特、华为等知名品牌</w:t>
            </w:r>
          </w:p>
        </w:tc>
      </w:tr>
      <w:tr w14:paraId="60FF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7B081E">
            <w:pPr>
              <w:keepNext w:val="0"/>
              <w:keepLines w:val="0"/>
              <w:widowControl/>
              <w:suppressLineNumbers w:val="0"/>
              <w:jc w:val="center"/>
              <w:textAlignment w:val="center"/>
              <w:rPr>
                <w:rStyle w:val="25"/>
                <w:lang w:eastAsia="zh-CN" w:bidi="ar"/>
              </w:rPr>
            </w:pPr>
            <w:r>
              <w:rPr>
                <w:rStyle w:val="25"/>
              </w:rPr>
              <w:t>25</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ECD1FE6">
            <w:pPr>
              <w:keepNext w:val="0"/>
              <w:keepLines w:val="0"/>
              <w:widowControl/>
              <w:suppressLineNumbers w:val="0"/>
              <w:jc w:val="center"/>
              <w:textAlignment w:val="center"/>
              <w:rPr>
                <w:rStyle w:val="25"/>
                <w:lang w:eastAsia="zh-CN" w:bidi="ar"/>
              </w:rPr>
            </w:pPr>
            <w:r>
              <w:rPr>
                <w:rStyle w:val="25"/>
              </w:rPr>
              <w:t>柜内开关</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286FE781">
            <w:pPr>
              <w:keepNext w:val="0"/>
              <w:keepLines w:val="0"/>
              <w:widowControl/>
              <w:suppressLineNumbers w:val="0"/>
              <w:jc w:val="center"/>
              <w:textAlignment w:val="center"/>
              <w:rPr>
                <w:rStyle w:val="25"/>
                <w:lang w:eastAsia="zh-CN" w:bidi="ar"/>
              </w:rPr>
            </w:pPr>
            <w:r>
              <w:rPr>
                <w:rStyle w:val="25"/>
              </w:rPr>
              <w:t>ABB、Schneider、SIEMENS等知名品牌</w:t>
            </w:r>
          </w:p>
        </w:tc>
      </w:tr>
      <w:tr w14:paraId="4243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FAE98B">
            <w:pPr>
              <w:keepNext w:val="0"/>
              <w:keepLines w:val="0"/>
              <w:widowControl/>
              <w:suppressLineNumbers w:val="0"/>
              <w:jc w:val="center"/>
              <w:textAlignment w:val="center"/>
              <w:rPr>
                <w:rStyle w:val="25"/>
                <w:lang w:eastAsia="zh-CN" w:bidi="ar"/>
              </w:rPr>
            </w:pPr>
            <w:r>
              <w:rPr>
                <w:rStyle w:val="25"/>
              </w:rPr>
              <w:t>26</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6AA47444">
            <w:pPr>
              <w:keepNext w:val="0"/>
              <w:keepLines w:val="0"/>
              <w:widowControl/>
              <w:suppressLineNumbers w:val="0"/>
              <w:jc w:val="center"/>
              <w:textAlignment w:val="center"/>
              <w:rPr>
                <w:rStyle w:val="25"/>
                <w:lang w:eastAsia="zh-CN" w:bidi="ar"/>
              </w:rPr>
            </w:pPr>
            <w:r>
              <w:rPr>
                <w:rStyle w:val="25"/>
              </w:rPr>
              <w:t>继保装置</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564947D4">
            <w:pPr>
              <w:keepNext w:val="0"/>
              <w:keepLines w:val="0"/>
              <w:widowControl/>
              <w:suppressLineNumbers w:val="0"/>
              <w:jc w:val="center"/>
              <w:textAlignment w:val="center"/>
              <w:rPr>
                <w:rStyle w:val="25"/>
                <w:lang w:eastAsia="zh-CN" w:bidi="ar"/>
              </w:rPr>
            </w:pPr>
            <w:r>
              <w:rPr>
                <w:rStyle w:val="25"/>
              </w:rPr>
              <w:t>南自、南瑞、许继、四方等知名品牌</w:t>
            </w:r>
          </w:p>
        </w:tc>
      </w:tr>
      <w:tr w14:paraId="3DDA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1C5BF7">
            <w:pPr>
              <w:keepNext w:val="0"/>
              <w:keepLines w:val="0"/>
              <w:widowControl/>
              <w:suppressLineNumbers w:val="0"/>
              <w:jc w:val="center"/>
              <w:textAlignment w:val="center"/>
              <w:rPr>
                <w:rStyle w:val="25"/>
                <w:lang w:eastAsia="zh-CN" w:bidi="ar"/>
              </w:rPr>
            </w:pPr>
            <w:r>
              <w:rPr>
                <w:rStyle w:val="25"/>
              </w:rPr>
              <w:t>27</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11C670A">
            <w:pPr>
              <w:keepNext w:val="0"/>
              <w:keepLines w:val="0"/>
              <w:widowControl/>
              <w:suppressLineNumbers w:val="0"/>
              <w:jc w:val="center"/>
              <w:textAlignment w:val="center"/>
              <w:rPr>
                <w:rStyle w:val="25"/>
                <w:lang w:eastAsia="zh-CN" w:bidi="ar"/>
              </w:rPr>
            </w:pPr>
            <w:r>
              <w:rPr>
                <w:rStyle w:val="25"/>
              </w:rPr>
              <w:t>低架滑触线</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30CA520A">
            <w:pPr>
              <w:keepNext w:val="0"/>
              <w:keepLines w:val="0"/>
              <w:widowControl/>
              <w:suppressLineNumbers w:val="0"/>
              <w:jc w:val="center"/>
              <w:textAlignment w:val="center"/>
              <w:rPr>
                <w:rStyle w:val="25"/>
                <w:lang w:eastAsia="zh-CN" w:bidi="ar"/>
              </w:rPr>
            </w:pPr>
            <w:r>
              <w:rPr>
                <w:rStyle w:val="25"/>
              </w:rPr>
              <w:t>康稳、法勒、IGA等知名品牌</w:t>
            </w:r>
          </w:p>
        </w:tc>
      </w:tr>
      <w:tr w14:paraId="21BE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F7F553">
            <w:pPr>
              <w:keepNext w:val="0"/>
              <w:keepLines w:val="0"/>
              <w:widowControl/>
              <w:suppressLineNumbers w:val="0"/>
              <w:jc w:val="center"/>
              <w:textAlignment w:val="center"/>
              <w:rPr>
                <w:rStyle w:val="25"/>
                <w:lang w:eastAsia="zh-CN" w:bidi="ar"/>
              </w:rPr>
            </w:pPr>
            <w:r>
              <w:rPr>
                <w:rStyle w:val="25"/>
              </w:rPr>
              <w:t>28</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5B92F80A">
            <w:pPr>
              <w:keepNext w:val="0"/>
              <w:keepLines w:val="0"/>
              <w:widowControl/>
              <w:suppressLineNumbers w:val="0"/>
              <w:jc w:val="center"/>
              <w:textAlignment w:val="center"/>
              <w:rPr>
                <w:rStyle w:val="25"/>
                <w:lang w:eastAsia="zh-CN" w:bidi="ar"/>
              </w:rPr>
            </w:pPr>
            <w:r>
              <w:rPr>
                <w:rStyle w:val="25"/>
              </w:rPr>
              <w:t>岸电</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1F47F655">
            <w:pPr>
              <w:keepNext w:val="0"/>
              <w:keepLines w:val="0"/>
              <w:widowControl/>
              <w:suppressLineNumbers w:val="0"/>
              <w:jc w:val="center"/>
              <w:textAlignment w:val="center"/>
              <w:rPr>
                <w:rStyle w:val="25"/>
                <w:lang w:eastAsia="zh-CN" w:bidi="ar"/>
              </w:rPr>
            </w:pPr>
            <w:r>
              <w:rPr>
                <w:rStyle w:val="25"/>
              </w:rPr>
              <w:t>广州智光、汇川、南瑞、卧龙电驱等知名品牌</w:t>
            </w:r>
          </w:p>
        </w:tc>
      </w:tr>
      <w:tr w14:paraId="6040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1FC88E">
            <w:pPr>
              <w:keepNext w:val="0"/>
              <w:keepLines w:val="0"/>
              <w:widowControl/>
              <w:suppressLineNumbers w:val="0"/>
              <w:jc w:val="center"/>
              <w:textAlignment w:val="center"/>
              <w:rPr>
                <w:rStyle w:val="25"/>
                <w:lang w:eastAsia="zh-CN" w:bidi="ar"/>
              </w:rPr>
            </w:pPr>
            <w:r>
              <w:rPr>
                <w:rStyle w:val="25"/>
              </w:rPr>
              <w:t>29</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715312DB">
            <w:pPr>
              <w:keepNext w:val="0"/>
              <w:keepLines w:val="0"/>
              <w:widowControl/>
              <w:suppressLineNumbers w:val="0"/>
              <w:jc w:val="center"/>
              <w:textAlignment w:val="center"/>
              <w:rPr>
                <w:rStyle w:val="25"/>
                <w:lang w:eastAsia="zh-CN" w:bidi="ar"/>
              </w:rPr>
            </w:pPr>
            <w:r>
              <w:rPr>
                <w:rStyle w:val="25"/>
                <w:lang w:val="en-US" w:eastAsia="zh-CN" w:bidi="ar"/>
              </w:rPr>
              <w:t>消防泵机组</w:t>
            </w:r>
          </w:p>
        </w:tc>
        <w:tc>
          <w:tcPr>
            <w:tcW w:w="5161" w:type="dxa"/>
            <w:vMerge w:val="restart"/>
            <w:tcBorders>
              <w:top w:val="single" w:color="000000" w:sz="4" w:space="0"/>
              <w:left w:val="single" w:color="000000" w:sz="4" w:space="0"/>
              <w:bottom w:val="single" w:color="000000" w:sz="4" w:space="0"/>
              <w:right w:val="single" w:color="000000" w:sz="4" w:space="0"/>
            </w:tcBorders>
            <w:noWrap w:val="0"/>
            <w:vAlign w:val="top"/>
          </w:tcPr>
          <w:p w14:paraId="2BAAE8FC">
            <w:pPr>
              <w:keepNext w:val="0"/>
              <w:keepLines w:val="0"/>
              <w:widowControl/>
              <w:suppressLineNumbers w:val="0"/>
              <w:jc w:val="center"/>
              <w:textAlignment w:val="center"/>
              <w:rPr>
                <w:rStyle w:val="25"/>
                <w:lang w:eastAsia="zh-CN" w:bidi="ar"/>
              </w:rPr>
            </w:pPr>
            <w:r>
              <w:rPr>
                <w:rStyle w:val="25"/>
                <w:rFonts w:hint="default"/>
                <w:sz w:val="22"/>
                <w:szCs w:val="22"/>
                <w:lang w:val="en-US" w:eastAsia="zh-CN" w:bidi="ar"/>
              </w:rPr>
              <w:t>广州白云泵业、上海凯泉、广州广一、上海奥利</w:t>
            </w:r>
            <w:r>
              <w:rPr>
                <w:rStyle w:val="25"/>
              </w:rPr>
              <w:t>等知名品牌</w:t>
            </w:r>
            <w:r>
              <w:rPr>
                <w:rStyle w:val="25"/>
                <w:rFonts w:hint="default"/>
                <w:sz w:val="22"/>
                <w:szCs w:val="22"/>
                <w:lang w:val="en-US" w:eastAsia="zh-CN" w:bidi="ar"/>
              </w:rPr>
              <w:br w:type="textWrapping"/>
            </w:r>
            <w:r>
              <w:rPr>
                <w:rStyle w:val="25"/>
                <w:rFonts w:hint="default"/>
                <w:sz w:val="22"/>
                <w:szCs w:val="22"/>
                <w:lang w:val="en-US" w:eastAsia="zh-CN" w:bidi="ar"/>
              </w:rPr>
              <w:t>湖南耐普</w:t>
            </w:r>
            <w:r>
              <w:rPr>
                <w:rStyle w:val="25"/>
              </w:rPr>
              <w:t>等知名品牌</w:t>
            </w:r>
          </w:p>
        </w:tc>
      </w:tr>
      <w:tr w14:paraId="339E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86226D">
            <w:pPr>
              <w:keepNext w:val="0"/>
              <w:keepLines w:val="0"/>
              <w:widowControl/>
              <w:suppressLineNumbers w:val="0"/>
              <w:jc w:val="center"/>
              <w:textAlignment w:val="center"/>
              <w:rPr>
                <w:rStyle w:val="25"/>
                <w:lang w:eastAsia="zh-CN" w:bidi="ar"/>
              </w:rPr>
            </w:pPr>
            <w:r>
              <w:rPr>
                <w:rStyle w:val="25"/>
              </w:rPr>
              <w:t>30</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BBED7CC">
            <w:pPr>
              <w:keepNext w:val="0"/>
              <w:keepLines w:val="0"/>
              <w:widowControl/>
              <w:suppressLineNumbers w:val="0"/>
              <w:jc w:val="center"/>
              <w:textAlignment w:val="center"/>
              <w:rPr>
                <w:rStyle w:val="25"/>
                <w:lang w:eastAsia="zh-CN" w:bidi="ar"/>
              </w:rPr>
            </w:pPr>
            <w:r>
              <w:rPr>
                <w:rStyle w:val="25"/>
                <w:lang w:val="en-US" w:eastAsia="zh-CN" w:bidi="ar"/>
              </w:rPr>
              <w:t>稳压泵机组</w:t>
            </w:r>
          </w:p>
        </w:tc>
        <w:tc>
          <w:tcPr>
            <w:tcW w:w="5161" w:type="dxa"/>
            <w:vMerge w:val="continue"/>
            <w:tcBorders>
              <w:top w:val="single" w:color="000000" w:sz="4" w:space="0"/>
              <w:left w:val="single" w:color="000000" w:sz="4" w:space="0"/>
              <w:bottom w:val="single" w:color="000000" w:sz="4" w:space="0"/>
              <w:right w:val="single" w:color="000000" w:sz="4" w:space="0"/>
            </w:tcBorders>
            <w:noWrap w:val="0"/>
            <w:vAlign w:val="top"/>
          </w:tcPr>
          <w:p w14:paraId="084F8880">
            <w:pPr>
              <w:jc w:val="center"/>
              <w:textAlignment w:val="center"/>
              <w:rPr>
                <w:rStyle w:val="25"/>
                <w:lang w:eastAsia="zh-CN" w:bidi="ar"/>
              </w:rPr>
            </w:pPr>
          </w:p>
        </w:tc>
      </w:tr>
      <w:tr w14:paraId="61C0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B4BC4E">
            <w:pPr>
              <w:keepNext w:val="0"/>
              <w:keepLines w:val="0"/>
              <w:widowControl/>
              <w:suppressLineNumbers w:val="0"/>
              <w:jc w:val="center"/>
              <w:textAlignment w:val="center"/>
              <w:rPr>
                <w:rStyle w:val="25"/>
                <w:lang w:eastAsia="zh-CN" w:bidi="ar"/>
              </w:rPr>
            </w:pPr>
            <w:r>
              <w:rPr>
                <w:rStyle w:val="25"/>
              </w:rPr>
              <w:t>31</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654A3909">
            <w:pPr>
              <w:keepNext w:val="0"/>
              <w:keepLines w:val="0"/>
              <w:widowControl/>
              <w:suppressLineNumbers w:val="0"/>
              <w:jc w:val="center"/>
              <w:textAlignment w:val="center"/>
              <w:rPr>
                <w:rStyle w:val="25"/>
                <w:lang w:eastAsia="zh-CN" w:bidi="ar"/>
              </w:rPr>
            </w:pPr>
            <w:r>
              <w:rPr>
                <w:rStyle w:val="25"/>
                <w:lang w:val="en-US" w:eastAsia="zh-CN" w:bidi="ar"/>
              </w:rPr>
              <w:t>变频器</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666FA639">
            <w:pPr>
              <w:keepNext w:val="0"/>
              <w:keepLines w:val="0"/>
              <w:widowControl/>
              <w:suppressLineNumbers w:val="0"/>
              <w:jc w:val="center"/>
              <w:textAlignment w:val="center"/>
              <w:rPr>
                <w:rStyle w:val="25"/>
                <w:lang w:eastAsia="zh-CN" w:bidi="ar"/>
              </w:rPr>
            </w:pPr>
            <w:r>
              <w:rPr>
                <w:rStyle w:val="25"/>
                <w:rFonts w:hint="default"/>
                <w:sz w:val="22"/>
                <w:szCs w:val="22"/>
                <w:lang w:val="en-US" w:eastAsia="zh-CN" w:bidi="ar"/>
              </w:rPr>
              <w:t>ABB、西门子、安川</w:t>
            </w:r>
            <w:r>
              <w:rPr>
                <w:rStyle w:val="25"/>
              </w:rPr>
              <w:t>等知名品牌</w:t>
            </w:r>
          </w:p>
        </w:tc>
      </w:tr>
      <w:tr w14:paraId="24CB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6FCEB9">
            <w:pPr>
              <w:keepNext w:val="0"/>
              <w:keepLines w:val="0"/>
              <w:widowControl/>
              <w:suppressLineNumbers w:val="0"/>
              <w:jc w:val="center"/>
              <w:textAlignment w:val="center"/>
              <w:rPr>
                <w:rStyle w:val="25"/>
                <w:lang w:eastAsia="zh-CN" w:bidi="ar"/>
              </w:rPr>
            </w:pPr>
            <w:r>
              <w:rPr>
                <w:rStyle w:val="25"/>
              </w:rPr>
              <w:t>32</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40FDE0D">
            <w:pPr>
              <w:keepNext w:val="0"/>
              <w:keepLines w:val="0"/>
              <w:widowControl/>
              <w:suppressLineNumbers w:val="0"/>
              <w:jc w:val="center"/>
              <w:textAlignment w:val="center"/>
              <w:rPr>
                <w:rStyle w:val="25"/>
                <w:lang w:eastAsia="zh-CN" w:bidi="ar"/>
              </w:rPr>
            </w:pPr>
            <w:r>
              <w:rPr>
                <w:rStyle w:val="25"/>
              </w:rPr>
              <w:t>阀门、水力控制阀、止回阀</w:t>
            </w:r>
            <w:r>
              <w:rPr>
                <w:rStyle w:val="25"/>
              </w:rPr>
              <w:br w:type="textWrapping"/>
            </w:r>
            <w:r>
              <w:rPr>
                <w:rStyle w:val="25"/>
              </w:rPr>
              <w:t>(缓闭式止回阀)压阀</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175435CC">
            <w:pPr>
              <w:keepNext w:val="0"/>
              <w:keepLines w:val="0"/>
              <w:widowControl/>
              <w:suppressLineNumbers w:val="0"/>
              <w:jc w:val="center"/>
              <w:textAlignment w:val="center"/>
              <w:rPr>
                <w:rStyle w:val="25"/>
                <w:lang w:eastAsia="zh-CN" w:bidi="ar"/>
              </w:rPr>
            </w:pPr>
            <w:r>
              <w:rPr>
                <w:rStyle w:val="25"/>
              </w:rPr>
              <w:t>上海标一、上海冠龙、广东永泉、天津塘沽、广州广一等知名品牌</w:t>
            </w:r>
          </w:p>
        </w:tc>
      </w:tr>
      <w:tr w14:paraId="1E55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FCA14F">
            <w:pPr>
              <w:keepNext w:val="0"/>
              <w:keepLines w:val="0"/>
              <w:widowControl/>
              <w:suppressLineNumbers w:val="0"/>
              <w:jc w:val="center"/>
              <w:textAlignment w:val="center"/>
              <w:rPr>
                <w:rStyle w:val="25"/>
                <w:lang w:eastAsia="zh-CN" w:bidi="ar"/>
              </w:rPr>
            </w:pPr>
            <w:r>
              <w:rPr>
                <w:rStyle w:val="25"/>
              </w:rPr>
              <w:t>33</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9B8A686">
            <w:pPr>
              <w:keepNext w:val="0"/>
              <w:keepLines w:val="0"/>
              <w:widowControl/>
              <w:suppressLineNumbers w:val="0"/>
              <w:jc w:val="center"/>
              <w:textAlignment w:val="center"/>
              <w:rPr>
                <w:rStyle w:val="25"/>
                <w:lang w:eastAsia="zh-CN" w:bidi="ar"/>
              </w:rPr>
            </w:pPr>
            <w:r>
              <w:rPr>
                <w:rStyle w:val="25"/>
              </w:rPr>
              <w:t>双层双色聚乙烯(PE)给水管</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2E625342">
            <w:pPr>
              <w:keepNext w:val="0"/>
              <w:keepLines w:val="0"/>
              <w:widowControl/>
              <w:suppressLineNumbers w:val="0"/>
              <w:jc w:val="center"/>
              <w:textAlignment w:val="center"/>
              <w:rPr>
                <w:rStyle w:val="25"/>
                <w:lang w:eastAsia="zh-CN" w:bidi="ar"/>
              </w:rPr>
            </w:pPr>
            <w:r>
              <w:rPr>
                <w:rStyle w:val="25"/>
                <w:rFonts w:hint="default"/>
                <w:sz w:val="22"/>
                <w:szCs w:val="22"/>
                <w:lang w:val="en-US" w:eastAsia="zh-CN" w:bidi="ar"/>
              </w:rPr>
              <w:t>广东坤达、广东三凌、广东建通、祥云科创、红安瑞通</w:t>
            </w:r>
            <w:r>
              <w:rPr>
                <w:rStyle w:val="25"/>
              </w:rPr>
              <w:t>等知名品牌</w:t>
            </w:r>
          </w:p>
        </w:tc>
      </w:tr>
      <w:tr w14:paraId="3DD3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DDFF77">
            <w:pPr>
              <w:keepNext w:val="0"/>
              <w:keepLines w:val="0"/>
              <w:widowControl/>
              <w:suppressLineNumbers w:val="0"/>
              <w:jc w:val="center"/>
              <w:textAlignment w:val="center"/>
              <w:rPr>
                <w:rStyle w:val="25"/>
                <w:lang w:eastAsia="zh-CN" w:bidi="ar"/>
              </w:rPr>
            </w:pPr>
            <w:r>
              <w:rPr>
                <w:rStyle w:val="25"/>
              </w:rPr>
              <w:t>34</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95623B8">
            <w:pPr>
              <w:keepNext w:val="0"/>
              <w:keepLines w:val="0"/>
              <w:widowControl/>
              <w:suppressLineNumbers w:val="0"/>
              <w:jc w:val="center"/>
              <w:textAlignment w:val="center"/>
              <w:rPr>
                <w:rStyle w:val="25"/>
                <w:lang w:eastAsia="zh-CN" w:bidi="ar"/>
              </w:rPr>
            </w:pPr>
            <w:r>
              <w:rPr>
                <w:rStyle w:val="25"/>
              </w:rPr>
              <w:t>室外消火栓、室内消火栓、灭火器、湿式报警阀、水流</w:t>
            </w:r>
            <w:r>
              <w:rPr>
                <w:rStyle w:val="25"/>
              </w:rPr>
              <w:br w:type="textWrapping"/>
            </w:r>
            <w:r>
              <w:rPr>
                <w:rStyle w:val="25"/>
              </w:rPr>
              <w:t>指示器、水泵接合器等消防</w:t>
            </w:r>
            <w:r>
              <w:rPr>
                <w:rStyle w:val="25"/>
              </w:rPr>
              <w:br w:type="textWrapping"/>
            </w:r>
            <w:r>
              <w:rPr>
                <w:rStyle w:val="25"/>
              </w:rPr>
              <w:t xml:space="preserve">    产品</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145E36A4">
            <w:pPr>
              <w:keepNext w:val="0"/>
              <w:keepLines w:val="0"/>
              <w:widowControl/>
              <w:suppressLineNumbers w:val="0"/>
              <w:jc w:val="center"/>
              <w:textAlignment w:val="center"/>
              <w:rPr>
                <w:rStyle w:val="25"/>
                <w:lang w:eastAsia="zh-CN" w:bidi="ar"/>
              </w:rPr>
            </w:pPr>
            <w:r>
              <w:rPr>
                <w:rStyle w:val="25"/>
              </w:rPr>
              <w:t>广东平安、上海金盾、广东胜捷、广东天安、福建天广等知名品牌</w:t>
            </w:r>
          </w:p>
        </w:tc>
      </w:tr>
      <w:tr w14:paraId="28CC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2492E9">
            <w:pPr>
              <w:keepNext w:val="0"/>
              <w:keepLines w:val="0"/>
              <w:widowControl/>
              <w:suppressLineNumbers w:val="0"/>
              <w:jc w:val="center"/>
              <w:textAlignment w:val="center"/>
              <w:rPr>
                <w:rStyle w:val="25"/>
                <w:lang w:eastAsia="zh-CN" w:bidi="ar"/>
              </w:rPr>
            </w:pPr>
            <w:r>
              <w:rPr>
                <w:rStyle w:val="25"/>
              </w:rPr>
              <w:t>35</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5BE2AF51">
            <w:pPr>
              <w:keepNext w:val="0"/>
              <w:keepLines w:val="0"/>
              <w:widowControl/>
              <w:suppressLineNumbers w:val="0"/>
              <w:jc w:val="center"/>
              <w:textAlignment w:val="center"/>
              <w:rPr>
                <w:rStyle w:val="25"/>
                <w:lang w:eastAsia="zh-CN" w:bidi="ar"/>
              </w:rPr>
            </w:pPr>
            <w:r>
              <w:rPr>
                <w:rStyle w:val="25"/>
              </w:rPr>
              <w:t>双高筋增强聚乙烯(HDPE)</w:t>
            </w:r>
            <w:r>
              <w:rPr>
                <w:rStyle w:val="25"/>
              </w:rPr>
              <w:br w:type="textWrapping"/>
            </w:r>
            <w:r>
              <w:rPr>
                <w:rStyle w:val="25"/>
              </w:rPr>
              <w:t xml:space="preserve">   缠绕管</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33B07183">
            <w:pPr>
              <w:keepNext w:val="0"/>
              <w:keepLines w:val="0"/>
              <w:widowControl/>
              <w:suppressLineNumbers w:val="0"/>
              <w:jc w:val="center"/>
              <w:textAlignment w:val="center"/>
              <w:rPr>
                <w:rStyle w:val="25"/>
                <w:lang w:eastAsia="zh-CN" w:bidi="ar"/>
              </w:rPr>
            </w:pPr>
            <w:r>
              <w:rPr>
                <w:rStyle w:val="25"/>
                <w:rFonts w:hint="default"/>
                <w:sz w:val="22"/>
                <w:szCs w:val="22"/>
                <w:lang w:val="en-US" w:eastAsia="zh-CN" w:bidi="ar"/>
              </w:rPr>
              <w:t>广东坤达、广东三凌、广东建通、祥云科创、红安瑞通</w:t>
            </w:r>
            <w:r>
              <w:rPr>
                <w:rStyle w:val="25"/>
              </w:rPr>
              <w:t>等知名品牌</w:t>
            </w:r>
          </w:p>
        </w:tc>
      </w:tr>
      <w:tr w14:paraId="13AD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286DC7">
            <w:pPr>
              <w:keepNext w:val="0"/>
              <w:keepLines w:val="0"/>
              <w:widowControl/>
              <w:suppressLineNumbers w:val="0"/>
              <w:jc w:val="center"/>
              <w:textAlignment w:val="center"/>
              <w:rPr>
                <w:rStyle w:val="25"/>
                <w:lang w:eastAsia="zh-CN" w:bidi="ar"/>
              </w:rPr>
            </w:pPr>
            <w:r>
              <w:rPr>
                <w:rStyle w:val="25"/>
              </w:rPr>
              <w:t>36</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DB343F6">
            <w:pPr>
              <w:keepNext w:val="0"/>
              <w:keepLines w:val="0"/>
              <w:widowControl/>
              <w:suppressLineNumbers w:val="0"/>
              <w:jc w:val="center"/>
              <w:textAlignment w:val="center"/>
              <w:rPr>
                <w:rStyle w:val="25"/>
                <w:lang w:eastAsia="zh-CN" w:bidi="ar"/>
              </w:rPr>
            </w:pPr>
            <w:r>
              <w:rPr>
                <w:rStyle w:val="25"/>
              </w:rPr>
              <w:t>火灾自动报警设备及消防联</w:t>
            </w:r>
            <w:r>
              <w:rPr>
                <w:rStyle w:val="25"/>
              </w:rPr>
              <w:br w:type="textWrapping"/>
            </w:r>
            <w:r>
              <w:rPr>
                <w:rStyle w:val="25"/>
              </w:rPr>
              <w:t>动控制设备</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4AACF3E9">
            <w:pPr>
              <w:keepNext w:val="0"/>
              <w:keepLines w:val="0"/>
              <w:widowControl/>
              <w:suppressLineNumbers w:val="0"/>
              <w:jc w:val="center"/>
              <w:textAlignment w:val="center"/>
              <w:rPr>
                <w:rStyle w:val="25"/>
                <w:lang w:eastAsia="zh-CN" w:bidi="ar"/>
              </w:rPr>
            </w:pPr>
            <w:r>
              <w:rPr>
                <w:rStyle w:val="25"/>
              </w:rPr>
              <w:t>深圳市泛海三江、海湾安全、爱德华等知名品牌</w:t>
            </w:r>
          </w:p>
        </w:tc>
      </w:tr>
      <w:tr w14:paraId="4CE8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B7C664">
            <w:pPr>
              <w:keepNext w:val="0"/>
              <w:keepLines w:val="0"/>
              <w:widowControl/>
              <w:suppressLineNumbers w:val="0"/>
              <w:jc w:val="center"/>
              <w:textAlignment w:val="center"/>
              <w:rPr>
                <w:rStyle w:val="25"/>
                <w:lang w:eastAsia="zh-CN" w:bidi="ar"/>
              </w:rPr>
            </w:pPr>
            <w:r>
              <w:rPr>
                <w:rStyle w:val="25"/>
              </w:rPr>
              <w:t>37</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39C61B2">
            <w:pPr>
              <w:keepNext w:val="0"/>
              <w:keepLines w:val="0"/>
              <w:widowControl/>
              <w:suppressLineNumbers w:val="0"/>
              <w:jc w:val="center"/>
              <w:textAlignment w:val="center"/>
              <w:rPr>
                <w:rStyle w:val="25"/>
                <w:lang w:eastAsia="zh-CN" w:bidi="ar"/>
              </w:rPr>
            </w:pPr>
            <w:r>
              <w:rPr>
                <w:rStyle w:val="25"/>
                <w:lang w:val="en-US" w:eastAsia="zh-CN" w:bidi="ar"/>
              </w:rPr>
              <w:t>管理服务器</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65720ADA">
            <w:pPr>
              <w:keepNext w:val="0"/>
              <w:keepLines w:val="0"/>
              <w:widowControl/>
              <w:suppressLineNumbers w:val="0"/>
              <w:jc w:val="center"/>
              <w:textAlignment w:val="center"/>
              <w:rPr>
                <w:rStyle w:val="25"/>
                <w:lang w:eastAsia="zh-CN" w:bidi="ar"/>
              </w:rPr>
            </w:pPr>
            <w:r>
              <w:rPr>
                <w:rStyle w:val="25"/>
                <w:rFonts w:hint="default"/>
                <w:sz w:val="22"/>
                <w:szCs w:val="22"/>
                <w:lang w:val="en-US" w:eastAsia="zh-CN" w:bidi="ar"/>
              </w:rPr>
              <w:t>浪潮、华为、戴尔、惠普</w:t>
            </w:r>
            <w:r>
              <w:rPr>
                <w:rStyle w:val="25"/>
              </w:rPr>
              <w:t>等知名品牌</w:t>
            </w:r>
          </w:p>
        </w:tc>
      </w:tr>
      <w:tr w14:paraId="36BD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459E83">
            <w:pPr>
              <w:keepNext w:val="0"/>
              <w:keepLines w:val="0"/>
              <w:widowControl/>
              <w:suppressLineNumbers w:val="0"/>
              <w:jc w:val="center"/>
              <w:textAlignment w:val="center"/>
              <w:rPr>
                <w:rStyle w:val="25"/>
                <w:lang w:eastAsia="zh-CN" w:bidi="ar"/>
              </w:rPr>
            </w:pPr>
            <w:r>
              <w:rPr>
                <w:rStyle w:val="25"/>
              </w:rPr>
              <w:t>38</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D2568DF">
            <w:pPr>
              <w:keepNext w:val="0"/>
              <w:keepLines w:val="0"/>
              <w:widowControl/>
              <w:suppressLineNumbers w:val="0"/>
              <w:jc w:val="center"/>
              <w:textAlignment w:val="center"/>
              <w:rPr>
                <w:rStyle w:val="25"/>
                <w:lang w:eastAsia="zh-CN" w:bidi="ar"/>
              </w:rPr>
            </w:pPr>
            <w:r>
              <w:rPr>
                <w:rStyle w:val="25"/>
                <w:lang w:val="en-US" w:eastAsia="zh-CN" w:bidi="ar"/>
              </w:rPr>
              <w:t>交换机</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46E91D77">
            <w:pPr>
              <w:keepNext w:val="0"/>
              <w:keepLines w:val="0"/>
              <w:widowControl/>
              <w:suppressLineNumbers w:val="0"/>
              <w:jc w:val="center"/>
              <w:textAlignment w:val="center"/>
              <w:rPr>
                <w:rStyle w:val="25"/>
                <w:lang w:eastAsia="zh-CN" w:bidi="ar"/>
              </w:rPr>
            </w:pPr>
            <w:r>
              <w:rPr>
                <w:rStyle w:val="25"/>
                <w:rFonts w:hint="default"/>
                <w:sz w:val="22"/>
                <w:szCs w:val="22"/>
                <w:lang w:val="en-US" w:eastAsia="zh-CN" w:bidi="ar"/>
              </w:rPr>
              <w:t>华为、华三(H3C)、浪思</w:t>
            </w:r>
            <w:r>
              <w:rPr>
                <w:rStyle w:val="25"/>
              </w:rPr>
              <w:t>等知名品牌</w:t>
            </w:r>
          </w:p>
        </w:tc>
      </w:tr>
      <w:tr w14:paraId="022C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7E3061">
            <w:pPr>
              <w:keepNext w:val="0"/>
              <w:keepLines w:val="0"/>
              <w:widowControl/>
              <w:suppressLineNumbers w:val="0"/>
              <w:jc w:val="center"/>
              <w:textAlignment w:val="center"/>
              <w:rPr>
                <w:rStyle w:val="25"/>
                <w:lang w:eastAsia="zh-CN" w:bidi="ar"/>
              </w:rPr>
            </w:pPr>
            <w:r>
              <w:rPr>
                <w:rStyle w:val="25"/>
              </w:rPr>
              <w:t>41</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3D6F226">
            <w:pPr>
              <w:keepNext w:val="0"/>
              <w:keepLines w:val="0"/>
              <w:widowControl/>
              <w:suppressLineNumbers w:val="0"/>
              <w:jc w:val="center"/>
              <w:textAlignment w:val="center"/>
              <w:rPr>
                <w:rStyle w:val="25"/>
                <w:lang w:eastAsia="zh-CN" w:bidi="ar"/>
              </w:rPr>
            </w:pPr>
            <w:r>
              <w:rPr>
                <w:rStyle w:val="25"/>
                <w:lang w:val="en-US" w:eastAsia="zh-CN" w:bidi="ar"/>
              </w:rPr>
              <w:t>视频监控存储</w:t>
            </w:r>
            <w:r>
              <w:rPr>
                <w:rStyle w:val="25"/>
                <w:lang w:val="en-US" w:eastAsia="zh-CN" w:bidi="ar"/>
              </w:rPr>
              <w:br w:type="textWrapping"/>
            </w:r>
            <w:r>
              <w:rPr>
                <w:rStyle w:val="25"/>
                <w:lang w:val="en-US" w:eastAsia="zh-CN" w:bidi="ar"/>
              </w:rPr>
              <w:t>管理服务器</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7DBE3F8A">
            <w:pPr>
              <w:keepNext w:val="0"/>
              <w:keepLines w:val="0"/>
              <w:widowControl/>
              <w:suppressLineNumbers w:val="0"/>
              <w:jc w:val="center"/>
              <w:textAlignment w:val="center"/>
              <w:rPr>
                <w:rStyle w:val="25"/>
                <w:lang w:eastAsia="zh-CN" w:bidi="ar"/>
              </w:rPr>
            </w:pPr>
            <w:r>
              <w:rPr>
                <w:rStyle w:val="25"/>
                <w:rFonts w:hint="default"/>
                <w:sz w:val="22"/>
                <w:szCs w:val="22"/>
                <w:lang w:val="en-US" w:eastAsia="zh-CN" w:bidi="ar"/>
              </w:rPr>
              <w:t>海康威视、浙江大华、华为</w:t>
            </w:r>
            <w:r>
              <w:rPr>
                <w:rStyle w:val="25"/>
              </w:rPr>
              <w:t>等知名品牌</w:t>
            </w:r>
          </w:p>
        </w:tc>
      </w:tr>
      <w:tr w14:paraId="56C4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88E357">
            <w:pPr>
              <w:keepNext w:val="0"/>
              <w:keepLines w:val="0"/>
              <w:widowControl/>
              <w:suppressLineNumbers w:val="0"/>
              <w:jc w:val="center"/>
              <w:textAlignment w:val="center"/>
              <w:rPr>
                <w:rStyle w:val="25"/>
                <w:lang w:eastAsia="zh-CN" w:bidi="ar"/>
              </w:rPr>
            </w:pPr>
            <w:r>
              <w:rPr>
                <w:rStyle w:val="25"/>
              </w:rPr>
              <w:t>42</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0B8B814">
            <w:pPr>
              <w:keepNext w:val="0"/>
              <w:keepLines w:val="0"/>
              <w:widowControl/>
              <w:suppressLineNumbers w:val="0"/>
              <w:jc w:val="center"/>
              <w:textAlignment w:val="center"/>
              <w:rPr>
                <w:rStyle w:val="25"/>
                <w:lang w:eastAsia="zh-CN" w:bidi="ar"/>
              </w:rPr>
            </w:pPr>
            <w:r>
              <w:rPr>
                <w:rStyle w:val="25"/>
                <w:lang w:val="en-US" w:eastAsia="zh-CN" w:bidi="ar"/>
              </w:rPr>
              <w:t>摄像机</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526F274B">
            <w:pPr>
              <w:keepNext w:val="0"/>
              <w:keepLines w:val="0"/>
              <w:widowControl/>
              <w:suppressLineNumbers w:val="0"/>
              <w:jc w:val="center"/>
              <w:textAlignment w:val="center"/>
              <w:rPr>
                <w:rStyle w:val="25"/>
                <w:lang w:eastAsia="zh-CN" w:bidi="ar"/>
              </w:rPr>
            </w:pPr>
            <w:r>
              <w:rPr>
                <w:rStyle w:val="25"/>
                <w:rFonts w:hint="default"/>
                <w:sz w:val="22"/>
                <w:szCs w:val="22"/>
                <w:lang w:val="en-US" w:eastAsia="zh-CN" w:bidi="ar"/>
              </w:rPr>
              <w:t>海康威视、浙江大华、华为</w:t>
            </w:r>
            <w:r>
              <w:rPr>
                <w:rStyle w:val="25"/>
              </w:rPr>
              <w:t>等知名品牌</w:t>
            </w:r>
          </w:p>
        </w:tc>
      </w:tr>
      <w:tr w14:paraId="786B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057716">
            <w:pPr>
              <w:keepNext w:val="0"/>
              <w:keepLines w:val="0"/>
              <w:widowControl/>
              <w:suppressLineNumbers w:val="0"/>
              <w:jc w:val="center"/>
              <w:textAlignment w:val="center"/>
              <w:rPr>
                <w:rStyle w:val="25"/>
                <w:lang w:eastAsia="zh-CN" w:bidi="ar"/>
              </w:rPr>
            </w:pPr>
            <w:r>
              <w:rPr>
                <w:rStyle w:val="25"/>
              </w:rPr>
              <w:t>43</w:t>
            </w:r>
          </w:p>
        </w:tc>
        <w:tc>
          <w:tcPr>
            <w:tcW w:w="1968" w:type="dxa"/>
            <w:tcBorders>
              <w:top w:val="single" w:color="000000" w:sz="4" w:space="0"/>
              <w:left w:val="single" w:color="000000" w:sz="4" w:space="0"/>
              <w:bottom w:val="single" w:color="000000" w:sz="4" w:space="0"/>
              <w:right w:val="single" w:color="000000" w:sz="4" w:space="0"/>
            </w:tcBorders>
            <w:noWrap w:val="0"/>
            <w:vAlign w:val="top"/>
          </w:tcPr>
          <w:p w14:paraId="5E1B52BD">
            <w:pPr>
              <w:keepNext w:val="0"/>
              <w:keepLines w:val="0"/>
              <w:widowControl/>
              <w:suppressLineNumbers w:val="0"/>
              <w:jc w:val="center"/>
              <w:textAlignment w:val="center"/>
              <w:rPr>
                <w:rStyle w:val="25"/>
                <w:lang w:eastAsia="zh-CN" w:bidi="ar"/>
              </w:rPr>
            </w:pPr>
            <w:r>
              <w:rPr>
                <w:rStyle w:val="25"/>
                <w:lang w:val="en-US" w:eastAsia="zh-CN" w:bidi="ar"/>
              </w:rPr>
              <w:t>OLT/ONU</w:t>
            </w:r>
          </w:p>
        </w:tc>
        <w:tc>
          <w:tcPr>
            <w:tcW w:w="5161" w:type="dxa"/>
            <w:tcBorders>
              <w:top w:val="single" w:color="000000" w:sz="4" w:space="0"/>
              <w:left w:val="single" w:color="000000" w:sz="4" w:space="0"/>
              <w:bottom w:val="single" w:color="000000" w:sz="4" w:space="0"/>
              <w:right w:val="single" w:color="000000" w:sz="4" w:space="0"/>
            </w:tcBorders>
            <w:noWrap w:val="0"/>
            <w:vAlign w:val="top"/>
          </w:tcPr>
          <w:p w14:paraId="3D439B7B">
            <w:pPr>
              <w:keepNext w:val="0"/>
              <w:keepLines w:val="0"/>
              <w:widowControl/>
              <w:suppressLineNumbers w:val="0"/>
              <w:jc w:val="center"/>
              <w:textAlignment w:val="center"/>
              <w:rPr>
                <w:rStyle w:val="25"/>
                <w:lang w:eastAsia="zh-CN" w:bidi="ar"/>
              </w:rPr>
            </w:pPr>
            <w:r>
              <w:rPr>
                <w:rStyle w:val="25"/>
                <w:rFonts w:hint="default"/>
                <w:sz w:val="22"/>
                <w:szCs w:val="22"/>
                <w:lang w:val="en-US" w:eastAsia="zh-CN" w:bidi="ar"/>
              </w:rPr>
              <w:t>中兴、华为、烽火通信</w:t>
            </w:r>
            <w:r>
              <w:rPr>
                <w:rStyle w:val="25"/>
              </w:rPr>
              <w:t>等知名品牌</w:t>
            </w:r>
          </w:p>
        </w:tc>
      </w:tr>
      <w:tr w14:paraId="5110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5AEA9F">
            <w:pPr>
              <w:keepNext w:val="0"/>
              <w:keepLines w:val="0"/>
              <w:widowControl/>
              <w:suppressLineNumbers w:val="0"/>
              <w:jc w:val="center"/>
              <w:textAlignment w:val="center"/>
              <w:rPr>
                <w:rStyle w:val="25"/>
                <w:lang w:eastAsia="zh-CN" w:bidi="ar"/>
              </w:rPr>
            </w:pPr>
            <w:r>
              <w:rPr>
                <w:rStyle w:val="25"/>
              </w:rPr>
              <w:t>44</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6BF49B43">
            <w:pPr>
              <w:keepNext w:val="0"/>
              <w:keepLines w:val="0"/>
              <w:widowControl/>
              <w:suppressLineNumbers w:val="0"/>
              <w:jc w:val="center"/>
              <w:textAlignment w:val="center"/>
              <w:rPr>
                <w:rStyle w:val="25"/>
                <w:lang w:eastAsia="zh-CN" w:bidi="ar"/>
              </w:rPr>
            </w:pPr>
            <w:r>
              <w:rPr>
                <w:rStyle w:val="25"/>
                <w:lang w:val="en-US" w:eastAsia="zh-CN" w:bidi="ar"/>
              </w:rPr>
              <w:t>分光器、光缆、</w:t>
            </w:r>
            <w:r>
              <w:rPr>
                <w:rStyle w:val="25"/>
                <w:lang w:val="en-US" w:eastAsia="zh-CN" w:bidi="ar"/>
              </w:rPr>
              <w:br w:type="textWrapping"/>
            </w:r>
            <w:r>
              <w:rPr>
                <w:rStyle w:val="25"/>
                <w:lang w:val="en-US" w:eastAsia="zh-CN" w:bidi="ar"/>
              </w:rPr>
              <w:t>光纤配线架、</w:t>
            </w:r>
            <w:r>
              <w:rPr>
                <w:rStyle w:val="25"/>
                <w:lang w:val="en-US" w:eastAsia="zh-CN" w:bidi="ar"/>
              </w:rPr>
              <w:br w:type="textWrapping"/>
            </w:r>
            <w:r>
              <w:rPr>
                <w:rStyle w:val="25"/>
                <w:lang w:val="en-US" w:eastAsia="zh-CN" w:bidi="ar"/>
              </w:rPr>
              <w:t>室外光纤分线</w:t>
            </w:r>
            <w:r>
              <w:rPr>
                <w:rStyle w:val="25"/>
                <w:lang w:val="en-US" w:eastAsia="zh-CN" w:bidi="ar"/>
              </w:rPr>
              <w:br w:type="textWrapping"/>
            </w:r>
            <w:r>
              <w:rPr>
                <w:rStyle w:val="25"/>
                <w:lang w:val="en-US" w:eastAsia="zh-CN" w:bidi="ar"/>
              </w:rPr>
              <w:t>箱</w:t>
            </w:r>
          </w:p>
        </w:tc>
        <w:tc>
          <w:tcPr>
            <w:tcW w:w="5161" w:type="dxa"/>
            <w:tcBorders>
              <w:top w:val="single" w:color="000000" w:sz="4" w:space="0"/>
              <w:left w:val="single" w:color="000000" w:sz="4" w:space="0"/>
              <w:bottom w:val="single" w:color="000000" w:sz="4" w:space="0"/>
              <w:right w:val="single" w:color="000000" w:sz="4" w:space="0"/>
            </w:tcBorders>
            <w:noWrap w:val="0"/>
            <w:vAlign w:val="center"/>
          </w:tcPr>
          <w:p w14:paraId="73227D23">
            <w:pPr>
              <w:keepNext w:val="0"/>
              <w:keepLines w:val="0"/>
              <w:widowControl/>
              <w:suppressLineNumbers w:val="0"/>
              <w:jc w:val="center"/>
              <w:textAlignment w:val="center"/>
              <w:rPr>
                <w:rStyle w:val="25"/>
                <w:lang w:eastAsia="zh-CN" w:bidi="ar"/>
              </w:rPr>
            </w:pPr>
            <w:r>
              <w:rPr>
                <w:rStyle w:val="25"/>
                <w:rFonts w:hint="default"/>
                <w:sz w:val="22"/>
                <w:szCs w:val="22"/>
                <w:lang w:val="en-US" w:eastAsia="zh-CN" w:bidi="ar"/>
              </w:rPr>
              <w:t>中天宽带、江苏亨通、烽火通信</w:t>
            </w:r>
            <w:r>
              <w:rPr>
                <w:rStyle w:val="25"/>
              </w:rPr>
              <w:t>等知名品牌</w:t>
            </w:r>
          </w:p>
        </w:tc>
      </w:tr>
      <w:tr w14:paraId="0490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3"/>
            <w:tcBorders>
              <w:top w:val="nil"/>
              <w:left w:val="nil"/>
              <w:bottom w:val="nil"/>
              <w:right w:val="nil"/>
            </w:tcBorders>
            <w:noWrap/>
            <w:vAlign w:val="center"/>
          </w:tcPr>
          <w:p w14:paraId="66A6EC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注：未列明部分材料和设备应选用国内知名品牌或生产商；以上品牌最终选取需征求监理单位及发包人意见同意后方可施行，确保质量和进度可控。</w:t>
            </w:r>
          </w:p>
        </w:tc>
      </w:tr>
    </w:tbl>
    <w:p w14:paraId="7EC1D1DC">
      <w:pPr>
        <w:spacing w:line="367" w:lineRule="auto"/>
        <w:rPr>
          <w:rFonts w:ascii="宋体" w:hAnsi="宋体" w:eastAsia="宋体" w:cs="宋体"/>
          <w:sz w:val="18"/>
          <w:szCs w:val="18"/>
        </w:rPr>
        <w:sectPr>
          <w:headerReference r:id="rId11" w:type="default"/>
          <w:footerReference r:id="rId12" w:type="default"/>
          <w:pgSz w:w="11900" w:h="16839"/>
          <w:pgMar w:top="936" w:right="1336" w:bottom="856" w:left="1417" w:header="659" w:footer="622" w:gutter="0"/>
          <w:pgNumType w:fmt="decimal"/>
          <w:cols w:space="720" w:num="1"/>
        </w:sectPr>
      </w:pPr>
      <w:r>
        <w:pict>
          <v:shape id="_x0000_s1114" o:spid="_x0000_s1114" style="position:absolute;left:0pt;margin-left:0pt;margin-top:16.5pt;height:0pt;width:144pt;z-index:251659264;mso-width-relative:page;mso-height-relative:page;" filled="f" stroked="t" coordsize="2880,0" path="m0,0l2880,0e">
            <v:fill on="f" focussize="0,0"/>
            <v:stroke weight="0pt" color="#000000" miterlimit="0" joinstyle="bevel" endcap="square"/>
            <v:imagedata o:title=""/>
            <o:lock v:ext="edit"/>
          </v:shape>
        </w:pict>
      </w:r>
    </w:p>
    <w:p w14:paraId="13A212A1">
      <w:pPr>
        <w:spacing w:line="353" w:lineRule="auto"/>
        <w:rPr>
          <w:rFonts w:ascii="Arial"/>
          <w:sz w:val="21"/>
        </w:rPr>
      </w:pPr>
    </w:p>
    <w:p w14:paraId="2FE57B55">
      <w:pPr>
        <w:spacing w:line="354" w:lineRule="auto"/>
        <w:rPr>
          <w:rFonts w:ascii="Arial"/>
          <w:sz w:val="21"/>
        </w:rPr>
      </w:pPr>
    </w:p>
    <w:p w14:paraId="56E08B69">
      <w:pPr>
        <w:spacing w:before="78" w:line="219" w:lineRule="auto"/>
        <w:ind w:left="481"/>
        <w:rPr>
          <w:rFonts w:ascii="宋体" w:hAnsi="宋体" w:eastAsia="宋体" w:cs="宋体"/>
          <w:sz w:val="24"/>
          <w:szCs w:val="24"/>
        </w:rPr>
      </w:pPr>
      <w:r>
        <w:rPr>
          <w:rFonts w:ascii="宋体" w:hAnsi="宋体" w:eastAsia="宋体" w:cs="宋体"/>
          <w:b/>
          <w:bCs/>
          <w:spacing w:val="-4"/>
          <w:sz w:val="24"/>
          <w:szCs w:val="24"/>
        </w:rPr>
        <w:t>附件十</w:t>
      </w:r>
      <w:r>
        <w:rPr>
          <w:rFonts w:hint="eastAsia" w:ascii="宋体" w:hAnsi="宋体" w:eastAsia="宋体" w:cs="宋体"/>
          <w:b/>
          <w:bCs/>
          <w:spacing w:val="-4"/>
          <w:sz w:val="24"/>
          <w:szCs w:val="24"/>
          <w:lang w:val="en-US" w:eastAsia="zh-CN"/>
        </w:rPr>
        <w:t>四</w:t>
      </w:r>
      <w:r>
        <w:rPr>
          <w:rFonts w:ascii="宋体" w:hAnsi="宋体" w:eastAsia="宋体" w:cs="宋体"/>
          <w:b/>
          <w:bCs/>
          <w:spacing w:val="-4"/>
          <w:sz w:val="24"/>
          <w:szCs w:val="24"/>
        </w:rPr>
        <w:t>：承包人违约金一览表</w:t>
      </w:r>
    </w:p>
    <w:p w14:paraId="4CC4EB59">
      <w:pPr>
        <w:spacing w:line="311" w:lineRule="auto"/>
        <w:rPr>
          <w:rFonts w:ascii="Arial"/>
          <w:sz w:val="21"/>
        </w:rPr>
      </w:pPr>
    </w:p>
    <w:p w14:paraId="3C2D99A7">
      <w:pPr>
        <w:spacing w:before="97" w:line="234" w:lineRule="auto"/>
        <w:ind w:left="3568"/>
        <w:rPr>
          <w:rFonts w:ascii="宋体" w:hAnsi="宋体" w:eastAsia="宋体" w:cs="宋体"/>
          <w:sz w:val="14"/>
          <w:szCs w:val="14"/>
        </w:rPr>
      </w:pPr>
      <w:r>
        <w:rPr>
          <w:rFonts w:ascii="宋体" w:hAnsi="宋体" w:eastAsia="宋体" w:cs="宋体"/>
          <w:b/>
          <w:bCs/>
          <w:spacing w:val="-3"/>
          <w:sz w:val="30"/>
          <w:szCs w:val="30"/>
        </w:rPr>
        <w:t>承包人违约金一览表</w:t>
      </w:r>
      <w:r>
        <w:fldChar w:fldCharType="begin"/>
      </w:r>
      <w:r>
        <w:instrText xml:space="preserve"> HYPERLINK \l "bookmark169" </w:instrText>
      </w:r>
      <w:r>
        <w:fldChar w:fldCharType="separate"/>
      </w:r>
      <w:r>
        <w:rPr>
          <w:rFonts w:ascii="宋体" w:hAnsi="宋体" w:eastAsia="宋体" w:cs="宋体"/>
          <w:b/>
          <w:bCs/>
          <w:spacing w:val="-3"/>
          <w:position w:val="14"/>
          <w:sz w:val="14"/>
          <w:szCs w:val="14"/>
        </w:rPr>
        <w:t>①</w:t>
      </w:r>
      <w:r>
        <w:rPr>
          <w:rFonts w:ascii="宋体" w:hAnsi="宋体" w:eastAsia="宋体" w:cs="宋体"/>
          <w:b/>
          <w:bCs/>
          <w:spacing w:val="-3"/>
          <w:position w:val="14"/>
          <w:sz w:val="14"/>
          <w:szCs w:val="14"/>
        </w:rPr>
        <w:fldChar w:fldCharType="end"/>
      </w:r>
    </w:p>
    <w:p w14:paraId="7D6A5E7C">
      <w:pPr>
        <w:spacing w:before="60"/>
      </w:pPr>
    </w:p>
    <w:tbl>
      <w:tblPr>
        <w:tblStyle w:val="15"/>
        <w:tblW w:w="9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827"/>
        <w:gridCol w:w="817"/>
        <w:gridCol w:w="1979"/>
        <w:gridCol w:w="3344"/>
        <w:gridCol w:w="1103"/>
        <w:gridCol w:w="1284"/>
      </w:tblGrid>
      <w:tr w14:paraId="6E4DD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43" w:type="dxa"/>
            <w:gridSpan w:val="2"/>
            <w:vMerge w:val="restart"/>
            <w:tcBorders>
              <w:bottom w:val="nil"/>
            </w:tcBorders>
            <w:vAlign w:val="top"/>
          </w:tcPr>
          <w:p w14:paraId="7046A111">
            <w:pPr>
              <w:spacing w:line="402" w:lineRule="auto"/>
              <w:rPr>
                <w:rFonts w:ascii="Arial"/>
                <w:sz w:val="21"/>
              </w:rPr>
            </w:pPr>
          </w:p>
          <w:p w14:paraId="05C5C576">
            <w:pPr>
              <w:pStyle w:val="16"/>
              <w:spacing w:before="65" w:line="228" w:lineRule="auto"/>
              <w:ind w:left="516"/>
            </w:pPr>
            <w:r>
              <w:rPr>
                <w:spacing w:val="4"/>
              </w:rPr>
              <w:t>类别</w:t>
            </w:r>
          </w:p>
        </w:tc>
        <w:tc>
          <w:tcPr>
            <w:tcW w:w="817" w:type="dxa"/>
            <w:vMerge w:val="restart"/>
            <w:tcBorders>
              <w:bottom w:val="nil"/>
            </w:tcBorders>
            <w:vAlign w:val="top"/>
          </w:tcPr>
          <w:p w14:paraId="79F5803E">
            <w:pPr>
              <w:spacing w:line="402" w:lineRule="auto"/>
              <w:rPr>
                <w:rFonts w:ascii="Arial"/>
                <w:sz w:val="21"/>
              </w:rPr>
            </w:pPr>
          </w:p>
          <w:p w14:paraId="5F6628A2">
            <w:pPr>
              <w:pStyle w:val="16"/>
              <w:spacing w:before="65" w:line="228" w:lineRule="auto"/>
              <w:ind w:left="203"/>
            </w:pPr>
            <w:r>
              <w:rPr>
                <w:spacing w:val="3"/>
              </w:rPr>
              <w:t>编号</w:t>
            </w:r>
          </w:p>
        </w:tc>
        <w:tc>
          <w:tcPr>
            <w:tcW w:w="5323" w:type="dxa"/>
            <w:gridSpan w:val="2"/>
            <w:vMerge w:val="restart"/>
            <w:tcBorders>
              <w:bottom w:val="nil"/>
            </w:tcBorders>
            <w:vAlign w:val="top"/>
          </w:tcPr>
          <w:p w14:paraId="219D4180">
            <w:pPr>
              <w:spacing w:line="402" w:lineRule="auto"/>
              <w:rPr>
                <w:rFonts w:ascii="Arial"/>
                <w:sz w:val="21"/>
              </w:rPr>
            </w:pPr>
          </w:p>
          <w:p w14:paraId="7F7A0797">
            <w:pPr>
              <w:pStyle w:val="16"/>
              <w:spacing w:before="65" w:line="228" w:lineRule="auto"/>
              <w:ind w:left="2245"/>
            </w:pPr>
            <w:r>
              <w:rPr>
                <w:spacing w:val="7"/>
              </w:rPr>
              <w:t>违约内容</w:t>
            </w:r>
          </w:p>
        </w:tc>
        <w:tc>
          <w:tcPr>
            <w:tcW w:w="2387" w:type="dxa"/>
            <w:gridSpan w:val="2"/>
            <w:vAlign w:val="top"/>
          </w:tcPr>
          <w:p w14:paraId="0DBFBC38">
            <w:pPr>
              <w:pStyle w:val="16"/>
              <w:spacing w:before="183" w:line="228" w:lineRule="auto"/>
              <w:ind w:left="673"/>
            </w:pPr>
            <w:r>
              <w:rPr>
                <w:spacing w:val="8"/>
              </w:rPr>
              <w:t>违约金标准</w:t>
            </w:r>
          </w:p>
        </w:tc>
      </w:tr>
      <w:tr w14:paraId="0D858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43" w:type="dxa"/>
            <w:gridSpan w:val="2"/>
            <w:vMerge w:val="continue"/>
            <w:tcBorders>
              <w:top w:val="nil"/>
            </w:tcBorders>
            <w:vAlign w:val="top"/>
          </w:tcPr>
          <w:p w14:paraId="21024AAD">
            <w:pPr>
              <w:rPr>
                <w:rFonts w:ascii="Arial"/>
                <w:sz w:val="21"/>
              </w:rPr>
            </w:pPr>
          </w:p>
        </w:tc>
        <w:tc>
          <w:tcPr>
            <w:tcW w:w="817" w:type="dxa"/>
            <w:vMerge w:val="continue"/>
            <w:tcBorders>
              <w:top w:val="nil"/>
            </w:tcBorders>
            <w:vAlign w:val="top"/>
          </w:tcPr>
          <w:p w14:paraId="5992D099">
            <w:pPr>
              <w:rPr>
                <w:rFonts w:ascii="Arial"/>
                <w:sz w:val="21"/>
              </w:rPr>
            </w:pPr>
          </w:p>
        </w:tc>
        <w:tc>
          <w:tcPr>
            <w:tcW w:w="5323" w:type="dxa"/>
            <w:gridSpan w:val="2"/>
            <w:vMerge w:val="continue"/>
            <w:tcBorders>
              <w:top w:val="nil"/>
            </w:tcBorders>
            <w:vAlign w:val="top"/>
          </w:tcPr>
          <w:p w14:paraId="531DE3A5">
            <w:pPr>
              <w:rPr>
                <w:rFonts w:ascii="Arial"/>
                <w:sz w:val="21"/>
              </w:rPr>
            </w:pPr>
          </w:p>
        </w:tc>
        <w:tc>
          <w:tcPr>
            <w:tcW w:w="1103" w:type="dxa"/>
            <w:vAlign w:val="top"/>
          </w:tcPr>
          <w:p w14:paraId="07CDB31C">
            <w:pPr>
              <w:pStyle w:val="16"/>
              <w:spacing w:before="178" w:line="228" w:lineRule="auto"/>
              <w:ind w:left="351"/>
            </w:pPr>
            <w:r>
              <w:rPr>
                <w:spacing w:val="3"/>
              </w:rPr>
              <w:t>单位</w:t>
            </w:r>
          </w:p>
        </w:tc>
        <w:tc>
          <w:tcPr>
            <w:tcW w:w="1284" w:type="dxa"/>
            <w:vAlign w:val="top"/>
          </w:tcPr>
          <w:p w14:paraId="1E360376">
            <w:pPr>
              <w:pStyle w:val="16"/>
              <w:spacing w:before="177" w:line="228" w:lineRule="auto"/>
              <w:ind w:left="439"/>
            </w:pPr>
            <w:r>
              <w:rPr>
                <w:spacing w:val="3"/>
              </w:rPr>
              <w:t>金额</w:t>
            </w:r>
          </w:p>
        </w:tc>
      </w:tr>
      <w:tr w14:paraId="06158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restart"/>
            <w:tcBorders>
              <w:bottom w:val="nil"/>
            </w:tcBorders>
            <w:vAlign w:val="top"/>
          </w:tcPr>
          <w:p w14:paraId="4B28605E">
            <w:pPr>
              <w:spacing w:line="241" w:lineRule="auto"/>
              <w:rPr>
                <w:rFonts w:ascii="Arial"/>
                <w:sz w:val="21"/>
              </w:rPr>
            </w:pPr>
          </w:p>
          <w:p w14:paraId="435BDE28">
            <w:pPr>
              <w:spacing w:line="241" w:lineRule="auto"/>
              <w:rPr>
                <w:rFonts w:ascii="Arial"/>
                <w:sz w:val="21"/>
              </w:rPr>
            </w:pPr>
          </w:p>
          <w:p w14:paraId="009BADE2">
            <w:pPr>
              <w:spacing w:line="241" w:lineRule="auto"/>
              <w:rPr>
                <w:rFonts w:ascii="Arial"/>
                <w:sz w:val="21"/>
              </w:rPr>
            </w:pPr>
          </w:p>
          <w:p w14:paraId="207C644B">
            <w:pPr>
              <w:spacing w:line="241" w:lineRule="auto"/>
              <w:rPr>
                <w:rFonts w:ascii="Arial"/>
                <w:sz w:val="21"/>
              </w:rPr>
            </w:pPr>
          </w:p>
          <w:p w14:paraId="3D6E1199">
            <w:pPr>
              <w:spacing w:line="241" w:lineRule="auto"/>
              <w:rPr>
                <w:rFonts w:ascii="Arial"/>
                <w:sz w:val="21"/>
              </w:rPr>
            </w:pPr>
          </w:p>
          <w:p w14:paraId="573FA9A7">
            <w:pPr>
              <w:spacing w:line="241" w:lineRule="auto"/>
              <w:rPr>
                <w:rFonts w:ascii="Arial"/>
                <w:sz w:val="21"/>
              </w:rPr>
            </w:pPr>
          </w:p>
          <w:p w14:paraId="252C705B">
            <w:pPr>
              <w:spacing w:line="241" w:lineRule="auto"/>
              <w:rPr>
                <w:rFonts w:ascii="Arial"/>
                <w:sz w:val="21"/>
              </w:rPr>
            </w:pPr>
          </w:p>
          <w:p w14:paraId="6C19ACE2">
            <w:pPr>
              <w:spacing w:line="242" w:lineRule="auto"/>
              <w:rPr>
                <w:rFonts w:ascii="Arial"/>
                <w:sz w:val="21"/>
              </w:rPr>
            </w:pPr>
          </w:p>
          <w:p w14:paraId="6A5E6CE8">
            <w:pPr>
              <w:spacing w:line="242" w:lineRule="auto"/>
              <w:rPr>
                <w:rFonts w:ascii="Arial"/>
                <w:sz w:val="21"/>
              </w:rPr>
            </w:pPr>
          </w:p>
          <w:p w14:paraId="31370F5D">
            <w:pPr>
              <w:spacing w:line="242" w:lineRule="auto"/>
              <w:rPr>
                <w:rFonts w:ascii="Arial"/>
                <w:sz w:val="21"/>
              </w:rPr>
            </w:pPr>
          </w:p>
          <w:p w14:paraId="620B4E93">
            <w:pPr>
              <w:spacing w:line="242" w:lineRule="auto"/>
              <w:rPr>
                <w:rFonts w:ascii="Arial"/>
                <w:sz w:val="21"/>
              </w:rPr>
            </w:pPr>
          </w:p>
          <w:p w14:paraId="3390D6A3">
            <w:pPr>
              <w:spacing w:line="242" w:lineRule="auto"/>
              <w:rPr>
                <w:rFonts w:ascii="Arial"/>
                <w:sz w:val="21"/>
              </w:rPr>
            </w:pPr>
          </w:p>
          <w:p w14:paraId="579B4BAD">
            <w:pPr>
              <w:spacing w:line="242" w:lineRule="auto"/>
              <w:rPr>
                <w:rFonts w:ascii="Arial"/>
                <w:sz w:val="21"/>
              </w:rPr>
            </w:pPr>
          </w:p>
          <w:p w14:paraId="121C7A54">
            <w:pPr>
              <w:spacing w:line="242" w:lineRule="auto"/>
              <w:rPr>
                <w:rFonts w:ascii="Arial"/>
                <w:sz w:val="21"/>
              </w:rPr>
            </w:pPr>
          </w:p>
          <w:p w14:paraId="16DEA29E">
            <w:pPr>
              <w:spacing w:line="242" w:lineRule="auto"/>
              <w:rPr>
                <w:rFonts w:ascii="Arial"/>
                <w:sz w:val="21"/>
              </w:rPr>
            </w:pPr>
          </w:p>
          <w:p w14:paraId="0AE0848C">
            <w:pPr>
              <w:spacing w:line="242" w:lineRule="auto"/>
              <w:rPr>
                <w:rFonts w:ascii="Arial"/>
                <w:sz w:val="21"/>
              </w:rPr>
            </w:pPr>
          </w:p>
          <w:p w14:paraId="1BDE0C4D">
            <w:pPr>
              <w:spacing w:line="242" w:lineRule="auto"/>
              <w:rPr>
                <w:rFonts w:ascii="Arial"/>
                <w:sz w:val="21"/>
              </w:rPr>
            </w:pPr>
          </w:p>
          <w:p w14:paraId="7FFBDCF0">
            <w:pPr>
              <w:spacing w:line="242" w:lineRule="auto"/>
              <w:rPr>
                <w:rFonts w:ascii="Arial"/>
                <w:sz w:val="21"/>
              </w:rPr>
            </w:pPr>
          </w:p>
          <w:p w14:paraId="1FDE4000">
            <w:pPr>
              <w:spacing w:line="242" w:lineRule="auto"/>
              <w:rPr>
                <w:rFonts w:ascii="Arial"/>
                <w:sz w:val="21"/>
              </w:rPr>
            </w:pPr>
          </w:p>
          <w:p w14:paraId="0C0EEB5D">
            <w:pPr>
              <w:pStyle w:val="16"/>
              <w:spacing w:before="65" w:line="190" w:lineRule="auto"/>
              <w:ind w:left="203"/>
            </w:pPr>
            <w:r>
              <w:rPr>
                <w:spacing w:val="4"/>
              </w:rPr>
              <w:t>A.</w:t>
            </w:r>
          </w:p>
          <w:p w14:paraId="5704B1EB">
            <w:pPr>
              <w:pStyle w:val="16"/>
              <w:spacing w:before="36" w:line="231" w:lineRule="auto"/>
              <w:ind w:left="210"/>
            </w:pPr>
            <w:r>
              <w:t>合</w:t>
            </w:r>
          </w:p>
          <w:p w14:paraId="545146D4">
            <w:pPr>
              <w:pStyle w:val="16"/>
              <w:spacing w:before="20" w:line="230" w:lineRule="auto"/>
              <w:ind w:left="230"/>
            </w:pPr>
            <w:r>
              <w:t>同</w:t>
            </w:r>
          </w:p>
          <w:p w14:paraId="6D609633">
            <w:pPr>
              <w:pStyle w:val="16"/>
              <w:spacing w:before="24" w:line="228" w:lineRule="auto"/>
              <w:ind w:left="214"/>
            </w:pPr>
            <w:r>
              <w:t>管</w:t>
            </w:r>
          </w:p>
          <w:p w14:paraId="51BB59A1">
            <w:pPr>
              <w:pStyle w:val="16"/>
              <w:spacing w:before="24" w:line="238" w:lineRule="auto"/>
              <w:ind w:left="212"/>
            </w:pPr>
            <w:r>
              <w:t>理</w:t>
            </w:r>
          </w:p>
        </w:tc>
        <w:tc>
          <w:tcPr>
            <w:tcW w:w="827" w:type="dxa"/>
            <w:vMerge w:val="restart"/>
            <w:tcBorders>
              <w:bottom w:val="nil"/>
            </w:tcBorders>
            <w:vAlign w:val="top"/>
          </w:tcPr>
          <w:p w14:paraId="52B1FDC4">
            <w:pPr>
              <w:spacing w:line="274" w:lineRule="auto"/>
              <w:rPr>
                <w:rFonts w:ascii="Arial"/>
                <w:sz w:val="21"/>
              </w:rPr>
            </w:pPr>
          </w:p>
          <w:p w14:paraId="035F2B1D">
            <w:pPr>
              <w:spacing w:line="275" w:lineRule="auto"/>
              <w:rPr>
                <w:rFonts w:ascii="Arial"/>
                <w:sz w:val="21"/>
              </w:rPr>
            </w:pPr>
          </w:p>
          <w:p w14:paraId="43410DC3">
            <w:pPr>
              <w:pStyle w:val="16"/>
              <w:spacing w:before="65" w:line="255" w:lineRule="auto"/>
              <w:ind w:left="116" w:right="113" w:firstLine="16"/>
            </w:pPr>
            <w:r>
              <w:rPr>
                <w:spacing w:val="-4"/>
              </w:rPr>
              <w:t>1.</w:t>
            </w:r>
            <w:r>
              <w:rPr>
                <w:spacing w:val="88"/>
              </w:rPr>
              <w:t xml:space="preserve"> </w:t>
            </w:r>
            <w:r>
              <w:rPr>
                <w:spacing w:val="-4"/>
              </w:rPr>
              <w:t>程</w:t>
            </w:r>
            <w:r>
              <w:t xml:space="preserve"> </w:t>
            </w:r>
            <w:r>
              <w:rPr>
                <w:spacing w:val="1"/>
              </w:rPr>
              <w:t>序</w:t>
            </w:r>
          </w:p>
        </w:tc>
        <w:tc>
          <w:tcPr>
            <w:tcW w:w="817" w:type="dxa"/>
            <w:vAlign w:val="top"/>
          </w:tcPr>
          <w:p w14:paraId="22954F08">
            <w:pPr>
              <w:pStyle w:val="16"/>
              <w:spacing w:before="179" w:line="268" w:lineRule="exact"/>
              <w:ind w:left="111"/>
            </w:pPr>
            <w:r>
              <w:rPr>
                <w:spacing w:val="4"/>
                <w:position w:val="1"/>
              </w:rPr>
              <w:t>A101</w:t>
            </w:r>
          </w:p>
        </w:tc>
        <w:tc>
          <w:tcPr>
            <w:tcW w:w="5323" w:type="dxa"/>
            <w:gridSpan w:val="2"/>
            <w:vAlign w:val="top"/>
          </w:tcPr>
          <w:p w14:paraId="0B562559">
            <w:pPr>
              <w:pStyle w:val="16"/>
              <w:spacing w:before="179" w:line="228" w:lineRule="auto"/>
              <w:ind w:left="116"/>
            </w:pPr>
            <w:r>
              <w:rPr>
                <w:spacing w:val="7"/>
              </w:rPr>
              <w:t>违规分包或转包。</w:t>
            </w:r>
          </w:p>
        </w:tc>
        <w:tc>
          <w:tcPr>
            <w:tcW w:w="1103" w:type="dxa"/>
            <w:vAlign w:val="top"/>
          </w:tcPr>
          <w:p w14:paraId="6FFCA9FB">
            <w:pPr>
              <w:pStyle w:val="16"/>
              <w:spacing w:before="179" w:line="228" w:lineRule="auto"/>
              <w:ind w:left="121"/>
            </w:pPr>
            <w:r>
              <w:rPr>
                <w:spacing w:val="4"/>
              </w:rPr>
              <w:t>元/宗</w:t>
            </w:r>
          </w:p>
        </w:tc>
        <w:tc>
          <w:tcPr>
            <w:tcW w:w="1284" w:type="dxa"/>
            <w:vAlign w:val="top"/>
          </w:tcPr>
          <w:p w14:paraId="6C96CE7C">
            <w:pPr>
              <w:pStyle w:val="16"/>
              <w:spacing w:before="178" w:line="225" w:lineRule="auto"/>
              <w:ind w:left="123"/>
            </w:pPr>
            <w:r>
              <w:rPr>
                <w:spacing w:val="3"/>
              </w:rPr>
              <w:t>2,000,000</w:t>
            </w:r>
          </w:p>
        </w:tc>
      </w:tr>
      <w:tr w14:paraId="33860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36D7F6E6">
            <w:pPr>
              <w:rPr>
                <w:rFonts w:ascii="Arial"/>
                <w:sz w:val="21"/>
              </w:rPr>
            </w:pPr>
          </w:p>
        </w:tc>
        <w:tc>
          <w:tcPr>
            <w:tcW w:w="827" w:type="dxa"/>
            <w:vMerge w:val="continue"/>
            <w:tcBorders>
              <w:top w:val="nil"/>
              <w:bottom w:val="nil"/>
            </w:tcBorders>
            <w:vAlign w:val="top"/>
          </w:tcPr>
          <w:p w14:paraId="1CC79B88">
            <w:pPr>
              <w:rPr>
                <w:rFonts w:ascii="Arial"/>
                <w:sz w:val="21"/>
              </w:rPr>
            </w:pPr>
          </w:p>
        </w:tc>
        <w:tc>
          <w:tcPr>
            <w:tcW w:w="817" w:type="dxa"/>
            <w:vAlign w:val="top"/>
          </w:tcPr>
          <w:p w14:paraId="21606F7F">
            <w:pPr>
              <w:pStyle w:val="16"/>
              <w:spacing w:before="178" w:line="268" w:lineRule="exact"/>
              <w:ind w:left="111"/>
            </w:pPr>
            <w:r>
              <w:rPr>
                <w:spacing w:val="4"/>
                <w:position w:val="1"/>
              </w:rPr>
              <w:t>A102</w:t>
            </w:r>
          </w:p>
        </w:tc>
        <w:tc>
          <w:tcPr>
            <w:tcW w:w="5323" w:type="dxa"/>
            <w:gridSpan w:val="2"/>
            <w:vAlign w:val="top"/>
          </w:tcPr>
          <w:p w14:paraId="468406FC">
            <w:pPr>
              <w:pStyle w:val="16"/>
              <w:spacing w:before="178" w:line="227" w:lineRule="auto"/>
              <w:ind w:left="116"/>
            </w:pPr>
            <w:r>
              <w:rPr>
                <w:spacing w:val="8"/>
              </w:rPr>
              <w:t>对监理人、发包人指令未及时反馈。</w:t>
            </w:r>
          </w:p>
        </w:tc>
        <w:tc>
          <w:tcPr>
            <w:tcW w:w="1103" w:type="dxa"/>
            <w:vAlign w:val="top"/>
          </w:tcPr>
          <w:p w14:paraId="62043AD4">
            <w:pPr>
              <w:pStyle w:val="16"/>
              <w:spacing w:before="177" w:line="228" w:lineRule="auto"/>
              <w:ind w:left="121"/>
            </w:pPr>
            <w:r>
              <w:rPr>
                <w:spacing w:val="4"/>
              </w:rPr>
              <w:t>元/次</w:t>
            </w:r>
          </w:p>
        </w:tc>
        <w:tc>
          <w:tcPr>
            <w:tcW w:w="1284" w:type="dxa"/>
            <w:vAlign w:val="top"/>
          </w:tcPr>
          <w:p w14:paraId="3FA3F6E3">
            <w:pPr>
              <w:pStyle w:val="16"/>
              <w:spacing w:before="177" w:line="225" w:lineRule="auto"/>
              <w:ind w:left="124"/>
            </w:pPr>
            <w:r>
              <w:rPr>
                <w:spacing w:val="2"/>
              </w:rPr>
              <w:t>3,000</w:t>
            </w:r>
          </w:p>
        </w:tc>
      </w:tr>
      <w:tr w14:paraId="702A9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25D69627">
            <w:pPr>
              <w:rPr>
                <w:rFonts w:ascii="Arial"/>
                <w:sz w:val="21"/>
              </w:rPr>
            </w:pPr>
          </w:p>
        </w:tc>
        <w:tc>
          <w:tcPr>
            <w:tcW w:w="827" w:type="dxa"/>
            <w:vMerge w:val="continue"/>
            <w:tcBorders>
              <w:top w:val="nil"/>
            </w:tcBorders>
            <w:vAlign w:val="top"/>
          </w:tcPr>
          <w:p w14:paraId="7716598F">
            <w:pPr>
              <w:rPr>
                <w:rFonts w:ascii="Arial"/>
                <w:sz w:val="21"/>
              </w:rPr>
            </w:pPr>
          </w:p>
        </w:tc>
        <w:tc>
          <w:tcPr>
            <w:tcW w:w="817" w:type="dxa"/>
            <w:vAlign w:val="top"/>
          </w:tcPr>
          <w:p w14:paraId="0E2451DC">
            <w:pPr>
              <w:pStyle w:val="16"/>
              <w:spacing w:before="177" w:line="268" w:lineRule="exact"/>
              <w:ind w:left="111"/>
            </w:pPr>
            <w:r>
              <w:rPr>
                <w:spacing w:val="4"/>
                <w:position w:val="1"/>
              </w:rPr>
              <w:t>A103</w:t>
            </w:r>
          </w:p>
        </w:tc>
        <w:tc>
          <w:tcPr>
            <w:tcW w:w="5323" w:type="dxa"/>
            <w:gridSpan w:val="2"/>
            <w:vAlign w:val="top"/>
          </w:tcPr>
          <w:p w14:paraId="65BE7F69">
            <w:pPr>
              <w:pStyle w:val="16"/>
              <w:spacing w:before="41"/>
              <w:ind w:left="119" w:right="111"/>
            </w:pPr>
            <w:r>
              <w:rPr>
                <w:spacing w:val="12"/>
              </w:rPr>
              <w:t>未经监理人同意，将本工程专用的材料、工程设</w:t>
            </w:r>
            <w:r>
              <w:rPr>
                <w:spacing w:val="11"/>
              </w:rPr>
              <w:t>备、施</w:t>
            </w:r>
            <w:r>
              <w:rPr>
                <w:spacing w:val="8"/>
              </w:rPr>
              <w:t>工设备和临时设施运离场或挪作他用。</w:t>
            </w:r>
          </w:p>
        </w:tc>
        <w:tc>
          <w:tcPr>
            <w:tcW w:w="1103" w:type="dxa"/>
            <w:vAlign w:val="top"/>
          </w:tcPr>
          <w:p w14:paraId="64398880">
            <w:pPr>
              <w:pStyle w:val="16"/>
              <w:spacing w:before="177" w:line="228" w:lineRule="auto"/>
              <w:ind w:left="121"/>
            </w:pPr>
            <w:r>
              <w:rPr>
                <w:spacing w:val="4"/>
              </w:rPr>
              <w:t>元/宗</w:t>
            </w:r>
          </w:p>
        </w:tc>
        <w:tc>
          <w:tcPr>
            <w:tcW w:w="1284" w:type="dxa"/>
            <w:vAlign w:val="top"/>
          </w:tcPr>
          <w:p w14:paraId="53F5DF0E">
            <w:pPr>
              <w:pStyle w:val="16"/>
              <w:spacing w:before="177" w:line="225" w:lineRule="auto"/>
              <w:ind w:left="136"/>
            </w:pPr>
            <w:r>
              <w:rPr>
                <w:spacing w:val="1"/>
              </w:rPr>
              <w:t>10,000</w:t>
            </w:r>
          </w:p>
        </w:tc>
      </w:tr>
      <w:tr w14:paraId="41DB3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330D5ADD">
            <w:pPr>
              <w:rPr>
                <w:rFonts w:ascii="Arial"/>
                <w:sz w:val="21"/>
              </w:rPr>
            </w:pPr>
          </w:p>
        </w:tc>
        <w:tc>
          <w:tcPr>
            <w:tcW w:w="827" w:type="dxa"/>
            <w:vMerge w:val="restart"/>
            <w:tcBorders>
              <w:bottom w:val="nil"/>
            </w:tcBorders>
            <w:vAlign w:val="top"/>
          </w:tcPr>
          <w:p w14:paraId="0C3B0EC9">
            <w:pPr>
              <w:spacing w:line="241" w:lineRule="auto"/>
              <w:rPr>
                <w:rFonts w:ascii="Arial"/>
                <w:sz w:val="21"/>
              </w:rPr>
            </w:pPr>
          </w:p>
          <w:p w14:paraId="16A963EF">
            <w:pPr>
              <w:spacing w:line="241" w:lineRule="auto"/>
              <w:rPr>
                <w:rFonts w:ascii="Arial"/>
                <w:sz w:val="21"/>
              </w:rPr>
            </w:pPr>
          </w:p>
          <w:p w14:paraId="3748AEFD">
            <w:pPr>
              <w:spacing w:line="241" w:lineRule="auto"/>
              <w:rPr>
                <w:rFonts w:ascii="Arial"/>
                <w:sz w:val="21"/>
              </w:rPr>
            </w:pPr>
          </w:p>
          <w:p w14:paraId="339A973D">
            <w:pPr>
              <w:spacing w:line="241" w:lineRule="auto"/>
              <w:rPr>
                <w:rFonts w:ascii="Arial"/>
                <w:sz w:val="21"/>
              </w:rPr>
            </w:pPr>
          </w:p>
          <w:p w14:paraId="3D7EB13F">
            <w:pPr>
              <w:spacing w:line="241" w:lineRule="auto"/>
              <w:rPr>
                <w:rFonts w:ascii="Arial"/>
                <w:sz w:val="21"/>
              </w:rPr>
            </w:pPr>
          </w:p>
          <w:p w14:paraId="241EF610">
            <w:pPr>
              <w:spacing w:line="241" w:lineRule="auto"/>
              <w:rPr>
                <w:rFonts w:ascii="Arial"/>
                <w:sz w:val="21"/>
              </w:rPr>
            </w:pPr>
          </w:p>
          <w:p w14:paraId="5D1E37AB">
            <w:pPr>
              <w:spacing w:line="241" w:lineRule="auto"/>
              <w:rPr>
                <w:rFonts w:ascii="Arial"/>
                <w:sz w:val="21"/>
              </w:rPr>
            </w:pPr>
          </w:p>
          <w:p w14:paraId="5A5A38FB">
            <w:pPr>
              <w:spacing w:line="241" w:lineRule="auto"/>
              <w:rPr>
                <w:rFonts w:ascii="Arial"/>
                <w:sz w:val="21"/>
              </w:rPr>
            </w:pPr>
          </w:p>
          <w:p w14:paraId="391B190C">
            <w:pPr>
              <w:spacing w:line="242" w:lineRule="auto"/>
              <w:rPr>
                <w:rFonts w:ascii="Arial"/>
                <w:sz w:val="21"/>
              </w:rPr>
            </w:pPr>
          </w:p>
          <w:p w14:paraId="4E3B65DC">
            <w:pPr>
              <w:spacing w:line="242" w:lineRule="auto"/>
              <w:rPr>
                <w:rFonts w:ascii="Arial"/>
                <w:sz w:val="21"/>
              </w:rPr>
            </w:pPr>
          </w:p>
          <w:p w14:paraId="273955A3">
            <w:pPr>
              <w:spacing w:line="242" w:lineRule="auto"/>
              <w:rPr>
                <w:rFonts w:ascii="Arial"/>
                <w:sz w:val="21"/>
              </w:rPr>
            </w:pPr>
          </w:p>
          <w:p w14:paraId="49B6179A">
            <w:pPr>
              <w:spacing w:line="242" w:lineRule="auto"/>
              <w:rPr>
                <w:rFonts w:ascii="Arial"/>
                <w:sz w:val="21"/>
              </w:rPr>
            </w:pPr>
          </w:p>
          <w:p w14:paraId="1187A2BD">
            <w:pPr>
              <w:spacing w:line="242" w:lineRule="auto"/>
              <w:rPr>
                <w:rFonts w:ascii="Arial"/>
                <w:sz w:val="21"/>
              </w:rPr>
            </w:pPr>
          </w:p>
          <w:p w14:paraId="32ADF138">
            <w:pPr>
              <w:spacing w:line="242" w:lineRule="auto"/>
              <w:rPr>
                <w:rFonts w:ascii="Arial"/>
                <w:sz w:val="21"/>
              </w:rPr>
            </w:pPr>
          </w:p>
          <w:p w14:paraId="57948946">
            <w:pPr>
              <w:spacing w:line="242" w:lineRule="auto"/>
              <w:rPr>
                <w:rFonts w:ascii="Arial"/>
                <w:sz w:val="21"/>
              </w:rPr>
            </w:pPr>
          </w:p>
          <w:p w14:paraId="22230B39">
            <w:pPr>
              <w:spacing w:line="242" w:lineRule="auto"/>
              <w:rPr>
                <w:rFonts w:ascii="Arial"/>
                <w:sz w:val="21"/>
              </w:rPr>
            </w:pPr>
          </w:p>
          <w:p w14:paraId="518936D9">
            <w:pPr>
              <w:spacing w:line="242" w:lineRule="auto"/>
              <w:rPr>
                <w:rFonts w:ascii="Arial"/>
                <w:sz w:val="21"/>
              </w:rPr>
            </w:pPr>
          </w:p>
          <w:p w14:paraId="21E4C483">
            <w:pPr>
              <w:pStyle w:val="16"/>
              <w:spacing w:before="65" w:line="252" w:lineRule="auto"/>
              <w:ind w:left="124" w:right="113" w:hanging="5"/>
            </w:pPr>
            <w:r>
              <w:rPr>
                <w:spacing w:val="-1"/>
              </w:rPr>
              <w:t>2.人</w:t>
            </w:r>
            <w:r>
              <w:t>员</w:t>
            </w:r>
          </w:p>
        </w:tc>
        <w:tc>
          <w:tcPr>
            <w:tcW w:w="817" w:type="dxa"/>
            <w:vMerge w:val="restart"/>
            <w:tcBorders>
              <w:bottom w:val="nil"/>
            </w:tcBorders>
            <w:vAlign w:val="top"/>
          </w:tcPr>
          <w:p w14:paraId="30A19E53">
            <w:pPr>
              <w:spacing w:line="399" w:lineRule="auto"/>
              <w:rPr>
                <w:rFonts w:ascii="Arial"/>
                <w:sz w:val="21"/>
              </w:rPr>
            </w:pPr>
          </w:p>
          <w:p w14:paraId="3414A6E9">
            <w:pPr>
              <w:pStyle w:val="16"/>
              <w:spacing w:before="65" w:line="268" w:lineRule="exact"/>
              <w:ind w:left="111"/>
            </w:pPr>
            <w:r>
              <w:rPr>
                <w:spacing w:val="4"/>
                <w:position w:val="1"/>
              </w:rPr>
              <w:t>A201</w:t>
            </w:r>
          </w:p>
        </w:tc>
        <w:tc>
          <w:tcPr>
            <w:tcW w:w="1979" w:type="dxa"/>
            <w:vMerge w:val="restart"/>
            <w:tcBorders>
              <w:bottom w:val="nil"/>
            </w:tcBorders>
            <w:vAlign w:val="top"/>
          </w:tcPr>
          <w:p w14:paraId="531E9F3D">
            <w:pPr>
              <w:spacing w:line="263" w:lineRule="auto"/>
              <w:rPr>
                <w:rFonts w:ascii="Arial"/>
                <w:sz w:val="21"/>
              </w:rPr>
            </w:pPr>
          </w:p>
          <w:p w14:paraId="74F7A5F8">
            <w:pPr>
              <w:pStyle w:val="16"/>
              <w:spacing w:before="65" w:line="254" w:lineRule="auto"/>
              <w:ind w:left="133" w:right="113" w:hanging="15"/>
            </w:pPr>
            <w:r>
              <w:rPr>
                <w:spacing w:val="17"/>
              </w:rPr>
              <w:t>主要人员未按要求</w:t>
            </w:r>
            <w:r>
              <w:rPr>
                <w:spacing w:val="6"/>
              </w:rPr>
              <w:t>的条件和时间到位</w:t>
            </w:r>
          </w:p>
        </w:tc>
        <w:tc>
          <w:tcPr>
            <w:tcW w:w="3344" w:type="dxa"/>
            <w:vAlign w:val="top"/>
          </w:tcPr>
          <w:p w14:paraId="2B88082D">
            <w:pPr>
              <w:pStyle w:val="16"/>
              <w:spacing w:before="41"/>
              <w:ind w:left="117" w:right="111" w:firstLine="4"/>
            </w:pPr>
            <w:r>
              <w:rPr>
                <w:spacing w:val="7"/>
              </w:rPr>
              <w:t>项目负责人、项目技术负责人、爆</w:t>
            </w:r>
            <w:r>
              <w:rPr>
                <w:spacing w:val="6"/>
              </w:rPr>
              <w:t>破负责人。</w:t>
            </w:r>
          </w:p>
        </w:tc>
        <w:tc>
          <w:tcPr>
            <w:tcW w:w="1103" w:type="dxa"/>
            <w:vAlign w:val="top"/>
          </w:tcPr>
          <w:p w14:paraId="467FF3D3">
            <w:pPr>
              <w:pStyle w:val="16"/>
              <w:spacing w:before="179" w:line="228" w:lineRule="auto"/>
              <w:ind w:left="121"/>
            </w:pPr>
            <w:r>
              <w:rPr>
                <w:spacing w:val="6"/>
              </w:rPr>
              <w:t>元/人.天</w:t>
            </w:r>
          </w:p>
        </w:tc>
        <w:tc>
          <w:tcPr>
            <w:tcW w:w="1284" w:type="dxa"/>
            <w:vAlign w:val="top"/>
          </w:tcPr>
          <w:p w14:paraId="5ECB6A4F">
            <w:pPr>
              <w:pStyle w:val="16"/>
              <w:spacing w:before="178" w:line="225" w:lineRule="auto"/>
              <w:ind w:left="124"/>
            </w:pPr>
            <w:r>
              <w:rPr>
                <w:spacing w:val="2"/>
              </w:rPr>
              <w:t>5,000</w:t>
            </w:r>
          </w:p>
        </w:tc>
      </w:tr>
      <w:tr w14:paraId="01187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2B75B3A5">
            <w:pPr>
              <w:rPr>
                <w:rFonts w:ascii="Arial"/>
                <w:sz w:val="21"/>
              </w:rPr>
            </w:pPr>
          </w:p>
        </w:tc>
        <w:tc>
          <w:tcPr>
            <w:tcW w:w="827" w:type="dxa"/>
            <w:vMerge w:val="continue"/>
            <w:tcBorders>
              <w:top w:val="nil"/>
              <w:bottom w:val="nil"/>
            </w:tcBorders>
            <w:vAlign w:val="top"/>
          </w:tcPr>
          <w:p w14:paraId="579A2D1D">
            <w:pPr>
              <w:rPr>
                <w:rFonts w:ascii="Arial"/>
                <w:sz w:val="21"/>
              </w:rPr>
            </w:pPr>
          </w:p>
        </w:tc>
        <w:tc>
          <w:tcPr>
            <w:tcW w:w="817" w:type="dxa"/>
            <w:vMerge w:val="continue"/>
            <w:tcBorders>
              <w:top w:val="nil"/>
            </w:tcBorders>
            <w:vAlign w:val="top"/>
          </w:tcPr>
          <w:p w14:paraId="6238EB4B">
            <w:pPr>
              <w:rPr>
                <w:rFonts w:ascii="Arial"/>
                <w:sz w:val="21"/>
              </w:rPr>
            </w:pPr>
          </w:p>
        </w:tc>
        <w:tc>
          <w:tcPr>
            <w:tcW w:w="1979" w:type="dxa"/>
            <w:vMerge w:val="continue"/>
            <w:tcBorders>
              <w:top w:val="nil"/>
            </w:tcBorders>
            <w:vAlign w:val="top"/>
          </w:tcPr>
          <w:p w14:paraId="3E353CD6">
            <w:pPr>
              <w:rPr>
                <w:rFonts w:ascii="Arial"/>
                <w:sz w:val="21"/>
              </w:rPr>
            </w:pPr>
          </w:p>
        </w:tc>
        <w:tc>
          <w:tcPr>
            <w:tcW w:w="3344" w:type="dxa"/>
            <w:vAlign w:val="top"/>
          </w:tcPr>
          <w:p w14:paraId="33C32736">
            <w:pPr>
              <w:pStyle w:val="16"/>
              <w:spacing w:before="44" w:line="239" w:lineRule="auto"/>
              <w:ind w:left="118" w:right="111"/>
            </w:pPr>
            <w:r>
              <w:rPr>
                <w:spacing w:val="7"/>
              </w:rPr>
              <w:t>其他主要技术人员（投标承诺到位</w:t>
            </w:r>
            <w:r>
              <w:rPr>
                <w:spacing w:val="1"/>
              </w:rPr>
              <w:t>人员）。</w:t>
            </w:r>
          </w:p>
        </w:tc>
        <w:tc>
          <w:tcPr>
            <w:tcW w:w="1103" w:type="dxa"/>
            <w:vAlign w:val="top"/>
          </w:tcPr>
          <w:p w14:paraId="4436C862">
            <w:pPr>
              <w:pStyle w:val="16"/>
              <w:spacing w:before="178" w:line="228" w:lineRule="auto"/>
              <w:ind w:left="121"/>
            </w:pPr>
            <w:r>
              <w:rPr>
                <w:spacing w:val="6"/>
              </w:rPr>
              <w:t>元/人.天</w:t>
            </w:r>
          </w:p>
        </w:tc>
        <w:tc>
          <w:tcPr>
            <w:tcW w:w="1284" w:type="dxa"/>
            <w:vAlign w:val="top"/>
          </w:tcPr>
          <w:p w14:paraId="6489E9B7">
            <w:pPr>
              <w:pStyle w:val="16"/>
              <w:spacing w:before="177" w:line="225" w:lineRule="auto"/>
              <w:ind w:left="123"/>
            </w:pPr>
            <w:r>
              <w:rPr>
                <w:spacing w:val="2"/>
              </w:rPr>
              <w:t>2,000</w:t>
            </w:r>
          </w:p>
        </w:tc>
      </w:tr>
      <w:tr w14:paraId="252CD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2DF49D8C">
            <w:pPr>
              <w:rPr>
                <w:rFonts w:ascii="Arial"/>
                <w:sz w:val="21"/>
              </w:rPr>
            </w:pPr>
          </w:p>
        </w:tc>
        <w:tc>
          <w:tcPr>
            <w:tcW w:w="827" w:type="dxa"/>
            <w:vMerge w:val="continue"/>
            <w:tcBorders>
              <w:top w:val="nil"/>
              <w:bottom w:val="nil"/>
            </w:tcBorders>
            <w:vAlign w:val="top"/>
          </w:tcPr>
          <w:p w14:paraId="0DC3B6B6">
            <w:pPr>
              <w:rPr>
                <w:rFonts w:ascii="Arial"/>
                <w:sz w:val="21"/>
              </w:rPr>
            </w:pPr>
          </w:p>
        </w:tc>
        <w:tc>
          <w:tcPr>
            <w:tcW w:w="817" w:type="dxa"/>
            <w:vAlign w:val="top"/>
          </w:tcPr>
          <w:p w14:paraId="154FD955">
            <w:pPr>
              <w:pStyle w:val="16"/>
              <w:spacing w:before="179" w:line="268" w:lineRule="exact"/>
              <w:ind w:left="111"/>
            </w:pPr>
            <w:r>
              <w:rPr>
                <w:spacing w:val="4"/>
                <w:position w:val="1"/>
              </w:rPr>
              <w:t>A202</w:t>
            </w:r>
          </w:p>
        </w:tc>
        <w:tc>
          <w:tcPr>
            <w:tcW w:w="5323" w:type="dxa"/>
            <w:gridSpan w:val="2"/>
            <w:vAlign w:val="top"/>
          </w:tcPr>
          <w:p w14:paraId="7F5FF62A">
            <w:pPr>
              <w:pStyle w:val="16"/>
              <w:spacing w:before="178" w:line="227" w:lineRule="auto"/>
              <w:ind w:left="117"/>
            </w:pPr>
            <w:r>
              <w:rPr>
                <w:spacing w:val="7"/>
              </w:rPr>
              <w:t>档案资料负责人在本合同段连续工作不足3年。</w:t>
            </w:r>
          </w:p>
        </w:tc>
        <w:tc>
          <w:tcPr>
            <w:tcW w:w="1103" w:type="dxa"/>
            <w:vAlign w:val="top"/>
          </w:tcPr>
          <w:p w14:paraId="7EB98106">
            <w:pPr>
              <w:pStyle w:val="16"/>
              <w:spacing w:before="178" w:line="228" w:lineRule="auto"/>
              <w:ind w:left="121"/>
            </w:pPr>
            <w:r>
              <w:rPr>
                <w:spacing w:val="7"/>
              </w:rPr>
              <w:t>元/人.次</w:t>
            </w:r>
          </w:p>
        </w:tc>
        <w:tc>
          <w:tcPr>
            <w:tcW w:w="1284" w:type="dxa"/>
            <w:vAlign w:val="top"/>
          </w:tcPr>
          <w:p w14:paraId="4218723F">
            <w:pPr>
              <w:pStyle w:val="16"/>
              <w:spacing w:before="178" w:line="225" w:lineRule="auto"/>
              <w:ind w:left="123"/>
            </w:pPr>
            <w:r>
              <w:rPr>
                <w:spacing w:val="3"/>
              </w:rPr>
              <w:t>20,000</w:t>
            </w:r>
          </w:p>
        </w:tc>
      </w:tr>
      <w:tr w14:paraId="1C0F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3" w:hRule="atLeast"/>
        </w:trPr>
        <w:tc>
          <w:tcPr>
            <w:tcW w:w="616" w:type="dxa"/>
            <w:vMerge w:val="continue"/>
            <w:tcBorders>
              <w:top w:val="nil"/>
              <w:bottom w:val="nil"/>
            </w:tcBorders>
            <w:vAlign w:val="top"/>
          </w:tcPr>
          <w:p w14:paraId="45F724A2">
            <w:pPr>
              <w:rPr>
                <w:rFonts w:ascii="Arial"/>
                <w:sz w:val="21"/>
              </w:rPr>
            </w:pPr>
          </w:p>
        </w:tc>
        <w:tc>
          <w:tcPr>
            <w:tcW w:w="827" w:type="dxa"/>
            <w:vMerge w:val="continue"/>
            <w:tcBorders>
              <w:top w:val="nil"/>
              <w:bottom w:val="nil"/>
            </w:tcBorders>
            <w:vAlign w:val="top"/>
          </w:tcPr>
          <w:p w14:paraId="546BB38C">
            <w:pPr>
              <w:rPr>
                <w:rFonts w:ascii="Arial"/>
                <w:sz w:val="21"/>
              </w:rPr>
            </w:pPr>
          </w:p>
        </w:tc>
        <w:tc>
          <w:tcPr>
            <w:tcW w:w="817" w:type="dxa"/>
            <w:vAlign w:val="top"/>
          </w:tcPr>
          <w:p w14:paraId="076DDCC9">
            <w:pPr>
              <w:spacing w:line="255" w:lineRule="auto"/>
              <w:rPr>
                <w:rFonts w:ascii="Arial"/>
                <w:sz w:val="21"/>
              </w:rPr>
            </w:pPr>
          </w:p>
          <w:p w14:paraId="48BA4F5F">
            <w:pPr>
              <w:spacing w:line="255" w:lineRule="auto"/>
              <w:rPr>
                <w:rFonts w:ascii="Arial"/>
                <w:sz w:val="21"/>
              </w:rPr>
            </w:pPr>
          </w:p>
          <w:p w14:paraId="15BCF2E3">
            <w:pPr>
              <w:spacing w:line="255" w:lineRule="auto"/>
              <w:rPr>
                <w:rFonts w:ascii="Arial"/>
                <w:sz w:val="21"/>
              </w:rPr>
            </w:pPr>
          </w:p>
          <w:p w14:paraId="38BF265F">
            <w:pPr>
              <w:spacing w:line="255" w:lineRule="auto"/>
              <w:rPr>
                <w:rFonts w:ascii="Arial"/>
                <w:sz w:val="21"/>
              </w:rPr>
            </w:pPr>
          </w:p>
          <w:p w14:paraId="4AD20BFC">
            <w:pPr>
              <w:spacing w:line="255" w:lineRule="auto"/>
              <w:rPr>
                <w:rFonts w:ascii="Arial"/>
                <w:sz w:val="21"/>
              </w:rPr>
            </w:pPr>
          </w:p>
          <w:p w14:paraId="407C14B1">
            <w:pPr>
              <w:spacing w:line="255" w:lineRule="auto"/>
              <w:rPr>
                <w:rFonts w:ascii="Arial"/>
                <w:sz w:val="21"/>
              </w:rPr>
            </w:pPr>
          </w:p>
          <w:p w14:paraId="33A510ED">
            <w:pPr>
              <w:spacing w:line="255" w:lineRule="auto"/>
              <w:rPr>
                <w:rFonts w:ascii="Arial"/>
                <w:sz w:val="21"/>
              </w:rPr>
            </w:pPr>
          </w:p>
          <w:p w14:paraId="2B103704">
            <w:pPr>
              <w:spacing w:line="255" w:lineRule="auto"/>
              <w:rPr>
                <w:rFonts w:ascii="Arial"/>
                <w:sz w:val="21"/>
              </w:rPr>
            </w:pPr>
          </w:p>
          <w:p w14:paraId="4FECA573">
            <w:pPr>
              <w:spacing w:line="255" w:lineRule="auto"/>
              <w:rPr>
                <w:rFonts w:ascii="Arial"/>
                <w:sz w:val="21"/>
              </w:rPr>
            </w:pPr>
          </w:p>
          <w:p w14:paraId="5978F4CF">
            <w:pPr>
              <w:spacing w:line="256" w:lineRule="auto"/>
              <w:rPr>
                <w:rFonts w:ascii="Arial"/>
                <w:sz w:val="21"/>
              </w:rPr>
            </w:pPr>
          </w:p>
          <w:p w14:paraId="508D43B3">
            <w:pPr>
              <w:spacing w:line="256" w:lineRule="auto"/>
              <w:rPr>
                <w:rFonts w:ascii="Arial"/>
                <w:sz w:val="21"/>
              </w:rPr>
            </w:pPr>
          </w:p>
          <w:p w14:paraId="75BBE062">
            <w:pPr>
              <w:pStyle w:val="16"/>
              <w:spacing w:before="65" w:line="269" w:lineRule="exact"/>
              <w:ind w:left="111"/>
            </w:pPr>
            <w:r>
              <w:rPr>
                <w:spacing w:val="4"/>
                <w:position w:val="1"/>
              </w:rPr>
              <w:t>A203</w:t>
            </w:r>
          </w:p>
        </w:tc>
        <w:tc>
          <w:tcPr>
            <w:tcW w:w="5323" w:type="dxa"/>
            <w:gridSpan w:val="2"/>
            <w:vAlign w:val="top"/>
          </w:tcPr>
          <w:p w14:paraId="1D04478F">
            <w:pPr>
              <w:spacing w:line="242" w:lineRule="auto"/>
              <w:rPr>
                <w:rFonts w:ascii="Arial"/>
                <w:sz w:val="21"/>
              </w:rPr>
            </w:pPr>
          </w:p>
          <w:p w14:paraId="0F7CE4FC">
            <w:pPr>
              <w:spacing w:line="242" w:lineRule="auto"/>
              <w:rPr>
                <w:rFonts w:ascii="Arial"/>
                <w:sz w:val="21"/>
              </w:rPr>
            </w:pPr>
          </w:p>
          <w:p w14:paraId="47D76F07">
            <w:pPr>
              <w:spacing w:line="243" w:lineRule="auto"/>
              <w:rPr>
                <w:rFonts w:ascii="Arial"/>
                <w:sz w:val="21"/>
              </w:rPr>
            </w:pPr>
          </w:p>
          <w:p w14:paraId="5D51AE9B">
            <w:pPr>
              <w:spacing w:line="243" w:lineRule="auto"/>
              <w:rPr>
                <w:rFonts w:ascii="Arial"/>
                <w:sz w:val="21"/>
              </w:rPr>
            </w:pPr>
          </w:p>
          <w:p w14:paraId="637C1BB6">
            <w:pPr>
              <w:spacing w:line="243" w:lineRule="auto"/>
              <w:rPr>
                <w:rFonts w:ascii="Arial"/>
                <w:sz w:val="21"/>
              </w:rPr>
            </w:pPr>
          </w:p>
          <w:p w14:paraId="71112977">
            <w:pPr>
              <w:spacing w:line="243" w:lineRule="auto"/>
              <w:rPr>
                <w:rFonts w:ascii="Arial"/>
                <w:sz w:val="21"/>
              </w:rPr>
            </w:pPr>
          </w:p>
          <w:p w14:paraId="5199FC16">
            <w:pPr>
              <w:spacing w:line="243" w:lineRule="auto"/>
              <w:rPr>
                <w:rFonts w:ascii="Arial"/>
                <w:sz w:val="21"/>
              </w:rPr>
            </w:pPr>
          </w:p>
          <w:p w14:paraId="4C8D6C63">
            <w:pPr>
              <w:spacing w:line="243" w:lineRule="auto"/>
              <w:rPr>
                <w:rFonts w:ascii="Arial"/>
                <w:sz w:val="21"/>
              </w:rPr>
            </w:pPr>
          </w:p>
          <w:p w14:paraId="579B411B">
            <w:pPr>
              <w:spacing w:line="243" w:lineRule="auto"/>
              <w:rPr>
                <w:rFonts w:ascii="Arial"/>
                <w:sz w:val="21"/>
              </w:rPr>
            </w:pPr>
          </w:p>
          <w:p w14:paraId="2F4358CB">
            <w:pPr>
              <w:spacing w:line="243" w:lineRule="auto"/>
              <w:rPr>
                <w:rFonts w:ascii="Arial"/>
                <w:sz w:val="21"/>
              </w:rPr>
            </w:pPr>
          </w:p>
          <w:p w14:paraId="322CB00B">
            <w:pPr>
              <w:spacing w:line="243" w:lineRule="auto"/>
              <w:rPr>
                <w:rFonts w:ascii="Arial"/>
                <w:sz w:val="21"/>
              </w:rPr>
            </w:pPr>
          </w:p>
          <w:p w14:paraId="313712E0">
            <w:pPr>
              <w:pStyle w:val="16"/>
              <w:spacing w:before="65" w:line="254" w:lineRule="auto"/>
              <w:ind w:left="120" w:right="109"/>
            </w:pPr>
            <w:r>
              <w:rPr>
                <w:spacing w:val="12"/>
              </w:rPr>
              <w:t>项目负责人、项目技术负责人或其他主要技术人员无故</w:t>
            </w:r>
            <w:r>
              <w:rPr>
                <w:spacing w:val="7"/>
              </w:rPr>
              <w:t>不到位或被替换。</w:t>
            </w:r>
          </w:p>
        </w:tc>
        <w:tc>
          <w:tcPr>
            <w:tcW w:w="2387" w:type="dxa"/>
            <w:gridSpan w:val="2"/>
            <w:vAlign w:val="top"/>
          </w:tcPr>
          <w:p w14:paraId="1766DF8A">
            <w:pPr>
              <w:pStyle w:val="16"/>
              <w:spacing w:before="33" w:line="251" w:lineRule="auto"/>
              <w:ind w:left="119" w:right="58"/>
            </w:pPr>
            <w:r>
              <w:rPr>
                <w:spacing w:val="14"/>
              </w:rPr>
              <w:t>根据施工合同段规模调</w:t>
            </w:r>
            <w:r>
              <w:rPr>
                <w:spacing w:val="5"/>
              </w:rPr>
              <w:t>整，例如：规模在1000</w:t>
            </w:r>
            <w:r>
              <w:rPr>
                <w:spacing w:val="-5"/>
              </w:rPr>
              <w:t>万以上，5000万以下的，</w:t>
            </w:r>
            <w:r>
              <w:rPr>
                <w:spacing w:val="16"/>
              </w:rPr>
              <w:t>分别处以项目负责人、</w:t>
            </w:r>
            <w:r>
              <w:rPr>
                <w:spacing w:val="9"/>
              </w:rPr>
              <w:t>项目技术负责人20万/</w:t>
            </w:r>
            <w:r>
              <w:rPr>
                <w:spacing w:val="14"/>
              </w:rPr>
              <w:t>人次；其他主要技术人</w:t>
            </w:r>
            <w:r>
              <w:rPr>
                <w:spacing w:val="3"/>
              </w:rPr>
              <w:t>员2万/人次罚款。</w:t>
            </w:r>
          </w:p>
          <w:p w14:paraId="10282650">
            <w:pPr>
              <w:pStyle w:val="16"/>
              <w:spacing w:before="2" w:line="251" w:lineRule="auto"/>
              <w:ind w:left="120" w:right="112"/>
            </w:pPr>
            <w:r>
              <w:rPr>
                <w:spacing w:val="3"/>
              </w:rPr>
              <w:t>规模在5000以上、1亿</w:t>
            </w:r>
            <w:r>
              <w:rPr>
                <w:spacing w:val="14"/>
              </w:rPr>
              <w:t>以下的，分别处以项目负责人、项目技术负责</w:t>
            </w:r>
            <w:r>
              <w:t>人100万/人次；其他主</w:t>
            </w:r>
            <w:r>
              <w:rPr>
                <w:spacing w:val="9"/>
              </w:rPr>
              <w:t>要技术人员10万人次罚</w:t>
            </w:r>
            <w:r>
              <w:t>款。</w:t>
            </w:r>
          </w:p>
          <w:p w14:paraId="455861A3">
            <w:pPr>
              <w:pStyle w:val="16"/>
              <w:spacing w:before="1" w:line="251" w:lineRule="auto"/>
              <w:ind w:left="121" w:right="112" w:hanging="1"/>
            </w:pPr>
            <w:r>
              <w:rPr>
                <w:spacing w:val="9"/>
              </w:rPr>
              <w:t>规模在1亿以上的，分</w:t>
            </w:r>
            <w:r>
              <w:rPr>
                <w:spacing w:val="14"/>
              </w:rPr>
              <w:t>别处以项目负责人、项</w:t>
            </w:r>
            <w:r>
              <w:rPr>
                <w:spacing w:val="8"/>
              </w:rPr>
              <w:t>目技术负责人200万/人</w:t>
            </w:r>
            <w:r>
              <w:rPr>
                <w:spacing w:val="14"/>
              </w:rPr>
              <w:t>次；其他主要技术人员</w:t>
            </w:r>
            <w:r>
              <w:rPr>
                <w:spacing w:val="4"/>
              </w:rPr>
              <w:t>20万人次罚款。</w:t>
            </w:r>
          </w:p>
          <w:p w14:paraId="1F568B7C">
            <w:pPr>
              <w:pStyle w:val="16"/>
              <w:spacing w:before="1" w:line="252" w:lineRule="auto"/>
              <w:ind w:left="119" w:right="112"/>
            </w:pPr>
            <w:r>
              <w:rPr>
                <w:spacing w:val="14"/>
              </w:rPr>
              <w:t>注：上述罚款额供招标人结合项目实际情况参</w:t>
            </w:r>
            <w:r>
              <w:rPr>
                <w:spacing w:val="7"/>
              </w:rPr>
              <w:t>考使用，合理设置。</w:t>
            </w:r>
          </w:p>
        </w:tc>
      </w:tr>
      <w:tr w14:paraId="5C9B5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53B7AF1B">
            <w:pPr>
              <w:rPr>
                <w:rFonts w:ascii="Arial"/>
                <w:sz w:val="21"/>
              </w:rPr>
            </w:pPr>
          </w:p>
        </w:tc>
        <w:tc>
          <w:tcPr>
            <w:tcW w:w="827" w:type="dxa"/>
            <w:vMerge w:val="continue"/>
            <w:tcBorders>
              <w:top w:val="nil"/>
              <w:bottom w:val="nil"/>
            </w:tcBorders>
            <w:vAlign w:val="top"/>
          </w:tcPr>
          <w:p w14:paraId="4257454E">
            <w:pPr>
              <w:rPr>
                <w:rFonts w:ascii="Arial"/>
                <w:sz w:val="21"/>
              </w:rPr>
            </w:pPr>
          </w:p>
        </w:tc>
        <w:tc>
          <w:tcPr>
            <w:tcW w:w="817" w:type="dxa"/>
            <w:vAlign w:val="top"/>
          </w:tcPr>
          <w:p w14:paraId="1CACBBE6">
            <w:pPr>
              <w:pStyle w:val="16"/>
              <w:spacing w:before="182" w:line="268" w:lineRule="exact"/>
              <w:ind w:left="111"/>
            </w:pPr>
            <w:r>
              <w:rPr>
                <w:spacing w:val="4"/>
                <w:position w:val="1"/>
              </w:rPr>
              <w:t>A204</w:t>
            </w:r>
          </w:p>
        </w:tc>
        <w:tc>
          <w:tcPr>
            <w:tcW w:w="5323" w:type="dxa"/>
            <w:gridSpan w:val="2"/>
            <w:vAlign w:val="top"/>
          </w:tcPr>
          <w:p w14:paraId="12D0E71D">
            <w:pPr>
              <w:pStyle w:val="16"/>
              <w:spacing w:before="45" w:line="238" w:lineRule="auto"/>
              <w:ind w:left="120" w:right="109"/>
            </w:pPr>
            <w:r>
              <w:rPr>
                <w:spacing w:val="12"/>
              </w:rPr>
              <w:t>项目负责人、项目技术负责人、爆破负责人驻守现场不</w:t>
            </w:r>
            <w:r>
              <w:rPr>
                <w:spacing w:val="1"/>
              </w:rPr>
              <w:t>足22天/月。</w:t>
            </w:r>
          </w:p>
        </w:tc>
        <w:tc>
          <w:tcPr>
            <w:tcW w:w="1103" w:type="dxa"/>
            <w:vAlign w:val="top"/>
          </w:tcPr>
          <w:p w14:paraId="09349B51">
            <w:pPr>
              <w:pStyle w:val="16"/>
              <w:spacing w:before="182" w:line="228" w:lineRule="auto"/>
              <w:ind w:left="121"/>
            </w:pPr>
            <w:r>
              <w:rPr>
                <w:spacing w:val="6"/>
              </w:rPr>
              <w:t>元/人.天</w:t>
            </w:r>
          </w:p>
        </w:tc>
        <w:tc>
          <w:tcPr>
            <w:tcW w:w="1284" w:type="dxa"/>
            <w:vAlign w:val="top"/>
          </w:tcPr>
          <w:p w14:paraId="4874CD94">
            <w:pPr>
              <w:pStyle w:val="16"/>
              <w:spacing w:before="182" w:line="225" w:lineRule="auto"/>
              <w:ind w:left="136"/>
            </w:pPr>
            <w:r>
              <w:rPr>
                <w:spacing w:val="1"/>
              </w:rPr>
              <w:t>10,000</w:t>
            </w:r>
          </w:p>
        </w:tc>
      </w:tr>
      <w:tr w14:paraId="2D5C1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16" w:type="dxa"/>
            <w:vMerge w:val="continue"/>
            <w:tcBorders>
              <w:top w:val="nil"/>
            </w:tcBorders>
            <w:vAlign w:val="top"/>
          </w:tcPr>
          <w:p w14:paraId="44C7E16E">
            <w:pPr>
              <w:rPr>
                <w:rFonts w:ascii="Arial"/>
                <w:sz w:val="21"/>
              </w:rPr>
            </w:pPr>
          </w:p>
        </w:tc>
        <w:tc>
          <w:tcPr>
            <w:tcW w:w="827" w:type="dxa"/>
            <w:vMerge w:val="continue"/>
            <w:tcBorders>
              <w:top w:val="nil"/>
            </w:tcBorders>
            <w:vAlign w:val="top"/>
          </w:tcPr>
          <w:p w14:paraId="25222AD2">
            <w:pPr>
              <w:rPr>
                <w:rFonts w:ascii="Arial"/>
                <w:sz w:val="21"/>
              </w:rPr>
            </w:pPr>
          </w:p>
        </w:tc>
        <w:tc>
          <w:tcPr>
            <w:tcW w:w="817" w:type="dxa"/>
            <w:vAlign w:val="top"/>
          </w:tcPr>
          <w:p w14:paraId="56C66021">
            <w:pPr>
              <w:pStyle w:val="16"/>
              <w:spacing w:before="182" w:line="268" w:lineRule="exact"/>
              <w:ind w:left="111"/>
            </w:pPr>
            <w:r>
              <w:rPr>
                <w:spacing w:val="4"/>
                <w:position w:val="1"/>
              </w:rPr>
              <w:t>A205</w:t>
            </w:r>
          </w:p>
        </w:tc>
        <w:tc>
          <w:tcPr>
            <w:tcW w:w="5323" w:type="dxa"/>
            <w:gridSpan w:val="2"/>
            <w:vAlign w:val="top"/>
          </w:tcPr>
          <w:p w14:paraId="6C45F4F1">
            <w:pPr>
              <w:pStyle w:val="16"/>
              <w:spacing w:before="48" w:line="238" w:lineRule="auto"/>
              <w:ind w:left="117" w:right="111" w:firstLine="2"/>
            </w:pPr>
            <w:r>
              <w:rPr>
                <w:spacing w:val="12"/>
              </w:rPr>
              <w:t>未按规定配备专职安全生产管理人员或人员资质</w:t>
            </w:r>
            <w:r>
              <w:rPr>
                <w:spacing w:val="11"/>
              </w:rPr>
              <w:t>不符合</w:t>
            </w:r>
            <w:r>
              <w:rPr>
                <w:spacing w:val="2"/>
              </w:rPr>
              <w:t>要求。</w:t>
            </w:r>
          </w:p>
        </w:tc>
        <w:tc>
          <w:tcPr>
            <w:tcW w:w="1103" w:type="dxa"/>
            <w:vAlign w:val="top"/>
          </w:tcPr>
          <w:p w14:paraId="423050FA">
            <w:pPr>
              <w:pStyle w:val="16"/>
              <w:spacing w:before="182" w:line="228" w:lineRule="auto"/>
              <w:ind w:left="121"/>
            </w:pPr>
            <w:r>
              <w:rPr>
                <w:spacing w:val="6"/>
              </w:rPr>
              <w:t>元/人.月</w:t>
            </w:r>
          </w:p>
        </w:tc>
        <w:tc>
          <w:tcPr>
            <w:tcW w:w="1284" w:type="dxa"/>
            <w:vAlign w:val="top"/>
          </w:tcPr>
          <w:p w14:paraId="47201455">
            <w:pPr>
              <w:pStyle w:val="16"/>
              <w:spacing w:before="182" w:line="225" w:lineRule="auto"/>
              <w:ind w:left="124"/>
            </w:pPr>
            <w:r>
              <w:rPr>
                <w:spacing w:val="2"/>
              </w:rPr>
              <w:t>5,000</w:t>
            </w:r>
          </w:p>
        </w:tc>
      </w:tr>
    </w:tbl>
    <w:p w14:paraId="1D52DE87">
      <w:pPr>
        <w:spacing w:line="270" w:lineRule="auto"/>
        <w:rPr>
          <w:rFonts w:ascii="Arial"/>
          <w:sz w:val="21"/>
        </w:rPr>
      </w:pPr>
      <w:r>
        <w:pict>
          <v:shape id="_x0000_s1115" o:spid="_x0000_s1115" style="position:absolute;left:0pt;margin-left:22.7pt;margin-top:9.15pt;height:0pt;width:144pt;z-index:251660288;mso-width-relative:page;mso-height-relative:page;" filled="f" stroked="t" coordsize="2880,0" path="m0,0l2880,0e">
            <v:fill on="f" focussize="0,0"/>
            <v:stroke weight="0pt" color="#000000" miterlimit="0" joinstyle="bevel" endcap="square"/>
            <v:imagedata o:title=""/>
            <o:lock v:ext="edit"/>
          </v:shape>
        </w:pict>
      </w:r>
    </w:p>
    <w:p w14:paraId="7A6659E5">
      <w:pPr>
        <w:spacing w:before="58" w:line="220" w:lineRule="auto"/>
        <w:ind w:left="460"/>
        <w:rPr>
          <w:rFonts w:ascii="宋体" w:hAnsi="宋体" w:eastAsia="宋体" w:cs="宋体"/>
          <w:sz w:val="18"/>
          <w:szCs w:val="18"/>
        </w:rPr>
      </w:pPr>
      <w:bookmarkStart w:id="2" w:name="bookmark169"/>
      <w:bookmarkEnd w:id="2"/>
      <w:r>
        <w:rPr>
          <w:rFonts w:ascii="宋体" w:hAnsi="宋体" w:eastAsia="宋体" w:cs="宋体"/>
          <w:sz w:val="18"/>
          <w:szCs w:val="18"/>
        </w:rPr>
        <w:t>①本表可由招标人根据实际情况予以调整，或以招标人制定的</w:t>
      </w:r>
      <w:r>
        <w:rPr>
          <w:rFonts w:ascii="宋体" w:hAnsi="宋体" w:eastAsia="宋体" w:cs="宋体"/>
          <w:spacing w:val="-1"/>
          <w:sz w:val="18"/>
          <w:szCs w:val="18"/>
        </w:rPr>
        <w:t>管理办法为准。</w:t>
      </w:r>
    </w:p>
    <w:p w14:paraId="71163980">
      <w:pPr>
        <w:spacing w:line="220" w:lineRule="auto"/>
        <w:rPr>
          <w:rFonts w:ascii="宋体" w:hAnsi="宋体" w:eastAsia="宋体" w:cs="宋体"/>
          <w:sz w:val="18"/>
          <w:szCs w:val="18"/>
        </w:rPr>
        <w:sectPr>
          <w:headerReference r:id="rId13" w:type="default"/>
          <w:footerReference r:id="rId14" w:type="default"/>
          <w:pgSz w:w="11900" w:h="16839"/>
          <w:pgMar w:top="936" w:right="962" w:bottom="856" w:left="962" w:header="659" w:footer="622" w:gutter="0"/>
          <w:pgNumType w:fmt="decimal"/>
          <w:cols w:space="720" w:num="1"/>
        </w:sectPr>
      </w:pPr>
    </w:p>
    <w:p w14:paraId="7C4AA0A5">
      <w:pPr>
        <w:spacing w:before="239"/>
      </w:pPr>
    </w:p>
    <w:tbl>
      <w:tblPr>
        <w:tblStyle w:val="15"/>
        <w:tblW w:w="9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827"/>
        <w:gridCol w:w="817"/>
        <w:gridCol w:w="5323"/>
        <w:gridCol w:w="1103"/>
        <w:gridCol w:w="1284"/>
      </w:tblGrid>
      <w:tr w14:paraId="6DFD8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16" w:type="dxa"/>
            <w:vMerge w:val="restart"/>
            <w:tcBorders>
              <w:bottom w:val="nil"/>
            </w:tcBorders>
            <w:vAlign w:val="top"/>
          </w:tcPr>
          <w:p w14:paraId="3314DA51">
            <w:pPr>
              <w:rPr>
                <w:rFonts w:ascii="Arial"/>
                <w:sz w:val="21"/>
              </w:rPr>
            </w:pPr>
          </w:p>
        </w:tc>
        <w:tc>
          <w:tcPr>
            <w:tcW w:w="827" w:type="dxa"/>
            <w:vMerge w:val="restart"/>
            <w:tcBorders>
              <w:bottom w:val="nil"/>
            </w:tcBorders>
            <w:vAlign w:val="top"/>
          </w:tcPr>
          <w:p w14:paraId="3106CEB2">
            <w:pPr>
              <w:spacing w:line="282" w:lineRule="auto"/>
              <w:rPr>
                <w:rFonts w:ascii="Arial"/>
                <w:sz w:val="21"/>
              </w:rPr>
            </w:pPr>
          </w:p>
          <w:p w14:paraId="09D070DC">
            <w:pPr>
              <w:spacing w:line="282" w:lineRule="auto"/>
              <w:rPr>
                <w:rFonts w:ascii="Arial"/>
                <w:sz w:val="21"/>
              </w:rPr>
            </w:pPr>
          </w:p>
          <w:p w14:paraId="2D01B39B">
            <w:pPr>
              <w:spacing w:line="282" w:lineRule="auto"/>
              <w:rPr>
                <w:rFonts w:ascii="Arial"/>
                <w:sz w:val="21"/>
              </w:rPr>
            </w:pPr>
          </w:p>
          <w:p w14:paraId="60BAEB51">
            <w:pPr>
              <w:spacing w:line="282" w:lineRule="auto"/>
              <w:rPr>
                <w:rFonts w:ascii="Arial"/>
                <w:sz w:val="21"/>
              </w:rPr>
            </w:pPr>
          </w:p>
          <w:p w14:paraId="43DFA079">
            <w:pPr>
              <w:pStyle w:val="16"/>
              <w:spacing w:before="65" w:line="255" w:lineRule="auto"/>
              <w:ind w:left="116" w:right="113" w:firstLine="5"/>
            </w:pPr>
            <w:r>
              <w:rPr>
                <w:spacing w:val="-1"/>
              </w:rPr>
              <w:t>3.计</w:t>
            </w:r>
            <w:r>
              <w:rPr>
                <w:spacing w:val="1"/>
              </w:rPr>
              <w:t>划</w:t>
            </w:r>
          </w:p>
        </w:tc>
        <w:tc>
          <w:tcPr>
            <w:tcW w:w="817" w:type="dxa"/>
            <w:vAlign w:val="top"/>
          </w:tcPr>
          <w:p w14:paraId="34A3E713">
            <w:pPr>
              <w:pStyle w:val="16"/>
              <w:spacing w:before="182" w:line="269" w:lineRule="exact"/>
              <w:ind w:left="111"/>
            </w:pPr>
            <w:r>
              <w:rPr>
                <w:spacing w:val="4"/>
                <w:position w:val="1"/>
              </w:rPr>
              <w:t>A301</w:t>
            </w:r>
          </w:p>
        </w:tc>
        <w:tc>
          <w:tcPr>
            <w:tcW w:w="5323" w:type="dxa"/>
            <w:vAlign w:val="top"/>
          </w:tcPr>
          <w:p w14:paraId="1681BAF7">
            <w:pPr>
              <w:pStyle w:val="16"/>
              <w:spacing w:before="182" w:line="228" w:lineRule="auto"/>
              <w:ind w:left="151"/>
            </w:pPr>
            <w:r>
              <w:rPr>
                <w:spacing w:val="5"/>
              </w:rPr>
              <w:t>自身原因导致未按期开工。</w:t>
            </w:r>
          </w:p>
        </w:tc>
        <w:tc>
          <w:tcPr>
            <w:tcW w:w="1103" w:type="dxa"/>
            <w:vAlign w:val="top"/>
          </w:tcPr>
          <w:p w14:paraId="2DAF24C2">
            <w:pPr>
              <w:pStyle w:val="16"/>
              <w:spacing w:before="183" w:line="228" w:lineRule="auto"/>
              <w:ind w:left="121"/>
            </w:pPr>
            <w:r>
              <w:rPr>
                <w:spacing w:val="4"/>
              </w:rPr>
              <w:t>元/天</w:t>
            </w:r>
          </w:p>
        </w:tc>
        <w:tc>
          <w:tcPr>
            <w:tcW w:w="1284" w:type="dxa"/>
            <w:vAlign w:val="top"/>
          </w:tcPr>
          <w:p w14:paraId="2D0D598A">
            <w:pPr>
              <w:pStyle w:val="16"/>
              <w:spacing w:before="182" w:line="225" w:lineRule="auto"/>
              <w:ind w:left="123"/>
            </w:pPr>
            <w:r>
              <w:rPr>
                <w:spacing w:val="3"/>
              </w:rPr>
              <w:t>20,000</w:t>
            </w:r>
          </w:p>
        </w:tc>
      </w:tr>
      <w:tr w14:paraId="643F7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39FB833C">
            <w:pPr>
              <w:rPr>
                <w:rFonts w:ascii="Arial"/>
                <w:sz w:val="21"/>
              </w:rPr>
            </w:pPr>
          </w:p>
        </w:tc>
        <w:tc>
          <w:tcPr>
            <w:tcW w:w="827" w:type="dxa"/>
            <w:vMerge w:val="continue"/>
            <w:tcBorders>
              <w:top w:val="nil"/>
              <w:bottom w:val="nil"/>
            </w:tcBorders>
            <w:vAlign w:val="top"/>
          </w:tcPr>
          <w:p w14:paraId="1BF6D6CF">
            <w:pPr>
              <w:rPr>
                <w:rFonts w:ascii="Arial"/>
                <w:sz w:val="21"/>
              </w:rPr>
            </w:pPr>
          </w:p>
        </w:tc>
        <w:tc>
          <w:tcPr>
            <w:tcW w:w="817" w:type="dxa"/>
            <w:vAlign w:val="top"/>
          </w:tcPr>
          <w:p w14:paraId="0EF5F650">
            <w:pPr>
              <w:pStyle w:val="16"/>
              <w:spacing w:before="180" w:line="268" w:lineRule="exact"/>
              <w:ind w:left="111"/>
            </w:pPr>
            <w:r>
              <w:rPr>
                <w:spacing w:val="4"/>
                <w:position w:val="1"/>
              </w:rPr>
              <w:t>A302</w:t>
            </w:r>
          </w:p>
        </w:tc>
        <w:tc>
          <w:tcPr>
            <w:tcW w:w="5323" w:type="dxa"/>
            <w:vAlign w:val="top"/>
          </w:tcPr>
          <w:p w14:paraId="2BB2AB80">
            <w:pPr>
              <w:pStyle w:val="16"/>
              <w:spacing w:before="179" w:line="227" w:lineRule="auto"/>
              <w:ind w:left="116"/>
            </w:pPr>
            <w:r>
              <w:rPr>
                <w:spacing w:val="7"/>
              </w:rPr>
              <w:t>每月进度滞后10%以上而未采取相应补救措施。</w:t>
            </w:r>
          </w:p>
        </w:tc>
        <w:tc>
          <w:tcPr>
            <w:tcW w:w="1103" w:type="dxa"/>
            <w:vAlign w:val="top"/>
          </w:tcPr>
          <w:p w14:paraId="57A3822A">
            <w:pPr>
              <w:pStyle w:val="16"/>
              <w:spacing w:before="179" w:line="228" w:lineRule="auto"/>
              <w:ind w:left="121"/>
            </w:pPr>
            <w:r>
              <w:rPr>
                <w:spacing w:val="4"/>
              </w:rPr>
              <w:t>元/月</w:t>
            </w:r>
          </w:p>
        </w:tc>
        <w:tc>
          <w:tcPr>
            <w:tcW w:w="1284" w:type="dxa"/>
            <w:vAlign w:val="top"/>
          </w:tcPr>
          <w:p w14:paraId="62CE2A18">
            <w:pPr>
              <w:pStyle w:val="16"/>
              <w:spacing w:before="179" w:line="225" w:lineRule="auto"/>
              <w:ind w:left="124"/>
            </w:pPr>
            <w:r>
              <w:rPr>
                <w:spacing w:val="2"/>
              </w:rPr>
              <w:t>50,000</w:t>
            </w:r>
          </w:p>
        </w:tc>
      </w:tr>
      <w:tr w14:paraId="2B706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1AFB1772">
            <w:pPr>
              <w:rPr>
                <w:rFonts w:ascii="Arial"/>
                <w:sz w:val="21"/>
              </w:rPr>
            </w:pPr>
          </w:p>
        </w:tc>
        <w:tc>
          <w:tcPr>
            <w:tcW w:w="827" w:type="dxa"/>
            <w:vMerge w:val="continue"/>
            <w:tcBorders>
              <w:top w:val="nil"/>
              <w:bottom w:val="nil"/>
            </w:tcBorders>
            <w:vAlign w:val="top"/>
          </w:tcPr>
          <w:p w14:paraId="6C7B57C2">
            <w:pPr>
              <w:rPr>
                <w:rFonts w:ascii="Arial"/>
                <w:sz w:val="21"/>
              </w:rPr>
            </w:pPr>
          </w:p>
        </w:tc>
        <w:tc>
          <w:tcPr>
            <w:tcW w:w="817" w:type="dxa"/>
            <w:vAlign w:val="top"/>
          </w:tcPr>
          <w:p w14:paraId="6FB481D9">
            <w:pPr>
              <w:pStyle w:val="16"/>
              <w:spacing w:before="179" w:line="268" w:lineRule="exact"/>
              <w:ind w:left="111"/>
            </w:pPr>
            <w:r>
              <w:rPr>
                <w:spacing w:val="4"/>
                <w:position w:val="1"/>
              </w:rPr>
              <w:t>A303</w:t>
            </w:r>
          </w:p>
        </w:tc>
        <w:tc>
          <w:tcPr>
            <w:tcW w:w="5323" w:type="dxa"/>
            <w:vAlign w:val="top"/>
          </w:tcPr>
          <w:p w14:paraId="205FE508">
            <w:pPr>
              <w:pStyle w:val="16"/>
              <w:spacing w:before="178" w:line="228" w:lineRule="auto"/>
              <w:ind w:left="120"/>
            </w:pPr>
            <w:r>
              <w:rPr>
                <w:spacing w:val="8"/>
              </w:rPr>
              <w:t>未按规定要求编制、上报和评审施工计划。</w:t>
            </w:r>
          </w:p>
        </w:tc>
        <w:tc>
          <w:tcPr>
            <w:tcW w:w="1103" w:type="dxa"/>
            <w:vAlign w:val="top"/>
          </w:tcPr>
          <w:p w14:paraId="3BBEB433">
            <w:pPr>
              <w:pStyle w:val="16"/>
              <w:spacing w:before="178" w:line="228" w:lineRule="auto"/>
              <w:ind w:left="121"/>
            </w:pPr>
            <w:r>
              <w:rPr>
                <w:spacing w:val="4"/>
              </w:rPr>
              <w:t>元/次</w:t>
            </w:r>
          </w:p>
        </w:tc>
        <w:tc>
          <w:tcPr>
            <w:tcW w:w="1284" w:type="dxa"/>
            <w:vAlign w:val="top"/>
          </w:tcPr>
          <w:p w14:paraId="261F948D">
            <w:pPr>
              <w:pStyle w:val="16"/>
              <w:spacing w:before="178" w:line="225" w:lineRule="auto"/>
              <w:ind w:left="124"/>
            </w:pPr>
            <w:r>
              <w:rPr>
                <w:spacing w:val="2"/>
              </w:rPr>
              <w:t>5,000</w:t>
            </w:r>
          </w:p>
        </w:tc>
      </w:tr>
      <w:tr w14:paraId="5C8D2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2F34332F">
            <w:pPr>
              <w:rPr>
                <w:rFonts w:ascii="Arial"/>
                <w:sz w:val="21"/>
              </w:rPr>
            </w:pPr>
          </w:p>
        </w:tc>
        <w:tc>
          <w:tcPr>
            <w:tcW w:w="827" w:type="dxa"/>
            <w:vMerge w:val="continue"/>
            <w:tcBorders>
              <w:top w:val="nil"/>
              <w:bottom w:val="nil"/>
            </w:tcBorders>
            <w:vAlign w:val="top"/>
          </w:tcPr>
          <w:p w14:paraId="0D75AFA1">
            <w:pPr>
              <w:rPr>
                <w:rFonts w:ascii="Arial"/>
                <w:sz w:val="21"/>
              </w:rPr>
            </w:pPr>
          </w:p>
        </w:tc>
        <w:tc>
          <w:tcPr>
            <w:tcW w:w="817" w:type="dxa"/>
            <w:vAlign w:val="top"/>
          </w:tcPr>
          <w:p w14:paraId="1D8B7815">
            <w:pPr>
              <w:pStyle w:val="16"/>
              <w:spacing w:before="181" w:line="268" w:lineRule="exact"/>
              <w:ind w:left="111"/>
            </w:pPr>
            <w:r>
              <w:rPr>
                <w:spacing w:val="4"/>
                <w:position w:val="1"/>
              </w:rPr>
              <w:t>A304</w:t>
            </w:r>
          </w:p>
        </w:tc>
        <w:tc>
          <w:tcPr>
            <w:tcW w:w="5323" w:type="dxa"/>
            <w:vAlign w:val="top"/>
          </w:tcPr>
          <w:p w14:paraId="7797C248">
            <w:pPr>
              <w:pStyle w:val="16"/>
              <w:spacing w:before="181" w:line="228" w:lineRule="auto"/>
              <w:ind w:left="120"/>
            </w:pPr>
            <w:r>
              <w:rPr>
                <w:spacing w:val="8"/>
              </w:rPr>
              <w:t>未按要求编制分部分项工程施工方案。</w:t>
            </w:r>
          </w:p>
        </w:tc>
        <w:tc>
          <w:tcPr>
            <w:tcW w:w="1103" w:type="dxa"/>
            <w:vAlign w:val="top"/>
          </w:tcPr>
          <w:p w14:paraId="5050F213">
            <w:pPr>
              <w:pStyle w:val="16"/>
              <w:spacing w:before="181" w:line="228" w:lineRule="auto"/>
              <w:ind w:left="121"/>
            </w:pPr>
            <w:r>
              <w:rPr>
                <w:spacing w:val="7"/>
              </w:rPr>
              <w:t>元/项.次</w:t>
            </w:r>
          </w:p>
        </w:tc>
        <w:tc>
          <w:tcPr>
            <w:tcW w:w="1284" w:type="dxa"/>
            <w:vAlign w:val="top"/>
          </w:tcPr>
          <w:p w14:paraId="1A436CAB">
            <w:pPr>
              <w:pStyle w:val="16"/>
              <w:spacing w:before="181" w:line="225" w:lineRule="auto"/>
              <w:ind w:left="124"/>
            </w:pPr>
            <w:r>
              <w:rPr>
                <w:spacing w:val="2"/>
              </w:rPr>
              <w:t>5,000</w:t>
            </w:r>
          </w:p>
        </w:tc>
      </w:tr>
      <w:tr w14:paraId="6FB32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7BB1A9FD">
            <w:pPr>
              <w:rPr>
                <w:rFonts w:ascii="Arial"/>
                <w:sz w:val="21"/>
              </w:rPr>
            </w:pPr>
          </w:p>
        </w:tc>
        <w:tc>
          <w:tcPr>
            <w:tcW w:w="827" w:type="dxa"/>
            <w:vMerge w:val="continue"/>
            <w:tcBorders>
              <w:top w:val="nil"/>
            </w:tcBorders>
            <w:vAlign w:val="top"/>
          </w:tcPr>
          <w:p w14:paraId="6B211F88">
            <w:pPr>
              <w:rPr>
                <w:rFonts w:ascii="Arial"/>
                <w:sz w:val="21"/>
              </w:rPr>
            </w:pPr>
          </w:p>
        </w:tc>
        <w:tc>
          <w:tcPr>
            <w:tcW w:w="817" w:type="dxa"/>
            <w:vAlign w:val="top"/>
          </w:tcPr>
          <w:p w14:paraId="213AC062">
            <w:pPr>
              <w:pStyle w:val="16"/>
              <w:spacing w:before="181" w:line="268" w:lineRule="exact"/>
              <w:ind w:left="111"/>
            </w:pPr>
            <w:r>
              <w:rPr>
                <w:spacing w:val="4"/>
                <w:position w:val="1"/>
              </w:rPr>
              <w:t>A305</w:t>
            </w:r>
          </w:p>
        </w:tc>
        <w:tc>
          <w:tcPr>
            <w:tcW w:w="5323" w:type="dxa"/>
            <w:vAlign w:val="top"/>
          </w:tcPr>
          <w:p w14:paraId="000ED87A">
            <w:pPr>
              <w:pStyle w:val="16"/>
              <w:spacing w:before="45" w:line="238" w:lineRule="auto"/>
              <w:ind w:left="119" w:right="111"/>
            </w:pPr>
            <w:r>
              <w:rPr>
                <w:spacing w:val="12"/>
              </w:rPr>
              <w:t>关键分部、分项工程及危险性较大的分部分项工</w:t>
            </w:r>
            <w:r>
              <w:rPr>
                <w:spacing w:val="11"/>
              </w:rPr>
              <w:t>程的施</w:t>
            </w:r>
            <w:r>
              <w:rPr>
                <w:spacing w:val="8"/>
              </w:rPr>
              <w:t>工方案未组织专家审查论证。</w:t>
            </w:r>
          </w:p>
        </w:tc>
        <w:tc>
          <w:tcPr>
            <w:tcW w:w="1103" w:type="dxa"/>
            <w:vAlign w:val="top"/>
          </w:tcPr>
          <w:p w14:paraId="2D146398">
            <w:pPr>
              <w:pStyle w:val="16"/>
              <w:spacing w:before="181" w:line="228" w:lineRule="auto"/>
              <w:ind w:left="121"/>
            </w:pPr>
            <w:r>
              <w:rPr>
                <w:spacing w:val="7"/>
              </w:rPr>
              <w:t>元/项.次</w:t>
            </w:r>
          </w:p>
        </w:tc>
        <w:tc>
          <w:tcPr>
            <w:tcW w:w="1284" w:type="dxa"/>
            <w:vAlign w:val="top"/>
          </w:tcPr>
          <w:p w14:paraId="0A0C3E3E">
            <w:pPr>
              <w:pStyle w:val="16"/>
              <w:spacing w:before="181" w:line="225" w:lineRule="auto"/>
              <w:ind w:left="136"/>
            </w:pPr>
            <w:r>
              <w:rPr>
                <w:spacing w:val="1"/>
              </w:rPr>
              <w:t>10,000</w:t>
            </w:r>
          </w:p>
        </w:tc>
      </w:tr>
      <w:tr w14:paraId="3A285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4BBB0B6E">
            <w:pPr>
              <w:rPr>
                <w:rFonts w:ascii="Arial"/>
                <w:sz w:val="21"/>
              </w:rPr>
            </w:pPr>
          </w:p>
        </w:tc>
        <w:tc>
          <w:tcPr>
            <w:tcW w:w="827" w:type="dxa"/>
            <w:vMerge w:val="restart"/>
            <w:tcBorders>
              <w:bottom w:val="nil"/>
            </w:tcBorders>
            <w:vAlign w:val="top"/>
          </w:tcPr>
          <w:p w14:paraId="4E5FB05C">
            <w:pPr>
              <w:spacing w:line="248" w:lineRule="auto"/>
              <w:rPr>
                <w:rFonts w:ascii="Arial"/>
                <w:sz w:val="21"/>
              </w:rPr>
            </w:pPr>
          </w:p>
          <w:p w14:paraId="38EF1C07">
            <w:pPr>
              <w:spacing w:line="248" w:lineRule="auto"/>
              <w:rPr>
                <w:rFonts w:ascii="Arial"/>
                <w:sz w:val="21"/>
              </w:rPr>
            </w:pPr>
          </w:p>
          <w:p w14:paraId="38BB93F9">
            <w:pPr>
              <w:spacing w:line="248" w:lineRule="auto"/>
              <w:rPr>
                <w:rFonts w:ascii="Arial"/>
                <w:sz w:val="21"/>
              </w:rPr>
            </w:pPr>
          </w:p>
          <w:p w14:paraId="12C34C1B">
            <w:pPr>
              <w:spacing w:line="248" w:lineRule="auto"/>
              <w:rPr>
                <w:rFonts w:ascii="Arial"/>
                <w:sz w:val="21"/>
              </w:rPr>
            </w:pPr>
          </w:p>
          <w:p w14:paraId="612C4195">
            <w:pPr>
              <w:spacing w:line="249" w:lineRule="auto"/>
              <w:rPr>
                <w:rFonts w:ascii="Arial"/>
                <w:sz w:val="21"/>
              </w:rPr>
            </w:pPr>
          </w:p>
          <w:p w14:paraId="151C3145">
            <w:pPr>
              <w:spacing w:line="249" w:lineRule="auto"/>
              <w:rPr>
                <w:rFonts w:ascii="Arial"/>
                <w:sz w:val="21"/>
              </w:rPr>
            </w:pPr>
          </w:p>
          <w:p w14:paraId="56AC18D6">
            <w:pPr>
              <w:spacing w:line="249" w:lineRule="auto"/>
              <w:rPr>
                <w:rFonts w:ascii="Arial"/>
                <w:sz w:val="21"/>
              </w:rPr>
            </w:pPr>
          </w:p>
          <w:p w14:paraId="779FF472">
            <w:pPr>
              <w:spacing w:line="249" w:lineRule="auto"/>
              <w:rPr>
                <w:rFonts w:ascii="Arial"/>
                <w:sz w:val="21"/>
              </w:rPr>
            </w:pPr>
          </w:p>
          <w:p w14:paraId="16EA4874">
            <w:pPr>
              <w:pStyle w:val="16"/>
              <w:spacing w:before="65" w:line="252" w:lineRule="auto"/>
              <w:ind w:left="116" w:right="113"/>
            </w:pPr>
            <w:r>
              <w:rPr>
                <w:spacing w:val="-2"/>
              </w:rPr>
              <w:t>4.资</w:t>
            </w:r>
            <w:r>
              <w:t>料</w:t>
            </w:r>
          </w:p>
        </w:tc>
        <w:tc>
          <w:tcPr>
            <w:tcW w:w="817" w:type="dxa"/>
            <w:vAlign w:val="top"/>
          </w:tcPr>
          <w:p w14:paraId="59B5AFC8">
            <w:pPr>
              <w:pStyle w:val="16"/>
              <w:spacing w:before="181" w:line="268" w:lineRule="exact"/>
              <w:ind w:left="111"/>
            </w:pPr>
            <w:r>
              <w:rPr>
                <w:spacing w:val="4"/>
                <w:position w:val="1"/>
              </w:rPr>
              <w:t>A401</w:t>
            </w:r>
          </w:p>
        </w:tc>
        <w:tc>
          <w:tcPr>
            <w:tcW w:w="5323" w:type="dxa"/>
            <w:vAlign w:val="top"/>
          </w:tcPr>
          <w:p w14:paraId="6641571E">
            <w:pPr>
              <w:pStyle w:val="16"/>
              <w:spacing w:before="46" w:line="238" w:lineRule="auto"/>
              <w:ind w:left="116" w:right="100" w:firstLine="3"/>
            </w:pPr>
            <w:r>
              <w:rPr>
                <w:spacing w:val="8"/>
              </w:rPr>
              <w:t>未履行规定程序而擅自改变设计(包括设计方案</w:t>
            </w:r>
            <w:r>
              <w:rPr>
                <w:spacing w:val="7"/>
              </w:rPr>
              <w:t>、尺寸、</w:t>
            </w:r>
            <w:r>
              <w:rPr>
                <w:spacing w:val="5"/>
              </w:rPr>
              <w:t>位置)</w:t>
            </w:r>
          </w:p>
        </w:tc>
        <w:tc>
          <w:tcPr>
            <w:tcW w:w="1103" w:type="dxa"/>
            <w:vAlign w:val="top"/>
          </w:tcPr>
          <w:p w14:paraId="49CCB1D2">
            <w:pPr>
              <w:pStyle w:val="16"/>
              <w:spacing w:before="181" w:line="228" w:lineRule="auto"/>
              <w:ind w:left="121"/>
            </w:pPr>
            <w:r>
              <w:rPr>
                <w:spacing w:val="4"/>
              </w:rPr>
              <w:t>元/次</w:t>
            </w:r>
          </w:p>
        </w:tc>
        <w:tc>
          <w:tcPr>
            <w:tcW w:w="1284" w:type="dxa"/>
            <w:vAlign w:val="top"/>
          </w:tcPr>
          <w:p w14:paraId="3D772D46">
            <w:pPr>
              <w:pStyle w:val="16"/>
              <w:spacing w:before="181" w:line="225" w:lineRule="auto"/>
              <w:ind w:left="123"/>
            </w:pPr>
            <w:r>
              <w:rPr>
                <w:spacing w:val="3"/>
              </w:rPr>
              <w:t>200,000</w:t>
            </w:r>
          </w:p>
        </w:tc>
      </w:tr>
      <w:tr w14:paraId="32E7E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7332BEC7">
            <w:pPr>
              <w:rPr>
                <w:rFonts w:ascii="Arial"/>
                <w:sz w:val="21"/>
              </w:rPr>
            </w:pPr>
          </w:p>
        </w:tc>
        <w:tc>
          <w:tcPr>
            <w:tcW w:w="827" w:type="dxa"/>
            <w:vMerge w:val="continue"/>
            <w:tcBorders>
              <w:top w:val="nil"/>
              <w:bottom w:val="nil"/>
            </w:tcBorders>
            <w:vAlign w:val="top"/>
          </w:tcPr>
          <w:p w14:paraId="067BD89F">
            <w:pPr>
              <w:rPr>
                <w:rFonts w:ascii="Arial"/>
                <w:sz w:val="21"/>
              </w:rPr>
            </w:pPr>
          </w:p>
        </w:tc>
        <w:tc>
          <w:tcPr>
            <w:tcW w:w="817" w:type="dxa"/>
            <w:vAlign w:val="top"/>
          </w:tcPr>
          <w:p w14:paraId="6A551DD6">
            <w:pPr>
              <w:pStyle w:val="16"/>
              <w:spacing w:before="182" w:line="269" w:lineRule="exact"/>
              <w:ind w:left="111"/>
            </w:pPr>
            <w:r>
              <w:rPr>
                <w:spacing w:val="4"/>
                <w:position w:val="1"/>
              </w:rPr>
              <w:t>A402</w:t>
            </w:r>
          </w:p>
        </w:tc>
        <w:tc>
          <w:tcPr>
            <w:tcW w:w="5323" w:type="dxa"/>
            <w:vAlign w:val="top"/>
          </w:tcPr>
          <w:p w14:paraId="0B995E96">
            <w:pPr>
              <w:pStyle w:val="16"/>
              <w:spacing w:before="182" w:line="228" w:lineRule="auto"/>
              <w:ind w:left="120"/>
            </w:pPr>
            <w:r>
              <w:rPr>
                <w:spacing w:val="8"/>
              </w:rPr>
              <w:t>设备和试验室无管理台帐。</w:t>
            </w:r>
          </w:p>
        </w:tc>
        <w:tc>
          <w:tcPr>
            <w:tcW w:w="1103" w:type="dxa"/>
            <w:vAlign w:val="top"/>
          </w:tcPr>
          <w:p w14:paraId="7C859A1A">
            <w:pPr>
              <w:pStyle w:val="16"/>
              <w:spacing w:before="182" w:line="228" w:lineRule="auto"/>
              <w:ind w:left="121"/>
            </w:pPr>
            <w:r>
              <w:rPr>
                <w:spacing w:val="4"/>
              </w:rPr>
              <w:t>元/次</w:t>
            </w:r>
          </w:p>
        </w:tc>
        <w:tc>
          <w:tcPr>
            <w:tcW w:w="1284" w:type="dxa"/>
            <w:vAlign w:val="top"/>
          </w:tcPr>
          <w:p w14:paraId="0D73E683">
            <w:pPr>
              <w:pStyle w:val="16"/>
              <w:spacing w:before="182" w:line="225" w:lineRule="auto"/>
              <w:ind w:left="123"/>
            </w:pPr>
            <w:r>
              <w:rPr>
                <w:spacing w:val="2"/>
              </w:rPr>
              <w:t>2,000</w:t>
            </w:r>
          </w:p>
        </w:tc>
      </w:tr>
      <w:tr w14:paraId="53801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0A4E028A">
            <w:pPr>
              <w:rPr>
                <w:rFonts w:ascii="Arial"/>
                <w:sz w:val="21"/>
              </w:rPr>
            </w:pPr>
          </w:p>
        </w:tc>
        <w:tc>
          <w:tcPr>
            <w:tcW w:w="827" w:type="dxa"/>
            <w:vMerge w:val="continue"/>
            <w:tcBorders>
              <w:top w:val="nil"/>
              <w:bottom w:val="nil"/>
            </w:tcBorders>
            <w:vAlign w:val="top"/>
          </w:tcPr>
          <w:p w14:paraId="100EDA40">
            <w:pPr>
              <w:rPr>
                <w:rFonts w:ascii="Arial"/>
                <w:sz w:val="21"/>
              </w:rPr>
            </w:pPr>
          </w:p>
        </w:tc>
        <w:tc>
          <w:tcPr>
            <w:tcW w:w="817" w:type="dxa"/>
            <w:vAlign w:val="top"/>
          </w:tcPr>
          <w:p w14:paraId="3EEA347C">
            <w:pPr>
              <w:pStyle w:val="16"/>
              <w:spacing w:before="181" w:line="269" w:lineRule="exact"/>
              <w:ind w:left="111"/>
            </w:pPr>
            <w:r>
              <w:rPr>
                <w:spacing w:val="4"/>
                <w:position w:val="1"/>
              </w:rPr>
              <w:t>A403</w:t>
            </w:r>
          </w:p>
        </w:tc>
        <w:tc>
          <w:tcPr>
            <w:tcW w:w="5323" w:type="dxa"/>
            <w:vAlign w:val="top"/>
          </w:tcPr>
          <w:p w14:paraId="2A66E6B7">
            <w:pPr>
              <w:pStyle w:val="16"/>
              <w:spacing w:before="181" w:line="228" w:lineRule="auto"/>
              <w:ind w:left="116"/>
            </w:pPr>
            <w:r>
              <w:rPr>
                <w:spacing w:val="8"/>
              </w:rPr>
              <w:t>试验资料不齐全，填写不标准，签字不全。</w:t>
            </w:r>
          </w:p>
        </w:tc>
        <w:tc>
          <w:tcPr>
            <w:tcW w:w="1103" w:type="dxa"/>
            <w:vAlign w:val="top"/>
          </w:tcPr>
          <w:p w14:paraId="04472CC2">
            <w:pPr>
              <w:pStyle w:val="16"/>
              <w:spacing w:before="181" w:line="228" w:lineRule="auto"/>
              <w:ind w:left="121"/>
            </w:pPr>
            <w:r>
              <w:rPr>
                <w:spacing w:val="4"/>
              </w:rPr>
              <w:t>元/次</w:t>
            </w:r>
          </w:p>
        </w:tc>
        <w:tc>
          <w:tcPr>
            <w:tcW w:w="1284" w:type="dxa"/>
            <w:vAlign w:val="top"/>
          </w:tcPr>
          <w:p w14:paraId="3E0B274D">
            <w:pPr>
              <w:pStyle w:val="16"/>
              <w:spacing w:before="181" w:line="225" w:lineRule="auto"/>
              <w:ind w:left="136"/>
            </w:pPr>
            <w:r>
              <w:t>1,000</w:t>
            </w:r>
          </w:p>
        </w:tc>
      </w:tr>
      <w:tr w14:paraId="1E20D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7300E487">
            <w:pPr>
              <w:rPr>
                <w:rFonts w:ascii="Arial"/>
                <w:sz w:val="21"/>
              </w:rPr>
            </w:pPr>
          </w:p>
        </w:tc>
        <w:tc>
          <w:tcPr>
            <w:tcW w:w="827" w:type="dxa"/>
            <w:vMerge w:val="continue"/>
            <w:tcBorders>
              <w:top w:val="nil"/>
              <w:bottom w:val="nil"/>
            </w:tcBorders>
            <w:vAlign w:val="top"/>
          </w:tcPr>
          <w:p w14:paraId="3886C7C2">
            <w:pPr>
              <w:rPr>
                <w:rFonts w:ascii="Arial"/>
                <w:sz w:val="21"/>
              </w:rPr>
            </w:pPr>
          </w:p>
        </w:tc>
        <w:tc>
          <w:tcPr>
            <w:tcW w:w="817" w:type="dxa"/>
            <w:vAlign w:val="top"/>
          </w:tcPr>
          <w:p w14:paraId="4F30A1CF">
            <w:pPr>
              <w:pStyle w:val="16"/>
              <w:spacing w:before="183" w:line="268" w:lineRule="exact"/>
              <w:ind w:left="111"/>
            </w:pPr>
            <w:r>
              <w:rPr>
                <w:spacing w:val="4"/>
                <w:position w:val="1"/>
              </w:rPr>
              <w:t>A404</w:t>
            </w:r>
          </w:p>
        </w:tc>
        <w:tc>
          <w:tcPr>
            <w:tcW w:w="5323" w:type="dxa"/>
            <w:vAlign w:val="top"/>
          </w:tcPr>
          <w:p w14:paraId="21FC25AE">
            <w:pPr>
              <w:pStyle w:val="16"/>
              <w:spacing w:before="182" w:line="228" w:lineRule="auto"/>
              <w:ind w:left="117"/>
            </w:pPr>
            <w:r>
              <w:rPr>
                <w:spacing w:val="8"/>
              </w:rPr>
              <w:t>测试资料不真实、有涂改的。</w:t>
            </w:r>
          </w:p>
        </w:tc>
        <w:tc>
          <w:tcPr>
            <w:tcW w:w="1103" w:type="dxa"/>
            <w:vAlign w:val="top"/>
          </w:tcPr>
          <w:p w14:paraId="326B6437">
            <w:pPr>
              <w:pStyle w:val="16"/>
              <w:spacing w:before="182" w:line="228" w:lineRule="auto"/>
              <w:ind w:left="121"/>
            </w:pPr>
            <w:r>
              <w:rPr>
                <w:spacing w:val="4"/>
              </w:rPr>
              <w:t>元/次</w:t>
            </w:r>
          </w:p>
        </w:tc>
        <w:tc>
          <w:tcPr>
            <w:tcW w:w="1284" w:type="dxa"/>
            <w:vAlign w:val="top"/>
          </w:tcPr>
          <w:p w14:paraId="2607AA02">
            <w:pPr>
              <w:pStyle w:val="16"/>
              <w:spacing w:before="183" w:line="225" w:lineRule="auto"/>
              <w:ind w:left="123"/>
            </w:pPr>
            <w:r>
              <w:rPr>
                <w:spacing w:val="2"/>
              </w:rPr>
              <w:t>2,000</w:t>
            </w:r>
          </w:p>
        </w:tc>
      </w:tr>
      <w:tr w14:paraId="0CE4B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75F7D667">
            <w:pPr>
              <w:rPr>
                <w:rFonts w:ascii="Arial"/>
                <w:sz w:val="21"/>
              </w:rPr>
            </w:pPr>
          </w:p>
        </w:tc>
        <w:tc>
          <w:tcPr>
            <w:tcW w:w="827" w:type="dxa"/>
            <w:vMerge w:val="continue"/>
            <w:tcBorders>
              <w:top w:val="nil"/>
              <w:bottom w:val="nil"/>
            </w:tcBorders>
            <w:vAlign w:val="top"/>
          </w:tcPr>
          <w:p w14:paraId="2DB85113">
            <w:pPr>
              <w:rPr>
                <w:rFonts w:ascii="Arial"/>
                <w:sz w:val="21"/>
              </w:rPr>
            </w:pPr>
          </w:p>
        </w:tc>
        <w:tc>
          <w:tcPr>
            <w:tcW w:w="817" w:type="dxa"/>
            <w:vAlign w:val="top"/>
          </w:tcPr>
          <w:p w14:paraId="30E36225">
            <w:pPr>
              <w:pStyle w:val="16"/>
              <w:spacing w:before="182" w:line="268" w:lineRule="exact"/>
              <w:ind w:left="111"/>
            </w:pPr>
            <w:r>
              <w:rPr>
                <w:spacing w:val="4"/>
                <w:position w:val="1"/>
              </w:rPr>
              <w:t>A405</w:t>
            </w:r>
          </w:p>
        </w:tc>
        <w:tc>
          <w:tcPr>
            <w:tcW w:w="5323" w:type="dxa"/>
            <w:vAlign w:val="top"/>
          </w:tcPr>
          <w:p w14:paraId="1F555414">
            <w:pPr>
              <w:pStyle w:val="16"/>
              <w:spacing w:before="181" w:line="228" w:lineRule="auto"/>
              <w:ind w:left="120"/>
            </w:pPr>
            <w:r>
              <w:rPr>
                <w:spacing w:val="9"/>
              </w:rPr>
              <w:t>未按规定做好各项资料的编制，又未按要求整改</w:t>
            </w:r>
            <w:r>
              <w:rPr>
                <w:spacing w:val="8"/>
              </w:rPr>
              <w:t>的。</w:t>
            </w:r>
          </w:p>
        </w:tc>
        <w:tc>
          <w:tcPr>
            <w:tcW w:w="1103" w:type="dxa"/>
            <w:vAlign w:val="top"/>
          </w:tcPr>
          <w:p w14:paraId="7C4361F8">
            <w:pPr>
              <w:pStyle w:val="16"/>
              <w:spacing w:before="181" w:line="228" w:lineRule="auto"/>
              <w:ind w:left="121"/>
            </w:pPr>
            <w:r>
              <w:rPr>
                <w:spacing w:val="4"/>
              </w:rPr>
              <w:t>元/次</w:t>
            </w:r>
          </w:p>
        </w:tc>
        <w:tc>
          <w:tcPr>
            <w:tcW w:w="1284" w:type="dxa"/>
            <w:vAlign w:val="top"/>
          </w:tcPr>
          <w:p w14:paraId="0784805F">
            <w:pPr>
              <w:pStyle w:val="16"/>
              <w:spacing w:before="182" w:line="225" w:lineRule="auto"/>
              <w:ind w:left="123"/>
            </w:pPr>
            <w:r>
              <w:rPr>
                <w:spacing w:val="2"/>
              </w:rPr>
              <w:t>2,000</w:t>
            </w:r>
          </w:p>
        </w:tc>
      </w:tr>
      <w:tr w14:paraId="64B20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67453F46">
            <w:pPr>
              <w:rPr>
                <w:rFonts w:ascii="Arial"/>
                <w:sz w:val="21"/>
              </w:rPr>
            </w:pPr>
          </w:p>
        </w:tc>
        <w:tc>
          <w:tcPr>
            <w:tcW w:w="827" w:type="dxa"/>
            <w:vMerge w:val="continue"/>
            <w:tcBorders>
              <w:top w:val="nil"/>
              <w:bottom w:val="nil"/>
            </w:tcBorders>
            <w:vAlign w:val="top"/>
          </w:tcPr>
          <w:p w14:paraId="2BF9F5D3">
            <w:pPr>
              <w:rPr>
                <w:rFonts w:ascii="Arial"/>
                <w:sz w:val="21"/>
              </w:rPr>
            </w:pPr>
          </w:p>
        </w:tc>
        <w:tc>
          <w:tcPr>
            <w:tcW w:w="817" w:type="dxa"/>
            <w:vAlign w:val="top"/>
          </w:tcPr>
          <w:p w14:paraId="214AEF40">
            <w:pPr>
              <w:pStyle w:val="16"/>
              <w:spacing w:before="181" w:line="268" w:lineRule="exact"/>
              <w:ind w:left="111"/>
            </w:pPr>
            <w:r>
              <w:rPr>
                <w:spacing w:val="4"/>
                <w:position w:val="1"/>
              </w:rPr>
              <w:t>A406</w:t>
            </w:r>
          </w:p>
        </w:tc>
        <w:tc>
          <w:tcPr>
            <w:tcW w:w="5323" w:type="dxa"/>
            <w:vAlign w:val="top"/>
          </w:tcPr>
          <w:p w14:paraId="0AD8E5C6">
            <w:pPr>
              <w:pStyle w:val="16"/>
              <w:spacing w:before="181" w:line="227" w:lineRule="auto"/>
              <w:ind w:left="121"/>
            </w:pPr>
            <w:r>
              <w:rPr>
                <w:spacing w:val="7"/>
              </w:rPr>
              <w:t>原始资料弄虚作假。</w:t>
            </w:r>
          </w:p>
        </w:tc>
        <w:tc>
          <w:tcPr>
            <w:tcW w:w="1103" w:type="dxa"/>
            <w:vAlign w:val="top"/>
          </w:tcPr>
          <w:p w14:paraId="1639DE51">
            <w:pPr>
              <w:pStyle w:val="16"/>
              <w:spacing w:before="180" w:line="228" w:lineRule="auto"/>
              <w:ind w:left="121"/>
            </w:pPr>
            <w:r>
              <w:rPr>
                <w:spacing w:val="4"/>
              </w:rPr>
              <w:t>元/次</w:t>
            </w:r>
          </w:p>
        </w:tc>
        <w:tc>
          <w:tcPr>
            <w:tcW w:w="1284" w:type="dxa"/>
            <w:vAlign w:val="top"/>
          </w:tcPr>
          <w:p w14:paraId="2E953BA1">
            <w:pPr>
              <w:pStyle w:val="16"/>
              <w:spacing w:before="181" w:line="225" w:lineRule="auto"/>
              <w:ind w:left="123"/>
            </w:pPr>
            <w:r>
              <w:rPr>
                <w:spacing w:val="2"/>
              </w:rPr>
              <w:t>2,000</w:t>
            </w:r>
          </w:p>
        </w:tc>
      </w:tr>
      <w:tr w14:paraId="6FB14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6200B5C7">
            <w:pPr>
              <w:rPr>
                <w:rFonts w:ascii="Arial"/>
                <w:sz w:val="21"/>
              </w:rPr>
            </w:pPr>
          </w:p>
        </w:tc>
        <w:tc>
          <w:tcPr>
            <w:tcW w:w="827" w:type="dxa"/>
            <w:vMerge w:val="continue"/>
            <w:tcBorders>
              <w:top w:val="nil"/>
              <w:bottom w:val="nil"/>
            </w:tcBorders>
            <w:vAlign w:val="top"/>
          </w:tcPr>
          <w:p w14:paraId="06B4D112">
            <w:pPr>
              <w:rPr>
                <w:rFonts w:ascii="Arial"/>
                <w:sz w:val="21"/>
              </w:rPr>
            </w:pPr>
          </w:p>
        </w:tc>
        <w:tc>
          <w:tcPr>
            <w:tcW w:w="817" w:type="dxa"/>
            <w:vAlign w:val="top"/>
          </w:tcPr>
          <w:p w14:paraId="768B31F9">
            <w:pPr>
              <w:pStyle w:val="16"/>
              <w:spacing w:before="182" w:line="269" w:lineRule="exact"/>
              <w:ind w:left="111"/>
            </w:pPr>
            <w:r>
              <w:rPr>
                <w:spacing w:val="4"/>
                <w:position w:val="1"/>
              </w:rPr>
              <w:t>A407</w:t>
            </w:r>
          </w:p>
        </w:tc>
        <w:tc>
          <w:tcPr>
            <w:tcW w:w="5323" w:type="dxa"/>
            <w:vAlign w:val="top"/>
          </w:tcPr>
          <w:p w14:paraId="785C4796">
            <w:pPr>
              <w:pStyle w:val="16"/>
              <w:spacing w:before="182" w:line="228" w:lineRule="auto"/>
              <w:ind w:left="120"/>
            </w:pPr>
            <w:r>
              <w:rPr>
                <w:spacing w:val="8"/>
              </w:rPr>
              <w:t>未按规定时间、路径或程序上报文件。</w:t>
            </w:r>
          </w:p>
        </w:tc>
        <w:tc>
          <w:tcPr>
            <w:tcW w:w="1103" w:type="dxa"/>
            <w:vAlign w:val="top"/>
          </w:tcPr>
          <w:p w14:paraId="23990405">
            <w:pPr>
              <w:pStyle w:val="16"/>
              <w:spacing w:before="182" w:line="228" w:lineRule="auto"/>
              <w:ind w:left="121"/>
            </w:pPr>
            <w:r>
              <w:rPr>
                <w:spacing w:val="4"/>
              </w:rPr>
              <w:t>元/次</w:t>
            </w:r>
          </w:p>
        </w:tc>
        <w:tc>
          <w:tcPr>
            <w:tcW w:w="1284" w:type="dxa"/>
            <w:vAlign w:val="top"/>
          </w:tcPr>
          <w:p w14:paraId="64D72441">
            <w:pPr>
              <w:pStyle w:val="16"/>
              <w:spacing w:before="182" w:line="225" w:lineRule="auto"/>
              <w:ind w:left="124"/>
            </w:pPr>
            <w:r>
              <w:rPr>
                <w:spacing w:val="2"/>
              </w:rPr>
              <w:t>3,000</w:t>
            </w:r>
          </w:p>
        </w:tc>
      </w:tr>
      <w:tr w14:paraId="18B34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0D254A84">
            <w:pPr>
              <w:rPr>
                <w:rFonts w:ascii="Arial"/>
                <w:sz w:val="21"/>
              </w:rPr>
            </w:pPr>
          </w:p>
        </w:tc>
        <w:tc>
          <w:tcPr>
            <w:tcW w:w="827" w:type="dxa"/>
            <w:vMerge w:val="continue"/>
            <w:tcBorders>
              <w:top w:val="nil"/>
            </w:tcBorders>
            <w:vAlign w:val="top"/>
          </w:tcPr>
          <w:p w14:paraId="25328135">
            <w:pPr>
              <w:rPr>
                <w:rFonts w:ascii="Arial"/>
                <w:sz w:val="21"/>
              </w:rPr>
            </w:pPr>
          </w:p>
        </w:tc>
        <w:tc>
          <w:tcPr>
            <w:tcW w:w="817" w:type="dxa"/>
            <w:vAlign w:val="top"/>
          </w:tcPr>
          <w:p w14:paraId="19753FDB">
            <w:pPr>
              <w:pStyle w:val="16"/>
              <w:spacing w:before="181" w:line="269" w:lineRule="exact"/>
              <w:ind w:left="111"/>
            </w:pPr>
            <w:r>
              <w:rPr>
                <w:spacing w:val="4"/>
                <w:position w:val="1"/>
              </w:rPr>
              <w:t>A408</w:t>
            </w:r>
          </w:p>
        </w:tc>
        <w:tc>
          <w:tcPr>
            <w:tcW w:w="5323" w:type="dxa"/>
            <w:vAlign w:val="top"/>
          </w:tcPr>
          <w:p w14:paraId="7F52039C">
            <w:pPr>
              <w:pStyle w:val="16"/>
              <w:spacing w:before="46" w:line="238" w:lineRule="auto"/>
              <w:ind w:left="116" w:right="111"/>
            </w:pPr>
            <w:r>
              <w:rPr>
                <w:spacing w:val="10"/>
              </w:rPr>
              <w:t>检验批、分项、分部、试验等施工资料编制，比工程进</w:t>
            </w:r>
            <w:r>
              <w:rPr>
                <w:spacing w:val="5"/>
              </w:rPr>
              <w:t>度滞后达1个月以上的</w:t>
            </w:r>
          </w:p>
        </w:tc>
        <w:tc>
          <w:tcPr>
            <w:tcW w:w="1103" w:type="dxa"/>
            <w:vAlign w:val="top"/>
          </w:tcPr>
          <w:p w14:paraId="50EE38E7">
            <w:pPr>
              <w:pStyle w:val="16"/>
              <w:spacing w:before="181" w:line="228" w:lineRule="auto"/>
              <w:ind w:left="121"/>
            </w:pPr>
            <w:r>
              <w:rPr>
                <w:spacing w:val="4"/>
              </w:rPr>
              <w:t>元/次</w:t>
            </w:r>
          </w:p>
        </w:tc>
        <w:tc>
          <w:tcPr>
            <w:tcW w:w="1284" w:type="dxa"/>
            <w:vAlign w:val="top"/>
          </w:tcPr>
          <w:p w14:paraId="6395DC22">
            <w:pPr>
              <w:pStyle w:val="16"/>
              <w:spacing w:before="181" w:line="225" w:lineRule="auto"/>
              <w:ind w:left="123"/>
            </w:pPr>
            <w:r>
              <w:rPr>
                <w:spacing w:val="2"/>
              </w:rPr>
              <w:t>2,000</w:t>
            </w:r>
          </w:p>
        </w:tc>
      </w:tr>
      <w:tr w14:paraId="31783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5B8A5BDE">
            <w:pPr>
              <w:rPr>
                <w:rFonts w:ascii="Arial"/>
                <w:sz w:val="21"/>
              </w:rPr>
            </w:pPr>
          </w:p>
        </w:tc>
        <w:tc>
          <w:tcPr>
            <w:tcW w:w="827" w:type="dxa"/>
            <w:vMerge w:val="restart"/>
            <w:tcBorders>
              <w:bottom w:val="nil"/>
            </w:tcBorders>
            <w:vAlign w:val="top"/>
          </w:tcPr>
          <w:p w14:paraId="22A120EC">
            <w:pPr>
              <w:spacing w:line="280" w:lineRule="auto"/>
              <w:rPr>
                <w:rFonts w:ascii="Arial"/>
                <w:sz w:val="21"/>
              </w:rPr>
            </w:pPr>
          </w:p>
          <w:p w14:paraId="09E426F6">
            <w:pPr>
              <w:spacing w:line="280" w:lineRule="auto"/>
              <w:rPr>
                <w:rFonts w:ascii="Arial"/>
                <w:sz w:val="21"/>
              </w:rPr>
            </w:pPr>
          </w:p>
          <w:p w14:paraId="23635B47">
            <w:pPr>
              <w:spacing w:line="280" w:lineRule="auto"/>
              <w:rPr>
                <w:rFonts w:ascii="Arial"/>
                <w:sz w:val="21"/>
              </w:rPr>
            </w:pPr>
          </w:p>
          <w:p w14:paraId="72C618C9">
            <w:pPr>
              <w:pStyle w:val="16"/>
              <w:spacing w:before="65" w:line="258" w:lineRule="auto"/>
              <w:ind w:left="121" w:right="113"/>
            </w:pPr>
            <w:r>
              <w:rPr>
                <w:spacing w:val="-1"/>
              </w:rPr>
              <w:t>5.其</w:t>
            </w:r>
            <w:r>
              <w:t>它</w:t>
            </w:r>
          </w:p>
        </w:tc>
        <w:tc>
          <w:tcPr>
            <w:tcW w:w="817" w:type="dxa"/>
            <w:vAlign w:val="top"/>
          </w:tcPr>
          <w:p w14:paraId="7DE15A68">
            <w:pPr>
              <w:pStyle w:val="16"/>
              <w:spacing w:before="183" w:line="268" w:lineRule="exact"/>
              <w:ind w:left="111"/>
            </w:pPr>
            <w:r>
              <w:rPr>
                <w:spacing w:val="4"/>
                <w:position w:val="1"/>
              </w:rPr>
              <w:t>A501</w:t>
            </w:r>
          </w:p>
        </w:tc>
        <w:tc>
          <w:tcPr>
            <w:tcW w:w="5323" w:type="dxa"/>
            <w:vAlign w:val="top"/>
          </w:tcPr>
          <w:p w14:paraId="2144F468">
            <w:pPr>
              <w:pStyle w:val="16"/>
              <w:spacing w:before="182" w:line="228" w:lineRule="auto"/>
              <w:ind w:left="116"/>
            </w:pPr>
            <w:r>
              <w:rPr>
                <w:spacing w:val="7"/>
              </w:rPr>
              <w:t>施工现场管理混乱，不符合“双标管理”的要求。</w:t>
            </w:r>
          </w:p>
        </w:tc>
        <w:tc>
          <w:tcPr>
            <w:tcW w:w="1103" w:type="dxa"/>
            <w:vAlign w:val="top"/>
          </w:tcPr>
          <w:p w14:paraId="7EAC312F">
            <w:pPr>
              <w:pStyle w:val="16"/>
              <w:spacing w:before="182" w:line="228" w:lineRule="auto"/>
              <w:ind w:left="121"/>
            </w:pPr>
            <w:r>
              <w:rPr>
                <w:spacing w:val="4"/>
              </w:rPr>
              <w:t>元/次</w:t>
            </w:r>
          </w:p>
        </w:tc>
        <w:tc>
          <w:tcPr>
            <w:tcW w:w="1284" w:type="dxa"/>
            <w:vAlign w:val="top"/>
          </w:tcPr>
          <w:p w14:paraId="195EF5DC">
            <w:pPr>
              <w:pStyle w:val="16"/>
              <w:spacing w:before="182" w:line="225" w:lineRule="auto"/>
              <w:ind w:left="124"/>
            </w:pPr>
            <w:r>
              <w:rPr>
                <w:spacing w:val="2"/>
              </w:rPr>
              <w:t>3,000</w:t>
            </w:r>
          </w:p>
        </w:tc>
      </w:tr>
      <w:tr w14:paraId="36C5E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679241A9">
            <w:pPr>
              <w:rPr>
                <w:rFonts w:ascii="Arial"/>
                <w:sz w:val="21"/>
              </w:rPr>
            </w:pPr>
          </w:p>
        </w:tc>
        <w:tc>
          <w:tcPr>
            <w:tcW w:w="827" w:type="dxa"/>
            <w:vMerge w:val="continue"/>
            <w:tcBorders>
              <w:top w:val="nil"/>
              <w:bottom w:val="nil"/>
            </w:tcBorders>
            <w:vAlign w:val="top"/>
          </w:tcPr>
          <w:p w14:paraId="3398C8C1">
            <w:pPr>
              <w:rPr>
                <w:rFonts w:ascii="Arial"/>
                <w:sz w:val="21"/>
              </w:rPr>
            </w:pPr>
          </w:p>
        </w:tc>
        <w:tc>
          <w:tcPr>
            <w:tcW w:w="817" w:type="dxa"/>
            <w:vAlign w:val="top"/>
          </w:tcPr>
          <w:p w14:paraId="13203882">
            <w:pPr>
              <w:pStyle w:val="16"/>
              <w:spacing w:before="182" w:line="268" w:lineRule="exact"/>
              <w:ind w:left="111"/>
            </w:pPr>
            <w:r>
              <w:rPr>
                <w:spacing w:val="4"/>
                <w:position w:val="1"/>
              </w:rPr>
              <w:t>A502</w:t>
            </w:r>
          </w:p>
        </w:tc>
        <w:tc>
          <w:tcPr>
            <w:tcW w:w="5323" w:type="dxa"/>
            <w:vAlign w:val="top"/>
          </w:tcPr>
          <w:p w14:paraId="70141A28">
            <w:pPr>
              <w:pStyle w:val="16"/>
              <w:spacing w:before="46" w:line="238" w:lineRule="auto"/>
              <w:ind w:left="133" w:right="111" w:hanging="13"/>
            </w:pPr>
            <w:r>
              <w:rPr>
                <w:spacing w:val="11"/>
              </w:rPr>
              <w:t>未经批准（请假</w:t>
            </w:r>
            <w:r>
              <w:rPr>
                <w:spacing w:val="1"/>
              </w:rPr>
              <w:t>），</w:t>
            </w:r>
            <w:r>
              <w:rPr>
                <w:spacing w:val="11"/>
              </w:rPr>
              <w:t>相关人员缺席发包人或监理人召集</w:t>
            </w:r>
            <w:r>
              <w:rPr>
                <w:spacing w:val="3"/>
              </w:rPr>
              <w:t>的重要会议。</w:t>
            </w:r>
          </w:p>
        </w:tc>
        <w:tc>
          <w:tcPr>
            <w:tcW w:w="1103" w:type="dxa"/>
            <w:vAlign w:val="top"/>
          </w:tcPr>
          <w:p w14:paraId="48951243">
            <w:pPr>
              <w:pStyle w:val="16"/>
              <w:spacing w:before="181" w:line="228" w:lineRule="auto"/>
              <w:ind w:left="121"/>
            </w:pPr>
            <w:r>
              <w:rPr>
                <w:spacing w:val="7"/>
              </w:rPr>
              <w:t>元/人.次</w:t>
            </w:r>
          </w:p>
        </w:tc>
        <w:tc>
          <w:tcPr>
            <w:tcW w:w="1284" w:type="dxa"/>
            <w:vAlign w:val="top"/>
          </w:tcPr>
          <w:p w14:paraId="3F18E57D">
            <w:pPr>
              <w:pStyle w:val="16"/>
              <w:spacing w:before="181" w:line="225" w:lineRule="auto"/>
              <w:ind w:left="124"/>
            </w:pPr>
            <w:r>
              <w:rPr>
                <w:spacing w:val="2"/>
              </w:rPr>
              <w:t>5,000</w:t>
            </w:r>
          </w:p>
        </w:tc>
      </w:tr>
      <w:tr w14:paraId="024A2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21EDBAC9">
            <w:pPr>
              <w:rPr>
                <w:rFonts w:ascii="Arial"/>
                <w:sz w:val="21"/>
              </w:rPr>
            </w:pPr>
          </w:p>
        </w:tc>
        <w:tc>
          <w:tcPr>
            <w:tcW w:w="827" w:type="dxa"/>
            <w:vMerge w:val="continue"/>
            <w:tcBorders>
              <w:top w:val="nil"/>
              <w:bottom w:val="nil"/>
            </w:tcBorders>
            <w:vAlign w:val="top"/>
          </w:tcPr>
          <w:p w14:paraId="0980AA91">
            <w:pPr>
              <w:rPr>
                <w:rFonts w:ascii="Arial"/>
                <w:sz w:val="21"/>
              </w:rPr>
            </w:pPr>
          </w:p>
        </w:tc>
        <w:tc>
          <w:tcPr>
            <w:tcW w:w="817" w:type="dxa"/>
            <w:vAlign w:val="top"/>
          </w:tcPr>
          <w:p w14:paraId="5AB4F528">
            <w:pPr>
              <w:pStyle w:val="16"/>
              <w:spacing w:before="183" w:line="268" w:lineRule="exact"/>
              <w:ind w:left="111"/>
            </w:pPr>
            <w:r>
              <w:rPr>
                <w:spacing w:val="4"/>
                <w:position w:val="1"/>
              </w:rPr>
              <w:t>A503</w:t>
            </w:r>
          </w:p>
        </w:tc>
        <w:tc>
          <w:tcPr>
            <w:tcW w:w="5323" w:type="dxa"/>
            <w:vAlign w:val="top"/>
          </w:tcPr>
          <w:p w14:paraId="79B17FD7">
            <w:pPr>
              <w:pStyle w:val="16"/>
              <w:spacing w:before="46" w:line="238" w:lineRule="auto"/>
              <w:ind w:left="121" w:right="111" w:hanging="1"/>
            </w:pPr>
            <w:r>
              <w:rPr>
                <w:spacing w:val="10"/>
              </w:rPr>
              <w:t>非法使用农民工，或拖欠农民工工资，由此造成上访或</w:t>
            </w:r>
            <w:r>
              <w:rPr>
                <w:spacing w:val="5"/>
              </w:rPr>
              <w:t>劳动纠纷的。</w:t>
            </w:r>
          </w:p>
        </w:tc>
        <w:tc>
          <w:tcPr>
            <w:tcW w:w="1103" w:type="dxa"/>
            <w:vAlign w:val="top"/>
          </w:tcPr>
          <w:p w14:paraId="31FA73DD">
            <w:pPr>
              <w:pStyle w:val="16"/>
              <w:spacing w:before="183" w:line="228" w:lineRule="auto"/>
              <w:ind w:left="121"/>
            </w:pPr>
            <w:r>
              <w:rPr>
                <w:spacing w:val="4"/>
              </w:rPr>
              <w:t>元/次</w:t>
            </w:r>
          </w:p>
        </w:tc>
        <w:tc>
          <w:tcPr>
            <w:tcW w:w="1284" w:type="dxa"/>
            <w:vAlign w:val="top"/>
          </w:tcPr>
          <w:p w14:paraId="4A5D6E46">
            <w:pPr>
              <w:pStyle w:val="16"/>
              <w:spacing w:before="183" w:line="225" w:lineRule="auto"/>
              <w:ind w:left="136"/>
            </w:pPr>
            <w:r>
              <w:rPr>
                <w:spacing w:val="1"/>
              </w:rPr>
              <w:t>10,000</w:t>
            </w:r>
          </w:p>
        </w:tc>
      </w:tr>
      <w:tr w14:paraId="30DC6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tcBorders>
            <w:vAlign w:val="top"/>
          </w:tcPr>
          <w:p w14:paraId="128BDDC8">
            <w:pPr>
              <w:rPr>
                <w:rFonts w:ascii="Arial"/>
                <w:sz w:val="21"/>
              </w:rPr>
            </w:pPr>
          </w:p>
        </w:tc>
        <w:tc>
          <w:tcPr>
            <w:tcW w:w="827" w:type="dxa"/>
            <w:vMerge w:val="continue"/>
            <w:tcBorders>
              <w:top w:val="nil"/>
            </w:tcBorders>
            <w:vAlign w:val="top"/>
          </w:tcPr>
          <w:p w14:paraId="6900D2F5">
            <w:pPr>
              <w:rPr>
                <w:rFonts w:ascii="Arial"/>
                <w:sz w:val="21"/>
              </w:rPr>
            </w:pPr>
          </w:p>
        </w:tc>
        <w:tc>
          <w:tcPr>
            <w:tcW w:w="817" w:type="dxa"/>
            <w:vAlign w:val="top"/>
          </w:tcPr>
          <w:p w14:paraId="16B432F5">
            <w:pPr>
              <w:pStyle w:val="16"/>
              <w:spacing w:before="182" w:line="268" w:lineRule="exact"/>
              <w:ind w:left="111"/>
            </w:pPr>
            <w:r>
              <w:rPr>
                <w:spacing w:val="4"/>
                <w:position w:val="1"/>
              </w:rPr>
              <w:t>A504</w:t>
            </w:r>
          </w:p>
        </w:tc>
        <w:tc>
          <w:tcPr>
            <w:tcW w:w="5323" w:type="dxa"/>
            <w:vAlign w:val="top"/>
          </w:tcPr>
          <w:p w14:paraId="3019B4FF">
            <w:pPr>
              <w:pStyle w:val="16"/>
              <w:spacing w:before="182" w:line="228" w:lineRule="auto"/>
              <w:ind w:left="120"/>
            </w:pPr>
            <w:r>
              <w:rPr>
                <w:spacing w:val="8"/>
              </w:rPr>
              <w:t>未按规定做好缺陷责任期的留守安排。</w:t>
            </w:r>
          </w:p>
        </w:tc>
        <w:tc>
          <w:tcPr>
            <w:tcW w:w="1103" w:type="dxa"/>
            <w:vAlign w:val="top"/>
          </w:tcPr>
          <w:p w14:paraId="56F466F3">
            <w:pPr>
              <w:pStyle w:val="16"/>
              <w:spacing w:before="182" w:line="228" w:lineRule="auto"/>
              <w:ind w:left="121"/>
            </w:pPr>
            <w:r>
              <w:rPr>
                <w:spacing w:val="4"/>
              </w:rPr>
              <w:t>元/月</w:t>
            </w:r>
          </w:p>
        </w:tc>
        <w:tc>
          <w:tcPr>
            <w:tcW w:w="1284" w:type="dxa"/>
            <w:vAlign w:val="top"/>
          </w:tcPr>
          <w:p w14:paraId="01FB1513">
            <w:pPr>
              <w:pStyle w:val="16"/>
              <w:spacing w:before="182" w:line="225" w:lineRule="auto"/>
              <w:ind w:left="136"/>
            </w:pPr>
            <w:r>
              <w:rPr>
                <w:spacing w:val="1"/>
              </w:rPr>
              <w:t>100,000</w:t>
            </w:r>
          </w:p>
        </w:tc>
      </w:tr>
      <w:tr w14:paraId="7984E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restart"/>
            <w:tcBorders>
              <w:bottom w:val="nil"/>
            </w:tcBorders>
            <w:vAlign w:val="top"/>
          </w:tcPr>
          <w:p w14:paraId="0AF35810">
            <w:pPr>
              <w:spacing w:line="266" w:lineRule="auto"/>
              <w:rPr>
                <w:rFonts w:ascii="Arial"/>
                <w:sz w:val="21"/>
              </w:rPr>
            </w:pPr>
          </w:p>
          <w:p w14:paraId="0C6B9865">
            <w:pPr>
              <w:spacing w:line="266" w:lineRule="auto"/>
              <w:rPr>
                <w:rFonts w:ascii="Arial"/>
                <w:sz w:val="21"/>
              </w:rPr>
            </w:pPr>
          </w:p>
          <w:p w14:paraId="1AC0A371">
            <w:pPr>
              <w:spacing w:line="266" w:lineRule="auto"/>
              <w:rPr>
                <w:rFonts w:ascii="Arial"/>
                <w:sz w:val="21"/>
              </w:rPr>
            </w:pPr>
          </w:p>
          <w:p w14:paraId="401CEB57">
            <w:pPr>
              <w:spacing w:line="266" w:lineRule="auto"/>
              <w:rPr>
                <w:rFonts w:ascii="Arial"/>
                <w:sz w:val="21"/>
              </w:rPr>
            </w:pPr>
          </w:p>
          <w:p w14:paraId="141108E4">
            <w:pPr>
              <w:spacing w:line="267" w:lineRule="auto"/>
              <w:rPr>
                <w:rFonts w:ascii="Arial"/>
                <w:sz w:val="21"/>
              </w:rPr>
            </w:pPr>
          </w:p>
          <w:p w14:paraId="06AC30B1">
            <w:pPr>
              <w:pStyle w:val="16"/>
              <w:spacing w:before="65" w:line="187" w:lineRule="auto"/>
              <w:ind w:left="204"/>
            </w:pPr>
            <w:r>
              <w:rPr>
                <w:spacing w:val="3"/>
              </w:rPr>
              <w:t>B.</w:t>
            </w:r>
          </w:p>
          <w:p w14:paraId="7C535EC5">
            <w:pPr>
              <w:pStyle w:val="16"/>
              <w:spacing w:before="33" w:line="228" w:lineRule="auto"/>
              <w:ind w:left="210"/>
            </w:pPr>
            <w:r>
              <w:t>质</w:t>
            </w:r>
          </w:p>
          <w:p w14:paraId="5A28ED8E">
            <w:pPr>
              <w:pStyle w:val="16"/>
              <w:spacing w:before="24" w:line="233" w:lineRule="auto"/>
              <w:ind w:left="209"/>
            </w:pPr>
            <w:r>
              <w:t>量</w:t>
            </w:r>
          </w:p>
          <w:p w14:paraId="5E1B8E1D">
            <w:pPr>
              <w:pStyle w:val="16"/>
              <w:spacing w:before="20" w:line="228" w:lineRule="auto"/>
              <w:ind w:left="214"/>
            </w:pPr>
            <w:r>
              <w:t>管</w:t>
            </w:r>
          </w:p>
          <w:p w14:paraId="79CC7AC5">
            <w:pPr>
              <w:pStyle w:val="16"/>
              <w:spacing w:before="24" w:line="238" w:lineRule="auto"/>
              <w:ind w:left="212"/>
            </w:pPr>
            <w:r>
              <w:t>理</w:t>
            </w:r>
          </w:p>
        </w:tc>
        <w:tc>
          <w:tcPr>
            <w:tcW w:w="827" w:type="dxa"/>
            <w:vMerge w:val="restart"/>
            <w:tcBorders>
              <w:bottom w:val="nil"/>
            </w:tcBorders>
            <w:vAlign w:val="top"/>
          </w:tcPr>
          <w:p w14:paraId="3199C1AC">
            <w:pPr>
              <w:spacing w:line="282" w:lineRule="auto"/>
              <w:rPr>
                <w:rFonts w:ascii="Arial"/>
                <w:sz w:val="21"/>
              </w:rPr>
            </w:pPr>
          </w:p>
          <w:p w14:paraId="2FBD74BB">
            <w:pPr>
              <w:spacing w:line="282" w:lineRule="auto"/>
              <w:rPr>
                <w:rFonts w:ascii="Arial"/>
                <w:sz w:val="21"/>
              </w:rPr>
            </w:pPr>
          </w:p>
          <w:p w14:paraId="4DA05DFA">
            <w:pPr>
              <w:spacing w:line="283" w:lineRule="auto"/>
              <w:rPr>
                <w:rFonts w:ascii="Arial"/>
                <w:sz w:val="21"/>
              </w:rPr>
            </w:pPr>
          </w:p>
          <w:p w14:paraId="7E3475EB">
            <w:pPr>
              <w:spacing w:line="283" w:lineRule="auto"/>
              <w:rPr>
                <w:rFonts w:ascii="Arial"/>
                <w:sz w:val="21"/>
              </w:rPr>
            </w:pPr>
          </w:p>
          <w:p w14:paraId="3E8F6D8E">
            <w:pPr>
              <w:pStyle w:val="16"/>
              <w:spacing w:before="65" w:line="252" w:lineRule="auto"/>
              <w:ind w:left="116" w:right="113" w:firstLine="16"/>
            </w:pPr>
            <w:r>
              <w:rPr>
                <w:spacing w:val="-4"/>
              </w:rPr>
              <w:t>1.程</w:t>
            </w:r>
            <w:r>
              <w:rPr>
                <w:spacing w:val="1"/>
              </w:rPr>
              <w:t>序</w:t>
            </w:r>
          </w:p>
        </w:tc>
        <w:tc>
          <w:tcPr>
            <w:tcW w:w="817" w:type="dxa"/>
            <w:vAlign w:val="top"/>
          </w:tcPr>
          <w:p w14:paraId="73E1D0FD">
            <w:pPr>
              <w:pStyle w:val="16"/>
              <w:spacing w:before="181" w:line="268" w:lineRule="exact"/>
              <w:ind w:left="113"/>
            </w:pPr>
            <w:r>
              <w:rPr>
                <w:spacing w:val="3"/>
                <w:position w:val="1"/>
              </w:rPr>
              <w:t>B101</w:t>
            </w:r>
          </w:p>
        </w:tc>
        <w:tc>
          <w:tcPr>
            <w:tcW w:w="5323" w:type="dxa"/>
            <w:vAlign w:val="top"/>
          </w:tcPr>
          <w:p w14:paraId="34F82A5F">
            <w:pPr>
              <w:pStyle w:val="16"/>
              <w:spacing w:before="181" w:line="227" w:lineRule="auto"/>
              <w:ind w:left="120"/>
            </w:pPr>
            <w:r>
              <w:rPr>
                <w:spacing w:val="9"/>
              </w:rPr>
              <w:t>未执行监理人关于缺陷工程修补、修复或返工的指令。</w:t>
            </w:r>
          </w:p>
        </w:tc>
        <w:tc>
          <w:tcPr>
            <w:tcW w:w="1103" w:type="dxa"/>
            <w:vAlign w:val="top"/>
          </w:tcPr>
          <w:p w14:paraId="05EC8F28">
            <w:pPr>
              <w:pStyle w:val="16"/>
              <w:spacing w:before="181" w:line="228" w:lineRule="auto"/>
              <w:ind w:left="121"/>
            </w:pPr>
            <w:r>
              <w:rPr>
                <w:spacing w:val="4"/>
              </w:rPr>
              <w:t>元/次</w:t>
            </w:r>
          </w:p>
        </w:tc>
        <w:tc>
          <w:tcPr>
            <w:tcW w:w="1284" w:type="dxa"/>
            <w:vAlign w:val="top"/>
          </w:tcPr>
          <w:p w14:paraId="45F56B73">
            <w:pPr>
              <w:pStyle w:val="16"/>
              <w:spacing w:before="181" w:line="225" w:lineRule="auto"/>
              <w:ind w:left="124"/>
            </w:pPr>
            <w:r>
              <w:rPr>
                <w:spacing w:val="2"/>
              </w:rPr>
              <w:t>5,000</w:t>
            </w:r>
          </w:p>
        </w:tc>
      </w:tr>
      <w:tr w14:paraId="33135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70526AD9">
            <w:pPr>
              <w:rPr>
                <w:rFonts w:ascii="Arial"/>
                <w:sz w:val="21"/>
              </w:rPr>
            </w:pPr>
          </w:p>
        </w:tc>
        <w:tc>
          <w:tcPr>
            <w:tcW w:w="827" w:type="dxa"/>
            <w:vMerge w:val="continue"/>
            <w:tcBorders>
              <w:top w:val="nil"/>
              <w:bottom w:val="nil"/>
            </w:tcBorders>
            <w:vAlign w:val="top"/>
          </w:tcPr>
          <w:p w14:paraId="1C571D17">
            <w:pPr>
              <w:rPr>
                <w:rFonts w:ascii="Arial"/>
                <w:sz w:val="21"/>
              </w:rPr>
            </w:pPr>
          </w:p>
        </w:tc>
        <w:tc>
          <w:tcPr>
            <w:tcW w:w="817" w:type="dxa"/>
            <w:vAlign w:val="top"/>
          </w:tcPr>
          <w:p w14:paraId="5AAA7654">
            <w:pPr>
              <w:pStyle w:val="16"/>
              <w:spacing w:before="182" w:line="269" w:lineRule="exact"/>
              <w:ind w:left="113"/>
            </w:pPr>
            <w:r>
              <w:rPr>
                <w:spacing w:val="3"/>
                <w:position w:val="1"/>
              </w:rPr>
              <w:t>B102</w:t>
            </w:r>
          </w:p>
        </w:tc>
        <w:tc>
          <w:tcPr>
            <w:tcW w:w="5323" w:type="dxa"/>
            <w:vAlign w:val="top"/>
          </w:tcPr>
          <w:p w14:paraId="102882AB">
            <w:pPr>
              <w:pStyle w:val="16"/>
              <w:spacing w:before="46" w:line="238" w:lineRule="auto"/>
              <w:ind w:left="118" w:right="129"/>
            </w:pPr>
            <w:r>
              <w:rPr>
                <w:spacing w:val="11"/>
              </w:rPr>
              <w:t>工序完工后未向监理报验，或未经监理抽检（或同意）</w:t>
            </w:r>
            <w:r>
              <w:rPr>
                <w:spacing w:val="7"/>
              </w:rPr>
              <w:t>就进行下道工序施工。</w:t>
            </w:r>
          </w:p>
        </w:tc>
        <w:tc>
          <w:tcPr>
            <w:tcW w:w="1103" w:type="dxa"/>
            <w:vAlign w:val="top"/>
          </w:tcPr>
          <w:p w14:paraId="1053A072">
            <w:pPr>
              <w:pStyle w:val="16"/>
              <w:spacing w:before="182" w:line="228" w:lineRule="auto"/>
              <w:ind w:left="121"/>
            </w:pPr>
            <w:r>
              <w:rPr>
                <w:spacing w:val="4"/>
              </w:rPr>
              <w:t>元/次</w:t>
            </w:r>
          </w:p>
        </w:tc>
        <w:tc>
          <w:tcPr>
            <w:tcW w:w="1284" w:type="dxa"/>
            <w:vAlign w:val="top"/>
          </w:tcPr>
          <w:p w14:paraId="0FA50031">
            <w:pPr>
              <w:pStyle w:val="16"/>
              <w:spacing w:before="182" w:line="225" w:lineRule="auto"/>
              <w:ind w:left="124"/>
            </w:pPr>
            <w:r>
              <w:rPr>
                <w:spacing w:val="2"/>
              </w:rPr>
              <w:t>5,000</w:t>
            </w:r>
          </w:p>
        </w:tc>
      </w:tr>
      <w:tr w14:paraId="28E24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385446E0">
            <w:pPr>
              <w:rPr>
                <w:rFonts w:ascii="Arial"/>
                <w:sz w:val="21"/>
              </w:rPr>
            </w:pPr>
          </w:p>
        </w:tc>
        <w:tc>
          <w:tcPr>
            <w:tcW w:w="827" w:type="dxa"/>
            <w:vMerge w:val="continue"/>
            <w:tcBorders>
              <w:top w:val="nil"/>
              <w:bottom w:val="nil"/>
            </w:tcBorders>
            <w:vAlign w:val="top"/>
          </w:tcPr>
          <w:p w14:paraId="6C7C2AA0">
            <w:pPr>
              <w:rPr>
                <w:rFonts w:ascii="Arial"/>
                <w:sz w:val="21"/>
              </w:rPr>
            </w:pPr>
          </w:p>
        </w:tc>
        <w:tc>
          <w:tcPr>
            <w:tcW w:w="817" w:type="dxa"/>
            <w:vAlign w:val="top"/>
          </w:tcPr>
          <w:p w14:paraId="38A77CC9">
            <w:pPr>
              <w:pStyle w:val="16"/>
              <w:spacing w:before="181" w:line="269" w:lineRule="exact"/>
              <w:ind w:left="113"/>
            </w:pPr>
            <w:r>
              <w:rPr>
                <w:spacing w:val="3"/>
                <w:position w:val="1"/>
              </w:rPr>
              <w:t>B103</w:t>
            </w:r>
          </w:p>
        </w:tc>
        <w:tc>
          <w:tcPr>
            <w:tcW w:w="5323" w:type="dxa"/>
            <w:vAlign w:val="top"/>
          </w:tcPr>
          <w:p w14:paraId="48FC545B">
            <w:pPr>
              <w:pStyle w:val="16"/>
              <w:spacing w:before="181" w:line="228" w:lineRule="auto"/>
              <w:ind w:left="119"/>
            </w:pPr>
            <w:r>
              <w:rPr>
                <w:spacing w:val="8"/>
              </w:rPr>
              <w:t>分项工程的施工现场没有技术管理人员。</w:t>
            </w:r>
          </w:p>
        </w:tc>
        <w:tc>
          <w:tcPr>
            <w:tcW w:w="1103" w:type="dxa"/>
            <w:vAlign w:val="top"/>
          </w:tcPr>
          <w:p w14:paraId="6F1B4033">
            <w:pPr>
              <w:pStyle w:val="16"/>
              <w:spacing w:before="181" w:line="228" w:lineRule="auto"/>
              <w:ind w:left="121"/>
            </w:pPr>
            <w:r>
              <w:rPr>
                <w:spacing w:val="4"/>
              </w:rPr>
              <w:t>元/次</w:t>
            </w:r>
          </w:p>
        </w:tc>
        <w:tc>
          <w:tcPr>
            <w:tcW w:w="1284" w:type="dxa"/>
            <w:vAlign w:val="top"/>
          </w:tcPr>
          <w:p w14:paraId="61305915">
            <w:pPr>
              <w:pStyle w:val="16"/>
              <w:spacing w:before="181" w:line="225" w:lineRule="auto"/>
              <w:ind w:left="136"/>
            </w:pPr>
            <w:r>
              <w:t>1,000</w:t>
            </w:r>
          </w:p>
        </w:tc>
      </w:tr>
      <w:tr w14:paraId="34C5D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029805F6">
            <w:pPr>
              <w:rPr>
                <w:rFonts w:ascii="Arial"/>
                <w:sz w:val="21"/>
              </w:rPr>
            </w:pPr>
          </w:p>
        </w:tc>
        <w:tc>
          <w:tcPr>
            <w:tcW w:w="827" w:type="dxa"/>
            <w:vMerge w:val="continue"/>
            <w:tcBorders>
              <w:top w:val="nil"/>
              <w:bottom w:val="nil"/>
            </w:tcBorders>
            <w:vAlign w:val="top"/>
          </w:tcPr>
          <w:p w14:paraId="30A0938E">
            <w:pPr>
              <w:rPr>
                <w:rFonts w:ascii="Arial"/>
                <w:sz w:val="21"/>
              </w:rPr>
            </w:pPr>
          </w:p>
        </w:tc>
        <w:tc>
          <w:tcPr>
            <w:tcW w:w="817" w:type="dxa"/>
            <w:vAlign w:val="top"/>
          </w:tcPr>
          <w:p w14:paraId="14DA9333">
            <w:pPr>
              <w:pStyle w:val="16"/>
              <w:spacing w:before="183" w:line="268" w:lineRule="exact"/>
              <w:ind w:left="113"/>
            </w:pPr>
            <w:r>
              <w:rPr>
                <w:spacing w:val="3"/>
                <w:position w:val="1"/>
              </w:rPr>
              <w:t>B104</w:t>
            </w:r>
          </w:p>
        </w:tc>
        <w:tc>
          <w:tcPr>
            <w:tcW w:w="5323" w:type="dxa"/>
            <w:vAlign w:val="top"/>
          </w:tcPr>
          <w:p w14:paraId="5424A06F">
            <w:pPr>
              <w:pStyle w:val="16"/>
              <w:spacing w:before="182" w:line="228" w:lineRule="auto"/>
              <w:ind w:left="117"/>
            </w:pPr>
            <w:r>
              <w:rPr>
                <w:spacing w:val="8"/>
              </w:rPr>
              <w:t>重要工序的施工现场没有技术管理员。</w:t>
            </w:r>
          </w:p>
        </w:tc>
        <w:tc>
          <w:tcPr>
            <w:tcW w:w="1103" w:type="dxa"/>
            <w:vAlign w:val="top"/>
          </w:tcPr>
          <w:p w14:paraId="085AD893">
            <w:pPr>
              <w:pStyle w:val="16"/>
              <w:spacing w:before="182" w:line="228" w:lineRule="auto"/>
              <w:ind w:left="121"/>
            </w:pPr>
            <w:r>
              <w:rPr>
                <w:spacing w:val="4"/>
              </w:rPr>
              <w:t>元/次</w:t>
            </w:r>
          </w:p>
        </w:tc>
        <w:tc>
          <w:tcPr>
            <w:tcW w:w="1284" w:type="dxa"/>
            <w:vAlign w:val="top"/>
          </w:tcPr>
          <w:p w14:paraId="55FC80D2">
            <w:pPr>
              <w:pStyle w:val="16"/>
              <w:spacing w:before="183" w:line="225" w:lineRule="auto"/>
              <w:ind w:left="123"/>
            </w:pPr>
            <w:r>
              <w:rPr>
                <w:spacing w:val="2"/>
              </w:rPr>
              <w:t>2,000</w:t>
            </w:r>
          </w:p>
        </w:tc>
      </w:tr>
      <w:tr w14:paraId="1B172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34C615E1">
            <w:pPr>
              <w:rPr>
                <w:rFonts w:ascii="Arial"/>
                <w:sz w:val="21"/>
              </w:rPr>
            </w:pPr>
          </w:p>
        </w:tc>
        <w:tc>
          <w:tcPr>
            <w:tcW w:w="827" w:type="dxa"/>
            <w:vMerge w:val="continue"/>
            <w:tcBorders>
              <w:top w:val="nil"/>
            </w:tcBorders>
            <w:vAlign w:val="top"/>
          </w:tcPr>
          <w:p w14:paraId="273084D0">
            <w:pPr>
              <w:rPr>
                <w:rFonts w:ascii="Arial"/>
                <w:sz w:val="21"/>
              </w:rPr>
            </w:pPr>
          </w:p>
        </w:tc>
        <w:tc>
          <w:tcPr>
            <w:tcW w:w="817" w:type="dxa"/>
            <w:vAlign w:val="top"/>
          </w:tcPr>
          <w:p w14:paraId="5EF71C32">
            <w:pPr>
              <w:pStyle w:val="16"/>
              <w:spacing w:before="182" w:line="268" w:lineRule="exact"/>
              <w:ind w:left="113"/>
            </w:pPr>
            <w:r>
              <w:rPr>
                <w:spacing w:val="3"/>
                <w:position w:val="1"/>
              </w:rPr>
              <w:t>B105</w:t>
            </w:r>
          </w:p>
        </w:tc>
        <w:tc>
          <w:tcPr>
            <w:tcW w:w="5323" w:type="dxa"/>
            <w:vAlign w:val="top"/>
          </w:tcPr>
          <w:p w14:paraId="4FC83DEB">
            <w:pPr>
              <w:pStyle w:val="16"/>
              <w:spacing w:before="181" w:line="228" w:lineRule="auto"/>
              <w:ind w:left="120"/>
            </w:pPr>
            <w:r>
              <w:rPr>
                <w:spacing w:val="8"/>
              </w:rPr>
              <w:t>没有技术管理员在场而在施工。</w:t>
            </w:r>
          </w:p>
        </w:tc>
        <w:tc>
          <w:tcPr>
            <w:tcW w:w="1103" w:type="dxa"/>
            <w:vAlign w:val="top"/>
          </w:tcPr>
          <w:p w14:paraId="455C3B86">
            <w:pPr>
              <w:pStyle w:val="16"/>
              <w:spacing w:before="181" w:line="228" w:lineRule="auto"/>
              <w:ind w:left="121"/>
            </w:pPr>
            <w:r>
              <w:rPr>
                <w:spacing w:val="4"/>
              </w:rPr>
              <w:t>元/次</w:t>
            </w:r>
          </w:p>
        </w:tc>
        <w:tc>
          <w:tcPr>
            <w:tcW w:w="1284" w:type="dxa"/>
            <w:vAlign w:val="top"/>
          </w:tcPr>
          <w:p w14:paraId="7F62B497">
            <w:pPr>
              <w:pStyle w:val="16"/>
              <w:spacing w:before="181" w:line="225" w:lineRule="auto"/>
              <w:ind w:left="124"/>
            </w:pPr>
            <w:r>
              <w:rPr>
                <w:spacing w:val="2"/>
              </w:rPr>
              <w:t>5,000</w:t>
            </w:r>
          </w:p>
        </w:tc>
      </w:tr>
      <w:tr w14:paraId="7E526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46FC337D">
            <w:pPr>
              <w:rPr>
                <w:rFonts w:ascii="Arial"/>
                <w:sz w:val="21"/>
              </w:rPr>
            </w:pPr>
          </w:p>
        </w:tc>
        <w:tc>
          <w:tcPr>
            <w:tcW w:w="827" w:type="dxa"/>
            <w:vMerge w:val="restart"/>
            <w:tcBorders>
              <w:bottom w:val="nil"/>
            </w:tcBorders>
            <w:vAlign w:val="top"/>
          </w:tcPr>
          <w:p w14:paraId="09E176F1">
            <w:pPr>
              <w:spacing w:line="268" w:lineRule="auto"/>
              <w:rPr>
                <w:rFonts w:ascii="Arial"/>
                <w:sz w:val="21"/>
              </w:rPr>
            </w:pPr>
          </w:p>
          <w:p w14:paraId="41095CAA">
            <w:pPr>
              <w:pStyle w:val="16"/>
              <w:spacing w:before="65" w:line="252" w:lineRule="auto"/>
              <w:ind w:left="116" w:right="113" w:firstLine="2"/>
            </w:pPr>
            <w:r>
              <w:t>2.材料</w:t>
            </w:r>
          </w:p>
        </w:tc>
        <w:tc>
          <w:tcPr>
            <w:tcW w:w="817" w:type="dxa"/>
            <w:vAlign w:val="top"/>
          </w:tcPr>
          <w:p w14:paraId="3E346A3D">
            <w:pPr>
              <w:pStyle w:val="16"/>
              <w:spacing w:before="181" w:line="268" w:lineRule="exact"/>
              <w:ind w:left="113"/>
            </w:pPr>
            <w:r>
              <w:rPr>
                <w:spacing w:val="3"/>
                <w:position w:val="1"/>
              </w:rPr>
              <w:t>B201</w:t>
            </w:r>
          </w:p>
        </w:tc>
        <w:tc>
          <w:tcPr>
            <w:tcW w:w="5323" w:type="dxa"/>
            <w:vAlign w:val="top"/>
          </w:tcPr>
          <w:p w14:paraId="67B2750E">
            <w:pPr>
              <w:pStyle w:val="16"/>
              <w:spacing w:before="181" w:line="227" w:lineRule="auto"/>
              <w:ind w:left="117"/>
            </w:pPr>
            <w:r>
              <w:rPr>
                <w:spacing w:val="8"/>
              </w:rPr>
              <w:t>使用不合格材料或未经检验的材料。</w:t>
            </w:r>
          </w:p>
        </w:tc>
        <w:tc>
          <w:tcPr>
            <w:tcW w:w="1103" w:type="dxa"/>
            <w:vAlign w:val="top"/>
          </w:tcPr>
          <w:p w14:paraId="18C29023">
            <w:pPr>
              <w:pStyle w:val="16"/>
              <w:spacing w:before="180" w:line="228" w:lineRule="auto"/>
              <w:ind w:left="121"/>
            </w:pPr>
            <w:r>
              <w:rPr>
                <w:spacing w:val="4"/>
              </w:rPr>
              <w:t>元/次</w:t>
            </w:r>
          </w:p>
        </w:tc>
        <w:tc>
          <w:tcPr>
            <w:tcW w:w="1284" w:type="dxa"/>
            <w:vAlign w:val="top"/>
          </w:tcPr>
          <w:p w14:paraId="272C12C0">
            <w:pPr>
              <w:pStyle w:val="16"/>
              <w:spacing w:before="180" w:line="225" w:lineRule="auto"/>
              <w:ind w:left="124"/>
            </w:pPr>
            <w:r>
              <w:rPr>
                <w:spacing w:val="2"/>
              </w:rPr>
              <w:t>5,000</w:t>
            </w:r>
          </w:p>
        </w:tc>
      </w:tr>
      <w:tr w14:paraId="5D619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16" w:type="dxa"/>
            <w:vMerge w:val="continue"/>
            <w:tcBorders>
              <w:top w:val="nil"/>
            </w:tcBorders>
            <w:vAlign w:val="top"/>
          </w:tcPr>
          <w:p w14:paraId="44AC4E1A">
            <w:pPr>
              <w:rPr>
                <w:rFonts w:ascii="Arial"/>
                <w:sz w:val="21"/>
              </w:rPr>
            </w:pPr>
          </w:p>
        </w:tc>
        <w:tc>
          <w:tcPr>
            <w:tcW w:w="827" w:type="dxa"/>
            <w:vMerge w:val="continue"/>
            <w:tcBorders>
              <w:top w:val="nil"/>
            </w:tcBorders>
            <w:vAlign w:val="top"/>
          </w:tcPr>
          <w:p w14:paraId="3622AED0">
            <w:pPr>
              <w:rPr>
                <w:rFonts w:ascii="Arial"/>
                <w:sz w:val="21"/>
              </w:rPr>
            </w:pPr>
          </w:p>
        </w:tc>
        <w:tc>
          <w:tcPr>
            <w:tcW w:w="817" w:type="dxa"/>
            <w:vAlign w:val="top"/>
          </w:tcPr>
          <w:p w14:paraId="5476A923">
            <w:pPr>
              <w:pStyle w:val="16"/>
              <w:spacing w:before="183" w:line="269" w:lineRule="exact"/>
              <w:ind w:left="113"/>
            </w:pPr>
            <w:r>
              <w:rPr>
                <w:spacing w:val="3"/>
                <w:position w:val="1"/>
              </w:rPr>
              <w:t>B202</w:t>
            </w:r>
          </w:p>
        </w:tc>
        <w:tc>
          <w:tcPr>
            <w:tcW w:w="5323" w:type="dxa"/>
            <w:vAlign w:val="top"/>
          </w:tcPr>
          <w:p w14:paraId="3316EB9A">
            <w:pPr>
              <w:pStyle w:val="16"/>
              <w:spacing w:before="183" w:line="227" w:lineRule="auto"/>
              <w:ind w:left="116"/>
            </w:pPr>
            <w:r>
              <w:rPr>
                <w:spacing w:val="9"/>
              </w:rPr>
              <w:t>材料管理混乱，未按要求分类存放、标志和防护。</w:t>
            </w:r>
          </w:p>
        </w:tc>
        <w:tc>
          <w:tcPr>
            <w:tcW w:w="1103" w:type="dxa"/>
            <w:vAlign w:val="top"/>
          </w:tcPr>
          <w:p w14:paraId="7427CDA9">
            <w:pPr>
              <w:pStyle w:val="16"/>
              <w:spacing w:before="183" w:line="228" w:lineRule="auto"/>
              <w:ind w:left="121"/>
            </w:pPr>
            <w:r>
              <w:rPr>
                <w:spacing w:val="4"/>
              </w:rPr>
              <w:t>元/次</w:t>
            </w:r>
          </w:p>
        </w:tc>
        <w:tc>
          <w:tcPr>
            <w:tcW w:w="1284" w:type="dxa"/>
            <w:vAlign w:val="top"/>
          </w:tcPr>
          <w:p w14:paraId="2A6FFD46">
            <w:pPr>
              <w:pStyle w:val="16"/>
              <w:spacing w:before="183" w:line="225" w:lineRule="auto"/>
              <w:ind w:left="123"/>
            </w:pPr>
            <w:r>
              <w:rPr>
                <w:spacing w:val="2"/>
              </w:rPr>
              <w:t>2,000</w:t>
            </w:r>
          </w:p>
        </w:tc>
      </w:tr>
    </w:tbl>
    <w:p w14:paraId="68AA40A8">
      <w:pPr>
        <w:rPr>
          <w:rFonts w:ascii="Arial"/>
          <w:sz w:val="21"/>
        </w:rPr>
      </w:pPr>
    </w:p>
    <w:p w14:paraId="6311DBBD">
      <w:pPr>
        <w:rPr>
          <w:rFonts w:ascii="Arial" w:hAnsi="Arial" w:eastAsia="Arial" w:cs="Arial"/>
          <w:sz w:val="21"/>
          <w:szCs w:val="21"/>
        </w:rPr>
        <w:sectPr>
          <w:footerReference r:id="rId15" w:type="default"/>
          <w:pgSz w:w="11900" w:h="16839"/>
          <w:pgMar w:top="936" w:right="962" w:bottom="856" w:left="962" w:header="659" w:footer="622" w:gutter="0"/>
          <w:pgNumType w:fmt="decimal"/>
          <w:cols w:space="720" w:num="1"/>
        </w:sectPr>
      </w:pPr>
    </w:p>
    <w:p w14:paraId="55CAD653">
      <w:pPr>
        <w:spacing w:before="239"/>
      </w:pPr>
    </w:p>
    <w:tbl>
      <w:tblPr>
        <w:tblStyle w:val="15"/>
        <w:tblW w:w="9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827"/>
        <w:gridCol w:w="817"/>
        <w:gridCol w:w="5323"/>
        <w:gridCol w:w="1103"/>
        <w:gridCol w:w="1284"/>
      </w:tblGrid>
      <w:tr w14:paraId="5C152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16" w:type="dxa"/>
            <w:vMerge w:val="restart"/>
            <w:tcBorders>
              <w:bottom w:val="nil"/>
            </w:tcBorders>
            <w:vAlign w:val="top"/>
          </w:tcPr>
          <w:p w14:paraId="7605446B">
            <w:pPr>
              <w:rPr>
                <w:rFonts w:ascii="Arial"/>
                <w:sz w:val="21"/>
              </w:rPr>
            </w:pPr>
          </w:p>
        </w:tc>
        <w:tc>
          <w:tcPr>
            <w:tcW w:w="827" w:type="dxa"/>
            <w:vAlign w:val="top"/>
          </w:tcPr>
          <w:p w14:paraId="00F2F972">
            <w:pPr>
              <w:pStyle w:val="16"/>
              <w:spacing w:before="48" w:line="239" w:lineRule="auto"/>
              <w:ind w:left="119" w:right="113" w:firstLine="1"/>
            </w:pPr>
            <w:r>
              <w:rPr>
                <w:spacing w:val="-2"/>
              </w:rPr>
              <w:t>3.设</w:t>
            </w:r>
            <w:r>
              <w:t>备</w:t>
            </w:r>
          </w:p>
        </w:tc>
        <w:tc>
          <w:tcPr>
            <w:tcW w:w="817" w:type="dxa"/>
            <w:vAlign w:val="top"/>
          </w:tcPr>
          <w:p w14:paraId="6E132391">
            <w:pPr>
              <w:pStyle w:val="16"/>
              <w:spacing w:before="182" w:line="269" w:lineRule="exact"/>
              <w:ind w:left="113"/>
            </w:pPr>
            <w:r>
              <w:rPr>
                <w:spacing w:val="3"/>
                <w:position w:val="1"/>
              </w:rPr>
              <w:t>B301</w:t>
            </w:r>
          </w:p>
        </w:tc>
        <w:tc>
          <w:tcPr>
            <w:tcW w:w="5323" w:type="dxa"/>
            <w:vAlign w:val="top"/>
          </w:tcPr>
          <w:p w14:paraId="653F16AD">
            <w:pPr>
              <w:pStyle w:val="16"/>
              <w:spacing w:before="48" w:line="239" w:lineRule="auto"/>
              <w:ind w:left="117" w:right="111" w:firstLine="2"/>
            </w:pPr>
            <w:r>
              <w:rPr>
                <w:spacing w:val="12"/>
              </w:rPr>
              <w:t>未按监理人要求增加或更换施工设备，影响工程</w:t>
            </w:r>
            <w:r>
              <w:rPr>
                <w:spacing w:val="11"/>
              </w:rPr>
              <w:t>进度或</w:t>
            </w:r>
            <w:r>
              <w:rPr>
                <w:spacing w:val="2"/>
              </w:rPr>
              <w:t>质量。</w:t>
            </w:r>
          </w:p>
        </w:tc>
        <w:tc>
          <w:tcPr>
            <w:tcW w:w="1103" w:type="dxa"/>
            <w:vAlign w:val="top"/>
          </w:tcPr>
          <w:p w14:paraId="3A2A7BF7">
            <w:pPr>
              <w:pStyle w:val="16"/>
              <w:spacing w:before="182" w:line="228" w:lineRule="auto"/>
              <w:ind w:left="121"/>
            </w:pPr>
            <w:r>
              <w:rPr>
                <w:spacing w:val="4"/>
              </w:rPr>
              <w:t>元/次</w:t>
            </w:r>
          </w:p>
        </w:tc>
        <w:tc>
          <w:tcPr>
            <w:tcW w:w="1284" w:type="dxa"/>
            <w:vAlign w:val="top"/>
          </w:tcPr>
          <w:p w14:paraId="6852321E">
            <w:pPr>
              <w:pStyle w:val="16"/>
              <w:spacing w:before="182" w:line="225" w:lineRule="auto"/>
              <w:ind w:left="123"/>
            </w:pPr>
            <w:r>
              <w:rPr>
                <w:spacing w:val="2"/>
              </w:rPr>
              <w:t>2,000</w:t>
            </w:r>
          </w:p>
        </w:tc>
      </w:tr>
      <w:tr w14:paraId="05AA2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07245D99">
            <w:pPr>
              <w:rPr>
                <w:rFonts w:ascii="Arial"/>
                <w:sz w:val="21"/>
              </w:rPr>
            </w:pPr>
          </w:p>
        </w:tc>
        <w:tc>
          <w:tcPr>
            <w:tcW w:w="827" w:type="dxa"/>
            <w:vMerge w:val="restart"/>
            <w:tcBorders>
              <w:bottom w:val="nil"/>
            </w:tcBorders>
            <w:vAlign w:val="top"/>
          </w:tcPr>
          <w:p w14:paraId="3BC922FC">
            <w:pPr>
              <w:spacing w:line="264" w:lineRule="auto"/>
              <w:rPr>
                <w:rFonts w:ascii="Arial"/>
                <w:sz w:val="21"/>
              </w:rPr>
            </w:pPr>
          </w:p>
          <w:p w14:paraId="16D33DA8">
            <w:pPr>
              <w:pStyle w:val="16"/>
              <w:spacing w:before="65" w:line="257" w:lineRule="auto"/>
              <w:ind w:left="121" w:right="113" w:hanging="5"/>
            </w:pPr>
            <w:r>
              <w:t>4.工艺</w:t>
            </w:r>
          </w:p>
        </w:tc>
        <w:tc>
          <w:tcPr>
            <w:tcW w:w="817" w:type="dxa"/>
            <w:vAlign w:val="top"/>
          </w:tcPr>
          <w:p w14:paraId="0108F88C">
            <w:pPr>
              <w:pStyle w:val="16"/>
              <w:spacing w:before="180" w:line="268" w:lineRule="exact"/>
              <w:ind w:left="113"/>
            </w:pPr>
            <w:r>
              <w:rPr>
                <w:spacing w:val="3"/>
                <w:position w:val="1"/>
              </w:rPr>
              <w:t>B401</w:t>
            </w:r>
          </w:p>
        </w:tc>
        <w:tc>
          <w:tcPr>
            <w:tcW w:w="5323" w:type="dxa"/>
            <w:vAlign w:val="top"/>
          </w:tcPr>
          <w:p w14:paraId="19571E99">
            <w:pPr>
              <w:pStyle w:val="16"/>
              <w:spacing w:before="180" w:line="228" w:lineRule="auto"/>
              <w:ind w:left="116"/>
            </w:pPr>
            <w:r>
              <w:rPr>
                <w:spacing w:val="9"/>
              </w:rPr>
              <w:t>施工流程或施工工艺违反施工规范而不及时纠正。</w:t>
            </w:r>
          </w:p>
        </w:tc>
        <w:tc>
          <w:tcPr>
            <w:tcW w:w="1103" w:type="dxa"/>
            <w:vAlign w:val="top"/>
          </w:tcPr>
          <w:p w14:paraId="03261069">
            <w:pPr>
              <w:pStyle w:val="16"/>
              <w:spacing w:before="179" w:line="228" w:lineRule="auto"/>
              <w:ind w:left="121"/>
            </w:pPr>
            <w:r>
              <w:rPr>
                <w:spacing w:val="4"/>
              </w:rPr>
              <w:t>元/次</w:t>
            </w:r>
          </w:p>
        </w:tc>
        <w:tc>
          <w:tcPr>
            <w:tcW w:w="1284" w:type="dxa"/>
            <w:vAlign w:val="top"/>
          </w:tcPr>
          <w:p w14:paraId="2E7C852D">
            <w:pPr>
              <w:pStyle w:val="16"/>
              <w:spacing w:before="179" w:line="225" w:lineRule="auto"/>
              <w:ind w:left="123"/>
            </w:pPr>
            <w:r>
              <w:rPr>
                <w:spacing w:val="2"/>
              </w:rPr>
              <w:t>2,000</w:t>
            </w:r>
          </w:p>
        </w:tc>
      </w:tr>
      <w:tr w14:paraId="66540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49B32108">
            <w:pPr>
              <w:rPr>
                <w:rFonts w:ascii="Arial"/>
                <w:sz w:val="21"/>
              </w:rPr>
            </w:pPr>
          </w:p>
        </w:tc>
        <w:tc>
          <w:tcPr>
            <w:tcW w:w="827" w:type="dxa"/>
            <w:vMerge w:val="continue"/>
            <w:tcBorders>
              <w:top w:val="nil"/>
            </w:tcBorders>
            <w:vAlign w:val="top"/>
          </w:tcPr>
          <w:p w14:paraId="4718EFBB">
            <w:pPr>
              <w:rPr>
                <w:rFonts w:ascii="Arial"/>
                <w:sz w:val="21"/>
              </w:rPr>
            </w:pPr>
          </w:p>
        </w:tc>
        <w:tc>
          <w:tcPr>
            <w:tcW w:w="817" w:type="dxa"/>
            <w:vAlign w:val="top"/>
          </w:tcPr>
          <w:p w14:paraId="68DC8DD3">
            <w:pPr>
              <w:pStyle w:val="16"/>
              <w:spacing w:before="179" w:line="268" w:lineRule="exact"/>
              <w:ind w:left="113"/>
            </w:pPr>
            <w:r>
              <w:rPr>
                <w:spacing w:val="3"/>
                <w:position w:val="1"/>
              </w:rPr>
              <w:t>B402</w:t>
            </w:r>
          </w:p>
        </w:tc>
        <w:tc>
          <w:tcPr>
            <w:tcW w:w="5323" w:type="dxa"/>
            <w:vAlign w:val="top"/>
          </w:tcPr>
          <w:p w14:paraId="4258B96F">
            <w:pPr>
              <w:pStyle w:val="16"/>
              <w:spacing w:before="43" w:line="239" w:lineRule="auto"/>
              <w:ind w:left="117" w:right="111" w:firstLine="4"/>
            </w:pPr>
            <w:r>
              <w:rPr>
                <w:spacing w:val="12"/>
              </w:rPr>
              <w:t>实体工程自检合格，但经监理或业主抽检不</w:t>
            </w:r>
            <w:r>
              <w:rPr>
                <w:spacing w:val="11"/>
              </w:rPr>
              <w:t>合格，有弄</w:t>
            </w:r>
            <w:r>
              <w:rPr>
                <w:spacing w:val="6"/>
              </w:rPr>
              <w:t>虚作假嫌疑的。</w:t>
            </w:r>
          </w:p>
        </w:tc>
        <w:tc>
          <w:tcPr>
            <w:tcW w:w="1103" w:type="dxa"/>
            <w:vAlign w:val="top"/>
          </w:tcPr>
          <w:p w14:paraId="3F39C6B1">
            <w:pPr>
              <w:pStyle w:val="16"/>
              <w:spacing w:before="178" w:line="228" w:lineRule="auto"/>
              <w:ind w:left="121"/>
            </w:pPr>
            <w:r>
              <w:rPr>
                <w:spacing w:val="4"/>
              </w:rPr>
              <w:t>元/次</w:t>
            </w:r>
          </w:p>
        </w:tc>
        <w:tc>
          <w:tcPr>
            <w:tcW w:w="1284" w:type="dxa"/>
            <w:vAlign w:val="top"/>
          </w:tcPr>
          <w:p w14:paraId="6A35264D">
            <w:pPr>
              <w:pStyle w:val="16"/>
              <w:spacing w:before="178" w:line="225" w:lineRule="auto"/>
              <w:ind w:left="124"/>
            </w:pPr>
            <w:r>
              <w:rPr>
                <w:spacing w:val="2"/>
              </w:rPr>
              <w:t>5,000</w:t>
            </w:r>
          </w:p>
        </w:tc>
      </w:tr>
      <w:tr w14:paraId="5BAE6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69AC0B0E">
            <w:pPr>
              <w:rPr>
                <w:rFonts w:ascii="Arial"/>
                <w:sz w:val="21"/>
              </w:rPr>
            </w:pPr>
          </w:p>
        </w:tc>
        <w:tc>
          <w:tcPr>
            <w:tcW w:w="827" w:type="dxa"/>
            <w:vMerge w:val="restart"/>
            <w:tcBorders>
              <w:bottom w:val="nil"/>
            </w:tcBorders>
            <w:vAlign w:val="top"/>
          </w:tcPr>
          <w:p w14:paraId="4B68933A">
            <w:pPr>
              <w:spacing w:line="279" w:lineRule="auto"/>
              <w:rPr>
                <w:rFonts w:ascii="Arial"/>
                <w:sz w:val="21"/>
              </w:rPr>
            </w:pPr>
          </w:p>
          <w:p w14:paraId="68080594">
            <w:pPr>
              <w:spacing w:line="280" w:lineRule="auto"/>
              <w:rPr>
                <w:rFonts w:ascii="Arial"/>
                <w:sz w:val="21"/>
              </w:rPr>
            </w:pPr>
          </w:p>
          <w:p w14:paraId="4AEC6DBA">
            <w:pPr>
              <w:spacing w:line="280" w:lineRule="auto"/>
              <w:rPr>
                <w:rFonts w:ascii="Arial"/>
                <w:sz w:val="21"/>
              </w:rPr>
            </w:pPr>
          </w:p>
          <w:p w14:paraId="46413960">
            <w:pPr>
              <w:pStyle w:val="16"/>
              <w:spacing w:before="65" w:line="256" w:lineRule="auto"/>
              <w:ind w:left="116" w:right="113" w:firstLine="5"/>
            </w:pPr>
            <w:r>
              <w:rPr>
                <w:spacing w:val="-1"/>
              </w:rPr>
              <w:t>5.检</w:t>
            </w:r>
            <w:r>
              <w:rPr>
                <w:spacing w:val="1"/>
              </w:rPr>
              <w:t>验</w:t>
            </w:r>
          </w:p>
        </w:tc>
        <w:tc>
          <w:tcPr>
            <w:tcW w:w="817" w:type="dxa"/>
            <w:vAlign w:val="top"/>
          </w:tcPr>
          <w:p w14:paraId="334B7EDA">
            <w:pPr>
              <w:pStyle w:val="16"/>
              <w:spacing w:before="181" w:line="268" w:lineRule="exact"/>
              <w:ind w:left="113"/>
            </w:pPr>
            <w:r>
              <w:rPr>
                <w:spacing w:val="3"/>
                <w:position w:val="1"/>
              </w:rPr>
              <w:t>B501</w:t>
            </w:r>
          </w:p>
        </w:tc>
        <w:tc>
          <w:tcPr>
            <w:tcW w:w="5323" w:type="dxa"/>
            <w:vAlign w:val="top"/>
          </w:tcPr>
          <w:p w14:paraId="2FCFEBCD">
            <w:pPr>
              <w:pStyle w:val="16"/>
              <w:spacing w:before="181" w:line="228" w:lineRule="auto"/>
              <w:ind w:left="116"/>
            </w:pPr>
            <w:r>
              <w:rPr>
                <w:spacing w:val="8"/>
              </w:rPr>
              <w:t>试验检测操作未按规定程序进行。</w:t>
            </w:r>
          </w:p>
        </w:tc>
        <w:tc>
          <w:tcPr>
            <w:tcW w:w="1103" w:type="dxa"/>
            <w:vAlign w:val="top"/>
          </w:tcPr>
          <w:p w14:paraId="0AD4478E">
            <w:pPr>
              <w:pStyle w:val="16"/>
              <w:spacing w:before="181" w:line="228" w:lineRule="auto"/>
              <w:ind w:left="121"/>
            </w:pPr>
            <w:r>
              <w:rPr>
                <w:spacing w:val="4"/>
              </w:rPr>
              <w:t>元/次</w:t>
            </w:r>
          </w:p>
        </w:tc>
        <w:tc>
          <w:tcPr>
            <w:tcW w:w="1284" w:type="dxa"/>
            <w:vAlign w:val="top"/>
          </w:tcPr>
          <w:p w14:paraId="571FF4C8">
            <w:pPr>
              <w:pStyle w:val="16"/>
              <w:spacing w:before="181" w:line="225" w:lineRule="auto"/>
              <w:ind w:left="136"/>
            </w:pPr>
            <w:r>
              <w:t>1,000</w:t>
            </w:r>
          </w:p>
        </w:tc>
      </w:tr>
      <w:tr w14:paraId="602AE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7440BDC6">
            <w:pPr>
              <w:rPr>
                <w:rFonts w:ascii="Arial"/>
                <w:sz w:val="21"/>
              </w:rPr>
            </w:pPr>
          </w:p>
        </w:tc>
        <w:tc>
          <w:tcPr>
            <w:tcW w:w="827" w:type="dxa"/>
            <w:vMerge w:val="continue"/>
            <w:tcBorders>
              <w:top w:val="nil"/>
              <w:bottom w:val="nil"/>
            </w:tcBorders>
            <w:vAlign w:val="top"/>
          </w:tcPr>
          <w:p w14:paraId="6FBFA668">
            <w:pPr>
              <w:rPr>
                <w:rFonts w:ascii="Arial"/>
                <w:sz w:val="21"/>
              </w:rPr>
            </w:pPr>
          </w:p>
        </w:tc>
        <w:tc>
          <w:tcPr>
            <w:tcW w:w="817" w:type="dxa"/>
            <w:vAlign w:val="top"/>
          </w:tcPr>
          <w:p w14:paraId="39F30D35">
            <w:pPr>
              <w:pStyle w:val="16"/>
              <w:spacing w:before="181" w:line="268" w:lineRule="exact"/>
              <w:ind w:left="113"/>
            </w:pPr>
            <w:r>
              <w:rPr>
                <w:spacing w:val="3"/>
                <w:position w:val="1"/>
              </w:rPr>
              <w:t>B502</w:t>
            </w:r>
          </w:p>
        </w:tc>
        <w:tc>
          <w:tcPr>
            <w:tcW w:w="5323" w:type="dxa"/>
            <w:vAlign w:val="top"/>
          </w:tcPr>
          <w:p w14:paraId="52C96129">
            <w:pPr>
              <w:pStyle w:val="16"/>
              <w:spacing w:before="181" w:line="228" w:lineRule="auto"/>
              <w:ind w:left="116"/>
            </w:pPr>
            <w:r>
              <w:rPr>
                <w:spacing w:val="8"/>
              </w:rPr>
              <w:t>检测频率不够，项目不全，报检不及时。</w:t>
            </w:r>
          </w:p>
        </w:tc>
        <w:tc>
          <w:tcPr>
            <w:tcW w:w="1103" w:type="dxa"/>
            <w:vAlign w:val="top"/>
          </w:tcPr>
          <w:p w14:paraId="25057912">
            <w:pPr>
              <w:pStyle w:val="16"/>
              <w:spacing w:before="181" w:line="228" w:lineRule="auto"/>
              <w:ind w:left="121"/>
            </w:pPr>
            <w:r>
              <w:rPr>
                <w:spacing w:val="4"/>
              </w:rPr>
              <w:t>元/次</w:t>
            </w:r>
          </w:p>
        </w:tc>
        <w:tc>
          <w:tcPr>
            <w:tcW w:w="1284" w:type="dxa"/>
            <w:vAlign w:val="top"/>
          </w:tcPr>
          <w:p w14:paraId="7E603014">
            <w:pPr>
              <w:pStyle w:val="16"/>
              <w:spacing w:before="181" w:line="225" w:lineRule="auto"/>
              <w:ind w:left="123"/>
            </w:pPr>
            <w:r>
              <w:rPr>
                <w:spacing w:val="2"/>
              </w:rPr>
              <w:t>2,000</w:t>
            </w:r>
          </w:p>
        </w:tc>
      </w:tr>
      <w:tr w14:paraId="7DE4E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40513839">
            <w:pPr>
              <w:rPr>
                <w:rFonts w:ascii="Arial"/>
                <w:sz w:val="21"/>
              </w:rPr>
            </w:pPr>
          </w:p>
        </w:tc>
        <w:tc>
          <w:tcPr>
            <w:tcW w:w="827" w:type="dxa"/>
            <w:vMerge w:val="continue"/>
            <w:tcBorders>
              <w:top w:val="nil"/>
              <w:bottom w:val="nil"/>
            </w:tcBorders>
            <w:vAlign w:val="top"/>
          </w:tcPr>
          <w:p w14:paraId="765C10DE">
            <w:pPr>
              <w:rPr>
                <w:rFonts w:ascii="Arial"/>
                <w:sz w:val="21"/>
              </w:rPr>
            </w:pPr>
          </w:p>
        </w:tc>
        <w:tc>
          <w:tcPr>
            <w:tcW w:w="817" w:type="dxa"/>
            <w:vAlign w:val="top"/>
          </w:tcPr>
          <w:p w14:paraId="2D421C66">
            <w:pPr>
              <w:pStyle w:val="16"/>
              <w:spacing w:before="181" w:line="268" w:lineRule="exact"/>
              <w:ind w:left="113"/>
            </w:pPr>
            <w:r>
              <w:rPr>
                <w:spacing w:val="3"/>
                <w:position w:val="1"/>
              </w:rPr>
              <w:t>B503</w:t>
            </w:r>
          </w:p>
        </w:tc>
        <w:tc>
          <w:tcPr>
            <w:tcW w:w="5323" w:type="dxa"/>
            <w:vAlign w:val="top"/>
          </w:tcPr>
          <w:p w14:paraId="4B2CEF1D">
            <w:pPr>
              <w:pStyle w:val="16"/>
              <w:spacing w:before="181" w:line="228" w:lineRule="auto"/>
              <w:ind w:left="116"/>
            </w:pPr>
            <w:r>
              <w:rPr>
                <w:spacing w:val="8"/>
              </w:rPr>
              <w:t>试验仪器、器具逾期未标定。</w:t>
            </w:r>
          </w:p>
        </w:tc>
        <w:tc>
          <w:tcPr>
            <w:tcW w:w="1103" w:type="dxa"/>
            <w:vAlign w:val="top"/>
          </w:tcPr>
          <w:p w14:paraId="62360A04">
            <w:pPr>
              <w:pStyle w:val="16"/>
              <w:spacing w:before="181" w:line="228" w:lineRule="auto"/>
              <w:ind w:left="121"/>
            </w:pPr>
            <w:r>
              <w:rPr>
                <w:spacing w:val="4"/>
              </w:rPr>
              <w:t>元/件</w:t>
            </w:r>
          </w:p>
        </w:tc>
        <w:tc>
          <w:tcPr>
            <w:tcW w:w="1284" w:type="dxa"/>
            <w:vAlign w:val="top"/>
          </w:tcPr>
          <w:p w14:paraId="555EB9AA">
            <w:pPr>
              <w:pStyle w:val="16"/>
              <w:spacing w:before="181" w:line="268" w:lineRule="exact"/>
              <w:ind w:left="124"/>
            </w:pPr>
            <w:r>
              <w:rPr>
                <w:spacing w:val="1"/>
                <w:position w:val="1"/>
              </w:rPr>
              <w:t>500</w:t>
            </w:r>
          </w:p>
        </w:tc>
      </w:tr>
      <w:tr w14:paraId="2D70F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1CA9D08B">
            <w:pPr>
              <w:rPr>
                <w:rFonts w:ascii="Arial"/>
                <w:sz w:val="21"/>
              </w:rPr>
            </w:pPr>
          </w:p>
        </w:tc>
        <w:tc>
          <w:tcPr>
            <w:tcW w:w="827" w:type="dxa"/>
            <w:vMerge w:val="continue"/>
            <w:tcBorders>
              <w:top w:val="nil"/>
            </w:tcBorders>
            <w:vAlign w:val="top"/>
          </w:tcPr>
          <w:p w14:paraId="2ECF5356">
            <w:pPr>
              <w:rPr>
                <w:rFonts w:ascii="Arial"/>
                <w:sz w:val="21"/>
              </w:rPr>
            </w:pPr>
          </w:p>
        </w:tc>
        <w:tc>
          <w:tcPr>
            <w:tcW w:w="817" w:type="dxa"/>
            <w:vAlign w:val="top"/>
          </w:tcPr>
          <w:p w14:paraId="3784E7FE">
            <w:pPr>
              <w:pStyle w:val="16"/>
              <w:spacing w:before="182" w:line="269" w:lineRule="exact"/>
              <w:ind w:left="113"/>
            </w:pPr>
            <w:r>
              <w:rPr>
                <w:spacing w:val="3"/>
                <w:position w:val="1"/>
              </w:rPr>
              <w:t>B504</w:t>
            </w:r>
          </w:p>
        </w:tc>
        <w:tc>
          <w:tcPr>
            <w:tcW w:w="5323" w:type="dxa"/>
            <w:vAlign w:val="top"/>
          </w:tcPr>
          <w:p w14:paraId="087486A4">
            <w:pPr>
              <w:pStyle w:val="16"/>
              <w:spacing w:before="46" w:line="238" w:lineRule="auto"/>
              <w:ind w:left="118" w:right="111" w:hanging="3"/>
            </w:pPr>
            <w:r>
              <w:rPr>
                <w:spacing w:val="12"/>
              </w:rPr>
              <w:t>进场设备、材料验收程序不符合规范及项目管理制度要</w:t>
            </w:r>
            <w:r>
              <w:rPr>
                <w:spacing w:val="-1"/>
              </w:rPr>
              <w:t>求。</w:t>
            </w:r>
          </w:p>
        </w:tc>
        <w:tc>
          <w:tcPr>
            <w:tcW w:w="1103" w:type="dxa"/>
            <w:vAlign w:val="top"/>
          </w:tcPr>
          <w:p w14:paraId="10F46F99">
            <w:pPr>
              <w:pStyle w:val="16"/>
              <w:spacing w:before="182" w:line="228" w:lineRule="auto"/>
              <w:ind w:left="121"/>
            </w:pPr>
            <w:r>
              <w:rPr>
                <w:spacing w:val="4"/>
              </w:rPr>
              <w:t>元/次</w:t>
            </w:r>
          </w:p>
        </w:tc>
        <w:tc>
          <w:tcPr>
            <w:tcW w:w="1284" w:type="dxa"/>
            <w:vAlign w:val="top"/>
          </w:tcPr>
          <w:p w14:paraId="24A2C880">
            <w:pPr>
              <w:pStyle w:val="16"/>
              <w:spacing w:before="182" w:line="225" w:lineRule="auto"/>
              <w:ind w:left="123"/>
            </w:pPr>
            <w:r>
              <w:rPr>
                <w:spacing w:val="2"/>
              </w:rPr>
              <w:t>2,000</w:t>
            </w:r>
          </w:p>
        </w:tc>
      </w:tr>
      <w:tr w14:paraId="5281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4194D6DD">
            <w:pPr>
              <w:rPr>
                <w:rFonts w:ascii="Arial"/>
                <w:sz w:val="21"/>
              </w:rPr>
            </w:pPr>
          </w:p>
        </w:tc>
        <w:tc>
          <w:tcPr>
            <w:tcW w:w="827" w:type="dxa"/>
            <w:vMerge w:val="restart"/>
            <w:tcBorders>
              <w:bottom w:val="nil"/>
            </w:tcBorders>
            <w:vAlign w:val="top"/>
          </w:tcPr>
          <w:p w14:paraId="24A60750">
            <w:pPr>
              <w:spacing w:line="268" w:lineRule="auto"/>
              <w:rPr>
                <w:rFonts w:ascii="Arial"/>
                <w:sz w:val="21"/>
              </w:rPr>
            </w:pPr>
          </w:p>
          <w:p w14:paraId="13E8FDE3">
            <w:pPr>
              <w:pStyle w:val="16"/>
              <w:spacing w:before="65" w:line="256" w:lineRule="auto"/>
              <w:ind w:left="120" w:right="113" w:hanging="2"/>
            </w:pPr>
            <w:r>
              <w:t>6.其它</w:t>
            </w:r>
          </w:p>
        </w:tc>
        <w:tc>
          <w:tcPr>
            <w:tcW w:w="817" w:type="dxa"/>
            <w:vAlign w:val="top"/>
          </w:tcPr>
          <w:p w14:paraId="38B99B48">
            <w:pPr>
              <w:pStyle w:val="16"/>
              <w:spacing w:before="181" w:line="269" w:lineRule="exact"/>
              <w:ind w:left="113"/>
            </w:pPr>
            <w:r>
              <w:rPr>
                <w:spacing w:val="3"/>
                <w:position w:val="1"/>
              </w:rPr>
              <w:t>B601</w:t>
            </w:r>
          </w:p>
        </w:tc>
        <w:tc>
          <w:tcPr>
            <w:tcW w:w="5323" w:type="dxa"/>
            <w:vAlign w:val="top"/>
          </w:tcPr>
          <w:p w14:paraId="4B2C1C82">
            <w:pPr>
              <w:pStyle w:val="16"/>
              <w:spacing w:before="181" w:line="228" w:lineRule="auto"/>
              <w:ind w:left="117"/>
            </w:pPr>
            <w:r>
              <w:rPr>
                <w:spacing w:val="8"/>
              </w:rPr>
              <w:t>质量问题整改不力、不及时。</w:t>
            </w:r>
          </w:p>
        </w:tc>
        <w:tc>
          <w:tcPr>
            <w:tcW w:w="1103" w:type="dxa"/>
            <w:vAlign w:val="top"/>
          </w:tcPr>
          <w:p w14:paraId="577F7DFF">
            <w:pPr>
              <w:pStyle w:val="16"/>
              <w:spacing w:before="181" w:line="228" w:lineRule="auto"/>
              <w:ind w:left="121"/>
            </w:pPr>
            <w:r>
              <w:rPr>
                <w:spacing w:val="4"/>
              </w:rPr>
              <w:t>元/次</w:t>
            </w:r>
          </w:p>
        </w:tc>
        <w:tc>
          <w:tcPr>
            <w:tcW w:w="1284" w:type="dxa"/>
            <w:vAlign w:val="top"/>
          </w:tcPr>
          <w:p w14:paraId="0711F8F1">
            <w:pPr>
              <w:pStyle w:val="16"/>
              <w:spacing w:before="181" w:line="225" w:lineRule="auto"/>
              <w:ind w:left="124"/>
            </w:pPr>
            <w:r>
              <w:rPr>
                <w:spacing w:val="2"/>
              </w:rPr>
              <w:t>3,000</w:t>
            </w:r>
          </w:p>
        </w:tc>
      </w:tr>
      <w:tr w14:paraId="521CE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tcBorders>
            <w:vAlign w:val="top"/>
          </w:tcPr>
          <w:p w14:paraId="6B6CE1EC">
            <w:pPr>
              <w:rPr>
                <w:rFonts w:ascii="Arial"/>
                <w:sz w:val="21"/>
              </w:rPr>
            </w:pPr>
          </w:p>
        </w:tc>
        <w:tc>
          <w:tcPr>
            <w:tcW w:w="827" w:type="dxa"/>
            <w:vMerge w:val="continue"/>
            <w:tcBorders>
              <w:top w:val="nil"/>
            </w:tcBorders>
            <w:vAlign w:val="top"/>
          </w:tcPr>
          <w:p w14:paraId="469BFC94">
            <w:pPr>
              <w:rPr>
                <w:rFonts w:ascii="Arial"/>
                <w:sz w:val="21"/>
              </w:rPr>
            </w:pPr>
          </w:p>
        </w:tc>
        <w:tc>
          <w:tcPr>
            <w:tcW w:w="817" w:type="dxa"/>
            <w:vAlign w:val="top"/>
          </w:tcPr>
          <w:p w14:paraId="7AFAFC39">
            <w:pPr>
              <w:pStyle w:val="16"/>
              <w:spacing w:before="183" w:line="268" w:lineRule="exact"/>
              <w:ind w:left="113"/>
            </w:pPr>
            <w:r>
              <w:rPr>
                <w:spacing w:val="3"/>
                <w:position w:val="1"/>
              </w:rPr>
              <w:t>B602</w:t>
            </w:r>
          </w:p>
        </w:tc>
        <w:tc>
          <w:tcPr>
            <w:tcW w:w="5323" w:type="dxa"/>
            <w:vAlign w:val="top"/>
          </w:tcPr>
          <w:p w14:paraId="35927C6E">
            <w:pPr>
              <w:pStyle w:val="16"/>
              <w:spacing w:before="182" w:line="228" w:lineRule="auto"/>
              <w:ind w:left="119"/>
            </w:pPr>
            <w:r>
              <w:rPr>
                <w:spacing w:val="8"/>
              </w:rPr>
              <w:t>工程质量受到省级主管部门通报批评。</w:t>
            </w:r>
          </w:p>
        </w:tc>
        <w:tc>
          <w:tcPr>
            <w:tcW w:w="1103" w:type="dxa"/>
            <w:vAlign w:val="top"/>
          </w:tcPr>
          <w:p w14:paraId="7B698D42">
            <w:pPr>
              <w:pStyle w:val="16"/>
              <w:spacing w:before="182" w:line="228" w:lineRule="auto"/>
              <w:ind w:left="121"/>
            </w:pPr>
            <w:r>
              <w:rPr>
                <w:spacing w:val="4"/>
              </w:rPr>
              <w:t>元/次</w:t>
            </w:r>
          </w:p>
        </w:tc>
        <w:tc>
          <w:tcPr>
            <w:tcW w:w="1284" w:type="dxa"/>
            <w:vAlign w:val="top"/>
          </w:tcPr>
          <w:p w14:paraId="6974DD40">
            <w:pPr>
              <w:pStyle w:val="16"/>
              <w:spacing w:before="183" w:line="225" w:lineRule="auto"/>
              <w:ind w:left="124"/>
            </w:pPr>
            <w:r>
              <w:rPr>
                <w:spacing w:val="2"/>
              </w:rPr>
              <w:t>30,000</w:t>
            </w:r>
          </w:p>
        </w:tc>
      </w:tr>
      <w:tr w14:paraId="70071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restart"/>
            <w:tcBorders>
              <w:bottom w:val="nil"/>
            </w:tcBorders>
            <w:vAlign w:val="top"/>
          </w:tcPr>
          <w:p w14:paraId="45468E58">
            <w:pPr>
              <w:spacing w:line="247" w:lineRule="auto"/>
              <w:rPr>
                <w:rFonts w:ascii="Arial"/>
                <w:sz w:val="21"/>
              </w:rPr>
            </w:pPr>
          </w:p>
          <w:p w14:paraId="2DEB84F2">
            <w:pPr>
              <w:spacing w:line="247" w:lineRule="auto"/>
              <w:rPr>
                <w:rFonts w:ascii="Arial"/>
                <w:sz w:val="21"/>
              </w:rPr>
            </w:pPr>
          </w:p>
          <w:p w14:paraId="336957A2">
            <w:pPr>
              <w:spacing w:line="247" w:lineRule="auto"/>
              <w:rPr>
                <w:rFonts w:ascii="Arial"/>
                <w:sz w:val="21"/>
              </w:rPr>
            </w:pPr>
          </w:p>
          <w:p w14:paraId="5BFB2C93">
            <w:pPr>
              <w:spacing w:line="247" w:lineRule="auto"/>
              <w:rPr>
                <w:rFonts w:ascii="Arial"/>
                <w:sz w:val="21"/>
              </w:rPr>
            </w:pPr>
          </w:p>
          <w:p w14:paraId="78B05FA0">
            <w:pPr>
              <w:spacing w:line="247" w:lineRule="auto"/>
              <w:rPr>
                <w:rFonts w:ascii="Arial"/>
                <w:sz w:val="21"/>
              </w:rPr>
            </w:pPr>
          </w:p>
          <w:p w14:paraId="700DCB0A">
            <w:pPr>
              <w:spacing w:line="247" w:lineRule="auto"/>
              <w:rPr>
                <w:rFonts w:ascii="Arial"/>
                <w:sz w:val="21"/>
              </w:rPr>
            </w:pPr>
          </w:p>
          <w:p w14:paraId="68911175">
            <w:pPr>
              <w:spacing w:line="247" w:lineRule="auto"/>
              <w:rPr>
                <w:rFonts w:ascii="Arial"/>
                <w:sz w:val="21"/>
              </w:rPr>
            </w:pPr>
          </w:p>
          <w:p w14:paraId="3568105A">
            <w:pPr>
              <w:spacing w:line="247" w:lineRule="auto"/>
              <w:rPr>
                <w:rFonts w:ascii="Arial"/>
                <w:sz w:val="21"/>
              </w:rPr>
            </w:pPr>
          </w:p>
          <w:p w14:paraId="46699BD5">
            <w:pPr>
              <w:spacing w:line="247" w:lineRule="auto"/>
              <w:rPr>
                <w:rFonts w:ascii="Arial"/>
                <w:sz w:val="21"/>
              </w:rPr>
            </w:pPr>
          </w:p>
          <w:p w14:paraId="17EE8776">
            <w:pPr>
              <w:spacing w:line="247" w:lineRule="auto"/>
              <w:rPr>
                <w:rFonts w:ascii="Arial"/>
                <w:sz w:val="21"/>
              </w:rPr>
            </w:pPr>
          </w:p>
          <w:p w14:paraId="473C073C">
            <w:pPr>
              <w:spacing w:line="247" w:lineRule="auto"/>
              <w:rPr>
                <w:rFonts w:ascii="Arial"/>
                <w:sz w:val="21"/>
              </w:rPr>
            </w:pPr>
          </w:p>
          <w:p w14:paraId="6211F2F2">
            <w:pPr>
              <w:spacing w:line="247" w:lineRule="auto"/>
              <w:rPr>
                <w:rFonts w:ascii="Arial"/>
                <w:sz w:val="21"/>
              </w:rPr>
            </w:pPr>
          </w:p>
          <w:p w14:paraId="33CEA2B4">
            <w:pPr>
              <w:spacing w:line="247" w:lineRule="auto"/>
              <w:rPr>
                <w:rFonts w:ascii="Arial"/>
                <w:sz w:val="21"/>
              </w:rPr>
            </w:pPr>
          </w:p>
          <w:p w14:paraId="6C4F303F">
            <w:pPr>
              <w:spacing w:line="248" w:lineRule="auto"/>
              <w:rPr>
                <w:rFonts w:ascii="Arial"/>
                <w:sz w:val="21"/>
              </w:rPr>
            </w:pPr>
          </w:p>
          <w:p w14:paraId="3CC294B3">
            <w:pPr>
              <w:pStyle w:val="16"/>
              <w:spacing w:before="66" w:line="189" w:lineRule="auto"/>
              <w:ind w:left="208"/>
            </w:pPr>
            <w:r>
              <w:rPr>
                <w:spacing w:val="1"/>
              </w:rPr>
              <w:t>C.</w:t>
            </w:r>
          </w:p>
          <w:p w14:paraId="7989D1F4">
            <w:pPr>
              <w:pStyle w:val="16"/>
              <w:spacing w:before="33" w:line="229" w:lineRule="auto"/>
              <w:ind w:left="213"/>
            </w:pPr>
            <w:r>
              <w:t>安</w:t>
            </w:r>
          </w:p>
          <w:p w14:paraId="0E26D0FF">
            <w:pPr>
              <w:pStyle w:val="16"/>
              <w:spacing w:before="24" w:line="236" w:lineRule="auto"/>
              <w:ind w:left="209"/>
            </w:pPr>
            <w:r>
              <w:t>全</w:t>
            </w:r>
          </w:p>
          <w:p w14:paraId="3B63D76E">
            <w:pPr>
              <w:pStyle w:val="16"/>
              <w:spacing w:before="15" w:line="238" w:lineRule="auto"/>
              <w:ind w:left="211"/>
            </w:pPr>
            <w:r>
              <w:t>生</w:t>
            </w:r>
          </w:p>
          <w:p w14:paraId="2739F7CF">
            <w:pPr>
              <w:pStyle w:val="16"/>
              <w:spacing w:before="16" w:line="228" w:lineRule="auto"/>
              <w:ind w:left="209"/>
            </w:pPr>
            <w:r>
              <w:t>产</w:t>
            </w:r>
          </w:p>
        </w:tc>
        <w:tc>
          <w:tcPr>
            <w:tcW w:w="827" w:type="dxa"/>
            <w:vMerge w:val="restart"/>
            <w:tcBorders>
              <w:bottom w:val="nil"/>
            </w:tcBorders>
            <w:vAlign w:val="top"/>
          </w:tcPr>
          <w:p w14:paraId="444CF9BA">
            <w:pPr>
              <w:spacing w:line="253" w:lineRule="auto"/>
              <w:rPr>
                <w:rFonts w:ascii="Arial"/>
                <w:sz w:val="21"/>
              </w:rPr>
            </w:pPr>
          </w:p>
          <w:p w14:paraId="081C6754">
            <w:pPr>
              <w:spacing w:line="253" w:lineRule="auto"/>
              <w:rPr>
                <w:rFonts w:ascii="Arial"/>
                <w:sz w:val="21"/>
              </w:rPr>
            </w:pPr>
          </w:p>
          <w:p w14:paraId="744941EA">
            <w:pPr>
              <w:spacing w:line="253" w:lineRule="auto"/>
              <w:rPr>
                <w:rFonts w:ascii="Arial"/>
                <w:sz w:val="21"/>
              </w:rPr>
            </w:pPr>
          </w:p>
          <w:p w14:paraId="315CBC36">
            <w:pPr>
              <w:spacing w:line="253" w:lineRule="auto"/>
              <w:rPr>
                <w:rFonts w:ascii="Arial"/>
                <w:sz w:val="21"/>
              </w:rPr>
            </w:pPr>
          </w:p>
          <w:p w14:paraId="55F3ABBB">
            <w:pPr>
              <w:spacing w:line="253" w:lineRule="auto"/>
              <w:rPr>
                <w:rFonts w:ascii="Arial"/>
                <w:sz w:val="21"/>
              </w:rPr>
            </w:pPr>
          </w:p>
          <w:p w14:paraId="7A307879">
            <w:pPr>
              <w:spacing w:line="253" w:lineRule="auto"/>
              <w:rPr>
                <w:rFonts w:ascii="Arial"/>
                <w:sz w:val="21"/>
              </w:rPr>
            </w:pPr>
          </w:p>
          <w:p w14:paraId="5BEB4D4D">
            <w:pPr>
              <w:spacing w:line="253" w:lineRule="auto"/>
              <w:rPr>
                <w:rFonts w:ascii="Arial"/>
                <w:sz w:val="21"/>
              </w:rPr>
            </w:pPr>
          </w:p>
          <w:p w14:paraId="27DFBF6C">
            <w:pPr>
              <w:spacing w:line="253" w:lineRule="auto"/>
              <w:rPr>
                <w:rFonts w:ascii="Arial"/>
                <w:sz w:val="21"/>
              </w:rPr>
            </w:pPr>
          </w:p>
          <w:p w14:paraId="19C57489">
            <w:pPr>
              <w:spacing w:line="253" w:lineRule="auto"/>
              <w:rPr>
                <w:rFonts w:ascii="Arial"/>
                <w:sz w:val="21"/>
              </w:rPr>
            </w:pPr>
          </w:p>
          <w:p w14:paraId="76467857">
            <w:pPr>
              <w:spacing w:line="254" w:lineRule="auto"/>
              <w:rPr>
                <w:rFonts w:ascii="Arial"/>
                <w:sz w:val="21"/>
              </w:rPr>
            </w:pPr>
          </w:p>
          <w:p w14:paraId="0680ED4F">
            <w:pPr>
              <w:spacing w:line="254" w:lineRule="auto"/>
              <w:rPr>
                <w:rFonts w:ascii="Arial"/>
                <w:sz w:val="21"/>
              </w:rPr>
            </w:pPr>
          </w:p>
          <w:p w14:paraId="2D39A0F3">
            <w:pPr>
              <w:spacing w:line="254" w:lineRule="auto"/>
              <w:rPr>
                <w:rFonts w:ascii="Arial"/>
                <w:sz w:val="21"/>
              </w:rPr>
            </w:pPr>
          </w:p>
          <w:p w14:paraId="1DE28B4C">
            <w:pPr>
              <w:spacing w:line="254" w:lineRule="auto"/>
              <w:rPr>
                <w:rFonts w:ascii="Arial"/>
                <w:sz w:val="21"/>
              </w:rPr>
            </w:pPr>
          </w:p>
          <w:p w14:paraId="28BC9243">
            <w:pPr>
              <w:spacing w:line="254" w:lineRule="auto"/>
              <w:rPr>
                <w:rFonts w:ascii="Arial"/>
                <w:sz w:val="21"/>
              </w:rPr>
            </w:pPr>
          </w:p>
          <w:p w14:paraId="1C5BB3A7">
            <w:pPr>
              <w:pStyle w:val="16"/>
              <w:spacing w:before="65" w:line="252" w:lineRule="auto"/>
              <w:ind w:left="116" w:right="113" w:firstLine="16"/>
            </w:pPr>
            <w:r>
              <w:rPr>
                <w:spacing w:val="-4"/>
              </w:rPr>
              <w:t>1.程</w:t>
            </w:r>
            <w:r>
              <w:rPr>
                <w:spacing w:val="1"/>
              </w:rPr>
              <w:t>序</w:t>
            </w:r>
          </w:p>
        </w:tc>
        <w:tc>
          <w:tcPr>
            <w:tcW w:w="817" w:type="dxa"/>
            <w:vAlign w:val="top"/>
          </w:tcPr>
          <w:p w14:paraId="5FC0E642">
            <w:pPr>
              <w:pStyle w:val="16"/>
              <w:spacing w:before="182" w:line="268" w:lineRule="exact"/>
              <w:ind w:left="116"/>
            </w:pPr>
            <w:r>
              <w:rPr>
                <w:spacing w:val="3"/>
                <w:position w:val="1"/>
              </w:rPr>
              <w:t>C101</w:t>
            </w:r>
          </w:p>
        </w:tc>
        <w:tc>
          <w:tcPr>
            <w:tcW w:w="5323" w:type="dxa"/>
            <w:vAlign w:val="top"/>
          </w:tcPr>
          <w:p w14:paraId="38196EC9">
            <w:pPr>
              <w:pStyle w:val="16"/>
              <w:spacing w:before="46" w:line="238" w:lineRule="auto"/>
              <w:ind w:left="119" w:right="109"/>
            </w:pPr>
            <w:r>
              <w:rPr>
                <w:spacing w:val="12"/>
              </w:rPr>
              <w:t>分部分项工程施工安全方案未向施工班组交底或方案未</w:t>
            </w:r>
            <w:r>
              <w:rPr>
                <w:spacing w:val="8"/>
              </w:rPr>
              <w:t>履行审批手续先行施工的。</w:t>
            </w:r>
          </w:p>
        </w:tc>
        <w:tc>
          <w:tcPr>
            <w:tcW w:w="1103" w:type="dxa"/>
            <w:vAlign w:val="top"/>
          </w:tcPr>
          <w:p w14:paraId="298C214C">
            <w:pPr>
              <w:pStyle w:val="16"/>
              <w:spacing w:before="181" w:line="228" w:lineRule="auto"/>
              <w:ind w:left="121"/>
            </w:pPr>
            <w:r>
              <w:rPr>
                <w:spacing w:val="4"/>
              </w:rPr>
              <w:t>元/次</w:t>
            </w:r>
          </w:p>
        </w:tc>
        <w:tc>
          <w:tcPr>
            <w:tcW w:w="1284" w:type="dxa"/>
            <w:vAlign w:val="top"/>
          </w:tcPr>
          <w:p w14:paraId="12041848">
            <w:pPr>
              <w:pStyle w:val="16"/>
              <w:spacing w:before="182" w:line="225" w:lineRule="auto"/>
              <w:ind w:left="124"/>
            </w:pPr>
            <w:r>
              <w:rPr>
                <w:spacing w:val="2"/>
              </w:rPr>
              <w:t>5,000</w:t>
            </w:r>
          </w:p>
        </w:tc>
      </w:tr>
      <w:tr w14:paraId="0852E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564D73D7">
            <w:pPr>
              <w:rPr>
                <w:rFonts w:ascii="Arial"/>
                <w:sz w:val="21"/>
              </w:rPr>
            </w:pPr>
          </w:p>
        </w:tc>
        <w:tc>
          <w:tcPr>
            <w:tcW w:w="827" w:type="dxa"/>
            <w:vMerge w:val="continue"/>
            <w:tcBorders>
              <w:top w:val="nil"/>
              <w:bottom w:val="nil"/>
            </w:tcBorders>
            <w:vAlign w:val="top"/>
          </w:tcPr>
          <w:p w14:paraId="490BD4A9">
            <w:pPr>
              <w:rPr>
                <w:rFonts w:ascii="Arial"/>
                <w:sz w:val="21"/>
              </w:rPr>
            </w:pPr>
          </w:p>
        </w:tc>
        <w:tc>
          <w:tcPr>
            <w:tcW w:w="817" w:type="dxa"/>
            <w:vAlign w:val="top"/>
          </w:tcPr>
          <w:p w14:paraId="24F5E54F">
            <w:pPr>
              <w:pStyle w:val="16"/>
              <w:spacing w:before="181" w:line="268" w:lineRule="exact"/>
              <w:ind w:left="116"/>
            </w:pPr>
            <w:r>
              <w:rPr>
                <w:spacing w:val="3"/>
                <w:position w:val="1"/>
              </w:rPr>
              <w:t>C102</w:t>
            </w:r>
          </w:p>
        </w:tc>
        <w:tc>
          <w:tcPr>
            <w:tcW w:w="5323" w:type="dxa"/>
            <w:vAlign w:val="top"/>
          </w:tcPr>
          <w:p w14:paraId="16A799C6">
            <w:pPr>
              <w:pStyle w:val="16"/>
              <w:spacing w:before="180" w:line="228" w:lineRule="auto"/>
              <w:ind w:left="121"/>
            </w:pPr>
            <w:r>
              <w:rPr>
                <w:spacing w:val="9"/>
              </w:rPr>
              <w:t>安全生产体系（制度）不健全又未按要求完善整改的。</w:t>
            </w:r>
          </w:p>
        </w:tc>
        <w:tc>
          <w:tcPr>
            <w:tcW w:w="1103" w:type="dxa"/>
            <w:vAlign w:val="top"/>
          </w:tcPr>
          <w:p w14:paraId="15C6AAEB">
            <w:pPr>
              <w:pStyle w:val="16"/>
              <w:spacing w:before="180" w:line="228" w:lineRule="auto"/>
              <w:ind w:left="121"/>
            </w:pPr>
            <w:r>
              <w:rPr>
                <w:spacing w:val="4"/>
              </w:rPr>
              <w:t>元/次</w:t>
            </w:r>
          </w:p>
        </w:tc>
        <w:tc>
          <w:tcPr>
            <w:tcW w:w="1284" w:type="dxa"/>
            <w:vAlign w:val="top"/>
          </w:tcPr>
          <w:p w14:paraId="64ADDD8E">
            <w:pPr>
              <w:pStyle w:val="16"/>
              <w:spacing w:before="181" w:line="225" w:lineRule="auto"/>
              <w:ind w:left="124"/>
            </w:pPr>
            <w:r>
              <w:rPr>
                <w:spacing w:val="2"/>
              </w:rPr>
              <w:t>3,000</w:t>
            </w:r>
          </w:p>
        </w:tc>
      </w:tr>
      <w:tr w14:paraId="15676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3F34114D">
            <w:pPr>
              <w:rPr>
                <w:rFonts w:ascii="Arial"/>
                <w:sz w:val="21"/>
              </w:rPr>
            </w:pPr>
          </w:p>
        </w:tc>
        <w:tc>
          <w:tcPr>
            <w:tcW w:w="827" w:type="dxa"/>
            <w:vMerge w:val="continue"/>
            <w:tcBorders>
              <w:top w:val="nil"/>
              <w:bottom w:val="nil"/>
            </w:tcBorders>
            <w:vAlign w:val="top"/>
          </w:tcPr>
          <w:p w14:paraId="2AEF7F3E">
            <w:pPr>
              <w:rPr>
                <w:rFonts w:ascii="Arial"/>
                <w:sz w:val="21"/>
              </w:rPr>
            </w:pPr>
          </w:p>
        </w:tc>
        <w:tc>
          <w:tcPr>
            <w:tcW w:w="817" w:type="dxa"/>
            <w:vAlign w:val="top"/>
          </w:tcPr>
          <w:p w14:paraId="50031CF7">
            <w:pPr>
              <w:pStyle w:val="16"/>
              <w:spacing w:before="182" w:line="269" w:lineRule="exact"/>
              <w:ind w:left="116"/>
            </w:pPr>
            <w:r>
              <w:rPr>
                <w:spacing w:val="3"/>
                <w:position w:val="1"/>
              </w:rPr>
              <w:t>C103</w:t>
            </w:r>
          </w:p>
        </w:tc>
        <w:tc>
          <w:tcPr>
            <w:tcW w:w="5323" w:type="dxa"/>
            <w:vAlign w:val="top"/>
          </w:tcPr>
          <w:p w14:paraId="4D0C91DC">
            <w:pPr>
              <w:pStyle w:val="16"/>
              <w:spacing w:before="182" w:line="227" w:lineRule="auto"/>
              <w:ind w:left="120"/>
            </w:pPr>
            <w:r>
              <w:rPr>
                <w:spacing w:val="8"/>
              </w:rPr>
              <w:t>未按要求逐级签订年度安全责任书。</w:t>
            </w:r>
          </w:p>
        </w:tc>
        <w:tc>
          <w:tcPr>
            <w:tcW w:w="1103" w:type="dxa"/>
            <w:vAlign w:val="top"/>
          </w:tcPr>
          <w:p w14:paraId="308FF624">
            <w:pPr>
              <w:pStyle w:val="16"/>
              <w:spacing w:before="182" w:line="228" w:lineRule="auto"/>
              <w:ind w:left="121"/>
            </w:pPr>
            <w:r>
              <w:rPr>
                <w:spacing w:val="4"/>
              </w:rPr>
              <w:t>元/次</w:t>
            </w:r>
          </w:p>
        </w:tc>
        <w:tc>
          <w:tcPr>
            <w:tcW w:w="1284" w:type="dxa"/>
            <w:vAlign w:val="top"/>
          </w:tcPr>
          <w:p w14:paraId="3EAF4BE6">
            <w:pPr>
              <w:pStyle w:val="16"/>
              <w:spacing w:before="182" w:line="225" w:lineRule="auto"/>
              <w:ind w:left="123"/>
            </w:pPr>
            <w:r>
              <w:rPr>
                <w:spacing w:val="2"/>
              </w:rPr>
              <w:t>2,000</w:t>
            </w:r>
          </w:p>
        </w:tc>
      </w:tr>
      <w:tr w14:paraId="64623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47CE4257">
            <w:pPr>
              <w:rPr>
                <w:rFonts w:ascii="Arial"/>
                <w:sz w:val="21"/>
              </w:rPr>
            </w:pPr>
          </w:p>
        </w:tc>
        <w:tc>
          <w:tcPr>
            <w:tcW w:w="827" w:type="dxa"/>
            <w:vMerge w:val="continue"/>
            <w:tcBorders>
              <w:top w:val="nil"/>
              <w:bottom w:val="nil"/>
            </w:tcBorders>
            <w:vAlign w:val="top"/>
          </w:tcPr>
          <w:p w14:paraId="4B1BED65">
            <w:pPr>
              <w:rPr>
                <w:rFonts w:ascii="Arial"/>
                <w:sz w:val="21"/>
              </w:rPr>
            </w:pPr>
          </w:p>
        </w:tc>
        <w:tc>
          <w:tcPr>
            <w:tcW w:w="817" w:type="dxa"/>
            <w:vAlign w:val="top"/>
          </w:tcPr>
          <w:p w14:paraId="79CD0B19">
            <w:pPr>
              <w:pStyle w:val="16"/>
              <w:spacing w:before="181" w:line="269" w:lineRule="exact"/>
              <w:ind w:left="116"/>
            </w:pPr>
            <w:r>
              <w:rPr>
                <w:spacing w:val="3"/>
                <w:position w:val="1"/>
              </w:rPr>
              <w:t>C104</w:t>
            </w:r>
          </w:p>
        </w:tc>
        <w:tc>
          <w:tcPr>
            <w:tcW w:w="5323" w:type="dxa"/>
            <w:vAlign w:val="top"/>
          </w:tcPr>
          <w:p w14:paraId="57F4500A">
            <w:pPr>
              <w:pStyle w:val="16"/>
              <w:spacing w:before="46" w:line="238" w:lineRule="auto"/>
              <w:ind w:left="118" w:right="111" w:firstLine="1"/>
            </w:pPr>
            <w:r>
              <w:rPr>
                <w:spacing w:val="12"/>
              </w:rPr>
              <w:t>未建立健全安全生产应急预案，或未在规定期间</w:t>
            </w:r>
            <w:r>
              <w:rPr>
                <w:spacing w:val="11"/>
              </w:rPr>
              <w:t>内组织</w:t>
            </w:r>
            <w:r>
              <w:rPr>
                <w:spacing w:val="5"/>
              </w:rPr>
              <w:t>预案演练。</w:t>
            </w:r>
          </w:p>
        </w:tc>
        <w:tc>
          <w:tcPr>
            <w:tcW w:w="1103" w:type="dxa"/>
            <w:vAlign w:val="top"/>
          </w:tcPr>
          <w:p w14:paraId="38AAD802">
            <w:pPr>
              <w:pStyle w:val="16"/>
              <w:spacing w:before="181" w:line="228" w:lineRule="auto"/>
              <w:ind w:left="121"/>
            </w:pPr>
            <w:r>
              <w:rPr>
                <w:spacing w:val="4"/>
              </w:rPr>
              <w:t>元/次</w:t>
            </w:r>
          </w:p>
        </w:tc>
        <w:tc>
          <w:tcPr>
            <w:tcW w:w="1284" w:type="dxa"/>
            <w:vAlign w:val="top"/>
          </w:tcPr>
          <w:p w14:paraId="7E6F6110">
            <w:pPr>
              <w:pStyle w:val="16"/>
              <w:spacing w:before="181" w:line="225" w:lineRule="auto"/>
              <w:ind w:left="123"/>
            </w:pPr>
            <w:r>
              <w:rPr>
                <w:spacing w:val="2"/>
              </w:rPr>
              <w:t>2,000</w:t>
            </w:r>
          </w:p>
        </w:tc>
      </w:tr>
      <w:tr w14:paraId="5C9C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3235D1AB">
            <w:pPr>
              <w:rPr>
                <w:rFonts w:ascii="Arial"/>
                <w:sz w:val="21"/>
              </w:rPr>
            </w:pPr>
          </w:p>
        </w:tc>
        <w:tc>
          <w:tcPr>
            <w:tcW w:w="827" w:type="dxa"/>
            <w:vMerge w:val="continue"/>
            <w:tcBorders>
              <w:top w:val="nil"/>
              <w:bottom w:val="nil"/>
            </w:tcBorders>
            <w:vAlign w:val="top"/>
          </w:tcPr>
          <w:p w14:paraId="2860D24F">
            <w:pPr>
              <w:rPr>
                <w:rFonts w:ascii="Arial"/>
                <w:sz w:val="21"/>
              </w:rPr>
            </w:pPr>
          </w:p>
        </w:tc>
        <w:tc>
          <w:tcPr>
            <w:tcW w:w="817" w:type="dxa"/>
            <w:vAlign w:val="top"/>
          </w:tcPr>
          <w:p w14:paraId="0FBD2145">
            <w:pPr>
              <w:pStyle w:val="16"/>
              <w:spacing w:before="183" w:line="268" w:lineRule="exact"/>
              <w:ind w:left="116"/>
            </w:pPr>
            <w:r>
              <w:rPr>
                <w:spacing w:val="3"/>
                <w:position w:val="1"/>
              </w:rPr>
              <w:t>C105</w:t>
            </w:r>
          </w:p>
        </w:tc>
        <w:tc>
          <w:tcPr>
            <w:tcW w:w="5323" w:type="dxa"/>
            <w:vAlign w:val="top"/>
          </w:tcPr>
          <w:p w14:paraId="423C2EE7">
            <w:pPr>
              <w:pStyle w:val="16"/>
              <w:spacing w:before="46" w:line="238" w:lineRule="auto"/>
              <w:ind w:left="137" w:right="111" w:hanging="21"/>
            </w:pPr>
            <w:r>
              <w:rPr>
                <w:spacing w:val="12"/>
              </w:rPr>
              <w:t>对业主、代建单位或监理发出的隐患整改通知书未及时</w:t>
            </w:r>
            <w:r>
              <w:rPr>
                <w:spacing w:val="5"/>
              </w:rPr>
              <w:t>回复或按期整改。</w:t>
            </w:r>
          </w:p>
        </w:tc>
        <w:tc>
          <w:tcPr>
            <w:tcW w:w="1103" w:type="dxa"/>
            <w:vAlign w:val="top"/>
          </w:tcPr>
          <w:p w14:paraId="659B5AEA">
            <w:pPr>
              <w:pStyle w:val="16"/>
              <w:spacing w:before="182" w:line="228" w:lineRule="auto"/>
              <w:ind w:left="121"/>
            </w:pPr>
            <w:r>
              <w:rPr>
                <w:spacing w:val="4"/>
              </w:rPr>
              <w:t>元/次</w:t>
            </w:r>
          </w:p>
        </w:tc>
        <w:tc>
          <w:tcPr>
            <w:tcW w:w="1284" w:type="dxa"/>
            <w:vAlign w:val="top"/>
          </w:tcPr>
          <w:p w14:paraId="517FBFFC">
            <w:pPr>
              <w:pStyle w:val="16"/>
              <w:spacing w:before="182" w:line="225" w:lineRule="auto"/>
              <w:ind w:left="123"/>
            </w:pPr>
            <w:r>
              <w:rPr>
                <w:spacing w:val="2"/>
              </w:rPr>
              <w:t>2,000</w:t>
            </w:r>
          </w:p>
        </w:tc>
      </w:tr>
      <w:tr w14:paraId="67F71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7AD7E2C7">
            <w:pPr>
              <w:rPr>
                <w:rFonts w:ascii="Arial"/>
                <w:sz w:val="21"/>
              </w:rPr>
            </w:pPr>
          </w:p>
        </w:tc>
        <w:tc>
          <w:tcPr>
            <w:tcW w:w="827" w:type="dxa"/>
            <w:vMerge w:val="continue"/>
            <w:tcBorders>
              <w:top w:val="nil"/>
              <w:bottom w:val="nil"/>
            </w:tcBorders>
            <w:vAlign w:val="top"/>
          </w:tcPr>
          <w:p w14:paraId="59790463">
            <w:pPr>
              <w:rPr>
                <w:rFonts w:ascii="Arial"/>
                <w:sz w:val="21"/>
              </w:rPr>
            </w:pPr>
          </w:p>
        </w:tc>
        <w:tc>
          <w:tcPr>
            <w:tcW w:w="817" w:type="dxa"/>
            <w:vAlign w:val="top"/>
          </w:tcPr>
          <w:p w14:paraId="63DC73C8">
            <w:pPr>
              <w:pStyle w:val="16"/>
              <w:spacing w:before="182" w:line="268" w:lineRule="exact"/>
              <w:ind w:left="116"/>
            </w:pPr>
            <w:r>
              <w:rPr>
                <w:spacing w:val="3"/>
                <w:position w:val="1"/>
              </w:rPr>
              <w:t>C106</w:t>
            </w:r>
          </w:p>
        </w:tc>
        <w:tc>
          <w:tcPr>
            <w:tcW w:w="5323" w:type="dxa"/>
            <w:vAlign w:val="top"/>
          </w:tcPr>
          <w:p w14:paraId="7427A84B">
            <w:pPr>
              <w:pStyle w:val="16"/>
              <w:spacing w:before="181" w:line="227" w:lineRule="auto"/>
              <w:ind w:left="121"/>
            </w:pPr>
            <w:r>
              <w:rPr>
                <w:spacing w:val="7"/>
              </w:rPr>
              <w:t>安全隐患整改弄虚作假。</w:t>
            </w:r>
          </w:p>
        </w:tc>
        <w:tc>
          <w:tcPr>
            <w:tcW w:w="1103" w:type="dxa"/>
            <w:vAlign w:val="top"/>
          </w:tcPr>
          <w:p w14:paraId="6C904054">
            <w:pPr>
              <w:pStyle w:val="16"/>
              <w:spacing w:before="181" w:line="228" w:lineRule="auto"/>
              <w:ind w:left="121"/>
            </w:pPr>
            <w:r>
              <w:rPr>
                <w:spacing w:val="4"/>
              </w:rPr>
              <w:t>元/次</w:t>
            </w:r>
          </w:p>
        </w:tc>
        <w:tc>
          <w:tcPr>
            <w:tcW w:w="1284" w:type="dxa"/>
            <w:vAlign w:val="top"/>
          </w:tcPr>
          <w:p w14:paraId="542CEAA8">
            <w:pPr>
              <w:pStyle w:val="16"/>
              <w:spacing w:before="181" w:line="225" w:lineRule="auto"/>
              <w:ind w:left="124"/>
            </w:pPr>
            <w:r>
              <w:rPr>
                <w:spacing w:val="2"/>
              </w:rPr>
              <w:t>5,000</w:t>
            </w:r>
          </w:p>
        </w:tc>
      </w:tr>
      <w:tr w14:paraId="2637F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6861DE31">
            <w:pPr>
              <w:rPr>
                <w:rFonts w:ascii="Arial"/>
                <w:sz w:val="21"/>
              </w:rPr>
            </w:pPr>
          </w:p>
        </w:tc>
        <w:tc>
          <w:tcPr>
            <w:tcW w:w="827" w:type="dxa"/>
            <w:vMerge w:val="continue"/>
            <w:tcBorders>
              <w:top w:val="nil"/>
              <w:bottom w:val="nil"/>
            </w:tcBorders>
            <w:vAlign w:val="top"/>
          </w:tcPr>
          <w:p w14:paraId="5887BDED">
            <w:pPr>
              <w:rPr>
                <w:rFonts w:ascii="Arial"/>
                <w:sz w:val="21"/>
              </w:rPr>
            </w:pPr>
          </w:p>
        </w:tc>
        <w:tc>
          <w:tcPr>
            <w:tcW w:w="817" w:type="dxa"/>
            <w:vAlign w:val="top"/>
          </w:tcPr>
          <w:p w14:paraId="2C306A9C">
            <w:pPr>
              <w:pStyle w:val="16"/>
              <w:spacing w:before="183" w:line="268" w:lineRule="exact"/>
              <w:ind w:left="116"/>
            </w:pPr>
            <w:r>
              <w:rPr>
                <w:spacing w:val="3"/>
                <w:position w:val="1"/>
              </w:rPr>
              <w:t>C107</w:t>
            </w:r>
          </w:p>
        </w:tc>
        <w:tc>
          <w:tcPr>
            <w:tcW w:w="5323" w:type="dxa"/>
            <w:vAlign w:val="top"/>
          </w:tcPr>
          <w:p w14:paraId="6C5C47B7">
            <w:pPr>
              <w:pStyle w:val="16"/>
              <w:spacing w:before="46" w:line="238" w:lineRule="auto"/>
              <w:ind w:left="119" w:right="111"/>
            </w:pPr>
            <w:r>
              <w:rPr>
                <w:spacing w:val="12"/>
              </w:rPr>
              <w:t>未按要求编制安全专项施工方案，需组织专家评</w:t>
            </w:r>
            <w:r>
              <w:rPr>
                <w:spacing w:val="11"/>
              </w:rPr>
              <w:t>审而未</w:t>
            </w:r>
            <w:r>
              <w:rPr>
                <w:spacing w:val="6"/>
              </w:rPr>
              <w:t>组织专家评审。</w:t>
            </w:r>
          </w:p>
        </w:tc>
        <w:tc>
          <w:tcPr>
            <w:tcW w:w="1103" w:type="dxa"/>
            <w:vAlign w:val="top"/>
          </w:tcPr>
          <w:p w14:paraId="5E922F74">
            <w:pPr>
              <w:pStyle w:val="16"/>
              <w:spacing w:before="183" w:line="228" w:lineRule="auto"/>
              <w:ind w:left="121"/>
            </w:pPr>
            <w:r>
              <w:rPr>
                <w:spacing w:val="4"/>
              </w:rPr>
              <w:t>元/次</w:t>
            </w:r>
          </w:p>
        </w:tc>
        <w:tc>
          <w:tcPr>
            <w:tcW w:w="1284" w:type="dxa"/>
            <w:vAlign w:val="top"/>
          </w:tcPr>
          <w:p w14:paraId="7FA9AB04">
            <w:pPr>
              <w:pStyle w:val="16"/>
              <w:spacing w:before="183" w:line="225" w:lineRule="auto"/>
              <w:ind w:left="124"/>
            </w:pPr>
            <w:r>
              <w:rPr>
                <w:spacing w:val="2"/>
              </w:rPr>
              <w:t>3,000</w:t>
            </w:r>
          </w:p>
        </w:tc>
      </w:tr>
      <w:tr w14:paraId="72D35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6D003829">
            <w:pPr>
              <w:rPr>
                <w:rFonts w:ascii="Arial"/>
                <w:sz w:val="21"/>
              </w:rPr>
            </w:pPr>
          </w:p>
        </w:tc>
        <w:tc>
          <w:tcPr>
            <w:tcW w:w="827" w:type="dxa"/>
            <w:vMerge w:val="continue"/>
            <w:tcBorders>
              <w:top w:val="nil"/>
              <w:bottom w:val="nil"/>
            </w:tcBorders>
            <w:vAlign w:val="top"/>
          </w:tcPr>
          <w:p w14:paraId="194A2AC1">
            <w:pPr>
              <w:rPr>
                <w:rFonts w:ascii="Arial"/>
                <w:sz w:val="21"/>
              </w:rPr>
            </w:pPr>
          </w:p>
        </w:tc>
        <w:tc>
          <w:tcPr>
            <w:tcW w:w="817" w:type="dxa"/>
            <w:vAlign w:val="top"/>
          </w:tcPr>
          <w:p w14:paraId="45F7CB2D">
            <w:pPr>
              <w:pStyle w:val="16"/>
              <w:spacing w:before="182" w:line="268" w:lineRule="exact"/>
              <w:ind w:left="116"/>
            </w:pPr>
            <w:r>
              <w:rPr>
                <w:spacing w:val="3"/>
                <w:position w:val="1"/>
              </w:rPr>
              <w:t>C108</w:t>
            </w:r>
          </w:p>
        </w:tc>
        <w:tc>
          <w:tcPr>
            <w:tcW w:w="5323" w:type="dxa"/>
            <w:vAlign w:val="top"/>
          </w:tcPr>
          <w:p w14:paraId="33AA82B4">
            <w:pPr>
              <w:pStyle w:val="16"/>
              <w:spacing w:before="182" w:line="228" w:lineRule="auto"/>
              <w:ind w:left="119"/>
            </w:pPr>
            <w:r>
              <w:rPr>
                <w:spacing w:val="9"/>
              </w:rPr>
              <w:t>工程船舶未按规定办法审核批准手续而擅自施工</w:t>
            </w:r>
            <w:r>
              <w:rPr>
                <w:spacing w:val="8"/>
              </w:rPr>
              <w:t>的。</w:t>
            </w:r>
          </w:p>
        </w:tc>
        <w:tc>
          <w:tcPr>
            <w:tcW w:w="1103" w:type="dxa"/>
            <w:vAlign w:val="top"/>
          </w:tcPr>
          <w:p w14:paraId="4A05AB92">
            <w:pPr>
              <w:pStyle w:val="16"/>
              <w:spacing w:before="182" w:line="228" w:lineRule="auto"/>
              <w:ind w:left="121"/>
            </w:pPr>
            <w:r>
              <w:rPr>
                <w:spacing w:val="6"/>
              </w:rPr>
              <w:t>元/艘.天</w:t>
            </w:r>
          </w:p>
        </w:tc>
        <w:tc>
          <w:tcPr>
            <w:tcW w:w="1284" w:type="dxa"/>
            <w:vAlign w:val="top"/>
          </w:tcPr>
          <w:p w14:paraId="79759F43">
            <w:pPr>
              <w:pStyle w:val="16"/>
              <w:spacing w:before="182" w:line="225" w:lineRule="auto"/>
              <w:ind w:left="124"/>
            </w:pPr>
            <w:r>
              <w:rPr>
                <w:spacing w:val="2"/>
              </w:rPr>
              <w:t>3,000</w:t>
            </w:r>
          </w:p>
        </w:tc>
      </w:tr>
      <w:tr w14:paraId="3D14A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0471C836">
            <w:pPr>
              <w:rPr>
                <w:rFonts w:ascii="Arial"/>
                <w:sz w:val="21"/>
              </w:rPr>
            </w:pPr>
          </w:p>
        </w:tc>
        <w:tc>
          <w:tcPr>
            <w:tcW w:w="827" w:type="dxa"/>
            <w:vMerge w:val="continue"/>
            <w:tcBorders>
              <w:top w:val="nil"/>
              <w:bottom w:val="nil"/>
            </w:tcBorders>
            <w:vAlign w:val="top"/>
          </w:tcPr>
          <w:p w14:paraId="29863924">
            <w:pPr>
              <w:rPr>
                <w:rFonts w:ascii="Arial"/>
                <w:sz w:val="21"/>
              </w:rPr>
            </w:pPr>
          </w:p>
        </w:tc>
        <w:tc>
          <w:tcPr>
            <w:tcW w:w="817" w:type="dxa"/>
            <w:vAlign w:val="top"/>
          </w:tcPr>
          <w:p w14:paraId="1F4A65BE">
            <w:pPr>
              <w:pStyle w:val="16"/>
              <w:spacing w:before="181" w:line="268" w:lineRule="exact"/>
              <w:ind w:left="116"/>
            </w:pPr>
            <w:r>
              <w:rPr>
                <w:spacing w:val="3"/>
                <w:position w:val="1"/>
              </w:rPr>
              <w:t>C109</w:t>
            </w:r>
          </w:p>
        </w:tc>
        <w:tc>
          <w:tcPr>
            <w:tcW w:w="5323" w:type="dxa"/>
            <w:vAlign w:val="top"/>
          </w:tcPr>
          <w:p w14:paraId="5091B3A2">
            <w:pPr>
              <w:pStyle w:val="16"/>
              <w:spacing w:before="46" w:line="238" w:lineRule="auto"/>
              <w:ind w:left="116" w:right="111"/>
            </w:pPr>
            <w:r>
              <w:rPr>
                <w:spacing w:val="12"/>
              </w:rPr>
              <w:t>特种设备或其它应检验设施、材料未经过相关部门检查</w:t>
            </w:r>
            <w:r>
              <w:rPr>
                <w:spacing w:val="8"/>
              </w:rPr>
              <w:t>合格或未办理审核批准手续而直接施工作业。</w:t>
            </w:r>
          </w:p>
        </w:tc>
        <w:tc>
          <w:tcPr>
            <w:tcW w:w="1103" w:type="dxa"/>
            <w:vAlign w:val="top"/>
          </w:tcPr>
          <w:p w14:paraId="354F2FA4">
            <w:pPr>
              <w:pStyle w:val="16"/>
              <w:spacing w:before="181" w:line="228" w:lineRule="auto"/>
              <w:ind w:left="121"/>
            </w:pPr>
            <w:r>
              <w:rPr>
                <w:spacing w:val="4"/>
              </w:rPr>
              <w:t>元/台</w:t>
            </w:r>
          </w:p>
        </w:tc>
        <w:tc>
          <w:tcPr>
            <w:tcW w:w="1284" w:type="dxa"/>
            <w:vAlign w:val="top"/>
          </w:tcPr>
          <w:p w14:paraId="48DB1179">
            <w:pPr>
              <w:pStyle w:val="16"/>
              <w:spacing w:before="181" w:line="225" w:lineRule="auto"/>
              <w:ind w:left="123"/>
            </w:pPr>
            <w:r>
              <w:rPr>
                <w:spacing w:val="2"/>
              </w:rPr>
              <w:t>2,000</w:t>
            </w:r>
          </w:p>
        </w:tc>
      </w:tr>
      <w:tr w14:paraId="0EF94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5273A7C1">
            <w:pPr>
              <w:rPr>
                <w:rFonts w:ascii="Arial"/>
                <w:sz w:val="21"/>
              </w:rPr>
            </w:pPr>
          </w:p>
        </w:tc>
        <w:tc>
          <w:tcPr>
            <w:tcW w:w="827" w:type="dxa"/>
            <w:vMerge w:val="continue"/>
            <w:tcBorders>
              <w:top w:val="nil"/>
              <w:bottom w:val="nil"/>
            </w:tcBorders>
            <w:vAlign w:val="top"/>
          </w:tcPr>
          <w:p w14:paraId="1520A44F">
            <w:pPr>
              <w:rPr>
                <w:rFonts w:ascii="Arial"/>
                <w:sz w:val="21"/>
              </w:rPr>
            </w:pPr>
          </w:p>
        </w:tc>
        <w:tc>
          <w:tcPr>
            <w:tcW w:w="817" w:type="dxa"/>
            <w:vAlign w:val="top"/>
          </w:tcPr>
          <w:p w14:paraId="2438EA9D">
            <w:pPr>
              <w:pStyle w:val="16"/>
              <w:spacing w:before="182" w:line="269" w:lineRule="exact"/>
              <w:ind w:left="116"/>
            </w:pPr>
            <w:r>
              <w:rPr>
                <w:spacing w:val="3"/>
                <w:position w:val="1"/>
              </w:rPr>
              <w:t>C110</w:t>
            </w:r>
          </w:p>
        </w:tc>
        <w:tc>
          <w:tcPr>
            <w:tcW w:w="5323" w:type="dxa"/>
            <w:vAlign w:val="top"/>
          </w:tcPr>
          <w:p w14:paraId="3177C294">
            <w:pPr>
              <w:pStyle w:val="16"/>
              <w:spacing w:before="46" w:line="238" w:lineRule="auto"/>
              <w:ind w:left="120" w:right="111"/>
            </w:pPr>
            <w:r>
              <w:rPr>
                <w:spacing w:val="12"/>
              </w:rPr>
              <w:t>发生安全事故后未按规定时限和程序上报，或隐</w:t>
            </w:r>
            <w:r>
              <w:rPr>
                <w:spacing w:val="11"/>
              </w:rPr>
              <w:t>瞒事故</w:t>
            </w:r>
            <w:r>
              <w:rPr>
                <w:spacing w:val="2"/>
              </w:rPr>
              <w:t>不报。</w:t>
            </w:r>
          </w:p>
        </w:tc>
        <w:tc>
          <w:tcPr>
            <w:tcW w:w="1103" w:type="dxa"/>
            <w:vAlign w:val="top"/>
          </w:tcPr>
          <w:p w14:paraId="0388B82B">
            <w:pPr>
              <w:pStyle w:val="16"/>
              <w:spacing w:before="182" w:line="228" w:lineRule="auto"/>
              <w:ind w:left="121"/>
            </w:pPr>
            <w:r>
              <w:rPr>
                <w:spacing w:val="4"/>
              </w:rPr>
              <w:t>元/次</w:t>
            </w:r>
          </w:p>
        </w:tc>
        <w:tc>
          <w:tcPr>
            <w:tcW w:w="1284" w:type="dxa"/>
            <w:vAlign w:val="top"/>
          </w:tcPr>
          <w:p w14:paraId="78316C37">
            <w:pPr>
              <w:pStyle w:val="16"/>
              <w:spacing w:before="182" w:line="225" w:lineRule="auto"/>
              <w:ind w:left="124"/>
            </w:pPr>
            <w:r>
              <w:rPr>
                <w:spacing w:val="2"/>
              </w:rPr>
              <w:t>30,000</w:t>
            </w:r>
          </w:p>
        </w:tc>
      </w:tr>
      <w:tr w14:paraId="74EA8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0C5A802F">
            <w:pPr>
              <w:rPr>
                <w:rFonts w:ascii="Arial"/>
                <w:sz w:val="21"/>
              </w:rPr>
            </w:pPr>
          </w:p>
        </w:tc>
        <w:tc>
          <w:tcPr>
            <w:tcW w:w="827" w:type="dxa"/>
            <w:vMerge w:val="continue"/>
            <w:tcBorders>
              <w:top w:val="nil"/>
              <w:bottom w:val="nil"/>
            </w:tcBorders>
            <w:vAlign w:val="top"/>
          </w:tcPr>
          <w:p w14:paraId="42CC5402">
            <w:pPr>
              <w:rPr>
                <w:rFonts w:ascii="Arial"/>
                <w:sz w:val="21"/>
              </w:rPr>
            </w:pPr>
          </w:p>
        </w:tc>
        <w:tc>
          <w:tcPr>
            <w:tcW w:w="817" w:type="dxa"/>
            <w:vAlign w:val="top"/>
          </w:tcPr>
          <w:p w14:paraId="36566CA9">
            <w:pPr>
              <w:pStyle w:val="16"/>
              <w:spacing w:before="181" w:line="269" w:lineRule="exact"/>
              <w:ind w:left="116"/>
            </w:pPr>
            <w:r>
              <w:rPr>
                <w:spacing w:val="3"/>
                <w:position w:val="1"/>
              </w:rPr>
              <w:t>C111</w:t>
            </w:r>
          </w:p>
        </w:tc>
        <w:tc>
          <w:tcPr>
            <w:tcW w:w="5323" w:type="dxa"/>
            <w:vAlign w:val="top"/>
          </w:tcPr>
          <w:p w14:paraId="3347F915">
            <w:pPr>
              <w:pStyle w:val="16"/>
              <w:spacing w:before="181" w:line="228" w:lineRule="auto"/>
              <w:ind w:left="121"/>
            </w:pPr>
            <w:r>
              <w:rPr>
                <w:spacing w:val="8"/>
              </w:rPr>
              <w:t>安全生产措施费用未按照规定做好计划或审报。</w:t>
            </w:r>
          </w:p>
        </w:tc>
        <w:tc>
          <w:tcPr>
            <w:tcW w:w="1103" w:type="dxa"/>
            <w:vAlign w:val="top"/>
          </w:tcPr>
          <w:p w14:paraId="4FA72FCE">
            <w:pPr>
              <w:pStyle w:val="16"/>
              <w:spacing w:before="181" w:line="228" w:lineRule="auto"/>
              <w:ind w:left="121"/>
            </w:pPr>
            <w:r>
              <w:rPr>
                <w:spacing w:val="4"/>
              </w:rPr>
              <w:t>元/次</w:t>
            </w:r>
          </w:p>
        </w:tc>
        <w:tc>
          <w:tcPr>
            <w:tcW w:w="1284" w:type="dxa"/>
            <w:vAlign w:val="top"/>
          </w:tcPr>
          <w:p w14:paraId="42F967DD">
            <w:pPr>
              <w:pStyle w:val="16"/>
              <w:spacing w:before="181" w:line="225" w:lineRule="auto"/>
              <w:ind w:left="136"/>
            </w:pPr>
            <w:r>
              <w:t>1,000</w:t>
            </w:r>
          </w:p>
        </w:tc>
      </w:tr>
      <w:tr w14:paraId="7D2D2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5F4B3DC2">
            <w:pPr>
              <w:rPr>
                <w:rFonts w:ascii="Arial"/>
                <w:sz w:val="21"/>
              </w:rPr>
            </w:pPr>
          </w:p>
        </w:tc>
        <w:tc>
          <w:tcPr>
            <w:tcW w:w="827" w:type="dxa"/>
            <w:vMerge w:val="continue"/>
            <w:tcBorders>
              <w:top w:val="nil"/>
              <w:bottom w:val="nil"/>
            </w:tcBorders>
            <w:vAlign w:val="top"/>
          </w:tcPr>
          <w:p w14:paraId="15345C88">
            <w:pPr>
              <w:rPr>
                <w:rFonts w:ascii="Arial"/>
                <w:sz w:val="21"/>
              </w:rPr>
            </w:pPr>
          </w:p>
        </w:tc>
        <w:tc>
          <w:tcPr>
            <w:tcW w:w="817" w:type="dxa"/>
            <w:vAlign w:val="top"/>
          </w:tcPr>
          <w:p w14:paraId="46D9F927">
            <w:pPr>
              <w:pStyle w:val="16"/>
              <w:spacing w:before="183" w:line="268" w:lineRule="exact"/>
              <w:ind w:left="116"/>
            </w:pPr>
            <w:r>
              <w:rPr>
                <w:spacing w:val="3"/>
                <w:position w:val="1"/>
              </w:rPr>
              <w:t>C112</w:t>
            </w:r>
          </w:p>
        </w:tc>
        <w:tc>
          <w:tcPr>
            <w:tcW w:w="5323" w:type="dxa"/>
            <w:vAlign w:val="top"/>
          </w:tcPr>
          <w:p w14:paraId="322B6C52">
            <w:pPr>
              <w:pStyle w:val="16"/>
              <w:spacing w:before="46" w:line="238" w:lineRule="auto"/>
              <w:ind w:left="120" w:right="111"/>
            </w:pPr>
            <w:r>
              <w:rPr>
                <w:spacing w:val="12"/>
              </w:rPr>
              <w:t>安全生产检查、会议、考核，教育培训等未按</w:t>
            </w:r>
            <w:r>
              <w:rPr>
                <w:spacing w:val="11"/>
              </w:rPr>
              <w:t>上级部门</w:t>
            </w:r>
            <w:r>
              <w:rPr>
                <w:spacing w:val="8"/>
              </w:rPr>
              <w:t>关于安全生产工作的部署和要求执行落实的。</w:t>
            </w:r>
          </w:p>
        </w:tc>
        <w:tc>
          <w:tcPr>
            <w:tcW w:w="1103" w:type="dxa"/>
            <w:vAlign w:val="top"/>
          </w:tcPr>
          <w:p w14:paraId="2C749550">
            <w:pPr>
              <w:pStyle w:val="16"/>
              <w:spacing w:before="182" w:line="228" w:lineRule="auto"/>
              <w:ind w:left="121"/>
            </w:pPr>
            <w:r>
              <w:rPr>
                <w:spacing w:val="4"/>
              </w:rPr>
              <w:t>元/次</w:t>
            </w:r>
          </w:p>
        </w:tc>
        <w:tc>
          <w:tcPr>
            <w:tcW w:w="1284" w:type="dxa"/>
            <w:vAlign w:val="top"/>
          </w:tcPr>
          <w:p w14:paraId="53C358D4">
            <w:pPr>
              <w:pStyle w:val="16"/>
              <w:spacing w:before="183" w:line="225" w:lineRule="auto"/>
              <w:ind w:left="136"/>
            </w:pPr>
            <w:r>
              <w:t>1,000</w:t>
            </w:r>
          </w:p>
        </w:tc>
      </w:tr>
      <w:tr w14:paraId="5BBD7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16" w:type="dxa"/>
            <w:vMerge w:val="continue"/>
            <w:tcBorders>
              <w:top w:val="nil"/>
              <w:bottom w:val="nil"/>
            </w:tcBorders>
            <w:vAlign w:val="top"/>
          </w:tcPr>
          <w:p w14:paraId="619466D1">
            <w:pPr>
              <w:rPr>
                <w:rFonts w:ascii="Arial"/>
                <w:sz w:val="21"/>
              </w:rPr>
            </w:pPr>
          </w:p>
        </w:tc>
        <w:tc>
          <w:tcPr>
            <w:tcW w:w="827" w:type="dxa"/>
            <w:vMerge w:val="continue"/>
            <w:tcBorders>
              <w:top w:val="nil"/>
            </w:tcBorders>
            <w:vAlign w:val="top"/>
          </w:tcPr>
          <w:p w14:paraId="2918A94A">
            <w:pPr>
              <w:rPr>
                <w:rFonts w:ascii="Arial"/>
                <w:sz w:val="21"/>
              </w:rPr>
            </w:pPr>
          </w:p>
        </w:tc>
        <w:tc>
          <w:tcPr>
            <w:tcW w:w="817" w:type="dxa"/>
            <w:vAlign w:val="top"/>
          </w:tcPr>
          <w:p w14:paraId="7D4A9E71">
            <w:pPr>
              <w:rPr>
                <w:rFonts w:ascii="Arial"/>
                <w:sz w:val="21"/>
              </w:rPr>
            </w:pPr>
          </w:p>
          <w:p w14:paraId="379E3407">
            <w:pPr>
              <w:pStyle w:val="16"/>
              <w:spacing w:before="65" w:line="269" w:lineRule="exact"/>
              <w:ind w:left="116"/>
            </w:pPr>
            <w:r>
              <w:rPr>
                <w:spacing w:val="3"/>
                <w:position w:val="1"/>
              </w:rPr>
              <w:t>C113</w:t>
            </w:r>
          </w:p>
        </w:tc>
        <w:tc>
          <w:tcPr>
            <w:tcW w:w="5323" w:type="dxa"/>
            <w:vAlign w:val="top"/>
          </w:tcPr>
          <w:p w14:paraId="472C8FB7">
            <w:pPr>
              <w:pStyle w:val="16"/>
              <w:spacing w:before="34" w:line="239" w:lineRule="auto"/>
              <w:ind w:left="118" w:right="111" w:hanging="2"/>
              <w:jc w:val="both"/>
            </w:pPr>
            <w:r>
              <w:rPr>
                <w:spacing w:val="12"/>
              </w:rPr>
              <w:t>被上级部门监督检查、暗访，因违反法律法规等受到警告、通报批评等行政处罚导致建设（代建）单位</w:t>
            </w:r>
            <w:r>
              <w:rPr>
                <w:spacing w:val="11"/>
              </w:rPr>
              <w:t>财产或</w:t>
            </w:r>
            <w:r>
              <w:rPr>
                <w:spacing w:val="8"/>
              </w:rPr>
              <w:t>名誉受损的.</w:t>
            </w:r>
          </w:p>
        </w:tc>
        <w:tc>
          <w:tcPr>
            <w:tcW w:w="1103" w:type="dxa"/>
            <w:vAlign w:val="top"/>
          </w:tcPr>
          <w:p w14:paraId="188DFD83">
            <w:pPr>
              <w:rPr>
                <w:rFonts w:ascii="Arial"/>
                <w:sz w:val="21"/>
              </w:rPr>
            </w:pPr>
          </w:p>
          <w:p w14:paraId="3C2EE2AC">
            <w:pPr>
              <w:pStyle w:val="16"/>
              <w:spacing w:before="65" w:line="228" w:lineRule="auto"/>
              <w:ind w:left="121"/>
            </w:pPr>
            <w:r>
              <w:rPr>
                <w:spacing w:val="4"/>
              </w:rPr>
              <w:t>元/次</w:t>
            </w:r>
          </w:p>
        </w:tc>
        <w:tc>
          <w:tcPr>
            <w:tcW w:w="1284" w:type="dxa"/>
            <w:vAlign w:val="top"/>
          </w:tcPr>
          <w:p w14:paraId="04236FB2">
            <w:pPr>
              <w:rPr>
                <w:rFonts w:ascii="Arial"/>
                <w:sz w:val="21"/>
              </w:rPr>
            </w:pPr>
          </w:p>
          <w:p w14:paraId="0DCDD18D">
            <w:pPr>
              <w:pStyle w:val="16"/>
              <w:spacing w:before="65" w:line="225" w:lineRule="auto"/>
              <w:ind w:left="136"/>
            </w:pPr>
            <w:r>
              <w:rPr>
                <w:spacing w:val="1"/>
              </w:rPr>
              <w:t>10,000</w:t>
            </w:r>
          </w:p>
        </w:tc>
      </w:tr>
      <w:tr w14:paraId="1B5B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16" w:type="dxa"/>
            <w:vMerge w:val="continue"/>
            <w:tcBorders>
              <w:top w:val="nil"/>
            </w:tcBorders>
            <w:vAlign w:val="top"/>
          </w:tcPr>
          <w:p w14:paraId="11204D87">
            <w:pPr>
              <w:rPr>
                <w:rFonts w:ascii="Arial"/>
                <w:sz w:val="21"/>
              </w:rPr>
            </w:pPr>
          </w:p>
        </w:tc>
        <w:tc>
          <w:tcPr>
            <w:tcW w:w="827" w:type="dxa"/>
            <w:vAlign w:val="top"/>
          </w:tcPr>
          <w:p w14:paraId="0E088215">
            <w:pPr>
              <w:pStyle w:val="16"/>
              <w:spacing w:before="48" w:line="238" w:lineRule="auto"/>
              <w:ind w:left="124" w:right="113" w:hanging="5"/>
            </w:pPr>
            <w:r>
              <w:rPr>
                <w:spacing w:val="-1"/>
              </w:rPr>
              <w:t>2.人</w:t>
            </w:r>
            <w:r>
              <w:t>员</w:t>
            </w:r>
          </w:p>
        </w:tc>
        <w:tc>
          <w:tcPr>
            <w:tcW w:w="817" w:type="dxa"/>
            <w:vAlign w:val="top"/>
          </w:tcPr>
          <w:p w14:paraId="2B0B4D80">
            <w:pPr>
              <w:pStyle w:val="16"/>
              <w:spacing w:before="184" w:line="268" w:lineRule="exact"/>
              <w:ind w:left="116"/>
            </w:pPr>
            <w:r>
              <w:rPr>
                <w:spacing w:val="3"/>
                <w:position w:val="1"/>
              </w:rPr>
              <w:t>C201</w:t>
            </w:r>
          </w:p>
        </w:tc>
        <w:tc>
          <w:tcPr>
            <w:tcW w:w="5323" w:type="dxa"/>
            <w:vAlign w:val="top"/>
          </w:tcPr>
          <w:p w14:paraId="7F3CCA5D">
            <w:pPr>
              <w:pStyle w:val="16"/>
              <w:spacing w:before="48" w:line="238" w:lineRule="auto"/>
              <w:ind w:left="124" w:right="111" w:hanging="4"/>
            </w:pPr>
            <w:r>
              <w:rPr>
                <w:spacing w:val="12"/>
              </w:rPr>
              <w:t>未按要求组织新进场施工人员上岗前安全教育、</w:t>
            </w:r>
            <w:r>
              <w:rPr>
                <w:spacing w:val="11"/>
              </w:rPr>
              <w:t>班前教</w:t>
            </w:r>
            <w:r>
              <w:rPr>
                <w:spacing w:val="6"/>
              </w:rPr>
              <w:t>育、安全技术交底。</w:t>
            </w:r>
          </w:p>
        </w:tc>
        <w:tc>
          <w:tcPr>
            <w:tcW w:w="1103" w:type="dxa"/>
            <w:vAlign w:val="top"/>
          </w:tcPr>
          <w:p w14:paraId="48A08ED9">
            <w:pPr>
              <w:pStyle w:val="16"/>
              <w:spacing w:before="183" w:line="228" w:lineRule="auto"/>
              <w:ind w:left="121"/>
            </w:pPr>
            <w:r>
              <w:rPr>
                <w:spacing w:val="4"/>
              </w:rPr>
              <w:t>元/次</w:t>
            </w:r>
          </w:p>
        </w:tc>
        <w:tc>
          <w:tcPr>
            <w:tcW w:w="1284" w:type="dxa"/>
            <w:vAlign w:val="top"/>
          </w:tcPr>
          <w:p w14:paraId="592F5064">
            <w:pPr>
              <w:pStyle w:val="16"/>
              <w:spacing w:before="184" w:line="225" w:lineRule="auto"/>
              <w:ind w:left="123"/>
            </w:pPr>
            <w:r>
              <w:rPr>
                <w:spacing w:val="2"/>
              </w:rPr>
              <w:t>2,000</w:t>
            </w:r>
          </w:p>
        </w:tc>
      </w:tr>
    </w:tbl>
    <w:p w14:paraId="2913934F">
      <w:pPr>
        <w:rPr>
          <w:rFonts w:ascii="Arial"/>
          <w:sz w:val="21"/>
        </w:rPr>
      </w:pPr>
    </w:p>
    <w:p w14:paraId="100DEB9D">
      <w:pPr>
        <w:rPr>
          <w:rFonts w:ascii="Arial" w:hAnsi="Arial" w:eastAsia="Arial" w:cs="Arial"/>
          <w:sz w:val="21"/>
          <w:szCs w:val="21"/>
        </w:rPr>
        <w:sectPr>
          <w:footerReference r:id="rId16" w:type="default"/>
          <w:pgSz w:w="11900" w:h="16839"/>
          <w:pgMar w:top="936" w:right="962" w:bottom="856" w:left="962" w:header="659" w:footer="622" w:gutter="0"/>
          <w:pgNumType w:fmt="decimal"/>
          <w:cols w:space="720" w:num="1"/>
        </w:sectPr>
      </w:pPr>
    </w:p>
    <w:p w14:paraId="60EAE1FA">
      <w:pPr>
        <w:spacing w:before="239"/>
      </w:pPr>
    </w:p>
    <w:tbl>
      <w:tblPr>
        <w:tblStyle w:val="15"/>
        <w:tblW w:w="9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827"/>
        <w:gridCol w:w="817"/>
        <w:gridCol w:w="5323"/>
        <w:gridCol w:w="1103"/>
        <w:gridCol w:w="1284"/>
      </w:tblGrid>
      <w:tr w14:paraId="0A20B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16" w:type="dxa"/>
            <w:vMerge w:val="restart"/>
            <w:tcBorders>
              <w:bottom w:val="nil"/>
            </w:tcBorders>
            <w:vAlign w:val="top"/>
          </w:tcPr>
          <w:p w14:paraId="5EC71C5F">
            <w:pPr>
              <w:rPr>
                <w:rFonts w:ascii="Arial"/>
                <w:sz w:val="21"/>
              </w:rPr>
            </w:pPr>
          </w:p>
        </w:tc>
        <w:tc>
          <w:tcPr>
            <w:tcW w:w="827" w:type="dxa"/>
            <w:vMerge w:val="restart"/>
            <w:tcBorders>
              <w:bottom w:val="nil"/>
            </w:tcBorders>
            <w:vAlign w:val="top"/>
          </w:tcPr>
          <w:p w14:paraId="04CD65D5">
            <w:pPr>
              <w:rPr>
                <w:rFonts w:ascii="Arial"/>
                <w:sz w:val="21"/>
              </w:rPr>
            </w:pPr>
          </w:p>
        </w:tc>
        <w:tc>
          <w:tcPr>
            <w:tcW w:w="817" w:type="dxa"/>
            <w:vAlign w:val="top"/>
          </w:tcPr>
          <w:p w14:paraId="5768C93E">
            <w:pPr>
              <w:pStyle w:val="16"/>
              <w:spacing w:before="182" w:line="269" w:lineRule="exact"/>
              <w:ind w:left="116"/>
            </w:pPr>
            <w:r>
              <w:rPr>
                <w:spacing w:val="3"/>
                <w:position w:val="1"/>
              </w:rPr>
              <w:t>C202</w:t>
            </w:r>
          </w:p>
        </w:tc>
        <w:tc>
          <w:tcPr>
            <w:tcW w:w="5323" w:type="dxa"/>
            <w:vAlign w:val="top"/>
          </w:tcPr>
          <w:p w14:paraId="5A9F21AD">
            <w:pPr>
              <w:pStyle w:val="16"/>
              <w:spacing w:before="48" w:line="239" w:lineRule="auto"/>
              <w:ind w:left="116" w:right="111"/>
            </w:pPr>
            <w:r>
              <w:rPr>
                <w:spacing w:val="12"/>
              </w:rPr>
              <w:t>施工点无安全管理员，或安全大检查时安全管理人员不</w:t>
            </w:r>
            <w:r>
              <w:rPr>
                <w:spacing w:val="3"/>
              </w:rPr>
              <w:t>在岗。</w:t>
            </w:r>
          </w:p>
        </w:tc>
        <w:tc>
          <w:tcPr>
            <w:tcW w:w="1103" w:type="dxa"/>
            <w:vAlign w:val="top"/>
          </w:tcPr>
          <w:p w14:paraId="550E11C1">
            <w:pPr>
              <w:pStyle w:val="16"/>
              <w:spacing w:before="182" w:line="228" w:lineRule="auto"/>
              <w:ind w:left="121"/>
            </w:pPr>
            <w:r>
              <w:rPr>
                <w:spacing w:val="7"/>
              </w:rPr>
              <w:t>元/人.次</w:t>
            </w:r>
          </w:p>
        </w:tc>
        <w:tc>
          <w:tcPr>
            <w:tcW w:w="1284" w:type="dxa"/>
            <w:vAlign w:val="top"/>
          </w:tcPr>
          <w:p w14:paraId="28920EEE">
            <w:pPr>
              <w:pStyle w:val="16"/>
              <w:spacing w:before="182" w:line="225" w:lineRule="auto"/>
              <w:ind w:left="136"/>
            </w:pPr>
            <w:r>
              <w:t>1,000</w:t>
            </w:r>
          </w:p>
        </w:tc>
      </w:tr>
      <w:tr w14:paraId="2CB49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0AB38AA0">
            <w:pPr>
              <w:rPr>
                <w:rFonts w:ascii="Arial"/>
                <w:sz w:val="21"/>
              </w:rPr>
            </w:pPr>
          </w:p>
        </w:tc>
        <w:tc>
          <w:tcPr>
            <w:tcW w:w="827" w:type="dxa"/>
            <w:vMerge w:val="continue"/>
            <w:tcBorders>
              <w:top w:val="nil"/>
              <w:bottom w:val="nil"/>
            </w:tcBorders>
            <w:vAlign w:val="top"/>
          </w:tcPr>
          <w:p w14:paraId="3149E8D2">
            <w:pPr>
              <w:rPr>
                <w:rFonts w:ascii="Arial"/>
                <w:sz w:val="21"/>
              </w:rPr>
            </w:pPr>
          </w:p>
        </w:tc>
        <w:tc>
          <w:tcPr>
            <w:tcW w:w="817" w:type="dxa"/>
            <w:vAlign w:val="top"/>
          </w:tcPr>
          <w:p w14:paraId="1D6BFB77">
            <w:pPr>
              <w:pStyle w:val="16"/>
              <w:spacing w:before="180" w:line="268" w:lineRule="exact"/>
              <w:ind w:left="116"/>
            </w:pPr>
            <w:r>
              <w:rPr>
                <w:spacing w:val="3"/>
                <w:position w:val="1"/>
              </w:rPr>
              <w:t>C203</w:t>
            </w:r>
          </w:p>
        </w:tc>
        <w:tc>
          <w:tcPr>
            <w:tcW w:w="5323" w:type="dxa"/>
            <w:vAlign w:val="top"/>
          </w:tcPr>
          <w:p w14:paraId="0930A315">
            <w:pPr>
              <w:pStyle w:val="16"/>
              <w:spacing w:before="44" w:line="239" w:lineRule="auto"/>
              <w:ind w:left="116" w:right="111" w:firstLine="1"/>
            </w:pPr>
            <w:r>
              <w:rPr>
                <w:spacing w:val="21"/>
              </w:rPr>
              <w:t>起重吊装作业未安排司索指挥人员和安全管理人员在</w:t>
            </w:r>
            <w:r>
              <w:t>场。</w:t>
            </w:r>
          </w:p>
        </w:tc>
        <w:tc>
          <w:tcPr>
            <w:tcW w:w="1103" w:type="dxa"/>
            <w:vAlign w:val="top"/>
          </w:tcPr>
          <w:p w14:paraId="49D865F2">
            <w:pPr>
              <w:pStyle w:val="16"/>
              <w:spacing w:before="179" w:line="228" w:lineRule="auto"/>
              <w:ind w:left="121"/>
            </w:pPr>
            <w:r>
              <w:rPr>
                <w:spacing w:val="4"/>
              </w:rPr>
              <w:t>元/次</w:t>
            </w:r>
          </w:p>
        </w:tc>
        <w:tc>
          <w:tcPr>
            <w:tcW w:w="1284" w:type="dxa"/>
            <w:vAlign w:val="top"/>
          </w:tcPr>
          <w:p w14:paraId="525D4F1C">
            <w:pPr>
              <w:pStyle w:val="16"/>
              <w:spacing w:before="179" w:line="225" w:lineRule="auto"/>
              <w:ind w:left="136"/>
            </w:pPr>
            <w:r>
              <w:t>1,000</w:t>
            </w:r>
          </w:p>
        </w:tc>
      </w:tr>
      <w:tr w14:paraId="461AA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59863F1E">
            <w:pPr>
              <w:rPr>
                <w:rFonts w:ascii="Arial"/>
                <w:sz w:val="21"/>
              </w:rPr>
            </w:pPr>
          </w:p>
        </w:tc>
        <w:tc>
          <w:tcPr>
            <w:tcW w:w="827" w:type="dxa"/>
            <w:vMerge w:val="continue"/>
            <w:tcBorders>
              <w:top w:val="nil"/>
              <w:bottom w:val="nil"/>
            </w:tcBorders>
            <w:vAlign w:val="top"/>
          </w:tcPr>
          <w:p w14:paraId="4919B9EA">
            <w:pPr>
              <w:rPr>
                <w:rFonts w:ascii="Arial"/>
                <w:sz w:val="21"/>
              </w:rPr>
            </w:pPr>
          </w:p>
        </w:tc>
        <w:tc>
          <w:tcPr>
            <w:tcW w:w="817" w:type="dxa"/>
            <w:vAlign w:val="top"/>
          </w:tcPr>
          <w:p w14:paraId="45264280">
            <w:pPr>
              <w:pStyle w:val="16"/>
              <w:spacing w:before="179" w:line="268" w:lineRule="exact"/>
              <w:ind w:left="116"/>
            </w:pPr>
            <w:r>
              <w:rPr>
                <w:spacing w:val="3"/>
                <w:position w:val="1"/>
              </w:rPr>
              <w:t>C204</w:t>
            </w:r>
          </w:p>
        </w:tc>
        <w:tc>
          <w:tcPr>
            <w:tcW w:w="5323" w:type="dxa"/>
            <w:vAlign w:val="top"/>
          </w:tcPr>
          <w:p w14:paraId="54D821FF">
            <w:pPr>
              <w:pStyle w:val="16"/>
              <w:spacing w:before="178" w:line="228" w:lineRule="auto"/>
              <w:ind w:left="116"/>
            </w:pPr>
            <w:r>
              <w:rPr>
                <w:spacing w:val="8"/>
              </w:rPr>
              <w:t>施工作业人员未按规定佩戴安全防护用品。</w:t>
            </w:r>
          </w:p>
        </w:tc>
        <w:tc>
          <w:tcPr>
            <w:tcW w:w="1103" w:type="dxa"/>
            <w:vAlign w:val="top"/>
          </w:tcPr>
          <w:p w14:paraId="436BC4A9">
            <w:pPr>
              <w:pStyle w:val="16"/>
              <w:spacing w:before="178" w:line="228" w:lineRule="auto"/>
              <w:ind w:left="121"/>
            </w:pPr>
            <w:r>
              <w:rPr>
                <w:spacing w:val="7"/>
              </w:rPr>
              <w:t>元/人.次</w:t>
            </w:r>
          </w:p>
        </w:tc>
        <w:tc>
          <w:tcPr>
            <w:tcW w:w="1284" w:type="dxa"/>
            <w:vAlign w:val="top"/>
          </w:tcPr>
          <w:p w14:paraId="0F390356">
            <w:pPr>
              <w:pStyle w:val="16"/>
              <w:spacing w:before="178" w:line="225" w:lineRule="auto"/>
              <w:ind w:left="136"/>
            </w:pPr>
            <w:r>
              <w:t>1,000</w:t>
            </w:r>
          </w:p>
        </w:tc>
      </w:tr>
      <w:tr w14:paraId="21B5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2C1BA179">
            <w:pPr>
              <w:rPr>
                <w:rFonts w:ascii="Arial"/>
                <w:sz w:val="21"/>
              </w:rPr>
            </w:pPr>
          </w:p>
        </w:tc>
        <w:tc>
          <w:tcPr>
            <w:tcW w:w="827" w:type="dxa"/>
            <w:vMerge w:val="continue"/>
            <w:tcBorders>
              <w:top w:val="nil"/>
              <w:bottom w:val="nil"/>
            </w:tcBorders>
            <w:vAlign w:val="top"/>
          </w:tcPr>
          <w:p w14:paraId="057034B4">
            <w:pPr>
              <w:rPr>
                <w:rFonts w:ascii="Arial"/>
                <w:sz w:val="21"/>
              </w:rPr>
            </w:pPr>
          </w:p>
        </w:tc>
        <w:tc>
          <w:tcPr>
            <w:tcW w:w="817" w:type="dxa"/>
            <w:vAlign w:val="top"/>
          </w:tcPr>
          <w:p w14:paraId="132948F8">
            <w:pPr>
              <w:pStyle w:val="16"/>
              <w:spacing w:before="181" w:line="268" w:lineRule="exact"/>
              <w:ind w:left="116"/>
            </w:pPr>
            <w:r>
              <w:rPr>
                <w:spacing w:val="3"/>
                <w:position w:val="1"/>
              </w:rPr>
              <w:t>C205</w:t>
            </w:r>
          </w:p>
        </w:tc>
        <w:tc>
          <w:tcPr>
            <w:tcW w:w="5323" w:type="dxa"/>
            <w:vAlign w:val="top"/>
          </w:tcPr>
          <w:p w14:paraId="1934631D">
            <w:pPr>
              <w:pStyle w:val="16"/>
              <w:spacing w:before="45" w:line="238" w:lineRule="auto"/>
              <w:ind w:left="120" w:right="111" w:hanging="4"/>
            </w:pPr>
            <w:r>
              <w:rPr>
                <w:spacing w:val="12"/>
              </w:rPr>
              <w:t>施工作业现场使用的安全防护用品无检验合格证或属于</w:t>
            </w:r>
            <w:r>
              <w:rPr>
                <w:spacing w:val="6"/>
              </w:rPr>
              <w:t>不合格产品。</w:t>
            </w:r>
          </w:p>
        </w:tc>
        <w:tc>
          <w:tcPr>
            <w:tcW w:w="1103" w:type="dxa"/>
            <w:vAlign w:val="top"/>
          </w:tcPr>
          <w:p w14:paraId="6EC60D57">
            <w:pPr>
              <w:pStyle w:val="16"/>
              <w:spacing w:before="181" w:line="228" w:lineRule="auto"/>
              <w:ind w:left="125"/>
            </w:pPr>
            <w:r>
              <w:t>次</w:t>
            </w:r>
          </w:p>
        </w:tc>
        <w:tc>
          <w:tcPr>
            <w:tcW w:w="1284" w:type="dxa"/>
            <w:vAlign w:val="top"/>
          </w:tcPr>
          <w:p w14:paraId="1922C4D5">
            <w:pPr>
              <w:pStyle w:val="16"/>
              <w:spacing w:before="181" w:line="225" w:lineRule="auto"/>
              <w:ind w:left="123"/>
            </w:pPr>
            <w:r>
              <w:rPr>
                <w:spacing w:val="2"/>
              </w:rPr>
              <w:t>2,000</w:t>
            </w:r>
          </w:p>
        </w:tc>
      </w:tr>
      <w:tr w14:paraId="697EB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2C0BC1DA">
            <w:pPr>
              <w:rPr>
                <w:rFonts w:ascii="Arial"/>
                <w:sz w:val="21"/>
              </w:rPr>
            </w:pPr>
          </w:p>
        </w:tc>
        <w:tc>
          <w:tcPr>
            <w:tcW w:w="827" w:type="dxa"/>
            <w:vMerge w:val="continue"/>
            <w:tcBorders>
              <w:top w:val="nil"/>
              <w:bottom w:val="nil"/>
            </w:tcBorders>
            <w:vAlign w:val="top"/>
          </w:tcPr>
          <w:p w14:paraId="3E78E795">
            <w:pPr>
              <w:rPr>
                <w:rFonts w:ascii="Arial"/>
                <w:sz w:val="21"/>
              </w:rPr>
            </w:pPr>
          </w:p>
        </w:tc>
        <w:tc>
          <w:tcPr>
            <w:tcW w:w="817" w:type="dxa"/>
            <w:vAlign w:val="top"/>
          </w:tcPr>
          <w:p w14:paraId="1802109A">
            <w:pPr>
              <w:pStyle w:val="16"/>
              <w:spacing w:before="181" w:line="268" w:lineRule="exact"/>
              <w:ind w:left="116"/>
            </w:pPr>
            <w:r>
              <w:rPr>
                <w:spacing w:val="3"/>
                <w:position w:val="1"/>
              </w:rPr>
              <w:t>C206</w:t>
            </w:r>
          </w:p>
        </w:tc>
        <w:tc>
          <w:tcPr>
            <w:tcW w:w="5323" w:type="dxa"/>
            <w:vAlign w:val="top"/>
          </w:tcPr>
          <w:p w14:paraId="4905EF52">
            <w:pPr>
              <w:pStyle w:val="16"/>
              <w:spacing w:before="181" w:line="228" w:lineRule="auto"/>
              <w:ind w:left="116"/>
            </w:pPr>
            <w:r>
              <w:rPr>
                <w:spacing w:val="8"/>
              </w:rPr>
              <w:t>特种设备作业人员违规作业。</w:t>
            </w:r>
          </w:p>
        </w:tc>
        <w:tc>
          <w:tcPr>
            <w:tcW w:w="1103" w:type="dxa"/>
            <w:vAlign w:val="top"/>
          </w:tcPr>
          <w:p w14:paraId="7759BA4E">
            <w:pPr>
              <w:pStyle w:val="16"/>
              <w:spacing w:before="181" w:line="228" w:lineRule="auto"/>
              <w:ind w:left="121"/>
            </w:pPr>
            <w:r>
              <w:rPr>
                <w:spacing w:val="4"/>
              </w:rPr>
              <w:t>元/次</w:t>
            </w:r>
          </w:p>
        </w:tc>
        <w:tc>
          <w:tcPr>
            <w:tcW w:w="1284" w:type="dxa"/>
            <w:vAlign w:val="top"/>
          </w:tcPr>
          <w:p w14:paraId="28A2F593">
            <w:pPr>
              <w:pStyle w:val="16"/>
              <w:spacing w:before="181" w:line="225" w:lineRule="auto"/>
              <w:ind w:left="123"/>
            </w:pPr>
            <w:r>
              <w:rPr>
                <w:spacing w:val="2"/>
              </w:rPr>
              <w:t>2,000</w:t>
            </w:r>
          </w:p>
        </w:tc>
      </w:tr>
      <w:tr w14:paraId="1B9A0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479616FD">
            <w:pPr>
              <w:rPr>
                <w:rFonts w:ascii="Arial"/>
                <w:sz w:val="21"/>
              </w:rPr>
            </w:pPr>
          </w:p>
        </w:tc>
        <w:tc>
          <w:tcPr>
            <w:tcW w:w="827" w:type="dxa"/>
            <w:vMerge w:val="continue"/>
            <w:tcBorders>
              <w:top w:val="nil"/>
              <w:bottom w:val="nil"/>
            </w:tcBorders>
            <w:vAlign w:val="top"/>
          </w:tcPr>
          <w:p w14:paraId="718E7853">
            <w:pPr>
              <w:rPr>
                <w:rFonts w:ascii="Arial"/>
                <w:sz w:val="21"/>
              </w:rPr>
            </w:pPr>
          </w:p>
        </w:tc>
        <w:tc>
          <w:tcPr>
            <w:tcW w:w="817" w:type="dxa"/>
            <w:vAlign w:val="top"/>
          </w:tcPr>
          <w:p w14:paraId="684006CE">
            <w:pPr>
              <w:pStyle w:val="16"/>
              <w:spacing w:before="181" w:line="268" w:lineRule="exact"/>
              <w:ind w:left="116"/>
            </w:pPr>
            <w:r>
              <w:rPr>
                <w:spacing w:val="3"/>
                <w:position w:val="1"/>
              </w:rPr>
              <w:t>C207</w:t>
            </w:r>
          </w:p>
        </w:tc>
        <w:tc>
          <w:tcPr>
            <w:tcW w:w="5323" w:type="dxa"/>
            <w:vAlign w:val="top"/>
          </w:tcPr>
          <w:p w14:paraId="2219CF4D">
            <w:pPr>
              <w:pStyle w:val="16"/>
              <w:spacing w:before="181" w:line="228" w:lineRule="auto"/>
              <w:ind w:left="116"/>
            </w:pPr>
            <w:r>
              <w:rPr>
                <w:spacing w:val="7"/>
              </w:rPr>
              <w:t>特种人员无证上岗。</w:t>
            </w:r>
          </w:p>
        </w:tc>
        <w:tc>
          <w:tcPr>
            <w:tcW w:w="1103" w:type="dxa"/>
            <w:vAlign w:val="top"/>
          </w:tcPr>
          <w:p w14:paraId="2F1BD83E">
            <w:pPr>
              <w:pStyle w:val="16"/>
              <w:spacing w:before="181" w:line="228" w:lineRule="auto"/>
              <w:ind w:left="121"/>
            </w:pPr>
            <w:r>
              <w:rPr>
                <w:spacing w:val="7"/>
              </w:rPr>
              <w:t>元/人.次</w:t>
            </w:r>
          </w:p>
        </w:tc>
        <w:tc>
          <w:tcPr>
            <w:tcW w:w="1284" w:type="dxa"/>
            <w:vAlign w:val="top"/>
          </w:tcPr>
          <w:p w14:paraId="21DAFEE7">
            <w:pPr>
              <w:pStyle w:val="16"/>
              <w:spacing w:before="181" w:line="225" w:lineRule="auto"/>
              <w:ind w:left="123"/>
            </w:pPr>
            <w:r>
              <w:rPr>
                <w:spacing w:val="3"/>
              </w:rPr>
              <w:t>2,000</w:t>
            </w:r>
          </w:p>
        </w:tc>
      </w:tr>
      <w:tr w14:paraId="07888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06C93539">
            <w:pPr>
              <w:rPr>
                <w:rFonts w:ascii="Arial"/>
                <w:sz w:val="21"/>
              </w:rPr>
            </w:pPr>
          </w:p>
        </w:tc>
        <w:tc>
          <w:tcPr>
            <w:tcW w:w="827" w:type="dxa"/>
            <w:vMerge w:val="continue"/>
            <w:tcBorders>
              <w:top w:val="nil"/>
              <w:bottom w:val="nil"/>
            </w:tcBorders>
            <w:vAlign w:val="top"/>
          </w:tcPr>
          <w:p w14:paraId="3ABAC79F">
            <w:pPr>
              <w:rPr>
                <w:rFonts w:ascii="Arial"/>
                <w:sz w:val="21"/>
              </w:rPr>
            </w:pPr>
          </w:p>
        </w:tc>
        <w:tc>
          <w:tcPr>
            <w:tcW w:w="817" w:type="dxa"/>
            <w:vAlign w:val="top"/>
          </w:tcPr>
          <w:p w14:paraId="7B760E54">
            <w:pPr>
              <w:pStyle w:val="16"/>
              <w:spacing w:before="182" w:line="269" w:lineRule="exact"/>
              <w:ind w:left="116"/>
            </w:pPr>
            <w:r>
              <w:rPr>
                <w:spacing w:val="3"/>
                <w:position w:val="1"/>
              </w:rPr>
              <w:t>C208</w:t>
            </w:r>
          </w:p>
        </w:tc>
        <w:tc>
          <w:tcPr>
            <w:tcW w:w="5323" w:type="dxa"/>
            <w:vAlign w:val="top"/>
          </w:tcPr>
          <w:p w14:paraId="0684C161">
            <w:pPr>
              <w:pStyle w:val="16"/>
              <w:spacing w:before="46" w:line="238" w:lineRule="auto"/>
              <w:ind w:left="116" w:right="109" w:firstLine="4"/>
            </w:pPr>
            <w:r>
              <w:rPr>
                <w:spacing w:val="12"/>
              </w:rPr>
              <w:t>项目领导、安全总监、安全部长未按要求参加安全生产</w:t>
            </w:r>
            <w:r>
              <w:rPr>
                <w:spacing w:val="5"/>
              </w:rPr>
              <w:t>会议</w:t>
            </w:r>
          </w:p>
        </w:tc>
        <w:tc>
          <w:tcPr>
            <w:tcW w:w="1103" w:type="dxa"/>
            <w:vAlign w:val="top"/>
          </w:tcPr>
          <w:p w14:paraId="299C4DC2">
            <w:pPr>
              <w:pStyle w:val="16"/>
              <w:spacing w:before="182" w:line="228" w:lineRule="auto"/>
              <w:ind w:left="125"/>
            </w:pPr>
            <w:r>
              <w:t>次</w:t>
            </w:r>
          </w:p>
        </w:tc>
        <w:tc>
          <w:tcPr>
            <w:tcW w:w="1284" w:type="dxa"/>
            <w:vAlign w:val="top"/>
          </w:tcPr>
          <w:p w14:paraId="48641FF9">
            <w:pPr>
              <w:pStyle w:val="16"/>
              <w:spacing w:before="182" w:line="225" w:lineRule="auto"/>
              <w:ind w:left="124"/>
            </w:pPr>
            <w:r>
              <w:rPr>
                <w:spacing w:val="2"/>
              </w:rPr>
              <w:t>5,000</w:t>
            </w:r>
          </w:p>
        </w:tc>
      </w:tr>
      <w:tr w14:paraId="07A0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7474AD58">
            <w:pPr>
              <w:rPr>
                <w:rFonts w:ascii="Arial"/>
                <w:sz w:val="21"/>
              </w:rPr>
            </w:pPr>
          </w:p>
        </w:tc>
        <w:tc>
          <w:tcPr>
            <w:tcW w:w="827" w:type="dxa"/>
            <w:vMerge w:val="continue"/>
            <w:tcBorders>
              <w:top w:val="nil"/>
              <w:bottom w:val="nil"/>
            </w:tcBorders>
            <w:vAlign w:val="top"/>
          </w:tcPr>
          <w:p w14:paraId="3E7BE158">
            <w:pPr>
              <w:rPr>
                <w:rFonts w:ascii="Arial"/>
                <w:sz w:val="21"/>
              </w:rPr>
            </w:pPr>
          </w:p>
        </w:tc>
        <w:tc>
          <w:tcPr>
            <w:tcW w:w="817" w:type="dxa"/>
            <w:vAlign w:val="top"/>
          </w:tcPr>
          <w:p w14:paraId="3989BAB3">
            <w:pPr>
              <w:pStyle w:val="16"/>
              <w:spacing w:before="181" w:line="269" w:lineRule="exact"/>
              <w:ind w:left="116"/>
            </w:pPr>
            <w:r>
              <w:rPr>
                <w:spacing w:val="3"/>
                <w:position w:val="1"/>
              </w:rPr>
              <w:t>C209</w:t>
            </w:r>
          </w:p>
        </w:tc>
        <w:tc>
          <w:tcPr>
            <w:tcW w:w="5323" w:type="dxa"/>
            <w:vAlign w:val="top"/>
          </w:tcPr>
          <w:p w14:paraId="35A70EF8">
            <w:pPr>
              <w:pStyle w:val="16"/>
              <w:spacing w:before="48" w:line="237" w:lineRule="auto"/>
              <w:ind w:left="116" w:right="109" w:firstLine="4"/>
            </w:pPr>
            <w:r>
              <w:rPr>
                <w:spacing w:val="12"/>
              </w:rPr>
              <w:t>项目领导、安全总监、安全部长在发包人安全检查时不</w:t>
            </w:r>
            <w:r>
              <w:rPr>
                <w:spacing w:val="5"/>
              </w:rPr>
              <w:t>在位</w:t>
            </w:r>
          </w:p>
        </w:tc>
        <w:tc>
          <w:tcPr>
            <w:tcW w:w="1103" w:type="dxa"/>
            <w:vAlign w:val="top"/>
          </w:tcPr>
          <w:p w14:paraId="1CA64C23">
            <w:pPr>
              <w:pStyle w:val="16"/>
              <w:spacing w:before="181" w:line="228" w:lineRule="auto"/>
              <w:ind w:left="125"/>
            </w:pPr>
            <w:r>
              <w:t>次</w:t>
            </w:r>
          </w:p>
        </w:tc>
        <w:tc>
          <w:tcPr>
            <w:tcW w:w="1284" w:type="dxa"/>
            <w:vAlign w:val="top"/>
          </w:tcPr>
          <w:p w14:paraId="1CFF4866">
            <w:pPr>
              <w:pStyle w:val="16"/>
              <w:spacing w:before="181" w:line="225" w:lineRule="auto"/>
              <w:ind w:left="123"/>
            </w:pPr>
            <w:r>
              <w:rPr>
                <w:spacing w:val="2"/>
              </w:rPr>
              <w:t>2,000</w:t>
            </w:r>
          </w:p>
        </w:tc>
      </w:tr>
      <w:tr w14:paraId="260A0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083D8A86">
            <w:pPr>
              <w:rPr>
                <w:rFonts w:ascii="Arial"/>
                <w:sz w:val="21"/>
              </w:rPr>
            </w:pPr>
          </w:p>
        </w:tc>
        <w:tc>
          <w:tcPr>
            <w:tcW w:w="827" w:type="dxa"/>
            <w:vMerge w:val="continue"/>
            <w:tcBorders>
              <w:top w:val="nil"/>
              <w:bottom w:val="nil"/>
            </w:tcBorders>
            <w:vAlign w:val="top"/>
          </w:tcPr>
          <w:p w14:paraId="33F92964">
            <w:pPr>
              <w:rPr>
                <w:rFonts w:ascii="Arial"/>
                <w:sz w:val="21"/>
              </w:rPr>
            </w:pPr>
          </w:p>
        </w:tc>
        <w:tc>
          <w:tcPr>
            <w:tcW w:w="817" w:type="dxa"/>
            <w:vAlign w:val="top"/>
          </w:tcPr>
          <w:p w14:paraId="5685ACD2">
            <w:pPr>
              <w:pStyle w:val="16"/>
              <w:spacing w:before="183" w:line="268" w:lineRule="exact"/>
              <w:ind w:left="116"/>
            </w:pPr>
            <w:r>
              <w:rPr>
                <w:spacing w:val="3"/>
                <w:position w:val="1"/>
              </w:rPr>
              <w:t>C210</w:t>
            </w:r>
          </w:p>
        </w:tc>
        <w:tc>
          <w:tcPr>
            <w:tcW w:w="5323" w:type="dxa"/>
            <w:vAlign w:val="top"/>
          </w:tcPr>
          <w:p w14:paraId="0B2840B9">
            <w:pPr>
              <w:pStyle w:val="16"/>
              <w:spacing w:before="46" w:line="238" w:lineRule="auto"/>
              <w:ind w:left="116" w:right="111" w:firstLine="14"/>
            </w:pPr>
            <w:r>
              <w:rPr>
                <w:spacing w:val="11"/>
              </w:rPr>
              <w:t>防汛及节假日值班电话无人接听，值班领导不在施工现</w:t>
            </w:r>
            <w:r>
              <w:rPr>
                <w:spacing w:val="1"/>
              </w:rPr>
              <w:t>场</w:t>
            </w:r>
          </w:p>
        </w:tc>
        <w:tc>
          <w:tcPr>
            <w:tcW w:w="1103" w:type="dxa"/>
            <w:vAlign w:val="top"/>
          </w:tcPr>
          <w:p w14:paraId="617CF0BC">
            <w:pPr>
              <w:pStyle w:val="16"/>
              <w:spacing w:before="182" w:line="228" w:lineRule="auto"/>
              <w:ind w:left="125"/>
            </w:pPr>
            <w:r>
              <w:t>次</w:t>
            </w:r>
          </w:p>
        </w:tc>
        <w:tc>
          <w:tcPr>
            <w:tcW w:w="1284" w:type="dxa"/>
            <w:vAlign w:val="top"/>
          </w:tcPr>
          <w:p w14:paraId="5B0BA033">
            <w:pPr>
              <w:pStyle w:val="16"/>
              <w:spacing w:before="183" w:line="225" w:lineRule="auto"/>
              <w:ind w:left="124"/>
            </w:pPr>
            <w:r>
              <w:rPr>
                <w:spacing w:val="2"/>
              </w:rPr>
              <w:t>5,000</w:t>
            </w:r>
          </w:p>
        </w:tc>
      </w:tr>
      <w:tr w14:paraId="1209F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7EC8255E">
            <w:pPr>
              <w:rPr>
                <w:rFonts w:ascii="Arial"/>
                <w:sz w:val="21"/>
              </w:rPr>
            </w:pPr>
          </w:p>
        </w:tc>
        <w:tc>
          <w:tcPr>
            <w:tcW w:w="827" w:type="dxa"/>
            <w:vMerge w:val="continue"/>
            <w:tcBorders>
              <w:top w:val="nil"/>
            </w:tcBorders>
            <w:vAlign w:val="top"/>
          </w:tcPr>
          <w:p w14:paraId="3283B29C">
            <w:pPr>
              <w:rPr>
                <w:rFonts w:ascii="Arial"/>
                <w:sz w:val="21"/>
              </w:rPr>
            </w:pPr>
          </w:p>
        </w:tc>
        <w:tc>
          <w:tcPr>
            <w:tcW w:w="817" w:type="dxa"/>
            <w:vAlign w:val="top"/>
          </w:tcPr>
          <w:p w14:paraId="45405479">
            <w:pPr>
              <w:pStyle w:val="16"/>
              <w:spacing w:before="182" w:line="268" w:lineRule="exact"/>
              <w:ind w:left="116"/>
            </w:pPr>
            <w:r>
              <w:rPr>
                <w:spacing w:val="3"/>
                <w:position w:val="1"/>
              </w:rPr>
              <w:t>C211</w:t>
            </w:r>
          </w:p>
        </w:tc>
        <w:tc>
          <w:tcPr>
            <w:tcW w:w="5323" w:type="dxa"/>
            <w:vAlign w:val="top"/>
          </w:tcPr>
          <w:p w14:paraId="599CEBB3">
            <w:pPr>
              <w:pStyle w:val="16"/>
              <w:spacing w:before="181" w:line="228" w:lineRule="auto"/>
              <w:ind w:left="120"/>
            </w:pPr>
            <w:r>
              <w:rPr>
                <w:spacing w:val="8"/>
              </w:rPr>
              <w:t>项目未按要求执行领导带班工作。</w:t>
            </w:r>
          </w:p>
        </w:tc>
        <w:tc>
          <w:tcPr>
            <w:tcW w:w="1103" w:type="dxa"/>
            <w:vAlign w:val="top"/>
          </w:tcPr>
          <w:p w14:paraId="3548867F">
            <w:pPr>
              <w:pStyle w:val="16"/>
              <w:spacing w:before="181" w:line="228" w:lineRule="auto"/>
              <w:ind w:left="125"/>
            </w:pPr>
            <w:r>
              <w:t>次</w:t>
            </w:r>
          </w:p>
        </w:tc>
        <w:tc>
          <w:tcPr>
            <w:tcW w:w="1284" w:type="dxa"/>
            <w:vAlign w:val="top"/>
          </w:tcPr>
          <w:p w14:paraId="0511DD4B">
            <w:pPr>
              <w:pStyle w:val="16"/>
              <w:spacing w:before="182" w:line="225" w:lineRule="auto"/>
              <w:ind w:left="124"/>
            </w:pPr>
            <w:r>
              <w:rPr>
                <w:spacing w:val="2"/>
              </w:rPr>
              <w:t>3,000</w:t>
            </w:r>
          </w:p>
        </w:tc>
      </w:tr>
      <w:tr w14:paraId="70FEB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615A7E0F">
            <w:pPr>
              <w:rPr>
                <w:rFonts w:ascii="Arial"/>
                <w:sz w:val="21"/>
              </w:rPr>
            </w:pPr>
          </w:p>
        </w:tc>
        <w:tc>
          <w:tcPr>
            <w:tcW w:w="827" w:type="dxa"/>
            <w:vMerge w:val="restart"/>
            <w:tcBorders>
              <w:bottom w:val="nil"/>
            </w:tcBorders>
            <w:vAlign w:val="top"/>
          </w:tcPr>
          <w:p w14:paraId="69031605">
            <w:pPr>
              <w:spacing w:line="247" w:lineRule="auto"/>
              <w:rPr>
                <w:rFonts w:ascii="Arial"/>
                <w:sz w:val="21"/>
              </w:rPr>
            </w:pPr>
          </w:p>
          <w:p w14:paraId="0A305969">
            <w:pPr>
              <w:spacing w:line="247" w:lineRule="auto"/>
              <w:rPr>
                <w:rFonts w:ascii="Arial"/>
                <w:sz w:val="21"/>
              </w:rPr>
            </w:pPr>
          </w:p>
          <w:p w14:paraId="370CC1AC">
            <w:pPr>
              <w:spacing w:line="247" w:lineRule="auto"/>
              <w:rPr>
                <w:rFonts w:ascii="Arial"/>
                <w:sz w:val="21"/>
              </w:rPr>
            </w:pPr>
          </w:p>
          <w:p w14:paraId="2C958FD6">
            <w:pPr>
              <w:spacing w:line="247" w:lineRule="auto"/>
              <w:rPr>
                <w:rFonts w:ascii="Arial"/>
                <w:sz w:val="21"/>
              </w:rPr>
            </w:pPr>
          </w:p>
          <w:p w14:paraId="07D39205">
            <w:pPr>
              <w:spacing w:line="248" w:lineRule="auto"/>
              <w:rPr>
                <w:rFonts w:ascii="Arial"/>
                <w:sz w:val="21"/>
              </w:rPr>
            </w:pPr>
          </w:p>
          <w:p w14:paraId="48C98211">
            <w:pPr>
              <w:spacing w:line="248" w:lineRule="auto"/>
              <w:rPr>
                <w:rFonts w:ascii="Arial"/>
                <w:sz w:val="21"/>
              </w:rPr>
            </w:pPr>
          </w:p>
          <w:p w14:paraId="63A61C56">
            <w:pPr>
              <w:spacing w:line="248" w:lineRule="auto"/>
              <w:rPr>
                <w:rFonts w:ascii="Arial"/>
                <w:sz w:val="21"/>
              </w:rPr>
            </w:pPr>
          </w:p>
          <w:p w14:paraId="3058D510">
            <w:pPr>
              <w:spacing w:line="248" w:lineRule="auto"/>
              <w:rPr>
                <w:rFonts w:ascii="Arial"/>
                <w:sz w:val="21"/>
              </w:rPr>
            </w:pPr>
          </w:p>
          <w:p w14:paraId="63E56B90">
            <w:pPr>
              <w:spacing w:line="248" w:lineRule="auto"/>
              <w:rPr>
                <w:rFonts w:ascii="Arial"/>
                <w:sz w:val="21"/>
              </w:rPr>
            </w:pPr>
          </w:p>
          <w:p w14:paraId="21ECA723">
            <w:pPr>
              <w:spacing w:line="248" w:lineRule="auto"/>
              <w:rPr>
                <w:rFonts w:ascii="Arial"/>
                <w:sz w:val="21"/>
              </w:rPr>
            </w:pPr>
          </w:p>
          <w:p w14:paraId="7680A095">
            <w:pPr>
              <w:spacing w:line="248" w:lineRule="auto"/>
              <w:rPr>
                <w:rFonts w:ascii="Arial"/>
                <w:sz w:val="21"/>
              </w:rPr>
            </w:pPr>
          </w:p>
          <w:p w14:paraId="08FBE576">
            <w:pPr>
              <w:spacing w:line="248" w:lineRule="auto"/>
              <w:rPr>
                <w:rFonts w:ascii="Arial"/>
                <w:sz w:val="21"/>
              </w:rPr>
            </w:pPr>
          </w:p>
          <w:p w14:paraId="6768D674">
            <w:pPr>
              <w:pStyle w:val="16"/>
              <w:spacing w:before="65" w:line="258" w:lineRule="auto"/>
              <w:ind w:left="116" w:right="113" w:firstLine="5"/>
            </w:pPr>
            <w:r>
              <w:rPr>
                <w:spacing w:val="-1"/>
              </w:rPr>
              <w:t>3.作</w:t>
            </w:r>
            <w:r>
              <w:rPr>
                <w:spacing w:val="1"/>
              </w:rPr>
              <w:t>业</w:t>
            </w:r>
          </w:p>
        </w:tc>
        <w:tc>
          <w:tcPr>
            <w:tcW w:w="817" w:type="dxa"/>
            <w:vAlign w:val="top"/>
          </w:tcPr>
          <w:p w14:paraId="7660C48C">
            <w:pPr>
              <w:pStyle w:val="16"/>
              <w:spacing w:before="181" w:line="268" w:lineRule="exact"/>
              <w:ind w:left="116"/>
            </w:pPr>
            <w:r>
              <w:rPr>
                <w:spacing w:val="3"/>
                <w:position w:val="1"/>
              </w:rPr>
              <w:t>C301</w:t>
            </w:r>
          </w:p>
        </w:tc>
        <w:tc>
          <w:tcPr>
            <w:tcW w:w="5323" w:type="dxa"/>
            <w:vAlign w:val="top"/>
          </w:tcPr>
          <w:p w14:paraId="6AE871B2">
            <w:pPr>
              <w:pStyle w:val="16"/>
              <w:spacing w:before="46" w:line="238" w:lineRule="auto"/>
              <w:ind w:left="116" w:right="111"/>
            </w:pPr>
            <w:r>
              <w:rPr>
                <w:spacing w:val="12"/>
              </w:rPr>
              <w:t>施工临时用电未按规定执行，存在违规作业行为，且不</w:t>
            </w:r>
            <w:r>
              <w:rPr>
                <w:spacing w:val="6"/>
              </w:rPr>
              <w:t>及时整改。</w:t>
            </w:r>
          </w:p>
        </w:tc>
        <w:tc>
          <w:tcPr>
            <w:tcW w:w="1103" w:type="dxa"/>
            <w:vAlign w:val="top"/>
          </w:tcPr>
          <w:p w14:paraId="6DDA5F1D">
            <w:pPr>
              <w:pStyle w:val="16"/>
              <w:spacing w:before="180" w:line="228" w:lineRule="auto"/>
              <w:ind w:left="121"/>
            </w:pPr>
            <w:r>
              <w:rPr>
                <w:spacing w:val="4"/>
              </w:rPr>
              <w:t>元/次</w:t>
            </w:r>
          </w:p>
        </w:tc>
        <w:tc>
          <w:tcPr>
            <w:tcW w:w="1284" w:type="dxa"/>
            <w:vAlign w:val="top"/>
          </w:tcPr>
          <w:p w14:paraId="6A8266FD">
            <w:pPr>
              <w:pStyle w:val="16"/>
              <w:spacing w:before="181" w:line="225" w:lineRule="auto"/>
              <w:ind w:left="123"/>
            </w:pPr>
            <w:r>
              <w:rPr>
                <w:spacing w:val="2"/>
              </w:rPr>
              <w:t>2,000</w:t>
            </w:r>
          </w:p>
        </w:tc>
      </w:tr>
      <w:tr w14:paraId="3ACBD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5D25829A">
            <w:pPr>
              <w:rPr>
                <w:rFonts w:ascii="Arial"/>
                <w:sz w:val="21"/>
              </w:rPr>
            </w:pPr>
          </w:p>
        </w:tc>
        <w:tc>
          <w:tcPr>
            <w:tcW w:w="827" w:type="dxa"/>
            <w:vMerge w:val="continue"/>
            <w:tcBorders>
              <w:top w:val="nil"/>
              <w:bottom w:val="nil"/>
            </w:tcBorders>
            <w:vAlign w:val="top"/>
          </w:tcPr>
          <w:p w14:paraId="2C1C9590">
            <w:pPr>
              <w:rPr>
                <w:rFonts w:ascii="Arial"/>
                <w:sz w:val="21"/>
              </w:rPr>
            </w:pPr>
          </w:p>
        </w:tc>
        <w:tc>
          <w:tcPr>
            <w:tcW w:w="817" w:type="dxa"/>
            <w:vAlign w:val="top"/>
          </w:tcPr>
          <w:p w14:paraId="08EC953F">
            <w:pPr>
              <w:pStyle w:val="16"/>
              <w:spacing w:before="182" w:line="269" w:lineRule="exact"/>
              <w:ind w:left="116"/>
            </w:pPr>
            <w:r>
              <w:rPr>
                <w:spacing w:val="3"/>
                <w:position w:val="1"/>
              </w:rPr>
              <w:t>C302</w:t>
            </w:r>
          </w:p>
        </w:tc>
        <w:tc>
          <w:tcPr>
            <w:tcW w:w="5323" w:type="dxa"/>
            <w:vAlign w:val="top"/>
          </w:tcPr>
          <w:p w14:paraId="5BA96883">
            <w:pPr>
              <w:pStyle w:val="16"/>
              <w:spacing w:before="46" w:line="238" w:lineRule="auto"/>
              <w:ind w:left="116" w:right="111" w:firstLine="1"/>
            </w:pPr>
            <w:r>
              <w:rPr>
                <w:spacing w:val="12"/>
              </w:rPr>
              <w:t>动火等特殊作业未办理作业票或作业未按规定执行，存</w:t>
            </w:r>
            <w:r>
              <w:rPr>
                <w:spacing w:val="7"/>
              </w:rPr>
              <w:t>在违规作业行为的。</w:t>
            </w:r>
          </w:p>
        </w:tc>
        <w:tc>
          <w:tcPr>
            <w:tcW w:w="1103" w:type="dxa"/>
            <w:vAlign w:val="top"/>
          </w:tcPr>
          <w:p w14:paraId="6F86007C">
            <w:pPr>
              <w:pStyle w:val="16"/>
              <w:spacing w:before="182" w:line="228" w:lineRule="auto"/>
              <w:ind w:left="121"/>
            </w:pPr>
            <w:r>
              <w:rPr>
                <w:spacing w:val="4"/>
              </w:rPr>
              <w:t>元/次</w:t>
            </w:r>
          </w:p>
        </w:tc>
        <w:tc>
          <w:tcPr>
            <w:tcW w:w="1284" w:type="dxa"/>
            <w:vAlign w:val="top"/>
          </w:tcPr>
          <w:p w14:paraId="163DFE3A">
            <w:pPr>
              <w:pStyle w:val="16"/>
              <w:spacing w:before="182" w:line="225" w:lineRule="auto"/>
              <w:ind w:left="123"/>
            </w:pPr>
            <w:r>
              <w:rPr>
                <w:spacing w:val="3"/>
              </w:rPr>
              <w:t>2,000</w:t>
            </w:r>
          </w:p>
        </w:tc>
      </w:tr>
      <w:tr w14:paraId="56FB2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0D77E2BD">
            <w:pPr>
              <w:rPr>
                <w:rFonts w:ascii="Arial"/>
                <w:sz w:val="21"/>
              </w:rPr>
            </w:pPr>
          </w:p>
        </w:tc>
        <w:tc>
          <w:tcPr>
            <w:tcW w:w="827" w:type="dxa"/>
            <w:vMerge w:val="continue"/>
            <w:tcBorders>
              <w:top w:val="nil"/>
              <w:bottom w:val="nil"/>
            </w:tcBorders>
            <w:vAlign w:val="top"/>
          </w:tcPr>
          <w:p w14:paraId="009DF27C">
            <w:pPr>
              <w:rPr>
                <w:rFonts w:ascii="Arial"/>
                <w:sz w:val="21"/>
              </w:rPr>
            </w:pPr>
          </w:p>
        </w:tc>
        <w:tc>
          <w:tcPr>
            <w:tcW w:w="817" w:type="dxa"/>
            <w:vAlign w:val="top"/>
          </w:tcPr>
          <w:p w14:paraId="55D12804">
            <w:pPr>
              <w:pStyle w:val="16"/>
              <w:spacing w:before="181" w:line="269" w:lineRule="exact"/>
              <w:ind w:left="116"/>
            </w:pPr>
            <w:r>
              <w:rPr>
                <w:spacing w:val="3"/>
                <w:position w:val="1"/>
              </w:rPr>
              <w:t>C303</w:t>
            </w:r>
          </w:p>
        </w:tc>
        <w:tc>
          <w:tcPr>
            <w:tcW w:w="5323" w:type="dxa"/>
            <w:vAlign w:val="top"/>
          </w:tcPr>
          <w:p w14:paraId="27AD99CA">
            <w:pPr>
              <w:pStyle w:val="16"/>
              <w:spacing w:before="181" w:line="228" w:lineRule="auto"/>
              <w:ind w:left="116"/>
            </w:pPr>
            <w:r>
              <w:rPr>
                <w:spacing w:val="8"/>
              </w:rPr>
              <w:t>施工作业违反安全操作规程且不及时纠正。</w:t>
            </w:r>
          </w:p>
        </w:tc>
        <w:tc>
          <w:tcPr>
            <w:tcW w:w="1103" w:type="dxa"/>
            <w:vAlign w:val="top"/>
          </w:tcPr>
          <w:p w14:paraId="1E0DA344">
            <w:pPr>
              <w:pStyle w:val="16"/>
              <w:spacing w:before="181" w:line="228" w:lineRule="auto"/>
              <w:ind w:left="121"/>
            </w:pPr>
            <w:r>
              <w:rPr>
                <w:spacing w:val="4"/>
              </w:rPr>
              <w:t>元/次</w:t>
            </w:r>
          </w:p>
        </w:tc>
        <w:tc>
          <w:tcPr>
            <w:tcW w:w="1284" w:type="dxa"/>
            <w:vAlign w:val="top"/>
          </w:tcPr>
          <w:p w14:paraId="1B5D4623">
            <w:pPr>
              <w:pStyle w:val="16"/>
              <w:spacing w:before="181" w:line="225" w:lineRule="auto"/>
              <w:ind w:left="136"/>
            </w:pPr>
            <w:r>
              <w:t>1,000</w:t>
            </w:r>
          </w:p>
        </w:tc>
      </w:tr>
      <w:tr w14:paraId="7D988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48446740">
            <w:pPr>
              <w:rPr>
                <w:rFonts w:ascii="Arial"/>
                <w:sz w:val="21"/>
              </w:rPr>
            </w:pPr>
          </w:p>
        </w:tc>
        <w:tc>
          <w:tcPr>
            <w:tcW w:w="827" w:type="dxa"/>
            <w:vMerge w:val="continue"/>
            <w:tcBorders>
              <w:top w:val="nil"/>
              <w:bottom w:val="nil"/>
            </w:tcBorders>
            <w:vAlign w:val="top"/>
          </w:tcPr>
          <w:p w14:paraId="771E3DE6">
            <w:pPr>
              <w:rPr>
                <w:rFonts w:ascii="Arial"/>
                <w:sz w:val="21"/>
              </w:rPr>
            </w:pPr>
          </w:p>
        </w:tc>
        <w:tc>
          <w:tcPr>
            <w:tcW w:w="817" w:type="dxa"/>
            <w:vAlign w:val="top"/>
          </w:tcPr>
          <w:p w14:paraId="3E3E6668">
            <w:pPr>
              <w:pStyle w:val="16"/>
              <w:spacing w:before="183" w:line="268" w:lineRule="exact"/>
              <w:ind w:left="116"/>
            </w:pPr>
            <w:r>
              <w:rPr>
                <w:spacing w:val="3"/>
                <w:position w:val="1"/>
              </w:rPr>
              <w:t>C304</w:t>
            </w:r>
          </w:p>
        </w:tc>
        <w:tc>
          <w:tcPr>
            <w:tcW w:w="5323" w:type="dxa"/>
            <w:vAlign w:val="top"/>
          </w:tcPr>
          <w:p w14:paraId="281B3ED0">
            <w:pPr>
              <w:pStyle w:val="16"/>
              <w:spacing w:before="46" w:line="238" w:lineRule="auto"/>
              <w:ind w:left="118" w:right="111" w:hanging="2"/>
            </w:pPr>
            <w:r>
              <w:rPr>
                <w:spacing w:val="12"/>
              </w:rPr>
              <w:t>爆破作业及其它作业未按照专项方案内容进行，违反施</w:t>
            </w:r>
            <w:r>
              <w:rPr>
                <w:spacing w:val="8"/>
              </w:rPr>
              <w:t>工安全技术规程或未采取保护措施。</w:t>
            </w:r>
          </w:p>
        </w:tc>
        <w:tc>
          <w:tcPr>
            <w:tcW w:w="1103" w:type="dxa"/>
            <w:vAlign w:val="top"/>
          </w:tcPr>
          <w:p w14:paraId="1C25D561">
            <w:pPr>
              <w:pStyle w:val="16"/>
              <w:spacing w:before="182" w:line="228" w:lineRule="auto"/>
              <w:ind w:left="121"/>
            </w:pPr>
            <w:r>
              <w:rPr>
                <w:spacing w:val="4"/>
              </w:rPr>
              <w:t>元/次</w:t>
            </w:r>
          </w:p>
        </w:tc>
        <w:tc>
          <w:tcPr>
            <w:tcW w:w="1284" w:type="dxa"/>
            <w:vAlign w:val="top"/>
          </w:tcPr>
          <w:p w14:paraId="2D2C3B1F">
            <w:pPr>
              <w:pStyle w:val="16"/>
              <w:spacing w:before="182" w:line="225" w:lineRule="auto"/>
              <w:ind w:left="123"/>
            </w:pPr>
            <w:r>
              <w:rPr>
                <w:spacing w:val="2"/>
              </w:rPr>
              <w:t>2,000</w:t>
            </w:r>
          </w:p>
        </w:tc>
      </w:tr>
      <w:tr w14:paraId="6EF21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18C33C9C">
            <w:pPr>
              <w:rPr>
                <w:rFonts w:ascii="Arial"/>
                <w:sz w:val="21"/>
              </w:rPr>
            </w:pPr>
          </w:p>
        </w:tc>
        <w:tc>
          <w:tcPr>
            <w:tcW w:w="827" w:type="dxa"/>
            <w:vMerge w:val="continue"/>
            <w:tcBorders>
              <w:top w:val="nil"/>
              <w:bottom w:val="nil"/>
            </w:tcBorders>
            <w:vAlign w:val="top"/>
          </w:tcPr>
          <w:p w14:paraId="027773A8">
            <w:pPr>
              <w:rPr>
                <w:rFonts w:ascii="Arial"/>
                <w:sz w:val="21"/>
              </w:rPr>
            </w:pPr>
          </w:p>
        </w:tc>
        <w:tc>
          <w:tcPr>
            <w:tcW w:w="817" w:type="dxa"/>
            <w:vAlign w:val="top"/>
          </w:tcPr>
          <w:p w14:paraId="604E7E7F">
            <w:pPr>
              <w:pStyle w:val="16"/>
              <w:spacing w:before="182" w:line="268" w:lineRule="exact"/>
              <w:ind w:left="116"/>
            </w:pPr>
            <w:r>
              <w:rPr>
                <w:spacing w:val="3"/>
                <w:position w:val="1"/>
              </w:rPr>
              <w:t>C305</w:t>
            </w:r>
          </w:p>
        </w:tc>
        <w:tc>
          <w:tcPr>
            <w:tcW w:w="5323" w:type="dxa"/>
            <w:vAlign w:val="top"/>
          </w:tcPr>
          <w:p w14:paraId="1B72DE5E">
            <w:pPr>
              <w:pStyle w:val="16"/>
              <w:spacing w:before="181" w:line="228" w:lineRule="auto"/>
              <w:ind w:left="116"/>
            </w:pPr>
            <w:r>
              <w:rPr>
                <w:spacing w:val="8"/>
              </w:rPr>
              <w:t>野蛮施工导致水利枢纽设施损坏（破坏）</w:t>
            </w:r>
          </w:p>
        </w:tc>
        <w:tc>
          <w:tcPr>
            <w:tcW w:w="1103" w:type="dxa"/>
            <w:vAlign w:val="top"/>
          </w:tcPr>
          <w:p w14:paraId="534F65F4">
            <w:pPr>
              <w:pStyle w:val="16"/>
              <w:spacing w:before="182" w:line="228" w:lineRule="auto"/>
              <w:ind w:left="121"/>
            </w:pPr>
            <w:r>
              <w:rPr>
                <w:spacing w:val="4"/>
              </w:rPr>
              <w:t>元/宗</w:t>
            </w:r>
          </w:p>
        </w:tc>
        <w:tc>
          <w:tcPr>
            <w:tcW w:w="1284" w:type="dxa"/>
            <w:vAlign w:val="top"/>
          </w:tcPr>
          <w:p w14:paraId="04BE9316">
            <w:pPr>
              <w:pStyle w:val="16"/>
              <w:spacing w:before="181" w:line="225" w:lineRule="auto"/>
              <w:ind w:left="124"/>
            </w:pPr>
            <w:r>
              <w:rPr>
                <w:spacing w:val="2"/>
              </w:rPr>
              <w:t>5,000</w:t>
            </w:r>
          </w:p>
        </w:tc>
      </w:tr>
      <w:tr w14:paraId="7A0C2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25AB210C">
            <w:pPr>
              <w:rPr>
                <w:rFonts w:ascii="Arial"/>
                <w:sz w:val="21"/>
              </w:rPr>
            </w:pPr>
          </w:p>
        </w:tc>
        <w:tc>
          <w:tcPr>
            <w:tcW w:w="827" w:type="dxa"/>
            <w:vMerge w:val="continue"/>
            <w:tcBorders>
              <w:top w:val="nil"/>
              <w:bottom w:val="nil"/>
            </w:tcBorders>
            <w:vAlign w:val="top"/>
          </w:tcPr>
          <w:p w14:paraId="764FDB79">
            <w:pPr>
              <w:rPr>
                <w:rFonts w:ascii="Arial"/>
                <w:sz w:val="21"/>
              </w:rPr>
            </w:pPr>
          </w:p>
        </w:tc>
        <w:tc>
          <w:tcPr>
            <w:tcW w:w="817" w:type="dxa"/>
            <w:vAlign w:val="top"/>
          </w:tcPr>
          <w:p w14:paraId="264C81C9">
            <w:pPr>
              <w:pStyle w:val="16"/>
              <w:spacing w:before="183" w:line="268" w:lineRule="exact"/>
              <w:ind w:left="116"/>
            </w:pPr>
            <w:r>
              <w:rPr>
                <w:spacing w:val="3"/>
                <w:position w:val="1"/>
              </w:rPr>
              <w:t>C306</w:t>
            </w:r>
          </w:p>
        </w:tc>
        <w:tc>
          <w:tcPr>
            <w:tcW w:w="5323" w:type="dxa"/>
            <w:vAlign w:val="top"/>
          </w:tcPr>
          <w:p w14:paraId="300956E8">
            <w:pPr>
              <w:pStyle w:val="16"/>
              <w:spacing w:before="46" w:line="238" w:lineRule="auto"/>
              <w:ind w:left="118" w:right="111" w:hanging="2"/>
            </w:pPr>
            <w:r>
              <w:rPr>
                <w:spacing w:val="12"/>
              </w:rPr>
              <w:t>拆除、交叉、起重吊装等特殊作业未按施工方案组织施</w:t>
            </w:r>
            <w:r>
              <w:rPr>
                <w:spacing w:val="8"/>
              </w:rPr>
              <w:t>工，无安全员值守，无设置安全警戒区域。</w:t>
            </w:r>
          </w:p>
        </w:tc>
        <w:tc>
          <w:tcPr>
            <w:tcW w:w="1103" w:type="dxa"/>
            <w:vAlign w:val="top"/>
          </w:tcPr>
          <w:p w14:paraId="3B4995D4">
            <w:pPr>
              <w:pStyle w:val="16"/>
              <w:spacing w:before="183" w:line="228" w:lineRule="auto"/>
              <w:ind w:left="121"/>
            </w:pPr>
            <w:r>
              <w:rPr>
                <w:spacing w:val="4"/>
              </w:rPr>
              <w:t>元/次</w:t>
            </w:r>
          </w:p>
        </w:tc>
        <w:tc>
          <w:tcPr>
            <w:tcW w:w="1284" w:type="dxa"/>
            <w:vAlign w:val="top"/>
          </w:tcPr>
          <w:p w14:paraId="398CAE91">
            <w:pPr>
              <w:pStyle w:val="16"/>
              <w:spacing w:before="183" w:line="225" w:lineRule="auto"/>
              <w:ind w:left="124"/>
            </w:pPr>
            <w:r>
              <w:rPr>
                <w:spacing w:val="2"/>
              </w:rPr>
              <w:t>3,000</w:t>
            </w:r>
          </w:p>
        </w:tc>
      </w:tr>
      <w:tr w14:paraId="7C2C4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16" w:type="dxa"/>
            <w:vMerge w:val="continue"/>
            <w:tcBorders>
              <w:top w:val="nil"/>
              <w:bottom w:val="nil"/>
            </w:tcBorders>
            <w:vAlign w:val="top"/>
          </w:tcPr>
          <w:p w14:paraId="5E10B56D">
            <w:pPr>
              <w:rPr>
                <w:rFonts w:ascii="Arial"/>
                <w:sz w:val="21"/>
              </w:rPr>
            </w:pPr>
          </w:p>
        </w:tc>
        <w:tc>
          <w:tcPr>
            <w:tcW w:w="827" w:type="dxa"/>
            <w:vMerge w:val="continue"/>
            <w:tcBorders>
              <w:top w:val="nil"/>
              <w:bottom w:val="nil"/>
            </w:tcBorders>
            <w:vAlign w:val="top"/>
          </w:tcPr>
          <w:p w14:paraId="4C87AD54">
            <w:pPr>
              <w:rPr>
                <w:rFonts w:ascii="Arial"/>
                <w:sz w:val="21"/>
              </w:rPr>
            </w:pPr>
          </w:p>
        </w:tc>
        <w:tc>
          <w:tcPr>
            <w:tcW w:w="817" w:type="dxa"/>
            <w:vAlign w:val="top"/>
          </w:tcPr>
          <w:p w14:paraId="26BAB0E4">
            <w:pPr>
              <w:rPr>
                <w:rFonts w:ascii="Arial"/>
                <w:sz w:val="21"/>
              </w:rPr>
            </w:pPr>
          </w:p>
          <w:p w14:paraId="7E8E61F2">
            <w:pPr>
              <w:pStyle w:val="16"/>
              <w:spacing w:before="65" w:line="269" w:lineRule="exact"/>
              <w:ind w:left="116"/>
            </w:pPr>
            <w:r>
              <w:rPr>
                <w:spacing w:val="3"/>
                <w:position w:val="1"/>
              </w:rPr>
              <w:t>C307</w:t>
            </w:r>
          </w:p>
        </w:tc>
        <w:tc>
          <w:tcPr>
            <w:tcW w:w="5323" w:type="dxa"/>
            <w:vAlign w:val="top"/>
          </w:tcPr>
          <w:p w14:paraId="3789FB85">
            <w:pPr>
              <w:pStyle w:val="16"/>
              <w:spacing w:before="37" w:line="238" w:lineRule="auto"/>
              <w:ind w:left="118" w:right="111"/>
              <w:jc w:val="both"/>
            </w:pPr>
            <w:r>
              <w:rPr>
                <w:spacing w:val="21"/>
              </w:rPr>
              <w:t>危险性较大的分部分项工程施工时未落实安全专项方</w:t>
            </w:r>
            <w:r>
              <w:rPr>
                <w:spacing w:val="12"/>
              </w:rPr>
              <w:t>案，无安全和技术人员值守，项目技术负责人未定</w:t>
            </w:r>
            <w:r>
              <w:rPr>
                <w:spacing w:val="11"/>
              </w:rPr>
              <w:t>期巡</w:t>
            </w:r>
            <w:r>
              <w:rPr>
                <w:spacing w:val="7"/>
              </w:rPr>
              <w:t>查专项方案实施情况。</w:t>
            </w:r>
          </w:p>
        </w:tc>
        <w:tc>
          <w:tcPr>
            <w:tcW w:w="1103" w:type="dxa"/>
            <w:vAlign w:val="top"/>
          </w:tcPr>
          <w:p w14:paraId="043C3455">
            <w:pPr>
              <w:rPr>
                <w:rFonts w:ascii="Arial"/>
                <w:sz w:val="21"/>
              </w:rPr>
            </w:pPr>
          </w:p>
          <w:p w14:paraId="065B22DD">
            <w:pPr>
              <w:pStyle w:val="16"/>
              <w:spacing w:before="65" w:line="228" w:lineRule="auto"/>
              <w:ind w:left="121"/>
            </w:pPr>
            <w:r>
              <w:rPr>
                <w:spacing w:val="4"/>
              </w:rPr>
              <w:t>元/次</w:t>
            </w:r>
          </w:p>
        </w:tc>
        <w:tc>
          <w:tcPr>
            <w:tcW w:w="1284" w:type="dxa"/>
            <w:vAlign w:val="top"/>
          </w:tcPr>
          <w:p w14:paraId="6B29A6E7">
            <w:pPr>
              <w:rPr>
                <w:rFonts w:ascii="Arial"/>
                <w:sz w:val="21"/>
              </w:rPr>
            </w:pPr>
          </w:p>
          <w:p w14:paraId="37D1F2D1">
            <w:pPr>
              <w:pStyle w:val="16"/>
              <w:spacing w:before="65" w:line="225" w:lineRule="auto"/>
              <w:ind w:left="124"/>
            </w:pPr>
            <w:r>
              <w:rPr>
                <w:spacing w:val="2"/>
              </w:rPr>
              <w:t>5,000</w:t>
            </w:r>
          </w:p>
        </w:tc>
      </w:tr>
      <w:tr w14:paraId="3A754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43B89B20">
            <w:pPr>
              <w:rPr>
                <w:rFonts w:ascii="Arial"/>
                <w:sz w:val="21"/>
              </w:rPr>
            </w:pPr>
          </w:p>
        </w:tc>
        <w:tc>
          <w:tcPr>
            <w:tcW w:w="827" w:type="dxa"/>
            <w:vMerge w:val="continue"/>
            <w:tcBorders>
              <w:top w:val="nil"/>
              <w:bottom w:val="nil"/>
            </w:tcBorders>
            <w:vAlign w:val="top"/>
          </w:tcPr>
          <w:p w14:paraId="1D7D4756">
            <w:pPr>
              <w:rPr>
                <w:rFonts w:ascii="Arial"/>
                <w:sz w:val="21"/>
              </w:rPr>
            </w:pPr>
          </w:p>
        </w:tc>
        <w:tc>
          <w:tcPr>
            <w:tcW w:w="817" w:type="dxa"/>
            <w:vAlign w:val="top"/>
          </w:tcPr>
          <w:p w14:paraId="1A89107B">
            <w:pPr>
              <w:pStyle w:val="16"/>
              <w:spacing w:before="184" w:line="268" w:lineRule="exact"/>
              <w:ind w:left="116"/>
            </w:pPr>
            <w:r>
              <w:rPr>
                <w:spacing w:val="3"/>
                <w:position w:val="1"/>
              </w:rPr>
              <w:t>C308</w:t>
            </w:r>
          </w:p>
        </w:tc>
        <w:tc>
          <w:tcPr>
            <w:tcW w:w="5323" w:type="dxa"/>
            <w:vAlign w:val="top"/>
          </w:tcPr>
          <w:p w14:paraId="693BDC76">
            <w:pPr>
              <w:pStyle w:val="16"/>
              <w:spacing w:before="48" w:line="237" w:lineRule="auto"/>
              <w:ind w:left="124" w:right="111" w:hanging="2"/>
            </w:pPr>
            <w:r>
              <w:rPr>
                <w:spacing w:val="11"/>
              </w:rPr>
              <w:t>高处作业施工未搭设脚手架及作业平台，未设置作业人</w:t>
            </w:r>
            <w:r>
              <w:rPr>
                <w:spacing w:val="8"/>
              </w:rPr>
              <w:t>员安全作业空间，未设置人员专用上下通道。</w:t>
            </w:r>
          </w:p>
        </w:tc>
        <w:tc>
          <w:tcPr>
            <w:tcW w:w="1103" w:type="dxa"/>
            <w:vAlign w:val="top"/>
          </w:tcPr>
          <w:p w14:paraId="4CBC6399">
            <w:pPr>
              <w:pStyle w:val="16"/>
              <w:spacing w:before="184" w:line="228" w:lineRule="auto"/>
              <w:ind w:left="121"/>
            </w:pPr>
            <w:r>
              <w:rPr>
                <w:spacing w:val="4"/>
              </w:rPr>
              <w:t>元/次</w:t>
            </w:r>
          </w:p>
        </w:tc>
        <w:tc>
          <w:tcPr>
            <w:tcW w:w="1284" w:type="dxa"/>
            <w:vAlign w:val="top"/>
          </w:tcPr>
          <w:p w14:paraId="2669AC2C">
            <w:pPr>
              <w:pStyle w:val="16"/>
              <w:spacing w:before="184" w:line="225" w:lineRule="auto"/>
              <w:ind w:left="124"/>
            </w:pPr>
            <w:r>
              <w:rPr>
                <w:spacing w:val="2"/>
              </w:rPr>
              <w:t>5,000</w:t>
            </w:r>
          </w:p>
        </w:tc>
      </w:tr>
      <w:tr w14:paraId="3C4E9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09130EAE">
            <w:pPr>
              <w:rPr>
                <w:rFonts w:ascii="Arial"/>
                <w:sz w:val="21"/>
              </w:rPr>
            </w:pPr>
          </w:p>
        </w:tc>
        <w:tc>
          <w:tcPr>
            <w:tcW w:w="827" w:type="dxa"/>
            <w:vMerge w:val="continue"/>
            <w:tcBorders>
              <w:top w:val="nil"/>
              <w:bottom w:val="nil"/>
            </w:tcBorders>
            <w:vAlign w:val="top"/>
          </w:tcPr>
          <w:p w14:paraId="23DBE2CC">
            <w:pPr>
              <w:rPr>
                <w:rFonts w:ascii="Arial"/>
                <w:sz w:val="21"/>
              </w:rPr>
            </w:pPr>
          </w:p>
        </w:tc>
        <w:tc>
          <w:tcPr>
            <w:tcW w:w="817" w:type="dxa"/>
            <w:vAlign w:val="top"/>
          </w:tcPr>
          <w:p w14:paraId="3A6D227E">
            <w:pPr>
              <w:pStyle w:val="16"/>
              <w:spacing w:before="183" w:line="268" w:lineRule="exact"/>
              <w:ind w:left="116"/>
            </w:pPr>
            <w:r>
              <w:rPr>
                <w:spacing w:val="3"/>
                <w:position w:val="1"/>
              </w:rPr>
              <w:t>C309</w:t>
            </w:r>
          </w:p>
        </w:tc>
        <w:tc>
          <w:tcPr>
            <w:tcW w:w="5323" w:type="dxa"/>
            <w:vAlign w:val="top"/>
          </w:tcPr>
          <w:p w14:paraId="68EF4BA0">
            <w:pPr>
              <w:pStyle w:val="16"/>
              <w:spacing w:before="46" w:line="238" w:lineRule="auto"/>
              <w:ind w:left="119" w:right="111"/>
            </w:pPr>
            <w:r>
              <w:rPr>
                <w:spacing w:val="12"/>
              </w:rPr>
              <w:t>水上水下作业未办理水上水下作业许可，未编制</w:t>
            </w:r>
            <w:r>
              <w:rPr>
                <w:spacing w:val="11"/>
              </w:rPr>
              <w:t>安全专</w:t>
            </w:r>
            <w:r>
              <w:rPr>
                <w:spacing w:val="8"/>
              </w:rPr>
              <w:t>项方案，未落实安全技术交底。</w:t>
            </w:r>
          </w:p>
        </w:tc>
        <w:tc>
          <w:tcPr>
            <w:tcW w:w="1103" w:type="dxa"/>
            <w:vAlign w:val="top"/>
          </w:tcPr>
          <w:p w14:paraId="0C62B715">
            <w:pPr>
              <w:pStyle w:val="16"/>
              <w:spacing w:before="183" w:line="228" w:lineRule="auto"/>
              <w:ind w:left="121"/>
            </w:pPr>
            <w:r>
              <w:rPr>
                <w:spacing w:val="4"/>
              </w:rPr>
              <w:t>元/次</w:t>
            </w:r>
          </w:p>
        </w:tc>
        <w:tc>
          <w:tcPr>
            <w:tcW w:w="1284" w:type="dxa"/>
            <w:vAlign w:val="top"/>
          </w:tcPr>
          <w:p w14:paraId="60B65E96">
            <w:pPr>
              <w:pStyle w:val="16"/>
              <w:spacing w:before="183" w:line="225" w:lineRule="auto"/>
              <w:ind w:left="123"/>
            </w:pPr>
            <w:r>
              <w:rPr>
                <w:spacing w:val="2"/>
              </w:rPr>
              <w:t>2,000</w:t>
            </w:r>
          </w:p>
        </w:tc>
      </w:tr>
      <w:tr w14:paraId="39F64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7C5D1502">
            <w:pPr>
              <w:rPr>
                <w:rFonts w:ascii="Arial"/>
                <w:sz w:val="21"/>
              </w:rPr>
            </w:pPr>
          </w:p>
        </w:tc>
        <w:tc>
          <w:tcPr>
            <w:tcW w:w="827" w:type="dxa"/>
            <w:vMerge w:val="continue"/>
            <w:tcBorders>
              <w:top w:val="nil"/>
              <w:bottom w:val="nil"/>
            </w:tcBorders>
            <w:vAlign w:val="top"/>
          </w:tcPr>
          <w:p w14:paraId="0FA11056">
            <w:pPr>
              <w:rPr>
                <w:rFonts w:ascii="Arial"/>
                <w:sz w:val="21"/>
              </w:rPr>
            </w:pPr>
          </w:p>
        </w:tc>
        <w:tc>
          <w:tcPr>
            <w:tcW w:w="817" w:type="dxa"/>
            <w:vAlign w:val="top"/>
          </w:tcPr>
          <w:p w14:paraId="02926063">
            <w:pPr>
              <w:pStyle w:val="16"/>
              <w:spacing w:before="182" w:line="268" w:lineRule="exact"/>
              <w:ind w:left="116"/>
            </w:pPr>
            <w:r>
              <w:rPr>
                <w:spacing w:val="3"/>
                <w:position w:val="1"/>
              </w:rPr>
              <w:t>C310</w:t>
            </w:r>
          </w:p>
        </w:tc>
        <w:tc>
          <w:tcPr>
            <w:tcW w:w="5323" w:type="dxa"/>
            <w:vAlign w:val="top"/>
          </w:tcPr>
          <w:p w14:paraId="40876C26">
            <w:pPr>
              <w:pStyle w:val="16"/>
              <w:spacing w:before="48" w:line="237" w:lineRule="auto"/>
              <w:ind w:left="132" w:right="111" w:hanging="10"/>
            </w:pPr>
            <w:r>
              <w:rPr>
                <w:spacing w:val="11"/>
              </w:rPr>
              <w:t>高处和临边作业施工未按规定设置安全防护栏杆及安全</w:t>
            </w:r>
            <w:r>
              <w:t>网</w:t>
            </w:r>
          </w:p>
        </w:tc>
        <w:tc>
          <w:tcPr>
            <w:tcW w:w="1103" w:type="dxa"/>
            <w:vAlign w:val="top"/>
          </w:tcPr>
          <w:p w14:paraId="30C2B501">
            <w:pPr>
              <w:pStyle w:val="16"/>
              <w:spacing w:before="182" w:line="228" w:lineRule="auto"/>
              <w:ind w:left="121"/>
            </w:pPr>
            <w:r>
              <w:rPr>
                <w:spacing w:val="4"/>
              </w:rPr>
              <w:t>元/次</w:t>
            </w:r>
          </w:p>
        </w:tc>
        <w:tc>
          <w:tcPr>
            <w:tcW w:w="1284" w:type="dxa"/>
            <w:vAlign w:val="top"/>
          </w:tcPr>
          <w:p w14:paraId="5ABD130D">
            <w:pPr>
              <w:pStyle w:val="16"/>
              <w:spacing w:before="182" w:line="225" w:lineRule="auto"/>
              <w:ind w:left="123"/>
            </w:pPr>
            <w:r>
              <w:rPr>
                <w:spacing w:val="2"/>
              </w:rPr>
              <w:t>2,000</w:t>
            </w:r>
          </w:p>
        </w:tc>
      </w:tr>
      <w:tr w14:paraId="6740D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27C03B5A">
            <w:pPr>
              <w:rPr>
                <w:rFonts w:ascii="Arial"/>
                <w:sz w:val="21"/>
              </w:rPr>
            </w:pPr>
          </w:p>
        </w:tc>
        <w:tc>
          <w:tcPr>
            <w:tcW w:w="827" w:type="dxa"/>
            <w:vMerge w:val="continue"/>
            <w:tcBorders>
              <w:top w:val="nil"/>
            </w:tcBorders>
            <w:vAlign w:val="top"/>
          </w:tcPr>
          <w:p w14:paraId="1E062A71">
            <w:pPr>
              <w:rPr>
                <w:rFonts w:ascii="Arial"/>
                <w:sz w:val="21"/>
              </w:rPr>
            </w:pPr>
          </w:p>
        </w:tc>
        <w:tc>
          <w:tcPr>
            <w:tcW w:w="817" w:type="dxa"/>
            <w:vAlign w:val="top"/>
          </w:tcPr>
          <w:p w14:paraId="5353799D">
            <w:pPr>
              <w:pStyle w:val="16"/>
              <w:spacing w:before="183" w:line="269" w:lineRule="exact"/>
              <w:ind w:left="116"/>
            </w:pPr>
            <w:r>
              <w:rPr>
                <w:spacing w:val="3"/>
                <w:position w:val="1"/>
              </w:rPr>
              <w:t>C311</w:t>
            </w:r>
          </w:p>
        </w:tc>
        <w:tc>
          <w:tcPr>
            <w:tcW w:w="5323" w:type="dxa"/>
            <w:vAlign w:val="top"/>
          </w:tcPr>
          <w:p w14:paraId="1250A6DA">
            <w:pPr>
              <w:pStyle w:val="16"/>
              <w:spacing w:before="46" w:line="238" w:lineRule="auto"/>
              <w:ind w:left="119" w:right="111" w:hanging="3"/>
            </w:pPr>
            <w:r>
              <w:rPr>
                <w:spacing w:val="12"/>
              </w:rPr>
              <w:t>施工船舶、机械等特种设备安全防护配置不足或未配置</w:t>
            </w:r>
            <w:r>
              <w:rPr>
                <w:spacing w:val="4"/>
              </w:rPr>
              <w:t>或失效。</w:t>
            </w:r>
          </w:p>
        </w:tc>
        <w:tc>
          <w:tcPr>
            <w:tcW w:w="1103" w:type="dxa"/>
            <w:vAlign w:val="top"/>
          </w:tcPr>
          <w:p w14:paraId="392A6C35">
            <w:pPr>
              <w:pStyle w:val="16"/>
              <w:spacing w:before="183" w:line="228" w:lineRule="auto"/>
              <w:ind w:left="121"/>
            </w:pPr>
            <w:r>
              <w:rPr>
                <w:spacing w:val="4"/>
              </w:rPr>
              <w:t>元/次</w:t>
            </w:r>
          </w:p>
        </w:tc>
        <w:tc>
          <w:tcPr>
            <w:tcW w:w="1284" w:type="dxa"/>
            <w:vAlign w:val="top"/>
          </w:tcPr>
          <w:p w14:paraId="3FE5371A">
            <w:pPr>
              <w:pStyle w:val="16"/>
              <w:spacing w:before="183" w:line="225" w:lineRule="auto"/>
              <w:ind w:left="124"/>
            </w:pPr>
            <w:r>
              <w:rPr>
                <w:spacing w:val="2"/>
              </w:rPr>
              <w:t>3,000</w:t>
            </w:r>
          </w:p>
        </w:tc>
      </w:tr>
      <w:tr w14:paraId="159B6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6D388D74">
            <w:pPr>
              <w:rPr>
                <w:rFonts w:ascii="Arial"/>
                <w:sz w:val="21"/>
              </w:rPr>
            </w:pPr>
          </w:p>
        </w:tc>
        <w:tc>
          <w:tcPr>
            <w:tcW w:w="827" w:type="dxa"/>
            <w:vMerge w:val="restart"/>
            <w:tcBorders>
              <w:bottom w:val="nil"/>
            </w:tcBorders>
            <w:vAlign w:val="top"/>
          </w:tcPr>
          <w:p w14:paraId="0826F376">
            <w:pPr>
              <w:spacing w:line="270" w:lineRule="auto"/>
              <w:rPr>
                <w:rFonts w:ascii="Arial"/>
                <w:sz w:val="21"/>
              </w:rPr>
            </w:pPr>
          </w:p>
          <w:p w14:paraId="18F70EFD">
            <w:pPr>
              <w:pStyle w:val="16"/>
              <w:spacing w:before="65" w:line="253" w:lineRule="auto"/>
              <w:ind w:left="116" w:right="113"/>
            </w:pPr>
            <w:r>
              <w:rPr>
                <w:spacing w:val="1"/>
              </w:rPr>
              <w:t>4.措施</w:t>
            </w:r>
          </w:p>
        </w:tc>
        <w:tc>
          <w:tcPr>
            <w:tcW w:w="817" w:type="dxa"/>
            <w:vAlign w:val="top"/>
          </w:tcPr>
          <w:p w14:paraId="032373AF">
            <w:pPr>
              <w:pStyle w:val="16"/>
              <w:spacing w:before="182" w:line="269" w:lineRule="exact"/>
              <w:ind w:left="116"/>
            </w:pPr>
            <w:r>
              <w:rPr>
                <w:spacing w:val="3"/>
                <w:position w:val="1"/>
              </w:rPr>
              <w:t>C401</w:t>
            </w:r>
          </w:p>
        </w:tc>
        <w:tc>
          <w:tcPr>
            <w:tcW w:w="5323" w:type="dxa"/>
            <w:vAlign w:val="top"/>
          </w:tcPr>
          <w:p w14:paraId="2CEDC82D">
            <w:pPr>
              <w:pStyle w:val="16"/>
              <w:spacing w:before="48" w:line="237" w:lineRule="auto"/>
              <w:ind w:left="116" w:right="111"/>
            </w:pPr>
            <w:r>
              <w:rPr>
                <w:spacing w:val="12"/>
              </w:rPr>
              <w:t>氧气乙炔、炸药、雷管等易燃易爆物品未按规定地点存</w:t>
            </w:r>
            <w:r>
              <w:rPr>
                <w:spacing w:val="8"/>
              </w:rPr>
              <w:t>放，或未采取预防措施，或未指定责任人。</w:t>
            </w:r>
          </w:p>
        </w:tc>
        <w:tc>
          <w:tcPr>
            <w:tcW w:w="1103" w:type="dxa"/>
            <w:vAlign w:val="top"/>
          </w:tcPr>
          <w:p w14:paraId="6D6D105F">
            <w:pPr>
              <w:pStyle w:val="16"/>
              <w:spacing w:before="182" w:line="228" w:lineRule="auto"/>
              <w:ind w:left="121"/>
            </w:pPr>
            <w:r>
              <w:rPr>
                <w:spacing w:val="4"/>
              </w:rPr>
              <w:t>元/次</w:t>
            </w:r>
          </w:p>
        </w:tc>
        <w:tc>
          <w:tcPr>
            <w:tcW w:w="1284" w:type="dxa"/>
            <w:vAlign w:val="top"/>
          </w:tcPr>
          <w:p w14:paraId="423638C4">
            <w:pPr>
              <w:pStyle w:val="16"/>
              <w:spacing w:before="182" w:line="225" w:lineRule="auto"/>
              <w:ind w:left="123"/>
            </w:pPr>
            <w:r>
              <w:rPr>
                <w:spacing w:val="2"/>
              </w:rPr>
              <w:t>2,000</w:t>
            </w:r>
          </w:p>
        </w:tc>
      </w:tr>
      <w:tr w14:paraId="2B99E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16" w:type="dxa"/>
            <w:vMerge w:val="continue"/>
            <w:tcBorders>
              <w:top w:val="nil"/>
            </w:tcBorders>
            <w:vAlign w:val="top"/>
          </w:tcPr>
          <w:p w14:paraId="2BFCBB9F">
            <w:pPr>
              <w:rPr>
                <w:rFonts w:ascii="Arial"/>
                <w:sz w:val="21"/>
              </w:rPr>
            </w:pPr>
          </w:p>
        </w:tc>
        <w:tc>
          <w:tcPr>
            <w:tcW w:w="827" w:type="dxa"/>
            <w:vMerge w:val="continue"/>
            <w:tcBorders>
              <w:top w:val="nil"/>
            </w:tcBorders>
            <w:vAlign w:val="top"/>
          </w:tcPr>
          <w:p w14:paraId="679793BC">
            <w:pPr>
              <w:rPr>
                <w:rFonts w:ascii="Arial"/>
                <w:sz w:val="21"/>
              </w:rPr>
            </w:pPr>
          </w:p>
        </w:tc>
        <w:tc>
          <w:tcPr>
            <w:tcW w:w="817" w:type="dxa"/>
            <w:vAlign w:val="top"/>
          </w:tcPr>
          <w:p w14:paraId="0287EA3D">
            <w:pPr>
              <w:pStyle w:val="16"/>
              <w:spacing w:before="184" w:line="268" w:lineRule="exact"/>
              <w:ind w:left="116"/>
            </w:pPr>
            <w:r>
              <w:rPr>
                <w:spacing w:val="3"/>
                <w:position w:val="1"/>
              </w:rPr>
              <w:t>C402</w:t>
            </w:r>
          </w:p>
        </w:tc>
        <w:tc>
          <w:tcPr>
            <w:tcW w:w="5323" w:type="dxa"/>
            <w:vAlign w:val="top"/>
          </w:tcPr>
          <w:p w14:paraId="715C5CFE">
            <w:pPr>
              <w:pStyle w:val="16"/>
              <w:spacing w:before="48" w:line="238" w:lineRule="auto"/>
              <w:ind w:left="116" w:right="40"/>
            </w:pPr>
            <w:r>
              <w:rPr>
                <w:spacing w:val="12"/>
              </w:rPr>
              <w:t>驻地、作业区、仓库、油库及其他易燃易爆工作场所未</w:t>
            </w:r>
            <w:r>
              <w:rPr>
                <w:spacing w:val="6"/>
              </w:rPr>
              <w:t>配备足够数量的消防器材，或仓库管理人员未持证上岗。</w:t>
            </w:r>
          </w:p>
        </w:tc>
        <w:tc>
          <w:tcPr>
            <w:tcW w:w="1103" w:type="dxa"/>
            <w:vAlign w:val="top"/>
          </w:tcPr>
          <w:p w14:paraId="48CEE68E">
            <w:pPr>
              <w:pStyle w:val="16"/>
              <w:spacing w:before="184" w:line="228" w:lineRule="auto"/>
              <w:ind w:left="121"/>
            </w:pPr>
            <w:r>
              <w:rPr>
                <w:spacing w:val="4"/>
              </w:rPr>
              <w:t>元/处</w:t>
            </w:r>
          </w:p>
        </w:tc>
        <w:tc>
          <w:tcPr>
            <w:tcW w:w="1284" w:type="dxa"/>
            <w:vAlign w:val="top"/>
          </w:tcPr>
          <w:p w14:paraId="6B649CC0">
            <w:pPr>
              <w:pStyle w:val="16"/>
              <w:spacing w:before="184" w:line="225" w:lineRule="auto"/>
              <w:ind w:left="123"/>
            </w:pPr>
            <w:r>
              <w:rPr>
                <w:spacing w:val="3"/>
              </w:rPr>
              <w:t>2,000</w:t>
            </w:r>
          </w:p>
        </w:tc>
      </w:tr>
    </w:tbl>
    <w:p w14:paraId="78E16034">
      <w:pPr>
        <w:rPr>
          <w:rFonts w:ascii="Arial"/>
          <w:sz w:val="21"/>
        </w:rPr>
      </w:pPr>
    </w:p>
    <w:p w14:paraId="5A1BB705">
      <w:pPr>
        <w:rPr>
          <w:rFonts w:ascii="Arial" w:hAnsi="Arial" w:eastAsia="Arial" w:cs="Arial"/>
          <w:sz w:val="21"/>
          <w:szCs w:val="21"/>
        </w:rPr>
        <w:sectPr>
          <w:footerReference r:id="rId17" w:type="default"/>
          <w:pgSz w:w="11900" w:h="16839"/>
          <w:pgMar w:top="936" w:right="962" w:bottom="856" w:left="962" w:header="659" w:footer="622" w:gutter="0"/>
          <w:pgNumType w:fmt="decimal"/>
          <w:cols w:space="720" w:num="1"/>
        </w:sectPr>
      </w:pPr>
    </w:p>
    <w:p w14:paraId="6522ADF0">
      <w:pPr>
        <w:spacing w:before="239"/>
      </w:pPr>
    </w:p>
    <w:tbl>
      <w:tblPr>
        <w:tblStyle w:val="15"/>
        <w:tblW w:w="9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827"/>
        <w:gridCol w:w="817"/>
        <w:gridCol w:w="5323"/>
        <w:gridCol w:w="1103"/>
        <w:gridCol w:w="1284"/>
      </w:tblGrid>
      <w:tr w14:paraId="3CB90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16" w:type="dxa"/>
            <w:vMerge w:val="restart"/>
            <w:tcBorders>
              <w:bottom w:val="nil"/>
            </w:tcBorders>
            <w:vAlign w:val="top"/>
          </w:tcPr>
          <w:p w14:paraId="19D73568">
            <w:pPr>
              <w:rPr>
                <w:rFonts w:ascii="Arial"/>
                <w:sz w:val="21"/>
              </w:rPr>
            </w:pPr>
          </w:p>
        </w:tc>
        <w:tc>
          <w:tcPr>
            <w:tcW w:w="827" w:type="dxa"/>
            <w:vMerge w:val="restart"/>
            <w:tcBorders>
              <w:bottom w:val="nil"/>
            </w:tcBorders>
            <w:vAlign w:val="top"/>
          </w:tcPr>
          <w:p w14:paraId="118F0C07">
            <w:pPr>
              <w:rPr>
                <w:rFonts w:ascii="Arial"/>
                <w:sz w:val="21"/>
              </w:rPr>
            </w:pPr>
          </w:p>
        </w:tc>
        <w:tc>
          <w:tcPr>
            <w:tcW w:w="817" w:type="dxa"/>
            <w:vAlign w:val="top"/>
          </w:tcPr>
          <w:p w14:paraId="3B0447E0">
            <w:pPr>
              <w:pStyle w:val="16"/>
              <w:spacing w:before="182" w:line="269" w:lineRule="exact"/>
              <w:ind w:left="116"/>
            </w:pPr>
            <w:r>
              <w:rPr>
                <w:spacing w:val="3"/>
                <w:position w:val="1"/>
              </w:rPr>
              <w:t>C403</w:t>
            </w:r>
          </w:p>
        </w:tc>
        <w:tc>
          <w:tcPr>
            <w:tcW w:w="5323" w:type="dxa"/>
            <w:vAlign w:val="top"/>
          </w:tcPr>
          <w:p w14:paraId="493C35D5">
            <w:pPr>
              <w:pStyle w:val="16"/>
              <w:spacing w:before="182" w:line="228" w:lineRule="auto"/>
              <w:ind w:left="120"/>
            </w:pPr>
            <w:r>
              <w:rPr>
                <w:spacing w:val="9"/>
              </w:rPr>
              <w:t>没有贯彻执行安全专项施工方案又没有按期落实整改。</w:t>
            </w:r>
          </w:p>
        </w:tc>
        <w:tc>
          <w:tcPr>
            <w:tcW w:w="1103" w:type="dxa"/>
            <w:vAlign w:val="top"/>
          </w:tcPr>
          <w:p w14:paraId="77B292EE">
            <w:pPr>
              <w:pStyle w:val="16"/>
              <w:spacing w:before="183" w:line="228" w:lineRule="auto"/>
              <w:ind w:left="121"/>
            </w:pPr>
            <w:r>
              <w:rPr>
                <w:spacing w:val="4"/>
              </w:rPr>
              <w:t>元/宗</w:t>
            </w:r>
          </w:p>
        </w:tc>
        <w:tc>
          <w:tcPr>
            <w:tcW w:w="1284" w:type="dxa"/>
            <w:vAlign w:val="top"/>
          </w:tcPr>
          <w:p w14:paraId="213FDF58">
            <w:pPr>
              <w:pStyle w:val="16"/>
              <w:spacing w:before="182" w:line="225" w:lineRule="auto"/>
              <w:ind w:left="123"/>
            </w:pPr>
            <w:r>
              <w:rPr>
                <w:spacing w:val="2"/>
              </w:rPr>
              <w:t>2,000</w:t>
            </w:r>
          </w:p>
        </w:tc>
      </w:tr>
      <w:tr w14:paraId="7D9E0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616" w:type="dxa"/>
            <w:vMerge w:val="continue"/>
            <w:tcBorders>
              <w:top w:val="nil"/>
              <w:bottom w:val="nil"/>
            </w:tcBorders>
            <w:vAlign w:val="top"/>
          </w:tcPr>
          <w:p w14:paraId="2BC876B1">
            <w:pPr>
              <w:rPr>
                <w:rFonts w:ascii="Arial"/>
                <w:sz w:val="21"/>
              </w:rPr>
            </w:pPr>
          </w:p>
        </w:tc>
        <w:tc>
          <w:tcPr>
            <w:tcW w:w="827" w:type="dxa"/>
            <w:vMerge w:val="continue"/>
            <w:tcBorders>
              <w:top w:val="nil"/>
              <w:bottom w:val="nil"/>
            </w:tcBorders>
            <w:vAlign w:val="top"/>
          </w:tcPr>
          <w:p w14:paraId="46003E7B">
            <w:pPr>
              <w:rPr>
                <w:rFonts w:ascii="Arial"/>
                <w:sz w:val="21"/>
              </w:rPr>
            </w:pPr>
          </w:p>
        </w:tc>
        <w:tc>
          <w:tcPr>
            <w:tcW w:w="817" w:type="dxa"/>
            <w:vAlign w:val="top"/>
          </w:tcPr>
          <w:p w14:paraId="2B24F307">
            <w:pPr>
              <w:pStyle w:val="16"/>
              <w:spacing w:before="115" w:line="268" w:lineRule="exact"/>
              <w:ind w:left="116"/>
            </w:pPr>
            <w:r>
              <w:rPr>
                <w:spacing w:val="3"/>
                <w:position w:val="1"/>
              </w:rPr>
              <w:t>C404</w:t>
            </w:r>
          </w:p>
        </w:tc>
        <w:tc>
          <w:tcPr>
            <w:tcW w:w="5323" w:type="dxa"/>
            <w:vAlign w:val="top"/>
          </w:tcPr>
          <w:p w14:paraId="1FFA883B">
            <w:pPr>
              <w:pStyle w:val="16"/>
              <w:spacing w:before="114" w:line="228" w:lineRule="auto"/>
              <w:ind w:left="116"/>
            </w:pPr>
            <w:r>
              <w:rPr>
                <w:spacing w:val="8"/>
              </w:rPr>
              <w:t>施工废料乱堆乱放未按规定处理。</w:t>
            </w:r>
          </w:p>
        </w:tc>
        <w:tc>
          <w:tcPr>
            <w:tcW w:w="1103" w:type="dxa"/>
            <w:vAlign w:val="top"/>
          </w:tcPr>
          <w:p w14:paraId="593662A7">
            <w:pPr>
              <w:pStyle w:val="16"/>
              <w:spacing w:before="115" w:line="228" w:lineRule="auto"/>
              <w:ind w:left="121"/>
            </w:pPr>
            <w:r>
              <w:rPr>
                <w:spacing w:val="4"/>
              </w:rPr>
              <w:t>元/处</w:t>
            </w:r>
          </w:p>
        </w:tc>
        <w:tc>
          <w:tcPr>
            <w:tcW w:w="1284" w:type="dxa"/>
            <w:vAlign w:val="top"/>
          </w:tcPr>
          <w:p w14:paraId="79B5C0F3">
            <w:pPr>
              <w:pStyle w:val="16"/>
              <w:spacing w:before="114" w:line="225" w:lineRule="auto"/>
              <w:ind w:left="123"/>
            </w:pPr>
            <w:r>
              <w:rPr>
                <w:spacing w:val="3"/>
              </w:rPr>
              <w:t>2,000</w:t>
            </w:r>
          </w:p>
        </w:tc>
      </w:tr>
      <w:tr w14:paraId="52809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598EEC8D">
            <w:pPr>
              <w:rPr>
                <w:rFonts w:ascii="Arial"/>
                <w:sz w:val="21"/>
              </w:rPr>
            </w:pPr>
          </w:p>
        </w:tc>
        <w:tc>
          <w:tcPr>
            <w:tcW w:w="827" w:type="dxa"/>
            <w:vMerge w:val="continue"/>
            <w:tcBorders>
              <w:top w:val="nil"/>
              <w:bottom w:val="nil"/>
            </w:tcBorders>
            <w:vAlign w:val="top"/>
          </w:tcPr>
          <w:p w14:paraId="0122BD39">
            <w:pPr>
              <w:rPr>
                <w:rFonts w:ascii="Arial"/>
                <w:sz w:val="21"/>
              </w:rPr>
            </w:pPr>
          </w:p>
        </w:tc>
        <w:tc>
          <w:tcPr>
            <w:tcW w:w="817" w:type="dxa"/>
            <w:vAlign w:val="top"/>
          </w:tcPr>
          <w:p w14:paraId="6B6DFE42">
            <w:pPr>
              <w:pStyle w:val="16"/>
              <w:spacing w:before="179" w:line="268" w:lineRule="exact"/>
              <w:ind w:left="116"/>
            </w:pPr>
            <w:r>
              <w:rPr>
                <w:spacing w:val="3"/>
                <w:position w:val="1"/>
              </w:rPr>
              <w:t>C405</w:t>
            </w:r>
          </w:p>
        </w:tc>
        <w:tc>
          <w:tcPr>
            <w:tcW w:w="5323" w:type="dxa"/>
            <w:vAlign w:val="top"/>
          </w:tcPr>
          <w:p w14:paraId="67502BFA">
            <w:pPr>
              <w:pStyle w:val="16"/>
              <w:spacing w:before="179" w:line="228" w:lineRule="auto"/>
              <w:ind w:left="116"/>
            </w:pPr>
            <w:r>
              <w:rPr>
                <w:spacing w:val="9"/>
              </w:rPr>
              <w:t>施工作业区域未按规定做好防尘、降尘措施。</w:t>
            </w:r>
          </w:p>
        </w:tc>
        <w:tc>
          <w:tcPr>
            <w:tcW w:w="1103" w:type="dxa"/>
            <w:vAlign w:val="top"/>
          </w:tcPr>
          <w:p w14:paraId="1E1949DD">
            <w:pPr>
              <w:pStyle w:val="16"/>
              <w:spacing w:before="179" w:line="228" w:lineRule="auto"/>
              <w:ind w:left="121"/>
            </w:pPr>
            <w:r>
              <w:rPr>
                <w:spacing w:val="4"/>
              </w:rPr>
              <w:t>元/处</w:t>
            </w:r>
          </w:p>
        </w:tc>
        <w:tc>
          <w:tcPr>
            <w:tcW w:w="1284" w:type="dxa"/>
            <w:vAlign w:val="top"/>
          </w:tcPr>
          <w:p w14:paraId="381FB277">
            <w:pPr>
              <w:pStyle w:val="16"/>
              <w:spacing w:before="179" w:line="225" w:lineRule="auto"/>
              <w:ind w:left="123"/>
            </w:pPr>
            <w:r>
              <w:rPr>
                <w:spacing w:val="3"/>
              </w:rPr>
              <w:t>2,000</w:t>
            </w:r>
          </w:p>
        </w:tc>
      </w:tr>
      <w:tr w14:paraId="318BD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59E3C9A6">
            <w:pPr>
              <w:rPr>
                <w:rFonts w:ascii="Arial"/>
                <w:sz w:val="21"/>
              </w:rPr>
            </w:pPr>
          </w:p>
        </w:tc>
        <w:tc>
          <w:tcPr>
            <w:tcW w:w="827" w:type="dxa"/>
            <w:vMerge w:val="continue"/>
            <w:tcBorders>
              <w:top w:val="nil"/>
              <w:bottom w:val="nil"/>
            </w:tcBorders>
            <w:vAlign w:val="top"/>
          </w:tcPr>
          <w:p w14:paraId="75A19D14">
            <w:pPr>
              <w:rPr>
                <w:rFonts w:ascii="Arial"/>
                <w:sz w:val="21"/>
              </w:rPr>
            </w:pPr>
          </w:p>
        </w:tc>
        <w:tc>
          <w:tcPr>
            <w:tcW w:w="817" w:type="dxa"/>
            <w:vAlign w:val="top"/>
          </w:tcPr>
          <w:p w14:paraId="4EF52A9F">
            <w:pPr>
              <w:pStyle w:val="16"/>
              <w:spacing w:before="178" w:line="268" w:lineRule="exact"/>
              <w:ind w:left="116"/>
            </w:pPr>
            <w:r>
              <w:rPr>
                <w:spacing w:val="3"/>
                <w:position w:val="1"/>
              </w:rPr>
              <w:t>C406</w:t>
            </w:r>
          </w:p>
        </w:tc>
        <w:tc>
          <w:tcPr>
            <w:tcW w:w="5323" w:type="dxa"/>
            <w:vAlign w:val="top"/>
          </w:tcPr>
          <w:p w14:paraId="054E4C28">
            <w:pPr>
              <w:pStyle w:val="16"/>
              <w:spacing w:before="43" w:line="239" w:lineRule="auto"/>
              <w:ind w:left="117" w:right="111"/>
            </w:pPr>
            <w:r>
              <w:rPr>
                <w:spacing w:val="12"/>
              </w:rPr>
              <w:t>生产区域、重点区域未悬挂安全生产标牌，或未明</w:t>
            </w:r>
            <w:r>
              <w:rPr>
                <w:spacing w:val="11"/>
              </w:rPr>
              <w:t>确工</w:t>
            </w:r>
            <w:r>
              <w:rPr>
                <w:spacing w:val="8"/>
              </w:rPr>
              <w:t>作责任人、安全监护人和安全措施等。</w:t>
            </w:r>
          </w:p>
        </w:tc>
        <w:tc>
          <w:tcPr>
            <w:tcW w:w="1103" w:type="dxa"/>
            <w:vAlign w:val="top"/>
          </w:tcPr>
          <w:p w14:paraId="48F0780C">
            <w:pPr>
              <w:pStyle w:val="16"/>
              <w:spacing w:before="178" w:line="228" w:lineRule="auto"/>
              <w:ind w:left="121"/>
            </w:pPr>
            <w:r>
              <w:rPr>
                <w:spacing w:val="4"/>
              </w:rPr>
              <w:t>元/次</w:t>
            </w:r>
          </w:p>
        </w:tc>
        <w:tc>
          <w:tcPr>
            <w:tcW w:w="1284" w:type="dxa"/>
            <w:vAlign w:val="top"/>
          </w:tcPr>
          <w:p w14:paraId="2217F834">
            <w:pPr>
              <w:pStyle w:val="16"/>
              <w:spacing w:before="178" w:line="225" w:lineRule="auto"/>
              <w:ind w:left="123"/>
            </w:pPr>
            <w:r>
              <w:rPr>
                <w:spacing w:val="3"/>
              </w:rPr>
              <w:t>2,000</w:t>
            </w:r>
          </w:p>
        </w:tc>
      </w:tr>
      <w:tr w14:paraId="7A7B4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29E0B21C">
            <w:pPr>
              <w:rPr>
                <w:rFonts w:ascii="Arial"/>
                <w:sz w:val="21"/>
              </w:rPr>
            </w:pPr>
          </w:p>
        </w:tc>
        <w:tc>
          <w:tcPr>
            <w:tcW w:w="827" w:type="dxa"/>
            <w:vMerge w:val="continue"/>
            <w:tcBorders>
              <w:top w:val="nil"/>
              <w:bottom w:val="nil"/>
            </w:tcBorders>
            <w:vAlign w:val="top"/>
          </w:tcPr>
          <w:p w14:paraId="556D4FE9">
            <w:pPr>
              <w:rPr>
                <w:rFonts w:ascii="Arial"/>
                <w:sz w:val="21"/>
              </w:rPr>
            </w:pPr>
          </w:p>
        </w:tc>
        <w:tc>
          <w:tcPr>
            <w:tcW w:w="817" w:type="dxa"/>
            <w:vAlign w:val="top"/>
          </w:tcPr>
          <w:p w14:paraId="547C7C60">
            <w:pPr>
              <w:pStyle w:val="16"/>
              <w:spacing w:before="180" w:line="269" w:lineRule="exact"/>
              <w:ind w:left="116"/>
            </w:pPr>
            <w:r>
              <w:rPr>
                <w:spacing w:val="3"/>
                <w:position w:val="1"/>
              </w:rPr>
              <w:t>C407</w:t>
            </w:r>
          </w:p>
        </w:tc>
        <w:tc>
          <w:tcPr>
            <w:tcW w:w="5323" w:type="dxa"/>
            <w:vAlign w:val="top"/>
          </w:tcPr>
          <w:p w14:paraId="726896CF">
            <w:pPr>
              <w:pStyle w:val="16"/>
              <w:spacing w:before="180" w:line="228" w:lineRule="auto"/>
              <w:ind w:left="116"/>
            </w:pPr>
            <w:r>
              <w:rPr>
                <w:spacing w:val="6"/>
              </w:rPr>
              <w:t>基坑周边1.5m范围内随意堆载、停放大型设备。</w:t>
            </w:r>
          </w:p>
        </w:tc>
        <w:tc>
          <w:tcPr>
            <w:tcW w:w="1103" w:type="dxa"/>
            <w:vAlign w:val="top"/>
          </w:tcPr>
          <w:p w14:paraId="34D129DD">
            <w:pPr>
              <w:pStyle w:val="16"/>
              <w:spacing w:before="181" w:line="228" w:lineRule="auto"/>
              <w:ind w:left="121"/>
            </w:pPr>
            <w:r>
              <w:rPr>
                <w:spacing w:val="4"/>
              </w:rPr>
              <w:t>元/处</w:t>
            </w:r>
          </w:p>
        </w:tc>
        <w:tc>
          <w:tcPr>
            <w:tcW w:w="1284" w:type="dxa"/>
            <w:vAlign w:val="top"/>
          </w:tcPr>
          <w:p w14:paraId="6252036C">
            <w:pPr>
              <w:pStyle w:val="16"/>
              <w:spacing w:before="180" w:line="225" w:lineRule="auto"/>
              <w:ind w:left="123"/>
            </w:pPr>
            <w:r>
              <w:rPr>
                <w:spacing w:val="2"/>
              </w:rPr>
              <w:t>2,000</w:t>
            </w:r>
          </w:p>
        </w:tc>
      </w:tr>
      <w:tr w14:paraId="4456D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4BF3A592">
            <w:pPr>
              <w:rPr>
                <w:rFonts w:ascii="Arial"/>
                <w:sz w:val="21"/>
              </w:rPr>
            </w:pPr>
          </w:p>
        </w:tc>
        <w:tc>
          <w:tcPr>
            <w:tcW w:w="827" w:type="dxa"/>
            <w:vMerge w:val="continue"/>
            <w:tcBorders>
              <w:top w:val="nil"/>
              <w:bottom w:val="nil"/>
            </w:tcBorders>
            <w:vAlign w:val="top"/>
          </w:tcPr>
          <w:p w14:paraId="1A09EFC0">
            <w:pPr>
              <w:rPr>
                <w:rFonts w:ascii="Arial"/>
                <w:sz w:val="21"/>
              </w:rPr>
            </w:pPr>
          </w:p>
        </w:tc>
        <w:tc>
          <w:tcPr>
            <w:tcW w:w="817" w:type="dxa"/>
            <w:vAlign w:val="top"/>
          </w:tcPr>
          <w:p w14:paraId="2F557883">
            <w:pPr>
              <w:pStyle w:val="16"/>
              <w:spacing w:before="180" w:line="269" w:lineRule="exact"/>
              <w:ind w:left="116"/>
            </w:pPr>
            <w:r>
              <w:rPr>
                <w:spacing w:val="3"/>
                <w:position w:val="1"/>
              </w:rPr>
              <w:t>C408</w:t>
            </w:r>
          </w:p>
        </w:tc>
        <w:tc>
          <w:tcPr>
            <w:tcW w:w="5323" w:type="dxa"/>
            <w:vAlign w:val="top"/>
          </w:tcPr>
          <w:p w14:paraId="1DF3A591">
            <w:pPr>
              <w:pStyle w:val="16"/>
              <w:spacing w:before="46" w:line="238" w:lineRule="auto"/>
              <w:ind w:left="122" w:right="162" w:hanging="6"/>
            </w:pPr>
            <w:r>
              <w:rPr>
                <w:spacing w:val="10"/>
              </w:rPr>
              <w:t>施工作业时有岩粉、水泥浆液等未按规定排入沉淀</w:t>
            </w:r>
            <w:r>
              <w:rPr>
                <w:spacing w:val="9"/>
              </w:rPr>
              <w:t>池，</w:t>
            </w:r>
            <w:r>
              <w:rPr>
                <w:spacing w:val="6"/>
              </w:rPr>
              <w:t>导致污水乱流。</w:t>
            </w:r>
          </w:p>
        </w:tc>
        <w:tc>
          <w:tcPr>
            <w:tcW w:w="1103" w:type="dxa"/>
            <w:vAlign w:val="top"/>
          </w:tcPr>
          <w:p w14:paraId="240EF6C0">
            <w:pPr>
              <w:pStyle w:val="16"/>
              <w:spacing w:before="181" w:line="228" w:lineRule="auto"/>
              <w:ind w:left="121"/>
            </w:pPr>
            <w:r>
              <w:rPr>
                <w:spacing w:val="4"/>
              </w:rPr>
              <w:t>元/宗</w:t>
            </w:r>
          </w:p>
        </w:tc>
        <w:tc>
          <w:tcPr>
            <w:tcW w:w="1284" w:type="dxa"/>
            <w:vAlign w:val="top"/>
          </w:tcPr>
          <w:p w14:paraId="13E1C016">
            <w:pPr>
              <w:pStyle w:val="16"/>
              <w:spacing w:before="180" w:line="225" w:lineRule="auto"/>
              <w:ind w:left="123"/>
            </w:pPr>
            <w:r>
              <w:rPr>
                <w:spacing w:val="3"/>
              </w:rPr>
              <w:t>2,000</w:t>
            </w:r>
          </w:p>
        </w:tc>
      </w:tr>
      <w:tr w14:paraId="54266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5AEDB611">
            <w:pPr>
              <w:rPr>
                <w:rFonts w:ascii="Arial"/>
                <w:sz w:val="21"/>
              </w:rPr>
            </w:pPr>
          </w:p>
        </w:tc>
        <w:tc>
          <w:tcPr>
            <w:tcW w:w="827" w:type="dxa"/>
            <w:vMerge w:val="continue"/>
            <w:tcBorders>
              <w:top w:val="nil"/>
              <w:bottom w:val="nil"/>
            </w:tcBorders>
            <w:vAlign w:val="top"/>
          </w:tcPr>
          <w:p w14:paraId="6040BE00">
            <w:pPr>
              <w:rPr>
                <w:rFonts w:ascii="Arial"/>
                <w:sz w:val="21"/>
              </w:rPr>
            </w:pPr>
          </w:p>
        </w:tc>
        <w:tc>
          <w:tcPr>
            <w:tcW w:w="817" w:type="dxa"/>
            <w:vAlign w:val="top"/>
          </w:tcPr>
          <w:p w14:paraId="665C4273">
            <w:pPr>
              <w:pStyle w:val="16"/>
              <w:spacing w:before="182" w:line="268" w:lineRule="exact"/>
              <w:ind w:left="116"/>
            </w:pPr>
            <w:r>
              <w:rPr>
                <w:spacing w:val="3"/>
                <w:position w:val="1"/>
              </w:rPr>
              <w:t>C409</w:t>
            </w:r>
          </w:p>
        </w:tc>
        <w:tc>
          <w:tcPr>
            <w:tcW w:w="5323" w:type="dxa"/>
            <w:vAlign w:val="top"/>
          </w:tcPr>
          <w:p w14:paraId="74F48554">
            <w:pPr>
              <w:pStyle w:val="16"/>
              <w:spacing w:before="46" w:line="238" w:lineRule="auto"/>
              <w:ind w:left="116" w:right="111"/>
            </w:pPr>
            <w:r>
              <w:rPr>
                <w:spacing w:val="12"/>
              </w:rPr>
              <w:t>驻地及其他临时设施存在雷击、山体滑坡可能，但未做</w:t>
            </w:r>
            <w:r>
              <w:rPr>
                <w:spacing w:val="6"/>
              </w:rPr>
              <w:t>好防护措施。</w:t>
            </w:r>
          </w:p>
        </w:tc>
        <w:tc>
          <w:tcPr>
            <w:tcW w:w="1103" w:type="dxa"/>
            <w:vAlign w:val="top"/>
          </w:tcPr>
          <w:p w14:paraId="12DB07B5">
            <w:pPr>
              <w:pStyle w:val="16"/>
              <w:spacing w:before="182" w:line="228" w:lineRule="auto"/>
              <w:ind w:left="121"/>
            </w:pPr>
            <w:r>
              <w:rPr>
                <w:spacing w:val="4"/>
              </w:rPr>
              <w:t>元/处</w:t>
            </w:r>
          </w:p>
        </w:tc>
        <w:tc>
          <w:tcPr>
            <w:tcW w:w="1284" w:type="dxa"/>
            <w:vAlign w:val="top"/>
          </w:tcPr>
          <w:p w14:paraId="7525F534">
            <w:pPr>
              <w:pStyle w:val="16"/>
              <w:spacing w:before="182" w:line="225" w:lineRule="auto"/>
              <w:ind w:left="123"/>
            </w:pPr>
            <w:r>
              <w:rPr>
                <w:spacing w:val="2"/>
              </w:rPr>
              <w:t>2,000</w:t>
            </w:r>
          </w:p>
        </w:tc>
      </w:tr>
      <w:tr w14:paraId="5AAC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5155DA7D">
            <w:pPr>
              <w:rPr>
                <w:rFonts w:ascii="Arial"/>
                <w:sz w:val="21"/>
              </w:rPr>
            </w:pPr>
          </w:p>
        </w:tc>
        <w:tc>
          <w:tcPr>
            <w:tcW w:w="827" w:type="dxa"/>
            <w:vMerge w:val="continue"/>
            <w:tcBorders>
              <w:top w:val="nil"/>
              <w:bottom w:val="nil"/>
            </w:tcBorders>
            <w:vAlign w:val="top"/>
          </w:tcPr>
          <w:p w14:paraId="532E73FF">
            <w:pPr>
              <w:rPr>
                <w:rFonts w:ascii="Arial"/>
                <w:sz w:val="21"/>
              </w:rPr>
            </w:pPr>
          </w:p>
        </w:tc>
        <w:tc>
          <w:tcPr>
            <w:tcW w:w="817" w:type="dxa"/>
            <w:vAlign w:val="top"/>
          </w:tcPr>
          <w:p w14:paraId="61F0BD6E">
            <w:pPr>
              <w:pStyle w:val="16"/>
              <w:spacing w:before="181" w:line="268" w:lineRule="exact"/>
              <w:ind w:left="116"/>
            </w:pPr>
            <w:r>
              <w:rPr>
                <w:spacing w:val="3"/>
                <w:position w:val="1"/>
              </w:rPr>
              <w:t>C410</w:t>
            </w:r>
          </w:p>
        </w:tc>
        <w:tc>
          <w:tcPr>
            <w:tcW w:w="5323" w:type="dxa"/>
            <w:vAlign w:val="top"/>
          </w:tcPr>
          <w:p w14:paraId="524C4D8E">
            <w:pPr>
              <w:pStyle w:val="16"/>
              <w:spacing w:before="45" w:line="238" w:lineRule="auto"/>
              <w:ind w:left="119" w:right="56" w:hanging="3"/>
            </w:pPr>
            <w:r>
              <w:rPr>
                <w:spacing w:val="3"/>
              </w:rPr>
              <w:t>施工现场“三宝、四口、五临边”未做好安全防护措施，</w:t>
            </w:r>
            <w:r>
              <w:rPr>
                <w:spacing w:val="9"/>
              </w:rPr>
              <w:t>或安全护栏高度不够或未设立踢脚板或孔洞未加</w:t>
            </w:r>
            <w:r>
              <w:rPr>
                <w:spacing w:val="8"/>
              </w:rPr>
              <w:t>盖。</w:t>
            </w:r>
          </w:p>
        </w:tc>
        <w:tc>
          <w:tcPr>
            <w:tcW w:w="1103" w:type="dxa"/>
            <w:vAlign w:val="top"/>
          </w:tcPr>
          <w:p w14:paraId="6B327AB0">
            <w:pPr>
              <w:pStyle w:val="16"/>
              <w:spacing w:before="181" w:line="228" w:lineRule="auto"/>
              <w:ind w:left="121"/>
            </w:pPr>
            <w:r>
              <w:rPr>
                <w:spacing w:val="4"/>
              </w:rPr>
              <w:t>元/处</w:t>
            </w:r>
          </w:p>
        </w:tc>
        <w:tc>
          <w:tcPr>
            <w:tcW w:w="1284" w:type="dxa"/>
            <w:vAlign w:val="top"/>
          </w:tcPr>
          <w:p w14:paraId="158114EB">
            <w:pPr>
              <w:pStyle w:val="16"/>
              <w:spacing w:before="181" w:line="225" w:lineRule="auto"/>
              <w:ind w:left="123"/>
            </w:pPr>
            <w:r>
              <w:rPr>
                <w:spacing w:val="3"/>
              </w:rPr>
              <w:t>2,000</w:t>
            </w:r>
          </w:p>
        </w:tc>
      </w:tr>
      <w:tr w14:paraId="2D715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6" w:type="dxa"/>
            <w:vMerge w:val="continue"/>
            <w:tcBorders>
              <w:top w:val="nil"/>
              <w:bottom w:val="nil"/>
            </w:tcBorders>
            <w:vAlign w:val="top"/>
          </w:tcPr>
          <w:p w14:paraId="6BA818EF">
            <w:pPr>
              <w:rPr>
                <w:rFonts w:ascii="Arial"/>
                <w:sz w:val="21"/>
              </w:rPr>
            </w:pPr>
          </w:p>
        </w:tc>
        <w:tc>
          <w:tcPr>
            <w:tcW w:w="827" w:type="dxa"/>
            <w:vMerge w:val="continue"/>
            <w:tcBorders>
              <w:top w:val="nil"/>
              <w:bottom w:val="nil"/>
            </w:tcBorders>
            <w:vAlign w:val="top"/>
          </w:tcPr>
          <w:p w14:paraId="3E73F899">
            <w:pPr>
              <w:rPr>
                <w:rFonts w:ascii="Arial"/>
                <w:sz w:val="21"/>
              </w:rPr>
            </w:pPr>
          </w:p>
        </w:tc>
        <w:tc>
          <w:tcPr>
            <w:tcW w:w="817" w:type="dxa"/>
            <w:vAlign w:val="top"/>
          </w:tcPr>
          <w:p w14:paraId="7A543D91">
            <w:pPr>
              <w:pStyle w:val="16"/>
              <w:spacing w:before="181" w:line="268" w:lineRule="exact"/>
              <w:ind w:left="116"/>
            </w:pPr>
            <w:r>
              <w:rPr>
                <w:spacing w:val="3"/>
                <w:position w:val="1"/>
              </w:rPr>
              <w:t>C411</w:t>
            </w:r>
          </w:p>
        </w:tc>
        <w:tc>
          <w:tcPr>
            <w:tcW w:w="5323" w:type="dxa"/>
            <w:vAlign w:val="top"/>
          </w:tcPr>
          <w:p w14:paraId="72363A1C">
            <w:pPr>
              <w:pStyle w:val="16"/>
              <w:spacing w:before="47" w:line="237" w:lineRule="auto"/>
              <w:ind w:left="120" w:right="40" w:firstLine="2"/>
            </w:pPr>
            <w:r>
              <w:rPr>
                <w:spacing w:val="6"/>
              </w:rPr>
              <w:t>高空作业区域未按规定挂设安全网，或未设置稳固爬梯、</w:t>
            </w:r>
            <w:r>
              <w:rPr>
                <w:spacing w:val="8"/>
              </w:rPr>
              <w:t>设围栏、安全网、兜底网等。</w:t>
            </w:r>
          </w:p>
        </w:tc>
        <w:tc>
          <w:tcPr>
            <w:tcW w:w="1103" w:type="dxa"/>
            <w:vAlign w:val="top"/>
          </w:tcPr>
          <w:p w14:paraId="62D521EF">
            <w:pPr>
              <w:pStyle w:val="16"/>
              <w:spacing w:before="181" w:line="228" w:lineRule="auto"/>
              <w:ind w:left="121"/>
            </w:pPr>
            <w:r>
              <w:rPr>
                <w:spacing w:val="4"/>
              </w:rPr>
              <w:t>元/处</w:t>
            </w:r>
          </w:p>
        </w:tc>
        <w:tc>
          <w:tcPr>
            <w:tcW w:w="1284" w:type="dxa"/>
            <w:vAlign w:val="top"/>
          </w:tcPr>
          <w:p w14:paraId="59C4F40B">
            <w:pPr>
              <w:pStyle w:val="16"/>
              <w:spacing w:before="181" w:line="225" w:lineRule="auto"/>
              <w:ind w:left="123"/>
            </w:pPr>
            <w:r>
              <w:rPr>
                <w:spacing w:val="2"/>
              </w:rPr>
              <w:t>2,000</w:t>
            </w:r>
          </w:p>
        </w:tc>
      </w:tr>
      <w:tr w14:paraId="5EF6A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303B28E1">
            <w:pPr>
              <w:rPr>
                <w:rFonts w:ascii="Arial"/>
                <w:sz w:val="21"/>
              </w:rPr>
            </w:pPr>
          </w:p>
        </w:tc>
        <w:tc>
          <w:tcPr>
            <w:tcW w:w="827" w:type="dxa"/>
            <w:vMerge w:val="continue"/>
            <w:tcBorders>
              <w:top w:val="nil"/>
              <w:bottom w:val="nil"/>
            </w:tcBorders>
            <w:vAlign w:val="top"/>
          </w:tcPr>
          <w:p w14:paraId="523FF4BF">
            <w:pPr>
              <w:rPr>
                <w:rFonts w:ascii="Arial"/>
                <w:sz w:val="21"/>
              </w:rPr>
            </w:pPr>
          </w:p>
        </w:tc>
        <w:tc>
          <w:tcPr>
            <w:tcW w:w="817" w:type="dxa"/>
            <w:vAlign w:val="top"/>
          </w:tcPr>
          <w:p w14:paraId="5283E5F4">
            <w:pPr>
              <w:pStyle w:val="16"/>
              <w:spacing w:before="183" w:line="269" w:lineRule="exact"/>
              <w:ind w:left="116"/>
            </w:pPr>
            <w:r>
              <w:rPr>
                <w:spacing w:val="3"/>
                <w:position w:val="1"/>
              </w:rPr>
              <w:t>C412</w:t>
            </w:r>
          </w:p>
        </w:tc>
        <w:tc>
          <w:tcPr>
            <w:tcW w:w="5323" w:type="dxa"/>
            <w:vAlign w:val="top"/>
          </w:tcPr>
          <w:p w14:paraId="7D2BA1B5">
            <w:pPr>
              <w:pStyle w:val="16"/>
              <w:spacing w:before="46" w:line="238" w:lineRule="auto"/>
              <w:ind w:left="119" w:right="56"/>
            </w:pPr>
            <w:r>
              <w:rPr>
                <w:spacing w:val="5"/>
              </w:rPr>
              <w:t>工程船舶未安装信号灯，没有设置足够的施工照明设备，</w:t>
            </w:r>
            <w:r>
              <w:rPr>
                <w:spacing w:val="8"/>
              </w:rPr>
              <w:t>或船舶工作区域未按规定设置有效防护设施。</w:t>
            </w:r>
          </w:p>
        </w:tc>
        <w:tc>
          <w:tcPr>
            <w:tcW w:w="1103" w:type="dxa"/>
            <w:vAlign w:val="top"/>
          </w:tcPr>
          <w:p w14:paraId="4666486E">
            <w:pPr>
              <w:pStyle w:val="16"/>
              <w:spacing w:before="183" w:line="228" w:lineRule="auto"/>
              <w:ind w:left="121"/>
            </w:pPr>
            <w:r>
              <w:rPr>
                <w:spacing w:val="4"/>
              </w:rPr>
              <w:t>元/次</w:t>
            </w:r>
          </w:p>
        </w:tc>
        <w:tc>
          <w:tcPr>
            <w:tcW w:w="1284" w:type="dxa"/>
            <w:vAlign w:val="top"/>
          </w:tcPr>
          <w:p w14:paraId="388F92BF">
            <w:pPr>
              <w:pStyle w:val="16"/>
              <w:spacing w:before="183" w:line="225" w:lineRule="auto"/>
              <w:ind w:left="123"/>
            </w:pPr>
            <w:r>
              <w:rPr>
                <w:spacing w:val="2"/>
              </w:rPr>
              <w:t>2,000</w:t>
            </w:r>
          </w:p>
        </w:tc>
      </w:tr>
      <w:tr w14:paraId="43DD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382EF595">
            <w:pPr>
              <w:rPr>
                <w:rFonts w:ascii="Arial"/>
                <w:sz w:val="21"/>
              </w:rPr>
            </w:pPr>
          </w:p>
        </w:tc>
        <w:tc>
          <w:tcPr>
            <w:tcW w:w="827" w:type="dxa"/>
            <w:vMerge w:val="continue"/>
            <w:tcBorders>
              <w:top w:val="nil"/>
              <w:bottom w:val="nil"/>
            </w:tcBorders>
            <w:vAlign w:val="top"/>
          </w:tcPr>
          <w:p w14:paraId="4F801C2A">
            <w:pPr>
              <w:rPr>
                <w:rFonts w:ascii="Arial"/>
                <w:sz w:val="21"/>
              </w:rPr>
            </w:pPr>
          </w:p>
        </w:tc>
        <w:tc>
          <w:tcPr>
            <w:tcW w:w="817" w:type="dxa"/>
            <w:vAlign w:val="top"/>
          </w:tcPr>
          <w:p w14:paraId="217627F2">
            <w:pPr>
              <w:pStyle w:val="16"/>
              <w:spacing w:before="182" w:line="269" w:lineRule="exact"/>
              <w:ind w:left="116"/>
            </w:pPr>
            <w:r>
              <w:rPr>
                <w:spacing w:val="3"/>
                <w:position w:val="1"/>
              </w:rPr>
              <w:t>C413</w:t>
            </w:r>
          </w:p>
        </w:tc>
        <w:tc>
          <w:tcPr>
            <w:tcW w:w="5323" w:type="dxa"/>
            <w:vAlign w:val="top"/>
          </w:tcPr>
          <w:p w14:paraId="72EBD5B8">
            <w:pPr>
              <w:pStyle w:val="16"/>
              <w:spacing w:before="182" w:line="228" w:lineRule="auto"/>
              <w:ind w:left="116"/>
            </w:pPr>
            <w:r>
              <w:rPr>
                <w:spacing w:val="9"/>
              </w:rPr>
              <w:t>对造成周边水源污染、空气污染等严重后果负有责任。</w:t>
            </w:r>
          </w:p>
        </w:tc>
        <w:tc>
          <w:tcPr>
            <w:tcW w:w="1103" w:type="dxa"/>
            <w:vAlign w:val="top"/>
          </w:tcPr>
          <w:p w14:paraId="3C5ED5F0">
            <w:pPr>
              <w:pStyle w:val="16"/>
              <w:spacing w:before="183" w:line="228" w:lineRule="auto"/>
              <w:ind w:left="121"/>
            </w:pPr>
            <w:r>
              <w:rPr>
                <w:spacing w:val="4"/>
              </w:rPr>
              <w:t>元/宗</w:t>
            </w:r>
          </w:p>
        </w:tc>
        <w:tc>
          <w:tcPr>
            <w:tcW w:w="1284" w:type="dxa"/>
            <w:vAlign w:val="top"/>
          </w:tcPr>
          <w:p w14:paraId="279DA1BE">
            <w:pPr>
              <w:pStyle w:val="16"/>
              <w:spacing w:before="182" w:line="225" w:lineRule="auto"/>
              <w:ind w:left="124"/>
            </w:pPr>
            <w:r>
              <w:rPr>
                <w:spacing w:val="2"/>
              </w:rPr>
              <w:t>5,000</w:t>
            </w:r>
          </w:p>
        </w:tc>
      </w:tr>
      <w:tr w14:paraId="42A97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36F3517F">
            <w:pPr>
              <w:rPr>
                <w:rFonts w:ascii="Arial"/>
                <w:sz w:val="21"/>
              </w:rPr>
            </w:pPr>
          </w:p>
        </w:tc>
        <w:tc>
          <w:tcPr>
            <w:tcW w:w="827" w:type="dxa"/>
            <w:vMerge w:val="continue"/>
            <w:tcBorders>
              <w:top w:val="nil"/>
              <w:bottom w:val="nil"/>
            </w:tcBorders>
            <w:vAlign w:val="top"/>
          </w:tcPr>
          <w:p w14:paraId="405A5086">
            <w:pPr>
              <w:rPr>
                <w:rFonts w:ascii="Arial"/>
                <w:sz w:val="21"/>
              </w:rPr>
            </w:pPr>
          </w:p>
        </w:tc>
        <w:tc>
          <w:tcPr>
            <w:tcW w:w="817" w:type="dxa"/>
            <w:vAlign w:val="top"/>
          </w:tcPr>
          <w:p w14:paraId="48492A0C">
            <w:pPr>
              <w:pStyle w:val="16"/>
              <w:spacing w:before="184" w:line="268" w:lineRule="exact"/>
              <w:ind w:left="116"/>
            </w:pPr>
            <w:r>
              <w:rPr>
                <w:spacing w:val="3"/>
                <w:position w:val="1"/>
              </w:rPr>
              <w:t>C414</w:t>
            </w:r>
          </w:p>
        </w:tc>
        <w:tc>
          <w:tcPr>
            <w:tcW w:w="5323" w:type="dxa"/>
            <w:vAlign w:val="top"/>
          </w:tcPr>
          <w:p w14:paraId="49EC4DB3">
            <w:pPr>
              <w:pStyle w:val="16"/>
              <w:spacing w:before="183" w:line="228" w:lineRule="auto"/>
              <w:ind w:left="120"/>
            </w:pPr>
            <w:r>
              <w:rPr>
                <w:spacing w:val="9"/>
              </w:rPr>
              <w:t>未按规定要求做好各项消防安全和职业病防护工</w:t>
            </w:r>
            <w:r>
              <w:rPr>
                <w:spacing w:val="8"/>
              </w:rPr>
              <w:t>作。</w:t>
            </w:r>
          </w:p>
        </w:tc>
        <w:tc>
          <w:tcPr>
            <w:tcW w:w="1103" w:type="dxa"/>
            <w:vAlign w:val="top"/>
          </w:tcPr>
          <w:p w14:paraId="10081B36">
            <w:pPr>
              <w:pStyle w:val="16"/>
              <w:spacing w:before="183" w:line="228" w:lineRule="auto"/>
              <w:ind w:left="121"/>
            </w:pPr>
            <w:r>
              <w:rPr>
                <w:spacing w:val="4"/>
              </w:rPr>
              <w:t>元/次</w:t>
            </w:r>
          </w:p>
        </w:tc>
        <w:tc>
          <w:tcPr>
            <w:tcW w:w="1284" w:type="dxa"/>
            <w:vAlign w:val="top"/>
          </w:tcPr>
          <w:p w14:paraId="6B02E4C6">
            <w:pPr>
              <w:pStyle w:val="16"/>
              <w:spacing w:before="183" w:line="225" w:lineRule="auto"/>
              <w:ind w:left="124"/>
            </w:pPr>
            <w:r>
              <w:rPr>
                <w:spacing w:val="2"/>
              </w:rPr>
              <w:t>5,000</w:t>
            </w:r>
          </w:p>
        </w:tc>
      </w:tr>
      <w:tr w14:paraId="2BAB6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2DDC882F">
            <w:pPr>
              <w:rPr>
                <w:rFonts w:ascii="Arial"/>
                <w:sz w:val="21"/>
              </w:rPr>
            </w:pPr>
          </w:p>
        </w:tc>
        <w:tc>
          <w:tcPr>
            <w:tcW w:w="827" w:type="dxa"/>
            <w:vMerge w:val="continue"/>
            <w:tcBorders>
              <w:top w:val="nil"/>
              <w:bottom w:val="nil"/>
            </w:tcBorders>
            <w:vAlign w:val="top"/>
          </w:tcPr>
          <w:p w14:paraId="649DD623">
            <w:pPr>
              <w:rPr>
                <w:rFonts w:ascii="Arial"/>
                <w:sz w:val="21"/>
              </w:rPr>
            </w:pPr>
          </w:p>
        </w:tc>
        <w:tc>
          <w:tcPr>
            <w:tcW w:w="817" w:type="dxa"/>
            <w:vAlign w:val="top"/>
          </w:tcPr>
          <w:p w14:paraId="33F55C63">
            <w:pPr>
              <w:pStyle w:val="16"/>
              <w:spacing w:before="183" w:line="268" w:lineRule="exact"/>
              <w:ind w:left="116"/>
            </w:pPr>
            <w:r>
              <w:rPr>
                <w:spacing w:val="3"/>
                <w:position w:val="1"/>
              </w:rPr>
              <w:t>C415</w:t>
            </w:r>
          </w:p>
        </w:tc>
        <w:tc>
          <w:tcPr>
            <w:tcW w:w="5323" w:type="dxa"/>
            <w:vAlign w:val="top"/>
          </w:tcPr>
          <w:p w14:paraId="2417501A">
            <w:pPr>
              <w:pStyle w:val="16"/>
              <w:spacing w:before="46" w:line="238" w:lineRule="auto"/>
              <w:ind w:left="118" w:right="146"/>
            </w:pPr>
            <w:r>
              <w:rPr>
                <w:spacing w:val="10"/>
              </w:rPr>
              <w:t>水下爆破作业未安排警戒人员和警戒船以及未设置声、</w:t>
            </w:r>
            <w:r>
              <w:rPr>
                <w:spacing w:val="6"/>
              </w:rPr>
              <w:t>光等警示信号。</w:t>
            </w:r>
          </w:p>
        </w:tc>
        <w:tc>
          <w:tcPr>
            <w:tcW w:w="1103" w:type="dxa"/>
            <w:vAlign w:val="top"/>
          </w:tcPr>
          <w:p w14:paraId="7FED420E">
            <w:pPr>
              <w:pStyle w:val="16"/>
              <w:spacing w:before="182" w:line="228" w:lineRule="auto"/>
              <w:ind w:left="121"/>
            </w:pPr>
            <w:r>
              <w:rPr>
                <w:spacing w:val="4"/>
              </w:rPr>
              <w:t>元/次</w:t>
            </w:r>
          </w:p>
        </w:tc>
        <w:tc>
          <w:tcPr>
            <w:tcW w:w="1284" w:type="dxa"/>
            <w:vAlign w:val="top"/>
          </w:tcPr>
          <w:p w14:paraId="2C7BB6D7">
            <w:pPr>
              <w:pStyle w:val="16"/>
              <w:spacing w:before="182" w:line="225" w:lineRule="auto"/>
              <w:ind w:left="123"/>
            </w:pPr>
            <w:r>
              <w:rPr>
                <w:spacing w:val="3"/>
              </w:rPr>
              <w:t>2,000</w:t>
            </w:r>
          </w:p>
        </w:tc>
      </w:tr>
      <w:tr w14:paraId="7A20B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4C19386F">
            <w:pPr>
              <w:rPr>
                <w:rFonts w:ascii="Arial"/>
                <w:sz w:val="21"/>
              </w:rPr>
            </w:pPr>
          </w:p>
        </w:tc>
        <w:tc>
          <w:tcPr>
            <w:tcW w:w="827" w:type="dxa"/>
            <w:vMerge w:val="continue"/>
            <w:tcBorders>
              <w:top w:val="nil"/>
              <w:bottom w:val="nil"/>
            </w:tcBorders>
            <w:vAlign w:val="top"/>
          </w:tcPr>
          <w:p w14:paraId="6CFC66D7">
            <w:pPr>
              <w:rPr>
                <w:rFonts w:ascii="Arial"/>
                <w:sz w:val="21"/>
              </w:rPr>
            </w:pPr>
          </w:p>
        </w:tc>
        <w:tc>
          <w:tcPr>
            <w:tcW w:w="817" w:type="dxa"/>
            <w:vAlign w:val="top"/>
          </w:tcPr>
          <w:p w14:paraId="4DEBF06C">
            <w:pPr>
              <w:pStyle w:val="16"/>
              <w:spacing w:before="184" w:line="268" w:lineRule="exact"/>
              <w:ind w:left="116"/>
            </w:pPr>
            <w:r>
              <w:rPr>
                <w:spacing w:val="3"/>
                <w:position w:val="1"/>
              </w:rPr>
              <w:t>C416</w:t>
            </w:r>
          </w:p>
        </w:tc>
        <w:tc>
          <w:tcPr>
            <w:tcW w:w="5323" w:type="dxa"/>
            <w:vAlign w:val="top"/>
          </w:tcPr>
          <w:p w14:paraId="181B55BA">
            <w:pPr>
              <w:pStyle w:val="16"/>
              <w:spacing w:before="48" w:line="237" w:lineRule="auto"/>
              <w:ind w:left="119" w:right="111" w:hanging="3"/>
            </w:pPr>
            <w:r>
              <w:rPr>
                <w:spacing w:val="12"/>
              </w:rPr>
              <w:t>施工前对水利枢纽的隐蔽设施缺乏了解和联系，导致施</w:t>
            </w:r>
            <w:r>
              <w:rPr>
                <w:spacing w:val="8"/>
              </w:rPr>
              <w:t>工中的损坏（破坏）而被投诉。</w:t>
            </w:r>
          </w:p>
        </w:tc>
        <w:tc>
          <w:tcPr>
            <w:tcW w:w="1103" w:type="dxa"/>
            <w:vAlign w:val="top"/>
          </w:tcPr>
          <w:p w14:paraId="17CE6F4F">
            <w:pPr>
              <w:pStyle w:val="16"/>
              <w:spacing w:before="184" w:line="228" w:lineRule="auto"/>
              <w:ind w:left="121"/>
            </w:pPr>
            <w:r>
              <w:rPr>
                <w:spacing w:val="4"/>
              </w:rPr>
              <w:t>元/宗</w:t>
            </w:r>
          </w:p>
        </w:tc>
        <w:tc>
          <w:tcPr>
            <w:tcW w:w="1284" w:type="dxa"/>
            <w:vAlign w:val="top"/>
          </w:tcPr>
          <w:p w14:paraId="5CBE603E">
            <w:pPr>
              <w:pStyle w:val="16"/>
              <w:spacing w:before="184" w:line="225" w:lineRule="auto"/>
              <w:ind w:left="124"/>
            </w:pPr>
            <w:r>
              <w:rPr>
                <w:spacing w:val="2"/>
              </w:rPr>
              <w:t>3,000</w:t>
            </w:r>
          </w:p>
        </w:tc>
      </w:tr>
      <w:tr w14:paraId="77F33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7EA58400">
            <w:pPr>
              <w:rPr>
                <w:rFonts w:ascii="Arial"/>
                <w:sz w:val="21"/>
              </w:rPr>
            </w:pPr>
          </w:p>
        </w:tc>
        <w:tc>
          <w:tcPr>
            <w:tcW w:w="827" w:type="dxa"/>
            <w:vMerge w:val="continue"/>
            <w:tcBorders>
              <w:top w:val="nil"/>
            </w:tcBorders>
            <w:vAlign w:val="top"/>
          </w:tcPr>
          <w:p w14:paraId="2D70AED3">
            <w:pPr>
              <w:rPr>
                <w:rFonts w:ascii="Arial"/>
                <w:sz w:val="21"/>
              </w:rPr>
            </w:pPr>
          </w:p>
        </w:tc>
        <w:tc>
          <w:tcPr>
            <w:tcW w:w="817" w:type="dxa"/>
            <w:vAlign w:val="top"/>
          </w:tcPr>
          <w:p w14:paraId="7D2F251A">
            <w:pPr>
              <w:pStyle w:val="16"/>
              <w:spacing w:before="183" w:line="268" w:lineRule="exact"/>
              <w:ind w:left="116"/>
            </w:pPr>
            <w:r>
              <w:rPr>
                <w:spacing w:val="3"/>
                <w:position w:val="1"/>
              </w:rPr>
              <w:t>C417</w:t>
            </w:r>
          </w:p>
        </w:tc>
        <w:tc>
          <w:tcPr>
            <w:tcW w:w="5323" w:type="dxa"/>
            <w:vAlign w:val="top"/>
          </w:tcPr>
          <w:p w14:paraId="12005630">
            <w:pPr>
              <w:pStyle w:val="16"/>
              <w:spacing w:before="46" w:line="238" w:lineRule="auto"/>
              <w:ind w:left="117" w:right="111" w:hanging="1"/>
            </w:pPr>
            <w:r>
              <w:rPr>
                <w:spacing w:val="12"/>
              </w:rPr>
              <w:t>对水利枢纽或施工现场附近有关设施，没有采取有效的</w:t>
            </w:r>
            <w:r>
              <w:rPr>
                <w:spacing w:val="9"/>
              </w:rPr>
              <w:t>保护措施而导致施工中的损坏（破坏）而被投诉的。</w:t>
            </w:r>
          </w:p>
        </w:tc>
        <w:tc>
          <w:tcPr>
            <w:tcW w:w="1103" w:type="dxa"/>
            <w:vAlign w:val="top"/>
          </w:tcPr>
          <w:p w14:paraId="2FF49975">
            <w:pPr>
              <w:pStyle w:val="16"/>
              <w:spacing w:before="183" w:line="228" w:lineRule="auto"/>
              <w:ind w:left="121"/>
            </w:pPr>
            <w:r>
              <w:rPr>
                <w:spacing w:val="4"/>
              </w:rPr>
              <w:t>元/宗</w:t>
            </w:r>
          </w:p>
        </w:tc>
        <w:tc>
          <w:tcPr>
            <w:tcW w:w="1284" w:type="dxa"/>
            <w:vAlign w:val="top"/>
          </w:tcPr>
          <w:p w14:paraId="74359B57">
            <w:pPr>
              <w:pStyle w:val="16"/>
              <w:spacing w:before="183" w:line="225" w:lineRule="auto"/>
              <w:ind w:left="123"/>
            </w:pPr>
            <w:r>
              <w:rPr>
                <w:spacing w:val="2"/>
              </w:rPr>
              <w:t>2,000</w:t>
            </w:r>
          </w:p>
        </w:tc>
      </w:tr>
      <w:tr w14:paraId="04B0A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56B038FE">
            <w:pPr>
              <w:rPr>
                <w:rFonts w:ascii="Arial"/>
                <w:sz w:val="21"/>
              </w:rPr>
            </w:pPr>
          </w:p>
        </w:tc>
        <w:tc>
          <w:tcPr>
            <w:tcW w:w="827" w:type="dxa"/>
            <w:vMerge w:val="restart"/>
            <w:tcBorders>
              <w:bottom w:val="nil"/>
            </w:tcBorders>
            <w:vAlign w:val="top"/>
          </w:tcPr>
          <w:p w14:paraId="6E47D149">
            <w:pPr>
              <w:spacing w:line="270" w:lineRule="auto"/>
              <w:rPr>
                <w:rFonts w:ascii="Arial"/>
                <w:sz w:val="21"/>
              </w:rPr>
            </w:pPr>
          </w:p>
          <w:p w14:paraId="525EC9E7">
            <w:pPr>
              <w:pStyle w:val="16"/>
              <w:spacing w:before="65" w:line="252" w:lineRule="auto"/>
              <w:ind w:left="117" w:right="113" w:firstLine="3"/>
            </w:pPr>
            <w:r>
              <w:rPr>
                <w:spacing w:val="-1"/>
              </w:rPr>
              <w:t>5.标</w:t>
            </w:r>
            <w:r>
              <w:t>示</w:t>
            </w:r>
          </w:p>
        </w:tc>
        <w:tc>
          <w:tcPr>
            <w:tcW w:w="817" w:type="dxa"/>
            <w:vAlign w:val="top"/>
          </w:tcPr>
          <w:p w14:paraId="23B9D3BC">
            <w:pPr>
              <w:pStyle w:val="16"/>
              <w:spacing w:before="182" w:line="268" w:lineRule="exact"/>
              <w:ind w:left="116"/>
            </w:pPr>
            <w:r>
              <w:rPr>
                <w:spacing w:val="3"/>
                <w:position w:val="1"/>
              </w:rPr>
              <w:t>C501</w:t>
            </w:r>
          </w:p>
        </w:tc>
        <w:tc>
          <w:tcPr>
            <w:tcW w:w="5323" w:type="dxa"/>
            <w:vAlign w:val="top"/>
          </w:tcPr>
          <w:p w14:paraId="29E077BA">
            <w:pPr>
              <w:pStyle w:val="16"/>
              <w:spacing w:before="48" w:line="237" w:lineRule="auto"/>
              <w:ind w:left="120" w:right="111" w:hanging="4"/>
            </w:pPr>
            <w:r>
              <w:rPr>
                <w:spacing w:val="12"/>
              </w:rPr>
              <w:t>施工现场未设立重大危险源公示，或主要施工机械设备</w:t>
            </w:r>
            <w:r>
              <w:rPr>
                <w:spacing w:val="7"/>
              </w:rPr>
              <w:t>未悬挂操作规程。</w:t>
            </w:r>
          </w:p>
        </w:tc>
        <w:tc>
          <w:tcPr>
            <w:tcW w:w="1103" w:type="dxa"/>
            <w:vAlign w:val="top"/>
          </w:tcPr>
          <w:p w14:paraId="4451DD3E">
            <w:pPr>
              <w:pStyle w:val="16"/>
              <w:spacing w:before="182" w:line="228" w:lineRule="auto"/>
              <w:ind w:left="121"/>
            </w:pPr>
            <w:r>
              <w:rPr>
                <w:spacing w:val="4"/>
              </w:rPr>
              <w:t>元/宗</w:t>
            </w:r>
          </w:p>
        </w:tc>
        <w:tc>
          <w:tcPr>
            <w:tcW w:w="1284" w:type="dxa"/>
            <w:vAlign w:val="top"/>
          </w:tcPr>
          <w:p w14:paraId="537FD389">
            <w:pPr>
              <w:pStyle w:val="16"/>
              <w:spacing w:before="182" w:line="225" w:lineRule="auto"/>
              <w:ind w:left="136"/>
            </w:pPr>
            <w:r>
              <w:t>1,000</w:t>
            </w:r>
          </w:p>
        </w:tc>
      </w:tr>
      <w:tr w14:paraId="293E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209772BD">
            <w:pPr>
              <w:rPr>
                <w:rFonts w:ascii="Arial"/>
                <w:sz w:val="21"/>
              </w:rPr>
            </w:pPr>
          </w:p>
        </w:tc>
        <w:tc>
          <w:tcPr>
            <w:tcW w:w="827" w:type="dxa"/>
            <w:vMerge w:val="continue"/>
            <w:tcBorders>
              <w:top w:val="nil"/>
            </w:tcBorders>
            <w:vAlign w:val="top"/>
          </w:tcPr>
          <w:p w14:paraId="45E8920E">
            <w:pPr>
              <w:rPr>
                <w:rFonts w:ascii="Arial"/>
                <w:sz w:val="21"/>
              </w:rPr>
            </w:pPr>
          </w:p>
        </w:tc>
        <w:tc>
          <w:tcPr>
            <w:tcW w:w="817" w:type="dxa"/>
            <w:vAlign w:val="top"/>
          </w:tcPr>
          <w:p w14:paraId="6FB5A06D">
            <w:pPr>
              <w:pStyle w:val="16"/>
              <w:spacing w:before="183" w:line="269" w:lineRule="exact"/>
              <w:ind w:left="116"/>
            </w:pPr>
            <w:r>
              <w:rPr>
                <w:spacing w:val="3"/>
                <w:position w:val="1"/>
              </w:rPr>
              <w:t>C502</w:t>
            </w:r>
          </w:p>
        </w:tc>
        <w:tc>
          <w:tcPr>
            <w:tcW w:w="5323" w:type="dxa"/>
            <w:vAlign w:val="top"/>
          </w:tcPr>
          <w:p w14:paraId="059BA0E2">
            <w:pPr>
              <w:pStyle w:val="16"/>
              <w:spacing w:before="46" w:line="238" w:lineRule="auto"/>
              <w:ind w:left="120" w:right="109"/>
            </w:pPr>
            <w:r>
              <w:rPr>
                <w:spacing w:val="10"/>
              </w:rPr>
              <w:t>未按规定设立“五牌一图”，施工现场和住宿办公区域</w:t>
            </w:r>
            <w:r>
              <w:rPr>
                <w:spacing w:val="8"/>
              </w:rPr>
              <w:t>未悬挂安全标识标牌或警示标识。</w:t>
            </w:r>
          </w:p>
        </w:tc>
        <w:tc>
          <w:tcPr>
            <w:tcW w:w="1103" w:type="dxa"/>
            <w:vAlign w:val="top"/>
          </w:tcPr>
          <w:p w14:paraId="66749AFF">
            <w:pPr>
              <w:pStyle w:val="16"/>
              <w:spacing w:before="184" w:line="228" w:lineRule="auto"/>
              <w:ind w:left="121"/>
            </w:pPr>
            <w:r>
              <w:rPr>
                <w:spacing w:val="4"/>
              </w:rPr>
              <w:t>元/宗</w:t>
            </w:r>
          </w:p>
        </w:tc>
        <w:tc>
          <w:tcPr>
            <w:tcW w:w="1284" w:type="dxa"/>
            <w:vAlign w:val="top"/>
          </w:tcPr>
          <w:p w14:paraId="113F4F7A">
            <w:pPr>
              <w:pStyle w:val="16"/>
              <w:spacing w:before="183" w:line="225" w:lineRule="auto"/>
              <w:ind w:left="136"/>
            </w:pPr>
            <w:r>
              <w:t>1,000</w:t>
            </w:r>
          </w:p>
        </w:tc>
      </w:tr>
      <w:tr w14:paraId="3C7A4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00D79F13">
            <w:pPr>
              <w:rPr>
                <w:rFonts w:ascii="Arial"/>
                <w:sz w:val="21"/>
              </w:rPr>
            </w:pPr>
          </w:p>
        </w:tc>
        <w:tc>
          <w:tcPr>
            <w:tcW w:w="827" w:type="dxa"/>
            <w:vMerge w:val="restart"/>
            <w:tcBorders>
              <w:bottom w:val="nil"/>
            </w:tcBorders>
            <w:vAlign w:val="top"/>
          </w:tcPr>
          <w:p w14:paraId="12D5F94C">
            <w:pPr>
              <w:spacing w:line="261" w:lineRule="auto"/>
              <w:rPr>
                <w:rFonts w:ascii="Arial"/>
                <w:sz w:val="21"/>
              </w:rPr>
            </w:pPr>
          </w:p>
          <w:p w14:paraId="2BDA0F3E">
            <w:pPr>
              <w:spacing w:line="261" w:lineRule="auto"/>
              <w:rPr>
                <w:rFonts w:ascii="Arial"/>
                <w:sz w:val="21"/>
              </w:rPr>
            </w:pPr>
          </w:p>
          <w:p w14:paraId="13255748">
            <w:pPr>
              <w:spacing w:line="262" w:lineRule="auto"/>
              <w:rPr>
                <w:rFonts w:ascii="Arial"/>
                <w:sz w:val="21"/>
              </w:rPr>
            </w:pPr>
          </w:p>
          <w:p w14:paraId="7D81F2CF">
            <w:pPr>
              <w:spacing w:line="262" w:lineRule="auto"/>
              <w:rPr>
                <w:rFonts w:ascii="Arial"/>
                <w:sz w:val="21"/>
              </w:rPr>
            </w:pPr>
          </w:p>
          <w:p w14:paraId="598179BC">
            <w:pPr>
              <w:spacing w:line="262" w:lineRule="auto"/>
              <w:rPr>
                <w:rFonts w:ascii="Arial"/>
                <w:sz w:val="21"/>
              </w:rPr>
            </w:pPr>
          </w:p>
          <w:p w14:paraId="6F6FCE79">
            <w:pPr>
              <w:spacing w:line="262" w:lineRule="auto"/>
              <w:rPr>
                <w:rFonts w:ascii="Arial"/>
                <w:sz w:val="21"/>
              </w:rPr>
            </w:pPr>
          </w:p>
          <w:p w14:paraId="7FDFE6EC">
            <w:pPr>
              <w:pStyle w:val="16"/>
              <w:spacing w:before="65" w:line="258" w:lineRule="auto"/>
              <w:ind w:left="120" w:right="113" w:hanging="2"/>
            </w:pPr>
            <w:r>
              <w:t>6.其它</w:t>
            </w:r>
          </w:p>
        </w:tc>
        <w:tc>
          <w:tcPr>
            <w:tcW w:w="817" w:type="dxa"/>
            <w:vAlign w:val="top"/>
          </w:tcPr>
          <w:p w14:paraId="7C6CEEE0">
            <w:pPr>
              <w:pStyle w:val="16"/>
              <w:spacing w:before="182" w:line="269" w:lineRule="exact"/>
              <w:ind w:left="116"/>
            </w:pPr>
            <w:r>
              <w:rPr>
                <w:spacing w:val="3"/>
                <w:position w:val="1"/>
              </w:rPr>
              <w:t>C601</w:t>
            </w:r>
          </w:p>
        </w:tc>
        <w:tc>
          <w:tcPr>
            <w:tcW w:w="5323" w:type="dxa"/>
            <w:vAlign w:val="top"/>
          </w:tcPr>
          <w:p w14:paraId="1BE47548">
            <w:pPr>
              <w:pStyle w:val="16"/>
              <w:spacing w:before="183" w:line="226" w:lineRule="auto"/>
              <w:ind w:left="117"/>
            </w:pPr>
            <w:r>
              <w:rPr>
                <w:spacing w:val="8"/>
              </w:rPr>
              <w:t>年度和半年度“平安工地”考核评价考核结果</w:t>
            </w:r>
            <w:r>
              <w:rPr>
                <w:spacing w:val="7"/>
              </w:rPr>
              <w:t>不达标。</w:t>
            </w:r>
          </w:p>
        </w:tc>
        <w:tc>
          <w:tcPr>
            <w:tcW w:w="1103" w:type="dxa"/>
            <w:vAlign w:val="top"/>
          </w:tcPr>
          <w:p w14:paraId="58C1DB45">
            <w:pPr>
              <w:pStyle w:val="16"/>
              <w:spacing w:before="182" w:line="228" w:lineRule="auto"/>
              <w:ind w:left="121"/>
            </w:pPr>
            <w:r>
              <w:rPr>
                <w:spacing w:val="4"/>
              </w:rPr>
              <w:t>元/次</w:t>
            </w:r>
          </w:p>
        </w:tc>
        <w:tc>
          <w:tcPr>
            <w:tcW w:w="1284" w:type="dxa"/>
            <w:vAlign w:val="top"/>
          </w:tcPr>
          <w:p w14:paraId="65BBCD35">
            <w:pPr>
              <w:pStyle w:val="16"/>
              <w:spacing w:before="182" w:line="225" w:lineRule="auto"/>
              <w:ind w:left="136"/>
            </w:pPr>
            <w:r>
              <w:rPr>
                <w:spacing w:val="1"/>
              </w:rPr>
              <w:t>100,000</w:t>
            </w:r>
          </w:p>
        </w:tc>
      </w:tr>
      <w:tr w14:paraId="66EFD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223C4AE7">
            <w:pPr>
              <w:rPr>
                <w:rFonts w:ascii="Arial"/>
                <w:sz w:val="21"/>
              </w:rPr>
            </w:pPr>
          </w:p>
        </w:tc>
        <w:tc>
          <w:tcPr>
            <w:tcW w:w="827" w:type="dxa"/>
            <w:vMerge w:val="continue"/>
            <w:tcBorders>
              <w:top w:val="nil"/>
              <w:bottom w:val="nil"/>
            </w:tcBorders>
            <w:vAlign w:val="top"/>
          </w:tcPr>
          <w:p w14:paraId="5C45DD5F">
            <w:pPr>
              <w:rPr>
                <w:rFonts w:ascii="Arial"/>
                <w:sz w:val="21"/>
              </w:rPr>
            </w:pPr>
          </w:p>
        </w:tc>
        <w:tc>
          <w:tcPr>
            <w:tcW w:w="817" w:type="dxa"/>
            <w:vAlign w:val="top"/>
          </w:tcPr>
          <w:p w14:paraId="2BDE9874">
            <w:pPr>
              <w:pStyle w:val="16"/>
              <w:spacing w:before="184" w:line="268" w:lineRule="exact"/>
              <w:ind w:left="116"/>
            </w:pPr>
            <w:r>
              <w:rPr>
                <w:spacing w:val="3"/>
                <w:position w:val="1"/>
              </w:rPr>
              <w:t>C602</w:t>
            </w:r>
          </w:p>
        </w:tc>
        <w:tc>
          <w:tcPr>
            <w:tcW w:w="5323" w:type="dxa"/>
            <w:vAlign w:val="top"/>
          </w:tcPr>
          <w:p w14:paraId="40DCA01C">
            <w:pPr>
              <w:pStyle w:val="16"/>
              <w:spacing w:before="183" w:line="228" w:lineRule="auto"/>
              <w:ind w:left="120"/>
            </w:pPr>
            <w:r>
              <w:rPr>
                <w:spacing w:val="8"/>
              </w:rPr>
              <w:t>发生安全特别重大责任事故。</w:t>
            </w:r>
          </w:p>
        </w:tc>
        <w:tc>
          <w:tcPr>
            <w:tcW w:w="1103" w:type="dxa"/>
            <w:vAlign w:val="top"/>
          </w:tcPr>
          <w:p w14:paraId="38AF689A">
            <w:pPr>
              <w:pStyle w:val="16"/>
              <w:spacing w:before="184" w:line="228" w:lineRule="auto"/>
              <w:ind w:left="121"/>
            </w:pPr>
            <w:r>
              <w:rPr>
                <w:spacing w:val="4"/>
              </w:rPr>
              <w:t>元/宗</w:t>
            </w:r>
          </w:p>
        </w:tc>
        <w:tc>
          <w:tcPr>
            <w:tcW w:w="1284" w:type="dxa"/>
            <w:vAlign w:val="top"/>
          </w:tcPr>
          <w:p w14:paraId="75750306">
            <w:pPr>
              <w:pStyle w:val="16"/>
              <w:spacing w:before="184" w:line="225" w:lineRule="auto"/>
              <w:ind w:left="124"/>
            </w:pPr>
            <w:r>
              <w:rPr>
                <w:spacing w:val="3"/>
              </w:rPr>
              <w:t>500,000</w:t>
            </w:r>
          </w:p>
        </w:tc>
      </w:tr>
      <w:tr w14:paraId="58853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450FE995">
            <w:pPr>
              <w:rPr>
                <w:rFonts w:ascii="Arial"/>
                <w:sz w:val="21"/>
              </w:rPr>
            </w:pPr>
          </w:p>
        </w:tc>
        <w:tc>
          <w:tcPr>
            <w:tcW w:w="827" w:type="dxa"/>
            <w:vMerge w:val="continue"/>
            <w:tcBorders>
              <w:top w:val="nil"/>
              <w:bottom w:val="nil"/>
            </w:tcBorders>
            <w:vAlign w:val="top"/>
          </w:tcPr>
          <w:p w14:paraId="438C8738">
            <w:pPr>
              <w:rPr>
                <w:rFonts w:ascii="Arial"/>
                <w:sz w:val="21"/>
              </w:rPr>
            </w:pPr>
          </w:p>
        </w:tc>
        <w:tc>
          <w:tcPr>
            <w:tcW w:w="817" w:type="dxa"/>
            <w:vAlign w:val="top"/>
          </w:tcPr>
          <w:p w14:paraId="6F5C0B50">
            <w:pPr>
              <w:pStyle w:val="16"/>
              <w:spacing w:before="183" w:line="268" w:lineRule="exact"/>
              <w:ind w:left="116"/>
            </w:pPr>
            <w:r>
              <w:rPr>
                <w:spacing w:val="3"/>
                <w:position w:val="1"/>
              </w:rPr>
              <w:t>C603</w:t>
            </w:r>
          </w:p>
        </w:tc>
        <w:tc>
          <w:tcPr>
            <w:tcW w:w="5323" w:type="dxa"/>
            <w:vAlign w:val="top"/>
          </w:tcPr>
          <w:p w14:paraId="1BDB4B44">
            <w:pPr>
              <w:pStyle w:val="16"/>
              <w:spacing w:before="182" w:line="228" w:lineRule="auto"/>
              <w:ind w:left="120"/>
            </w:pPr>
            <w:r>
              <w:rPr>
                <w:spacing w:val="7"/>
              </w:rPr>
              <w:t>发生安全重大责任事故。</w:t>
            </w:r>
          </w:p>
        </w:tc>
        <w:tc>
          <w:tcPr>
            <w:tcW w:w="1103" w:type="dxa"/>
            <w:vAlign w:val="top"/>
          </w:tcPr>
          <w:p w14:paraId="34EB48F1">
            <w:pPr>
              <w:pStyle w:val="16"/>
              <w:spacing w:before="183" w:line="228" w:lineRule="auto"/>
              <w:ind w:left="121"/>
            </w:pPr>
            <w:r>
              <w:rPr>
                <w:spacing w:val="4"/>
              </w:rPr>
              <w:t>元/宗</w:t>
            </w:r>
          </w:p>
        </w:tc>
        <w:tc>
          <w:tcPr>
            <w:tcW w:w="1284" w:type="dxa"/>
            <w:vAlign w:val="top"/>
          </w:tcPr>
          <w:p w14:paraId="43C08CC5">
            <w:pPr>
              <w:pStyle w:val="16"/>
              <w:spacing w:before="183" w:line="225" w:lineRule="auto"/>
              <w:ind w:left="124"/>
            </w:pPr>
            <w:r>
              <w:rPr>
                <w:spacing w:val="3"/>
              </w:rPr>
              <w:t>300,000</w:t>
            </w:r>
          </w:p>
        </w:tc>
      </w:tr>
      <w:tr w14:paraId="3D6F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20C749A6">
            <w:pPr>
              <w:rPr>
                <w:rFonts w:ascii="Arial"/>
                <w:sz w:val="21"/>
              </w:rPr>
            </w:pPr>
          </w:p>
        </w:tc>
        <w:tc>
          <w:tcPr>
            <w:tcW w:w="827" w:type="dxa"/>
            <w:vMerge w:val="continue"/>
            <w:tcBorders>
              <w:top w:val="nil"/>
              <w:bottom w:val="nil"/>
            </w:tcBorders>
            <w:vAlign w:val="top"/>
          </w:tcPr>
          <w:p w14:paraId="6E2D8A55">
            <w:pPr>
              <w:rPr>
                <w:rFonts w:ascii="Arial"/>
                <w:sz w:val="21"/>
              </w:rPr>
            </w:pPr>
          </w:p>
        </w:tc>
        <w:tc>
          <w:tcPr>
            <w:tcW w:w="817" w:type="dxa"/>
            <w:vAlign w:val="top"/>
          </w:tcPr>
          <w:p w14:paraId="43D96B80">
            <w:pPr>
              <w:pStyle w:val="16"/>
              <w:spacing w:before="182" w:line="268" w:lineRule="exact"/>
              <w:ind w:left="116"/>
            </w:pPr>
            <w:r>
              <w:rPr>
                <w:spacing w:val="3"/>
                <w:position w:val="1"/>
              </w:rPr>
              <w:t>C604</w:t>
            </w:r>
          </w:p>
        </w:tc>
        <w:tc>
          <w:tcPr>
            <w:tcW w:w="5323" w:type="dxa"/>
            <w:vAlign w:val="top"/>
          </w:tcPr>
          <w:p w14:paraId="69B85DED">
            <w:pPr>
              <w:pStyle w:val="16"/>
              <w:spacing w:before="181" w:line="228" w:lineRule="auto"/>
              <w:ind w:left="120"/>
            </w:pPr>
            <w:r>
              <w:rPr>
                <w:spacing w:val="7"/>
              </w:rPr>
              <w:t>发生安全较大责任事故。</w:t>
            </w:r>
          </w:p>
        </w:tc>
        <w:tc>
          <w:tcPr>
            <w:tcW w:w="1103" w:type="dxa"/>
            <w:vAlign w:val="top"/>
          </w:tcPr>
          <w:p w14:paraId="21909608">
            <w:pPr>
              <w:pStyle w:val="16"/>
              <w:spacing w:before="182" w:line="228" w:lineRule="auto"/>
              <w:ind w:left="121"/>
            </w:pPr>
            <w:r>
              <w:rPr>
                <w:spacing w:val="4"/>
              </w:rPr>
              <w:t>元/宗</w:t>
            </w:r>
          </w:p>
        </w:tc>
        <w:tc>
          <w:tcPr>
            <w:tcW w:w="1284" w:type="dxa"/>
            <w:vAlign w:val="top"/>
          </w:tcPr>
          <w:p w14:paraId="45811993">
            <w:pPr>
              <w:pStyle w:val="16"/>
              <w:spacing w:before="181" w:line="225" w:lineRule="auto"/>
              <w:ind w:left="136"/>
            </w:pPr>
            <w:r>
              <w:rPr>
                <w:spacing w:val="1"/>
              </w:rPr>
              <w:t>100,000</w:t>
            </w:r>
          </w:p>
        </w:tc>
      </w:tr>
      <w:tr w14:paraId="748AB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vAlign w:val="top"/>
          </w:tcPr>
          <w:p w14:paraId="70BE7CF6">
            <w:pPr>
              <w:rPr>
                <w:rFonts w:ascii="Arial"/>
                <w:sz w:val="21"/>
              </w:rPr>
            </w:pPr>
          </w:p>
        </w:tc>
        <w:tc>
          <w:tcPr>
            <w:tcW w:w="827" w:type="dxa"/>
            <w:vMerge w:val="continue"/>
            <w:tcBorders>
              <w:top w:val="nil"/>
              <w:bottom w:val="nil"/>
            </w:tcBorders>
            <w:vAlign w:val="top"/>
          </w:tcPr>
          <w:p w14:paraId="176AAC2B">
            <w:pPr>
              <w:rPr>
                <w:rFonts w:ascii="Arial"/>
                <w:sz w:val="21"/>
              </w:rPr>
            </w:pPr>
          </w:p>
        </w:tc>
        <w:tc>
          <w:tcPr>
            <w:tcW w:w="817" w:type="dxa"/>
            <w:vAlign w:val="top"/>
          </w:tcPr>
          <w:p w14:paraId="294B1905">
            <w:pPr>
              <w:pStyle w:val="16"/>
              <w:spacing w:before="183" w:line="269" w:lineRule="exact"/>
              <w:ind w:left="116"/>
            </w:pPr>
            <w:r>
              <w:rPr>
                <w:spacing w:val="3"/>
                <w:position w:val="1"/>
              </w:rPr>
              <w:t>C605</w:t>
            </w:r>
          </w:p>
        </w:tc>
        <w:tc>
          <w:tcPr>
            <w:tcW w:w="5323" w:type="dxa"/>
            <w:vAlign w:val="top"/>
          </w:tcPr>
          <w:p w14:paraId="547AC779">
            <w:pPr>
              <w:pStyle w:val="16"/>
              <w:spacing w:before="183" w:line="228" w:lineRule="auto"/>
              <w:ind w:left="120"/>
            </w:pPr>
            <w:r>
              <w:rPr>
                <w:spacing w:val="7"/>
              </w:rPr>
              <w:t>发生安全一般责任事故。</w:t>
            </w:r>
          </w:p>
        </w:tc>
        <w:tc>
          <w:tcPr>
            <w:tcW w:w="1103" w:type="dxa"/>
            <w:vAlign w:val="top"/>
          </w:tcPr>
          <w:p w14:paraId="46023488">
            <w:pPr>
              <w:pStyle w:val="16"/>
              <w:spacing w:before="184" w:line="228" w:lineRule="auto"/>
              <w:ind w:left="121"/>
            </w:pPr>
            <w:r>
              <w:rPr>
                <w:spacing w:val="4"/>
              </w:rPr>
              <w:t>元/宗</w:t>
            </w:r>
          </w:p>
        </w:tc>
        <w:tc>
          <w:tcPr>
            <w:tcW w:w="1284" w:type="dxa"/>
            <w:vAlign w:val="top"/>
          </w:tcPr>
          <w:p w14:paraId="767BBD98">
            <w:pPr>
              <w:pStyle w:val="16"/>
              <w:spacing w:before="183" w:line="225" w:lineRule="auto"/>
              <w:ind w:left="124"/>
            </w:pPr>
            <w:r>
              <w:rPr>
                <w:spacing w:val="2"/>
              </w:rPr>
              <w:t>50,000</w:t>
            </w:r>
          </w:p>
        </w:tc>
      </w:tr>
      <w:tr w14:paraId="6BAC1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16" w:type="dxa"/>
            <w:vMerge w:val="continue"/>
            <w:tcBorders>
              <w:top w:val="nil"/>
              <w:bottom w:val="nil"/>
            </w:tcBorders>
            <w:vAlign w:val="top"/>
          </w:tcPr>
          <w:p w14:paraId="01D0694A">
            <w:pPr>
              <w:rPr>
                <w:rFonts w:ascii="Arial"/>
                <w:sz w:val="21"/>
              </w:rPr>
            </w:pPr>
          </w:p>
        </w:tc>
        <w:tc>
          <w:tcPr>
            <w:tcW w:w="827" w:type="dxa"/>
            <w:vMerge w:val="continue"/>
            <w:tcBorders>
              <w:top w:val="nil"/>
              <w:bottom w:val="nil"/>
            </w:tcBorders>
            <w:vAlign w:val="top"/>
          </w:tcPr>
          <w:p w14:paraId="59F8F041">
            <w:pPr>
              <w:rPr>
                <w:rFonts w:ascii="Arial"/>
                <w:sz w:val="21"/>
              </w:rPr>
            </w:pPr>
          </w:p>
        </w:tc>
        <w:tc>
          <w:tcPr>
            <w:tcW w:w="817" w:type="dxa"/>
            <w:vAlign w:val="top"/>
          </w:tcPr>
          <w:p w14:paraId="6409414C">
            <w:pPr>
              <w:pStyle w:val="16"/>
              <w:spacing w:before="110" w:line="269" w:lineRule="exact"/>
              <w:ind w:left="116"/>
            </w:pPr>
            <w:r>
              <w:rPr>
                <w:spacing w:val="3"/>
                <w:position w:val="1"/>
              </w:rPr>
              <w:t>C606</w:t>
            </w:r>
          </w:p>
        </w:tc>
        <w:tc>
          <w:tcPr>
            <w:tcW w:w="5323" w:type="dxa"/>
            <w:vAlign w:val="top"/>
          </w:tcPr>
          <w:p w14:paraId="2A682924">
            <w:pPr>
              <w:pStyle w:val="16"/>
              <w:spacing w:before="110" w:line="228" w:lineRule="auto"/>
              <w:ind w:left="120"/>
            </w:pPr>
            <w:r>
              <w:rPr>
                <w:spacing w:val="8"/>
              </w:rPr>
              <w:t>发生安全重大交通责任事故。</w:t>
            </w:r>
          </w:p>
        </w:tc>
        <w:tc>
          <w:tcPr>
            <w:tcW w:w="1103" w:type="dxa"/>
            <w:vAlign w:val="top"/>
          </w:tcPr>
          <w:p w14:paraId="5629E340">
            <w:pPr>
              <w:pStyle w:val="16"/>
              <w:spacing w:before="111" w:line="228" w:lineRule="auto"/>
              <w:ind w:left="121"/>
            </w:pPr>
            <w:r>
              <w:rPr>
                <w:spacing w:val="4"/>
              </w:rPr>
              <w:t>元/宗</w:t>
            </w:r>
          </w:p>
        </w:tc>
        <w:tc>
          <w:tcPr>
            <w:tcW w:w="1284" w:type="dxa"/>
            <w:vAlign w:val="top"/>
          </w:tcPr>
          <w:p w14:paraId="4F4901AB">
            <w:pPr>
              <w:pStyle w:val="16"/>
              <w:spacing w:before="110" w:line="225" w:lineRule="auto"/>
              <w:ind w:left="136"/>
            </w:pPr>
            <w:r>
              <w:rPr>
                <w:spacing w:val="1"/>
              </w:rPr>
              <w:t>100,000</w:t>
            </w:r>
          </w:p>
        </w:tc>
      </w:tr>
      <w:tr w14:paraId="6340B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16" w:type="dxa"/>
            <w:vMerge w:val="continue"/>
            <w:tcBorders>
              <w:top w:val="nil"/>
            </w:tcBorders>
            <w:vAlign w:val="top"/>
          </w:tcPr>
          <w:p w14:paraId="4364B893">
            <w:pPr>
              <w:rPr>
                <w:rFonts w:ascii="Arial"/>
                <w:sz w:val="21"/>
              </w:rPr>
            </w:pPr>
          </w:p>
        </w:tc>
        <w:tc>
          <w:tcPr>
            <w:tcW w:w="827" w:type="dxa"/>
            <w:vMerge w:val="continue"/>
            <w:tcBorders>
              <w:top w:val="nil"/>
            </w:tcBorders>
            <w:vAlign w:val="top"/>
          </w:tcPr>
          <w:p w14:paraId="0034345B">
            <w:pPr>
              <w:rPr>
                <w:rFonts w:ascii="Arial"/>
                <w:sz w:val="21"/>
              </w:rPr>
            </w:pPr>
          </w:p>
        </w:tc>
        <w:tc>
          <w:tcPr>
            <w:tcW w:w="817" w:type="dxa"/>
            <w:vAlign w:val="top"/>
          </w:tcPr>
          <w:p w14:paraId="72ECD6CC">
            <w:pPr>
              <w:pStyle w:val="16"/>
              <w:spacing w:before="122" w:line="269" w:lineRule="exact"/>
              <w:ind w:left="116"/>
            </w:pPr>
            <w:r>
              <w:rPr>
                <w:spacing w:val="3"/>
                <w:position w:val="1"/>
              </w:rPr>
              <w:t>C607</w:t>
            </w:r>
          </w:p>
        </w:tc>
        <w:tc>
          <w:tcPr>
            <w:tcW w:w="5323" w:type="dxa"/>
            <w:vAlign w:val="top"/>
          </w:tcPr>
          <w:p w14:paraId="28465D3D">
            <w:pPr>
              <w:pStyle w:val="16"/>
              <w:spacing w:before="122" w:line="228" w:lineRule="auto"/>
              <w:ind w:left="120"/>
            </w:pPr>
            <w:r>
              <w:rPr>
                <w:spacing w:val="9"/>
              </w:rPr>
              <w:t>项目驻地和施工现场存在安全重大事故隐患</w:t>
            </w:r>
          </w:p>
        </w:tc>
        <w:tc>
          <w:tcPr>
            <w:tcW w:w="1103" w:type="dxa"/>
            <w:vAlign w:val="top"/>
          </w:tcPr>
          <w:p w14:paraId="298168E9">
            <w:pPr>
              <w:pStyle w:val="16"/>
              <w:spacing w:before="123" w:line="228" w:lineRule="auto"/>
              <w:ind w:left="121"/>
            </w:pPr>
            <w:r>
              <w:rPr>
                <w:spacing w:val="4"/>
              </w:rPr>
              <w:t>元/宗</w:t>
            </w:r>
          </w:p>
        </w:tc>
        <w:tc>
          <w:tcPr>
            <w:tcW w:w="1284" w:type="dxa"/>
            <w:vAlign w:val="top"/>
          </w:tcPr>
          <w:p w14:paraId="499A95AD">
            <w:pPr>
              <w:pStyle w:val="16"/>
              <w:spacing w:before="122" w:line="225" w:lineRule="auto"/>
              <w:ind w:left="123"/>
            </w:pPr>
            <w:r>
              <w:rPr>
                <w:spacing w:val="3"/>
              </w:rPr>
              <w:t>20,000</w:t>
            </w:r>
          </w:p>
        </w:tc>
      </w:tr>
    </w:tbl>
    <w:p w14:paraId="76B2CB70">
      <w:pPr>
        <w:spacing w:line="424" w:lineRule="auto"/>
        <w:rPr>
          <w:rFonts w:ascii="Arial"/>
          <w:sz w:val="21"/>
        </w:rPr>
      </w:pPr>
      <w:bookmarkStart w:id="3" w:name="bookmark11"/>
      <w:bookmarkEnd w:id="3"/>
      <w:bookmarkStart w:id="4" w:name="bookmark12"/>
      <w:bookmarkEnd w:id="4"/>
      <w:bookmarkStart w:id="5" w:name="bookmark12"/>
      <w:bookmarkEnd w:id="5"/>
    </w:p>
    <w:sectPr>
      <w:headerReference r:id="rId18" w:type="default"/>
      <w:footerReference r:id="rId19" w:type="default"/>
      <w:pgSz w:w="11900" w:h="16839"/>
      <w:pgMar w:top="1106" w:right="1416" w:bottom="1026" w:left="1423" w:header="829" w:footer="7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01D6D">
    <w:pPr>
      <w:spacing w:line="230" w:lineRule="auto"/>
      <w:ind w:left="4412"/>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84233">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46E84233">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C476">
    <w:pPr>
      <w:spacing w:line="229" w:lineRule="auto"/>
      <w:ind w:left="4418"/>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49EEC">
                          <w:pPr>
                            <w:pStyle w:val="1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5F249EEC">
                    <w:pPr>
                      <w:pStyle w:val="1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91B6">
    <w:pPr>
      <w:spacing w:line="229" w:lineRule="auto"/>
      <w:ind w:left="4412"/>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0A474">
                          <w:pPr>
                            <w:pStyle w:val="10"/>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2D60A474">
                    <w:pPr>
                      <w:pStyle w:val="10"/>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C727">
    <w:pPr>
      <w:spacing w:line="229" w:lineRule="auto"/>
      <w:ind w:left="4418"/>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78163">
                          <w:pPr>
                            <w:pStyle w:val="10"/>
                          </w:pPr>
                          <w:r>
                            <w:fldChar w:fldCharType="begin"/>
                          </w:r>
                          <w:r>
                            <w:instrText xml:space="preserve"> PAGE  \* MERGEFORMAT </w:instrText>
                          </w:r>
                          <w:r>
                            <w:fldChar w:fldCharType="separate"/>
                          </w:r>
                          <w:r>
                            <w:t>179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14:paraId="39178163">
                    <w:pPr>
                      <w:pStyle w:val="10"/>
                    </w:pPr>
                    <w:r>
                      <w:fldChar w:fldCharType="begin"/>
                    </w:r>
                    <w:r>
                      <w:instrText xml:space="preserve"> PAGE  \* MERGEFORMAT </w:instrText>
                    </w:r>
                    <w:r>
                      <w:fldChar w:fldCharType="separate"/>
                    </w:r>
                    <w:r>
                      <w:t>179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D9D26">
    <w:pPr>
      <w:spacing w:line="229" w:lineRule="auto"/>
      <w:ind w:left="4873"/>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3FBD7">
                          <w:pPr>
                            <w:pStyle w:val="10"/>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23C3FBD7">
                    <w:pPr>
                      <w:pStyle w:val="10"/>
                    </w:pPr>
                    <w:r>
                      <w:fldChar w:fldCharType="begin"/>
                    </w:r>
                    <w:r>
                      <w:instrText xml:space="preserve"> PAGE  \* MERGEFORMAT </w:instrText>
                    </w:r>
                    <w:r>
                      <w:fldChar w:fldCharType="separate"/>
                    </w:r>
                    <w:r>
                      <w:t>182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5FDD">
    <w:pPr>
      <w:spacing w:line="229" w:lineRule="auto"/>
      <w:ind w:left="4873"/>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58C2B">
                          <w:pPr>
                            <w:pStyle w:val="10"/>
                          </w:pPr>
                          <w:r>
                            <w:fldChar w:fldCharType="begin"/>
                          </w:r>
                          <w:r>
                            <w:instrText xml:space="preserve"> PAGE  \* MERGEFORMAT </w:instrText>
                          </w:r>
                          <w:r>
                            <w:fldChar w:fldCharType="separate"/>
                          </w:r>
                          <w:r>
                            <w:t>183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55358C2B">
                    <w:pPr>
                      <w:pStyle w:val="10"/>
                    </w:pPr>
                    <w:r>
                      <w:fldChar w:fldCharType="begin"/>
                    </w:r>
                    <w:r>
                      <w:instrText xml:space="preserve"> PAGE  \* MERGEFORMAT </w:instrText>
                    </w:r>
                    <w:r>
                      <w:fldChar w:fldCharType="separate"/>
                    </w:r>
                    <w:r>
                      <w:t>183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D8E5">
    <w:pPr>
      <w:spacing w:line="229" w:lineRule="auto"/>
      <w:ind w:left="4873"/>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2AD8C">
                          <w:pPr>
                            <w:pStyle w:val="10"/>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14:paraId="3302AD8C">
                    <w:pPr>
                      <w:pStyle w:val="10"/>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AD23C">
    <w:pPr>
      <w:spacing w:line="229" w:lineRule="auto"/>
      <w:ind w:left="4873"/>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B26AD">
                          <w:pPr>
                            <w:pStyle w:val="10"/>
                          </w:pPr>
                          <w:r>
                            <w:fldChar w:fldCharType="begin"/>
                          </w:r>
                          <w:r>
                            <w:instrText xml:space="preserve"> PAGE  \* MERGEFORMAT </w:instrText>
                          </w:r>
                          <w:r>
                            <w:fldChar w:fldCharType="separate"/>
                          </w:r>
                          <w:r>
                            <w:t>185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28CB26AD">
                    <w:pPr>
                      <w:pStyle w:val="10"/>
                    </w:pPr>
                    <w:r>
                      <w:fldChar w:fldCharType="begin"/>
                    </w:r>
                    <w:r>
                      <w:instrText xml:space="preserve"> PAGE  \* MERGEFORMAT </w:instrText>
                    </w:r>
                    <w:r>
                      <w:fldChar w:fldCharType="separate"/>
                    </w:r>
                    <w:r>
                      <w:t>185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890B">
    <w:pPr>
      <w:spacing w:line="229" w:lineRule="auto"/>
      <w:ind w:left="4401"/>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736E9">
                          <w:pPr>
                            <w:pStyle w:val="10"/>
                          </w:pPr>
                          <w:r>
                            <w:fldChar w:fldCharType="begin"/>
                          </w:r>
                          <w:r>
                            <w:instrText xml:space="preserve"> PAGE  \* MERGEFORMAT </w:instrText>
                          </w:r>
                          <w:r>
                            <w:fldChar w:fldCharType="separate"/>
                          </w:r>
                          <w:r>
                            <w:t>225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ylZg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eylZgzAgAAZQQAAA4AAAAAAAAAAQAgAAAAHwEAAGRycy9lMm9Eb2MueG1sUEsF&#10;BgAAAAAGAAYAWQEAAMQFAAAAAA==&#10;">
              <v:fill on="f" focussize="0,0"/>
              <v:stroke on="f" weight="0.5pt"/>
              <v:imagedata o:title=""/>
              <o:lock v:ext="edit" aspectratio="f"/>
              <v:textbox inset="0mm,0mm,0mm,0mm" style="mso-fit-shape-to-text:t;">
                <w:txbxContent>
                  <w:p w14:paraId="2A5736E9">
                    <w:pPr>
                      <w:pStyle w:val="10"/>
                    </w:pPr>
                    <w:r>
                      <w:fldChar w:fldCharType="begin"/>
                    </w:r>
                    <w:r>
                      <w:instrText xml:space="preserve"> PAGE  \* MERGEFORMAT </w:instrText>
                    </w:r>
                    <w:r>
                      <w:fldChar w:fldCharType="separate"/>
                    </w:r>
                    <w:r>
                      <w:t>225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DCDD3">
    <w:pPr>
      <w:spacing w:before="48" w:line="219" w:lineRule="auto"/>
      <w:rPr>
        <w:rFonts w:ascii="宋体" w:hAnsi="宋体" w:eastAsia="宋体" w:cs="宋体"/>
        <w:sz w:val="18"/>
        <w:szCs w:val="18"/>
      </w:rPr>
    </w:pPr>
    <w:r>
      <w:rPr>
        <w:rFonts w:ascii="宋体" w:hAnsi="宋体" w:eastAsia="宋体" w:cs="宋体"/>
        <w:b w:val="0"/>
        <w:bCs w:val="0"/>
        <w:spacing w:val="-1"/>
        <w:sz w:val="18"/>
        <w:szCs w:val="18"/>
        <w:u w:val="single" w:color="auto"/>
      </w:rPr>
      <w:t>广东省水运工程施工招标文件范本（2025</w:t>
    </w:r>
    <w:r>
      <w:rPr>
        <w:rFonts w:ascii="宋体" w:hAnsi="宋体" w:eastAsia="宋体" w:cs="宋体"/>
        <w:b w:val="0"/>
        <w:bCs w:val="0"/>
        <w:spacing w:val="-38"/>
        <w:sz w:val="18"/>
        <w:szCs w:val="18"/>
        <w:u w:val="single" w:color="auto"/>
      </w:rPr>
      <w:t xml:space="preserve"> </w:t>
    </w:r>
    <w:r>
      <w:rPr>
        <w:rFonts w:ascii="宋体" w:hAnsi="宋体" w:eastAsia="宋体" w:cs="宋体"/>
        <w:b w:val="0"/>
        <w:bCs w:val="0"/>
        <w:spacing w:val="-1"/>
        <w:sz w:val="18"/>
        <w:szCs w:val="18"/>
        <w:u w:val="single" w:color="auto"/>
      </w:rPr>
      <w:t xml:space="preserve">年版）   </w:t>
    </w:r>
    <w:r>
      <w:rPr>
        <w:rFonts w:ascii="宋体" w:hAnsi="宋体" w:eastAsia="宋体" w:cs="宋体"/>
        <w:spacing w:val="-1"/>
        <w:sz w:val="18"/>
        <w:szCs w:val="18"/>
        <w:u w:val="single" w:color="auto"/>
      </w:rPr>
      <w:t xml:space="preserve">                                                      </w:t>
    </w:r>
    <w:r>
      <w:rPr>
        <w:rFonts w:ascii="宋体" w:hAnsi="宋体" w:eastAsia="宋体" w:cs="宋体"/>
        <w:spacing w:val="-2"/>
        <w:sz w:val="18"/>
        <w:szCs w:val="18"/>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083CD">
    <w:pPr>
      <w:spacing w:before="48" w:line="219" w:lineRule="auto"/>
      <w:ind w:left="6"/>
      <w:rPr>
        <w:rFonts w:ascii="宋体" w:hAnsi="宋体" w:eastAsia="宋体" w:cs="宋体"/>
        <w:sz w:val="18"/>
        <w:szCs w:val="18"/>
      </w:rPr>
    </w:pPr>
    <w:r>
      <w:rPr>
        <w:rFonts w:ascii="宋体" w:hAnsi="宋体" w:eastAsia="宋体" w:cs="宋体"/>
        <w:spacing w:val="-1"/>
        <w:sz w:val="18"/>
        <w:szCs w:val="18"/>
        <w:u w:val="single" w:color="auto"/>
      </w:rPr>
      <w:t>广东省水运工程施工招标文件范本（2025</w:t>
    </w:r>
    <w:r>
      <w:rPr>
        <w:rFonts w:ascii="宋体" w:hAnsi="宋体" w:eastAsia="宋体" w:cs="宋体"/>
        <w:spacing w:val="-38"/>
        <w:sz w:val="18"/>
        <w:szCs w:val="18"/>
        <w:u w:val="single" w:color="auto"/>
      </w:rPr>
      <w:t xml:space="preserve"> </w:t>
    </w:r>
    <w:r>
      <w:rPr>
        <w:rFonts w:ascii="宋体" w:hAnsi="宋体" w:eastAsia="宋体" w:cs="宋体"/>
        <w:spacing w:val="-1"/>
        <w:sz w:val="18"/>
        <w:szCs w:val="18"/>
        <w:u w:val="single" w:color="auto"/>
      </w:rPr>
      <w:t xml:space="preserve">年版）                                                         </w:t>
    </w:r>
    <w:r>
      <w:rPr>
        <w:rFonts w:ascii="宋体" w:hAnsi="宋体" w:eastAsia="宋体" w:cs="宋体"/>
        <w:spacing w:val="-2"/>
        <w:sz w:val="18"/>
        <w:szCs w:val="18"/>
        <w:u w:val="single" w:color="auto"/>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8B1E3">
    <w:pPr>
      <w:spacing w:before="48" w:line="219" w:lineRule="auto"/>
      <w:rPr>
        <w:rFonts w:ascii="宋体" w:hAnsi="宋体" w:eastAsia="宋体" w:cs="宋体"/>
        <w:sz w:val="18"/>
        <w:szCs w:val="18"/>
      </w:rPr>
    </w:pPr>
    <w:r>
      <w:rPr>
        <w:rFonts w:ascii="宋体" w:hAnsi="宋体" w:eastAsia="宋体" w:cs="宋体"/>
        <w:spacing w:val="-1"/>
        <w:sz w:val="18"/>
        <w:szCs w:val="18"/>
        <w:u w:val="single" w:color="auto"/>
      </w:rPr>
      <w:t>广东省水运工程施工招标文件范本（2025</w:t>
    </w:r>
    <w:r>
      <w:rPr>
        <w:rFonts w:ascii="宋体" w:hAnsi="宋体" w:eastAsia="宋体" w:cs="宋体"/>
        <w:spacing w:val="-38"/>
        <w:sz w:val="18"/>
        <w:szCs w:val="18"/>
        <w:u w:val="single" w:color="auto"/>
      </w:rPr>
      <w:t xml:space="preserve"> </w:t>
    </w:r>
    <w:r>
      <w:rPr>
        <w:rFonts w:ascii="宋体" w:hAnsi="宋体" w:eastAsia="宋体" w:cs="宋体"/>
        <w:spacing w:val="-1"/>
        <w:sz w:val="18"/>
        <w:szCs w:val="18"/>
        <w:u w:val="single" w:color="auto"/>
      </w:rPr>
      <w:t xml:space="preserve">年版）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B19C">
    <w:pPr>
      <w:spacing w:before="48" w:line="219" w:lineRule="auto"/>
      <w:ind w:left="6"/>
      <w:rPr>
        <w:rFonts w:ascii="宋体" w:hAnsi="宋体" w:eastAsia="宋体" w:cs="宋体"/>
        <w:sz w:val="18"/>
        <w:szCs w:val="18"/>
      </w:rPr>
    </w:pPr>
    <w:r>
      <w:rPr>
        <w:rFonts w:ascii="宋体" w:hAnsi="宋体" w:eastAsia="宋体" w:cs="宋体"/>
        <w:spacing w:val="-1"/>
        <w:sz w:val="18"/>
        <w:szCs w:val="18"/>
        <w:u w:val="single" w:color="auto"/>
      </w:rPr>
      <w:t>广东省水运工程施工招标文件范本（2025</w:t>
    </w:r>
    <w:r>
      <w:rPr>
        <w:rFonts w:ascii="宋体" w:hAnsi="宋体" w:eastAsia="宋体" w:cs="宋体"/>
        <w:spacing w:val="-38"/>
        <w:sz w:val="18"/>
        <w:szCs w:val="18"/>
        <w:u w:val="single" w:color="auto"/>
      </w:rPr>
      <w:t xml:space="preserve"> </w:t>
    </w:r>
    <w:r>
      <w:rPr>
        <w:rFonts w:ascii="宋体" w:hAnsi="宋体" w:eastAsia="宋体" w:cs="宋体"/>
        <w:spacing w:val="-1"/>
        <w:sz w:val="18"/>
        <w:szCs w:val="18"/>
        <w:u w:val="single" w:color="auto"/>
      </w:rPr>
      <w:t xml:space="preserve">年版）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68B8C">
    <w:pPr>
      <w:spacing w:before="48" w:line="219" w:lineRule="auto"/>
      <w:ind w:left="460"/>
      <w:rPr>
        <w:rFonts w:ascii="宋体" w:hAnsi="宋体" w:eastAsia="宋体" w:cs="宋体"/>
        <w:sz w:val="18"/>
        <w:szCs w:val="18"/>
      </w:rPr>
    </w:pPr>
    <w:r>
      <w:rPr>
        <w:rFonts w:ascii="宋体" w:hAnsi="宋体" w:eastAsia="宋体" w:cs="宋体"/>
        <w:spacing w:val="-1"/>
        <w:sz w:val="18"/>
        <w:szCs w:val="18"/>
        <w:u w:val="single" w:color="auto"/>
      </w:rPr>
      <w:t>广东省水运工程施工招标文件范本（2025</w:t>
    </w:r>
    <w:r>
      <w:rPr>
        <w:rFonts w:ascii="宋体" w:hAnsi="宋体" w:eastAsia="宋体" w:cs="宋体"/>
        <w:spacing w:val="-38"/>
        <w:sz w:val="18"/>
        <w:szCs w:val="18"/>
        <w:u w:val="single" w:color="auto"/>
      </w:rPr>
      <w:t xml:space="preserve"> </w:t>
    </w:r>
    <w:r>
      <w:rPr>
        <w:rFonts w:ascii="宋体" w:hAnsi="宋体" w:eastAsia="宋体" w:cs="宋体"/>
        <w:spacing w:val="-1"/>
        <w:sz w:val="18"/>
        <w:szCs w:val="18"/>
        <w:u w:val="single" w:color="auto"/>
      </w:rPr>
      <w:t xml:space="preserve">年版）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84A2">
    <w:pPr>
      <w:spacing w:before="48" w:line="219" w:lineRule="auto"/>
      <w:rPr>
        <w:rFonts w:ascii="宋体" w:hAnsi="宋体" w:eastAsia="宋体" w:cs="宋体"/>
        <w:sz w:val="18"/>
        <w:szCs w:val="18"/>
      </w:rPr>
    </w:pPr>
    <w:r>
      <w:rPr>
        <w:rFonts w:ascii="宋体" w:hAnsi="宋体" w:eastAsia="宋体" w:cs="宋体"/>
        <w:b w:val="0"/>
        <w:bCs w:val="0"/>
        <w:spacing w:val="-1"/>
        <w:sz w:val="18"/>
        <w:szCs w:val="18"/>
        <w:u w:val="single" w:color="auto"/>
      </w:rPr>
      <w:t>广东省水运工程施工招标文件范本（2025</w:t>
    </w:r>
    <w:r>
      <w:rPr>
        <w:rFonts w:ascii="宋体" w:hAnsi="宋体" w:eastAsia="宋体" w:cs="宋体"/>
        <w:b w:val="0"/>
        <w:bCs w:val="0"/>
        <w:spacing w:val="-38"/>
        <w:sz w:val="18"/>
        <w:szCs w:val="18"/>
        <w:u w:val="single" w:color="auto"/>
      </w:rPr>
      <w:t xml:space="preserve"> </w:t>
    </w:r>
    <w:r>
      <w:rPr>
        <w:rFonts w:ascii="宋体" w:hAnsi="宋体" w:eastAsia="宋体" w:cs="宋体"/>
        <w:b w:val="0"/>
        <w:bCs w:val="0"/>
        <w:spacing w:val="-1"/>
        <w:sz w:val="18"/>
        <w:szCs w:val="18"/>
        <w:u w:val="single" w:color="auto"/>
      </w:rPr>
      <w:t xml:space="preserve">年版）   </w:t>
    </w:r>
    <w:r>
      <w:rPr>
        <w:rFonts w:ascii="宋体" w:hAnsi="宋体" w:eastAsia="宋体" w:cs="宋体"/>
        <w:spacing w:val="-1"/>
        <w:sz w:val="18"/>
        <w:szCs w:val="18"/>
        <w:u w:val="single" w:color="auto"/>
      </w:rPr>
      <w:t xml:space="preserve">                                                      </w:t>
    </w:r>
    <w:r>
      <w:rPr>
        <w:rFonts w:ascii="宋体" w:hAnsi="宋体" w:eastAsia="宋体" w:cs="宋体"/>
        <w:spacing w:val="-2"/>
        <w:sz w:val="18"/>
        <w:szCs w:val="18"/>
        <w:u w:val="single"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76324"/>
    <w:multiLevelType w:val="singleLevel"/>
    <w:tmpl w:val="8F576324"/>
    <w:lvl w:ilvl="0" w:tentative="0">
      <w:start w:val="1"/>
      <w:numFmt w:val="decimalEnclosedCircleChinese"/>
      <w:suff w:val="nothing"/>
      <w:lvlText w:val="%1　"/>
      <w:lvlJc w:val="left"/>
      <w:pPr>
        <w:ind w:left="0" w:firstLine="400"/>
      </w:pPr>
      <w:rPr>
        <w:rFonts w:hint="eastAsia"/>
      </w:rPr>
    </w:lvl>
  </w:abstractNum>
  <w:abstractNum w:abstractNumId="1">
    <w:nsid w:val="AAF3F3FA"/>
    <w:multiLevelType w:val="singleLevel"/>
    <w:tmpl w:val="AAF3F3FA"/>
    <w:lvl w:ilvl="0" w:tentative="0">
      <w:start w:val="1"/>
      <w:numFmt w:val="decimal"/>
      <w:lvlText w:val="%1."/>
      <w:lvlJc w:val="left"/>
      <w:pPr>
        <w:ind w:left="420" w:hanging="420"/>
      </w:pPr>
      <w:rPr>
        <w:rFonts w:hint="default" w:ascii="宋体" w:hAnsi="宋体" w:eastAsia="宋体" w:cs="宋体"/>
      </w:rPr>
    </w:lvl>
  </w:abstractNum>
  <w:abstractNum w:abstractNumId="2">
    <w:nsid w:val="1BCBBCF0"/>
    <w:multiLevelType w:val="singleLevel"/>
    <w:tmpl w:val="1BCBBCF0"/>
    <w:lvl w:ilvl="0" w:tentative="0">
      <w:start w:val="4"/>
      <w:numFmt w:val="decimal"/>
      <w:lvlText w:val="%1."/>
      <w:lvlJc w:val="left"/>
      <w:pPr>
        <w:ind w:left="420" w:hanging="420"/>
      </w:pPr>
      <w:rPr>
        <w:rFonts w:hint="default" w:ascii="宋体" w:hAnsi="宋体" w:eastAsia="宋体" w:cs="宋体"/>
      </w:rPr>
    </w:lvl>
  </w:abstractNum>
  <w:abstractNum w:abstractNumId="3">
    <w:nsid w:val="4CD1E351"/>
    <w:multiLevelType w:val="singleLevel"/>
    <w:tmpl w:val="4CD1E351"/>
    <w:lvl w:ilvl="0" w:tentative="0">
      <w:start w:val="1"/>
      <w:numFmt w:val="decimal"/>
      <w:lvlText w:val="%1."/>
      <w:lvlJc w:val="left"/>
      <w:pPr>
        <w:ind w:left="420" w:hanging="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revisionView w:markup="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15AA4"/>
    <w:rsid w:val="02152E40"/>
    <w:rsid w:val="02693733"/>
    <w:rsid w:val="030B6598"/>
    <w:rsid w:val="04644D0D"/>
    <w:rsid w:val="04BB0F51"/>
    <w:rsid w:val="05351E6A"/>
    <w:rsid w:val="058B7232"/>
    <w:rsid w:val="05FE4192"/>
    <w:rsid w:val="064C75F3"/>
    <w:rsid w:val="0661499E"/>
    <w:rsid w:val="06862B05"/>
    <w:rsid w:val="06FC6923"/>
    <w:rsid w:val="07B264DD"/>
    <w:rsid w:val="07CF5DE6"/>
    <w:rsid w:val="0834033F"/>
    <w:rsid w:val="09722ECD"/>
    <w:rsid w:val="0BF21AB7"/>
    <w:rsid w:val="0C0F70F9"/>
    <w:rsid w:val="0C665143"/>
    <w:rsid w:val="0C9A2ECD"/>
    <w:rsid w:val="0D5A09D3"/>
    <w:rsid w:val="0D676AC1"/>
    <w:rsid w:val="0D9309C1"/>
    <w:rsid w:val="0DB40989"/>
    <w:rsid w:val="0E0E5F91"/>
    <w:rsid w:val="0E7F107C"/>
    <w:rsid w:val="0E9F5DF3"/>
    <w:rsid w:val="0EFA12FA"/>
    <w:rsid w:val="0F580DB7"/>
    <w:rsid w:val="0FA15118"/>
    <w:rsid w:val="0FF8242E"/>
    <w:rsid w:val="11581EEE"/>
    <w:rsid w:val="12527A9D"/>
    <w:rsid w:val="12F47BEE"/>
    <w:rsid w:val="131F396E"/>
    <w:rsid w:val="13373808"/>
    <w:rsid w:val="14CA499A"/>
    <w:rsid w:val="14D85897"/>
    <w:rsid w:val="150273BD"/>
    <w:rsid w:val="151E2F16"/>
    <w:rsid w:val="155A367E"/>
    <w:rsid w:val="161226C3"/>
    <w:rsid w:val="162163A6"/>
    <w:rsid w:val="162E2FA3"/>
    <w:rsid w:val="16C3420E"/>
    <w:rsid w:val="1740285C"/>
    <w:rsid w:val="180B552C"/>
    <w:rsid w:val="187E1AD2"/>
    <w:rsid w:val="19583304"/>
    <w:rsid w:val="19925906"/>
    <w:rsid w:val="1A183487"/>
    <w:rsid w:val="1A4A39F2"/>
    <w:rsid w:val="1A54439E"/>
    <w:rsid w:val="1A6E256B"/>
    <w:rsid w:val="1AA90718"/>
    <w:rsid w:val="1AE753BE"/>
    <w:rsid w:val="1B3A2F9D"/>
    <w:rsid w:val="1C4F1683"/>
    <w:rsid w:val="1D81597C"/>
    <w:rsid w:val="1F0708E7"/>
    <w:rsid w:val="1F5A0233"/>
    <w:rsid w:val="1FA60301"/>
    <w:rsid w:val="1FCF567D"/>
    <w:rsid w:val="20B81D5F"/>
    <w:rsid w:val="219E6718"/>
    <w:rsid w:val="219F5BB6"/>
    <w:rsid w:val="21DE69A0"/>
    <w:rsid w:val="21F52495"/>
    <w:rsid w:val="221D2F4A"/>
    <w:rsid w:val="234C5C0A"/>
    <w:rsid w:val="2355768F"/>
    <w:rsid w:val="23AA6F10"/>
    <w:rsid w:val="243948BB"/>
    <w:rsid w:val="24975A86"/>
    <w:rsid w:val="24A75516"/>
    <w:rsid w:val="25E161E8"/>
    <w:rsid w:val="25E923FE"/>
    <w:rsid w:val="2604539D"/>
    <w:rsid w:val="27DD6975"/>
    <w:rsid w:val="28901C9C"/>
    <w:rsid w:val="28AD6014"/>
    <w:rsid w:val="29A46C7B"/>
    <w:rsid w:val="2AF265DF"/>
    <w:rsid w:val="2B2B0C85"/>
    <w:rsid w:val="2B716C77"/>
    <w:rsid w:val="2B745FCB"/>
    <w:rsid w:val="2BA47406"/>
    <w:rsid w:val="2BCE6231"/>
    <w:rsid w:val="2C365A9F"/>
    <w:rsid w:val="2C932FD6"/>
    <w:rsid w:val="2CBA67B5"/>
    <w:rsid w:val="2CD76F62"/>
    <w:rsid w:val="2DB53E92"/>
    <w:rsid w:val="2DCA2A28"/>
    <w:rsid w:val="2DFD16FF"/>
    <w:rsid w:val="2EB84F76"/>
    <w:rsid w:val="2FA038EE"/>
    <w:rsid w:val="2FDA4DD7"/>
    <w:rsid w:val="30224D9D"/>
    <w:rsid w:val="3025663B"/>
    <w:rsid w:val="303F6A4D"/>
    <w:rsid w:val="308B5380"/>
    <w:rsid w:val="312923BE"/>
    <w:rsid w:val="31515E9C"/>
    <w:rsid w:val="319E0453"/>
    <w:rsid w:val="31E83DC4"/>
    <w:rsid w:val="32805AF8"/>
    <w:rsid w:val="32850967"/>
    <w:rsid w:val="32A61AD2"/>
    <w:rsid w:val="32D4465A"/>
    <w:rsid w:val="33004414"/>
    <w:rsid w:val="33640E50"/>
    <w:rsid w:val="33C15875"/>
    <w:rsid w:val="33E65B1A"/>
    <w:rsid w:val="3400642D"/>
    <w:rsid w:val="340F3E18"/>
    <w:rsid w:val="34E37918"/>
    <w:rsid w:val="36277128"/>
    <w:rsid w:val="3660217B"/>
    <w:rsid w:val="36D729BC"/>
    <w:rsid w:val="36F54FB9"/>
    <w:rsid w:val="37281265"/>
    <w:rsid w:val="3795053A"/>
    <w:rsid w:val="37E56DDC"/>
    <w:rsid w:val="37FA47D9"/>
    <w:rsid w:val="38B22A36"/>
    <w:rsid w:val="38B60050"/>
    <w:rsid w:val="38C61C36"/>
    <w:rsid w:val="38C70CD4"/>
    <w:rsid w:val="39910F9D"/>
    <w:rsid w:val="39A80145"/>
    <w:rsid w:val="3A184B1B"/>
    <w:rsid w:val="3A883217"/>
    <w:rsid w:val="3AE17129"/>
    <w:rsid w:val="3B373470"/>
    <w:rsid w:val="3BA83183"/>
    <w:rsid w:val="3C361172"/>
    <w:rsid w:val="3D360B17"/>
    <w:rsid w:val="3D6E3BAA"/>
    <w:rsid w:val="3D7B3779"/>
    <w:rsid w:val="3DDC1999"/>
    <w:rsid w:val="3E4740D5"/>
    <w:rsid w:val="3E955161"/>
    <w:rsid w:val="3F0245F5"/>
    <w:rsid w:val="3F146BC2"/>
    <w:rsid w:val="3F163717"/>
    <w:rsid w:val="3FED78A2"/>
    <w:rsid w:val="406A2D5B"/>
    <w:rsid w:val="4234394F"/>
    <w:rsid w:val="426B25D4"/>
    <w:rsid w:val="429F0470"/>
    <w:rsid w:val="42B20202"/>
    <w:rsid w:val="43E265FF"/>
    <w:rsid w:val="44EF49CC"/>
    <w:rsid w:val="44FE16D9"/>
    <w:rsid w:val="458F33E6"/>
    <w:rsid w:val="45A86500"/>
    <w:rsid w:val="45D97736"/>
    <w:rsid w:val="464B2FDE"/>
    <w:rsid w:val="47403A39"/>
    <w:rsid w:val="485D2741"/>
    <w:rsid w:val="48BD6538"/>
    <w:rsid w:val="4911104B"/>
    <w:rsid w:val="4954425A"/>
    <w:rsid w:val="49836BCB"/>
    <w:rsid w:val="49B20AE8"/>
    <w:rsid w:val="4A5D51F1"/>
    <w:rsid w:val="4AAC3789"/>
    <w:rsid w:val="4C2630C7"/>
    <w:rsid w:val="4C3A6A97"/>
    <w:rsid w:val="4D04165B"/>
    <w:rsid w:val="4DB31898"/>
    <w:rsid w:val="4DD80C70"/>
    <w:rsid w:val="4E5A4F50"/>
    <w:rsid w:val="4FAF0DFC"/>
    <w:rsid w:val="4FE047F5"/>
    <w:rsid w:val="5032028D"/>
    <w:rsid w:val="50D15CF8"/>
    <w:rsid w:val="51E966DF"/>
    <w:rsid w:val="51F577C4"/>
    <w:rsid w:val="54BA16C5"/>
    <w:rsid w:val="553B0FD8"/>
    <w:rsid w:val="560617A9"/>
    <w:rsid w:val="564F4128"/>
    <w:rsid w:val="56B43A1F"/>
    <w:rsid w:val="56D57C04"/>
    <w:rsid w:val="577C4928"/>
    <w:rsid w:val="57C93BCD"/>
    <w:rsid w:val="5838665C"/>
    <w:rsid w:val="59DE28D2"/>
    <w:rsid w:val="5A156629"/>
    <w:rsid w:val="5A555BBE"/>
    <w:rsid w:val="5B9B13DC"/>
    <w:rsid w:val="5C6514C0"/>
    <w:rsid w:val="5CC211A8"/>
    <w:rsid w:val="5CE15514"/>
    <w:rsid w:val="5EAA7B88"/>
    <w:rsid w:val="5FBD3DB4"/>
    <w:rsid w:val="6020046C"/>
    <w:rsid w:val="60A37A63"/>
    <w:rsid w:val="60E8777B"/>
    <w:rsid w:val="60FB7B42"/>
    <w:rsid w:val="610A0AD4"/>
    <w:rsid w:val="61412001"/>
    <w:rsid w:val="617E0582"/>
    <w:rsid w:val="61871227"/>
    <w:rsid w:val="61AF02E6"/>
    <w:rsid w:val="61CD250B"/>
    <w:rsid w:val="62430966"/>
    <w:rsid w:val="627E55B4"/>
    <w:rsid w:val="62C1586B"/>
    <w:rsid w:val="62CC7D62"/>
    <w:rsid w:val="62DE30E7"/>
    <w:rsid w:val="63857FE3"/>
    <w:rsid w:val="63C70247"/>
    <w:rsid w:val="63ED0C43"/>
    <w:rsid w:val="64074FC1"/>
    <w:rsid w:val="64112ABA"/>
    <w:rsid w:val="65AB285B"/>
    <w:rsid w:val="65C459D3"/>
    <w:rsid w:val="663E0FCB"/>
    <w:rsid w:val="66533F6E"/>
    <w:rsid w:val="670047E9"/>
    <w:rsid w:val="67876CB8"/>
    <w:rsid w:val="67A7735B"/>
    <w:rsid w:val="67C717AB"/>
    <w:rsid w:val="67EF66E6"/>
    <w:rsid w:val="68AB6EB0"/>
    <w:rsid w:val="68F933EA"/>
    <w:rsid w:val="69714D18"/>
    <w:rsid w:val="6A4E628A"/>
    <w:rsid w:val="6A6B0B13"/>
    <w:rsid w:val="6A9B53ED"/>
    <w:rsid w:val="6AE95C52"/>
    <w:rsid w:val="6BD910A1"/>
    <w:rsid w:val="6C2F69D8"/>
    <w:rsid w:val="6C6F77A9"/>
    <w:rsid w:val="6CED2EAB"/>
    <w:rsid w:val="6D01279B"/>
    <w:rsid w:val="6D0E6E2D"/>
    <w:rsid w:val="6D9E6164"/>
    <w:rsid w:val="6E5978B6"/>
    <w:rsid w:val="6EF42A20"/>
    <w:rsid w:val="6F434794"/>
    <w:rsid w:val="712A6647"/>
    <w:rsid w:val="719C3C07"/>
    <w:rsid w:val="71A01B77"/>
    <w:rsid w:val="73644352"/>
    <w:rsid w:val="739264C9"/>
    <w:rsid w:val="73B250BD"/>
    <w:rsid w:val="73CF53A7"/>
    <w:rsid w:val="74544029"/>
    <w:rsid w:val="74B73238"/>
    <w:rsid w:val="76105652"/>
    <w:rsid w:val="762D25D4"/>
    <w:rsid w:val="76811536"/>
    <w:rsid w:val="771E19CB"/>
    <w:rsid w:val="77376CA5"/>
    <w:rsid w:val="7783749C"/>
    <w:rsid w:val="780B56E4"/>
    <w:rsid w:val="7882595D"/>
    <w:rsid w:val="791D59F2"/>
    <w:rsid w:val="7A212F9C"/>
    <w:rsid w:val="7A3B0518"/>
    <w:rsid w:val="7A9279F6"/>
    <w:rsid w:val="7AD9621B"/>
    <w:rsid w:val="7B2F1799"/>
    <w:rsid w:val="7B567531"/>
    <w:rsid w:val="7B7776BB"/>
    <w:rsid w:val="7B7E168A"/>
    <w:rsid w:val="7C211459"/>
    <w:rsid w:val="7C6F2735"/>
    <w:rsid w:val="7C7B1236"/>
    <w:rsid w:val="7D620E06"/>
    <w:rsid w:val="7DF86305"/>
    <w:rsid w:val="7E4E5754"/>
    <w:rsid w:val="7E962DFF"/>
    <w:rsid w:val="7EA01A8C"/>
    <w:rsid w:val="7F211349"/>
    <w:rsid w:val="7F4F5EB6"/>
    <w:rsid w:val="7FA84887"/>
    <w:rsid w:val="7FCA07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9"/>
    <w:pPr>
      <w:keepNext/>
      <w:keepLines/>
      <w:spacing w:before="200"/>
      <w:outlineLvl w:val="1"/>
    </w:pPr>
    <w:rPr>
      <w:rFonts w:ascii="Cambria" w:hAnsi="Cambria" w:eastAsia="宋体" w:cs="Times New Roman"/>
      <w:b/>
      <w:bCs/>
      <w:color w:val="4F81BD"/>
      <w:sz w:val="26"/>
      <w:szCs w:val="26"/>
    </w:rPr>
  </w:style>
  <w:style w:type="paragraph" w:styleId="3">
    <w:name w:val="heading 3"/>
    <w:basedOn w:val="1"/>
    <w:next w:val="1"/>
    <w:unhideWhenUsed/>
    <w:qFormat/>
    <w:uiPriority w:val="9"/>
    <w:pPr>
      <w:keepNext/>
      <w:keepLines/>
      <w:spacing w:before="200"/>
      <w:outlineLvl w:val="2"/>
    </w:pPr>
    <w:rPr>
      <w:rFonts w:ascii="Cambria" w:hAnsi="Cambria" w:eastAsia="宋体" w:cs="Times New Roman"/>
      <w:b/>
      <w:bCs/>
      <w:color w:val="4F81BD"/>
    </w:rPr>
  </w:style>
  <w:style w:type="paragraph" w:styleId="4">
    <w:name w:val="heading 4"/>
    <w:basedOn w:val="1"/>
    <w:next w:val="1"/>
    <w:unhideWhenUsed/>
    <w:qFormat/>
    <w:uiPriority w:val="0"/>
    <w:pPr>
      <w:spacing w:line="360" w:lineRule="auto"/>
      <w:ind w:firstLine="0" w:firstLineChars="0"/>
      <w:jc w:val="left"/>
      <w:outlineLvl w:val="3"/>
    </w:pPr>
    <w:rPr>
      <w:b/>
      <w:bCs/>
      <w:sz w:val="24"/>
    </w:rPr>
  </w:style>
  <w:style w:type="paragraph" w:styleId="5">
    <w:name w:val="heading 5"/>
    <w:basedOn w:val="6"/>
    <w:next w:val="1"/>
    <w:unhideWhenUsed/>
    <w:qFormat/>
    <w:uiPriority w:val="0"/>
    <w:pPr>
      <w:spacing w:line="440" w:lineRule="exact"/>
      <w:ind w:firstLine="0" w:firstLineChars="0"/>
      <w:outlineLvl w:val="9"/>
    </w:pPr>
    <w:rPr>
      <w:rFonts w:ascii="宋体" w:hAnsi="宋体" w:cs="宋体"/>
      <w:szCs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6">
    <w:name w:val="表格文字"/>
    <w:basedOn w:val="1"/>
    <w:qFormat/>
    <w:uiPriority w:val="0"/>
    <w:pPr>
      <w:autoSpaceDE/>
      <w:autoSpaceDN/>
      <w:adjustRightInd w:val="0"/>
      <w:spacing w:line="420" w:lineRule="atLeast"/>
      <w:textAlignment w:val="baseline"/>
    </w:pPr>
    <w:rPr>
      <w:rFonts w:ascii="Times New Roman" w:hAnsi="Times New Roman" w:cs="Times New Roman"/>
      <w:sz w:val="21"/>
      <w:szCs w:val="20"/>
      <w:lang w:eastAsia="zh-CN"/>
    </w:rPr>
  </w:style>
  <w:style w:type="paragraph" w:styleId="7">
    <w:name w:val="toa heading"/>
    <w:basedOn w:val="1"/>
    <w:next w:val="1"/>
    <w:unhideWhenUsed/>
    <w:qFormat/>
    <w:uiPriority w:val="0"/>
    <w:pPr>
      <w:autoSpaceDE/>
      <w:autoSpaceDN/>
      <w:spacing w:before="120"/>
      <w:jc w:val="both"/>
    </w:pPr>
    <w:rPr>
      <w:rFonts w:ascii="Arial" w:hAnsi="Arial" w:cs="Arial"/>
      <w:kern w:val="2"/>
      <w:sz w:val="24"/>
      <w:szCs w:val="24"/>
      <w:lang w:eastAsia="zh-CN"/>
    </w:rPr>
  </w:style>
  <w:style w:type="paragraph" w:styleId="8">
    <w:name w:val="Body Text"/>
    <w:basedOn w:val="1"/>
    <w:next w:val="1"/>
    <w:semiHidden/>
    <w:qFormat/>
    <w:uiPriority w:val="0"/>
    <w:rPr>
      <w:rFonts w:ascii="黑体" w:hAnsi="黑体" w:eastAsia="黑体" w:cs="黑体"/>
      <w:sz w:val="52"/>
      <w:szCs w:val="52"/>
      <w:lang w:val="en-US" w:eastAsia="en-US" w:bidi="ar-SA"/>
    </w:rPr>
  </w:style>
  <w:style w:type="paragraph" w:styleId="9">
    <w:name w:val="Body Text Indent 2"/>
    <w:basedOn w:val="1"/>
    <w:qFormat/>
    <w:uiPriority w:val="0"/>
    <w:pPr>
      <w:autoSpaceDE/>
      <w:autoSpaceDN/>
      <w:spacing w:line="500" w:lineRule="exact"/>
      <w:ind w:firstLine="540" w:firstLineChars="200"/>
      <w:jc w:val="both"/>
    </w:pPr>
    <w:rPr>
      <w:rFonts w:cs="Times New Roman"/>
      <w:kern w:val="2"/>
      <w:sz w:val="27"/>
      <w:szCs w:val="27"/>
      <w:lang w:val="zh-CN" w:eastAsia="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character" w:customStyle="1" w:styleId="17">
    <w:name w:val="font161"/>
    <w:qFormat/>
    <w:uiPriority w:val="0"/>
    <w:rPr>
      <w:b/>
      <w:sz w:val="32"/>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bCs w:val="0"/>
      <w:sz w:val="28"/>
      <w:szCs w:val="28"/>
      <w:lang w:val="en-US" w:eastAsia="zh-CN"/>
    </w:rPr>
  </w:style>
  <w:style w:type="paragraph" w:customStyle="1" w:styleId="20">
    <w:name w:val="样式 标题 3 + (中文) 黑体 小四 非加粗 段前: 7.8 磅 段后: 0 磅 行距: 固定值 20 磅"/>
    <w:basedOn w:val="3"/>
    <w:qFormat/>
    <w:uiPriority w:val="0"/>
    <w:pPr>
      <w:widowControl w:val="0"/>
      <w:numPr>
        <w:ilvl w:val="0"/>
        <w:numId w:val="0"/>
      </w:numPr>
      <w:spacing w:before="0" w:after="0" w:line="400" w:lineRule="exact"/>
      <w:jc w:val="both"/>
    </w:pPr>
    <w:rPr>
      <w:rFonts w:eastAsia="黑体" w:cs="宋体"/>
      <w:b w:val="0"/>
      <w:kern w:val="2"/>
      <w:sz w:val="24"/>
    </w:rPr>
  </w:style>
  <w:style w:type="character" w:customStyle="1" w:styleId="21">
    <w:name w:val="font11"/>
    <w:basedOn w:val="14"/>
    <w:qFormat/>
    <w:uiPriority w:val="0"/>
    <w:rPr>
      <w:rFonts w:hint="eastAsia" w:ascii="新宋体" w:hAnsi="新宋体" w:eastAsia="新宋体" w:cs="新宋体"/>
      <w:color w:val="000000"/>
      <w:sz w:val="20"/>
      <w:szCs w:val="20"/>
      <w:u w:val="none"/>
    </w:rPr>
  </w:style>
  <w:style w:type="character" w:customStyle="1" w:styleId="22">
    <w:name w:val="font41"/>
    <w:basedOn w:val="14"/>
    <w:qFormat/>
    <w:uiPriority w:val="0"/>
    <w:rPr>
      <w:rFonts w:hint="eastAsia" w:ascii="宋体" w:hAnsi="宋体" w:eastAsia="宋体" w:cs="宋体"/>
      <w:color w:val="000000"/>
      <w:sz w:val="21"/>
      <w:szCs w:val="21"/>
      <w:u w:val="none"/>
    </w:rPr>
  </w:style>
  <w:style w:type="character" w:customStyle="1" w:styleId="23">
    <w:name w:val="font31"/>
    <w:basedOn w:val="14"/>
    <w:qFormat/>
    <w:uiPriority w:val="0"/>
    <w:rPr>
      <w:rFonts w:hint="eastAsia" w:ascii="等线" w:hAnsi="等线" w:eastAsia="等线" w:cs="等线"/>
      <w:color w:val="000000"/>
      <w:sz w:val="21"/>
      <w:szCs w:val="21"/>
      <w:u w:val="none"/>
    </w:rPr>
  </w:style>
  <w:style w:type="character" w:customStyle="1" w:styleId="24">
    <w:name w:val="font81"/>
    <w:basedOn w:val="14"/>
    <w:qFormat/>
    <w:uiPriority w:val="0"/>
    <w:rPr>
      <w:rFonts w:hint="eastAsia" w:ascii="宋体" w:hAnsi="宋体" w:eastAsia="宋体" w:cs="宋体"/>
      <w:color w:val="000000"/>
      <w:sz w:val="22"/>
      <w:szCs w:val="22"/>
      <w:u w:val="none"/>
    </w:rPr>
  </w:style>
  <w:style w:type="character" w:customStyle="1" w:styleId="25">
    <w:name w:val="font71"/>
    <w:basedOn w:val="14"/>
    <w:qFormat/>
    <w:uiPriority w:val="0"/>
    <w:rPr>
      <w:rFonts w:ascii="宋体" w:hAnsi="宋体" w:eastAsia="宋体" w:cs="宋体"/>
      <w:color w:val="000000"/>
      <w:sz w:val="22"/>
      <w:szCs w:val="22"/>
      <w:u w:val="none"/>
    </w:rPr>
  </w:style>
  <w:style w:type="character" w:customStyle="1" w:styleId="26">
    <w:name w:val="标题 1 Char1"/>
    <w:qFormat/>
    <w:locked/>
    <w:uiPriority w:val="0"/>
    <w:rPr>
      <w:bCs/>
      <w:kern w:val="44"/>
      <w:sz w:val="44"/>
      <w:szCs w:val="44"/>
    </w:rPr>
  </w:style>
  <w:style w:type="paragraph" w:customStyle="1" w:styleId="27">
    <w:name w:val="正文文本 (13)"/>
    <w:basedOn w:val="1"/>
    <w:qFormat/>
    <w:uiPriority w:val="99"/>
    <w:pPr>
      <w:shd w:val="clear" w:color="auto" w:fill="FFFFFF"/>
      <w:autoSpaceDE/>
      <w:autoSpaceDN/>
      <w:spacing w:line="240" w:lineRule="atLeast"/>
    </w:pPr>
    <w:rPr>
      <w:rFonts w:ascii="MingLiU" w:eastAsia="MingLiU" w:cs="MingLiU" w:hAnsiTheme="minorHAnsi"/>
      <w:spacing w:val="40"/>
      <w:sz w:val="56"/>
      <w:szCs w:val="56"/>
    </w:rPr>
  </w:style>
  <w:style w:type="character" w:customStyle="1" w:styleId="28">
    <w:name w:val="正文文本 (13) + 间距 3 pt"/>
    <w:qFormat/>
    <w:uiPriority w:val="99"/>
    <w:rPr>
      <w:rFonts w:ascii="MingLiU" w:eastAsia="MingLiU" w:cs="MingLiU"/>
      <w:spacing w:val="70"/>
      <w:sz w:val="56"/>
      <w:szCs w:val="5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wmf"/><Relationship Id="rId21" Type="http://schemas.openxmlformats.org/officeDocument/2006/relationships/oleObject" Target="embeddings/oleObject1.bin"/><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114"/>
    <customShpInfo spid="_x0000_s111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116</Pages>
  <Words>47512</Words>
  <Characters>50574</Characters>
  <TotalTime>21</TotalTime>
  <ScaleCrop>false</ScaleCrop>
  <LinksUpToDate>false</LinksUpToDate>
  <CharactersWithSpaces>51465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2026-01-06T16:58:00Z</dcterms:created>
  <dc:creator>冬至</dc:creator>
  <cp:lastModifiedBy>虢再红</cp:lastModifiedBy>
  <dcterms:modified xsi:type="dcterms:W3CDTF">2026-02-25T01:45:44Z</dcterms:modified>
  <dc:title>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2026-01-09T21:56:03Z</vt:filetime>
  </property>
  <property fmtid="{D5CDD505-2E9C-101B-9397-08002B2CF9AE}" pid="4" name="KSOTemplateDocerSaveRecord">
    <vt:lpwstr>eyJoZGlkIjoiY2Y0MmQ3ODQ1YzY1ZTQyZDQxNDNlYmIyOGYxMDZhOTciLCJ1c2VySWQiOiIzNzEwMTY0NzEifQ==</vt:lpwstr>
  </property>
  <property fmtid="{D5CDD505-2E9C-101B-9397-08002B2CF9AE}" pid="5" name="KSOProductBuildVer">
    <vt:lpwstr>2052-12.1.0.24657</vt:lpwstr>
  </property>
  <property fmtid="{D5CDD505-2E9C-101B-9397-08002B2CF9AE}" pid="6" name="ICV">
    <vt:lpwstr>C0C55D96A3DF42A5B3FD74A97029819A_13</vt:lpwstr>
  </property>
</Properties>
</file>