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广东省工程建设项目</w:t>
      </w:r>
      <w:bookmarkStart w:id="0" w:name="_GoBack"/>
      <w:bookmarkEnd w:id="0"/>
      <w:r>
        <w:rPr>
          <w:rFonts w:hint="eastAsia"/>
        </w:rPr>
        <w:t>招标公告</w:t>
      </w:r>
    </w:p>
    <w:tbl>
      <w:tblPr>
        <w:tblStyle w:val="5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861"/>
        <w:gridCol w:w="1547"/>
        <w:gridCol w:w="118"/>
        <w:gridCol w:w="1473"/>
        <w:gridCol w:w="1737"/>
        <w:gridCol w:w="1786"/>
      </w:tblGrid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94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投资项目代码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2018-440512-55-02-822807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71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投资项目名称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汕头港广澳港区三期工程（15#-17#泊位第一标段）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83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招标项目名称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汕头港广澳港区三期工程（15#-17#泊位第一标段）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929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标段（包）名称</w:t>
            </w:r>
          </w:p>
        </w:tc>
        <w:tc>
          <w:tcPr>
            <w:tcW w:type="dxa" w:w="1547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汕头港广澳港区三期工程（15#-17#泊位第一标段）</w:t>
            </w:r>
          </w:p>
        </w:tc>
        <w:tc>
          <w:tcPr>
            <w:tcW w:type="dxa" w:w="1591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公告性质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正常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37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资格审查方式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资格后审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7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招标项目实施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(交货)地点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广东省汕头港的广澳港区内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360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资金来源</w:t>
            </w:r>
          </w:p>
        </w:tc>
        <w:tc>
          <w:tcPr>
            <w:tcW w:type="dxa" w:w="1547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企业自筹和贷款</w:t>
            </w:r>
          </w:p>
        </w:tc>
        <w:tc>
          <w:tcPr>
            <w:tcW w:type="dxa" w:w="1591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资金来源构成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企业自筹30%，70%贷款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74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招标范围及规模</w:t>
            </w:r>
          </w:p>
        </w:tc>
        <w:tc>
          <w:tcPr>
            <w:tcW w:type="dxa" w:w="6661"/>
            <w:gridSpan w:val="5"/>
            <w:vAlign w:val="top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1 项目概况：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本工程本工程位于汕头港的广澳港区内。广澳港区地处汕头市濠江区南端广澳湾内，地理坐标为北纬23˚13’00’’，东经116˚46’00’’，港区东枕马耳角海岬，西接企望湾，北靠汕头市，南部面向南海。拟建设3个2万吨级通用泊位及相应配套设施，使用港口岸线长度650m，件杂货设计吞吐量245万吨/年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2 招标范围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本项目的疏浚工程、水工建筑物工程、陆域形成及地基处理工程、导助航工程、临时工程等的施工，具体详见招标工程量清单及施工图；负责本次施工范围内的安装及质保期的缺陷处理。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66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招标内容</w:t>
            </w:r>
          </w:p>
        </w:tc>
        <w:tc>
          <w:tcPr>
            <w:tcW w:type="dxa" w:w="6661"/>
            <w:gridSpan w:val="5"/>
            <w:vAlign w:val="top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工期（交货期）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计划工期：20个月，600日历天（具体开工日期，以监理单位下发开工令为准。）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最高投标限价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\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16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是否接受联合体投标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否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22"/>
        </w:trPr>
        <w:tc>
          <w:tcPr>
            <w:tcW w:type="dxa" w:w="1861"/>
            <w:vMerge w:val="restart"/>
            <w:vAlign w:val="center"/>
          </w:tcPr>
          <w:p>
            <w:pPr>
              <w:jc w:val="right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投标资格能力要求</w:t>
            </w:r>
          </w:p>
          <w:p>
            <w:pPr>
              <w:jc w:val="right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(包括但不限于资质</w:t>
            </w:r>
          </w:p>
          <w:p>
            <w:pPr>
              <w:jc w:val="right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人员、业绩等要求)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投标人资格要求</w:t>
            </w:r>
          </w:p>
        </w:tc>
        <w:tc>
          <w:tcPr>
            <w:tcW w:type="dxa" w:w="4996"/>
            <w:gridSpan w:val="3"/>
            <w:vAlign w:val="center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汕头港广澳港区三期工程（15#-17#泊位第一标段）：A 类（港口工程）：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投标人必须具有独立法人资格，具备港口与航道工程施工总承包二级（或以上）资质，营业执照和施工企业安全生产许可证有效。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/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462"/>
        </w:trPr>
        <w:tc>
          <w:tcPr>
            <w:tcW w:type="dxa" w:w="1861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投标人业绩要求</w:t>
            </w:r>
          </w:p>
        </w:tc>
        <w:tc>
          <w:tcPr>
            <w:tcW w:type="dxa" w:w="4996"/>
            <w:gridSpan w:val="3"/>
            <w:vAlign w:val="center"/>
          </w:tcPr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汕头港广澳港区三期工程（15#-17#泊位第一标段）：近五年内，成功完成以下施工业绩：</w:t>
            </w:r>
          </w:p>
          <w:p>
            <w:pPr>
              <w:jc w:val="both"/>
              <w:rPr>
                <w:sz w:val="18"/>
              </w:rPr>
            </w:pPr>
            <w:r>
              <w:rPr>
                <w:rFonts w:ascii="宋体" w:hAnsi="宋体" w:cs="宋体" w:eastAsia="宋体"/>
                <w:color w:val=""/>
                <w:sz w:val="18"/>
                <w:u w:val="none"/>
              </w:rPr>
              <w:t>（1）②沿海不少于2万吨级码头工程不少于  1  个。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1018"/>
        </w:trPr>
        <w:tc>
          <w:tcPr>
            <w:tcW w:type="dxa" w:w="1861"/>
            <w:vMerge w:val="restart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是否采用电子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招标投标方式</w:t>
            </w:r>
          </w:p>
        </w:tc>
        <w:tc>
          <w:tcPr>
            <w:tcW w:type="dxa" w:w="1665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是</w:t>
            </w:r>
          </w:p>
        </w:tc>
        <w:tc>
          <w:tcPr>
            <w:tcW w:type="dxa" w:w="1473"/>
            <w:vMerge w:val="restart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获取资格预审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/招标文件的</w:t>
            </w:r>
          </w:p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方式</w:t>
            </w:r>
          </w:p>
        </w:tc>
        <w:tc>
          <w:tcPr>
            <w:tcW w:type="dxa" w:w="1737"/>
            <w:vAlign w:val="center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下载资格预审/招标文件的网络地址</w:t>
            </w:r>
          </w:p>
        </w:tc>
        <w:tc>
          <w:tcPr>
            <w:tcW w:type="dxa" w:w="1786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广东省公路水运工程建设项目电子招投标交易平台（https://gzjzjc.com.cn:30888/tenderlogin）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type="dxa" w:w="1665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  <w:tc>
          <w:tcPr>
            <w:tcW w:type="dxa" w:w="1473"/>
            <w:vMerge w:val="continue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  <w:tc>
          <w:tcPr>
            <w:tcW w:type="dxa" w:w="1737"/>
            <w:vAlign w:val="center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获取纸质资格预审/招标文件的方式</w:t>
            </w:r>
          </w:p>
        </w:tc>
        <w:tc>
          <w:tcPr>
            <w:tcW w:type="dxa" w:w="1786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获取资格预审/招标文件开始时间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获取资格预审</w:t>
            </w:r>
          </w:p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/招标文件截</w:t>
            </w:r>
          </w:p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止时间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</w:rPr>
              <w:t>递交资格预审/投标文件截止时间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default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资格预审/投标文件递交方式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投标人应在递交投标文件截止时间前，通过互联网使用CA数字证书登录“电子交易平台”，将加密的投标文件上传，并保存上传成功后系统自动生成的电子签收凭证，递交时间即为电子签收凭证时间。逾期未完成上传或未按规定加密的投标文件，招标人予以拒收。投标人如需提交投标文件光盘或U盘备用，具体要求详见投标人须知前附表3.7.4项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开标时间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开标地点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  <w:t>广州公共资源交易中心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7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发布公告媒介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both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广东省招标投标监管网、广州公共资源交易中心网站，如公告详细内容不一致者，以广东省招标投标监管网公告为准。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8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招标人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广东绿动南方新能源发展有限公司</w:t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联系地址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广东汕头市金平区东夏南路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0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招标人联系人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廖先生</w:t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联系电话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18170796255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招标代理机构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中国电能成套设备有限公司</w:t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联系地址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北京市东城区安德里北街15号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招标代理联系人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夏先生</w:t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联系电话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>15600889489</w:t>
            </w: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招标监督机构</w:t>
            </w:r>
          </w:p>
        </w:tc>
        <w:tc>
          <w:tcPr>
            <w:tcW w:type="dxa" w:w="1665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  <w:r>
              <w:rPr>
                <w:rFonts w:ascii="宋体" w:cs="宋体" w:eastAsia="宋体" w:hAnsi="宋体" w:hint="eastAsia"/>
                <w:sz w:val="18"/>
                <w:szCs w:val="18"/>
                <w:vertAlign w:val="baseline"/>
                <w:lang w:eastAsia="zh-CN" w:val="en-US"/>
              </w:rPr>
              <w:t/>
            </w:r>
          </w:p>
        </w:tc>
        <w:tc>
          <w:tcPr>
            <w:tcW w:type="dxa" w:w="1473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联系电话</w:t>
            </w:r>
          </w:p>
        </w:tc>
        <w:tc>
          <w:tcPr>
            <w:tcW w:type="dxa" w:w="3523"/>
            <w:gridSpan w:val="2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rPr>
          <w:trHeight w:hRule="atLeast" w:val="588"/>
        </w:trPr>
        <w:tc>
          <w:tcPr>
            <w:tcW w:type="dxa" w:w="1861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ascii="宋体" w:cs="宋体" w:eastAsia="宋体" w:hAnsi="宋体" w:hint="eastAsia"/>
                <w:b/>
                <w:bCs/>
                <w:sz w:val="18"/>
                <w:szCs w:val="18"/>
                <w:vertAlign w:val="baseline"/>
                <w:lang w:eastAsia="zh-CN" w:val="en-US"/>
              </w:rPr>
              <w:t>其他依法应当载明的内容</w:t>
            </w:r>
          </w:p>
        </w:tc>
        <w:tc>
          <w:tcPr>
            <w:tcW w:type="dxa" w:w="6661"/>
            <w:gridSpan w:val="5"/>
            <w:vAlign w:val="center"/>
          </w:tcPr>
          <w:p>
            <w:pPr>
              <w:jc w:val="center"/>
              <w:rPr>
                <w:rFonts w:ascii="宋体" w:cs="宋体" w:eastAsia="宋体" w:hAnsi="宋体" w:hint="eastAsia"/>
                <w:sz w:val="18"/>
                <w:szCs w:val="18"/>
                <w:vertAlign w:val="baseline"/>
              </w:rPr>
            </w:pPr>
          </w:p>
        </w:tc>
      </w:tr>
    </w:tbl>
    <w:p>
      <w:pPr>
        <w:rPr>
          <w:rFonts w:ascii="宋体" w:cs="宋体" w:eastAsia="宋体" w:hAnsi="宋体" w:hint="eastAsia"/>
        </w:rPr>
      </w:pPr>
    </w:p>
    <w:sectPr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YzBmYzViNmM1OWM4MGVhN2RmMzhiYTQ1MGQ4MTgifQ=="/>
  </w:docVars>
  <w:rsids>
    <w:rsidRoot w:val="00000000"/>
    <w:rsid w:val="028247F4"/>
    <w:rsid w:val="0396194E"/>
    <w:rsid w:val="04620439"/>
    <w:rsid w:val="05687A1E"/>
    <w:rsid w:val="05932FA0"/>
    <w:rsid w:val="072445B9"/>
    <w:rsid w:val="08B7634F"/>
    <w:rsid w:val="0A7B4003"/>
    <w:rsid w:val="0ADD625D"/>
    <w:rsid w:val="0B085689"/>
    <w:rsid w:val="0B66715B"/>
    <w:rsid w:val="0BEA32BC"/>
    <w:rsid w:val="0CC86D0F"/>
    <w:rsid w:val="11F8062F"/>
    <w:rsid w:val="133815F1"/>
    <w:rsid w:val="1424395D"/>
    <w:rsid w:val="151F6812"/>
    <w:rsid w:val="17BA3F9F"/>
    <w:rsid w:val="18FA3AAC"/>
    <w:rsid w:val="1903629F"/>
    <w:rsid w:val="1937087B"/>
    <w:rsid w:val="19BD16CC"/>
    <w:rsid w:val="1A8D6F59"/>
    <w:rsid w:val="1AE77ACD"/>
    <w:rsid w:val="1BA63D15"/>
    <w:rsid w:val="1E9A4F48"/>
    <w:rsid w:val="1F015BE8"/>
    <w:rsid w:val="1F6F644D"/>
    <w:rsid w:val="22240889"/>
    <w:rsid w:val="2288155B"/>
    <w:rsid w:val="244F43AD"/>
    <w:rsid w:val="24C5104D"/>
    <w:rsid w:val="25205A7B"/>
    <w:rsid w:val="25EF5485"/>
    <w:rsid w:val="26192901"/>
    <w:rsid w:val="26BB1EFF"/>
    <w:rsid w:val="27C844E7"/>
    <w:rsid w:val="2A3C3357"/>
    <w:rsid w:val="2AF66BF8"/>
    <w:rsid w:val="2BB24EAC"/>
    <w:rsid w:val="2C243739"/>
    <w:rsid w:val="2D1B36F8"/>
    <w:rsid w:val="2DAC7BED"/>
    <w:rsid w:val="2FBA5573"/>
    <w:rsid w:val="307C6264"/>
    <w:rsid w:val="32F5208D"/>
    <w:rsid w:val="33492641"/>
    <w:rsid w:val="33D47D4F"/>
    <w:rsid w:val="34BE7E51"/>
    <w:rsid w:val="358A56C2"/>
    <w:rsid w:val="35DF39AD"/>
    <w:rsid w:val="37CE29CF"/>
    <w:rsid w:val="385D5DEF"/>
    <w:rsid w:val="38E31CCA"/>
    <w:rsid w:val="396B18F5"/>
    <w:rsid w:val="3A0674A4"/>
    <w:rsid w:val="3ADC46EA"/>
    <w:rsid w:val="3CAF4612"/>
    <w:rsid w:val="3E972B6C"/>
    <w:rsid w:val="3FA50A7A"/>
    <w:rsid w:val="40185875"/>
    <w:rsid w:val="403666A1"/>
    <w:rsid w:val="40FD53A3"/>
    <w:rsid w:val="412F7925"/>
    <w:rsid w:val="42355B4F"/>
    <w:rsid w:val="43076734"/>
    <w:rsid w:val="4327700E"/>
    <w:rsid w:val="43AF4742"/>
    <w:rsid w:val="43ED593A"/>
    <w:rsid w:val="44093E52"/>
    <w:rsid w:val="44711472"/>
    <w:rsid w:val="450B3510"/>
    <w:rsid w:val="45F11042"/>
    <w:rsid w:val="46E719AA"/>
    <w:rsid w:val="473F6691"/>
    <w:rsid w:val="478F466E"/>
    <w:rsid w:val="485D29BF"/>
    <w:rsid w:val="48724017"/>
    <w:rsid w:val="49DC0844"/>
    <w:rsid w:val="4B1331CA"/>
    <w:rsid w:val="4BB26B7D"/>
    <w:rsid w:val="4C1A1186"/>
    <w:rsid w:val="4C235C4C"/>
    <w:rsid w:val="4EDF7A58"/>
    <w:rsid w:val="4F626994"/>
    <w:rsid w:val="4FAD422B"/>
    <w:rsid w:val="4FCD042A"/>
    <w:rsid w:val="50037A14"/>
    <w:rsid w:val="50C35086"/>
    <w:rsid w:val="50CD3B67"/>
    <w:rsid w:val="546E63A5"/>
    <w:rsid w:val="55F14746"/>
    <w:rsid w:val="57812F2D"/>
    <w:rsid w:val="587578B0"/>
    <w:rsid w:val="58B242BD"/>
    <w:rsid w:val="59E26240"/>
    <w:rsid w:val="5C321615"/>
    <w:rsid w:val="5C53318D"/>
    <w:rsid w:val="5CE9261B"/>
    <w:rsid w:val="5D301FF8"/>
    <w:rsid w:val="5DA84284"/>
    <w:rsid w:val="5ED93504"/>
    <w:rsid w:val="5F107065"/>
    <w:rsid w:val="60592C21"/>
    <w:rsid w:val="60EA79A6"/>
    <w:rsid w:val="612C2AD6"/>
    <w:rsid w:val="62944BFA"/>
    <w:rsid w:val="638D1ED6"/>
    <w:rsid w:val="63DA4A6C"/>
    <w:rsid w:val="65165D18"/>
    <w:rsid w:val="657C227E"/>
    <w:rsid w:val="65A2329F"/>
    <w:rsid w:val="676E4DB6"/>
    <w:rsid w:val="6779459B"/>
    <w:rsid w:val="686178A3"/>
    <w:rsid w:val="68BE495C"/>
    <w:rsid w:val="68CF4DBB"/>
    <w:rsid w:val="69C615E3"/>
    <w:rsid w:val="6A1B23CD"/>
    <w:rsid w:val="6A2230B3"/>
    <w:rsid w:val="6BDA0D35"/>
    <w:rsid w:val="6C1A459F"/>
    <w:rsid w:val="6C2E3313"/>
    <w:rsid w:val="6CA51AD2"/>
    <w:rsid w:val="6D01750D"/>
    <w:rsid w:val="6D747CDF"/>
    <w:rsid w:val="6E0F17B6"/>
    <w:rsid w:val="6E586D17"/>
    <w:rsid w:val="6F603095"/>
    <w:rsid w:val="706728F0"/>
    <w:rsid w:val="71CA611F"/>
    <w:rsid w:val="72AB7B7B"/>
    <w:rsid w:val="745B748A"/>
    <w:rsid w:val="74777E8B"/>
    <w:rsid w:val="751A73BE"/>
    <w:rsid w:val="764C2334"/>
    <w:rsid w:val="781B08C4"/>
    <w:rsid w:val="786170B2"/>
    <w:rsid w:val="7A276C5B"/>
    <w:rsid w:val="7A737ACF"/>
    <w:rsid w:val="7AB30DC5"/>
    <w:rsid w:val="7B0F7299"/>
    <w:rsid w:val="7B263107"/>
    <w:rsid w:val="7BE54F72"/>
    <w:rsid w:val="7C142DB9"/>
    <w:rsid w:val="7CBA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</w:settings>
</file>

<file path=word/styles.xml><?xml version="1.0" encoding="utf-8"?>
<w:style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psCustomData="http://www.wps.cn/officeDocument/2013/wpsCustomData" mc:Ignorable="w14">
  <w:docDefaults>
    <w:rPrDefault>
      <w:rPr>
        <w:rFonts w:ascii="Times New Roman" w:cs="Times New Roman" w:eastAsia="宋体" w:hAnsi="Times New Roman"/>
      </w:rPr>
    </w:rPrDefault>
    <w:pPrDefault/>
  </w:docDefaults>
  <w:latentStyles w:count="260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semiHidden="0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qFormat="1" w:uiPriority="0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qFormat="1" w:semiHidden="0" w:uiPriority="0" w:unhideWhenUsed="0"/>
    <w:lsdException w:name="Closing" w:semiHidden="0" w:uiPriority="0" w:unhideWhenUsed="0"/>
    <w:lsdException w:name="Signature" w:semiHidden="0" w:uiPriority="0" w:unhideWhenUsed="0"/>
    <w:lsdException w:name="Default Paragraph Font" w:qFormat="1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qFormat="1" w:semiHidden="0" w:uiPriority="0" w:unhideWhenUsed="0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qFormat="1" w:semiHidden="0" w:uiPriority="0" w:unhideWhenUsed="0"/>
    <w:lsdException w:name="Emphasis" w:qFormat="1" w:semiHidden="0" w:uiPriority="0" w:unhideWhenUsed="0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qFormat="1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default="1" w:styleId="1" w:type="paragraph">
    <w:name w:val="Normal"/>
    <w:qFormat/>
    <w:uiPriority w:val="0"/>
    <w:pPr>
      <w:widowControl w:val="0"/>
      <w:jc w:val="both"/>
    </w:pPr>
    <w:rPr>
      <w:rFonts w:asciiTheme="minorHAnsi" w:cstheme="minorBidi" w:eastAsiaTheme="minorEastAsia" w:hAnsiTheme="minorHAnsi"/>
      <w:kern w:val="2"/>
      <w:sz w:val="21"/>
      <w:szCs w:val="24"/>
      <w:lang w:bidi="ar-SA" w:eastAsia="zh-CN" w:val="en-US"/>
    </w:rPr>
  </w:style>
  <w:style w:styleId="2" w:type="paragraph">
    <w:name w:val="heading 2"/>
    <w:basedOn w:val="1"/>
    <w:next w:val="1"/>
    <w:unhideWhenUsed/>
    <w:qFormat/>
    <w:uiPriority w:val="0"/>
    <w:pPr>
      <w:keepNext/>
      <w:keepLines/>
      <w:spacing w:after="260" w:afterAutospacing="0" w:afterLines="0" w:before="260" w:beforeAutospacing="0" w:beforeLines="0" w:line="413" w:lineRule="auto"/>
      <w:outlineLvl w:val="1"/>
    </w:pPr>
    <w:rPr>
      <w:rFonts w:ascii="Arial" w:eastAsia="黑体" w:hAnsi="Arial"/>
      <w:b/>
      <w:sz w:val="32"/>
    </w:rPr>
  </w:style>
  <w:style w:default="1" w:styleId="6" w:type="character">
    <w:name w:val="Default Paragraph Font"/>
    <w:semiHidden/>
    <w:qFormat/>
    <w:uiPriority w:val="0"/>
  </w:style>
  <w:style w:default="1" w:styleId="4" w:type="table">
    <w:name w:val="Normal Table"/>
    <w:semiHidden/>
    <w:qFormat/>
    <w:uiPriority w:val="0"/>
    <w:tblPr>
      <w:tblCellMar>
        <w:top w:type="dxa" w:w="0"/>
        <w:left w:type="dxa" w:w="108"/>
        <w:bottom w:type="dxa" w:w="0"/>
        <w:right w:type="dxa" w:w="108"/>
      </w:tblCellMar>
    </w:tblPr>
  </w:style>
  <w:style w:styleId="3" w:type="paragraph">
    <w:name w:val="HTML Preformatted"/>
    <w:basedOn w:val="1"/>
    <w:uiPriority w:val="0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jc w:val="left"/>
    </w:pPr>
    <w:rPr>
      <w:rFonts w:ascii="宋体" w:cs="宋体" w:eastAsia="宋体" w:hAnsi="宋体" w:hint="eastAsia"/>
      <w:kern w:val="0"/>
      <w:sz w:val="24"/>
      <w:szCs w:val="24"/>
      <w:lang w:bidi="ar" w:eastAsia="zh-CN" w:val="en-US"/>
    </w:rPr>
  </w:style>
  <w:style w:styleId="5" w:type="table">
    <w:name w:val="Table Grid"/>
    <w:basedOn w:val="4"/>
    <w:qFormat/>
    <w:uiPriority w:val="0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2023-10-30T03:10:00Z</dcterms:created>
  <dc:creator>ct</dc:creator>
  <cp:lastModifiedBy>空白</cp:lastModifiedBy>
  <dcterms:modified xsi:type="dcterms:W3CDTF">2023-11-08T02:35:37Z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KSOProductBuildVer" pid="2">
    <vt:lpwstr>2052-12.1.0.15712</vt:lpwstr>
  </property>
  <property fmtid="{D5CDD505-2E9C-101B-9397-08002B2CF9AE}" name="ICV" pid="3">
    <vt:lpwstr>DE513D7F1DA64BA78ED3D63D32C30144_12</vt:lpwstr>
  </property>
</Properties>
</file>