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ind w:firstLine="643" w:firstLineChars="200"/>
        <w:jc w:val="center"/>
        <w:rPr>
          <w:rFonts w:hint="eastAsia" w:ascii="宋体" w:hAnsi="宋体"/>
          <w:b/>
          <w:sz w:val="32"/>
          <w:szCs w:val="32"/>
        </w:rPr>
      </w:pPr>
      <w:r>
        <w:rPr>
          <w:rFonts w:hint="eastAsia" w:ascii="宋体" w:hAnsi="宋体"/>
          <w:b/>
          <w:sz w:val="32"/>
          <w:szCs w:val="32"/>
        </w:rPr>
        <w:t>平远县大佛寺至东台旅游公路工程</w:t>
      </w:r>
    </w:p>
    <w:p>
      <w:pPr>
        <w:adjustRightInd w:val="0"/>
        <w:snapToGrid w:val="0"/>
        <w:spacing w:line="360" w:lineRule="auto"/>
        <w:ind w:firstLine="643" w:firstLineChars="200"/>
        <w:jc w:val="center"/>
        <w:rPr>
          <w:rFonts w:ascii="宋体" w:hAnsi="宋体"/>
          <w:b/>
          <w:sz w:val="24"/>
          <w:szCs w:val="24"/>
        </w:rPr>
      </w:pPr>
      <w:r>
        <w:rPr>
          <w:rFonts w:hint="eastAsia" w:ascii="宋体" w:hAnsi="宋体"/>
          <w:b/>
          <w:sz w:val="32"/>
          <w:szCs w:val="32"/>
        </w:rPr>
        <w:t>施工招标公告</w:t>
      </w:r>
    </w:p>
    <w:p>
      <w:pPr>
        <w:adjustRightInd w:val="0"/>
        <w:snapToGrid w:val="0"/>
        <w:spacing w:line="360" w:lineRule="auto"/>
        <w:rPr>
          <w:rFonts w:ascii="宋体" w:hAnsi="宋体"/>
          <w:b/>
        </w:rPr>
      </w:pPr>
      <w:bookmarkStart w:id="0" w:name="bookmark8"/>
      <w:r>
        <w:rPr>
          <w:rFonts w:hint="eastAsia" w:ascii="宋体" w:hAnsi="宋体"/>
          <w:b/>
        </w:rPr>
        <w:t>1. 招标条件</w:t>
      </w:r>
      <w:bookmarkEnd w:id="0"/>
    </w:p>
    <w:p>
      <w:pPr>
        <w:spacing w:line="360" w:lineRule="auto"/>
        <w:ind w:firstLine="420" w:firstLineChars="200"/>
        <w:rPr>
          <w:rFonts w:ascii="宋体" w:hAnsi="宋体"/>
          <w:u w:val="single"/>
        </w:rPr>
      </w:pPr>
      <w:r>
        <w:rPr>
          <w:rFonts w:hint="eastAsia" w:ascii="宋体" w:hAnsi="宋体"/>
        </w:rPr>
        <w:t>本招标项目</w:t>
      </w:r>
      <w:r>
        <w:rPr>
          <w:rFonts w:hint="eastAsia" w:ascii="宋体" w:hAnsi="宋体"/>
          <w:u w:val="single"/>
        </w:rPr>
        <w:t>平远县大佛寺至东台旅游公路工程</w:t>
      </w:r>
      <w:r>
        <w:rPr>
          <w:rFonts w:hint="eastAsia" w:ascii="宋体" w:hAnsi="宋体"/>
        </w:rPr>
        <w:t>已由</w:t>
      </w:r>
      <w:r>
        <w:rPr>
          <w:rFonts w:hint="eastAsia" w:ascii="宋体" w:hAnsi="宋体"/>
          <w:u w:val="single"/>
        </w:rPr>
        <w:t>平远县发展和改革局以平发改投审2022﹞98号核准招标</w:t>
      </w:r>
      <w:r>
        <w:rPr>
          <w:rFonts w:hint="eastAsia" w:ascii="宋体" w:hAnsi="宋体"/>
        </w:rPr>
        <w:t>，施工图设计已由</w:t>
      </w:r>
      <w:r>
        <w:rPr>
          <w:rFonts w:hint="eastAsia" w:ascii="宋体" w:hAnsi="宋体"/>
          <w:u w:val="single"/>
        </w:rPr>
        <w:t>平远县交通运输局以平交审字﹝2023﹞11号文批</w:t>
      </w:r>
      <w:r>
        <w:rPr>
          <w:rFonts w:hint="eastAsia" w:ascii="宋体" w:hAnsi="宋体"/>
        </w:rPr>
        <w:t>复，项目业主为</w:t>
      </w:r>
      <w:r>
        <w:rPr>
          <w:rFonts w:hint="eastAsia" w:ascii="宋体" w:hAnsi="宋体"/>
          <w:u w:val="single"/>
        </w:rPr>
        <w:t>平远县绿洲旅游投资开发有限公司</w:t>
      </w:r>
      <w:r>
        <w:rPr>
          <w:rFonts w:hint="eastAsia" w:ascii="宋体" w:hAnsi="宋体"/>
        </w:rPr>
        <w:t>,建设资金来自</w:t>
      </w:r>
      <w:r>
        <w:rPr>
          <w:rFonts w:hint="eastAsia" w:ascii="宋体" w:hAnsi="宋体"/>
          <w:u w:val="single"/>
        </w:rPr>
        <w:t>上级补助及地方政府专项债资金</w:t>
      </w:r>
      <w:r>
        <w:rPr>
          <w:rFonts w:hint="eastAsia" w:ascii="宋体" w:hAnsi="宋体"/>
        </w:rPr>
        <w:t>，项目出资比例为</w:t>
      </w:r>
      <w:r>
        <w:rPr>
          <w:rFonts w:hint="eastAsia" w:ascii="宋体" w:hAnsi="宋体"/>
          <w:u w:val="single"/>
        </w:rPr>
        <w:t>100%</w:t>
      </w:r>
      <w:r>
        <w:rPr>
          <w:rFonts w:hint="eastAsia" w:ascii="宋体" w:hAnsi="宋体"/>
        </w:rPr>
        <w:t>，招标人为</w:t>
      </w:r>
      <w:r>
        <w:rPr>
          <w:rFonts w:hint="eastAsia" w:ascii="宋体" w:hAnsi="宋体"/>
          <w:u w:val="single"/>
        </w:rPr>
        <w:t>平远县绿洲旅游投资开发有限公司</w:t>
      </w:r>
      <w:r>
        <w:rPr>
          <w:rFonts w:hint="eastAsia" w:ascii="宋体" w:hAnsi="宋体"/>
        </w:rPr>
        <w:t>。项目已具备招标条件，现对该项目的施工采用资格后审方式进行公开招标。</w:t>
      </w:r>
    </w:p>
    <w:p>
      <w:pPr>
        <w:tabs>
          <w:tab w:val="left" w:pos="2552"/>
        </w:tabs>
        <w:spacing w:before="156" w:beforeLines="50" w:after="156" w:afterLines="50" w:line="360" w:lineRule="auto"/>
        <w:rPr>
          <w:rFonts w:ascii="宋体" w:hAnsi="宋体"/>
          <w:b/>
        </w:rPr>
      </w:pPr>
      <w:bookmarkStart w:id="1" w:name="bookmark9"/>
      <w:r>
        <w:rPr>
          <w:rFonts w:hint="eastAsia" w:ascii="宋体" w:hAnsi="宋体"/>
          <w:b/>
        </w:rPr>
        <w:t>2. 项目概况与招标范围</w:t>
      </w:r>
      <w:bookmarkEnd w:id="1"/>
    </w:p>
    <w:p>
      <w:pPr>
        <w:spacing w:line="360" w:lineRule="auto"/>
        <w:ind w:firstLine="420" w:firstLineChars="200"/>
        <w:rPr>
          <w:rFonts w:ascii="宋体" w:hAnsi="宋体" w:cs="宋体"/>
        </w:rPr>
      </w:pPr>
      <w:r>
        <w:rPr>
          <w:rFonts w:hint="eastAsia" w:ascii="宋体" w:hAnsi="宋体" w:cs="宋体"/>
        </w:rPr>
        <w:t>2.1 项目概况与招标范围</w:t>
      </w:r>
    </w:p>
    <w:p>
      <w:pPr>
        <w:spacing w:line="360" w:lineRule="auto"/>
        <w:ind w:firstLine="420" w:firstLineChars="200"/>
        <w:rPr>
          <w:rFonts w:hint="eastAsia" w:ascii="宋体" w:hAnsi="宋体"/>
        </w:rPr>
      </w:pPr>
      <w:r>
        <w:rPr>
          <w:rFonts w:hint="eastAsia" w:ascii="宋体" w:hAnsi="宋体" w:cs="宋体"/>
        </w:rPr>
        <w:t>（1）建设地点：广东省梅州市平远县大柘镇田兴村</w:t>
      </w:r>
    </w:p>
    <w:p>
      <w:pPr>
        <w:spacing w:line="360" w:lineRule="auto"/>
        <w:ind w:firstLine="420" w:firstLineChars="200"/>
        <w:rPr>
          <w:rFonts w:hint="eastAsia" w:ascii="宋体" w:hAnsi="宋体" w:cs="宋体"/>
        </w:rPr>
      </w:pPr>
      <w:r>
        <w:rPr>
          <w:rFonts w:hint="eastAsia" w:ascii="宋体" w:hAnsi="宋体" w:cs="宋体"/>
        </w:rPr>
        <w:t>（2）项目概况：</w:t>
      </w:r>
    </w:p>
    <w:p>
      <w:pPr>
        <w:spacing w:line="360" w:lineRule="auto"/>
        <w:ind w:firstLine="420" w:firstLineChars="200"/>
        <w:rPr>
          <w:rFonts w:hint="eastAsia" w:ascii="宋体" w:hAnsi="宋体" w:cs="宋体"/>
        </w:rPr>
      </w:pPr>
      <w:r>
        <w:rPr>
          <w:rFonts w:hint="eastAsia" w:ascii="宋体" w:hAnsi="宋体" w:cs="宋体"/>
        </w:rPr>
        <w:t>大佛寺至东台旅游公路工程包含两部分：大佛寺至南台山路面改造提升工程，路线起点位于Y261 大佛寺旁，起点桩号为K0+000, 终点位于南台卧佛景区停车场处，终点桩号为K2+700, 路线全长2.7km;Y150 线石正镇东台至南台山道路新改建工程，主线起点位于省道S225 处，沿线经过石正镇东台村，终点与南台村产业园内酒厂厂区道路相接，新建路线全长1.16km, 支线为旧路拓宽改建，长0.98km。 总计里程约4.8km。</w:t>
      </w:r>
    </w:p>
    <w:p>
      <w:pPr>
        <w:spacing w:line="360" w:lineRule="auto"/>
        <w:ind w:firstLine="420" w:firstLineChars="200"/>
        <w:rPr>
          <w:rFonts w:ascii="宋体" w:hAnsi="宋体" w:cs="宋体"/>
        </w:rPr>
      </w:pPr>
      <w:r>
        <w:rPr>
          <w:rFonts w:hint="eastAsia" w:ascii="宋体" w:hAnsi="宋体" w:cs="宋体"/>
        </w:rPr>
        <w:t>（3）招标范围</w:t>
      </w:r>
    </w:p>
    <w:p>
      <w:pPr>
        <w:spacing w:line="360" w:lineRule="auto"/>
        <w:ind w:firstLine="420" w:firstLineChars="200"/>
        <w:rPr>
          <w:rFonts w:hint="eastAsia" w:ascii="宋体" w:hAnsi="宋体" w:cs="宋体"/>
        </w:rPr>
      </w:pPr>
      <w:r>
        <w:rPr>
          <w:rFonts w:hint="eastAsia" w:ascii="宋体" w:hAnsi="宋体" w:cs="宋体"/>
        </w:rPr>
        <w:t>长2.7公里的路面改造提升工程和2.1公里的道路新改建工程，（具体以本项目施工图设计文件和工程量清单为准）。</w:t>
      </w:r>
    </w:p>
    <w:p>
      <w:pPr>
        <w:spacing w:line="360" w:lineRule="auto"/>
        <w:ind w:firstLine="420" w:firstLineChars="200"/>
        <w:rPr>
          <w:rFonts w:ascii="宋体" w:hAnsi="宋体" w:cs="宋体"/>
        </w:rPr>
      </w:pPr>
      <w:r>
        <w:rPr>
          <w:rFonts w:hint="eastAsia" w:ascii="宋体" w:hAnsi="宋体" w:cs="宋体"/>
        </w:rPr>
        <w:t>（4）计划工期</w:t>
      </w:r>
    </w:p>
    <w:p>
      <w:pPr>
        <w:spacing w:line="360" w:lineRule="auto"/>
        <w:ind w:firstLine="420" w:firstLineChars="200"/>
        <w:rPr>
          <w:rFonts w:hint="eastAsia"/>
        </w:rPr>
      </w:pPr>
      <w:r>
        <w:rPr>
          <w:rFonts w:hint="eastAsia" w:ascii="宋体" w:hAnsi="宋体" w:cs="宋体"/>
        </w:rPr>
        <w:t>计划工期为24个月，具体开工日期以招标人或监理下发的开工令为准。工期为预计工期，实际施工期将根据现场情况进行合理安排，各投标人须充分考虑并无条件接受。</w:t>
      </w:r>
      <w:r>
        <w:rPr>
          <w:rFonts w:ascii="宋体" w:hAnsi="宋体" w:cs="宋体"/>
        </w:rPr>
        <w:t xml:space="preserve"> </w:t>
      </w:r>
    </w:p>
    <w:p>
      <w:pPr>
        <w:spacing w:line="360" w:lineRule="auto"/>
        <w:ind w:firstLine="420" w:firstLineChars="200"/>
        <w:rPr>
          <w:rFonts w:ascii="宋体" w:hAnsi="宋体" w:cs="宋体"/>
        </w:rPr>
      </w:pPr>
      <w:r>
        <w:rPr>
          <w:rFonts w:hint="eastAsia" w:ascii="宋体" w:hAnsi="宋体" w:cs="宋体"/>
        </w:rPr>
        <w:t>2.2标段划分</w:t>
      </w:r>
    </w:p>
    <w:p>
      <w:pPr>
        <w:topLinePunct/>
        <w:spacing w:line="480" w:lineRule="exact"/>
        <w:ind w:firstLine="411" w:firstLineChars="196"/>
        <w:rPr>
          <w:rFonts w:hint="eastAsia" w:ascii="宋体" w:hAnsi="宋体" w:cs="宋体"/>
        </w:rPr>
        <w:sectPr>
          <w:pgSz w:w="11907" w:h="16840"/>
          <w:pgMar w:top="1418" w:right="1134" w:bottom="1304" w:left="1134" w:header="680" w:footer="567" w:gutter="0"/>
          <w:cols w:space="720" w:num="1"/>
          <w:docGrid w:type="lines" w:linePitch="312" w:charSpace="0"/>
        </w:sectPr>
      </w:pPr>
      <w:r>
        <w:rPr>
          <w:rFonts w:hint="eastAsia" w:ascii="宋体" w:hAnsi="宋体" w:cs="宋体"/>
        </w:rPr>
        <w:t>本次招标共分</w:t>
      </w:r>
      <w:r>
        <w:rPr>
          <w:rFonts w:hint="eastAsia" w:ascii="宋体" w:hAnsi="宋体" w:cs="宋体"/>
          <w:u w:val="single"/>
        </w:rPr>
        <w:t>1</w:t>
      </w:r>
      <w:r>
        <w:rPr>
          <w:rFonts w:hint="eastAsia" w:ascii="宋体" w:hAnsi="宋体" w:cs="宋体"/>
        </w:rPr>
        <w:t>个标类</w:t>
      </w:r>
      <w:r>
        <w:rPr>
          <w:rFonts w:hint="eastAsia" w:ascii="宋体" w:hAnsi="宋体" w:cs="宋体"/>
          <w:u w:val="single"/>
        </w:rPr>
        <w:t>1</w:t>
      </w:r>
      <w:r>
        <w:rPr>
          <w:rFonts w:hint="eastAsia" w:ascii="宋体" w:hAnsi="宋体" w:cs="宋体"/>
        </w:rPr>
        <w:t>个标段。</w:t>
      </w:r>
    </w:p>
    <w:tbl>
      <w:tblPr>
        <w:tblStyle w:val="5"/>
        <w:tblW w:w="9556" w:type="dxa"/>
        <w:jc w:val="center"/>
        <w:tblLayout w:type="fixed"/>
        <w:tblCellMar>
          <w:top w:w="0" w:type="dxa"/>
          <w:left w:w="108" w:type="dxa"/>
          <w:bottom w:w="0" w:type="dxa"/>
          <w:right w:w="108" w:type="dxa"/>
        </w:tblCellMar>
      </w:tblPr>
      <w:tblGrid>
        <w:gridCol w:w="2049"/>
        <w:gridCol w:w="505"/>
        <w:gridCol w:w="676"/>
        <w:gridCol w:w="712"/>
        <w:gridCol w:w="1139"/>
        <w:gridCol w:w="2289"/>
        <w:gridCol w:w="2186"/>
      </w:tblGrid>
      <w:tr>
        <w:tblPrEx>
          <w:tblCellMar>
            <w:top w:w="0" w:type="dxa"/>
            <w:left w:w="108" w:type="dxa"/>
            <w:bottom w:w="0" w:type="dxa"/>
            <w:right w:w="108" w:type="dxa"/>
          </w:tblCellMar>
        </w:tblPrEx>
        <w:trPr>
          <w:trHeight w:val="824" w:hRule="atLeast"/>
          <w:jc w:val="center"/>
        </w:trPr>
        <w:tc>
          <w:tcPr>
            <w:tcW w:w="204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Arial" w:hAnsi="Arial" w:cs="Arial"/>
                <w:color w:val="000000"/>
                <w:sz w:val="15"/>
                <w:szCs w:val="15"/>
              </w:rPr>
            </w:pPr>
            <w:r>
              <w:rPr>
                <w:rStyle w:val="8"/>
                <w:rFonts w:hint="default"/>
                <w:snapToGrid w:val="0"/>
                <w:sz w:val="22"/>
                <w:szCs w:val="22"/>
                <w:lang w:bidi="ar"/>
              </w:rPr>
              <w:t>标段类别</w:t>
            </w:r>
          </w:p>
        </w:tc>
        <w:tc>
          <w:tcPr>
            <w:tcW w:w="505" w:type="dxa"/>
            <w:tcBorders>
              <w:top w:val="single" w:color="000000" w:sz="4" w:space="0"/>
              <w:left w:val="single" w:color="000000" w:sz="4" w:space="0"/>
              <w:bottom w:val="single" w:color="000000" w:sz="4" w:space="0"/>
              <w:right w:val="single" w:color="000000" w:sz="4" w:space="0"/>
            </w:tcBorders>
            <w:noWrap w:val="0"/>
            <w:textDirection w:val="tbRlV"/>
            <w:vAlign w:val="center"/>
          </w:tcPr>
          <w:p>
            <w:pPr>
              <w:widowControl/>
              <w:jc w:val="center"/>
              <w:textAlignment w:val="center"/>
              <w:rPr>
                <w:rFonts w:ascii="Arial" w:hAnsi="Arial" w:cs="Arial"/>
                <w:color w:val="000000"/>
                <w:sz w:val="15"/>
                <w:szCs w:val="15"/>
              </w:rPr>
            </w:pPr>
            <w:r>
              <w:rPr>
                <w:rStyle w:val="8"/>
                <w:rFonts w:hint="default"/>
                <w:snapToGrid w:val="0"/>
                <w:sz w:val="22"/>
                <w:szCs w:val="22"/>
                <w:lang w:bidi="ar"/>
              </w:rPr>
              <w:t>标 段</w:t>
            </w:r>
          </w:p>
        </w:tc>
        <w:tc>
          <w:tcPr>
            <w:tcW w:w="6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Arial" w:hAnsi="Arial" w:cs="Arial"/>
                <w:color w:val="000000"/>
                <w:sz w:val="15"/>
                <w:szCs w:val="15"/>
              </w:rPr>
            </w:pPr>
            <w:r>
              <w:rPr>
                <w:rStyle w:val="8"/>
                <w:rFonts w:hint="default"/>
                <w:snapToGrid w:val="0"/>
                <w:sz w:val="22"/>
                <w:szCs w:val="22"/>
                <w:lang w:bidi="ar"/>
              </w:rPr>
              <w:t>起讫</w:t>
            </w:r>
            <w:r>
              <w:rPr>
                <w:rStyle w:val="8"/>
                <w:rFonts w:hint="default"/>
                <w:snapToGrid w:val="0"/>
                <w:sz w:val="22"/>
                <w:szCs w:val="22"/>
                <w:lang w:bidi="ar"/>
              </w:rPr>
              <w:br w:type="textWrapping"/>
            </w:r>
            <w:r>
              <w:rPr>
                <w:rStyle w:val="9"/>
                <w:rFonts w:hint="default"/>
                <w:snapToGrid w:val="0"/>
                <w:sz w:val="6"/>
                <w:szCs w:val="6"/>
                <w:lang w:bidi="ar"/>
              </w:rPr>
              <w:br w:type="textWrapping"/>
            </w:r>
            <w:r>
              <w:rPr>
                <w:rStyle w:val="8"/>
                <w:rFonts w:hint="default"/>
                <w:snapToGrid w:val="0"/>
                <w:sz w:val="22"/>
                <w:szCs w:val="22"/>
                <w:lang w:bidi="ar"/>
              </w:rPr>
              <w:t>桩号</w:t>
            </w:r>
          </w:p>
        </w:tc>
        <w:tc>
          <w:tcPr>
            <w:tcW w:w="712"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center"/>
              <w:rPr>
                <w:rStyle w:val="8"/>
                <w:rFonts w:hint="default"/>
                <w:snapToGrid w:val="0"/>
                <w:sz w:val="22"/>
                <w:szCs w:val="22"/>
                <w:lang w:bidi="ar"/>
              </w:rPr>
            </w:pPr>
            <w:r>
              <w:rPr>
                <w:rStyle w:val="8"/>
                <w:rFonts w:hint="default"/>
                <w:snapToGrid w:val="0"/>
                <w:sz w:val="22"/>
                <w:szCs w:val="22"/>
                <w:lang w:bidi="ar"/>
              </w:rPr>
              <w:t>长度</w:t>
            </w:r>
            <w:r>
              <w:rPr>
                <w:rStyle w:val="8"/>
                <w:rFonts w:hint="default"/>
                <w:snapToGrid w:val="0"/>
                <w:sz w:val="22"/>
                <w:szCs w:val="22"/>
                <w:lang w:bidi="ar"/>
              </w:rPr>
              <w:br w:type="textWrapping"/>
            </w:r>
            <w:r>
              <w:rPr>
                <w:rStyle w:val="8"/>
                <w:rFonts w:hint="default"/>
                <w:snapToGrid w:val="0"/>
                <w:sz w:val="22"/>
                <w:szCs w:val="22"/>
                <w:lang w:bidi="ar"/>
              </w:rPr>
              <w:t>（km)</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Style w:val="8"/>
                <w:rFonts w:hint="default"/>
                <w:snapToGrid w:val="0"/>
                <w:sz w:val="22"/>
                <w:szCs w:val="22"/>
                <w:lang w:bidi="ar"/>
              </w:rPr>
            </w:pPr>
            <w:r>
              <w:rPr>
                <w:rStyle w:val="8"/>
                <w:rFonts w:hint="default"/>
                <w:snapToGrid w:val="0"/>
                <w:sz w:val="22"/>
                <w:szCs w:val="22"/>
                <w:lang w:bidi="ar"/>
              </w:rPr>
              <w:t>主要工程</w:t>
            </w:r>
          </w:p>
          <w:p>
            <w:pPr>
              <w:widowControl/>
              <w:jc w:val="center"/>
              <w:textAlignment w:val="center"/>
              <w:rPr>
                <w:rStyle w:val="8"/>
                <w:rFonts w:hint="default"/>
                <w:snapToGrid w:val="0"/>
                <w:sz w:val="22"/>
                <w:szCs w:val="22"/>
                <w:lang w:bidi="ar"/>
              </w:rPr>
            </w:pPr>
            <w:r>
              <w:rPr>
                <w:rStyle w:val="8"/>
                <w:rFonts w:hint="default"/>
                <w:snapToGrid w:val="0"/>
                <w:sz w:val="22"/>
                <w:szCs w:val="22"/>
                <w:lang w:bidi="ar"/>
              </w:rPr>
              <w:t>项目</w:t>
            </w:r>
          </w:p>
        </w:tc>
        <w:tc>
          <w:tcPr>
            <w:tcW w:w="22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Arial" w:hAnsi="Arial" w:cs="Arial"/>
                <w:color w:val="000000"/>
                <w:sz w:val="15"/>
                <w:szCs w:val="15"/>
              </w:rPr>
            </w:pPr>
            <w:r>
              <w:rPr>
                <w:rStyle w:val="8"/>
                <w:rFonts w:hint="default"/>
                <w:snapToGrid w:val="0"/>
                <w:sz w:val="22"/>
                <w:szCs w:val="22"/>
                <w:lang w:bidi="ar"/>
              </w:rPr>
              <w:t>对申请人资质要求</w:t>
            </w:r>
          </w:p>
        </w:tc>
        <w:tc>
          <w:tcPr>
            <w:tcW w:w="21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Arial" w:hAnsi="Arial" w:cs="Arial"/>
                <w:color w:val="000000"/>
                <w:sz w:val="15"/>
                <w:szCs w:val="15"/>
              </w:rPr>
            </w:pPr>
            <w:r>
              <w:rPr>
                <w:rStyle w:val="8"/>
                <w:rFonts w:hint="default"/>
                <w:snapToGrid w:val="0"/>
                <w:sz w:val="22"/>
                <w:szCs w:val="22"/>
                <w:lang w:bidi="ar"/>
              </w:rPr>
              <w:t>备注</w:t>
            </w:r>
          </w:p>
        </w:tc>
      </w:tr>
      <w:tr>
        <w:tblPrEx>
          <w:tblCellMar>
            <w:top w:w="0" w:type="dxa"/>
            <w:left w:w="108" w:type="dxa"/>
            <w:bottom w:w="0" w:type="dxa"/>
            <w:right w:w="108" w:type="dxa"/>
          </w:tblCellMar>
        </w:tblPrEx>
        <w:trPr>
          <w:trHeight w:val="626" w:hRule="atLeast"/>
          <w:jc w:val="center"/>
        </w:trPr>
        <w:tc>
          <w:tcPr>
            <w:tcW w:w="2049"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ascii="Arial" w:hAnsi="Arial" w:cs="Arial"/>
                <w:color w:val="000000"/>
                <w:sz w:val="15"/>
                <w:szCs w:val="15"/>
              </w:rPr>
            </w:pPr>
            <w:r>
              <w:rPr>
                <w:rStyle w:val="8"/>
                <w:rFonts w:hint="default"/>
                <w:snapToGrid w:val="0"/>
                <w:sz w:val="22"/>
                <w:szCs w:val="22"/>
                <w:lang w:bidi="ar"/>
              </w:rPr>
              <w:t>A</w:t>
            </w:r>
            <w:r>
              <w:rPr>
                <w:rStyle w:val="8"/>
                <w:rFonts w:hint="default"/>
                <w:snapToGrid w:val="0"/>
                <w:sz w:val="22"/>
                <w:szCs w:val="22"/>
                <w:lang w:bidi="ar"/>
              </w:rPr>
              <w:br w:type="textWrapping"/>
            </w:r>
            <w:r>
              <w:rPr>
                <w:rStyle w:val="8"/>
                <w:rFonts w:hint="default"/>
                <w:snapToGrid w:val="0"/>
                <w:sz w:val="22"/>
                <w:szCs w:val="22"/>
                <w:lang w:bidi="ar"/>
              </w:rPr>
              <w:t>路基桥涵工程类</w:t>
            </w:r>
          </w:p>
        </w:tc>
        <w:tc>
          <w:tcPr>
            <w:tcW w:w="3032"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Arial" w:hAnsi="Arial" w:cs="Arial"/>
                <w:color w:val="000000"/>
                <w:sz w:val="15"/>
                <w:szCs w:val="15"/>
              </w:rPr>
            </w:pPr>
            <w:r>
              <w:rPr>
                <w:rStyle w:val="8"/>
                <w:rFonts w:hint="default"/>
                <w:snapToGrid w:val="0"/>
                <w:sz w:val="22"/>
                <w:szCs w:val="22"/>
                <w:lang w:bidi="ar"/>
              </w:rPr>
              <w:t>标段的划分及主要工程项</w:t>
            </w:r>
            <w:r>
              <w:rPr>
                <w:rStyle w:val="8"/>
                <w:rFonts w:hint="default"/>
                <w:snapToGrid w:val="0"/>
                <w:sz w:val="22"/>
                <w:szCs w:val="22"/>
                <w:lang w:bidi="ar"/>
              </w:rPr>
              <w:br w:type="textWrapping"/>
            </w:r>
            <w:r>
              <w:rPr>
                <w:rStyle w:val="10"/>
                <w:rFonts w:hint="default"/>
                <w:snapToGrid w:val="0"/>
                <w:sz w:val="4"/>
                <w:szCs w:val="4"/>
                <w:lang w:bidi="ar"/>
              </w:rPr>
              <w:br w:type="textWrapping"/>
            </w:r>
            <w:r>
              <w:rPr>
                <w:rStyle w:val="8"/>
                <w:rFonts w:hint="default"/>
                <w:snapToGrid w:val="0"/>
                <w:sz w:val="22"/>
                <w:szCs w:val="22"/>
                <w:lang w:bidi="ar"/>
              </w:rPr>
              <w:t>目情况详见附件1</w:t>
            </w:r>
          </w:p>
        </w:tc>
        <w:tc>
          <w:tcPr>
            <w:tcW w:w="228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ind w:firstLine="210" w:firstLineChars="100"/>
              <w:jc w:val="center"/>
              <w:textAlignment w:val="center"/>
              <w:rPr>
                <w:rFonts w:ascii="Arial" w:hAnsi="Arial" w:cs="Arial"/>
                <w:color w:val="000000"/>
                <w:sz w:val="15"/>
                <w:szCs w:val="15"/>
              </w:rPr>
            </w:pPr>
            <w:r>
              <w:rPr>
                <w:rFonts w:hint="eastAsia" w:ascii="宋体" w:hAnsi="宋体" w:cs="楷体"/>
                <w:bCs/>
                <w:szCs w:val="21"/>
              </w:rPr>
              <w:t>具备建设行政主管部门核发的公路工程施工总承包叁级（或以上）资质</w:t>
            </w:r>
          </w:p>
        </w:tc>
        <w:tc>
          <w:tcPr>
            <w:tcW w:w="2186"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rPr>
            </w:pPr>
            <w:r>
              <w:rPr>
                <w:rFonts w:hint="eastAsia" w:ascii="宋体" w:hAnsi="宋体"/>
              </w:rPr>
              <w:t>具体</w:t>
            </w:r>
            <w:r>
              <w:rPr>
                <w:rFonts w:hint="eastAsia" w:ascii="宋体" w:hAnsi="宋体" w:cs="宋体"/>
                <w:szCs w:val="21"/>
              </w:rPr>
              <w:t>资格审查条件见附录1-5。</w:t>
            </w:r>
          </w:p>
          <w:p>
            <w:pPr>
              <w:widowControl/>
              <w:jc w:val="center"/>
              <w:textAlignment w:val="center"/>
              <w:rPr>
                <w:rFonts w:ascii="Arial" w:hAnsi="Arial" w:cs="Arial"/>
                <w:color w:val="000000"/>
                <w:sz w:val="15"/>
                <w:szCs w:val="15"/>
              </w:rPr>
            </w:pPr>
          </w:p>
        </w:tc>
      </w:tr>
      <w:tr>
        <w:tblPrEx>
          <w:tblCellMar>
            <w:top w:w="0" w:type="dxa"/>
            <w:left w:w="108" w:type="dxa"/>
            <w:bottom w:w="0" w:type="dxa"/>
            <w:right w:w="108" w:type="dxa"/>
          </w:tblCellMar>
        </w:tblPrEx>
        <w:trPr>
          <w:trHeight w:val="626" w:hRule="atLeast"/>
          <w:jc w:val="center"/>
        </w:trPr>
        <w:tc>
          <w:tcPr>
            <w:tcW w:w="2049"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ascii="Arial" w:hAnsi="Arial" w:cs="Arial"/>
                <w:color w:val="000000"/>
                <w:sz w:val="15"/>
                <w:szCs w:val="15"/>
              </w:rPr>
            </w:pPr>
            <w:r>
              <w:rPr>
                <w:rStyle w:val="8"/>
                <w:rFonts w:hint="default"/>
                <w:snapToGrid w:val="0"/>
                <w:sz w:val="22"/>
                <w:szCs w:val="22"/>
                <w:lang w:bidi="ar"/>
              </w:rPr>
              <w:t>G</w:t>
            </w:r>
            <w:r>
              <w:rPr>
                <w:rStyle w:val="11"/>
                <w:snapToGrid w:val="0"/>
                <w:sz w:val="2"/>
                <w:szCs w:val="2"/>
                <w:lang w:bidi="ar"/>
              </w:rPr>
              <w:br w:type="textWrapping"/>
            </w:r>
            <w:r>
              <w:rPr>
                <w:rStyle w:val="8"/>
                <w:rFonts w:hint="default"/>
                <w:snapToGrid w:val="0"/>
                <w:sz w:val="22"/>
                <w:szCs w:val="22"/>
                <w:lang w:bidi="ar"/>
              </w:rPr>
              <w:t>路面工程类</w:t>
            </w:r>
          </w:p>
        </w:tc>
        <w:tc>
          <w:tcPr>
            <w:tcW w:w="3032"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Arial" w:hAnsi="Arial" w:cs="Arial"/>
                <w:color w:val="000000"/>
                <w:sz w:val="15"/>
                <w:szCs w:val="15"/>
              </w:rPr>
            </w:pPr>
          </w:p>
        </w:tc>
        <w:tc>
          <w:tcPr>
            <w:tcW w:w="228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Arial" w:hAnsi="Arial" w:cs="Arial"/>
                <w:color w:val="000000"/>
                <w:sz w:val="15"/>
                <w:szCs w:val="15"/>
              </w:rPr>
            </w:pPr>
          </w:p>
        </w:tc>
        <w:tc>
          <w:tcPr>
            <w:tcW w:w="21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Arial" w:hAnsi="Arial" w:cs="Arial"/>
                <w:color w:val="000000"/>
                <w:sz w:val="15"/>
                <w:szCs w:val="15"/>
              </w:rPr>
            </w:pPr>
          </w:p>
        </w:tc>
      </w:tr>
      <w:tr>
        <w:tblPrEx>
          <w:tblCellMar>
            <w:top w:w="0" w:type="dxa"/>
            <w:left w:w="108" w:type="dxa"/>
            <w:bottom w:w="0" w:type="dxa"/>
            <w:right w:w="108" w:type="dxa"/>
          </w:tblCellMar>
        </w:tblPrEx>
        <w:trPr>
          <w:trHeight w:val="926" w:hRule="atLeast"/>
          <w:jc w:val="center"/>
        </w:trPr>
        <w:tc>
          <w:tcPr>
            <w:tcW w:w="204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Arial" w:hAnsi="Arial" w:cs="Arial"/>
                <w:color w:val="000000"/>
                <w:sz w:val="15"/>
                <w:szCs w:val="15"/>
              </w:rPr>
            </w:pPr>
            <w:r>
              <w:rPr>
                <w:rStyle w:val="8"/>
                <w:rFonts w:hint="default"/>
                <w:snapToGrid w:val="0"/>
                <w:sz w:val="22"/>
                <w:szCs w:val="22"/>
                <w:lang w:bidi="ar"/>
              </w:rPr>
              <w:t>H</w:t>
            </w:r>
            <w:r>
              <w:rPr>
                <w:rStyle w:val="12"/>
                <w:snapToGrid w:val="0"/>
                <w:sz w:val="4"/>
                <w:szCs w:val="4"/>
                <w:lang w:bidi="ar"/>
              </w:rPr>
              <w:br w:type="textWrapping"/>
            </w:r>
            <w:r>
              <w:rPr>
                <w:rStyle w:val="8"/>
                <w:rFonts w:hint="default"/>
                <w:snapToGrid w:val="0"/>
                <w:sz w:val="22"/>
                <w:szCs w:val="22"/>
                <w:lang w:bidi="ar"/>
              </w:rPr>
              <w:t>交通安全设施</w:t>
            </w:r>
            <w:r>
              <w:rPr>
                <w:rStyle w:val="13"/>
                <w:snapToGrid w:val="0"/>
                <w:sz w:val="2"/>
                <w:szCs w:val="2"/>
                <w:lang w:bidi="ar"/>
              </w:rPr>
              <w:br w:type="textWrapping"/>
            </w:r>
            <w:r>
              <w:rPr>
                <w:rStyle w:val="8"/>
                <w:rFonts w:hint="default"/>
                <w:snapToGrid w:val="0"/>
                <w:sz w:val="22"/>
                <w:szCs w:val="22"/>
                <w:lang w:bidi="ar"/>
              </w:rPr>
              <w:t>工程类</w:t>
            </w:r>
          </w:p>
        </w:tc>
        <w:tc>
          <w:tcPr>
            <w:tcW w:w="3032"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Arial" w:hAnsi="Arial" w:cs="Arial"/>
                <w:color w:val="000000"/>
                <w:sz w:val="15"/>
                <w:szCs w:val="15"/>
              </w:rPr>
            </w:pPr>
          </w:p>
        </w:tc>
        <w:tc>
          <w:tcPr>
            <w:tcW w:w="228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Arial" w:hAnsi="Arial" w:cs="Arial"/>
                <w:color w:val="000000"/>
                <w:sz w:val="15"/>
                <w:szCs w:val="15"/>
              </w:rPr>
            </w:pPr>
          </w:p>
        </w:tc>
        <w:tc>
          <w:tcPr>
            <w:tcW w:w="21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Arial" w:hAnsi="Arial" w:cs="Arial"/>
                <w:color w:val="000000"/>
                <w:sz w:val="15"/>
                <w:szCs w:val="15"/>
              </w:rPr>
            </w:pPr>
          </w:p>
        </w:tc>
      </w:tr>
    </w:tbl>
    <w:p>
      <w:pPr>
        <w:pStyle w:val="2"/>
        <w:ind w:firstLine="480"/>
        <w:rPr>
          <w:rFonts w:hint="eastAsia"/>
        </w:rPr>
      </w:pPr>
    </w:p>
    <w:p>
      <w:pPr>
        <w:spacing w:before="156" w:beforeLines="50" w:after="156" w:afterLines="50" w:line="360" w:lineRule="auto"/>
        <w:rPr>
          <w:rFonts w:ascii="宋体" w:hAnsi="宋体"/>
          <w:b/>
        </w:rPr>
      </w:pPr>
      <w:r>
        <w:rPr>
          <w:rFonts w:hint="eastAsia" w:ascii="宋体" w:hAnsi="宋体"/>
          <w:b/>
        </w:rPr>
        <w:t>3. 投标人资格要求</w:t>
      </w:r>
    </w:p>
    <w:p>
      <w:pPr>
        <w:spacing w:line="360" w:lineRule="auto"/>
        <w:ind w:firstLine="420" w:firstLineChars="200"/>
        <w:rPr>
          <w:rFonts w:ascii="宋体" w:hAnsi="宋体"/>
        </w:rPr>
      </w:pPr>
      <w:r>
        <w:rPr>
          <w:rFonts w:hint="eastAsia" w:ascii="宋体" w:hAnsi="宋体"/>
        </w:rPr>
        <w:t>3.1本次招标要求投标人须</w:t>
      </w:r>
      <w:r>
        <w:rPr>
          <w:rFonts w:hint="eastAsia" w:ascii="宋体" w:hAnsi="宋体" w:cs="楷体"/>
          <w:bCs/>
          <w:szCs w:val="21"/>
        </w:rPr>
        <w:t>具备建设行政主管部门核发的公路工程施工总承包叁级（或以上）资质</w:t>
      </w:r>
      <w:r>
        <w:rPr>
          <w:rFonts w:hint="eastAsia" w:ascii="宋体" w:hAnsi="宋体"/>
        </w:rPr>
        <w:t>；并在人员、业绩、资金等方面具备相应的施工能力。具体</w:t>
      </w:r>
      <w:r>
        <w:rPr>
          <w:rFonts w:hint="eastAsia" w:ascii="宋体" w:hAnsi="宋体" w:cs="宋体"/>
          <w:szCs w:val="21"/>
        </w:rPr>
        <w:t>资格审查条件见附录1-5。</w:t>
      </w:r>
    </w:p>
    <w:p>
      <w:pPr>
        <w:spacing w:line="360" w:lineRule="auto"/>
        <w:ind w:firstLine="420" w:firstLineChars="200"/>
        <w:rPr>
          <w:rFonts w:ascii="宋体" w:hAnsi="宋体"/>
        </w:rPr>
      </w:pPr>
      <w:r>
        <w:rPr>
          <w:rFonts w:hint="eastAsia" w:ascii="宋体" w:hAnsi="宋体"/>
        </w:rPr>
        <w:t>投标人应进入交通运输部“全国公路建设市场信用信息管理系统（http：//glxy.mot.gov.cn）”中的公路工程施工资质企业名录，且投标人名称和资质与该名录中的相应企业名称和资质完全一致。企业需在国家企业信用信息公示系统登记,且在该系统中没有出现经营异常信息或经营异常信息已移出,没有被列入严重违法失信企业名单（黑名单）不良记录；2020年以来没有出现拖欠农民工工资的现象，无因安全质量责任事故、弄虚作假或串通投标等不良行为被有关行政主管部门发文通报或行政处罚。如有隐瞒，一经发现将取消其投标资格、没收投标保证金，并报行政主管部门处理。</w:t>
      </w:r>
    </w:p>
    <w:p>
      <w:pPr>
        <w:spacing w:line="360" w:lineRule="auto"/>
        <w:ind w:firstLine="420" w:firstLineChars="200"/>
        <w:rPr>
          <w:rFonts w:ascii="宋体" w:hAnsi="宋体"/>
        </w:rPr>
      </w:pPr>
      <w:r>
        <w:rPr>
          <w:rFonts w:ascii="宋体" w:hAnsi="宋体"/>
        </w:rPr>
        <w:t xml:space="preserve">3.2 </w:t>
      </w:r>
      <w:r>
        <w:rPr>
          <w:rFonts w:hint="eastAsia" w:ascii="宋体" w:hAnsi="宋体"/>
        </w:rPr>
        <w:t>本次招标不接受联合体投标。</w:t>
      </w:r>
    </w:p>
    <w:p>
      <w:pPr>
        <w:spacing w:line="360" w:lineRule="auto"/>
        <w:ind w:firstLine="420" w:firstLineChars="200"/>
        <w:rPr>
          <w:rFonts w:ascii="宋体" w:hAnsi="宋体"/>
        </w:rPr>
      </w:pPr>
      <w:r>
        <w:rPr>
          <w:rFonts w:hint="eastAsia" w:ascii="宋体" w:hAnsi="宋体"/>
        </w:rPr>
        <w:t>3.3 与招标人存在利害关系可能影响招标公正性的单位，不得参加投标；若单位负责人</w:t>
      </w:r>
      <w:r>
        <w:rPr>
          <w:rStyle w:val="7"/>
          <w:rFonts w:hint="eastAsia" w:ascii="宋体" w:hAnsi="宋体"/>
        </w:rPr>
        <w:footnoteReference w:id="0"/>
      </w:r>
      <w:r>
        <w:rPr>
          <w:rFonts w:hint="eastAsia" w:ascii="宋体" w:hAnsi="宋体"/>
        </w:rPr>
        <w:t>为同一人、或者存在控股</w:t>
      </w:r>
      <w:r>
        <w:rPr>
          <w:rStyle w:val="7"/>
          <w:rFonts w:hint="eastAsia" w:ascii="宋体" w:hAnsi="宋体"/>
        </w:rPr>
        <w:footnoteReference w:id="1"/>
      </w:r>
      <w:r>
        <w:rPr>
          <w:rFonts w:hint="eastAsia" w:ascii="宋体" w:hAnsi="宋体"/>
        </w:rPr>
        <w:t>、管理关系</w:t>
      </w:r>
      <w:r>
        <w:rPr>
          <w:rStyle w:val="7"/>
          <w:rFonts w:hint="eastAsia" w:ascii="宋体" w:hAnsi="宋体"/>
        </w:rPr>
        <w:footnoteReference w:id="2"/>
      </w:r>
      <w:r>
        <w:rPr>
          <w:rFonts w:hint="eastAsia" w:ascii="宋体" w:hAnsi="宋体"/>
        </w:rPr>
        <w:t>的不同单位，不得参加本项目投标，否则按否决其投标处理。</w:t>
      </w:r>
    </w:p>
    <w:p>
      <w:pPr>
        <w:spacing w:line="360" w:lineRule="auto"/>
        <w:ind w:firstLine="420" w:firstLineChars="200"/>
        <w:rPr>
          <w:rFonts w:ascii="宋体" w:hAnsi="宋体"/>
        </w:rPr>
      </w:pPr>
      <w:r>
        <w:rPr>
          <w:rFonts w:hint="eastAsia" w:ascii="宋体" w:hAnsi="宋体"/>
        </w:rPr>
        <w:t>3.4 在“信用中国”网站（http://www.creditchina.gov.cn/)中被列入失信被执行人名单的投标人，在国家企业信用信息公示系统（www.gsxt.gov.cn）中被列入严重违法失信企业名单的投标人，均按否决投标处理。</w:t>
      </w:r>
    </w:p>
    <w:p>
      <w:pPr>
        <w:spacing w:line="360" w:lineRule="auto"/>
        <w:ind w:firstLine="420" w:firstLineChars="200"/>
        <w:rPr>
          <w:rFonts w:ascii="宋体" w:hAnsi="宋体"/>
        </w:rPr>
      </w:pPr>
      <w:r>
        <w:rPr>
          <w:rFonts w:hint="eastAsia" w:ascii="宋体" w:hAnsi="宋体"/>
        </w:rPr>
        <w:t>注：投标人应在广州公共资源交易中心（</w:t>
      </w:r>
      <w:r>
        <w:rPr>
          <w:rFonts w:ascii="宋体" w:hAnsi="宋体"/>
        </w:rPr>
        <w:t>http://www.gzzb.gd.cn</w:t>
      </w:r>
      <w:r>
        <w:rPr>
          <w:rFonts w:hint="eastAsia" w:ascii="宋体" w:hAnsi="宋体"/>
        </w:rPr>
        <w:t>）办理投标企业信息登记，无企业信息登记的投标申请将不予受理（企业信息登记的办理详情参见广州公共资源交易中心网站服务指南栏目）。</w:t>
      </w:r>
    </w:p>
    <w:p>
      <w:pPr>
        <w:spacing w:before="156" w:beforeLines="50" w:after="156" w:afterLines="50" w:line="360" w:lineRule="auto"/>
        <w:rPr>
          <w:rFonts w:ascii="宋体" w:hAnsi="宋体"/>
          <w:b/>
        </w:rPr>
      </w:pPr>
      <w:r>
        <w:rPr>
          <w:rFonts w:hint="eastAsia" w:ascii="宋体" w:hAnsi="宋体"/>
          <w:b/>
        </w:rPr>
        <w:t>4. 招标文件的获取</w:t>
      </w:r>
    </w:p>
    <w:p>
      <w:pPr>
        <w:spacing w:line="360" w:lineRule="auto"/>
        <w:ind w:firstLine="420" w:firstLineChars="200"/>
        <w:rPr>
          <w:rFonts w:hint="eastAsia"/>
        </w:rPr>
      </w:pPr>
      <w:r>
        <w:rPr>
          <w:rFonts w:hint="eastAsia"/>
        </w:rPr>
        <w:t>4.1凡有意参加投标者，请于2023年</w:t>
      </w:r>
      <w:r>
        <w:t xml:space="preserve"> </w:t>
      </w:r>
      <w:r>
        <w:rPr>
          <w:rFonts w:hint="eastAsia"/>
          <w:lang w:val="en-US" w:eastAsia="zh-CN"/>
        </w:rPr>
        <w:t>3</w:t>
      </w:r>
      <w:r>
        <w:t xml:space="preserve"> </w:t>
      </w:r>
      <w:r>
        <w:rPr>
          <w:rFonts w:hint="eastAsia"/>
        </w:rPr>
        <w:t>月</w:t>
      </w:r>
      <w:r>
        <w:t xml:space="preserve"> </w:t>
      </w:r>
      <w:r>
        <w:rPr>
          <w:rFonts w:hint="eastAsia"/>
          <w:lang w:val="en-US" w:eastAsia="zh-CN"/>
        </w:rPr>
        <w:t>28</w:t>
      </w:r>
      <w:r>
        <w:t xml:space="preserve"> </w:t>
      </w:r>
      <w:r>
        <w:rPr>
          <w:rFonts w:hint="eastAsia"/>
        </w:rPr>
        <w:t>日至2023年</w:t>
      </w:r>
      <w:r>
        <w:t xml:space="preserve"> </w:t>
      </w:r>
      <w:r>
        <w:rPr>
          <w:rFonts w:hint="eastAsia"/>
          <w:lang w:val="en-US" w:eastAsia="zh-CN"/>
        </w:rPr>
        <w:t>4</w:t>
      </w:r>
      <w:r>
        <w:t xml:space="preserve"> </w:t>
      </w:r>
      <w:r>
        <w:rPr>
          <w:rFonts w:hint="eastAsia"/>
        </w:rPr>
        <w:t>月</w:t>
      </w:r>
      <w:r>
        <w:t xml:space="preserve"> </w:t>
      </w:r>
      <w:r>
        <w:rPr>
          <w:rFonts w:hint="eastAsia"/>
          <w:lang w:val="en-US" w:eastAsia="zh-CN"/>
        </w:rPr>
        <w:t>6</w:t>
      </w:r>
      <w:r>
        <w:t xml:space="preserve"> </w:t>
      </w:r>
      <w:r>
        <w:rPr>
          <w:rFonts w:hint="eastAsia"/>
        </w:rPr>
        <w:t>日（北京时间，下同）登录广州公共资源交易网（http://www.gzggzy.cn/）进行网上投标登记，投标登记成功后，投标人方可自行下载招标文件等相关资料。</w:t>
      </w:r>
    </w:p>
    <w:p>
      <w:pPr>
        <w:spacing w:line="360" w:lineRule="auto"/>
        <w:ind w:firstLine="420" w:firstLineChars="200"/>
        <w:rPr>
          <w:color w:val="333333"/>
          <w:kern w:val="0"/>
          <w:szCs w:val="21"/>
        </w:rPr>
      </w:pPr>
      <w:r>
        <w:rPr>
          <w:rFonts w:hint="eastAsia"/>
        </w:rPr>
        <w:t>4.2如招标人需发布补充公告的，以最后发布的补充公告的时间起计算编制投标文件时间，并需在补充公告中明确说明，如有补充资料通过交易中心网站同时发布。</w:t>
      </w:r>
    </w:p>
    <w:p>
      <w:pPr>
        <w:spacing w:before="156" w:beforeLines="50" w:after="156" w:afterLines="50" w:line="360" w:lineRule="auto"/>
        <w:rPr>
          <w:rFonts w:ascii="宋体" w:hAnsi="宋体"/>
          <w:b/>
        </w:rPr>
      </w:pPr>
      <w:r>
        <w:rPr>
          <w:rFonts w:hint="eastAsia" w:ascii="宋体" w:hAnsi="宋体"/>
          <w:b/>
        </w:rPr>
        <w:t>5.投标文件的递交及相关事宜</w:t>
      </w:r>
    </w:p>
    <w:p>
      <w:pPr>
        <w:spacing w:line="360" w:lineRule="auto"/>
        <w:ind w:firstLine="420" w:firstLineChars="200"/>
      </w:pPr>
      <w:r>
        <w:t>5.1招标人不统一组织进行工程现场踏勘</w:t>
      </w:r>
      <w:r>
        <w:rPr>
          <w:rFonts w:hint="eastAsia"/>
        </w:rPr>
        <w:t>并不</w:t>
      </w:r>
      <w:r>
        <w:t>召开投标预备会。</w:t>
      </w:r>
    </w:p>
    <w:p>
      <w:pPr>
        <w:spacing w:line="360" w:lineRule="auto"/>
        <w:ind w:firstLine="420" w:firstLineChars="200"/>
      </w:pPr>
      <w:r>
        <w:t>5.2 投标文件递交的截止时间（投标截止时间，下同）为</w:t>
      </w:r>
      <w:r>
        <w:rPr>
          <w:rFonts w:hint="eastAsia"/>
        </w:rPr>
        <w:t>2023年</w:t>
      </w:r>
      <w:r>
        <w:t xml:space="preserve"> </w:t>
      </w:r>
      <w:r>
        <w:rPr>
          <w:rFonts w:hint="eastAsia"/>
          <w:lang w:val="en-US" w:eastAsia="zh-CN"/>
        </w:rPr>
        <w:t>3</w:t>
      </w:r>
      <w:r>
        <w:rPr>
          <w:rFonts w:hint="eastAsia"/>
        </w:rPr>
        <w:t>月</w:t>
      </w:r>
      <w:r>
        <w:rPr>
          <w:rFonts w:hint="eastAsia"/>
          <w:lang w:val="en-US" w:eastAsia="zh-CN"/>
        </w:rPr>
        <w:t>28</w:t>
      </w:r>
      <w:r>
        <w:t xml:space="preserve"> </w:t>
      </w:r>
      <w:r>
        <w:rPr>
          <w:rFonts w:hint="eastAsia"/>
        </w:rPr>
        <w:t>日09</w:t>
      </w:r>
      <w:r>
        <w:t>时</w:t>
      </w:r>
      <w:r>
        <w:rPr>
          <w:rFonts w:hint="eastAsia"/>
        </w:rPr>
        <w:t>30</w:t>
      </w:r>
      <w:r>
        <w:t>分。投标文件电子文件统一采用网络上传的方式，投标人于</w:t>
      </w:r>
      <w:r>
        <w:rPr>
          <w:rFonts w:hint="eastAsia"/>
        </w:rPr>
        <w:t>2023年</w:t>
      </w:r>
      <w:r>
        <w:t xml:space="preserve"> </w:t>
      </w:r>
      <w:r>
        <w:rPr>
          <w:rFonts w:hint="eastAsia"/>
          <w:lang w:val="en-US" w:eastAsia="zh-CN"/>
        </w:rPr>
        <w:t>3</w:t>
      </w:r>
      <w:r>
        <w:rPr>
          <w:rFonts w:hint="eastAsia"/>
        </w:rPr>
        <w:t>月</w:t>
      </w:r>
      <w:r>
        <w:rPr>
          <w:rFonts w:hint="eastAsia"/>
          <w:lang w:val="en-US" w:eastAsia="zh-CN"/>
        </w:rPr>
        <w:t>28</w:t>
      </w:r>
      <w:r>
        <w:t xml:space="preserve"> </w:t>
      </w:r>
      <w:r>
        <w:rPr>
          <w:rFonts w:hint="eastAsia"/>
        </w:rPr>
        <w:t>日0</w:t>
      </w:r>
      <w:r>
        <w:rPr>
          <w:rFonts w:hint="eastAsia"/>
          <w:lang w:val="en-US" w:eastAsia="zh-CN"/>
        </w:rPr>
        <w:t>9</w:t>
      </w:r>
      <w:r>
        <w:t>时</w:t>
      </w:r>
      <w:r>
        <w:rPr>
          <w:rFonts w:hint="eastAsia"/>
          <w:lang w:val="en-US" w:eastAsia="zh-CN"/>
        </w:rPr>
        <w:t>3</w:t>
      </w:r>
      <w:r>
        <w:rPr>
          <w:rFonts w:hint="eastAsia"/>
        </w:rPr>
        <w:t>0</w:t>
      </w:r>
      <w:r>
        <w:t>分至</w:t>
      </w:r>
      <w:r>
        <w:rPr>
          <w:rFonts w:hint="eastAsia"/>
        </w:rPr>
        <w:t>2023年</w:t>
      </w:r>
      <w:r>
        <w:t xml:space="preserve"> </w:t>
      </w:r>
      <w:r>
        <w:rPr>
          <w:rFonts w:hint="eastAsia"/>
          <w:lang w:val="en-US" w:eastAsia="zh-CN"/>
        </w:rPr>
        <w:t>4</w:t>
      </w:r>
      <w:r>
        <w:rPr>
          <w:rFonts w:hint="eastAsia"/>
        </w:rPr>
        <w:t>月</w:t>
      </w:r>
      <w:r>
        <w:rPr>
          <w:rFonts w:hint="eastAsia"/>
          <w:lang w:val="en-US" w:eastAsia="zh-CN"/>
        </w:rPr>
        <w:t>18</w:t>
      </w:r>
      <w:r>
        <w:t xml:space="preserve"> </w:t>
      </w:r>
      <w:r>
        <w:rPr>
          <w:rFonts w:hint="eastAsia"/>
        </w:rPr>
        <w:t>日09</w:t>
      </w:r>
      <w:r>
        <w:t>时</w:t>
      </w:r>
      <w:r>
        <w:rPr>
          <w:rFonts w:hint="eastAsia"/>
        </w:rPr>
        <w:t>30</w:t>
      </w:r>
      <w:r>
        <w:t>分将电子文件完整上传（操作详见广州公共资源交易中心网站→服务指南→系统帮肋→操作手册→【全流程电子化项目】电子招投标操作手册（无纸化）→【交通工程】【文件制作】【投标人】全流程电子化通用型开评标系统投标文件制作操作手册</w:t>
      </w:r>
      <w:r>
        <w:rPr>
          <w:u w:val="single"/>
        </w:rPr>
        <w:t>（2020-4）</w:t>
      </w:r>
      <w:r>
        <w:t>）。</w:t>
      </w:r>
    </w:p>
    <w:p>
      <w:pPr>
        <w:spacing w:line="360" w:lineRule="auto"/>
        <w:ind w:firstLine="420" w:firstLineChars="200"/>
      </w:pPr>
      <w:r>
        <w:t>5.3逾期送达的、未按照招标文件要求上传的投标文件无效。</w:t>
      </w:r>
    </w:p>
    <w:p>
      <w:pPr>
        <w:spacing w:before="156" w:beforeLines="50" w:after="156" w:afterLines="50" w:line="360" w:lineRule="auto"/>
        <w:rPr>
          <w:rStyle w:val="14"/>
          <w:rFonts w:ascii="宋体" w:hAnsi="宋体"/>
          <w:b/>
          <w:kern w:val="44"/>
          <w:sz w:val="24"/>
          <w:szCs w:val="24"/>
        </w:rPr>
      </w:pPr>
      <w:r>
        <w:rPr>
          <w:rFonts w:hint="eastAsia" w:ascii="宋体" w:hAnsi="宋体"/>
          <w:b/>
        </w:rPr>
        <w:t>6.</w:t>
      </w:r>
      <w:r>
        <w:rPr>
          <w:rFonts w:ascii="宋体" w:hAnsi="宋体"/>
          <w:b/>
        </w:rPr>
        <w:t>投标文件解密</w:t>
      </w:r>
    </w:p>
    <w:p>
      <w:pPr>
        <w:snapToGrid w:val="0"/>
        <w:spacing w:line="360" w:lineRule="auto"/>
        <w:ind w:firstLine="457" w:firstLineChars="218"/>
        <w:jc w:val="left"/>
        <w:rPr>
          <w:rStyle w:val="14"/>
          <w:rFonts w:ascii="宋体" w:hAnsi="宋体"/>
          <w:szCs w:val="21"/>
        </w:rPr>
      </w:pPr>
      <w:r>
        <w:rPr>
          <w:rStyle w:val="14"/>
          <w:rFonts w:ascii="宋体" w:hAnsi="宋体"/>
          <w:szCs w:val="21"/>
        </w:rPr>
        <w:t>6.1投标人解密：投标人在递交电子投标文件截止时间到达后的</w:t>
      </w:r>
      <w:r>
        <w:rPr>
          <w:rStyle w:val="14"/>
          <w:rFonts w:ascii="宋体" w:hAnsi="宋体"/>
          <w:b/>
          <w:szCs w:val="21"/>
        </w:rPr>
        <w:t>1个小时内</w:t>
      </w:r>
      <w:r>
        <w:rPr>
          <w:rStyle w:val="14"/>
          <w:rFonts w:ascii="宋体" w:hAnsi="宋体"/>
          <w:szCs w:val="21"/>
        </w:rPr>
        <w:t>使用制作该电子投标文件的机构业务数字证书对电子投标文件进行解密。逾期未解密或因投标人原因造成电子投标文件解密不成功的，视为投标人未递交电子投标文件。</w:t>
      </w:r>
    </w:p>
    <w:p>
      <w:pPr>
        <w:spacing w:line="360" w:lineRule="auto"/>
        <w:ind w:firstLine="470" w:firstLineChars="224"/>
        <w:jc w:val="left"/>
        <w:rPr>
          <w:rStyle w:val="14"/>
          <w:rFonts w:ascii="宋体" w:hAnsi="宋体"/>
          <w:szCs w:val="21"/>
        </w:rPr>
      </w:pPr>
      <w:r>
        <w:rPr>
          <w:rStyle w:val="14"/>
          <w:rFonts w:ascii="宋体" w:hAnsi="宋体"/>
          <w:szCs w:val="21"/>
        </w:rPr>
        <w:t>6.2招标人解密：招标人用打包电子招标文件的机构业务数字证书对电子投标文件进行解密。</w:t>
      </w:r>
    </w:p>
    <w:p>
      <w:pPr>
        <w:spacing w:line="360" w:lineRule="auto"/>
        <w:ind w:firstLine="470" w:firstLineChars="224"/>
        <w:jc w:val="left"/>
        <w:rPr>
          <w:rFonts w:hint="eastAsia"/>
        </w:rPr>
      </w:pPr>
      <w:r>
        <w:rPr>
          <w:rStyle w:val="14"/>
          <w:rFonts w:ascii="宋体" w:hAnsi="宋体"/>
          <w:szCs w:val="21"/>
        </w:rPr>
        <w:t>6.3因投标人原因造成电子投标文件未解密的不参与投标文件评审。</w:t>
      </w:r>
    </w:p>
    <w:p>
      <w:pPr>
        <w:spacing w:before="156" w:beforeLines="50" w:after="156" w:afterLines="50" w:line="360" w:lineRule="auto"/>
        <w:rPr>
          <w:rFonts w:ascii="宋体" w:hAnsi="宋体"/>
          <w:b/>
        </w:rPr>
      </w:pPr>
      <w:r>
        <w:rPr>
          <w:rFonts w:ascii="宋体" w:hAnsi="宋体"/>
          <w:b/>
        </w:rPr>
        <w:t>7.</w:t>
      </w:r>
      <w:r>
        <w:rPr>
          <w:rFonts w:hint="eastAsia" w:ascii="宋体" w:hAnsi="宋体"/>
          <w:b/>
        </w:rPr>
        <w:t>发布公告的媒介</w:t>
      </w:r>
    </w:p>
    <w:p>
      <w:pPr>
        <w:spacing w:line="360" w:lineRule="auto"/>
        <w:ind w:firstLine="420" w:firstLineChars="200"/>
        <w:rPr>
          <w:rFonts w:ascii="宋体" w:hAnsi="宋体"/>
        </w:rPr>
      </w:pPr>
      <w:r>
        <w:rPr>
          <w:rStyle w:val="14"/>
          <w:rFonts w:ascii="宋体" w:hAnsi="宋体"/>
          <w:szCs w:val="21"/>
        </w:rPr>
        <w:t>本次招标公告同时在</w:t>
      </w:r>
      <w:r>
        <w:rPr>
          <w:rStyle w:val="14"/>
          <w:rFonts w:ascii="宋体" w:hAnsi="宋体"/>
          <w:szCs w:val="21"/>
          <w:u w:val="single"/>
        </w:rPr>
        <w:t>广州公共资源交易中心网站（网址：http://www.gzzb.gd.cn）广东省招标投标监管网、中国招标投标公共服务平台</w:t>
      </w:r>
      <w:r>
        <w:rPr>
          <w:rStyle w:val="14"/>
          <w:rFonts w:ascii="宋体" w:hAnsi="宋体"/>
          <w:szCs w:val="21"/>
        </w:rPr>
        <w:t>上发布。如媒体发布公告内容不一致者，以</w:t>
      </w:r>
      <w:r>
        <w:rPr>
          <w:rStyle w:val="14"/>
          <w:rFonts w:ascii="宋体" w:hAnsi="宋体"/>
          <w:szCs w:val="21"/>
          <w:u w:val="single"/>
        </w:rPr>
        <w:t>广州公共资源交易中心网站</w:t>
      </w:r>
      <w:r>
        <w:rPr>
          <w:rStyle w:val="14"/>
          <w:rFonts w:ascii="宋体" w:hAnsi="宋体"/>
          <w:szCs w:val="21"/>
        </w:rPr>
        <w:t>公告为准。</w:t>
      </w:r>
    </w:p>
    <w:p>
      <w:pPr>
        <w:spacing w:before="156" w:beforeLines="50" w:after="156" w:afterLines="50" w:line="360" w:lineRule="auto"/>
        <w:rPr>
          <w:rFonts w:ascii="宋体" w:hAnsi="宋体"/>
          <w:b/>
        </w:rPr>
      </w:pPr>
      <w:r>
        <w:rPr>
          <w:rFonts w:ascii="宋体" w:hAnsi="宋体"/>
          <w:b/>
        </w:rPr>
        <w:t>8</w:t>
      </w:r>
      <w:r>
        <w:rPr>
          <w:rFonts w:hint="eastAsia" w:ascii="宋体" w:hAnsi="宋体"/>
          <w:b/>
        </w:rPr>
        <w:t>.联系方式</w:t>
      </w:r>
    </w:p>
    <w:p>
      <w:pPr>
        <w:spacing w:line="360" w:lineRule="auto"/>
        <w:rPr>
          <w:rFonts w:hint="eastAsia" w:ascii="宋体" w:hAnsi="宋体"/>
          <w:szCs w:val="21"/>
        </w:rPr>
      </w:pPr>
      <w:r>
        <w:rPr>
          <w:rFonts w:hint="eastAsia" w:ascii="宋体" w:hAnsi="宋体"/>
          <w:szCs w:val="21"/>
        </w:rPr>
        <w:t>招 标 人：平远县绿洲旅游投资开发有限公司</w:t>
      </w:r>
    </w:p>
    <w:p>
      <w:pPr>
        <w:spacing w:line="360" w:lineRule="auto"/>
        <w:rPr>
          <w:rFonts w:ascii="宋体" w:hAnsi="宋体"/>
          <w:szCs w:val="21"/>
        </w:rPr>
      </w:pPr>
      <w:r>
        <w:rPr>
          <w:rFonts w:hint="eastAsia" w:ascii="宋体" w:hAnsi="宋体"/>
          <w:szCs w:val="21"/>
        </w:rPr>
        <w:t>地    址：梅州市平远县大柘镇建设路142号</w:t>
      </w:r>
    </w:p>
    <w:p>
      <w:pPr>
        <w:spacing w:line="360" w:lineRule="auto"/>
        <w:rPr>
          <w:rFonts w:ascii="宋体" w:hAnsi="宋体"/>
          <w:szCs w:val="21"/>
        </w:rPr>
      </w:pPr>
      <w:r>
        <w:rPr>
          <w:rFonts w:hint="eastAsia" w:ascii="宋体" w:hAnsi="宋体"/>
          <w:szCs w:val="21"/>
        </w:rPr>
        <w:t>邮政编码：514699</w:t>
      </w:r>
    </w:p>
    <w:p>
      <w:pPr>
        <w:spacing w:line="360" w:lineRule="auto"/>
        <w:rPr>
          <w:rFonts w:ascii="宋体" w:hAnsi="宋体"/>
          <w:szCs w:val="21"/>
        </w:rPr>
      </w:pPr>
      <w:r>
        <w:rPr>
          <w:rFonts w:hint="eastAsia" w:ascii="宋体" w:hAnsi="宋体"/>
          <w:szCs w:val="21"/>
        </w:rPr>
        <w:t>联 系 人：姚海峰</w:t>
      </w:r>
    </w:p>
    <w:p>
      <w:pPr>
        <w:spacing w:line="360" w:lineRule="auto"/>
        <w:rPr>
          <w:rFonts w:hint="eastAsia" w:ascii="宋体" w:hAnsi="宋体"/>
          <w:szCs w:val="21"/>
        </w:rPr>
      </w:pPr>
      <w:r>
        <w:rPr>
          <w:rFonts w:hint="eastAsia" w:ascii="宋体" w:hAnsi="宋体"/>
          <w:szCs w:val="21"/>
        </w:rPr>
        <w:t>电    话：0753-8896906</w:t>
      </w:r>
    </w:p>
    <w:p>
      <w:pPr>
        <w:spacing w:line="360" w:lineRule="auto"/>
        <w:rPr>
          <w:rFonts w:hint="eastAsia" w:ascii="宋体" w:hAnsi="宋体"/>
          <w:szCs w:val="21"/>
        </w:rPr>
      </w:pPr>
      <w:r>
        <w:rPr>
          <w:rFonts w:hint="eastAsia" w:ascii="宋体" w:hAnsi="宋体"/>
          <w:szCs w:val="21"/>
        </w:rPr>
        <w:t>传    真：0753-8896906</w:t>
      </w:r>
    </w:p>
    <w:p>
      <w:pPr>
        <w:spacing w:line="360" w:lineRule="auto"/>
        <w:rPr>
          <w:rFonts w:hint="eastAsia" w:ascii="宋体" w:hAnsi="宋体"/>
          <w:szCs w:val="21"/>
        </w:rPr>
      </w:pPr>
      <w:r>
        <w:rPr>
          <w:rFonts w:hint="eastAsia" w:ascii="宋体" w:hAnsi="宋体"/>
          <w:szCs w:val="21"/>
        </w:rPr>
        <w:t>邮    箱：pygykg@126.com</w:t>
      </w:r>
    </w:p>
    <w:p>
      <w:pPr>
        <w:pStyle w:val="2"/>
        <w:ind w:firstLine="420"/>
        <w:rPr>
          <w:rFonts w:hint="eastAsia" w:ascii="宋体" w:hAnsi="宋体"/>
          <w:sz w:val="21"/>
          <w:szCs w:val="21"/>
        </w:rPr>
      </w:pPr>
    </w:p>
    <w:p>
      <w:pPr>
        <w:spacing w:line="360" w:lineRule="auto"/>
        <w:rPr>
          <w:rFonts w:hint="eastAsia" w:ascii="宋体" w:hAnsi="宋体"/>
          <w:szCs w:val="21"/>
        </w:rPr>
      </w:pPr>
      <w:r>
        <w:rPr>
          <w:rFonts w:hint="eastAsia" w:ascii="宋体" w:hAnsi="宋体"/>
          <w:szCs w:val="21"/>
        </w:rPr>
        <w:t>招标代理：广东省建筑工程监理有限公司</w:t>
      </w:r>
    </w:p>
    <w:p>
      <w:pPr>
        <w:spacing w:line="360" w:lineRule="auto"/>
        <w:rPr>
          <w:rFonts w:hint="eastAsia" w:ascii="宋体" w:hAnsi="宋体"/>
          <w:szCs w:val="21"/>
        </w:rPr>
      </w:pPr>
      <w:r>
        <w:rPr>
          <w:rFonts w:hint="eastAsia" w:ascii="宋体" w:hAnsi="宋体"/>
          <w:szCs w:val="21"/>
        </w:rPr>
        <w:t>地  址：广州市荔湾区流花路85号后座1楼</w:t>
      </w:r>
    </w:p>
    <w:p>
      <w:pPr>
        <w:spacing w:line="360" w:lineRule="auto"/>
        <w:rPr>
          <w:rFonts w:hint="eastAsia" w:ascii="宋体" w:hAnsi="宋体"/>
          <w:szCs w:val="21"/>
        </w:rPr>
      </w:pPr>
      <w:r>
        <w:rPr>
          <w:rFonts w:hint="eastAsia" w:ascii="宋体" w:hAnsi="宋体"/>
          <w:szCs w:val="21"/>
        </w:rPr>
        <w:t>邮  编：510095</w:t>
      </w:r>
    </w:p>
    <w:p>
      <w:pPr>
        <w:spacing w:line="360" w:lineRule="auto"/>
        <w:rPr>
          <w:rFonts w:hint="eastAsia" w:ascii="宋体" w:hAnsi="宋体"/>
          <w:szCs w:val="21"/>
        </w:rPr>
      </w:pPr>
      <w:r>
        <w:rPr>
          <w:rFonts w:hint="eastAsia" w:ascii="宋体" w:hAnsi="宋体"/>
          <w:szCs w:val="21"/>
        </w:rPr>
        <w:t>联系人：赖工</w:t>
      </w:r>
    </w:p>
    <w:p>
      <w:pPr>
        <w:spacing w:line="360" w:lineRule="auto"/>
        <w:rPr>
          <w:rFonts w:hint="eastAsia" w:ascii="宋体" w:hAnsi="宋体"/>
          <w:szCs w:val="21"/>
        </w:rPr>
      </w:pPr>
      <w:r>
        <w:rPr>
          <w:rFonts w:hint="eastAsia" w:ascii="宋体" w:hAnsi="宋体"/>
          <w:szCs w:val="21"/>
        </w:rPr>
        <w:t>电  话：020-86673560</w:t>
      </w:r>
    </w:p>
    <w:p>
      <w:pPr>
        <w:spacing w:line="360" w:lineRule="auto"/>
        <w:rPr>
          <w:rFonts w:ascii="宋体" w:hAnsi="宋体"/>
          <w:szCs w:val="21"/>
        </w:rPr>
      </w:pPr>
      <w:r>
        <w:rPr>
          <w:rFonts w:hint="eastAsia" w:ascii="宋体" w:hAnsi="宋体"/>
          <w:szCs w:val="21"/>
        </w:rPr>
        <w:t>邮  箱：gdsjlzb@163.com</w:t>
      </w:r>
    </w:p>
    <w:p>
      <w:pPr>
        <w:spacing w:line="420" w:lineRule="exact"/>
        <w:jc w:val="right"/>
        <w:rPr>
          <w:rFonts w:hint="eastAsia" w:ascii="宋体" w:hAnsi="宋体" w:cs="楷体"/>
          <w:szCs w:val="21"/>
        </w:rPr>
      </w:pPr>
      <w:r>
        <w:rPr>
          <w:rFonts w:hint="eastAsia" w:ascii="宋体" w:hAnsi="宋体" w:cs="楷体"/>
          <w:szCs w:val="21"/>
        </w:rPr>
        <w:t>2023年</w:t>
      </w:r>
      <w:r>
        <w:rPr>
          <w:rFonts w:hint="eastAsia" w:ascii="宋体" w:hAnsi="宋体" w:cs="楷体"/>
          <w:szCs w:val="21"/>
          <w:lang w:val="en-US" w:eastAsia="zh-CN"/>
        </w:rPr>
        <w:t>3</w:t>
      </w:r>
      <w:r>
        <w:rPr>
          <w:rFonts w:hint="eastAsia" w:ascii="宋体" w:hAnsi="宋体" w:cs="楷体"/>
          <w:szCs w:val="21"/>
        </w:rPr>
        <w:t xml:space="preserve">月 </w:t>
      </w:r>
      <w:r>
        <w:rPr>
          <w:rFonts w:hint="eastAsia" w:ascii="宋体" w:hAnsi="宋体" w:cs="楷体"/>
          <w:szCs w:val="21"/>
          <w:lang w:val="en-US" w:eastAsia="zh-CN"/>
        </w:rPr>
        <w:t>27</w:t>
      </w:r>
      <w:bookmarkStart w:id="2" w:name="_GoBack"/>
      <w:bookmarkEnd w:id="2"/>
      <w:r>
        <w:rPr>
          <w:rFonts w:hint="eastAsia" w:ascii="宋体" w:hAnsi="宋体" w:cs="楷体"/>
          <w:szCs w:val="21"/>
        </w:rPr>
        <w:t xml:space="preserve">   日</w:t>
      </w:r>
    </w:p>
    <w:p>
      <w:pPr>
        <w:widowControl/>
        <w:jc w:val="left"/>
        <w:rPr>
          <w:rFonts w:hint="eastAsia" w:ascii="宋体" w:hAnsi="宋体" w:cs="宋体"/>
          <w:szCs w:val="21"/>
        </w:rPr>
      </w:pPr>
    </w:p>
    <w:p>
      <w:pPr>
        <w:widowControl/>
        <w:jc w:val="left"/>
        <w:rPr>
          <w:rFonts w:hint="eastAsia" w:ascii="宋体" w:hAnsi="宋体" w:cs="宋体"/>
          <w:szCs w:val="21"/>
        </w:rPr>
      </w:pPr>
    </w:p>
    <w:p>
      <w:pPr>
        <w:widowControl/>
        <w:jc w:val="left"/>
        <w:rPr>
          <w:rFonts w:hint="eastAsia" w:ascii="宋体" w:hAnsi="宋体" w:cs="宋体"/>
          <w:szCs w:val="21"/>
        </w:rPr>
      </w:pPr>
      <w:r>
        <w:rPr>
          <w:rFonts w:hint="eastAsia" w:ascii="宋体" w:hAnsi="宋体" w:cs="宋体"/>
          <w:szCs w:val="21"/>
        </w:rPr>
        <w:t>附件1：</w:t>
      </w:r>
      <w:r>
        <w:rPr>
          <w:rFonts w:hint="eastAsia" w:ascii="宋体" w:hAnsi="宋体" w:cs="宋体"/>
          <w:color w:val="000000"/>
          <w:szCs w:val="21"/>
          <w:lang w:bidi="ar"/>
        </w:rPr>
        <w:t>标段的划分及主要工程项目情况</w:t>
      </w:r>
      <w:r>
        <w:rPr>
          <w:rFonts w:hint="eastAsia" w:ascii="宋体" w:hAnsi="宋体" w:cs="宋体"/>
          <w:szCs w:val="21"/>
          <w:lang w:bidi="ar"/>
        </w:rPr>
        <w:t>；</w:t>
      </w:r>
    </w:p>
    <w:p>
      <w:pPr>
        <w:spacing w:line="420" w:lineRule="exact"/>
        <w:rPr>
          <w:rFonts w:hint="eastAsia" w:ascii="宋体" w:hAnsi="宋体" w:cs="宋体"/>
          <w:szCs w:val="21"/>
        </w:rPr>
      </w:pPr>
      <w:r>
        <w:rPr>
          <w:rFonts w:hint="eastAsia" w:ascii="宋体" w:hAnsi="宋体" w:cs="宋体"/>
          <w:szCs w:val="21"/>
        </w:rPr>
        <w:t>附件2：资格审查条件附录</w:t>
      </w:r>
      <w:r>
        <w:rPr>
          <w:rFonts w:hint="eastAsia" w:ascii="宋体" w:hAnsi="宋体" w:cs="宋体"/>
          <w:szCs w:val="21"/>
          <w:u w:val="single"/>
        </w:rPr>
        <w:t>1</w:t>
      </w:r>
      <w:r>
        <w:rPr>
          <w:rFonts w:hint="eastAsia" w:ascii="宋体" w:hAnsi="宋体" w:cs="宋体"/>
          <w:szCs w:val="21"/>
        </w:rPr>
        <w:t>至附录</w:t>
      </w:r>
      <w:r>
        <w:rPr>
          <w:rFonts w:hint="eastAsia" w:ascii="宋体" w:hAnsi="宋体" w:cs="宋体"/>
          <w:szCs w:val="21"/>
          <w:u w:val="single"/>
        </w:rPr>
        <w:t>5</w:t>
      </w:r>
      <w:r>
        <w:rPr>
          <w:rFonts w:hint="eastAsia" w:ascii="宋体" w:hAnsi="宋体" w:cs="宋体"/>
          <w:szCs w:val="21"/>
        </w:rPr>
        <w:t>。</w:t>
      </w:r>
    </w:p>
    <w:p>
      <w:pPr>
        <w:rPr>
          <w:rFonts w:hint="eastAsia" w:ascii="宋体" w:hAnsi="宋体" w:cs="宋体"/>
          <w:szCs w:val="21"/>
        </w:rPr>
      </w:pPr>
      <w:r>
        <w:rPr>
          <w:rFonts w:hint="eastAsia" w:ascii="宋体" w:hAnsi="宋体" w:cs="宋体"/>
          <w:szCs w:val="21"/>
        </w:rPr>
        <w:t>附件3：评标办法。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pPr>
        <w:pStyle w:val="4"/>
      </w:pPr>
      <w:r>
        <w:rPr>
          <w:rStyle w:val="7"/>
        </w:rPr>
        <w:footnoteRef/>
      </w:r>
      <w:r>
        <w:t xml:space="preserve"> </w:t>
      </w:r>
      <w:r>
        <w:rPr>
          <w:rFonts w:hint="eastAsia" w:ascii="宋体" w:hAnsi="宋体"/>
          <w:szCs w:val="18"/>
        </w:rPr>
        <w:t>单位负责人是指单位的法定代表人或者法律、行政法规规定代表单位行使职权的主要负责人。</w:t>
      </w:r>
    </w:p>
  </w:footnote>
  <w:footnote w:id="1">
    <w:p>
      <w:pPr>
        <w:pStyle w:val="4"/>
      </w:pPr>
      <w:r>
        <w:rPr>
          <w:rStyle w:val="7"/>
        </w:rPr>
        <w:footnoteRef/>
      </w:r>
      <w:r>
        <w:t xml:space="preserve"> </w:t>
      </w:r>
      <w:r>
        <w:rPr>
          <w:rFonts w:hint="eastAsia" w:ascii="宋体" w:hAnsi="宋体"/>
        </w:rPr>
        <w:t>控股是指：股份占股份有限公司股本总额的50%以上的绝对控股、相对控股或协议控股。</w:t>
      </w:r>
    </w:p>
  </w:footnote>
  <w:footnote w:id="2">
    <w:p>
      <w:pPr>
        <w:pStyle w:val="4"/>
      </w:pPr>
      <w:r>
        <w:rPr>
          <w:rStyle w:val="7"/>
        </w:rPr>
        <w:footnoteRef/>
      </w:r>
      <w:r>
        <w:t xml:space="preserve"> </w:t>
      </w:r>
      <w:r>
        <w:rPr>
          <w:rFonts w:hint="eastAsia" w:ascii="宋体" w:hAnsi="宋体"/>
        </w:rPr>
        <w:t>管理关系是指不具有出资持股关系的其它单位之间存在的管理与被管理关系。</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6"/>
    <w:footnote w:id="7"/>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4ZjI5N2I1YTI4ODg0ZjM3NWU2MTk2NTExM2IzOWUifQ=="/>
  </w:docVars>
  <w:rsids>
    <w:rsidRoot w:val="16A7704B"/>
    <w:rsid w:val="10C36704"/>
    <w:rsid w:val="16A7704B"/>
    <w:rsid w:val="6E5C7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left="0" w:leftChars="0" w:firstLine="960" w:firstLineChars="200"/>
    </w:pPr>
    <w:rPr>
      <w:kern w:val="0"/>
      <w:sz w:val="24"/>
      <w:szCs w:val="20"/>
    </w:rPr>
  </w:style>
  <w:style w:type="paragraph" w:styleId="3">
    <w:name w:val="Body Text Indent"/>
    <w:basedOn w:val="1"/>
    <w:qFormat/>
    <w:uiPriority w:val="0"/>
    <w:pPr>
      <w:adjustRightInd w:val="0"/>
      <w:spacing w:after="120" w:line="420" w:lineRule="atLeast"/>
      <w:ind w:left="420" w:firstLine="454"/>
      <w:textAlignment w:val="baseline"/>
    </w:pPr>
    <w:rPr>
      <w:kern w:val="0"/>
      <w:szCs w:val="20"/>
    </w:rPr>
  </w:style>
  <w:style w:type="paragraph" w:styleId="4">
    <w:name w:val="footnote text"/>
    <w:basedOn w:val="1"/>
    <w:qFormat/>
    <w:uiPriority w:val="0"/>
    <w:pPr>
      <w:adjustRightInd w:val="0"/>
      <w:snapToGrid w:val="0"/>
      <w:spacing w:line="420" w:lineRule="atLeast"/>
      <w:ind w:firstLine="454"/>
      <w:jc w:val="left"/>
      <w:textAlignment w:val="baseline"/>
    </w:pPr>
    <w:rPr>
      <w:kern w:val="0"/>
      <w:sz w:val="18"/>
      <w:szCs w:val="20"/>
    </w:rPr>
  </w:style>
  <w:style w:type="character" w:styleId="7">
    <w:name w:val="footnote reference"/>
    <w:qFormat/>
    <w:uiPriority w:val="0"/>
    <w:rPr>
      <w:vertAlign w:val="superscript"/>
    </w:rPr>
  </w:style>
  <w:style w:type="character" w:customStyle="1" w:styleId="8">
    <w:name w:val="font21"/>
    <w:qFormat/>
    <w:uiPriority w:val="0"/>
    <w:rPr>
      <w:rFonts w:hint="eastAsia" w:ascii="宋体" w:hAnsi="宋体" w:eastAsia="宋体" w:cs="宋体"/>
      <w:color w:val="000000"/>
      <w:sz w:val="20"/>
      <w:szCs w:val="20"/>
      <w:u w:val="none"/>
    </w:rPr>
  </w:style>
  <w:style w:type="character" w:customStyle="1" w:styleId="9">
    <w:name w:val="font31"/>
    <w:qFormat/>
    <w:uiPriority w:val="0"/>
    <w:rPr>
      <w:rFonts w:hint="eastAsia" w:ascii="宋体" w:hAnsi="宋体" w:eastAsia="宋体" w:cs="宋体"/>
      <w:color w:val="000000"/>
      <w:sz w:val="20"/>
      <w:szCs w:val="20"/>
      <w:u w:val="none"/>
    </w:rPr>
  </w:style>
  <w:style w:type="character" w:customStyle="1" w:styleId="10">
    <w:name w:val="font61"/>
    <w:qFormat/>
    <w:uiPriority w:val="0"/>
    <w:rPr>
      <w:rFonts w:hint="eastAsia" w:ascii="宋体" w:hAnsi="宋体" w:eastAsia="宋体" w:cs="宋体"/>
      <w:color w:val="000000"/>
      <w:sz w:val="20"/>
      <w:szCs w:val="20"/>
      <w:u w:val="none"/>
      <w:vertAlign w:val="superscript"/>
    </w:rPr>
  </w:style>
  <w:style w:type="character" w:customStyle="1" w:styleId="11">
    <w:name w:val="font41"/>
    <w:qFormat/>
    <w:uiPriority w:val="0"/>
    <w:rPr>
      <w:rFonts w:hint="default" w:ascii="Arial" w:hAnsi="Arial" w:cs="Arial"/>
      <w:color w:val="000000"/>
      <w:sz w:val="10"/>
      <w:szCs w:val="10"/>
      <w:u w:val="none"/>
    </w:rPr>
  </w:style>
  <w:style w:type="character" w:customStyle="1" w:styleId="12">
    <w:name w:val="font71"/>
    <w:qFormat/>
    <w:uiPriority w:val="0"/>
    <w:rPr>
      <w:rFonts w:hint="default" w:ascii="Arial" w:hAnsi="Arial" w:cs="Arial"/>
      <w:color w:val="000000"/>
      <w:sz w:val="12"/>
      <w:szCs w:val="12"/>
      <w:u w:val="none"/>
    </w:rPr>
  </w:style>
  <w:style w:type="character" w:customStyle="1" w:styleId="13">
    <w:name w:val="font81"/>
    <w:qFormat/>
    <w:uiPriority w:val="0"/>
    <w:rPr>
      <w:rFonts w:hint="default" w:ascii="Arial" w:hAnsi="Arial" w:cs="Arial"/>
      <w:color w:val="000000"/>
      <w:sz w:val="6"/>
      <w:szCs w:val="6"/>
      <w:u w:val="none"/>
    </w:rPr>
  </w:style>
  <w:style w:type="character" w:customStyle="1" w:styleId="14">
    <w:name w:val="NormalCharact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2149</Words>
  <Characters>2481</Characters>
  <Lines>0</Lines>
  <Paragraphs>0</Paragraphs>
  <TotalTime>2</TotalTime>
  <ScaleCrop>false</ScaleCrop>
  <LinksUpToDate>false</LinksUpToDate>
  <CharactersWithSpaces>2545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2023-03-27T09:01:00Z</dcterms:created>
  <dc:creator>微信用户</dc:creator>
  <cp:lastModifiedBy>微信用户</cp:lastModifiedBy>
  <dcterms:modified xsi:type="dcterms:W3CDTF">2023-03-27T09:03:36Z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519B83CBA4F147FD9FE522D99FC6146A</vt:lpwstr>
  </property>
</Properties>
</file>