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20" w:after="20" w:line="240" w:lineRule="auto"/>
        <w:jc w:val="center"/>
        <w:rPr>
          <w:rFonts w:ascii="宋体" w:hAnsi="宋体"/>
        </w:rPr>
      </w:pPr>
      <w:r>
        <w:rPr>
          <w:rFonts w:hint="eastAsia" w:ascii="宋体" w:hAnsi="宋体"/>
        </w:rPr>
        <w:t>第三章 评标办法（双信封的技术评分最低标价法）</w:t>
      </w:r>
    </w:p>
    <w:p>
      <w:pPr>
        <w:pStyle w:val="7"/>
        <w:shd w:val="clear" w:color="auto" w:fill="auto"/>
        <w:spacing w:before="0" w:after="0" w:line="360" w:lineRule="auto"/>
        <w:jc w:val="center"/>
        <w:rPr>
          <w:rStyle w:val="8"/>
          <w:rFonts w:hint="default" w:ascii="宋体" w:hAnsi="宋体" w:eastAsia="宋体"/>
          <w:b w:val="0"/>
          <w:bCs w:val="0"/>
          <w:sz w:val="11"/>
          <w:szCs w:val="11"/>
        </w:rPr>
      </w:pPr>
      <w:bookmarkStart w:id="0" w:name="bookmark93"/>
    </w:p>
    <w:p>
      <w:pPr>
        <w:pStyle w:val="7"/>
        <w:shd w:val="clear" w:color="auto" w:fill="auto"/>
        <w:spacing w:before="0" w:after="0" w:line="360" w:lineRule="auto"/>
        <w:jc w:val="center"/>
        <w:rPr>
          <w:rFonts w:ascii="宋体" w:hAnsi="宋体" w:eastAsia="宋体"/>
          <w:sz w:val="21"/>
          <w:szCs w:val="21"/>
        </w:rPr>
      </w:pPr>
      <w:bookmarkStart w:id="1" w:name="_GoBack"/>
      <w:r>
        <w:rPr>
          <w:rStyle w:val="8"/>
          <w:rFonts w:hint="default" w:ascii="宋体" w:hAnsi="宋体" w:eastAsia="宋体"/>
          <w:b w:val="0"/>
          <w:bCs w:val="0"/>
          <w:sz w:val="21"/>
          <w:szCs w:val="21"/>
        </w:rPr>
        <w:t>评标办法前附表</w:t>
      </w:r>
      <w:bookmarkEnd w:id="0"/>
    </w:p>
    <w:bookmarkEnd w:id="1"/>
    <w:p>
      <w:pPr>
        <w:spacing w:line="360" w:lineRule="auto"/>
        <w:rPr>
          <w:rFonts w:ascii="宋体" w:hAnsi="宋体"/>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275"/>
        <w:gridCol w:w="7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169" w:type="dxa"/>
            <w:gridSpan w:val="2"/>
            <w:noWrap w:val="0"/>
            <w:vAlign w:val="center"/>
          </w:tcPr>
          <w:p>
            <w:pPr>
              <w:spacing w:line="400" w:lineRule="exact"/>
              <w:jc w:val="center"/>
              <w:rPr>
                <w:rFonts w:hint="eastAsia" w:ascii="宋体" w:hAnsi="宋体" w:cs="宋体"/>
                <w:szCs w:val="21"/>
              </w:rPr>
            </w:pPr>
            <w:r>
              <w:rPr>
                <w:rFonts w:hint="eastAsia" w:ascii="宋体" w:hAnsi="宋体" w:cs="宋体"/>
                <w:szCs w:val="21"/>
              </w:rPr>
              <w:t>条款号</w:t>
            </w:r>
          </w:p>
        </w:tc>
        <w:tc>
          <w:tcPr>
            <w:tcW w:w="7700" w:type="dxa"/>
            <w:noWrap w:val="0"/>
            <w:vAlign w:val="center"/>
          </w:tcPr>
          <w:p>
            <w:pPr>
              <w:spacing w:line="400" w:lineRule="exact"/>
              <w:jc w:val="center"/>
              <w:rPr>
                <w:rFonts w:hint="eastAsia" w:ascii="宋体" w:hAnsi="宋体" w:cs="宋体"/>
                <w:szCs w:val="21"/>
              </w:rPr>
            </w:pPr>
            <w:r>
              <w:rPr>
                <w:rFonts w:hint="eastAsia" w:ascii="宋体" w:hAnsi="宋体" w:cs="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center"/>
          </w:tcPr>
          <w:p>
            <w:pPr>
              <w:pStyle w:val="9"/>
              <w:tabs>
                <w:tab w:val="left" w:pos="804"/>
              </w:tabs>
              <w:kinsoku w:val="0"/>
              <w:overflowPunct w:val="0"/>
              <w:spacing w:line="400" w:lineRule="exact"/>
              <w:jc w:val="center"/>
              <w:rPr>
                <w:rFonts w:hint="eastAsia"/>
                <w:spacing w:val="-1"/>
                <w:sz w:val="21"/>
                <w:szCs w:val="21"/>
              </w:rPr>
            </w:pPr>
            <w:r>
              <w:rPr>
                <w:rFonts w:hint="eastAsia"/>
                <w:spacing w:val="-1"/>
                <w:sz w:val="21"/>
                <w:szCs w:val="21"/>
              </w:rPr>
              <w:t>1</w:t>
            </w:r>
          </w:p>
        </w:tc>
        <w:tc>
          <w:tcPr>
            <w:tcW w:w="1275" w:type="dxa"/>
            <w:noWrap w:val="0"/>
            <w:vAlign w:val="center"/>
          </w:tcPr>
          <w:p>
            <w:pPr>
              <w:pStyle w:val="9"/>
              <w:tabs>
                <w:tab w:val="left" w:pos="804"/>
              </w:tabs>
              <w:kinsoku w:val="0"/>
              <w:overflowPunct w:val="0"/>
              <w:spacing w:line="400" w:lineRule="exact"/>
              <w:jc w:val="center"/>
              <w:rPr>
                <w:rFonts w:hint="eastAsia"/>
                <w:spacing w:val="-1"/>
                <w:sz w:val="21"/>
                <w:szCs w:val="21"/>
              </w:rPr>
            </w:pPr>
            <w:r>
              <w:rPr>
                <w:rFonts w:hint="eastAsia"/>
                <w:spacing w:val="-1"/>
                <w:sz w:val="21"/>
                <w:szCs w:val="21"/>
              </w:rPr>
              <w:t>评标方法</w:t>
            </w:r>
          </w:p>
        </w:tc>
        <w:tc>
          <w:tcPr>
            <w:tcW w:w="7700" w:type="dxa"/>
            <w:noWrap w:val="0"/>
            <w:vAlign w:val="top"/>
          </w:tcPr>
          <w:p>
            <w:pPr>
              <w:pStyle w:val="9"/>
              <w:tabs>
                <w:tab w:val="left" w:pos="804"/>
              </w:tabs>
              <w:overflowPunct w:val="0"/>
              <w:spacing w:line="400" w:lineRule="exact"/>
              <w:ind w:firstLine="420" w:firstLineChars="200"/>
              <w:rPr>
                <w:rFonts w:hint="eastAsia"/>
                <w:sz w:val="21"/>
                <w:szCs w:val="21"/>
              </w:rPr>
            </w:pPr>
            <w:r>
              <w:rPr>
                <w:rFonts w:hint="eastAsia"/>
                <w:sz w:val="21"/>
                <w:szCs w:val="21"/>
              </w:rPr>
              <w:t>评标价相等时，评标委员会依次按照以下优先顺序推荐中标候选人或确定中标人：</w:t>
            </w:r>
          </w:p>
          <w:p>
            <w:pPr>
              <w:pStyle w:val="9"/>
              <w:tabs>
                <w:tab w:val="left" w:pos="804"/>
              </w:tabs>
              <w:overflowPunct w:val="0"/>
              <w:spacing w:line="400" w:lineRule="exact"/>
              <w:ind w:firstLine="420" w:firstLineChars="200"/>
              <w:rPr>
                <w:rFonts w:hint="eastAsia"/>
                <w:sz w:val="21"/>
                <w:szCs w:val="21"/>
              </w:rPr>
            </w:pPr>
            <w:r>
              <w:rPr>
                <w:rFonts w:hint="eastAsia"/>
                <w:sz w:val="21"/>
                <w:szCs w:val="21"/>
              </w:rPr>
              <w:t>（1）被广东省交通运输厅最新年度评为较高信用等级的投标人优先；【采用如下的优先顺序：承诺使用的AA级投标人、不承诺使用的AA级投标人、承诺使用的A级投标人、不承诺使用的A级投标人、B级投标人、未参评且被确定为B级投标人】</w:t>
            </w:r>
          </w:p>
          <w:p>
            <w:pPr>
              <w:pStyle w:val="9"/>
              <w:tabs>
                <w:tab w:val="left" w:pos="804"/>
              </w:tabs>
              <w:overflowPunct w:val="0"/>
              <w:spacing w:line="400" w:lineRule="exact"/>
              <w:ind w:firstLine="420" w:firstLineChars="200"/>
              <w:rPr>
                <w:rFonts w:hint="eastAsia"/>
                <w:sz w:val="21"/>
                <w:szCs w:val="21"/>
              </w:rPr>
            </w:pPr>
            <w:r>
              <w:rPr>
                <w:rFonts w:hint="eastAsia"/>
                <w:sz w:val="21"/>
                <w:szCs w:val="21"/>
              </w:rPr>
              <w:t>（2）以投标人企业最新年度净资产较高的优先；</w:t>
            </w:r>
          </w:p>
          <w:p>
            <w:pPr>
              <w:pStyle w:val="9"/>
              <w:tabs>
                <w:tab w:val="left" w:pos="804"/>
              </w:tabs>
              <w:overflowPunct w:val="0"/>
              <w:spacing w:line="400" w:lineRule="exact"/>
              <w:ind w:firstLine="420" w:firstLineChars="200"/>
              <w:rPr>
                <w:rFonts w:hint="eastAsia"/>
                <w:spacing w:val="-1"/>
                <w:sz w:val="21"/>
                <w:szCs w:val="21"/>
              </w:rPr>
            </w:pPr>
            <w:r>
              <w:rPr>
                <w:rFonts w:hint="eastAsia"/>
                <w:sz w:val="21"/>
                <w:szCs w:val="21"/>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center"/>
          </w:tcPr>
          <w:p>
            <w:pPr>
              <w:pStyle w:val="9"/>
              <w:kinsoku w:val="0"/>
              <w:overflowPunct w:val="0"/>
              <w:spacing w:line="400" w:lineRule="exact"/>
              <w:jc w:val="center"/>
              <w:rPr>
                <w:rFonts w:hint="eastAsia"/>
                <w:spacing w:val="-1"/>
                <w:sz w:val="21"/>
                <w:szCs w:val="21"/>
              </w:rPr>
            </w:pPr>
            <w:r>
              <w:rPr>
                <w:rFonts w:hint="eastAsia"/>
                <w:spacing w:val="-1"/>
                <w:sz w:val="21"/>
                <w:szCs w:val="21"/>
              </w:rPr>
              <w:t>2.1.1</w:t>
            </w:r>
          </w:p>
          <w:p>
            <w:pPr>
              <w:pStyle w:val="9"/>
              <w:tabs>
                <w:tab w:val="left" w:pos="804"/>
              </w:tabs>
              <w:kinsoku w:val="0"/>
              <w:overflowPunct w:val="0"/>
              <w:spacing w:line="400" w:lineRule="exact"/>
              <w:jc w:val="center"/>
              <w:rPr>
                <w:rFonts w:hint="eastAsia"/>
                <w:spacing w:val="-1"/>
                <w:sz w:val="21"/>
                <w:szCs w:val="21"/>
              </w:rPr>
            </w:pPr>
            <w:r>
              <w:rPr>
                <w:rFonts w:hint="eastAsia"/>
                <w:spacing w:val="-1"/>
                <w:sz w:val="21"/>
                <w:szCs w:val="21"/>
              </w:rPr>
              <w:t>2.1.3</w:t>
            </w:r>
          </w:p>
        </w:tc>
        <w:tc>
          <w:tcPr>
            <w:tcW w:w="1275" w:type="dxa"/>
            <w:noWrap w:val="0"/>
            <w:vAlign w:val="center"/>
          </w:tcPr>
          <w:p>
            <w:pPr>
              <w:pStyle w:val="9"/>
              <w:tabs>
                <w:tab w:val="left" w:pos="804"/>
              </w:tabs>
              <w:kinsoku w:val="0"/>
              <w:overflowPunct w:val="0"/>
              <w:spacing w:line="400" w:lineRule="exact"/>
              <w:jc w:val="center"/>
              <w:rPr>
                <w:rFonts w:hint="eastAsia"/>
                <w:spacing w:val="-1"/>
                <w:sz w:val="21"/>
                <w:szCs w:val="21"/>
              </w:rPr>
            </w:pPr>
            <w:r>
              <w:rPr>
                <w:rFonts w:hint="eastAsia"/>
                <w:spacing w:val="-1"/>
                <w:sz w:val="21"/>
                <w:szCs w:val="21"/>
              </w:rPr>
              <w:t>形式评审与响应性评审标准</w:t>
            </w:r>
          </w:p>
        </w:tc>
        <w:tc>
          <w:tcPr>
            <w:tcW w:w="7700" w:type="dxa"/>
            <w:noWrap w:val="0"/>
            <w:vAlign w:val="top"/>
          </w:tcPr>
          <w:p>
            <w:pPr>
              <w:pStyle w:val="9"/>
              <w:tabs>
                <w:tab w:val="left" w:pos="804"/>
              </w:tabs>
              <w:overflowPunct w:val="0"/>
              <w:spacing w:line="400" w:lineRule="exact"/>
              <w:rPr>
                <w:rFonts w:hint="eastAsia"/>
                <w:spacing w:val="-1"/>
                <w:sz w:val="21"/>
                <w:szCs w:val="21"/>
              </w:rPr>
            </w:pPr>
            <w:r>
              <w:rPr>
                <w:rFonts w:hint="eastAsia"/>
                <w:spacing w:val="-1"/>
                <w:sz w:val="21"/>
                <w:szCs w:val="21"/>
              </w:rPr>
              <w:t>第一个信封（商务及技术文件）评审标准：</w:t>
            </w:r>
          </w:p>
          <w:p>
            <w:pPr>
              <w:pStyle w:val="9"/>
              <w:tabs>
                <w:tab w:val="left" w:pos="804"/>
              </w:tabs>
              <w:overflowPunct w:val="0"/>
              <w:spacing w:line="400" w:lineRule="exact"/>
              <w:ind w:firstLine="420" w:firstLineChars="200"/>
              <w:rPr>
                <w:rFonts w:hint="eastAsia"/>
                <w:sz w:val="21"/>
                <w:szCs w:val="21"/>
              </w:rPr>
            </w:pPr>
            <w:r>
              <w:rPr>
                <w:rFonts w:hint="eastAsia"/>
                <w:sz w:val="21"/>
                <w:szCs w:val="21"/>
              </w:rPr>
              <w:t>（1）投标文件按照招标文件规定的格式、内容填写，字迹清晰可辨；</w:t>
            </w:r>
          </w:p>
          <w:p>
            <w:pPr>
              <w:pStyle w:val="9"/>
              <w:tabs>
                <w:tab w:val="left" w:pos="804"/>
              </w:tabs>
              <w:overflowPunct w:val="0"/>
              <w:spacing w:line="400" w:lineRule="exact"/>
              <w:ind w:firstLine="420" w:firstLineChars="200"/>
              <w:rPr>
                <w:rFonts w:hint="eastAsia"/>
                <w:sz w:val="21"/>
                <w:szCs w:val="21"/>
              </w:rPr>
            </w:pPr>
            <w:r>
              <w:rPr>
                <w:rFonts w:hint="eastAsia"/>
                <w:sz w:val="21"/>
                <w:szCs w:val="21"/>
              </w:rPr>
              <w:t>a.投标函按招标文件规定填报了项目名称、补遗书编号（如有)、工期、工程质量要求及安全目标；</w:t>
            </w:r>
          </w:p>
          <w:p>
            <w:pPr>
              <w:pStyle w:val="9"/>
              <w:tabs>
                <w:tab w:val="left" w:pos="804"/>
              </w:tabs>
              <w:overflowPunct w:val="0"/>
              <w:spacing w:line="400" w:lineRule="exact"/>
              <w:ind w:firstLine="420" w:firstLineChars="200"/>
              <w:rPr>
                <w:rFonts w:hint="eastAsia"/>
                <w:sz w:val="21"/>
                <w:szCs w:val="21"/>
              </w:rPr>
            </w:pPr>
            <w:r>
              <w:rPr>
                <w:rFonts w:hint="eastAsia"/>
                <w:sz w:val="21"/>
                <w:szCs w:val="21"/>
              </w:rPr>
              <w:t>b.投标函附录的所有数据均符合招标文件规定；</w:t>
            </w:r>
          </w:p>
          <w:p>
            <w:pPr>
              <w:pStyle w:val="9"/>
              <w:tabs>
                <w:tab w:val="left" w:pos="804"/>
              </w:tabs>
              <w:overflowPunct w:val="0"/>
              <w:spacing w:line="400" w:lineRule="exact"/>
              <w:ind w:firstLine="420" w:firstLineChars="200"/>
              <w:rPr>
                <w:rFonts w:hint="eastAsia"/>
                <w:sz w:val="21"/>
                <w:szCs w:val="21"/>
              </w:rPr>
            </w:pPr>
            <w:r>
              <w:rPr>
                <w:rFonts w:hint="eastAsia"/>
                <w:sz w:val="21"/>
                <w:szCs w:val="21"/>
              </w:rPr>
              <w:t>c.投标文件组成齐全完整，内容均按规定填写。</w:t>
            </w:r>
          </w:p>
          <w:p>
            <w:pPr>
              <w:pStyle w:val="9"/>
              <w:tabs>
                <w:tab w:val="left" w:pos="804"/>
              </w:tabs>
              <w:overflowPunct w:val="0"/>
              <w:spacing w:line="400" w:lineRule="exact"/>
              <w:ind w:firstLine="420" w:firstLineChars="200"/>
              <w:rPr>
                <w:rFonts w:hint="eastAsia"/>
                <w:sz w:val="21"/>
                <w:szCs w:val="21"/>
              </w:rPr>
            </w:pPr>
            <w:r>
              <w:rPr>
                <w:rFonts w:hint="eastAsia"/>
                <w:sz w:val="21"/>
                <w:szCs w:val="21"/>
              </w:rPr>
              <w:t>（2）投标文件上法定代表人或其委托代理人的签字、投标人的单位章盖章齐全，符合招标文件规定：</w:t>
            </w:r>
          </w:p>
          <w:p>
            <w:pPr>
              <w:pStyle w:val="9"/>
              <w:tabs>
                <w:tab w:val="left" w:pos="804"/>
              </w:tabs>
              <w:overflowPunct w:val="0"/>
              <w:spacing w:line="400" w:lineRule="exact"/>
              <w:ind w:firstLine="420" w:firstLineChars="200"/>
              <w:rPr>
                <w:rFonts w:hint="eastAsia"/>
                <w:sz w:val="21"/>
                <w:szCs w:val="21"/>
              </w:rPr>
            </w:pPr>
            <w:r>
              <w:rPr>
                <w:rFonts w:hint="eastAsia"/>
                <w:sz w:val="21"/>
                <w:szCs w:val="21"/>
              </w:rPr>
              <w:t>（3）投标人按照招标文件的规定提供了投标保证金：</w:t>
            </w:r>
          </w:p>
          <w:p>
            <w:pPr>
              <w:pStyle w:val="9"/>
              <w:tabs>
                <w:tab w:val="left" w:pos="804"/>
              </w:tabs>
              <w:overflowPunct w:val="0"/>
              <w:spacing w:line="400" w:lineRule="exact"/>
              <w:ind w:firstLine="420" w:firstLineChars="200"/>
              <w:rPr>
                <w:rFonts w:hint="eastAsia"/>
                <w:sz w:val="21"/>
                <w:szCs w:val="21"/>
              </w:rPr>
            </w:pPr>
            <w:r>
              <w:rPr>
                <w:rFonts w:hint="eastAsia"/>
                <w:sz w:val="21"/>
                <w:szCs w:val="21"/>
              </w:rPr>
              <w:t>a.投标保证金金额符合招标文件规定的金额，且投标保证金有效期不少于投标有效期；</w:t>
            </w:r>
          </w:p>
          <w:p>
            <w:pPr>
              <w:pStyle w:val="9"/>
              <w:tabs>
                <w:tab w:val="left" w:pos="804"/>
              </w:tabs>
              <w:overflowPunct w:val="0"/>
              <w:spacing w:line="400" w:lineRule="exact"/>
              <w:ind w:firstLine="420" w:firstLineChars="200"/>
              <w:rPr>
                <w:rFonts w:hint="eastAsia"/>
                <w:sz w:val="21"/>
                <w:szCs w:val="21"/>
              </w:rPr>
            </w:pPr>
            <w:r>
              <w:rPr>
                <w:rFonts w:hint="eastAsia"/>
                <w:sz w:val="21"/>
                <w:szCs w:val="21"/>
              </w:rPr>
              <w:t>b.若投标保证金采用现金或支票形式提交，投标人应在投标人须知3.4.1 款规定的时间，将投标保证金由投标人的基本账户转入招标人指定账户；</w:t>
            </w:r>
          </w:p>
          <w:p>
            <w:pPr>
              <w:pStyle w:val="9"/>
              <w:tabs>
                <w:tab w:val="left" w:pos="804"/>
              </w:tabs>
              <w:overflowPunct w:val="0"/>
              <w:spacing w:line="400" w:lineRule="exact"/>
              <w:ind w:firstLine="420" w:firstLineChars="200"/>
              <w:rPr>
                <w:rFonts w:hint="eastAsia"/>
                <w:sz w:val="21"/>
                <w:szCs w:val="21"/>
              </w:rPr>
            </w:pPr>
            <w:r>
              <w:rPr>
                <w:rFonts w:hint="eastAsia"/>
                <w:sz w:val="21"/>
                <w:szCs w:val="21"/>
              </w:rPr>
              <w:t>c.若投标保证金采用银行保函或投标人须知前附表3.4.1项规定的其他形式提交，保函主要内容须与保函格式要求内容原则上保持一致，并满足招标文件要求。</w:t>
            </w:r>
          </w:p>
          <w:p>
            <w:pPr>
              <w:pStyle w:val="9"/>
              <w:tabs>
                <w:tab w:val="left" w:pos="804"/>
              </w:tabs>
              <w:overflowPunct w:val="0"/>
              <w:spacing w:line="400" w:lineRule="exact"/>
              <w:ind w:firstLine="420" w:firstLineChars="200"/>
              <w:rPr>
                <w:rFonts w:hint="eastAsia"/>
                <w:sz w:val="21"/>
                <w:szCs w:val="21"/>
              </w:rPr>
            </w:pPr>
            <w:r>
              <w:rPr>
                <w:rFonts w:hint="eastAsia"/>
                <w:sz w:val="21"/>
                <w:szCs w:val="21"/>
              </w:rPr>
              <w:t>（4）投标人法定代表人授权委托代理人签署投标文件的，须提交授权委托书，且授权人和被授权人均在授权委托书上签名，未使用印章、签名章或其他电子制版签名代替。</w:t>
            </w:r>
          </w:p>
          <w:p>
            <w:pPr>
              <w:pStyle w:val="9"/>
              <w:tabs>
                <w:tab w:val="left" w:pos="804"/>
              </w:tabs>
              <w:overflowPunct w:val="0"/>
              <w:spacing w:line="400" w:lineRule="exact"/>
              <w:ind w:firstLine="420" w:firstLineChars="200"/>
              <w:rPr>
                <w:rFonts w:hint="eastAsia"/>
                <w:sz w:val="21"/>
                <w:szCs w:val="21"/>
              </w:rPr>
            </w:pPr>
            <w:r>
              <w:rPr>
                <w:rFonts w:hint="eastAsia"/>
                <w:sz w:val="21"/>
                <w:szCs w:val="21"/>
              </w:rPr>
              <w:t>（5）投标人法定代表人亲自签署投标文件的，提供了法定代表人身份证明，且法定代表人在法定代表人身份证明上签名，未使用印章、签名章或其他电子制版签名代替。</w:t>
            </w:r>
          </w:p>
          <w:p>
            <w:pPr>
              <w:pStyle w:val="9"/>
              <w:tabs>
                <w:tab w:val="left" w:pos="804"/>
              </w:tabs>
              <w:overflowPunct w:val="0"/>
              <w:spacing w:line="400" w:lineRule="exact"/>
              <w:ind w:firstLine="420" w:firstLineChars="200"/>
              <w:rPr>
                <w:rFonts w:hint="eastAsia"/>
                <w:sz w:val="21"/>
                <w:szCs w:val="21"/>
              </w:rPr>
            </w:pPr>
            <w:r>
              <w:rPr>
                <w:rFonts w:hint="eastAsia"/>
                <w:sz w:val="21"/>
                <w:szCs w:val="21"/>
              </w:rPr>
              <w:t>（6）投标人如有分包计划，符合招标文件第二章“投标人须知”第1.11款规定，且按招标文件第九章“投标文件格式”的要求填写了“拟分包项目情况表”。</w:t>
            </w:r>
          </w:p>
          <w:p>
            <w:pPr>
              <w:pStyle w:val="9"/>
              <w:tabs>
                <w:tab w:val="left" w:pos="804"/>
              </w:tabs>
              <w:overflowPunct w:val="0"/>
              <w:spacing w:line="400" w:lineRule="exact"/>
              <w:ind w:firstLine="420" w:firstLineChars="200"/>
              <w:rPr>
                <w:rFonts w:hint="eastAsia"/>
                <w:sz w:val="21"/>
                <w:szCs w:val="21"/>
              </w:rPr>
            </w:pPr>
            <w:r>
              <w:rPr>
                <w:rFonts w:hint="eastAsia"/>
                <w:sz w:val="21"/>
                <w:szCs w:val="21"/>
              </w:rPr>
              <w:t>（7）同一投标人未提交两个以上不同的投标文件，但招标文件要求提交备选投标的除外。</w:t>
            </w:r>
          </w:p>
          <w:p>
            <w:pPr>
              <w:pStyle w:val="9"/>
              <w:tabs>
                <w:tab w:val="left" w:pos="804"/>
              </w:tabs>
              <w:overflowPunct w:val="0"/>
              <w:spacing w:line="400" w:lineRule="exact"/>
              <w:ind w:firstLine="420" w:firstLineChars="200"/>
              <w:rPr>
                <w:rFonts w:hint="eastAsia"/>
                <w:sz w:val="21"/>
                <w:szCs w:val="21"/>
              </w:rPr>
            </w:pPr>
            <w:r>
              <w:rPr>
                <w:rFonts w:hint="eastAsia"/>
                <w:sz w:val="21"/>
                <w:szCs w:val="21"/>
              </w:rPr>
              <w:t>（8）投标文件中未出现有关投标报价的内容。</w:t>
            </w:r>
          </w:p>
          <w:p>
            <w:pPr>
              <w:pStyle w:val="9"/>
              <w:tabs>
                <w:tab w:val="left" w:pos="804"/>
              </w:tabs>
              <w:overflowPunct w:val="0"/>
              <w:spacing w:line="400" w:lineRule="exact"/>
              <w:ind w:firstLine="420" w:firstLineChars="200"/>
              <w:rPr>
                <w:rFonts w:hint="eastAsia"/>
                <w:sz w:val="21"/>
                <w:szCs w:val="21"/>
              </w:rPr>
            </w:pPr>
            <w:r>
              <w:rPr>
                <w:rFonts w:hint="eastAsia"/>
                <w:sz w:val="21"/>
                <w:szCs w:val="21"/>
              </w:rPr>
              <w:t>（9）投标文件载明的招标项目完成期限未超过招标文件规定的时限。</w:t>
            </w:r>
          </w:p>
          <w:p>
            <w:pPr>
              <w:pStyle w:val="9"/>
              <w:tabs>
                <w:tab w:val="left" w:pos="804"/>
              </w:tabs>
              <w:overflowPunct w:val="0"/>
              <w:spacing w:line="400" w:lineRule="exact"/>
              <w:ind w:firstLine="420" w:firstLineChars="200"/>
              <w:rPr>
                <w:rFonts w:hint="eastAsia"/>
                <w:sz w:val="21"/>
                <w:szCs w:val="21"/>
              </w:rPr>
            </w:pPr>
            <w:r>
              <w:rPr>
                <w:rFonts w:hint="eastAsia"/>
                <w:sz w:val="21"/>
                <w:szCs w:val="21"/>
              </w:rPr>
              <w:t>（10）投标文件对招标文件的实质性要求和条件作出响应。</w:t>
            </w:r>
          </w:p>
          <w:p>
            <w:pPr>
              <w:pStyle w:val="9"/>
              <w:tabs>
                <w:tab w:val="left" w:pos="804"/>
              </w:tabs>
              <w:overflowPunct w:val="0"/>
              <w:spacing w:line="400" w:lineRule="exact"/>
              <w:ind w:firstLine="420" w:firstLineChars="200"/>
              <w:rPr>
                <w:rFonts w:hint="eastAsia"/>
                <w:sz w:val="21"/>
                <w:szCs w:val="21"/>
              </w:rPr>
            </w:pPr>
            <w:r>
              <w:rPr>
                <w:rFonts w:hint="eastAsia"/>
                <w:sz w:val="21"/>
                <w:szCs w:val="21"/>
              </w:rPr>
              <w:t>（11）权利义务符合招标文件规定：</w:t>
            </w:r>
          </w:p>
          <w:p>
            <w:pPr>
              <w:pStyle w:val="9"/>
              <w:tabs>
                <w:tab w:val="left" w:pos="804"/>
              </w:tabs>
              <w:overflowPunct w:val="0"/>
              <w:spacing w:line="400" w:lineRule="exact"/>
              <w:ind w:firstLine="420" w:firstLineChars="200"/>
              <w:rPr>
                <w:rFonts w:hint="eastAsia"/>
                <w:sz w:val="21"/>
                <w:szCs w:val="21"/>
              </w:rPr>
            </w:pPr>
            <w:r>
              <w:rPr>
                <w:rFonts w:hint="eastAsia"/>
                <w:sz w:val="21"/>
                <w:szCs w:val="21"/>
              </w:rPr>
              <w:t>a.投标人应接受招标文件规定的风险划分原则，未提出新的风险划分办法；</w:t>
            </w:r>
          </w:p>
          <w:p>
            <w:pPr>
              <w:pStyle w:val="9"/>
              <w:tabs>
                <w:tab w:val="left" w:pos="804"/>
              </w:tabs>
              <w:overflowPunct w:val="0"/>
              <w:spacing w:line="400" w:lineRule="exact"/>
              <w:ind w:firstLine="420" w:firstLineChars="200"/>
              <w:rPr>
                <w:rFonts w:hint="eastAsia"/>
                <w:sz w:val="21"/>
                <w:szCs w:val="21"/>
              </w:rPr>
            </w:pPr>
            <w:r>
              <w:rPr>
                <w:rFonts w:hint="eastAsia"/>
                <w:sz w:val="21"/>
                <w:szCs w:val="21"/>
              </w:rPr>
              <w:t>b.投标人未增加发包人的责任范围，或减少投标人义务；</w:t>
            </w:r>
          </w:p>
          <w:p>
            <w:pPr>
              <w:pStyle w:val="9"/>
              <w:tabs>
                <w:tab w:val="left" w:pos="804"/>
              </w:tabs>
              <w:overflowPunct w:val="0"/>
              <w:spacing w:line="400" w:lineRule="exact"/>
              <w:ind w:firstLine="420" w:firstLineChars="200"/>
              <w:rPr>
                <w:rFonts w:hint="eastAsia"/>
                <w:sz w:val="21"/>
                <w:szCs w:val="21"/>
              </w:rPr>
            </w:pPr>
            <w:r>
              <w:rPr>
                <w:rFonts w:hint="eastAsia"/>
                <w:sz w:val="21"/>
                <w:szCs w:val="21"/>
              </w:rPr>
              <w:t>c.投标人未提出不同的工程验收、计量、支付办法；</w:t>
            </w:r>
          </w:p>
          <w:p>
            <w:pPr>
              <w:pStyle w:val="9"/>
              <w:tabs>
                <w:tab w:val="left" w:pos="804"/>
              </w:tabs>
              <w:overflowPunct w:val="0"/>
              <w:spacing w:line="400" w:lineRule="exact"/>
              <w:ind w:firstLine="420" w:firstLineChars="200"/>
              <w:rPr>
                <w:rFonts w:hint="eastAsia"/>
                <w:sz w:val="21"/>
                <w:szCs w:val="21"/>
              </w:rPr>
            </w:pPr>
            <w:r>
              <w:rPr>
                <w:rFonts w:hint="eastAsia"/>
                <w:sz w:val="21"/>
                <w:szCs w:val="21"/>
              </w:rPr>
              <w:t>d.投标人对合同纠纷、事故处理办法未提出异议；</w:t>
            </w:r>
          </w:p>
          <w:p>
            <w:pPr>
              <w:pStyle w:val="9"/>
              <w:tabs>
                <w:tab w:val="left" w:pos="804"/>
              </w:tabs>
              <w:overflowPunct w:val="0"/>
              <w:spacing w:line="400" w:lineRule="exact"/>
              <w:ind w:firstLine="420" w:firstLineChars="200"/>
              <w:rPr>
                <w:rFonts w:hint="eastAsia"/>
                <w:sz w:val="21"/>
                <w:szCs w:val="21"/>
              </w:rPr>
            </w:pPr>
            <w:r>
              <w:rPr>
                <w:rFonts w:hint="eastAsia"/>
                <w:sz w:val="21"/>
                <w:szCs w:val="21"/>
              </w:rPr>
              <w:t>e.投标人在投标活动中无欺诈行为；</w:t>
            </w:r>
          </w:p>
          <w:p>
            <w:pPr>
              <w:pStyle w:val="9"/>
              <w:tabs>
                <w:tab w:val="left" w:pos="804"/>
              </w:tabs>
              <w:overflowPunct w:val="0"/>
              <w:spacing w:line="400" w:lineRule="exact"/>
              <w:ind w:firstLine="420" w:firstLineChars="200"/>
              <w:rPr>
                <w:rFonts w:hint="eastAsia"/>
                <w:sz w:val="21"/>
                <w:szCs w:val="21"/>
              </w:rPr>
            </w:pPr>
            <w:r>
              <w:rPr>
                <w:rFonts w:hint="eastAsia"/>
                <w:sz w:val="21"/>
                <w:szCs w:val="21"/>
              </w:rPr>
              <w:t>f.投标人未对合同条款有重要保留。</w:t>
            </w:r>
          </w:p>
          <w:p>
            <w:pPr>
              <w:pStyle w:val="9"/>
              <w:tabs>
                <w:tab w:val="left" w:pos="804"/>
              </w:tabs>
              <w:overflowPunct w:val="0"/>
              <w:spacing w:line="400" w:lineRule="exact"/>
              <w:ind w:firstLine="420" w:firstLineChars="200"/>
              <w:rPr>
                <w:rFonts w:hint="eastAsia"/>
                <w:sz w:val="21"/>
                <w:szCs w:val="21"/>
              </w:rPr>
            </w:pPr>
            <w:r>
              <w:rPr>
                <w:rFonts w:hint="eastAsia"/>
                <w:sz w:val="21"/>
                <w:szCs w:val="21"/>
              </w:rPr>
              <w:t>（12）投标文件未附有招标人不能接受的条件。</w:t>
            </w:r>
          </w:p>
          <w:p>
            <w:pPr>
              <w:pStyle w:val="9"/>
              <w:tabs>
                <w:tab w:val="left" w:pos="804"/>
              </w:tabs>
              <w:overflowPunct w:val="0"/>
              <w:spacing w:line="400" w:lineRule="exact"/>
              <w:ind w:firstLine="420" w:firstLineChars="200"/>
              <w:rPr>
                <w:rFonts w:hint="eastAsia"/>
                <w:sz w:val="21"/>
                <w:szCs w:val="21"/>
              </w:rPr>
            </w:pPr>
          </w:p>
          <w:p>
            <w:pPr>
              <w:pStyle w:val="9"/>
              <w:tabs>
                <w:tab w:val="left" w:pos="804"/>
              </w:tabs>
              <w:overflowPunct w:val="0"/>
              <w:spacing w:line="400" w:lineRule="exact"/>
              <w:rPr>
                <w:rFonts w:hint="eastAsia"/>
                <w:sz w:val="21"/>
                <w:szCs w:val="21"/>
              </w:rPr>
            </w:pPr>
            <w:r>
              <w:rPr>
                <w:rFonts w:hint="eastAsia"/>
                <w:sz w:val="21"/>
                <w:szCs w:val="21"/>
              </w:rPr>
              <w:t>第二个信封（报价文件）评审标准：</w:t>
            </w:r>
          </w:p>
          <w:p>
            <w:pPr>
              <w:pStyle w:val="9"/>
              <w:tabs>
                <w:tab w:val="left" w:pos="804"/>
              </w:tabs>
              <w:overflowPunct w:val="0"/>
              <w:spacing w:line="400" w:lineRule="exact"/>
              <w:ind w:firstLine="420" w:firstLineChars="200"/>
              <w:rPr>
                <w:rFonts w:hint="eastAsia"/>
                <w:sz w:val="21"/>
                <w:szCs w:val="21"/>
              </w:rPr>
            </w:pPr>
            <w:r>
              <w:rPr>
                <w:rFonts w:hint="eastAsia"/>
                <w:sz w:val="21"/>
                <w:szCs w:val="21"/>
              </w:rPr>
              <w:t>（1）投标文件按照招标文件规定的格式、内容填写，字迹清晰可辨：</w:t>
            </w:r>
          </w:p>
          <w:p>
            <w:pPr>
              <w:pStyle w:val="9"/>
              <w:tabs>
                <w:tab w:val="left" w:pos="804"/>
              </w:tabs>
              <w:overflowPunct w:val="0"/>
              <w:spacing w:line="400" w:lineRule="exact"/>
              <w:ind w:firstLine="420" w:firstLineChars="200"/>
              <w:rPr>
                <w:rFonts w:hint="eastAsia"/>
                <w:sz w:val="21"/>
                <w:szCs w:val="21"/>
              </w:rPr>
            </w:pPr>
            <w:r>
              <w:rPr>
                <w:rFonts w:hint="eastAsia"/>
                <w:sz w:val="21"/>
                <w:szCs w:val="21"/>
              </w:rPr>
              <w:t>a.投标函按招标文件规定填报了项目名称、标段号、补遗书编号（如有)、投标下浮率、投标总报价（包括大写金额和小写金额)；</w:t>
            </w:r>
          </w:p>
          <w:p>
            <w:pPr>
              <w:pStyle w:val="9"/>
              <w:tabs>
                <w:tab w:val="left" w:pos="804"/>
              </w:tabs>
              <w:overflowPunct w:val="0"/>
              <w:spacing w:line="400" w:lineRule="exact"/>
              <w:ind w:firstLine="420" w:firstLineChars="200"/>
              <w:rPr>
                <w:rFonts w:hint="eastAsia"/>
                <w:sz w:val="21"/>
                <w:szCs w:val="21"/>
              </w:rPr>
            </w:pPr>
            <w:r>
              <w:rPr>
                <w:rFonts w:hint="eastAsia"/>
                <w:sz w:val="21"/>
                <w:szCs w:val="21"/>
              </w:rPr>
              <w:t>b.已标价工程量清单说明文字与招标文件规定一致，未进行实质性修改和删减；</w:t>
            </w:r>
          </w:p>
          <w:p>
            <w:pPr>
              <w:pStyle w:val="9"/>
              <w:tabs>
                <w:tab w:val="left" w:pos="804"/>
              </w:tabs>
              <w:overflowPunct w:val="0"/>
              <w:spacing w:line="400" w:lineRule="exact"/>
              <w:ind w:firstLine="420" w:firstLineChars="200"/>
              <w:rPr>
                <w:rFonts w:hint="eastAsia"/>
                <w:sz w:val="21"/>
                <w:szCs w:val="21"/>
              </w:rPr>
            </w:pPr>
            <w:r>
              <w:rPr>
                <w:rFonts w:hint="eastAsia"/>
                <w:sz w:val="21"/>
                <w:szCs w:val="21"/>
              </w:rPr>
              <w:t>c.投标文件组成齐全完整，内容均按规定填写。</w:t>
            </w:r>
          </w:p>
          <w:p>
            <w:pPr>
              <w:pStyle w:val="9"/>
              <w:tabs>
                <w:tab w:val="left" w:pos="804"/>
              </w:tabs>
              <w:overflowPunct w:val="0"/>
              <w:spacing w:line="400" w:lineRule="exact"/>
              <w:ind w:firstLine="420" w:firstLineChars="200"/>
              <w:rPr>
                <w:rFonts w:hint="eastAsia"/>
                <w:sz w:val="21"/>
                <w:szCs w:val="21"/>
              </w:rPr>
            </w:pPr>
            <w:r>
              <w:rPr>
                <w:rFonts w:hint="eastAsia"/>
                <w:sz w:val="21"/>
                <w:szCs w:val="21"/>
              </w:rPr>
              <w:t>（2）投标文件上法定代表人或其委托代理人的签字、投标人的单位章盖章齐全，符合招标文件规定。</w:t>
            </w:r>
          </w:p>
          <w:p>
            <w:pPr>
              <w:pStyle w:val="9"/>
              <w:tabs>
                <w:tab w:val="left" w:pos="804"/>
              </w:tabs>
              <w:overflowPunct w:val="0"/>
              <w:spacing w:line="400" w:lineRule="exact"/>
              <w:ind w:firstLine="420" w:firstLineChars="200"/>
              <w:rPr>
                <w:rFonts w:hint="eastAsia"/>
                <w:sz w:val="21"/>
                <w:szCs w:val="21"/>
              </w:rPr>
            </w:pPr>
            <w:r>
              <w:rPr>
                <w:rFonts w:hint="eastAsia"/>
                <w:sz w:val="21"/>
                <w:szCs w:val="21"/>
              </w:rPr>
              <w:t>（3）投标报价或调价函中的报价未超过招标文件设定的最高投标限价。</w:t>
            </w:r>
          </w:p>
          <w:p>
            <w:pPr>
              <w:pStyle w:val="9"/>
              <w:tabs>
                <w:tab w:val="left" w:pos="804"/>
              </w:tabs>
              <w:overflowPunct w:val="0"/>
              <w:spacing w:line="400" w:lineRule="exact"/>
              <w:ind w:firstLine="420" w:firstLineChars="200"/>
              <w:rPr>
                <w:rFonts w:hint="eastAsia"/>
                <w:sz w:val="21"/>
                <w:szCs w:val="21"/>
              </w:rPr>
            </w:pPr>
            <w:r>
              <w:rPr>
                <w:rFonts w:hint="eastAsia"/>
                <w:sz w:val="21"/>
                <w:szCs w:val="21"/>
              </w:rPr>
              <w:t>（4）投标报价或调价函中报价的大写金额能够确定具体数值。</w:t>
            </w:r>
          </w:p>
          <w:p>
            <w:pPr>
              <w:pStyle w:val="9"/>
              <w:tabs>
                <w:tab w:val="left" w:pos="804"/>
              </w:tabs>
              <w:overflowPunct w:val="0"/>
              <w:spacing w:line="400" w:lineRule="exact"/>
              <w:ind w:firstLine="420" w:firstLineChars="200"/>
              <w:rPr>
                <w:rFonts w:hint="eastAsia"/>
                <w:sz w:val="21"/>
                <w:szCs w:val="21"/>
              </w:rPr>
            </w:pPr>
            <w:r>
              <w:rPr>
                <w:rFonts w:hint="eastAsia"/>
                <w:sz w:val="21"/>
                <w:szCs w:val="21"/>
              </w:rPr>
              <w:t xml:space="preserve">（5）同一投标人未提交两个以上不同的投标文件，但招标文件要求提交备选投标的除外。 </w:t>
            </w:r>
          </w:p>
          <w:p>
            <w:pPr>
              <w:pStyle w:val="9"/>
              <w:tabs>
                <w:tab w:val="left" w:pos="804"/>
              </w:tabs>
              <w:overflowPunct w:val="0"/>
              <w:spacing w:line="400" w:lineRule="exact"/>
              <w:ind w:firstLine="420" w:firstLineChars="200"/>
              <w:rPr>
                <w:rFonts w:hint="eastAsia"/>
                <w:sz w:val="21"/>
                <w:szCs w:val="21"/>
                <w:lang w:val="en-US"/>
              </w:rPr>
            </w:pPr>
            <w:r>
              <w:rPr>
                <w:rFonts w:hint="eastAsia"/>
                <w:sz w:val="21"/>
                <w:szCs w:val="21"/>
                <w:lang w:val="en-US"/>
              </w:rPr>
              <w:t>（6）</w:t>
            </w:r>
            <w:r>
              <w:rPr>
                <w:rFonts w:hint="eastAsia"/>
                <w:sz w:val="21"/>
                <w:szCs w:val="21"/>
              </w:rPr>
              <w:t>投标人若提交调价函，调价函符合招标文件第二章“投标人 须知”第</w:t>
            </w:r>
            <w:r>
              <w:rPr>
                <w:rFonts w:hint="eastAsia"/>
                <w:sz w:val="21"/>
                <w:szCs w:val="21"/>
                <w:lang w:val="en-US"/>
              </w:rPr>
              <w:t>3.2.6</w:t>
            </w:r>
            <w:r>
              <w:rPr>
                <w:rFonts w:hint="eastAsia"/>
                <w:sz w:val="21"/>
                <w:szCs w:val="21"/>
              </w:rPr>
              <w:t>项要求。</w:t>
            </w:r>
          </w:p>
          <w:p>
            <w:pPr>
              <w:pStyle w:val="9"/>
              <w:tabs>
                <w:tab w:val="left" w:pos="804"/>
              </w:tabs>
              <w:overflowPunct w:val="0"/>
              <w:spacing w:line="400" w:lineRule="exact"/>
              <w:ind w:firstLine="420" w:firstLineChars="200"/>
              <w:rPr>
                <w:rFonts w:hint="eastAsia"/>
                <w:sz w:val="21"/>
                <w:szCs w:val="21"/>
                <w:lang w:val="en-US"/>
              </w:rPr>
            </w:pPr>
            <w:r>
              <w:rPr>
                <w:rFonts w:hint="eastAsia"/>
                <w:sz w:val="21"/>
                <w:szCs w:val="21"/>
                <w:lang w:val="en-US"/>
              </w:rPr>
              <w:t>（7）</w:t>
            </w:r>
            <w:r>
              <w:rPr>
                <w:rFonts w:hint="eastAsia"/>
                <w:sz w:val="21"/>
                <w:szCs w:val="21"/>
              </w:rPr>
              <w:t>投标人若填写工程量固化清单，填写完毕的工程量固化清单 未对工程量固化清单电子文件中的数据、格式和运算定义进行修改；工 程量固化清单中的投标报价和投标函大写金额报价一致。</w:t>
            </w:r>
          </w:p>
          <w:p>
            <w:pPr>
              <w:pStyle w:val="9"/>
              <w:tabs>
                <w:tab w:val="left" w:pos="804"/>
              </w:tabs>
              <w:overflowPunct w:val="0"/>
              <w:spacing w:line="400" w:lineRule="exact"/>
              <w:ind w:firstLine="420" w:firstLineChars="200"/>
              <w:rPr>
                <w:rFonts w:hint="eastAsia"/>
                <w:sz w:val="21"/>
                <w:szCs w:val="21"/>
              </w:rPr>
            </w:pPr>
            <w:r>
              <w:rPr>
                <w:rFonts w:hint="eastAsia"/>
                <w:sz w:val="21"/>
                <w:szCs w:val="21"/>
              </w:rPr>
              <w:t>（8）投标文件正、副本份数符合招标文件第二章“投标人须知”第 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center"/>
          </w:tcPr>
          <w:p>
            <w:pPr>
              <w:pStyle w:val="9"/>
              <w:kinsoku w:val="0"/>
              <w:overflowPunct w:val="0"/>
              <w:spacing w:line="400" w:lineRule="exact"/>
              <w:jc w:val="center"/>
              <w:rPr>
                <w:rFonts w:hint="eastAsia"/>
                <w:sz w:val="21"/>
                <w:szCs w:val="21"/>
              </w:rPr>
            </w:pPr>
            <w:r>
              <w:rPr>
                <w:rFonts w:hint="eastAsia"/>
                <w:spacing w:val="-1"/>
                <w:sz w:val="21"/>
                <w:szCs w:val="21"/>
              </w:rPr>
              <w:t>2.1.2</w:t>
            </w:r>
          </w:p>
        </w:tc>
        <w:tc>
          <w:tcPr>
            <w:tcW w:w="1275" w:type="dxa"/>
            <w:noWrap w:val="0"/>
            <w:vAlign w:val="center"/>
          </w:tcPr>
          <w:p>
            <w:pPr>
              <w:pStyle w:val="9"/>
              <w:kinsoku w:val="0"/>
              <w:overflowPunct w:val="0"/>
              <w:spacing w:line="400" w:lineRule="exact"/>
              <w:jc w:val="center"/>
              <w:rPr>
                <w:rFonts w:hint="eastAsia"/>
                <w:sz w:val="21"/>
                <w:szCs w:val="21"/>
              </w:rPr>
            </w:pPr>
            <w:r>
              <w:rPr>
                <w:rFonts w:hint="eastAsia"/>
                <w:sz w:val="21"/>
                <w:szCs w:val="21"/>
              </w:rPr>
              <w:t>资格评审标准</w:t>
            </w:r>
          </w:p>
        </w:tc>
        <w:tc>
          <w:tcPr>
            <w:tcW w:w="7700" w:type="dxa"/>
            <w:noWrap w:val="0"/>
            <w:vAlign w:val="top"/>
          </w:tcPr>
          <w:p>
            <w:pPr>
              <w:pStyle w:val="9"/>
              <w:tabs>
                <w:tab w:val="left" w:pos="804"/>
              </w:tabs>
              <w:overflowPunct w:val="0"/>
              <w:spacing w:line="400" w:lineRule="exact"/>
              <w:ind w:firstLine="420" w:firstLineChars="200"/>
              <w:rPr>
                <w:rFonts w:hint="eastAsia"/>
                <w:sz w:val="21"/>
                <w:szCs w:val="21"/>
              </w:rPr>
            </w:pPr>
            <w:r>
              <w:rPr>
                <w:rFonts w:hint="eastAsia"/>
                <w:sz w:val="21"/>
                <w:szCs w:val="21"/>
              </w:rPr>
              <w:t>（1）投标人具备有效的营业执照、组织机构代码证（如有）、资质证书、安全生产许可证和基本账户开户许可证（或由投标人基本账户登记备案的银行出具的“基本存款账户信息”）。</w:t>
            </w:r>
          </w:p>
          <w:p>
            <w:pPr>
              <w:pStyle w:val="9"/>
              <w:tabs>
                <w:tab w:val="left" w:pos="804"/>
              </w:tabs>
              <w:overflowPunct w:val="0"/>
              <w:spacing w:line="400" w:lineRule="exact"/>
              <w:ind w:firstLine="420" w:firstLineChars="200"/>
              <w:rPr>
                <w:rFonts w:hint="eastAsia"/>
                <w:sz w:val="21"/>
                <w:szCs w:val="21"/>
              </w:rPr>
            </w:pPr>
            <w:r>
              <w:rPr>
                <w:rFonts w:hint="eastAsia"/>
                <w:sz w:val="21"/>
                <w:szCs w:val="21"/>
              </w:rPr>
              <w:t>（2）投标人的资质等级符合招标文件规定。</w:t>
            </w:r>
          </w:p>
          <w:p>
            <w:pPr>
              <w:pStyle w:val="9"/>
              <w:tabs>
                <w:tab w:val="left" w:pos="804"/>
              </w:tabs>
              <w:overflowPunct w:val="0"/>
              <w:spacing w:line="400" w:lineRule="exact"/>
              <w:ind w:firstLine="420" w:firstLineChars="200"/>
              <w:rPr>
                <w:rFonts w:hint="eastAsia"/>
                <w:sz w:val="21"/>
                <w:szCs w:val="21"/>
              </w:rPr>
            </w:pPr>
            <w:r>
              <w:rPr>
                <w:rFonts w:hint="eastAsia"/>
                <w:sz w:val="21"/>
                <w:szCs w:val="21"/>
              </w:rPr>
              <w:t>（3）投标人的财务状况应符合招标文件规定。</w:t>
            </w:r>
          </w:p>
          <w:p>
            <w:pPr>
              <w:pStyle w:val="9"/>
              <w:tabs>
                <w:tab w:val="left" w:pos="804"/>
              </w:tabs>
              <w:overflowPunct w:val="0"/>
              <w:spacing w:line="400" w:lineRule="exact"/>
              <w:ind w:firstLine="420" w:firstLineChars="200"/>
              <w:rPr>
                <w:rFonts w:hint="eastAsia"/>
                <w:sz w:val="21"/>
                <w:szCs w:val="21"/>
              </w:rPr>
            </w:pPr>
            <w:r>
              <w:rPr>
                <w:rFonts w:hint="eastAsia"/>
                <w:sz w:val="21"/>
                <w:szCs w:val="21"/>
              </w:rPr>
              <w:t>（4）投标人的类似项目业绩符合招标文件规定。</w:t>
            </w:r>
          </w:p>
          <w:p>
            <w:pPr>
              <w:pStyle w:val="9"/>
              <w:tabs>
                <w:tab w:val="left" w:pos="804"/>
              </w:tabs>
              <w:overflowPunct w:val="0"/>
              <w:spacing w:line="400" w:lineRule="exact"/>
              <w:ind w:firstLine="420" w:firstLineChars="200"/>
              <w:rPr>
                <w:rFonts w:hint="eastAsia"/>
                <w:sz w:val="21"/>
                <w:szCs w:val="21"/>
              </w:rPr>
            </w:pPr>
            <w:r>
              <w:rPr>
                <w:rFonts w:hint="eastAsia"/>
                <w:sz w:val="21"/>
                <w:szCs w:val="21"/>
              </w:rPr>
              <w:t>（5）投标人的信誉符合招标文件规定。</w:t>
            </w:r>
          </w:p>
          <w:p>
            <w:pPr>
              <w:pStyle w:val="9"/>
              <w:tabs>
                <w:tab w:val="left" w:pos="804"/>
              </w:tabs>
              <w:overflowPunct w:val="0"/>
              <w:spacing w:line="400" w:lineRule="exact"/>
              <w:ind w:firstLine="420" w:firstLineChars="200"/>
              <w:rPr>
                <w:rFonts w:hint="eastAsia"/>
                <w:sz w:val="21"/>
                <w:szCs w:val="21"/>
              </w:rPr>
            </w:pPr>
            <w:r>
              <w:rPr>
                <w:rFonts w:hint="eastAsia"/>
                <w:sz w:val="21"/>
                <w:szCs w:val="21"/>
              </w:rPr>
              <w:t>（6）投标人的项目经理和项目总工资格（均含备选，如有）、在岗情况符合招标文件规定。</w:t>
            </w:r>
          </w:p>
          <w:p>
            <w:pPr>
              <w:pStyle w:val="9"/>
              <w:tabs>
                <w:tab w:val="left" w:pos="804"/>
              </w:tabs>
              <w:overflowPunct w:val="0"/>
              <w:spacing w:line="400" w:lineRule="exact"/>
              <w:ind w:firstLine="420" w:firstLineChars="200"/>
              <w:rPr>
                <w:rFonts w:hint="eastAsia"/>
                <w:sz w:val="21"/>
                <w:szCs w:val="21"/>
              </w:rPr>
            </w:pPr>
            <w:r>
              <w:rPr>
                <w:rFonts w:hint="eastAsia"/>
                <w:sz w:val="21"/>
                <w:szCs w:val="21"/>
              </w:rPr>
              <w:t>（7）投标人的其他要求符合招标文件规定。</w:t>
            </w:r>
          </w:p>
          <w:p>
            <w:pPr>
              <w:pStyle w:val="9"/>
              <w:tabs>
                <w:tab w:val="left" w:pos="804"/>
              </w:tabs>
              <w:overflowPunct w:val="0"/>
              <w:spacing w:line="400" w:lineRule="exact"/>
              <w:ind w:firstLine="420" w:firstLineChars="200"/>
              <w:rPr>
                <w:rFonts w:hint="eastAsia"/>
                <w:sz w:val="21"/>
                <w:szCs w:val="21"/>
              </w:rPr>
            </w:pPr>
            <w:r>
              <w:rPr>
                <w:rFonts w:hint="eastAsia"/>
                <w:sz w:val="21"/>
                <w:szCs w:val="21"/>
              </w:rPr>
              <w:t>（8）投标人不存在第二章“投标人须知”第1.4.3项或第1.4.4项规定的任何一种情形。</w:t>
            </w:r>
          </w:p>
          <w:p>
            <w:pPr>
              <w:pStyle w:val="9"/>
              <w:tabs>
                <w:tab w:val="left" w:pos="804"/>
              </w:tabs>
              <w:overflowPunct w:val="0"/>
              <w:spacing w:line="400" w:lineRule="exact"/>
              <w:ind w:firstLine="420" w:firstLineChars="200"/>
              <w:rPr>
                <w:rFonts w:hint="eastAsia"/>
                <w:sz w:val="21"/>
                <w:szCs w:val="21"/>
              </w:rPr>
            </w:pPr>
            <w:r>
              <w:rPr>
                <w:rFonts w:hint="eastAsia"/>
                <w:sz w:val="21"/>
                <w:szCs w:val="21"/>
              </w:rPr>
              <w:t>（9）投标人符合第二章“投标人须知”第1.4.5项规定。</w:t>
            </w:r>
          </w:p>
        </w:tc>
      </w:tr>
    </w:tbl>
    <w:p>
      <w:pPr>
        <w:pStyle w:val="12"/>
        <w:shd w:val="clear" w:color="auto" w:fill="auto"/>
        <w:spacing w:before="0" w:line="360" w:lineRule="auto"/>
        <w:jc w:val="right"/>
        <w:rPr>
          <w:rFonts w:ascii="宋体" w:hAnsi="宋体" w:eastAsia="宋体"/>
        </w:rPr>
      </w:pPr>
    </w:p>
    <w:p>
      <w:pPr>
        <w:spacing w:line="360" w:lineRule="auto"/>
        <w:rPr>
          <w:rFonts w:ascii="宋体" w:hAnsi="宋体"/>
          <w:sz w:val="2"/>
          <w:szCs w:val="2"/>
        </w:rPr>
        <w:sectPr>
          <w:footnotePr>
            <w:numRestart w:val="eachPage"/>
          </w:footnotePr>
          <w:pgSz w:w="11900" w:h="16840"/>
          <w:pgMar w:top="1418" w:right="1418" w:bottom="1418" w:left="1418" w:header="850" w:footer="567" w:gutter="0"/>
          <w:cols w:space="720" w:num="1"/>
          <w:docGrid w:linePitch="360" w:charSpace="0"/>
        </w:sectPr>
      </w:pPr>
    </w:p>
    <w:p>
      <w:pPr>
        <w:pStyle w:val="12"/>
        <w:shd w:val="clear" w:color="auto" w:fill="auto"/>
        <w:spacing w:before="0" w:line="360" w:lineRule="auto"/>
        <w:jc w:val="right"/>
        <w:rPr>
          <w:rFonts w:ascii="宋体" w:hAnsi="宋体" w:eastAsia="宋体"/>
        </w:rPr>
      </w:pPr>
      <w:r>
        <w:rPr>
          <w:rStyle w:val="13"/>
          <w:rFonts w:hint="eastAsia" w:ascii="宋体" w:hAnsi="宋体" w:eastAsia="宋体"/>
        </w:rPr>
        <w:t>续上表</w:t>
      </w:r>
    </w:p>
    <w:tbl>
      <w:tblPr>
        <w:tblStyle w:val="5"/>
        <w:tblW w:w="0" w:type="auto"/>
        <w:tblInd w:w="-5" w:type="dxa"/>
        <w:tblLayout w:type="fixed"/>
        <w:tblCellMar>
          <w:top w:w="0" w:type="dxa"/>
          <w:left w:w="0" w:type="dxa"/>
          <w:bottom w:w="0" w:type="dxa"/>
          <w:right w:w="0" w:type="dxa"/>
        </w:tblCellMar>
      </w:tblPr>
      <w:tblGrid>
        <w:gridCol w:w="994"/>
        <w:gridCol w:w="1277"/>
        <w:gridCol w:w="6801"/>
      </w:tblGrid>
      <w:tr>
        <w:tblPrEx>
          <w:tblCellMar>
            <w:top w:w="0" w:type="dxa"/>
            <w:left w:w="0" w:type="dxa"/>
            <w:bottom w:w="0" w:type="dxa"/>
            <w:right w:w="0" w:type="dxa"/>
          </w:tblCellMar>
        </w:tblPrEx>
        <w:trPr>
          <w:trHeight w:val="542" w:hRule="exact"/>
        </w:trPr>
        <w:tc>
          <w:tcPr>
            <w:tcW w:w="994" w:type="dxa"/>
            <w:tcBorders>
              <w:top w:val="single" w:color="auto" w:sz="4" w:space="0"/>
              <w:left w:val="single" w:color="auto" w:sz="4" w:space="0"/>
              <w:bottom w:val="nil"/>
              <w:right w:val="nil"/>
            </w:tcBorders>
            <w:shd w:val="clear" w:color="auto" w:fill="FFFFFF"/>
            <w:noWrap w:val="0"/>
            <w:vAlign w:val="bottom"/>
          </w:tcPr>
          <w:p>
            <w:pPr>
              <w:pStyle w:val="14"/>
              <w:shd w:val="clear" w:color="auto" w:fill="auto"/>
              <w:spacing w:before="0" w:line="360" w:lineRule="auto"/>
              <w:jc w:val="center"/>
              <w:rPr>
                <w:rFonts w:ascii="宋体" w:hAnsi="宋体" w:eastAsia="宋体" w:cs="MingLiU"/>
                <w:kern w:val="2"/>
                <w:sz w:val="21"/>
                <w:szCs w:val="21"/>
              </w:rPr>
            </w:pPr>
            <w:r>
              <w:rPr>
                <w:rStyle w:val="15"/>
                <w:rFonts w:hint="eastAsia" w:ascii="宋体" w:hAnsi="宋体" w:eastAsia="宋体"/>
                <w:kern w:val="2"/>
                <w:sz w:val="21"/>
                <w:szCs w:val="21"/>
                <w:lang w:val="zh-CN"/>
              </w:rPr>
              <w:t>条款号</w:t>
            </w:r>
          </w:p>
        </w:tc>
        <w:tc>
          <w:tcPr>
            <w:tcW w:w="1277" w:type="dxa"/>
            <w:tcBorders>
              <w:top w:val="single" w:color="auto" w:sz="4" w:space="0"/>
              <w:left w:val="single" w:color="auto" w:sz="4" w:space="0"/>
              <w:bottom w:val="nil"/>
              <w:right w:val="nil"/>
            </w:tcBorders>
            <w:shd w:val="clear" w:color="auto" w:fill="FFFFFF"/>
            <w:noWrap w:val="0"/>
            <w:vAlign w:val="bottom"/>
          </w:tcPr>
          <w:p>
            <w:pPr>
              <w:pStyle w:val="14"/>
              <w:shd w:val="clear" w:color="auto" w:fill="auto"/>
              <w:spacing w:before="0" w:line="360" w:lineRule="auto"/>
              <w:jc w:val="center"/>
              <w:rPr>
                <w:rFonts w:ascii="宋体" w:hAnsi="宋体" w:eastAsia="宋体" w:cs="MingLiU"/>
                <w:kern w:val="2"/>
                <w:sz w:val="21"/>
                <w:szCs w:val="21"/>
              </w:rPr>
            </w:pPr>
            <w:r>
              <w:rPr>
                <w:rStyle w:val="15"/>
                <w:rFonts w:hint="eastAsia" w:ascii="宋体" w:hAnsi="宋体" w:eastAsia="宋体"/>
                <w:kern w:val="2"/>
                <w:sz w:val="21"/>
                <w:szCs w:val="21"/>
                <w:lang w:val="zh-CN"/>
              </w:rPr>
              <w:t>条款内容</w:t>
            </w:r>
          </w:p>
        </w:tc>
        <w:tc>
          <w:tcPr>
            <w:tcW w:w="6801" w:type="dxa"/>
            <w:tcBorders>
              <w:top w:val="single" w:color="auto" w:sz="4" w:space="0"/>
              <w:left w:val="single" w:color="auto" w:sz="4" w:space="0"/>
              <w:bottom w:val="nil"/>
              <w:right w:val="single" w:color="auto" w:sz="4" w:space="0"/>
            </w:tcBorders>
            <w:shd w:val="clear" w:color="auto" w:fill="FFFFFF"/>
            <w:noWrap w:val="0"/>
            <w:vAlign w:val="bottom"/>
          </w:tcPr>
          <w:p>
            <w:pPr>
              <w:pStyle w:val="14"/>
              <w:shd w:val="clear" w:color="auto" w:fill="auto"/>
              <w:spacing w:before="0" w:line="360" w:lineRule="auto"/>
              <w:jc w:val="center"/>
              <w:rPr>
                <w:rFonts w:ascii="宋体" w:hAnsi="宋体" w:eastAsia="宋体" w:cs="MingLiU"/>
                <w:kern w:val="2"/>
                <w:sz w:val="21"/>
                <w:szCs w:val="21"/>
              </w:rPr>
            </w:pPr>
            <w:r>
              <w:rPr>
                <w:rStyle w:val="15"/>
                <w:rFonts w:hint="eastAsia" w:ascii="宋体" w:hAnsi="宋体" w:eastAsia="宋体"/>
                <w:kern w:val="2"/>
                <w:sz w:val="21"/>
                <w:szCs w:val="21"/>
                <w:lang w:val="zh-CN"/>
              </w:rPr>
              <w:t>编列内容</w:t>
            </w:r>
          </w:p>
        </w:tc>
      </w:tr>
      <w:tr>
        <w:tblPrEx>
          <w:tblCellMar>
            <w:top w:w="0" w:type="dxa"/>
            <w:left w:w="0" w:type="dxa"/>
            <w:bottom w:w="0" w:type="dxa"/>
            <w:right w:w="0" w:type="dxa"/>
          </w:tblCellMar>
        </w:tblPrEx>
        <w:trPr>
          <w:trHeight w:val="1662" w:hRule="exact"/>
        </w:trPr>
        <w:tc>
          <w:tcPr>
            <w:tcW w:w="994" w:type="dxa"/>
            <w:tcBorders>
              <w:top w:val="single" w:color="auto" w:sz="4" w:space="0"/>
              <w:left w:val="single" w:color="auto" w:sz="4" w:space="0"/>
              <w:bottom w:val="nil"/>
              <w:right w:val="nil"/>
            </w:tcBorders>
            <w:shd w:val="clear" w:color="auto" w:fill="FFFFFF"/>
            <w:noWrap w:val="0"/>
            <w:vAlign w:val="center"/>
          </w:tcPr>
          <w:p>
            <w:pPr>
              <w:adjustRightInd w:val="0"/>
              <w:snapToGrid w:val="0"/>
              <w:spacing w:line="360" w:lineRule="auto"/>
              <w:jc w:val="center"/>
              <w:rPr>
                <w:rFonts w:ascii="宋体" w:hAnsi="宋体" w:cs="MingLiU"/>
                <w:szCs w:val="21"/>
              </w:rPr>
            </w:pPr>
            <w:r>
              <w:rPr>
                <w:szCs w:val="21"/>
              </w:rPr>
              <w:t>2.2.1</w:t>
            </w:r>
          </w:p>
        </w:tc>
        <w:tc>
          <w:tcPr>
            <w:tcW w:w="1277" w:type="dxa"/>
            <w:tcBorders>
              <w:top w:val="single" w:color="auto" w:sz="4" w:space="0"/>
              <w:left w:val="single" w:color="auto" w:sz="4" w:space="0"/>
              <w:bottom w:val="nil"/>
              <w:right w:val="nil"/>
            </w:tcBorders>
            <w:shd w:val="clear" w:color="auto" w:fill="FFFFFF"/>
            <w:noWrap w:val="0"/>
            <w:vAlign w:val="center"/>
          </w:tcPr>
          <w:p>
            <w:pPr>
              <w:adjustRightInd w:val="0"/>
              <w:snapToGrid w:val="0"/>
              <w:spacing w:line="360" w:lineRule="auto"/>
              <w:jc w:val="center"/>
              <w:rPr>
                <w:rFonts w:ascii="宋体" w:hAnsi="宋体" w:cs="MingLiU"/>
                <w:szCs w:val="21"/>
              </w:rPr>
            </w:pPr>
            <w:r>
              <w:rPr>
                <w:szCs w:val="21"/>
              </w:rPr>
              <w:t>第一个信封评分分值构成（总分100分）</w:t>
            </w:r>
          </w:p>
        </w:tc>
        <w:tc>
          <w:tcPr>
            <w:tcW w:w="6801" w:type="dxa"/>
            <w:tcBorders>
              <w:top w:val="single" w:color="auto" w:sz="4" w:space="0"/>
              <w:left w:val="single" w:color="auto" w:sz="4" w:space="0"/>
              <w:bottom w:val="nil"/>
              <w:right w:val="single" w:color="auto" w:sz="4" w:space="0"/>
            </w:tcBorders>
            <w:shd w:val="clear" w:color="auto" w:fill="FFFFFF"/>
            <w:noWrap w:val="0"/>
            <w:vAlign w:val="center"/>
          </w:tcPr>
          <w:p>
            <w:pPr>
              <w:adjustRightInd w:val="0"/>
              <w:snapToGrid w:val="0"/>
              <w:spacing w:line="360" w:lineRule="auto"/>
              <w:ind w:firstLine="420" w:firstLineChars="200"/>
              <w:rPr>
                <w:szCs w:val="21"/>
                <w:highlight w:val="none"/>
              </w:rPr>
            </w:pPr>
            <w:r>
              <w:rPr>
                <w:szCs w:val="21"/>
                <w:highlight w:val="none"/>
              </w:rPr>
              <w:t>施工组织设计：</w:t>
            </w:r>
            <w:r>
              <w:rPr>
                <w:rFonts w:hint="eastAsia"/>
                <w:szCs w:val="21"/>
                <w:highlight w:val="none"/>
                <w:u w:val="single"/>
              </w:rPr>
              <w:t>40</w:t>
            </w:r>
            <w:r>
              <w:rPr>
                <w:szCs w:val="21"/>
                <w:highlight w:val="none"/>
              </w:rPr>
              <w:t>分</w:t>
            </w:r>
          </w:p>
          <w:p>
            <w:pPr>
              <w:adjustRightInd w:val="0"/>
              <w:snapToGrid w:val="0"/>
              <w:spacing w:line="360" w:lineRule="auto"/>
              <w:ind w:firstLine="420" w:firstLineChars="200"/>
              <w:rPr>
                <w:szCs w:val="21"/>
                <w:highlight w:val="none"/>
              </w:rPr>
            </w:pPr>
            <w:r>
              <w:rPr>
                <w:szCs w:val="21"/>
                <w:highlight w:val="none"/>
              </w:rPr>
              <w:t>主要人员：</w:t>
            </w:r>
            <w:r>
              <w:rPr>
                <w:rFonts w:hint="eastAsia"/>
                <w:szCs w:val="21"/>
                <w:highlight w:val="none"/>
                <w:u w:val="single"/>
              </w:rPr>
              <w:t>25</w:t>
            </w:r>
            <w:r>
              <w:rPr>
                <w:szCs w:val="21"/>
                <w:highlight w:val="none"/>
              </w:rPr>
              <w:t>分</w:t>
            </w:r>
          </w:p>
          <w:p>
            <w:pPr>
              <w:adjustRightInd w:val="0"/>
              <w:snapToGrid w:val="0"/>
              <w:spacing w:line="360" w:lineRule="auto"/>
              <w:ind w:firstLine="420" w:firstLineChars="200"/>
              <w:rPr>
                <w:szCs w:val="21"/>
                <w:highlight w:val="none"/>
              </w:rPr>
            </w:pPr>
            <w:r>
              <w:rPr>
                <w:szCs w:val="21"/>
                <w:highlight w:val="none"/>
              </w:rPr>
              <w:t>技术能力：</w:t>
            </w:r>
            <w:r>
              <w:rPr>
                <w:rFonts w:hint="eastAsia"/>
                <w:szCs w:val="21"/>
                <w:highlight w:val="none"/>
                <w:u w:val="single"/>
              </w:rPr>
              <w:t>20</w:t>
            </w:r>
            <w:r>
              <w:rPr>
                <w:szCs w:val="21"/>
                <w:highlight w:val="none"/>
              </w:rPr>
              <w:t xml:space="preserve">分 </w:t>
            </w:r>
          </w:p>
          <w:p>
            <w:pPr>
              <w:adjustRightInd w:val="0"/>
              <w:snapToGrid w:val="0"/>
              <w:spacing w:line="360" w:lineRule="auto"/>
              <w:ind w:firstLine="420" w:firstLineChars="200"/>
              <w:rPr>
                <w:rFonts w:ascii="宋体" w:hAnsi="宋体" w:cs="MingLiU"/>
                <w:szCs w:val="21"/>
                <w:highlight w:val="none"/>
              </w:rPr>
            </w:pPr>
            <w:r>
              <w:rPr>
                <w:szCs w:val="21"/>
                <w:highlight w:val="none"/>
              </w:rPr>
              <w:t>履约信誉：</w:t>
            </w:r>
            <w:r>
              <w:rPr>
                <w:rFonts w:hint="eastAsia"/>
                <w:szCs w:val="21"/>
                <w:highlight w:val="none"/>
                <w:u w:val="single"/>
              </w:rPr>
              <w:t>15</w:t>
            </w:r>
            <w:r>
              <w:rPr>
                <w:szCs w:val="21"/>
                <w:highlight w:val="none"/>
              </w:rPr>
              <w:t>分</w:t>
            </w:r>
          </w:p>
        </w:tc>
      </w:tr>
      <w:tr>
        <w:tblPrEx>
          <w:tblCellMar>
            <w:top w:w="0" w:type="dxa"/>
            <w:left w:w="0" w:type="dxa"/>
            <w:bottom w:w="0" w:type="dxa"/>
            <w:right w:w="0" w:type="dxa"/>
          </w:tblCellMar>
        </w:tblPrEx>
        <w:trPr>
          <w:trHeight w:val="4813" w:hRule="exact"/>
        </w:trPr>
        <w:tc>
          <w:tcPr>
            <w:tcW w:w="994" w:type="dxa"/>
            <w:tcBorders>
              <w:top w:val="single" w:color="auto" w:sz="4" w:space="0"/>
              <w:left w:val="single" w:color="auto" w:sz="4" w:space="0"/>
              <w:bottom w:val="nil"/>
              <w:right w:val="nil"/>
            </w:tcBorders>
            <w:shd w:val="clear" w:color="auto" w:fill="FFFFFF"/>
            <w:noWrap w:val="0"/>
            <w:vAlign w:val="center"/>
          </w:tcPr>
          <w:p>
            <w:pPr>
              <w:pStyle w:val="14"/>
              <w:shd w:val="clear" w:color="auto" w:fill="auto"/>
              <w:spacing w:before="0" w:line="360" w:lineRule="auto"/>
              <w:jc w:val="center"/>
              <w:rPr>
                <w:rFonts w:ascii="宋体" w:hAnsi="宋体" w:eastAsia="宋体" w:cs="MingLiU"/>
                <w:kern w:val="2"/>
                <w:sz w:val="21"/>
                <w:szCs w:val="21"/>
              </w:rPr>
            </w:pPr>
            <w:r>
              <w:rPr>
                <w:rStyle w:val="16"/>
                <w:rFonts w:ascii="宋体" w:hAnsi="宋体" w:eastAsia="宋体"/>
                <w:kern w:val="2"/>
                <w:sz w:val="21"/>
                <w:szCs w:val="21"/>
              </w:rPr>
              <w:t>2.2.3</w:t>
            </w:r>
          </w:p>
        </w:tc>
        <w:tc>
          <w:tcPr>
            <w:tcW w:w="1277" w:type="dxa"/>
            <w:tcBorders>
              <w:top w:val="single" w:color="auto" w:sz="4" w:space="0"/>
              <w:left w:val="single" w:color="auto" w:sz="4" w:space="0"/>
              <w:bottom w:val="nil"/>
              <w:right w:val="nil"/>
            </w:tcBorders>
            <w:shd w:val="clear" w:color="auto" w:fill="FFFFFF"/>
            <w:noWrap w:val="0"/>
            <w:vAlign w:val="center"/>
          </w:tcPr>
          <w:p>
            <w:pPr>
              <w:pStyle w:val="14"/>
              <w:shd w:val="clear" w:color="auto" w:fill="auto"/>
              <w:spacing w:before="0" w:line="360" w:lineRule="auto"/>
              <w:jc w:val="center"/>
              <w:rPr>
                <w:rFonts w:ascii="宋体" w:hAnsi="宋体" w:eastAsia="宋体" w:cs="MingLiU"/>
                <w:kern w:val="2"/>
                <w:sz w:val="21"/>
                <w:szCs w:val="21"/>
              </w:rPr>
            </w:pPr>
            <w:r>
              <w:rPr>
                <w:rStyle w:val="17"/>
                <w:rFonts w:hint="eastAsia" w:ascii="宋体" w:hAnsi="宋体" w:eastAsia="宋体"/>
                <w:kern w:val="2"/>
                <w:sz w:val="21"/>
                <w:szCs w:val="21"/>
                <w:lang w:val="zh-CN"/>
              </w:rPr>
              <w:t>第二个信封</w:t>
            </w:r>
            <w:r>
              <w:rPr>
                <w:rStyle w:val="17"/>
                <w:rFonts w:ascii="宋体" w:hAnsi="宋体" w:eastAsia="宋体"/>
                <w:kern w:val="2"/>
                <w:sz w:val="21"/>
                <w:szCs w:val="21"/>
                <w:lang w:val="zh-CN"/>
              </w:rPr>
              <w:t xml:space="preserve"> </w:t>
            </w:r>
            <w:r>
              <w:rPr>
                <w:rStyle w:val="17"/>
                <w:rFonts w:hint="eastAsia" w:ascii="宋体" w:hAnsi="宋体" w:eastAsia="宋体"/>
                <w:kern w:val="2"/>
                <w:sz w:val="21"/>
                <w:szCs w:val="21"/>
                <w:lang w:val="zh-CN"/>
              </w:rPr>
              <w:t>详细评审标</w:t>
            </w:r>
            <w:r>
              <w:rPr>
                <w:rStyle w:val="17"/>
                <w:rFonts w:ascii="宋体" w:hAnsi="宋体" w:eastAsia="宋体"/>
                <w:kern w:val="2"/>
                <w:sz w:val="21"/>
                <w:szCs w:val="21"/>
                <w:lang w:val="zh-CN"/>
              </w:rPr>
              <w:t xml:space="preserve"> </w:t>
            </w:r>
            <w:r>
              <w:rPr>
                <w:rStyle w:val="17"/>
                <w:rFonts w:hint="eastAsia" w:ascii="宋体" w:hAnsi="宋体" w:eastAsia="宋体"/>
                <w:kern w:val="2"/>
                <w:sz w:val="21"/>
                <w:szCs w:val="21"/>
                <w:lang w:val="zh-CN"/>
              </w:rPr>
              <w:t>准</w:t>
            </w:r>
          </w:p>
        </w:tc>
        <w:tc>
          <w:tcPr>
            <w:tcW w:w="6801" w:type="dxa"/>
            <w:tcBorders>
              <w:top w:val="single" w:color="auto" w:sz="4" w:space="0"/>
              <w:left w:val="single" w:color="auto" w:sz="4" w:space="0"/>
              <w:bottom w:val="nil"/>
              <w:right w:val="single" w:color="auto" w:sz="4" w:space="0"/>
            </w:tcBorders>
            <w:shd w:val="clear" w:color="auto" w:fill="FFFFFF"/>
            <w:noWrap w:val="0"/>
            <w:vAlign w:val="center"/>
          </w:tcPr>
          <w:p>
            <w:pPr>
              <w:pStyle w:val="14"/>
              <w:shd w:val="clear" w:color="auto" w:fill="auto"/>
              <w:spacing w:before="0" w:line="360" w:lineRule="auto"/>
              <w:jc w:val="left"/>
              <w:rPr>
                <w:rStyle w:val="17"/>
                <w:rFonts w:hint="eastAsia" w:ascii="宋体" w:hAnsi="宋体" w:eastAsia="宋体"/>
                <w:kern w:val="2"/>
                <w:sz w:val="21"/>
                <w:szCs w:val="21"/>
                <w:highlight w:val="none"/>
                <w:lang w:val="zh-CN"/>
              </w:rPr>
            </w:pPr>
            <w:r>
              <w:rPr>
                <w:rStyle w:val="17"/>
                <w:rFonts w:hint="eastAsia" w:ascii="宋体" w:hAnsi="宋体" w:eastAsia="宋体"/>
                <w:kern w:val="2"/>
                <w:sz w:val="21"/>
                <w:szCs w:val="21"/>
                <w:highlight w:val="none"/>
                <w:lang w:val="zh-CN"/>
              </w:rPr>
              <w:t>评标价计算公式：</w:t>
            </w:r>
          </w:p>
          <w:p>
            <w:pPr>
              <w:pStyle w:val="14"/>
              <w:shd w:val="clear" w:color="auto" w:fill="auto"/>
              <w:spacing w:before="0" w:line="360" w:lineRule="auto"/>
              <w:jc w:val="left"/>
              <w:rPr>
                <w:rStyle w:val="17"/>
                <w:rFonts w:hint="eastAsia" w:ascii="宋体" w:hAnsi="宋体" w:eastAsia="宋体"/>
                <w:kern w:val="2"/>
                <w:sz w:val="21"/>
                <w:szCs w:val="21"/>
                <w:highlight w:val="none"/>
                <w:lang w:val="zh-CN"/>
              </w:rPr>
            </w:pPr>
            <w:r>
              <w:rPr>
                <w:rStyle w:val="17"/>
                <w:rFonts w:hint="eastAsia" w:ascii="宋体" w:hAnsi="宋体" w:eastAsia="宋体"/>
                <w:kern w:val="2"/>
                <w:sz w:val="21"/>
                <w:szCs w:val="21"/>
                <w:highlight w:val="none"/>
                <w:lang w:val="zh-CN"/>
              </w:rPr>
              <w:t>评标价＝修正后的投标报价－暂估价－暂列金额</w:t>
            </w:r>
          </w:p>
          <w:p>
            <w:pPr>
              <w:pStyle w:val="14"/>
              <w:shd w:val="clear" w:color="auto" w:fill="auto"/>
              <w:spacing w:before="0" w:line="360" w:lineRule="auto"/>
              <w:jc w:val="left"/>
              <w:rPr>
                <w:rFonts w:ascii="宋体" w:hAnsi="宋体" w:eastAsia="宋体" w:cs="MingLiU"/>
                <w:kern w:val="2"/>
                <w:sz w:val="21"/>
                <w:szCs w:val="21"/>
                <w:highlight w:val="none"/>
              </w:rPr>
            </w:pPr>
            <w:r>
              <w:rPr>
                <w:rStyle w:val="17"/>
                <w:rFonts w:hint="eastAsia" w:ascii="宋体" w:hAnsi="宋体" w:eastAsia="宋体"/>
                <w:kern w:val="2"/>
                <w:sz w:val="21"/>
                <w:szCs w:val="21"/>
                <w:highlight w:val="none"/>
                <w:lang w:val="zh-CN"/>
              </w:rPr>
              <w:t>若投标人的评标价小于最高评标限价的85％，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CellMar>
            <w:top w:w="0" w:type="dxa"/>
            <w:left w:w="0" w:type="dxa"/>
            <w:bottom w:w="0" w:type="dxa"/>
            <w:right w:w="0" w:type="dxa"/>
          </w:tblCellMar>
        </w:tblPrEx>
        <w:trPr>
          <w:trHeight w:val="1927" w:hRule="exact"/>
        </w:trPr>
        <w:tc>
          <w:tcPr>
            <w:tcW w:w="994" w:type="dxa"/>
            <w:tcBorders>
              <w:top w:val="single" w:color="auto" w:sz="4" w:space="0"/>
              <w:left w:val="single" w:color="auto" w:sz="4" w:space="0"/>
              <w:bottom w:val="single" w:color="auto" w:sz="4" w:space="0"/>
              <w:right w:val="nil"/>
            </w:tcBorders>
            <w:shd w:val="clear" w:color="auto" w:fill="FFFFFF"/>
            <w:noWrap w:val="0"/>
            <w:vAlign w:val="center"/>
          </w:tcPr>
          <w:p>
            <w:pPr>
              <w:pStyle w:val="14"/>
              <w:shd w:val="clear" w:color="auto" w:fill="auto"/>
              <w:spacing w:before="0" w:line="360" w:lineRule="auto"/>
              <w:jc w:val="center"/>
              <w:rPr>
                <w:rFonts w:ascii="宋体" w:hAnsi="宋体" w:eastAsia="宋体" w:cs="MingLiU"/>
                <w:kern w:val="2"/>
                <w:sz w:val="21"/>
                <w:szCs w:val="21"/>
              </w:rPr>
            </w:pPr>
            <w:r>
              <w:rPr>
                <w:rStyle w:val="16"/>
                <w:rFonts w:ascii="宋体" w:hAnsi="宋体" w:eastAsia="宋体"/>
                <w:kern w:val="2"/>
                <w:sz w:val="21"/>
                <w:szCs w:val="21"/>
              </w:rPr>
              <w:t>3.2.4</w:t>
            </w:r>
          </w:p>
        </w:tc>
        <w:tc>
          <w:tcPr>
            <w:tcW w:w="1277" w:type="dxa"/>
            <w:tcBorders>
              <w:top w:val="single" w:color="auto" w:sz="4" w:space="0"/>
              <w:left w:val="single" w:color="auto" w:sz="4" w:space="0"/>
              <w:bottom w:val="single" w:color="auto" w:sz="4" w:space="0"/>
              <w:right w:val="nil"/>
            </w:tcBorders>
            <w:shd w:val="clear" w:color="auto" w:fill="FFFFFF"/>
            <w:noWrap w:val="0"/>
            <w:vAlign w:val="bottom"/>
          </w:tcPr>
          <w:p>
            <w:pPr>
              <w:pStyle w:val="14"/>
              <w:shd w:val="clear" w:color="auto" w:fill="auto"/>
              <w:spacing w:before="0" w:line="360" w:lineRule="auto"/>
              <w:jc w:val="center"/>
              <w:rPr>
                <w:rFonts w:ascii="宋体" w:hAnsi="宋体" w:eastAsia="宋体" w:cs="MingLiU"/>
                <w:kern w:val="2"/>
                <w:sz w:val="21"/>
                <w:szCs w:val="21"/>
              </w:rPr>
            </w:pPr>
            <w:r>
              <w:rPr>
                <w:rStyle w:val="17"/>
                <w:rFonts w:hint="eastAsia" w:ascii="宋体" w:hAnsi="宋体" w:eastAsia="宋体"/>
                <w:kern w:val="2"/>
                <w:sz w:val="21"/>
                <w:szCs w:val="21"/>
                <w:lang w:val="zh-CN"/>
              </w:rPr>
              <w:t>通过第一个</w:t>
            </w:r>
            <w:r>
              <w:rPr>
                <w:rStyle w:val="17"/>
                <w:rFonts w:ascii="宋体" w:hAnsi="宋体" w:eastAsia="宋体"/>
                <w:kern w:val="2"/>
                <w:sz w:val="21"/>
                <w:szCs w:val="21"/>
                <w:lang w:val="zh-CN"/>
              </w:rPr>
              <w:t xml:space="preserve"> </w:t>
            </w:r>
            <w:r>
              <w:rPr>
                <w:rStyle w:val="17"/>
                <w:rFonts w:hint="eastAsia" w:ascii="宋体" w:hAnsi="宋体" w:eastAsia="宋体"/>
                <w:kern w:val="2"/>
                <w:sz w:val="21"/>
                <w:szCs w:val="21"/>
                <w:lang w:val="zh-CN"/>
              </w:rPr>
              <w:t>信封详细评</w:t>
            </w:r>
            <w:r>
              <w:rPr>
                <w:rStyle w:val="17"/>
                <w:rFonts w:ascii="宋体" w:hAnsi="宋体" w:eastAsia="宋体"/>
                <w:kern w:val="2"/>
                <w:sz w:val="21"/>
                <w:szCs w:val="21"/>
                <w:lang w:val="zh-CN"/>
              </w:rPr>
              <w:t xml:space="preserve"> </w:t>
            </w:r>
            <w:r>
              <w:rPr>
                <w:rStyle w:val="17"/>
                <w:rFonts w:hint="eastAsia" w:ascii="宋体" w:hAnsi="宋体" w:eastAsia="宋体"/>
                <w:kern w:val="2"/>
                <w:sz w:val="21"/>
                <w:szCs w:val="21"/>
                <w:lang w:val="zh-CN"/>
              </w:rPr>
              <w:t>审的投标人</w:t>
            </w:r>
          </w:p>
          <w:p>
            <w:pPr>
              <w:pStyle w:val="14"/>
              <w:shd w:val="clear" w:color="auto" w:fill="auto"/>
              <w:spacing w:before="0" w:line="360" w:lineRule="auto"/>
              <w:jc w:val="center"/>
              <w:rPr>
                <w:rFonts w:ascii="宋体" w:hAnsi="宋体" w:eastAsia="宋体" w:cs="MingLiU"/>
                <w:kern w:val="2"/>
                <w:sz w:val="21"/>
                <w:szCs w:val="21"/>
              </w:rPr>
            </w:pPr>
            <w:r>
              <w:rPr>
                <w:rStyle w:val="17"/>
                <w:rFonts w:hint="eastAsia" w:ascii="宋体" w:hAnsi="宋体" w:eastAsia="宋体"/>
                <w:kern w:val="2"/>
                <w:sz w:val="21"/>
                <w:szCs w:val="21"/>
                <w:lang w:val="zh-CN"/>
              </w:rPr>
              <w:t>数量</w:t>
            </w:r>
          </w:p>
        </w:tc>
        <w:tc>
          <w:tcPr>
            <w:tcW w:w="68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hd w:val="clear" w:color="auto" w:fill="auto"/>
              <w:spacing w:before="0" w:line="360" w:lineRule="auto"/>
              <w:jc w:val="left"/>
              <w:rPr>
                <w:rFonts w:ascii="宋体" w:hAnsi="宋体" w:eastAsia="宋体" w:cs="MingLiU"/>
                <w:kern w:val="2"/>
                <w:sz w:val="21"/>
                <w:szCs w:val="21"/>
              </w:rPr>
            </w:pPr>
            <w:r>
              <w:rPr>
                <w:rStyle w:val="17"/>
                <w:rFonts w:hint="eastAsia" w:ascii="宋体" w:hAnsi="宋体" w:eastAsia="宋体"/>
                <w:kern w:val="2"/>
                <w:sz w:val="21"/>
                <w:szCs w:val="21"/>
                <w:lang w:val="zh-CN"/>
              </w:rPr>
              <w:t>按照投标人的商务和技术得分由高到低排序，</w:t>
            </w:r>
            <w:r>
              <w:rPr>
                <w:rStyle w:val="17"/>
                <w:rFonts w:hint="eastAsia" w:ascii="宋体" w:hAnsi="宋体" w:eastAsia="宋体"/>
                <w:lang w:val="zh-CN"/>
              </w:rPr>
              <w:t>选择</w:t>
            </w:r>
            <w:r>
              <w:rPr>
                <w:rStyle w:val="17"/>
                <w:rFonts w:hint="eastAsia" w:ascii="宋体" w:hAnsi="宋体" w:eastAsia="宋体"/>
                <w:u w:val="single"/>
                <w:lang w:val="zh-CN"/>
              </w:rPr>
              <w:t>前5名</w:t>
            </w:r>
            <w:r>
              <w:rPr>
                <w:rStyle w:val="17"/>
                <w:rFonts w:hint="eastAsia" w:ascii="宋体" w:eastAsia="宋体"/>
                <w:u w:val="single"/>
                <w:lang w:val="zh-CN"/>
              </w:rPr>
              <w:t>（不少于3名但不足5名时，按全部实际数量）</w:t>
            </w:r>
            <w:r>
              <w:rPr>
                <w:rStyle w:val="17"/>
                <w:rFonts w:hint="eastAsia" w:ascii="宋体" w:hAnsi="宋体" w:eastAsia="宋体"/>
                <w:lang w:val="zh-CN"/>
              </w:rPr>
              <w:t>通过详细评审</w:t>
            </w:r>
          </w:p>
        </w:tc>
      </w:tr>
    </w:tbl>
    <w:p>
      <w:pPr>
        <w:pStyle w:val="2"/>
        <w:ind w:firstLine="0" w:firstLineChars="0"/>
        <w:rPr>
          <w:rFonts w:ascii="宋体" w:hAnsi="宋体"/>
        </w:rPr>
      </w:pPr>
    </w:p>
    <w:p>
      <w:pPr>
        <w:widowControl/>
        <w:jc w:val="left"/>
        <w:rPr>
          <w:rFonts w:hint="eastAsia" w:ascii="宋体" w:hAnsi="宋体"/>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tbl>
      <w:tblPr>
        <w:tblStyle w:val="5"/>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445"/>
        <w:gridCol w:w="688"/>
        <w:gridCol w:w="637"/>
        <w:gridCol w:w="978"/>
        <w:gridCol w:w="682"/>
        <w:gridCol w:w="4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41" w:type="dxa"/>
            <w:gridSpan w:val="6"/>
            <w:tcBorders>
              <w:top w:val="single" w:color="auto" w:sz="4" w:space="0"/>
            </w:tcBorders>
            <w:noWrap w:val="0"/>
            <w:vAlign w:val="top"/>
          </w:tcPr>
          <w:p>
            <w:pPr>
              <w:adjustRightInd w:val="0"/>
              <w:snapToGrid w:val="0"/>
              <w:spacing w:line="360" w:lineRule="auto"/>
              <w:jc w:val="center"/>
              <w:rPr>
                <w:b/>
                <w:szCs w:val="21"/>
              </w:rPr>
            </w:pPr>
            <w:r>
              <w:rPr>
                <w:b/>
                <w:szCs w:val="21"/>
              </w:rPr>
              <w:t>评分因素与权重分值</w:t>
            </w:r>
          </w:p>
        </w:tc>
        <w:tc>
          <w:tcPr>
            <w:tcW w:w="4323" w:type="dxa"/>
            <w:vMerge w:val="restart"/>
            <w:tcBorders>
              <w:top w:val="single" w:color="auto" w:sz="4" w:space="0"/>
            </w:tcBorders>
            <w:noWrap w:val="0"/>
            <w:vAlign w:val="center"/>
          </w:tcPr>
          <w:p>
            <w:pPr>
              <w:adjustRightInd w:val="0"/>
              <w:snapToGrid w:val="0"/>
              <w:spacing w:line="360" w:lineRule="auto"/>
              <w:jc w:val="center"/>
              <w:rPr>
                <w:b/>
                <w:szCs w:val="21"/>
              </w:rPr>
            </w:pPr>
            <w:r>
              <w:rPr>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11" w:type="dxa"/>
            <w:noWrap w:val="0"/>
            <w:vAlign w:val="center"/>
          </w:tcPr>
          <w:p>
            <w:pPr>
              <w:adjustRightInd w:val="0"/>
              <w:snapToGrid w:val="0"/>
              <w:spacing w:line="360" w:lineRule="auto"/>
              <w:jc w:val="center"/>
              <w:rPr>
                <w:b/>
                <w:szCs w:val="21"/>
              </w:rPr>
            </w:pPr>
            <w:r>
              <w:rPr>
                <w:b/>
                <w:szCs w:val="21"/>
              </w:rPr>
              <w:t>条款号</w:t>
            </w:r>
          </w:p>
        </w:tc>
        <w:tc>
          <w:tcPr>
            <w:tcW w:w="1133" w:type="dxa"/>
            <w:gridSpan w:val="2"/>
            <w:noWrap w:val="0"/>
            <w:vAlign w:val="center"/>
          </w:tcPr>
          <w:p>
            <w:pPr>
              <w:adjustRightInd w:val="0"/>
              <w:snapToGrid w:val="0"/>
              <w:spacing w:line="360" w:lineRule="auto"/>
              <w:jc w:val="center"/>
              <w:rPr>
                <w:b/>
                <w:szCs w:val="21"/>
              </w:rPr>
            </w:pPr>
            <w:r>
              <w:rPr>
                <w:b/>
                <w:szCs w:val="21"/>
              </w:rPr>
              <w:t>评分因素</w:t>
            </w:r>
          </w:p>
        </w:tc>
        <w:tc>
          <w:tcPr>
            <w:tcW w:w="637" w:type="dxa"/>
            <w:noWrap w:val="0"/>
            <w:vAlign w:val="center"/>
          </w:tcPr>
          <w:p>
            <w:pPr>
              <w:adjustRightInd w:val="0"/>
              <w:snapToGrid w:val="0"/>
              <w:spacing w:line="360" w:lineRule="auto"/>
              <w:ind w:left="-105" w:leftChars="-50" w:right="-105" w:rightChars="-50"/>
              <w:jc w:val="center"/>
              <w:rPr>
                <w:b/>
                <w:szCs w:val="21"/>
              </w:rPr>
            </w:pPr>
            <w:r>
              <w:rPr>
                <w:b/>
                <w:szCs w:val="21"/>
              </w:rPr>
              <w:t>评分因素权重分值</w:t>
            </w:r>
          </w:p>
        </w:tc>
        <w:tc>
          <w:tcPr>
            <w:tcW w:w="978" w:type="dxa"/>
            <w:noWrap w:val="0"/>
            <w:vAlign w:val="center"/>
          </w:tcPr>
          <w:p>
            <w:pPr>
              <w:adjustRightInd w:val="0"/>
              <w:snapToGrid w:val="0"/>
              <w:spacing w:line="360" w:lineRule="auto"/>
              <w:jc w:val="center"/>
              <w:rPr>
                <w:b/>
                <w:szCs w:val="21"/>
              </w:rPr>
            </w:pPr>
            <w:r>
              <w:rPr>
                <w:b/>
                <w:szCs w:val="21"/>
              </w:rPr>
              <w:t>各评分因素细分项</w:t>
            </w:r>
          </w:p>
        </w:tc>
        <w:tc>
          <w:tcPr>
            <w:tcW w:w="682" w:type="dxa"/>
            <w:noWrap w:val="0"/>
            <w:vAlign w:val="center"/>
          </w:tcPr>
          <w:p>
            <w:pPr>
              <w:adjustRightInd w:val="0"/>
              <w:snapToGrid w:val="0"/>
              <w:spacing w:line="360" w:lineRule="auto"/>
              <w:jc w:val="right"/>
              <w:rPr>
                <w:b/>
                <w:szCs w:val="21"/>
              </w:rPr>
            </w:pPr>
            <w:r>
              <w:rPr>
                <w:b/>
                <w:szCs w:val="21"/>
              </w:rPr>
              <w:t>分值</w:t>
            </w:r>
          </w:p>
        </w:tc>
        <w:tc>
          <w:tcPr>
            <w:tcW w:w="4323" w:type="dxa"/>
            <w:vMerge w:val="continue"/>
            <w:noWrap w:val="0"/>
            <w:vAlign w:val="top"/>
          </w:tcPr>
          <w:p>
            <w:pPr>
              <w:adjustRightInd w:val="0"/>
              <w:snapToGrid w:val="0"/>
              <w:spacing w:line="360"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jc w:val="center"/>
        </w:trPr>
        <w:tc>
          <w:tcPr>
            <w:tcW w:w="1111" w:type="dxa"/>
            <w:vMerge w:val="restart"/>
            <w:noWrap w:val="0"/>
            <w:vAlign w:val="center"/>
          </w:tcPr>
          <w:p>
            <w:pPr>
              <w:adjustRightInd w:val="0"/>
              <w:snapToGrid w:val="0"/>
              <w:spacing w:line="360" w:lineRule="auto"/>
              <w:jc w:val="center"/>
              <w:rPr>
                <w:szCs w:val="21"/>
              </w:rPr>
            </w:pPr>
            <w:r>
              <w:rPr>
                <w:szCs w:val="21"/>
              </w:rPr>
              <w:t>2.2.2（1）</w:t>
            </w:r>
          </w:p>
        </w:tc>
        <w:tc>
          <w:tcPr>
            <w:tcW w:w="1133" w:type="dxa"/>
            <w:gridSpan w:val="2"/>
            <w:vMerge w:val="restart"/>
            <w:noWrap w:val="0"/>
            <w:vAlign w:val="center"/>
          </w:tcPr>
          <w:p>
            <w:pPr>
              <w:adjustRightInd w:val="0"/>
              <w:snapToGrid w:val="0"/>
              <w:spacing w:line="360" w:lineRule="auto"/>
              <w:jc w:val="center"/>
              <w:rPr>
                <w:szCs w:val="21"/>
              </w:rPr>
            </w:pPr>
            <w:r>
              <w:rPr>
                <w:szCs w:val="21"/>
              </w:rPr>
              <w:t>施工组织设计</w:t>
            </w:r>
          </w:p>
        </w:tc>
        <w:tc>
          <w:tcPr>
            <w:tcW w:w="637" w:type="dxa"/>
            <w:vMerge w:val="restart"/>
            <w:noWrap w:val="0"/>
            <w:vAlign w:val="center"/>
          </w:tcPr>
          <w:p>
            <w:pPr>
              <w:adjustRightInd w:val="0"/>
              <w:snapToGrid w:val="0"/>
              <w:spacing w:line="360" w:lineRule="auto"/>
              <w:jc w:val="right"/>
              <w:rPr>
                <w:szCs w:val="21"/>
                <w:u w:val="single"/>
              </w:rPr>
            </w:pPr>
            <w:r>
              <w:rPr>
                <w:szCs w:val="21"/>
                <w:u w:val="single"/>
              </w:rPr>
              <w:t xml:space="preserve">   </w:t>
            </w:r>
            <w:r>
              <w:rPr>
                <w:rFonts w:hint="eastAsia"/>
                <w:szCs w:val="21"/>
                <w:u w:val="single"/>
              </w:rPr>
              <w:t>40</w:t>
            </w:r>
            <w:r>
              <w:rPr>
                <w:szCs w:val="21"/>
              </w:rPr>
              <w:t>分</w:t>
            </w:r>
          </w:p>
        </w:tc>
        <w:tc>
          <w:tcPr>
            <w:tcW w:w="978" w:type="dxa"/>
            <w:noWrap w:val="0"/>
            <w:vAlign w:val="center"/>
          </w:tcPr>
          <w:p>
            <w:pPr>
              <w:adjustRightInd w:val="0"/>
              <w:snapToGrid w:val="0"/>
              <w:spacing w:line="360" w:lineRule="auto"/>
              <w:ind w:right="113"/>
              <w:jc w:val="left"/>
              <w:rPr>
                <w:szCs w:val="21"/>
              </w:rPr>
            </w:pPr>
            <w:r>
              <w:rPr>
                <w:szCs w:val="21"/>
              </w:rPr>
              <w:t>工期保证体系及保证措施</w:t>
            </w:r>
          </w:p>
        </w:tc>
        <w:tc>
          <w:tcPr>
            <w:tcW w:w="682" w:type="dxa"/>
            <w:noWrap w:val="0"/>
            <w:vAlign w:val="center"/>
          </w:tcPr>
          <w:p>
            <w:pPr>
              <w:adjustRightInd w:val="0"/>
              <w:snapToGrid w:val="0"/>
              <w:spacing w:line="360" w:lineRule="auto"/>
              <w:jc w:val="center"/>
              <w:rPr>
                <w:szCs w:val="21"/>
              </w:rPr>
            </w:pPr>
            <w:r>
              <w:rPr>
                <w:szCs w:val="21"/>
                <w:u w:val="single"/>
              </w:rPr>
              <w:t>1</w:t>
            </w:r>
            <w:r>
              <w:rPr>
                <w:rFonts w:hint="eastAsia"/>
                <w:szCs w:val="21"/>
                <w:u w:val="single"/>
              </w:rPr>
              <w:t>5</w:t>
            </w:r>
            <w:r>
              <w:rPr>
                <w:szCs w:val="21"/>
              </w:rPr>
              <w:t>分</w:t>
            </w:r>
          </w:p>
        </w:tc>
        <w:tc>
          <w:tcPr>
            <w:tcW w:w="4323" w:type="dxa"/>
            <w:noWrap w:val="0"/>
            <w:vAlign w:val="center"/>
          </w:tcPr>
          <w:p>
            <w:pPr>
              <w:autoSpaceDE w:val="0"/>
              <w:autoSpaceDN w:val="0"/>
              <w:adjustRightInd w:val="0"/>
              <w:snapToGrid w:val="0"/>
              <w:spacing w:line="360" w:lineRule="auto"/>
              <w:ind w:right="38" w:rightChars="18"/>
              <w:rPr>
                <w:kern w:val="0"/>
                <w:sz w:val="20"/>
                <w:szCs w:val="20"/>
              </w:rPr>
            </w:pPr>
            <w:r>
              <w:rPr>
                <w:kern w:val="0"/>
                <w:sz w:val="20"/>
                <w:szCs w:val="20"/>
              </w:rPr>
              <w:t>（1）进度控制措施得当，对本项目的工期重要性理解特别透彻，对地形地貌特征、重点工序、天气、关键设备故障、与其他承包人衔接、社会环境等问题有切实可行的应对或应急方案，计划科学合理，可操作性高，得</w:t>
            </w:r>
            <w:r>
              <w:rPr>
                <w:rFonts w:hint="eastAsia"/>
                <w:kern w:val="0"/>
                <w:sz w:val="20"/>
                <w:szCs w:val="20"/>
              </w:rPr>
              <w:t>12</w:t>
            </w:r>
            <w:r>
              <w:rPr>
                <w:kern w:val="0"/>
                <w:sz w:val="20"/>
                <w:szCs w:val="20"/>
              </w:rPr>
              <w:t>～</w:t>
            </w:r>
            <w:r>
              <w:rPr>
                <w:rFonts w:hint="eastAsia"/>
                <w:kern w:val="0"/>
                <w:sz w:val="20"/>
                <w:szCs w:val="20"/>
              </w:rPr>
              <w:t>1</w:t>
            </w:r>
            <w:r>
              <w:rPr>
                <w:kern w:val="0"/>
                <w:sz w:val="20"/>
                <w:szCs w:val="20"/>
              </w:rPr>
              <w:t>5分；</w:t>
            </w:r>
          </w:p>
          <w:p>
            <w:pPr>
              <w:autoSpaceDE w:val="0"/>
              <w:autoSpaceDN w:val="0"/>
              <w:adjustRightInd w:val="0"/>
              <w:snapToGrid w:val="0"/>
              <w:spacing w:line="360" w:lineRule="auto"/>
              <w:ind w:right="38" w:rightChars="18"/>
              <w:rPr>
                <w:kern w:val="0"/>
                <w:sz w:val="20"/>
                <w:szCs w:val="20"/>
              </w:rPr>
            </w:pPr>
            <w:r>
              <w:rPr>
                <w:kern w:val="0"/>
                <w:sz w:val="20"/>
                <w:szCs w:val="20"/>
              </w:rPr>
              <w:t>（2）工期保证体系及保证措施基本可行，内容较为充实、全面的，得</w:t>
            </w:r>
            <w:r>
              <w:rPr>
                <w:rFonts w:hint="eastAsia"/>
                <w:kern w:val="0"/>
                <w:sz w:val="20"/>
                <w:szCs w:val="20"/>
              </w:rPr>
              <w:t>9</w:t>
            </w:r>
            <w:r>
              <w:rPr>
                <w:kern w:val="0"/>
                <w:sz w:val="20"/>
                <w:szCs w:val="20"/>
              </w:rPr>
              <w:t>～</w:t>
            </w:r>
            <w:r>
              <w:rPr>
                <w:rFonts w:hint="eastAsia"/>
                <w:kern w:val="0"/>
                <w:sz w:val="20"/>
                <w:szCs w:val="20"/>
              </w:rPr>
              <w:t>12</w:t>
            </w:r>
            <w:r>
              <w:rPr>
                <w:kern w:val="0"/>
                <w:sz w:val="20"/>
                <w:szCs w:val="20"/>
              </w:rPr>
              <w:t>分；</w:t>
            </w:r>
          </w:p>
          <w:p>
            <w:pPr>
              <w:autoSpaceDE w:val="0"/>
              <w:autoSpaceDN w:val="0"/>
              <w:adjustRightInd w:val="0"/>
              <w:snapToGrid w:val="0"/>
              <w:spacing w:line="360" w:lineRule="auto"/>
              <w:ind w:right="38" w:rightChars="18"/>
              <w:rPr>
                <w:kern w:val="0"/>
                <w:sz w:val="20"/>
                <w:szCs w:val="20"/>
              </w:rPr>
            </w:pPr>
            <w:r>
              <w:rPr>
                <w:kern w:val="0"/>
                <w:sz w:val="20"/>
                <w:szCs w:val="20"/>
              </w:rPr>
              <w:t>（3）一般但不被评定为不响应的</w:t>
            </w:r>
            <w:r>
              <w:rPr>
                <w:rFonts w:hint="eastAsia"/>
                <w:kern w:val="0"/>
                <w:sz w:val="20"/>
                <w:szCs w:val="20"/>
              </w:rPr>
              <w:t>，</w:t>
            </w:r>
            <w:r>
              <w:rPr>
                <w:kern w:val="0"/>
                <w:sz w:val="20"/>
                <w:szCs w:val="20"/>
              </w:rPr>
              <w:t>起评分</w:t>
            </w:r>
            <w:r>
              <w:rPr>
                <w:rFonts w:hint="eastAsia"/>
                <w:kern w:val="0"/>
                <w:sz w:val="20"/>
                <w:szCs w:val="20"/>
              </w:rPr>
              <w:t>9</w:t>
            </w:r>
            <w:r>
              <w:rPr>
                <w:kern w:val="0"/>
                <w:sz w:val="20"/>
                <w:szCs w:val="20"/>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4" w:hRule="atLeast"/>
          <w:jc w:val="center"/>
        </w:trPr>
        <w:tc>
          <w:tcPr>
            <w:tcW w:w="1111" w:type="dxa"/>
            <w:vMerge w:val="continue"/>
            <w:noWrap w:val="0"/>
            <w:vAlign w:val="center"/>
          </w:tcPr>
          <w:p>
            <w:pPr>
              <w:adjustRightInd w:val="0"/>
              <w:snapToGrid w:val="0"/>
              <w:spacing w:line="360" w:lineRule="auto"/>
              <w:jc w:val="center"/>
              <w:rPr>
                <w:szCs w:val="21"/>
              </w:rPr>
            </w:pPr>
          </w:p>
        </w:tc>
        <w:tc>
          <w:tcPr>
            <w:tcW w:w="1133" w:type="dxa"/>
            <w:gridSpan w:val="2"/>
            <w:vMerge w:val="continue"/>
            <w:noWrap w:val="0"/>
            <w:vAlign w:val="center"/>
          </w:tcPr>
          <w:p>
            <w:pPr>
              <w:adjustRightInd w:val="0"/>
              <w:snapToGrid w:val="0"/>
              <w:spacing w:line="360" w:lineRule="auto"/>
              <w:jc w:val="center"/>
              <w:rPr>
                <w:szCs w:val="21"/>
              </w:rPr>
            </w:pPr>
          </w:p>
        </w:tc>
        <w:tc>
          <w:tcPr>
            <w:tcW w:w="637" w:type="dxa"/>
            <w:vMerge w:val="continue"/>
            <w:noWrap w:val="0"/>
            <w:vAlign w:val="center"/>
          </w:tcPr>
          <w:p>
            <w:pPr>
              <w:adjustRightInd w:val="0"/>
              <w:snapToGrid w:val="0"/>
              <w:spacing w:line="360" w:lineRule="auto"/>
              <w:jc w:val="right"/>
              <w:rPr>
                <w:rFonts w:eastAsia="隶书"/>
                <w:b/>
                <w:szCs w:val="21"/>
              </w:rPr>
            </w:pPr>
          </w:p>
        </w:tc>
        <w:tc>
          <w:tcPr>
            <w:tcW w:w="978" w:type="dxa"/>
            <w:noWrap w:val="0"/>
            <w:vAlign w:val="center"/>
          </w:tcPr>
          <w:p>
            <w:pPr>
              <w:adjustRightInd w:val="0"/>
              <w:snapToGrid w:val="0"/>
              <w:spacing w:line="360" w:lineRule="auto"/>
              <w:ind w:right="113"/>
              <w:jc w:val="left"/>
              <w:rPr>
                <w:szCs w:val="21"/>
              </w:rPr>
            </w:pPr>
            <w:r>
              <w:rPr>
                <w:szCs w:val="21"/>
              </w:rPr>
              <w:t>质量、安全保证体系及保证措施</w:t>
            </w:r>
          </w:p>
        </w:tc>
        <w:tc>
          <w:tcPr>
            <w:tcW w:w="682" w:type="dxa"/>
            <w:noWrap w:val="0"/>
            <w:vAlign w:val="center"/>
          </w:tcPr>
          <w:p>
            <w:pPr>
              <w:adjustRightInd w:val="0"/>
              <w:snapToGrid w:val="0"/>
              <w:spacing w:line="360" w:lineRule="auto"/>
              <w:jc w:val="center"/>
              <w:rPr>
                <w:szCs w:val="21"/>
              </w:rPr>
            </w:pPr>
            <w:r>
              <w:rPr>
                <w:szCs w:val="21"/>
                <w:u w:val="single"/>
              </w:rPr>
              <w:t>1</w:t>
            </w:r>
            <w:r>
              <w:rPr>
                <w:rFonts w:hint="eastAsia"/>
                <w:szCs w:val="21"/>
                <w:u w:val="single"/>
              </w:rPr>
              <w:t>5</w:t>
            </w:r>
            <w:r>
              <w:rPr>
                <w:szCs w:val="21"/>
              </w:rPr>
              <w:t>分</w:t>
            </w:r>
          </w:p>
        </w:tc>
        <w:tc>
          <w:tcPr>
            <w:tcW w:w="4323" w:type="dxa"/>
            <w:noWrap w:val="0"/>
            <w:vAlign w:val="center"/>
          </w:tcPr>
          <w:p>
            <w:pPr>
              <w:autoSpaceDE w:val="0"/>
              <w:autoSpaceDN w:val="0"/>
              <w:adjustRightInd w:val="0"/>
              <w:snapToGrid w:val="0"/>
              <w:spacing w:line="360" w:lineRule="auto"/>
              <w:rPr>
                <w:kern w:val="0"/>
                <w:sz w:val="20"/>
                <w:szCs w:val="20"/>
              </w:rPr>
            </w:pPr>
            <w:r>
              <w:rPr>
                <w:kern w:val="0"/>
                <w:sz w:val="20"/>
                <w:szCs w:val="20"/>
              </w:rPr>
              <w:t>（1）对本项目质量及安全控制有透彻的认识，对施工过程中可能发生的各种质量和安全问题有深刻的认识和合理的预见，并有相应的应对措施，应对措施应科学、充分，能有效处理各种突发问题的，得</w:t>
            </w:r>
            <w:r>
              <w:rPr>
                <w:rFonts w:hint="eastAsia"/>
                <w:kern w:val="0"/>
                <w:sz w:val="20"/>
                <w:szCs w:val="20"/>
              </w:rPr>
              <w:t>12</w:t>
            </w:r>
            <w:r>
              <w:rPr>
                <w:kern w:val="0"/>
                <w:sz w:val="20"/>
                <w:szCs w:val="20"/>
              </w:rPr>
              <w:t>～</w:t>
            </w:r>
            <w:r>
              <w:rPr>
                <w:rFonts w:hint="eastAsia"/>
                <w:kern w:val="0"/>
                <w:sz w:val="20"/>
                <w:szCs w:val="20"/>
              </w:rPr>
              <w:t>15</w:t>
            </w:r>
            <w:r>
              <w:rPr>
                <w:kern w:val="0"/>
                <w:sz w:val="20"/>
                <w:szCs w:val="20"/>
              </w:rPr>
              <w:t>分；</w:t>
            </w:r>
          </w:p>
          <w:p>
            <w:pPr>
              <w:autoSpaceDE w:val="0"/>
              <w:autoSpaceDN w:val="0"/>
              <w:adjustRightInd w:val="0"/>
              <w:snapToGrid w:val="0"/>
              <w:spacing w:line="360" w:lineRule="auto"/>
              <w:rPr>
                <w:kern w:val="0"/>
                <w:sz w:val="20"/>
                <w:szCs w:val="20"/>
              </w:rPr>
            </w:pPr>
            <w:r>
              <w:rPr>
                <w:kern w:val="0"/>
                <w:sz w:val="20"/>
                <w:szCs w:val="20"/>
              </w:rPr>
              <w:t>（2）对本项目质量及安全控制有一定的认识，基本能合理的预见施工过程中可能发生的各种质量和安全问题，并有相应的应对措施，应对措施较为科学、充分，基本能有效处理各种质量和安全问题的，得</w:t>
            </w:r>
            <w:r>
              <w:rPr>
                <w:rFonts w:hint="eastAsia"/>
                <w:kern w:val="0"/>
                <w:sz w:val="20"/>
                <w:szCs w:val="20"/>
              </w:rPr>
              <w:t>9</w:t>
            </w:r>
            <w:r>
              <w:rPr>
                <w:kern w:val="0"/>
                <w:sz w:val="20"/>
                <w:szCs w:val="20"/>
              </w:rPr>
              <w:t>～</w:t>
            </w:r>
            <w:r>
              <w:rPr>
                <w:rFonts w:hint="eastAsia"/>
                <w:kern w:val="0"/>
                <w:sz w:val="20"/>
                <w:szCs w:val="20"/>
              </w:rPr>
              <w:t>12</w:t>
            </w:r>
            <w:r>
              <w:rPr>
                <w:kern w:val="0"/>
                <w:sz w:val="20"/>
                <w:szCs w:val="20"/>
              </w:rPr>
              <w:t>；</w:t>
            </w:r>
          </w:p>
          <w:p>
            <w:pPr>
              <w:autoSpaceDE w:val="0"/>
              <w:autoSpaceDN w:val="0"/>
              <w:adjustRightInd w:val="0"/>
              <w:snapToGrid w:val="0"/>
              <w:spacing w:line="360" w:lineRule="auto"/>
              <w:rPr>
                <w:kern w:val="0"/>
                <w:sz w:val="20"/>
                <w:szCs w:val="20"/>
              </w:rPr>
            </w:pPr>
            <w:r>
              <w:rPr>
                <w:kern w:val="0"/>
                <w:sz w:val="20"/>
                <w:szCs w:val="20"/>
              </w:rPr>
              <w:t>（3）一般但不被评定为不响应的</w:t>
            </w:r>
            <w:r>
              <w:rPr>
                <w:rFonts w:hint="eastAsia"/>
                <w:kern w:val="0"/>
                <w:sz w:val="20"/>
                <w:szCs w:val="20"/>
              </w:rPr>
              <w:t>，</w:t>
            </w:r>
            <w:r>
              <w:rPr>
                <w:kern w:val="0"/>
                <w:sz w:val="20"/>
                <w:szCs w:val="20"/>
              </w:rPr>
              <w:t>起评分</w:t>
            </w:r>
            <w:r>
              <w:rPr>
                <w:rFonts w:hint="eastAsia"/>
                <w:kern w:val="0"/>
                <w:sz w:val="20"/>
                <w:szCs w:val="20"/>
              </w:rPr>
              <w:t>9</w:t>
            </w:r>
            <w:r>
              <w:rPr>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1111" w:type="dxa"/>
            <w:vMerge w:val="continue"/>
            <w:noWrap w:val="0"/>
            <w:vAlign w:val="center"/>
          </w:tcPr>
          <w:p>
            <w:pPr>
              <w:adjustRightInd w:val="0"/>
              <w:snapToGrid w:val="0"/>
              <w:spacing w:line="360" w:lineRule="auto"/>
              <w:jc w:val="center"/>
              <w:rPr>
                <w:szCs w:val="21"/>
              </w:rPr>
            </w:pPr>
          </w:p>
        </w:tc>
        <w:tc>
          <w:tcPr>
            <w:tcW w:w="1133" w:type="dxa"/>
            <w:gridSpan w:val="2"/>
            <w:vMerge w:val="continue"/>
            <w:noWrap w:val="0"/>
            <w:vAlign w:val="center"/>
          </w:tcPr>
          <w:p>
            <w:pPr>
              <w:adjustRightInd w:val="0"/>
              <w:snapToGrid w:val="0"/>
              <w:spacing w:line="360" w:lineRule="auto"/>
              <w:jc w:val="center"/>
              <w:rPr>
                <w:szCs w:val="21"/>
              </w:rPr>
            </w:pPr>
          </w:p>
        </w:tc>
        <w:tc>
          <w:tcPr>
            <w:tcW w:w="637" w:type="dxa"/>
            <w:vMerge w:val="continue"/>
            <w:noWrap w:val="0"/>
            <w:vAlign w:val="center"/>
          </w:tcPr>
          <w:p>
            <w:pPr>
              <w:adjustRightInd w:val="0"/>
              <w:snapToGrid w:val="0"/>
              <w:spacing w:line="360" w:lineRule="auto"/>
              <w:jc w:val="right"/>
              <w:rPr>
                <w:rFonts w:eastAsia="隶书"/>
                <w:b/>
                <w:szCs w:val="21"/>
              </w:rPr>
            </w:pPr>
          </w:p>
        </w:tc>
        <w:tc>
          <w:tcPr>
            <w:tcW w:w="978" w:type="dxa"/>
            <w:noWrap w:val="0"/>
            <w:vAlign w:val="center"/>
          </w:tcPr>
          <w:p>
            <w:pPr>
              <w:adjustRightInd w:val="0"/>
              <w:snapToGrid w:val="0"/>
              <w:spacing w:line="360" w:lineRule="auto"/>
              <w:ind w:right="113"/>
              <w:jc w:val="left"/>
              <w:rPr>
                <w:szCs w:val="21"/>
              </w:rPr>
            </w:pPr>
            <w:r>
              <w:rPr>
                <w:szCs w:val="21"/>
              </w:rPr>
              <w:t>环境保护、文明施工保证体系及措施</w:t>
            </w:r>
          </w:p>
        </w:tc>
        <w:tc>
          <w:tcPr>
            <w:tcW w:w="682" w:type="dxa"/>
            <w:noWrap w:val="0"/>
            <w:vAlign w:val="center"/>
          </w:tcPr>
          <w:p>
            <w:pPr>
              <w:adjustRightInd w:val="0"/>
              <w:snapToGrid w:val="0"/>
              <w:spacing w:line="360" w:lineRule="auto"/>
              <w:jc w:val="center"/>
              <w:rPr>
                <w:szCs w:val="21"/>
              </w:rPr>
            </w:pPr>
            <w:r>
              <w:rPr>
                <w:szCs w:val="21"/>
                <w:u w:val="single"/>
              </w:rPr>
              <w:t>10</w:t>
            </w:r>
            <w:r>
              <w:rPr>
                <w:szCs w:val="21"/>
              </w:rPr>
              <w:t>分</w:t>
            </w:r>
          </w:p>
        </w:tc>
        <w:tc>
          <w:tcPr>
            <w:tcW w:w="4323" w:type="dxa"/>
            <w:noWrap w:val="0"/>
            <w:vAlign w:val="center"/>
          </w:tcPr>
          <w:p>
            <w:pPr>
              <w:autoSpaceDE w:val="0"/>
              <w:autoSpaceDN w:val="0"/>
              <w:adjustRightInd w:val="0"/>
              <w:snapToGrid w:val="0"/>
              <w:spacing w:line="360" w:lineRule="auto"/>
              <w:rPr>
                <w:kern w:val="0"/>
                <w:sz w:val="20"/>
                <w:szCs w:val="20"/>
              </w:rPr>
            </w:pPr>
            <w:r>
              <w:rPr>
                <w:kern w:val="0"/>
                <w:sz w:val="20"/>
                <w:szCs w:val="20"/>
              </w:rPr>
              <w:t>（1）对本项目的环保及文明施工等工作有独到的见解，能制定科学的措施，施工做到符合环保的要求，对文明施工有相应的措施，能创造良好的施工环境的，得</w:t>
            </w:r>
            <w:r>
              <w:rPr>
                <w:rFonts w:hint="eastAsia"/>
                <w:kern w:val="0"/>
                <w:sz w:val="20"/>
                <w:szCs w:val="20"/>
              </w:rPr>
              <w:t>8</w:t>
            </w:r>
            <w:r>
              <w:rPr>
                <w:kern w:val="0"/>
                <w:sz w:val="20"/>
                <w:szCs w:val="20"/>
              </w:rPr>
              <w:t>～</w:t>
            </w:r>
            <w:r>
              <w:rPr>
                <w:rFonts w:hint="eastAsia"/>
                <w:kern w:val="0"/>
                <w:sz w:val="20"/>
                <w:szCs w:val="20"/>
              </w:rPr>
              <w:t>10</w:t>
            </w:r>
            <w:r>
              <w:rPr>
                <w:kern w:val="0"/>
                <w:sz w:val="20"/>
                <w:szCs w:val="20"/>
              </w:rPr>
              <w:t xml:space="preserve"> 分；</w:t>
            </w:r>
          </w:p>
          <w:p>
            <w:pPr>
              <w:autoSpaceDE w:val="0"/>
              <w:autoSpaceDN w:val="0"/>
              <w:adjustRightInd w:val="0"/>
              <w:snapToGrid w:val="0"/>
              <w:spacing w:line="360" w:lineRule="auto"/>
              <w:rPr>
                <w:kern w:val="0"/>
                <w:sz w:val="20"/>
                <w:szCs w:val="20"/>
              </w:rPr>
            </w:pPr>
            <w:r>
              <w:rPr>
                <w:kern w:val="0"/>
                <w:sz w:val="20"/>
                <w:szCs w:val="20"/>
              </w:rPr>
              <w:t>（2）对工程环保及文明施工等工作制定有相关的措施，基本能满足本项目环保及文明施工的要求的，得</w:t>
            </w:r>
            <w:r>
              <w:rPr>
                <w:rFonts w:hint="eastAsia"/>
                <w:kern w:val="0"/>
                <w:sz w:val="20"/>
                <w:szCs w:val="20"/>
              </w:rPr>
              <w:t>6</w:t>
            </w:r>
            <w:r>
              <w:rPr>
                <w:kern w:val="0"/>
                <w:sz w:val="20"/>
                <w:szCs w:val="20"/>
              </w:rPr>
              <w:t>～</w:t>
            </w:r>
            <w:r>
              <w:rPr>
                <w:rFonts w:hint="eastAsia"/>
                <w:kern w:val="0"/>
                <w:sz w:val="20"/>
                <w:szCs w:val="20"/>
              </w:rPr>
              <w:t>8</w:t>
            </w:r>
            <w:r>
              <w:rPr>
                <w:kern w:val="0"/>
                <w:sz w:val="20"/>
                <w:szCs w:val="20"/>
              </w:rPr>
              <w:t>分；</w:t>
            </w:r>
          </w:p>
          <w:p>
            <w:pPr>
              <w:autoSpaceDE w:val="0"/>
              <w:autoSpaceDN w:val="0"/>
              <w:adjustRightInd w:val="0"/>
              <w:snapToGrid w:val="0"/>
              <w:spacing w:line="360" w:lineRule="auto"/>
              <w:rPr>
                <w:kern w:val="0"/>
                <w:sz w:val="20"/>
                <w:szCs w:val="20"/>
              </w:rPr>
            </w:pPr>
            <w:r>
              <w:rPr>
                <w:kern w:val="0"/>
                <w:sz w:val="20"/>
                <w:szCs w:val="20"/>
              </w:rPr>
              <w:t>（3）一般但不被评定为不响应的</w:t>
            </w:r>
            <w:r>
              <w:rPr>
                <w:rFonts w:hint="eastAsia"/>
                <w:kern w:val="0"/>
                <w:sz w:val="20"/>
                <w:szCs w:val="20"/>
              </w:rPr>
              <w:t>，</w:t>
            </w:r>
            <w:r>
              <w:rPr>
                <w:kern w:val="0"/>
                <w:sz w:val="20"/>
                <w:szCs w:val="20"/>
              </w:rPr>
              <w:t>起评分</w:t>
            </w:r>
            <w:r>
              <w:rPr>
                <w:rFonts w:hint="eastAsia"/>
                <w:kern w:val="0"/>
                <w:sz w:val="20"/>
                <w:szCs w:val="20"/>
              </w:rPr>
              <w:t>6</w:t>
            </w:r>
            <w:r>
              <w:rPr>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111" w:type="dxa"/>
            <w:vMerge w:val="restart"/>
            <w:noWrap w:val="0"/>
            <w:vAlign w:val="center"/>
          </w:tcPr>
          <w:p>
            <w:pPr>
              <w:adjustRightInd w:val="0"/>
              <w:snapToGrid w:val="0"/>
              <w:spacing w:line="360" w:lineRule="auto"/>
              <w:ind w:left="-92" w:leftChars="-44" w:right="-88" w:rightChars="-42"/>
              <w:jc w:val="center"/>
              <w:rPr>
                <w:szCs w:val="21"/>
              </w:rPr>
            </w:pPr>
            <w:r>
              <w:rPr>
                <w:szCs w:val="21"/>
              </w:rPr>
              <w:t>2.2.2（2）</w:t>
            </w:r>
          </w:p>
        </w:tc>
        <w:tc>
          <w:tcPr>
            <w:tcW w:w="1133" w:type="dxa"/>
            <w:gridSpan w:val="2"/>
            <w:vMerge w:val="restart"/>
            <w:noWrap w:val="0"/>
            <w:vAlign w:val="center"/>
          </w:tcPr>
          <w:p>
            <w:pPr>
              <w:adjustRightInd w:val="0"/>
              <w:snapToGrid w:val="0"/>
              <w:spacing w:line="360" w:lineRule="auto"/>
              <w:jc w:val="center"/>
              <w:rPr>
                <w:szCs w:val="21"/>
              </w:rPr>
            </w:pPr>
            <w:r>
              <w:rPr>
                <w:szCs w:val="21"/>
              </w:rPr>
              <w:t>主要人员</w:t>
            </w:r>
          </w:p>
        </w:tc>
        <w:tc>
          <w:tcPr>
            <w:tcW w:w="637" w:type="dxa"/>
            <w:vMerge w:val="restart"/>
            <w:noWrap w:val="0"/>
            <w:vAlign w:val="center"/>
          </w:tcPr>
          <w:p>
            <w:pPr>
              <w:adjustRightInd w:val="0"/>
              <w:snapToGrid w:val="0"/>
              <w:spacing w:line="360" w:lineRule="auto"/>
              <w:jc w:val="right"/>
              <w:rPr>
                <w:szCs w:val="21"/>
                <w:highlight w:val="none"/>
              </w:rPr>
            </w:pPr>
            <w:r>
              <w:rPr>
                <w:rFonts w:hint="eastAsia"/>
                <w:szCs w:val="21"/>
                <w:highlight w:val="none"/>
                <w:u w:val="single"/>
              </w:rPr>
              <w:t>25</w:t>
            </w:r>
            <w:r>
              <w:rPr>
                <w:szCs w:val="21"/>
                <w:highlight w:val="none"/>
              </w:rPr>
              <w:t>分</w:t>
            </w:r>
          </w:p>
        </w:tc>
        <w:tc>
          <w:tcPr>
            <w:tcW w:w="978" w:type="dxa"/>
            <w:noWrap w:val="0"/>
            <w:vAlign w:val="center"/>
          </w:tcPr>
          <w:p>
            <w:pPr>
              <w:adjustRightInd w:val="0"/>
              <w:snapToGrid w:val="0"/>
              <w:spacing w:line="360" w:lineRule="auto"/>
              <w:rPr>
                <w:szCs w:val="21"/>
              </w:rPr>
            </w:pPr>
            <w:r>
              <w:rPr>
                <w:szCs w:val="21"/>
              </w:rPr>
              <w:t>项目经理任职资格与业绩</w:t>
            </w:r>
          </w:p>
        </w:tc>
        <w:tc>
          <w:tcPr>
            <w:tcW w:w="682" w:type="dxa"/>
            <w:noWrap w:val="0"/>
            <w:vAlign w:val="center"/>
          </w:tcPr>
          <w:p>
            <w:pPr>
              <w:tabs>
                <w:tab w:val="left" w:pos="400"/>
              </w:tabs>
              <w:autoSpaceDE w:val="0"/>
              <w:autoSpaceDN w:val="0"/>
              <w:adjustRightInd w:val="0"/>
              <w:snapToGrid w:val="0"/>
              <w:spacing w:line="360" w:lineRule="auto"/>
              <w:ind w:left="105" w:leftChars="50" w:right="105" w:rightChars="50"/>
              <w:jc w:val="center"/>
              <w:rPr>
                <w:szCs w:val="21"/>
              </w:rPr>
            </w:pPr>
            <w:r>
              <w:rPr>
                <w:rFonts w:hint="eastAsia"/>
                <w:szCs w:val="21"/>
              </w:rPr>
              <w:t>15</w:t>
            </w:r>
            <w:r>
              <w:rPr>
                <w:szCs w:val="21"/>
              </w:rPr>
              <w:t>分</w:t>
            </w:r>
          </w:p>
        </w:tc>
        <w:tc>
          <w:tcPr>
            <w:tcW w:w="4323" w:type="dxa"/>
            <w:noWrap w:val="0"/>
            <w:vAlign w:val="center"/>
          </w:tcPr>
          <w:p>
            <w:pPr>
              <w:autoSpaceDE w:val="0"/>
              <w:autoSpaceDN w:val="0"/>
              <w:adjustRightInd w:val="0"/>
              <w:snapToGrid w:val="0"/>
              <w:spacing w:line="360" w:lineRule="auto"/>
              <w:jc w:val="left"/>
              <w:rPr>
                <w:rFonts w:hint="eastAsia"/>
                <w:kern w:val="0"/>
                <w:sz w:val="20"/>
                <w:szCs w:val="20"/>
              </w:rPr>
            </w:pPr>
            <w:r>
              <w:rPr>
                <w:rFonts w:hint="eastAsia"/>
                <w:kern w:val="0"/>
                <w:sz w:val="20"/>
                <w:szCs w:val="20"/>
              </w:rPr>
              <w:t>（1）项目经理在满足资格审查条件的最低要求时，得9分 ；</w:t>
            </w:r>
          </w:p>
          <w:p>
            <w:pPr>
              <w:autoSpaceDE w:val="0"/>
              <w:autoSpaceDN w:val="0"/>
              <w:adjustRightInd w:val="0"/>
              <w:snapToGrid w:val="0"/>
              <w:spacing w:line="360" w:lineRule="auto"/>
              <w:jc w:val="left"/>
              <w:rPr>
                <w:rFonts w:hint="eastAsia"/>
                <w:sz w:val="18"/>
                <w:szCs w:val="18"/>
              </w:rPr>
            </w:pPr>
            <w:r>
              <w:rPr>
                <w:rFonts w:hint="eastAsia" w:ascii="宋体" w:hAnsi="宋体" w:cs="宋体"/>
                <w:spacing w:val="-8"/>
                <w:szCs w:val="21"/>
              </w:rPr>
              <w:t>（2）项目经理具有高级工程师资格的，加 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11" w:type="dxa"/>
            <w:vMerge w:val="continue"/>
            <w:noWrap w:val="0"/>
            <w:vAlign w:val="center"/>
          </w:tcPr>
          <w:p>
            <w:pPr>
              <w:adjustRightInd w:val="0"/>
              <w:snapToGrid w:val="0"/>
              <w:spacing w:line="360" w:lineRule="auto"/>
              <w:jc w:val="center"/>
              <w:rPr>
                <w:szCs w:val="21"/>
              </w:rPr>
            </w:pPr>
          </w:p>
        </w:tc>
        <w:tc>
          <w:tcPr>
            <w:tcW w:w="1133" w:type="dxa"/>
            <w:gridSpan w:val="2"/>
            <w:vMerge w:val="continue"/>
            <w:noWrap w:val="0"/>
            <w:vAlign w:val="center"/>
          </w:tcPr>
          <w:p>
            <w:pPr>
              <w:adjustRightInd w:val="0"/>
              <w:snapToGrid w:val="0"/>
              <w:spacing w:line="360" w:lineRule="auto"/>
              <w:jc w:val="center"/>
              <w:rPr>
                <w:szCs w:val="21"/>
              </w:rPr>
            </w:pPr>
          </w:p>
        </w:tc>
        <w:tc>
          <w:tcPr>
            <w:tcW w:w="637" w:type="dxa"/>
            <w:vMerge w:val="continue"/>
            <w:noWrap w:val="0"/>
            <w:vAlign w:val="center"/>
          </w:tcPr>
          <w:p>
            <w:pPr>
              <w:adjustRightInd w:val="0"/>
              <w:snapToGrid w:val="0"/>
              <w:spacing w:line="360" w:lineRule="auto"/>
              <w:jc w:val="right"/>
              <w:rPr>
                <w:rFonts w:eastAsia="隶书"/>
                <w:b/>
                <w:szCs w:val="21"/>
              </w:rPr>
            </w:pPr>
          </w:p>
        </w:tc>
        <w:tc>
          <w:tcPr>
            <w:tcW w:w="978" w:type="dxa"/>
            <w:noWrap w:val="0"/>
            <w:vAlign w:val="center"/>
          </w:tcPr>
          <w:p>
            <w:pPr>
              <w:adjustRightInd w:val="0"/>
              <w:snapToGrid w:val="0"/>
              <w:spacing w:line="360" w:lineRule="auto"/>
              <w:rPr>
                <w:szCs w:val="21"/>
              </w:rPr>
            </w:pPr>
            <w:r>
              <w:rPr>
                <w:szCs w:val="21"/>
              </w:rPr>
              <w:t>项目总工任职资格与业绩</w:t>
            </w:r>
          </w:p>
        </w:tc>
        <w:tc>
          <w:tcPr>
            <w:tcW w:w="682" w:type="dxa"/>
            <w:noWrap w:val="0"/>
            <w:vAlign w:val="center"/>
          </w:tcPr>
          <w:p>
            <w:pPr>
              <w:tabs>
                <w:tab w:val="left" w:pos="400"/>
              </w:tabs>
              <w:autoSpaceDE w:val="0"/>
              <w:autoSpaceDN w:val="0"/>
              <w:adjustRightInd w:val="0"/>
              <w:snapToGrid w:val="0"/>
              <w:spacing w:line="360" w:lineRule="auto"/>
              <w:ind w:left="105" w:leftChars="50" w:right="105" w:rightChars="50"/>
              <w:jc w:val="center"/>
              <w:rPr>
                <w:szCs w:val="21"/>
              </w:rPr>
            </w:pPr>
            <w:r>
              <w:rPr>
                <w:szCs w:val="21"/>
              </w:rPr>
              <w:t>1</w:t>
            </w:r>
            <w:r>
              <w:rPr>
                <w:rFonts w:hint="eastAsia"/>
                <w:szCs w:val="21"/>
              </w:rPr>
              <w:t>0</w:t>
            </w:r>
            <w:r>
              <w:rPr>
                <w:szCs w:val="21"/>
              </w:rPr>
              <w:t>分</w:t>
            </w:r>
          </w:p>
        </w:tc>
        <w:tc>
          <w:tcPr>
            <w:tcW w:w="4323" w:type="dxa"/>
            <w:noWrap w:val="0"/>
            <w:vAlign w:val="center"/>
          </w:tcPr>
          <w:p>
            <w:pPr>
              <w:autoSpaceDE w:val="0"/>
              <w:autoSpaceDN w:val="0"/>
              <w:adjustRightInd w:val="0"/>
              <w:snapToGrid w:val="0"/>
              <w:spacing w:line="360" w:lineRule="auto"/>
              <w:jc w:val="left"/>
              <w:rPr>
                <w:rFonts w:hint="eastAsia" w:ascii="宋体" w:hAnsi="宋体" w:cs="宋体"/>
                <w:spacing w:val="-8"/>
                <w:szCs w:val="21"/>
              </w:rPr>
            </w:pPr>
            <w:r>
              <w:rPr>
                <w:rFonts w:hint="eastAsia" w:ascii="宋体" w:hAnsi="宋体" w:cs="宋体"/>
                <w:spacing w:val="-8"/>
                <w:szCs w:val="21"/>
              </w:rPr>
              <w:t>（1）</w:t>
            </w:r>
            <w:r>
              <w:rPr>
                <w:rFonts w:hint="eastAsia"/>
                <w:kern w:val="0"/>
                <w:sz w:val="20"/>
                <w:szCs w:val="20"/>
              </w:rPr>
              <w:t>项目总工</w:t>
            </w:r>
            <w:r>
              <w:rPr>
                <w:rFonts w:hint="eastAsia" w:ascii="宋体" w:hAnsi="宋体" w:cs="宋体"/>
                <w:spacing w:val="-8"/>
                <w:szCs w:val="21"/>
              </w:rPr>
              <w:t>在满足资格审查条件的最低要求时，</w:t>
            </w:r>
            <w:r>
              <w:rPr>
                <w:rFonts w:hint="eastAsia"/>
                <w:kern w:val="0"/>
                <w:sz w:val="20"/>
                <w:szCs w:val="20"/>
              </w:rPr>
              <w:t>得</w:t>
            </w:r>
            <w:r>
              <w:rPr>
                <w:rFonts w:hint="eastAsia" w:ascii="宋体" w:hAnsi="宋体" w:cs="宋体"/>
                <w:spacing w:val="-8"/>
                <w:szCs w:val="21"/>
              </w:rPr>
              <w:t xml:space="preserve">6分； </w:t>
            </w:r>
          </w:p>
          <w:p>
            <w:pPr>
              <w:autoSpaceDE w:val="0"/>
              <w:autoSpaceDN w:val="0"/>
              <w:adjustRightInd w:val="0"/>
              <w:snapToGrid w:val="0"/>
              <w:spacing w:line="360" w:lineRule="auto"/>
              <w:jc w:val="left"/>
              <w:rPr>
                <w:rFonts w:hint="eastAsia"/>
                <w:sz w:val="18"/>
                <w:szCs w:val="18"/>
              </w:rPr>
            </w:pPr>
            <w:r>
              <w:rPr>
                <w:rFonts w:hint="eastAsia" w:ascii="宋体" w:hAnsi="宋体" w:cs="宋体"/>
                <w:spacing w:val="-8"/>
                <w:szCs w:val="21"/>
              </w:rPr>
              <w:t xml:space="preserve">（2）项目总工具有高级工程师或以上资格的，加 4分。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noWrap w:val="0"/>
            <w:vAlign w:val="center"/>
          </w:tcPr>
          <w:p>
            <w:pPr>
              <w:adjustRightInd w:val="0"/>
              <w:snapToGrid w:val="0"/>
              <w:spacing w:line="360" w:lineRule="auto"/>
              <w:jc w:val="center"/>
              <w:rPr>
                <w:szCs w:val="21"/>
              </w:rPr>
            </w:pPr>
            <w:r>
              <w:rPr>
                <w:szCs w:val="21"/>
              </w:rPr>
              <w:t>2.2.2（3）</w:t>
            </w:r>
          </w:p>
        </w:tc>
        <w:tc>
          <w:tcPr>
            <w:tcW w:w="445" w:type="dxa"/>
            <w:vMerge w:val="restart"/>
            <w:noWrap w:val="0"/>
            <w:vAlign w:val="center"/>
          </w:tcPr>
          <w:p>
            <w:pPr>
              <w:adjustRightInd w:val="0"/>
              <w:snapToGrid w:val="0"/>
              <w:spacing w:line="360" w:lineRule="auto"/>
              <w:jc w:val="center"/>
              <w:rPr>
                <w:szCs w:val="21"/>
              </w:rPr>
            </w:pPr>
            <w:r>
              <w:rPr>
                <w:szCs w:val="21"/>
              </w:rPr>
              <w:t>其他因素</w:t>
            </w:r>
          </w:p>
        </w:tc>
        <w:tc>
          <w:tcPr>
            <w:tcW w:w="688" w:type="dxa"/>
            <w:noWrap w:val="0"/>
            <w:vAlign w:val="center"/>
          </w:tcPr>
          <w:p>
            <w:pPr>
              <w:adjustRightInd w:val="0"/>
              <w:snapToGrid w:val="0"/>
              <w:spacing w:line="360" w:lineRule="auto"/>
              <w:jc w:val="center"/>
              <w:rPr>
                <w:szCs w:val="21"/>
              </w:rPr>
            </w:pPr>
            <w:r>
              <w:rPr>
                <w:szCs w:val="21"/>
              </w:rPr>
              <w:t>技术能力</w:t>
            </w:r>
          </w:p>
        </w:tc>
        <w:tc>
          <w:tcPr>
            <w:tcW w:w="637" w:type="dxa"/>
            <w:noWrap w:val="0"/>
            <w:vAlign w:val="center"/>
          </w:tcPr>
          <w:p>
            <w:pPr>
              <w:adjustRightInd w:val="0"/>
              <w:snapToGrid w:val="0"/>
              <w:spacing w:line="360" w:lineRule="auto"/>
              <w:jc w:val="center"/>
              <w:rPr>
                <w:szCs w:val="21"/>
                <w:highlight w:val="none"/>
              </w:rPr>
            </w:pPr>
            <w:r>
              <w:rPr>
                <w:rFonts w:hint="eastAsia"/>
                <w:szCs w:val="21"/>
                <w:highlight w:val="none"/>
                <w:u w:val="single"/>
              </w:rPr>
              <w:t>20</w:t>
            </w:r>
            <w:r>
              <w:rPr>
                <w:szCs w:val="21"/>
                <w:highlight w:val="none"/>
              </w:rPr>
              <w:t>分</w:t>
            </w:r>
          </w:p>
        </w:tc>
        <w:tc>
          <w:tcPr>
            <w:tcW w:w="978" w:type="dxa"/>
            <w:noWrap w:val="0"/>
            <w:vAlign w:val="center"/>
          </w:tcPr>
          <w:p>
            <w:pPr>
              <w:adjustRightInd w:val="0"/>
              <w:snapToGrid w:val="0"/>
              <w:spacing w:line="360" w:lineRule="auto"/>
              <w:jc w:val="center"/>
              <w:rPr>
                <w:szCs w:val="21"/>
              </w:rPr>
            </w:pPr>
            <w:r>
              <w:rPr>
                <w:szCs w:val="21"/>
              </w:rPr>
              <w:t>技术能力</w:t>
            </w:r>
          </w:p>
        </w:tc>
        <w:tc>
          <w:tcPr>
            <w:tcW w:w="682" w:type="dxa"/>
            <w:noWrap w:val="0"/>
            <w:vAlign w:val="center"/>
          </w:tcPr>
          <w:p>
            <w:pPr>
              <w:adjustRightInd w:val="0"/>
              <w:snapToGrid w:val="0"/>
              <w:spacing w:line="360" w:lineRule="auto"/>
              <w:jc w:val="center"/>
              <w:rPr>
                <w:szCs w:val="21"/>
              </w:rPr>
            </w:pPr>
            <w:r>
              <w:rPr>
                <w:rFonts w:hint="eastAsia"/>
                <w:szCs w:val="21"/>
                <w:u w:val="single"/>
              </w:rPr>
              <w:t>20</w:t>
            </w:r>
            <w:r>
              <w:rPr>
                <w:szCs w:val="21"/>
              </w:rPr>
              <w:t>分</w:t>
            </w:r>
          </w:p>
        </w:tc>
        <w:tc>
          <w:tcPr>
            <w:tcW w:w="4323" w:type="dxa"/>
            <w:noWrap w:val="0"/>
            <w:vAlign w:val="top"/>
          </w:tcPr>
          <w:p>
            <w:pPr>
              <w:pStyle w:val="9"/>
              <w:tabs>
                <w:tab w:val="left" w:pos="640"/>
              </w:tabs>
              <w:spacing w:line="360" w:lineRule="exact"/>
              <w:jc w:val="both"/>
              <w:rPr>
                <w:rFonts w:hint="eastAsia"/>
                <w:spacing w:val="-11"/>
                <w:sz w:val="21"/>
              </w:rPr>
            </w:pPr>
            <w:r>
              <w:rPr>
                <w:rFonts w:hint="eastAsia"/>
                <w:spacing w:val="-11"/>
                <w:sz w:val="21"/>
              </w:rPr>
              <w:t xml:space="preserve">投标人获得与公路工程施工有关的国家级工法、专利（发明专利或实用新型专利）、国家级科学技术进步奖、主编或参编过国家标准、鲁班奖、詹天佑奖，每项加 </w:t>
            </w:r>
            <w:r>
              <w:rPr>
                <w:rFonts w:hint="eastAsia"/>
                <w:spacing w:val="-11"/>
                <w:sz w:val="21"/>
                <w:lang w:val="en-US"/>
              </w:rPr>
              <w:t>4</w:t>
            </w:r>
            <w:r>
              <w:rPr>
                <w:rFonts w:hint="eastAsia"/>
                <w:spacing w:val="-11"/>
                <w:sz w:val="21"/>
              </w:rPr>
              <w:t xml:space="preserve"> 分；</w:t>
            </w:r>
          </w:p>
          <w:p>
            <w:pPr>
              <w:adjustRightInd w:val="0"/>
              <w:snapToGrid w:val="0"/>
              <w:spacing w:line="360" w:lineRule="exact"/>
              <w:rPr>
                <w:sz w:val="18"/>
                <w:szCs w:val="18"/>
              </w:rPr>
            </w:pPr>
            <w:r>
              <w:rPr>
                <w:rFonts w:hint="eastAsia" w:ascii="宋体" w:hAnsi="宋体" w:cs="宋体"/>
                <w:spacing w:val="-4"/>
                <w:szCs w:val="21"/>
              </w:rPr>
              <w:t xml:space="preserve">注：本项累计加分最高得 </w:t>
            </w:r>
            <w:r>
              <w:rPr>
                <w:rFonts w:hint="eastAsia" w:ascii="宋体" w:hAnsi="宋体" w:cs="宋体"/>
                <w:szCs w:val="21"/>
              </w:rPr>
              <w:t xml:space="preserve">20 </w:t>
            </w:r>
            <w:r>
              <w:rPr>
                <w:rFonts w:hint="eastAsia" w:ascii="宋体" w:hAnsi="宋体" w:cs="宋体"/>
                <w:spacing w:val="-2"/>
                <w:szCs w:val="21"/>
              </w:rPr>
              <w:t>分，同一项目同时</w:t>
            </w:r>
            <w:r>
              <w:rPr>
                <w:rFonts w:hint="eastAsia" w:ascii="宋体" w:hAnsi="宋体" w:cs="宋体"/>
                <w:spacing w:val="-16"/>
                <w:szCs w:val="21"/>
              </w:rPr>
              <w:t>满足上述加分条件的，不重复加分，只加一次分，</w:t>
            </w:r>
            <w:r>
              <w:rPr>
                <w:rFonts w:hint="eastAsia" w:ascii="宋体" w:hAnsi="宋体" w:cs="宋体"/>
                <w:szCs w:val="21"/>
              </w:rPr>
              <w:t>按较高分计。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noWrap w:val="0"/>
            <w:vAlign w:val="center"/>
          </w:tcPr>
          <w:p>
            <w:pPr>
              <w:adjustRightInd w:val="0"/>
              <w:snapToGrid w:val="0"/>
              <w:spacing w:line="360" w:lineRule="auto"/>
              <w:jc w:val="center"/>
              <w:rPr>
                <w:rFonts w:eastAsia="隶书"/>
                <w:szCs w:val="21"/>
              </w:rPr>
            </w:pPr>
          </w:p>
        </w:tc>
        <w:tc>
          <w:tcPr>
            <w:tcW w:w="445" w:type="dxa"/>
            <w:vMerge w:val="continue"/>
            <w:noWrap w:val="0"/>
            <w:vAlign w:val="center"/>
          </w:tcPr>
          <w:p>
            <w:pPr>
              <w:adjustRightInd w:val="0"/>
              <w:snapToGrid w:val="0"/>
              <w:spacing w:line="360" w:lineRule="auto"/>
              <w:ind w:left="-105" w:leftChars="-50" w:right="-105" w:rightChars="-50"/>
              <w:jc w:val="center"/>
              <w:rPr>
                <w:rFonts w:eastAsia="隶书"/>
                <w:szCs w:val="21"/>
              </w:rPr>
            </w:pPr>
          </w:p>
        </w:tc>
        <w:tc>
          <w:tcPr>
            <w:tcW w:w="688" w:type="dxa"/>
            <w:vMerge w:val="restart"/>
            <w:noWrap w:val="0"/>
            <w:vAlign w:val="center"/>
          </w:tcPr>
          <w:p>
            <w:pPr>
              <w:adjustRightInd w:val="0"/>
              <w:snapToGrid w:val="0"/>
              <w:spacing w:line="360" w:lineRule="auto"/>
              <w:ind w:left="-105" w:leftChars="-50" w:right="-105" w:rightChars="-50"/>
              <w:jc w:val="center"/>
              <w:rPr>
                <w:szCs w:val="21"/>
              </w:rPr>
            </w:pPr>
            <w:r>
              <w:rPr>
                <w:szCs w:val="21"/>
              </w:rPr>
              <w:t>履约信誉</w:t>
            </w:r>
          </w:p>
        </w:tc>
        <w:tc>
          <w:tcPr>
            <w:tcW w:w="637" w:type="dxa"/>
            <w:vMerge w:val="restart"/>
            <w:noWrap w:val="0"/>
            <w:vAlign w:val="center"/>
          </w:tcPr>
          <w:p>
            <w:pPr>
              <w:adjustRightInd w:val="0"/>
              <w:snapToGrid w:val="0"/>
              <w:spacing w:line="360" w:lineRule="auto"/>
              <w:jc w:val="center"/>
              <w:rPr>
                <w:szCs w:val="21"/>
              </w:rPr>
            </w:pPr>
            <w:r>
              <w:rPr>
                <w:rFonts w:hint="eastAsia"/>
                <w:szCs w:val="21"/>
                <w:u w:val="single"/>
              </w:rPr>
              <w:t>15</w:t>
            </w:r>
            <w:r>
              <w:rPr>
                <w:szCs w:val="21"/>
              </w:rPr>
              <w:t>分</w:t>
            </w:r>
          </w:p>
        </w:tc>
        <w:tc>
          <w:tcPr>
            <w:tcW w:w="978" w:type="dxa"/>
            <w:noWrap w:val="0"/>
            <w:vAlign w:val="center"/>
          </w:tcPr>
          <w:p>
            <w:pPr>
              <w:adjustRightInd w:val="0"/>
              <w:snapToGrid w:val="0"/>
              <w:spacing w:line="360" w:lineRule="auto"/>
              <w:jc w:val="center"/>
              <w:rPr>
                <w:szCs w:val="21"/>
              </w:rPr>
            </w:pPr>
            <w:r>
              <w:rPr>
                <w:szCs w:val="21"/>
              </w:rPr>
              <w:t>信用等级分值</w:t>
            </w:r>
          </w:p>
        </w:tc>
        <w:tc>
          <w:tcPr>
            <w:tcW w:w="682" w:type="dxa"/>
            <w:noWrap w:val="0"/>
            <w:vAlign w:val="center"/>
          </w:tcPr>
          <w:p>
            <w:pPr>
              <w:adjustRightInd w:val="0"/>
              <w:snapToGrid w:val="0"/>
              <w:spacing w:line="360" w:lineRule="auto"/>
              <w:rPr>
                <w:szCs w:val="21"/>
              </w:rPr>
            </w:pPr>
            <w:r>
              <w:rPr>
                <w:szCs w:val="21"/>
                <w:u w:val="single"/>
              </w:rPr>
              <w:t>10</w:t>
            </w:r>
            <w:r>
              <w:rPr>
                <w:szCs w:val="21"/>
              </w:rPr>
              <w:t>分</w:t>
            </w:r>
          </w:p>
        </w:tc>
        <w:tc>
          <w:tcPr>
            <w:tcW w:w="4323" w:type="dxa"/>
            <w:noWrap w:val="0"/>
            <w:vAlign w:val="top"/>
          </w:tcPr>
          <w:p>
            <w:pPr>
              <w:adjustRightInd w:val="0"/>
              <w:snapToGrid w:val="0"/>
              <w:spacing w:line="360" w:lineRule="auto"/>
              <w:rPr>
                <w:szCs w:val="21"/>
              </w:rPr>
            </w:pPr>
            <w:r>
              <w:rPr>
                <w:szCs w:val="21"/>
              </w:rPr>
              <w:t>AA、A、B、C 级单位的信用等级分得分分别为10、9.5、8.9、7.3分。</w:t>
            </w:r>
          </w:p>
          <w:p>
            <w:pPr>
              <w:adjustRightInd w:val="0"/>
              <w:snapToGrid w:val="0"/>
              <w:spacing w:line="360" w:lineRule="auto"/>
              <w:rPr>
                <w:sz w:val="18"/>
                <w:szCs w:val="18"/>
              </w:rPr>
            </w:pPr>
            <w:r>
              <w:rPr>
                <w:sz w:val="18"/>
                <w:szCs w:val="18"/>
              </w:rPr>
              <w:t>注：信用等级的确定原则遵循投标人须知前附表10.2 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noWrap w:val="0"/>
            <w:vAlign w:val="center"/>
          </w:tcPr>
          <w:p>
            <w:pPr>
              <w:adjustRightInd w:val="0"/>
              <w:snapToGrid w:val="0"/>
              <w:spacing w:line="360" w:lineRule="auto"/>
              <w:jc w:val="center"/>
              <w:rPr>
                <w:rFonts w:eastAsia="隶书"/>
                <w:szCs w:val="21"/>
              </w:rPr>
            </w:pPr>
          </w:p>
        </w:tc>
        <w:tc>
          <w:tcPr>
            <w:tcW w:w="445" w:type="dxa"/>
            <w:vMerge w:val="continue"/>
            <w:noWrap w:val="0"/>
            <w:vAlign w:val="center"/>
          </w:tcPr>
          <w:p>
            <w:pPr>
              <w:adjustRightInd w:val="0"/>
              <w:snapToGrid w:val="0"/>
              <w:spacing w:line="360" w:lineRule="auto"/>
              <w:jc w:val="center"/>
              <w:rPr>
                <w:rFonts w:eastAsia="隶书"/>
                <w:szCs w:val="21"/>
              </w:rPr>
            </w:pPr>
          </w:p>
        </w:tc>
        <w:tc>
          <w:tcPr>
            <w:tcW w:w="688" w:type="dxa"/>
            <w:vMerge w:val="continue"/>
            <w:noWrap w:val="0"/>
            <w:vAlign w:val="center"/>
          </w:tcPr>
          <w:p>
            <w:pPr>
              <w:adjustRightInd w:val="0"/>
              <w:snapToGrid w:val="0"/>
              <w:spacing w:line="360" w:lineRule="auto"/>
              <w:jc w:val="center"/>
              <w:rPr>
                <w:szCs w:val="21"/>
              </w:rPr>
            </w:pPr>
          </w:p>
        </w:tc>
        <w:tc>
          <w:tcPr>
            <w:tcW w:w="637" w:type="dxa"/>
            <w:vMerge w:val="continue"/>
            <w:noWrap w:val="0"/>
            <w:vAlign w:val="center"/>
          </w:tcPr>
          <w:p>
            <w:pPr>
              <w:adjustRightInd w:val="0"/>
              <w:snapToGrid w:val="0"/>
              <w:spacing w:line="360" w:lineRule="auto"/>
              <w:jc w:val="right"/>
              <w:rPr>
                <w:b/>
                <w:szCs w:val="21"/>
              </w:rPr>
            </w:pPr>
          </w:p>
        </w:tc>
        <w:tc>
          <w:tcPr>
            <w:tcW w:w="978" w:type="dxa"/>
            <w:noWrap w:val="0"/>
            <w:vAlign w:val="center"/>
          </w:tcPr>
          <w:p>
            <w:pPr>
              <w:adjustRightInd w:val="0"/>
              <w:snapToGrid w:val="0"/>
              <w:spacing w:line="360" w:lineRule="auto"/>
              <w:jc w:val="center"/>
              <w:rPr>
                <w:szCs w:val="21"/>
              </w:rPr>
            </w:pPr>
            <w:r>
              <w:rPr>
                <w:szCs w:val="21"/>
              </w:rPr>
              <w:t>履约情况</w:t>
            </w:r>
          </w:p>
        </w:tc>
        <w:tc>
          <w:tcPr>
            <w:tcW w:w="682" w:type="dxa"/>
            <w:noWrap w:val="0"/>
            <w:vAlign w:val="center"/>
          </w:tcPr>
          <w:p>
            <w:pPr>
              <w:adjustRightInd w:val="0"/>
              <w:snapToGrid w:val="0"/>
              <w:spacing w:line="360" w:lineRule="auto"/>
              <w:rPr>
                <w:szCs w:val="21"/>
              </w:rPr>
            </w:pPr>
            <w:r>
              <w:rPr>
                <w:rFonts w:hint="eastAsia"/>
                <w:szCs w:val="21"/>
                <w:u w:val="single"/>
              </w:rPr>
              <w:t>5</w:t>
            </w:r>
            <w:r>
              <w:rPr>
                <w:szCs w:val="21"/>
              </w:rPr>
              <w:t>分</w:t>
            </w:r>
          </w:p>
        </w:tc>
        <w:tc>
          <w:tcPr>
            <w:tcW w:w="4323" w:type="dxa"/>
            <w:noWrap w:val="0"/>
            <w:vAlign w:val="top"/>
          </w:tcPr>
          <w:p>
            <w:pPr>
              <w:adjustRightInd w:val="0"/>
              <w:snapToGrid w:val="0"/>
              <w:spacing w:line="360" w:lineRule="auto"/>
              <w:rPr>
                <w:szCs w:val="21"/>
              </w:rPr>
            </w:pPr>
            <w:r>
              <w:rPr>
                <w:szCs w:val="21"/>
              </w:rPr>
              <w:t>2. 履约情况（5分）</w:t>
            </w:r>
          </w:p>
          <w:p>
            <w:pPr>
              <w:adjustRightInd w:val="0"/>
              <w:snapToGrid w:val="0"/>
              <w:spacing w:line="360" w:lineRule="auto"/>
              <w:rPr>
                <w:szCs w:val="21"/>
              </w:rPr>
            </w:pPr>
            <w:r>
              <w:rPr>
                <w:szCs w:val="21"/>
              </w:rPr>
              <w:t>若没出现下述情形得满分；</w:t>
            </w:r>
          </w:p>
          <w:p>
            <w:pPr>
              <w:adjustRightInd w:val="0"/>
              <w:snapToGrid w:val="0"/>
              <w:spacing w:line="360" w:lineRule="auto"/>
              <w:rPr>
                <w:szCs w:val="21"/>
              </w:rPr>
            </w:pPr>
            <w:r>
              <w:rPr>
                <w:szCs w:val="21"/>
              </w:rPr>
              <w:t>若自202</w:t>
            </w:r>
            <w:r>
              <w:rPr>
                <w:rFonts w:hint="eastAsia"/>
                <w:szCs w:val="21"/>
              </w:rPr>
              <w:t>2</w:t>
            </w:r>
            <w:r>
              <w:rPr>
                <w:szCs w:val="21"/>
              </w:rPr>
              <w:t>年</w:t>
            </w:r>
            <w:r>
              <w:rPr>
                <w:rFonts w:hint="eastAsia"/>
                <w:szCs w:val="21"/>
              </w:rPr>
              <w:t>3</w:t>
            </w:r>
            <w:r>
              <w:rPr>
                <w:szCs w:val="21"/>
              </w:rPr>
              <w:t>月1日至投标文件递交截止日</w:t>
            </w:r>
            <w:r>
              <w:rPr>
                <w:rFonts w:hint="eastAsia"/>
                <w:szCs w:val="21"/>
              </w:rPr>
              <w:t>（投标文件递交截止日前</w:t>
            </w:r>
            <w:r>
              <w:rPr>
                <w:szCs w:val="21"/>
              </w:rPr>
              <w:t xml:space="preserve">1 </w:t>
            </w:r>
            <w:r>
              <w:rPr>
                <w:rFonts w:hint="eastAsia"/>
                <w:szCs w:val="21"/>
              </w:rPr>
              <w:t>年内）</w:t>
            </w:r>
            <w:r>
              <w:rPr>
                <w:szCs w:val="21"/>
              </w:rPr>
              <w:t>，</w:t>
            </w:r>
            <w:r>
              <w:rPr>
                <w:rFonts w:hint="eastAsia"/>
                <w:szCs w:val="21"/>
              </w:rPr>
              <w:t>因公路工程（含附属设施）质量、安全、履约或招标投标问题</w:t>
            </w:r>
            <w:r>
              <w:rPr>
                <w:szCs w:val="21"/>
              </w:rPr>
              <w:t>等原因被：</w:t>
            </w:r>
          </w:p>
          <w:p>
            <w:pPr>
              <w:adjustRightInd w:val="0"/>
              <w:snapToGrid w:val="0"/>
              <w:spacing w:line="360" w:lineRule="auto"/>
              <w:rPr>
                <w:szCs w:val="21"/>
              </w:rPr>
            </w:pPr>
            <w:r>
              <w:rPr>
                <w:szCs w:val="21"/>
              </w:rPr>
              <w:t>（1）交通运输部通报批评的，扣5 分/次；</w:t>
            </w:r>
          </w:p>
          <w:p>
            <w:pPr>
              <w:adjustRightInd w:val="0"/>
              <w:snapToGrid w:val="0"/>
              <w:spacing w:line="360" w:lineRule="auto"/>
              <w:rPr>
                <w:szCs w:val="21"/>
              </w:rPr>
            </w:pPr>
            <w:r>
              <w:rPr>
                <w:szCs w:val="21"/>
              </w:rPr>
              <w:t>（2）广东省交通运输厅通报批评的，扣4 分/次。</w:t>
            </w:r>
          </w:p>
          <w:p>
            <w:pPr>
              <w:adjustRightInd w:val="0"/>
              <w:snapToGrid w:val="0"/>
              <w:spacing w:line="360" w:lineRule="auto"/>
              <w:rPr>
                <w:szCs w:val="21"/>
              </w:rPr>
            </w:pPr>
            <w:r>
              <w:rPr>
                <w:szCs w:val="21"/>
              </w:rPr>
              <w:t>（3）</w:t>
            </w:r>
            <w:r>
              <w:rPr>
                <w:rFonts w:hint="eastAsia"/>
                <w:szCs w:val="21"/>
              </w:rPr>
              <w:t>梅州</w:t>
            </w:r>
            <w:r>
              <w:rPr>
                <w:szCs w:val="21"/>
              </w:rPr>
              <w:t>市交通运输局、</w:t>
            </w:r>
            <w:r>
              <w:rPr>
                <w:rFonts w:hint="eastAsia"/>
                <w:szCs w:val="21"/>
              </w:rPr>
              <w:t>平远县交通运输局</w:t>
            </w:r>
            <w:r>
              <w:rPr>
                <w:szCs w:val="21"/>
              </w:rPr>
              <w:t>通报批评的，扣1分/次。</w:t>
            </w:r>
          </w:p>
          <w:p>
            <w:pPr>
              <w:adjustRightInd w:val="0"/>
              <w:snapToGrid w:val="0"/>
              <w:spacing w:line="360" w:lineRule="auto"/>
              <w:rPr>
                <w:szCs w:val="21"/>
              </w:rPr>
            </w:pPr>
            <w:r>
              <w:rPr>
                <w:szCs w:val="21"/>
              </w:rPr>
              <w:t>同一事项同时被多个部门通报批评或处罚只按最高的扣分计算1 次。如果扣完本项分值，可以从总分中扣。</w:t>
            </w:r>
          </w:p>
        </w:tc>
      </w:tr>
    </w:tbl>
    <w:p>
      <w:pPr>
        <w:pStyle w:val="12"/>
        <w:shd w:val="clear" w:color="auto" w:fill="auto"/>
        <w:spacing w:before="0" w:line="360" w:lineRule="auto"/>
        <w:rPr>
          <w:rFonts w:hint="eastAsia"/>
        </w:rPr>
      </w:pPr>
      <w: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8" w:type="dxa"/>
            <w:gridSpan w:val="2"/>
            <w:noWrap w:val="0"/>
            <w:vAlign w:val="top"/>
          </w:tcPr>
          <w:p>
            <w:pPr>
              <w:spacing w:line="360" w:lineRule="auto"/>
              <w:rPr>
                <w:rFonts w:ascii="宋体" w:hAnsi="宋体"/>
                <w:szCs w:val="21"/>
              </w:rPr>
            </w:pPr>
            <w:r>
              <w:rPr>
                <w:rFonts w:ascii="宋体" w:hAnsi="宋体"/>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68" w:type="dxa"/>
            <w:noWrap w:val="0"/>
            <w:vAlign w:val="center"/>
          </w:tcPr>
          <w:p>
            <w:pPr>
              <w:spacing w:line="360" w:lineRule="auto"/>
              <w:jc w:val="center"/>
              <w:rPr>
                <w:rFonts w:ascii="宋体" w:hAnsi="宋体"/>
                <w:szCs w:val="21"/>
              </w:rPr>
            </w:pPr>
            <w:r>
              <w:rPr>
                <w:rFonts w:hint="eastAsia" w:ascii="宋体" w:hAnsi="宋体"/>
                <w:szCs w:val="21"/>
              </w:rPr>
              <w:t>条款号</w:t>
            </w:r>
          </w:p>
        </w:tc>
        <w:tc>
          <w:tcPr>
            <w:tcW w:w="7380" w:type="dxa"/>
            <w:noWrap w:val="0"/>
            <w:vAlign w:val="center"/>
          </w:tcPr>
          <w:p>
            <w:pPr>
              <w:spacing w:line="360" w:lineRule="auto"/>
              <w:jc w:val="center"/>
              <w:rPr>
                <w:rFonts w:ascii="宋体" w:hAnsi="宋体"/>
                <w:szCs w:val="21"/>
              </w:rPr>
            </w:pPr>
            <w:r>
              <w:rPr>
                <w:rFonts w:hint="eastAsia" w:ascii="宋体" w:hAnsi="宋体"/>
                <w:szCs w:val="21"/>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spacing w:line="360" w:lineRule="auto"/>
              <w:jc w:val="center"/>
              <w:rPr>
                <w:rFonts w:ascii="宋体" w:hAnsi="宋体"/>
                <w:szCs w:val="21"/>
              </w:rPr>
            </w:pPr>
            <w:r>
              <w:rPr>
                <w:rFonts w:hint="eastAsia" w:ascii="宋体" w:hAnsi="宋体"/>
                <w:szCs w:val="21"/>
              </w:rPr>
              <w:t>1</w:t>
            </w:r>
          </w:p>
        </w:tc>
        <w:tc>
          <w:tcPr>
            <w:tcW w:w="7380" w:type="dxa"/>
            <w:noWrap w:val="0"/>
            <w:vAlign w:val="center"/>
          </w:tcPr>
          <w:p>
            <w:pPr>
              <w:spacing w:line="360" w:lineRule="auto"/>
              <w:rPr>
                <w:rFonts w:ascii="宋体" w:hAnsi="宋体"/>
                <w:szCs w:val="21"/>
              </w:rPr>
            </w:pPr>
            <w:r>
              <w:rPr>
                <w:rFonts w:hint="eastAsia" w:ascii="宋体" w:hAnsi="宋体"/>
                <w:szCs w:val="21"/>
              </w:rPr>
              <w:t>将评标办法原文第1条“评标方法”改为“评标方法、组织及工作程序”，原文内容修改如下：</w:t>
            </w:r>
          </w:p>
          <w:p>
            <w:pPr>
              <w:spacing w:line="360" w:lineRule="auto"/>
              <w:rPr>
                <w:rFonts w:ascii="宋体" w:hAnsi="宋体"/>
                <w:szCs w:val="21"/>
              </w:rPr>
            </w:pPr>
            <w:r>
              <w:rPr>
                <w:rFonts w:hint="eastAsia" w:ascii="宋体" w:hAnsi="宋体"/>
                <w:szCs w:val="21"/>
              </w:rPr>
              <w:t>1.1评标方法、组织及工作程序</w:t>
            </w:r>
          </w:p>
          <w:p>
            <w:pPr>
              <w:spacing w:line="360" w:lineRule="auto"/>
              <w:ind w:firstLine="420" w:firstLineChars="200"/>
              <w:rPr>
                <w:rFonts w:ascii="宋体" w:hAnsi="宋体"/>
                <w:szCs w:val="21"/>
              </w:rPr>
            </w:pPr>
            <w:r>
              <w:rPr>
                <w:rFonts w:hint="eastAsia" w:ascii="宋体" w:hAnsi="宋体"/>
                <w:szCs w:val="21"/>
              </w:rPr>
              <w:t>本次评标采用双信封的技术</w:t>
            </w:r>
            <w:r>
              <w:rPr>
                <w:rFonts w:ascii="宋体" w:hAnsi="宋体"/>
                <w:szCs w:val="21"/>
              </w:rPr>
              <w:t>评分</w:t>
            </w:r>
            <w:r>
              <w:rPr>
                <w:rFonts w:hint="eastAsia" w:ascii="宋体" w:hAnsi="宋体"/>
                <w:szCs w:val="21"/>
              </w:rPr>
              <w:t>最低标</w:t>
            </w:r>
            <w:r>
              <w:rPr>
                <w:rFonts w:ascii="宋体" w:hAnsi="宋体"/>
                <w:szCs w:val="21"/>
              </w:rPr>
              <w:t>价法</w:t>
            </w:r>
            <w:r>
              <w:rPr>
                <w:rFonts w:hint="eastAsia" w:ascii="宋体" w:hAnsi="宋体"/>
                <w:szCs w:val="21"/>
              </w:rPr>
              <w:t>。评标委员会对满足招标文件实质性要求的投标文件，按照本章第2.2款规定</w:t>
            </w:r>
            <w:r>
              <w:rPr>
                <w:rFonts w:ascii="宋体" w:hAnsi="宋体"/>
                <w:szCs w:val="21"/>
              </w:rPr>
              <w:t>对通过初步评审的投标人的施工组织设计、</w:t>
            </w:r>
            <w:r>
              <w:rPr>
                <w:rFonts w:hint="eastAsia" w:ascii="宋体" w:hAnsi="宋体"/>
                <w:szCs w:val="21"/>
              </w:rPr>
              <w:t>主要人员、其他因素</w:t>
            </w:r>
            <w:r>
              <w:rPr>
                <w:rFonts w:ascii="宋体" w:hAnsi="宋体"/>
                <w:szCs w:val="21"/>
              </w:rPr>
              <w:t>等进行评分，按照得分由高到低排序，对排名在招标文件规定数量</w:t>
            </w:r>
            <w:r>
              <w:rPr>
                <w:rFonts w:hint="eastAsia" w:ascii="宋体" w:hAnsi="宋体"/>
                <w:szCs w:val="21"/>
                <w:u w:val="single"/>
              </w:rPr>
              <w:t>前 5 名</w:t>
            </w:r>
            <w:r>
              <w:rPr>
                <w:rFonts w:hint="eastAsia" w:ascii="宋体" w:hAnsi="宋体"/>
                <w:szCs w:val="21"/>
              </w:rPr>
              <w:t>（不少于3名但不足5名时，按全部实际数量）</w:t>
            </w:r>
            <w:r>
              <w:rPr>
                <w:rFonts w:ascii="宋体" w:hAnsi="宋体"/>
                <w:szCs w:val="21"/>
              </w:rPr>
              <w:t>的投标人的报价文件进行评审，按照评标价由低到高</w:t>
            </w:r>
            <w:r>
              <w:rPr>
                <w:rFonts w:hint="eastAsia" w:ascii="宋体" w:hAnsi="宋体"/>
                <w:szCs w:val="21"/>
              </w:rPr>
              <w:t>的顺序推荐中标候选人的评标方法。但投标报价低于其成本的除外。评标价相等时，评标委员会应按照评标办法前附表规定的优先次序推荐中标候选人或确定中标人。</w:t>
            </w:r>
          </w:p>
          <w:p>
            <w:pPr>
              <w:spacing w:line="360" w:lineRule="auto"/>
              <w:rPr>
                <w:rFonts w:ascii="宋体" w:hAnsi="宋体"/>
                <w:szCs w:val="21"/>
              </w:rPr>
            </w:pPr>
            <w:r>
              <w:rPr>
                <w:rFonts w:hint="eastAsia" w:ascii="宋体" w:hAnsi="宋体"/>
                <w:szCs w:val="21"/>
              </w:rPr>
              <w:t>1.2评标组织</w:t>
            </w:r>
          </w:p>
          <w:p>
            <w:pPr>
              <w:spacing w:line="360" w:lineRule="auto"/>
              <w:rPr>
                <w:rFonts w:ascii="宋体" w:hAnsi="宋体"/>
                <w:szCs w:val="21"/>
              </w:rPr>
            </w:pPr>
            <w:r>
              <w:rPr>
                <w:rFonts w:hint="eastAsia" w:ascii="宋体" w:hAnsi="宋体"/>
                <w:szCs w:val="21"/>
              </w:rPr>
              <w:t>1.2.1协助工作组</w:t>
            </w:r>
          </w:p>
          <w:p>
            <w:pPr>
              <w:spacing w:line="360" w:lineRule="auto"/>
              <w:ind w:firstLine="315" w:firstLineChars="150"/>
              <w:rPr>
                <w:rFonts w:ascii="宋体" w:hAnsi="宋体"/>
                <w:szCs w:val="21"/>
              </w:rPr>
            </w:pPr>
            <w:r>
              <w:rPr>
                <w:rFonts w:hint="eastAsia" w:ascii="宋体" w:hAnsi="宋体"/>
                <w:szCs w:val="21"/>
              </w:rPr>
              <w:t>招标人可在评标工作开始前成立协助工作组，选派熟悉招标工作、政治素质高的人员组成，协助评标委员会工作。协助工作组人员的具体数量由招标人视评标工作量确定。</w:t>
            </w:r>
          </w:p>
          <w:p>
            <w:pPr>
              <w:spacing w:line="360" w:lineRule="auto"/>
              <w:ind w:firstLine="424" w:firstLineChars="202"/>
              <w:rPr>
                <w:rFonts w:ascii="宋体" w:hAnsi="宋体"/>
                <w:szCs w:val="21"/>
              </w:rPr>
            </w:pPr>
            <w:r>
              <w:rPr>
                <w:rFonts w:ascii="宋体" w:hAnsi="宋体"/>
                <w:szCs w:val="21"/>
              </w:rPr>
              <w:t>招标人可以协助评标委员会开展下列工作并提供相关信息：</w:t>
            </w:r>
          </w:p>
          <w:p>
            <w:pPr>
              <w:spacing w:line="360" w:lineRule="auto"/>
              <w:ind w:firstLine="424" w:firstLineChars="202"/>
              <w:rPr>
                <w:rFonts w:ascii="宋体" w:hAnsi="宋体"/>
                <w:szCs w:val="21"/>
              </w:rPr>
            </w:pPr>
            <w:r>
              <w:rPr>
                <w:rFonts w:ascii="宋体" w:hAnsi="宋体"/>
                <w:szCs w:val="21"/>
              </w:rPr>
              <w:t>（</w:t>
            </w:r>
            <w:r>
              <w:rPr>
                <w:rFonts w:hint="eastAsia" w:ascii="宋体" w:hAnsi="宋体"/>
                <w:szCs w:val="21"/>
              </w:rPr>
              <w:t>1</w:t>
            </w:r>
            <w:r>
              <w:rPr>
                <w:rFonts w:ascii="宋体" w:hAnsi="宋体"/>
                <w:szCs w:val="21"/>
              </w:rPr>
              <w:t>）根据招标文件，编制评标使用的相应表格；</w:t>
            </w:r>
          </w:p>
          <w:p>
            <w:pPr>
              <w:spacing w:line="360" w:lineRule="auto"/>
              <w:ind w:firstLine="424" w:firstLineChars="202"/>
              <w:rPr>
                <w:rFonts w:ascii="宋体" w:hAnsi="宋体"/>
                <w:szCs w:val="21"/>
              </w:rPr>
            </w:pPr>
            <w:r>
              <w:rPr>
                <w:rFonts w:ascii="宋体" w:hAnsi="宋体"/>
                <w:szCs w:val="21"/>
              </w:rPr>
              <w:t>（</w:t>
            </w:r>
            <w:r>
              <w:rPr>
                <w:rFonts w:hint="eastAsia" w:ascii="宋体" w:hAnsi="宋体"/>
                <w:szCs w:val="21"/>
              </w:rPr>
              <w:t>2</w:t>
            </w:r>
            <w:r>
              <w:rPr>
                <w:rFonts w:ascii="宋体" w:hAnsi="宋体"/>
                <w:szCs w:val="21"/>
              </w:rPr>
              <w:t>）对投标报价进行算术性校核</w:t>
            </w:r>
            <w:r>
              <w:rPr>
                <w:rFonts w:hint="eastAsia" w:ascii="宋体" w:hAnsi="宋体"/>
                <w:szCs w:val="21"/>
              </w:rPr>
              <w:t>（如采用固化工程量清单，本步骤省略）</w:t>
            </w:r>
            <w:r>
              <w:rPr>
                <w:rFonts w:ascii="宋体" w:hAnsi="宋体"/>
                <w:szCs w:val="21"/>
              </w:rPr>
              <w:t>；</w:t>
            </w:r>
          </w:p>
          <w:p>
            <w:pPr>
              <w:spacing w:line="360" w:lineRule="auto"/>
              <w:ind w:firstLine="424" w:firstLineChars="202"/>
              <w:rPr>
                <w:rFonts w:ascii="宋体" w:hAnsi="宋体"/>
                <w:szCs w:val="21"/>
              </w:rPr>
            </w:pPr>
            <w:r>
              <w:rPr>
                <w:rFonts w:ascii="宋体" w:hAnsi="宋体"/>
                <w:szCs w:val="21"/>
              </w:rPr>
              <w:t>（</w:t>
            </w:r>
            <w:r>
              <w:rPr>
                <w:rFonts w:hint="eastAsia" w:ascii="宋体" w:hAnsi="宋体"/>
                <w:szCs w:val="21"/>
              </w:rPr>
              <w:t>3</w:t>
            </w:r>
            <w:r>
              <w:rPr>
                <w:rFonts w:ascii="宋体" w:hAnsi="宋体"/>
                <w:szCs w:val="21"/>
              </w:rPr>
              <w:t>）以评标标准和方法为依据，列出投标文件相对于招标文件的所有偏差，并进行归类汇总；</w:t>
            </w:r>
          </w:p>
          <w:p>
            <w:pPr>
              <w:spacing w:line="360" w:lineRule="auto"/>
              <w:ind w:firstLine="424" w:firstLineChars="202"/>
              <w:rPr>
                <w:rFonts w:ascii="宋体" w:hAnsi="宋体"/>
                <w:szCs w:val="21"/>
              </w:rPr>
            </w:pPr>
            <w:r>
              <w:rPr>
                <w:rFonts w:ascii="宋体" w:hAnsi="宋体"/>
                <w:szCs w:val="21"/>
              </w:rPr>
              <w:t>（</w:t>
            </w:r>
            <w:r>
              <w:rPr>
                <w:rFonts w:hint="eastAsia" w:ascii="宋体" w:hAnsi="宋体"/>
                <w:szCs w:val="21"/>
              </w:rPr>
              <w:t>4</w:t>
            </w:r>
            <w:r>
              <w:rPr>
                <w:rFonts w:ascii="宋体" w:hAnsi="宋体"/>
                <w:szCs w:val="21"/>
              </w:rPr>
              <w:t>）查询公路建设市场信用信息管理系统，对投标人的资质、业绩</w:t>
            </w:r>
            <w:r>
              <w:rPr>
                <w:rFonts w:hint="eastAsia" w:ascii="宋体" w:hAnsi="宋体"/>
                <w:szCs w:val="21"/>
              </w:rPr>
              <w:t>、主要人员资历和目前在岗情况、信用等级</w:t>
            </w:r>
            <w:r>
              <w:rPr>
                <w:rFonts w:ascii="宋体" w:hAnsi="宋体"/>
                <w:szCs w:val="21"/>
              </w:rPr>
              <w:t>进行核实。</w:t>
            </w:r>
          </w:p>
          <w:p>
            <w:pPr>
              <w:spacing w:line="360" w:lineRule="auto"/>
              <w:ind w:firstLine="424" w:firstLineChars="202"/>
              <w:rPr>
                <w:rFonts w:ascii="宋体" w:hAnsi="宋体"/>
                <w:szCs w:val="21"/>
              </w:rPr>
            </w:pPr>
            <w:r>
              <w:rPr>
                <w:rFonts w:ascii="宋体" w:hAnsi="宋体"/>
                <w:szCs w:val="21"/>
              </w:rPr>
              <w:t>招标人不得对投标文件作出任何评价，不得故意遗漏或者片面摘录，不得在评标委员会对所有偏差定性之前透露存有偏差的投标人名称。</w:t>
            </w:r>
          </w:p>
          <w:p>
            <w:pPr>
              <w:spacing w:line="360" w:lineRule="auto"/>
              <w:rPr>
                <w:rFonts w:ascii="宋体" w:hAnsi="宋体"/>
                <w:szCs w:val="21"/>
              </w:rPr>
            </w:pPr>
            <w:r>
              <w:rPr>
                <w:rFonts w:hint="eastAsia" w:ascii="宋体" w:hAnsi="宋体"/>
                <w:szCs w:val="21"/>
              </w:rPr>
              <w:t>1.2.2评标委员会</w:t>
            </w:r>
          </w:p>
          <w:p>
            <w:pPr>
              <w:autoSpaceDE w:val="0"/>
              <w:autoSpaceDN w:val="0"/>
              <w:adjustRightInd w:val="0"/>
              <w:spacing w:line="360" w:lineRule="auto"/>
              <w:ind w:firstLine="420"/>
              <w:rPr>
                <w:rFonts w:ascii="宋体" w:hAnsi="宋体"/>
                <w:szCs w:val="21"/>
              </w:rPr>
            </w:pPr>
            <w:r>
              <w:rPr>
                <w:rFonts w:hint="eastAsia" w:ascii="宋体" w:hAnsi="宋体"/>
                <w:szCs w:val="21"/>
              </w:rPr>
              <w:t>评标委员会由招标人按国家、广东省等的有关规定依法组建。评标委员会的主要工作内容包括：</w:t>
            </w:r>
          </w:p>
          <w:p>
            <w:pPr>
              <w:spacing w:line="360" w:lineRule="auto"/>
              <w:rPr>
                <w:rFonts w:ascii="宋体" w:hAnsi="宋体"/>
                <w:szCs w:val="21"/>
              </w:rPr>
            </w:pPr>
            <w:r>
              <w:rPr>
                <w:rFonts w:hint="eastAsia" w:ascii="宋体" w:hAnsi="宋体"/>
                <w:szCs w:val="21"/>
              </w:rPr>
              <w:t>（1）评标委员会开始评标工作之前，首先听取招标人、协助工作组关于工程情况和辅助工作的说明，并认真研读招标文件，获取评标所需的重要信息和数据；</w:t>
            </w:r>
          </w:p>
          <w:p>
            <w:pPr>
              <w:spacing w:line="360" w:lineRule="auto"/>
              <w:rPr>
                <w:rFonts w:ascii="宋体" w:hAnsi="宋体"/>
                <w:szCs w:val="21"/>
              </w:rPr>
            </w:pPr>
            <w:r>
              <w:rPr>
                <w:rFonts w:hint="eastAsia" w:ascii="宋体" w:hAnsi="宋体"/>
                <w:szCs w:val="21"/>
              </w:rPr>
              <w:t>（2）对协助工作组提供的评标工作用表和评标内容进行核查。</w:t>
            </w:r>
          </w:p>
          <w:p>
            <w:pPr>
              <w:spacing w:line="360" w:lineRule="auto"/>
              <w:rPr>
                <w:rFonts w:ascii="宋体" w:hAnsi="宋体"/>
                <w:szCs w:val="21"/>
              </w:rPr>
            </w:pPr>
            <w:r>
              <w:rPr>
                <w:rFonts w:hint="eastAsia" w:ascii="宋体" w:hAnsi="宋体"/>
                <w:szCs w:val="21"/>
              </w:rPr>
              <w:t>（3）按照以下1.3款程序进行各项评审工作。</w:t>
            </w:r>
          </w:p>
          <w:p>
            <w:pPr>
              <w:spacing w:line="360" w:lineRule="auto"/>
              <w:rPr>
                <w:rFonts w:ascii="宋体" w:hAnsi="宋体"/>
                <w:szCs w:val="21"/>
              </w:rPr>
            </w:pPr>
            <w:r>
              <w:rPr>
                <w:rFonts w:hint="eastAsia" w:ascii="宋体" w:hAnsi="宋体"/>
                <w:szCs w:val="21"/>
              </w:rPr>
              <w:t>1.3评审工作程序</w:t>
            </w:r>
          </w:p>
          <w:p>
            <w:pPr>
              <w:spacing w:line="360" w:lineRule="auto"/>
              <w:rPr>
                <w:rFonts w:ascii="宋体" w:hAnsi="宋体"/>
                <w:szCs w:val="21"/>
              </w:rPr>
            </w:pPr>
            <w:r>
              <w:rPr>
                <w:rFonts w:hint="eastAsia" w:ascii="宋体" w:hAnsi="宋体"/>
                <w:szCs w:val="21"/>
              </w:rPr>
              <w:t>（一）第一信封（商务文件及技术文件）：</w:t>
            </w:r>
          </w:p>
          <w:p>
            <w:pPr>
              <w:spacing w:line="360" w:lineRule="auto"/>
              <w:rPr>
                <w:rFonts w:ascii="宋体" w:hAnsi="宋体"/>
                <w:szCs w:val="21"/>
              </w:rPr>
            </w:pPr>
            <w:r>
              <w:rPr>
                <w:rFonts w:hint="eastAsia" w:ascii="宋体" w:hAnsi="宋体"/>
                <w:szCs w:val="21"/>
              </w:rPr>
              <w:t xml:space="preserve"> l、初步评审：包括形式评审与响应性评审、资格评审（适用于未进行资格预审）；</w:t>
            </w:r>
          </w:p>
          <w:p>
            <w:pPr>
              <w:spacing w:line="360" w:lineRule="auto"/>
              <w:rPr>
                <w:rFonts w:ascii="宋体" w:hAnsi="宋体"/>
                <w:szCs w:val="21"/>
              </w:rPr>
            </w:pPr>
            <w:r>
              <w:rPr>
                <w:rFonts w:hint="eastAsia" w:ascii="宋体" w:hAnsi="宋体"/>
                <w:szCs w:val="21"/>
              </w:rPr>
              <w:t xml:space="preserve"> 2、详细评审（评审打分）：评标委员会首先对通过第一信封初步评审的投标文件进行详细评审，对投标人的施工组织设计、主要人员、其他因素等分别评审打分，并</w:t>
            </w:r>
            <w:r>
              <w:rPr>
                <w:rFonts w:ascii="宋体" w:hAnsi="宋体"/>
                <w:szCs w:val="21"/>
              </w:rPr>
              <w:t>按照</w:t>
            </w:r>
            <w:r>
              <w:rPr>
                <w:rFonts w:hint="eastAsia" w:ascii="宋体" w:hAnsi="宋体"/>
                <w:szCs w:val="21"/>
              </w:rPr>
              <w:t>综合</w:t>
            </w:r>
            <w:r>
              <w:rPr>
                <w:rFonts w:ascii="宋体" w:hAnsi="宋体"/>
                <w:szCs w:val="21"/>
              </w:rPr>
              <w:t>得分由高到低排序，排名在招标文件规定数量</w:t>
            </w:r>
            <w:r>
              <w:rPr>
                <w:rFonts w:hint="eastAsia" w:ascii="宋体" w:hAnsi="宋体"/>
                <w:szCs w:val="21"/>
                <w:u w:val="single"/>
              </w:rPr>
              <w:t>前5名</w:t>
            </w:r>
            <w:r>
              <w:rPr>
                <w:rFonts w:hint="eastAsia" w:ascii="宋体" w:hAnsi="宋体"/>
                <w:szCs w:val="21"/>
              </w:rPr>
              <w:t>（不少于3名但不足5名时，按全部实际数量）</w:t>
            </w:r>
            <w:r>
              <w:rPr>
                <w:rFonts w:ascii="宋体" w:hAnsi="宋体"/>
                <w:szCs w:val="21"/>
              </w:rPr>
              <w:t>的投标人</w:t>
            </w:r>
            <w:r>
              <w:rPr>
                <w:rFonts w:hint="eastAsia" w:ascii="宋体" w:hAnsi="宋体"/>
                <w:szCs w:val="21"/>
              </w:rPr>
              <w:t>，其投标文件第一信封（商务及技术文件）通过详细评审。</w:t>
            </w:r>
          </w:p>
          <w:p>
            <w:pPr>
              <w:spacing w:line="360" w:lineRule="auto"/>
              <w:rPr>
                <w:rFonts w:ascii="宋体" w:hAnsi="宋体"/>
                <w:szCs w:val="21"/>
              </w:rPr>
            </w:pPr>
            <w:r>
              <w:rPr>
                <w:rFonts w:hint="eastAsia" w:ascii="宋体" w:hAnsi="宋体"/>
                <w:szCs w:val="21"/>
              </w:rPr>
              <w:t>（二）第二信封（报价文件）：</w:t>
            </w:r>
          </w:p>
          <w:p>
            <w:pPr>
              <w:spacing w:line="360" w:lineRule="auto"/>
              <w:rPr>
                <w:rFonts w:ascii="宋体" w:hAnsi="宋体"/>
                <w:szCs w:val="21"/>
              </w:rPr>
            </w:pPr>
            <w:r>
              <w:rPr>
                <w:rFonts w:hint="eastAsia" w:ascii="宋体" w:hAnsi="宋体"/>
                <w:szCs w:val="21"/>
              </w:rPr>
              <w:t xml:space="preserve"> 1、初步评审：</w:t>
            </w:r>
          </w:p>
          <w:p>
            <w:pPr>
              <w:spacing w:line="360" w:lineRule="auto"/>
              <w:rPr>
                <w:rFonts w:ascii="宋体" w:hAnsi="宋体"/>
                <w:szCs w:val="21"/>
              </w:rPr>
            </w:pPr>
            <w:r>
              <w:rPr>
                <w:rFonts w:hint="eastAsia" w:ascii="宋体" w:hAnsi="宋体"/>
                <w:sz w:val="22"/>
              </w:rPr>
              <w:t>（1）</w:t>
            </w:r>
            <w:r>
              <w:rPr>
                <w:rFonts w:hint="eastAsia" w:ascii="宋体" w:hAnsi="宋体"/>
                <w:szCs w:val="21"/>
              </w:rPr>
              <w:t>只有</w:t>
            </w:r>
            <w:r>
              <w:rPr>
                <w:rFonts w:ascii="宋体" w:hAnsi="宋体"/>
                <w:szCs w:val="21"/>
              </w:rPr>
              <w:t>对</w:t>
            </w:r>
            <w:r>
              <w:rPr>
                <w:rFonts w:hint="eastAsia" w:ascii="宋体" w:hAnsi="宋体"/>
                <w:szCs w:val="21"/>
              </w:rPr>
              <w:t>投标文件第一个信封</w:t>
            </w:r>
            <w:r>
              <w:rPr>
                <w:rFonts w:ascii="宋体" w:hAnsi="宋体"/>
                <w:szCs w:val="21"/>
              </w:rPr>
              <w:t>通过</w:t>
            </w:r>
            <w:r>
              <w:rPr>
                <w:rFonts w:hint="eastAsia" w:ascii="宋体" w:hAnsi="宋体"/>
                <w:szCs w:val="21"/>
              </w:rPr>
              <w:t>详细评审</w:t>
            </w:r>
            <w:r>
              <w:rPr>
                <w:rFonts w:ascii="宋体" w:hAnsi="宋体"/>
                <w:szCs w:val="21"/>
              </w:rPr>
              <w:t>的投标人的报价文件</w:t>
            </w:r>
            <w:r>
              <w:rPr>
                <w:rFonts w:hint="eastAsia" w:ascii="宋体" w:hAnsi="宋体"/>
                <w:szCs w:val="21"/>
              </w:rPr>
              <w:t>才能继续参加第二信封报价文件的形式评审与响应性评审。</w:t>
            </w:r>
          </w:p>
          <w:p>
            <w:pPr>
              <w:spacing w:line="360" w:lineRule="auto"/>
              <w:rPr>
                <w:rFonts w:ascii="宋体" w:hAnsi="宋体"/>
                <w:szCs w:val="21"/>
              </w:rPr>
            </w:pPr>
            <w:r>
              <w:rPr>
                <w:rFonts w:hint="eastAsia" w:ascii="宋体" w:hAnsi="宋体"/>
                <w:szCs w:val="21"/>
              </w:rPr>
              <w:t xml:space="preserve"> （2）报价算术性修正</w:t>
            </w:r>
            <w:r>
              <w:rPr>
                <w:szCs w:val="21"/>
              </w:rPr>
              <w:t>（如采用固化工程量清单，本步骤省略）</w:t>
            </w:r>
            <w:r>
              <w:rPr>
                <w:rFonts w:hint="eastAsia" w:ascii="宋体" w:hAnsi="宋体"/>
                <w:szCs w:val="21"/>
              </w:rPr>
              <w:t>；</w:t>
            </w:r>
          </w:p>
          <w:p>
            <w:pPr>
              <w:spacing w:line="360" w:lineRule="auto"/>
              <w:rPr>
                <w:rFonts w:ascii="宋体" w:hAnsi="宋体"/>
                <w:szCs w:val="21"/>
              </w:rPr>
            </w:pPr>
            <w:r>
              <w:rPr>
                <w:rFonts w:hint="eastAsia" w:ascii="宋体" w:hAnsi="宋体"/>
                <w:szCs w:val="21"/>
              </w:rPr>
              <w:t xml:space="preserve"> 2、详细评审：计算评标价。</w:t>
            </w:r>
          </w:p>
          <w:p>
            <w:pPr>
              <w:spacing w:line="360" w:lineRule="auto"/>
              <w:rPr>
                <w:rFonts w:hint="eastAsia" w:ascii="宋体" w:hAnsi="宋体"/>
                <w:szCs w:val="21"/>
              </w:rPr>
            </w:pPr>
            <w:r>
              <w:rPr>
                <w:rFonts w:hint="eastAsia" w:ascii="宋体" w:hAnsi="宋体"/>
                <w:szCs w:val="21"/>
              </w:rPr>
              <w:t>（三）投标文件相关信息的核查。</w:t>
            </w:r>
          </w:p>
          <w:p>
            <w:pPr>
              <w:spacing w:line="360" w:lineRule="auto"/>
              <w:rPr>
                <w:rFonts w:hint="eastAsia" w:ascii="宋体" w:hAnsi="宋体"/>
                <w:szCs w:val="21"/>
              </w:rPr>
            </w:pPr>
            <w:r>
              <w:rPr>
                <w:rFonts w:hint="eastAsia" w:ascii="宋体" w:hAnsi="宋体"/>
                <w:szCs w:val="21"/>
              </w:rPr>
              <w:t>（四）投标文件的澄清和说明(如有)</w:t>
            </w:r>
          </w:p>
          <w:p>
            <w:pPr>
              <w:spacing w:line="360" w:lineRule="auto"/>
              <w:rPr>
                <w:rFonts w:ascii="宋体" w:hAnsi="宋体"/>
                <w:szCs w:val="21"/>
              </w:rPr>
            </w:pPr>
            <w:r>
              <w:rPr>
                <w:rFonts w:hint="eastAsia" w:ascii="宋体" w:hAnsi="宋体"/>
                <w:szCs w:val="21"/>
              </w:rPr>
              <w:t>（五）按评标办法规定</w:t>
            </w:r>
            <w:r>
              <w:rPr>
                <w:rFonts w:ascii="宋体" w:hAnsi="宋体"/>
                <w:szCs w:val="21"/>
              </w:rPr>
              <w:t>按照</w:t>
            </w:r>
            <w:r>
              <w:rPr>
                <w:rFonts w:hint="eastAsia" w:ascii="宋体" w:hAnsi="宋体"/>
                <w:szCs w:val="21"/>
              </w:rPr>
              <w:t>第</w:t>
            </w:r>
            <w:r>
              <w:rPr>
                <w:rFonts w:ascii="宋体" w:hAnsi="宋体"/>
                <w:szCs w:val="21"/>
              </w:rPr>
              <w:t>二信封的评标价由低到高的顺序推荐中标候选人</w:t>
            </w:r>
            <w:r>
              <w:rPr>
                <w:rFonts w:hint="eastAsia" w:ascii="宋体" w:hAnsi="宋体"/>
                <w:szCs w:val="21"/>
              </w:rPr>
              <w:t>，编写评标报告。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隶书">
    <w:panose1 w:val="0201050906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ZjI5N2I1YTI4ODg0ZjM3NWU2MTk2NTExM2IzOWUifQ=="/>
  </w:docVars>
  <w:rsids>
    <w:rsidRoot w:val="169C6CB6"/>
    <w:rsid w:val="169C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0"/>
    <w:pPr>
      <w:keepNext/>
      <w:keepLines/>
      <w:spacing w:before="260" w:after="260" w:line="416" w:lineRule="auto"/>
      <w:outlineLvl w:val="2"/>
    </w:pPr>
    <w:rPr>
      <w:b/>
      <w:bCs/>
      <w:kern w:val="0"/>
      <w:sz w:val="32"/>
      <w:szCs w:val="32"/>
      <w:lang w:val="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960" w:firstLineChars="200"/>
    </w:pPr>
    <w:rPr>
      <w:kern w:val="0"/>
      <w:sz w:val="24"/>
      <w:szCs w:val="20"/>
    </w:rPr>
  </w:style>
  <w:style w:type="paragraph" w:styleId="3">
    <w:name w:val="Body Text Indent"/>
    <w:basedOn w:val="1"/>
    <w:qFormat/>
    <w:uiPriority w:val="0"/>
    <w:pPr>
      <w:adjustRightInd w:val="0"/>
      <w:spacing w:after="120" w:line="420" w:lineRule="atLeast"/>
      <w:ind w:left="420" w:firstLine="454"/>
      <w:textAlignment w:val="baseline"/>
    </w:pPr>
    <w:rPr>
      <w:kern w:val="0"/>
      <w:szCs w:val="20"/>
    </w:rPr>
  </w:style>
  <w:style w:type="paragraph" w:customStyle="1" w:styleId="7">
    <w:name w:val="标题 #7"/>
    <w:basedOn w:val="1"/>
    <w:qFormat/>
    <w:uiPriority w:val="0"/>
    <w:pPr>
      <w:shd w:val="clear" w:color="auto" w:fill="FFFFFF"/>
      <w:spacing w:before="120" w:after="420" w:line="240" w:lineRule="atLeast"/>
      <w:jc w:val="left"/>
      <w:outlineLvl w:val="6"/>
    </w:pPr>
    <w:rPr>
      <w:rFonts w:ascii="MingLiU" w:eastAsia="MingLiU"/>
      <w:b/>
      <w:bCs/>
      <w:spacing w:val="10"/>
      <w:kern w:val="0"/>
      <w:sz w:val="22"/>
    </w:rPr>
  </w:style>
  <w:style w:type="character" w:customStyle="1" w:styleId="8">
    <w:name w:val="标题 #7 + 间距 0 pt"/>
    <w:qFormat/>
    <w:uiPriority w:val="0"/>
    <w:rPr>
      <w:rFonts w:hint="eastAsia" w:ascii="MingLiU" w:eastAsia="MingLiU" w:cs="MingLiU"/>
      <w:b/>
      <w:bCs/>
      <w:spacing w:val="0"/>
      <w:sz w:val="22"/>
      <w:szCs w:val="22"/>
      <w:u w:val="none"/>
    </w:rPr>
  </w:style>
  <w:style w:type="paragraph" w:customStyle="1" w:styleId="9">
    <w:name w:val="Table Paragraph"/>
    <w:basedOn w:val="1"/>
    <w:next w:val="10"/>
    <w:qFormat/>
    <w:uiPriority w:val="0"/>
    <w:pPr>
      <w:autoSpaceDE w:val="0"/>
      <w:autoSpaceDN w:val="0"/>
      <w:jc w:val="left"/>
    </w:pPr>
    <w:rPr>
      <w:rFonts w:ascii="宋体" w:hAnsi="宋体" w:cs="宋体"/>
      <w:kern w:val="0"/>
      <w:sz w:val="22"/>
      <w:lang w:val="zh-CN" w:bidi="zh-CN"/>
    </w:rPr>
  </w:style>
  <w:style w:type="paragraph" w:customStyle="1" w:styleId="10">
    <w:name w:val="xl91"/>
    <w:basedOn w:val="1"/>
    <w:next w:val="11"/>
    <w:qFormat/>
    <w:uiPriority w:val="0"/>
    <w:pPr>
      <w:widowControl/>
      <w:autoSpaceDE/>
      <w:autoSpaceDN/>
      <w:spacing w:before="280" w:beforeLines="0" w:after="280" w:afterLines="0"/>
      <w:jc w:val="center"/>
    </w:pPr>
    <w:rPr>
      <w:rFonts w:ascii="宋体" w:eastAsia="宋体"/>
      <w:color w:val="FF0000"/>
      <w:sz w:val="24"/>
    </w:rPr>
  </w:style>
  <w:style w:type="paragraph" w:customStyle="1" w:styleId="11">
    <w:name w:val="目录 92"/>
    <w:basedOn w:val="1"/>
    <w:next w:val="1"/>
    <w:qFormat/>
    <w:uiPriority w:val="0"/>
    <w:pPr>
      <w:autoSpaceDE/>
      <w:autoSpaceDN/>
      <w:ind w:left="1680"/>
      <w:jc w:val="both"/>
    </w:pPr>
    <w:rPr>
      <w:rFonts w:ascii="Times New Roman" w:eastAsia="宋体"/>
      <w:sz w:val="21"/>
    </w:rPr>
  </w:style>
  <w:style w:type="paragraph" w:customStyle="1" w:styleId="12">
    <w:name w:val="正文文本 (5)1"/>
    <w:basedOn w:val="1"/>
    <w:link w:val="13"/>
    <w:qFormat/>
    <w:uiPriority w:val="99"/>
    <w:pPr>
      <w:shd w:val="clear" w:color="auto" w:fill="FFFFFF"/>
      <w:spacing w:before="5100" w:line="240" w:lineRule="atLeast"/>
      <w:jc w:val="left"/>
    </w:pPr>
    <w:rPr>
      <w:rFonts w:ascii="MingLiU" w:eastAsia="MingLiU"/>
      <w:kern w:val="0"/>
      <w:sz w:val="20"/>
      <w:szCs w:val="20"/>
    </w:rPr>
  </w:style>
  <w:style w:type="character" w:customStyle="1" w:styleId="13">
    <w:name w:val="正文文本 (5)_"/>
    <w:link w:val="12"/>
    <w:qFormat/>
    <w:locked/>
    <w:uiPriority w:val="99"/>
    <w:rPr>
      <w:rFonts w:ascii="MingLiU" w:eastAsia="MingLiU"/>
      <w:kern w:val="0"/>
      <w:sz w:val="20"/>
      <w:szCs w:val="20"/>
    </w:rPr>
  </w:style>
  <w:style w:type="paragraph" w:customStyle="1" w:styleId="14">
    <w:name w:val="正文文本 (2)1"/>
    <w:basedOn w:val="1"/>
    <w:qFormat/>
    <w:uiPriority w:val="0"/>
    <w:pPr>
      <w:shd w:val="clear" w:color="auto" w:fill="FFFFFF"/>
      <w:spacing w:before="300" w:line="439" w:lineRule="exact"/>
      <w:jc w:val="distribute"/>
    </w:pPr>
    <w:rPr>
      <w:rFonts w:ascii="MingLiU" w:eastAsia="MingLiU"/>
      <w:spacing w:val="20"/>
      <w:kern w:val="0"/>
      <w:sz w:val="22"/>
      <w:szCs w:val="20"/>
    </w:rPr>
  </w:style>
  <w:style w:type="character" w:customStyle="1" w:styleId="15">
    <w:name w:val="正文文本 (2) + 间距 0 pt3"/>
    <w:qFormat/>
    <w:uiPriority w:val="0"/>
    <w:rPr>
      <w:rFonts w:ascii="MingLiU" w:eastAsia="MingLiU" w:cs="MingLiU"/>
      <w:spacing w:val="0"/>
      <w:sz w:val="22"/>
      <w:szCs w:val="22"/>
      <w:u w:val="none"/>
    </w:rPr>
  </w:style>
  <w:style w:type="character" w:customStyle="1" w:styleId="16">
    <w:name w:val="正文文本 (2) + 10 pt34"/>
    <w:qFormat/>
    <w:uiPriority w:val="0"/>
    <w:rPr>
      <w:rFonts w:ascii="MingLiU" w:eastAsia="MingLiU" w:cs="MingLiU"/>
      <w:spacing w:val="-20"/>
      <w:sz w:val="20"/>
      <w:szCs w:val="20"/>
      <w:u w:val="none"/>
      <w:lang w:val="en-US" w:eastAsia="en-US"/>
    </w:rPr>
  </w:style>
  <w:style w:type="character" w:customStyle="1" w:styleId="17">
    <w:name w:val="正文文本 (2) + 10 pt37"/>
    <w:qFormat/>
    <w:uiPriority w:val="99"/>
    <w:rPr>
      <w:rFonts w:ascii="MingLiU" w:eastAsia="MingLiU" w:cs="MingLiU"/>
      <w:spacing w:val="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2023-03-27T08:08:00Z</dcterms:created>
  <dc:creator>微信用户</dc:creator>
  <cp:lastModifiedBy>微信用户</cp:lastModifiedBy>
  <dcterms:modified xsi:type="dcterms:W3CDTF">2023-03-27T08:09:09Z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A62E75939AFF4BA0AD804D80FD062C03</vt:lpwstr>
  </property>
</Properties>
</file>