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center"/>
        <w:rPr>
          <w:rFonts w:hint="eastAsia" w:eastAsia="宋体"/>
          <w:lang w:eastAsia="zh-CN"/>
        </w:rPr>
      </w:pPr>
      <w:r>
        <w:rPr>
          <w:rFonts w:hint="eastAsia"/>
          <w:b/>
          <w:sz w:val="44"/>
          <w:szCs w:val="44"/>
          <w:lang w:eastAsia="zh-CN"/>
        </w:rPr>
        <w:t>信达南路（二期）建设工程监理服务</w:t>
      </w:r>
    </w:p>
    <w:p>
      <w:pPr>
        <w:spacing w:line="400" w:lineRule="exact"/>
        <w:rPr>
          <w:rFonts w:hint="eastAsia" w:ascii="Times New Roman" w:hAnsi="Times New Roman" w:eastAsia="黑体"/>
          <w:sz w:val="32"/>
          <w:szCs w:val="32"/>
          <w:lang w:val="en-US" w:eastAsia="zh-CN"/>
        </w:rPr>
      </w:pPr>
      <w:r>
        <w:rPr>
          <w:rFonts w:hint="eastAsia" w:ascii="Times New Roman" w:hAnsi="Times New Roman" w:eastAsia="黑体"/>
          <w:sz w:val="32"/>
          <w:szCs w:val="32"/>
          <w:lang w:val="en-US" w:eastAsia="zh-CN"/>
        </w:rPr>
        <w:t xml:space="preserve"> </w:t>
      </w:r>
    </w:p>
    <w:p>
      <w:pPr>
        <w:pStyle w:val="2"/>
        <w:rPr>
          <w:rFonts w:hint="eastAsia"/>
          <w:lang w:eastAsia="zh-CN"/>
        </w:rPr>
      </w:pPr>
    </w:p>
    <w:p>
      <w:pPr>
        <w:rPr>
          <w:rFonts w:hint="eastAsia"/>
          <w:lang w:eastAsia="zh-CN"/>
        </w:rPr>
      </w:pPr>
    </w:p>
    <w:p>
      <w:pPr>
        <w:spacing w:line="400" w:lineRule="exact"/>
        <w:jc w:val="right"/>
        <w:rPr>
          <w:rFonts w:ascii="Times New Roman" w:hAnsi="Times New Roman"/>
        </w:rPr>
      </w:pPr>
    </w:p>
    <w:p>
      <w:pPr>
        <w:jc w:val="center"/>
        <w:rPr>
          <w:rFonts w:ascii="Times New Roman" w:hAnsi="Times New Roman"/>
          <w:sz w:val="28"/>
          <w:szCs w:val="28"/>
        </w:rPr>
      </w:pPr>
    </w:p>
    <w:p>
      <w:pPr>
        <w:pStyle w:val="2"/>
      </w:pPr>
    </w:p>
    <w:p>
      <w:pPr>
        <w:jc w:val="center"/>
        <w:rPr>
          <w:rFonts w:hint="eastAsia" w:ascii="Times New Roman" w:hAnsi="Times New Roman" w:eastAsia="黑体"/>
          <w:sz w:val="84"/>
          <w:szCs w:val="84"/>
        </w:rPr>
      </w:pPr>
      <w:r>
        <w:rPr>
          <w:rFonts w:ascii="Times New Roman" w:hAnsi="Times New Roman" w:eastAsia="黑体"/>
          <w:sz w:val="84"/>
          <w:szCs w:val="84"/>
        </w:rPr>
        <w:t>招</w:t>
      </w:r>
    </w:p>
    <w:p>
      <w:pPr>
        <w:jc w:val="center"/>
        <w:rPr>
          <w:rFonts w:ascii="Times New Roman" w:hAnsi="Times New Roman" w:eastAsia="黑体"/>
          <w:sz w:val="84"/>
          <w:szCs w:val="84"/>
        </w:rPr>
      </w:pPr>
      <w:r>
        <w:rPr>
          <w:rFonts w:ascii="Times New Roman" w:hAnsi="Times New Roman" w:eastAsia="黑体"/>
          <w:sz w:val="84"/>
          <w:szCs w:val="84"/>
        </w:rPr>
        <w:t>标</w:t>
      </w:r>
    </w:p>
    <w:p>
      <w:pPr>
        <w:jc w:val="center"/>
        <w:rPr>
          <w:rFonts w:hint="eastAsia" w:ascii="Times New Roman" w:hAnsi="Times New Roman" w:eastAsia="黑体"/>
          <w:sz w:val="84"/>
          <w:szCs w:val="84"/>
        </w:rPr>
      </w:pPr>
      <w:r>
        <w:rPr>
          <w:rFonts w:hint="eastAsia" w:ascii="Times New Roman" w:hAnsi="Times New Roman" w:eastAsia="黑体"/>
          <w:sz w:val="84"/>
          <w:szCs w:val="84"/>
        </w:rPr>
        <w:t>公</w:t>
      </w:r>
    </w:p>
    <w:p>
      <w:pPr>
        <w:jc w:val="center"/>
        <w:rPr>
          <w:rFonts w:hint="eastAsia" w:ascii="Times New Roman" w:hAnsi="Times New Roman" w:eastAsia="黑体"/>
          <w:sz w:val="84"/>
          <w:szCs w:val="84"/>
        </w:rPr>
      </w:pPr>
      <w:r>
        <w:rPr>
          <w:rFonts w:hint="eastAsia" w:ascii="Times New Roman" w:hAnsi="Times New Roman" w:eastAsia="黑体"/>
          <w:sz w:val="84"/>
          <w:szCs w:val="84"/>
        </w:rPr>
        <w:t>告</w:t>
      </w:r>
    </w:p>
    <w:p>
      <w:pPr>
        <w:spacing w:line="400" w:lineRule="exact"/>
        <w:rPr>
          <w:rFonts w:ascii="Times New Roman" w:hAnsi="Times New Roman"/>
        </w:rPr>
      </w:pPr>
    </w:p>
    <w:p>
      <w:pPr>
        <w:spacing w:line="400" w:lineRule="exact"/>
        <w:rPr>
          <w:rFonts w:ascii="Times New Roman" w:hAnsi="Times New Roman"/>
        </w:rPr>
      </w:pPr>
    </w:p>
    <w:p>
      <w:pPr>
        <w:spacing w:line="400" w:lineRule="exact"/>
        <w:rPr>
          <w:rFonts w:ascii="Times New Roman" w:hAnsi="Times New Roman"/>
        </w:rPr>
      </w:pPr>
    </w:p>
    <w:p>
      <w:pPr>
        <w:spacing w:line="400" w:lineRule="exact"/>
        <w:rPr>
          <w:rFonts w:ascii="Times New Roman" w:hAnsi="Times New Roman"/>
        </w:rPr>
      </w:pPr>
    </w:p>
    <w:p>
      <w:pPr>
        <w:spacing w:line="400" w:lineRule="exact"/>
        <w:rPr>
          <w:rFonts w:ascii="Times New Roman" w:hAnsi="Times New Roman"/>
        </w:rPr>
      </w:pPr>
    </w:p>
    <w:p>
      <w:pPr>
        <w:spacing w:line="400" w:lineRule="exact"/>
        <w:rPr>
          <w:rFonts w:ascii="Times New Roman" w:hAnsi="Times New Roman"/>
        </w:rPr>
      </w:pPr>
    </w:p>
    <w:p>
      <w:pPr>
        <w:pStyle w:val="2"/>
      </w:pPr>
    </w:p>
    <w:p>
      <w:pPr>
        <w:spacing w:line="400" w:lineRule="exact"/>
        <w:rPr>
          <w:rFonts w:ascii="Times New Roman" w:hAnsi="Times New Roman"/>
        </w:rPr>
      </w:pPr>
    </w:p>
    <w:p>
      <w:pPr>
        <w:autoSpaceDE/>
        <w:autoSpaceDN/>
        <w:adjustRightInd/>
        <w:spacing w:line="360" w:lineRule="auto"/>
        <w:ind w:left="0" w:firstLine="643" w:firstLineChars="200"/>
        <w:jc w:val="left"/>
        <w:rPr>
          <w:rFonts w:hint="eastAsia" w:ascii="宋体" w:hAnsi="宋体" w:eastAsia="宋体" w:cs="Times New Roman"/>
          <w:b/>
          <w:color w:val="auto"/>
          <w:sz w:val="32"/>
          <w:szCs w:val="32"/>
          <w:highlight w:val="none"/>
          <w:lang w:eastAsia="zh-CN"/>
        </w:rPr>
      </w:pPr>
      <w:r>
        <w:rPr>
          <w:rFonts w:hint="eastAsia" w:ascii="宋体" w:hAnsi="宋体"/>
          <w:b/>
          <w:color w:val="auto"/>
          <w:sz w:val="32"/>
          <w:szCs w:val="32"/>
          <w:highlight w:val="none"/>
        </w:rPr>
        <w:t xml:space="preserve">招 标  单 </w:t>
      </w:r>
      <w:r>
        <w:rPr>
          <w:rFonts w:hint="eastAsia" w:ascii="宋体" w:hAnsi="宋体" w:eastAsia="宋体" w:cs="Times New Roman"/>
          <w:b/>
          <w:color w:val="auto"/>
          <w:sz w:val="32"/>
          <w:szCs w:val="32"/>
          <w:highlight w:val="none"/>
        </w:rPr>
        <w:t>位：广州市增城区人民政府朱村街道办事处</w:t>
      </w:r>
    </w:p>
    <w:p>
      <w:pPr>
        <w:autoSpaceDE/>
        <w:autoSpaceDN/>
        <w:adjustRightInd/>
        <w:spacing w:line="360" w:lineRule="auto"/>
        <w:ind w:left="0" w:firstLine="643" w:firstLineChars="200"/>
        <w:jc w:val="left"/>
        <w:rPr>
          <w:rFonts w:hint="eastAsia" w:ascii="宋体" w:hAnsi="宋体" w:eastAsia="宋体" w:cs="Times New Roman"/>
          <w:b/>
          <w:color w:val="auto"/>
          <w:sz w:val="32"/>
          <w:szCs w:val="32"/>
          <w:highlight w:val="none"/>
          <w:lang w:eastAsia="zh-CN"/>
        </w:rPr>
      </w:pPr>
      <w:r>
        <w:rPr>
          <w:rFonts w:hint="eastAsia" w:ascii="宋体" w:hAnsi="宋体" w:eastAsia="宋体" w:cs="Times New Roman"/>
          <w:b/>
          <w:color w:val="auto"/>
          <w:sz w:val="32"/>
          <w:szCs w:val="32"/>
          <w:highlight w:val="none"/>
        </w:rPr>
        <w:t>招标代理单位：</w:t>
      </w:r>
      <w:r>
        <w:rPr>
          <w:rFonts w:hint="eastAsia" w:ascii="宋体" w:hAnsi="宋体" w:eastAsia="宋体" w:cs="Times New Roman"/>
          <w:b/>
          <w:color w:val="auto"/>
          <w:sz w:val="32"/>
          <w:szCs w:val="32"/>
          <w:highlight w:val="none"/>
          <w:lang w:val="en-US" w:eastAsia="zh-CN"/>
        </w:rPr>
        <w:t>广州市翰淋工程咨询有限公司</w:t>
      </w:r>
    </w:p>
    <w:p>
      <w:pPr>
        <w:spacing w:line="360" w:lineRule="auto"/>
        <w:ind w:firstLine="707" w:firstLineChars="220"/>
        <w:rPr>
          <w:rFonts w:ascii="宋体" w:hAnsi="宋体"/>
          <w:b/>
          <w:color w:val="auto"/>
          <w:sz w:val="32"/>
          <w:szCs w:val="32"/>
          <w:highlight w:val="none"/>
        </w:rPr>
      </w:pPr>
      <w:r>
        <w:rPr>
          <w:rFonts w:hint="eastAsia" w:ascii="宋体" w:hAnsi="宋体"/>
          <w:b/>
          <w:color w:val="auto"/>
          <w:sz w:val="32"/>
          <w:szCs w:val="32"/>
          <w:highlight w:val="none"/>
        </w:rPr>
        <w:t>日        期</w:t>
      </w:r>
      <w:r>
        <w:rPr>
          <w:rFonts w:hint="eastAsia" w:ascii="宋体" w:hAnsi="宋体"/>
          <w:b/>
          <w:color w:val="auto"/>
          <w:sz w:val="32"/>
          <w:szCs w:val="32"/>
          <w:highlight w:val="none"/>
          <w:lang w:eastAsia="zh-CN"/>
        </w:rPr>
        <w:t>：</w:t>
      </w:r>
      <w:r>
        <w:rPr>
          <w:rFonts w:hint="eastAsia" w:ascii="宋体" w:hAnsi="宋体"/>
          <w:b/>
          <w:color w:val="auto"/>
          <w:sz w:val="32"/>
          <w:szCs w:val="32"/>
          <w:highlight w:val="none"/>
          <w:lang w:val="en-US" w:eastAsia="zh-CN"/>
        </w:rPr>
        <w:t xml:space="preserve">  2023</w:t>
      </w:r>
      <w:r>
        <w:rPr>
          <w:rFonts w:hint="eastAsia" w:ascii="宋体" w:hAnsi="宋体"/>
          <w:b/>
          <w:color w:val="auto"/>
          <w:sz w:val="32"/>
          <w:szCs w:val="32"/>
          <w:highlight w:val="none"/>
        </w:rPr>
        <w:t>年</w:t>
      </w:r>
      <w:r>
        <w:rPr>
          <w:rFonts w:hint="eastAsia" w:ascii="宋体" w:hAnsi="宋体"/>
          <w:b/>
          <w:color w:val="auto"/>
          <w:sz w:val="32"/>
          <w:szCs w:val="32"/>
          <w:highlight w:val="none"/>
          <w:lang w:val="en-US" w:eastAsia="zh-CN"/>
        </w:rPr>
        <w:t xml:space="preserve"> 3 </w:t>
      </w:r>
      <w:r>
        <w:rPr>
          <w:rFonts w:hint="eastAsia" w:ascii="宋体" w:hAnsi="宋体"/>
          <w:b/>
          <w:color w:val="auto"/>
          <w:sz w:val="32"/>
          <w:szCs w:val="32"/>
          <w:highlight w:val="none"/>
        </w:rPr>
        <w:t>月</w:t>
      </w:r>
    </w:p>
    <w:p>
      <w:pPr>
        <w:autoSpaceDE w:val="0"/>
        <w:autoSpaceDN w:val="0"/>
        <w:adjustRightInd w:val="0"/>
        <w:jc w:val="center"/>
        <w:rPr>
          <w:rFonts w:hint="eastAsia" w:ascii="宋体" w:hAnsi="宋体" w:eastAsia="宋体" w:cs="宋体"/>
          <w:b/>
          <w:color w:val="auto"/>
          <w:sz w:val="36"/>
          <w:szCs w:val="36"/>
          <w:highlight w:val="none"/>
          <w:lang w:val="en-US" w:eastAsia="zh-CN"/>
        </w:rPr>
      </w:pPr>
    </w:p>
    <w:p>
      <w:pPr>
        <w:autoSpaceDE w:val="0"/>
        <w:autoSpaceDN w:val="0"/>
        <w:adjustRightInd w:val="0"/>
        <w:jc w:val="center"/>
        <w:rPr>
          <w:rFonts w:hint="eastAsia" w:ascii="宋体" w:hAnsi="宋体" w:eastAsia="宋体" w:cs="宋体"/>
          <w:b/>
          <w:color w:val="auto"/>
          <w:sz w:val="36"/>
          <w:szCs w:val="36"/>
          <w:highlight w:val="none"/>
          <w:lang w:val="en-US" w:eastAsia="zh-CN"/>
        </w:rPr>
      </w:pPr>
      <w:r>
        <w:rPr>
          <w:rFonts w:hint="eastAsia" w:ascii="宋体" w:hAnsi="宋体" w:cs="宋体"/>
          <w:b/>
          <w:color w:val="auto"/>
          <w:sz w:val="36"/>
          <w:szCs w:val="36"/>
          <w:highlight w:val="none"/>
          <w:lang w:val="en-US" w:eastAsia="zh-CN"/>
        </w:rPr>
        <w:t>信达南路（二期）建设工程监理服务</w:t>
      </w:r>
    </w:p>
    <w:p>
      <w:pPr>
        <w:autoSpaceDE w:val="0"/>
        <w:autoSpaceDN w:val="0"/>
        <w:adjustRightInd w:val="0"/>
        <w:jc w:val="center"/>
        <w:rPr>
          <w:rFonts w:hint="eastAsia" w:ascii="宋体" w:hAnsi="宋体" w:cs="宋体"/>
          <w:b/>
          <w:color w:val="auto"/>
          <w:sz w:val="36"/>
          <w:szCs w:val="36"/>
          <w:highlight w:val="none"/>
        </w:rPr>
      </w:pPr>
      <w:r>
        <w:rPr>
          <w:rFonts w:hint="eastAsia" w:ascii="宋体" w:hAnsi="宋体" w:eastAsia="宋体" w:cs="宋体"/>
          <w:b/>
          <w:color w:val="auto"/>
          <w:sz w:val="36"/>
          <w:szCs w:val="36"/>
          <w:highlight w:val="none"/>
        </w:rPr>
        <w:t>招标</w:t>
      </w:r>
      <w:r>
        <w:rPr>
          <w:rFonts w:hint="eastAsia" w:ascii="宋体" w:hAnsi="宋体" w:cs="宋体"/>
          <w:b/>
          <w:color w:val="auto"/>
          <w:sz w:val="36"/>
          <w:szCs w:val="36"/>
          <w:highlight w:val="none"/>
        </w:rPr>
        <w:t>公告</w:t>
      </w:r>
    </w:p>
    <w:p>
      <w:pPr>
        <w:pStyle w:val="3"/>
        <w:keepNext w:val="0"/>
        <w:keepLines w:val="0"/>
        <w:pageBreakBefore w:val="0"/>
        <w:kinsoku/>
        <w:overflowPunct/>
        <w:topLinePunct w:val="0"/>
        <w:autoSpaceDE/>
        <w:autoSpaceDN/>
        <w:bidi w:val="0"/>
        <w:spacing w:before="0" w:after="0" w:line="480" w:lineRule="auto"/>
        <w:textAlignment w:val="auto"/>
        <w:rPr>
          <w:rFonts w:ascii="Times New Roman" w:hAnsi="Times New Roman"/>
          <w:color w:val="auto"/>
          <w:highlight w:val="none"/>
        </w:rPr>
      </w:pPr>
      <w:bookmarkStart w:id="0" w:name="_Toc511557025"/>
      <w:bookmarkStart w:id="1" w:name="_Toc527028841"/>
      <w:r>
        <w:rPr>
          <w:rFonts w:ascii="Times New Roman" w:hAnsi="Times New Roman"/>
          <w:color w:val="auto"/>
          <w:highlight w:val="none"/>
        </w:rPr>
        <w:t>1. 招标条件</w:t>
      </w:r>
      <w:bookmarkEnd w:id="0"/>
      <w:bookmarkEnd w:id="1"/>
    </w:p>
    <w:p>
      <w:pPr>
        <w:keepNext w:val="0"/>
        <w:keepLines w:val="0"/>
        <w:pageBreakBefore w:val="0"/>
        <w:kinsoku/>
        <w:overflowPunct/>
        <w:topLinePunct w:val="0"/>
        <w:autoSpaceDE/>
        <w:autoSpaceDN/>
        <w:bidi w:val="0"/>
        <w:spacing w:line="480" w:lineRule="auto"/>
        <w:ind w:firstLine="480" w:firstLineChars="200"/>
        <w:jc w:val="left"/>
        <w:textAlignment w:val="auto"/>
        <w:rPr>
          <w:rFonts w:hint="eastAsia"/>
          <w:color w:val="auto"/>
          <w:sz w:val="24"/>
          <w:szCs w:val="24"/>
          <w:highlight w:val="none"/>
        </w:rPr>
      </w:pPr>
      <w:bookmarkStart w:id="2" w:name="_Toc511557026"/>
      <w:r>
        <w:rPr>
          <w:rFonts w:hint="eastAsia"/>
          <w:color w:val="auto"/>
          <w:sz w:val="24"/>
          <w:szCs w:val="24"/>
          <w:highlight w:val="none"/>
        </w:rPr>
        <w:t>本招标项目</w:t>
      </w:r>
      <w:r>
        <w:rPr>
          <w:rFonts w:hint="eastAsia" w:ascii="宋体" w:hAnsi="宋体" w:cs="Times New Roman"/>
          <w:color w:val="auto"/>
          <w:kern w:val="2"/>
          <w:sz w:val="24"/>
          <w:szCs w:val="22"/>
          <w:highlight w:val="none"/>
          <w:u w:val="single"/>
          <w:lang w:val="en-US" w:eastAsia="zh-CN" w:bidi="ar-SA"/>
        </w:rPr>
        <w:t>信达南路（二期）建设工程监理服务</w:t>
      </w:r>
      <w:r>
        <w:rPr>
          <w:rFonts w:hint="eastAsia"/>
          <w:color w:val="auto"/>
          <w:sz w:val="24"/>
          <w:szCs w:val="24"/>
          <w:highlight w:val="none"/>
        </w:rPr>
        <w:t>已由</w:t>
      </w:r>
      <w:r>
        <w:rPr>
          <w:rFonts w:hint="eastAsia"/>
          <w:color w:val="auto"/>
          <w:sz w:val="24"/>
          <w:highlight w:val="none"/>
        </w:rPr>
        <w:t>广州市增城区发展和改革局</w:t>
      </w:r>
      <w:r>
        <w:rPr>
          <w:rFonts w:hint="eastAsia"/>
          <w:color w:val="auto"/>
          <w:sz w:val="24"/>
          <w:szCs w:val="24"/>
          <w:highlight w:val="none"/>
        </w:rPr>
        <w:t>以</w:t>
      </w:r>
      <w:r>
        <w:rPr>
          <w:rFonts w:hint="eastAsia" w:ascii="宋体" w:hAnsi="宋体"/>
          <w:color w:val="auto"/>
          <w:sz w:val="24"/>
          <w:highlight w:val="none"/>
          <w:u w:val="single"/>
        </w:rPr>
        <w:t>穗增发改投批〔2022〕</w:t>
      </w:r>
      <w:r>
        <w:rPr>
          <w:rFonts w:hint="eastAsia" w:ascii="宋体" w:hAnsi="宋体"/>
          <w:color w:val="auto"/>
          <w:sz w:val="24"/>
          <w:highlight w:val="none"/>
          <w:u w:val="single"/>
          <w:lang w:val="en-US" w:eastAsia="zh-CN"/>
        </w:rPr>
        <w:t>49</w:t>
      </w:r>
      <w:r>
        <w:rPr>
          <w:rFonts w:hint="eastAsia" w:ascii="宋体" w:hAnsi="宋体"/>
          <w:color w:val="auto"/>
          <w:sz w:val="24"/>
          <w:highlight w:val="none"/>
          <w:u w:val="single"/>
        </w:rPr>
        <w:t>号</w:t>
      </w:r>
      <w:r>
        <w:rPr>
          <w:rFonts w:hint="eastAsia" w:ascii="宋体" w:hAnsi="宋体"/>
          <w:color w:val="auto"/>
          <w:sz w:val="24"/>
          <w:highlight w:val="none"/>
        </w:rPr>
        <w:t>批</w:t>
      </w:r>
      <w:r>
        <w:rPr>
          <w:rFonts w:hint="eastAsia"/>
          <w:color w:val="auto"/>
          <w:sz w:val="24"/>
          <w:szCs w:val="24"/>
          <w:highlight w:val="none"/>
        </w:rPr>
        <w:t>准建设，项目业主为</w:t>
      </w:r>
      <w:r>
        <w:rPr>
          <w:rFonts w:hint="eastAsia" w:ascii="宋体" w:hAnsi="宋体"/>
          <w:color w:val="auto"/>
          <w:sz w:val="24"/>
          <w:highlight w:val="none"/>
          <w:u w:val="single"/>
          <w:lang w:eastAsia="zh-CN"/>
        </w:rPr>
        <w:t>广州市增城区人民政府朱村街道办事处</w:t>
      </w:r>
      <w:r>
        <w:rPr>
          <w:rFonts w:hint="eastAsia"/>
          <w:color w:val="auto"/>
          <w:sz w:val="24"/>
          <w:szCs w:val="24"/>
          <w:highlight w:val="none"/>
        </w:rPr>
        <w:t>，建设资金为</w:t>
      </w:r>
      <w:r>
        <w:rPr>
          <w:rFonts w:hint="eastAsia" w:ascii="宋体" w:hAnsi="宋体" w:cs="宋体"/>
          <w:sz w:val="24"/>
          <w:u w:val="single"/>
          <w:lang w:bidi="ar"/>
        </w:rPr>
        <w:t>由区财政统筹安排解决</w:t>
      </w:r>
      <w:r>
        <w:rPr>
          <w:rFonts w:hint="eastAsia"/>
          <w:color w:val="auto"/>
          <w:sz w:val="24"/>
          <w:szCs w:val="24"/>
          <w:highlight w:val="none"/>
        </w:rPr>
        <w:t>，出资比例为100%，招标人为</w:t>
      </w:r>
      <w:r>
        <w:rPr>
          <w:rFonts w:hint="eastAsia" w:ascii="宋体" w:hAnsi="宋体"/>
          <w:color w:val="auto"/>
          <w:sz w:val="24"/>
          <w:highlight w:val="none"/>
          <w:u w:val="single"/>
          <w:lang w:eastAsia="zh-CN"/>
        </w:rPr>
        <w:t>广州市增城区人民政府朱村街道办事处</w:t>
      </w:r>
      <w:r>
        <w:rPr>
          <w:rFonts w:hint="eastAsia"/>
          <w:color w:val="auto"/>
          <w:sz w:val="24"/>
          <w:szCs w:val="24"/>
          <w:highlight w:val="none"/>
        </w:rPr>
        <w:t>。项目已具备招标条件，现对该项目的</w:t>
      </w:r>
      <w:r>
        <w:rPr>
          <w:rFonts w:hint="eastAsia"/>
          <w:color w:val="auto"/>
          <w:sz w:val="24"/>
          <w:szCs w:val="24"/>
          <w:highlight w:val="none"/>
          <w:lang w:val="en-US" w:eastAsia="zh-CN"/>
        </w:rPr>
        <w:t>施工</w:t>
      </w:r>
      <w:r>
        <w:rPr>
          <w:rFonts w:hint="eastAsia" w:ascii="宋体" w:hAnsi="宋体" w:cs="宋体"/>
          <w:color w:val="auto"/>
          <w:kern w:val="0"/>
          <w:sz w:val="24"/>
          <w:highlight w:val="none"/>
          <w:u w:val="single"/>
        </w:rPr>
        <w:t>监理服务</w:t>
      </w:r>
      <w:r>
        <w:rPr>
          <w:rFonts w:hint="eastAsia"/>
          <w:color w:val="auto"/>
          <w:sz w:val="24"/>
          <w:szCs w:val="24"/>
          <w:highlight w:val="none"/>
        </w:rPr>
        <w:t xml:space="preserve">进行公开招标。 </w:t>
      </w:r>
    </w:p>
    <w:p>
      <w:pPr>
        <w:pStyle w:val="3"/>
        <w:keepNext w:val="0"/>
        <w:keepLines w:val="0"/>
        <w:pageBreakBefore w:val="0"/>
        <w:kinsoku/>
        <w:overflowPunct/>
        <w:topLinePunct w:val="0"/>
        <w:autoSpaceDE/>
        <w:autoSpaceDN/>
        <w:bidi w:val="0"/>
        <w:spacing w:before="0" w:after="0" w:line="480" w:lineRule="auto"/>
        <w:textAlignment w:val="auto"/>
        <w:rPr>
          <w:rFonts w:ascii="Times New Roman" w:hAnsi="Times New Roman"/>
          <w:color w:val="auto"/>
          <w:highlight w:val="none"/>
        </w:rPr>
      </w:pPr>
      <w:bookmarkStart w:id="3" w:name="_Toc527028842"/>
      <w:r>
        <w:rPr>
          <w:rFonts w:ascii="Times New Roman" w:hAnsi="Times New Roman"/>
          <w:color w:val="auto"/>
          <w:highlight w:val="none"/>
        </w:rPr>
        <w:t>2. 项目概况与</w:t>
      </w:r>
      <w:r>
        <w:rPr>
          <w:rFonts w:hint="eastAsia" w:ascii="Times New Roman" w:hAnsi="Times New Roman"/>
          <w:color w:val="auto"/>
          <w:highlight w:val="none"/>
        </w:rPr>
        <w:t>招标范围</w:t>
      </w:r>
      <w:bookmarkEnd w:id="2"/>
      <w:bookmarkEnd w:id="3"/>
    </w:p>
    <w:p>
      <w:pPr>
        <w:keepNext w:val="0"/>
        <w:keepLines w:val="0"/>
        <w:pageBreakBefore w:val="0"/>
        <w:kinsoku/>
        <w:overflowPunct/>
        <w:topLinePunct w:val="0"/>
        <w:autoSpaceDE/>
        <w:autoSpaceDN/>
        <w:bidi w:val="0"/>
        <w:spacing w:line="480" w:lineRule="auto"/>
        <w:ind w:firstLine="480" w:firstLineChars="200"/>
        <w:jc w:val="left"/>
        <w:textAlignment w:val="auto"/>
        <w:rPr>
          <w:rFonts w:hint="eastAsia" w:ascii="宋体" w:hAnsi="宋体" w:cs="宋体"/>
          <w:color w:val="auto"/>
          <w:sz w:val="24"/>
          <w:highlight w:val="none"/>
          <w:u w:val="single"/>
        </w:rPr>
      </w:pPr>
      <w:r>
        <w:rPr>
          <w:rFonts w:hint="eastAsia"/>
          <w:color w:val="auto"/>
          <w:sz w:val="24"/>
          <w:szCs w:val="24"/>
          <w:highlight w:val="none"/>
        </w:rPr>
        <w:t>2.1项目名称：</w:t>
      </w:r>
      <w:r>
        <w:rPr>
          <w:rFonts w:hint="eastAsia" w:ascii="宋体" w:hAnsi="宋体" w:cs="Times New Roman"/>
          <w:color w:val="auto"/>
          <w:kern w:val="2"/>
          <w:sz w:val="24"/>
          <w:szCs w:val="22"/>
          <w:highlight w:val="none"/>
          <w:u w:val="single"/>
          <w:lang w:val="en-US" w:eastAsia="zh-CN" w:bidi="ar-SA"/>
        </w:rPr>
        <w:t>信达南路（二期）建设工程监理服务</w:t>
      </w:r>
    </w:p>
    <w:p>
      <w:pPr>
        <w:keepNext w:val="0"/>
        <w:keepLines w:val="0"/>
        <w:pageBreakBefore w:val="0"/>
        <w:kinsoku/>
        <w:overflowPunct/>
        <w:topLinePunct w:val="0"/>
        <w:autoSpaceDE/>
        <w:autoSpaceDN/>
        <w:bidi w:val="0"/>
        <w:spacing w:line="480" w:lineRule="auto"/>
        <w:ind w:firstLine="480" w:firstLineChars="200"/>
        <w:jc w:val="left"/>
        <w:textAlignment w:val="auto"/>
        <w:rPr>
          <w:rFonts w:hint="default" w:ascii="宋体" w:hAnsi="宋体" w:eastAsia="宋体" w:cs="宋体"/>
          <w:color w:val="auto"/>
          <w:kern w:val="0"/>
          <w:sz w:val="24"/>
          <w:highlight w:val="none"/>
          <w:u w:val="single"/>
          <w:lang w:val="en-US" w:eastAsia="zh-CN"/>
        </w:rPr>
      </w:pPr>
      <w:r>
        <w:rPr>
          <w:rFonts w:hint="eastAsia"/>
          <w:color w:val="auto"/>
          <w:sz w:val="24"/>
          <w:szCs w:val="24"/>
          <w:highlight w:val="none"/>
        </w:rPr>
        <w:t>2.2 建设地点：</w:t>
      </w:r>
      <w:r>
        <w:rPr>
          <w:rFonts w:hint="eastAsia" w:ascii="宋体" w:hAnsi="宋体" w:eastAsia="宋体" w:cs="宋体"/>
          <w:color w:val="auto"/>
          <w:sz w:val="24"/>
          <w:highlight w:val="none"/>
          <w:u w:val="single"/>
        </w:rPr>
        <w:t>项目位于增城区</w:t>
      </w:r>
      <w:r>
        <w:rPr>
          <w:rFonts w:hint="eastAsia" w:ascii="宋体" w:hAnsi="宋体" w:eastAsia="宋体" w:cs="宋体"/>
          <w:color w:val="auto"/>
          <w:sz w:val="24"/>
          <w:highlight w:val="none"/>
          <w:u w:val="single"/>
          <w:lang w:eastAsia="zh-CN"/>
        </w:rPr>
        <w:t>朱村街</w:t>
      </w:r>
      <w:r>
        <w:rPr>
          <w:rFonts w:hint="eastAsia" w:ascii="宋体" w:hAnsi="宋体" w:cs="宋体"/>
          <w:color w:val="auto"/>
          <w:sz w:val="24"/>
          <w:highlight w:val="none"/>
          <w:u w:val="single"/>
          <w:lang w:val="en-US" w:eastAsia="zh-CN"/>
        </w:rPr>
        <w:t xml:space="preserve">  </w:t>
      </w:r>
    </w:p>
    <w:p>
      <w:pPr>
        <w:keepNext w:val="0"/>
        <w:keepLines w:val="0"/>
        <w:pageBreakBefore w:val="0"/>
        <w:kinsoku/>
        <w:overflowPunct/>
        <w:topLinePunct w:val="0"/>
        <w:autoSpaceDE/>
        <w:autoSpaceDN/>
        <w:bidi w:val="0"/>
        <w:spacing w:line="480" w:lineRule="auto"/>
        <w:ind w:firstLine="480" w:firstLineChars="200"/>
        <w:jc w:val="left"/>
        <w:textAlignment w:val="auto"/>
        <w:rPr>
          <w:rFonts w:hint="eastAsia"/>
          <w:color w:val="auto"/>
          <w:sz w:val="24"/>
          <w:szCs w:val="24"/>
          <w:highlight w:val="none"/>
          <w:u w:val="single"/>
        </w:rPr>
      </w:pPr>
      <w:r>
        <w:rPr>
          <w:rFonts w:hint="eastAsia"/>
          <w:color w:val="auto"/>
          <w:sz w:val="24"/>
          <w:szCs w:val="24"/>
          <w:highlight w:val="none"/>
        </w:rPr>
        <w:t>2.3项目规模和标段划分</w:t>
      </w:r>
    </w:p>
    <w:p>
      <w:pPr>
        <w:keepNext w:val="0"/>
        <w:keepLines w:val="0"/>
        <w:pageBreakBefore w:val="0"/>
        <w:widowControl w:val="0"/>
        <w:kinsoku/>
        <w:wordWrap w:val="0"/>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highlight w:val="none"/>
          <w:u w:val="single"/>
        </w:rPr>
      </w:pPr>
      <w:r>
        <w:rPr>
          <w:rFonts w:hint="eastAsia" w:ascii="宋体" w:hAnsi="宋体" w:cs="宋体"/>
          <w:color w:val="auto"/>
          <w:sz w:val="24"/>
          <w:highlight w:val="none"/>
          <w:u w:val="none"/>
        </w:rPr>
        <w:t>（1）</w:t>
      </w:r>
      <w:r>
        <w:rPr>
          <w:rFonts w:hint="eastAsia" w:ascii="宋体" w:hAnsi="宋体" w:eastAsia="宋体" w:cs="宋体"/>
          <w:color w:val="auto"/>
          <w:sz w:val="24"/>
          <w:highlight w:val="none"/>
          <w:u w:val="single"/>
          <w:lang w:eastAsia="zh-CN"/>
        </w:rPr>
        <w:t>起点接信达南路一期，终点接科教城尚礼大道，路线基本呈南北走向。全长约1.217km，道路红线宽度24m，双向4车道，等级为城市次干路，沥青混凝土路面，全线设置箱涵一座。建设内容包括道路、给排水、交通、照明、电力管沟（道）、电信、绿化等工程。</w:t>
      </w:r>
    </w:p>
    <w:p>
      <w:pPr>
        <w:keepNext w:val="0"/>
        <w:keepLines w:val="0"/>
        <w:pageBreakBefore w:val="0"/>
        <w:kinsoku/>
        <w:overflowPunct/>
        <w:topLinePunct w:val="0"/>
        <w:autoSpaceDE/>
        <w:autoSpaceDN/>
        <w:bidi w:val="0"/>
        <w:spacing w:line="480" w:lineRule="auto"/>
        <w:ind w:firstLine="480" w:firstLineChars="200"/>
        <w:jc w:val="left"/>
        <w:textAlignment w:val="auto"/>
        <w:rPr>
          <w:rFonts w:hint="eastAsia"/>
          <w:bCs/>
          <w:color w:val="auto"/>
          <w:sz w:val="24"/>
          <w:szCs w:val="24"/>
          <w:highlight w:val="none"/>
          <w:u w:val="single"/>
        </w:rPr>
      </w:pPr>
      <w:r>
        <w:rPr>
          <w:rFonts w:hint="eastAsia"/>
          <w:color w:val="auto"/>
          <w:sz w:val="24"/>
          <w:szCs w:val="24"/>
          <w:highlight w:val="none"/>
        </w:rPr>
        <w:t>（2）</w:t>
      </w:r>
      <w:r>
        <w:rPr>
          <w:rFonts w:hint="eastAsia"/>
          <w:bCs/>
          <w:color w:val="auto"/>
          <w:sz w:val="24"/>
          <w:szCs w:val="24"/>
          <w:highlight w:val="none"/>
        </w:rPr>
        <w:t>标段划分：</w:t>
      </w:r>
      <w:r>
        <w:rPr>
          <w:rFonts w:hint="eastAsia"/>
          <w:bCs/>
          <w:color w:val="auto"/>
          <w:sz w:val="24"/>
          <w:szCs w:val="24"/>
          <w:highlight w:val="none"/>
          <w:u w:val="single"/>
        </w:rPr>
        <w:t>本项目划分1个标段。</w:t>
      </w:r>
    </w:p>
    <w:p>
      <w:pPr>
        <w:keepNext w:val="0"/>
        <w:keepLines w:val="0"/>
        <w:pageBreakBefore w:val="0"/>
        <w:kinsoku/>
        <w:overflowPunct/>
        <w:topLinePunct w:val="0"/>
        <w:autoSpaceDE/>
        <w:autoSpaceDN/>
        <w:bidi w:val="0"/>
        <w:adjustRightInd w:val="0"/>
        <w:snapToGrid w:val="0"/>
        <w:spacing w:line="480" w:lineRule="auto"/>
        <w:ind w:firstLine="480" w:firstLineChars="200"/>
        <w:jc w:val="left"/>
        <w:textAlignment w:val="auto"/>
        <w:rPr>
          <w:rFonts w:hint="eastAsia" w:ascii="宋体" w:hAnsi="宋体"/>
          <w:color w:val="auto"/>
          <w:sz w:val="24"/>
          <w:highlight w:val="none"/>
          <w:u w:val="single"/>
        </w:rPr>
      </w:pPr>
      <w:r>
        <w:rPr>
          <w:rFonts w:hint="eastAsia"/>
          <w:color w:val="auto"/>
          <w:sz w:val="24"/>
          <w:szCs w:val="24"/>
          <w:highlight w:val="none"/>
        </w:rPr>
        <w:t>2.4招标范围：</w:t>
      </w:r>
      <w:bookmarkStart w:id="4" w:name="OLE_LINK17"/>
      <w:bookmarkStart w:id="5" w:name="OLE_LINK16"/>
      <w:r>
        <w:rPr>
          <w:rFonts w:hint="eastAsia" w:ascii="宋体" w:hAnsi="宋体" w:cs="宋体"/>
          <w:color w:val="auto"/>
          <w:sz w:val="24"/>
          <w:highlight w:val="none"/>
          <w:u w:val="single"/>
        </w:rPr>
        <w:t>项目准备阶段、施工阶段、工程收尾阶段（包括但不限于竣工验收、整改、工程移交及实物移交等）及工程质量保修阶段的质量控制、安全生产监督管理、进度控制、造价控制、合同管理、信息管理、组织协调、协助建设单位进行档案整理、归档及管理等监理工作。</w:t>
      </w:r>
      <w:bookmarkEnd w:id="4"/>
      <w:bookmarkEnd w:id="5"/>
    </w:p>
    <w:p>
      <w:pPr>
        <w:pStyle w:val="3"/>
        <w:keepNext w:val="0"/>
        <w:keepLines w:val="0"/>
        <w:pageBreakBefore w:val="0"/>
        <w:kinsoku/>
        <w:overflowPunct/>
        <w:topLinePunct w:val="0"/>
        <w:autoSpaceDE/>
        <w:autoSpaceDN/>
        <w:bidi w:val="0"/>
        <w:spacing w:before="0" w:after="0" w:line="480" w:lineRule="auto"/>
        <w:textAlignment w:val="auto"/>
        <w:rPr>
          <w:rFonts w:ascii="Times New Roman" w:hAnsi="Times New Roman"/>
          <w:color w:val="auto"/>
          <w:highlight w:val="none"/>
        </w:rPr>
      </w:pPr>
      <w:bookmarkStart w:id="6" w:name="_Toc511557027"/>
      <w:bookmarkStart w:id="7" w:name="_Toc527028843"/>
      <w:r>
        <w:rPr>
          <w:rFonts w:ascii="Times New Roman" w:hAnsi="Times New Roman"/>
          <w:color w:val="auto"/>
          <w:highlight w:val="none"/>
        </w:rPr>
        <w:t>3. 投标人资格要求</w:t>
      </w:r>
      <w:bookmarkEnd w:id="6"/>
      <w:bookmarkEnd w:id="7"/>
    </w:p>
    <w:p>
      <w:pPr>
        <w:keepNext w:val="0"/>
        <w:keepLines w:val="0"/>
        <w:pageBreakBefore w:val="0"/>
        <w:kinsoku/>
        <w:overflowPunct/>
        <w:topLinePunct w:val="0"/>
        <w:autoSpaceDE/>
        <w:autoSpaceDN/>
        <w:bidi w:val="0"/>
        <w:spacing w:line="480" w:lineRule="auto"/>
        <w:ind w:firstLine="480" w:firstLineChars="200"/>
        <w:jc w:val="left"/>
        <w:textAlignment w:val="auto"/>
        <w:rPr>
          <w:rFonts w:hint="eastAsia"/>
          <w:color w:val="auto"/>
          <w:sz w:val="24"/>
          <w:szCs w:val="24"/>
          <w:highlight w:val="none"/>
        </w:rPr>
      </w:pPr>
      <w:r>
        <w:rPr>
          <w:rFonts w:hint="eastAsia"/>
          <w:color w:val="auto"/>
          <w:sz w:val="24"/>
          <w:szCs w:val="24"/>
          <w:highlight w:val="none"/>
        </w:rPr>
        <w:t xml:space="preserve">3.1投标人参加投标的意思表达清楚，投标人代表被授权有效。 </w:t>
      </w:r>
    </w:p>
    <w:p>
      <w:pPr>
        <w:keepNext w:val="0"/>
        <w:keepLines w:val="0"/>
        <w:pageBreakBefore w:val="0"/>
        <w:kinsoku/>
        <w:overflowPunct/>
        <w:topLinePunct w:val="0"/>
        <w:autoSpaceDE/>
        <w:autoSpaceDN/>
        <w:bidi w:val="0"/>
        <w:spacing w:line="480" w:lineRule="auto"/>
        <w:ind w:firstLine="480" w:firstLineChars="200"/>
        <w:jc w:val="left"/>
        <w:textAlignment w:val="auto"/>
        <w:rPr>
          <w:rFonts w:hint="eastAsia"/>
          <w:color w:val="auto"/>
          <w:sz w:val="24"/>
          <w:szCs w:val="24"/>
          <w:highlight w:val="none"/>
        </w:rPr>
      </w:pPr>
      <w:r>
        <w:rPr>
          <w:rFonts w:hint="eastAsia"/>
          <w:color w:val="auto"/>
          <w:sz w:val="24"/>
          <w:szCs w:val="24"/>
          <w:highlight w:val="none"/>
        </w:rPr>
        <w:t>3.2投标人均具有独立法人资格，持有工商行政管理部门核发的法人营业执照，按国家法律经营。</w:t>
      </w:r>
    </w:p>
    <w:p>
      <w:pPr>
        <w:adjustRightInd w:val="0"/>
        <w:snapToGrid w:val="0"/>
        <w:spacing w:line="360" w:lineRule="auto"/>
        <w:ind w:firstLine="480" w:firstLineChars="200"/>
        <w:rPr>
          <w:rFonts w:hint="eastAsia"/>
          <w:color w:val="auto"/>
          <w:sz w:val="24"/>
          <w:highlight w:val="none"/>
          <w:u w:val="single"/>
        </w:rPr>
      </w:pPr>
      <w:r>
        <w:rPr>
          <w:rFonts w:hint="eastAsia"/>
          <w:color w:val="auto"/>
          <w:sz w:val="24"/>
          <w:szCs w:val="24"/>
          <w:highlight w:val="none"/>
        </w:rPr>
        <w:t>3.3</w:t>
      </w:r>
      <w:r>
        <w:rPr>
          <w:rFonts w:hint="eastAsia"/>
          <w:color w:val="auto"/>
          <w:sz w:val="24"/>
          <w:highlight w:val="none"/>
        </w:rPr>
        <w:t>投标人具有承接本工程所需</w:t>
      </w:r>
      <w:r>
        <w:rPr>
          <w:rFonts w:hint="eastAsia" w:ascii="Calibri" w:hAnsi="Calibri" w:eastAsia="宋体" w:cs="Times New Roman"/>
          <w:color w:val="auto"/>
          <w:sz w:val="24"/>
          <w:highlight w:val="none"/>
        </w:rPr>
        <w:t>的</w:t>
      </w:r>
      <w:r>
        <w:rPr>
          <w:rFonts w:hint="eastAsia" w:ascii="Calibri" w:hAnsi="Calibri" w:eastAsia="宋体" w:cs="Times New Roman"/>
          <w:color w:val="auto"/>
          <w:sz w:val="24"/>
          <w:highlight w:val="none"/>
          <w:u w:val="single"/>
        </w:rPr>
        <w:t>工程监理综合资质或市政公用工程监理</w:t>
      </w:r>
      <w:r>
        <w:rPr>
          <w:rFonts w:hint="eastAsia"/>
          <w:color w:val="auto"/>
          <w:sz w:val="24"/>
          <w:highlight w:val="none"/>
          <w:u w:val="single"/>
        </w:rPr>
        <w:t>乙级或以上资质。</w:t>
      </w:r>
    </w:p>
    <w:p>
      <w:pPr>
        <w:adjustRightInd w:val="0"/>
        <w:snapToGrid w:val="0"/>
        <w:spacing w:line="360" w:lineRule="auto"/>
        <w:ind w:firstLine="480" w:firstLineChars="200"/>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u w:val="single"/>
        </w:rPr>
        <w:t>依据《广东省住房和城乡建设厅关于印发香港工程建设咨询企业和专业人士在粤港澳大湾区内地城市开业执业试点管理暂行办法的通知》（粤建规范〔2020〕1号，详见链接：</w:t>
      </w:r>
      <w:r>
        <w:rPr>
          <w:rFonts w:hint="eastAsia" w:ascii="宋体" w:hAnsi="宋体" w:eastAsia="宋体" w:cs="宋体"/>
          <w:color w:val="000000"/>
          <w:sz w:val="24"/>
          <w:highlight w:val="none"/>
          <w:u w:val="single"/>
        </w:rPr>
        <w:fldChar w:fldCharType="begin"/>
      </w:r>
      <w:r>
        <w:rPr>
          <w:rFonts w:hint="eastAsia" w:ascii="宋体" w:hAnsi="宋体" w:eastAsia="宋体" w:cs="宋体"/>
          <w:color w:val="000000"/>
          <w:sz w:val="24"/>
          <w:highlight w:val="none"/>
          <w:u w:val="single"/>
        </w:rPr>
        <w:instrText xml:space="preserve"> HYPERLINK "http://zfcxjst.gd.gov.cn/xxgk/wjtz/content/post_3137220.html），" </w:instrText>
      </w:r>
      <w:r>
        <w:rPr>
          <w:rFonts w:hint="eastAsia" w:ascii="宋体" w:hAnsi="宋体" w:eastAsia="宋体" w:cs="宋体"/>
          <w:color w:val="000000"/>
          <w:sz w:val="24"/>
          <w:highlight w:val="none"/>
          <w:u w:val="single"/>
        </w:rPr>
        <w:fldChar w:fldCharType="separate"/>
      </w:r>
      <w:r>
        <w:rPr>
          <w:rFonts w:hint="eastAsia" w:ascii="宋体" w:hAnsi="宋体" w:eastAsia="宋体" w:cs="宋体"/>
          <w:color w:val="000000"/>
          <w:sz w:val="24"/>
          <w:highlight w:val="none"/>
          <w:u w:val="single"/>
        </w:rPr>
        <w:t>http://zfcxjst.gd.gov.cn/xxgk/wjtz/content/post_3137220.html），</w:t>
      </w:r>
      <w:r>
        <w:rPr>
          <w:rFonts w:hint="eastAsia" w:ascii="宋体" w:hAnsi="宋体" w:eastAsia="宋体" w:cs="宋体"/>
          <w:color w:val="000000"/>
          <w:sz w:val="24"/>
          <w:highlight w:val="none"/>
          <w:u w:val="single"/>
        </w:rPr>
        <w:fldChar w:fldCharType="end"/>
      </w:r>
      <w:r>
        <w:rPr>
          <w:rFonts w:hint="eastAsia" w:ascii="宋体" w:hAnsi="宋体" w:eastAsia="宋体" w:cs="宋体"/>
          <w:color w:val="000000"/>
          <w:sz w:val="24"/>
          <w:highlight w:val="none"/>
          <w:u w:val="single"/>
        </w:rPr>
        <w:t>自2021年1月1日起，允许经备案且备案的业务范围满足招标文件要求的香港企业参加勘察、设计和监理项目的投标，允许经备案且备案的业务范围满足招标文件要求的香港专业人士担任勘察、设计和监理项目管理团队中的相应职务。满足前述内容的香港企业参与本次投标的，应按招标文件要求提供满足评审的相关证明文件。</w:t>
      </w:r>
    </w:p>
    <w:p>
      <w:pPr>
        <w:adjustRightInd w:val="0"/>
        <w:snapToGrid w:val="0"/>
        <w:spacing w:line="360" w:lineRule="auto"/>
        <w:ind w:firstLine="480" w:firstLineChars="200"/>
        <w:jc w:val="left"/>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u w:val="single"/>
        </w:rPr>
        <w:t>注∶①资质证书有效期按《住房和城乡建设部办公厅关于建设工程企业资质延续有关事项的通知》（建办市函〔2020〕334号）、《住房和城乡建设部办公厅关于做好建筑业“证照分离”改革衔接有关工作的通知》（建办市〔2021〕30号）、《广东省住房和城乡建设厅关于建设工程企业资质延续有关事项的通知》（粤建许函〔2020〕298号）和《广州市住房和城乡建设局关于建设工程企业资质有效期顺延的通知》（穗建审批〔2020〕295号）、《住房和城乡建设部办公厅关于建设工程企业资质统一延续有关事项的通知》（建办市函【2021】510号）、《广东省住房和城乡建设厅关于建设工程企业资质有效期延期的通知》（粤建许函〔2021〕849号）执行。</w:t>
      </w:r>
    </w:p>
    <w:p>
      <w:pPr>
        <w:adjustRightInd w:val="0"/>
        <w:snapToGrid w:val="0"/>
        <w:spacing w:line="360" w:lineRule="auto"/>
        <w:ind w:firstLine="480" w:firstLineChars="200"/>
        <w:jc w:val="left"/>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u w:val="single"/>
        </w:rPr>
        <w:t>3.4项目总监理工程师必须具有建设部2006年4月1日后颁发的中华人民共和国注册监理工程师注册执业证书且其注册证书专业为</w:t>
      </w:r>
      <w:r>
        <w:rPr>
          <w:rFonts w:hint="eastAsia" w:ascii="宋体" w:hAnsi="宋体" w:eastAsia="宋体" w:cs="宋体"/>
          <w:color w:val="000000"/>
          <w:sz w:val="24"/>
          <w:highlight w:val="none"/>
          <w:u w:val="single"/>
          <w:lang w:eastAsia="zh-CN"/>
        </w:rPr>
        <w:t>市政公用工程</w:t>
      </w:r>
      <w:r>
        <w:rPr>
          <w:rFonts w:hint="eastAsia" w:ascii="宋体" w:hAnsi="宋体" w:eastAsia="宋体" w:cs="宋体"/>
          <w:color w:val="000000"/>
          <w:sz w:val="24"/>
          <w:highlight w:val="none"/>
          <w:u w:val="single"/>
        </w:rPr>
        <w:t>并具备本科或以上学历，注册执业单位为本公司。或在广东省住房和城乡建设主管部门备案且备案的业务范围符合本招标项目对总监理工程师要求的香港专业人士</w:t>
      </w:r>
      <w:r>
        <w:rPr>
          <w:rFonts w:hint="eastAsia" w:ascii="宋体" w:hAnsi="宋体" w:eastAsia="宋体" w:cs="宋体"/>
          <w:color w:val="000000"/>
          <w:sz w:val="24"/>
          <w:highlight w:val="none"/>
          <w:u w:val="single"/>
          <w:lang w:eastAsia="zh-CN"/>
        </w:rPr>
        <w:t>。</w:t>
      </w:r>
    </w:p>
    <w:p>
      <w:pPr>
        <w:adjustRightInd w:val="0"/>
        <w:snapToGrid w:val="0"/>
        <w:spacing w:line="360" w:lineRule="auto"/>
        <w:ind w:firstLine="480" w:firstLineChars="200"/>
        <w:jc w:val="left"/>
        <w:rPr>
          <w:rFonts w:hint="eastAsia"/>
          <w:color w:val="auto"/>
          <w:sz w:val="24"/>
          <w:szCs w:val="24"/>
          <w:highlight w:val="none"/>
          <w:u w:val="single"/>
        </w:rPr>
      </w:pPr>
      <w:r>
        <w:rPr>
          <w:rFonts w:hint="eastAsia" w:ascii="宋体" w:hAnsi="宋体" w:eastAsia="宋体" w:cs="宋体"/>
          <w:color w:val="000000"/>
          <w:sz w:val="24"/>
          <w:highlight w:val="none"/>
          <w:u w:val="single"/>
        </w:rPr>
        <w:t>注：香港专业人士的备案业务范围依据《广东省住房和城乡建设厅关于印发香港工程建设咨询企业和专业人士在粤港澳大湾区内地城市开业执业试点管理暂行办法的通知》（粤建规范〔2020〕1号）确定。</w:t>
      </w:r>
    </w:p>
    <w:p>
      <w:pPr>
        <w:pStyle w:val="8"/>
        <w:keepNext w:val="0"/>
        <w:keepLines w:val="0"/>
        <w:pageBreakBefore w:val="0"/>
        <w:kinsoku/>
        <w:overflowPunct/>
        <w:topLinePunct w:val="0"/>
        <w:autoSpaceDE/>
        <w:autoSpaceDN/>
        <w:bidi w:val="0"/>
        <w:spacing w:before="0" w:after="0" w:line="480" w:lineRule="auto"/>
        <w:ind w:firstLine="540"/>
        <w:textAlignment w:val="auto"/>
        <w:rPr>
          <w:rFonts w:hint="eastAsia" w:ascii="Times New Roman" w:hAnsi="Times New Roman"/>
          <w:color w:val="auto"/>
          <w:highlight w:val="none"/>
        </w:rPr>
      </w:pPr>
      <w:r>
        <w:rPr>
          <w:rFonts w:hint="eastAsia" w:ascii="Times New Roman" w:hAnsi="Times New Roman"/>
          <w:color w:val="auto"/>
          <w:highlight w:val="none"/>
        </w:rPr>
        <w:t>3.5</w:t>
      </w:r>
      <w:r>
        <w:rPr>
          <w:rFonts w:hint="eastAsia"/>
          <w:bCs/>
          <w:color w:val="auto"/>
          <w:highlight w:val="none"/>
        </w:rPr>
        <w:t>本次招标要求投标人已在广州公共资源交易中心办理企业信息登记等相关投标登记手续。</w:t>
      </w:r>
    </w:p>
    <w:p>
      <w:pPr>
        <w:keepNext w:val="0"/>
        <w:keepLines w:val="0"/>
        <w:pageBreakBefore w:val="0"/>
        <w:kinsoku/>
        <w:overflowPunct/>
        <w:topLinePunct w:val="0"/>
        <w:autoSpaceDE/>
        <w:autoSpaceDN/>
        <w:bidi w:val="0"/>
        <w:spacing w:line="480" w:lineRule="auto"/>
        <w:ind w:firstLine="480" w:firstLineChars="200"/>
        <w:jc w:val="left"/>
        <w:textAlignment w:val="auto"/>
        <w:rPr>
          <w:rFonts w:hint="eastAsia"/>
          <w:color w:val="auto"/>
          <w:sz w:val="24"/>
          <w:szCs w:val="24"/>
          <w:highlight w:val="none"/>
        </w:rPr>
      </w:pPr>
      <w:r>
        <w:rPr>
          <w:rFonts w:hint="eastAsia"/>
          <w:color w:val="auto"/>
          <w:sz w:val="24"/>
          <w:szCs w:val="24"/>
          <w:highlight w:val="none"/>
        </w:rPr>
        <w:t>3.6资格审查前，投标人须在广州市住建行业信用管理平台办理监理企业信息录入及拟担任本工程项目总监理工程师须是本企业信用平台中的在册人员，企业信息取自投标截止时间投标人在信用平台内的信息。</w:t>
      </w:r>
    </w:p>
    <w:p>
      <w:pPr>
        <w:keepNext w:val="0"/>
        <w:keepLines w:val="0"/>
        <w:pageBreakBefore w:val="0"/>
        <w:kinsoku/>
        <w:overflowPunct/>
        <w:topLinePunct w:val="0"/>
        <w:autoSpaceDE/>
        <w:autoSpaceDN/>
        <w:bidi w:val="0"/>
        <w:spacing w:line="480" w:lineRule="auto"/>
        <w:ind w:firstLine="480" w:firstLineChars="200"/>
        <w:jc w:val="left"/>
        <w:textAlignment w:val="auto"/>
        <w:rPr>
          <w:rFonts w:hint="eastAsia"/>
          <w:color w:val="auto"/>
          <w:sz w:val="24"/>
          <w:szCs w:val="24"/>
          <w:highlight w:val="none"/>
        </w:rPr>
      </w:pPr>
      <w:r>
        <w:rPr>
          <w:rFonts w:hint="eastAsia"/>
          <w:color w:val="auto"/>
          <w:sz w:val="24"/>
          <w:szCs w:val="24"/>
          <w:highlight w:val="none"/>
        </w:rPr>
        <w:t>3.7投标人已按照附件一的内容签署盖章的投标申请人声明。</w:t>
      </w:r>
    </w:p>
    <w:p>
      <w:pPr>
        <w:keepNext w:val="0"/>
        <w:keepLines w:val="0"/>
        <w:pageBreakBefore w:val="0"/>
        <w:kinsoku/>
        <w:overflowPunct/>
        <w:topLinePunct w:val="0"/>
        <w:autoSpaceDE/>
        <w:autoSpaceDN/>
        <w:bidi w:val="0"/>
        <w:spacing w:line="480" w:lineRule="auto"/>
        <w:ind w:firstLine="480" w:firstLineChars="200"/>
        <w:jc w:val="left"/>
        <w:textAlignment w:val="auto"/>
        <w:rPr>
          <w:rFonts w:hint="eastAsia"/>
          <w:color w:val="auto"/>
          <w:sz w:val="24"/>
          <w:szCs w:val="24"/>
          <w:highlight w:val="none"/>
        </w:rPr>
      </w:pPr>
      <w:r>
        <w:rPr>
          <w:rFonts w:hint="eastAsia"/>
          <w:color w:val="auto"/>
          <w:sz w:val="24"/>
          <w:szCs w:val="24"/>
          <w:highlight w:val="none"/>
        </w:rPr>
        <w:t>3.8未被纳入国家、市、区的失信联合惩戒名单且被限制参加财政投资工程或政府投资工程或建设工程投标的（具体名单以递交投标文件截止时间“信用广州”https://credit1.gz.gov.cn/sgs/sgsXkNew公布的“失信黑名单”为准）。</w:t>
      </w:r>
    </w:p>
    <w:p>
      <w:pPr>
        <w:keepNext w:val="0"/>
        <w:keepLines w:val="0"/>
        <w:pageBreakBefore w:val="0"/>
        <w:kinsoku/>
        <w:overflowPunct/>
        <w:topLinePunct w:val="0"/>
        <w:autoSpaceDE/>
        <w:autoSpaceDN/>
        <w:bidi w:val="0"/>
        <w:spacing w:line="480" w:lineRule="auto"/>
        <w:ind w:firstLine="480" w:firstLineChars="200"/>
        <w:jc w:val="left"/>
        <w:textAlignment w:val="auto"/>
        <w:rPr>
          <w:rFonts w:hint="eastAsia"/>
          <w:color w:val="auto"/>
          <w:sz w:val="24"/>
          <w:szCs w:val="24"/>
          <w:highlight w:val="none"/>
        </w:rPr>
      </w:pPr>
      <w:r>
        <w:rPr>
          <w:rFonts w:hint="eastAsia"/>
          <w:color w:val="auto"/>
          <w:sz w:val="24"/>
          <w:szCs w:val="24"/>
          <w:highlight w:val="none"/>
        </w:rPr>
        <w:t>3.9</w:t>
      </w:r>
      <w:r>
        <w:rPr>
          <w:rFonts w:hint="eastAsia" w:ascii="宋体" w:hAnsi="宋体"/>
          <w:color w:val="auto"/>
          <w:sz w:val="24"/>
          <w:highlight w:val="none"/>
        </w:rPr>
        <w:t>关于联合体投标：</w:t>
      </w:r>
      <w:r>
        <w:rPr>
          <w:rFonts w:hint="eastAsia" w:ascii="宋体" w:hAnsi="宋体" w:cs="宋体"/>
          <w:color w:val="auto"/>
          <w:sz w:val="24"/>
          <w:highlight w:val="none"/>
          <w:u w:val="single"/>
        </w:rPr>
        <w:t>本项目不接受联合体投标。</w:t>
      </w:r>
    </w:p>
    <w:p>
      <w:pPr>
        <w:pStyle w:val="3"/>
        <w:keepNext w:val="0"/>
        <w:keepLines w:val="0"/>
        <w:pageBreakBefore w:val="0"/>
        <w:kinsoku/>
        <w:overflowPunct/>
        <w:topLinePunct w:val="0"/>
        <w:autoSpaceDE/>
        <w:autoSpaceDN/>
        <w:bidi w:val="0"/>
        <w:spacing w:before="0" w:after="0" w:line="480" w:lineRule="auto"/>
        <w:textAlignment w:val="auto"/>
        <w:rPr>
          <w:rFonts w:ascii="Times New Roman" w:hAnsi="Times New Roman"/>
          <w:color w:val="auto"/>
          <w:highlight w:val="none"/>
        </w:rPr>
      </w:pPr>
      <w:bookmarkStart w:id="8" w:name="_Toc511557028"/>
      <w:bookmarkStart w:id="9" w:name="_Toc527028844"/>
      <w:r>
        <w:rPr>
          <w:rFonts w:ascii="Times New Roman" w:hAnsi="Times New Roman"/>
          <w:color w:val="auto"/>
          <w:highlight w:val="none"/>
        </w:rPr>
        <w:t xml:space="preserve">4. </w:t>
      </w:r>
      <w:r>
        <w:rPr>
          <w:rFonts w:hint="eastAsia" w:ascii="Times New Roman" w:hAnsi="Times New Roman"/>
          <w:color w:val="auto"/>
          <w:highlight w:val="none"/>
        </w:rPr>
        <w:t>招标文件的获取</w:t>
      </w:r>
      <w:bookmarkEnd w:id="8"/>
      <w:bookmarkEnd w:id="9"/>
    </w:p>
    <w:p>
      <w:pPr>
        <w:keepNext w:val="0"/>
        <w:keepLines w:val="0"/>
        <w:pageBreakBefore w:val="0"/>
        <w:kinsoku/>
        <w:overflowPunct/>
        <w:topLinePunct w:val="0"/>
        <w:autoSpaceDE/>
        <w:autoSpaceDN/>
        <w:bidi w:val="0"/>
        <w:spacing w:line="480" w:lineRule="auto"/>
        <w:ind w:left="719" w:leftChars="228" w:hanging="240" w:hangingChars="100"/>
        <w:jc w:val="left"/>
        <w:textAlignment w:val="auto"/>
        <w:rPr>
          <w:rFonts w:hint="eastAsia"/>
          <w:color w:val="auto"/>
          <w:sz w:val="24"/>
          <w:szCs w:val="24"/>
          <w:highlight w:val="none"/>
        </w:rPr>
      </w:pPr>
      <w:r>
        <w:rPr>
          <w:rFonts w:hint="eastAsia"/>
          <w:color w:val="auto"/>
          <w:sz w:val="24"/>
          <w:szCs w:val="24"/>
          <w:highlight w:val="none"/>
        </w:rPr>
        <w:t>4.1（B）凡有意参加投标者，请于</w:t>
      </w:r>
      <w:r>
        <w:rPr>
          <w:rFonts w:hint="eastAsia"/>
          <w:color w:val="auto"/>
          <w:sz w:val="24"/>
          <w:szCs w:val="24"/>
          <w:highlight w:val="none"/>
          <w:u w:val="single"/>
          <w:lang w:val="en-US" w:eastAsia="zh-CN"/>
        </w:rPr>
        <w:t xml:space="preserve"> 2023</w:t>
      </w:r>
      <w:r>
        <w:rPr>
          <w:rFonts w:hint="eastAsia"/>
          <w:color w:val="auto"/>
          <w:sz w:val="24"/>
          <w:szCs w:val="24"/>
          <w:highlight w:val="none"/>
          <w:u w:val="single"/>
        </w:rPr>
        <w:t>年</w:t>
      </w:r>
      <w:r>
        <w:rPr>
          <w:rFonts w:hint="eastAsia"/>
          <w:color w:val="auto"/>
          <w:sz w:val="24"/>
          <w:szCs w:val="24"/>
          <w:highlight w:val="none"/>
          <w:u w:val="single"/>
          <w:lang w:val="en-US" w:eastAsia="zh-CN"/>
        </w:rPr>
        <w:t>3</w:t>
      </w:r>
      <w:r>
        <w:rPr>
          <w:rFonts w:hint="eastAsia"/>
          <w:color w:val="auto"/>
          <w:sz w:val="24"/>
          <w:szCs w:val="24"/>
          <w:highlight w:val="none"/>
          <w:u w:val="single"/>
        </w:rPr>
        <w:t>月</w:t>
      </w:r>
      <w:r>
        <w:rPr>
          <w:rFonts w:hint="eastAsia"/>
          <w:color w:val="auto"/>
          <w:sz w:val="24"/>
          <w:szCs w:val="24"/>
          <w:highlight w:val="none"/>
          <w:u w:val="single"/>
          <w:lang w:val="en-US" w:eastAsia="zh-CN"/>
        </w:rPr>
        <w:t>21</w:t>
      </w:r>
      <w:r>
        <w:rPr>
          <w:rFonts w:hint="eastAsia"/>
          <w:color w:val="auto"/>
          <w:sz w:val="24"/>
          <w:szCs w:val="24"/>
          <w:highlight w:val="none"/>
          <w:u w:val="single"/>
        </w:rPr>
        <w:t>日</w:t>
      </w:r>
      <w:r>
        <w:rPr>
          <w:rFonts w:hint="eastAsia"/>
          <w:color w:val="auto"/>
          <w:sz w:val="24"/>
          <w:szCs w:val="24"/>
          <w:highlight w:val="none"/>
          <w:u w:val="single"/>
          <w:lang w:val="en-US" w:eastAsia="zh-CN"/>
        </w:rPr>
        <w:t>00</w:t>
      </w:r>
      <w:r>
        <w:rPr>
          <w:rFonts w:hint="eastAsia"/>
          <w:color w:val="auto"/>
          <w:sz w:val="24"/>
          <w:szCs w:val="24"/>
          <w:highlight w:val="none"/>
          <w:u w:val="single"/>
        </w:rPr>
        <w:t>时</w:t>
      </w:r>
      <w:r>
        <w:rPr>
          <w:rFonts w:hint="eastAsia"/>
          <w:color w:val="auto"/>
          <w:sz w:val="24"/>
          <w:szCs w:val="24"/>
          <w:highlight w:val="none"/>
          <w:u w:val="single"/>
          <w:lang w:val="en-US" w:eastAsia="zh-CN"/>
        </w:rPr>
        <w:t>00</w:t>
      </w:r>
      <w:r>
        <w:rPr>
          <w:rFonts w:hint="eastAsia"/>
          <w:color w:val="auto"/>
          <w:sz w:val="24"/>
          <w:szCs w:val="24"/>
          <w:highlight w:val="none"/>
          <w:u w:val="single"/>
        </w:rPr>
        <w:t>分</w:t>
      </w:r>
      <w:r>
        <w:rPr>
          <w:rFonts w:hint="eastAsia"/>
          <w:color w:val="auto"/>
          <w:sz w:val="24"/>
          <w:szCs w:val="24"/>
          <w:highlight w:val="none"/>
        </w:rPr>
        <w:t>至</w:t>
      </w:r>
      <w:r>
        <w:rPr>
          <w:rFonts w:hint="eastAsia"/>
          <w:color w:val="auto"/>
          <w:sz w:val="24"/>
          <w:szCs w:val="24"/>
          <w:highlight w:val="none"/>
          <w:u w:val="single"/>
          <w:lang w:val="en-US" w:eastAsia="zh-CN"/>
        </w:rPr>
        <w:t>2023</w:t>
      </w:r>
      <w:r>
        <w:rPr>
          <w:rFonts w:hint="eastAsia"/>
          <w:color w:val="auto"/>
          <w:sz w:val="24"/>
          <w:szCs w:val="24"/>
          <w:highlight w:val="none"/>
          <w:u w:val="single"/>
        </w:rPr>
        <w:t>年</w:t>
      </w:r>
      <w:r>
        <w:rPr>
          <w:rFonts w:hint="eastAsia"/>
          <w:color w:val="auto"/>
          <w:sz w:val="24"/>
          <w:szCs w:val="24"/>
          <w:highlight w:val="none"/>
          <w:u w:val="single"/>
          <w:lang w:val="en-US" w:eastAsia="zh-CN"/>
        </w:rPr>
        <w:t xml:space="preserve"> 4</w:t>
      </w:r>
      <w:r>
        <w:rPr>
          <w:rFonts w:hint="eastAsia"/>
          <w:color w:val="auto"/>
          <w:sz w:val="24"/>
          <w:szCs w:val="24"/>
          <w:highlight w:val="none"/>
          <w:u w:val="single"/>
        </w:rPr>
        <w:t>月</w:t>
      </w:r>
      <w:r>
        <w:rPr>
          <w:rFonts w:hint="eastAsia"/>
          <w:color w:val="auto"/>
          <w:sz w:val="24"/>
          <w:szCs w:val="24"/>
          <w:highlight w:val="none"/>
          <w:u w:val="single"/>
          <w:lang w:val="en-US" w:eastAsia="zh-CN"/>
        </w:rPr>
        <w:t>10</w:t>
      </w:r>
      <w:r>
        <w:rPr>
          <w:rFonts w:hint="eastAsia"/>
          <w:color w:val="auto"/>
          <w:sz w:val="24"/>
          <w:szCs w:val="24"/>
          <w:highlight w:val="none"/>
          <w:u w:val="single"/>
        </w:rPr>
        <w:t>日</w:t>
      </w:r>
      <w:r>
        <w:rPr>
          <w:rFonts w:hint="eastAsia"/>
          <w:color w:val="auto"/>
          <w:sz w:val="24"/>
          <w:szCs w:val="24"/>
          <w:highlight w:val="none"/>
          <w:u w:val="single"/>
          <w:lang w:val="en-US" w:eastAsia="zh-CN"/>
        </w:rPr>
        <w:t>10</w:t>
      </w:r>
      <w:r>
        <w:rPr>
          <w:rFonts w:hint="eastAsia"/>
          <w:color w:val="auto"/>
          <w:sz w:val="24"/>
          <w:szCs w:val="24"/>
          <w:highlight w:val="none"/>
          <w:u w:val="single"/>
        </w:rPr>
        <w:t>时</w:t>
      </w:r>
      <w:r>
        <w:rPr>
          <w:rFonts w:hint="eastAsia"/>
          <w:color w:val="auto"/>
          <w:sz w:val="24"/>
          <w:szCs w:val="24"/>
          <w:highlight w:val="none"/>
          <w:u w:val="single"/>
          <w:lang w:val="en-US" w:eastAsia="zh-CN"/>
        </w:rPr>
        <w:t>00</w:t>
      </w:r>
      <w:r>
        <w:rPr>
          <w:rFonts w:hint="eastAsia"/>
          <w:color w:val="auto"/>
          <w:sz w:val="24"/>
          <w:szCs w:val="24"/>
          <w:highlight w:val="none"/>
          <w:u w:val="single"/>
        </w:rPr>
        <w:t>分</w:t>
      </w:r>
      <w:r>
        <w:rPr>
          <w:rFonts w:hint="eastAsia"/>
          <w:color w:val="auto"/>
          <w:sz w:val="24"/>
          <w:szCs w:val="24"/>
          <w:highlight w:val="none"/>
        </w:rPr>
        <w:t>(北京时间，下同)，登录广州公共资源交易中心网（</w:t>
      </w:r>
      <w:r>
        <w:rPr>
          <w:rFonts w:ascii="Times New Roman" w:hAnsi="Times New Roman"/>
          <w:color w:val="auto"/>
          <w:sz w:val="24"/>
          <w:szCs w:val="24"/>
          <w:highlight w:val="none"/>
          <w:u w:val="single"/>
        </w:rPr>
        <w:t>http://www.gzggzy.cn</w:t>
      </w:r>
      <w:r>
        <w:rPr>
          <w:rFonts w:hint="eastAsia"/>
          <w:color w:val="auto"/>
          <w:sz w:val="24"/>
          <w:szCs w:val="24"/>
          <w:highlight w:val="none"/>
        </w:rPr>
        <w:t>）下载电子招标文件。</w:t>
      </w:r>
    </w:p>
    <w:p>
      <w:pPr>
        <w:keepNext w:val="0"/>
        <w:keepLines w:val="0"/>
        <w:pageBreakBefore w:val="0"/>
        <w:kinsoku/>
        <w:overflowPunct/>
        <w:topLinePunct w:val="0"/>
        <w:autoSpaceDE/>
        <w:autoSpaceDN/>
        <w:bidi w:val="0"/>
        <w:spacing w:line="480" w:lineRule="auto"/>
        <w:ind w:firstLine="480" w:firstLineChars="200"/>
        <w:jc w:val="left"/>
        <w:textAlignment w:val="auto"/>
        <w:rPr>
          <w:rFonts w:hint="eastAsia"/>
          <w:color w:val="auto"/>
          <w:sz w:val="24"/>
          <w:szCs w:val="24"/>
          <w:highlight w:val="none"/>
        </w:rPr>
      </w:pPr>
      <w:r>
        <w:rPr>
          <w:rFonts w:hint="eastAsia"/>
          <w:color w:val="auto"/>
          <w:sz w:val="24"/>
          <w:szCs w:val="24"/>
          <w:highlight w:val="none"/>
        </w:rPr>
        <w:t>4.2 本项目设立投标登记环节，采取（网上登记）方式进行投标登记。</w:t>
      </w:r>
    </w:p>
    <w:p>
      <w:pPr>
        <w:keepNext w:val="0"/>
        <w:keepLines w:val="0"/>
        <w:pageBreakBefore w:val="0"/>
        <w:kinsoku/>
        <w:overflowPunct/>
        <w:topLinePunct w:val="0"/>
        <w:autoSpaceDE/>
        <w:autoSpaceDN/>
        <w:bidi w:val="0"/>
        <w:spacing w:line="480" w:lineRule="auto"/>
        <w:ind w:left="719" w:leftChars="228" w:hanging="240" w:hangingChars="100"/>
        <w:jc w:val="left"/>
        <w:textAlignment w:val="auto"/>
        <w:rPr>
          <w:rFonts w:hint="eastAsia"/>
          <w:color w:val="auto"/>
          <w:sz w:val="24"/>
          <w:szCs w:val="24"/>
          <w:highlight w:val="none"/>
        </w:rPr>
      </w:pPr>
      <w:r>
        <w:rPr>
          <w:rFonts w:hint="eastAsia"/>
          <w:color w:val="auto"/>
          <w:sz w:val="24"/>
          <w:szCs w:val="24"/>
          <w:highlight w:val="none"/>
        </w:rPr>
        <w:t>4.2.1投标登记时间：</w:t>
      </w:r>
      <w:r>
        <w:rPr>
          <w:rFonts w:hint="eastAsia"/>
          <w:color w:val="auto"/>
          <w:sz w:val="24"/>
          <w:szCs w:val="24"/>
          <w:highlight w:val="none"/>
          <w:u w:val="single"/>
          <w:lang w:val="en-US" w:eastAsia="zh-CN"/>
        </w:rPr>
        <w:t>2023</w:t>
      </w:r>
      <w:r>
        <w:rPr>
          <w:rFonts w:hint="eastAsia"/>
          <w:color w:val="auto"/>
          <w:sz w:val="24"/>
          <w:szCs w:val="24"/>
          <w:highlight w:val="none"/>
          <w:u w:val="single"/>
        </w:rPr>
        <w:t>年</w:t>
      </w:r>
      <w:r>
        <w:rPr>
          <w:rFonts w:hint="eastAsia"/>
          <w:color w:val="auto"/>
          <w:sz w:val="24"/>
          <w:szCs w:val="24"/>
          <w:highlight w:val="none"/>
          <w:u w:val="single"/>
          <w:lang w:val="en-US" w:eastAsia="zh-CN"/>
        </w:rPr>
        <w:t>3</w:t>
      </w:r>
      <w:r>
        <w:rPr>
          <w:rFonts w:hint="eastAsia"/>
          <w:color w:val="auto"/>
          <w:sz w:val="24"/>
          <w:szCs w:val="24"/>
          <w:highlight w:val="none"/>
          <w:u w:val="single"/>
        </w:rPr>
        <w:t>月</w:t>
      </w:r>
      <w:r>
        <w:rPr>
          <w:rFonts w:hint="eastAsia"/>
          <w:color w:val="auto"/>
          <w:sz w:val="24"/>
          <w:szCs w:val="24"/>
          <w:highlight w:val="none"/>
          <w:u w:val="single"/>
          <w:lang w:val="en-US" w:eastAsia="zh-CN"/>
        </w:rPr>
        <w:t>21</w:t>
      </w:r>
      <w:r>
        <w:rPr>
          <w:rFonts w:hint="eastAsia"/>
          <w:color w:val="auto"/>
          <w:sz w:val="24"/>
          <w:szCs w:val="24"/>
          <w:highlight w:val="none"/>
          <w:u w:val="single"/>
        </w:rPr>
        <w:t>日</w:t>
      </w:r>
      <w:r>
        <w:rPr>
          <w:rFonts w:hint="eastAsia"/>
          <w:color w:val="auto"/>
          <w:sz w:val="24"/>
          <w:szCs w:val="24"/>
          <w:highlight w:val="none"/>
          <w:u w:val="single"/>
          <w:lang w:val="en-US" w:eastAsia="zh-CN"/>
        </w:rPr>
        <w:t>00</w:t>
      </w:r>
      <w:r>
        <w:rPr>
          <w:rFonts w:hint="eastAsia"/>
          <w:color w:val="auto"/>
          <w:sz w:val="24"/>
          <w:szCs w:val="24"/>
          <w:highlight w:val="none"/>
          <w:u w:val="single"/>
        </w:rPr>
        <w:t>时</w:t>
      </w:r>
      <w:r>
        <w:rPr>
          <w:rFonts w:hint="eastAsia"/>
          <w:color w:val="auto"/>
          <w:sz w:val="24"/>
          <w:szCs w:val="24"/>
          <w:highlight w:val="none"/>
          <w:u w:val="single"/>
          <w:lang w:val="en-US" w:eastAsia="zh-CN"/>
        </w:rPr>
        <w:t>00</w:t>
      </w:r>
      <w:r>
        <w:rPr>
          <w:rFonts w:hint="eastAsia"/>
          <w:color w:val="auto"/>
          <w:sz w:val="24"/>
          <w:szCs w:val="24"/>
          <w:highlight w:val="none"/>
          <w:u w:val="single"/>
        </w:rPr>
        <w:t>分</w:t>
      </w:r>
      <w:r>
        <w:rPr>
          <w:rFonts w:hint="eastAsia"/>
          <w:color w:val="auto"/>
          <w:sz w:val="24"/>
          <w:szCs w:val="24"/>
          <w:highlight w:val="none"/>
        </w:rPr>
        <w:t>至</w:t>
      </w:r>
      <w:r>
        <w:rPr>
          <w:rFonts w:hint="eastAsia"/>
          <w:color w:val="auto"/>
          <w:sz w:val="24"/>
          <w:szCs w:val="24"/>
          <w:highlight w:val="none"/>
          <w:u w:val="single"/>
          <w:lang w:val="en-US" w:eastAsia="zh-CN"/>
        </w:rPr>
        <w:t>2023</w:t>
      </w:r>
      <w:r>
        <w:rPr>
          <w:rFonts w:hint="eastAsia"/>
          <w:color w:val="auto"/>
          <w:sz w:val="24"/>
          <w:szCs w:val="24"/>
          <w:highlight w:val="none"/>
          <w:u w:val="single"/>
        </w:rPr>
        <w:t>年</w:t>
      </w:r>
      <w:r>
        <w:rPr>
          <w:rFonts w:hint="eastAsia"/>
          <w:color w:val="auto"/>
          <w:sz w:val="24"/>
          <w:szCs w:val="24"/>
          <w:highlight w:val="none"/>
          <w:u w:val="single"/>
          <w:lang w:val="en-US" w:eastAsia="zh-CN"/>
        </w:rPr>
        <w:t xml:space="preserve"> 4</w:t>
      </w:r>
      <w:r>
        <w:rPr>
          <w:rFonts w:hint="eastAsia"/>
          <w:color w:val="auto"/>
          <w:sz w:val="24"/>
          <w:szCs w:val="24"/>
          <w:highlight w:val="none"/>
          <w:u w:val="single"/>
        </w:rPr>
        <w:t>月</w:t>
      </w:r>
      <w:r>
        <w:rPr>
          <w:rFonts w:hint="eastAsia"/>
          <w:color w:val="auto"/>
          <w:sz w:val="24"/>
          <w:szCs w:val="24"/>
          <w:highlight w:val="none"/>
          <w:u w:val="single"/>
          <w:lang w:val="en-US" w:eastAsia="zh-CN"/>
        </w:rPr>
        <w:t>10</w:t>
      </w:r>
      <w:r>
        <w:rPr>
          <w:rFonts w:hint="eastAsia"/>
          <w:color w:val="auto"/>
          <w:sz w:val="24"/>
          <w:szCs w:val="24"/>
          <w:highlight w:val="none"/>
          <w:u w:val="single"/>
        </w:rPr>
        <w:t>日</w:t>
      </w:r>
      <w:r>
        <w:rPr>
          <w:rFonts w:hint="eastAsia"/>
          <w:color w:val="auto"/>
          <w:sz w:val="24"/>
          <w:szCs w:val="24"/>
          <w:highlight w:val="none"/>
          <w:u w:val="single"/>
          <w:lang w:val="en-US" w:eastAsia="zh-CN"/>
        </w:rPr>
        <w:t>10</w:t>
      </w:r>
      <w:r>
        <w:rPr>
          <w:rFonts w:hint="eastAsia"/>
          <w:color w:val="auto"/>
          <w:sz w:val="24"/>
          <w:szCs w:val="24"/>
          <w:highlight w:val="none"/>
          <w:u w:val="single"/>
        </w:rPr>
        <w:t>时</w:t>
      </w:r>
      <w:r>
        <w:rPr>
          <w:rFonts w:hint="eastAsia"/>
          <w:color w:val="auto"/>
          <w:sz w:val="24"/>
          <w:szCs w:val="24"/>
          <w:highlight w:val="none"/>
          <w:u w:val="single"/>
          <w:lang w:val="en-US" w:eastAsia="zh-CN"/>
        </w:rPr>
        <w:t>00</w:t>
      </w:r>
      <w:r>
        <w:rPr>
          <w:rFonts w:hint="eastAsia"/>
          <w:color w:val="auto"/>
          <w:sz w:val="24"/>
          <w:szCs w:val="24"/>
          <w:highlight w:val="none"/>
          <w:u w:val="single"/>
        </w:rPr>
        <w:t>分</w:t>
      </w:r>
      <w:r>
        <w:rPr>
          <w:rFonts w:hint="eastAsia"/>
          <w:color w:val="auto"/>
          <w:sz w:val="24"/>
          <w:szCs w:val="24"/>
          <w:highlight w:val="none"/>
        </w:rPr>
        <w:t>。</w:t>
      </w:r>
    </w:p>
    <w:p>
      <w:pPr>
        <w:keepNext w:val="0"/>
        <w:keepLines w:val="0"/>
        <w:pageBreakBefore w:val="0"/>
        <w:kinsoku/>
        <w:overflowPunct/>
        <w:topLinePunct w:val="0"/>
        <w:autoSpaceDE/>
        <w:autoSpaceDN/>
        <w:bidi w:val="0"/>
        <w:spacing w:line="480" w:lineRule="auto"/>
        <w:ind w:firstLine="480" w:firstLineChars="200"/>
        <w:jc w:val="left"/>
        <w:textAlignment w:val="auto"/>
        <w:rPr>
          <w:rFonts w:hint="eastAsia"/>
          <w:color w:val="auto"/>
          <w:sz w:val="24"/>
          <w:szCs w:val="24"/>
          <w:highlight w:val="none"/>
        </w:rPr>
      </w:pPr>
      <w:r>
        <w:rPr>
          <w:rFonts w:hint="eastAsia"/>
          <w:color w:val="auto"/>
          <w:sz w:val="24"/>
          <w:szCs w:val="24"/>
          <w:highlight w:val="none"/>
        </w:rPr>
        <w:t>4.3 本项目采用资格后审方式。</w:t>
      </w:r>
    </w:p>
    <w:p>
      <w:pPr>
        <w:keepNext w:val="0"/>
        <w:keepLines w:val="0"/>
        <w:pageBreakBefore w:val="0"/>
        <w:kinsoku/>
        <w:overflowPunct/>
        <w:topLinePunct w:val="0"/>
        <w:autoSpaceDE/>
        <w:autoSpaceDN/>
        <w:bidi w:val="0"/>
        <w:spacing w:line="480" w:lineRule="auto"/>
        <w:ind w:firstLine="480" w:firstLineChars="200"/>
        <w:jc w:val="left"/>
        <w:textAlignment w:val="auto"/>
        <w:rPr>
          <w:rFonts w:hint="eastAsia"/>
          <w:color w:val="auto"/>
          <w:sz w:val="24"/>
          <w:szCs w:val="24"/>
          <w:highlight w:val="none"/>
        </w:rPr>
      </w:pPr>
      <w:r>
        <w:rPr>
          <w:rFonts w:hint="eastAsia"/>
          <w:color w:val="auto"/>
          <w:sz w:val="24"/>
          <w:szCs w:val="24"/>
          <w:highlight w:val="none"/>
        </w:rPr>
        <w:t>注：（1）电子招投标操作流程详见广州公共资源交易中心网站发布的最新版操作指引）。</w:t>
      </w:r>
    </w:p>
    <w:p>
      <w:pPr>
        <w:keepNext w:val="0"/>
        <w:keepLines w:val="0"/>
        <w:pageBreakBefore w:val="0"/>
        <w:numPr>
          <w:ilvl w:val="0"/>
          <w:numId w:val="1"/>
        </w:numPr>
        <w:kinsoku/>
        <w:overflowPunct/>
        <w:topLinePunct w:val="0"/>
        <w:autoSpaceDE/>
        <w:autoSpaceDN/>
        <w:bidi w:val="0"/>
        <w:spacing w:line="480" w:lineRule="auto"/>
        <w:ind w:firstLine="480" w:firstLineChars="200"/>
        <w:jc w:val="left"/>
        <w:textAlignment w:val="auto"/>
        <w:rPr>
          <w:rFonts w:hint="eastAsia"/>
          <w:color w:val="auto"/>
          <w:sz w:val="24"/>
          <w:szCs w:val="24"/>
          <w:highlight w:val="none"/>
        </w:rPr>
      </w:pPr>
      <w:r>
        <w:rPr>
          <w:rFonts w:hint="eastAsia"/>
          <w:color w:val="auto"/>
          <w:sz w:val="24"/>
          <w:szCs w:val="24"/>
          <w:highlight w:val="none"/>
        </w:rPr>
        <w:t>本公告发布之日起开始计算备标时间。</w:t>
      </w:r>
    </w:p>
    <w:p>
      <w:pPr>
        <w:pStyle w:val="3"/>
        <w:keepNext w:val="0"/>
        <w:keepLines w:val="0"/>
        <w:pageBreakBefore w:val="0"/>
        <w:kinsoku/>
        <w:overflowPunct/>
        <w:topLinePunct w:val="0"/>
        <w:autoSpaceDE/>
        <w:autoSpaceDN/>
        <w:bidi w:val="0"/>
        <w:spacing w:before="0" w:after="0" w:line="480" w:lineRule="auto"/>
        <w:textAlignment w:val="auto"/>
        <w:rPr>
          <w:rFonts w:ascii="Times New Roman" w:hAnsi="Times New Roman"/>
          <w:color w:val="auto"/>
          <w:highlight w:val="none"/>
        </w:rPr>
      </w:pPr>
      <w:bookmarkStart w:id="10" w:name="_Toc511557029"/>
      <w:bookmarkStart w:id="11" w:name="_Toc527028845"/>
      <w:r>
        <w:rPr>
          <w:rFonts w:hint="eastAsia" w:ascii="Times New Roman" w:hAnsi="Times New Roman"/>
          <w:color w:val="auto"/>
          <w:highlight w:val="none"/>
        </w:rPr>
        <w:t>5</w:t>
      </w:r>
      <w:r>
        <w:rPr>
          <w:rFonts w:ascii="Times New Roman" w:hAnsi="Times New Roman"/>
          <w:color w:val="auto"/>
          <w:highlight w:val="none"/>
        </w:rPr>
        <w:t xml:space="preserve">. </w:t>
      </w:r>
      <w:r>
        <w:rPr>
          <w:rFonts w:hint="eastAsia" w:ascii="Times New Roman" w:hAnsi="Times New Roman"/>
          <w:color w:val="auto"/>
          <w:highlight w:val="none"/>
        </w:rPr>
        <w:t>投标文件的递交</w:t>
      </w:r>
      <w:bookmarkEnd w:id="10"/>
      <w:bookmarkEnd w:id="11"/>
    </w:p>
    <w:p>
      <w:pPr>
        <w:keepNext w:val="0"/>
        <w:keepLines w:val="0"/>
        <w:pageBreakBefore w:val="0"/>
        <w:kinsoku/>
        <w:overflowPunct/>
        <w:topLinePunct w:val="0"/>
        <w:autoSpaceDE/>
        <w:autoSpaceDN/>
        <w:bidi w:val="0"/>
        <w:spacing w:line="480" w:lineRule="auto"/>
        <w:ind w:firstLine="480" w:firstLineChars="200"/>
        <w:jc w:val="left"/>
        <w:textAlignment w:val="auto"/>
        <w:rPr>
          <w:rFonts w:hint="eastAsia"/>
          <w:color w:val="auto"/>
          <w:sz w:val="24"/>
          <w:szCs w:val="24"/>
          <w:highlight w:val="none"/>
        </w:rPr>
      </w:pPr>
      <w:bookmarkStart w:id="12" w:name="_Toc511557030"/>
      <w:r>
        <w:rPr>
          <w:rFonts w:hint="eastAsia"/>
          <w:color w:val="auto"/>
          <w:sz w:val="24"/>
          <w:szCs w:val="24"/>
          <w:highlight w:val="none"/>
        </w:rPr>
        <w:t>5.1（B）投标文件递交的截止时间（投标截止时间，下同）为</w:t>
      </w:r>
      <w:r>
        <w:rPr>
          <w:rFonts w:hint="eastAsia"/>
          <w:color w:val="auto"/>
          <w:sz w:val="24"/>
          <w:szCs w:val="24"/>
          <w:highlight w:val="none"/>
          <w:u w:val="single"/>
          <w:lang w:val="en-US" w:eastAsia="zh-CN"/>
        </w:rPr>
        <w:t>2023</w:t>
      </w:r>
      <w:r>
        <w:rPr>
          <w:rFonts w:hint="eastAsia"/>
          <w:color w:val="auto"/>
          <w:sz w:val="24"/>
          <w:szCs w:val="24"/>
          <w:highlight w:val="none"/>
          <w:u w:val="single"/>
        </w:rPr>
        <w:t>年</w:t>
      </w:r>
      <w:r>
        <w:rPr>
          <w:rFonts w:hint="eastAsia"/>
          <w:color w:val="auto"/>
          <w:sz w:val="24"/>
          <w:szCs w:val="24"/>
          <w:highlight w:val="none"/>
          <w:u w:val="single"/>
          <w:lang w:val="en-US" w:eastAsia="zh-CN"/>
        </w:rPr>
        <w:t xml:space="preserve"> 4</w:t>
      </w:r>
      <w:r>
        <w:rPr>
          <w:rFonts w:hint="eastAsia"/>
          <w:color w:val="auto"/>
          <w:sz w:val="24"/>
          <w:szCs w:val="24"/>
          <w:highlight w:val="none"/>
          <w:u w:val="single"/>
        </w:rPr>
        <w:t>月</w:t>
      </w:r>
      <w:r>
        <w:rPr>
          <w:rFonts w:hint="eastAsia"/>
          <w:color w:val="auto"/>
          <w:sz w:val="24"/>
          <w:szCs w:val="24"/>
          <w:highlight w:val="none"/>
          <w:u w:val="single"/>
          <w:lang w:val="en-US" w:eastAsia="zh-CN"/>
        </w:rPr>
        <w:t>10</w:t>
      </w:r>
      <w:r>
        <w:rPr>
          <w:rFonts w:hint="eastAsia"/>
          <w:color w:val="auto"/>
          <w:sz w:val="24"/>
          <w:szCs w:val="24"/>
          <w:highlight w:val="none"/>
          <w:u w:val="single"/>
        </w:rPr>
        <w:t>日</w:t>
      </w:r>
      <w:r>
        <w:rPr>
          <w:rFonts w:hint="eastAsia"/>
          <w:color w:val="auto"/>
          <w:sz w:val="24"/>
          <w:szCs w:val="24"/>
          <w:highlight w:val="none"/>
          <w:u w:val="single"/>
          <w:lang w:val="en-US" w:eastAsia="zh-CN"/>
        </w:rPr>
        <w:t>10</w:t>
      </w:r>
      <w:r>
        <w:rPr>
          <w:rFonts w:hint="eastAsia"/>
          <w:color w:val="auto"/>
          <w:sz w:val="24"/>
          <w:szCs w:val="24"/>
          <w:highlight w:val="none"/>
          <w:u w:val="single"/>
        </w:rPr>
        <w:t>时</w:t>
      </w:r>
      <w:r>
        <w:rPr>
          <w:rFonts w:hint="eastAsia"/>
          <w:color w:val="auto"/>
          <w:sz w:val="24"/>
          <w:szCs w:val="24"/>
          <w:highlight w:val="none"/>
          <w:u w:val="single"/>
          <w:lang w:val="en-US" w:eastAsia="zh-CN"/>
        </w:rPr>
        <w:t>00</w:t>
      </w:r>
      <w:r>
        <w:rPr>
          <w:rFonts w:hint="eastAsia"/>
          <w:color w:val="auto"/>
          <w:sz w:val="24"/>
          <w:szCs w:val="24"/>
          <w:highlight w:val="none"/>
          <w:u w:val="single"/>
        </w:rPr>
        <w:t>分</w:t>
      </w:r>
      <w:r>
        <w:rPr>
          <w:rFonts w:hint="eastAsia"/>
          <w:color w:val="auto"/>
          <w:sz w:val="24"/>
          <w:szCs w:val="24"/>
          <w:highlight w:val="none"/>
        </w:rPr>
        <w:t>，投标人应在截止时间前通过广州公共资源交易中心数字交易平台</w:t>
      </w:r>
      <w:r>
        <w:rPr>
          <w:rFonts w:hint="eastAsia"/>
          <w:color w:val="auto"/>
          <w:sz w:val="24"/>
          <w:szCs w:val="24"/>
          <w:highlight w:val="none"/>
          <w:u w:val="single"/>
        </w:rPr>
        <w:t>（网址：</w:t>
      </w:r>
      <w:r>
        <w:rPr>
          <w:rFonts w:hint="eastAsia"/>
          <w:color w:val="auto"/>
          <w:sz w:val="24"/>
          <w:szCs w:val="24"/>
          <w:highlight w:val="none"/>
        </w:rPr>
        <w:fldChar w:fldCharType="begin"/>
      </w:r>
      <w:r>
        <w:rPr>
          <w:rFonts w:hint="eastAsia"/>
          <w:color w:val="auto"/>
          <w:sz w:val="24"/>
          <w:szCs w:val="24"/>
          <w:highlight w:val="none"/>
        </w:rPr>
        <w:instrText xml:space="preserve"> HYPERLINK "http://www.gzggzy.cn）递交电子投标文件。投标文件备用光盘递交时间为2019年" </w:instrText>
      </w:r>
      <w:r>
        <w:rPr>
          <w:rFonts w:hint="eastAsia"/>
          <w:color w:val="auto"/>
          <w:sz w:val="24"/>
          <w:szCs w:val="24"/>
          <w:highlight w:val="none"/>
        </w:rPr>
        <w:fldChar w:fldCharType="separate"/>
      </w:r>
      <w:r>
        <w:rPr>
          <w:rStyle w:val="7"/>
          <w:rFonts w:hint="eastAsia"/>
          <w:color w:val="auto"/>
          <w:sz w:val="24"/>
          <w:szCs w:val="24"/>
          <w:highlight w:val="none"/>
          <w:u w:val="single"/>
        </w:rPr>
        <w:t>http://www.gzggzy.cn</w:t>
      </w:r>
      <w:r>
        <w:rPr>
          <w:rStyle w:val="7"/>
          <w:rFonts w:hint="eastAsia"/>
          <w:color w:val="auto"/>
          <w:sz w:val="24"/>
          <w:szCs w:val="24"/>
          <w:highlight w:val="none"/>
        </w:rPr>
        <w:t>）递交电子投标文件。投标文件备用光盘递交时间为</w:t>
      </w:r>
      <w:r>
        <w:rPr>
          <w:rFonts w:hint="eastAsia"/>
          <w:color w:val="auto"/>
          <w:sz w:val="24"/>
          <w:szCs w:val="24"/>
          <w:highlight w:val="none"/>
        </w:rPr>
        <w:fldChar w:fldCharType="end"/>
      </w:r>
      <w:r>
        <w:rPr>
          <w:rFonts w:hint="eastAsia"/>
          <w:color w:val="auto"/>
          <w:sz w:val="24"/>
          <w:szCs w:val="24"/>
          <w:highlight w:val="none"/>
          <w:u w:val="single"/>
          <w:lang w:val="en-US" w:eastAsia="zh-CN"/>
        </w:rPr>
        <w:t>2023</w:t>
      </w:r>
      <w:r>
        <w:rPr>
          <w:rFonts w:hint="eastAsia"/>
          <w:color w:val="auto"/>
          <w:sz w:val="24"/>
          <w:szCs w:val="24"/>
          <w:highlight w:val="none"/>
          <w:u w:val="single"/>
        </w:rPr>
        <w:t>年</w:t>
      </w:r>
      <w:r>
        <w:rPr>
          <w:rFonts w:hint="eastAsia"/>
          <w:color w:val="auto"/>
          <w:sz w:val="24"/>
          <w:szCs w:val="24"/>
          <w:highlight w:val="none"/>
          <w:u w:val="single"/>
          <w:lang w:val="en-US" w:eastAsia="zh-CN"/>
        </w:rPr>
        <w:t xml:space="preserve"> 4</w:t>
      </w:r>
      <w:r>
        <w:rPr>
          <w:rFonts w:hint="eastAsia"/>
          <w:color w:val="auto"/>
          <w:sz w:val="24"/>
          <w:szCs w:val="24"/>
          <w:highlight w:val="none"/>
          <w:u w:val="single"/>
        </w:rPr>
        <w:t>月</w:t>
      </w:r>
      <w:r>
        <w:rPr>
          <w:rFonts w:hint="eastAsia"/>
          <w:color w:val="auto"/>
          <w:sz w:val="24"/>
          <w:szCs w:val="24"/>
          <w:highlight w:val="none"/>
          <w:u w:val="single"/>
          <w:lang w:val="en-US" w:eastAsia="zh-CN"/>
        </w:rPr>
        <w:t>10</w:t>
      </w:r>
      <w:r>
        <w:rPr>
          <w:rFonts w:hint="eastAsia"/>
          <w:color w:val="auto"/>
          <w:sz w:val="24"/>
          <w:szCs w:val="24"/>
          <w:highlight w:val="none"/>
          <w:u w:val="single"/>
        </w:rPr>
        <w:t>日</w:t>
      </w:r>
      <w:r>
        <w:rPr>
          <w:rFonts w:hint="eastAsia"/>
          <w:color w:val="auto"/>
          <w:sz w:val="24"/>
          <w:szCs w:val="24"/>
          <w:highlight w:val="none"/>
          <w:u w:val="single"/>
          <w:lang w:val="en-US" w:eastAsia="zh-CN"/>
        </w:rPr>
        <w:t>9</w:t>
      </w:r>
      <w:r>
        <w:rPr>
          <w:rFonts w:hint="eastAsia"/>
          <w:color w:val="auto"/>
          <w:sz w:val="24"/>
          <w:szCs w:val="24"/>
          <w:highlight w:val="none"/>
          <w:u w:val="single"/>
        </w:rPr>
        <w:t>时</w:t>
      </w:r>
      <w:r>
        <w:rPr>
          <w:rFonts w:hint="eastAsia"/>
          <w:color w:val="auto"/>
          <w:sz w:val="24"/>
          <w:szCs w:val="24"/>
          <w:highlight w:val="none"/>
          <w:u w:val="single"/>
          <w:lang w:val="en-US" w:eastAsia="zh-CN"/>
        </w:rPr>
        <w:t>30</w:t>
      </w:r>
      <w:r>
        <w:rPr>
          <w:rFonts w:hint="eastAsia"/>
          <w:color w:val="auto"/>
          <w:sz w:val="24"/>
          <w:szCs w:val="24"/>
          <w:highlight w:val="none"/>
          <w:u w:val="single"/>
        </w:rPr>
        <w:t>分</w:t>
      </w:r>
      <w:r>
        <w:rPr>
          <w:rFonts w:hint="eastAsia"/>
          <w:color w:val="auto"/>
          <w:sz w:val="24"/>
          <w:szCs w:val="24"/>
          <w:highlight w:val="none"/>
        </w:rPr>
        <w:t>至</w:t>
      </w:r>
      <w:r>
        <w:rPr>
          <w:rFonts w:hint="eastAsia"/>
          <w:color w:val="auto"/>
          <w:sz w:val="24"/>
          <w:szCs w:val="24"/>
          <w:highlight w:val="none"/>
          <w:u w:val="single"/>
          <w:lang w:val="en-US" w:eastAsia="zh-CN"/>
        </w:rPr>
        <w:t>2023</w:t>
      </w:r>
      <w:r>
        <w:rPr>
          <w:rFonts w:hint="eastAsia"/>
          <w:color w:val="auto"/>
          <w:sz w:val="24"/>
          <w:szCs w:val="24"/>
          <w:highlight w:val="none"/>
          <w:u w:val="single"/>
        </w:rPr>
        <w:t>年</w:t>
      </w:r>
      <w:r>
        <w:rPr>
          <w:rFonts w:hint="eastAsia"/>
          <w:color w:val="auto"/>
          <w:sz w:val="24"/>
          <w:szCs w:val="24"/>
          <w:highlight w:val="none"/>
          <w:u w:val="single"/>
          <w:lang w:val="en-US" w:eastAsia="zh-CN"/>
        </w:rPr>
        <w:t xml:space="preserve"> 4</w:t>
      </w:r>
      <w:r>
        <w:rPr>
          <w:rFonts w:hint="eastAsia"/>
          <w:color w:val="auto"/>
          <w:sz w:val="24"/>
          <w:szCs w:val="24"/>
          <w:highlight w:val="none"/>
          <w:u w:val="single"/>
        </w:rPr>
        <w:t>月</w:t>
      </w:r>
      <w:r>
        <w:rPr>
          <w:rFonts w:hint="eastAsia"/>
          <w:color w:val="auto"/>
          <w:sz w:val="24"/>
          <w:szCs w:val="24"/>
          <w:highlight w:val="none"/>
          <w:u w:val="single"/>
          <w:lang w:val="en-US" w:eastAsia="zh-CN"/>
        </w:rPr>
        <w:t>10</w:t>
      </w:r>
      <w:r>
        <w:rPr>
          <w:rFonts w:hint="eastAsia"/>
          <w:color w:val="auto"/>
          <w:sz w:val="24"/>
          <w:szCs w:val="24"/>
          <w:highlight w:val="none"/>
          <w:u w:val="single"/>
        </w:rPr>
        <w:t>日</w:t>
      </w:r>
      <w:r>
        <w:rPr>
          <w:rFonts w:hint="eastAsia"/>
          <w:color w:val="auto"/>
          <w:sz w:val="24"/>
          <w:szCs w:val="24"/>
          <w:highlight w:val="none"/>
          <w:u w:val="single"/>
          <w:lang w:val="en-US" w:eastAsia="zh-CN"/>
        </w:rPr>
        <w:t>10</w:t>
      </w:r>
      <w:r>
        <w:rPr>
          <w:rFonts w:hint="eastAsia"/>
          <w:color w:val="auto"/>
          <w:sz w:val="24"/>
          <w:szCs w:val="24"/>
          <w:highlight w:val="none"/>
          <w:u w:val="single"/>
        </w:rPr>
        <w:t>时</w:t>
      </w:r>
      <w:r>
        <w:rPr>
          <w:rFonts w:hint="eastAsia"/>
          <w:color w:val="auto"/>
          <w:sz w:val="24"/>
          <w:szCs w:val="24"/>
          <w:highlight w:val="none"/>
          <w:u w:val="single"/>
          <w:lang w:val="en-US" w:eastAsia="zh-CN"/>
        </w:rPr>
        <w:t>00</w:t>
      </w:r>
      <w:r>
        <w:rPr>
          <w:rFonts w:hint="eastAsia"/>
          <w:color w:val="auto"/>
          <w:sz w:val="24"/>
          <w:szCs w:val="24"/>
          <w:highlight w:val="none"/>
          <w:u w:val="single"/>
        </w:rPr>
        <w:t>分</w:t>
      </w:r>
      <w:r>
        <w:rPr>
          <w:rFonts w:hint="eastAsia"/>
          <w:color w:val="auto"/>
          <w:sz w:val="24"/>
          <w:szCs w:val="24"/>
          <w:highlight w:val="none"/>
        </w:rPr>
        <w:t>，地点为广州公共资源交易中心增城交易部第</w:t>
      </w:r>
      <w:r>
        <w:rPr>
          <w:rFonts w:hint="eastAsia"/>
          <w:color w:val="auto"/>
          <w:sz w:val="24"/>
          <w:szCs w:val="24"/>
          <w:highlight w:val="none"/>
          <w:u w:val="single"/>
          <w:lang w:val="en-US" w:eastAsia="zh-CN"/>
        </w:rPr>
        <w:t xml:space="preserve"> 1 </w:t>
      </w:r>
      <w:r>
        <w:rPr>
          <w:rFonts w:hint="eastAsia"/>
          <w:color w:val="auto"/>
          <w:sz w:val="24"/>
          <w:szCs w:val="24"/>
          <w:highlight w:val="none"/>
        </w:rPr>
        <w:t>开标室。</w:t>
      </w:r>
    </w:p>
    <w:p>
      <w:pPr>
        <w:keepNext w:val="0"/>
        <w:keepLines w:val="0"/>
        <w:pageBreakBefore w:val="0"/>
        <w:kinsoku/>
        <w:overflowPunct/>
        <w:topLinePunct w:val="0"/>
        <w:autoSpaceDE/>
        <w:autoSpaceDN/>
        <w:bidi w:val="0"/>
        <w:spacing w:line="480" w:lineRule="auto"/>
        <w:ind w:firstLine="480" w:firstLineChars="200"/>
        <w:jc w:val="left"/>
        <w:textAlignment w:val="auto"/>
        <w:rPr>
          <w:rFonts w:hint="eastAsia"/>
          <w:color w:val="auto"/>
          <w:sz w:val="24"/>
          <w:szCs w:val="24"/>
          <w:highlight w:val="none"/>
        </w:rPr>
      </w:pPr>
      <w:r>
        <w:rPr>
          <w:rFonts w:hint="eastAsia"/>
          <w:color w:val="auto"/>
          <w:sz w:val="24"/>
          <w:szCs w:val="24"/>
          <w:highlight w:val="none"/>
        </w:rPr>
        <w:t>5.2（B）逾期送达的投标文件，电子招标投标交易平台将予以拒收。</w:t>
      </w:r>
    </w:p>
    <w:p>
      <w:pPr>
        <w:pStyle w:val="3"/>
        <w:keepNext w:val="0"/>
        <w:keepLines w:val="0"/>
        <w:pageBreakBefore w:val="0"/>
        <w:kinsoku/>
        <w:overflowPunct/>
        <w:topLinePunct w:val="0"/>
        <w:autoSpaceDE/>
        <w:autoSpaceDN/>
        <w:bidi w:val="0"/>
        <w:spacing w:before="0" w:after="0" w:line="480" w:lineRule="auto"/>
        <w:textAlignment w:val="auto"/>
        <w:rPr>
          <w:rFonts w:hint="eastAsia" w:ascii="Times New Roman" w:hAnsi="Times New Roman"/>
          <w:color w:val="auto"/>
          <w:highlight w:val="none"/>
        </w:rPr>
      </w:pPr>
      <w:bookmarkStart w:id="13" w:name="_Toc527028846"/>
      <w:r>
        <w:rPr>
          <w:rFonts w:hint="eastAsia" w:ascii="Times New Roman" w:hAnsi="Times New Roman"/>
          <w:color w:val="auto"/>
          <w:highlight w:val="none"/>
        </w:rPr>
        <w:t>6. 发布公告的媒介</w:t>
      </w:r>
      <w:bookmarkEnd w:id="12"/>
      <w:bookmarkEnd w:id="13"/>
    </w:p>
    <w:p>
      <w:pPr>
        <w:keepNext w:val="0"/>
        <w:keepLines w:val="0"/>
        <w:pageBreakBefore w:val="0"/>
        <w:kinsoku/>
        <w:overflowPunct/>
        <w:topLinePunct w:val="0"/>
        <w:autoSpaceDE/>
        <w:autoSpaceDN/>
        <w:bidi w:val="0"/>
        <w:spacing w:line="480" w:lineRule="auto"/>
        <w:ind w:firstLine="480" w:firstLineChars="200"/>
        <w:textAlignment w:val="auto"/>
        <w:rPr>
          <w:color w:val="auto"/>
          <w:sz w:val="24"/>
          <w:szCs w:val="24"/>
          <w:highlight w:val="none"/>
        </w:rPr>
      </w:pPr>
      <w:r>
        <w:rPr>
          <w:color w:val="auto"/>
          <w:sz w:val="24"/>
          <w:szCs w:val="24"/>
          <w:highlight w:val="none"/>
        </w:rPr>
        <w:t>本次招标公告同时在</w:t>
      </w:r>
      <w:r>
        <w:rPr>
          <w:rFonts w:hint="eastAsia" w:ascii="Times New Roman" w:hAnsi="Times New Roman"/>
          <w:color w:val="auto"/>
          <w:sz w:val="24"/>
          <w:szCs w:val="24"/>
          <w:highlight w:val="none"/>
          <w:u w:val="single"/>
        </w:rPr>
        <w:t>广州公共资源交易网（网址：</w:t>
      </w:r>
      <w:r>
        <w:rPr>
          <w:rFonts w:ascii="Times New Roman" w:hAnsi="Times New Roman"/>
          <w:color w:val="auto"/>
          <w:sz w:val="24"/>
          <w:szCs w:val="24"/>
          <w:highlight w:val="none"/>
          <w:u w:val="single"/>
        </w:rPr>
        <w:t>http://www.gzggzy.cn</w:t>
      </w:r>
      <w:r>
        <w:rPr>
          <w:rFonts w:hint="eastAsia" w:ascii="Times New Roman" w:hAnsi="Times New Roman"/>
          <w:color w:val="auto"/>
          <w:sz w:val="24"/>
          <w:szCs w:val="24"/>
          <w:highlight w:val="none"/>
          <w:u w:val="single"/>
        </w:rPr>
        <w:t>）、广东省招标投标监管网（网址：http://zbtb.gd.gov.cn/login</w:t>
      </w:r>
      <w:r>
        <w:rPr>
          <w:rFonts w:ascii="Times New Roman" w:hAnsi="Times New Roman"/>
          <w:color w:val="auto"/>
          <w:sz w:val="24"/>
          <w:szCs w:val="24"/>
          <w:highlight w:val="none"/>
          <w:u w:val="single"/>
        </w:rPr>
        <w:t>/</w:t>
      </w:r>
      <w:r>
        <w:rPr>
          <w:rFonts w:hint="eastAsia" w:ascii="Times New Roman" w:hAnsi="Times New Roman"/>
          <w:color w:val="auto"/>
          <w:sz w:val="24"/>
          <w:szCs w:val="24"/>
          <w:highlight w:val="none"/>
          <w:u w:val="single"/>
        </w:rPr>
        <w:t>）和广州市增城区人民政府门户网站（http://www.zc.gov.cn/）</w:t>
      </w:r>
      <w:r>
        <w:rPr>
          <w:rFonts w:hint="eastAsia" w:ascii="宋体" w:hAnsi="宋体" w:cs="宋体"/>
          <w:color w:val="auto"/>
          <w:sz w:val="24"/>
          <w:szCs w:val="24"/>
          <w:highlight w:val="none"/>
          <w:u w:val="single"/>
        </w:rPr>
        <w:t>发布，本公告的修改、补充，在广州公共资源交易中心网站</w:t>
      </w:r>
      <w:r>
        <w:rPr>
          <w:color w:val="auto"/>
          <w:sz w:val="24"/>
          <w:szCs w:val="24"/>
          <w:highlight w:val="none"/>
        </w:rPr>
        <w:t>上发布。</w:t>
      </w:r>
    </w:p>
    <w:p>
      <w:pPr>
        <w:pStyle w:val="3"/>
        <w:keepNext w:val="0"/>
        <w:keepLines w:val="0"/>
        <w:pageBreakBefore w:val="0"/>
        <w:kinsoku/>
        <w:overflowPunct/>
        <w:topLinePunct w:val="0"/>
        <w:autoSpaceDE/>
        <w:autoSpaceDN/>
        <w:bidi w:val="0"/>
        <w:spacing w:before="0" w:after="0" w:line="480" w:lineRule="auto"/>
        <w:textAlignment w:val="auto"/>
        <w:rPr>
          <w:rFonts w:hint="eastAsia" w:ascii="Times New Roman" w:hAnsi="Times New Roman"/>
          <w:color w:val="auto"/>
          <w:highlight w:val="none"/>
        </w:rPr>
      </w:pPr>
      <w:bookmarkStart w:id="14" w:name="_Toc511557031"/>
      <w:bookmarkStart w:id="15" w:name="_Toc527028847"/>
      <w:r>
        <w:rPr>
          <w:rFonts w:hint="eastAsia" w:ascii="Times New Roman" w:hAnsi="Times New Roman"/>
          <w:color w:val="auto"/>
          <w:highlight w:val="none"/>
        </w:rPr>
        <w:t>7. 联系方式</w:t>
      </w:r>
      <w:bookmarkEnd w:id="14"/>
      <w:bookmarkEnd w:id="15"/>
    </w:p>
    <w:p>
      <w:pPr>
        <w:keepNext w:val="0"/>
        <w:keepLines w:val="0"/>
        <w:pageBreakBefore w:val="0"/>
        <w:kinsoku/>
        <w:overflowPunct/>
        <w:topLinePunct w:val="0"/>
        <w:autoSpaceDE/>
        <w:autoSpaceDN/>
        <w:bidi w:val="0"/>
        <w:spacing w:line="480" w:lineRule="auto"/>
        <w:textAlignment w:val="auto"/>
        <w:rPr>
          <w:rFonts w:hint="eastAsia" w:eastAsia="宋体"/>
          <w:color w:val="auto"/>
          <w:sz w:val="24"/>
          <w:szCs w:val="24"/>
          <w:highlight w:val="none"/>
          <w:u w:val="single"/>
          <w:lang w:eastAsia="zh-CN"/>
        </w:rPr>
      </w:pPr>
      <w:bookmarkStart w:id="16" w:name="_Toc152045513"/>
      <w:bookmarkEnd w:id="16"/>
      <w:bookmarkStart w:id="17" w:name="_Toc247513934"/>
      <w:bookmarkEnd w:id="17"/>
      <w:bookmarkStart w:id="18" w:name="_Toc30817"/>
      <w:bookmarkEnd w:id="18"/>
      <w:bookmarkStart w:id="19" w:name="_Toc247527536"/>
      <w:bookmarkEnd w:id="19"/>
      <w:bookmarkStart w:id="20" w:name="_Toc247513935"/>
      <w:bookmarkEnd w:id="20"/>
      <w:bookmarkStart w:id="21" w:name="_Toc384308187"/>
      <w:bookmarkEnd w:id="21"/>
      <w:bookmarkStart w:id="22" w:name="_Toc361508560"/>
      <w:bookmarkEnd w:id="22"/>
      <w:bookmarkStart w:id="23" w:name="_Toc352691453"/>
      <w:bookmarkEnd w:id="23"/>
      <w:bookmarkStart w:id="24" w:name="_Toc152045512"/>
      <w:bookmarkEnd w:id="24"/>
      <w:bookmarkStart w:id="25" w:name="_Toc361508563"/>
      <w:bookmarkEnd w:id="25"/>
      <w:bookmarkStart w:id="26" w:name="_Toc384308185"/>
      <w:bookmarkEnd w:id="26"/>
      <w:bookmarkStart w:id="27" w:name="_Toc152042288"/>
      <w:bookmarkEnd w:id="27"/>
      <w:bookmarkStart w:id="28" w:name="_Toc144974480"/>
      <w:bookmarkEnd w:id="28"/>
      <w:bookmarkStart w:id="29" w:name="_Toc247527535"/>
      <w:bookmarkEnd w:id="29"/>
      <w:bookmarkStart w:id="30" w:name="_Toc369531498"/>
      <w:bookmarkEnd w:id="30"/>
      <w:bookmarkStart w:id="31" w:name="_Toc300834927"/>
      <w:bookmarkEnd w:id="31"/>
      <w:bookmarkStart w:id="32" w:name="_Toc152042289"/>
      <w:bookmarkEnd w:id="32"/>
      <w:bookmarkStart w:id="33" w:name="_Toc369531497"/>
      <w:bookmarkEnd w:id="33"/>
      <w:bookmarkStart w:id="34" w:name="_Toc300834930"/>
      <w:bookmarkEnd w:id="34"/>
      <w:bookmarkStart w:id="35" w:name="_Toc352691455"/>
      <w:bookmarkEnd w:id="35"/>
      <w:bookmarkStart w:id="36" w:name="_Toc144974481"/>
      <w:bookmarkEnd w:id="36"/>
      <w:bookmarkStart w:id="37" w:name="_Toc369531495"/>
      <w:bookmarkEnd w:id="37"/>
      <w:bookmarkStart w:id="38" w:name="_Toc10785"/>
      <w:bookmarkEnd w:id="38"/>
      <w:bookmarkStart w:id="39" w:name="_Toc361508562"/>
      <w:bookmarkEnd w:id="39"/>
      <w:bookmarkStart w:id="40" w:name="_Toc300834929"/>
      <w:bookmarkEnd w:id="40"/>
      <w:bookmarkStart w:id="41" w:name="_Toc352691456"/>
      <w:bookmarkEnd w:id="41"/>
      <w:bookmarkStart w:id="42" w:name="_Toc17972"/>
      <w:bookmarkEnd w:id="42"/>
      <w:bookmarkStart w:id="43" w:name="_Toc384308188"/>
      <w:bookmarkEnd w:id="43"/>
      <w:r>
        <w:rPr>
          <w:rFonts w:hint="eastAsia"/>
          <w:color w:val="auto"/>
          <w:sz w:val="24"/>
          <w:szCs w:val="24"/>
          <w:highlight w:val="none"/>
        </w:rPr>
        <w:t>招 标 人：</w:t>
      </w:r>
      <w:r>
        <w:rPr>
          <w:rFonts w:hint="eastAsia" w:ascii="宋体" w:hAnsi="宋体" w:cs="宋体"/>
          <w:color w:val="auto"/>
          <w:sz w:val="24"/>
          <w:szCs w:val="24"/>
          <w:highlight w:val="none"/>
          <w:u w:val="single"/>
          <w:lang w:eastAsia="zh-CN"/>
        </w:rPr>
        <w:t>广州市增城区人民政府朱村街道办事处</w:t>
      </w:r>
    </w:p>
    <w:p>
      <w:pPr>
        <w:keepNext w:val="0"/>
        <w:keepLines w:val="0"/>
        <w:pageBreakBefore w:val="0"/>
        <w:kinsoku/>
        <w:overflowPunct/>
        <w:topLinePunct w:val="0"/>
        <w:autoSpaceDE/>
        <w:autoSpaceDN/>
        <w:bidi w:val="0"/>
        <w:spacing w:line="480" w:lineRule="auto"/>
        <w:ind w:firstLine="480" w:firstLineChars="200"/>
        <w:textAlignment w:val="auto"/>
        <w:rPr>
          <w:rFonts w:hint="eastAsia" w:ascii="宋体" w:hAnsi="宋体"/>
          <w:color w:val="auto"/>
          <w:sz w:val="24"/>
          <w:highlight w:val="none"/>
          <w:u w:val="single"/>
          <w:lang w:val="en-US" w:eastAsia="zh-CN"/>
        </w:rPr>
      </w:pPr>
      <w:r>
        <w:rPr>
          <w:rFonts w:hint="eastAsia"/>
          <w:color w:val="auto"/>
          <w:sz w:val="24"/>
          <w:szCs w:val="24"/>
          <w:highlight w:val="none"/>
        </w:rPr>
        <w:t>地    址：</w:t>
      </w:r>
      <w:r>
        <w:rPr>
          <w:rFonts w:hint="eastAsia" w:ascii="宋体" w:hAnsi="宋体"/>
          <w:sz w:val="24"/>
          <w:u w:val="single"/>
        </w:rPr>
        <w:t>广州市增城区朱村街朱村大道中288号</w:t>
      </w:r>
      <w:r>
        <w:rPr>
          <w:rFonts w:hint="eastAsia" w:ascii="宋体" w:hAnsi="宋体"/>
          <w:color w:val="auto"/>
          <w:sz w:val="24"/>
          <w:highlight w:val="none"/>
          <w:u w:val="single"/>
          <w:lang w:val="en-US" w:eastAsia="zh-CN"/>
        </w:rPr>
        <w:t xml:space="preserve"> </w:t>
      </w:r>
    </w:p>
    <w:p>
      <w:pPr>
        <w:keepNext w:val="0"/>
        <w:keepLines w:val="0"/>
        <w:pageBreakBefore w:val="0"/>
        <w:kinsoku/>
        <w:overflowPunct/>
        <w:topLinePunct w:val="0"/>
        <w:autoSpaceDE/>
        <w:autoSpaceDN/>
        <w:bidi w:val="0"/>
        <w:spacing w:line="480" w:lineRule="auto"/>
        <w:ind w:firstLine="480" w:firstLineChars="200"/>
        <w:textAlignment w:val="auto"/>
        <w:rPr>
          <w:rFonts w:hint="eastAsia"/>
          <w:color w:val="auto"/>
          <w:sz w:val="24"/>
          <w:szCs w:val="24"/>
          <w:highlight w:val="none"/>
          <w:u w:val="single"/>
        </w:rPr>
      </w:pPr>
      <w:r>
        <w:rPr>
          <w:rFonts w:hint="eastAsia"/>
          <w:color w:val="auto"/>
          <w:sz w:val="24"/>
          <w:szCs w:val="24"/>
          <w:highlight w:val="none"/>
        </w:rPr>
        <w:t>联 系 人：</w:t>
      </w:r>
      <w:r>
        <w:rPr>
          <w:rFonts w:hint="eastAsia" w:ascii="宋体" w:hAnsi="宋体"/>
          <w:sz w:val="24"/>
          <w:szCs w:val="24"/>
          <w:u w:val="single"/>
        </w:rPr>
        <w:t>姚先生</w:t>
      </w:r>
      <w:r>
        <w:rPr>
          <w:rFonts w:hint="eastAsia" w:ascii="宋体" w:hAnsi="宋体"/>
          <w:color w:val="auto"/>
          <w:sz w:val="24"/>
          <w:highlight w:val="none"/>
          <w:u w:val="single"/>
          <w:lang w:val="en-US" w:eastAsia="zh-CN"/>
        </w:rPr>
        <w:t xml:space="preserve"> </w:t>
      </w:r>
      <w:r>
        <w:rPr>
          <w:rFonts w:hint="eastAsia" w:ascii="宋体" w:hAnsi="宋体" w:cs="宋体"/>
          <w:color w:val="auto"/>
          <w:sz w:val="24"/>
          <w:szCs w:val="24"/>
          <w:highlight w:val="none"/>
        </w:rPr>
        <w:t xml:space="preserve"> </w:t>
      </w:r>
    </w:p>
    <w:p>
      <w:pPr>
        <w:spacing w:line="360" w:lineRule="auto"/>
        <w:ind w:firstLine="480" w:firstLineChars="200"/>
        <w:rPr>
          <w:rFonts w:hint="default" w:ascii="宋体" w:eastAsia="宋体" w:cs="宋体"/>
          <w:sz w:val="24"/>
          <w:u w:val="single"/>
          <w:lang w:val="en-US" w:eastAsia="zh-CN"/>
        </w:rPr>
      </w:pPr>
      <w:r>
        <w:rPr>
          <w:rFonts w:hint="eastAsia"/>
          <w:color w:val="auto"/>
          <w:sz w:val="24"/>
          <w:szCs w:val="24"/>
          <w:highlight w:val="none"/>
        </w:rPr>
        <w:t>电    话：</w:t>
      </w:r>
      <w:r>
        <w:rPr>
          <w:rFonts w:hint="eastAsia" w:ascii="宋体" w:cs="宋体"/>
          <w:sz w:val="24"/>
          <w:u w:val="single"/>
          <w:lang w:val="en-US" w:eastAsia="zh-CN"/>
        </w:rPr>
        <w:t>020-26223690</w:t>
      </w:r>
    </w:p>
    <w:p>
      <w:pPr>
        <w:keepNext w:val="0"/>
        <w:keepLines w:val="0"/>
        <w:pageBreakBefore w:val="0"/>
        <w:kinsoku/>
        <w:overflowPunct/>
        <w:topLinePunct w:val="0"/>
        <w:autoSpaceDE/>
        <w:autoSpaceDN/>
        <w:bidi w:val="0"/>
        <w:spacing w:line="480" w:lineRule="auto"/>
        <w:textAlignment w:val="auto"/>
        <w:rPr>
          <w:rFonts w:hint="eastAsia" w:eastAsia="宋体" w:cs="宋体"/>
          <w:color w:val="auto"/>
          <w:sz w:val="24"/>
          <w:szCs w:val="24"/>
          <w:highlight w:val="none"/>
          <w:u w:val="single"/>
          <w:shd w:val="clear" w:color="auto" w:fill="FFFFFF"/>
          <w:lang w:eastAsia="zh-CN" w:bidi="ar"/>
        </w:rPr>
      </w:pPr>
      <w:r>
        <w:rPr>
          <w:rFonts w:hint="eastAsia" w:cs="宋体"/>
          <w:color w:val="auto"/>
          <w:sz w:val="24"/>
          <w:szCs w:val="24"/>
          <w:highlight w:val="none"/>
          <w:shd w:val="clear" w:color="auto" w:fill="FFFFFF"/>
          <w:lang w:bidi="ar"/>
        </w:rPr>
        <w:t>招标代理机构：</w:t>
      </w:r>
      <w:r>
        <w:rPr>
          <w:rFonts w:hint="eastAsia" w:ascii="宋体" w:hAnsi="宋体" w:cs="宋体"/>
          <w:color w:val="auto"/>
          <w:sz w:val="24"/>
          <w:szCs w:val="24"/>
          <w:highlight w:val="none"/>
          <w:u w:val="single"/>
          <w:lang w:eastAsia="zh-CN"/>
        </w:rPr>
        <w:t>广州市翰淋工程咨询有限公司</w:t>
      </w:r>
    </w:p>
    <w:p>
      <w:pPr>
        <w:keepNext w:val="0"/>
        <w:keepLines w:val="0"/>
        <w:pageBreakBefore w:val="0"/>
        <w:kinsoku/>
        <w:overflowPunct/>
        <w:topLinePunct w:val="0"/>
        <w:autoSpaceDE/>
        <w:autoSpaceDN/>
        <w:bidi w:val="0"/>
        <w:spacing w:line="480" w:lineRule="auto"/>
        <w:ind w:firstLine="480" w:firstLineChars="200"/>
        <w:textAlignment w:val="auto"/>
        <w:rPr>
          <w:rFonts w:hint="eastAsia" w:ascii="宋体" w:hAnsi="宋体" w:cs="宋体"/>
          <w:color w:val="auto"/>
          <w:highlight w:val="none"/>
          <w:u w:val="single"/>
          <w:shd w:val="clear" w:color="auto" w:fill="FFFFFF"/>
        </w:rPr>
      </w:pPr>
      <w:r>
        <w:rPr>
          <w:rFonts w:hint="eastAsia" w:cs="宋体"/>
          <w:color w:val="auto"/>
          <w:sz w:val="24"/>
          <w:szCs w:val="24"/>
          <w:highlight w:val="none"/>
          <w:shd w:val="clear" w:color="auto" w:fill="FFFFFF"/>
          <w:lang w:bidi="ar"/>
        </w:rPr>
        <w:t>地</w:t>
      </w:r>
      <w:r>
        <w:rPr>
          <w:rFonts w:hint="eastAsia" w:ascii="宋体" w:hAnsi="宋体" w:cs="宋体"/>
          <w:color w:val="auto"/>
          <w:sz w:val="24"/>
          <w:szCs w:val="24"/>
          <w:highlight w:val="none"/>
          <w:shd w:val="clear" w:color="auto" w:fill="FFFFFF"/>
          <w:lang w:bidi="ar"/>
        </w:rPr>
        <w:t xml:space="preserve"> 址：</w:t>
      </w:r>
      <w:r>
        <w:rPr>
          <w:rFonts w:hint="eastAsia" w:ascii="宋体" w:hAnsi="宋体" w:cs="宋体"/>
          <w:color w:val="auto"/>
          <w:sz w:val="24"/>
          <w:szCs w:val="24"/>
          <w:highlight w:val="none"/>
          <w:u w:val="single"/>
          <w:lang w:eastAsia="zh-CN"/>
        </w:rPr>
        <w:t>广州市增城区新城大道400号增城低碳总部园新城创业中心15号楼1704自编01</w:t>
      </w:r>
      <w:r>
        <w:rPr>
          <w:rFonts w:hint="eastAsia" w:ascii="宋体" w:hAnsi="宋体" w:cs="宋体"/>
          <w:color w:val="auto"/>
          <w:sz w:val="24"/>
          <w:szCs w:val="24"/>
          <w:highlight w:val="none"/>
          <w:u w:val="single"/>
        </w:rPr>
        <w:t xml:space="preserve"> </w:t>
      </w:r>
      <w:bookmarkStart w:id="44" w:name="_GoBack"/>
      <w:bookmarkEnd w:id="44"/>
    </w:p>
    <w:p>
      <w:pPr>
        <w:keepNext w:val="0"/>
        <w:keepLines w:val="0"/>
        <w:pageBreakBefore w:val="0"/>
        <w:kinsoku/>
        <w:overflowPunct/>
        <w:topLinePunct w:val="0"/>
        <w:autoSpaceDE/>
        <w:autoSpaceDN/>
        <w:bidi w:val="0"/>
        <w:spacing w:line="480" w:lineRule="auto"/>
        <w:ind w:firstLine="480" w:firstLineChars="200"/>
        <w:textAlignment w:val="auto"/>
        <w:rPr>
          <w:rFonts w:hint="default" w:ascii="宋体" w:hAnsi="宋体" w:eastAsia="宋体" w:cs="宋体"/>
          <w:color w:val="auto"/>
          <w:highlight w:val="none"/>
          <w:u w:val="none"/>
          <w:shd w:val="clear" w:color="auto" w:fill="FFFFFF"/>
          <w:lang w:val="en-US" w:eastAsia="zh-CN"/>
        </w:rPr>
      </w:pPr>
      <w:r>
        <w:rPr>
          <w:rFonts w:hint="eastAsia" w:cs="宋体"/>
          <w:color w:val="auto"/>
          <w:sz w:val="24"/>
          <w:szCs w:val="24"/>
          <w:highlight w:val="none"/>
          <w:shd w:val="clear" w:color="auto" w:fill="FFFFFF"/>
          <w:lang w:bidi="ar"/>
        </w:rPr>
        <w:t>联</w:t>
      </w:r>
      <w:r>
        <w:rPr>
          <w:rFonts w:hint="eastAsia" w:ascii="宋体" w:hAnsi="宋体" w:cs="宋体"/>
          <w:color w:val="auto"/>
          <w:sz w:val="24"/>
          <w:szCs w:val="24"/>
          <w:highlight w:val="none"/>
          <w:shd w:val="clear" w:color="auto" w:fill="FFFFFF"/>
          <w:lang w:bidi="ar"/>
        </w:rPr>
        <w:t xml:space="preserve"> </w:t>
      </w:r>
      <w:r>
        <w:rPr>
          <w:rFonts w:hint="eastAsia" w:cs="宋体"/>
          <w:color w:val="auto"/>
          <w:sz w:val="24"/>
          <w:szCs w:val="24"/>
          <w:highlight w:val="none"/>
          <w:shd w:val="clear" w:color="auto" w:fill="FFFFFF"/>
          <w:lang w:bidi="ar"/>
        </w:rPr>
        <w:t>系</w:t>
      </w:r>
      <w:r>
        <w:rPr>
          <w:rFonts w:hint="eastAsia" w:ascii="宋体" w:hAnsi="宋体" w:cs="宋体"/>
          <w:color w:val="auto"/>
          <w:sz w:val="24"/>
          <w:szCs w:val="24"/>
          <w:highlight w:val="none"/>
          <w:shd w:val="clear" w:color="auto" w:fill="FFFFFF"/>
          <w:lang w:bidi="ar"/>
        </w:rPr>
        <w:t xml:space="preserve"> 人：</w:t>
      </w:r>
      <w:r>
        <w:rPr>
          <w:rFonts w:hint="eastAsia" w:ascii="宋体" w:hAnsi="宋体" w:eastAsia="宋体" w:cs="宋体"/>
          <w:color w:val="000000"/>
          <w:sz w:val="24"/>
          <w:u w:val="none"/>
          <w:lang w:val="en-US" w:eastAsia="zh-CN"/>
        </w:rPr>
        <w:t>梁工</w:t>
      </w:r>
      <w:r>
        <w:rPr>
          <w:rFonts w:hint="eastAsia" w:ascii="宋体" w:hAnsi="宋体" w:cs="宋体"/>
          <w:color w:val="000000"/>
          <w:sz w:val="24"/>
          <w:u w:val="none"/>
          <w:lang w:val="en-US" w:eastAsia="zh-CN"/>
        </w:rPr>
        <w:t xml:space="preserve">    陈工</w:t>
      </w:r>
    </w:p>
    <w:p>
      <w:pPr>
        <w:keepNext w:val="0"/>
        <w:keepLines w:val="0"/>
        <w:pageBreakBefore w:val="0"/>
        <w:kinsoku/>
        <w:overflowPunct/>
        <w:topLinePunct w:val="0"/>
        <w:autoSpaceDE/>
        <w:autoSpaceDN/>
        <w:bidi w:val="0"/>
        <w:spacing w:line="48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cs="宋体"/>
          <w:color w:val="auto"/>
          <w:sz w:val="24"/>
          <w:szCs w:val="24"/>
          <w:highlight w:val="none"/>
          <w:shd w:val="clear" w:color="auto" w:fill="FFFFFF"/>
          <w:lang w:bidi="ar"/>
        </w:rPr>
        <w:t>电</w:t>
      </w:r>
      <w:r>
        <w:rPr>
          <w:rFonts w:hint="eastAsia" w:ascii="宋体" w:hAnsi="宋体" w:cs="宋体"/>
          <w:color w:val="auto"/>
          <w:sz w:val="24"/>
          <w:szCs w:val="24"/>
          <w:highlight w:val="none"/>
          <w:shd w:val="clear" w:color="auto" w:fill="FFFFFF"/>
          <w:lang w:bidi="ar"/>
        </w:rPr>
        <w:t xml:space="preserve"> 话：</w:t>
      </w:r>
      <w:r>
        <w:rPr>
          <w:rFonts w:hint="eastAsia" w:ascii="宋体" w:hAnsi="宋体" w:cs="宋体"/>
          <w:color w:val="auto"/>
          <w:sz w:val="24"/>
          <w:szCs w:val="24"/>
          <w:highlight w:val="none"/>
          <w:u w:val="single"/>
          <w:lang w:eastAsia="zh-CN"/>
        </w:rPr>
        <w:t>020-2622132</w:t>
      </w:r>
      <w:r>
        <w:rPr>
          <w:rFonts w:hint="eastAsia" w:ascii="宋体" w:hAnsi="宋体" w:cs="宋体"/>
          <w:color w:val="auto"/>
          <w:sz w:val="24"/>
          <w:szCs w:val="24"/>
          <w:highlight w:val="none"/>
          <w:u w:val="single"/>
          <w:lang w:val="en-US" w:eastAsia="zh-CN"/>
        </w:rPr>
        <w:t>3</w:t>
      </w:r>
      <w:r>
        <w:rPr>
          <w:rFonts w:hint="eastAsia" w:ascii="宋体" w:hAnsi="宋体" w:cs="宋体"/>
          <w:color w:val="auto"/>
          <w:sz w:val="24"/>
          <w:szCs w:val="24"/>
          <w:highlight w:val="none"/>
          <w:u w:val="none"/>
          <w:lang w:val="en-US" w:eastAsia="zh-CN"/>
        </w:rPr>
        <w:t>；</w:t>
      </w:r>
      <w:r>
        <w:rPr>
          <w:rFonts w:hint="eastAsia" w:ascii="宋体" w:hAnsi="宋体" w:cs="宋体"/>
          <w:color w:val="auto"/>
          <w:sz w:val="24"/>
          <w:szCs w:val="24"/>
          <w:highlight w:val="none"/>
          <w:u w:val="single"/>
          <w:lang w:val="en-US" w:eastAsia="zh-CN"/>
        </w:rPr>
        <w:t>13422202875</w:t>
      </w:r>
    </w:p>
    <w:p>
      <w:pPr>
        <w:keepNext w:val="0"/>
        <w:keepLines w:val="0"/>
        <w:pageBreakBefore w:val="0"/>
        <w:kinsoku/>
        <w:overflowPunct/>
        <w:topLinePunct w:val="0"/>
        <w:autoSpaceDE/>
        <w:autoSpaceDN/>
        <w:bidi w:val="0"/>
        <w:spacing w:line="480" w:lineRule="auto"/>
        <w:ind w:firstLine="480" w:firstLineChars="200"/>
        <w:textAlignment w:val="auto"/>
        <w:rPr>
          <w:rFonts w:hint="eastAsia"/>
          <w:color w:val="auto"/>
          <w:sz w:val="24"/>
          <w:szCs w:val="24"/>
          <w:highlight w:val="none"/>
        </w:rPr>
      </w:pPr>
      <w:r>
        <w:rPr>
          <w:rFonts w:hint="eastAsia"/>
          <w:color w:val="auto"/>
          <w:sz w:val="24"/>
          <w:szCs w:val="24"/>
          <w:highlight w:val="none"/>
        </w:rPr>
        <w:t xml:space="preserve">     </w:t>
      </w:r>
      <w:r>
        <w:rPr>
          <w:rFonts w:hint="eastAsia"/>
          <w:color w:val="auto"/>
          <w:sz w:val="24"/>
          <w:szCs w:val="24"/>
          <w:highlight w:val="none"/>
          <w:lang w:val="en-US" w:eastAsia="zh-CN"/>
        </w:rPr>
        <w:t xml:space="preserve">                                      </w:t>
      </w:r>
      <w:r>
        <w:rPr>
          <w:rFonts w:hint="eastAsia"/>
          <w:color w:val="auto"/>
          <w:sz w:val="24"/>
          <w:szCs w:val="24"/>
          <w:highlight w:val="none"/>
          <w:u w:val="single"/>
          <w:lang w:val="en-US" w:eastAsia="zh-CN"/>
        </w:rPr>
        <w:t>2023</w:t>
      </w:r>
      <w:r>
        <w:rPr>
          <w:rFonts w:hint="eastAsia"/>
          <w:color w:val="auto"/>
          <w:sz w:val="24"/>
          <w:szCs w:val="24"/>
          <w:highlight w:val="none"/>
          <w:u w:val="none"/>
          <w:lang w:val="en-US" w:eastAsia="zh-CN"/>
        </w:rPr>
        <w:t>年</w:t>
      </w:r>
      <w:r>
        <w:rPr>
          <w:rFonts w:hint="eastAsia"/>
          <w:color w:val="auto"/>
          <w:sz w:val="24"/>
          <w:szCs w:val="24"/>
          <w:highlight w:val="none"/>
          <w:u w:val="single"/>
          <w:lang w:val="en-US" w:eastAsia="zh-CN"/>
        </w:rPr>
        <w:t>3</w:t>
      </w:r>
      <w:r>
        <w:rPr>
          <w:rFonts w:hint="eastAsia"/>
          <w:color w:val="auto"/>
          <w:sz w:val="24"/>
          <w:szCs w:val="24"/>
          <w:highlight w:val="none"/>
        </w:rPr>
        <w:t>月</w:t>
      </w:r>
      <w:r>
        <w:rPr>
          <w:rFonts w:hint="eastAsia"/>
          <w:color w:val="auto"/>
          <w:sz w:val="24"/>
          <w:szCs w:val="24"/>
          <w:highlight w:val="none"/>
          <w:u w:val="single"/>
          <w:lang w:val="en-US" w:eastAsia="zh-CN"/>
        </w:rPr>
        <w:t>20</w:t>
      </w:r>
      <w:r>
        <w:rPr>
          <w:rFonts w:hint="eastAsia"/>
          <w:color w:val="auto"/>
          <w:sz w:val="24"/>
          <w:szCs w:val="24"/>
          <w:highlight w:val="none"/>
        </w:rPr>
        <w:t>日</w:t>
      </w:r>
      <w:r>
        <w:rPr>
          <w:rFonts w:hint="eastAsia"/>
          <w:color w:val="auto"/>
          <w:sz w:val="24"/>
          <w:szCs w:val="24"/>
          <w:highlight w:val="none"/>
        </w:rPr>
        <w:tab/>
      </w:r>
    </w:p>
    <w:p>
      <w:pPr>
        <w:pageBreakBefore/>
        <w:widowControl/>
        <w:adjustRightInd w:val="0"/>
        <w:snapToGrid w:val="0"/>
        <w:spacing w:line="360" w:lineRule="auto"/>
        <w:rPr>
          <w:rFonts w:ascii="宋体" w:hAnsi="宋体"/>
          <w:kern w:val="0"/>
          <w:sz w:val="24"/>
          <w:szCs w:val="24"/>
        </w:rPr>
      </w:pPr>
      <w:r>
        <w:rPr>
          <w:rFonts w:hint="eastAsia" w:ascii="宋体" w:hAnsi="宋体"/>
          <w:kern w:val="0"/>
          <w:sz w:val="24"/>
          <w:szCs w:val="24"/>
        </w:rPr>
        <w:t>附件一：</w:t>
      </w:r>
    </w:p>
    <w:p>
      <w:pPr>
        <w:widowControl/>
        <w:snapToGrid w:val="0"/>
        <w:spacing w:before="260" w:after="260"/>
        <w:ind w:right="386"/>
        <w:jc w:val="center"/>
        <w:rPr>
          <w:rFonts w:hint="eastAsia" w:ascii="方正小标宋_GBK" w:hAnsi="宋体" w:eastAsia="方正小标宋_GBK" w:cs="宋体"/>
          <w:kern w:val="0"/>
          <w:sz w:val="32"/>
          <w:szCs w:val="32"/>
        </w:rPr>
      </w:pPr>
      <w:r>
        <w:rPr>
          <w:rFonts w:hint="eastAsia" w:ascii="方正小标宋_GBK" w:hAnsi="宋体" w:eastAsia="方正小标宋_GBK" w:cs="宋体"/>
          <w:kern w:val="0"/>
          <w:sz w:val="32"/>
          <w:szCs w:val="32"/>
        </w:rPr>
        <w:t>投标人声明</w:t>
      </w:r>
    </w:p>
    <w:p>
      <w:pPr>
        <w:snapToGrid w:val="0"/>
        <w:spacing w:line="360" w:lineRule="auto"/>
        <w:ind w:firstLine="480" w:firstLineChars="200"/>
        <w:rPr>
          <w:rFonts w:ascii="仿宋_GB2312" w:hAnsi="宋体" w:eastAsia="仿宋_GB2312" w:cs="宋体"/>
          <w:kern w:val="0"/>
          <w:sz w:val="24"/>
          <w:szCs w:val="24"/>
        </w:rPr>
      </w:pPr>
      <w:r>
        <w:rPr>
          <w:rFonts w:hint="eastAsia" w:ascii="仿宋_GB2312" w:hAnsi="宋体" w:eastAsia="仿宋_GB2312" w:cs="宋体"/>
          <w:kern w:val="0"/>
          <w:sz w:val="24"/>
          <w:szCs w:val="24"/>
        </w:rPr>
        <w:t>广州市住房和城乡建设局、本招标项目招标人及招标监管机构：</w:t>
      </w:r>
    </w:p>
    <w:p>
      <w:pPr>
        <w:snapToGrid w:val="0"/>
        <w:spacing w:line="360" w:lineRule="auto"/>
        <w:ind w:firstLine="480" w:firstLineChars="200"/>
        <w:rPr>
          <w:rFonts w:ascii="仿宋_GB2312" w:hAnsi="宋体" w:eastAsia="仿宋_GB2312" w:cs="宋体"/>
          <w:kern w:val="0"/>
          <w:sz w:val="24"/>
          <w:szCs w:val="24"/>
        </w:rPr>
      </w:pPr>
      <w:r>
        <w:rPr>
          <w:rFonts w:hint="eastAsia" w:ascii="仿宋_GB2312" w:hAnsi="宋体" w:eastAsia="仿宋_GB2312" w:cs="宋体"/>
          <w:kern w:val="0"/>
          <w:sz w:val="24"/>
          <w:szCs w:val="24"/>
        </w:rPr>
        <w:t>本公司就参加</w:t>
      </w:r>
      <w:r>
        <w:rPr>
          <w:rFonts w:hint="eastAsia" w:ascii="仿宋_GB2312" w:hAnsi="宋体" w:eastAsia="仿宋_GB2312" w:cs="宋体"/>
          <w:kern w:val="0"/>
          <w:sz w:val="24"/>
          <w:szCs w:val="24"/>
          <w:u w:val="single"/>
        </w:rPr>
        <w:t>                </w:t>
      </w:r>
      <w:r>
        <w:rPr>
          <w:rFonts w:hint="eastAsia" w:ascii="仿宋_GB2312" w:hAnsi="宋体" w:eastAsia="仿宋_GB2312" w:cs="宋体"/>
          <w:kern w:val="0"/>
          <w:sz w:val="24"/>
          <w:szCs w:val="24"/>
        </w:rPr>
        <w:t>项目投标工作，作出郑重声明：</w:t>
      </w:r>
    </w:p>
    <w:p>
      <w:pPr>
        <w:snapToGrid w:val="0"/>
        <w:spacing w:line="360" w:lineRule="auto"/>
        <w:ind w:firstLine="480" w:firstLineChars="200"/>
        <w:rPr>
          <w:rFonts w:ascii="仿宋_GB2312" w:hAnsi="宋体" w:eastAsia="仿宋_GB2312" w:cs="宋体"/>
          <w:kern w:val="0"/>
          <w:sz w:val="24"/>
          <w:szCs w:val="24"/>
        </w:rPr>
      </w:pPr>
      <w:r>
        <w:rPr>
          <w:rFonts w:hint="eastAsia" w:ascii="仿宋_GB2312" w:hAnsi="宋体" w:eastAsia="仿宋_GB2312" w:cs="宋体"/>
          <w:kern w:val="0"/>
          <w:sz w:val="24"/>
          <w:szCs w:val="24"/>
        </w:rPr>
        <w:t>一、本公司保证投标报名材料及其后提供的一切材料都是真实的。如我司成为本项目中标候选人，我司同意并授权招标人将我司投标文件商务部分的人员、业绩、奖项等资料进行公开。</w:t>
      </w:r>
    </w:p>
    <w:p>
      <w:pPr>
        <w:snapToGrid w:val="0"/>
        <w:spacing w:line="360" w:lineRule="auto"/>
        <w:ind w:firstLine="482" w:firstLineChars="200"/>
        <w:rPr>
          <w:rFonts w:ascii="仿宋_GB2312" w:hAnsi="宋体" w:eastAsia="仿宋_GB2312" w:cs="宋体"/>
          <w:b/>
          <w:kern w:val="0"/>
          <w:sz w:val="24"/>
          <w:szCs w:val="24"/>
        </w:rPr>
      </w:pPr>
      <w:r>
        <w:rPr>
          <w:rFonts w:hint="eastAsia" w:ascii="仿宋_GB2312" w:hAnsi="宋体" w:eastAsia="仿宋_GB2312" w:cs="宋体"/>
          <w:b/>
          <w:kern w:val="0"/>
          <w:sz w:val="24"/>
          <w:szCs w:val="24"/>
        </w:rPr>
        <w:t>二、本公司承诺遵循</w:t>
      </w:r>
      <w:r>
        <w:rPr>
          <w:rFonts w:ascii="仿宋_GB2312" w:hAnsi="宋体" w:eastAsia="仿宋_GB2312" w:cs="宋体"/>
          <w:b/>
          <w:kern w:val="0"/>
          <w:sz w:val="24"/>
          <w:szCs w:val="24"/>
        </w:rPr>
        <w:t>公平公正、公开、诚实信用原则，如实投标，真实反映企业实力，公平竞争，不弄虚作假，不</w:t>
      </w:r>
      <w:r>
        <w:rPr>
          <w:rFonts w:hint="eastAsia" w:ascii="仿宋_GB2312" w:hAnsi="宋体" w:eastAsia="仿宋_GB2312" w:cs="宋体"/>
          <w:b/>
          <w:kern w:val="0"/>
          <w:sz w:val="24"/>
          <w:szCs w:val="24"/>
        </w:rPr>
        <w:t>以</w:t>
      </w:r>
      <w:r>
        <w:rPr>
          <w:rFonts w:ascii="仿宋_GB2312" w:hAnsi="宋体" w:eastAsia="仿宋_GB2312" w:cs="宋体"/>
          <w:b/>
          <w:kern w:val="0"/>
          <w:sz w:val="24"/>
          <w:szCs w:val="24"/>
        </w:rPr>
        <w:t>低于监理企业成本价</w:t>
      </w:r>
      <w:r>
        <w:rPr>
          <w:rFonts w:hint="eastAsia" w:ascii="仿宋_GB2312" w:hAnsi="宋体" w:eastAsia="仿宋_GB2312" w:cs="宋体"/>
          <w:b/>
          <w:kern w:val="0"/>
          <w:sz w:val="24"/>
          <w:szCs w:val="24"/>
        </w:rPr>
        <w:t>竞标</w:t>
      </w:r>
      <w:r>
        <w:rPr>
          <w:rFonts w:ascii="仿宋_GB2312" w:hAnsi="宋体" w:eastAsia="仿宋_GB2312" w:cs="宋体"/>
          <w:b/>
          <w:kern w:val="0"/>
          <w:sz w:val="24"/>
          <w:szCs w:val="24"/>
        </w:rPr>
        <w:t>而降低监理服务质量，不</w:t>
      </w:r>
      <w:r>
        <w:rPr>
          <w:rFonts w:hint="eastAsia" w:ascii="仿宋_GB2312" w:hAnsi="宋体" w:eastAsia="仿宋_GB2312" w:cs="宋体"/>
          <w:b/>
          <w:kern w:val="0"/>
          <w:sz w:val="24"/>
          <w:szCs w:val="24"/>
        </w:rPr>
        <w:t>与</w:t>
      </w:r>
      <w:r>
        <w:rPr>
          <w:rFonts w:ascii="仿宋_GB2312" w:hAnsi="宋体" w:eastAsia="仿宋_GB2312" w:cs="宋体"/>
          <w:b/>
          <w:kern w:val="0"/>
          <w:sz w:val="24"/>
          <w:szCs w:val="24"/>
        </w:rPr>
        <w:t>任何建设单位订立违背监理企业成本取费标准及相关规定的“</w:t>
      </w:r>
      <w:r>
        <w:rPr>
          <w:rFonts w:hint="eastAsia" w:ascii="仿宋_GB2312" w:hAnsi="宋体" w:eastAsia="仿宋_GB2312" w:cs="宋体"/>
          <w:b/>
          <w:kern w:val="0"/>
          <w:sz w:val="24"/>
          <w:szCs w:val="24"/>
        </w:rPr>
        <w:t>阴阳合同</w:t>
      </w:r>
      <w:r>
        <w:rPr>
          <w:rFonts w:ascii="仿宋_GB2312" w:hAnsi="宋体" w:eastAsia="仿宋_GB2312" w:cs="宋体"/>
          <w:b/>
          <w:kern w:val="0"/>
          <w:sz w:val="24"/>
          <w:szCs w:val="24"/>
        </w:rPr>
        <w:t>”</w:t>
      </w:r>
      <w:r>
        <w:rPr>
          <w:rFonts w:hint="eastAsia" w:ascii="仿宋_GB2312" w:hAnsi="宋体" w:eastAsia="仿宋_GB2312" w:cs="宋体"/>
          <w:b/>
          <w:kern w:val="0"/>
          <w:sz w:val="24"/>
          <w:szCs w:val="24"/>
        </w:rPr>
        <w:t>进行恶性</w:t>
      </w:r>
      <w:r>
        <w:rPr>
          <w:rFonts w:ascii="仿宋_GB2312" w:hAnsi="宋体" w:eastAsia="仿宋_GB2312" w:cs="宋体"/>
          <w:b/>
          <w:kern w:val="0"/>
          <w:sz w:val="24"/>
          <w:szCs w:val="24"/>
        </w:rPr>
        <w:t>竞争，扰乱市场秩序</w:t>
      </w:r>
      <w:r>
        <w:rPr>
          <w:rFonts w:hint="eastAsia" w:ascii="仿宋_GB2312" w:hAnsi="宋体" w:eastAsia="仿宋_GB2312" w:cs="宋体"/>
          <w:b/>
          <w:kern w:val="0"/>
          <w:sz w:val="24"/>
          <w:szCs w:val="24"/>
        </w:rPr>
        <w:t>，不与其他单位串通投标</w:t>
      </w:r>
      <w:r>
        <w:rPr>
          <w:rFonts w:ascii="仿宋_GB2312" w:hAnsi="宋体" w:eastAsia="仿宋_GB2312" w:cs="宋体"/>
          <w:b/>
          <w:kern w:val="0"/>
          <w:sz w:val="24"/>
          <w:szCs w:val="24"/>
        </w:rPr>
        <w:t>或以</w:t>
      </w:r>
      <w:r>
        <w:rPr>
          <w:rFonts w:hint="eastAsia" w:ascii="仿宋_GB2312" w:hAnsi="宋体" w:eastAsia="仿宋_GB2312" w:cs="宋体"/>
          <w:b/>
          <w:kern w:val="0"/>
          <w:sz w:val="24"/>
          <w:szCs w:val="24"/>
        </w:rPr>
        <w:t>行贿手段</w:t>
      </w:r>
      <w:r>
        <w:rPr>
          <w:rFonts w:ascii="仿宋_GB2312" w:hAnsi="宋体" w:eastAsia="仿宋_GB2312" w:cs="宋体"/>
          <w:b/>
          <w:kern w:val="0"/>
          <w:sz w:val="24"/>
          <w:szCs w:val="24"/>
        </w:rPr>
        <w:t>谋取中标</w:t>
      </w:r>
      <w:r>
        <w:rPr>
          <w:rFonts w:hint="eastAsia" w:ascii="仿宋_GB2312" w:hAnsi="宋体" w:eastAsia="仿宋_GB2312" w:cs="宋体"/>
          <w:b/>
          <w:kern w:val="0"/>
          <w:sz w:val="24"/>
          <w:szCs w:val="24"/>
        </w:rPr>
        <w:t>，不出借资质</w:t>
      </w:r>
      <w:r>
        <w:rPr>
          <w:rFonts w:ascii="仿宋_GB2312" w:hAnsi="宋体" w:eastAsia="仿宋_GB2312" w:cs="宋体"/>
          <w:b/>
          <w:kern w:val="0"/>
          <w:sz w:val="24"/>
          <w:szCs w:val="24"/>
        </w:rPr>
        <w:t>、</w:t>
      </w:r>
      <w:r>
        <w:rPr>
          <w:rFonts w:hint="eastAsia" w:ascii="仿宋_GB2312" w:hAnsi="宋体" w:eastAsia="仿宋_GB2312" w:cs="宋体"/>
          <w:b/>
          <w:kern w:val="0"/>
          <w:sz w:val="24"/>
          <w:szCs w:val="24"/>
        </w:rPr>
        <w:t>转包或</w:t>
      </w:r>
      <w:r>
        <w:rPr>
          <w:rFonts w:ascii="仿宋_GB2312" w:hAnsi="宋体" w:eastAsia="仿宋_GB2312" w:cs="宋体"/>
          <w:b/>
          <w:kern w:val="0"/>
          <w:sz w:val="24"/>
          <w:szCs w:val="24"/>
        </w:rPr>
        <w:t>违法分包</w:t>
      </w:r>
      <w:r>
        <w:rPr>
          <w:rFonts w:hint="eastAsia" w:ascii="仿宋_GB2312" w:hAnsi="宋体" w:eastAsia="仿宋_GB2312" w:cs="宋体"/>
          <w:b/>
          <w:kern w:val="0"/>
          <w:sz w:val="24"/>
          <w:szCs w:val="24"/>
        </w:rPr>
        <w:t>监理</w:t>
      </w:r>
      <w:r>
        <w:rPr>
          <w:rFonts w:ascii="仿宋_GB2312" w:hAnsi="宋体" w:eastAsia="仿宋_GB2312" w:cs="宋体"/>
          <w:b/>
          <w:kern w:val="0"/>
          <w:sz w:val="24"/>
          <w:szCs w:val="24"/>
        </w:rPr>
        <w:t>业务</w:t>
      </w:r>
      <w:r>
        <w:rPr>
          <w:rFonts w:hint="eastAsia" w:ascii="仿宋_GB2312" w:hAnsi="宋体" w:eastAsia="仿宋_GB2312" w:cs="宋体"/>
          <w:b/>
          <w:kern w:val="0"/>
          <w:sz w:val="24"/>
          <w:szCs w:val="24"/>
        </w:rPr>
        <w:t>。</w:t>
      </w:r>
    </w:p>
    <w:p>
      <w:pPr>
        <w:snapToGrid w:val="0"/>
        <w:spacing w:line="360" w:lineRule="auto"/>
        <w:ind w:firstLine="480" w:firstLineChars="200"/>
        <w:rPr>
          <w:rFonts w:ascii="仿宋_GB2312" w:hAnsi="宋体" w:eastAsia="仿宋_GB2312" w:cs="宋体"/>
          <w:kern w:val="0"/>
          <w:sz w:val="24"/>
          <w:szCs w:val="24"/>
        </w:rPr>
      </w:pPr>
      <w:r>
        <w:rPr>
          <w:rFonts w:hint="eastAsia" w:ascii="仿宋_GB2312" w:hAnsi="宋体" w:eastAsia="仿宋_GB2312" w:cs="宋体"/>
          <w:kern w:val="0"/>
          <w:sz w:val="24"/>
          <w:szCs w:val="24"/>
        </w:rPr>
        <w:t>三、本公司不存在招标文件第二章投标人须知第1.4.3项所规定的任何一种情形。</w:t>
      </w:r>
    </w:p>
    <w:p>
      <w:pPr>
        <w:snapToGrid w:val="0"/>
        <w:spacing w:line="360" w:lineRule="auto"/>
        <w:ind w:firstLine="480" w:firstLineChars="200"/>
        <w:rPr>
          <w:rFonts w:ascii="仿宋_GB2312" w:hAnsi="宋体" w:eastAsia="仿宋_GB2312" w:cs="宋体"/>
          <w:kern w:val="0"/>
          <w:sz w:val="24"/>
          <w:szCs w:val="24"/>
        </w:rPr>
      </w:pPr>
      <w:r>
        <w:rPr>
          <w:rFonts w:hint="eastAsia" w:ascii="仿宋_GB2312" w:hAnsi="宋体" w:eastAsia="仿宋_GB2312" w:cs="宋体"/>
          <w:kern w:val="0"/>
          <w:sz w:val="24"/>
          <w:szCs w:val="24"/>
        </w:rPr>
        <w:t>四、本公司及其有隶属关系的机构，没有参加本项目招标文件的编写工作；本公司与本次招标的招标代理机构没有隶属关系或其他利害关系。</w:t>
      </w:r>
    </w:p>
    <w:p>
      <w:pPr>
        <w:snapToGrid w:val="0"/>
        <w:spacing w:line="360" w:lineRule="auto"/>
        <w:ind w:firstLine="480" w:firstLineChars="200"/>
        <w:rPr>
          <w:rFonts w:ascii="仿宋_GB2312" w:hAnsi="宋体" w:eastAsia="仿宋_GB2312" w:cs="宋体"/>
          <w:kern w:val="0"/>
          <w:sz w:val="24"/>
          <w:szCs w:val="24"/>
        </w:rPr>
      </w:pPr>
      <w:r>
        <w:rPr>
          <w:rFonts w:hint="eastAsia" w:ascii="仿宋_GB2312" w:hAnsi="宋体" w:eastAsia="仿宋_GB2312" w:cs="宋体"/>
          <w:kern w:val="0"/>
          <w:sz w:val="24"/>
          <w:szCs w:val="24"/>
        </w:rPr>
        <w:t>五、本公司承诺，中标后严格执行安全生产相关管理规定。</w:t>
      </w:r>
    </w:p>
    <w:p>
      <w:pPr>
        <w:snapToGrid w:val="0"/>
        <w:spacing w:line="360" w:lineRule="auto"/>
        <w:ind w:firstLine="482" w:firstLineChars="200"/>
        <w:rPr>
          <w:rFonts w:ascii="仿宋_GB2312" w:hAnsi="宋体" w:eastAsia="仿宋_GB2312" w:cs="宋体"/>
          <w:kern w:val="0"/>
          <w:sz w:val="24"/>
          <w:szCs w:val="24"/>
        </w:rPr>
      </w:pPr>
      <w:r>
        <w:rPr>
          <w:rFonts w:hint="eastAsia" w:ascii="仿宋_GB2312" w:hAnsi="宋体" w:eastAsia="仿宋_GB2312" w:cs="宋体"/>
          <w:b/>
          <w:kern w:val="0"/>
          <w:sz w:val="24"/>
          <w:szCs w:val="24"/>
        </w:rPr>
        <w:t>本公司违反上述承诺，或本声明陈述与事实不符，经查实，本公司愿意接受公开通报，愿意按照《广州市建筑市场信用管理办法》（穗建规字</w:t>
      </w:r>
      <w:r>
        <w:rPr>
          <w:rFonts w:hint="eastAsia" w:ascii="微软雅黑" w:hAnsi="微软雅黑" w:eastAsia="微软雅黑" w:cs="微软雅黑"/>
          <w:b/>
          <w:kern w:val="0"/>
          <w:sz w:val="24"/>
          <w:szCs w:val="24"/>
        </w:rPr>
        <w:t>﹝</w:t>
      </w:r>
      <w:r>
        <w:rPr>
          <w:rFonts w:hint="eastAsia" w:ascii="仿宋_GB2312" w:hAnsi="宋体" w:eastAsia="仿宋_GB2312" w:cs="宋体"/>
          <w:b/>
          <w:kern w:val="0"/>
          <w:sz w:val="24"/>
          <w:szCs w:val="24"/>
        </w:rPr>
        <w:t>2019</w:t>
      </w:r>
      <w:r>
        <w:rPr>
          <w:rFonts w:hint="eastAsia" w:ascii="微软雅黑" w:hAnsi="微软雅黑" w:eastAsia="微软雅黑" w:cs="微软雅黑"/>
          <w:b/>
          <w:kern w:val="0"/>
          <w:sz w:val="24"/>
          <w:szCs w:val="24"/>
        </w:rPr>
        <w:t>﹞</w:t>
      </w:r>
      <w:r>
        <w:rPr>
          <w:rFonts w:hint="eastAsia" w:ascii="仿宋_GB2312" w:hAnsi="宋体" w:eastAsia="仿宋_GB2312" w:cs="宋体"/>
          <w:b/>
          <w:kern w:val="0"/>
          <w:sz w:val="24"/>
          <w:szCs w:val="24"/>
        </w:rPr>
        <w:t>16号）的规定被记录为失信信息，</w:t>
      </w:r>
      <w:r>
        <w:rPr>
          <w:rFonts w:hint="eastAsia" w:ascii="仿宋_GB2312" w:hAnsi="宋体" w:eastAsia="仿宋_GB2312" w:cs="宋体"/>
          <w:kern w:val="0"/>
          <w:sz w:val="24"/>
          <w:szCs w:val="24"/>
        </w:rPr>
        <w:t>承担由此带来的一切后果，并自愿停止参加广州市行政辖区内的招标投标活动三个月。</w:t>
      </w:r>
    </w:p>
    <w:p>
      <w:pPr>
        <w:widowControl/>
        <w:shd w:val="clear" w:color="auto" w:fill="FFFFFF"/>
        <w:spacing w:line="360" w:lineRule="auto"/>
        <w:ind w:firstLine="480" w:firstLineChars="200"/>
        <w:rPr>
          <w:rFonts w:ascii="仿宋_GB2312" w:hAnsi="宋体" w:eastAsia="仿宋_GB2312" w:cs="宋体"/>
          <w:kern w:val="0"/>
          <w:sz w:val="24"/>
          <w:szCs w:val="24"/>
        </w:rPr>
      </w:pPr>
      <w:r>
        <w:rPr>
          <w:rFonts w:hint="eastAsia" w:ascii="仿宋_GB2312" w:hAnsi="宋体" w:eastAsia="仿宋_GB2312" w:cs="宋体"/>
          <w:kern w:val="0"/>
          <w:sz w:val="24"/>
          <w:szCs w:val="24"/>
        </w:rPr>
        <w:t>特此声明。</w:t>
      </w:r>
    </w:p>
    <w:p>
      <w:pPr>
        <w:snapToGrid w:val="0"/>
        <w:spacing w:line="360" w:lineRule="auto"/>
        <w:ind w:firstLine="4320" w:firstLineChars="1800"/>
        <w:rPr>
          <w:rFonts w:ascii="仿宋_GB2312" w:hAnsi="宋体" w:eastAsia="仿宋_GB2312" w:cs="宋体"/>
          <w:kern w:val="0"/>
          <w:sz w:val="24"/>
          <w:szCs w:val="24"/>
        </w:rPr>
      </w:pPr>
      <w:r>
        <w:rPr>
          <w:rFonts w:hint="eastAsia" w:ascii="仿宋_GB2312" w:hAnsi="宋体" w:eastAsia="仿宋_GB2312" w:cs="宋体"/>
          <w:kern w:val="0"/>
          <w:sz w:val="24"/>
          <w:szCs w:val="24"/>
        </w:rPr>
        <w:t>声明企业：            (企业公章)</w:t>
      </w:r>
    </w:p>
    <w:p>
      <w:pPr>
        <w:snapToGrid w:val="0"/>
        <w:spacing w:line="360" w:lineRule="auto"/>
        <w:ind w:firstLine="4320" w:firstLineChars="1800"/>
        <w:rPr>
          <w:rFonts w:ascii="仿宋_GB2312" w:hAnsi="宋体" w:eastAsia="仿宋_GB2312" w:cs="宋体"/>
          <w:kern w:val="0"/>
          <w:sz w:val="24"/>
          <w:szCs w:val="24"/>
        </w:rPr>
      </w:pPr>
      <w:r>
        <w:rPr>
          <w:rFonts w:hint="eastAsia" w:ascii="仿宋_GB2312" w:hAnsi="宋体" w:eastAsia="仿宋_GB2312" w:cs="宋体"/>
          <w:kern w:val="0"/>
          <w:sz w:val="24"/>
          <w:szCs w:val="24"/>
        </w:rPr>
        <w:t>总监理工程师：         （签字）</w:t>
      </w:r>
    </w:p>
    <w:p>
      <w:pPr>
        <w:snapToGrid w:val="0"/>
        <w:spacing w:line="360" w:lineRule="auto"/>
        <w:ind w:firstLine="4252" w:firstLineChars="1772"/>
        <w:rPr>
          <w:rFonts w:ascii="仿宋_GB2312" w:hAnsi="宋体" w:eastAsia="仿宋_GB2312" w:cs="宋体"/>
          <w:kern w:val="0"/>
          <w:sz w:val="24"/>
          <w:szCs w:val="24"/>
        </w:rPr>
      </w:pPr>
      <w:r>
        <w:rPr>
          <w:rFonts w:hint="eastAsia" w:ascii="仿宋_GB2312" w:hAnsi="宋体" w:eastAsia="仿宋_GB2312" w:cs="宋体"/>
          <w:kern w:val="0"/>
          <w:sz w:val="24"/>
          <w:szCs w:val="24"/>
        </w:rPr>
        <w:t>法定代表人签字：</w:t>
      </w:r>
    </w:p>
    <w:p>
      <w:pPr>
        <w:spacing w:line="360" w:lineRule="auto"/>
        <w:ind w:firstLine="4920" w:firstLineChars="2050"/>
        <w:rPr>
          <w:rFonts w:hint="eastAsia" w:ascii="Times New Roman" w:hAnsi="Times New Roman"/>
          <w:sz w:val="24"/>
          <w:szCs w:val="24"/>
        </w:rPr>
      </w:pPr>
      <w:r>
        <w:rPr>
          <w:rFonts w:hint="eastAsia" w:ascii="仿宋_GB2312" w:hAnsi="宋体" w:eastAsia="仿宋_GB2312" w:cs="宋体"/>
          <w:kern w:val="0"/>
          <w:sz w:val="24"/>
          <w:szCs w:val="24"/>
        </w:rPr>
        <w:t>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8BBE1B"/>
    <w:multiLevelType w:val="singleLevel"/>
    <w:tmpl w:val="328BBE1B"/>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kMmVhNzhhMzYxNmZhZWRjMWQzNWQ5YmRmZmZiMDEifQ=="/>
  </w:docVars>
  <w:rsids>
    <w:rsidRoot w:val="415B3D30"/>
    <w:rsid w:val="055C7577"/>
    <w:rsid w:val="185A794E"/>
    <w:rsid w:val="25B02AD6"/>
    <w:rsid w:val="2A9B1B1F"/>
    <w:rsid w:val="33B919DE"/>
    <w:rsid w:val="415B3D30"/>
    <w:rsid w:val="4AFE56AF"/>
    <w:rsid w:val="5278451D"/>
    <w:rsid w:val="5387321F"/>
    <w:rsid w:val="5E144A64"/>
    <w:rsid w:val="68644E72"/>
    <w:rsid w:val="7C7E6B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qFormat/>
    <w:uiPriority w:val="0"/>
    <w:pPr>
      <w:keepNext/>
      <w:keepLines/>
      <w:spacing w:before="260" w:after="260" w:line="412" w:lineRule="auto"/>
      <w:outlineLvl w:val="1"/>
    </w:pPr>
    <w:rPr>
      <w:rFonts w:ascii="Arial" w:hAnsi="Arial" w:eastAsia="黑体"/>
      <w:b/>
      <w:sz w:val="32"/>
      <w:szCs w:val="2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pPr>
    <w:rPr>
      <w:kern w:val="0"/>
      <w:sz w:val="20"/>
      <w:szCs w:val="20"/>
    </w:rPr>
  </w:style>
  <w:style w:type="paragraph" w:styleId="4">
    <w:name w:val="Body Text"/>
    <w:basedOn w:val="1"/>
    <w:next w:val="1"/>
    <w:unhideWhenUsed/>
    <w:qFormat/>
    <w:uiPriority w:val="0"/>
    <w:pPr>
      <w:spacing w:after="120"/>
    </w:pPr>
    <w:rPr>
      <w:rFonts w:ascii="Times New Roman" w:hAnsi="Times New Roman"/>
      <w:szCs w:val="20"/>
    </w:rPr>
  </w:style>
  <w:style w:type="character" w:styleId="7">
    <w:name w:val="Hyperlink"/>
    <w:qFormat/>
    <w:uiPriority w:val="99"/>
    <w:rPr>
      <w:color w:val="000000"/>
      <w:u w:val="none"/>
    </w:rPr>
  </w:style>
  <w:style w:type="paragraph" w:customStyle="1" w:styleId="8">
    <w:name w:val="p0"/>
    <w:basedOn w:val="1"/>
    <w:qFormat/>
    <w:uiPriority w:val="0"/>
    <w:pPr>
      <w:widowControl/>
      <w:spacing w:before="75" w:after="75"/>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2850</Words>
  <Characters>3250</Characters>
  <Lines>0</Lines>
  <Paragraphs>0</Paragraphs>
  <TotalTime>24</TotalTime>
  <ScaleCrop>false</ScaleCrop>
  <LinksUpToDate>false</LinksUpToDate>
  <CharactersWithSpaces>3400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2023-03-16T09:29:00Z</dcterms:created>
  <dc:creator>用户</dc:creator>
  <cp:lastModifiedBy>用户</cp:lastModifiedBy>
  <cp:lastPrinted>2023-03-20T03:13:00Z</cp:lastPrinted>
  <dcterms:modified xsi:type="dcterms:W3CDTF">2023-03-21T07:25:32Z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0940BA14DD8549CD94347BD8468409FC</vt:lpwstr>
  </property>
</Properties>
</file>