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88A7B5">
      <w:pPr>
        <w:tabs>
          <w:tab w:val="left" w:pos="8600"/>
        </w:tabs>
        <w:autoSpaceDE w:val="0"/>
        <w:autoSpaceDN w:val="0"/>
        <w:adjustRightInd w:val="0"/>
        <w:ind w:left="4556" w:right="-20"/>
        <w:jc w:val="left"/>
        <w:rPr>
          <w:rFonts w:hint="eastAsia" w:ascii="宋体" w:hAnsi="宋体" w:eastAsia="宋体" w:cs="宋体"/>
          <w:b/>
          <w:snapToGrid w:val="0"/>
          <w:spacing w:val="80"/>
          <w:kern w:val="0"/>
          <w:sz w:val="52"/>
          <w:szCs w:val="84"/>
          <w:u w:val="single"/>
        </w:rPr>
      </w:pPr>
      <w:bookmarkStart w:id="0" w:name="_Toc296890982"/>
      <w:bookmarkStart w:id="1" w:name="_Toc296503025"/>
      <w:bookmarkStart w:id="2" w:name="_Toc351203633"/>
    </w:p>
    <w:p w14:paraId="56D3238B">
      <w:pPr>
        <w:tabs>
          <w:tab w:val="left" w:pos="8600"/>
        </w:tabs>
        <w:autoSpaceDE w:val="0"/>
        <w:autoSpaceDN w:val="0"/>
        <w:adjustRightInd w:val="0"/>
        <w:ind w:left="4556" w:right="-20"/>
        <w:jc w:val="left"/>
        <w:rPr>
          <w:rFonts w:hint="eastAsia" w:ascii="宋体" w:hAnsi="宋体" w:eastAsia="宋体" w:cs="宋体"/>
          <w:kern w:val="0"/>
          <w:sz w:val="30"/>
          <w:szCs w:val="30"/>
        </w:rPr>
      </w:pPr>
      <w:r>
        <w:rPr>
          <w:rFonts w:hint="eastAsia" w:ascii="宋体" w:hAnsi="宋体" w:eastAsia="宋体" w:cs="宋体"/>
          <w:kern w:val="0"/>
          <w:position w:val="-2"/>
          <w:sz w:val="30"/>
          <w:szCs w:val="30"/>
        </w:rPr>
        <w:t>合同编号：</w:t>
      </w:r>
      <w:r>
        <w:rPr>
          <w:rFonts w:hint="eastAsia" w:ascii="宋体" w:hAnsi="宋体" w:eastAsia="宋体" w:cs="宋体"/>
          <w:kern w:val="0"/>
          <w:position w:val="-2"/>
          <w:sz w:val="30"/>
          <w:szCs w:val="30"/>
          <w:u w:val="single"/>
        </w:rPr>
        <w:tab/>
      </w:r>
    </w:p>
    <w:p w14:paraId="748B093A">
      <w:pPr>
        <w:adjustRightInd w:val="0"/>
        <w:snapToGrid w:val="0"/>
        <w:spacing w:before="156" w:after="156"/>
        <w:rPr>
          <w:rFonts w:hint="eastAsia" w:ascii="宋体" w:hAnsi="宋体" w:eastAsia="宋体" w:cs="宋体"/>
          <w:b/>
          <w:snapToGrid w:val="0"/>
          <w:spacing w:val="80"/>
          <w:kern w:val="0"/>
          <w:sz w:val="52"/>
          <w:szCs w:val="84"/>
          <w:u w:val="single"/>
        </w:rPr>
      </w:pPr>
    </w:p>
    <w:p w14:paraId="428E44DD">
      <w:pPr>
        <w:tabs>
          <w:tab w:val="left" w:pos="8600"/>
        </w:tabs>
        <w:autoSpaceDE w:val="0"/>
        <w:autoSpaceDN w:val="0"/>
        <w:adjustRightInd w:val="0"/>
        <w:ind w:right="-20"/>
        <w:jc w:val="left"/>
        <w:rPr>
          <w:rFonts w:hint="eastAsia" w:ascii="宋体" w:hAnsi="宋体" w:eastAsia="宋体" w:cs="宋体"/>
          <w:kern w:val="0"/>
          <w:position w:val="-2"/>
          <w:sz w:val="30"/>
          <w:szCs w:val="30"/>
        </w:rPr>
      </w:pPr>
    </w:p>
    <w:p w14:paraId="5A05BECF">
      <w:pPr>
        <w:autoSpaceDE w:val="0"/>
        <w:autoSpaceDN w:val="0"/>
        <w:adjustRightInd w:val="0"/>
        <w:spacing w:before="13"/>
        <w:jc w:val="left"/>
        <w:rPr>
          <w:rFonts w:hint="eastAsia" w:ascii="宋体" w:hAnsi="宋体" w:eastAsia="宋体" w:cs="宋体"/>
          <w:kern w:val="0"/>
          <w:sz w:val="26"/>
          <w:szCs w:val="26"/>
        </w:rPr>
      </w:pPr>
    </w:p>
    <w:p w14:paraId="6C25AE75">
      <w:pPr>
        <w:autoSpaceDE w:val="0"/>
        <w:autoSpaceDN w:val="0"/>
        <w:adjustRightInd w:val="0"/>
        <w:spacing w:before="13"/>
        <w:jc w:val="left"/>
        <w:rPr>
          <w:rFonts w:hint="eastAsia" w:ascii="宋体" w:hAnsi="宋体" w:eastAsia="宋体" w:cs="宋体"/>
          <w:kern w:val="0"/>
          <w:sz w:val="26"/>
          <w:szCs w:val="26"/>
        </w:rPr>
      </w:pPr>
    </w:p>
    <w:p w14:paraId="216C9051">
      <w:pPr>
        <w:autoSpaceDE w:val="0"/>
        <w:autoSpaceDN w:val="0"/>
        <w:adjustRightInd w:val="0"/>
        <w:spacing w:before="13"/>
        <w:jc w:val="left"/>
        <w:rPr>
          <w:rFonts w:hint="eastAsia" w:ascii="宋体" w:hAnsi="宋体" w:eastAsia="宋体" w:cs="宋体"/>
          <w:kern w:val="0"/>
          <w:sz w:val="26"/>
          <w:szCs w:val="26"/>
        </w:rPr>
      </w:pPr>
    </w:p>
    <w:p w14:paraId="3C9450B4">
      <w:pPr>
        <w:autoSpaceDE w:val="0"/>
        <w:autoSpaceDN w:val="0"/>
        <w:adjustRightInd w:val="0"/>
        <w:spacing w:before="32"/>
        <w:ind w:left="860" w:right="861"/>
        <w:jc w:val="center"/>
        <w:rPr>
          <w:rFonts w:hint="eastAsia" w:ascii="宋体" w:hAnsi="宋体" w:eastAsia="宋体" w:cs="宋体"/>
          <w:kern w:val="0"/>
          <w:sz w:val="64"/>
          <w:szCs w:val="64"/>
        </w:rPr>
      </w:pPr>
      <w:r>
        <w:rPr>
          <w:rFonts w:hint="eastAsia" w:ascii="宋体" w:hAnsi="宋体" w:eastAsia="宋体" w:cs="宋体"/>
          <w:kern w:val="0"/>
          <w:sz w:val="64"/>
          <w:szCs w:val="64"/>
        </w:rPr>
        <w:t>建 设 工 程 施 工 合 同</w:t>
      </w:r>
    </w:p>
    <w:p w14:paraId="21D74EC1">
      <w:pPr>
        <w:autoSpaceDE w:val="0"/>
        <w:autoSpaceDN w:val="0"/>
        <w:adjustRightInd w:val="0"/>
        <w:spacing w:before="5"/>
        <w:jc w:val="left"/>
        <w:rPr>
          <w:rFonts w:hint="eastAsia" w:ascii="宋体" w:hAnsi="宋体" w:eastAsia="宋体" w:cs="宋体"/>
          <w:b/>
          <w:bCs/>
          <w:kern w:val="0"/>
          <w:sz w:val="48"/>
          <w:szCs w:val="48"/>
        </w:rPr>
      </w:pPr>
    </w:p>
    <w:p w14:paraId="7E62CE63">
      <w:pPr>
        <w:autoSpaceDE w:val="0"/>
        <w:autoSpaceDN w:val="0"/>
        <w:adjustRightInd w:val="0"/>
        <w:spacing w:before="5"/>
        <w:jc w:val="left"/>
        <w:rPr>
          <w:rFonts w:hint="eastAsia" w:ascii="宋体" w:hAnsi="宋体" w:eastAsia="宋体" w:cs="宋体"/>
          <w:b/>
          <w:bCs/>
          <w:kern w:val="0"/>
          <w:sz w:val="48"/>
          <w:szCs w:val="48"/>
        </w:rPr>
      </w:pPr>
    </w:p>
    <w:p w14:paraId="563ED772">
      <w:pPr>
        <w:autoSpaceDE w:val="0"/>
        <w:autoSpaceDN w:val="0"/>
        <w:adjustRightInd w:val="0"/>
        <w:spacing w:before="5"/>
        <w:jc w:val="left"/>
        <w:rPr>
          <w:rFonts w:hint="eastAsia" w:ascii="宋体" w:hAnsi="宋体" w:eastAsia="宋体" w:cs="宋体"/>
          <w:kern w:val="0"/>
          <w:sz w:val="13"/>
          <w:szCs w:val="13"/>
        </w:rPr>
      </w:pPr>
    </w:p>
    <w:p w14:paraId="120E6E88">
      <w:pPr>
        <w:autoSpaceDE w:val="0"/>
        <w:autoSpaceDN w:val="0"/>
        <w:adjustRightInd w:val="0"/>
        <w:jc w:val="left"/>
        <w:rPr>
          <w:rFonts w:hint="eastAsia" w:ascii="宋体" w:hAnsi="宋体" w:eastAsia="宋体" w:cs="宋体"/>
          <w:kern w:val="0"/>
          <w:sz w:val="20"/>
          <w:szCs w:val="20"/>
        </w:rPr>
      </w:pPr>
    </w:p>
    <w:p w14:paraId="0E18B5A4">
      <w:pPr>
        <w:autoSpaceDE w:val="0"/>
        <w:autoSpaceDN w:val="0"/>
        <w:adjustRightInd w:val="0"/>
        <w:jc w:val="left"/>
        <w:rPr>
          <w:rFonts w:hint="eastAsia" w:ascii="宋体" w:hAnsi="宋体" w:eastAsia="宋体" w:cs="宋体"/>
          <w:kern w:val="0"/>
          <w:sz w:val="20"/>
          <w:szCs w:val="20"/>
        </w:rPr>
      </w:pPr>
    </w:p>
    <w:p w14:paraId="4A92F190">
      <w:pPr>
        <w:autoSpaceDE w:val="0"/>
        <w:autoSpaceDN w:val="0"/>
        <w:adjustRightInd w:val="0"/>
        <w:jc w:val="left"/>
        <w:rPr>
          <w:rFonts w:hint="eastAsia" w:ascii="宋体" w:hAnsi="宋体" w:eastAsia="宋体" w:cs="宋体"/>
          <w:kern w:val="0"/>
          <w:sz w:val="20"/>
          <w:szCs w:val="20"/>
        </w:rPr>
      </w:pPr>
    </w:p>
    <w:p w14:paraId="627F2333">
      <w:pPr>
        <w:autoSpaceDE w:val="0"/>
        <w:autoSpaceDN w:val="0"/>
        <w:adjustRightInd w:val="0"/>
        <w:jc w:val="left"/>
        <w:rPr>
          <w:rFonts w:hint="eastAsia" w:ascii="宋体" w:hAnsi="宋体" w:eastAsia="宋体" w:cs="宋体"/>
          <w:kern w:val="0"/>
          <w:sz w:val="20"/>
          <w:szCs w:val="20"/>
        </w:rPr>
      </w:pPr>
    </w:p>
    <w:p w14:paraId="31DCA3D6">
      <w:pPr>
        <w:autoSpaceDE w:val="0"/>
        <w:autoSpaceDN w:val="0"/>
        <w:adjustRightInd w:val="0"/>
        <w:jc w:val="left"/>
        <w:rPr>
          <w:rFonts w:hint="eastAsia" w:ascii="宋体" w:hAnsi="宋体" w:eastAsia="宋体" w:cs="宋体"/>
          <w:kern w:val="0"/>
          <w:sz w:val="20"/>
          <w:szCs w:val="20"/>
        </w:rPr>
      </w:pPr>
    </w:p>
    <w:p w14:paraId="2C508E5E">
      <w:pPr>
        <w:autoSpaceDE w:val="0"/>
        <w:autoSpaceDN w:val="0"/>
        <w:adjustRightInd w:val="0"/>
        <w:jc w:val="left"/>
        <w:rPr>
          <w:rFonts w:hint="eastAsia" w:ascii="宋体" w:hAnsi="宋体" w:eastAsia="宋体" w:cs="宋体"/>
          <w:kern w:val="0"/>
          <w:sz w:val="20"/>
          <w:szCs w:val="20"/>
        </w:rPr>
      </w:pPr>
    </w:p>
    <w:p w14:paraId="7BD984C2">
      <w:pPr>
        <w:autoSpaceDE w:val="0"/>
        <w:autoSpaceDN w:val="0"/>
        <w:adjustRightInd w:val="0"/>
        <w:jc w:val="left"/>
        <w:rPr>
          <w:rFonts w:hint="eastAsia" w:ascii="宋体" w:hAnsi="宋体" w:eastAsia="宋体" w:cs="宋体"/>
          <w:kern w:val="0"/>
          <w:sz w:val="20"/>
          <w:szCs w:val="20"/>
        </w:rPr>
      </w:pPr>
    </w:p>
    <w:p w14:paraId="3CE1262A">
      <w:pPr>
        <w:autoSpaceDE w:val="0"/>
        <w:autoSpaceDN w:val="0"/>
        <w:adjustRightInd w:val="0"/>
        <w:jc w:val="left"/>
        <w:rPr>
          <w:rFonts w:hint="eastAsia" w:ascii="宋体" w:hAnsi="宋体" w:eastAsia="宋体" w:cs="宋体"/>
          <w:kern w:val="0"/>
          <w:sz w:val="20"/>
          <w:szCs w:val="20"/>
        </w:rPr>
      </w:pPr>
    </w:p>
    <w:p w14:paraId="21C039A6">
      <w:pPr>
        <w:autoSpaceDE w:val="0"/>
        <w:autoSpaceDN w:val="0"/>
        <w:adjustRightInd w:val="0"/>
        <w:jc w:val="left"/>
        <w:rPr>
          <w:rFonts w:hint="eastAsia" w:ascii="宋体" w:hAnsi="宋体" w:eastAsia="宋体" w:cs="宋体"/>
          <w:kern w:val="0"/>
          <w:sz w:val="20"/>
          <w:szCs w:val="20"/>
        </w:rPr>
      </w:pPr>
    </w:p>
    <w:p w14:paraId="03E73CEC">
      <w:pPr>
        <w:spacing w:line="360" w:lineRule="auto"/>
        <w:ind w:left="1620" w:hanging="1260" w:hangingChars="450"/>
        <w:rPr>
          <w:rFonts w:hint="eastAsia" w:ascii="宋体" w:hAnsi="宋体" w:eastAsia="宋体" w:cs="宋体"/>
          <w:sz w:val="28"/>
          <w:szCs w:val="28"/>
          <w:u w:val="single"/>
        </w:rPr>
      </w:pPr>
      <w:r>
        <w:rPr>
          <w:rFonts w:hint="eastAsia" w:ascii="宋体" w:hAnsi="宋体" w:eastAsia="宋体" w:cs="宋体"/>
          <w:kern w:val="0"/>
          <w:sz w:val="28"/>
          <w:szCs w:val="28"/>
        </w:rPr>
        <w:t>工程名称：</w:t>
      </w:r>
      <w:r>
        <w:rPr>
          <w:rFonts w:hint="eastAsia" w:ascii="宋体" w:hAnsi="宋体" w:eastAsia="宋体" w:cs="宋体"/>
          <w:sz w:val="28"/>
          <w:szCs w:val="28"/>
          <w:u w:val="single"/>
        </w:rPr>
        <w:t>广佛肇工业园站周边片区开发项目一坑田站至瑞浦地块 110KV 电力迁改工程(涉铁部分)</w:t>
      </w:r>
      <w:r>
        <w:rPr>
          <w:rFonts w:hint="eastAsia" w:ascii="宋体" w:hAnsi="宋体" w:eastAsia="宋体" w:cs="宋体"/>
          <w:sz w:val="28"/>
          <w:szCs w:val="28"/>
          <w:u w:val="single"/>
        </w:rPr>
        <w:t>施工总承包</w:t>
      </w:r>
    </w:p>
    <w:p w14:paraId="625078BA">
      <w:pPr>
        <w:spacing w:line="360" w:lineRule="auto"/>
        <w:rPr>
          <w:rFonts w:hint="eastAsia" w:ascii="宋体" w:hAnsi="宋体" w:eastAsia="宋体" w:cs="宋体"/>
          <w:sz w:val="28"/>
          <w:szCs w:val="28"/>
        </w:rPr>
      </w:pPr>
      <w:r>
        <w:rPr>
          <w:rFonts w:hint="eastAsia" w:ascii="宋体" w:hAnsi="宋体" w:eastAsia="宋体" w:cs="宋体"/>
          <w:kern w:val="0"/>
          <w:sz w:val="28"/>
          <w:szCs w:val="28"/>
        </w:rPr>
        <w:t>工程地点：</w:t>
      </w:r>
      <w:r>
        <w:rPr>
          <w:rFonts w:hint="eastAsia" w:ascii="宋体" w:hAnsi="宋体" w:eastAsia="宋体" w:cs="宋体"/>
          <w:sz w:val="28"/>
          <w:szCs w:val="28"/>
          <w:u w:val="single"/>
        </w:rPr>
        <w:t>佛山市</w:t>
      </w:r>
      <w:r>
        <w:rPr>
          <w:rFonts w:hint="eastAsia" w:ascii="宋体" w:hAnsi="宋体" w:eastAsia="宋体" w:cs="宋体"/>
          <w:color w:val="000000"/>
          <w:sz w:val="28"/>
          <w:szCs w:val="28"/>
          <w:u w:val="single"/>
        </w:rPr>
        <w:t>南海区狮山镇</w:t>
      </w:r>
    </w:p>
    <w:p w14:paraId="74F8B36B">
      <w:pPr>
        <w:tabs>
          <w:tab w:val="left" w:pos="8520"/>
        </w:tabs>
        <w:autoSpaceDE w:val="0"/>
        <w:autoSpaceDN w:val="0"/>
        <w:adjustRightInd w:val="0"/>
        <w:spacing w:line="360" w:lineRule="auto"/>
        <w:ind w:right="103"/>
        <w:rPr>
          <w:rFonts w:hint="eastAsia" w:ascii="宋体" w:hAnsi="宋体" w:eastAsia="宋体" w:cs="宋体"/>
          <w:kern w:val="0"/>
          <w:sz w:val="28"/>
          <w:szCs w:val="28"/>
        </w:rPr>
      </w:pPr>
      <w:r>
        <w:rPr>
          <w:rFonts w:hint="eastAsia" w:ascii="宋体" w:hAnsi="宋体" w:eastAsia="宋体" w:cs="宋体"/>
          <w:kern w:val="0"/>
          <w:sz w:val="28"/>
          <w:szCs w:val="28"/>
        </w:rPr>
        <w:t>发包人：</w:t>
      </w:r>
      <w:r>
        <w:rPr>
          <w:rFonts w:hint="eastAsia" w:ascii="宋体" w:hAnsi="宋体" w:eastAsia="宋体" w:cs="宋体"/>
          <w:sz w:val="28"/>
          <w:szCs w:val="28"/>
          <w:u w:val="single"/>
        </w:rPr>
        <w:t xml:space="preserve">广州地铁工程咨询有限公司    </w:t>
      </w:r>
    </w:p>
    <w:p w14:paraId="7B21F1BA">
      <w:pPr>
        <w:tabs>
          <w:tab w:val="left" w:pos="5429"/>
        </w:tabs>
        <w:spacing w:before="62"/>
        <w:ind w:right="0"/>
        <w:jc w:val="left"/>
        <w:rPr>
          <w:rFonts w:hint="default" w:ascii="Times New Roman" w:eastAsia="宋体"/>
          <w:sz w:val="28"/>
          <w:u w:val="single"/>
          <w:lang w:val="en-US" w:eastAsia="zh-CN"/>
        </w:rPr>
      </w:pPr>
      <w:r>
        <w:rPr>
          <w:rFonts w:hint="eastAsia" w:ascii="宋体" w:hAnsi="宋体" w:eastAsia="宋体" w:cs="宋体"/>
          <w:kern w:val="0"/>
          <w:sz w:val="28"/>
          <w:szCs w:val="28"/>
        </w:rPr>
        <w:t>承包人：</w:t>
      </w:r>
      <w:r>
        <w:rPr>
          <w:rFonts w:hint="eastAsia" w:ascii="宋体" w:hAnsi="宋体" w:cs="宋体"/>
          <w:kern w:val="0"/>
          <w:sz w:val="28"/>
          <w:szCs w:val="28"/>
          <w:u w:val="single"/>
          <w:lang w:val="en-US" w:eastAsia="zh-CN"/>
        </w:rPr>
        <w:t xml:space="preserve">                              </w:t>
      </w:r>
    </w:p>
    <w:p w14:paraId="4AFE1B34">
      <w:pPr>
        <w:tabs>
          <w:tab w:val="left" w:pos="7800"/>
        </w:tabs>
        <w:autoSpaceDE w:val="0"/>
        <w:autoSpaceDN w:val="0"/>
        <w:adjustRightInd w:val="0"/>
        <w:spacing w:line="360" w:lineRule="auto"/>
        <w:ind w:right="103"/>
        <w:rPr>
          <w:rFonts w:hint="eastAsia" w:ascii="宋体" w:hAnsi="宋体" w:eastAsia="宋体" w:cs="宋体"/>
          <w:kern w:val="0"/>
          <w:sz w:val="28"/>
          <w:szCs w:val="28"/>
        </w:rPr>
      </w:pPr>
    </w:p>
    <w:p w14:paraId="720FEEFF">
      <w:pPr>
        <w:tabs>
          <w:tab w:val="left" w:pos="7800"/>
        </w:tabs>
        <w:autoSpaceDE w:val="0"/>
        <w:autoSpaceDN w:val="0"/>
        <w:adjustRightInd w:val="0"/>
        <w:spacing w:line="360" w:lineRule="auto"/>
        <w:ind w:right="103"/>
        <w:rPr>
          <w:rFonts w:hint="eastAsia" w:ascii="宋体" w:hAnsi="宋体" w:eastAsia="宋体" w:cs="宋体"/>
          <w:kern w:val="0"/>
          <w:sz w:val="28"/>
          <w:szCs w:val="28"/>
        </w:rPr>
      </w:pPr>
    </w:p>
    <w:p w14:paraId="10174797">
      <w:pPr>
        <w:tabs>
          <w:tab w:val="left" w:pos="7800"/>
        </w:tabs>
        <w:autoSpaceDE w:val="0"/>
        <w:autoSpaceDN w:val="0"/>
        <w:adjustRightInd w:val="0"/>
        <w:spacing w:line="360" w:lineRule="auto"/>
        <w:ind w:right="103"/>
        <w:rPr>
          <w:rFonts w:hint="eastAsia" w:ascii="宋体" w:hAnsi="宋体" w:eastAsia="宋体" w:cs="宋体"/>
          <w:kern w:val="0"/>
          <w:sz w:val="28"/>
          <w:szCs w:val="28"/>
        </w:rPr>
      </w:pPr>
    </w:p>
    <w:p w14:paraId="3A84C641">
      <w:pPr>
        <w:tabs>
          <w:tab w:val="left" w:pos="7800"/>
        </w:tabs>
        <w:autoSpaceDE w:val="0"/>
        <w:autoSpaceDN w:val="0"/>
        <w:adjustRightInd w:val="0"/>
        <w:spacing w:line="360" w:lineRule="auto"/>
        <w:ind w:right="103"/>
        <w:rPr>
          <w:rFonts w:hint="eastAsia" w:ascii="宋体" w:hAnsi="宋体" w:eastAsia="宋体" w:cs="宋体"/>
          <w:kern w:val="0"/>
          <w:sz w:val="28"/>
          <w:szCs w:val="28"/>
        </w:rPr>
      </w:pPr>
    </w:p>
    <w:p w14:paraId="46F15C1D">
      <w:pPr>
        <w:tabs>
          <w:tab w:val="left" w:pos="7800"/>
        </w:tabs>
        <w:autoSpaceDE w:val="0"/>
        <w:autoSpaceDN w:val="0"/>
        <w:adjustRightInd w:val="0"/>
        <w:spacing w:line="360" w:lineRule="auto"/>
        <w:ind w:right="103"/>
        <w:rPr>
          <w:rFonts w:hint="eastAsia" w:ascii="宋体" w:hAnsi="宋体" w:eastAsia="宋体" w:cs="宋体"/>
          <w:kern w:val="0"/>
          <w:sz w:val="28"/>
          <w:szCs w:val="28"/>
        </w:rPr>
      </w:pPr>
    </w:p>
    <w:p w14:paraId="7A373E2F">
      <w:pPr>
        <w:tabs>
          <w:tab w:val="left" w:pos="7800"/>
        </w:tabs>
        <w:autoSpaceDE w:val="0"/>
        <w:autoSpaceDN w:val="0"/>
        <w:adjustRightInd w:val="0"/>
        <w:spacing w:line="360" w:lineRule="auto"/>
        <w:ind w:right="103"/>
        <w:rPr>
          <w:rFonts w:hint="eastAsia" w:ascii="宋体" w:hAnsi="宋体" w:eastAsia="宋体" w:cs="宋体"/>
          <w:kern w:val="0"/>
          <w:sz w:val="28"/>
          <w:szCs w:val="28"/>
        </w:rPr>
      </w:pPr>
    </w:p>
    <w:sdt>
      <w:sdtPr>
        <w:rPr>
          <w:rFonts w:hint="eastAsia" w:ascii="宋体" w:hAnsi="宋体" w:eastAsia="宋体" w:cs="宋体"/>
          <w:kern w:val="2"/>
          <w:sz w:val="28"/>
          <w:szCs w:val="28"/>
          <w:lang w:val="en-US" w:eastAsia="zh-CN" w:bidi="ar-SA"/>
        </w:rPr>
        <w:id w:val="147469660"/>
        <w15:color w:val="DBDBDB"/>
        <w:docPartObj>
          <w:docPartGallery w:val="Table of Contents"/>
          <w:docPartUnique/>
        </w:docPartObj>
      </w:sdtPr>
      <w:sdtEndPr>
        <w:rPr>
          <w:rFonts w:hint="eastAsia" w:ascii="宋体" w:hAnsi="宋体" w:eastAsia="宋体" w:cs="宋体"/>
          <w:kern w:val="2"/>
          <w:sz w:val="28"/>
          <w:szCs w:val="28"/>
          <w:lang w:val="en-US" w:eastAsia="zh-CN" w:bidi="ar-SA"/>
        </w:rPr>
      </w:sdtEndPr>
      <w:sdtContent>
        <w:p w14:paraId="63F95B9C">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sz w:val="40"/>
              <w:szCs w:val="40"/>
            </w:rPr>
          </w:pPr>
          <w:r>
            <w:rPr>
              <w:rFonts w:hint="eastAsia" w:ascii="宋体" w:hAnsi="宋体" w:eastAsia="宋体" w:cs="宋体"/>
              <w:sz w:val="40"/>
              <w:szCs w:val="40"/>
            </w:rPr>
            <w:t>目录</w:t>
          </w:r>
        </w:p>
        <w:p w14:paraId="37A932C9">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sz w:val="40"/>
              <w:szCs w:val="40"/>
            </w:rPr>
          </w:pPr>
        </w:p>
        <w:p w14:paraId="40392216">
          <w:pPr>
            <w:pStyle w:val="12"/>
            <w:keepNext w:val="0"/>
            <w:keepLines w:val="0"/>
            <w:pageBreakBefore w:val="0"/>
            <w:tabs>
              <w:tab w:val="right" w:leader="dot" w:pos="9355"/>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TOC \o "1-1" \h \u </w:instrText>
          </w:r>
          <w:r>
            <w:rPr>
              <w:rFonts w:hint="eastAsia" w:ascii="宋体" w:hAnsi="宋体" w:eastAsia="宋体" w:cs="宋体"/>
              <w:sz w:val="28"/>
              <w:szCs w:val="28"/>
            </w:rPr>
            <w:fldChar w:fldCharType="separate"/>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_Toc8273 </w:instrText>
          </w:r>
          <w:r>
            <w:rPr>
              <w:rFonts w:hint="eastAsia" w:ascii="宋体" w:hAnsi="宋体" w:eastAsia="宋体" w:cs="宋体"/>
              <w:sz w:val="28"/>
              <w:szCs w:val="28"/>
            </w:rPr>
            <w:fldChar w:fldCharType="separate"/>
          </w:r>
          <w:r>
            <w:rPr>
              <w:rFonts w:hint="eastAsia" w:ascii="宋体" w:hAnsi="宋体" w:eastAsia="宋体" w:cs="宋体"/>
              <w:kern w:val="2"/>
              <w:sz w:val="28"/>
              <w:szCs w:val="28"/>
            </w:rPr>
            <w:t xml:space="preserve">第一部份 </w:t>
          </w:r>
          <w:r>
            <w:rPr>
              <w:rFonts w:hint="eastAsia" w:ascii="宋体" w:hAnsi="宋体" w:eastAsia="宋体" w:cs="宋体"/>
              <w:sz w:val="28"/>
              <w:szCs w:val="28"/>
            </w:rPr>
            <w:t>合同协议书</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_Toc8273 \h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065F544B">
          <w:pPr>
            <w:pStyle w:val="12"/>
            <w:keepNext w:val="0"/>
            <w:keepLines w:val="0"/>
            <w:pageBreakBefore w:val="0"/>
            <w:tabs>
              <w:tab w:val="right" w:leader="dot" w:pos="9355"/>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_Toc27436 </w:instrText>
          </w:r>
          <w:r>
            <w:rPr>
              <w:rFonts w:hint="eastAsia" w:ascii="宋体" w:hAnsi="宋体" w:eastAsia="宋体" w:cs="宋体"/>
              <w:sz w:val="28"/>
              <w:szCs w:val="28"/>
            </w:rPr>
            <w:fldChar w:fldCharType="separate"/>
          </w:r>
          <w:r>
            <w:rPr>
              <w:rFonts w:hint="eastAsia" w:ascii="宋体" w:hAnsi="宋体" w:eastAsia="宋体" w:cs="宋体"/>
              <w:sz w:val="28"/>
              <w:szCs w:val="28"/>
            </w:rPr>
            <w:t>第二部分 通用合同条款</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_Toc27436 \h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410DD16">
          <w:pPr>
            <w:pStyle w:val="12"/>
            <w:keepNext w:val="0"/>
            <w:keepLines w:val="0"/>
            <w:pageBreakBefore w:val="0"/>
            <w:tabs>
              <w:tab w:val="right" w:leader="dot" w:pos="9355"/>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_Toc32205 </w:instrText>
          </w:r>
          <w:r>
            <w:rPr>
              <w:rFonts w:hint="eastAsia" w:ascii="宋体" w:hAnsi="宋体" w:eastAsia="宋体" w:cs="宋体"/>
              <w:sz w:val="28"/>
              <w:szCs w:val="28"/>
            </w:rPr>
            <w:fldChar w:fldCharType="separate"/>
          </w:r>
          <w:r>
            <w:rPr>
              <w:rFonts w:hint="eastAsia" w:ascii="宋体" w:hAnsi="宋体" w:eastAsia="宋体" w:cs="宋体"/>
              <w:sz w:val="28"/>
              <w:szCs w:val="28"/>
            </w:rPr>
            <w:t>第三部分 专用合同条款</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_Toc32205 \h </w:instrText>
          </w:r>
          <w:r>
            <w:rPr>
              <w:rFonts w:hint="eastAsia" w:ascii="宋体" w:hAnsi="宋体" w:eastAsia="宋体" w:cs="宋体"/>
              <w:sz w:val="28"/>
              <w:szCs w:val="28"/>
            </w:rPr>
            <w:fldChar w:fldCharType="separate"/>
          </w:r>
          <w:r>
            <w:rPr>
              <w:rFonts w:hint="eastAsia" w:ascii="宋体" w:hAnsi="宋体" w:eastAsia="宋体" w:cs="宋体"/>
              <w:sz w:val="28"/>
              <w:szCs w:val="28"/>
            </w:rPr>
            <w:t>42</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0E7E91F3">
          <w:pPr>
            <w:pStyle w:val="12"/>
            <w:keepNext w:val="0"/>
            <w:keepLines w:val="0"/>
            <w:pageBreakBefore w:val="0"/>
            <w:tabs>
              <w:tab w:val="right" w:leader="dot" w:pos="9355"/>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_Toc17410 </w:instrText>
          </w:r>
          <w:r>
            <w:rPr>
              <w:rFonts w:hint="eastAsia" w:ascii="宋体" w:hAnsi="宋体" w:eastAsia="宋体" w:cs="宋体"/>
              <w:sz w:val="28"/>
              <w:szCs w:val="28"/>
            </w:rPr>
            <w:fldChar w:fldCharType="separate"/>
          </w:r>
          <w:r>
            <w:rPr>
              <w:rFonts w:hint="eastAsia" w:ascii="宋体" w:hAnsi="宋体" w:eastAsia="宋体" w:cs="宋体"/>
              <w:sz w:val="28"/>
              <w:szCs w:val="28"/>
              <w:highlight w:val="none"/>
            </w:rPr>
            <w:t>附件1：承包人承揽工程项目一览表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_Toc17410 \h </w:instrText>
          </w:r>
          <w:r>
            <w:rPr>
              <w:rFonts w:hint="eastAsia" w:ascii="宋体" w:hAnsi="宋体" w:eastAsia="宋体" w:cs="宋体"/>
              <w:sz w:val="28"/>
              <w:szCs w:val="28"/>
            </w:rPr>
            <w:fldChar w:fldCharType="separate"/>
          </w:r>
          <w:r>
            <w:rPr>
              <w:rFonts w:hint="eastAsia" w:ascii="宋体" w:hAnsi="宋体" w:eastAsia="宋体" w:cs="宋体"/>
              <w:sz w:val="28"/>
              <w:szCs w:val="28"/>
            </w:rPr>
            <w:t>76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FF178A4">
          <w:pPr>
            <w:pStyle w:val="12"/>
            <w:keepNext w:val="0"/>
            <w:keepLines w:val="0"/>
            <w:pageBreakBefore w:val="0"/>
            <w:tabs>
              <w:tab w:val="right" w:leader="dot" w:pos="9355"/>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_Toc12294 </w:instrText>
          </w:r>
          <w:r>
            <w:rPr>
              <w:rFonts w:hint="eastAsia" w:ascii="宋体" w:hAnsi="宋体" w:eastAsia="宋体" w:cs="宋体"/>
              <w:sz w:val="28"/>
              <w:szCs w:val="28"/>
            </w:rPr>
            <w:fldChar w:fldCharType="separate"/>
          </w:r>
          <w:r>
            <w:rPr>
              <w:rFonts w:hint="eastAsia" w:ascii="宋体" w:hAnsi="宋体" w:eastAsia="宋体" w:cs="宋体"/>
              <w:sz w:val="28"/>
              <w:szCs w:val="28"/>
            </w:rPr>
            <w:t>附件2：发包人供应材料设备一览表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_Toc12294 \h </w:instrText>
          </w:r>
          <w:r>
            <w:rPr>
              <w:rFonts w:hint="eastAsia" w:ascii="宋体" w:hAnsi="宋体" w:eastAsia="宋体" w:cs="宋体"/>
              <w:sz w:val="28"/>
              <w:szCs w:val="28"/>
            </w:rPr>
            <w:fldChar w:fldCharType="separate"/>
          </w:r>
          <w:r>
            <w:rPr>
              <w:rFonts w:hint="eastAsia" w:ascii="宋体" w:hAnsi="宋体" w:eastAsia="宋体" w:cs="宋体"/>
              <w:sz w:val="28"/>
              <w:szCs w:val="28"/>
            </w:rPr>
            <w:t>77</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90EEC3B">
          <w:pPr>
            <w:pStyle w:val="12"/>
            <w:keepNext w:val="0"/>
            <w:keepLines w:val="0"/>
            <w:pageBreakBefore w:val="0"/>
            <w:tabs>
              <w:tab w:val="right" w:leader="dot" w:pos="9355"/>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_Toc17729 </w:instrText>
          </w:r>
          <w:r>
            <w:rPr>
              <w:rFonts w:hint="eastAsia" w:ascii="宋体" w:hAnsi="宋体" w:eastAsia="宋体" w:cs="宋体"/>
              <w:sz w:val="28"/>
              <w:szCs w:val="28"/>
            </w:rPr>
            <w:fldChar w:fldCharType="separate"/>
          </w:r>
          <w:r>
            <w:rPr>
              <w:rFonts w:hint="eastAsia" w:ascii="宋体" w:hAnsi="宋体" w:eastAsia="宋体" w:cs="宋体"/>
              <w:sz w:val="28"/>
              <w:szCs w:val="28"/>
            </w:rPr>
            <w:t>附件3：工程质量保修书</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_Toc17729 \h </w:instrText>
          </w:r>
          <w:r>
            <w:rPr>
              <w:rFonts w:hint="eastAsia" w:ascii="宋体" w:hAnsi="宋体" w:eastAsia="宋体" w:cs="宋体"/>
              <w:sz w:val="28"/>
              <w:szCs w:val="28"/>
            </w:rPr>
            <w:fldChar w:fldCharType="separate"/>
          </w:r>
          <w:r>
            <w:rPr>
              <w:rFonts w:hint="eastAsia" w:ascii="宋体" w:hAnsi="宋体" w:eastAsia="宋体" w:cs="宋体"/>
              <w:sz w:val="28"/>
              <w:szCs w:val="28"/>
            </w:rPr>
            <w:t>78</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0C0ACE98">
          <w:pPr>
            <w:pStyle w:val="12"/>
            <w:keepNext w:val="0"/>
            <w:keepLines w:val="0"/>
            <w:pageBreakBefore w:val="0"/>
            <w:tabs>
              <w:tab w:val="right" w:leader="dot" w:pos="9355"/>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_Toc31280 </w:instrText>
          </w:r>
          <w:r>
            <w:rPr>
              <w:rFonts w:hint="eastAsia" w:ascii="宋体" w:hAnsi="宋体" w:eastAsia="宋体" w:cs="宋体"/>
              <w:sz w:val="28"/>
              <w:szCs w:val="28"/>
            </w:rPr>
            <w:fldChar w:fldCharType="separate"/>
          </w:r>
          <w:r>
            <w:rPr>
              <w:rFonts w:hint="eastAsia" w:ascii="宋体" w:hAnsi="宋体" w:eastAsia="宋体" w:cs="宋体"/>
              <w:sz w:val="28"/>
              <w:szCs w:val="28"/>
            </w:rPr>
            <w:t>附件4：主要建设工程文件目录</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_Toc31280 \h </w:instrText>
          </w:r>
          <w:r>
            <w:rPr>
              <w:rFonts w:hint="eastAsia" w:ascii="宋体" w:hAnsi="宋体" w:eastAsia="宋体" w:cs="宋体"/>
              <w:sz w:val="28"/>
              <w:szCs w:val="28"/>
            </w:rPr>
            <w:fldChar w:fldCharType="separate"/>
          </w:r>
          <w:r>
            <w:rPr>
              <w:rFonts w:hint="eastAsia" w:ascii="宋体" w:hAnsi="宋体" w:eastAsia="宋体" w:cs="宋体"/>
              <w:sz w:val="28"/>
              <w:szCs w:val="28"/>
            </w:rPr>
            <w:t>80</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2FEFC25F">
          <w:pPr>
            <w:pStyle w:val="12"/>
            <w:keepNext w:val="0"/>
            <w:keepLines w:val="0"/>
            <w:pageBreakBefore w:val="0"/>
            <w:tabs>
              <w:tab w:val="right" w:leader="dot" w:pos="9355"/>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_Toc15411 </w:instrText>
          </w:r>
          <w:r>
            <w:rPr>
              <w:rFonts w:hint="eastAsia" w:ascii="宋体" w:hAnsi="宋体" w:eastAsia="宋体" w:cs="宋体"/>
              <w:sz w:val="28"/>
              <w:szCs w:val="28"/>
            </w:rPr>
            <w:fldChar w:fldCharType="separate"/>
          </w:r>
          <w:r>
            <w:rPr>
              <w:rFonts w:hint="eastAsia" w:ascii="宋体" w:hAnsi="宋体" w:eastAsia="宋体" w:cs="宋体"/>
              <w:sz w:val="28"/>
              <w:szCs w:val="28"/>
            </w:rPr>
            <w:t>附件5：承包人用于本工程施工的机械设备表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_Toc15411 \h </w:instrText>
          </w:r>
          <w:r>
            <w:rPr>
              <w:rFonts w:hint="eastAsia" w:ascii="宋体" w:hAnsi="宋体" w:eastAsia="宋体" w:cs="宋体"/>
              <w:sz w:val="28"/>
              <w:szCs w:val="28"/>
            </w:rPr>
            <w:fldChar w:fldCharType="separate"/>
          </w:r>
          <w:r>
            <w:rPr>
              <w:rFonts w:hint="eastAsia" w:ascii="宋体" w:hAnsi="宋体" w:eastAsia="宋体" w:cs="宋体"/>
              <w:sz w:val="28"/>
              <w:szCs w:val="28"/>
            </w:rPr>
            <w:t>81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17638863">
          <w:pPr>
            <w:pStyle w:val="12"/>
            <w:keepNext w:val="0"/>
            <w:keepLines w:val="0"/>
            <w:pageBreakBefore w:val="0"/>
            <w:tabs>
              <w:tab w:val="right" w:leader="dot" w:pos="9355"/>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_Toc22441 </w:instrText>
          </w:r>
          <w:r>
            <w:rPr>
              <w:rFonts w:hint="eastAsia" w:ascii="宋体" w:hAnsi="宋体" w:eastAsia="宋体" w:cs="宋体"/>
              <w:sz w:val="28"/>
              <w:szCs w:val="28"/>
            </w:rPr>
            <w:fldChar w:fldCharType="separate"/>
          </w:r>
          <w:r>
            <w:rPr>
              <w:rFonts w:hint="eastAsia" w:ascii="宋体" w:hAnsi="宋体" w:eastAsia="宋体" w:cs="宋体"/>
              <w:sz w:val="28"/>
              <w:szCs w:val="28"/>
              <w:highlight w:val="none"/>
            </w:rPr>
            <w:t>附件6：承包人主要施工管理人员表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_Toc22441 \h </w:instrText>
          </w:r>
          <w:r>
            <w:rPr>
              <w:rFonts w:hint="eastAsia" w:ascii="宋体" w:hAnsi="宋体" w:eastAsia="宋体" w:cs="宋体"/>
              <w:sz w:val="28"/>
              <w:szCs w:val="28"/>
            </w:rPr>
            <w:fldChar w:fldCharType="separate"/>
          </w:r>
          <w:r>
            <w:rPr>
              <w:rFonts w:hint="eastAsia" w:ascii="宋体" w:hAnsi="宋体" w:eastAsia="宋体" w:cs="宋体"/>
              <w:sz w:val="28"/>
              <w:szCs w:val="28"/>
            </w:rPr>
            <w:t>82</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1905F7D1">
          <w:pPr>
            <w:pStyle w:val="12"/>
            <w:keepNext w:val="0"/>
            <w:keepLines w:val="0"/>
            <w:pageBreakBefore w:val="0"/>
            <w:tabs>
              <w:tab w:val="right" w:leader="dot" w:pos="9355"/>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_Toc5367 </w:instrText>
          </w:r>
          <w:r>
            <w:rPr>
              <w:rFonts w:hint="eastAsia" w:ascii="宋体" w:hAnsi="宋体" w:eastAsia="宋体" w:cs="宋体"/>
              <w:sz w:val="28"/>
              <w:szCs w:val="28"/>
            </w:rPr>
            <w:fldChar w:fldCharType="separate"/>
          </w:r>
          <w:r>
            <w:rPr>
              <w:rFonts w:hint="eastAsia" w:ascii="宋体" w:hAnsi="宋体" w:eastAsia="宋体" w:cs="宋体"/>
              <w:sz w:val="28"/>
              <w:szCs w:val="28"/>
            </w:rPr>
            <w:t>附件7：分包人主要施工管理人员表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_Toc5367 \h </w:instrText>
          </w:r>
          <w:r>
            <w:rPr>
              <w:rFonts w:hint="eastAsia" w:ascii="宋体" w:hAnsi="宋体" w:eastAsia="宋体" w:cs="宋体"/>
              <w:sz w:val="28"/>
              <w:szCs w:val="28"/>
            </w:rPr>
            <w:fldChar w:fldCharType="separate"/>
          </w:r>
          <w:r>
            <w:rPr>
              <w:rFonts w:hint="eastAsia" w:ascii="宋体" w:hAnsi="宋体" w:eastAsia="宋体" w:cs="宋体"/>
              <w:sz w:val="28"/>
              <w:szCs w:val="28"/>
            </w:rPr>
            <w:t>83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07DE753D">
          <w:pPr>
            <w:pStyle w:val="12"/>
            <w:keepNext w:val="0"/>
            <w:keepLines w:val="0"/>
            <w:pageBreakBefore w:val="0"/>
            <w:tabs>
              <w:tab w:val="right" w:leader="dot" w:pos="9355"/>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_Toc20839 </w:instrText>
          </w:r>
          <w:r>
            <w:rPr>
              <w:rFonts w:hint="eastAsia" w:ascii="宋体" w:hAnsi="宋体" w:eastAsia="宋体" w:cs="宋体"/>
              <w:sz w:val="28"/>
              <w:szCs w:val="28"/>
            </w:rPr>
            <w:fldChar w:fldCharType="separate"/>
          </w:r>
          <w:r>
            <w:rPr>
              <w:rFonts w:hint="eastAsia" w:ascii="宋体" w:hAnsi="宋体" w:eastAsia="宋体" w:cs="宋体"/>
              <w:sz w:val="28"/>
              <w:szCs w:val="28"/>
            </w:rPr>
            <w:t>附件8：银行履约保函</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_Toc20839 \h </w:instrText>
          </w:r>
          <w:r>
            <w:rPr>
              <w:rFonts w:hint="eastAsia" w:ascii="宋体" w:hAnsi="宋体" w:eastAsia="宋体" w:cs="宋体"/>
              <w:sz w:val="28"/>
              <w:szCs w:val="28"/>
            </w:rPr>
            <w:fldChar w:fldCharType="separate"/>
          </w:r>
          <w:r>
            <w:rPr>
              <w:rFonts w:hint="eastAsia" w:ascii="宋体" w:hAnsi="宋体" w:eastAsia="宋体" w:cs="宋体"/>
              <w:sz w:val="28"/>
              <w:szCs w:val="28"/>
            </w:rPr>
            <w:t>84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1B09771A">
          <w:pPr>
            <w:pStyle w:val="12"/>
            <w:keepNext w:val="0"/>
            <w:keepLines w:val="0"/>
            <w:pageBreakBefore w:val="0"/>
            <w:tabs>
              <w:tab w:val="right" w:leader="dot" w:pos="9355"/>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_Toc5307 </w:instrText>
          </w:r>
          <w:r>
            <w:rPr>
              <w:rFonts w:hint="eastAsia" w:ascii="宋体" w:hAnsi="宋体" w:eastAsia="宋体" w:cs="宋体"/>
              <w:sz w:val="28"/>
              <w:szCs w:val="28"/>
            </w:rPr>
            <w:fldChar w:fldCharType="separate"/>
          </w:r>
          <w:r>
            <w:rPr>
              <w:rFonts w:hint="eastAsia" w:ascii="宋体" w:hAnsi="宋体" w:eastAsia="宋体" w:cs="宋体"/>
              <w:sz w:val="28"/>
              <w:szCs w:val="28"/>
            </w:rPr>
            <w:t>附件9：预付款银行保函</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_Toc5307 \h </w:instrText>
          </w:r>
          <w:r>
            <w:rPr>
              <w:rFonts w:hint="eastAsia" w:ascii="宋体" w:hAnsi="宋体" w:eastAsia="宋体" w:cs="宋体"/>
              <w:sz w:val="28"/>
              <w:szCs w:val="28"/>
            </w:rPr>
            <w:fldChar w:fldCharType="separate"/>
          </w:r>
          <w:r>
            <w:rPr>
              <w:rFonts w:hint="eastAsia" w:ascii="宋体" w:hAnsi="宋体" w:eastAsia="宋体" w:cs="宋体"/>
              <w:sz w:val="28"/>
              <w:szCs w:val="28"/>
            </w:rPr>
            <w:t>85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24D3C0D">
          <w:pPr>
            <w:pStyle w:val="12"/>
            <w:keepNext w:val="0"/>
            <w:keepLines w:val="0"/>
            <w:pageBreakBefore w:val="0"/>
            <w:tabs>
              <w:tab w:val="right" w:leader="dot" w:pos="9355"/>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_Toc8133 </w:instrText>
          </w:r>
          <w:r>
            <w:rPr>
              <w:rFonts w:hint="eastAsia" w:ascii="宋体" w:hAnsi="宋体" w:eastAsia="宋体" w:cs="宋体"/>
              <w:sz w:val="28"/>
              <w:szCs w:val="28"/>
            </w:rPr>
            <w:fldChar w:fldCharType="separate"/>
          </w:r>
          <w:r>
            <w:rPr>
              <w:rFonts w:hint="eastAsia" w:ascii="宋体" w:hAnsi="宋体" w:eastAsia="宋体" w:cs="宋体"/>
              <w:sz w:val="28"/>
              <w:szCs w:val="28"/>
            </w:rPr>
            <w:t>附件10：保函延期承诺书</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_Toc8133 \h </w:instrText>
          </w:r>
          <w:r>
            <w:rPr>
              <w:rFonts w:hint="eastAsia" w:ascii="宋体" w:hAnsi="宋体" w:eastAsia="宋体" w:cs="宋体"/>
              <w:sz w:val="28"/>
              <w:szCs w:val="28"/>
            </w:rPr>
            <w:fldChar w:fldCharType="separate"/>
          </w:r>
          <w:r>
            <w:rPr>
              <w:rFonts w:hint="eastAsia" w:ascii="宋体" w:hAnsi="宋体" w:eastAsia="宋体" w:cs="宋体"/>
              <w:sz w:val="28"/>
              <w:szCs w:val="28"/>
            </w:rPr>
            <w:t>86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0F02EB5">
          <w:pPr>
            <w:pStyle w:val="12"/>
            <w:keepNext w:val="0"/>
            <w:keepLines w:val="0"/>
            <w:pageBreakBefore w:val="0"/>
            <w:tabs>
              <w:tab w:val="right" w:leader="dot" w:pos="9355"/>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_Toc708 </w:instrText>
          </w:r>
          <w:r>
            <w:rPr>
              <w:rFonts w:hint="eastAsia" w:ascii="宋体" w:hAnsi="宋体" w:eastAsia="宋体" w:cs="宋体"/>
              <w:sz w:val="28"/>
              <w:szCs w:val="28"/>
            </w:rPr>
            <w:fldChar w:fldCharType="separate"/>
          </w:r>
          <w:r>
            <w:rPr>
              <w:rFonts w:hint="eastAsia" w:ascii="宋体" w:hAnsi="宋体" w:eastAsia="宋体" w:cs="宋体"/>
              <w:sz w:val="28"/>
              <w:szCs w:val="28"/>
            </w:rPr>
            <w:t>附件11：暂估价一览表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_Toc708 \h </w:instrText>
          </w:r>
          <w:r>
            <w:rPr>
              <w:rFonts w:hint="eastAsia" w:ascii="宋体" w:hAnsi="宋体" w:eastAsia="宋体" w:cs="宋体"/>
              <w:sz w:val="28"/>
              <w:szCs w:val="28"/>
            </w:rPr>
            <w:fldChar w:fldCharType="separate"/>
          </w:r>
          <w:r>
            <w:rPr>
              <w:rFonts w:hint="eastAsia" w:ascii="宋体" w:hAnsi="宋体" w:eastAsia="宋体" w:cs="宋体"/>
              <w:sz w:val="28"/>
              <w:szCs w:val="28"/>
            </w:rPr>
            <w:t>87</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272B571">
          <w:pPr>
            <w:pStyle w:val="12"/>
            <w:keepNext w:val="0"/>
            <w:keepLines w:val="0"/>
            <w:pageBreakBefore w:val="0"/>
            <w:tabs>
              <w:tab w:val="right" w:leader="dot" w:pos="9355"/>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_Toc998 </w:instrText>
          </w:r>
          <w:r>
            <w:rPr>
              <w:rFonts w:hint="eastAsia" w:ascii="宋体" w:hAnsi="宋体" w:eastAsia="宋体" w:cs="宋体"/>
              <w:sz w:val="28"/>
              <w:szCs w:val="28"/>
            </w:rPr>
            <w:fldChar w:fldCharType="separate"/>
          </w:r>
          <w:r>
            <w:rPr>
              <w:rFonts w:hint="eastAsia" w:ascii="宋体" w:hAnsi="宋体" w:eastAsia="宋体" w:cs="宋体"/>
              <w:sz w:val="28"/>
              <w:szCs w:val="28"/>
            </w:rPr>
            <w:t>附件12：工程量清单</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_Toc998 \h </w:instrText>
          </w:r>
          <w:r>
            <w:rPr>
              <w:rFonts w:hint="eastAsia" w:ascii="宋体" w:hAnsi="宋体" w:eastAsia="宋体" w:cs="宋体"/>
              <w:sz w:val="28"/>
              <w:szCs w:val="28"/>
            </w:rPr>
            <w:fldChar w:fldCharType="separate"/>
          </w:r>
          <w:r>
            <w:rPr>
              <w:rFonts w:hint="eastAsia" w:ascii="宋体" w:hAnsi="宋体" w:eastAsia="宋体" w:cs="宋体"/>
              <w:sz w:val="28"/>
              <w:szCs w:val="28"/>
            </w:rPr>
            <w:t>89</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29C1C16E">
          <w:pPr>
            <w:pStyle w:val="12"/>
            <w:keepNext w:val="0"/>
            <w:keepLines w:val="0"/>
            <w:pageBreakBefore w:val="0"/>
            <w:tabs>
              <w:tab w:val="right" w:leader="dot" w:pos="9355"/>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_Toc7891 </w:instrText>
          </w:r>
          <w:r>
            <w:rPr>
              <w:rFonts w:hint="eastAsia" w:ascii="宋体" w:hAnsi="宋体" w:eastAsia="宋体" w:cs="宋体"/>
              <w:sz w:val="28"/>
              <w:szCs w:val="28"/>
            </w:rPr>
            <w:fldChar w:fldCharType="separate"/>
          </w:r>
          <w:r>
            <w:rPr>
              <w:rFonts w:hint="eastAsia" w:ascii="宋体" w:hAnsi="宋体" w:eastAsia="宋体" w:cs="宋体"/>
              <w:sz w:val="28"/>
              <w:szCs w:val="28"/>
            </w:rPr>
            <w:t>附件13：不平衡报价的调整单价确认表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_Toc7891 \h </w:instrText>
          </w:r>
          <w:r>
            <w:rPr>
              <w:rFonts w:hint="eastAsia" w:ascii="宋体" w:hAnsi="宋体" w:eastAsia="宋体" w:cs="宋体"/>
              <w:sz w:val="28"/>
              <w:szCs w:val="28"/>
            </w:rPr>
            <w:fldChar w:fldCharType="separate"/>
          </w:r>
          <w:r>
            <w:rPr>
              <w:rFonts w:hint="eastAsia" w:ascii="宋体" w:hAnsi="宋体" w:eastAsia="宋体" w:cs="宋体"/>
              <w:sz w:val="28"/>
              <w:szCs w:val="28"/>
            </w:rPr>
            <w:t>150</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0B4E557">
          <w:pPr>
            <w:pStyle w:val="12"/>
            <w:keepNext w:val="0"/>
            <w:keepLines w:val="0"/>
            <w:pageBreakBefore w:val="0"/>
            <w:tabs>
              <w:tab w:val="right" w:leader="dot" w:pos="9355"/>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_Toc23814 </w:instrText>
          </w:r>
          <w:r>
            <w:rPr>
              <w:rFonts w:hint="eastAsia" w:ascii="宋体" w:hAnsi="宋体" w:eastAsia="宋体" w:cs="宋体"/>
              <w:sz w:val="28"/>
              <w:szCs w:val="28"/>
            </w:rPr>
            <w:fldChar w:fldCharType="separate"/>
          </w:r>
          <w:r>
            <w:rPr>
              <w:rFonts w:hint="eastAsia" w:ascii="宋体" w:hAnsi="宋体" w:eastAsia="宋体" w:cs="宋体"/>
              <w:sz w:val="28"/>
              <w:szCs w:val="28"/>
            </w:rPr>
            <w:t>附件14：安全责任书</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_Toc23814 \h </w:instrText>
          </w:r>
          <w:r>
            <w:rPr>
              <w:rFonts w:hint="eastAsia" w:ascii="宋体" w:hAnsi="宋体" w:eastAsia="宋体" w:cs="宋体"/>
              <w:sz w:val="28"/>
              <w:szCs w:val="28"/>
            </w:rPr>
            <w:fldChar w:fldCharType="separate"/>
          </w:r>
          <w:r>
            <w:rPr>
              <w:rFonts w:hint="eastAsia" w:ascii="宋体" w:hAnsi="宋体" w:eastAsia="宋体" w:cs="宋体"/>
              <w:sz w:val="28"/>
              <w:szCs w:val="28"/>
            </w:rPr>
            <w:t>151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0910E77">
          <w:pPr>
            <w:pStyle w:val="12"/>
            <w:keepNext w:val="0"/>
            <w:keepLines w:val="0"/>
            <w:pageBreakBefore w:val="0"/>
            <w:tabs>
              <w:tab w:val="right" w:leader="dot" w:pos="9355"/>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_Toc30635 </w:instrText>
          </w:r>
          <w:r>
            <w:rPr>
              <w:rFonts w:hint="eastAsia" w:ascii="宋体" w:hAnsi="宋体" w:eastAsia="宋体" w:cs="宋体"/>
              <w:sz w:val="28"/>
              <w:szCs w:val="28"/>
            </w:rPr>
            <w:fldChar w:fldCharType="separate"/>
          </w:r>
          <w:r>
            <w:rPr>
              <w:rFonts w:hint="eastAsia" w:ascii="宋体" w:hAnsi="宋体" w:eastAsia="宋体" w:cs="宋体"/>
              <w:sz w:val="28"/>
              <w:szCs w:val="28"/>
            </w:rPr>
            <w:t>附件15：廉洁协议</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_Toc30635 \h </w:instrText>
          </w:r>
          <w:r>
            <w:rPr>
              <w:rFonts w:hint="eastAsia" w:ascii="宋体" w:hAnsi="宋体" w:eastAsia="宋体" w:cs="宋体"/>
              <w:sz w:val="28"/>
              <w:szCs w:val="28"/>
            </w:rPr>
            <w:fldChar w:fldCharType="separate"/>
          </w:r>
          <w:r>
            <w:rPr>
              <w:rFonts w:hint="eastAsia" w:ascii="宋体" w:hAnsi="宋体" w:eastAsia="宋体" w:cs="宋体"/>
              <w:sz w:val="28"/>
              <w:szCs w:val="28"/>
            </w:rPr>
            <w:t>153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1AD9354D">
          <w:pPr>
            <w:pStyle w:val="12"/>
            <w:keepNext w:val="0"/>
            <w:keepLines w:val="0"/>
            <w:pageBreakBefore w:val="0"/>
            <w:tabs>
              <w:tab w:val="right" w:leader="dot" w:pos="9355"/>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_Toc24942 </w:instrText>
          </w:r>
          <w:r>
            <w:rPr>
              <w:rFonts w:hint="eastAsia" w:ascii="宋体" w:hAnsi="宋体" w:eastAsia="宋体" w:cs="宋体"/>
              <w:sz w:val="28"/>
              <w:szCs w:val="28"/>
            </w:rPr>
            <w:fldChar w:fldCharType="separate"/>
          </w:r>
          <w:r>
            <w:rPr>
              <w:rFonts w:hint="eastAsia" w:ascii="宋体" w:hAnsi="宋体" w:eastAsia="宋体" w:cs="宋体"/>
              <w:sz w:val="28"/>
              <w:szCs w:val="28"/>
            </w:rPr>
            <w:t>附件16：承包人违约情况一览表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_Toc24942 \h </w:instrText>
          </w:r>
          <w:r>
            <w:rPr>
              <w:rFonts w:hint="eastAsia" w:ascii="宋体" w:hAnsi="宋体" w:eastAsia="宋体" w:cs="宋体"/>
              <w:sz w:val="28"/>
              <w:szCs w:val="28"/>
            </w:rPr>
            <w:fldChar w:fldCharType="separate"/>
          </w:r>
          <w:r>
            <w:rPr>
              <w:rFonts w:hint="eastAsia" w:ascii="宋体" w:hAnsi="宋体" w:eastAsia="宋体" w:cs="宋体"/>
              <w:sz w:val="28"/>
              <w:szCs w:val="28"/>
            </w:rPr>
            <w:t>157</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6B65F9E">
          <w:pPr>
            <w:keepNext w:val="0"/>
            <w:keepLines w:val="0"/>
            <w:pageBreakBefore w:val="0"/>
            <w:kinsoku/>
            <w:wordWrap/>
            <w:overflowPunct/>
            <w:topLinePunct w:val="0"/>
            <w:autoSpaceDE/>
            <w:autoSpaceDN/>
            <w:bidi w:val="0"/>
            <w:adjustRightInd/>
            <w:snapToGrid/>
            <w:spacing w:before="0" w:beforeLines="0" w:after="0" w:afterLines="0" w:line="360" w:lineRule="auto"/>
            <w:textAlignment w:val="auto"/>
          </w:pPr>
          <w:r>
            <w:rPr>
              <w:rFonts w:hint="eastAsia" w:ascii="宋体" w:hAnsi="宋体" w:eastAsia="宋体" w:cs="宋体"/>
              <w:sz w:val="28"/>
              <w:szCs w:val="28"/>
            </w:rPr>
            <w:fldChar w:fldCharType="end"/>
          </w:r>
        </w:p>
      </w:sdtContent>
    </w:sdt>
    <w:p w14:paraId="71754B43">
      <w:pPr>
        <w:tabs>
          <w:tab w:val="left" w:pos="7800"/>
        </w:tabs>
        <w:autoSpaceDE w:val="0"/>
        <w:autoSpaceDN w:val="0"/>
        <w:adjustRightInd w:val="0"/>
        <w:spacing w:line="360" w:lineRule="auto"/>
        <w:ind w:right="103"/>
        <w:rPr>
          <w:rFonts w:hint="eastAsia" w:ascii="宋体" w:hAnsi="宋体" w:eastAsia="宋体" w:cs="宋体"/>
          <w:kern w:val="0"/>
          <w:sz w:val="28"/>
          <w:szCs w:val="28"/>
        </w:rPr>
        <w:sectPr>
          <w:endnotePr>
            <w:numFmt w:val="decimal"/>
          </w:endnotePr>
          <w:pgSz w:w="11907" w:h="16840"/>
          <w:pgMar w:top="1134" w:right="1134" w:bottom="1134" w:left="1134" w:header="851" w:footer="907" w:gutter="284"/>
          <w:pgNumType w:start="1" w:chapStyle="1"/>
          <w:cols w:space="720" w:num="1"/>
        </w:sectPr>
      </w:pPr>
      <w:r>
        <w:rPr>
          <w:rFonts w:hint="eastAsia" w:ascii="宋体" w:hAnsi="宋体" w:eastAsia="宋体" w:cs="宋体"/>
          <w:kern w:val="0"/>
          <w:sz w:val="28"/>
          <w:szCs w:val="28"/>
        </w:rPr>
        <w:tab/>
      </w:r>
    </w:p>
    <w:p w14:paraId="44970686">
      <w:pPr>
        <w:pStyle w:val="3"/>
        <w:spacing w:before="0" w:after="0" w:line="240" w:lineRule="auto"/>
        <w:jc w:val="center"/>
        <w:outlineLvl w:val="0"/>
        <w:rPr>
          <w:rFonts w:hint="eastAsia" w:ascii="宋体" w:hAnsi="宋体" w:eastAsia="宋体" w:cs="宋体"/>
          <w:b w:val="0"/>
          <w:kern w:val="0"/>
          <w:szCs w:val="44"/>
        </w:rPr>
      </w:pPr>
      <w:bookmarkStart w:id="3" w:name="_Toc14501"/>
      <w:bookmarkStart w:id="4" w:name="_Toc3952"/>
      <w:bookmarkStart w:id="5" w:name="_Toc13435"/>
      <w:bookmarkStart w:id="6" w:name="_Toc1637"/>
      <w:bookmarkStart w:id="7" w:name="_Toc8273"/>
      <w:bookmarkStart w:id="8" w:name="_Toc25950"/>
      <w:bookmarkStart w:id="9" w:name="_Toc31413"/>
      <w:bookmarkStart w:id="10" w:name="_Toc7650"/>
      <w:r>
        <w:rPr>
          <w:rFonts w:hint="eastAsia" w:ascii="宋体" w:hAnsi="宋体" w:eastAsia="宋体" w:cs="宋体"/>
          <w:b/>
          <w:kern w:val="2"/>
          <w:sz w:val="44"/>
          <w:szCs w:val="32"/>
        </w:rPr>
        <w:t xml:space="preserve">第一部份 </w:t>
      </w:r>
      <w:r>
        <w:rPr>
          <w:rFonts w:hint="eastAsia" w:ascii="宋体" w:hAnsi="宋体" w:eastAsia="宋体" w:cs="宋体"/>
          <w:sz w:val="44"/>
        </w:rPr>
        <w:t>合同协议书</w:t>
      </w:r>
      <w:bookmarkEnd w:id="3"/>
      <w:bookmarkEnd w:id="4"/>
      <w:bookmarkEnd w:id="5"/>
      <w:bookmarkEnd w:id="6"/>
      <w:bookmarkEnd w:id="7"/>
      <w:bookmarkEnd w:id="8"/>
      <w:bookmarkEnd w:id="9"/>
      <w:bookmarkEnd w:id="10"/>
    </w:p>
    <w:p w14:paraId="7342CE7E">
      <w:pPr>
        <w:rPr>
          <w:rFonts w:hint="eastAsia" w:ascii="宋体" w:hAnsi="宋体" w:eastAsia="宋体" w:cs="宋体"/>
          <w:sz w:val="44"/>
          <w:szCs w:val="44"/>
        </w:rPr>
      </w:pPr>
    </w:p>
    <w:p w14:paraId="08D4E681">
      <w:pPr>
        <w:contextualSpacing/>
        <w:rPr>
          <w:rFonts w:hint="eastAsia" w:ascii="宋体" w:hAnsi="宋体" w:eastAsia="宋体" w:cs="宋体"/>
          <w:sz w:val="24"/>
          <w:szCs w:val="24"/>
          <w:u w:val="single"/>
        </w:rPr>
      </w:pPr>
      <w:r>
        <w:rPr>
          <w:rFonts w:hint="eastAsia" w:ascii="宋体" w:hAnsi="宋体" w:eastAsia="宋体" w:cs="宋体"/>
          <w:color w:val="000000"/>
          <w:sz w:val="24"/>
          <w:szCs w:val="24"/>
        </w:rPr>
        <w:t>发包</w:t>
      </w:r>
      <w:bookmarkEnd w:id="0"/>
      <w:bookmarkEnd w:id="1"/>
      <w:r>
        <w:rPr>
          <w:rFonts w:hint="eastAsia" w:ascii="宋体" w:hAnsi="宋体" w:eastAsia="宋体" w:cs="宋体"/>
          <w:color w:val="000000"/>
          <w:sz w:val="24"/>
          <w:szCs w:val="24"/>
        </w:rPr>
        <w:t>人（全称）：</w:t>
      </w:r>
      <w:r>
        <w:rPr>
          <w:rFonts w:hint="eastAsia" w:ascii="宋体" w:hAnsi="宋体" w:eastAsia="宋体" w:cs="宋体"/>
          <w:sz w:val="24"/>
          <w:szCs w:val="24"/>
          <w:u w:val="single"/>
        </w:rPr>
        <w:t>广州地铁工程咨询有限公司</w:t>
      </w:r>
    </w:p>
    <w:p w14:paraId="664BC5F1">
      <w:pPr>
        <w:contextualSpacing/>
        <w:rPr>
          <w:rFonts w:hint="default" w:ascii="宋体" w:hAnsi="宋体" w:eastAsia="宋体" w:cs="宋体"/>
          <w:sz w:val="24"/>
          <w:szCs w:val="24"/>
          <w:u w:val="single"/>
          <w:lang w:val="en-US" w:eastAsia="zh-CN"/>
        </w:rPr>
      </w:pPr>
      <w:r>
        <w:rPr>
          <w:rFonts w:hint="eastAsia" w:ascii="宋体" w:hAnsi="宋体" w:eastAsia="宋体" w:cs="宋体"/>
          <w:color w:val="000000"/>
          <w:sz w:val="24"/>
          <w:szCs w:val="24"/>
        </w:rPr>
        <w:t>承包人（全称）：</w:t>
      </w:r>
      <w:r>
        <w:rPr>
          <w:rFonts w:hint="eastAsia" w:ascii="宋体" w:hAnsi="宋体" w:cs="宋体"/>
          <w:color w:val="000000"/>
          <w:sz w:val="24"/>
          <w:szCs w:val="24"/>
          <w:u w:val="single"/>
          <w:lang w:val="en-US" w:eastAsia="zh-CN"/>
        </w:rPr>
        <w:t xml:space="preserve">                       </w:t>
      </w:r>
    </w:p>
    <w:p w14:paraId="4126B926">
      <w:pPr>
        <w:ind w:firstLine="480" w:firstLineChars="200"/>
        <w:contextualSpacing/>
        <w:rPr>
          <w:rFonts w:hint="eastAsia" w:ascii="宋体" w:hAnsi="宋体" w:eastAsia="宋体" w:cs="宋体"/>
          <w:color w:val="000000"/>
          <w:sz w:val="24"/>
          <w:szCs w:val="24"/>
        </w:rPr>
      </w:pPr>
    </w:p>
    <w:p w14:paraId="0800451F">
      <w:pPr>
        <w:ind w:firstLine="480" w:firstLineChars="200"/>
        <w:contextualSpacing/>
        <w:rPr>
          <w:rFonts w:hint="eastAsia" w:ascii="宋体" w:hAnsi="宋体" w:eastAsia="宋体" w:cs="宋体"/>
          <w:color w:val="000000"/>
          <w:sz w:val="24"/>
          <w:szCs w:val="24"/>
        </w:rPr>
      </w:pPr>
      <w:r>
        <w:rPr>
          <w:rFonts w:hint="eastAsia" w:ascii="宋体" w:hAnsi="宋体" w:eastAsia="宋体" w:cs="宋体"/>
          <w:color w:val="000000"/>
          <w:sz w:val="24"/>
          <w:szCs w:val="24"/>
        </w:rPr>
        <w:t>根据《中华人民共和国民法典》、《中华人民共和国建筑法》及有关法律规定，遵循平等、自愿、公平和诚实信用的原则，双方就</w:t>
      </w:r>
    </w:p>
    <w:p w14:paraId="49D879BC">
      <w:pPr>
        <w:ind w:firstLine="480" w:firstLineChars="200"/>
        <w:contextualSpacing/>
        <w:rPr>
          <w:rFonts w:hint="eastAsia" w:ascii="宋体" w:hAnsi="宋体" w:eastAsia="宋体" w:cs="宋体"/>
          <w:color w:val="000000"/>
          <w:sz w:val="24"/>
          <w:szCs w:val="24"/>
        </w:rPr>
      </w:pPr>
      <w:r>
        <w:rPr>
          <w:rFonts w:hint="eastAsia" w:ascii="宋体" w:hAnsi="宋体" w:eastAsia="宋体" w:cs="宋体"/>
          <w:color w:val="000000"/>
          <w:sz w:val="24"/>
          <w:szCs w:val="24"/>
        </w:rPr>
        <w:t>工程施工及有关事项协商一致，共同达成如下协议：</w:t>
      </w:r>
      <w:bookmarkStart w:id="11" w:name="_Toc443898040"/>
    </w:p>
    <w:p w14:paraId="7B0ED778">
      <w:pPr>
        <w:ind w:firstLine="482" w:firstLineChars="200"/>
        <w:contextualSpacing/>
        <w:rPr>
          <w:rFonts w:hint="eastAsia" w:ascii="宋体" w:hAnsi="宋体" w:eastAsia="宋体" w:cs="宋体"/>
          <w:color w:val="000000"/>
          <w:sz w:val="24"/>
          <w:szCs w:val="24"/>
        </w:rPr>
      </w:pPr>
      <w:r>
        <w:rPr>
          <w:rFonts w:hint="eastAsia" w:ascii="宋体" w:hAnsi="宋体" w:eastAsia="宋体" w:cs="宋体"/>
          <w:b/>
          <w:color w:val="000000"/>
          <w:sz w:val="24"/>
          <w:szCs w:val="24"/>
        </w:rPr>
        <w:t>一、工程概况</w:t>
      </w:r>
      <w:bookmarkEnd w:id="11"/>
    </w:p>
    <w:p w14:paraId="0259337D">
      <w:pPr>
        <w:ind w:firstLine="480" w:firstLineChars="200"/>
        <w:contextualSpacing/>
        <w:rPr>
          <w:rFonts w:hint="eastAsia" w:ascii="宋体" w:hAnsi="宋体" w:eastAsia="宋体" w:cs="宋体"/>
          <w:bCs/>
          <w:color w:val="000000"/>
          <w:sz w:val="24"/>
          <w:szCs w:val="24"/>
        </w:rPr>
      </w:pPr>
      <w:r>
        <w:rPr>
          <w:rFonts w:hint="eastAsia" w:ascii="宋体" w:hAnsi="宋体" w:eastAsia="宋体" w:cs="宋体"/>
          <w:bCs/>
          <w:color w:val="000000"/>
          <w:sz w:val="24"/>
          <w:szCs w:val="24"/>
        </w:rPr>
        <w:t>1.工程名称</w:t>
      </w:r>
      <w:r>
        <w:rPr>
          <w:rFonts w:hint="eastAsia" w:ascii="宋体" w:hAnsi="宋体" w:eastAsia="宋体" w:cs="宋体"/>
          <w:color w:val="000000"/>
          <w:sz w:val="24"/>
          <w:szCs w:val="24"/>
        </w:rPr>
        <w:t>：</w:t>
      </w:r>
      <w:r>
        <w:rPr>
          <w:rFonts w:hint="eastAsia" w:ascii="宋体" w:hAnsi="宋体" w:eastAsia="宋体" w:cs="宋体"/>
          <w:bCs/>
          <w:color w:val="000000"/>
          <w:sz w:val="24"/>
          <w:szCs w:val="24"/>
          <w:u w:val="single"/>
        </w:rPr>
        <w:t>广佛肇工业园站周边片区开发项目一坑田站至瑞浦地块 110KV 电力迁改工程(涉铁部分)施工总承包。</w:t>
      </w:r>
    </w:p>
    <w:p w14:paraId="61F26E94">
      <w:pPr>
        <w:ind w:firstLine="480" w:firstLineChars="200"/>
        <w:contextualSpacing/>
        <w:rPr>
          <w:rFonts w:hint="eastAsia" w:ascii="宋体" w:hAnsi="宋体" w:eastAsia="宋体" w:cs="宋体"/>
          <w:bCs/>
          <w:color w:val="000000"/>
          <w:sz w:val="24"/>
          <w:szCs w:val="24"/>
        </w:rPr>
      </w:pPr>
      <w:r>
        <w:rPr>
          <w:rFonts w:hint="eastAsia" w:ascii="宋体" w:hAnsi="宋体" w:eastAsia="宋体" w:cs="宋体"/>
          <w:bCs/>
          <w:color w:val="000000"/>
          <w:sz w:val="24"/>
          <w:szCs w:val="24"/>
        </w:rPr>
        <w:t xml:space="preserve">2.工程地点： </w:t>
      </w:r>
      <w:r>
        <w:rPr>
          <w:rFonts w:hint="eastAsia" w:ascii="宋体" w:hAnsi="宋体" w:eastAsia="宋体" w:cs="宋体"/>
          <w:color w:val="000000"/>
          <w:sz w:val="24"/>
          <w:szCs w:val="24"/>
          <w:u w:val="single"/>
        </w:rPr>
        <w:t>佛山市南海区狮山镇</w:t>
      </w:r>
      <w:r>
        <w:rPr>
          <w:rFonts w:hint="eastAsia" w:ascii="宋体" w:hAnsi="宋体" w:eastAsia="宋体" w:cs="宋体"/>
          <w:color w:val="000000"/>
          <w:sz w:val="24"/>
          <w:szCs w:val="24"/>
        </w:rPr>
        <w:t>。</w:t>
      </w:r>
    </w:p>
    <w:p w14:paraId="23CA0ED9">
      <w:pPr>
        <w:ind w:firstLine="480" w:firstLineChars="200"/>
        <w:contextualSpacing/>
        <w:rPr>
          <w:rFonts w:hint="eastAsia" w:ascii="宋体" w:hAnsi="宋体" w:eastAsia="宋体" w:cs="宋体"/>
          <w:color w:val="000000"/>
          <w:sz w:val="24"/>
          <w:szCs w:val="24"/>
        </w:rPr>
      </w:pPr>
      <w:r>
        <w:rPr>
          <w:rFonts w:hint="eastAsia" w:ascii="宋体" w:hAnsi="宋体" w:eastAsia="宋体" w:cs="宋体"/>
          <w:color w:val="000000"/>
          <w:sz w:val="24"/>
          <w:szCs w:val="24"/>
        </w:rPr>
        <w:t>3.工程立项批准文号：</w:t>
      </w:r>
      <w:r>
        <w:rPr>
          <w:rFonts w:hint="eastAsia" w:ascii="宋体" w:hAnsi="宋体" w:eastAsia="宋体" w:cs="宋体"/>
          <w:color w:val="000000"/>
          <w:sz w:val="24"/>
          <w:szCs w:val="24"/>
          <w:u w:val="single"/>
        </w:rPr>
        <w:t>《关于实施广佛肇工业园站周边片区开发项目—坑田站至瑞浦地块 110KV 电力迁改工程（涉铁部分）的批复》狮办复〔2023〕39 号。</w:t>
      </w:r>
    </w:p>
    <w:p w14:paraId="1D95DF5D">
      <w:pPr>
        <w:ind w:firstLine="480" w:firstLineChars="200"/>
        <w:contextualSpacing/>
        <w:rPr>
          <w:rFonts w:hint="eastAsia" w:ascii="宋体" w:hAnsi="宋体" w:eastAsia="宋体" w:cs="宋体"/>
          <w:color w:val="000000"/>
          <w:sz w:val="24"/>
          <w:szCs w:val="24"/>
        </w:rPr>
      </w:pPr>
      <w:r>
        <w:rPr>
          <w:rFonts w:hint="eastAsia" w:ascii="宋体" w:hAnsi="宋体" w:eastAsia="宋体" w:cs="宋体"/>
          <w:color w:val="000000"/>
          <w:sz w:val="24"/>
          <w:szCs w:val="24"/>
        </w:rPr>
        <w:t>4.资金来源：</w:t>
      </w:r>
      <w:r>
        <w:rPr>
          <w:rFonts w:hint="eastAsia" w:ascii="宋体" w:hAnsi="宋体" w:eastAsia="宋体" w:cs="宋体"/>
          <w:color w:val="000000"/>
          <w:sz w:val="24"/>
          <w:szCs w:val="24"/>
          <w:u w:val="single"/>
        </w:rPr>
        <w:t>佛山市南海区财政资金</w:t>
      </w:r>
      <w:r>
        <w:rPr>
          <w:rFonts w:hint="eastAsia" w:ascii="宋体" w:hAnsi="宋体" w:eastAsia="宋体" w:cs="宋体"/>
          <w:color w:val="000000"/>
          <w:sz w:val="24"/>
          <w:szCs w:val="24"/>
        </w:rPr>
        <w:t>。</w:t>
      </w:r>
    </w:p>
    <w:p w14:paraId="7AA16E24">
      <w:pPr>
        <w:ind w:firstLine="480" w:firstLineChars="200"/>
        <w:contextualSpacing/>
        <w:rPr>
          <w:rFonts w:hint="eastAsia" w:ascii="宋体" w:hAnsi="宋体" w:eastAsia="宋体" w:cs="宋体"/>
          <w:color w:val="000000"/>
          <w:sz w:val="24"/>
          <w:szCs w:val="24"/>
          <w:u w:val="single"/>
        </w:rPr>
      </w:pPr>
      <w:r>
        <w:rPr>
          <w:rFonts w:hint="eastAsia" w:ascii="宋体" w:hAnsi="宋体" w:eastAsia="宋体" w:cs="宋体"/>
          <w:color w:val="000000"/>
          <w:sz w:val="24"/>
          <w:szCs w:val="24"/>
        </w:rPr>
        <w:t>5.工程内容：</w:t>
      </w:r>
      <w:r>
        <w:rPr>
          <w:rFonts w:hint="eastAsia" w:ascii="宋体" w:hAnsi="宋体" w:eastAsia="宋体" w:cs="宋体"/>
          <w:color w:val="000000"/>
          <w:sz w:val="24"/>
          <w:szCs w:val="24"/>
          <w:u w:val="single"/>
        </w:rPr>
        <w:t>一处顶管下穿广佛肇城际铁路桥孔</w:t>
      </w:r>
      <w:r>
        <w:rPr>
          <w:rFonts w:hint="eastAsia" w:ascii="宋体" w:hAnsi="宋体" w:eastAsia="宋体" w:cs="宋体"/>
          <w:color w:val="000000"/>
          <w:sz w:val="24"/>
          <w:szCs w:val="24"/>
          <w:u w:val="single"/>
          <w:lang w:eastAsia="zh-CN"/>
        </w:rPr>
        <w:t>，</w:t>
      </w:r>
      <w:r>
        <w:rPr>
          <w:rFonts w:hint="eastAsia" w:ascii="宋体" w:hAnsi="宋体" w:eastAsia="宋体" w:cs="宋体"/>
          <w:color w:val="000000"/>
          <w:sz w:val="24"/>
          <w:szCs w:val="24"/>
          <w:u w:val="single"/>
        </w:rPr>
        <w:t>为广东电网公司佛山供电局110KV电缆坑田户外场引出电缆下穿广佛肇城际铁路桥孔工程。本次委托建设范围为铁路两侧沉井及下穿铁路的顶管的土建工程，顶管下穿广佛肇城际铁路西南涌特大桥第21孔，与铁路相交里程位置为 K51+391.5（统一里程），护管中心线与铁路桥梁结构中心线的夹角为 82°，顶管总长76m。</w:t>
      </w:r>
    </w:p>
    <w:p w14:paraId="16EE9473">
      <w:pPr>
        <w:ind w:firstLine="480" w:firstLineChars="200"/>
        <w:contextualSpacing/>
        <w:rPr>
          <w:rFonts w:hint="eastAsia" w:ascii="宋体" w:hAnsi="宋体" w:eastAsia="宋体" w:cs="宋体"/>
          <w:color w:val="000000"/>
          <w:sz w:val="24"/>
          <w:szCs w:val="24"/>
          <w:u w:val="single"/>
        </w:rPr>
      </w:pPr>
      <w:r>
        <w:rPr>
          <w:rFonts w:hint="eastAsia" w:ascii="宋体" w:hAnsi="宋体" w:eastAsia="宋体" w:cs="宋体"/>
          <w:color w:val="000000"/>
          <w:sz w:val="24"/>
          <w:szCs w:val="24"/>
          <w:u w:val="single"/>
        </w:rPr>
        <w:t>始发工作井内径7米，位于广佛肇城际铁路北侧,工作井边缘距离铁路桥梁边缘29.38m；接收井内径6米，位于广佛肇城际铁路南侧,接收井边缘距离铁路桥梁边缘 30.25m。具体以审批通过的施工图为准。</w:t>
      </w:r>
    </w:p>
    <w:p w14:paraId="2F36BABA">
      <w:pPr>
        <w:ind w:firstLine="480" w:firstLineChars="200"/>
        <w:contextualSpacing/>
        <w:rPr>
          <w:rFonts w:hint="eastAsia" w:ascii="宋体" w:hAnsi="宋体" w:eastAsia="宋体" w:cs="宋体"/>
          <w:bCs/>
          <w:color w:val="000000"/>
          <w:sz w:val="24"/>
          <w:szCs w:val="24"/>
        </w:rPr>
      </w:pPr>
      <w:r>
        <w:rPr>
          <w:rFonts w:hint="eastAsia" w:ascii="宋体" w:hAnsi="宋体" w:eastAsia="宋体" w:cs="宋体"/>
          <w:color w:val="000000"/>
          <w:sz w:val="24"/>
          <w:szCs w:val="24"/>
        </w:rPr>
        <w:t>群体工程应附《承包人承揽工程项目一览表》（附件1）。</w:t>
      </w:r>
    </w:p>
    <w:p w14:paraId="7607F8F5">
      <w:pPr>
        <w:ind w:firstLine="480" w:firstLineChars="200"/>
        <w:contextualSpacing/>
        <w:jc w:val="left"/>
        <w:rPr>
          <w:rFonts w:hint="eastAsia" w:ascii="宋体" w:hAnsi="宋体" w:eastAsia="宋体" w:cs="宋体"/>
          <w:bCs/>
          <w:color w:val="000000"/>
          <w:sz w:val="24"/>
          <w:szCs w:val="24"/>
          <w:u w:val="single"/>
        </w:rPr>
      </w:pPr>
      <w:r>
        <w:rPr>
          <w:rFonts w:hint="eastAsia" w:ascii="宋体" w:hAnsi="宋体" w:eastAsia="宋体" w:cs="宋体"/>
          <w:bCs/>
          <w:color w:val="000000"/>
          <w:sz w:val="24"/>
          <w:szCs w:val="24"/>
        </w:rPr>
        <w:t>6.工程承包范围：</w:t>
      </w:r>
      <w:r>
        <w:rPr>
          <w:rFonts w:hint="eastAsia" w:ascii="宋体" w:hAnsi="宋体" w:eastAsia="宋体" w:cs="宋体"/>
          <w:sz w:val="24"/>
          <w:szCs w:val="24"/>
          <w:u w:val="single"/>
        </w:rPr>
        <w:t>具体以审批通过的施工图为准。</w:t>
      </w:r>
    </w:p>
    <w:p w14:paraId="02422EDA">
      <w:pPr>
        <w:ind w:firstLine="482" w:firstLineChars="200"/>
        <w:contextualSpacing/>
        <w:jc w:val="left"/>
        <w:rPr>
          <w:rFonts w:hint="eastAsia" w:ascii="宋体" w:hAnsi="宋体" w:eastAsia="宋体" w:cs="宋体"/>
          <w:bCs/>
          <w:color w:val="000000"/>
          <w:sz w:val="24"/>
          <w:szCs w:val="24"/>
          <w:u w:val="single"/>
        </w:rPr>
      </w:pPr>
      <w:r>
        <w:rPr>
          <w:rFonts w:hint="eastAsia" w:ascii="宋体" w:hAnsi="宋体" w:eastAsia="宋体" w:cs="宋体"/>
          <w:b/>
          <w:color w:val="000000"/>
          <w:sz w:val="24"/>
          <w:szCs w:val="24"/>
        </w:rPr>
        <w:t>二、合同工期</w:t>
      </w:r>
    </w:p>
    <w:p w14:paraId="797E3CBA">
      <w:pPr>
        <w:ind w:firstLine="480" w:firstLineChars="200"/>
        <w:contextualSpacing/>
        <w:jc w:val="left"/>
        <w:rPr>
          <w:rFonts w:hint="eastAsia" w:ascii="宋体" w:hAnsi="宋体" w:eastAsia="宋体" w:cs="宋体"/>
          <w:bCs/>
          <w:color w:val="000000"/>
          <w:sz w:val="24"/>
          <w:szCs w:val="24"/>
          <w:u w:val="single"/>
        </w:rPr>
      </w:pPr>
      <w:r>
        <w:rPr>
          <w:rFonts w:hint="eastAsia" w:ascii="宋体" w:hAnsi="宋体" w:eastAsia="宋体" w:cs="宋体"/>
          <w:color w:val="000000"/>
          <w:sz w:val="24"/>
          <w:szCs w:val="24"/>
        </w:rPr>
        <w:t>计划开工日期：</w:t>
      </w:r>
      <w:r>
        <w:rPr>
          <w:rFonts w:hint="eastAsia" w:ascii="宋体" w:hAnsi="宋体" w:eastAsia="宋体" w:cs="宋体"/>
          <w:color w:val="000000"/>
          <w:sz w:val="24"/>
          <w:szCs w:val="24"/>
          <w:u w:val="single"/>
        </w:rPr>
        <w:t xml:space="preserve">   </w:t>
      </w:r>
      <w:r>
        <w:rPr>
          <w:rFonts w:hint="eastAsia" w:ascii="宋体" w:hAnsi="宋体" w:cs="宋体"/>
          <w:color w:val="000000"/>
          <w:sz w:val="24"/>
          <w:szCs w:val="24"/>
          <w:u w:val="single"/>
          <w:lang w:val="en-US" w:eastAsia="zh-CN"/>
        </w:rPr>
        <w:t>/</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cs="宋体"/>
          <w:color w:val="000000"/>
          <w:sz w:val="24"/>
          <w:szCs w:val="24"/>
          <w:u w:val="single"/>
          <w:lang w:val="en-US" w:eastAsia="zh-CN"/>
        </w:rPr>
        <w:t>/</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cs="宋体"/>
          <w:color w:val="000000"/>
          <w:sz w:val="24"/>
          <w:szCs w:val="24"/>
          <w:u w:val="single"/>
          <w:lang w:val="en-US" w:eastAsia="zh-CN"/>
        </w:rPr>
        <w:t>/</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日，实际开工日期以开工报告为准。</w:t>
      </w:r>
    </w:p>
    <w:p w14:paraId="2EC25596">
      <w:pPr>
        <w:ind w:firstLine="480" w:firstLineChars="200"/>
        <w:contextualSpacing/>
        <w:jc w:val="left"/>
        <w:rPr>
          <w:rFonts w:hint="eastAsia" w:ascii="宋体" w:hAnsi="宋体" w:eastAsia="宋体" w:cs="宋体"/>
          <w:bCs/>
          <w:color w:val="000000"/>
          <w:sz w:val="24"/>
          <w:szCs w:val="24"/>
          <w:u w:val="single"/>
        </w:rPr>
      </w:pPr>
      <w:r>
        <w:rPr>
          <w:rFonts w:hint="eastAsia" w:ascii="宋体" w:hAnsi="宋体" w:eastAsia="宋体" w:cs="宋体"/>
          <w:color w:val="000000"/>
          <w:sz w:val="24"/>
          <w:szCs w:val="24"/>
        </w:rPr>
        <w:t>计划竣工日期：</w:t>
      </w:r>
      <w:r>
        <w:rPr>
          <w:rFonts w:hint="eastAsia" w:ascii="宋体" w:hAnsi="宋体" w:eastAsia="宋体" w:cs="宋体"/>
          <w:color w:val="000000"/>
          <w:sz w:val="24"/>
          <w:szCs w:val="24"/>
          <w:u w:val="single"/>
        </w:rPr>
        <w:t></w:t>
      </w:r>
      <w:r>
        <w:rPr>
          <w:rFonts w:hint="eastAsia" w:ascii="宋体" w:hAnsi="宋体" w:cs="宋体"/>
          <w:color w:val="000000"/>
          <w:sz w:val="24"/>
          <w:szCs w:val="24"/>
          <w:u w:val="single"/>
          <w:lang w:val="en-US" w:eastAsia="zh-CN"/>
        </w:rPr>
        <w:t>/</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cs="宋体"/>
          <w:color w:val="000000"/>
          <w:sz w:val="24"/>
          <w:szCs w:val="24"/>
          <w:u w:val="single"/>
          <w:lang w:val="en-US" w:eastAsia="zh-CN"/>
        </w:rPr>
        <w:t>/</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cs="宋体"/>
          <w:color w:val="000000"/>
          <w:sz w:val="24"/>
          <w:szCs w:val="24"/>
          <w:u w:val="single"/>
          <w:lang w:val="en-US" w:eastAsia="zh-CN"/>
        </w:rPr>
        <w:t>/</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p>
    <w:p w14:paraId="1D263462">
      <w:pPr>
        <w:ind w:firstLine="480" w:firstLineChars="200"/>
        <w:contextualSpacing/>
        <w:jc w:val="left"/>
        <w:rPr>
          <w:rFonts w:hint="eastAsia" w:ascii="宋体" w:hAnsi="宋体" w:eastAsia="宋体" w:cs="宋体"/>
          <w:color w:val="000000"/>
          <w:sz w:val="24"/>
          <w:szCs w:val="24"/>
        </w:rPr>
      </w:pPr>
      <w:r>
        <w:rPr>
          <w:rFonts w:hint="eastAsia" w:ascii="宋体" w:hAnsi="宋体" w:cs="宋体"/>
          <w:color w:val="000000"/>
          <w:sz w:val="24"/>
          <w:szCs w:val="24"/>
          <w:highlight w:val="none"/>
          <w:lang w:val="en-US" w:eastAsia="zh-CN"/>
        </w:rPr>
        <w:t>暂定</w:t>
      </w:r>
      <w:r>
        <w:rPr>
          <w:rFonts w:hint="eastAsia" w:ascii="宋体" w:hAnsi="宋体" w:eastAsia="宋体" w:cs="宋体"/>
          <w:color w:val="000000"/>
          <w:sz w:val="24"/>
          <w:szCs w:val="24"/>
          <w:highlight w:val="none"/>
        </w:rPr>
        <w:t>工期</w:t>
      </w:r>
      <w:r>
        <w:rPr>
          <w:rFonts w:hint="eastAsia" w:ascii="宋体" w:hAnsi="宋体" w:eastAsia="宋体" w:cs="宋体"/>
          <w:color w:val="000000"/>
          <w:sz w:val="24"/>
          <w:szCs w:val="24"/>
        </w:rPr>
        <w:t>总日历天数：</w:t>
      </w:r>
      <w:r>
        <w:rPr>
          <w:rFonts w:hint="eastAsia" w:ascii="宋体" w:hAnsi="宋体" w:eastAsia="宋体" w:cs="宋体"/>
          <w:color w:val="000000"/>
          <w:sz w:val="24"/>
          <w:szCs w:val="24"/>
          <w:u w:val="single"/>
        </w:rPr>
        <w:t xml:space="preserve">  1</w:t>
      </w:r>
      <w:r>
        <w:rPr>
          <w:rFonts w:hint="eastAsia" w:ascii="宋体" w:hAnsi="宋体" w:cs="宋体"/>
          <w:color w:val="000000"/>
          <w:sz w:val="24"/>
          <w:szCs w:val="24"/>
          <w:u w:val="single"/>
          <w:lang w:val="en-US" w:eastAsia="zh-CN"/>
        </w:rPr>
        <w:t>2</w:t>
      </w:r>
      <w:r>
        <w:rPr>
          <w:rFonts w:hint="eastAsia" w:ascii="宋体" w:hAnsi="宋体" w:eastAsia="宋体" w:cs="宋体"/>
          <w:color w:val="000000"/>
          <w:sz w:val="24"/>
          <w:szCs w:val="24"/>
          <w:u w:val="single"/>
        </w:rPr>
        <w:t xml:space="preserve">0  </w:t>
      </w:r>
      <w:r>
        <w:rPr>
          <w:rFonts w:hint="eastAsia" w:ascii="宋体" w:hAnsi="宋体" w:eastAsia="宋体" w:cs="宋体"/>
          <w:color w:val="000000"/>
          <w:sz w:val="24"/>
          <w:szCs w:val="24"/>
        </w:rPr>
        <w:t>天。工期总日历天数与根据前述计划开竣工日期计算的工期天数不一致的，以工期总日历天数为准。</w:t>
      </w:r>
      <w:bookmarkStart w:id="12" w:name="_Toc443898041"/>
    </w:p>
    <w:p w14:paraId="689B6416">
      <w:pPr>
        <w:ind w:firstLine="482" w:firstLineChars="200"/>
        <w:contextualSpacing/>
        <w:jc w:val="left"/>
        <w:rPr>
          <w:rFonts w:hint="eastAsia" w:ascii="宋体" w:hAnsi="宋体" w:eastAsia="宋体" w:cs="宋体"/>
          <w:color w:val="000000"/>
          <w:sz w:val="24"/>
          <w:szCs w:val="24"/>
        </w:rPr>
      </w:pPr>
      <w:r>
        <w:rPr>
          <w:rFonts w:hint="eastAsia" w:ascii="宋体" w:hAnsi="宋体" w:eastAsia="宋体" w:cs="宋体"/>
          <w:b/>
          <w:color w:val="000000"/>
          <w:sz w:val="24"/>
          <w:szCs w:val="24"/>
        </w:rPr>
        <w:t>三、质量标准</w:t>
      </w:r>
      <w:bookmarkEnd w:id="12"/>
    </w:p>
    <w:p w14:paraId="6DC7EF37">
      <w:pPr>
        <w:ind w:firstLine="480" w:firstLineChars="200"/>
        <w:contextualSpacing/>
        <w:jc w:val="left"/>
        <w:rPr>
          <w:rFonts w:hint="eastAsia" w:ascii="宋体" w:hAnsi="宋体" w:eastAsia="宋体" w:cs="宋体"/>
          <w:bCs/>
          <w:color w:val="000000"/>
          <w:sz w:val="24"/>
          <w:szCs w:val="24"/>
          <w:u w:val="single"/>
        </w:rPr>
      </w:pPr>
      <w:r>
        <w:rPr>
          <w:rFonts w:hint="eastAsia" w:ascii="宋体" w:hAnsi="宋体" w:eastAsia="宋体" w:cs="宋体"/>
          <w:color w:val="000000"/>
          <w:sz w:val="24"/>
          <w:szCs w:val="24"/>
        </w:rPr>
        <w:t>工程质量符合</w:t>
      </w:r>
      <w:r>
        <w:rPr>
          <w:rFonts w:hint="eastAsia" w:ascii="宋体" w:hAnsi="宋体" w:eastAsia="宋体" w:cs="宋体"/>
          <w:color w:val="000000"/>
          <w:sz w:val="24"/>
          <w:szCs w:val="24"/>
          <w:u w:val="single"/>
        </w:rPr>
        <w:t>合格</w:t>
      </w:r>
      <w:r>
        <w:rPr>
          <w:rFonts w:hint="eastAsia" w:ascii="宋体" w:hAnsi="宋体" w:eastAsia="宋体" w:cs="宋体"/>
          <w:color w:val="000000"/>
          <w:sz w:val="24"/>
          <w:szCs w:val="24"/>
        </w:rPr>
        <w:t>标准。</w:t>
      </w:r>
      <w:bookmarkStart w:id="13" w:name="_Toc443898042"/>
    </w:p>
    <w:p w14:paraId="78835D15">
      <w:pPr>
        <w:ind w:firstLine="482" w:firstLineChars="200"/>
        <w:contextualSpacing/>
        <w:jc w:val="left"/>
        <w:rPr>
          <w:rFonts w:hint="eastAsia" w:ascii="宋体" w:hAnsi="宋体" w:eastAsia="宋体" w:cs="宋体"/>
          <w:bCs/>
          <w:color w:val="000000"/>
          <w:sz w:val="24"/>
          <w:szCs w:val="24"/>
          <w:u w:val="single"/>
        </w:rPr>
      </w:pPr>
      <w:r>
        <w:rPr>
          <w:rFonts w:hint="eastAsia" w:ascii="宋体" w:hAnsi="宋体" w:eastAsia="宋体" w:cs="宋体"/>
          <w:b/>
          <w:color w:val="000000"/>
          <w:sz w:val="24"/>
          <w:szCs w:val="24"/>
        </w:rPr>
        <w:t>四、签约合同价与合同价格形式</w:t>
      </w:r>
      <w:bookmarkEnd w:id="13"/>
      <w:r>
        <w:rPr>
          <w:rFonts w:hint="eastAsia" w:ascii="宋体" w:hAnsi="宋体" w:eastAsia="宋体" w:cs="宋体"/>
          <w:b/>
          <w:color w:val="000000"/>
          <w:sz w:val="24"/>
          <w:szCs w:val="24"/>
        </w:rPr>
        <w:tab/>
      </w:r>
    </w:p>
    <w:p w14:paraId="47BD4D99">
      <w:pPr>
        <w:ind w:firstLine="480" w:firstLineChars="200"/>
        <w:contextualSpacing/>
        <w:rPr>
          <w:rFonts w:hint="eastAsia" w:ascii="宋体" w:hAnsi="宋体" w:eastAsia="宋体" w:cs="宋体"/>
          <w:color w:val="000000"/>
          <w:sz w:val="24"/>
          <w:szCs w:val="24"/>
        </w:rPr>
      </w:pPr>
      <w:bookmarkStart w:id="14" w:name="_Toc443898043"/>
      <w:r>
        <w:rPr>
          <w:rFonts w:hint="eastAsia" w:ascii="宋体" w:hAnsi="宋体" w:eastAsia="宋体" w:cs="宋体"/>
          <w:color w:val="000000"/>
          <w:sz w:val="24"/>
          <w:szCs w:val="24"/>
        </w:rPr>
        <w:t>1.签约合同价（含税）为：</w:t>
      </w:r>
    </w:p>
    <w:p w14:paraId="64D71C63">
      <w:pPr>
        <w:ind w:firstLine="480" w:firstLineChars="200"/>
        <w:contextualSpacing/>
        <w:rPr>
          <w:rFonts w:hint="eastAsia" w:ascii="宋体" w:hAnsi="宋体" w:eastAsia="宋体" w:cs="宋体"/>
          <w:color w:val="000000"/>
          <w:sz w:val="24"/>
          <w:szCs w:val="24"/>
        </w:rPr>
      </w:pPr>
      <w:r>
        <w:rPr>
          <w:rFonts w:hint="eastAsia" w:ascii="宋体" w:hAnsi="宋体" w:eastAsia="宋体" w:cs="宋体"/>
          <w:color w:val="000000"/>
          <w:sz w:val="24"/>
          <w:szCs w:val="24"/>
        </w:rPr>
        <w:t>人民币（大写</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元)；</w:t>
      </w:r>
    </w:p>
    <w:p w14:paraId="14CEEDEF">
      <w:pPr>
        <w:ind w:firstLine="480" w:firstLineChars="200"/>
        <w:contextualSpacing/>
        <w:rPr>
          <w:rFonts w:hint="eastAsia" w:ascii="宋体" w:hAnsi="宋体" w:eastAsia="宋体" w:cs="宋体"/>
          <w:color w:val="000000"/>
          <w:sz w:val="24"/>
          <w:szCs w:val="24"/>
        </w:rPr>
      </w:pPr>
      <w:r>
        <w:rPr>
          <w:rFonts w:hint="eastAsia" w:ascii="宋体" w:hAnsi="宋体" w:eastAsia="宋体" w:cs="宋体"/>
          <w:color w:val="000000"/>
          <w:sz w:val="24"/>
          <w:szCs w:val="24"/>
        </w:rPr>
        <w:t>其中：不含税总价为人民币</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（大写）(¥</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元)，增值税税率</w:t>
      </w:r>
      <w:r>
        <w:rPr>
          <w:rFonts w:hint="eastAsia" w:ascii="宋体" w:hAnsi="宋体" w:eastAsia="宋体" w:cs="宋体"/>
          <w:sz w:val="24"/>
          <w:szCs w:val="24"/>
        </w:rPr>
        <w:t>为</w:t>
      </w:r>
      <w:r>
        <w:rPr>
          <w:rFonts w:hint="eastAsia" w:ascii="宋体" w:hAnsi="宋体" w:eastAsia="宋体" w:cs="宋体"/>
          <w:sz w:val="24"/>
          <w:szCs w:val="24"/>
          <w:u w:val="single"/>
        </w:rPr>
        <w:t xml:space="preserve">   </w:t>
      </w:r>
      <w:r>
        <w:rPr>
          <w:rFonts w:hint="eastAsia" w:ascii="宋体" w:hAnsi="宋体" w:eastAsia="宋体" w:cs="宋体"/>
          <w:color w:val="000000"/>
          <w:sz w:val="24"/>
          <w:szCs w:val="24"/>
        </w:rPr>
        <w:t>%，税费为：人民币</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（大写）(¥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元)。</w:t>
      </w:r>
    </w:p>
    <w:p w14:paraId="7C56015E">
      <w:pPr>
        <w:ind w:firstLine="480" w:firstLineChars="200"/>
        <w:contextualSpacing/>
        <w:rPr>
          <w:rFonts w:hint="eastAsia" w:ascii="宋体" w:hAnsi="宋体" w:eastAsia="宋体" w:cs="宋体"/>
          <w:color w:val="000000"/>
          <w:sz w:val="24"/>
          <w:szCs w:val="24"/>
        </w:rPr>
      </w:pPr>
      <w:r>
        <w:rPr>
          <w:rFonts w:hint="eastAsia" w:ascii="宋体" w:hAnsi="宋体" w:eastAsia="宋体" w:cs="宋体"/>
          <w:color w:val="000000"/>
          <w:sz w:val="24"/>
          <w:szCs w:val="24"/>
        </w:rPr>
        <w:t>其中（以下均为不含税价）：</w:t>
      </w:r>
    </w:p>
    <w:p w14:paraId="65BE4D18">
      <w:pPr>
        <w:ind w:firstLine="480" w:firstLineChars="200"/>
        <w:contextualSpacing/>
        <w:rPr>
          <w:rFonts w:hint="eastAsia" w:ascii="宋体" w:hAnsi="宋体" w:eastAsia="宋体" w:cs="宋体"/>
          <w:color w:val="000000"/>
          <w:sz w:val="24"/>
          <w:szCs w:val="24"/>
        </w:rPr>
      </w:pPr>
      <w:r>
        <w:rPr>
          <w:rFonts w:hint="eastAsia" w:ascii="宋体" w:hAnsi="宋体" w:eastAsia="宋体" w:cs="宋体"/>
          <w:color w:val="000000"/>
          <w:sz w:val="24"/>
          <w:szCs w:val="24"/>
        </w:rPr>
        <w:t>（1）安全文明施工费：</w:t>
      </w:r>
    </w:p>
    <w:p w14:paraId="16AEF443">
      <w:pPr>
        <w:ind w:firstLine="480" w:firstLineChars="200"/>
        <w:contextualSpacing/>
        <w:rPr>
          <w:rFonts w:hint="eastAsia" w:ascii="宋体" w:hAnsi="宋体" w:eastAsia="宋体" w:cs="宋体"/>
          <w:color w:val="000000"/>
          <w:sz w:val="24"/>
          <w:szCs w:val="24"/>
        </w:rPr>
      </w:pPr>
      <w:r>
        <w:rPr>
          <w:rFonts w:hint="eastAsia" w:ascii="宋体" w:hAnsi="宋体" w:eastAsia="宋体" w:cs="宋体"/>
          <w:color w:val="000000"/>
          <w:sz w:val="24"/>
          <w:szCs w:val="24"/>
        </w:rPr>
        <w:t>人民币（大写</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元)；</w:t>
      </w:r>
    </w:p>
    <w:p w14:paraId="2252C1F8">
      <w:pPr>
        <w:ind w:firstLine="480" w:firstLineChars="200"/>
        <w:contextualSpacing/>
        <w:rPr>
          <w:rFonts w:hint="eastAsia" w:ascii="宋体" w:hAnsi="宋体" w:eastAsia="宋体" w:cs="宋体"/>
          <w:color w:val="000000"/>
          <w:sz w:val="24"/>
          <w:szCs w:val="24"/>
        </w:rPr>
      </w:pPr>
      <w:r>
        <w:rPr>
          <w:rFonts w:hint="eastAsia" w:ascii="宋体" w:hAnsi="宋体" w:eastAsia="宋体" w:cs="宋体"/>
          <w:color w:val="000000"/>
          <w:sz w:val="24"/>
          <w:szCs w:val="24"/>
        </w:rPr>
        <w:t>（2）材料和工程设备暂估价金额：</w:t>
      </w:r>
    </w:p>
    <w:p w14:paraId="018BFA5A">
      <w:pPr>
        <w:ind w:firstLine="480" w:firstLineChars="200"/>
        <w:contextualSpacing/>
        <w:rPr>
          <w:rFonts w:hint="eastAsia" w:ascii="宋体" w:hAnsi="宋体" w:eastAsia="宋体" w:cs="宋体"/>
          <w:color w:val="000000"/>
          <w:sz w:val="24"/>
          <w:szCs w:val="24"/>
        </w:rPr>
      </w:pPr>
      <w:r>
        <w:rPr>
          <w:rFonts w:hint="eastAsia" w:ascii="宋体" w:hAnsi="宋体" w:eastAsia="宋体" w:cs="宋体"/>
          <w:color w:val="000000"/>
          <w:sz w:val="24"/>
          <w:szCs w:val="24"/>
        </w:rPr>
        <w:t>人民币（大写</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 (¥</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元)；</w:t>
      </w:r>
    </w:p>
    <w:p w14:paraId="07B6038A">
      <w:pPr>
        <w:ind w:firstLine="480" w:firstLineChars="200"/>
        <w:contextualSpacing/>
        <w:rPr>
          <w:rFonts w:hint="eastAsia" w:ascii="宋体" w:hAnsi="宋体" w:eastAsia="宋体" w:cs="宋体"/>
          <w:color w:val="000000"/>
          <w:sz w:val="24"/>
          <w:szCs w:val="24"/>
        </w:rPr>
      </w:pPr>
      <w:r>
        <w:rPr>
          <w:rFonts w:hint="eastAsia" w:ascii="宋体" w:hAnsi="宋体" w:eastAsia="宋体" w:cs="宋体"/>
          <w:color w:val="000000"/>
          <w:sz w:val="24"/>
          <w:szCs w:val="24"/>
        </w:rPr>
        <w:t>（3）专业工程暂估价金额：</w:t>
      </w:r>
    </w:p>
    <w:p w14:paraId="7349F920">
      <w:pPr>
        <w:ind w:firstLine="480" w:firstLineChars="200"/>
        <w:contextualSpacing/>
        <w:rPr>
          <w:rFonts w:hint="eastAsia" w:ascii="宋体" w:hAnsi="宋体" w:eastAsia="宋体" w:cs="宋体"/>
          <w:color w:val="000000"/>
          <w:sz w:val="24"/>
          <w:szCs w:val="24"/>
        </w:rPr>
      </w:pPr>
      <w:r>
        <w:rPr>
          <w:rFonts w:hint="eastAsia" w:ascii="宋体" w:hAnsi="宋体" w:eastAsia="宋体" w:cs="宋体"/>
          <w:color w:val="000000"/>
          <w:sz w:val="24"/>
          <w:szCs w:val="24"/>
        </w:rPr>
        <w:t>人民币（大写</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 (¥</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元)；</w:t>
      </w:r>
    </w:p>
    <w:p w14:paraId="432F4C7B">
      <w:pPr>
        <w:ind w:firstLine="480" w:firstLineChars="200"/>
        <w:contextualSpacing/>
        <w:rPr>
          <w:rFonts w:hint="eastAsia" w:ascii="宋体" w:hAnsi="宋体" w:eastAsia="宋体" w:cs="宋体"/>
          <w:color w:val="000000"/>
          <w:sz w:val="24"/>
          <w:szCs w:val="24"/>
        </w:rPr>
      </w:pPr>
      <w:r>
        <w:rPr>
          <w:rFonts w:hint="eastAsia" w:ascii="宋体" w:hAnsi="宋体" w:eastAsia="宋体" w:cs="宋体"/>
          <w:color w:val="000000"/>
          <w:sz w:val="24"/>
          <w:szCs w:val="24"/>
        </w:rPr>
        <w:t>（4）暂列金额：</w:t>
      </w:r>
    </w:p>
    <w:p w14:paraId="049A6CDC">
      <w:pPr>
        <w:ind w:firstLine="480" w:firstLineChars="200"/>
        <w:contextualSpacing/>
        <w:rPr>
          <w:rFonts w:hint="eastAsia" w:ascii="宋体" w:hAnsi="宋体" w:eastAsia="宋体" w:cs="宋体"/>
          <w:color w:val="000000"/>
          <w:sz w:val="24"/>
          <w:szCs w:val="24"/>
        </w:rPr>
      </w:pPr>
      <w:r>
        <w:rPr>
          <w:rFonts w:hint="eastAsia" w:ascii="宋体" w:hAnsi="宋体" w:eastAsia="宋体" w:cs="宋体"/>
          <w:color w:val="000000"/>
          <w:sz w:val="24"/>
          <w:szCs w:val="24"/>
        </w:rPr>
        <w:t>人民币（大写</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 (¥</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元)。</w:t>
      </w:r>
    </w:p>
    <w:p w14:paraId="081644F2">
      <w:pPr>
        <w:ind w:firstLine="480" w:firstLineChars="200"/>
        <w:contextualSpacing/>
        <w:rPr>
          <w:rFonts w:hint="eastAsia" w:ascii="宋体" w:hAnsi="宋体" w:eastAsia="宋体" w:cs="宋体"/>
          <w:color w:val="000000"/>
          <w:sz w:val="24"/>
          <w:szCs w:val="24"/>
        </w:rPr>
      </w:pPr>
      <w:r>
        <w:rPr>
          <w:rFonts w:hint="eastAsia" w:ascii="宋体" w:hAnsi="宋体" w:eastAsia="宋体" w:cs="宋体"/>
          <w:color w:val="000000"/>
          <w:sz w:val="24"/>
          <w:szCs w:val="24"/>
        </w:rPr>
        <w:t>2.合同价格形式：</w:t>
      </w:r>
      <w:r>
        <w:rPr>
          <w:rFonts w:hint="eastAsia" w:ascii="宋体" w:hAnsi="宋体" w:eastAsia="宋体" w:cs="宋体"/>
          <w:color w:val="000000"/>
          <w:sz w:val="24"/>
          <w:szCs w:val="24"/>
          <w:u w:val="single"/>
        </w:rPr>
        <w:t>单价合同</w:t>
      </w:r>
      <w:r>
        <w:rPr>
          <w:rFonts w:hint="eastAsia" w:ascii="宋体" w:hAnsi="宋体" w:eastAsia="宋体" w:cs="宋体"/>
          <w:color w:val="000000"/>
          <w:sz w:val="24"/>
          <w:szCs w:val="24"/>
        </w:rPr>
        <w:t>。</w:t>
      </w:r>
    </w:p>
    <w:p w14:paraId="240FA8F3">
      <w:pPr>
        <w:ind w:firstLine="482" w:firstLineChars="200"/>
        <w:contextualSpacing/>
        <w:rPr>
          <w:rFonts w:hint="eastAsia" w:ascii="宋体" w:hAnsi="宋体" w:eastAsia="宋体" w:cs="宋体"/>
          <w:color w:val="000000"/>
          <w:sz w:val="24"/>
          <w:szCs w:val="24"/>
        </w:rPr>
      </w:pPr>
      <w:r>
        <w:rPr>
          <w:rFonts w:hint="eastAsia" w:ascii="宋体" w:hAnsi="宋体" w:eastAsia="宋体" w:cs="宋体"/>
          <w:b/>
          <w:color w:val="000000"/>
          <w:sz w:val="24"/>
          <w:szCs w:val="24"/>
        </w:rPr>
        <w:t>五、项目经理</w:t>
      </w:r>
      <w:bookmarkEnd w:id="14"/>
    </w:p>
    <w:p w14:paraId="27CA5251">
      <w:pPr>
        <w:ind w:firstLine="480" w:firstLineChars="200"/>
        <w:contextualSpacing/>
        <w:rPr>
          <w:rFonts w:hint="eastAsia" w:ascii="宋体" w:hAnsi="宋体" w:eastAsia="宋体" w:cs="宋体"/>
          <w:color w:val="000000"/>
          <w:sz w:val="24"/>
          <w:szCs w:val="24"/>
        </w:rPr>
      </w:pPr>
      <w:r>
        <w:rPr>
          <w:rFonts w:hint="eastAsia" w:ascii="宋体" w:hAnsi="宋体" w:eastAsia="宋体" w:cs="宋体"/>
          <w:color w:val="000000"/>
          <w:sz w:val="24"/>
          <w:szCs w:val="24"/>
        </w:rPr>
        <w:t>承包人项目经理：</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bookmarkStart w:id="15" w:name="_Toc443898044"/>
    </w:p>
    <w:p w14:paraId="05B227AA">
      <w:pPr>
        <w:ind w:firstLine="482" w:firstLineChars="200"/>
        <w:contextualSpacing/>
        <w:rPr>
          <w:rFonts w:hint="eastAsia" w:ascii="宋体" w:hAnsi="宋体" w:eastAsia="宋体" w:cs="宋体"/>
          <w:color w:val="000000"/>
          <w:sz w:val="24"/>
          <w:szCs w:val="24"/>
        </w:rPr>
      </w:pPr>
      <w:r>
        <w:rPr>
          <w:rFonts w:hint="eastAsia" w:ascii="宋体" w:hAnsi="宋体" w:eastAsia="宋体" w:cs="宋体"/>
          <w:b/>
          <w:color w:val="000000"/>
          <w:sz w:val="24"/>
          <w:szCs w:val="24"/>
        </w:rPr>
        <w:t>六、合同文件构成</w:t>
      </w:r>
      <w:bookmarkEnd w:id="15"/>
    </w:p>
    <w:p w14:paraId="61B974F6">
      <w:pPr>
        <w:ind w:firstLine="480" w:firstLineChars="200"/>
        <w:contextualSpacing/>
        <w:rPr>
          <w:rFonts w:hint="eastAsia" w:ascii="宋体" w:hAnsi="宋体" w:eastAsia="宋体" w:cs="宋体"/>
          <w:bCs/>
          <w:color w:val="000000"/>
          <w:sz w:val="24"/>
          <w:szCs w:val="24"/>
        </w:rPr>
      </w:pPr>
      <w:r>
        <w:rPr>
          <w:rFonts w:hint="eastAsia" w:ascii="宋体" w:hAnsi="宋体" w:eastAsia="宋体" w:cs="宋体"/>
          <w:bCs/>
          <w:color w:val="000000"/>
          <w:sz w:val="24"/>
          <w:szCs w:val="24"/>
        </w:rPr>
        <w:t>本协议书与下列文件一起构成合同文件：</w:t>
      </w:r>
    </w:p>
    <w:p w14:paraId="0DD3F735">
      <w:pPr>
        <w:autoSpaceDE w:val="0"/>
        <w:autoSpaceDN w:val="0"/>
        <w:ind w:firstLine="480" w:firstLineChars="200"/>
        <w:contextualSpacing/>
        <w:jc w:val="left"/>
        <w:rPr>
          <w:rFonts w:hint="eastAsia" w:ascii="宋体" w:hAnsi="宋体" w:eastAsia="宋体" w:cs="宋体"/>
          <w:bCs/>
          <w:color w:val="000000"/>
          <w:sz w:val="24"/>
          <w:szCs w:val="24"/>
        </w:rPr>
      </w:pPr>
      <w:r>
        <w:rPr>
          <w:rFonts w:hint="eastAsia" w:ascii="宋体" w:hAnsi="宋体" w:eastAsia="宋体" w:cs="宋体"/>
          <w:bCs/>
          <w:color w:val="000000"/>
          <w:sz w:val="24"/>
          <w:szCs w:val="24"/>
        </w:rPr>
        <w:t>（1）合同补充协议（若有）；</w:t>
      </w:r>
    </w:p>
    <w:p w14:paraId="3BAC400A">
      <w:pPr>
        <w:autoSpaceDE w:val="0"/>
        <w:autoSpaceDN w:val="0"/>
        <w:ind w:firstLine="480" w:firstLineChars="200"/>
        <w:contextualSpacing/>
        <w:jc w:val="left"/>
        <w:rPr>
          <w:rFonts w:hint="eastAsia" w:ascii="宋体" w:hAnsi="宋体" w:eastAsia="宋体" w:cs="宋体"/>
          <w:bCs/>
          <w:color w:val="000000"/>
          <w:sz w:val="24"/>
          <w:szCs w:val="24"/>
        </w:rPr>
      </w:pPr>
      <w:r>
        <w:rPr>
          <w:rFonts w:hint="eastAsia" w:ascii="宋体" w:hAnsi="宋体" w:eastAsia="宋体" w:cs="宋体"/>
          <w:bCs/>
          <w:color w:val="000000"/>
          <w:sz w:val="24"/>
          <w:szCs w:val="24"/>
        </w:rPr>
        <w:t>（2）本合同协议书；</w:t>
      </w:r>
    </w:p>
    <w:p w14:paraId="3D878F57">
      <w:pPr>
        <w:autoSpaceDE w:val="0"/>
        <w:autoSpaceDN w:val="0"/>
        <w:ind w:firstLine="480" w:firstLineChars="200"/>
        <w:contextualSpacing/>
        <w:jc w:val="left"/>
        <w:rPr>
          <w:rFonts w:hint="eastAsia" w:ascii="宋体" w:hAnsi="宋体" w:eastAsia="宋体" w:cs="宋体"/>
          <w:bCs/>
          <w:color w:val="000000"/>
          <w:sz w:val="24"/>
          <w:szCs w:val="24"/>
        </w:rPr>
      </w:pPr>
      <w:r>
        <w:rPr>
          <w:rFonts w:hint="eastAsia" w:ascii="宋体" w:hAnsi="宋体" w:eastAsia="宋体" w:cs="宋体"/>
          <w:bCs/>
          <w:color w:val="000000"/>
          <w:sz w:val="24"/>
          <w:szCs w:val="24"/>
        </w:rPr>
        <w:t>（3）专用合同条款；</w:t>
      </w:r>
    </w:p>
    <w:p w14:paraId="723F3CB3">
      <w:pPr>
        <w:autoSpaceDE w:val="0"/>
        <w:autoSpaceDN w:val="0"/>
        <w:ind w:firstLine="480" w:firstLineChars="200"/>
        <w:contextualSpacing/>
        <w:jc w:val="left"/>
        <w:rPr>
          <w:rFonts w:hint="eastAsia" w:ascii="宋体" w:hAnsi="宋体" w:eastAsia="宋体" w:cs="宋体"/>
          <w:bCs/>
          <w:color w:val="000000"/>
          <w:sz w:val="24"/>
          <w:szCs w:val="24"/>
        </w:rPr>
      </w:pPr>
      <w:r>
        <w:rPr>
          <w:rFonts w:hint="eastAsia" w:ascii="宋体" w:hAnsi="宋体" w:eastAsia="宋体" w:cs="宋体"/>
          <w:bCs/>
          <w:color w:val="000000"/>
          <w:sz w:val="24"/>
          <w:szCs w:val="24"/>
        </w:rPr>
        <w:t>（4）通用合同条款；</w:t>
      </w:r>
    </w:p>
    <w:p w14:paraId="0E1797B4">
      <w:pPr>
        <w:autoSpaceDE w:val="0"/>
        <w:autoSpaceDN w:val="0"/>
        <w:ind w:firstLine="480" w:firstLineChars="200"/>
        <w:contextualSpacing/>
        <w:jc w:val="left"/>
        <w:rPr>
          <w:rFonts w:hint="eastAsia" w:ascii="宋体" w:hAnsi="宋体" w:eastAsia="宋体" w:cs="宋体"/>
          <w:bCs/>
          <w:color w:val="000000"/>
          <w:sz w:val="24"/>
          <w:szCs w:val="24"/>
        </w:rPr>
      </w:pPr>
      <w:r>
        <w:rPr>
          <w:rFonts w:hint="eastAsia" w:ascii="宋体" w:hAnsi="宋体" w:eastAsia="宋体" w:cs="宋体"/>
          <w:bCs/>
          <w:color w:val="000000"/>
          <w:sz w:val="24"/>
          <w:szCs w:val="24"/>
        </w:rPr>
        <w:t>（5）技术标准和要求；</w:t>
      </w:r>
    </w:p>
    <w:p w14:paraId="7D8EE051">
      <w:pPr>
        <w:autoSpaceDE w:val="0"/>
        <w:autoSpaceDN w:val="0"/>
        <w:ind w:firstLine="480" w:firstLineChars="200"/>
        <w:contextualSpacing/>
        <w:jc w:val="left"/>
        <w:rPr>
          <w:rFonts w:hint="eastAsia" w:ascii="宋体" w:hAnsi="宋体" w:eastAsia="宋体" w:cs="宋体"/>
          <w:bCs/>
          <w:color w:val="000000"/>
          <w:sz w:val="24"/>
          <w:szCs w:val="24"/>
        </w:rPr>
      </w:pPr>
      <w:r>
        <w:rPr>
          <w:rFonts w:hint="eastAsia" w:ascii="宋体" w:hAnsi="宋体" w:eastAsia="宋体" w:cs="宋体"/>
          <w:bCs/>
          <w:color w:val="000000"/>
          <w:sz w:val="24"/>
          <w:szCs w:val="24"/>
        </w:rPr>
        <w:t>（6）图纸；</w:t>
      </w:r>
    </w:p>
    <w:p w14:paraId="6FF49034">
      <w:pPr>
        <w:autoSpaceDE w:val="0"/>
        <w:autoSpaceDN w:val="0"/>
        <w:ind w:firstLine="480" w:firstLineChars="200"/>
        <w:contextualSpacing/>
        <w:jc w:val="left"/>
        <w:rPr>
          <w:rFonts w:hint="eastAsia" w:ascii="宋体" w:hAnsi="宋体" w:eastAsia="宋体" w:cs="宋体"/>
          <w:bCs/>
          <w:color w:val="000000"/>
          <w:sz w:val="24"/>
          <w:szCs w:val="24"/>
        </w:rPr>
      </w:pPr>
      <w:r>
        <w:rPr>
          <w:rFonts w:hint="eastAsia" w:ascii="宋体" w:hAnsi="宋体" w:eastAsia="宋体" w:cs="宋体"/>
          <w:bCs/>
          <w:color w:val="000000"/>
          <w:sz w:val="24"/>
          <w:szCs w:val="24"/>
        </w:rPr>
        <w:t>（7）已标价的工程量清单或预算书；</w:t>
      </w:r>
    </w:p>
    <w:p w14:paraId="7E63E706">
      <w:pPr>
        <w:autoSpaceDE w:val="0"/>
        <w:autoSpaceDN w:val="0"/>
        <w:ind w:firstLine="480" w:firstLineChars="200"/>
        <w:contextualSpacing/>
        <w:jc w:val="left"/>
        <w:rPr>
          <w:rFonts w:hint="eastAsia" w:ascii="宋体" w:hAnsi="宋体" w:eastAsia="宋体" w:cs="宋体"/>
          <w:bCs/>
          <w:color w:val="000000"/>
          <w:sz w:val="24"/>
          <w:szCs w:val="24"/>
        </w:rPr>
      </w:pPr>
      <w:r>
        <w:rPr>
          <w:rFonts w:hint="eastAsia" w:ascii="宋体" w:hAnsi="宋体" w:eastAsia="宋体" w:cs="宋体"/>
          <w:bCs/>
          <w:color w:val="000000"/>
          <w:sz w:val="24"/>
          <w:szCs w:val="24"/>
        </w:rPr>
        <w:t>（8）招标文件及澄清补充文件及其他补充资料；</w:t>
      </w:r>
    </w:p>
    <w:p w14:paraId="251399AA">
      <w:pPr>
        <w:autoSpaceDE w:val="0"/>
        <w:autoSpaceDN w:val="0"/>
        <w:ind w:firstLine="480" w:firstLineChars="200"/>
        <w:contextualSpacing/>
        <w:jc w:val="left"/>
        <w:rPr>
          <w:rFonts w:hint="eastAsia" w:ascii="宋体" w:hAnsi="宋体" w:eastAsia="宋体" w:cs="宋体"/>
          <w:bCs/>
          <w:color w:val="000000"/>
          <w:sz w:val="24"/>
          <w:szCs w:val="24"/>
        </w:rPr>
      </w:pPr>
      <w:r>
        <w:rPr>
          <w:rFonts w:hint="eastAsia" w:ascii="宋体" w:hAnsi="宋体" w:eastAsia="宋体" w:cs="宋体"/>
          <w:bCs/>
          <w:color w:val="000000"/>
          <w:sz w:val="24"/>
          <w:szCs w:val="24"/>
        </w:rPr>
        <w:t>（9）投标文件及澄清补充文件及其他补充资料；</w:t>
      </w:r>
    </w:p>
    <w:p w14:paraId="2B45CBE0">
      <w:pPr>
        <w:autoSpaceDE w:val="0"/>
        <w:autoSpaceDN w:val="0"/>
        <w:ind w:firstLine="480" w:firstLineChars="200"/>
        <w:contextualSpacing/>
        <w:jc w:val="left"/>
        <w:rPr>
          <w:rFonts w:hint="eastAsia" w:ascii="宋体" w:hAnsi="宋体" w:eastAsia="宋体" w:cs="宋体"/>
          <w:bCs/>
          <w:color w:val="000000"/>
          <w:sz w:val="24"/>
          <w:szCs w:val="24"/>
        </w:rPr>
      </w:pPr>
      <w:r>
        <w:rPr>
          <w:rFonts w:hint="eastAsia" w:ascii="宋体" w:hAnsi="宋体" w:eastAsia="宋体" w:cs="宋体"/>
          <w:bCs/>
          <w:color w:val="000000"/>
          <w:sz w:val="24"/>
          <w:szCs w:val="24"/>
        </w:rPr>
        <w:t>（11）其他合同文件。</w:t>
      </w:r>
    </w:p>
    <w:p w14:paraId="0378BED2">
      <w:pPr>
        <w:autoSpaceDE w:val="0"/>
        <w:autoSpaceDN w:val="0"/>
        <w:ind w:firstLine="480" w:firstLineChars="200"/>
        <w:contextualSpacing/>
        <w:jc w:val="left"/>
        <w:rPr>
          <w:rFonts w:hint="eastAsia" w:ascii="宋体" w:hAnsi="宋体" w:eastAsia="宋体" w:cs="宋体"/>
          <w:bCs/>
          <w:color w:val="000000"/>
          <w:sz w:val="24"/>
          <w:szCs w:val="24"/>
        </w:rPr>
      </w:pPr>
      <w:r>
        <w:rPr>
          <w:rFonts w:hint="eastAsia" w:ascii="宋体" w:hAnsi="宋体" w:eastAsia="宋体" w:cs="宋体"/>
          <w:bCs/>
          <w:color w:val="000000"/>
          <w:sz w:val="24"/>
          <w:szCs w:val="24"/>
        </w:rPr>
        <w:t>上述文件应认为是互为补充和解释的，但如有模棱两可或互相矛盾之处，以上面所列顺序在前的为准。</w:t>
      </w:r>
    </w:p>
    <w:p w14:paraId="45FD3D91">
      <w:pPr>
        <w:autoSpaceDE w:val="0"/>
        <w:autoSpaceDN w:val="0"/>
        <w:ind w:firstLine="480" w:firstLineChars="200"/>
        <w:contextualSpacing/>
        <w:jc w:val="left"/>
        <w:rPr>
          <w:rFonts w:hint="eastAsia" w:ascii="宋体" w:hAnsi="宋体" w:eastAsia="宋体" w:cs="宋体"/>
          <w:color w:val="000000"/>
          <w:sz w:val="24"/>
          <w:szCs w:val="24"/>
        </w:rPr>
      </w:pPr>
      <w:r>
        <w:rPr>
          <w:rFonts w:hint="eastAsia" w:ascii="宋体" w:hAnsi="宋体" w:eastAsia="宋体" w:cs="宋体"/>
          <w:color w:val="000000"/>
          <w:sz w:val="24"/>
          <w:szCs w:val="24"/>
        </w:rPr>
        <w:t>在合同订立及履行过程中形成的与合同有关的文件均构成合同文件组成部分。</w:t>
      </w:r>
    </w:p>
    <w:p w14:paraId="5983542E">
      <w:pPr>
        <w:autoSpaceDE w:val="0"/>
        <w:autoSpaceDN w:val="0"/>
        <w:ind w:firstLine="480" w:firstLineChars="200"/>
        <w:contextualSpacing/>
        <w:jc w:val="left"/>
        <w:rPr>
          <w:rFonts w:hint="eastAsia" w:ascii="宋体" w:hAnsi="宋体" w:eastAsia="宋体" w:cs="宋体"/>
          <w:color w:val="000000"/>
          <w:sz w:val="24"/>
          <w:szCs w:val="24"/>
        </w:rPr>
      </w:pPr>
      <w:r>
        <w:rPr>
          <w:rFonts w:hint="eastAsia" w:ascii="宋体" w:hAnsi="宋体" w:eastAsia="宋体" w:cs="宋体"/>
          <w:color w:val="000000"/>
          <w:sz w:val="24"/>
          <w:szCs w:val="24"/>
        </w:rPr>
        <w:t>上述各项合同文件包括合同当事人就该项合同文件所作出的补充和修改，属于同一类内容的文件，应以最新签署的为准。专用合同条款及其附件须经合同当事人签字或盖章。</w:t>
      </w:r>
      <w:bookmarkStart w:id="16" w:name="_Toc443898045"/>
    </w:p>
    <w:p w14:paraId="2D041D6A">
      <w:pPr>
        <w:autoSpaceDE w:val="0"/>
        <w:autoSpaceDN w:val="0"/>
        <w:ind w:firstLine="482" w:firstLineChars="200"/>
        <w:contextualSpacing/>
        <w:jc w:val="left"/>
        <w:rPr>
          <w:rFonts w:hint="eastAsia" w:ascii="宋体" w:hAnsi="宋体" w:eastAsia="宋体" w:cs="宋体"/>
          <w:color w:val="000000"/>
          <w:sz w:val="24"/>
          <w:szCs w:val="24"/>
        </w:rPr>
      </w:pPr>
      <w:r>
        <w:rPr>
          <w:rFonts w:hint="eastAsia" w:ascii="宋体" w:hAnsi="宋体" w:eastAsia="宋体" w:cs="宋体"/>
          <w:b/>
          <w:color w:val="000000"/>
          <w:sz w:val="24"/>
          <w:szCs w:val="24"/>
        </w:rPr>
        <w:t>七、承诺</w:t>
      </w:r>
    </w:p>
    <w:p w14:paraId="375E8CE6">
      <w:pPr>
        <w:ind w:firstLine="480" w:firstLineChars="200"/>
        <w:contextualSpacing/>
        <w:rPr>
          <w:rFonts w:hint="eastAsia" w:ascii="宋体" w:hAnsi="宋体" w:eastAsia="宋体" w:cs="宋体"/>
          <w:bCs/>
          <w:color w:val="000000"/>
          <w:sz w:val="24"/>
          <w:szCs w:val="24"/>
        </w:rPr>
      </w:pPr>
      <w:r>
        <w:rPr>
          <w:rFonts w:hint="eastAsia" w:ascii="宋体" w:hAnsi="宋体" w:eastAsia="宋体" w:cs="宋体"/>
          <w:bCs/>
          <w:color w:val="000000"/>
          <w:sz w:val="24"/>
          <w:szCs w:val="24"/>
        </w:rPr>
        <w:t>1.发包人承诺督促委托方</w:t>
      </w:r>
      <w:r>
        <w:rPr>
          <w:rFonts w:hint="eastAsia" w:ascii="宋体" w:hAnsi="宋体" w:eastAsia="宋体" w:cs="宋体"/>
          <w:color w:val="000000"/>
          <w:sz w:val="24"/>
          <w:szCs w:val="24"/>
        </w:rPr>
        <w:t>（佛山市南海博爱投资建设有限公司）按</w:t>
      </w:r>
      <w:r>
        <w:rPr>
          <w:rFonts w:hint="eastAsia" w:ascii="宋体" w:hAnsi="宋体" w:eastAsia="宋体" w:cs="宋体"/>
          <w:bCs/>
          <w:color w:val="000000"/>
          <w:sz w:val="24"/>
          <w:szCs w:val="24"/>
        </w:rPr>
        <w:t>照法律规定履行项目审批手续、筹集工程建设资金，发包人按照合同约定的期限和方式支付合同价款（本工程支付合同价款均在委托方已支付发包人建安费金额的基础上按照合同条款支付，甲方无义务垫付及筹集资金）。</w:t>
      </w:r>
    </w:p>
    <w:p w14:paraId="04093DC6">
      <w:pPr>
        <w:ind w:firstLine="480" w:firstLineChars="200"/>
        <w:contextualSpacing/>
        <w:rPr>
          <w:rFonts w:hint="eastAsia" w:ascii="宋体" w:hAnsi="宋体" w:eastAsia="宋体" w:cs="宋体"/>
          <w:bCs/>
          <w:color w:val="000000"/>
          <w:sz w:val="24"/>
          <w:szCs w:val="24"/>
        </w:rPr>
      </w:pPr>
      <w:r>
        <w:rPr>
          <w:rFonts w:hint="eastAsia" w:ascii="宋体" w:hAnsi="宋体" w:eastAsia="宋体" w:cs="宋体"/>
          <w:bCs/>
          <w:color w:val="000000"/>
          <w:sz w:val="24"/>
          <w:szCs w:val="24"/>
        </w:rPr>
        <w:t>2.承包人承诺按照法律规定及合同约定组织完成工程施工，确保工程进度、质量和安全，不进行转包及违法分包，并在缺陷责任期及保修期内承担相应的工程维修责任。若承包人的施工进度、质量和安全不满足合同要求，发包人有权调整承包范围，并保留索赔的权利。</w:t>
      </w:r>
    </w:p>
    <w:p w14:paraId="332F6699">
      <w:pPr>
        <w:ind w:firstLine="480" w:firstLineChars="200"/>
        <w:contextualSpacing/>
        <w:rPr>
          <w:rFonts w:hint="eastAsia" w:ascii="宋体" w:hAnsi="宋体" w:eastAsia="宋体" w:cs="宋体"/>
          <w:bCs/>
          <w:color w:val="000000"/>
          <w:sz w:val="24"/>
          <w:szCs w:val="24"/>
        </w:rPr>
      </w:pPr>
      <w:r>
        <w:rPr>
          <w:rFonts w:hint="eastAsia" w:ascii="宋体" w:hAnsi="宋体" w:eastAsia="宋体" w:cs="宋体"/>
          <w:bCs/>
          <w:color w:val="000000"/>
          <w:sz w:val="24"/>
          <w:szCs w:val="24"/>
        </w:rPr>
        <w:t>3.发包人和承包人通过招投标形式签订合同的，双方理解并承诺不再就同一工程另行签订与合同实质性内容相背离的协议。</w:t>
      </w:r>
    </w:p>
    <w:p w14:paraId="55206E47">
      <w:pPr>
        <w:ind w:firstLine="482" w:firstLineChars="200"/>
        <w:contextualSpacing/>
        <w:rPr>
          <w:rFonts w:hint="eastAsia" w:ascii="宋体" w:hAnsi="宋体" w:eastAsia="宋体" w:cs="宋体"/>
          <w:b/>
          <w:bCs/>
          <w:color w:val="000000"/>
          <w:sz w:val="24"/>
          <w:szCs w:val="24"/>
        </w:rPr>
      </w:pPr>
      <w:r>
        <w:rPr>
          <w:rFonts w:hint="eastAsia" w:ascii="宋体" w:hAnsi="宋体" w:eastAsia="宋体" w:cs="宋体"/>
          <w:b/>
          <w:color w:val="000000"/>
          <w:sz w:val="24"/>
          <w:szCs w:val="24"/>
        </w:rPr>
        <w:t>八、词语含义</w:t>
      </w:r>
    </w:p>
    <w:p w14:paraId="2552B7EB">
      <w:pPr>
        <w:ind w:firstLine="480" w:firstLineChars="200"/>
        <w:contextualSpacing/>
        <w:rPr>
          <w:rFonts w:hint="eastAsia" w:ascii="宋体" w:hAnsi="宋体" w:eastAsia="宋体" w:cs="宋体"/>
          <w:bCs/>
          <w:color w:val="000000"/>
          <w:sz w:val="24"/>
          <w:szCs w:val="24"/>
        </w:rPr>
      </w:pPr>
      <w:r>
        <w:rPr>
          <w:rFonts w:hint="eastAsia" w:ascii="宋体" w:hAnsi="宋体" w:eastAsia="宋体" w:cs="宋体"/>
          <w:bCs/>
          <w:color w:val="000000"/>
          <w:sz w:val="24"/>
          <w:szCs w:val="24"/>
        </w:rPr>
        <w:t>本协议书中词语含义与第二部分通用合同条款中赋予的含义相同。</w:t>
      </w:r>
    </w:p>
    <w:p w14:paraId="0838BED0">
      <w:pPr>
        <w:ind w:firstLine="482" w:firstLineChars="200"/>
        <w:contextualSpacing/>
        <w:rPr>
          <w:rFonts w:hint="eastAsia" w:ascii="宋体" w:hAnsi="宋体" w:eastAsia="宋体" w:cs="宋体"/>
          <w:bCs/>
          <w:color w:val="000000"/>
          <w:sz w:val="24"/>
          <w:szCs w:val="24"/>
        </w:rPr>
      </w:pPr>
      <w:r>
        <w:rPr>
          <w:rFonts w:hint="eastAsia" w:ascii="宋体" w:hAnsi="宋体" w:eastAsia="宋体" w:cs="宋体"/>
          <w:b/>
          <w:color w:val="000000"/>
          <w:sz w:val="24"/>
          <w:szCs w:val="24"/>
        </w:rPr>
        <w:t>九、签订时间</w:t>
      </w:r>
    </w:p>
    <w:p w14:paraId="55C3201B">
      <w:pPr>
        <w:ind w:firstLine="480" w:firstLineChars="200"/>
        <w:contextualSpacing/>
        <w:rPr>
          <w:rFonts w:hint="eastAsia" w:ascii="宋体" w:hAnsi="宋体" w:eastAsia="宋体" w:cs="宋体"/>
          <w:bCs/>
          <w:color w:val="000000"/>
          <w:sz w:val="24"/>
          <w:szCs w:val="24"/>
        </w:rPr>
      </w:pPr>
      <w:r>
        <w:rPr>
          <w:rFonts w:hint="eastAsia" w:ascii="宋体" w:hAnsi="宋体" w:eastAsia="宋体" w:cs="宋体"/>
          <w:bCs/>
          <w:color w:val="000000"/>
          <w:sz w:val="24"/>
          <w:szCs w:val="24"/>
        </w:rPr>
        <w:t>本合同最后一方签字盖章之日为签订时间。</w:t>
      </w:r>
    </w:p>
    <w:p w14:paraId="194DB2B6">
      <w:pPr>
        <w:ind w:firstLine="482" w:firstLineChars="200"/>
        <w:contextualSpacing/>
        <w:rPr>
          <w:rFonts w:hint="eastAsia" w:ascii="宋体" w:hAnsi="宋体" w:eastAsia="宋体" w:cs="宋体"/>
          <w:bCs/>
          <w:color w:val="000000"/>
          <w:sz w:val="24"/>
          <w:szCs w:val="24"/>
        </w:rPr>
      </w:pPr>
      <w:r>
        <w:rPr>
          <w:rFonts w:hint="eastAsia" w:ascii="宋体" w:hAnsi="宋体" w:eastAsia="宋体" w:cs="宋体"/>
          <w:b/>
          <w:color w:val="000000"/>
          <w:sz w:val="24"/>
          <w:szCs w:val="24"/>
        </w:rPr>
        <w:t>十、签订地点</w:t>
      </w:r>
    </w:p>
    <w:p w14:paraId="1659A489">
      <w:pPr>
        <w:ind w:firstLine="480" w:firstLineChars="200"/>
        <w:contextualSpacing/>
        <w:rPr>
          <w:rFonts w:hint="eastAsia" w:ascii="宋体" w:hAnsi="宋体" w:eastAsia="宋体" w:cs="宋体"/>
          <w:bCs/>
          <w:color w:val="000000"/>
          <w:sz w:val="24"/>
          <w:szCs w:val="24"/>
        </w:rPr>
      </w:pPr>
      <w:r>
        <w:rPr>
          <w:rFonts w:hint="eastAsia" w:ascii="宋体" w:hAnsi="宋体" w:eastAsia="宋体" w:cs="宋体"/>
          <w:bCs/>
          <w:color w:val="000000"/>
          <w:sz w:val="24"/>
          <w:szCs w:val="24"/>
        </w:rPr>
        <w:t>本合同在</w:t>
      </w:r>
      <w:r>
        <w:rPr>
          <w:rFonts w:hint="eastAsia" w:ascii="宋体" w:hAnsi="宋体" w:eastAsia="宋体" w:cs="宋体"/>
          <w:bCs/>
          <w:color w:val="000000"/>
          <w:sz w:val="24"/>
          <w:szCs w:val="24"/>
          <w:u w:val="single"/>
        </w:rPr>
        <w:t>广东省广州市</w:t>
      </w:r>
      <w:r>
        <w:rPr>
          <w:rFonts w:hint="eastAsia" w:ascii="宋体" w:hAnsi="宋体" w:eastAsia="宋体" w:cs="宋体"/>
          <w:bCs/>
          <w:color w:val="000000"/>
          <w:sz w:val="24"/>
          <w:szCs w:val="24"/>
        </w:rPr>
        <w:t>签订。</w:t>
      </w:r>
    </w:p>
    <w:p w14:paraId="356EC2D7">
      <w:pPr>
        <w:ind w:firstLine="482" w:firstLineChars="200"/>
        <w:contextualSpacing/>
        <w:rPr>
          <w:rFonts w:hint="eastAsia" w:ascii="宋体" w:hAnsi="宋体" w:eastAsia="宋体" w:cs="宋体"/>
          <w:bCs/>
          <w:color w:val="000000"/>
          <w:sz w:val="24"/>
          <w:szCs w:val="24"/>
        </w:rPr>
      </w:pPr>
      <w:r>
        <w:rPr>
          <w:rFonts w:hint="eastAsia" w:ascii="宋体" w:hAnsi="宋体" w:eastAsia="宋体" w:cs="宋体"/>
          <w:b/>
          <w:color w:val="000000"/>
          <w:sz w:val="24"/>
          <w:szCs w:val="24"/>
        </w:rPr>
        <w:t>十一、补充协议</w:t>
      </w:r>
    </w:p>
    <w:p w14:paraId="2CA6173B">
      <w:pPr>
        <w:ind w:firstLine="480" w:firstLineChars="200"/>
        <w:contextualSpacing/>
        <w:rPr>
          <w:rFonts w:hint="eastAsia" w:ascii="宋体" w:hAnsi="宋体" w:eastAsia="宋体" w:cs="宋体"/>
          <w:bCs/>
          <w:color w:val="000000"/>
          <w:sz w:val="24"/>
          <w:szCs w:val="24"/>
        </w:rPr>
      </w:pPr>
      <w:r>
        <w:rPr>
          <w:rFonts w:hint="eastAsia" w:ascii="宋体" w:hAnsi="宋体" w:eastAsia="宋体" w:cs="宋体"/>
          <w:bCs/>
          <w:color w:val="000000"/>
          <w:sz w:val="24"/>
          <w:szCs w:val="24"/>
        </w:rPr>
        <w:t>合同未尽事宜，合同当事人另行签订补充协议，补充协议是合同的组成部分。</w:t>
      </w:r>
    </w:p>
    <w:p w14:paraId="7ADBD8D9">
      <w:pPr>
        <w:ind w:firstLine="482" w:firstLineChars="200"/>
        <w:contextualSpacing/>
        <w:rPr>
          <w:rFonts w:hint="eastAsia" w:ascii="宋体" w:hAnsi="宋体" w:eastAsia="宋体" w:cs="宋体"/>
          <w:bCs/>
          <w:color w:val="000000"/>
          <w:sz w:val="24"/>
          <w:szCs w:val="24"/>
        </w:rPr>
      </w:pPr>
      <w:r>
        <w:rPr>
          <w:rFonts w:hint="eastAsia" w:ascii="宋体" w:hAnsi="宋体" w:eastAsia="宋体" w:cs="宋体"/>
          <w:b/>
          <w:color w:val="000000"/>
          <w:sz w:val="24"/>
          <w:szCs w:val="24"/>
        </w:rPr>
        <w:t>十二、合同生效</w:t>
      </w:r>
    </w:p>
    <w:p w14:paraId="2F6FF499">
      <w:pPr>
        <w:ind w:firstLine="480" w:firstLineChars="200"/>
        <w:contextualSpacing/>
        <w:rPr>
          <w:rFonts w:hint="eastAsia" w:ascii="宋体" w:hAnsi="宋体" w:eastAsia="宋体" w:cs="宋体"/>
          <w:bCs/>
          <w:sz w:val="24"/>
          <w:szCs w:val="24"/>
        </w:rPr>
      </w:pPr>
      <w:r>
        <w:rPr>
          <w:rFonts w:hint="eastAsia" w:ascii="宋体" w:hAnsi="宋体" w:eastAsia="宋体" w:cs="宋体"/>
          <w:bCs/>
          <w:color w:val="000000"/>
          <w:sz w:val="24"/>
          <w:szCs w:val="24"/>
        </w:rPr>
        <w:t>本合同自双方法定代表人或其授权代表签字（或签章）</w:t>
      </w:r>
      <w:r>
        <w:rPr>
          <w:rFonts w:hint="eastAsia" w:ascii="宋体" w:hAnsi="宋体" w:eastAsia="宋体" w:cs="宋体"/>
          <w:bCs/>
          <w:sz w:val="24"/>
          <w:szCs w:val="24"/>
        </w:rPr>
        <w:t>并加盖公司公章（或合同专用章）后生效。</w:t>
      </w:r>
    </w:p>
    <w:p w14:paraId="2C25DE9A">
      <w:pPr>
        <w:ind w:firstLine="482" w:firstLineChars="200"/>
        <w:contextualSpacing/>
        <w:rPr>
          <w:rFonts w:hint="eastAsia" w:ascii="宋体" w:hAnsi="宋体" w:eastAsia="宋体" w:cs="宋体"/>
          <w:bCs/>
          <w:color w:val="000000"/>
          <w:sz w:val="24"/>
          <w:szCs w:val="24"/>
        </w:rPr>
      </w:pPr>
      <w:r>
        <w:rPr>
          <w:rFonts w:hint="eastAsia" w:ascii="宋体" w:hAnsi="宋体" w:eastAsia="宋体" w:cs="宋体"/>
          <w:b/>
          <w:color w:val="000000"/>
          <w:sz w:val="24"/>
          <w:szCs w:val="24"/>
        </w:rPr>
        <w:t>十三、合同份数</w:t>
      </w:r>
    </w:p>
    <w:p w14:paraId="4E6700B1">
      <w:pPr>
        <w:ind w:firstLine="480" w:firstLineChars="200"/>
        <w:contextualSpacing/>
        <w:rPr>
          <w:rFonts w:hint="eastAsia" w:ascii="宋体" w:hAnsi="宋体" w:eastAsia="宋体" w:cs="宋体"/>
          <w:bCs/>
          <w:color w:val="000000"/>
          <w:sz w:val="24"/>
          <w:szCs w:val="24"/>
        </w:rPr>
      </w:pPr>
      <w:r>
        <w:rPr>
          <w:rFonts w:hint="eastAsia" w:ascii="宋体" w:hAnsi="宋体" w:eastAsia="宋体" w:cs="宋体"/>
          <w:bCs/>
          <w:color w:val="000000"/>
          <w:sz w:val="24"/>
          <w:szCs w:val="24"/>
        </w:rPr>
        <w:t>本合同正本</w:t>
      </w:r>
      <w:r>
        <w:rPr>
          <w:rFonts w:hint="eastAsia" w:ascii="宋体" w:hAnsi="宋体" w:eastAsia="宋体" w:cs="宋体"/>
          <w:bCs/>
          <w:color w:val="000000"/>
          <w:sz w:val="24"/>
          <w:szCs w:val="24"/>
          <w:u w:val="single"/>
        </w:rPr>
        <w:t xml:space="preserve"> 叁 </w:t>
      </w:r>
      <w:r>
        <w:rPr>
          <w:rFonts w:hint="eastAsia" w:ascii="宋体" w:hAnsi="宋体" w:eastAsia="宋体" w:cs="宋体"/>
          <w:bCs/>
          <w:color w:val="000000"/>
          <w:sz w:val="24"/>
          <w:szCs w:val="24"/>
        </w:rPr>
        <w:t>份，副本</w:t>
      </w:r>
      <w:r>
        <w:rPr>
          <w:rFonts w:hint="eastAsia" w:ascii="宋体" w:hAnsi="宋体" w:eastAsia="宋体" w:cs="宋体"/>
          <w:bCs/>
          <w:color w:val="000000"/>
          <w:sz w:val="24"/>
          <w:szCs w:val="24"/>
          <w:u w:val="single"/>
        </w:rPr>
        <w:t xml:space="preserve"> 玖 </w:t>
      </w:r>
      <w:r>
        <w:rPr>
          <w:rFonts w:hint="eastAsia" w:ascii="宋体" w:hAnsi="宋体" w:eastAsia="宋体" w:cs="宋体"/>
          <w:bCs/>
          <w:color w:val="000000"/>
          <w:sz w:val="24"/>
          <w:szCs w:val="24"/>
        </w:rPr>
        <w:t>份，发包人执正本</w:t>
      </w:r>
      <w:r>
        <w:rPr>
          <w:rFonts w:hint="eastAsia" w:ascii="宋体" w:hAnsi="宋体" w:eastAsia="宋体" w:cs="宋体"/>
          <w:bCs/>
          <w:color w:val="000000"/>
          <w:sz w:val="24"/>
          <w:szCs w:val="24"/>
          <w:u w:val="single"/>
        </w:rPr>
        <w:t xml:space="preserve"> 贰 </w:t>
      </w:r>
      <w:r>
        <w:rPr>
          <w:rFonts w:hint="eastAsia" w:ascii="宋体" w:hAnsi="宋体" w:eastAsia="宋体" w:cs="宋体"/>
          <w:bCs/>
          <w:color w:val="000000"/>
          <w:sz w:val="24"/>
          <w:szCs w:val="24"/>
        </w:rPr>
        <w:t>份，副本</w:t>
      </w:r>
      <w:r>
        <w:rPr>
          <w:rFonts w:hint="eastAsia" w:ascii="宋体" w:hAnsi="宋体" w:eastAsia="宋体" w:cs="宋体"/>
          <w:bCs/>
          <w:color w:val="000000"/>
          <w:sz w:val="24"/>
          <w:szCs w:val="24"/>
          <w:u w:val="single"/>
        </w:rPr>
        <w:t xml:space="preserve"> 伍 </w:t>
      </w:r>
      <w:r>
        <w:rPr>
          <w:rFonts w:hint="eastAsia" w:ascii="宋体" w:hAnsi="宋体" w:eastAsia="宋体" w:cs="宋体"/>
          <w:bCs/>
          <w:color w:val="000000"/>
          <w:sz w:val="24"/>
          <w:szCs w:val="24"/>
        </w:rPr>
        <w:t xml:space="preserve">份，承包人执正本 </w:t>
      </w:r>
      <w:r>
        <w:rPr>
          <w:rFonts w:hint="eastAsia" w:ascii="宋体" w:hAnsi="宋体" w:eastAsia="宋体" w:cs="宋体"/>
          <w:bCs/>
          <w:color w:val="000000"/>
          <w:sz w:val="24"/>
          <w:szCs w:val="24"/>
          <w:u w:val="single"/>
        </w:rPr>
        <w:t>壹</w:t>
      </w:r>
      <w:r>
        <w:rPr>
          <w:rFonts w:hint="eastAsia" w:ascii="宋体" w:hAnsi="宋体" w:eastAsia="宋体" w:cs="宋体"/>
          <w:bCs/>
          <w:color w:val="000000"/>
          <w:sz w:val="24"/>
          <w:szCs w:val="24"/>
        </w:rPr>
        <w:t xml:space="preserve"> 份，副本 </w:t>
      </w:r>
      <w:r>
        <w:rPr>
          <w:rFonts w:hint="eastAsia" w:ascii="宋体" w:hAnsi="宋体" w:eastAsia="宋体" w:cs="宋体"/>
          <w:bCs/>
          <w:color w:val="000000"/>
          <w:sz w:val="24"/>
          <w:szCs w:val="24"/>
          <w:u w:val="single"/>
        </w:rPr>
        <w:t>肆</w:t>
      </w:r>
      <w:r>
        <w:rPr>
          <w:rFonts w:hint="eastAsia" w:ascii="宋体" w:hAnsi="宋体" w:eastAsia="宋体" w:cs="宋体"/>
          <w:bCs/>
          <w:color w:val="000000"/>
          <w:sz w:val="24"/>
          <w:szCs w:val="24"/>
        </w:rPr>
        <w:t xml:space="preserve"> 份。正本与副本具有同等法律效力。</w:t>
      </w:r>
    </w:p>
    <w:bookmarkEnd w:id="16"/>
    <w:p w14:paraId="147AB6F7">
      <w:pPr>
        <w:ind w:firstLine="480" w:firstLineChars="200"/>
        <w:contextualSpacing/>
        <w:rPr>
          <w:rFonts w:hint="eastAsia" w:ascii="宋体" w:hAnsi="宋体" w:eastAsia="宋体" w:cs="宋体"/>
          <w:bCs/>
          <w:color w:val="000000"/>
          <w:sz w:val="24"/>
          <w:szCs w:val="24"/>
        </w:rPr>
      </w:pPr>
    </w:p>
    <w:p w14:paraId="6E2EA4F1">
      <w:pPr>
        <w:contextualSpacing/>
        <w:rPr>
          <w:rFonts w:hint="eastAsia" w:ascii="宋体" w:hAnsi="宋体" w:eastAsia="宋体" w:cs="宋体"/>
          <w:color w:val="000000"/>
          <w:sz w:val="24"/>
          <w:szCs w:val="24"/>
        </w:rPr>
      </w:pPr>
    </w:p>
    <w:p w14:paraId="711591B4">
      <w:pPr>
        <w:pStyle w:val="16"/>
        <w:rPr>
          <w:rFonts w:hint="eastAsia" w:ascii="宋体" w:hAnsi="宋体" w:eastAsia="宋体" w:cs="宋体"/>
          <w:sz w:val="24"/>
        </w:rPr>
      </w:pPr>
    </w:p>
    <w:p w14:paraId="0971C424">
      <w:pPr>
        <w:pStyle w:val="16"/>
        <w:rPr>
          <w:rFonts w:hint="eastAsia" w:ascii="宋体" w:hAnsi="宋体" w:eastAsia="宋体" w:cs="宋体"/>
          <w:sz w:val="24"/>
        </w:rPr>
      </w:pPr>
    </w:p>
    <w:p w14:paraId="62153B12">
      <w:pPr>
        <w:pStyle w:val="16"/>
        <w:rPr>
          <w:rFonts w:hint="eastAsia" w:ascii="宋体" w:hAnsi="宋体" w:eastAsia="宋体" w:cs="宋体"/>
          <w:sz w:val="24"/>
        </w:rPr>
      </w:pPr>
    </w:p>
    <w:p w14:paraId="55B952CC">
      <w:pPr>
        <w:spacing w:line="360" w:lineRule="auto"/>
        <w:contextualSpacing/>
        <w:rPr>
          <w:rFonts w:hint="eastAsia" w:ascii="宋体" w:hAnsi="宋体" w:cs="宋体"/>
          <w:color w:val="000000"/>
          <w:sz w:val="24"/>
          <w:szCs w:val="24"/>
          <w:highlight w:val="none"/>
          <w:lang w:val="en-US" w:eastAsia="zh-CN"/>
        </w:rPr>
      </w:pPr>
      <w:r>
        <w:rPr>
          <w:rFonts w:hint="eastAsia" w:ascii="宋体" w:hAnsi="宋体" w:eastAsia="宋体" w:cs="宋体"/>
          <w:color w:val="000000"/>
          <w:sz w:val="24"/>
          <w:szCs w:val="24"/>
        </w:rPr>
        <w:t xml:space="preserve">发包人：        </w:t>
      </w:r>
      <w:r>
        <w:rPr>
          <w:rFonts w:hint="eastAsia" w:ascii="宋体" w:hAnsi="宋体" w:eastAsia="宋体" w:cs="宋体"/>
          <w:color w:val="000000"/>
          <w:sz w:val="24"/>
          <w:szCs w:val="24"/>
          <w:highlight w:val="none"/>
        </w:rPr>
        <w:t xml:space="preserve">    </w:t>
      </w:r>
      <w:r>
        <w:rPr>
          <w:rFonts w:hint="eastAsia" w:ascii="宋体" w:hAnsi="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承包人：</w:t>
      </w:r>
      <w:r>
        <w:rPr>
          <w:rFonts w:hint="eastAsia" w:ascii="宋体" w:hAnsi="宋体" w:eastAsia="宋体" w:cs="宋体"/>
          <w:color w:val="000000"/>
          <w:sz w:val="24"/>
          <w:szCs w:val="24"/>
          <w:highlight w:val="none"/>
          <w:lang w:val="en-US" w:eastAsia="zh-CN"/>
        </w:rPr>
        <w:t xml:space="preserve">                     </w:t>
      </w:r>
      <w:r>
        <w:rPr>
          <w:rFonts w:hint="eastAsia" w:ascii="宋体" w:hAnsi="宋体" w:cs="宋体"/>
          <w:color w:val="000000"/>
          <w:sz w:val="24"/>
          <w:szCs w:val="24"/>
          <w:highlight w:val="none"/>
          <w:lang w:val="en-US" w:eastAsia="zh-CN"/>
        </w:rPr>
        <w:t xml:space="preserve">            </w:t>
      </w:r>
    </w:p>
    <w:p w14:paraId="038E8384">
      <w:pPr>
        <w:spacing w:line="360" w:lineRule="auto"/>
        <w:ind w:firstLine="240" w:firstLineChars="100"/>
        <w:contextualSpacing/>
        <w:rPr>
          <w:rFonts w:hint="eastAsia" w:ascii="宋体" w:hAnsi="宋体" w:eastAsia="宋体" w:cs="宋体"/>
          <w:b/>
          <w:bCs/>
          <w:color w:val="000000"/>
          <w:sz w:val="24"/>
          <w:szCs w:val="24"/>
          <w:highlight w:val="none"/>
        </w:rPr>
      </w:pPr>
      <w:r>
        <w:rPr>
          <w:rFonts w:hint="eastAsia" w:ascii="宋体" w:hAnsi="宋体" w:eastAsia="宋体" w:cs="宋体"/>
          <w:color w:val="000000"/>
          <w:sz w:val="24"/>
          <w:szCs w:val="24"/>
          <w:highlight w:val="none"/>
        </w:rPr>
        <w:t xml:space="preserve">(盖章)                       </w:t>
      </w:r>
      <w:r>
        <w:rPr>
          <w:rFonts w:hint="eastAsia" w:ascii="宋体" w:hAnsi="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(盖章)</w:t>
      </w:r>
    </w:p>
    <w:p w14:paraId="41310C96">
      <w:pPr>
        <w:spacing w:line="360" w:lineRule="auto"/>
        <w:contextualSpacing/>
        <w:rPr>
          <w:rFonts w:hint="eastAsia" w:ascii="宋体" w:hAnsi="宋体" w:eastAsia="宋体" w:cs="宋体"/>
          <w:color w:val="000000"/>
          <w:sz w:val="24"/>
          <w:szCs w:val="24"/>
        </w:rPr>
      </w:pPr>
    </w:p>
    <w:p w14:paraId="079E45FC">
      <w:pPr>
        <w:pStyle w:val="16"/>
        <w:rPr>
          <w:rFonts w:hint="eastAsia" w:ascii="宋体" w:hAnsi="宋体" w:eastAsia="宋体" w:cs="宋体"/>
          <w:sz w:val="24"/>
        </w:rPr>
      </w:pPr>
    </w:p>
    <w:p w14:paraId="3C51B2F8">
      <w:pPr>
        <w:spacing w:line="360" w:lineRule="auto"/>
        <w:contextualSpacing/>
        <w:rPr>
          <w:rFonts w:hint="eastAsia" w:ascii="宋体" w:hAnsi="宋体" w:eastAsia="宋体" w:cs="宋体"/>
          <w:color w:val="000000"/>
          <w:sz w:val="24"/>
          <w:szCs w:val="24"/>
        </w:rPr>
      </w:pPr>
      <w:r>
        <w:rPr>
          <w:rFonts w:hint="eastAsia" w:ascii="宋体" w:hAnsi="宋体" w:eastAsia="宋体" w:cs="宋体"/>
          <w:color w:val="000000"/>
          <w:sz w:val="24"/>
          <w:szCs w:val="24"/>
        </w:rPr>
        <w:t>法定代表人或</w:t>
      </w:r>
      <w:r>
        <w:rPr>
          <w:rFonts w:hint="eastAsia" w:ascii="宋体" w:hAnsi="宋体" w:eastAsia="宋体" w:cs="宋体"/>
          <w:bCs/>
          <w:color w:val="000000"/>
          <w:sz w:val="24"/>
          <w:szCs w:val="24"/>
        </w:rPr>
        <w:t>授权代表</w:t>
      </w:r>
      <w:r>
        <w:rPr>
          <w:rFonts w:hint="eastAsia" w:ascii="宋体" w:hAnsi="宋体" w:eastAsia="宋体" w:cs="宋体"/>
          <w:color w:val="000000"/>
          <w:sz w:val="24"/>
          <w:szCs w:val="24"/>
        </w:rPr>
        <w:t xml:space="preserve">：     </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 xml:space="preserve">   </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 xml:space="preserve"> 法定代表人或</w:t>
      </w:r>
      <w:r>
        <w:rPr>
          <w:rFonts w:hint="eastAsia" w:ascii="宋体" w:hAnsi="宋体" w:eastAsia="宋体" w:cs="宋体"/>
          <w:bCs/>
          <w:color w:val="000000"/>
          <w:sz w:val="24"/>
          <w:szCs w:val="24"/>
        </w:rPr>
        <w:t>授权代表</w:t>
      </w:r>
      <w:r>
        <w:rPr>
          <w:rFonts w:hint="eastAsia" w:ascii="宋体" w:hAnsi="宋体" w:eastAsia="宋体" w:cs="宋体"/>
          <w:color w:val="000000"/>
          <w:sz w:val="24"/>
          <w:szCs w:val="24"/>
        </w:rPr>
        <w:t>：</w:t>
      </w:r>
    </w:p>
    <w:p w14:paraId="65F826FF">
      <w:pPr>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（签字）                       </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 xml:space="preserve">  （签字）</w:t>
      </w:r>
    </w:p>
    <w:p w14:paraId="45928718">
      <w:pPr>
        <w:rPr>
          <w:rFonts w:hint="eastAsia" w:ascii="宋体" w:hAnsi="宋体" w:eastAsia="宋体" w:cs="宋体"/>
          <w:b w:val="0"/>
          <w:sz w:val="24"/>
          <w:szCs w:val="24"/>
        </w:rPr>
      </w:pPr>
      <w:bookmarkStart w:id="17" w:name="_Toc443898051"/>
      <w:bookmarkStart w:id="18" w:name="_Toc26314"/>
    </w:p>
    <w:p w14:paraId="1BC74573">
      <w:pPr>
        <w:rPr>
          <w:rFonts w:hint="eastAsia" w:ascii="宋体" w:hAnsi="宋体" w:eastAsia="宋体" w:cs="宋体"/>
          <w:b w:val="0"/>
          <w:sz w:val="24"/>
          <w:szCs w:val="24"/>
        </w:rPr>
      </w:pPr>
    </w:p>
    <w:p w14:paraId="24A5D11F">
      <w:pPr>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highlight w:val="none"/>
        </w:rPr>
        <w:t xml:space="preserve"> </w:t>
      </w:r>
      <w:r>
        <w:rPr>
          <w:rFonts w:hint="eastAsia" w:ascii="宋体" w:hAnsi="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 xml:space="preserve"> </w:t>
      </w:r>
    </w:p>
    <w:p w14:paraId="30E80374">
      <w:pPr>
        <w:rPr>
          <w:rFonts w:hint="eastAsia" w:ascii="宋体" w:hAnsi="宋体" w:eastAsia="宋体" w:cs="宋体"/>
          <w:b w:val="0"/>
          <w:sz w:val="24"/>
          <w:szCs w:val="24"/>
        </w:rPr>
      </w:pPr>
    </w:p>
    <w:p w14:paraId="5A5C0E5E">
      <w:pPr>
        <w:rPr>
          <w:rFonts w:hint="eastAsia" w:ascii="宋体" w:hAnsi="宋体" w:eastAsia="宋体" w:cs="宋体"/>
          <w:b w:val="0"/>
          <w:sz w:val="24"/>
          <w:szCs w:val="24"/>
        </w:rPr>
      </w:pPr>
    </w:p>
    <w:p w14:paraId="3182F6C3">
      <w:pPr>
        <w:rPr>
          <w:rFonts w:hint="eastAsia" w:ascii="宋体" w:hAnsi="宋体" w:eastAsia="宋体" w:cs="宋体"/>
          <w:b/>
          <w:sz w:val="24"/>
          <w:szCs w:val="24"/>
        </w:rPr>
      </w:pPr>
    </w:p>
    <w:p w14:paraId="7EB62713">
      <w:pPr>
        <w:pStyle w:val="16"/>
        <w:ind w:firstLine="0"/>
        <w:rPr>
          <w:rFonts w:hint="eastAsia" w:ascii="宋体" w:hAnsi="宋体" w:eastAsia="宋体" w:cs="宋体"/>
          <w:bCs/>
          <w:sz w:val="24"/>
          <w:szCs w:val="24"/>
        </w:rPr>
      </w:pPr>
      <w:r>
        <w:rPr>
          <w:rFonts w:hint="eastAsia" w:ascii="宋体" w:hAnsi="宋体" w:eastAsia="宋体" w:cs="宋体"/>
          <w:bCs/>
          <w:sz w:val="24"/>
          <w:szCs w:val="24"/>
        </w:rPr>
        <w:t>签订时间：</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 xml:space="preserve"> 年</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月</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 xml:space="preserve">日     </w:t>
      </w:r>
      <w:r>
        <w:rPr>
          <w:rFonts w:hint="eastAsia" w:ascii="宋体" w:hAnsi="宋体" w:cs="宋体"/>
          <w:bCs/>
          <w:sz w:val="24"/>
          <w:szCs w:val="24"/>
          <w:lang w:val="en-US" w:eastAsia="zh-CN"/>
        </w:rPr>
        <w:t xml:space="preserve">         </w:t>
      </w:r>
      <w:r>
        <w:rPr>
          <w:rFonts w:hint="eastAsia" w:ascii="宋体" w:hAnsi="宋体" w:eastAsia="宋体" w:cs="宋体"/>
          <w:bCs/>
          <w:sz w:val="24"/>
          <w:szCs w:val="24"/>
        </w:rPr>
        <w:t>签订时间：</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 xml:space="preserve"> 年</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月</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日</w:t>
      </w:r>
    </w:p>
    <w:p w14:paraId="2A915E88">
      <w:pPr>
        <w:pStyle w:val="16"/>
        <w:rPr>
          <w:rFonts w:hint="eastAsia" w:ascii="宋体" w:hAnsi="宋体" w:eastAsia="宋体" w:cs="宋体"/>
          <w:sz w:val="24"/>
          <w:szCs w:val="24"/>
        </w:rPr>
      </w:pPr>
    </w:p>
    <w:p w14:paraId="74229BD8">
      <w:pPr>
        <w:pStyle w:val="3"/>
        <w:jc w:val="center"/>
        <w:outlineLvl w:val="0"/>
        <w:rPr>
          <w:rFonts w:hint="eastAsia" w:ascii="宋体" w:hAnsi="宋体" w:eastAsia="宋体" w:cs="宋体"/>
          <w:b/>
          <w:sz w:val="44"/>
          <w:szCs w:val="32"/>
        </w:rPr>
      </w:pPr>
      <w:bookmarkStart w:id="19" w:name="_Toc15473"/>
      <w:bookmarkStart w:id="20" w:name="_Toc19608"/>
      <w:bookmarkStart w:id="21" w:name="_Toc23653"/>
      <w:bookmarkStart w:id="22" w:name="_Toc25927"/>
      <w:bookmarkStart w:id="23" w:name="_Toc32405"/>
      <w:bookmarkStart w:id="24" w:name="_Toc6095"/>
      <w:bookmarkStart w:id="25" w:name="_Toc8363"/>
      <w:bookmarkStart w:id="26" w:name="_Toc12564"/>
      <w:r>
        <w:rPr>
          <w:rFonts w:hint="eastAsia" w:ascii="宋体" w:hAnsi="宋体" w:eastAsia="宋体" w:cs="宋体"/>
          <w:b/>
          <w:sz w:val="44"/>
          <w:szCs w:val="32"/>
        </w:rPr>
        <w:br w:type="page"/>
      </w:r>
      <w:bookmarkStart w:id="27" w:name="_Toc27436"/>
      <w:r>
        <w:rPr>
          <w:rFonts w:hint="eastAsia" w:ascii="宋体" w:hAnsi="宋体" w:eastAsia="宋体" w:cs="宋体"/>
          <w:b/>
          <w:sz w:val="44"/>
          <w:szCs w:val="32"/>
        </w:rPr>
        <w:t>第二部分 通用合同条款</w:t>
      </w:r>
      <w:bookmarkEnd w:id="17"/>
      <w:bookmarkEnd w:id="18"/>
      <w:bookmarkEnd w:id="19"/>
      <w:bookmarkEnd w:id="20"/>
      <w:bookmarkEnd w:id="21"/>
      <w:bookmarkEnd w:id="22"/>
      <w:bookmarkEnd w:id="23"/>
      <w:bookmarkEnd w:id="24"/>
      <w:bookmarkEnd w:id="25"/>
      <w:bookmarkEnd w:id="26"/>
      <w:bookmarkEnd w:id="27"/>
    </w:p>
    <w:p w14:paraId="6060221C">
      <w:pPr>
        <w:pStyle w:val="6"/>
        <w:spacing w:before="0" w:after="0" w:line="240" w:lineRule="auto"/>
        <w:ind w:firstLine="480" w:firstLineChars="200"/>
        <w:rPr>
          <w:rFonts w:hint="eastAsia" w:ascii="宋体" w:hAnsi="宋体" w:eastAsia="宋体" w:cs="宋体"/>
          <w:b w:val="0"/>
          <w:color w:val="000000"/>
          <w:sz w:val="24"/>
          <w:szCs w:val="24"/>
        </w:rPr>
      </w:pPr>
      <w:bookmarkStart w:id="28" w:name="_Toc443898052"/>
      <w:r>
        <w:rPr>
          <w:rFonts w:hint="eastAsia" w:ascii="宋体" w:hAnsi="宋体" w:eastAsia="宋体" w:cs="宋体"/>
          <w:b w:val="0"/>
          <w:color w:val="000000"/>
          <w:sz w:val="24"/>
          <w:szCs w:val="24"/>
        </w:rPr>
        <w:t>1.</w:t>
      </w:r>
      <w:bookmarkStart w:id="29" w:name="_Toc337558727"/>
      <w:r>
        <w:rPr>
          <w:rFonts w:hint="eastAsia" w:ascii="宋体" w:hAnsi="宋体" w:eastAsia="宋体" w:cs="宋体"/>
          <w:b w:val="0"/>
          <w:color w:val="000000"/>
          <w:sz w:val="24"/>
          <w:szCs w:val="24"/>
        </w:rPr>
        <w:t>一般</w:t>
      </w:r>
      <w:bookmarkStart w:id="30" w:name="_Toc303538973"/>
      <w:bookmarkEnd w:id="30"/>
      <w:bookmarkStart w:id="31" w:name="_Toc303538975"/>
      <w:bookmarkEnd w:id="31"/>
      <w:bookmarkStart w:id="32" w:name="_Toc303538976"/>
      <w:bookmarkEnd w:id="32"/>
      <w:bookmarkStart w:id="33" w:name="_Toc303538972"/>
      <w:bookmarkEnd w:id="33"/>
      <w:bookmarkStart w:id="34" w:name="_Toc303538974"/>
      <w:bookmarkEnd w:id="34"/>
      <w:bookmarkStart w:id="35" w:name="_Toc296503027"/>
      <w:bookmarkStart w:id="36" w:name="_Toc296346528"/>
      <w:r>
        <w:rPr>
          <w:rFonts w:hint="eastAsia" w:ascii="宋体" w:hAnsi="宋体" w:eastAsia="宋体" w:cs="宋体"/>
          <w:b w:val="0"/>
          <w:color w:val="000000"/>
          <w:sz w:val="24"/>
          <w:szCs w:val="24"/>
        </w:rPr>
        <w:t>约定</w:t>
      </w:r>
      <w:bookmarkEnd w:id="28"/>
    </w:p>
    <w:p w14:paraId="71EDC817">
      <w:pPr>
        <w:pStyle w:val="6"/>
        <w:spacing w:before="0" w:after="0" w:line="240" w:lineRule="auto"/>
        <w:ind w:firstLine="480" w:firstLineChars="200"/>
        <w:rPr>
          <w:rFonts w:hint="eastAsia" w:ascii="宋体" w:hAnsi="宋体" w:eastAsia="宋体" w:cs="宋体"/>
          <w:b w:val="0"/>
          <w:color w:val="000000"/>
          <w:sz w:val="24"/>
          <w:szCs w:val="24"/>
        </w:rPr>
      </w:pPr>
      <w:bookmarkStart w:id="37" w:name="_Toc443898053"/>
      <w:r>
        <w:rPr>
          <w:rFonts w:hint="eastAsia" w:ascii="宋体" w:hAnsi="宋体" w:eastAsia="宋体" w:cs="宋体"/>
          <w:b w:val="0"/>
          <w:color w:val="000000"/>
          <w:sz w:val="24"/>
          <w:szCs w:val="24"/>
        </w:rPr>
        <w:t>1.</w:t>
      </w:r>
      <w:bookmarkEnd w:id="29"/>
      <w:bookmarkEnd w:id="35"/>
      <w:bookmarkEnd w:id="36"/>
      <w:r>
        <w:rPr>
          <w:rFonts w:hint="eastAsia" w:ascii="宋体" w:hAnsi="宋体" w:eastAsia="宋体" w:cs="宋体"/>
          <w:b w:val="0"/>
          <w:color w:val="000000"/>
          <w:sz w:val="24"/>
          <w:szCs w:val="24"/>
        </w:rPr>
        <w:t>1</w:t>
      </w:r>
      <w:bookmarkStart w:id="38" w:name="_Toc337558728"/>
      <w:bookmarkStart w:id="39" w:name="_Toc296346529"/>
      <w:bookmarkStart w:id="40" w:name="_Toc296503028"/>
      <w:r>
        <w:rPr>
          <w:rFonts w:hint="eastAsia" w:ascii="宋体" w:hAnsi="宋体" w:eastAsia="宋体" w:cs="宋体"/>
          <w:b w:val="0"/>
          <w:color w:val="000000"/>
          <w:sz w:val="24"/>
          <w:szCs w:val="24"/>
        </w:rPr>
        <w:t>词语定义与解释</w:t>
      </w:r>
      <w:bookmarkEnd w:id="37"/>
      <w:bookmarkEnd w:id="38"/>
      <w:bookmarkEnd w:id="39"/>
      <w:bookmarkEnd w:id="40"/>
    </w:p>
    <w:p w14:paraId="1496D871">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合同协议书、通用合同条款、专用合同条款中的下列词语具有本款所赋予的含义：</w:t>
      </w:r>
    </w:p>
    <w:p w14:paraId="7CFC1628">
      <w:pPr>
        <w:autoSpaceDE w:val="0"/>
        <w:autoSpaceDN w:val="0"/>
        <w:adjustRightInd w:val="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    1.1.1 合同</w:t>
      </w:r>
    </w:p>
    <w:p w14:paraId="53E89EBD">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1.1.1.1 合同：是指根据法律规定和合同当事人约定具有约束力的文件，构成合同的文件包括合同协议书、中标通知书（如果有）、投标函及其附录（如果有）、专用合同条款</w:t>
      </w:r>
      <w:r>
        <w:rPr>
          <w:rFonts w:hint="eastAsia" w:ascii="宋体" w:hAnsi="宋体" w:eastAsia="宋体" w:cs="宋体"/>
          <w:color w:val="000000"/>
          <w:sz w:val="24"/>
          <w:szCs w:val="24"/>
        </w:rPr>
        <w:t>及其附件</w:t>
      </w:r>
      <w:r>
        <w:rPr>
          <w:rFonts w:hint="eastAsia" w:ascii="宋体" w:hAnsi="宋体" w:eastAsia="宋体" w:cs="宋体"/>
          <w:color w:val="000000"/>
          <w:kern w:val="0"/>
          <w:sz w:val="24"/>
          <w:szCs w:val="24"/>
        </w:rPr>
        <w:t>、通用合同条款、技术标准和要求、图纸、已标价工程量清单或预算书以及其他合同文件。</w:t>
      </w:r>
    </w:p>
    <w:p w14:paraId="692F3802">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1.1.1.2 合同协议书：是指构成合同的由发包人和承包人共同签署的称为“合同协议书”的书面文件。</w:t>
      </w:r>
    </w:p>
    <w:p w14:paraId="7B5D0847">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1.1.1.3 中标通知书：是指构成合同的由发包人通知承包人中标的书面文件。</w:t>
      </w:r>
    </w:p>
    <w:p w14:paraId="1B91FC8D">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1.1.1.4 投标函：是指构成合同的由承包人填写并签署的用于投标的称为“投标函”的文件。</w:t>
      </w:r>
    </w:p>
    <w:p w14:paraId="0469E713">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1.1.1.5 投标函附录：是指构成合同的附在投标函后的称为“投标函附录”的文件。</w:t>
      </w:r>
    </w:p>
    <w:p w14:paraId="5401F4DF">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1.1.1.6 技术标准和要求：是指构成合同的施工应当遵守的或指导施工的国家、行业或地方的技术标准和要求，以及合同约定的技术标准和要求。</w:t>
      </w:r>
    </w:p>
    <w:p w14:paraId="4B852EAE">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1.1.1.7 图纸：是指构成合同的图纸，包括由发包人按照合同约定提供或经发包人批准的设计文件、施工图、鸟瞰图及模型等，以及在合同履行过程中形成的图纸文件。图纸应当按照法律规定审查合格。</w:t>
      </w:r>
    </w:p>
    <w:p w14:paraId="67903CAA">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1.1.1.8 已标价工程量清单：是指构成合同的由承包人按照规定的格式和要求填写并标明价格的工程量清单，包括说明和表格。</w:t>
      </w:r>
    </w:p>
    <w:p w14:paraId="16058263">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1.1.1.9 预算书：是指构成合同的由承包人按照发包人规定的格式和要求编制的工程预算文件。</w:t>
      </w:r>
    </w:p>
    <w:p w14:paraId="1364A358">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1.1.1.10其他合同文件：是指经合同当事人约定的与工程施工有关的具有合同约束力的文件或书面协议。合同当事人可以在专用合同条款中进行约定。</w:t>
      </w:r>
    </w:p>
    <w:p w14:paraId="56FD6ABE">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1.1.2 合同当事人及其他相关方</w:t>
      </w:r>
    </w:p>
    <w:p w14:paraId="3430AE0F">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1.1.2.1 合同当事人：是指发包人和（或）承包人。</w:t>
      </w:r>
    </w:p>
    <w:p w14:paraId="179DDF94">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1.1.2.2 发包人：是指与承包人签订合同协议书的当事人及取得该当事人资格的合法继承人。</w:t>
      </w:r>
    </w:p>
    <w:p w14:paraId="0E633B3A">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1.1.2.3 承包人：是指与发包人签订合同协议书的，具有相应工程施工承包资质的当事人及取得该当事人资格的合法继承人。</w:t>
      </w:r>
    </w:p>
    <w:p w14:paraId="67001C8A">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1.1.2.4 监理人：是指在专用合同条款中指明的，受发包人委托按照法律规定进行工程监督管理的法人或其他组织。</w:t>
      </w:r>
    </w:p>
    <w:p w14:paraId="0B3B0E91">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1.1.2.5 设计人：是指在专用合同条款中指明的，受发包人委托负责工程设计并具备相应工程设计资质的法人或其他组织。</w:t>
      </w:r>
    </w:p>
    <w:p w14:paraId="46491C01">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1.1.2.6 分包人：是指按</w:t>
      </w:r>
      <w:bookmarkStart w:id="41" w:name="#go5"/>
      <w:bookmarkEnd w:id="41"/>
      <w:r>
        <w:rPr>
          <w:rFonts w:hint="eastAsia" w:ascii="宋体" w:hAnsi="宋体" w:eastAsia="宋体" w:cs="宋体"/>
          <w:color w:val="000000"/>
          <w:kern w:val="0"/>
          <w:sz w:val="24"/>
          <w:szCs w:val="24"/>
        </w:rPr>
        <w:t>照法律规定和合同约定，分包部分工程或工作，并与承包人签订分包合同的具有相应资质的法人。</w:t>
      </w:r>
    </w:p>
    <w:p w14:paraId="3F4C0F4A">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1.1.2.7 发包人代表：是指由发包人任命并派驻施工现场在发包人授权范围内行使发包人权利的人。</w:t>
      </w:r>
    </w:p>
    <w:p w14:paraId="5C894892">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1.1.2.8 项目经理：是指由承包人任命并派驻施工现场，在承包人授权范围内负责合同履行，且按照法律规定具有相应资格的项目负责人。</w:t>
      </w:r>
    </w:p>
    <w:p w14:paraId="7C62BAC6">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1.1.2.9 总监理工程师：是指由监理人任命并派驻施工现场进行工程监理的总负责人。</w:t>
      </w:r>
    </w:p>
    <w:p w14:paraId="58AD2BF8">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1.1.3 工程和设备</w:t>
      </w:r>
    </w:p>
    <w:p w14:paraId="3D0E10B3">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1.1.3.1 工程：是指与合同协议书中工程承包范围对应的永久工程和（或）临时工程。</w:t>
      </w:r>
    </w:p>
    <w:p w14:paraId="662F2239">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1.1.3.2 永久工程：是指按合同约定建造并移交给发包人的工程，包括工程设备。</w:t>
      </w:r>
    </w:p>
    <w:p w14:paraId="2C61FB47">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1.1.3.3 临时工程：是指为完成合同约定的永久工程所修建的各类临时性工程，不包括施工设备。</w:t>
      </w:r>
    </w:p>
    <w:p w14:paraId="08533CCC">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1.1.3.4 单位工程：是指在合同协议书中指明的，具备独立施工条件并能形成独立使用功能的永久工程。</w:t>
      </w:r>
    </w:p>
    <w:p w14:paraId="3319FA41">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1.1.3.5 工程设备：是指构成永久工程的机电设备、金属结构设备、仪器及其他类似的设备和装置。</w:t>
      </w:r>
    </w:p>
    <w:p w14:paraId="52995C97">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1.1.3.6 施工设备：是指为完成合同约定的各项工作所需的设备、器具和其他物品，但不包括工程设备、临时工程和材料。</w:t>
      </w:r>
    </w:p>
    <w:p w14:paraId="4A4042BA">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1.1.3.7 施工现场：是指用于工程施工的场所，以及在专用合同条款中指明作为施工场所组成部分的其他场所，包括永久占地和临时占地。</w:t>
      </w:r>
    </w:p>
    <w:p w14:paraId="2C1BAF23">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1.1.3.8临时设施：是指为完成合同约定的各项工作所服务的临时性生产和生活设施。</w:t>
      </w:r>
    </w:p>
    <w:p w14:paraId="01C177D9">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1.1.3.9 永久占地：是指专用合同条款中指明为实施工程需永久占用的土地。</w:t>
      </w:r>
    </w:p>
    <w:p w14:paraId="4D0C1BFE">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1.1.3.10临时占地：是指专用合同条款中指明为实施工程需要临时占用的土地。</w:t>
      </w:r>
    </w:p>
    <w:p w14:paraId="480F7AB6">
      <w:pPr>
        <w:ind w:firstLine="480" w:firstLineChars="200"/>
        <w:jc w:val="left"/>
        <w:rPr>
          <w:rFonts w:hint="eastAsia" w:ascii="宋体" w:hAnsi="宋体" w:eastAsia="宋体" w:cs="宋体"/>
          <w:color w:val="000000"/>
          <w:kern w:val="0"/>
          <w:sz w:val="24"/>
          <w:szCs w:val="24"/>
        </w:rPr>
      </w:pPr>
      <w:bookmarkStart w:id="42" w:name="_Toc4877"/>
      <w:bookmarkStart w:id="43" w:name="_Toc18101"/>
      <w:bookmarkStart w:id="44" w:name="_Toc6563"/>
      <w:r>
        <w:rPr>
          <w:rFonts w:hint="eastAsia" w:ascii="宋体" w:hAnsi="宋体" w:eastAsia="宋体" w:cs="宋体"/>
          <w:color w:val="000000"/>
          <w:kern w:val="0"/>
          <w:sz w:val="24"/>
          <w:szCs w:val="24"/>
        </w:rPr>
        <w:t>1.1.4 日期和期限</w:t>
      </w:r>
      <w:bookmarkEnd w:id="42"/>
      <w:bookmarkEnd w:id="43"/>
      <w:bookmarkEnd w:id="44"/>
    </w:p>
    <w:p w14:paraId="550D7546">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1.1.4.1 开工日期：包括计划开工日期和实际开工日期。计划开工日期是指合同协议书约定的开工日期；实际开工日期是指监理人按照第7.3.2项〔开工通知〕约定发出的符合法律规定的开工通知中载明的开工日期。</w:t>
      </w:r>
    </w:p>
    <w:p w14:paraId="30CDC787">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1.1.4.2 竣工日期：包括计划竣工日期和实际竣工日期。计划竣工日期是指合同协议书约定的竣工日期；实际竣工日期按照第13.2.3项〔竣工日期〕的约定确定。</w:t>
      </w:r>
    </w:p>
    <w:p w14:paraId="6A1C8EF6">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1.1.4.3 工期：是指在合同协议书约定的承包人完成工程所需的期限，包括按照合同约定所作的期限变更。</w:t>
      </w:r>
    </w:p>
    <w:p w14:paraId="0988F7A0">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1.1.4.4 缺陷责任期：是指承包人按照合同约定承担缺陷修复义务，且发包人预留质量保证金的期限，自工程实际竣工日期起计算。</w:t>
      </w:r>
    </w:p>
    <w:p w14:paraId="0C4E5A02">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1.1.4.5 保修期：是指承包人按照合同约定对工程承担保修责任的期限，从工程竣工验收合格之日起计算。</w:t>
      </w:r>
    </w:p>
    <w:p w14:paraId="6D751822">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1.1.4.6 基准日期：招标发包的工程以投标截止日前28天的日期为基准日期，直接发包的工程以合同签订日前28天的日期为基准日期。</w:t>
      </w:r>
    </w:p>
    <w:p w14:paraId="426EED12">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1.1.4.7 天：除特别指明外，均指日历天。合同中按天计算时间的，开始当天不计入，从次日开始计算，期限最后一天的截止时间为当天24:00时。</w:t>
      </w:r>
    </w:p>
    <w:p w14:paraId="2506372B">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1.1.5 合同价格和费用</w:t>
      </w:r>
    </w:p>
    <w:p w14:paraId="0699159F">
      <w:pPr>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kern w:val="0"/>
          <w:sz w:val="24"/>
          <w:szCs w:val="24"/>
        </w:rPr>
        <w:t>1.1.5.1 签约合同价：是指</w:t>
      </w:r>
      <w:r>
        <w:rPr>
          <w:rFonts w:hint="eastAsia" w:ascii="宋体" w:hAnsi="宋体" w:eastAsia="宋体" w:cs="宋体"/>
          <w:color w:val="000000"/>
          <w:sz w:val="24"/>
          <w:szCs w:val="24"/>
        </w:rPr>
        <w:t>发包人和承包人在合同协议书中确定的总金额，包括安全文明施工费、暂估价及暂列金额等。</w:t>
      </w:r>
    </w:p>
    <w:p w14:paraId="3058DF5D">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1.1.5.2 合同价格：是指发包人用于支付承包人按照合同约定完成承包范围内全部工作的金额，包括合同履行过程中按合同约定发生的价格变化。</w:t>
      </w:r>
    </w:p>
    <w:p w14:paraId="6417F0B2">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1.1.5.3 费用：是指为履行合同所发生的或将要发生的所有必需的开支，包括管理费和应分摊的其他费用，但不包括利润。</w:t>
      </w:r>
    </w:p>
    <w:p w14:paraId="57BED4DB">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1.1.5.4 暂估价：是指发包人在工程量清单或预算书中提供的用于支付必然发生但暂时不能确定价格的材料、工程设备的单价、专业工程以及服务工作的金额。</w:t>
      </w:r>
    </w:p>
    <w:p w14:paraId="1F86307E">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1.1.5.5 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14:paraId="21B90454">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1.1.5.6 计日工：是指合同履行过程中，承包人完成发包人提出的零星工作或需要采用计日工计价的变更工作时，按合同中约定的单价计价的一种方式。</w:t>
      </w:r>
    </w:p>
    <w:p w14:paraId="75E14491">
      <w:pPr>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kern w:val="0"/>
          <w:sz w:val="24"/>
          <w:szCs w:val="24"/>
        </w:rPr>
        <w:t>1.1.5.7质量保证金：是指</w:t>
      </w:r>
      <w:bookmarkStart w:id="45" w:name="#go2"/>
      <w:bookmarkEnd w:id="45"/>
      <w:r>
        <w:rPr>
          <w:rFonts w:hint="eastAsia" w:ascii="宋体" w:hAnsi="宋体" w:eastAsia="宋体" w:cs="宋体"/>
          <w:color w:val="000000"/>
          <w:kern w:val="0"/>
          <w:sz w:val="24"/>
          <w:szCs w:val="24"/>
        </w:rPr>
        <w:t>按照第15.3款〔质量保证金〕约定承包人用于保证其在缺陷责任期内履行缺陷修补义务的担保</w:t>
      </w:r>
      <w:r>
        <w:rPr>
          <w:rFonts w:hint="eastAsia" w:ascii="宋体" w:hAnsi="宋体" w:eastAsia="宋体" w:cs="宋体"/>
          <w:color w:val="000000"/>
          <w:sz w:val="24"/>
          <w:szCs w:val="24"/>
        </w:rPr>
        <w:t>。</w:t>
      </w:r>
    </w:p>
    <w:p w14:paraId="0D06267C">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1.1.5.8总价项目：是指在现行国家、行业以及地方的计量规则中无工程量计算规则，在已标价工程量清单或预算书中以总价或以费率形式计算的项目。</w:t>
      </w:r>
    </w:p>
    <w:p w14:paraId="33BD1FC8">
      <w:pPr>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1.1.6 其他</w:t>
      </w:r>
    </w:p>
    <w:p w14:paraId="277947D6">
      <w:pPr>
        <w:pStyle w:val="6"/>
        <w:spacing w:before="0" w:after="0" w:line="240" w:lineRule="auto"/>
        <w:ind w:firstLine="480" w:firstLineChars="200"/>
        <w:rPr>
          <w:rFonts w:hint="eastAsia" w:ascii="宋体" w:hAnsi="宋体" w:eastAsia="宋体" w:cs="宋体"/>
          <w:b w:val="0"/>
          <w:color w:val="000000"/>
          <w:sz w:val="24"/>
          <w:szCs w:val="24"/>
        </w:rPr>
      </w:pPr>
      <w:bookmarkStart w:id="46" w:name="_Toc443898054"/>
      <w:r>
        <w:rPr>
          <w:rFonts w:hint="eastAsia" w:ascii="宋体" w:hAnsi="宋体" w:eastAsia="宋体" w:cs="宋体"/>
          <w:b w:val="0"/>
          <w:color w:val="000000"/>
          <w:sz w:val="24"/>
          <w:szCs w:val="24"/>
        </w:rPr>
        <w:t>1.1.6.1 书面形式：是指合同文件、信函、电报、传真等可以有形地表现所载内容的形式。</w:t>
      </w:r>
      <w:bookmarkEnd w:id="46"/>
    </w:p>
    <w:p w14:paraId="75BCA594">
      <w:pPr>
        <w:pStyle w:val="6"/>
        <w:spacing w:before="0" w:after="0" w:line="240" w:lineRule="auto"/>
        <w:ind w:firstLine="480" w:firstLineChars="200"/>
        <w:rPr>
          <w:rFonts w:hint="eastAsia" w:ascii="宋体" w:hAnsi="宋体" w:eastAsia="宋体" w:cs="宋体"/>
          <w:b w:val="0"/>
          <w:color w:val="000000"/>
          <w:sz w:val="24"/>
          <w:szCs w:val="24"/>
        </w:rPr>
      </w:pPr>
      <w:bookmarkStart w:id="47" w:name="_Toc443898055"/>
      <w:r>
        <w:rPr>
          <w:rFonts w:hint="eastAsia" w:ascii="宋体" w:hAnsi="宋体" w:eastAsia="宋体" w:cs="宋体"/>
          <w:b w:val="0"/>
          <w:color w:val="000000"/>
          <w:sz w:val="24"/>
          <w:szCs w:val="24"/>
        </w:rPr>
        <w:t>1.2</w:t>
      </w:r>
      <w:bookmarkStart w:id="48" w:name="_Toc296503029"/>
      <w:bookmarkStart w:id="49" w:name="_Toc337558729"/>
      <w:bookmarkStart w:id="50" w:name="_Toc296346530"/>
      <w:r>
        <w:rPr>
          <w:rFonts w:hint="eastAsia" w:ascii="宋体" w:hAnsi="宋体" w:eastAsia="宋体" w:cs="宋体"/>
          <w:b w:val="0"/>
          <w:color w:val="000000"/>
          <w:sz w:val="24"/>
          <w:szCs w:val="24"/>
        </w:rPr>
        <w:t>语言文字</w:t>
      </w:r>
      <w:bookmarkEnd w:id="47"/>
    </w:p>
    <w:p w14:paraId="37EA421C">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合同</w:t>
      </w:r>
      <w:bookmarkEnd w:id="48"/>
      <w:bookmarkEnd w:id="49"/>
      <w:bookmarkEnd w:id="50"/>
      <w:r>
        <w:rPr>
          <w:rFonts w:hint="eastAsia" w:ascii="宋体" w:hAnsi="宋体" w:eastAsia="宋体" w:cs="宋体"/>
          <w:color w:val="000000"/>
          <w:kern w:val="0"/>
          <w:sz w:val="24"/>
          <w:szCs w:val="24"/>
        </w:rPr>
        <w:t>以中国的汉语简体文字编写、解释和说明。合同当事人在专用合同条款中约定使用两种以上语言时，汉语为优先解释和说明合同的语言。</w:t>
      </w:r>
    </w:p>
    <w:p w14:paraId="45B1CDAE">
      <w:pPr>
        <w:pStyle w:val="6"/>
        <w:spacing w:before="0" w:after="0" w:line="240" w:lineRule="auto"/>
        <w:ind w:firstLine="480" w:firstLineChars="200"/>
        <w:rPr>
          <w:rFonts w:hint="eastAsia" w:ascii="宋体" w:hAnsi="宋体" w:eastAsia="宋体" w:cs="宋体"/>
          <w:b w:val="0"/>
          <w:color w:val="000000"/>
          <w:sz w:val="24"/>
          <w:szCs w:val="24"/>
        </w:rPr>
      </w:pPr>
      <w:bookmarkStart w:id="51" w:name="_Toc443898056"/>
      <w:r>
        <w:rPr>
          <w:rFonts w:hint="eastAsia" w:ascii="宋体" w:hAnsi="宋体" w:eastAsia="宋体" w:cs="宋体"/>
          <w:b w:val="0"/>
          <w:color w:val="000000"/>
          <w:sz w:val="24"/>
          <w:szCs w:val="24"/>
        </w:rPr>
        <w:t>1.3</w:t>
      </w:r>
      <w:bookmarkStart w:id="52" w:name="_Toc296503030"/>
      <w:bookmarkStart w:id="53" w:name="_Toc337558730"/>
      <w:bookmarkStart w:id="54" w:name="_Toc296346531"/>
      <w:r>
        <w:rPr>
          <w:rFonts w:hint="eastAsia" w:ascii="宋体" w:hAnsi="宋体" w:eastAsia="宋体" w:cs="宋体"/>
          <w:b w:val="0"/>
          <w:color w:val="000000"/>
          <w:sz w:val="24"/>
          <w:szCs w:val="24"/>
        </w:rPr>
        <w:t>法律</w:t>
      </w:r>
      <w:bookmarkEnd w:id="51"/>
    </w:p>
    <w:p w14:paraId="17C3E8F4">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合同</w:t>
      </w:r>
      <w:bookmarkEnd w:id="52"/>
      <w:bookmarkEnd w:id="53"/>
      <w:bookmarkEnd w:id="54"/>
      <w:r>
        <w:rPr>
          <w:rFonts w:hint="eastAsia" w:ascii="宋体" w:hAnsi="宋体" w:eastAsia="宋体" w:cs="宋体"/>
          <w:color w:val="000000"/>
          <w:kern w:val="0"/>
          <w:sz w:val="24"/>
          <w:szCs w:val="24"/>
        </w:rPr>
        <w:t>所称法律是指中华人民共和国法律、行政法规、部门规章，以及工程所在地的地方性法规、自治条例、单行条例和地方政府规章等。</w:t>
      </w:r>
    </w:p>
    <w:p w14:paraId="099853ED">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合同当事人可以在专用合同条款中约定合同适用的其他规范性文件。</w:t>
      </w:r>
    </w:p>
    <w:p w14:paraId="4F5E55FA">
      <w:pPr>
        <w:pStyle w:val="6"/>
        <w:spacing w:before="0" w:after="0" w:line="240" w:lineRule="auto"/>
        <w:ind w:firstLine="480" w:firstLineChars="200"/>
        <w:rPr>
          <w:rFonts w:hint="eastAsia" w:ascii="宋体" w:hAnsi="宋体" w:eastAsia="宋体" w:cs="宋体"/>
          <w:b w:val="0"/>
          <w:color w:val="000000"/>
          <w:sz w:val="24"/>
          <w:szCs w:val="24"/>
        </w:rPr>
      </w:pPr>
      <w:bookmarkStart w:id="55" w:name="_Toc443898057"/>
      <w:r>
        <w:rPr>
          <w:rFonts w:hint="eastAsia" w:ascii="宋体" w:hAnsi="宋体" w:eastAsia="宋体" w:cs="宋体"/>
          <w:b w:val="0"/>
          <w:color w:val="000000"/>
          <w:sz w:val="24"/>
          <w:szCs w:val="24"/>
        </w:rPr>
        <w:t>1.4 标准和规范</w:t>
      </w:r>
      <w:bookmarkEnd w:id="55"/>
    </w:p>
    <w:p w14:paraId="0F45811F">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1.4.1 适用于工程的国家标准、行业标准、工程所在地的地方性标准，以及相应的规范、规程等，合同当事人有特别要求的，应在专用合同条款中约定。</w:t>
      </w:r>
    </w:p>
    <w:p w14:paraId="1A79F7C2">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1.4.2 发包人要求使用国外标准、规范的，发包人负责提供原文版本和中文译本，并在专用合同条款中约定提供标准规范的名称、份数和时间。</w:t>
      </w:r>
    </w:p>
    <w:p w14:paraId="43A61B65">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1.4.3 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14:paraId="0F4529B3">
      <w:pPr>
        <w:pStyle w:val="6"/>
        <w:spacing w:before="0" w:after="0" w:line="240" w:lineRule="auto"/>
        <w:ind w:firstLine="480" w:firstLineChars="200"/>
        <w:rPr>
          <w:rFonts w:hint="eastAsia" w:ascii="宋体" w:hAnsi="宋体" w:eastAsia="宋体" w:cs="宋体"/>
          <w:b w:val="0"/>
          <w:color w:val="000000"/>
          <w:sz w:val="24"/>
          <w:szCs w:val="24"/>
        </w:rPr>
      </w:pPr>
      <w:bookmarkStart w:id="56" w:name="_Toc443898058"/>
      <w:r>
        <w:rPr>
          <w:rFonts w:hint="eastAsia" w:ascii="宋体" w:hAnsi="宋体" w:eastAsia="宋体" w:cs="宋体"/>
          <w:b w:val="0"/>
          <w:color w:val="000000"/>
          <w:sz w:val="24"/>
          <w:szCs w:val="24"/>
        </w:rPr>
        <w:t xml:space="preserve">1.5 </w:t>
      </w:r>
      <w:bookmarkStart w:id="57" w:name="_Toc337558731"/>
      <w:bookmarkStart w:id="58" w:name="_Toc296503031"/>
      <w:bookmarkStart w:id="59" w:name="_Toc296346532"/>
      <w:r>
        <w:rPr>
          <w:rFonts w:hint="eastAsia" w:ascii="宋体" w:hAnsi="宋体" w:eastAsia="宋体" w:cs="宋体"/>
          <w:b w:val="0"/>
          <w:color w:val="000000"/>
          <w:sz w:val="24"/>
          <w:szCs w:val="24"/>
        </w:rPr>
        <w:t>合同文件的优先顺序</w:t>
      </w:r>
      <w:bookmarkEnd w:id="56"/>
    </w:p>
    <w:p w14:paraId="6FFF50B0">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组成合</w:t>
      </w:r>
      <w:bookmarkEnd w:id="57"/>
      <w:bookmarkEnd w:id="58"/>
      <w:bookmarkEnd w:id="59"/>
      <w:r>
        <w:rPr>
          <w:rFonts w:hint="eastAsia" w:ascii="宋体" w:hAnsi="宋体" w:eastAsia="宋体" w:cs="宋体"/>
          <w:color w:val="000000"/>
          <w:kern w:val="0"/>
          <w:sz w:val="24"/>
          <w:szCs w:val="24"/>
        </w:rPr>
        <w:t>同的各项文件应互相解释，互为说明。除专用合同条款另有约定外，解释合同文件的优先顺序如下：</w:t>
      </w:r>
    </w:p>
    <w:p w14:paraId="6413FBEA">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（1）合同协议书；</w:t>
      </w:r>
    </w:p>
    <w:p w14:paraId="30C3F421">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（2）中标通知书（如果有）；</w:t>
      </w:r>
    </w:p>
    <w:p w14:paraId="2CCBBC21">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（3）投标函及其附录（如果有）；</w:t>
      </w:r>
    </w:p>
    <w:p w14:paraId="4655E963">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（4）专用合同条款</w:t>
      </w:r>
      <w:r>
        <w:rPr>
          <w:rFonts w:hint="eastAsia" w:ascii="宋体" w:hAnsi="宋体" w:eastAsia="宋体" w:cs="宋体"/>
          <w:color w:val="000000"/>
          <w:sz w:val="24"/>
          <w:szCs w:val="24"/>
        </w:rPr>
        <w:t>及其附件</w:t>
      </w:r>
      <w:r>
        <w:rPr>
          <w:rFonts w:hint="eastAsia" w:ascii="宋体" w:hAnsi="宋体" w:eastAsia="宋体" w:cs="宋体"/>
          <w:color w:val="000000"/>
          <w:kern w:val="0"/>
          <w:sz w:val="24"/>
          <w:szCs w:val="24"/>
        </w:rPr>
        <w:t>；</w:t>
      </w:r>
    </w:p>
    <w:p w14:paraId="0ED165B6">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（5）通用合同条款；</w:t>
      </w:r>
    </w:p>
    <w:p w14:paraId="4A24EC9C">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（6）技术标准和要求；</w:t>
      </w:r>
    </w:p>
    <w:p w14:paraId="2F7355EE">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（7）图纸；</w:t>
      </w:r>
    </w:p>
    <w:p w14:paraId="1398BD90">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（8）已标价工程量清单或预算书；</w:t>
      </w:r>
    </w:p>
    <w:p w14:paraId="7F35F019">
      <w:pPr>
        <w:autoSpaceDE w:val="0"/>
        <w:autoSpaceDN w:val="0"/>
        <w:adjustRightInd w:val="0"/>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kern w:val="0"/>
          <w:sz w:val="24"/>
          <w:szCs w:val="24"/>
        </w:rPr>
        <w:t>（9）其他合同文件。</w:t>
      </w:r>
    </w:p>
    <w:p w14:paraId="5C3384D1">
      <w:pPr>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上述各项合同文件包括合同当事人就该项合同文件所作出的补充和修改，属于同一类内容的文件，应以最新签署的为准。</w:t>
      </w:r>
    </w:p>
    <w:p w14:paraId="21E4B8C6">
      <w:pPr>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在合同订立及履行过程中形成的与合同有关的文件均构成合同文件组成部分，并根据其性质确定优先解释顺序。</w:t>
      </w:r>
    </w:p>
    <w:p w14:paraId="640E9FF2">
      <w:pPr>
        <w:pStyle w:val="6"/>
        <w:spacing w:before="0" w:after="0" w:line="240" w:lineRule="auto"/>
        <w:ind w:firstLine="480" w:firstLineChars="200"/>
        <w:rPr>
          <w:rFonts w:hint="eastAsia" w:ascii="宋体" w:hAnsi="宋体" w:eastAsia="宋体" w:cs="宋体"/>
          <w:b w:val="0"/>
          <w:color w:val="000000"/>
          <w:sz w:val="24"/>
          <w:szCs w:val="24"/>
        </w:rPr>
      </w:pPr>
      <w:bookmarkStart w:id="60" w:name="_Toc443898059"/>
      <w:r>
        <w:rPr>
          <w:rFonts w:hint="eastAsia" w:ascii="宋体" w:hAnsi="宋体" w:eastAsia="宋体" w:cs="宋体"/>
          <w:b w:val="0"/>
          <w:color w:val="000000"/>
          <w:sz w:val="24"/>
          <w:szCs w:val="24"/>
        </w:rPr>
        <w:t>1.6图</w:t>
      </w:r>
      <w:bookmarkStart w:id="61" w:name="_Toc337558732"/>
      <w:bookmarkStart w:id="62" w:name="_Toc296346533"/>
      <w:bookmarkStart w:id="63" w:name="_Toc296503032"/>
      <w:r>
        <w:rPr>
          <w:rFonts w:hint="eastAsia" w:ascii="宋体" w:hAnsi="宋体" w:eastAsia="宋体" w:cs="宋体"/>
          <w:b w:val="0"/>
          <w:color w:val="000000"/>
          <w:sz w:val="24"/>
          <w:szCs w:val="24"/>
        </w:rPr>
        <w:t>纸和承包人文件</w:t>
      </w:r>
      <w:bookmarkEnd w:id="60"/>
    </w:p>
    <w:p w14:paraId="078A4499">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w:t>
      </w:r>
      <w:bookmarkEnd w:id="61"/>
      <w:bookmarkEnd w:id="62"/>
      <w:bookmarkEnd w:id="63"/>
      <w:r>
        <w:rPr>
          <w:rFonts w:hint="eastAsia" w:ascii="宋体" w:hAnsi="宋体" w:eastAsia="宋体" w:cs="宋体"/>
          <w:color w:val="000000"/>
          <w:kern w:val="0"/>
          <w:sz w:val="24"/>
          <w:szCs w:val="24"/>
        </w:rPr>
        <w:t>.1 图纸的提供和交底</w:t>
      </w:r>
    </w:p>
    <w:p w14:paraId="0D341FB7">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14:paraId="504B79CD">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因发包人未按合同约定提供图纸导致承包人费用增加和（或）工期延误的，按照第7.5.1项〔因发包人原因导致工期延误〕约定办理。</w:t>
      </w:r>
    </w:p>
    <w:p w14:paraId="26E6D08D">
      <w:pPr>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所有施工设计图纸须经发包人审核批准并盖章确认后方可成为合同文件的组成部分。</w:t>
      </w:r>
    </w:p>
    <w:p w14:paraId="4478FB1A">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1.6.2 图纸的错误</w:t>
      </w:r>
    </w:p>
    <w:p w14:paraId="58A9C107">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14:paraId="6470A869">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1.6.3 图纸的修改和补充</w:t>
      </w:r>
    </w:p>
    <w:p w14:paraId="2D66FD1B">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图纸需要修改和补充的，应经图纸原设计人及审批部门</w:t>
      </w:r>
      <w:r>
        <w:rPr>
          <w:rFonts w:hint="eastAsia" w:ascii="宋体" w:hAnsi="宋体" w:eastAsia="宋体" w:cs="宋体"/>
          <w:kern w:val="0"/>
          <w:sz w:val="24"/>
          <w:szCs w:val="24"/>
        </w:rPr>
        <w:t>书面</w:t>
      </w:r>
      <w:r>
        <w:rPr>
          <w:rFonts w:hint="eastAsia" w:ascii="宋体" w:hAnsi="宋体" w:eastAsia="宋体" w:cs="宋体"/>
          <w:color w:val="000000"/>
          <w:kern w:val="0"/>
          <w:sz w:val="24"/>
          <w:szCs w:val="24"/>
        </w:rPr>
        <w:t>同意，并由监理人在工程或工程相应部位施工前将修改后的图纸或补充图纸提交给承包人，承包人应按修改或补充后的图纸施工。</w:t>
      </w:r>
    </w:p>
    <w:p w14:paraId="04B7F7A6">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1.6.4 承包人文件</w:t>
      </w:r>
    </w:p>
    <w:p w14:paraId="20257654">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承包人应按照专用合同条款的约定提供应当由其编制的与工程施工有关的文件，并按照专用合同条款约定的期限、数量和形式提交监理人，并由监理人报送发包人。</w:t>
      </w:r>
    </w:p>
    <w:p w14:paraId="0BC9042C">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监理人应在收到承包人文件后14天内审查完毕，监理人对承包人文件有异议的，承包人应予以修改，并重新报送监理人。监理人的审查并不减轻或免除承包人根据合同约定应当承担的责任。</w:t>
      </w:r>
    </w:p>
    <w:p w14:paraId="0801405D">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1.6.5 图纸和承包人文件的保管</w:t>
      </w:r>
    </w:p>
    <w:p w14:paraId="06913E84">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除专用合同条款另有约定外，承包人应在施工现场另外保存一套完整的图纸和承包人文件，供发包人、监理人及有关人员进行工程检查时使用。</w:t>
      </w:r>
    </w:p>
    <w:p w14:paraId="0EF55836">
      <w:pPr>
        <w:pStyle w:val="6"/>
        <w:spacing w:before="0" w:after="0" w:line="240" w:lineRule="auto"/>
        <w:ind w:firstLine="480" w:firstLineChars="200"/>
        <w:rPr>
          <w:rFonts w:hint="eastAsia" w:ascii="宋体" w:hAnsi="宋体" w:eastAsia="宋体" w:cs="宋体"/>
          <w:b w:val="0"/>
          <w:color w:val="000000"/>
          <w:sz w:val="24"/>
          <w:szCs w:val="24"/>
        </w:rPr>
      </w:pPr>
      <w:bookmarkStart w:id="64" w:name="_Toc443898060"/>
      <w:r>
        <w:rPr>
          <w:rFonts w:hint="eastAsia" w:ascii="宋体" w:hAnsi="宋体" w:eastAsia="宋体" w:cs="宋体"/>
          <w:b w:val="0"/>
          <w:color w:val="000000"/>
          <w:sz w:val="24"/>
          <w:szCs w:val="24"/>
        </w:rPr>
        <w:t>1.7联</w:t>
      </w:r>
      <w:bookmarkStart w:id="65" w:name="_Toc296346534"/>
      <w:bookmarkStart w:id="66" w:name="_Toc337558733"/>
      <w:bookmarkStart w:id="67" w:name="_Toc296503033"/>
      <w:r>
        <w:rPr>
          <w:rFonts w:hint="eastAsia" w:ascii="宋体" w:hAnsi="宋体" w:eastAsia="宋体" w:cs="宋体"/>
          <w:b w:val="0"/>
          <w:color w:val="000000"/>
          <w:sz w:val="24"/>
          <w:szCs w:val="24"/>
        </w:rPr>
        <w:t>络</w:t>
      </w:r>
      <w:bookmarkEnd w:id="64"/>
    </w:p>
    <w:p w14:paraId="6F4F04B0">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w:t>
      </w:r>
      <w:bookmarkEnd w:id="65"/>
      <w:bookmarkEnd w:id="66"/>
      <w:bookmarkEnd w:id="67"/>
      <w:r>
        <w:rPr>
          <w:rFonts w:hint="eastAsia" w:ascii="宋体" w:hAnsi="宋体" w:eastAsia="宋体" w:cs="宋体"/>
          <w:color w:val="000000"/>
          <w:kern w:val="0"/>
          <w:sz w:val="24"/>
          <w:szCs w:val="24"/>
        </w:rPr>
        <w:t>.1 与合同有关的通知、批准、证明、证书、指示、指令、要求、请求、同意、意见、确定和决定等，均应采用书面形式，并应在合同约定的期限内送达接收人和送达地点。</w:t>
      </w:r>
    </w:p>
    <w:p w14:paraId="70BA8312">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1.7.2 发包人和承包人应在专用合同条款中约定各自的送达接收人和送达地点。任何一方合同当事人指定的接收人或送达地点发生变动的，应提前</w:t>
      </w:r>
      <w:r>
        <w:rPr>
          <w:rFonts w:hint="eastAsia" w:ascii="宋体" w:hAnsi="宋体" w:eastAsia="宋体" w:cs="宋体"/>
          <w:color w:val="000000"/>
          <w:kern w:val="0"/>
          <w:sz w:val="24"/>
          <w:szCs w:val="24"/>
          <w:u w:val="single"/>
        </w:rPr>
        <w:t>3天</w:t>
      </w:r>
      <w:r>
        <w:rPr>
          <w:rFonts w:hint="eastAsia" w:ascii="宋体" w:hAnsi="宋体" w:eastAsia="宋体" w:cs="宋体"/>
          <w:color w:val="000000"/>
          <w:kern w:val="0"/>
          <w:sz w:val="24"/>
          <w:szCs w:val="24"/>
        </w:rPr>
        <w:t>以书面形式通知对方。</w:t>
      </w:r>
    </w:p>
    <w:p w14:paraId="25DFE4D6">
      <w:pPr>
        <w:autoSpaceDE w:val="0"/>
        <w:autoSpaceDN w:val="0"/>
        <w:adjustRightInd w:val="0"/>
        <w:ind w:firstLine="480" w:firstLineChars="200"/>
        <w:jc w:val="left"/>
        <w:rPr>
          <w:rFonts w:hint="eastAsia" w:ascii="宋体" w:hAnsi="宋体" w:eastAsia="宋体" w:cs="宋体"/>
          <w:color w:val="FF0000"/>
          <w:kern w:val="0"/>
          <w:sz w:val="24"/>
          <w:szCs w:val="24"/>
        </w:rPr>
      </w:pPr>
      <w:r>
        <w:rPr>
          <w:rFonts w:hint="eastAsia" w:ascii="宋体" w:hAnsi="宋体" w:eastAsia="宋体" w:cs="宋体"/>
          <w:color w:val="000000"/>
          <w:kern w:val="0"/>
          <w:sz w:val="24"/>
          <w:szCs w:val="24"/>
        </w:rPr>
        <w:t>1.7.3 发包人和承包人应当及时签收另一方送达至送达地点和指定接收人的来往信函。无正当理由拒不签收的，由此增加的费用和（或）延误的工期由拒绝接收一方承担。</w:t>
      </w:r>
    </w:p>
    <w:p w14:paraId="21FF727B">
      <w:pPr>
        <w:pStyle w:val="6"/>
        <w:spacing w:before="0" w:after="0" w:line="240" w:lineRule="auto"/>
        <w:ind w:firstLine="480" w:firstLineChars="200"/>
        <w:rPr>
          <w:rFonts w:hint="eastAsia" w:ascii="宋体" w:hAnsi="宋体" w:eastAsia="宋体" w:cs="宋体"/>
          <w:b w:val="0"/>
          <w:color w:val="000000"/>
          <w:sz w:val="24"/>
          <w:szCs w:val="24"/>
        </w:rPr>
      </w:pPr>
      <w:bookmarkStart w:id="68" w:name="_Toc443898061"/>
      <w:r>
        <w:rPr>
          <w:rFonts w:hint="eastAsia" w:ascii="宋体" w:hAnsi="宋体" w:eastAsia="宋体" w:cs="宋体"/>
          <w:b w:val="0"/>
          <w:color w:val="000000"/>
          <w:sz w:val="24"/>
          <w:szCs w:val="24"/>
        </w:rPr>
        <w:t>1.8严</w:t>
      </w:r>
      <w:bookmarkStart w:id="69" w:name="_Toc337558734"/>
      <w:bookmarkStart w:id="70" w:name="_Toc296503035"/>
      <w:bookmarkStart w:id="71" w:name="_Toc296346536"/>
      <w:r>
        <w:rPr>
          <w:rFonts w:hint="eastAsia" w:ascii="宋体" w:hAnsi="宋体" w:eastAsia="宋体" w:cs="宋体"/>
          <w:b w:val="0"/>
          <w:color w:val="000000"/>
          <w:sz w:val="24"/>
          <w:szCs w:val="24"/>
        </w:rPr>
        <w:t>禁贿赂</w:t>
      </w:r>
      <w:bookmarkEnd w:id="68"/>
    </w:p>
    <w:p w14:paraId="5E6B81FE">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合同当</w:t>
      </w:r>
      <w:bookmarkEnd w:id="69"/>
      <w:bookmarkEnd w:id="70"/>
      <w:bookmarkEnd w:id="71"/>
      <w:r>
        <w:rPr>
          <w:rFonts w:hint="eastAsia" w:ascii="宋体" w:hAnsi="宋体" w:eastAsia="宋体" w:cs="宋体"/>
          <w:color w:val="000000"/>
          <w:kern w:val="0"/>
          <w:sz w:val="24"/>
          <w:szCs w:val="24"/>
        </w:rPr>
        <w:t>事人不得以贿赂或变相贿赂的方式，谋取非法利益或损害对方权益。因一方合同当事人的贿赂造成对方损失的，应赔偿损失，并承担相应的法律责任。</w:t>
      </w:r>
    </w:p>
    <w:p w14:paraId="3285DF46">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承包人不得与监理人或发包人聘请的第三方串通损害发包人利益。未经发包人书面同意，承包人不得为监理人提供合同约定以外的通讯设备、交通工具及其他任何形式的利益，不得向监理人支付报酬。</w:t>
      </w:r>
    </w:p>
    <w:p w14:paraId="1C971F1B">
      <w:pPr>
        <w:pStyle w:val="6"/>
        <w:spacing w:before="0" w:after="0" w:line="240" w:lineRule="auto"/>
        <w:ind w:firstLine="480" w:firstLineChars="200"/>
        <w:rPr>
          <w:rFonts w:hint="eastAsia" w:ascii="宋体" w:hAnsi="宋体" w:eastAsia="宋体" w:cs="宋体"/>
          <w:b w:val="0"/>
          <w:color w:val="000000"/>
          <w:sz w:val="24"/>
          <w:szCs w:val="24"/>
        </w:rPr>
      </w:pPr>
      <w:bookmarkStart w:id="72" w:name="_Toc443898062"/>
      <w:r>
        <w:rPr>
          <w:rFonts w:hint="eastAsia" w:ascii="宋体" w:hAnsi="宋体" w:eastAsia="宋体" w:cs="宋体"/>
          <w:b w:val="0"/>
          <w:color w:val="000000"/>
          <w:sz w:val="24"/>
          <w:szCs w:val="24"/>
        </w:rPr>
        <w:t>1.9化</w:t>
      </w:r>
      <w:bookmarkStart w:id="73" w:name="_Toc337558735"/>
      <w:bookmarkStart w:id="74" w:name="_Toc296503036"/>
      <w:bookmarkStart w:id="75" w:name="_Toc296346537"/>
      <w:r>
        <w:rPr>
          <w:rFonts w:hint="eastAsia" w:ascii="宋体" w:hAnsi="宋体" w:eastAsia="宋体" w:cs="宋体"/>
          <w:b w:val="0"/>
          <w:color w:val="000000"/>
          <w:sz w:val="24"/>
          <w:szCs w:val="24"/>
        </w:rPr>
        <w:t>石、文物</w:t>
      </w:r>
      <w:bookmarkEnd w:id="72"/>
    </w:p>
    <w:p w14:paraId="048D4268">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在施工</w:t>
      </w:r>
      <w:bookmarkEnd w:id="73"/>
      <w:bookmarkEnd w:id="74"/>
      <w:bookmarkEnd w:id="75"/>
      <w:r>
        <w:rPr>
          <w:rFonts w:hint="eastAsia" w:ascii="宋体" w:hAnsi="宋体" w:eastAsia="宋体" w:cs="宋体"/>
          <w:color w:val="000000"/>
          <w:kern w:val="0"/>
          <w:sz w:val="24"/>
          <w:szCs w:val="24"/>
        </w:rPr>
        <w:t>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14:paraId="3059A77F">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发包人、监理人和承包人应按有关政府行政管理部门要求采取妥善的保护措施，由此增加的费用和（或）延误的工期由发包人承担。</w:t>
      </w:r>
    </w:p>
    <w:p w14:paraId="2021BC33">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承包人发现文物后不及时报告或隐瞒不报，致使文物丢失或损坏的，应赔偿损失，并承担相应的法律责任。</w:t>
      </w:r>
    </w:p>
    <w:p w14:paraId="7793A827">
      <w:pPr>
        <w:pStyle w:val="6"/>
        <w:spacing w:before="0" w:after="0" w:line="240" w:lineRule="auto"/>
        <w:ind w:firstLine="480" w:firstLineChars="200"/>
        <w:rPr>
          <w:rFonts w:hint="eastAsia" w:ascii="宋体" w:hAnsi="宋体" w:eastAsia="宋体" w:cs="宋体"/>
          <w:b w:val="0"/>
          <w:color w:val="000000"/>
          <w:sz w:val="24"/>
          <w:szCs w:val="24"/>
        </w:rPr>
      </w:pPr>
      <w:bookmarkStart w:id="76" w:name="_Toc443898063"/>
      <w:r>
        <w:rPr>
          <w:rFonts w:hint="eastAsia" w:ascii="宋体" w:hAnsi="宋体" w:eastAsia="宋体" w:cs="宋体"/>
          <w:b w:val="0"/>
          <w:color w:val="000000"/>
          <w:sz w:val="24"/>
          <w:szCs w:val="24"/>
        </w:rPr>
        <w:t>1.10</w:t>
      </w:r>
      <w:bookmarkStart w:id="77" w:name="_Toc337558736"/>
      <w:r>
        <w:rPr>
          <w:rFonts w:hint="eastAsia" w:ascii="宋体" w:hAnsi="宋体" w:eastAsia="宋体" w:cs="宋体"/>
          <w:b w:val="0"/>
          <w:color w:val="000000"/>
          <w:sz w:val="24"/>
          <w:szCs w:val="24"/>
        </w:rPr>
        <w:t>交通运输</w:t>
      </w:r>
      <w:bookmarkEnd w:id="76"/>
    </w:p>
    <w:p w14:paraId="68097A7D">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w:t>
      </w:r>
      <w:bookmarkEnd w:id="77"/>
      <w:r>
        <w:rPr>
          <w:rFonts w:hint="eastAsia" w:ascii="宋体" w:hAnsi="宋体" w:eastAsia="宋体" w:cs="宋体"/>
          <w:color w:val="000000"/>
          <w:kern w:val="0"/>
          <w:sz w:val="24"/>
          <w:szCs w:val="24"/>
        </w:rPr>
        <w:t>0.1 出入现场的权利</w:t>
      </w:r>
    </w:p>
    <w:p w14:paraId="6B417942">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14:paraId="1FE0DC58">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承包人应在订立合同前查勘施工现场，并根据工程规模及技术参数合理预见工程施工所需的进出施工现场的方式、手段、路径等。因承包人未合理预见所增加的费用和（或）延误的工期由承包人承担。</w:t>
      </w:r>
    </w:p>
    <w:p w14:paraId="2E457341">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1.10.2 场外交通</w:t>
      </w:r>
    </w:p>
    <w:p w14:paraId="26440AB3">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发包人应提供场外交通设施的技术参数，承包人应遵守有关交通法规，严格按照道路和桥梁的限制荷载行驶，执行有关道路限速、限行、禁止超载的规定，并配合交通管理部门的监督和检查。</w:t>
      </w:r>
    </w:p>
    <w:p w14:paraId="19061754">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1.10.3场内交通</w:t>
      </w:r>
    </w:p>
    <w:p w14:paraId="7A39F25B">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应提供场内交通设施的技术参数，并应按照专用合同条款的约定向承包人免费提供满足工程施工所需的场内道路和交通设施。因承包人原因造成上述道路或交通设施损坏的，承包人负责修复并承担由此增加的费用。</w:t>
      </w:r>
    </w:p>
    <w:p w14:paraId="3432A286">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14:paraId="49BB658A">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场外交通和场内交通的边界由合同当事人在专用合同条款中约定。</w:t>
      </w:r>
    </w:p>
    <w:p w14:paraId="774A838A">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1.10.4 超大件和超重件的运输</w:t>
      </w:r>
    </w:p>
    <w:p w14:paraId="19D63C28">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2CF2C176">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1.10.5 道路和桥梁的损坏责任</w:t>
      </w:r>
    </w:p>
    <w:p w14:paraId="3A75EB7A">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因承包人运输造成施工场地内外公共道路和桥梁损坏的，由承包人承担修复损坏的全部费用和可能引起的赔偿。</w:t>
      </w:r>
    </w:p>
    <w:p w14:paraId="0A401CCF">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1.10.6 水路和航空运输</w:t>
      </w:r>
    </w:p>
    <w:p w14:paraId="494D8ED5">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本款前述各项的内容适用于水路运输和航空运输，其中“道路”一词的涵义包括河道、航线、船闸、机场、码头、堤防以及水路或航空运输中其他相似结构物；“车辆”一词的涵义包括船舶和飞机等。</w:t>
      </w:r>
    </w:p>
    <w:p w14:paraId="71E2AAEF">
      <w:pPr>
        <w:pStyle w:val="6"/>
        <w:spacing w:before="0" w:after="0" w:line="240" w:lineRule="auto"/>
        <w:ind w:firstLine="480" w:firstLineChars="200"/>
        <w:rPr>
          <w:rFonts w:hint="eastAsia" w:ascii="宋体" w:hAnsi="宋体" w:eastAsia="宋体" w:cs="宋体"/>
          <w:b w:val="0"/>
          <w:color w:val="000000"/>
          <w:sz w:val="24"/>
          <w:szCs w:val="24"/>
        </w:rPr>
      </w:pPr>
      <w:bookmarkStart w:id="78" w:name="_Toc443898064"/>
      <w:r>
        <w:rPr>
          <w:rFonts w:hint="eastAsia" w:ascii="宋体" w:hAnsi="宋体" w:eastAsia="宋体" w:cs="宋体"/>
          <w:b w:val="0"/>
          <w:color w:val="000000"/>
          <w:sz w:val="24"/>
          <w:szCs w:val="24"/>
        </w:rPr>
        <w:t>1.11</w:t>
      </w:r>
      <w:bookmarkStart w:id="79" w:name="_Toc337558737"/>
      <w:bookmarkStart w:id="80" w:name="_Toc296346538"/>
      <w:bookmarkStart w:id="81" w:name="_Toc296503037"/>
      <w:r>
        <w:rPr>
          <w:rFonts w:hint="eastAsia" w:ascii="宋体" w:hAnsi="宋体" w:eastAsia="宋体" w:cs="宋体"/>
          <w:b w:val="0"/>
          <w:color w:val="000000"/>
          <w:sz w:val="24"/>
          <w:szCs w:val="24"/>
        </w:rPr>
        <w:t>知识产权</w:t>
      </w:r>
      <w:bookmarkEnd w:id="78"/>
    </w:p>
    <w:p w14:paraId="44E7524E">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bookmarkEnd w:id="79"/>
      <w:r>
        <w:rPr>
          <w:rFonts w:hint="eastAsia" w:ascii="宋体" w:hAnsi="宋体" w:eastAsia="宋体" w:cs="宋体"/>
          <w:color w:val="000000"/>
          <w:kern w:val="0"/>
          <w:sz w:val="24"/>
          <w:szCs w:val="24"/>
        </w:rPr>
        <w:t>1</w:t>
      </w:r>
      <w:bookmarkEnd w:id="80"/>
      <w:bookmarkEnd w:id="81"/>
      <w:r>
        <w:rPr>
          <w:rFonts w:hint="eastAsia" w:ascii="宋体" w:hAnsi="宋体" w:eastAsia="宋体" w:cs="宋体"/>
          <w:color w:val="000000"/>
          <w:kern w:val="0"/>
          <w:sz w:val="24"/>
          <w:szCs w:val="24"/>
        </w:rPr>
        <w:t>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201D2058">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1359DCC7">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42A7EA3C">
      <w:pPr>
        <w:ind w:firstLine="480" w:firstLineChars="200"/>
        <w:rPr>
          <w:rFonts w:hint="eastAsia" w:ascii="宋体" w:hAnsi="宋体" w:eastAsia="宋体" w:cs="宋体"/>
          <w:sz w:val="24"/>
          <w:szCs w:val="24"/>
        </w:rPr>
      </w:pPr>
      <w:r>
        <w:rPr>
          <w:rFonts w:hint="eastAsia" w:ascii="宋体" w:hAnsi="宋体" w:eastAsia="宋体" w:cs="宋体"/>
          <w:color w:val="000000"/>
          <w:sz w:val="24"/>
          <w:szCs w:val="24"/>
        </w:rPr>
        <w:t>1.11.4 除专用合同条款另有约定外，承包人在合同签订前和签订时已确定采用的专利、专有技术、技术秘密的使用费已包含在签约合同价中。</w:t>
      </w:r>
    </w:p>
    <w:p w14:paraId="1B2ABE7D">
      <w:pPr>
        <w:pStyle w:val="6"/>
        <w:spacing w:before="0" w:after="0" w:line="240" w:lineRule="auto"/>
        <w:ind w:firstLine="480" w:firstLineChars="200"/>
        <w:rPr>
          <w:rFonts w:hint="eastAsia" w:ascii="宋体" w:hAnsi="宋体" w:eastAsia="宋体" w:cs="宋体"/>
          <w:b w:val="0"/>
          <w:color w:val="000000"/>
          <w:sz w:val="24"/>
          <w:szCs w:val="24"/>
        </w:rPr>
      </w:pPr>
      <w:bookmarkStart w:id="82" w:name="_Toc443898065"/>
      <w:r>
        <w:rPr>
          <w:rFonts w:hint="eastAsia" w:ascii="宋体" w:hAnsi="宋体" w:eastAsia="宋体" w:cs="宋体"/>
          <w:b w:val="0"/>
          <w:color w:val="000000"/>
          <w:sz w:val="24"/>
          <w:szCs w:val="24"/>
        </w:rPr>
        <w:t>1.12</w:t>
      </w:r>
      <w:bookmarkStart w:id="83" w:name="_Toc337558738"/>
      <w:r>
        <w:rPr>
          <w:rFonts w:hint="eastAsia" w:ascii="宋体" w:hAnsi="宋体" w:eastAsia="宋体" w:cs="宋体"/>
          <w:b w:val="0"/>
          <w:color w:val="000000"/>
          <w:sz w:val="24"/>
          <w:szCs w:val="24"/>
        </w:rPr>
        <w:t>保密</w:t>
      </w:r>
      <w:bookmarkEnd w:id="82"/>
    </w:p>
    <w:p w14:paraId="59FC8502">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除法律</w:t>
      </w:r>
      <w:bookmarkEnd w:id="83"/>
      <w:r>
        <w:rPr>
          <w:rFonts w:hint="eastAsia" w:ascii="宋体" w:hAnsi="宋体" w:eastAsia="宋体" w:cs="宋体"/>
          <w:color w:val="000000"/>
          <w:kern w:val="0"/>
          <w:sz w:val="24"/>
          <w:szCs w:val="24"/>
        </w:rPr>
        <w:t>规定或合同另有约定外，未经发包人同意，承包人不得将发包人提供的图纸、文件以及声明需要保密的资料信息等商业秘密泄露给第三方。</w:t>
      </w:r>
    </w:p>
    <w:p w14:paraId="46489B7E">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法律规定或合同另有约定外，未经承包人同意，发包人不得将承包人提供的技术秘密及声明需要保密的资料信息等商业秘密泄露给第三方。为竣工验收或正常使用、维修、维护工程需要，发包人可向主管部门或相关单位提交相应的资料，不必经发包人同意。</w:t>
      </w:r>
    </w:p>
    <w:p w14:paraId="29938AA8">
      <w:pPr>
        <w:pStyle w:val="6"/>
        <w:spacing w:before="0" w:after="0" w:line="240" w:lineRule="auto"/>
        <w:ind w:firstLine="480" w:firstLineChars="200"/>
        <w:rPr>
          <w:rFonts w:hint="eastAsia" w:ascii="宋体" w:hAnsi="宋体" w:eastAsia="宋体" w:cs="宋体"/>
          <w:b w:val="0"/>
          <w:color w:val="000000"/>
          <w:sz w:val="24"/>
          <w:szCs w:val="24"/>
        </w:rPr>
      </w:pPr>
      <w:bookmarkStart w:id="84" w:name="_Toc443898066"/>
      <w:r>
        <w:rPr>
          <w:rFonts w:hint="eastAsia" w:ascii="宋体" w:hAnsi="宋体" w:eastAsia="宋体" w:cs="宋体"/>
          <w:b w:val="0"/>
          <w:color w:val="000000"/>
          <w:sz w:val="24"/>
          <w:szCs w:val="24"/>
        </w:rPr>
        <w:t>1.13工程量清单错误的修正</w:t>
      </w:r>
      <w:bookmarkEnd w:id="84"/>
    </w:p>
    <w:p w14:paraId="599189E9">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1.13.1 除专用合同条款另有约定外，发包人提供的工程量清单，应被认为是准确的和完整的。出现下列情形之一时，发包人应予以修正，并相应调整合同价格：</w:t>
      </w:r>
    </w:p>
    <w:p w14:paraId="35698FE8">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（1）工程量清单存在缺项、漏项的；</w:t>
      </w:r>
    </w:p>
    <w:p w14:paraId="604DBAD9">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（2）工程量清单偏差超出专用合同条款约定的工程量偏差范围的；</w:t>
      </w:r>
    </w:p>
    <w:p w14:paraId="26567EAB">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（3）未按照国家现行计量规范强制性规定计量的。</w:t>
      </w:r>
    </w:p>
    <w:p w14:paraId="4BBD30D2">
      <w:pPr>
        <w:pStyle w:val="5"/>
        <w:spacing w:before="0" w:after="0" w:line="240" w:lineRule="auto"/>
        <w:ind w:firstLine="480" w:firstLineChars="200"/>
        <w:rPr>
          <w:rFonts w:hint="eastAsia" w:ascii="宋体" w:hAnsi="宋体" w:eastAsia="宋体" w:cs="宋体"/>
          <w:b w:val="0"/>
          <w:color w:val="000000"/>
          <w:sz w:val="24"/>
          <w:szCs w:val="24"/>
        </w:rPr>
      </w:pPr>
      <w:bookmarkStart w:id="85" w:name="_Toc443898067"/>
      <w:r>
        <w:rPr>
          <w:rFonts w:hint="eastAsia" w:ascii="宋体" w:hAnsi="宋体" w:eastAsia="宋体" w:cs="宋体"/>
          <w:b w:val="0"/>
          <w:color w:val="000000"/>
          <w:sz w:val="24"/>
          <w:szCs w:val="24"/>
        </w:rPr>
        <w:t>2. 发</w:t>
      </w:r>
      <w:bookmarkStart w:id="86" w:name="_Toc296503038"/>
      <w:bookmarkStart w:id="87" w:name="_Toc296346539"/>
      <w:bookmarkStart w:id="88" w:name="_Toc337558739"/>
      <w:bookmarkStart w:id="89" w:name="OLE_LINK1"/>
      <w:bookmarkStart w:id="90" w:name="OLE_LINK2"/>
      <w:r>
        <w:rPr>
          <w:rFonts w:hint="eastAsia" w:ascii="宋体" w:hAnsi="宋体" w:eastAsia="宋体" w:cs="宋体"/>
          <w:b w:val="0"/>
          <w:color w:val="000000"/>
          <w:sz w:val="24"/>
          <w:szCs w:val="24"/>
        </w:rPr>
        <w:t>包人</w:t>
      </w:r>
      <w:bookmarkEnd w:id="85"/>
    </w:p>
    <w:p w14:paraId="34CEE9A9">
      <w:pPr>
        <w:pStyle w:val="6"/>
        <w:spacing w:before="0" w:after="0" w:line="240" w:lineRule="auto"/>
        <w:ind w:firstLine="480" w:firstLineChars="200"/>
        <w:rPr>
          <w:rFonts w:hint="eastAsia" w:ascii="宋体" w:hAnsi="宋体" w:eastAsia="宋体" w:cs="宋体"/>
          <w:b w:val="0"/>
          <w:color w:val="000000"/>
          <w:sz w:val="24"/>
          <w:szCs w:val="24"/>
        </w:rPr>
      </w:pPr>
      <w:bookmarkStart w:id="91" w:name="_Toc443898068"/>
      <w:r>
        <w:rPr>
          <w:rFonts w:hint="eastAsia" w:ascii="宋体" w:hAnsi="宋体" w:eastAsia="宋体" w:cs="宋体"/>
          <w:b w:val="0"/>
          <w:color w:val="000000"/>
          <w:sz w:val="24"/>
          <w:szCs w:val="24"/>
        </w:rPr>
        <w:t>2.1</w:t>
      </w:r>
      <w:bookmarkEnd w:id="86"/>
      <w:bookmarkEnd w:id="87"/>
      <w:bookmarkEnd w:id="88"/>
      <w:bookmarkStart w:id="92" w:name="_Toc296503039"/>
      <w:bookmarkStart w:id="93" w:name="_Toc337558740"/>
      <w:bookmarkStart w:id="94" w:name="_Toc296346540"/>
      <w:r>
        <w:rPr>
          <w:rFonts w:hint="eastAsia" w:ascii="宋体" w:hAnsi="宋体" w:eastAsia="宋体" w:cs="宋体"/>
          <w:b w:val="0"/>
          <w:color w:val="000000"/>
          <w:sz w:val="24"/>
          <w:szCs w:val="24"/>
        </w:rPr>
        <w:t>许可或批准</w:t>
      </w:r>
      <w:bookmarkEnd w:id="91"/>
    </w:p>
    <w:p w14:paraId="57D55857">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14:paraId="053F3711">
      <w:pPr>
        <w:pStyle w:val="6"/>
        <w:spacing w:before="0" w:after="0" w:line="240" w:lineRule="auto"/>
        <w:ind w:firstLine="480" w:firstLineChars="200"/>
        <w:rPr>
          <w:rFonts w:hint="eastAsia" w:ascii="宋体" w:hAnsi="宋体" w:eastAsia="宋体" w:cs="宋体"/>
          <w:b w:val="0"/>
          <w:color w:val="000000"/>
          <w:sz w:val="24"/>
          <w:szCs w:val="24"/>
        </w:rPr>
      </w:pPr>
      <w:bookmarkStart w:id="95" w:name="_Toc443898069"/>
      <w:r>
        <w:rPr>
          <w:rFonts w:hint="eastAsia" w:ascii="宋体" w:hAnsi="宋体" w:eastAsia="宋体" w:cs="宋体"/>
          <w:b w:val="0"/>
          <w:color w:val="000000"/>
          <w:sz w:val="24"/>
          <w:szCs w:val="24"/>
        </w:rPr>
        <w:t>2.2 发包人代表</w:t>
      </w:r>
      <w:bookmarkEnd w:id="95"/>
    </w:p>
    <w:p w14:paraId="7EDE23A2">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14:paraId="1F6C4B3C">
      <w:pPr>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不属于法定必须监理的工程，监理人的职权可以由发包人代表或发包人指定的其他人员行使。</w:t>
      </w:r>
    </w:p>
    <w:p w14:paraId="242160DC">
      <w:pPr>
        <w:pStyle w:val="6"/>
        <w:spacing w:before="0" w:after="0" w:line="240" w:lineRule="auto"/>
        <w:ind w:firstLine="480" w:firstLineChars="200"/>
        <w:rPr>
          <w:rFonts w:hint="eastAsia" w:ascii="宋体" w:hAnsi="宋体" w:eastAsia="宋体" w:cs="宋体"/>
          <w:b w:val="0"/>
          <w:color w:val="000000"/>
          <w:sz w:val="24"/>
          <w:szCs w:val="24"/>
        </w:rPr>
      </w:pPr>
      <w:bookmarkStart w:id="96" w:name="_Toc443898070"/>
      <w:r>
        <w:rPr>
          <w:rFonts w:hint="eastAsia" w:ascii="宋体" w:hAnsi="宋体" w:eastAsia="宋体" w:cs="宋体"/>
          <w:b w:val="0"/>
          <w:color w:val="000000"/>
          <w:sz w:val="24"/>
          <w:szCs w:val="24"/>
        </w:rPr>
        <w:t>2.3 发包人人员</w:t>
      </w:r>
      <w:bookmarkEnd w:id="96"/>
    </w:p>
    <w:p w14:paraId="26A2B268">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发包人应要求在施工现场的发包人人员遵守法律及有关安全、质量、环境保护、文明施工等规定，并保障承包人免于承受因发包人人员未遵守上述要求给承包人造成的损失和责任。</w:t>
      </w:r>
    </w:p>
    <w:p w14:paraId="32EAF637">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发包人人员包括发包人代表及其他由发包人派驻施工现场的人员。</w:t>
      </w:r>
    </w:p>
    <w:p w14:paraId="177028D2">
      <w:pPr>
        <w:pStyle w:val="6"/>
        <w:spacing w:before="0" w:after="0" w:line="240" w:lineRule="auto"/>
        <w:ind w:firstLine="480" w:firstLineChars="200"/>
        <w:rPr>
          <w:rFonts w:hint="eastAsia" w:ascii="宋体" w:hAnsi="宋体" w:eastAsia="宋体" w:cs="宋体"/>
          <w:b w:val="0"/>
          <w:color w:val="000000"/>
          <w:sz w:val="24"/>
          <w:szCs w:val="24"/>
        </w:rPr>
      </w:pPr>
      <w:bookmarkStart w:id="97" w:name="_Toc443898071"/>
      <w:r>
        <w:rPr>
          <w:rFonts w:hint="eastAsia" w:ascii="宋体" w:hAnsi="宋体" w:eastAsia="宋体" w:cs="宋体"/>
          <w:b w:val="0"/>
          <w:color w:val="000000"/>
          <w:sz w:val="24"/>
          <w:szCs w:val="24"/>
        </w:rPr>
        <w:t>2.</w:t>
      </w:r>
      <w:bookmarkEnd w:id="92"/>
      <w:bookmarkEnd w:id="93"/>
      <w:bookmarkEnd w:id="94"/>
      <w:r>
        <w:rPr>
          <w:rFonts w:hint="eastAsia" w:ascii="宋体" w:hAnsi="宋体" w:eastAsia="宋体" w:cs="宋体"/>
          <w:b w:val="0"/>
          <w:color w:val="000000"/>
          <w:sz w:val="24"/>
          <w:szCs w:val="24"/>
        </w:rPr>
        <w:t xml:space="preserve">4 </w:t>
      </w:r>
      <w:bookmarkStart w:id="98" w:name="_Toc296346541"/>
      <w:bookmarkStart w:id="99" w:name="_Toc296503040"/>
      <w:bookmarkStart w:id="100" w:name="_Toc337558741"/>
      <w:r>
        <w:rPr>
          <w:rFonts w:hint="eastAsia" w:ascii="宋体" w:hAnsi="宋体" w:eastAsia="宋体" w:cs="宋体"/>
          <w:b w:val="0"/>
          <w:color w:val="000000"/>
          <w:sz w:val="24"/>
          <w:szCs w:val="24"/>
        </w:rPr>
        <w:t>施工现场、施工条件和基础资料的提供</w:t>
      </w:r>
      <w:bookmarkEnd w:id="97"/>
    </w:p>
    <w:p w14:paraId="38ABC12B">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bookmarkEnd w:id="98"/>
      <w:bookmarkEnd w:id="99"/>
      <w:bookmarkEnd w:id="100"/>
      <w:r>
        <w:rPr>
          <w:rFonts w:hint="eastAsia" w:ascii="宋体" w:hAnsi="宋体" w:eastAsia="宋体" w:cs="宋体"/>
          <w:color w:val="000000"/>
          <w:kern w:val="0"/>
          <w:sz w:val="24"/>
          <w:szCs w:val="24"/>
        </w:rPr>
        <w:t>.4.1 提供施工现场</w:t>
      </w:r>
    </w:p>
    <w:p w14:paraId="4C046098">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w:t>
      </w:r>
      <w:bookmarkEnd w:id="89"/>
      <w:bookmarkEnd w:id="90"/>
      <w:r>
        <w:rPr>
          <w:rFonts w:hint="eastAsia" w:ascii="宋体" w:hAnsi="宋体" w:eastAsia="宋体" w:cs="宋体"/>
          <w:color w:val="000000"/>
          <w:kern w:val="0"/>
          <w:sz w:val="24"/>
          <w:szCs w:val="24"/>
        </w:rPr>
        <w:t>同条款另有约定外，发包人应最迟于开工日期7天前向承包人移交施工现场。</w:t>
      </w:r>
    </w:p>
    <w:p w14:paraId="62C68853">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2.4.2 提供施工条件</w:t>
      </w:r>
    </w:p>
    <w:p w14:paraId="09F90703">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除专用合同条款另有约定外，发包人应负责提供施工所需要的条件，包括：</w:t>
      </w:r>
    </w:p>
    <w:p w14:paraId="389C442F">
      <w:pPr>
        <w:autoSpaceDE w:val="0"/>
        <w:autoSpaceDN w:val="0"/>
        <w:adjustRightInd w:val="0"/>
        <w:ind w:firstLine="480" w:firstLineChars="200"/>
        <w:jc w:val="left"/>
        <w:rPr>
          <w:rFonts w:hint="eastAsia" w:ascii="宋体" w:hAnsi="宋体" w:eastAsia="宋体" w:cs="宋体"/>
          <w:kern w:val="0"/>
          <w:sz w:val="24"/>
          <w:szCs w:val="24"/>
        </w:rPr>
      </w:pPr>
      <w:r>
        <w:rPr>
          <w:rFonts w:hint="eastAsia" w:ascii="宋体" w:hAnsi="宋体" w:eastAsia="宋体" w:cs="宋体"/>
          <w:color w:val="000000"/>
          <w:kern w:val="0"/>
          <w:sz w:val="24"/>
          <w:szCs w:val="24"/>
        </w:rPr>
        <w:t>（1）将施工用水、电力、通讯线路等施工所必需的条件接至施工现场内；</w:t>
      </w:r>
    </w:p>
    <w:p w14:paraId="512EA2FB">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（2）保证向承包人提供正常施工所需要的进入施工现场的交通条件；</w:t>
      </w:r>
    </w:p>
    <w:p w14:paraId="330761FB">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（3）协调处理施工现场周围地下管线和邻近建筑物、构筑物、古树名木的保护工作，并承担相关费用；</w:t>
      </w:r>
    </w:p>
    <w:p w14:paraId="6550F7A2">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（4）按照专用合同条款约定应提供的其他设施和条件。</w:t>
      </w:r>
    </w:p>
    <w:p w14:paraId="6A4C1058">
      <w:pPr>
        <w:autoSpaceDE w:val="0"/>
        <w:autoSpaceDN w:val="0"/>
        <w:adjustRightInd w:val="0"/>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kern w:val="0"/>
          <w:sz w:val="24"/>
          <w:szCs w:val="24"/>
        </w:rPr>
        <w:t>2.4.3 提供基础资料</w:t>
      </w:r>
    </w:p>
    <w:p w14:paraId="5533BFF3">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14:paraId="5524D5B6">
      <w:pPr>
        <w:autoSpaceDE w:val="0"/>
        <w:autoSpaceDN w:val="0"/>
        <w:adjustRightInd w:val="0"/>
        <w:ind w:firstLine="480" w:firstLineChars="200"/>
        <w:jc w:val="left"/>
        <w:rPr>
          <w:rFonts w:hint="eastAsia" w:ascii="宋体" w:hAnsi="宋体" w:eastAsia="宋体" w:cs="宋体"/>
          <w:strike/>
          <w:kern w:val="0"/>
          <w:sz w:val="24"/>
          <w:szCs w:val="24"/>
        </w:rPr>
      </w:pPr>
      <w:r>
        <w:rPr>
          <w:rFonts w:hint="eastAsia" w:ascii="宋体" w:hAnsi="宋体" w:eastAsia="宋体" w:cs="宋体"/>
          <w:color w:val="000000"/>
          <w:kern w:val="0"/>
          <w:sz w:val="24"/>
          <w:szCs w:val="24"/>
        </w:rPr>
        <w:t>按照法律规定确需在开工后方能提供的基础资料，发包人应尽其努力及时地在相应工程施工前的合理期限内提供，合理期限应以不影响承包人的正常施工为限。</w:t>
      </w:r>
    </w:p>
    <w:p w14:paraId="78603DC9">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2.4.4 逾期提供的责任</w:t>
      </w:r>
    </w:p>
    <w:p w14:paraId="66ED0E14">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因发包人原因未能按合同约定及时向承包人提供施工现场和基础资料的，由发包人承担由此延误的工期。</w:t>
      </w:r>
    </w:p>
    <w:p w14:paraId="10FC4F06">
      <w:pPr>
        <w:pStyle w:val="6"/>
        <w:spacing w:before="0" w:after="0" w:line="240" w:lineRule="auto"/>
        <w:ind w:firstLine="480" w:firstLineChars="200"/>
        <w:rPr>
          <w:rFonts w:hint="eastAsia" w:ascii="宋体" w:hAnsi="宋体" w:eastAsia="宋体" w:cs="宋体"/>
          <w:b w:val="0"/>
          <w:color w:val="000000"/>
          <w:sz w:val="24"/>
          <w:szCs w:val="24"/>
        </w:rPr>
      </w:pPr>
      <w:bookmarkStart w:id="101" w:name="_Toc443898072"/>
      <w:r>
        <w:rPr>
          <w:rFonts w:hint="eastAsia" w:ascii="宋体" w:hAnsi="宋体" w:eastAsia="宋体" w:cs="宋体"/>
          <w:b w:val="0"/>
          <w:color w:val="000000"/>
          <w:sz w:val="24"/>
          <w:szCs w:val="24"/>
        </w:rPr>
        <w:t>2.5资</w:t>
      </w:r>
      <w:bookmarkStart w:id="102" w:name="_Toc296503042"/>
      <w:bookmarkStart w:id="103" w:name="_Toc296346543"/>
      <w:bookmarkStart w:id="104" w:name="_Toc337558745"/>
      <w:r>
        <w:rPr>
          <w:rFonts w:hint="eastAsia" w:ascii="宋体" w:hAnsi="宋体" w:eastAsia="宋体" w:cs="宋体"/>
          <w:b w:val="0"/>
          <w:color w:val="000000"/>
          <w:sz w:val="24"/>
          <w:szCs w:val="24"/>
        </w:rPr>
        <w:t>金来源</w:t>
      </w:r>
      <w:bookmarkEnd w:id="102"/>
      <w:bookmarkEnd w:id="103"/>
      <w:bookmarkEnd w:id="104"/>
      <w:r>
        <w:rPr>
          <w:rFonts w:hint="eastAsia" w:ascii="宋体" w:hAnsi="宋体" w:eastAsia="宋体" w:cs="宋体"/>
          <w:b w:val="0"/>
          <w:color w:val="000000"/>
          <w:sz w:val="24"/>
          <w:szCs w:val="24"/>
        </w:rPr>
        <w:t>证明及支付担保</w:t>
      </w:r>
      <w:bookmarkEnd w:id="101"/>
    </w:p>
    <w:p w14:paraId="47F52839">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除专用合同条款另有约定外，发包人应在收到承包人要求提供资金来源证明的书面通知后28天内，向承包人提供能够按照合同约定支付合同价款的相应资金来源证明。</w:t>
      </w:r>
    </w:p>
    <w:p w14:paraId="0A97F770">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除专用合同条款另有约定外，发包人要求承包人提供履约担保的，发包人应当向承包人提供支付担保。支付担保可以采用银行保函或担保公司担保等形式，具体由合同当事人在专用合同条款中约定。</w:t>
      </w:r>
    </w:p>
    <w:p w14:paraId="23C68901">
      <w:pPr>
        <w:pStyle w:val="6"/>
        <w:spacing w:before="0" w:after="0" w:line="240" w:lineRule="auto"/>
        <w:ind w:firstLine="480" w:firstLineChars="200"/>
        <w:rPr>
          <w:rFonts w:hint="eastAsia" w:ascii="宋体" w:hAnsi="宋体" w:eastAsia="宋体" w:cs="宋体"/>
          <w:b w:val="0"/>
          <w:color w:val="000000"/>
          <w:sz w:val="24"/>
          <w:szCs w:val="24"/>
        </w:rPr>
      </w:pPr>
      <w:bookmarkStart w:id="105" w:name="_Toc443898073"/>
      <w:r>
        <w:rPr>
          <w:rFonts w:hint="eastAsia" w:ascii="宋体" w:hAnsi="宋体" w:eastAsia="宋体" w:cs="宋体"/>
          <w:b w:val="0"/>
          <w:color w:val="000000"/>
          <w:sz w:val="24"/>
          <w:szCs w:val="24"/>
        </w:rPr>
        <w:t>2.6 支付合同价款</w:t>
      </w:r>
      <w:bookmarkEnd w:id="105"/>
    </w:p>
    <w:p w14:paraId="5FB27FE9">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发包人应按合同约定向承包人及时支付合同价款。</w:t>
      </w:r>
    </w:p>
    <w:p w14:paraId="411D3482">
      <w:pPr>
        <w:pStyle w:val="6"/>
        <w:spacing w:before="0" w:after="0" w:line="240" w:lineRule="auto"/>
        <w:ind w:firstLine="480" w:firstLineChars="200"/>
        <w:rPr>
          <w:rFonts w:hint="eastAsia" w:ascii="宋体" w:hAnsi="宋体" w:eastAsia="宋体" w:cs="宋体"/>
          <w:b w:val="0"/>
          <w:color w:val="000000"/>
          <w:sz w:val="24"/>
          <w:szCs w:val="24"/>
        </w:rPr>
      </w:pPr>
      <w:bookmarkStart w:id="106" w:name="_Toc443898074"/>
      <w:r>
        <w:rPr>
          <w:rFonts w:hint="eastAsia" w:ascii="宋体" w:hAnsi="宋体" w:eastAsia="宋体" w:cs="宋体"/>
          <w:b w:val="0"/>
          <w:color w:val="000000"/>
          <w:sz w:val="24"/>
          <w:szCs w:val="24"/>
        </w:rPr>
        <w:t>2.7组织竣工验收</w:t>
      </w:r>
      <w:bookmarkEnd w:id="106"/>
    </w:p>
    <w:p w14:paraId="5EEEA037">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发包人应按合同约定及时组织竣工验收。</w:t>
      </w:r>
    </w:p>
    <w:p w14:paraId="3BA9F7E5">
      <w:pPr>
        <w:pStyle w:val="6"/>
        <w:spacing w:before="0" w:after="0" w:line="240" w:lineRule="auto"/>
        <w:ind w:firstLine="480" w:firstLineChars="200"/>
        <w:rPr>
          <w:rFonts w:hint="eastAsia" w:ascii="宋体" w:hAnsi="宋体" w:eastAsia="宋体" w:cs="宋体"/>
          <w:b w:val="0"/>
          <w:color w:val="000000"/>
          <w:sz w:val="24"/>
          <w:szCs w:val="24"/>
        </w:rPr>
      </w:pPr>
      <w:bookmarkStart w:id="107" w:name="_Toc443898075"/>
      <w:r>
        <w:rPr>
          <w:rFonts w:hint="eastAsia" w:ascii="宋体" w:hAnsi="宋体" w:eastAsia="宋体" w:cs="宋体"/>
          <w:b w:val="0"/>
          <w:color w:val="000000"/>
          <w:sz w:val="24"/>
          <w:szCs w:val="24"/>
        </w:rPr>
        <w:t>2.8 现场统一管理协议</w:t>
      </w:r>
      <w:bookmarkEnd w:id="107"/>
    </w:p>
    <w:p w14:paraId="553FF113">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发包人应与承包人、由发包人直接发包的专业工程的承包人签订施工现场统一管理协议，明确各方的权利义务。施工现场统一管理协议作为专用合同条款的附件。</w:t>
      </w:r>
    </w:p>
    <w:p w14:paraId="1F882082">
      <w:pPr>
        <w:pStyle w:val="6"/>
        <w:spacing w:before="0" w:after="0" w:line="240" w:lineRule="auto"/>
        <w:ind w:firstLine="480" w:firstLineChars="200"/>
        <w:rPr>
          <w:rFonts w:hint="eastAsia" w:ascii="宋体" w:hAnsi="宋体" w:eastAsia="宋体" w:cs="宋体"/>
          <w:b w:val="0"/>
          <w:color w:val="000000"/>
          <w:sz w:val="24"/>
          <w:szCs w:val="24"/>
        </w:rPr>
      </w:pPr>
      <w:bookmarkStart w:id="108" w:name="_Toc443898076"/>
      <w:r>
        <w:rPr>
          <w:rFonts w:hint="eastAsia" w:ascii="宋体" w:hAnsi="宋体" w:eastAsia="宋体" w:cs="宋体"/>
          <w:b w:val="0"/>
          <w:color w:val="000000"/>
          <w:sz w:val="24"/>
          <w:szCs w:val="24"/>
        </w:rPr>
        <w:t>3. 承包人</w:t>
      </w:r>
      <w:bookmarkEnd w:id="108"/>
    </w:p>
    <w:p w14:paraId="6A27A6F5">
      <w:pPr>
        <w:pStyle w:val="6"/>
        <w:spacing w:before="0" w:after="0" w:line="240" w:lineRule="auto"/>
        <w:ind w:firstLine="480" w:firstLineChars="200"/>
        <w:rPr>
          <w:rFonts w:hint="eastAsia" w:ascii="宋体" w:hAnsi="宋体" w:eastAsia="宋体" w:cs="宋体"/>
          <w:b w:val="0"/>
          <w:color w:val="000000"/>
          <w:sz w:val="24"/>
          <w:szCs w:val="24"/>
        </w:rPr>
      </w:pPr>
      <w:bookmarkStart w:id="109" w:name="_Toc443898077"/>
      <w:r>
        <w:rPr>
          <w:rFonts w:hint="eastAsia" w:ascii="宋体" w:hAnsi="宋体" w:eastAsia="宋体" w:cs="宋体"/>
          <w:b w:val="0"/>
          <w:color w:val="000000"/>
          <w:sz w:val="24"/>
          <w:szCs w:val="24"/>
        </w:rPr>
        <w:t>3.1 承包人的一般义务</w:t>
      </w:r>
      <w:bookmarkEnd w:id="109"/>
    </w:p>
    <w:p w14:paraId="0B20955B">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承包人在履行合同过程中应遵守法律和工程建设标准规范，并履行以下义务：</w:t>
      </w:r>
    </w:p>
    <w:p w14:paraId="15D19915">
      <w:pPr>
        <w:numPr>
          <w:ilvl w:val="0"/>
          <w:numId w:val="1"/>
        </w:num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办理法律规定应由承包人办理的许可和批准，并将办理结果书面报送发包人留存；</w:t>
      </w:r>
    </w:p>
    <w:p w14:paraId="7285114A">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（2）按法律规定和合同约定完成工程，并在保修期内承担保修义务；</w:t>
      </w:r>
    </w:p>
    <w:p w14:paraId="6C2A1D47">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（3）按法律规定和合同约定采取施工安全和环境保护措施，办理工伤保险，确保工程及人员、材料、设备和设施的安全；</w:t>
      </w:r>
    </w:p>
    <w:p w14:paraId="7CA443F0">
      <w:pPr>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（4）按合同约定的工作内容和施工进度要求，编制施工组织设计和施工措施计划，并对所有施工作业和施工方法的完备性和安全可靠性负责；</w:t>
      </w:r>
    </w:p>
    <w:p w14:paraId="37A566E0">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1DA835F0">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（6）按照第6.3款〔环境保护〕约定负责施工场地及其周边环境与生态的保护工作；</w:t>
      </w:r>
    </w:p>
    <w:p w14:paraId="41D7938F">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（7）按第6.1款〔安全文明施工〕约定采取施工安全措施，确保工程及其人员、材料、设备和设施的安全，防止因工程施工造成的人身伤害和财产损失；</w:t>
      </w:r>
    </w:p>
    <w:p w14:paraId="69439EEA">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（8）将发包人按合同约定支付的各项价款专用于合同工程，且应及时支付其雇用人员工资，并及时向联合体人支付合同价款；</w:t>
      </w:r>
    </w:p>
    <w:p w14:paraId="6F14941B">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（9）按照法律规定和合同约定编制竣工资料，完成竣工资料立卷及归档，并</w:t>
      </w:r>
      <w:r>
        <w:rPr>
          <w:rFonts w:hint="eastAsia" w:ascii="宋体" w:hAnsi="宋体" w:eastAsia="宋体" w:cs="宋体"/>
          <w:kern w:val="0"/>
          <w:sz w:val="24"/>
          <w:szCs w:val="24"/>
        </w:rPr>
        <w:t>按专用合同条款约定</w:t>
      </w:r>
      <w:r>
        <w:rPr>
          <w:rFonts w:hint="eastAsia" w:ascii="宋体" w:hAnsi="宋体" w:eastAsia="宋体" w:cs="宋体"/>
          <w:color w:val="000000"/>
          <w:kern w:val="0"/>
          <w:sz w:val="24"/>
          <w:szCs w:val="24"/>
        </w:rPr>
        <w:t>的竣工资料的套数、内容、时间等要求移交发包人；</w:t>
      </w:r>
    </w:p>
    <w:p w14:paraId="068F59A1">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（10）应履行的其他义务</w:t>
      </w:r>
    </w:p>
    <w:p w14:paraId="0EFA5482">
      <w:pPr>
        <w:pStyle w:val="6"/>
        <w:spacing w:before="0" w:after="0" w:line="240" w:lineRule="auto"/>
        <w:ind w:firstLine="480" w:firstLineChars="200"/>
        <w:rPr>
          <w:rFonts w:hint="eastAsia" w:ascii="宋体" w:hAnsi="宋体" w:eastAsia="宋体" w:cs="宋体"/>
          <w:b w:val="0"/>
          <w:color w:val="000000"/>
          <w:sz w:val="24"/>
          <w:szCs w:val="24"/>
        </w:rPr>
      </w:pPr>
      <w:bookmarkStart w:id="110" w:name="_Toc443898078"/>
      <w:r>
        <w:rPr>
          <w:rFonts w:hint="eastAsia" w:ascii="宋体" w:hAnsi="宋体" w:eastAsia="宋体" w:cs="宋体"/>
          <w:b w:val="0"/>
          <w:color w:val="000000"/>
          <w:sz w:val="24"/>
          <w:szCs w:val="24"/>
        </w:rPr>
        <w:t>3.2 项目经理</w:t>
      </w:r>
      <w:bookmarkEnd w:id="110"/>
    </w:p>
    <w:p w14:paraId="7850F494">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14:paraId="5E6EA8B0">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14:paraId="457CA76B">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承包人违反上述约定的，应按照专用合同条款的约定，承担违约责任。</w:t>
      </w:r>
    </w:p>
    <w:p w14:paraId="771B0202">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3.2.2 项目经理按合同约定组织工程实施。在紧急情况下为确保施工安全和人员安全，在无法与发包人代表和总监理工程师及时取得联系时，项目经理有权采取必要的措施保证与工程有关的人身、财产和工程的安全，但应在</w:t>
      </w:r>
      <w:r>
        <w:rPr>
          <w:rFonts w:hint="eastAsia" w:ascii="宋体" w:hAnsi="宋体" w:eastAsia="宋体" w:cs="宋体"/>
          <w:color w:val="000000"/>
          <w:kern w:val="0"/>
          <w:sz w:val="24"/>
          <w:szCs w:val="24"/>
          <w:u w:val="single"/>
        </w:rPr>
        <w:t>48小时</w:t>
      </w:r>
      <w:r>
        <w:rPr>
          <w:rFonts w:hint="eastAsia" w:ascii="宋体" w:hAnsi="宋体" w:eastAsia="宋体" w:cs="宋体"/>
          <w:color w:val="000000"/>
          <w:kern w:val="0"/>
          <w:sz w:val="24"/>
          <w:szCs w:val="24"/>
        </w:rPr>
        <w:t>内向发包人代表和总监理工程师提交书面报告。</w:t>
      </w:r>
    </w:p>
    <w:p w14:paraId="417FC94E">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3.2.3 承包人需要更换项目经理的，应提前</w:t>
      </w:r>
      <w:r>
        <w:rPr>
          <w:rFonts w:hint="eastAsia" w:ascii="宋体" w:hAnsi="宋体" w:eastAsia="宋体" w:cs="宋体"/>
          <w:color w:val="000000"/>
          <w:kern w:val="0"/>
          <w:sz w:val="24"/>
          <w:szCs w:val="24"/>
          <w:u w:val="single"/>
        </w:rPr>
        <w:t>14天</w:t>
      </w:r>
      <w:r>
        <w:rPr>
          <w:rFonts w:hint="eastAsia" w:ascii="宋体" w:hAnsi="宋体" w:eastAsia="宋体" w:cs="宋体"/>
          <w:color w:val="000000"/>
          <w:kern w:val="0"/>
          <w:sz w:val="24"/>
          <w:szCs w:val="24"/>
        </w:rPr>
        <w:t>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14:paraId="7027208D">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3.2.4 发包人有权书面通知承包人更换其认为不称职的项目经理，通知中应当载明要求更换的理由。承包人应在接到更换通知后</w:t>
      </w:r>
      <w:r>
        <w:rPr>
          <w:rFonts w:hint="eastAsia" w:ascii="宋体" w:hAnsi="宋体" w:eastAsia="宋体" w:cs="宋体"/>
          <w:color w:val="000000"/>
          <w:kern w:val="0"/>
          <w:sz w:val="24"/>
          <w:szCs w:val="24"/>
          <w:u w:val="single"/>
        </w:rPr>
        <w:t>14天</w:t>
      </w:r>
      <w:r>
        <w:rPr>
          <w:rFonts w:hint="eastAsia" w:ascii="宋体" w:hAnsi="宋体" w:eastAsia="宋体" w:cs="宋体"/>
          <w:color w:val="000000"/>
          <w:kern w:val="0"/>
          <w:sz w:val="24"/>
          <w:szCs w:val="24"/>
        </w:rPr>
        <w:t>内向发包人提出书面的改进报告。发包人收到改进报告后仍要求更换的，承包人应在接到第二次更换通知的</w:t>
      </w:r>
      <w:r>
        <w:rPr>
          <w:rFonts w:hint="eastAsia" w:ascii="宋体" w:hAnsi="宋体" w:eastAsia="宋体" w:cs="宋体"/>
          <w:color w:val="000000"/>
          <w:kern w:val="0"/>
          <w:sz w:val="24"/>
          <w:szCs w:val="24"/>
          <w:u w:val="single"/>
        </w:rPr>
        <w:t>28天</w:t>
      </w:r>
      <w:r>
        <w:rPr>
          <w:rFonts w:hint="eastAsia" w:ascii="宋体" w:hAnsi="宋体" w:eastAsia="宋体" w:cs="宋体"/>
          <w:color w:val="000000"/>
          <w:kern w:val="0"/>
          <w:sz w:val="24"/>
          <w:szCs w:val="24"/>
        </w:rPr>
        <w:t>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14:paraId="2E05CDD3">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3.2.5 项目经理因特殊情况授权其下属人员履行其某项工作职责的，该下属人员应具备履行相应职责的能力，并应提前</w:t>
      </w:r>
      <w:r>
        <w:rPr>
          <w:rFonts w:hint="eastAsia" w:ascii="宋体" w:hAnsi="宋体" w:eastAsia="宋体" w:cs="宋体"/>
          <w:color w:val="000000"/>
          <w:kern w:val="0"/>
          <w:sz w:val="24"/>
          <w:szCs w:val="24"/>
          <w:u w:val="single"/>
        </w:rPr>
        <w:t>14天</w:t>
      </w:r>
      <w:r>
        <w:rPr>
          <w:rFonts w:hint="eastAsia" w:ascii="宋体" w:hAnsi="宋体" w:eastAsia="宋体" w:cs="宋体"/>
          <w:color w:val="000000"/>
          <w:kern w:val="0"/>
          <w:sz w:val="24"/>
          <w:szCs w:val="24"/>
        </w:rPr>
        <w:t>将上述人员的姓名和授权范围书面通知监理人，并征得发包人书面同意。</w:t>
      </w:r>
    </w:p>
    <w:p w14:paraId="6F81329A">
      <w:pPr>
        <w:pStyle w:val="6"/>
        <w:spacing w:before="0" w:after="0" w:line="240" w:lineRule="auto"/>
        <w:ind w:firstLine="480" w:firstLineChars="200"/>
        <w:rPr>
          <w:rFonts w:hint="eastAsia" w:ascii="宋体" w:hAnsi="宋体" w:eastAsia="宋体" w:cs="宋体"/>
          <w:b w:val="0"/>
          <w:color w:val="000000"/>
          <w:sz w:val="24"/>
          <w:szCs w:val="24"/>
        </w:rPr>
      </w:pPr>
      <w:bookmarkStart w:id="111" w:name="_Toc443898079"/>
      <w:r>
        <w:rPr>
          <w:rFonts w:hint="eastAsia" w:ascii="宋体" w:hAnsi="宋体" w:eastAsia="宋体" w:cs="宋体"/>
          <w:b w:val="0"/>
          <w:color w:val="000000"/>
          <w:sz w:val="24"/>
          <w:szCs w:val="24"/>
        </w:rPr>
        <w:t>3.3 承包人人员</w:t>
      </w:r>
      <w:bookmarkEnd w:id="111"/>
    </w:p>
    <w:p w14:paraId="73D1B205">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3.3.1 除专用合同条款另有约定外，承包人应在接到开工通知后14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74DE17DF">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3.3.2 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14:paraId="7B3CA9EE">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特殊工种作业人员均应持有相应的资格证明，监理人可以随时检查。</w:t>
      </w:r>
    </w:p>
    <w:p w14:paraId="22114924">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3.3.3 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14:paraId="2101CCAC">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3.3.4 除专用合同条款另有约定外，承包人的主要施工管理人员离开施工现场每月累计不超过</w:t>
      </w:r>
      <w:r>
        <w:rPr>
          <w:rFonts w:hint="eastAsia" w:ascii="宋体" w:hAnsi="宋体" w:eastAsia="宋体" w:cs="宋体"/>
          <w:color w:val="000000"/>
          <w:kern w:val="0"/>
          <w:sz w:val="24"/>
          <w:szCs w:val="24"/>
          <w:u w:val="single"/>
        </w:rPr>
        <w:t>5天</w:t>
      </w:r>
      <w:r>
        <w:rPr>
          <w:rFonts w:hint="eastAsia" w:ascii="宋体" w:hAnsi="宋体" w:eastAsia="宋体" w:cs="宋体"/>
          <w:color w:val="000000"/>
          <w:kern w:val="0"/>
          <w:sz w:val="24"/>
          <w:szCs w:val="24"/>
        </w:rPr>
        <w:t>的，应报监理人同意；离开施工现场每月累计超过</w:t>
      </w:r>
      <w:r>
        <w:rPr>
          <w:rFonts w:hint="eastAsia" w:ascii="宋体" w:hAnsi="宋体" w:eastAsia="宋体" w:cs="宋体"/>
          <w:color w:val="000000"/>
          <w:kern w:val="0"/>
          <w:sz w:val="24"/>
          <w:szCs w:val="24"/>
          <w:u w:val="single"/>
        </w:rPr>
        <w:t>5天</w:t>
      </w:r>
      <w:r>
        <w:rPr>
          <w:rFonts w:hint="eastAsia" w:ascii="宋体" w:hAnsi="宋体" w:eastAsia="宋体" w:cs="宋体"/>
          <w:color w:val="000000"/>
          <w:kern w:val="0"/>
          <w:sz w:val="24"/>
          <w:szCs w:val="24"/>
        </w:rPr>
        <w:t>的，应通知监理人，并征得发包人书面同意。主要施工管理人员离开施工现场前应指定一名有经验的人员临时代行其职责，该人员应具备履行相应职责的资格和能力，且应征得监理人或发包人的同意。</w:t>
      </w:r>
    </w:p>
    <w:p w14:paraId="32104823">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3.3.5 承包人擅自更换主要施工管理人员，或前述人员未经监理人或发包人同意擅自离开施工现场的，应按照专用合同条款约定承担违约责任。</w:t>
      </w:r>
    </w:p>
    <w:p w14:paraId="5269B474">
      <w:pPr>
        <w:pStyle w:val="6"/>
        <w:spacing w:before="0" w:after="0" w:line="240" w:lineRule="auto"/>
        <w:ind w:firstLine="480" w:firstLineChars="200"/>
        <w:rPr>
          <w:rFonts w:hint="eastAsia" w:ascii="宋体" w:hAnsi="宋体" w:eastAsia="宋体" w:cs="宋体"/>
          <w:b w:val="0"/>
          <w:color w:val="000000"/>
          <w:sz w:val="24"/>
          <w:szCs w:val="24"/>
        </w:rPr>
      </w:pPr>
      <w:bookmarkStart w:id="112" w:name="_Toc443898080"/>
      <w:r>
        <w:rPr>
          <w:rFonts w:hint="eastAsia" w:ascii="宋体" w:hAnsi="宋体" w:eastAsia="宋体" w:cs="宋体"/>
          <w:b w:val="0"/>
          <w:color w:val="000000"/>
          <w:sz w:val="24"/>
          <w:szCs w:val="24"/>
        </w:rPr>
        <w:t>3.4 承包人现场查勘</w:t>
      </w:r>
      <w:bookmarkEnd w:id="112"/>
    </w:p>
    <w:p w14:paraId="5011D263">
      <w:pPr>
        <w:autoSpaceDE w:val="0"/>
        <w:autoSpaceDN w:val="0"/>
        <w:adjustRightInd w:val="0"/>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kern w:val="0"/>
          <w:sz w:val="24"/>
          <w:szCs w:val="24"/>
        </w:rPr>
        <w:t>承包人应对基于发包人按照第2.4.3项〔提供基础资料〕提交的基础资料所做出的解释和推断负责，但因基础资料存在错误、遗漏导致承包人解释或推断失实的，由发包人承担责任。</w:t>
      </w:r>
    </w:p>
    <w:p w14:paraId="441559FB">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延误的工期。</w:t>
      </w:r>
    </w:p>
    <w:p w14:paraId="6524D331">
      <w:pPr>
        <w:pStyle w:val="6"/>
        <w:spacing w:before="0" w:after="0" w:line="240" w:lineRule="auto"/>
        <w:ind w:firstLine="480" w:firstLineChars="200"/>
        <w:rPr>
          <w:rFonts w:hint="eastAsia" w:ascii="宋体" w:hAnsi="宋体" w:eastAsia="宋体" w:cs="宋体"/>
          <w:b w:val="0"/>
          <w:color w:val="000000"/>
          <w:sz w:val="24"/>
          <w:szCs w:val="24"/>
        </w:rPr>
      </w:pPr>
      <w:bookmarkStart w:id="113" w:name="_Toc443898081"/>
      <w:r>
        <w:rPr>
          <w:rFonts w:hint="eastAsia" w:ascii="宋体" w:hAnsi="宋体" w:eastAsia="宋体" w:cs="宋体"/>
          <w:b w:val="0"/>
          <w:color w:val="000000"/>
          <w:sz w:val="24"/>
          <w:szCs w:val="24"/>
        </w:rPr>
        <w:t>3.5 分包</w:t>
      </w:r>
      <w:bookmarkEnd w:id="113"/>
    </w:p>
    <w:p w14:paraId="3E0B6832">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3.5.1 分包的一般约定</w:t>
      </w:r>
    </w:p>
    <w:p w14:paraId="790D2394">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14:paraId="1672FEFC">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承包人不得以劳务分包的名义转包或违法分包工程。</w:t>
      </w:r>
    </w:p>
    <w:p w14:paraId="36404F88">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3.5.2 分包的确定</w:t>
      </w:r>
    </w:p>
    <w:p w14:paraId="7FC2E009">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w:t>
      </w:r>
      <w:r>
        <w:rPr>
          <w:rFonts w:hint="eastAsia" w:ascii="宋体" w:hAnsi="宋体" w:eastAsia="宋体" w:cs="宋体"/>
          <w:color w:val="000000"/>
          <w:kern w:val="0"/>
          <w:sz w:val="24"/>
          <w:szCs w:val="24"/>
          <w:u w:val="single"/>
        </w:rPr>
        <w:t>14天</w:t>
      </w:r>
      <w:r>
        <w:rPr>
          <w:rFonts w:hint="eastAsia" w:ascii="宋体" w:hAnsi="宋体" w:eastAsia="宋体" w:cs="宋体"/>
          <w:color w:val="000000"/>
          <w:kern w:val="0"/>
          <w:sz w:val="24"/>
          <w:szCs w:val="24"/>
        </w:rPr>
        <w:t>内向发包人和监理人提交分包合同副本。</w:t>
      </w:r>
    </w:p>
    <w:p w14:paraId="2922B28A">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3.5.3 分包管理</w:t>
      </w:r>
    </w:p>
    <w:p w14:paraId="0B05CFA4">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承包人应向监理人提交分包人的主要施工管理人员表，并对分包人的施工人员进行实名制管理，包括但不限于进出场管理、登记造册以及各种证照的办理。</w:t>
      </w:r>
    </w:p>
    <w:p w14:paraId="58702315">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3.5.4 分包合同价款</w:t>
      </w:r>
    </w:p>
    <w:p w14:paraId="33FE08A2">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（1）除本项第（2）目约定的情况或专用合同条款另有约定外，分包合同价款由承包人与分包人结算，未经承包人同意，发包人不得向分包人支付分包工程价款；</w:t>
      </w:r>
    </w:p>
    <w:p w14:paraId="66C055FE">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（2）生效法律文书要求发包人向分包人支付分包合同价款的，发包人有权从应付承包人工程款中扣除该部分款项。</w:t>
      </w:r>
    </w:p>
    <w:p w14:paraId="2B3F32A4">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3.5.5 分包合同权益的转让</w:t>
      </w:r>
    </w:p>
    <w:p w14:paraId="321DFA3B">
      <w:pPr>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p>
    <w:p w14:paraId="7CBEE294">
      <w:pPr>
        <w:pStyle w:val="6"/>
        <w:spacing w:before="0" w:after="0" w:line="240" w:lineRule="auto"/>
        <w:ind w:firstLine="480" w:firstLineChars="200"/>
        <w:rPr>
          <w:rFonts w:hint="eastAsia" w:ascii="宋体" w:hAnsi="宋体" w:eastAsia="宋体" w:cs="宋体"/>
          <w:b w:val="0"/>
          <w:color w:val="000000"/>
          <w:sz w:val="24"/>
          <w:szCs w:val="24"/>
        </w:rPr>
      </w:pPr>
      <w:bookmarkStart w:id="114" w:name="_Toc443898082"/>
      <w:r>
        <w:rPr>
          <w:rFonts w:hint="eastAsia" w:ascii="宋体" w:hAnsi="宋体" w:eastAsia="宋体" w:cs="宋体"/>
          <w:b w:val="0"/>
          <w:color w:val="000000"/>
          <w:sz w:val="24"/>
          <w:szCs w:val="24"/>
        </w:rPr>
        <w:t>3.6 工程照管与成品、半成品保护</w:t>
      </w:r>
      <w:bookmarkEnd w:id="114"/>
    </w:p>
    <w:p w14:paraId="77958D46">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sz w:val="24"/>
          <w:szCs w:val="24"/>
        </w:rPr>
        <w:t>3.6.1</w:t>
      </w:r>
      <w:r>
        <w:rPr>
          <w:rFonts w:hint="eastAsia" w:ascii="宋体" w:hAnsi="宋体" w:eastAsia="宋体" w:cs="宋体"/>
          <w:color w:val="000000"/>
          <w:kern w:val="0"/>
          <w:sz w:val="24"/>
          <w:szCs w:val="24"/>
        </w:rPr>
        <w:t>除专用合同条款另有约定外，自发包人向承包人移交施工现场之日起，承包人应负责照管工程及工程相关的材料、工程设备，直到颁发工程接收证书之日止。</w:t>
      </w:r>
    </w:p>
    <w:p w14:paraId="1583481F">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sz w:val="24"/>
          <w:szCs w:val="24"/>
        </w:rPr>
        <w:t>3.6.2</w:t>
      </w:r>
      <w:r>
        <w:rPr>
          <w:rFonts w:hint="eastAsia" w:ascii="宋体" w:hAnsi="宋体" w:eastAsia="宋体" w:cs="宋体"/>
          <w:color w:val="000000"/>
          <w:kern w:val="0"/>
          <w:sz w:val="24"/>
          <w:szCs w:val="24"/>
        </w:rPr>
        <w:t>在承包人负责照管期间，因承包人原因造成工程、材料、工程设备损坏的，由承包人负责修复或更换，并承担由此增加的费用和（或）延误的工期。</w:t>
      </w:r>
    </w:p>
    <w:p w14:paraId="651DED95">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sz w:val="24"/>
          <w:szCs w:val="24"/>
        </w:rPr>
        <w:t>3.6.3</w:t>
      </w:r>
      <w:r>
        <w:rPr>
          <w:rFonts w:hint="eastAsia" w:ascii="宋体" w:hAnsi="宋体" w:eastAsia="宋体" w:cs="宋体"/>
          <w:color w:val="000000"/>
          <w:kern w:val="0"/>
          <w:sz w:val="24"/>
          <w:szCs w:val="24"/>
        </w:rPr>
        <w:t>对合同内分期完成的成品和半成品，在工程接收证书颁发前，由承包人承担保护责任。因承包人原因造成成品或半成品损坏的，由承包人负责修复或更换，并承担由此增加的费用和（或）延误的工期。</w:t>
      </w:r>
    </w:p>
    <w:p w14:paraId="708B734E">
      <w:pPr>
        <w:pStyle w:val="6"/>
        <w:spacing w:before="0" w:after="0" w:line="240" w:lineRule="auto"/>
        <w:ind w:firstLine="480" w:firstLineChars="200"/>
        <w:rPr>
          <w:rFonts w:hint="eastAsia" w:ascii="宋体" w:hAnsi="宋体" w:eastAsia="宋体" w:cs="宋体"/>
          <w:b w:val="0"/>
          <w:color w:val="000000"/>
          <w:sz w:val="24"/>
          <w:szCs w:val="24"/>
        </w:rPr>
      </w:pPr>
      <w:bookmarkStart w:id="115" w:name="_Toc443898083"/>
      <w:r>
        <w:rPr>
          <w:rFonts w:hint="eastAsia" w:ascii="宋体" w:hAnsi="宋体" w:eastAsia="宋体" w:cs="宋体"/>
          <w:b w:val="0"/>
          <w:color w:val="000000"/>
          <w:sz w:val="24"/>
          <w:szCs w:val="24"/>
        </w:rPr>
        <w:t>3.7 履约担保</w:t>
      </w:r>
      <w:bookmarkEnd w:id="115"/>
    </w:p>
    <w:p w14:paraId="5CD85C2F">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发包人需要承包人提供履约担保的，由合同当事人在专用合同条款中约定履约担保的方式、金额及期限等。履约担保可以采用银行保函或担保公司担保等形式，具体由合同当事人在专用合同条款中约定。</w:t>
      </w:r>
    </w:p>
    <w:p w14:paraId="0D95C63F">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因承包人原因导致工期延长的，继续提供履约担保所增加的费用由承包人承担；非因承包人原因导致工期延长的，继续提供履约担保所增加的费用由发包人承担。</w:t>
      </w:r>
    </w:p>
    <w:p w14:paraId="57A42ADA">
      <w:pPr>
        <w:pStyle w:val="6"/>
        <w:spacing w:before="0" w:after="0" w:line="240" w:lineRule="auto"/>
        <w:ind w:firstLine="480" w:firstLineChars="200"/>
        <w:rPr>
          <w:rFonts w:hint="eastAsia" w:ascii="宋体" w:hAnsi="宋体" w:eastAsia="宋体" w:cs="宋体"/>
          <w:b w:val="0"/>
          <w:color w:val="000000"/>
          <w:sz w:val="24"/>
          <w:szCs w:val="24"/>
        </w:rPr>
      </w:pPr>
      <w:bookmarkStart w:id="116" w:name="_Toc443898084"/>
      <w:r>
        <w:rPr>
          <w:rFonts w:hint="eastAsia" w:ascii="宋体" w:hAnsi="宋体" w:eastAsia="宋体" w:cs="宋体"/>
          <w:b w:val="0"/>
          <w:color w:val="000000"/>
          <w:sz w:val="24"/>
          <w:szCs w:val="24"/>
        </w:rPr>
        <w:t>3.8 联合体</w:t>
      </w:r>
      <w:bookmarkEnd w:id="116"/>
    </w:p>
    <w:p w14:paraId="10CE723D">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3.8.1</w:t>
      </w:r>
      <w:r>
        <w:rPr>
          <w:rFonts w:hint="eastAsia" w:ascii="宋体" w:hAnsi="宋体" w:eastAsia="宋体" w:cs="宋体"/>
          <w:sz w:val="24"/>
          <w:szCs w:val="24"/>
        </w:rPr>
        <w:t>如果承包人是联合体经营，</w:t>
      </w:r>
      <w:r>
        <w:rPr>
          <w:rFonts w:hint="eastAsia" w:ascii="宋体" w:hAnsi="宋体" w:eastAsia="宋体" w:cs="宋体"/>
          <w:color w:val="000000"/>
          <w:kern w:val="0"/>
          <w:sz w:val="24"/>
          <w:szCs w:val="24"/>
        </w:rPr>
        <w:t>联合体各方应共同与发包人签订合同协议书，</w:t>
      </w:r>
      <w:r>
        <w:rPr>
          <w:rFonts w:hint="eastAsia" w:ascii="宋体" w:hAnsi="宋体" w:eastAsia="宋体" w:cs="宋体"/>
          <w:sz w:val="24"/>
          <w:szCs w:val="24"/>
        </w:rPr>
        <w:t>并在工程开工前签订联合体施工协议书</w:t>
      </w:r>
      <w:r>
        <w:rPr>
          <w:rFonts w:hint="eastAsia" w:ascii="宋体" w:hAnsi="宋体" w:eastAsia="宋体" w:cs="宋体"/>
          <w:color w:val="000000"/>
          <w:kern w:val="0"/>
          <w:sz w:val="24"/>
          <w:szCs w:val="24"/>
        </w:rPr>
        <w:t>。联合体各方应为履行合同向发包人承担连带责任。</w:t>
      </w:r>
    </w:p>
    <w:p w14:paraId="2C0A5FBD">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3.8.2 联合体协议书经发包人确认后作为合同附件。在履行合同过程中，未经发包人同意，不得修改联合体协议书。</w:t>
      </w:r>
    </w:p>
    <w:p w14:paraId="20355124">
      <w:pPr>
        <w:autoSpaceDE w:val="0"/>
        <w:autoSpaceDN w:val="0"/>
        <w:adjustRightInd w:val="0"/>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kern w:val="0"/>
          <w:sz w:val="24"/>
          <w:szCs w:val="24"/>
        </w:rPr>
        <w:t>3.8.3 联合体牵头人负责与发包人和监理人联系，并接受指示，负责组织联合体各成员全面履行合同。</w:t>
      </w:r>
    </w:p>
    <w:p w14:paraId="0B663DA1">
      <w:pPr>
        <w:pStyle w:val="6"/>
        <w:spacing w:before="0" w:after="0" w:line="240" w:lineRule="auto"/>
        <w:ind w:firstLine="480" w:firstLineChars="200"/>
        <w:rPr>
          <w:rFonts w:hint="eastAsia" w:ascii="宋体" w:hAnsi="宋体" w:eastAsia="宋体" w:cs="宋体"/>
          <w:b w:val="0"/>
          <w:color w:val="000000"/>
          <w:sz w:val="24"/>
          <w:szCs w:val="24"/>
        </w:rPr>
      </w:pPr>
      <w:bookmarkStart w:id="117" w:name="_Toc443898085"/>
      <w:r>
        <w:rPr>
          <w:rFonts w:hint="eastAsia" w:ascii="宋体" w:hAnsi="宋体" w:eastAsia="宋体" w:cs="宋体"/>
          <w:b w:val="0"/>
          <w:color w:val="000000"/>
          <w:sz w:val="24"/>
          <w:szCs w:val="24"/>
        </w:rPr>
        <w:t>4. 监</w:t>
      </w:r>
      <w:bookmarkStart w:id="118" w:name="_Toc296346554"/>
      <w:bookmarkStart w:id="119" w:name="_Toc296503053"/>
      <w:bookmarkStart w:id="120" w:name="_Toc337558753"/>
      <w:r>
        <w:rPr>
          <w:rFonts w:hint="eastAsia" w:ascii="宋体" w:hAnsi="宋体" w:eastAsia="宋体" w:cs="宋体"/>
          <w:b w:val="0"/>
          <w:color w:val="000000"/>
          <w:sz w:val="24"/>
          <w:szCs w:val="24"/>
        </w:rPr>
        <w:t>理人</w:t>
      </w:r>
      <w:bookmarkEnd w:id="117"/>
    </w:p>
    <w:bookmarkEnd w:id="118"/>
    <w:bookmarkEnd w:id="119"/>
    <w:p w14:paraId="1EC1FC71">
      <w:pPr>
        <w:pStyle w:val="6"/>
        <w:spacing w:before="0" w:after="0" w:line="240" w:lineRule="auto"/>
        <w:ind w:firstLine="480" w:firstLineChars="200"/>
        <w:rPr>
          <w:rFonts w:hint="eastAsia" w:ascii="宋体" w:hAnsi="宋体" w:eastAsia="宋体" w:cs="宋体"/>
          <w:b w:val="0"/>
          <w:color w:val="000000"/>
          <w:sz w:val="24"/>
          <w:szCs w:val="24"/>
        </w:rPr>
      </w:pPr>
      <w:bookmarkStart w:id="121" w:name="_Toc443898086"/>
      <w:r>
        <w:rPr>
          <w:rFonts w:hint="eastAsia" w:ascii="宋体" w:hAnsi="宋体" w:eastAsia="宋体" w:cs="宋体"/>
          <w:b w:val="0"/>
          <w:color w:val="000000"/>
          <w:sz w:val="24"/>
          <w:szCs w:val="24"/>
        </w:rPr>
        <w:t>4.1</w:t>
      </w:r>
      <w:bookmarkEnd w:id="120"/>
      <w:r>
        <w:rPr>
          <w:rFonts w:hint="eastAsia" w:ascii="宋体" w:hAnsi="宋体" w:eastAsia="宋体" w:cs="宋体"/>
          <w:b w:val="0"/>
          <w:color w:val="000000"/>
          <w:sz w:val="24"/>
          <w:szCs w:val="24"/>
        </w:rPr>
        <w:t>监</w:t>
      </w:r>
      <w:bookmarkStart w:id="122" w:name="_Toc296346555"/>
      <w:bookmarkStart w:id="123" w:name="_Toc337558754"/>
      <w:bookmarkStart w:id="124" w:name="_Toc296503054"/>
      <w:r>
        <w:rPr>
          <w:rFonts w:hint="eastAsia" w:ascii="宋体" w:hAnsi="宋体" w:eastAsia="宋体" w:cs="宋体"/>
          <w:b w:val="0"/>
          <w:color w:val="000000"/>
          <w:sz w:val="24"/>
          <w:szCs w:val="24"/>
        </w:rPr>
        <w:t>理人的一般规定</w:t>
      </w:r>
      <w:bookmarkEnd w:id="121"/>
    </w:p>
    <w:p w14:paraId="150351CB">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工程实</w:t>
      </w:r>
      <w:bookmarkEnd w:id="122"/>
      <w:bookmarkEnd w:id="123"/>
      <w:bookmarkEnd w:id="124"/>
      <w:r>
        <w:rPr>
          <w:rFonts w:hint="eastAsia" w:ascii="宋体" w:hAnsi="宋体" w:eastAsia="宋体" w:cs="宋体"/>
          <w:color w:val="000000"/>
          <w:kern w:val="0"/>
          <w:sz w:val="24"/>
          <w:szCs w:val="24"/>
        </w:rPr>
        <w:t>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14:paraId="1B67A0A3">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除专用合同条款另有约定外，监理人在施工现场的办公场所、生活场所由承包人提供，所发生的费用由发包人承担。</w:t>
      </w:r>
    </w:p>
    <w:p w14:paraId="7C9B227C">
      <w:pPr>
        <w:pStyle w:val="6"/>
        <w:spacing w:before="0" w:after="0" w:line="240" w:lineRule="auto"/>
        <w:ind w:firstLine="480" w:firstLineChars="200"/>
        <w:rPr>
          <w:rFonts w:hint="eastAsia" w:ascii="宋体" w:hAnsi="宋体" w:eastAsia="宋体" w:cs="宋体"/>
          <w:b w:val="0"/>
          <w:color w:val="000000"/>
          <w:sz w:val="24"/>
          <w:szCs w:val="24"/>
        </w:rPr>
      </w:pPr>
      <w:bookmarkStart w:id="125" w:name="_Toc443898087"/>
      <w:r>
        <w:rPr>
          <w:rFonts w:hint="eastAsia" w:ascii="宋体" w:hAnsi="宋体" w:eastAsia="宋体" w:cs="宋体"/>
          <w:b w:val="0"/>
          <w:color w:val="000000"/>
          <w:sz w:val="24"/>
          <w:szCs w:val="24"/>
        </w:rPr>
        <w:t>4.2监</w:t>
      </w:r>
      <w:bookmarkStart w:id="126" w:name="_Toc337558755"/>
      <w:r>
        <w:rPr>
          <w:rFonts w:hint="eastAsia" w:ascii="宋体" w:hAnsi="宋体" w:eastAsia="宋体" w:cs="宋体"/>
          <w:b w:val="0"/>
          <w:color w:val="000000"/>
          <w:sz w:val="24"/>
          <w:szCs w:val="24"/>
        </w:rPr>
        <w:t>理人员</w:t>
      </w:r>
      <w:bookmarkEnd w:id="125"/>
    </w:p>
    <w:p w14:paraId="081BC1FC">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w:t>
      </w:r>
      <w:bookmarkEnd w:id="126"/>
      <w:r>
        <w:rPr>
          <w:rFonts w:hint="eastAsia" w:ascii="宋体" w:hAnsi="宋体" w:eastAsia="宋体" w:cs="宋体"/>
          <w:color w:val="000000"/>
          <w:kern w:val="0"/>
          <w:sz w:val="24"/>
          <w:szCs w:val="24"/>
        </w:rPr>
        <w:t>授予监理人对工程实施监理的权利由监理人派驻施工现场的监理人员行使，监理人员包括总监理工程师及监理人。监理人应将授权的总监理工程师和监理人的姓名及授权范围以书面形式提前通知承包人。更换总监理工程师的，监理人应提前</w:t>
      </w:r>
      <w:r>
        <w:rPr>
          <w:rFonts w:hint="eastAsia" w:ascii="宋体" w:hAnsi="宋体" w:eastAsia="宋体" w:cs="宋体"/>
          <w:color w:val="000000"/>
          <w:kern w:val="0"/>
          <w:sz w:val="24"/>
          <w:szCs w:val="24"/>
          <w:u w:val="single"/>
        </w:rPr>
        <w:t>14天</w:t>
      </w:r>
      <w:r>
        <w:rPr>
          <w:rFonts w:hint="eastAsia" w:ascii="宋体" w:hAnsi="宋体" w:eastAsia="宋体" w:cs="宋体"/>
          <w:color w:val="000000"/>
          <w:kern w:val="0"/>
          <w:sz w:val="24"/>
          <w:szCs w:val="24"/>
        </w:rPr>
        <w:t>书面通知承包人；更换其他监理人员，监理人应提前</w:t>
      </w:r>
      <w:r>
        <w:rPr>
          <w:rFonts w:hint="eastAsia" w:ascii="宋体" w:hAnsi="宋体" w:eastAsia="宋体" w:cs="宋体"/>
          <w:color w:val="000000"/>
          <w:kern w:val="0"/>
          <w:sz w:val="24"/>
          <w:szCs w:val="24"/>
          <w:u w:val="single"/>
        </w:rPr>
        <w:t>48小时</w:t>
      </w:r>
      <w:r>
        <w:rPr>
          <w:rFonts w:hint="eastAsia" w:ascii="宋体" w:hAnsi="宋体" w:eastAsia="宋体" w:cs="宋体"/>
          <w:color w:val="000000"/>
          <w:kern w:val="0"/>
          <w:sz w:val="24"/>
          <w:szCs w:val="24"/>
        </w:rPr>
        <w:t>书面通知承包人。</w:t>
      </w:r>
    </w:p>
    <w:p w14:paraId="74C7C6C7">
      <w:pPr>
        <w:pStyle w:val="6"/>
        <w:spacing w:before="0" w:after="0" w:line="240" w:lineRule="auto"/>
        <w:ind w:firstLine="480" w:firstLineChars="200"/>
        <w:rPr>
          <w:rFonts w:hint="eastAsia" w:ascii="宋体" w:hAnsi="宋体" w:eastAsia="宋体" w:cs="宋体"/>
          <w:b w:val="0"/>
          <w:color w:val="000000"/>
          <w:sz w:val="24"/>
          <w:szCs w:val="24"/>
        </w:rPr>
      </w:pPr>
      <w:bookmarkStart w:id="127" w:name="_Toc443898088"/>
      <w:r>
        <w:rPr>
          <w:rFonts w:hint="eastAsia" w:ascii="宋体" w:hAnsi="宋体" w:eastAsia="宋体" w:cs="宋体"/>
          <w:b w:val="0"/>
          <w:color w:val="000000"/>
          <w:sz w:val="24"/>
          <w:szCs w:val="24"/>
        </w:rPr>
        <w:t>4.3监</w:t>
      </w:r>
      <w:bookmarkStart w:id="128" w:name="_Toc296346556"/>
      <w:bookmarkStart w:id="129" w:name="_Toc296503055"/>
      <w:bookmarkStart w:id="130" w:name="_Toc337558756"/>
      <w:r>
        <w:rPr>
          <w:rFonts w:hint="eastAsia" w:ascii="宋体" w:hAnsi="宋体" w:eastAsia="宋体" w:cs="宋体"/>
          <w:b w:val="0"/>
          <w:color w:val="000000"/>
          <w:sz w:val="24"/>
          <w:szCs w:val="24"/>
        </w:rPr>
        <w:t>理人</w:t>
      </w:r>
      <w:bookmarkEnd w:id="128"/>
      <w:bookmarkEnd w:id="129"/>
      <w:r>
        <w:rPr>
          <w:rFonts w:hint="eastAsia" w:ascii="宋体" w:hAnsi="宋体" w:eastAsia="宋体" w:cs="宋体"/>
          <w:b w:val="0"/>
          <w:color w:val="000000"/>
          <w:sz w:val="24"/>
          <w:szCs w:val="24"/>
        </w:rPr>
        <w:t>的指示</w:t>
      </w:r>
      <w:bookmarkEnd w:id="127"/>
    </w:p>
    <w:p w14:paraId="67603FEF">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监</w:t>
      </w:r>
      <w:bookmarkEnd w:id="130"/>
      <w:r>
        <w:rPr>
          <w:rFonts w:hint="eastAsia" w:ascii="宋体" w:hAnsi="宋体" w:eastAsia="宋体" w:cs="宋体"/>
          <w:color w:val="000000"/>
          <w:kern w:val="0"/>
          <w:sz w:val="24"/>
          <w:szCs w:val="24"/>
        </w:rPr>
        <w:t>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w:t>
      </w:r>
      <w:r>
        <w:rPr>
          <w:rFonts w:hint="eastAsia" w:ascii="宋体" w:hAnsi="宋体" w:eastAsia="宋体" w:cs="宋体"/>
          <w:color w:val="000000"/>
          <w:kern w:val="0"/>
          <w:sz w:val="24"/>
          <w:szCs w:val="24"/>
          <w:u w:val="single"/>
        </w:rPr>
        <w:t>24小时</w:t>
      </w:r>
      <w:r>
        <w:rPr>
          <w:rFonts w:hint="eastAsia" w:ascii="宋体" w:hAnsi="宋体" w:eastAsia="宋体" w:cs="宋体"/>
          <w:color w:val="000000"/>
          <w:kern w:val="0"/>
          <w:sz w:val="24"/>
          <w:szCs w:val="24"/>
        </w:rPr>
        <w:t>内补发书面监理指示，补发的书面监理指示应与口头指示一致。</w:t>
      </w:r>
    </w:p>
    <w:p w14:paraId="671F5FE0">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监理人发出的指示应送达承包人项目经理或经项目经理授权接收的人员。因监理人未能按合同约定发出指示、指示延误或发出了错误指示而导致承包人费用增加和（或）工期延误的，由发包人承担相应责任，发包人承担后直接向监理人追偿。除专用合同条款另有约定外，总监理工程师不应将第4.4款〔商定或确定〕约定应由总监理工程师作出确定的权力授权或委托给其他监理人员。</w:t>
      </w:r>
    </w:p>
    <w:p w14:paraId="4191088C">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承包人对监理人发出的指示有疑问的，应向监理人提出书面异议，监理人应在48小时内对该指示予以确认、更改或撤销，监理人逾期未回复的，承包人有权拒绝执行上述指示。</w:t>
      </w:r>
    </w:p>
    <w:p w14:paraId="7BDFF20E">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监理人对承包人的任何工作、工程或其采用的材料和工程设备未在约定的或合理期限内提出意见的，视为批准，但不免除或减轻承包人对该工作、工程、材料、工程设备等应承担的责任和义务。</w:t>
      </w:r>
    </w:p>
    <w:p w14:paraId="155B47E7">
      <w:pPr>
        <w:pStyle w:val="6"/>
        <w:spacing w:before="0" w:after="0" w:line="240" w:lineRule="auto"/>
        <w:ind w:firstLine="480" w:firstLineChars="200"/>
        <w:rPr>
          <w:rFonts w:hint="eastAsia" w:ascii="宋体" w:hAnsi="宋体" w:eastAsia="宋体" w:cs="宋体"/>
          <w:b w:val="0"/>
          <w:color w:val="000000"/>
          <w:sz w:val="24"/>
          <w:szCs w:val="24"/>
        </w:rPr>
      </w:pPr>
      <w:bookmarkStart w:id="131" w:name="_Toc443898089"/>
      <w:r>
        <w:rPr>
          <w:rFonts w:hint="eastAsia" w:ascii="宋体" w:hAnsi="宋体" w:eastAsia="宋体" w:cs="宋体"/>
          <w:b w:val="0"/>
          <w:color w:val="000000"/>
          <w:sz w:val="24"/>
          <w:szCs w:val="24"/>
        </w:rPr>
        <w:t>4.4</w:t>
      </w:r>
      <w:bookmarkStart w:id="132" w:name="_Toc296346558"/>
      <w:bookmarkStart w:id="133" w:name="_Toc296503057"/>
      <w:bookmarkStart w:id="134" w:name="_Toc337558757"/>
      <w:r>
        <w:rPr>
          <w:rFonts w:hint="eastAsia" w:ascii="宋体" w:hAnsi="宋体" w:eastAsia="宋体" w:cs="宋体"/>
          <w:b w:val="0"/>
          <w:color w:val="000000"/>
          <w:sz w:val="24"/>
          <w:szCs w:val="24"/>
        </w:rPr>
        <w:t>商定或确定</w:t>
      </w:r>
      <w:bookmarkEnd w:id="131"/>
    </w:p>
    <w:p w14:paraId="25ECD7C2">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合同当</w:t>
      </w:r>
      <w:bookmarkEnd w:id="132"/>
      <w:bookmarkEnd w:id="133"/>
      <w:bookmarkEnd w:id="134"/>
      <w:r>
        <w:rPr>
          <w:rFonts w:hint="eastAsia" w:ascii="宋体" w:hAnsi="宋体" w:eastAsia="宋体" w:cs="宋体"/>
          <w:color w:val="000000"/>
          <w:kern w:val="0"/>
          <w:sz w:val="24"/>
          <w:szCs w:val="24"/>
        </w:rPr>
        <w:t>事人进行商定或确定时，总监理工程师应当会同合同当事人尽量通过协商达成一致，不能达成一致的，由总监理工程师按照合同约定审慎做出公正的确定。</w:t>
      </w:r>
    </w:p>
    <w:p w14:paraId="003AC874">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14:paraId="74793FF9">
      <w:pPr>
        <w:pStyle w:val="5"/>
        <w:spacing w:before="0" w:after="0" w:line="240" w:lineRule="auto"/>
        <w:ind w:firstLine="480" w:firstLineChars="200"/>
        <w:rPr>
          <w:rFonts w:hint="eastAsia" w:ascii="宋体" w:hAnsi="宋体" w:eastAsia="宋体" w:cs="宋体"/>
          <w:b w:val="0"/>
          <w:color w:val="000000"/>
          <w:sz w:val="24"/>
          <w:szCs w:val="24"/>
        </w:rPr>
      </w:pPr>
      <w:bookmarkStart w:id="135" w:name="_Toc443898090"/>
      <w:r>
        <w:rPr>
          <w:rFonts w:hint="eastAsia" w:ascii="宋体" w:hAnsi="宋体" w:eastAsia="宋体" w:cs="宋体"/>
          <w:b w:val="0"/>
          <w:color w:val="000000"/>
          <w:sz w:val="24"/>
          <w:szCs w:val="24"/>
        </w:rPr>
        <w:t>5. 工</w:t>
      </w:r>
      <w:bookmarkStart w:id="136" w:name="_Toc337558758"/>
      <w:r>
        <w:rPr>
          <w:rFonts w:hint="eastAsia" w:ascii="宋体" w:hAnsi="宋体" w:eastAsia="宋体" w:cs="宋体"/>
          <w:b w:val="0"/>
          <w:color w:val="000000"/>
          <w:sz w:val="24"/>
          <w:szCs w:val="24"/>
        </w:rPr>
        <w:t>程质量</w:t>
      </w:r>
      <w:bookmarkEnd w:id="135"/>
    </w:p>
    <w:p w14:paraId="497AA067">
      <w:pPr>
        <w:pStyle w:val="6"/>
        <w:spacing w:before="0" w:after="0" w:line="240" w:lineRule="auto"/>
        <w:ind w:firstLine="480" w:firstLineChars="200"/>
        <w:rPr>
          <w:rFonts w:hint="eastAsia" w:ascii="宋体" w:hAnsi="宋体" w:eastAsia="宋体" w:cs="宋体"/>
          <w:b w:val="0"/>
          <w:color w:val="000000"/>
          <w:sz w:val="24"/>
          <w:szCs w:val="24"/>
        </w:rPr>
      </w:pPr>
      <w:bookmarkStart w:id="137" w:name="_Toc443898091"/>
      <w:r>
        <w:rPr>
          <w:rFonts w:hint="eastAsia" w:ascii="宋体" w:hAnsi="宋体" w:eastAsia="宋体" w:cs="宋体"/>
          <w:b w:val="0"/>
          <w:color w:val="000000"/>
          <w:sz w:val="24"/>
          <w:szCs w:val="24"/>
        </w:rPr>
        <w:t>5.1</w:t>
      </w:r>
      <w:bookmarkEnd w:id="136"/>
      <w:r>
        <w:rPr>
          <w:rFonts w:hint="eastAsia" w:ascii="宋体" w:hAnsi="宋体" w:eastAsia="宋体" w:cs="宋体"/>
          <w:b w:val="0"/>
          <w:color w:val="000000"/>
          <w:sz w:val="24"/>
          <w:szCs w:val="24"/>
        </w:rPr>
        <w:t>质</w:t>
      </w:r>
      <w:bookmarkStart w:id="138" w:name="_Toc337558759"/>
      <w:r>
        <w:rPr>
          <w:rFonts w:hint="eastAsia" w:ascii="宋体" w:hAnsi="宋体" w:eastAsia="宋体" w:cs="宋体"/>
          <w:b w:val="0"/>
          <w:color w:val="000000"/>
          <w:sz w:val="24"/>
          <w:szCs w:val="24"/>
        </w:rPr>
        <w:t>量要求</w:t>
      </w:r>
      <w:bookmarkEnd w:id="137"/>
    </w:p>
    <w:p w14:paraId="31CD34CD">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5.1</w:t>
      </w:r>
      <w:bookmarkEnd w:id="138"/>
      <w:r>
        <w:rPr>
          <w:rFonts w:hint="eastAsia" w:ascii="宋体" w:hAnsi="宋体" w:eastAsia="宋体" w:cs="宋体"/>
          <w:color w:val="000000"/>
          <w:kern w:val="0"/>
          <w:sz w:val="24"/>
          <w:szCs w:val="24"/>
        </w:rPr>
        <w:t>.1 工程质量标准必须符合现行国家有关工程施工质量验收规范和标准的要求。有关工程质量的特殊标准或要求由合同当事人在专用合同条款中约定。</w:t>
      </w:r>
    </w:p>
    <w:p w14:paraId="666D3D9D">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5.1.2 因发包人原因造成工程质量未达到合同约定标准的，由发包人承担由此增加的费用和（或）延误的工期。</w:t>
      </w:r>
    </w:p>
    <w:p w14:paraId="322A1C2F">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5.1.3 因承包人原因造成工程质量未达到合同约定标准的，发包人有权要求承包人返工直至工程质量达到合同约定的标准为止，并由承包人承担由此增加的费用和（或）延误的工期。</w:t>
      </w:r>
    </w:p>
    <w:p w14:paraId="20A16C24">
      <w:pPr>
        <w:pStyle w:val="6"/>
        <w:spacing w:before="0" w:after="0" w:line="240" w:lineRule="auto"/>
        <w:ind w:firstLine="480" w:firstLineChars="200"/>
        <w:rPr>
          <w:rFonts w:hint="eastAsia" w:ascii="宋体" w:hAnsi="宋体" w:eastAsia="宋体" w:cs="宋体"/>
          <w:b w:val="0"/>
          <w:color w:val="000000"/>
          <w:sz w:val="24"/>
          <w:szCs w:val="24"/>
        </w:rPr>
      </w:pPr>
      <w:bookmarkStart w:id="139" w:name="_Toc443898092"/>
      <w:r>
        <w:rPr>
          <w:rFonts w:hint="eastAsia" w:ascii="宋体" w:hAnsi="宋体" w:eastAsia="宋体" w:cs="宋体"/>
          <w:b w:val="0"/>
          <w:color w:val="000000"/>
          <w:sz w:val="24"/>
          <w:szCs w:val="24"/>
        </w:rPr>
        <w:t>5.2质</w:t>
      </w:r>
      <w:bookmarkStart w:id="140" w:name="_Toc337558760"/>
      <w:r>
        <w:rPr>
          <w:rFonts w:hint="eastAsia" w:ascii="宋体" w:hAnsi="宋体" w:eastAsia="宋体" w:cs="宋体"/>
          <w:b w:val="0"/>
          <w:color w:val="000000"/>
          <w:sz w:val="24"/>
          <w:szCs w:val="24"/>
        </w:rPr>
        <w:t>量保证措施</w:t>
      </w:r>
      <w:bookmarkEnd w:id="139"/>
    </w:p>
    <w:p w14:paraId="163700AB">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5.2</w:t>
      </w:r>
      <w:bookmarkEnd w:id="140"/>
      <w:r>
        <w:rPr>
          <w:rFonts w:hint="eastAsia" w:ascii="宋体" w:hAnsi="宋体" w:eastAsia="宋体" w:cs="宋体"/>
          <w:color w:val="000000"/>
          <w:kern w:val="0"/>
          <w:sz w:val="24"/>
          <w:szCs w:val="24"/>
        </w:rPr>
        <w:t>.1 发包人的质量管理</w:t>
      </w:r>
    </w:p>
    <w:p w14:paraId="24620565">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发包人应按照法律规定及合同约定完成与工程质量有关的各项工作。</w:t>
      </w:r>
    </w:p>
    <w:p w14:paraId="73117B64">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5.2.2 承包人的质量管理</w:t>
      </w:r>
    </w:p>
    <w:p w14:paraId="7268B686">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14:paraId="52C95358">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承包人应对施工人员进行质量教育和技术培训，定期考核施工人员的劳动技能，严格执行施工规范和操作规程。</w:t>
      </w:r>
    </w:p>
    <w:p w14:paraId="3A5404AE">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14:paraId="550CEBD5">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5.2.3 监理人的质量检查和检验</w:t>
      </w:r>
    </w:p>
    <w:p w14:paraId="3CF88A6A">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14:paraId="60C3DFFC">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14:paraId="675B906D">
      <w:pPr>
        <w:pStyle w:val="6"/>
        <w:spacing w:before="0" w:after="0" w:line="240" w:lineRule="auto"/>
        <w:ind w:firstLine="480" w:firstLineChars="200"/>
        <w:rPr>
          <w:rFonts w:hint="eastAsia" w:ascii="宋体" w:hAnsi="宋体" w:eastAsia="宋体" w:cs="宋体"/>
          <w:b w:val="0"/>
          <w:color w:val="000000"/>
          <w:sz w:val="24"/>
          <w:szCs w:val="24"/>
        </w:rPr>
      </w:pPr>
      <w:bookmarkStart w:id="141" w:name="_Toc443898093"/>
      <w:r>
        <w:rPr>
          <w:rFonts w:hint="eastAsia" w:ascii="宋体" w:hAnsi="宋体" w:eastAsia="宋体" w:cs="宋体"/>
          <w:b w:val="0"/>
          <w:color w:val="000000"/>
          <w:sz w:val="24"/>
          <w:szCs w:val="24"/>
        </w:rPr>
        <w:t xml:space="preserve">5.3 </w:t>
      </w:r>
      <w:bookmarkStart w:id="142" w:name="_Toc337558761"/>
      <w:r>
        <w:rPr>
          <w:rFonts w:hint="eastAsia" w:ascii="宋体" w:hAnsi="宋体" w:eastAsia="宋体" w:cs="宋体"/>
          <w:b w:val="0"/>
          <w:color w:val="000000"/>
          <w:sz w:val="24"/>
          <w:szCs w:val="24"/>
        </w:rPr>
        <w:t>隐蔽工程检查</w:t>
      </w:r>
      <w:bookmarkEnd w:id="141"/>
    </w:p>
    <w:p w14:paraId="23909E43">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5.3</w:t>
      </w:r>
      <w:bookmarkEnd w:id="142"/>
      <w:r>
        <w:rPr>
          <w:rFonts w:hint="eastAsia" w:ascii="宋体" w:hAnsi="宋体" w:eastAsia="宋体" w:cs="宋体"/>
          <w:color w:val="000000"/>
          <w:kern w:val="0"/>
          <w:sz w:val="24"/>
          <w:szCs w:val="24"/>
        </w:rPr>
        <w:t>.1承包人自检</w:t>
      </w:r>
    </w:p>
    <w:p w14:paraId="124D69B8">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承包人应当对工程隐蔽部位进行自检，并经自检确认是否具备覆盖条件。</w:t>
      </w:r>
    </w:p>
    <w:p w14:paraId="2B0048C0">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5.3.2检查程序</w:t>
      </w:r>
    </w:p>
    <w:p w14:paraId="2C50F89E">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除专用合同条款另有约定外，工程隐蔽部位经承包人自检确认具备覆盖条件的，承包人应在共同检查前</w:t>
      </w:r>
      <w:r>
        <w:rPr>
          <w:rFonts w:hint="eastAsia" w:ascii="宋体" w:hAnsi="宋体" w:eastAsia="宋体" w:cs="宋体"/>
          <w:color w:val="000000"/>
          <w:kern w:val="0"/>
          <w:sz w:val="24"/>
          <w:szCs w:val="24"/>
          <w:u w:val="single"/>
        </w:rPr>
        <w:t>48小时</w:t>
      </w:r>
      <w:r>
        <w:rPr>
          <w:rFonts w:hint="eastAsia" w:ascii="宋体" w:hAnsi="宋体" w:eastAsia="宋体" w:cs="宋体"/>
          <w:color w:val="000000"/>
          <w:kern w:val="0"/>
          <w:sz w:val="24"/>
          <w:szCs w:val="24"/>
        </w:rPr>
        <w:t>书面通知监理人检查，通知中应载明隐蔽检查的内容、时间和地点，并应附有自检记录和必要的检查资料。</w:t>
      </w:r>
    </w:p>
    <w:p w14:paraId="496C920C">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14:paraId="04503995">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除专用合同条款另有约定外，监理人不能按时进行检查的，应在检查前</w:t>
      </w:r>
      <w:r>
        <w:rPr>
          <w:rFonts w:hint="eastAsia" w:ascii="宋体" w:hAnsi="宋体" w:eastAsia="宋体" w:cs="宋体"/>
          <w:color w:val="000000"/>
          <w:kern w:val="0"/>
          <w:sz w:val="24"/>
          <w:szCs w:val="24"/>
          <w:u w:val="single"/>
        </w:rPr>
        <w:t>24小时</w:t>
      </w:r>
      <w:r>
        <w:rPr>
          <w:rFonts w:hint="eastAsia" w:ascii="宋体" w:hAnsi="宋体" w:eastAsia="宋体" w:cs="宋体"/>
          <w:color w:val="000000"/>
          <w:kern w:val="0"/>
          <w:sz w:val="24"/>
          <w:szCs w:val="24"/>
        </w:rPr>
        <w:t>向承包人提交书面延期要求，但延期不能超过</w:t>
      </w:r>
      <w:r>
        <w:rPr>
          <w:rFonts w:hint="eastAsia" w:ascii="宋体" w:hAnsi="宋体" w:eastAsia="宋体" w:cs="宋体"/>
          <w:color w:val="000000"/>
          <w:kern w:val="0"/>
          <w:sz w:val="24"/>
          <w:szCs w:val="24"/>
          <w:u w:val="single"/>
        </w:rPr>
        <w:t>48小时</w:t>
      </w:r>
      <w:r>
        <w:rPr>
          <w:rFonts w:hint="eastAsia" w:ascii="宋体" w:hAnsi="宋体" w:eastAsia="宋体" w:cs="宋体"/>
          <w:color w:val="000000"/>
          <w:kern w:val="0"/>
          <w:sz w:val="24"/>
          <w:szCs w:val="24"/>
        </w:rPr>
        <w:t>，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重新检查〕的约定重新检查。</w:t>
      </w:r>
    </w:p>
    <w:p w14:paraId="0385AA2E">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5.3.3 重新检查</w:t>
      </w:r>
    </w:p>
    <w:p w14:paraId="6A5A91E0">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经检查证明工程质量不符合合同要求的，由此增加的费用和（或）延误的工期由承包人承担。</w:t>
      </w:r>
    </w:p>
    <w:p w14:paraId="4F848B1F">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5.3.4 承包人私自覆盖</w:t>
      </w:r>
    </w:p>
    <w:p w14:paraId="69387898">
      <w:pPr>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kern w:val="0"/>
          <w:sz w:val="24"/>
          <w:szCs w:val="24"/>
        </w:rPr>
        <w:t>承包人未通知监理人到场检查，私自将工程隐蔽部位覆盖的，监理人有权指示承包人钻孔探测或揭开检查，无论工程隐蔽部位质量是否合格，由此增加的费用和（或）延误的工期均由承包人承担。</w:t>
      </w:r>
    </w:p>
    <w:p w14:paraId="3548DAE8">
      <w:pPr>
        <w:pStyle w:val="6"/>
        <w:spacing w:before="0" w:after="0" w:line="240" w:lineRule="auto"/>
        <w:ind w:firstLine="480" w:firstLineChars="200"/>
        <w:rPr>
          <w:rFonts w:hint="eastAsia" w:ascii="宋体" w:hAnsi="宋体" w:eastAsia="宋体" w:cs="宋体"/>
          <w:b w:val="0"/>
          <w:color w:val="000000"/>
          <w:sz w:val="24"/>
          <w:szCs w:val="24"/>
        </w:rPr>
      </w:pPr>
      <w:bookmarkStart w:id="143" w:name="_Toc443898094"/>
      <w:r>
        <w:rPr>
          <w:rFonts w:hint="eastAsia" w:ascii="宋体" w:hAnsi="宋体" w:eastAsia="宋体" w:cs="宋体"/>
          <w:b w:val="0"/>
          <w:color w:val="000000"/>
          <w:sz w:val="24"/>
          <w:szCs w:val="24"/>
        </w:rPr>
        <w:t>5.4不</w:t>
      </w:r>
      <w:bookmarkStart w:id="144" w:name="_Toc337558762"/>
      <w:r>
        <w:rPr>
          <w:rFonts w:hint="eastAsia" w:ascii="宋体" w:hAnsi="宋体" w:eastAsia="宋体" w:cs="宋体"/>
          <w:b w:val="0"/>
          <w:color w:val="000000"/>
          <w:sz w:val="24"/>
          <w:szCs w:val="24"/>
        </w:rPr>
        <w:t>合格工程的处理</w:t>
      </w:r>
      <w:bookmarkEnd w:id="143"/>
    </w:p>
    <w:p w14:paraId="0553428A">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5.4</w:t>
      </w:r>
      <w:bookmarkEnd w:id="144"/>
      <w:r>
        <w:rPr>
          <w:rFonts w:hint="eastAsia" w:ascii="宋体" w:hAnsi="宋体" w:eastAsia="宋体" w:cs="宋体"/>
          <w:color w:val="000000"/>
          <w:kern w:val="0"/>
          <w:sz w:val="24"/>
          <w:szCs w:val="24"/>
        </w:rPr>
        <w:t>.1 因承包人原因造成工程不合格的，发包人有权随时要求承包人采取补救措施，直至达到合同要求的质量标准，由此增加的费用和（或）延误的工期由承包人承担。无法补救的，按照第13.2.4项〔拒绝接收全部或部分工程〕约定执行。</w:t>
      </w:r>
    </w:p>
    <w:p w14:paraId="25D355BF">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5.4.2 因发包人原因造成工程不合格的，由此增加的费用和（或）延误的工期由发包人承担。</w:t>
      </w:r>
    </w:p>
    <w:p w14:paraId="187B3774">
      <w:pPr>
        <w:pStyle w:val="6"/>
        <w:spacing w:before="0" w:after="0" w:line="240" w:lineRule="auto"/>
        <w:ind w:firstLine="480" w:firstLineChars="200"/>
        <w:rPr>
          <w:rFonts w:hint="eastAsia" w:ascii="宋体" w:hAnsi="宋体" w:eastAsia="宋体" w:cs="宋体"/>
          <w:b w:val="0"/>
          <w:color w:val="000000"/>
          <w:sz w:val="24"/>
          <w:szCs w:val="24"/>
        </w:rPr>
      </w:pPr>
      <w:bookmarkStart w:id="145" w:name="_Toc443898095"/>
      <w:r>
        <w:rPr>
          <w:rFonts w:hint="eastAsia" w:ascii="宋体" w:hAnsi="宋体" w:eastAsia="宋体" w:cs="宋体"/>
          <w:b w:val="0"/>
          <w:color w:val="000000"/>
          <w:sz w:val="24"/>
          <w:szCs w:val="24"/>
        </w:rPr>
        <w:t>5.5 质量争议检测</w:t>
      </w:r>
      <w:bookmarkEnd w:id="145"/>
    </w:p>
    <w:p w14:paraId="0377DC8C">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合同当事人对工程质量有争议的，由双方协商确定的工程质量检测机构鉴定，由此产生的费用及因此造成的损失，由责任方承担。</w:t>
      </w:r>
    </w:p>
    <w:p w14:paraId="13010026">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合同当事人均有责任的，由双方根据其责任分别承担。合同当事人无法达成一致的，按照第4.4款〔商定或确定〕执行。</w:t>
      </w:r>
    </w:p>
    <w:p w14:paraId="4FEFCC73">
      <w:pPr>
        <w:pStyle w:val="5"/>
        <w:spacing w:before="0" w:after="0" w:line="240" w:lineRule="auto"/>
        <w:ind w:firstLine="480" w:firstLineChars="200"/>
        <w:rPr>
          <w:rFonts w:hint="eastAsia" w:ascii="宋体" w:hAnsi="宋体" w:eastAsia="宋体" w:cs="宋体"/>
          <w:b w:val="0"/>
          <w:color w:val="000000"/>
          <w:sz w:val="24"/>
          <w:szCs w:val="24"/>
        </w:rPr>
      </w:pPr>
      <w:bookmarkStart w:id="146" w:name="_Toc443898096"/>
      <w:r>
        <w:rPr>
          <w:rFonts w:hint="eastAsia" w:ascii="宋体" w:hAnsi="宋体" w:eastAsia="宋体" w:cs="宋体"/>
          <w:b w:val="0"/>
          <w:color w:val="000000"/>
          <w:sz w:val="24"/>
          <w:szCs w:val="24"/>
        </w:rPr>
        <w:t>6. 安</w:t>
      </w:r>
      <w:bookmarkStart w:id="147" w:name="_Toc337558763"/>
      <w:r>
        <w:rPr>
          <w:rFonts w:hint="eastAsia" w:ascii="宋体" w:hAnsi="宋体" w:eastAsia="宋体" w:cs="宋体"/>
          <w:b w:val="0"/>
          <w:color w:val="000000"/>
          <w:sz w:val="24"/>
          <w:szCs w:val="24"/>
        </w:rPr>
        <w:t>全文明施工与环境保护</w:t>
      </w:r>
      <w:bookmarkEnd w:id="146"/>
    </w:p>
    <w:p w14:paraId="483C7DD9">
      <w:pPr>
        <w:pStyle w:val="6"/>
        <w:spacing w:before="0" w:after="0" w:line="240" w:lineRule="auto"/>
        <w:ind w:firstLine="480" w:firstLineChars="200"/>
        <w:rPr>
          <w:rFonts w:hint="eastAsia" w:ascii="宋体" w:hAnsi="宋体" w:eastAsia="宋体" w:cs="宋体"/>
          <w:b w:val="0"/>
          <w:color w:val="000000"/>
          <w:sz w:val="24"/>
          <w:szCs w:val="24"/>
        </w:rPr>
      </w:pPr>
      <w:bookmarkStart w:id="148" w:name="_Toc443898097"/>
      <w:r>
        <w:rPr>
          <w:rFonts w:hint="eastAsia" w:ascii="宋体" w:hAnsi="宋体" w:eastAsia="宋体" w:cs="宋体"/>
          <w:b w:val="0"/>
          <w:color w:val="000000"/>
          <w:sz w:val="24"/>
          <w:szCs w:val="24"/>
        </w:rPr>
        <w:t>6.1</w:t>
      </w:r>
      <w:bookmarkEnd w:id="147"/>
      <w:r>
        <w:rPr>
          <w:rFonts w:hint="eastAsia" w:ascii="宋体" w:hAnsi="宋体" w:eastAsia="宋体" w:cs="宋体"/>
          <w:b w:val="0"/>
          <w:color w:val="000000"/>
          <w:sz w:val="24"/>
          <w:szCs w:val="24"/>
        </w:rPr>
        <w:t>安</w:t>
      </w:r>
      <w:bookmarkStart w:id="149" w:name="_Toc337558764"/>
      <w:r>
        <w:rPr>
          <w:rFonts w:hint="eastAsia" w:ascii="宋体" w:hAnsi="宋体" w:eastAsia="宋体" w:cs="宋体"/>
          <w:b w:val="0"/>
          <w:color w:val="000000"/>
          <w:sz w:val="24"/>
          <w:szCs w:val="24"/>
        </w:rPr>
        <w:t>全文明施工</w:t>
      </w:r>
      <w:bookmarkEnd w:id="148"/>
    </w:p>
    <w:p w14:paraId="7D0CA583">
      <w:pPr>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6.1</w:t>
      </w:r>
      <w:bookmarkEnd w:id="149"/>
      <w:r>
        <w:rPr>
          <w:rFonts w:hint="eastAsia" w:ascii="宋体" w:hAnsi="宋体" w:eastAsia="宋体" w:cs="宋体"/>
          <w:color w:val="000000"/>
          <w:sz w:val="24"/>
          <w:szCs w:val="24"/>
        </w:rPr>
        <w:t>.1安全生产要求</w:t>
      </w:r>
    </w:p>
    <w:p w14:paraId="2D6FEC7C">
      <w:pPr>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14:paraId="175C8A96">
      <w:pPr>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在施工过程中，如遇到突发的地质变动、事先未知的地下施工障碍等影响施工安全的紧急情况，承包人应及时报告监理人和发包人，发包人应当及时下令停工并报</w:t>
      </w:r>
      <w:r>
        <w:rPr>
          <w:rFonts w:hint="eastAsia" w:ascii="宋体" w:hAnsi="宋体" w:eastAsia="宋体" w:cs="宋体"/>
          <w:color w:val="000000"/>
          <w:kern w:val="0"/>
          <w:sz w:val="24"/>
          <w:szCs w:val="24"/>
        </w:rPr>
        <w:t>政府有关行政管理部门</w:t>
      </w:r>
      <w:r>
        <w:rPr>
          <w:rFonts w:hint="eastAsia" w:ascii="宋体" w:hAnsi="宋体" w:eastAsia="宋体" w:cs="宋体"/>
          <w:color w:val="000000"/>
          <w:sz w:val="24"/>
          <w:szCs w:val="24"/>
        </w:rPr>
        <w:t>采取应急措施。</w:t>
      </w:r>
    </w:p>
    <w:p w14:paraId="2E31F0B3">
      <w:pPr>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因安全生产需要暂停施工的，按照第7.8款〔暂停施工〕的约定执行。</w:t>
      </w:r>
    </w:p>
    <w:p w14:paraId="6563AD2C">
      <w:pPr>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6.1.2安全生产保证措施</w:t>
      </w:r>
    </w:p>
    <w:p w14:paraId="56489913">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sz w:val="24"/>
          <w:szCs w:val="24"/>
        </w:rPr>
        <w:t>承包人应当按照有关</w:t>
      </w:r>
      <w:r>
        <w:rPr>
          <w:rFonts w:hint="eastAsia" w:ascii="宋体" w:hAnsi="宋体" w:eastAsia="宋体" w:cs="宋体"/>
          <w:color w:val="000000"/>
          <w:kern w:val="0"/>
          <w:sz w:val="24"/>
          <w:szCs w:val="24"/>
        </w:rPr>
        <w:t>规定编制安全技术措施或者专项施工方案，</w:t>
      </w:r>
      <w:r>
        <w:rPr>
          <w:rFonts w:hint="eastAsia" w:ascii="宋体" w:hAnsi="宋体" w:eastAsia="宋体" w:cs="宋体"/>
          <w:color w:val="000000"/>
          <w:sz w:val="24"/>
          <w:szCs w:val="24"/>
        </w:rPr>
        <w:t>建立安全生产责任制度、治安保卫制度及安全生产教育培训制度，并</w:t>
      </w:r>
      <w:r>
        <w:rPr>
          <w:rFonts w:hint="eastAsia" w:ascii="宋体" w:hAnsi="宋体" w:eastAsia="宋体" w:cs="宋体"/>
          <w:color w:val="000000"/>
          <w:kern w:val="0"/>
          <w:sz w:val="24"/>
          <w:szCs w:val="24"/>
        </w:rPr>
        <w:t>按安全生产法律规定及合同约定履行安全职责，如实</w:t>
      </w:r>
      <w:r>
        <w:rPr>
          <w:rFonts w:hint="eastAsia" w:ascii="宋体" w:hAnsi="宋体" w:eastAsia="宋体" w:cs="宋体"/>
          <w:color w:val="000000"/>
          <w:sz w:val="24"/>
          <w:szCs w:val="24"/>
        </w:rPr>
        <w:t>编制工程安全生产的有关记录，</w:t>
      </w:r>
      <w:r>
        <w:rPr>
          <w:rFonts w:hint="eastAsia" w:ascii="宋体" w:hAnsi="宋体" w:eastAsia="宋体" w:cs="宋体"/>
          <w:color w:val="000000"/>
          <w:kern w:val="0"/>
          <w:sz w:val="24"/>
          <w:szCs w:val="24"/>
        </w:rPr>
        <w:t>接受发包人、监理人及政府安全监督部门的检查与监督。</w:t>
      </w:r>
    </w:p>
    <w:p w14:paraId="1607F7E6">
      <w:pPr>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6.1.3特别安全生产事项</w:t>
      </w:r>
    </w:p>
    <w:p w14:paraId="7675420F">
      <w:pPr>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507DC40E">
      <w:pPr>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承包人在动力设备、输电线路、地下管道、密封防震车间、易燃易爆地段以及临街交通要道附近施工时，施工开始前应向发包人和监理人提出安全防护措施，经发包人认可后实施。</w:t>
      </w:r>
    </w:p>
    <w:p w14:paraId="2CBB6E2E">
      <w:pPr>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实施爆破作业，在放射、毒害性环境中施工（含储存、运输、使用）及使用毒害性、腐蚀性物品施工时，承包人应在施工前</w:t>
      </w:r>
      <w:r>
        <w:rPr>
          <w:rFonts w:hint="eastAsia" w:ascii="宋体" w:hAnsi="宋体" w:eastAsia="宋体" w:cs="宋体"/>
          <w:color w:val="000000"/>
          <w:kern w:val="0"/>
          <w:sz w:val="24"/>
          <w:szCs w:val="24"/>
          <w:u w:val="single"/>
        </w:rPr>
        <w:t>14天</w:t>
      </w:r>
      <w:r>
        <w:rPr>
          <w:rFonts w:hint="eastAsia" w:ascii="宋体" w:hAnsi="宋体" w:eastAsia="宋体" w:cs="宋体"/>
          <w:color w:val="000000"/>
          <w:sz w:val="24"/>
          <w:szCs w:val="24"/>
        </w:rPr>
        <w:t>以书面通知发包人和监理人，并报送相应的安全防护措施，经发包人认可后实施。</w:t>
      </w:r>
    </w:p>
    <w:p w14:paraId="0B9031EC">
      <w:pPr>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需单独编制危险性较大分部分项专项工程施工方案的，及要求进行专家论证的超过一定规模的危险性较大的分部分项工程，承包人应及时编制和组织论证。</w:t>
      </w:r>
    </w:p>
    <w:p w14:paraId="0091B177">
      <w:pPr>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6.1.4治安保卫</w:t>
      </w:r>
    </w:p>
    <w:p w14:paraId="752FE9A1">
      <w:pPr>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除专用合同条款另有约定外，发包人应与当地公安部门协商，在现场建立治安管理机构或联防组织，统一管理施工场地的治安保卫事项，履行合同工程的治安保卫职责。</w:t>
      </w:r>
    </w:p>
    <w:p w14:paraId="6D7977F7">
      <w:pPr>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发包人和承包人除应协助现场治安管理机构或联防组织维护施工场地的社会治安外，还应做好包括生活区在内的各自管辖区的治安保卫工作。</w:t>
      </w:r>
    </w:p>
    <w:p w14:paraId="2D9D2977">
      <w:pPr>
        <w:ind w:firstLine="480" w:firstLineChars="200"/>
        <w:rPr>
          <w:rFonts w:hint="eastAsia" w:ascii="宋体" w:hAnsi="宋体" w:eastAsia="宋体" w:cs="宋体"/>
          <w:sz w:val="24"/>
          <w:szCs w:val="24"/>
        </w:rPr>
      </w:pPr>
      <w:r>
        <w:rPr>
          <w:rFonts w:hint="eastAsia" w:ascii="宋体" w:hAnsi="宋体" w:eastAsia="宋体" w:cs="宋体"/>
          <w:color w:val="000000"/>
          <w:sz w:val="24"/>
          <w:szCs w:val="24"/>
        </w:rPr>
        <w:t>除专用合同条款另有约定外，发包人和承包人应在工程开工后</w:t>
      </w:r>
      <w:r>
        <w:rPr>
          <w:rFonts w:hint="eastAsia" w:ascii="宋体" w:hAnsi="宋体" w:eastAsia="宋体" w:cs="宋体"/>
          <w:color w:val="000000"/>
          <w:kern w:val="0"/>
          <w:sz w:val="24"/>
          <w:szCs w:val="24"/>
          <w:u w:val="single"/>
        </w:rPr>
        <w:t>21天</w:t>
      </w:r>
      <w:r>
        <w:rPr>
          <w:rFonts w:hint="eastAsia" w:ascii="宋体" w:hAnsi="宋体" w:eastAsia="宋体" w:cs="宋体"/>
          <w:color w:val="000000"/>
          <w:sz w:val="24"/>
          <w:szCs w:val="24"/>
        </w:rPr>
        <w:t>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r>
        <w:rPr>
          <w:rFonts w:hint="eastAsia" w:ascii="宋体" w:hAnsi="宋体" w:eastAsia="宋体" w:cs="宋体"/>
          <w:sz w:val="24"/>
          <w:szCs w:val="24"/>
        </w:rPr>
        <w:t>若承包人未履行上述义务造成工程、财产、人身损害等，由承包人承担责任及因此所发生的一切费用及法律责任；</w:t>
      </w:r>
    </w:p>
    <w:p w14:paraId="346ED312">
      <w:pPr>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sz w:val="24"/>
          <w:szCs w:val="24"/>
        </w:rPr>
        <w:t>6.1.5文明施工</w:t>
      </w:r>
    </w:p>
    <w:p w14:paraId="0A2AF43A">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承包人在工程施工期间，应当采取措施保持施工现场平整，物料堆放整齐。工程所在地有关政府行政管理部门有特殊要求的，按照其要求执行。合同当事人对文明施工有其他要求的，可以在专用合同条款中明确。</w:t>
      </w:r>
    </w:p>
    <w:p w14:paraId="4654ED58">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3B91757A">
      <w:pPr>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sz w:val="24"/>
          <w:szCs w:val="24"/>
        </w:rPr>
        <w:t>6.1.6安全文明施工费</w:t>
      </w:r>
    </w:p>
    <w:p w14:paraId="0291E9E2">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安全文明施工费由发包人承担，除专用条款另有约定外，发包人不得以任何形式扣减该部分费用。因基准日期后合同所适用的法律或政府有关规定发生变化，由承包人提出法律依据，由此增加的安全文明施工费由发包人和承包人协商确定。</w:t>
      </w:r>
    </w:p>
    <w:p w14:paraId="000003C4">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14:paraId="78847F4A">
      <w:pPr>
        <w:autoSpaceDE w:val="0"/>
        <w:autoSpaceDN w:val="0"/>
        <w:adjustRightInd w:val="0"/>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发包人逾期支付安全文明施工费超过</w:t>
      </w:r>
      <w:r>
        <w:rPr>
          <w:rFonts w:hint="eastAsia" w:ascii="宋体" w:hAnsi="宋体" w:eastAsia="宋体" w:cs="宋体"/>
          <w:color w:val="000000"/>
          <w:kern w:val="0"/>
          <w:sz w:val="24"/>
          <w:szCs w:val="24"/>
          <w:u w:val="single"/>
        </w:rPr>
        <w:t>21天</w:t>
      </w:r>
      <w:r>
        <w:rPr>
          <w:rFonts w:hint="eastAsia" w:ascii="宋体" w:hAnsi="宋体" w:eastAsia="宋体" w:cs="宋体"/>
          <w:kern w:val="0"/>
          <w:sz w:val="24"/>
          <w:szCs w:val="24"/>
        </w:rPr>
        <w:t>的，承包人有权向发包人发出要求预付的催告通知，并按第16.1.1项〔发包人违约的情形〕执行。</w:t>
      </w:r>
    </w:p>
    <w:p w14:paraId="360C6900">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14:paraId="08B7E139">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6.1.7紧急情况处理</w:t>
      </w:r>
    </w:p>
    <w:p w14:paraId="0A1E6009">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14:paraId="2D17D0D6">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6.1.8事故处理</w:t>
      </w:r>
    </w:p>
    <w:p w14:paraId="2A88F5A8">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0A818211">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6.1.9安全生产责任</w:t>
      </w:r>
    </w:p>
    <w:p w14:paraId="45C53F37">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6.1.9.1 发包人的安全责任</w:t>
      </w:r>
    </w:p>
    <w:p w14:paraId="42B6B3A3">
      <w:pPr>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发包人应负责赔偿以下各种情况造成的损失：</w:t>
      </w:r>
    </w:p>
    <w:p w14:paraId="148E7C44">
      <w:pPr>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（1）工程或工程的任何部分对土地的占用所造成的第三者财产损失；</w:t>
      </w:r>
    </w:p>
    <w:p w14:paraId="463B770E">
      <w:pPr>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（2）由于发包人原因在施工场地及其毗邻地带造成的第三者人身伤亡和财产损失；</w:t>
      </w:r>
    </w:p>
    <w:p w14:paraId="515277AC">
      <w:pPr>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（3）由于发包人原因对承包人、监理人造成的人员人身伤亡和财产损失；</w:t>
      </w:r>
    </w:p>
    <w:p w14:paraId="7C43BFDA">
      <w:pPr>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（4）由于发包人原因造成的发包人自身人员的人身伤害以及财产损失。</w:t>
      </w:r>
    </w:p>
    <w:p w14:paraId="7D05D734">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6.1.9.2 承包人的安全责任</w:t>
      </w:r>
    </w:p>
    <w:p w14:paraId="4CF5F6C3">
      <w:pPr>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由于承包人原因在施工场地内及其毗邻地带造成的发包人、监理人以及第三者人员伤亡和财产损失，由承包人负责赔偿。</w:t>
      </w:r>
    </w:p>
    <w:p w14:paraId="386A57D1">
      <w:pPr>
        <w:pStyle w:val="6"/>
        <w:spacing w:before="0" w:after="0" w:line="240" w:lineRule="auto"/>
        <w:ind w:firstLine="480" w:firstLineChars="200"/>
        <w:rPr>
          <w:rFonts w:hint="eastAsia" w:ascii="宋体" w:hAnsi="宋体" w:eastAsia="宋体" w:cs="宋体"/>
          <w:b w:val="0"/>
          <w:color w:val="000000"/>
          <w:sz w:val="24"/>
          <w:szCs w:val="24"/>
        </w:rPr>
      </w:pPr>
      <w:bookmarkStart w:id="150" w:name="_Toc443898098"/>
      <w:r>
        <w:rPr>
          <w:rFonts w:hint="eastAsia" w:ascii="宋体" w:hAnsi="宋体" w:eastAsia="宋体" w:cs="宋体"/>
          <w:b w:val="0"/>
          <w:color w:val="000000"/>
          <w:sz w:val="24"/>
          <w:szCs w:val="24"/>
        </w:rPr>
        <w:t xml:space="preserve">6.2 </w:t>
      </w:r>
      <w:bookmarkStart w:id="151" w:name="_Toc337558765"/>
      <w:r>
        <w:rPr>
          <w:rFonts w:hint="eastAsia" w:ascii="宋体" w:hAnsi="宋体" w:eastAsia="宋体" w:cs="宋体"/>
          <w:b w:val="0"/>
          <w:color w:val="000000"/>
          <w:sz w:val="24"/>
          <w:szCs w:val="24"/>
        </w:rPr>
        <w:t>职业健康</w:t>
      </w:r>
      <w:bookmarkEnd w:id="150"/>
    </w:p>
    <w:p w14:paraId="308FB3C6">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6.2</w:t>
      </w:r>
      <w:bookmarkEnd w:id="151"/>
      <w:r>
        <w:rPr>
          <w:rFonts w:hint="eastAsia" w:ascii="宋体" w:hAnsi="宋体" w:eastAsia="宋体" w:cs="宋体"/>
          <w:color w:val="000000"/>
          <w:kern w:val="0"/>
          <w:sz w:val="24"/>
          <w:szCs w:val="24"/>
        </w:rPr>
        <w:t>.1 劳动保护</w:t>
      </w:r>
    </w:p>
    <w:p w14:paraId="4BF85B25">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14:paraId="08EBE0D6">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14:paraId="2CA96C2A">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承包人应按法律规定安排工作时间，保证其雇佣人员享有休息和休假的权利。因工程施工的特殊需要占用休假日或延长工作时间的，应不超过法律规定的限度，并按法律规定给予补休或付酬。</w:t>
      </w:r>
    </w:p>
    <w:p w14:paraId="57AAF2A3">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6.2.2 生活条件</w:t>
      </w:r>
    </w:p>
    <w:p w14:paraId="27A4AF6F">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14:paraId="51FF50A2">
      <w:pPr>
        <w:pStyle w:val="6"/>
        <w:spacing w:before="0" w:after="0" w:line="240" w:lineRule="auto"/>
        <w:ind w:firstLine="480" w:firstLineChars="200"/>
        <w:rPr>
          <w:rFonts w:hint="eastAsia" w:ascii="宋体" w:hAnsi="宋体" w:eastAsia="宋体" w:cs="宋体"/>
          <w:b w:val="0"/>
          <w:color w:val="000000"/>
          <w:sz w:val="24"/>
          <w:szCs w:val="24"/>
        </w:rPr>
      </w:pPr>
      <w:bookmarkStart w:id="152" w:name="_Toc443898099"/>
      <w:r>
        <w:rPr>
          <w:rFonts w:hint="eastAsia" w:ascii="宋体" w:hAnsi="宋体" w:eastAsia="宋体" w:cs="宋体"/>
          <w:b w:val="0"/>
          <w:color w:val="000000"/>
          <w:sz w:val="24"/>
          <w:szCs w:val="24"/>
        </w:rPr>
        <w:t xml:space="preserve">6.3 </w:t>
      </w:r>
      <w:bookmarkStart w:id="153" w:name="_Toc337558766"/>
      <w:r>
        <w:rPr>
          <w:rFonts w:hint="eastAsia" w:ascii="宋体" w:hAnsi="宋体" w:eastAsia="宋体" w:cs="宋体"/>
          <w:b w:val="0"/>
          <w:color w:val="000000"/>
          <w:sz w:val="24"/>
          <w:szCs w:val="24"/>
        </w:rPr>
        <w:t>环境保护</w:t>
      </w:r>
      <w:bookmarkEnd w:id="152"/>
    </w:p>
    <w:p w14:paraId="64AD9D43">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w:t>
      </w:r>
      <w:bookmarkEnd w:id="153"/>
      <w:r>
        <w:rPr>
          <w:rFonts w:hint="eastAsia" w:ascii="宋体" w:hAnsi="宋体" w:eastAsia="宋体" w:cs="宋体"/>
          <w:color w:val="000000"/>
          <w:kern w:val="0"/>
          <w:sz w:val="24"/>
          <w:szCs w:val="24"/>
        </w:rPr>
        <w:t>应在施工组织设计中列明环境保护的具体措施。在合同履行期间，承包人应采取合理措施保护施工现场环境。对施工作业过程中可能引起的大气、水、噪音以及固体废物污染采取具体可行的防范措施。</w:t>
      </w:r>
    </w:p>
    <w:p w14:paraId="5D3478D4">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承包人应当承担因其原因引起的环境污染侵权损害赔偿责任，因上述环境污染引起纠纷而导致暂停施工的，由此增加的费用和（或）延误的工期由承包人承担。</w:t>
      </w:r>
    </w:p>
    <w:p w14:paraId="019DC5CB">
      <w:pPr>
        <w:pStyle w:val="5"/>
        <w:spacing w:before="0" w:after="0" w:line="240" w:lineRule="auto"/>
        <w:ind w:firstLine="480" w:firstLineChars="200"/>
        <w:rPr>
          <w:rFonts w:hint="eastAsia" w:ascii="宋体" w:hAnsi="宋体" w:eastAsia="宋体" w:cs="宋体"/>
          <w:b w:val="0"/>
          <w:color w:val="000000"/>
          <w:sz w:val="24"/>
          <w:szCs w:val="24"/>
        </w:rPr>
      </w:pPr>
      <w:bookmarkStart w:id="154" w:name="_Toc443898100"/>
      <w:r>
        <w:rPr>
          <w:rFonts w:hint="eastAsia" w:ascii="宋体" w:hAnsi="宋体" w:eastAsia="宋体" w:cs="宋体"/>
          <w:b w:val="0"/>
          <w:color w:val="000000"/>
          <w:sz w:val="24"/>
          <w:szCs w:val="24"/>
        </w:rPr>
        <w:t>7. 工</w:t>
      </w:r>
      <w:bookmarkStart w:id="155" w:name="_Toc337558767"/>
      <w:r>
        <w:rPr>
          <w:rFonts w:hint="eastAsia" w:ascii="宋体" w:hAnsi="宋体" w:eastAsia="宋体" w:cs="宋体"/>
          <w:b w:val="0"/>
          <w:color w:val="000000"/>
          <w:sz w:val="24"/>
          <w:szCs w:val="24"/>
        </w:rPr>
        <w:t>期和进度</w:t>
      </w:r>
      <w:bookmarkEnd w:id="154"/>
    </w:p>
    <w:p w14:paraId="237C6A2D">
      <w:pPr>
        <w:pStyle w:val="6"/>
        <w:spacing w:before="0" w:after="0" w:line="240" w:lineRule="auto"/>
        <w:ind w:firstLine="480" w:firstLineChars="200"/>
        <w:rPr>
          <w:rFonts w:hint="eastAsia" w:ascii="宋体" w:hAnsi="宋体" w:eastAsia="宋体" w:cs="宋体"/>
          <w:b w:val="0"/>
          <w:color w:val="000000"/>
          <w:sz w:val="24"/>
          <w:szCs w:val="24"/>
        </w:rPr>
      </w:pPr>
      <w:bookmarkStart w:id="156" w:name="_Toc443898101"/>
      <w:r>
        <w:rPr>
          <w:rFonts w:hint="eastAsia" w:ascii="宋体" w:hAnsi="宋体" w:eastAsia="宋体" w:cs="宋体"/>
          <w:b w:val="0"/>
          <w:color w:val="000000"/>
          <w:sz w:val="24"/>
          <w:szCs w:val="24"/>
        </w:rPr>
        <w:t>7.1</w:t>
      </w:r>
      <w:bookmarkEnd w:id="155"/>
      <w:r>
        <w:rPr>
          <w:rFonts w:hint="eastAsia" w:ascii="宋体" w:hAnsi="宋体" w:eastAsia="宋体" w:cs="宋体"/>
          <w:b w:val="0"/>
          <w:color w:val="000000"/>
          <w:sz w:val="24"/>
          <w:szCs w:val="24"/>
        </w:rPr>
        <w:t>施</w:t>
      </w:r>
      <w:bookmarkStart w:id="157" w:name="_Toc337558768"/>
      <w:bookmarkStart w:id="158" w:name="_Toc296346567"/>
      <w:bookmarkStart w:id="159" w:name="_Toc296503066"/>
      <w:r>
        <w:rPr>
          <w:rFonts w:hint="eastAsia" w:ascii="宋体" w:hAnsi="宋体" w:eastAsia="宋体" w:cs="宋体"/>
          <w:b w:val="0"/>
          <w:color w:val="000000"/>
          <w:sz w:val="24"/>
          <w:szCs w:val="24"/>
        </w:rPr>
        <w:t>工组织设计</w:t>
      </w:r>
      <w:bookmarkEnd w:id="156"/>
    </w:p>
    <w:p w14:paraId="6E7B87BE">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sz w:val="24"/>
          <w:szCs w:val="24"/>
        </w:rPr>
        <w:t>7.1</w:t>
      </w:r>
      <w:bookmarkEnd w:id="157"/>
      <w:r>
        <w:rPr>
          <w:rFonts w:hint="eastAsia" w:ascii="宋体" w:hAnsi="宋体" w:eastAsia="宋体" w:cs="宋体"/>
          <w:sz w:val="24"/>
          <w:szCs w:val="24"/>
        </w:rPr>
        <w:t>.1</w:t>
      </w:r>
      <w:r>
        <w:rPr>
          <w:rFonts w:hint="eastAsia" w:ascii="宋体" w:hAnsi="宋体" w:eastAsia="宋体" w:cs="宋体"/>
          <w:color w:val="000000"/>
          <w:kern w:val="0"/>
          <w:sz w:val="24"/>
          <w:szCs w:val="24"/>
        </w:rPr>
        <w:t>施工组织设计的内容</w:t>
      </w:r>
    </w:p>
    <w:p w14:paraId="1D673D39">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施工组织设计应包含以下内容：</w:t>
      </w:r>
    </w:p>
    <w:p w14:paraId="4C796758">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（1）施工方案；</w:t>
      </w:r>
    </w:p>
    <w:p w14:paraId="4F00796F">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（2）施工现场平面布置图；</w:t>
      </w:r>
    </w:p>
    <w:p w14:paraId="413EC8D8">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（3）施工进度计划和保证措施；</w:t>
      </w:r>
    </w:p>
    <w:p w14:paraId="15AC826E">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（4）劳动力及材料供应计划；</w:t>
      </w:r>
    </w:p>
    <w:p w14:paraId="458941E4">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（5）施工机械设备的选用；</w:t>
      </w:r>
    </w:p>
    <w:p w14:paraId="18E982F9">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（6）质量保证体系及措施；</w:t>
      </w:r>
    </w:p>
    <w:p w14:paraId="4B2B9F94">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（7）安全生产、文明施工措施；</w:t>
      </w:r>
    </w:p>
    <w:p w14:paraId="0E6FD635">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（8）环境保护、成本控制措施；</w:t>
      </w:r>
    </w:p>
    <w:p w14:paraId="2D384E3A">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（9）合同当事人约定的其他内容。</w:t>
      </w:r>
    </w:p>
    <w:p w14:paraId="21712E75">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sz w:val="24"/>
          <w:szCs w:val="24"/>
        </w:rPr>
        <w:t>7.1.2</w:t>
      </w:r>
      <w:r>
        <w:rPr>
          <w:rFonts w:hint="eastAsia" w:ascii="宋体" w:hAnsi="宋体" w:eastAsia="宋体" w:cs="宋体"/>
          <w:color w:val="000000"/>
          <w:kern w:val="0"/>
          <w:sz w:val="24"/>
          <w:szCs w:val="24"/>
        </w:rPr>
        <w:t>施工组织设计的提交和修改</w:t>
      </w:r>
    </w:p>
    <w:p w14:paraId="0AAFF35F">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除专用合同条款另有约定外，承包人应在合同签订后</w:t>
      </w:r>
      <w:r>
        <w:rPr>
          <w:rFonts w:hint="eastAsia" w:ascii="宋体" w:hAnsi="宋体" w:eastAsia="宋体" w:cs="宋体"/>
          <w:color w:val="000000"/>
          <w:kern w:val="0"/>
          <w:sz w:val="24"/>
          <w:szCs w:val="24"/>
          <w:u w:val="single"/>
        </w:rPr>
        <w:t>14天</w:t>
      </w:r>
      <w:r>
        <w:rPr>
          <w:rFonts w:hint="eastAsia" w:ascii="宋体" w:hAnsi="宋体" w:eastAsia="宋体" w:cs="宋体"/>
          <w:color w:val="000000"/>
          <w:kern w:val="0"/>
          <w:sz w:val="24"/>
          <w:szCs w:val="24"/>
        </w:rPr>
        <w:t>内，但至迟不得晚于第7.3.2项〔开工通知〕载明的开工日期前</w:t>
      </w:r>
      <w:r>
        <w:rPr>
          <w:rFonts w:hint="eastAsia" w:ascii="宋体" w:hAnsi="宋体" w:eastAsia="宋体" w:cs="宋体"/>
          <w:color w:val="000000"/>
          <w:kern w:val="0"/>
          <w:sz w:val="24"/>
          <w:szCs w:val="24"/>
          <w:u w:val="single"/>
        </w:rPr>
        <w:t>7天</w:t>
      </w:r>
      <w:r>
        <w:rPr>
          <w:rFonts w:hint="eastAsia" w:ascii="宋体" w:hAnsi="宋体" w:eastAsia="宋体" w:cs="宋体"/>
          <w:color w:val="000000"/>
          <w:kern w:val="0"/>
          <w:sz w:val="24"/>
          <w:szCs w:val="24"/>
        </w:rPr>
        <w:t>，向监理人提交详细的施工组织设计，并由监理人报送发包人。除专用合同条款另有约定外，发包人和监理人应在监理人收到施工组织设计后</w:t>
      </w:r>
      <w:r>
        <w:rPr>
          <w:rFonts w:hint="eastAsia" w:ascii="宋体" w:hAnsi="宋体" w:eastAsia="宋体" w:cs="宋体"/>
          <w:color w:val="000000"/>
          <w:kern w:val="0"/>
          <w:sz w:val="24"/>
          <w:szCs w:val="24"/>
          <w:u w:val="single"/>
        </w:rPr>
        <w:t>21天</w:t>
      </w:r>
      <w:r>
        <w:rPr>
          <w:rFonts w:hint="eastAsia" w:ascii="宋体" w:hAnsi="宋体" w:eastAsia="宋体" w:cs="宋体"/>
          <w:color w:val="000000"/>
          <w:kern w:val="0"/>
          <w:sz w:val="24"/>
          <w:szCs w:val="24"/>
        </w:rPr>
        <w:t>内确认或提出修改意见。对发包人和监理人提出的合理意见和要求，承包人应自费修改完善。根据工程实际情况需要修改施工组织设计的，承包人应向发包人和监理人提交修改后的施工组织设计。</w:t>
      </w:r>
    </w:p>
    <w:p w14:paraId="45E8E058">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施工进度计划的编制和修改按照第7.2款〔施工进度计划〕执行。</w:t>
      </w:r>
    </w:p>
    <w:p w14:paraId="0B689D8F">
      <w:pPr>
        <w:pStyle w:val="6"/>
        <w:spacing w:before="0" w:after="0" w:line="240" w:lineRule="auto"/>
        <w:ind w:firstLine="480" w:firstLineChars="200"/>
        <w:rPr>
          <w:rFonts w:hint="eastAsia" w:ascii="宋体" w:hAnsi="宋体" w:eastAsia="宋体" w:cs="宋体"/>
          <w:b w:val="0"/>
          <w:color w:val="000000"/>
          <w:sz w:val="24"/>
          <w:szCs w:val="24"/>
        </w:rPr>
      </w:pPr>
      <w:bookmarkStart w:id="160" w:name="_Toc443898102"/>
      <w:r>
        <w:rPr>
          <w:rFonts w:hint="eastAsia" w:ascii="宋体" w:hAnsi="宋体" w:eastAsia="宋体" w:cs="宋体"/>
          <w:b w:val="0"/>
          <w:color w:val="000000"/>
          <w:sz w:val="24"/>
          <w:szCs w:val="24"/>
        </w:rPr>
        <w:t xml:space="preserve">7.2 </w:t>
      </w:r>
      <w:bookmarkStart w:id="161" w:name="_Toc337558769"/>
      <w:r>
        <w:rPr>
          <w:rFonts w:hint="eastAsia" w:ascii="宋体" w:hAnsi="宋体" w:eastAsia="宋体" w:cs="宋体"/>
          <w:b w:val="0"/>
          <w:color w:val="000000"/>
          <w:sz w:val="24"/>
          <w:szCs w:val="24"/>
        </w:rPr>
        <w:t>施工进度计划</w:t>
      </w:r>
      <w:bookmarkEnd w:id="160"/>
    </w:p>
    <w:p w14:paraId="363F11CC">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7.2</w:t>
      </w:r>
      <w:bookmarkEnd w:id="161"/>
      <w:r>
        <w:rPr>
          <w:rFonts w:hint="eastAsia" w:ascii="宋体" w:hAnsi="宋体" w:eastAsia="宋体" w:cs="宋体"/>
          <w:color w:val="000000"/>
          <w:kern w:val="0"/>
          <w:sz w:val="24"/>
          <w:szCs w:val="24"/>
        </w:rPr>
        <w:t>.1 施工进度计划的编制</w:t>
      </w:r>
    </w:p>
    <w:p w14:paraId="0116173D">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14:paraId="26132F51">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sz w:val="24"/>
          <w:szCs w:val="24"/>
        </w:rPr>
        <w:t>7.2.2 施工进度计划的修订</w:t>
      </w:r>
    </w:p>
    <w:p w14:paraId="47D9252E">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w:t>
      </w:r>
      <w:r>
        <w:rPr>
          <w:rFonts w:hint="eastAsia" w:ascii="宋体" w:hAnsi="宋体" w:eastAsia="宋体" w:cs="宋体"/>
          <w:color w:val="000000"/>
          <w:kern w:val="0"/>
          <w:sz w:val="24"/>
          <w:szCs w:val="24"/>
          <w:u w:val="single"/>
        </w:rPr>
        <w:t>21天</w:t>
      </w:r>
      <w:r>
        <w:rPr>
          <w:rFonts w:hint="eastAsia" w:ascii="宋体" w:hAnsi="宋体" w:eastAsia="宋体" w:cs="宋体"/>
          <w:color w:val="000000"/>
          <w:kern w:val="0"/>
          <w:sz w:val="24"/>
          <w:szCs w:val="24"/>
        </w:rPr>
        <w:t>内完成审核和批准或提出修改意见。发包人和监理人对承包人提交的施工进度计划的确认，不能减轻或免除承包人根据法律规定和合同约定应承担的任何责任或义务。</w:t>
      </w:r>
    </w:p>
    <w:p w14:paraId="2E5650BF">
      <w:pPr>
        <w:pStyle w:val="6"/>
        <w:spacing w:before="0" w:after="0" w:line="240" w:lineRule="auto"/>
        <w:ind w:firstLine="480" w:firstLineChars="200"/>
        <w:rPr>
          <w:rFonts w:hint="eastAsia" w:ascii="宋体" w:hAnsi="宋体" w:eastAsia="宋体" w:cs="宋体"/>
          <w:b w:val="0"/>
          <w:color w:val="000000"/>
          <w:sz w:val="24"/>
          <w:szCs w:val="24"/>
        </w:rPr>
      </w:pPr>
      <w:bookmarkStart w:id="162" w:name="_Toc443898103"/>
      <w:r>
        <w:rPr>
          <w:rFonts w:hint="eastAsia" w:ascii="宋体" w:hAnsi="宋体" w:eastAsia="宋体" w:cs="宋体"/>
          <w:b w:val="0"/>
          <w:color w:val="000000"/>
          <w:sz w:val="24"/>
          <w:szCs w:val="24"/>
        </w:rPr>
        <w:t xml:space="preserve">7.3 </w:t>
      </w:r>
      <w:bookmarkStart w:id="163" w:name="_Toc337558770"/>
      <w:r>
        <w:rPr>
          <w:rFonts w:hint="eastAsia" w:ascii="宋体" w:hAnsi="宋体" w:eastAsia="宋体" w:cs="宋体"/>
          <w:b w:val="0"/>
          <w:color w:val="000000"/>
          <w:sz w:val="24"/>
          <w:szCs w:val="24"/>
        </w:rPr>
        <w:t>开工</w:t>
      </w:r>
      <w:bookmarkEnd w:id="162"/>
    </w:p>
    <w:p w14:paraId="39037F1E">
      <w:pPr>
        <w:ind w:firstLine="480" w:firstLineChars="200"/>
        <w:rPr>
          <w:rFonts w:hint="eastAsia" w:ascii="宋体" w:hAnsi="宋体" w:eastAsia="宋体" w:cs="宋体"/>
          <w:color w:val="000000"/>
          <w:sz w:val="24"/>
          <w:szCs w:val="24"/>
        </w:rPr>
      </w:pPr>
      <w:r>
        <w:rPr>
          <w:rFonts w:hint="eastAsia" w:ascii="宋体" w:hAnsi="宋体" w:eastAsia="宋体" w:cs="宋体"/>
          <w:color w:val="000000"/>
          <w:kern w:val="0"/>
          <w:sz w:val="24"/>
          <w:szCs w:val="24"/>
        </w:rPr>
        <w:t>7.3.1 开工准备</w:t>
      </w:r>
    </w:p>
    <w:p w14:paraId="375272B9">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7F65183F">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除专用合同条款另有约定外，合同当事人应按约定完成开工准备工作。</w:t>
      </w:r>
    </w:p>
    <w:p w14:paraId="09EB4F06">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7.3.2 开工通知</w:t>
      </w:r>
    </w:p>
    <w:p w14:paraId="1F8B5152">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w:t>
      </w:r>
      <w:bookmarkEnd w:id="163"/>
      <w:r>
        <w:rPr>
          <w:rFonts w:hint="eastAsia" w:ascii="宋体" w:hAnsi="宋体" w:eastAsia="宋体" w:cs="宋体"/>
          <w:color w:val="000000"/>
          <w:kern w:val="0"/>
          <w:sz w:val="24"/>
          <w:szCs w:val="24"/>
        </w:rPr>
        <w:t>应按照法律规定获得工程施工所需的许可。经发包人同意后，监理人发出的开工通知应符合法律规定。监理人应在计划开工日期</w:t>
      </w:r>
      <w:r>
        <w:rPr>
          <w:rFonts w:hint="eastAsia" w:ascii="宋体" w:hAnsi="宋体" w:eastAsia="宋体" w:cs="宋体"/>
          <w:color w:val="000000"/>
          <w:kern w:val="0"/>
          <w:sz w:val="24"/>
          <w:szCs w:val="24"/>
          <w:u w:val="single"/>
        </w:rPr>
        <w:t>7天</w:t>
      </w:r>
      <w:r>
        <w:rPr>
          <w:rFonts w:hint="eastAsia" w:ascii="宋体" w:hAnsi="宋体" w:eastAsia="宋体" w:cs="宋体"/>
          <w:color w:val="000000"/>
          <w:kern w:val="0"/>
          <w:sz w:val="24"/>
          <w:szCs w:val="24"/>
        </w:rPr>
        <w:t>前向承包人发出开工通知，工期自开工通知中载明的开工日期起算。</w:t>
      </w:r>
    </w:p>
    <w:p w14:paraId="326C30D0">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除专用合同条款另有约定外，因发包人原因造成监理人未能在计划开工日期之日起</w:t>
      </w:r>
      <w:r>
        <w:rPr>
          <w:rFonts w:hint="eastAsia" w:ascii="宋体" w:hAnsi="宋体" w:eastAsia="宋体" w:cs="宋体"/>
          <w:color w:val="000000"/>
          <w:kern w:val="0"/>
          <w:sz w:val="24"/>
          <w:szCs w:val="24"/>
          <w:u w:val="single"/>
        </w:rPr>
        <w:t>90天</w:t>
      </w:r>
      <w:r>
        <w:rPr>
          <w:rFonts w:hint="eastAsia" w:ascii="宋体" w:hAnsi="宋体" w:eastAsia="宋体" w:cs="宋体"/>
          <w:color w:val="000000"/>
          <w:kern w:val="0"/>
          <w:sz w:val="24"/>
          <w:szCs w:val="24"/>
        </w:rPr>
        <w:t>内发出开工通知的，承包人有权提出价格调整要求，或者解除合同。发包人应当承担由此延误的工期。</w:t>
      </w:r>
    </w:p>
    <w:p w14:paraId="52020259">
      <w:pPr>
        <w:pStyle w:val="6"/>
        <w:spacing w:before="0" w:after="0" w:line="240" w:lineRule="auto"/>
        <w:ind w:firstLine="480" w:firstLineChars="200"/>
        <w:rPr>
          <w:rFonts w:hint="eastAsia" w:ascii="宋体" w:hAnsi="宋体" w:eastAsia="宋体" w:cs="宋体"/>
          <w:b w:val="0"/>
          <w:color w:val="000000"/>
          <w:sz w:val="24"/>
          <w:szCs w:val="24"/>
        </w:rPr>
      </w:pPr>
      <w:bookmarkStart w:id="164" w:name="_Toc443898104"/>
      <w:r>
        <w:rPr>
          <w:rFonts w:hint="eastAsia" w:ascii="宋体" w:hAnsi="宋体" w:eastAsia="宋体" w:cs="宋体"/>
          <w:b w:val="0"/>
          <w:color w:val="000000"/>
          <w:sz w:val="24"/>
          <w:szCs w:val="24"/>
        </w:rPr>
        <w:t>7.4测量放线</w:t>
      </w:r>
      <w:bookmarkEnd w:id="164"/>
    </w:p>
    <w:p w14:paraId="2E0CB8EC">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7.4.1 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14:paraId="19E6288D">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14:paraId="215F5BF0">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7.4.2 承包人负责施工过程中的全部施工测量放线工作，并配置具有相应资质的人员、合格的仪器、设备和其他物品。承包人应矫正工程的位置、标高、尺寸或准线中出现的任何差错，并对工程各部分的定位负责。</w:t>
      </w:r>
    </w:p>
    <w:p w14:paraId="1E91025E">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施工过程中对施工现场内水准点等测量标志物的保护工作由承包人负责。</w:t>
      </w:r>
    </w:p>
    <w:p w14:paraId="02586DAE">
      <w:pPr>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承包人应向后续工程施工单位提供保存完好的一切基准点、基准线和其他有关的标志。</w:t>
      </w:r>
    </w:p>
    <w:p w14:paraId="203350CE">
      <w:pPr>
        <w:pStyle w:val="6"/>
        <w:spacing w:before="0" w:after="0" w:line="240" w:lineRule="auto"/>
        <w:ind w:firstLine="480" w:firstLineChars="200"/>
        <w:rPr>
          <w:rFonts w:hint="eastAsia" w:ascii="宋体" w:hAnsi="宋体" w:eastAsia="宋体" w:cs="宋体"/>
          <w:b w:val="0"/>
          <w:color w:val="000000"/>
          <w:sz w:val="24"/>
          <w:szCs w:val="24"/>
        </w:rPr>
      </w:pPr>
      <w:bookmarkStart w:id="165" w:name="_Toc443898105"/>
      <w:r>
        <w:rPr>
          <w:rFonts w:hint="eastAsia" w:ascii="宋体" w:hAnsi="宋体" w:eastAsia="宋体" w:cs="宋体"/>
          <w:b w:val="0"/>
          <w:color w:val="000000"/>
          <w:sz w:val="24"/>
          <w:szCs w:val="24"/>
        </w:rPr>
        <w:t>7.5</w:t>
      </w:r>
      <w:bookmarkEnd w:id="158"/>
      <w:bookmarkEnd w:id="159"/>
      <w:bookmarkStart w:id="166" w:name="_Toc296503073"/>
      <w:bookmarkStart w:id="167" w:name="_Toc296346574"/>
      <w:bookmarkStart w:id="168" w:name="_Toc337558772"/>
      <w:r>
        <w:rPr>
          <w:rFonts w:hint="eastAsia" w:ascii="宋体" w:hAnsi="宋体" w:eastAsia="宋体" w:cs="宋体"/>
          <w:b w:val="0"/>
          <w:color w:val="000000"/>
          <w:sz w:val="24"/>
          <w:szCs w:val="24"/>
        </w:rPr>
        <w:t>工期延误</w:t>
      </w:r>
      <w:bookmarkEnd w:id="165"/>
    </w:p>
    <w:p w14:paraId="045C74DB">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7.5</w:t>
      </w:r>
      <w:bookmarkEnd w:id="166"/>
      <w:bookmarkEnd w:id="167"/>
      <w:bookmarkEnd w:id="168"/>
      <w:r>
        <w:rPr>
          <w:rFonts w:hint="eastAsia" w:ascii="宋体" w:hAnsi="宋体" w:eastAsia="宋体" w:cs="宋体"/>
          <w:color w:val="000000"/>
          <w:kern w:val="0"/>
          <w:sz w:val="24"/>
          <w:szCs w:val="24"/>
        </w:rPr>
        <w:t>.1 因发包人原因导致工期延误</w:t>
      </w:r>
    </w:p>
    <w:p w14:paraId="22A985B6">
      <w:pPr>
        <w:ind w:firstLine="480" w:firstLineChars="200"/>
        <w:jc w:val="left"/>
        <w:rPr>
          <w:rFonts w:hint="eastAsia" w:ascii="宋体" w:hAnsi="宋体" w:eastAsia="宋体" w:cs="宋体"/>
          <w:strike/>
          <w:color w:val="000000"/>
          <w:kern w:val="0"/>
          <w:sz w:val="24"/>
          <w:szCs w:val="24"/>
        </w:rPr>
      </w:pPr>
      <w:r>
        <w:rPr>
          <w:rFonts w:hint="eastAsia" w:ascii="宋体" w:hAnsi="宋体" w:eastAsia="宋体" w:cs="宋体"/>
          <w:color w:val="000000"/>
          <w:kern w:val="0"/>
          <w:sz w:val="24"/>
          <w:szCs w:val="24"/>
        </w:rPr>
        <w:t>在合同履行过程中，因下列情况导致工期延误和（或）费用增加的，由发包人承担由此延误的工期：</w:t>
      </w:r>
    </w:p>
    <w:p w14:paraId="1DA2D9D1">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（1）发包人未能按合同约定提供图纸或所提供图纸不符合合同约定的；</w:t>
      </w:r>
    </w:p>
    <w:p w14:paraId="43394498">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（2）发包人未能按合同约定提供施工现场、施工条件、基础资料、许可、批准等开工条件的；</w:t>
      </w:r>
    </w:p>
    <w:p w14:paraId="62FD5062">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（3）发包人提供的测量基准点、基准线和水准点及其书面资料存在错误或疏漏的；</w:t>
      </w:r>
    </w:p>
    <w:p w14:paraId="6BC53AA3">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（4）发包人未能在计划开工日期之日起</w:t>
      </w:r>
      <w:r>
        <w:rPr>
          <w:rFonts w:hint="eastAsia" w:ascii="宋体" w:hAnsi="宋体" w:eastAsia="宋体" w:cs="宋体"/>
          <w:color w:val="000000"/>
          <w:kern w:val="0"/>
          <w:sz w:val="24"/>
          <w:szCs w:val="24"/>
          <w:u w:val="single"/>
        </w:rPr>
        <w:t>21天</w:t>
      </w:r>
      <w:r>
        <w:rPr>
          <w:rFonts w:hint="eastAsia" w:ascii="宋体" w:hAnsi="宋体" w:eastAsia="宋体" w:cs="宋体"/>
          <w:color w:val="000000"/>
          <w:kern w:val="0"/>
          <w:sz w:val="24"/>
          <w:szCs w:val="24"/>
        </w:rPr>
        <w:t>内同意下达开工通知的；</w:t>
      </w:r>
    </w:p>
    <w:p w14:paraId="28934EA8">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（5）发包人未能按合同约定日期支付工程预付款、进度款或竣工结算款的；</w:t>
      </w:r>
    </w:p>
    <w:p w14:paraId="3E4C6F24">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（6）监理人未按合同约定发出指示、批准等文件的；</w:t>
      </w:r>
    </w:p>
    <w:p w14:paraId="37029ABE">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（7）专用合同条款中约定的其他情形。</w:t>
      </w:r>
    </w:p>
    <w:p w14:paraId="66E27609">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14:paraId="0F8A6D84">
      <w:pPr>
        <w:autoSpaceDE w:val="0"/>
        <w:autoSpaceDN w:val="0"/>
        <w:adjustRightInd w:val="0"/>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kern w:val="0"/>
          <w:sz w:val="24"/>
          <w:szCs w:val="24"/>
        </w:rPr>
        <w:t>7.5.2 因承包人原因导致工期延误</w:t>
      </w:r>
    </w:p>
    <w:p w14:paraId="33B816CD">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因承包</w:t>
      </w:r>
      <w:bookmarkStart w:id="169" w:name="_Toc296346577"/>
      <w:bookmarkStart w:id="170" w:name="_Toc296503076"/>
      <w:r>
        <w:rPr>
          <w:rFonts w:hint="eastAsia" w:ascii="宋体" w:hAnsi="宋体" w:eastAsia="宋体" w:cs="宋体"/>
          <w:color w:val="000000"/>
          <w:kern w:val="0"/>
          <w:sz w:val="24"/>
          <w:szCs w:val="24"/>
        </w:rPr>
        <w:t>人</w:t>
      </w:r>
      <w:bookmarkEnd w:id="169"/>
      <w:bookmarkEnd w:id="170"/>
      <w:r>
        <w:rPr>
          <w:rFonts w:hint="eastAsia" w:ascii="宋体" w:hAnsi="宋体" w:eastAsia="宋体" w:cs="宋体"/>
          <w:color w:val="000000"/>
          <w:kern w:val="0"/>
          <w:sz w:val="24"/>
          <w:szCs w:val="24"/>
        </w:rPr>
        <w:t>原因造成工期延误的，可以在专用合同条款中约定逾期竣工违约金的计算方法和逾期竣工违约金的上限。承包人支付逾期竣工违约金后，不免除承包人继续完成工程及修补缺陷的义务。</w:t>
      </w:r>
    </w:p>
    <w:p w14:paraId="1CD47C43">
      <w:pPr>
        <w:pStyle w:val="6"/>
        <w:spacing w:before="0" w:after="0" w:line="240" w:lineRule="auto"/>
        <w:ind w:firstLine="480" w:firstLineChars="200"/>
        <w:rPr>
          <w:rFonts w:hint="eastAsia" w:ascii="宋体" w:hAnsi="宋体" w:eastAsia="宋体" w:cs="宋体"/>
          <w:b w:val="0"/>
          <w:color w:val="000000"/>
          <w:sz w:val="24"/>
          <w:szCs w:val="24"/>
        </w:rPr>
      </w:pPr>
      <w:bookmarkStart w:id="171" w:name="_Toc443898106"/>
      <w:r>
        <w:rPr>
          <w:rFonts w:hint="eastAsia" w:ascii="宋体" w:hAnsi="宋体" w:eastAsia="宋体" w:cs="宋体"/>
          <w:b w:val="0"/>
          <w:color w:val="000000"/>
          <w:sz w:val="24"/>
          <w:szCs w:val="24"/>
        </w:rPr>
        <w:t>7.6</w:t>
      </w:r>
      <w:bookmarkStart w:id="172" w:name="_Toc337558773"/>
      <w:bookmarkStart w:id="173" w:name="_Toc296346575"/>
      <w:bookmarkStart w:id="174" w:name="_Toc296503074"/>
      <w:bookmarkStart w:id="175" w:name="_Toc296503077"/>
      <w:bookmarkStart w:id="176" w:name="_Toc296346578"/>
      <w:r>
        <w:rPr>
          <w:rFonts w:hint="eastAsia" w:ascii="宋体" w:hAnsi="宋体" w:eastAsia="宋体" w:cs="宋体"/>
          <w:b w:val="0"/>
          <w:color w:val="000000"/>
          <w:sz w:val="24"/>
          <w:szCs w:val="24"/>
        </w:rPr>
        <w:t>不利物质条件</w:t>
      </w:r>
      <w:bookmarkEnd w:id="171"/>
    </w:p>
    <w:p w14:paraId="04E40C19">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不利物</w:t>
      </w:r>
      <w:bookmarkEnd w:id="172"/>
      <w:bookmarkEnd w:id="173"/>
      <w:bookmarkEnd w:id="174"/>
      <w:r>
        <w:rPr>
          <w:rFonts w:hint="eastAsia" w:ascii="宋体" w:hAnsi="宋体" w:eastAsia="宋体" w:cs="宋体"/>
          <w:color w:val="000000"/>
          <w:kern w:val="0"/>
          <w:sz w:val="24"/>
          <w:szCs w:val="24"/>
        </w:rPr>
        <w:t>质条件是指有经验的承包人在施工现场遇到的不可预见的自然物质条件、非自然的物质障碍和污染物，包括地表以下物质条件和水文条件以及专用合同条款约定的其他情形，但不包括气候条件。</w:t>
      </w:r>
    </w:p>
    <w:p w14:paraId="2750C413">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14:paraId="2C82004C">
      <w:pPr>
        <w:pStyle w:val="6"/>
        <w:spacing w:before="0" w:after="0" w:line="240" w:lineRule="auto"/>
        <w:ind w:firstLine="480" w:firstLineChars="200"/>
        <w:rPr>
          <w:rFonts w:hint="eastAsia" w:ascii="宋体" w:hAnsi="宋体" w:eastAsia="宋体" w:cs="宋体"/>
          <w:b w:val="0"/>
          <w:color w:val="000000"/>
          <w:sz w:val="24"/>
          <w:szCs w:val="24"/>
        </w:rPr>
      </w:pPr>
      <w:bookmarkStart w:id="177" w:name="_Toc443898107"/>
      <w:r>
        <w:rPr>
          <w:rFonts w:hint="eastAsia" w:ascii="宋体" w:hAnsi="宋体" w:eastAsia="宋体" w:cs="宋体"/>
          <w:b w:val="0"/>
          <w:color w:val="000000"/>
          <w:sz w:val="24"/>
          <w:szCs w:val="24"/>
        </w:rPr>
        <w:t>7.7</w:t>
      </w:r>
      <w:bookmarkStart w:id="178" w:name="_Toc337558774"/>
      <w:bookmarkStart w:id="179" w:name="_Toc296503075"/>
      <w:bookmarkStart w:id="180" w:name="_Toc296346576"/>
      <w:r>
        <w:rPr>
          <w:rFonts w:hint="eastAsia" w:ascii="宋体" w:hAnsi="宋体" w:eastAsia="宋体" w:cs="宋体"/>
          <w:b w:val="0"/>
          <w:color w:val="000000"/>
          <w:sz w:val="24"/>
          <w:szCs w:val="24"/>
        </w:rPr>
        <w:t>异常恶劣的气候条件</w:t>
      </w:r>
      <w:bookmarkEnd w:id="177"/>
    </w:p>
    <w:p w14:paraId="1E9FBEBD">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异常恶</w:t>
      </w:r>
      <w:bookmarkEnd w:id="178"/>
      <w:bookmarkEnd w:id="179"/>
      <w:bookmarkEnd w:id="180"/>
      <w:r>
        <w:rPr>
          <w:rFonts w:hint="eastAsia" w:ascii="宋体" w:hAnsi="宋体" w:eastAsia="宋体" w:cs="宋体"/>
          <w:color w:val="000000"/>
          <w:kern w:val="0"/>
          <w:sz w:val="24"/>
          <w:szCs w:val="24"/>
        </w:rPr>
        <w:t>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14:paraId="64F9359F">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p>
    <w:p w14:paraId="7A9269F9">
      <w:pPr>
        <w:autoSpaceDE w:val="0"/>
        <w:autoSpaceDN w:val="0"/>
        <w:adjustRightInd w:val="0"/>
        <w:ind w:firstLine="480" w:firstLineChars="200"/>
        <w:jc w:val="left"/>
        <w:rPr>
          <w:rFonts w:hint="eastAsia" w:ascii="宋体" w:hAnsi="宋体" w:eastAsia="宋体" w:cs="宋体"/>
          <w:bCs/>
          <w:color w:val="000000"/>
          <w:sz w:val="24"/>
          <w:szCs w:val="24"/>
        </w:rPr>
      </w:pPr>
      <w:r>
        <w:rPr>
          <w:rFonts w:hint="eastAsia" w:ascii="宋体" w:hAnsi="宋体" w:eastAsia="宋体" w:cs="宋体"/>
          <w:bCs/>
          <w:color w:val="000000"/>
          <w:sz w:val="24"/>
          <w:szCs w:val="24"/>
        </w:rPr>
        <w:t>7.8</w:t>
      </w:r>
      <w:bookmarkStart w:id="181" w:name="_Toc337558775"/>
      <w:r>
        <w:rPr>
          <w:rFonts w:hint="eastAsia" w:ascii="宋体" w:hAnsi="宋体" w:eastAsia="宋体" w:cs="宋体"/>
          <w:bCs/>
          <w:color w:val="000000"/>
          <w:sz w:val="24"/>
          <w:szCs w:val="24"/>
        </w:rPr>
        <w:t>暂停施工</w:t>
      </w:r>
    </w:p>
    <w:p w14:paraId="2607F028">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w:t>
      </w:r>
      <w:bookmarkEnd w:id="175"/>
      <w:bookmarkEnd w:id="176"/>
      <w:bookmarkEnd w:id="181"/>
      <w:r>
        <w:rPr>
          <w:rFonts w:hint="eastAsia" w:ascii="宋体" w:hAnsi="宋体" w:eastAsia="宋体" w:cs="宋体"/>
          <w:color w:val="000000"/>
          <w:kern w:val="0"/>
          <w:sz w:val="24"/>
          <w:szCs w:val="24"/>
        </w:rPr>
        <w:t>8.1发包人原因引起的暂停施工</w:t>
      </w:r>
    </w:p>
    <w:p w14:paraId="1172CC49">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因发包人原因引起暂停施工的，监理人经发包人同意后，应及时下达暂停施工指示。情况紧急且监理人未及时下达暂停施工指示的，按照第7.8.4项〔紧急情况下的暂停施工〕执行。</w:t>
      </w:r>
    </w:p>
    <w:p w14:paraId="4429B258">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因发包人原因引起的暂停施工，发包人应承担由此增加的费用和（或）延误的工期。</w:t>
      </w:r>
    </w:p>
    <w:p w14:paraId="7859E0E1">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7.8.2 承包人原因引起的暂停施工</w:t>
      </w:r>
    </w:p>
    <w:p w14:paraId="5A648B9A">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因承包人原因引起的暂停施工，承包人应承担由此增加的费用和（或）延误的工期，且承包人在收到监理人复工指示后</w:t>
      </w:r>
      <w:r>
        <w:rPr>
          <w:rFonts w:hint="eastAsia" w:ascii="宋体" w:hAnsi="宋体" w:eastAsia="宋体" w:cs="宋体"/>
          <w:color w:val="000000"/>
          <w:kern w:val="0"/>
          <w:sz w:val="24"/>
          <w:szCs w:val="24"/>
          <w:u w:val="single"/>
        </w:rPr>
        <w:t>84天</w:t>
      </w:r>
      <w:r>
        <w:rPr>
          <w:rFonts w:hint="eastAsia" w:ascii="宋体" w:hAnsi="宋体" w:eastAsia="宋体" w:cs="宋体"/>
          <w:color w:val="000000"/>
          <w:kern w:val="0"/>
          <w:sz w:val="24"/>
          <w:szCs w:val="24"/>
        </w:rPr>
        <w:t>内仍未复工的，视为第16.2.1项〔承包人违约的情形〕第（7）目约定的承包人无法继续履行合同的情形。</w:t>
      </w:r>
    </w:p>
    <w:p w14:paraId="55B5D5D3">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7.8.3 指示暂停施工</w:t>
      </w:r>
    </w:p>
    <w:p w14:paraId="0CF01C5E">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监理人认为有必要时，并经发包人批准后，可向承包人作出暂停施工的指示，承包人应按监理人指示暂停施工。</w:t>
      </w:r>
    </w:p>
    <w:p w14:paraId="271A2C9D">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7.8.4 紧急情况下的暂停施工</w:t>
      </w:r>
    </w:p>
    <w:p w14:paraId="732C4A5A">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因紧急情况需暂停施工，且监理人未及时下达暂停施工指示的，承包人可先暂停施工，并及时通知监理人。监理人应在接到通知后</w:t>
      </w:r>
      <w:r>
        <w:rPr>
          <w:rFonts w:hint="eastAsia" w:ascii="宋体" w:hAnsi="宋体" w:eastAsia="宋体" w:cs="宋体"/>
          <w:color w:val="000000"/>
          <w:kern w:val="0"/>
          <w:sz w:val="24"/>
          <w:szCs w:val="24"/>
          <w:u w:val="single"/>
        </w:rPr>
        <w:t>24小时</w:t>
      </w:r>
      <w:r>
        <w:rPr>
          <w:rFonts w:hint="eastAsia" w:ascii="宋体" w:hAnsi="宋体" w:eastAsia="宋体" w:cs="宋体"/>
          <w:color w:val="000000"/>
          <w:kern w:val="0"/>
          <w:sz w:val="24"/>
          <w:szCs w:val="24"/>
        </w:rPr>
        <w:t>内发出指示，逾期未发出指示，视为同意承包人暂停施工。监理人不同意承包人暂停施工的，应说明理由，承包人对监理人的答复有异议，按照第20条〔争议解决〕约定处理。</w:t>
      </w:r>
    </w:p>
    <w:p w14:paraId="0ADDB5FF">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7.8.5 暂停施工后的复工</w:t>
      </w:r>
    </w:p>
    <w:p w14:paraId="53750AE2">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5E93B939">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承包人无故拖延和拒绝复工的，承包人承担由此增加的费用和（或）延误的工期；因发包人原因无法按时复工的，按照第7.5.1项〔因发包人原因导致工期延误〕约定办理。</w:t>
      </w:r>
    </w:p>
    <w:p w14:paraId="312A6176">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7.8.6 暂停施工持续</w:t>
      </w:r>
      <w:r>
        <w:rPr>
          <w:rFonts w:hint="eastAsia" w:ascii="宋体" w:hAnsi="宋体" w:eastAsia="宋体" w:cs="宋体"/>
          <w:color w:val="000000"/>
          <w:kern w:val="0"/>
          <w:sz w:val="24"/>
          <w:szCs w:val="24"/>
          <w:u w:val="single"/>
        </w:rPr>
        <w:t>56天</w:t>
      </w:r>
      <w:r>
        <w:rPr>
          <w:rFonts w:hint="eastAsia" w:ascii="宋体" w:hAnsi="宋体" w:eastAsia="宋体" w:cs="宋体"/>
          <w:color w:val="000000"/>
          <w:kern w:val="0"/>
          <w:sz w:val="24"/>
          <w:szCs w:val="24"/>
        </w:rPr>
        <w:t>以上</w:t>
      </w:r>
    </w:p>
    <w:p w14:paraId="3DC15704">
      <w:pPr>
        <w:ind w:firstLine="468" w:firstLineChars="195"/>
        <w:jc w:val="left"/>
        <w:rPr>
          <w:rFonts w:hint="eastAsia" w:ascii="宋体" w:hAnsi="宋体" w:eastAsia="宋体" w:cs="宋体"/>
          <w:b/>
          <w:color w:val="000000"/>
          <w:kern w:val="0"/>
          <w:sz w:val="24"/>
          <w:szCs w:val="24"/>
        </w:rPr>
      </w:pPr>
      <w:r>
        <w:rPr>
          <w:rFonts w:hint="eastAsia" w:ascii="宋体" w:hAnsi="宋体" w:eastAsia="宋体" w:cs="宋体"/>
          <w:color w:val="000000"/>
          <w:kern w:val="0"/>
          <w:sz w:val="24"/>
          <w:szCs w:val="24"/>
        </w:rPr>
        <w:t>监理人发出暂停施工指示后</w:t>
      </w:r>
      <w:r>
        <w:rPr>
          <w:rFonts w:hint="eastAsia" w:ascii="宋体" w:hAnsi="宋体" w:eastAsia="宋体" w:cs="宋体"/>
          <w:color w:val="000000"/>
          <w:kern w:val="0"/>
          <w:sz w:val="24"/>
          <w:szCs w:val="24"/>
          <w:u w:val="single"/>
        </w:rPr>
        <w:t>56天</w:t>
      </w:r>
      <w:r>
        <w:rPr>
          <w:rFonts w:hint="eastAsia" w:ascii="宋体" w:hAnsi="宋体" w:eastAsia="宋体" w:cs="宋体"/>
          <w:color w:val="000000"/>
          <w:kern w:val="0"/>
          <w:sz w:val="24"/>
          <w:szCs w:val="24"/>
        </w:rPr>
        <w:t>内未向承包人发出复工通知，除该项停工属于第7.8.2项〔承包人原因引起的暂停施工〕及第17条〔不可抗力〕约定的情形外，承包人可向发包人提交书面通知，要求发包人在收到书面通知后</w:t>
      </w:r>
      <w:r>
        <w:rPr>
          <w:rFonts w:hint="eastAsia" w:ascii="宋体" w:hAnsi="宋体" w:eastAsia="宋体" w:cs="宋体"/>
          <w:color w:val="000000"/>
          <w:kern w:val="0"/>
          <w:sz w:val="24"/>
          <w:szCs w:val="24"/>
          <w:u w:val="single"/>
        </w:rPr>
        <w:t>28天</w:t>
      </w:r>
      <w:r>
        <w:rPr>
          <w:rFonts w:hint="eastAsia" w:ascii="宋体" w:hAnsi="宋体" w:eastAsia="宋体" w:cs="宋体"/>
          <w:color w:val="000000"/>
          <w:kern w:val="0"/>
          <w:sz w:val="24"/>
          <w:szCs w:val="24"/>
        </w:rPr>
        <w:t>内准许已暂停施工的部分或全部工程继续施工。发包人逾期不予批准的，则承包人可以通知发包人，将工程受影响的部分视为按4.4【商定或确定】解决。</w:t>
      </w:r>
    </w:p>
    <w:p w14:paraId="0523405E">
      <w:pPr>
        <w:ind w:firstLine="468" w:firstLineChars="195"/>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暂停施工持续</w:t>
      </w:r>
      <w:r>
        <w:rPr>
          <w:rFonts w:hint="eastAsia" w:ascii="宋体" w:hAnsi="宋体" w:eastAsia="宋体" w:cs="宋体"/>
          <w:color w:val="000000"/>
          <w:kern w:val="0"/>
          <w:sz w:val="24"/>
          <w:szCs w:val="24"/>
          <w:u w:val="single"/>
        </w:rPr>
        <w:t>84天</w:t>
      </w:r>
      <w:r>
        <w:rPr>
          <w:rFonts w:hint="eastAsia" w:ascii="宋体" w:hAnsi="宋体" w:eastAsia="宋体" w:cs="宋体"/>
          <w:color w:val="000000"/>
          <w:kern w:val="0"/>
          <w:sz w:val="24"/>
          <w:szCs w:val="24"/>
        </w:rPr>
        <w:t>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14:paraId="56D6187E">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7.8.7 暂停施工期间的工程照管</w:t>
      </w:r>
    </w:p>
    <w:p w14:paraId="50FBD17A">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暂停施工期间，承包人应负责妥善照管工程并提供安全保障，由此增加的费用由责任方承担。</w:t>
      </w:r>
    </w:p>
    <w:p w14:paraId="5F219921">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7.8.8 暂停施工的措施</w:t>
      </w:r>
    </w:p>
    <w:p w14:paraId="5C4BE509">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暂停施工期间，发包人和承包人均应采取必要的措施确保工程质量及安全，防止因暂停施工扩大损失。</w:t>
      </w:r>
    </w:p>
    <w:p w14:paraId="29F2B1EE">
      <w:pPr>
        <w:pStyle w:val="6"/>
        <w:spacing w:before="0" w:after="0" w:line="240" w:lineRule="auto"/>
        <w:ind w:firstLine="480" w:firstLineChars="200"/>
        <w:rPr>
          <w:rFonts w:hint="eastAsia" w:ascii="宋体" w:hAnsi="宋体" w:eastAsia="宋体" w:cs="宋体"/>
          <w:b w:val="0"/>
          <w:color w:val="000000"/>
          <w:sz w:val="24"/>
          <w:szCs w:val="24"/>
        </w:rPr>
      </w:pPr>
      <w:bookmarkStart w:id="182" w:name="_Toc443898108"/>
      <w:r>
        <w:rPr>
          <w:rFonts w:hint="eastAsia" w:ascii="宋体" w:hAnsi="宋体" w:eastAsia="宋体" w:cs="宋体"/>
          <w:b w:val="0"/>
          <w:color w:val="000000"/>
          <w:sz w:val="24"/>
          <w:szCs w:val="24"/>
        </w:rPr>
        <w:t>7.9提前竣工</w:t>
      </w:r>
      <w:bookmarkEnd w:id="182"/>
    </w:p>
    <w:p w14:paraId="29EF12F7">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承包人认为提前竣工指示无法执行的，应向监理人和发包人提出书面异议，发包人和监理人应在收到异议后</w:t>
      </w:r>
      <w:r>
        <w:rPr>
          <w:rFonts w:hint="eastAsia" w:ascii="宋体" w:hAnsi="宋体" w:eastAsia="宋体" w:cs="宋体"/>
          <w:color w:val="000000"/>
          <w:kern w:val="0"/>
          <w:sz w:val="24"/>
          <w:szCs w:val="24"/>
          <w:u w:val="single"/>
        </w:rPr>
        <w:t>21天</w:t>
      </w:r>
      <w:r>
        <w:rPr>
          <w:rFonts w:hint="eastAsia" w:ascii="宋体" w:hAnsi="宋体" w:eastAsia="宋体" w:cs="宋体"/>
          <w:color w:val="000000"/>
          <w:kern w:val="0"/>
          <w:sz w:val="24"/>
          <w:szCs w:val="24"/>
        </w:rPr>
        <w:t>内予以答复。任何情况下，发包人不得压缩合理工期。</w:t>
      </w:r>
    </w:p>
    <w:p w14:paraId="26D4B293">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7.9.2 发包人要求承包人提前竣工，或承包人提出提前竣工的建议能够给发包人带来效益的，合同当事人可以在专用合同条款中约定提前竣工的奖励。</w:t>
      </w:r>
    </w:p>
    <w:p w14:paraId="031AE03A">
      <w:pPr>
        <w:pStyle w:val="5"/>
        <w:spacing w:before="0" w:after="0" w:line="240" w:lineRule="auto"/>
        <w:ind w:firstLine="480" w:firstLineChars="200"/>
        <w:rPr>
          <w:rFonts w:hint="eastAsia" w:ascii="宋体" w:hAnsi="宋体" w:eastAsia="宋体" w:cs="宋体"/>
          <w:b w:val="0"/>
          <w:color w:val="000000"/>
          <w:sz w:val="24"/>
          <w:szCs w:val="24"/>
        </w:rPr>
      </w:pPr>
      <w:bookmarkStart w:id="183" w:name="_Toc443898109"/>
      <w:r>
        <w:rPr>
          <w:rFonts w:hint="eastAsia" w:ascii="宋体" w:hAnsi="宋体" w:eastAsia="宋体" w:cs="宋体"/>
          <w:b w:val="0"/>
          <w:color w:val="000000"/>
          <w:sz w:val="24"/>
          <w:szCs w:val="24"/>
        </w:rPr>
        <w:t>8. 材料与设备</w:t>
      </w:r>
      <w:bookmarkEnd w:id="183"/>
    </w:p>
    <w:p w14:paraId="109F6C77">
      <w:pPr>
        <w:pStyle w:val="6"/>
        <w:spacing w:before="0" w:after="0" w:line="240" w:lineRule="auto"/>
        <w:ind w:firstLine="480" w:firstLineChars="200"/>
        <w:rPr>
          <w:rFonts w:hint="eastAsia" w:ascii="宋体" w:hAnsi="宋体" w:eastAsia="宋体" w:cs="宋体"/>
          <w:b w:val="0"/>
          <w:color w:val="000000"/>
          <w:sz w:val="24"/>
          <w:szCs w:val="24"/>
        </w:rPr>
      </w:pPr>
      <w:bookmarkStart w:id="184" w:name="_Toc443898110"/>
      <w:r>
        <w:rPr>
          <w:rFonts w:hint="eastAsia" w:ascii="宋体" w:hAnsi="宋体" w:eastAsia="宋体" w:cs="宋体"/>
          <w:b w:val="0"/>
          <w:color w:val="000000"/>
          <w:sz w:val="24"/>
          <w:szCs w:val="24"/>
        </w:rPr>
        <w:t>8.1发包人供应材料与工程设备</w:t>
      </w:r>
      <w:bookmarkEnd w:id="184"/>
    </w:p>
    <w:p w14:paraId="5DC0F71E">
      <w:pPr>
        <w:ind w:firstLine="480" w:firstLineChars="200"/>
        <w:rPr>
          <w:rFonts w:hint="eastAsia" w:ascii="宋体" w:hAnsi="宋体" w:eastAsia="宋体" w:cs="宋体"/>
          <w:sz w:val="24"/>
          <w:szCs w:val="24"/>
        </w:rPr>
      </w:pPr>
      <w:r>
        <w:rPr>
          <w:rFonts w:hint="eastAsia" w:ascii="宋体" w:hAnsi="宋体" w:eastAsia="宋体" w:cs="宋体"/>
          <w:sz w:val="24"/>
          <w:szCs w:val="24"/>
        </w:rPr>
        <w:t>发包人有权改变材料供应方式，承包人不得对材料供应方式变化引起的合同金额调整提出任何索赔。</w:t>
      </w:r>
    </w:p>
    <w:p w14:paraId="6D35F7EB">
      <w:pPr>
        <w:autoSpaceDE w:val="0"/>
        <w:autoSpaceDN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发包人自行供应材料、工程设备的，应在签订合同时在专用合同条款的附件2《发包人供应材料设备一览表》中明确材料、工程设备的品种、规格、型号、数量、单价、质量等级和送达地点。</w:t>
      </w:r>
    </w:p>
    <w:p w14:paraId="6C907758">
      <w:pPr>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应提前30天通过监理人以书面形式通知发包人供应材料与工程设备进场。承包人按照第7.2.2项〔施工进度计划的修订〕约定修订施工进度计划时，需同时提交经修订后的发包人供应材料与工程设备的进场计划。承包人负责对供应材料和设备的时间进行协调，向发包人提供材料需求计划。</w:t>
      </w:r>
    </w:p>
    <w:p w14:paraId="43531A6E">
      <w:pPr>
        <w:pStyle w:val="6"/>
        <w:spacing w:before="0" w:after="0" w:line="240" w:lineRule="auto"/>
        <w:ind w:firstLine="480" w:firstLineChars="200"/>
        <w:rPr>
          <w:rFonts w:hint="eastAsia" w:ascii="宋体" w:hAnsi="宋体" w:eastAsia="宋体" w:cs="宋体"/>
          <w:b w:val="0"/>
          <w:color w:val="000000"/>
          <w:sz w:val="24"/>
          <w:szCs w:val="24"/>
        </w:rPr>
      </w:pPr>
      <w:bookmarkStart w:id="185" w:name="_Toc443898111"/>
      <w:r>
        <w:rPr>
          <w:rFonts w:hint="eastAsia" w:ascii="宋体" w:hAnsi="宋体" w:eastAsia="宋体" w:cs="宋体"/>
          <w:b w:val="0"/>
          <w:color w:val="000000"/>
          <w:sz w:val="24"/>
          <w:szCs w:val="24"/>
        </w:rPr>
        <w:t>8.2承包人采购材料与工程设备</w:t>
      </w:r>
      <w:bookmarkEnd w:id="185"/>
    </w:p>
    <w:p w14:paraId="2A74946C">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14:paraId="45C76359">
      <w:pPr>
        <w:pStyle w:val="6"/>
        <w:spacing w:before="0" w:after="0" w:line="240" w:lineRule="auto"/>
        <w:ind w:firstLine="480" w:firstLineChars="200"/>
        <w:rPr>
          <w:rFonts w:hint="eastAsia" w:ascii="宋体" w:hAnsi="宋体" w:eastAsia="宋体" w:cs="宋体"/>
          <w:b w:val="0"/>
          <w:color w:val="000000"/>
          <w:sz w:val="24"/>
          <w:szCs w:val="24"/>
        </w:rPr>
      </w:pPr>
      <w:bookmarkStart w:id="186" w:name="_Toc443898112"/>
      <w:r>
        <w:rPr>
          <w:rFonts w:hint="eastAsia" w:ascii="宋体" w:hAnsi="宋体" w:eastAsia="宋体" w:cs="宋体"/>
          <w:b w:val="0"/>
          <w:color w:val="000000"/>
          <w:sz w:val="24"/>
          <w:szCs w:val="24"/>
        </w:rPr>
        <w:t>8.3材料与工程设备的接收与拒收</w:t>
      </w:r>
      <w:bookmarkEnd w:id="186"/>
    </w:p>
    <w:p w14:paraId="2798D8A9">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8.3.1发包人应按《发包人供应材料设备一览表》约定的内容提供材料和工程设备，并向承包人提供产品合格证明及出厂证明，对其质量负责。发包人应提前</w:t>
      </w:r>
      <w:r>
        <w:rPr>
          <w:rFonts w:hint="eastAsia" w:ascii="宋体" w:hAnsi="宋体" w:eastAsia="宋体" w:cs="宋体"/>
          <w:color w:val="000000"/>
          <w:kern w:val="0"/>
          <w:sz w:val="24"/>
          <w:szCs w:val="24"/>
          <w:u w:val="single"/>
        </w:rPr>
        <w:t>24小时</w:t>
      </w:r>
      <w:r>
        <w:rPr>
          <w:rFonts w:hint="eastAsia" w:ascii="宋体" w:hAnsi="宋体" w:eastAsia="宋体" w:cs="宋体"/>
          <w:color w:val="000000"/>
          <w:kern w:val="0"/>
          <w:sz w:val="24"/>
          <w:szCs w:val="24"/>
        </w:rPr>
        <w:t>以书面形式通知承包人、监理人材料和工程设备到货时间，承包人负责材料和工程设备的清点、检验和接收。</w:t>
      </w:r>
    </w:p>
    <w:p w14:paraId="5CA5928E">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发包人提供的材料和工程设备的规格、数量或质量不符合合同约定的，或因发包人原因导致交货日期延误或交货地点变更等情况的，按照第16.1款〔发包人违约〕约定办理。</w:t>
      </w:r>
    </w:p>
    <w:p w14:paraId="78F131F5">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8.3.2承包人采购的材料和工程设备，应保证产品质量合格，承包人应在材料和工程设备到货前</w:t>
      </w:r>
      <w:r>
        <w:rPr>
          <w:rFonts w:hint="eastAsia" w:ascii="宋体" w:hAnsi="宋体" w:eastAsia="宋体" w:cs="宋体"/>
          <w:color w:val="000000"/>
          <w:kern w:val="0"/>
          <w:sz w:val="24"/>
          <w:szCs w:val="24"/>
          <w:u w:val="single"/>
        </w:rPr>
        <w:t>24小时</w:t>
      </w:r>
      <w:r>
        <w:rPr>
          <w:rFonts w:hint="eastAsia" w:ascii="宋体" w:hAnsi="宋体" w:eastAsia="宋体" w:cs="宋体"/>
          <w:color w:val="000000"/>
          <w:kern w:val="0"/>
          <w:sz w:val="24"/>
          <w:szCs w:val="24"/>
        </w:rPr>
        <w:t>通知监理人检验。承包人进行永久设备、材料的制造和生产的，应符合相关质量标准，并向监理人提交材料的样本以及有关资料，并应在使用该材料或工程设备之前获得监理人同意。</w:t>
      </w:r>
    </w:p>
    <w:p w14:paraId="17D48E06">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14:paraId="6EC6CC11">
      <w:pPr>
        <w:pStyle w:val="6"/>
        <w:spacing w:before="0" w:after="0" w:line="240" w:lineRule="auto"/>
        <w:ind w:firstLine="480" w:firstLineChars="200"/>
        <w:rPr>
          <w:rFonts w:hint="eastAsia" w:ascii="宋体" w:hAnsi="宋体" w:eastAsia="宋体" w:cs="宋体"/>
          <w:b w:val="0"/>
          <w:color w:val="000000"/>
          <w:sz w:val="24"/>
          <w:szCs w:val="24"/>
        </w:rPr>
      </w:pPr>
      <w:bookmarkStart w:id="187" w:name="_Toc443898113"/>
      <w:r>
        <w:rPr>
          <w:rFonts w:hint="eastAsia" w:ascii="宋体" w:hAnsi="宋体" w:eastAsia="宋体" w:cs="宋体"/>
          <w:b w:val="0"/>
          <w:color w:val="000000"/>
          <w:sz w:val="24"/>
          <w:szCs w:val="24"/>
        </w:rPr>
        <w:t>8.4材料与工程设备的保管与使用</w:t>
      </w:r>
      <w:bookmarkEnd w:id="187"/>
    </w:p>
    <w:p w14:paraId="0252A6BD">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8.4.1发包人供应</w:t>
      </w:r>
      <w:r>
        <w:rPr>
          <w:rFonts w:hint="eastAsia" w:ascii="宋体" w:hAnsi="宋体" w:eastAsia="宋体" w:cs="宋体"/>
          <w:color w:val="000000"/>
          <w:sz w:val="24"/>
          <w:szCs w:val="24"/>
        </w:rPr>
        <w:t>材料与</w:t>
      </w:r>
      <w:r>
        <w:rPr>
          <w:rFonts w:hint="eastAsia" w:ascii="宋体" w:hAnsi="宋体" w:eastAsia="宋体" w:cs="宋体"/>
          <w:color w:val="000000"/>
          <w:kern w:val="0"/>
          <w:sz w:val="24"/>
          <w:szCs w:val="24"/>
        </w:rPr>
        <w:t>工程</w:t>
      </w:r>
      <w:r>
        <w:rPr>
          <w:rFonts w:hint="eastAsia" w:ascii="宋体" w:hAnsi="宋体" w:eastAsia="宋体" w:cs="宋体"/>
          <w:color w:val="000000"/>
          <w:sz w:val="24"/>
          <w:szCs w:val="24"/>
        </w:rPr>
        <w:t>设备的保管与使用</w:t>
      </w:r>
    </w:p>
    <w:p w14:paraId="0693B79B">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供应的材料和工程设备，承包人清点后由承包人妥善保管。因承包人原因发生丢失毁损的，由承包人负责赔偿；监理人未通知承包人清点的，承包人不负责材料和工程设备的保管，由此导致丢失毁损的由发包人负责。</w:t>
      </w:r>
    </w:p>
    <w:p w14:paraId="405598D5">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发包人供应的材料和工程设备使用前，由承包人负责检验，检验费用由发包人承担，不合格的不得使用。</w:t>
      </w:r>
    </w:p>
    <w:p w14:paraId="13FE31FA">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8.4.2承包人采购</w:t>
      </w:r>
      <w:r>
        <w:rPr>
          <w:rFonts w:hint="eastAsia" w:ascii="宋体" w:hAnsi="宋体" w:eastAsia="宋体" w:cs="宋体"/>
          <w:color w:val="000000"/>
          <w:sz w:val="24"/>
          <w:szCs w:val="24"/>
        </w:rPr>
        <w:t>材料与</w:t>
      </w:r>
      <w:r>
        <w:rPr>
          <w:rFonts w:hint="eastAsia" w:ascii="宋体" w:hAnsi="宋体" w:eastAsia="宋体" w:cs="宋体"/>
          <w:color w:val="000000"/>
          <w:kern w:val="0"/>
          <w:sz w:val="24"/>
          <w:szCs w:val="24"/>
        </w:rPr>
        <w:t>工程</w:t>
      </w:r>
      <w:r>
        <w:rPr>
          <w:rFonts w:hint="eastAsia" w:ascii="宋体" w:hAnsi="宋体" w:eastAsia="宋体" w:cs="宋体"/>
          <w:color w:val="000000"/>
          <w:sz w:val="24"/>
          <w:szCs w:val="24"/>
        </w:rPr>
        <w:t>设备的保管与使用</w:t>
      </w:r>
    </w:p>
    <w:p w14:paraId="0915DD56">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14:paraId="6E6E4A19">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发包人或监理人发现承包人使用不符合设计或有关标准要求的材料和工程设备时，有权要求承包人进行修复、拆除或重新采购，由此增加的费用和（或）延误的工期，由承包人承担。</w:t>
      </w:r>
    </w:p>
    <w:p w14:paraId="0CE11A20">
      <w:pPr>
        <w:pStyle w:val="6"/>
        <w:spacing w:before="0" w:after="0" w:line="240" w:lineRule="auto"/>
        <w:ind w:firstLine="480" w:firstLineChars="200"/>
        <w:rPr>
          <w:rFonts w:hint="eastAsia" w:ascii="宋体" w:hAnsi="宋体" w:eastAsia="宋体" w:cs="宋体"/>
          <w:b w:val="0"/>
          <w:color w:val="000000"/>
          <w:sz w:val="24"/>
          <w:szCs w:val="24"/>
        </w:rPr>
      </w:pPr>
      <w:bookmarkStart w:id="188" w:name="_Toc443898114"/>
      <w:r>
        <w:rPr>
          <w:rFonts w:hint="eastAsia" w:ascii="宋体" w:hAnsi="宋体" w:eastAsia="宋体" w:cs="宋体"/>
          <w:b w:val="0"/>
          <w:color w:val="000000"/>
          <w:sz w:val="24"/>
          <w:szCs w:val="24"/>
        </w:rPr>
        <w:t>8.5禁止使用不合格的材料和工程设备</w:t>
      </w:r>
      <w:bookmarkEnd w:id="188"/>
    </w:p>
    <w:p w14:paraId="12A99D5E">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8.5.1监理人有权拒绝承包人提供的不合格材料或工程设备，并要求承包人立即进行更换。监理人应在更换后再次进行检查和检验，由此增加的费用和（或）延误的工期由承包人承担。</w:t>
      </w:r>
    </w:p>
    <w:p w14:paraId="5BAC1F15">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8.5.2监理人发现承包人使用了不合格的材料和工程设备，承包人应按照监理人的指示立即改正，并禁止在工程中继续使用不合格的材料和工程设备。</w:t>
      </w:r>
    </w:p>
    <w:p w14:paraId="70D11820">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8.5.3发包人提供的材料或工程设备不符合合同要求的，承包人有权拒绝，并可要求发包人更换，由此延误的工期由发包人承担。</w:t>
      </w:r>
    </w:p>
    <w:p w14:paraId="09E8FE8A">
      <w:pPr>
        <w:pStyle w:val="6"/>
        <w:spacing w:before="0" w:after="0" w:line="240" w:lineRule="auto"/>
        <w:ind w:firstLine="480" w:firstLineChars="200"/>
        <w:rPr>
          <w:rFonts w:hint="eastAsia" w:ascii="宋体" w:hAnsi="宋体" w:eastAsia="宋体" w:cs="宋体"/>
          <w:b w:val="0"/>
          <w:color w:val="000000"/>
          <w:sz w:val="24"/>
          <w:szCs w:val="24"/>
        </w:rPr>
      </w:pPr>
      <w:bookmarkStart w:id="189" w:name="_Toc443898115"/>
      <w:r>
        <w:rPr>
          <w:rFonts w:hint="eastAsia" w:ascii="宋体" w:hAnsi="宋体" w:eastAsia="宋体" w:cs="宋体"/>
          <w:b w:val="0"/>
          <w:color w:val="000000"/>
          <w:sz w:val="24"/>
          <w:szCs w:val="24"/>
        </w:rPr>
        <w:t>8.6 样品</w:t>
      </w:r>
      <w:bookmarkEnd w:id="189"/>
    </w:p>
    <w:p w14:paraId="4CE814CA">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8.6.1</w:t>
      </w:r>
      <w:r>
        <w:rPr>
          <w:rFonts w:hint="eastAsia" w:ascii="宋体" w:hAnsi="宋体" w:eastAsia="宋体" w:cs="宋体"/>
          <w:color w:val="000000"/>
          <w:kern w:val="0"/>
          <w:sz w:val="24"/>
          <w:szCs w:val="24"/>
        </w:rPr>
        <w:tab/>
      </w:r>
      <w:r>
        <w:rPr>
          <w:rFonts w:hint="eastAsia" w:ascii="宋体" w:hAnsi="宋体" w:eastAsia="宋体" w:cs="宋体"/>
          <w:color w:val="000000"/>
          <w:kern w:val="0"/>
          <w:sz w:val="24"/>
          <w:szCs w:val="24"/>
        </w:rPr>
        <w:t>样品的报送与封存</w:t>
      </w:r>
    </w:p>
    <w:p w14:paraId="0E58A6EA">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需要承包人报送样品的材料或工程设备，样品的种类、名称、规格、数量等要求均应在专用合同条款中约定。样品的报送程序如下：</w:t>
      </w:r>
    </w:p>
    <w:p w14:paraId="6E5CC930">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（1）承包人应在计划采购前</w:t>
      </w:r>
      <w:r>
        <w:rPr>
          <w:rFonts w:hint="eastAsia" w:ascii="宋体" w:hAnsi="宋体" w:eastAsia="宋体" w:cs="宋体"/>
          <w:color w:val="000000"/>
          <w:kern w:val="0"/>
          <w:sz w:val="24"/>
          <w:szCs w:val="24"/>
          <w:u w:val="single"/>
        </w:rPr>
        <w:t>28天</w:t>
      </w:r>
      <w:r>
        <w:rPr>
          <w:rFonts w:hint="eastAsia" w:ascii="宋体" w:hAnsi="宋体" w:eastAsia="宋体" w:cs="宋体"/>
          <w:color w:val="000000"/>
          <w:kern w:val="0"/>
          <w:sz w:val="24"/>
          <w:szCs w:val="24"/>
        </w:rPr>
        <w:t>向监理人报送样品。承包人报送的样品均应来自供应材料的实际生产地，且提供的样品的规格、数量足以表明材料或工程设备的质量、型号、颜色、表面处理、质地、误差和其他要求的特征。</w:t>
      </w:r>
    </w:p>
    <w:p w14:paraId="1F7814B6">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（2）承包人每次报送样品时应随附申报单，申报单应载明报送样品的相关数据和资料，并标明每件样品对应的图纸号，预留监理人批复意见栏。监理人应在收到承包人报送的样品后</w:t>
      </w:r>
      <w:r>
        <w:rPr>
          <w:rFonts w:hint="eastAsia" w:ascii="宋体" w:hAnsi="宋体" w:eastAsia="宋体" w:cs="宋体"/>
          <w:color w:val="000000"/>
          <w:kern w:val="0"/>
          <w:sz w:val="24"/>
          <w:szCs w:val="24"/>
          <w:u w:val="single"/>
        </w:rPr>
        <w:t>14天</w:t>
      </w:r>
      <w:r>
        <w:rPr>
          <w:rFonts w:hint="eastAsia" w:ascii="宋体" w:hAnsi="宋体" w:eastAsia="宋体" w:cs="宋体"/>
          <w:color w:val="000000"/>
          <w:kern w:val="0"/>
          <w:sz w:val="24"/>
          <w:szCs w:val="24"/>
        </w:rPr>
        <w:t>向承包人回复经发包人签认的样品审批意见。</w:t>
      </w:r>
    </w:p>
    <w:p w14:paraId="513271B9">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（3）经发包人和监理人审批确认的样品应按约定的方法封样，封存的样品作为检验工程相关部分的标准之一。承包人在施工过程中不得使用与样品不符的材料或工程设备。</w:t>
      </w:r>
    </w:p>
    <w:p w14:paraId="2EEC5D69">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14:paraId="56585916">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8.6.2样品的保管</w:t>
      </w:r>
    </w:p>
    <w:p w14:paraId="17E46767">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经批准的样品应由监理人负责封存于现场，承包人应在现场为保存样品提供适当和固定的场所并保持适当和良好的存储环境条件。</w:t>
      </w:r>
    </w:p>
    <w:p w14:paraId="3BDFF3C2">
      <w:pPr>
        <w:pStyle w:val="6"/>
        <w:spacing w:before="0" w:after="0" w:line="240" w:lineRule="auto"/>
        <w:ind w:firstLine="480" w:firstLineChars="200"/>
        <w:rPr>
          <w:rFonts w:hint="eastAsia" w:ascii="宋体" w:hAnsi="宋体" w:eastAsia="宋体" w:cs="宋体"/>
          <w:b w:val="0"/>
          <w:color w:val="000000"/>
          <w:sz w:val="24"/>
          <w:szCs w:val="24"/>
        </w:rPr>
      </w:pPr>
      <w:bookmarkStart w:id="190" w:name="_Toc443898116"/>
      <w:r>
        <w:rPr>
          <w:rFonts w:hint="eastAsia" w:ascii="宋体" w:hAnsi="宋体" w:eastAsia="宋体" w:cs="宋体"/>
          <w:b w:val="0"/>
          <w:color w:val="000000"/>
          <w:sz w:val="24"/>
          <w:szCs w:val="24"/>
        </w:rPr>
        <w:t>8.7材料与工程设备的替代</w:t>
      </w:r>
      <w:bookmarkEnd w:id="190"/>
    </w:p>
    <w:p w14:paraId="5735E06B">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8.7.1出现下列情况需要使用替代材料和工程设备的，承包人应按照第8.7.2项约定的程序执行：</w:t>
      </w:r>
    </w:p>
    <w:p w14:paraId="3741F5DF">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（1）基准日期后生效的法律规定禁止使用的；</w:t>
      </w:r>
    </w:p>
    <w:p w14:paraId="275CC085">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（2）发包人要求使用替代品的；</w:t>
      </w:r>
    </w:p>
    <w:p w14:paraId="2B10D4B5">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（3）因其他原因必须使用替代品的。</w:t>
      </w:r>
    </w:p>
    <w:p w14:paraId="51939A6D">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8.7.2承包人应在使用替代材料和工程设备28天前书面通知监理人，并附下列文件：</w:t>
      </w:r>
    </w:p>
    <w:p w14:paraId="212C6A52">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（1）被替代的材料和工程设备的名称、数量、规格、型号、品牌、性能、价格及其他相关资料；</w:t>
      </w:r>
    </w:p>
    <w:p w14:paraId="146BE11B">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（2）替代品的名称、数量、规格、型号、品牌、性能、价格及其他相关资料；</w:t>
      </w:r>
    </w:p>
    <w:p w14:paraId="7DF7587A">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（3）替代品与被替代产品之间的差异以及使用替代品可能对工程产生的影响；</w:t>
      </w:r>
    </w:p>
    <w:p w14:paraId="04FD8733">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（4）替代品与被替代产品的价格差异；</w:t>
      </w:r>
    </w:p>
    <w:p w14:paraId="5A080BF7">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（5）使用替代品的理由和原因说明；</w:t>
      </w:r>
    </w:p>
    <w:p w14:paraId="3EFAFA01">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（6）监理人要求的其他文件。</w:t>
      </w:r>
    </w:p>
    <w:p w14:paraId="62B1FE75">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监理人应在收到通知后</w:t>
      </w:r>
      <w:r>
        <w:rPr>
          <w:rFonts w:hint="eastAsia" w:ascii="宋体" w:hAnsi="宋体" w:eastAsia="宋体" w:cs="宋体"/>
          <w:color w:val="000000"/>
          <w:kern w:val="0"/>
          <w:sz w:val="24"/>
          <w:szCs w:val="24"/>
          <w:u w:val="single"/>
        </w:rPr>
        <w:t>14天</w:t>
      </w:r>
      <w:r>
        <w:rPr>
          <w:rFonts w:hint="eastAsia" w:ascii="宋体" w:hAnsi="宋体" w:eastAsia="宋体" w:cs="宋体"/>
          <w:color w:val="000000"/>
          <w:kern w:val="0"/>
          <w:sz w:val="24"/>
          <w:szCs w:val="24"/>
        </w:rPr>
        <w:t>内向承包人发出经发包人签认的书面指示；监理人逾期发出书面指示的，视为发包人和监理人同意使用替代品。</w:t>
      </w:r>
    </w:p>
    <w:p w14:paraId="6B028822">
      <w:pPr>
        <w:ind w:firstLine="480" w:firstLineChars="200"/>
        <w:rPr>
          <w:rFonts w:hint="eastAsia" w:ascii="宋体" w:hAnsi="宋体" w:eastAsia="宋体" w:cs="宋体"/>
          <w:sz w:val="24"/>
          <w:szCs w:val="24"/>
        </w:rPr>
      </w:pPr>
      <w:r>
        <w:rPr>
          <w:rFonts w:hint="eastAsia" w:ascii="宋体" w:hAnsi="宋体" w:eastAsia="宋体" w:cs="宋体"/>
          <w:color w:val="000000"/>
          <w:kern w:val="0"/>
          <w:sz w:val="24"/>
          <w:szCs w:val="24"/>
        </w:rPr>
        <w:t>8.7.3发包人认可使用替代材料和工程设备的，替代材料和工程设备的价格，按照已标价工程量清单或预算书相同项目的价格认定；无相同项目的，参考相似项目价格认定；既无相同项目也无相似项目的。</w:t>
      </w:r>
    </w:p>
    <w:p w14:paraId="59EFEF20">
      <w:pPr>
        <w:pStyle w:val="6"/>
        <w:spacing w:before="0" w:after="0" w:line="240" w:lineRule="auto"/>
        <w:ind w:firstLine="480" w:firstLineChars="200"/>
        <w:rPr>
          <w:rFonts w:hint="eastAsia" w:ascii="宋体" w:hAnsi="宋体" w:eastAsia="宋体" w:cs="宋体"/>
          <w:b w:val="0"/>
          <w:color w:val="000000"/>
          <w:sz w:val="24"/>
          <w:szCs w:val="24"/>
        </w:rPr>
      </w:pPr>
      <w:bookmarkStart w:id="191" w:name="_Toc443898117"/>
      <w:r>
        <w:rPr>
          <w:rFonts w:hint="eastAsia" w:ascii="宋体" w:hAnsi="宋体" w:eastAsia="宋体" w:cs="宋体"/>
          <w:b w:val="0"/>
          <w:color w:val="000000"/>
          <w:sz w:val="24"/>
          <w:szCs w:val="24"/>
        </w:rPr>
        <w:t>8.8施工设备和临时设施</w:t>
      </w:r>
      <w:bookmarkEnd w:id="191"/>
    </w:p>
    <w:p w14:paraId="475896A0">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8.8.1承包人提供的施工设备和临时设施</w:t>
      </w:r>
    </w:p>
    <w:p w14:paraId="44E730D0">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承包人应按合同进度计划的要求，及时配置施工设备和修建临时设施。进入施工场地的承包人设备需经监理人核查后才能投入使用。承包人更换合同约定的承包人设备的，应报监理人批准。</w:t>
      </w:r>
    </w:p>
    <w:p w14:paraId="33BD6BDF">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除专用合同条款另有约定外，承包人应自行承担修建临时设施的费用，需要临时占地的，应由发包人办理申请手续并承担相应费用。</w:t>
      </w:r>
    </w:p>
    <w:p w14:paraId="0F7C972A">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8.8.2发包人提供的施工设备和临时设施</w:t>
      </w:r>
    </w:p>
    <w:p w14:paraId="3098A7A7">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发包人提供的施工设备或临时设施在专用合同条款中约定。</w:t>
      </w:r>
    </w:p>
    <w:p w14:paraId="08C904C9">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8.8.3要求承包人增加或更换施工设备</w:t>
      </w:r>
    </w:p>
    <w:p w14:paraId="47A02F41">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承包人使用的施工设备不能满足合同进度计划和（或）质量要求时，监理人有权要求承包人增加或更换施工设备，承包人应及时增加或更换，由此增加的费用和（或）延误的工期由承包人承担。</w:t>
      </w:r>
    </w:p>
    <w:p w14:paraId="00FE244D">
      <w:pPr>
        <w:pStyle w:val="6"/>
        <w:spacing w:before="0" w:after="0" w:line="240" w:lineRule="auto"/>
        <w:ind w:firstLine="480" w:firstLineChars="200"/>
        <w:rPr>
          <w:rFonts w:hint="eastAsia" w:ascii="宋体" w:hAnsi="宋体" w:eastAsia="宋体" w:cs="宋体"/>
          <w:b w:val="0"/>
          <w:color w:val="000000"/>
          <w:sz w:val="24"/>
          <w:szCs w:val="24"/>
        </w:rPr>
      </w:pPr>
      <w:bookmarkStart w:id="192" w:name="_Toc443898118"/>
      <w:r>
        <w:rPr>
          <w:rFonts w:hint="eastAsia" w:ascii="宋体" w:hAnsi="宋体" w:eastAsia="宋体" w:cs="宋体"/>
          <w:b w:val="0"/>
          <w:color w:val="000000"/>
          <w:sz w:val="24"/>
          <w:szCs w:val="24"/>
        </w:rPr>
        <w:t>8.9材料与设备专用要求</w:t>
      </w:r>
      <w:bookmarkEnd w:id="192"/>
    </w:p>
    <w:p w14:paraId="5B41C3FB">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运入施工现场的材料、工程设备、施工设备以及在施工场地建设的临时设施，包括备品备件、安装工具与资料，必须专用于工程。未经发包人批准，承包人不得运出施工现场或挪作他用；经发包人批准，承包人可以根据施工进度计划撤走闲置的施工设备和其他物品。</w:t>
      </w:r>
    </w:p>
    <w:p w14:paraId="5E3EE189">
      <w:pPr>
        <w:pStyle w:val="5"/>
        <w:spacing w:before="0" w:after="0" w:line="240" w:lineRule="auto"/>
        <w:ind w:firstLine="480" w:firstLineChars="200"/>
        <w:rPr>
          <w:rFonts w:hint="eastAsia" w:ascii="宋体" w:hAnsi="宋体" w:eastAsia="宋体" w:cs="宋体"/>
          <w:b w:val="0"/>
          <w:color w:val="000000"/>
          <w:sz w:val="24"/>
          <w:szCs w:val="24"/>
        </w:rPr>
      </w:pPr>
      <w:bookmarkStart w:id="193" w:name="_Toc443898119"/>
      <w:r>
        <w:rPr>
          <w:rFonts w:hint="eastAsia" w:ascii="宋体" w:hAnsi="宋体" w:eastAsia="宋体" w:cs="宋体"/>
          <w:b w:val="0"/>
          <w:color w:val="000000"/>
          <w:sz w:val="24"/>
          <w:szCs w:val="24"/>
        </w:rPr>
        <w:t>9. 试</w:t>
      </w:r>
      <w:bookmarkStart w:id="194" w:name="_Toc337558782"/>
      <w:bookmarkStart w:id="195" w:name="_Toc296346584"/>
      <w:bookmarkStart w:id="196" w:name="_Toc296503083"/>
      <w:r>
        <w:rPr>
          <w:rFonts w:hint="eastAsia" w:ascii="宋体" w:hAnsi="宋体" w:eastAsia="宋体" w:cs="宋体"/>
          <w:b w:val="0"/>
          <w:color w:val="000000"/>
          <w:sz w:val="24"/>
          <w:szCs w:val="24"/>
        </w:rPr>
        <w:t>验与检验</w:t>
      </w:r>
      <w:bookmarkEnd w:id="193"/>
    </w:p>
    <w:p w14:paraId="179CD514">
      <w:pPr>
        <w:pStyle w:val="6"/>
        <w:spacing w:before="0" w:after="0" w:line="240" w:lineRule="auto"/>
        <w:ind w:firstLine="480" w:firstLineChars="200"/>
        <w:rPr>
          <w:rFonts w:hint="eastAsia" w:ascii="宋体" w:hAnsi="宋体" w:eastAsia="宋体" w:cs="宋体"/>
          <w:b w:val="0"/>
          <w:color w:val="000000"/>
          <w:sz w:val="24"/>
          <w:szCs w:val="24"/>
        </w:rPr>
      </w:pPr>
      <w:bookmarkStart w:id="197" w:name="_Toc443898120"/>
      <w:r>
        <w:rPr>
          <w:rFonts w:hint="eastAsia" w:ascii="宋体" w:hAnsi="宋体" w:eastAsia="宋体" w:cs="宋体"/>
          <w:b w:val="0"/>
          <w:color w:val="000000"/>
          <w:sz w:val="24"/>
          <w:szCs w:val="24"/>
        </w:rPr>
        <w:t>9.1</w:t>
      </w:r>
      <w:bookmarkEnd w:id="194"/>
      <w:r>
        <w:rPr>
          <w:rFonts w:hint="eastAsia" w:ascii="宋体" w:hAnsi="宋体" w:eastAsia="宋体" w:cs="宋体"/>
          <w:b w:val="0"/>
          <w:color w:val="000000"/>
          <w:sz w:val="24"/>
          <w:szCs w:val="24"/>
        </w:rPr>
        <w:t>试</w:t>
      </w:r>
      <w:bookmarkStart w:id="198" w:name="_Toc337558783"/>
      <w:r>
        <w:rPr>
          <w:rFonts w:hint="eastAsia" w:ascii="宋体" w:hAnsi="宋体" w:eastAsia="宋体" w:cs="宋体"/>
          <w:b w:val="0"/>
          <w:color w:val="000000"/>
          <w:sz w:val="24"/>
          <w:szCs w:val="24"/>
        </w:rPr>
        <w:t>验设备与试验人员</w:t>
      </w:r>
      <w:bookmarkEnd w:id="197"/>
    </w:p>
    <w:p w14:paraId="49511ACE">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9.1</w:t>
      </w:r>
      <w:bookmarkEnd w:id="198"/>
      <w:r>
        <w:rPr>
          <w:rFonts w:hint="eastAsia" w:ascii="宋体" w:hAnsi="宋体" w:eastAsia="宋体" w:cs="宋体"/>
          <w:color w:val="000000"/>
          <w:kern w:val="0"/>
          <w:sz w:val="24"/>
          <w:szCs w:val="24"/>
        </w:rPr>
        <w:t>.1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14:paraId="733B6CA0">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9.1.2 承包人应按专用合同条款的约定提供试验设备、取样装置、试验场所和试验条件，并向监理人提交相应进场计划表。</w:t>
      </w:r>
    </w:p>
    <w:p w14:paraId="657104AE">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承包人配置的试验设备要符合相应试验规程的要求并经过具有资质的检测单位检测，且在正式使用该试验设备前，需要经过监理人与承包人共同校定。</w:t>
      </w:r>
    </w:p>
    <w:p w14:paraId="36F3FDCE">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9.1.3 承包人应向监理人提交试验人员的名单及其岗位、资格等证明资料，试验人员必须能够熟练进行相应的检测试验，承包人对试验人员的试验程序和试验结果的正确性负责。</w:t>
      </w:r>
    </w:p>
    <w:p w14:paraId="34428F02">
      <w:pPr>
        <w:pStyle w:val="6"/>
        <w:spacing w:before="0" w:after="0" w:line="240" w:lineRule="auto"/>
        <w:ind w:firstLine="480" w:firstLineChars="200"/>
        <w:rPr>
          <w:rFonts w:hint="eastAsia" w:ascii="宋体" w:hAnsi="宋体" w:eastAsia="宋体" w:cs="宋体"/>
          <w:b w:val="0"/>
          <w:color w:val="000000"/>
          <w:sz w:val="24"/>
          <w:szCs w:val="24"/>
        </w:rPr>
      </w:pPr>
      <w:bookmarkStart w:id="199" w:name="_Toc443898121"/>
      <w:r>
        <w:rPr>
          <w:rFonts w:hint="eastAsia" w:ascii="宋体" w:hAnsi="宋体" w:eastAsia="宋体" w:cs="宋体"/>
          <w:b w:val="0"/>
          <w:color w:val="000000"/>
          <w:sz w:val="24"/>
          <w:szCs w:val="24"/>
        </w:rPr>
        <w:t>9.2取</w:t>
      </w:r>
      <w:bookmarkStart w:id="200" w:name="_Toc337558784"/>
      <w:r>
        <w:rPr>
          <w:rFonts w:hint="eastAsia" w:ascii="宋体" w:hAnsi="宋体" w:eastAsia="宋体" w:cs="宋体"/>
          <w:b w:val="0"/>
          <w:color w:val="000000"/>
          <w:sz w:val="24"/>
          <w:szCs w:val="24"/>
        </w:rPr>
        <w:t>样</w:t>
      </w:r>
      <w:bookmarkEnd w:id="199"/>
    </w:p>
    <w:p w14:paraId="4697EF42">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试验属</w:t>
      </w:r>
      <w:bookmarkEnd w:id="200"/>
      <w:r>
        <w:rPr>
          <w:rFonts w:hint="eastAsia" w:ascii="宋体" w:hAnsi="宋体" w:eastAsia="宋体" w:cs="宋体"/>
          <w:color w:val="000000"/>
          <w:kern w:val="0"/>
          <w:sz w:val="24"/>
          <w:szCs w:val="24"/>
        </w:rPr>
        <w:t>于自检性质的，承包人可以单独取样。试验属于监理人抽检性质的，可由监理人取样，也可由承包人的试验人员在监理人的监督下取样。</w:t>
      </w:r>
    </w:p>
    <w:p w14:paraId="2B560CBE">
      <w:pPr>
        <w:pStyle w:val="6"/>
        <w:spacing w:before="0" w:after="0" w:line="240" w:lineRule="auto"/>
        <w:ind w:firstLine="480" w:firstLineChars="200"/>
        <w:rPr>
          <w:rFonts w:hint="eastAsia" w:ascii="宋体" w:hAnsi="宋体" w:eastAsia="宋体" w:cs="宋体"/>
          <w:b w:val="0"/>
          <w:color w:val="000000"/>
          <w:sz w:val="24"/>
          <w:szCs w:val="24"/>
        </w:rPr>
      </w:pPr>
      <w:bookmarkStart w:id="201" w:name="_Toc443898122"/>
      <w:r>
        <w:rPr>
          <w:rFonts w:hint="eastAsia" w:ascii="宋体" w:hAnsi="宋体" w:eastAsia="宋体" w:cs="宋体"/>
          <w:b w:val="0"/>
          <w:color w:val="000000"/>
          <w:sz w:val="24"/>
          <w:szCs w:val="24"/>
        </w:rPr>
        <w:t>9.3材</w:t>
      </w:r>
      <w:bookmarkStart w:id="202" w:name="_Toc337558785"/>
      <w:r>
        <w:rPr>
          <w:rFonts w:hint="eastAsia" w:ascii="宋体" w:hAnsi="宋体" w:eastAsia="宋体" w:cs="宋体"/>
          <w:b w:val="0"/>
          <w:color w:val="000000"/>
          <w:sz w:val="24"/>
          <w:szCs w:val="24"/>
        </w:rPr>
        <w:t>料、工程设备和工程的试验和检验</w:t>
      </w:r>
      <w:bookmarkEnd w:id="201"/>
    </w:p>
    <w:p w14:paraId="02429B58">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9.3</w:t>
      </w:r>
      <w:bookmarkEnd w:id="202"/>
      <w:r>
        <w:rPr>
          <w:rFonts w:hint="eastAsia" w:ascii="宋体" w:hAnsi="宋体" w:eastAsia="宋体" w:cs="宋体"/>
          <w:color w:val="000000"/>
          <w:kern w:val="0"/>
          <w:sz w:val="24"/>
          <w:szCs w:val="24"/>
        </w:rPr>
        <w:t>.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292C3292">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14:paraId="1E0D7D31">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延误的工期由发包人承担。</w:t>
      </w:r>
    </w:p>
    <w:p w14:paraId="45004F12">
      <w:pPr>
        <w:pStyle w:val="6"/>
        <w:spacing w:before="0" w:after="0" w:line="240" w:lineRule="auto"/>
        <w:ind w:firstLine="480" w:firstLineChars="200"/>
        <w:rPr>
          <w:rFonts w:hint="eastAsia" w:ascii="宋体" w:hAnsi="宋体" w:eastAsia="宋体" w:cs="宋体"/>
          <w:b w:val="0"/>
          <w:color w:val="000000"/>
          <w:sz w:val="24"/>
          <w:szCs w:val="24"/>
        </w:rPr>
      </w:pPr>
      <w:bookmarkStart w:id="203" w:name="_Toc443898123"/>
      <w:r>
        <w:rPr>
          <w:rFonts w:hint="eastAsia" w:ascii="宋体" w:hAnsi="宋体" w:eastAsia="宋体" w:cs="宋体"/>
          <w:b w:val="0"/>
          <w:color w:val="000000"/>
          <w:sz w:val="24"/>
          <w:szCs w:val="24"/>
        </w:rPr>
        <w:t>9.4现</w:t>
      </w:r>
      <w:bookmarkStart w:id="204" w:name="_Toc337558786"/>
      <w:r>
        <w:rPr>
          <w:rFonts w:hint="eastAsia" w:ascii="宋体" w:hAnsi="宋体" w:eastAsia="宋体" w:cs="宋体"/>
          <w:b w:val="0"/>
          <w:color w:val="000000"/>
          <w:sz w:val="24"/>
          <w:szCs w:val="24"/>
        </w:rPr>
        <w:t>场工艺试验</w:t>
      </w:r>
      <w:bookmarkEnd w:id="203"/>
    </w:p>
    <w:p w14:paraId="76773062">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w:t>
      </w:r>
      <w:bookmarkEnd w:id="204"/>
      <w:r>
        <w:rPr>
          <w:rFonts w:hint="eastAsia" w:ascii="宋体" w:hAnsi="宋体" w:eastAsia="宋体" w:cs="宋体"/>
          <w:color w:val="000000"/>
          <w:kern w:val="0"/>
          <w:sz w:val="24"/>
          <w:szCs w:val="24"/>
        </w:rPr>
        <w:t>应按合同约定或监理人指示进行现场工艺试验。对大型的现场工艺试验，监理人认为必要时，承包人应根据监理人提出的工艺试验要求，编制工艺试验措施计划，报送监理人审查。</w:t>
      </w:r>
    </w:p>
    <w:p w14:paraId="26F31962">
      <w:pPr>
        <w:pStyle w:val="5"/>
        <w:spacing w:before="0" w:after="0" w:line="240" w:lineRule="auto"/>
        <w:ind w:firstLine="480" w:firstLineChars="200"/>
        <w:rPr>
          <w:rFonts w:hint="eastAsia" w:ascii="宋体" w:hAnsi="宋体" w:eastAsia="宋体" w:cs="宋体"/>
          <w:b w:val="0"/>
          <w:color w:val="000000"/>
          <w:sz w:val="24"/>
          <w:szCs w:val="24"/>
        </w:rPr>
      </w:pPr>
      <w:bookmarkStart w:id="205" w:name="_Toc443898124"/>
      <w:r>
        <w:rPr>
          <w:rFonts w:hint="eastAsia" w:ascii="宋体" w:hAnsi="宋体" w:eastAsia="宋体" w:cs="宋体"/>
          <w:b w:val="0"/>
          <w:color w:val="000000"/>
          <w:sz w:val="24"/>
          <w:szCs w:val="24"/>
        </w:rPr>
        <w:t xml:space="preserve">10. </w:t>
      </w:r>
      <w:bookmarkStart w:id="206" w:name="_Toc337558787"/>
      <w:r>
        <w:rPr>
          <w:rFonts w:hint="eastAsia" w:ascii="宋体" w:hAnsi="宋体" w:eastAsia="宋体" w:cs="宋体"/>
          <w:b w:val="0"/>
          <w:color w:val="000000"/>
          <w:sz w:val="24"/>
          <w:szCs w:val="24"/>
        </w:rPr>
        <w:t>变更</w:t>
      </w:r>
      <w:bookmarkEnd w:id="205"/>
    </w:p>
    <w:p w14:paraId="1BF69C4A">
      <w:pPr>
        <w:pStyle w:val="6"/>
        <w:spacing w:before="0" w:after="0" w:line="240" w:lineRule="auto"/>
        <w:ind w:firstLine="480" w:firstLineChars="200"/>
        <w:rPr>
          <w:rFonts w:hint="eastAsia" w:ascii="宋体" w:hAnsi="宋体" w:eastAsia="宋体" w:cs="宋体"/>
          <w:b w:val="0"/>
          <w:color w:val="000000"/>
          <w:sz w:val="24"/>
          <w:szCs w:val="24"/>
        </w:rPr>
      </w:pPr>
      <w:bookmarkStart w:id="207" w:name="_Toc443898125"/>
      <w:r>
        <w:rPr>
          <w:rFonts w:hint="eastAsia" w:ascii="宋体" w:hAnsi="宋体" w:eastAsia="宋体" w:cs="宋体"/>
          <w:b w:val="0"/>
          <w:color w:val="000000"/>
          <w:sz w:val="24"/>
          <w:szCs w:val="24"/>
        </w:rPr>
        <w:t>10</w:t>
      </w:r>
      <w:bookmarkEnd w:id="195"/>
      <w:bookmarkEnd w:id="196"/>
      <w:r>
        <w:rPr>
          <w:rFonts w:hint="eastAsia" w:ascii="宋体" w:hAnsi="宋体" w:eastAsia="宋体" w:cs="宋体"/>
          <w:b w:val="0"/>
          <w:color w:val="000000"/>
          <w:sz w:val="24"/>
          <w:szCs w:val="24"/>
        </w:rPr>
        <w:t>.</w:t>
      </w:r>
      <w:bookmarkEnd w:id="206"/>
      <w:r>
        <w:rPr>
          <w:rFonts w:hint="eastAsia" w:ascii="宋体" w:hAnsi="宋体" w:eastAsia="宋体" w:cs="宋体"/>
          <w:b w:val="0"/>
          <w:color w:val="000000"/>
          <w:sz w:val="24"/>
          <w:szCs w:val="24"/>
        </w:rPr>
        <w:t>1</w:t>
      </w:r>
      <w:bookmarkStart w:id="208" w:name="_Toc296346585"/>
      <w:bookmarkStart w:id="209" w:name="_Toc296503084"/>
      <w:bookmarkStart w:id="210" w:name="_Toc337558788"/>
      <w:r>
        <w:rPr>
          <w:rFonts w:hint="eastAsia" w:ascii="宋体" w:hAnsi="宋体" w:eastAsia="宋体" w:cs="宋体"/>
          <w:b w:val="0"/>
          <w:color w:val="000000"/>
          <w:sz w:val="24"/>
          <w:szCs w:val="24"/>
        </w:rPr>
        <w:t>变更的范围</w:t>
      </w:r>
      <w:bookmarkEnd w:id="207"/>
    </w:p>
    <w:p w14:paraId="0C5F1269">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w:t>
      </w:r>
      <w:bookmarkEnd w:id="208"/>
      <w:bookmarkEnd w:id="209"/>
      <w:bookmarkEnd w:id="210"/>
      <w:r>
        <w:rPr>
          <w:rFonts w:hint="eastAsia" w:ascii="宋体" w:hAnsi="宋体" w:eastAsia="宋体" w:cs="宋体"/>
          <w:color w:val="000000"/>
          <w:kern w:val="0"/>
          <w:sz w:val="24"/>
          <w:szCs w:val="24"/>
        </w:rPr>
        <w:t>合同条款另有约定外，合同履行过程中发生以下情形的，应按照本条约定进行变更：</w:t>
      </w:r>
    </w:p>
    <w:p w14:paraId="3A56A9BE">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（1）增加或减少合同中任何工作，或追加额外的工作；</w:t>
      </w:r>
    </w:p>
    <w:p w14:paraId="7973F37D">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（2）取消合同中任何工作；</w:t>
      </w:r>
    </w:p>
    <w:p w14:paraId="0390FCE5">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（3）改变合同中任何工作的质量标准或其他特性；</w:t>
      </w:r>
    </w:p>
    <w:p w14:paraId="06DBD6D0">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（4）改变工程的基线、标高、位置和尺寸；</w:t>
      </w:r>
    </w:p>
    <w:p w14:paraId="09532D1F">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（5）改变工程的时间安排或实施顺序；</w:t>
      </w:r>
    </w:p>
    <w:p w14:paraId="1D262850">
      <w:pPr>
        <w:pStyle w:val="6"/>
        <w:spacing w:before="0" w:after="0" w:line="240" w:lineRule="auto"/>
        <w:ind w:firstLine="480" w:firstLineChars="200"/>
        <w:rPr>
          <w:rFonts w:hint="eastAsia" w:ascii="宋体" w:hAnsi="宋体" w:eastAsia="宋体" w:cs="宋体"/>
          <w:b w:val="0"/>
          <w:color w:val="000000"/>
          <w:sz w:val="24"/>
          <w:szCs w:val="24"/>
        </w:rPr>
      </w:pPr>
      <w:bookmarkStart w:id="211" w:name="_Toc443898126"/>
      <w:r>
        <w:rPr>
          <w:rFonts w:hint="eastAsia" w:ascii="宋体" w:hAnsi="宋体" w:eastAsia="宋体" w:cs="宋体"/>
          <w:b w:val="0"/>
          <w:color w:val="000000"/>
          <w:sz w:val="24"/>
          <w:szCs w:val="24"/>
        </w:rPr>
        <w:t>10.2</w:t>
      </w:r>
      <w:bookmarkStart w:id="212" w:name="_Toc296346586"/>
      <w:bookmarkStart w:id="213" w:name="_Toc337558789"/>
      <w:bookmarkStart w:id="214" w:name="_Toc296503085"/>
      <w:r>
        <w:rPr>
          <w:rFonts w:hint="eastAsia" w:ascii="宋体" w:hAnsi="宋体" w:eastAsia="宋体" w:cs="宋体"/>
          <w:b w:val="0"/>
          <w:color w:val="000000"/>
          <w:sz w:val="24"/>
          <w:szCs w:val="24"/>
        </w:rPr>
        <w:t>变更权</w:t>
      </w:r>
      <w:bookmarkEnd w:id="211"/>
    </w:p>
    <w:p w14:paraId="0AC2C709">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w:t>
      </w:r>
      <w:bookmarkEnd w:id="212"/>
      <w:bookmarkEnd w:id="213"/>
      <w:bookmarkEnd w:id="214"/>
      <w:r>
        <w:rPr>
          <w:rFonts w:hint="eastAsia" w:ascii="宋体" w:hAnsi="宋体" w:eastAsia="宋体" w:cs="宋体"/>
          <w:color w:val="000000"/>
          <w:kern w:val="0"/>
          <w:sz w:val="24"/>
          <w:szCs w:val="24"/>
        </w:rPr>
        <w:t>和监理人均可以提出变更。变更指示均通过监理人发出，监理人发出变更指示前应征得发包人同意。承包人收到经发包人签认的变更指示后，方可实施变更。未经许可，承包人不得擅自对工程的任何部分进行变更。</w:t>
      </w:r>
    </w:p>
    <w:p w14:paraId="3EBF9F2F">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涉及设计变更的，应由设计人提供变更后的图纸和说明。如变更超过原设计标准或批准的建设规模时，发包人应及时办理规划、设计变更等审批手续。</w:t>
      </w:r>
    </w:p>
    <w:p w14:paraId="615C5C92">
      <w:pPr>
        <w:pStyle w:val="6"/>
        <w:spacing w:before="0" w:after="0" w:line="240" w:lineRule="auto"/>
        <w:ind w:firstLine="480" w:firstLineChars="200"/>
        <w:rPr>
          <w:rFonts w:hint="eastAsia" w:ascii="宋体" w:hAnsi="宋体" w:eastAsia="宋体" w:cs="宋体"/>
          <w:b w:val="0"/>
          <w:color w:val="000000"/>
          <w:sz w:val="24"/>
          <w:szCs w:val="24"/>
        </w:rPr>
      </w:pPr>
      <w:bookmarkStart w:id="215" w:name="_Toc443898127"/>
      <w:r>
        <w:rPr>
          <w:rFonts w:hint="eastAsia" w:ascii="宋体" w:hAnsi="宋体" w:eastAsia="宋体" w:cs="宋体"/>
          <w:b w:val="0"/>
          <w:color w:val="000000"/>
          <w:sz w:val="24"/>
          <w:szCs w:val="24"/>
        </w:rPr>
        <w:t>10.3</w:t>
      </w:r>
      <w:bookmarkStart w:id="216" w:name="_Toc296346587"/>
      <w:bookmarkStart w:id="217" w:name="_Toc337558790"/>
      <w:bookmarkStart w:id="218" w:name="_Toc296503086"/>
      <w:r>
        <w:rPr>
          <w:rFonts w:hint="eastAsia" w:ascii="宋体" w:hAnsi="宋体" w:eastAsia="宋体" w:cs="宋体"/>
          <w:b w:val="0"/>
          <w:color w:val="000000"/>
          <w:sz w:val="24"/>
          <w:szCs w:val="24"/>
        </w:rPr>
        <w:t>变更程序</w:t>
      </w:r>
      <w:bookmarkEnd w:id="215"/>
    </w:p>
    <w:p w14:paraId="32D34945">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sz w:val="24"/>
          <w:szCs w:val="24"/>
        </w:rPr>
        <w:t>10</w:t>
      </w:r>
      <w:r>
        <w:rPr>
          <w:rFonts w:hint="eastAsia" w:ascii="宋体" w:hAnsi="宋体" w:eastAsia="宋体" w:cs="宋体"/>
          <w:color w:val="000000"/>
          <w:kern w:val="0"/>
          <w:sz w:val="24"/>
          <w:szCs w:val="24"/>
        </w:rPr>
        <w:t>.</w:t>
      </w:r>
      <w:bookmarkEnd w:id="216"/>
      <w:bookmarkEnd w:id="217"/>
      <w:bookmarkEnd w:id="218"/>
      <w:r>
        <w:rPr>
          <w:rFonts w:hint="eastAsia" w:ascii="宋体" w:hAnsi="宋体" w:eastAsia="宋体" w:cs="宋体"/>
          <w:color w:val="000000"/>
          <w:kern w:val="0"/>
          <w:sz w:val="24"/>
          <w:szCs w:val="24"/>
        </w:rPr>
        <w:t>3.1 发包人提出变更</w:t>
      </w:r>
    </w:p>
    <w:p w14:paraId="5562D283">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发包人提出变更的，应通过监理人向承包人发出变更指示，变更指示应说明计划变更的工程范围和变更的内容。</w:t>
      </w:r>
    </w:p>
    <w:p w14:paraId="03534E55">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sz w:val="24"/>
          <w:szCs w:val="24"/>
        </w:rPr>
        <w:t>10</w:t>
      </w:r>
      <w:r>
        <w:rPr>
          <w:rFonts w:hint="eastAsia" w:ascii="宋体" w:hAnsi="宋体" w:eastAsia="宋体" w:cs="宋体"/>
          <w:color w:val="000000"/>
          <w:kern w:val="0"/>
          <w:sz w:val="24"/>
          <w:szCs w:val="24"/>
        </w:rPr>
        <w:t>.3.2 监理人提出变更建议</w:t>
      </w:r>
    </w:p>
    <w:p w14:paraId="70ECDBB9">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14:paraId="69B6F9F3">
      <w:pPr>
        <w:autoSpaceDE w:val="0"/>
        <w:autoSpaceDN w:val="0"/>
        <w:adjustRightInd w:val="0"/>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10.3.3 变更执行</w:t>
      </w:r>
    </w:p>
    <w:p w14:paraId="0B3E837E">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14:paraId="3B2792A3">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所有变更工程和新增工程引起的计价、计量调整、报批和审批过程，均不得影响变更的执行，承包人不得以此为理由公开或变相拖延或延误新增或变更工程，否则，承包人将承担由此造成的经济损失及工期延误的责任。承包人在收到发包人书面通知催促办理办理变更的情况下，需按照书面通知中规定的时间节点办理变更，如不及时办理合同变更，发包人有权在当次变更的最终审定价中扣罚，每超过一天，扣罚当次变更的最终审定价的千分之一的违约金。</w:t>
      </w:r>
    </w:p>
    <w:p w14:paraId="0F7BD8E1">
      <w:pPr>
        <w:pStyle w:val="6"/>
        <w:spacing w:before="0" w:after="0" w:line="240" w:lineRule="auto"/>
        <w:ind w:firstLine="480" w:firstLineChars="200"/>
        <w:rPr>
          <w:rFonts w:hint="eastAsia" w:ascii="宋体" w:hAnsi="宋体" w:eastAsia="宋体" w:cs="宋体"/>
          <w:b w:val="0"/>
          <w:color w:val="000000"/>
          <w:sz w:val="24"/>
          <w:szCs w:val="24"/>
        </w:rPr>
      </w:pPr>
      <w:bookmarkStart w:id="219" w:name="_Toc443898128"/>
      <w:r>
        <w:rPr>
          <w:rFonts w:hint="eastAsia" w:ascii="宋体" w:hAnsi="宋体" w:eastAsia="宋体" w:cs="宋体"/>
          <w:b w:val="0"/>
          <w:color w:val="000000"/>
          <w:sz w:val="24"/>
          <w:szCs w:val="24"/>
        </w:rPr>
        <w:t>10.4</w:t>
      </w:r>
      <w:bookmarkStart w:id="220" w:name="_Toc337558791"/>
      <w:bookmarkStart w:id="221" w:name="_Toc296503087"/>
      <w:bookmarkStart w:id="222" w:name="_Toc296346588"/>
      <w:r>
        <w:rPr>
          <w:rFonts w:hint="eastAsia" w:ascii="宋体" w:hAnsi="宋体" w:eastAsia="宋体" w:cs="宋体"/>
          <w:b w:val="0"/>
          <w:color w:val="000000"/>
          <w:sz w:val="24"/>
          <w:szCs w:val="24"/>
        </w:rPr>
        <w:t>变更估价</w:t>
      </w:r>
      <w:bookmarkEnd w:id="219"/>
    </w:p>
    <w:p w14:paraId="5B064CD8">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w:t>
      </w:r>
      <w:bookmarkEnd w:id="220"/>
      <w:bookmarkEnd w:id="221"/>
      <w:bookmarkEnd w:id="222"/>
      <w:r>
        <w:rPr>
          <w:rFonts w:hint="eastAsia" w:ascii="宋体" w:hAnsi="宋体" w:eastAsia="宋体" w:cs="宋体"/>
          <w:color w:val="000000"/>
          <w:kern w:val="0"/>
          <w:sz w:val="24"/>
          <w:szCs w:val="24"/>
        </w:rPr>
        <w:t>4.1 变更估价原则</w:t>
      </w:r>
    </w:p>
    <w:p w14:paraId="6EDA3A12">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除专用合同条款另有约定外，变更估价按照本款约定处理：</w:t>
      </w:r>
    </w:p>
    <w:p w14:paraId="61E6DDCD">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（1）已标价工程量清单或预算书有相同项目的，按照相同项目单价认定；</w:t>
      </w:r>
    </w:p>
    <w:p w14:paraId="511FCD94">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（2）已标价工程量清单或预算书中无相同项目，但有类似项目的，参照类似项目的单价认定；</w:t>
      </w:r>
    </w:p>
    <w:p w14:paraId="78A13F43">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14:paraId="47EF2E8A">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10.4.2 变更估价程序</w:t>
      </w:r>
    </w:p>
    <w:p w14:paraId="683B7CD1">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承包人应在收到变更指示后</w:t>
      </w:r>
      <w:r>
        <w:rPr>
          <w:rFonts w:hint="eastAsia" w:ascii="宋体" w:hAnsi="宋体" w:eastAsia="宋体" w:cs="宋体"/>
          <w:color w:val="000000"/>
          <w:kern w:val="0"/>
          <w:sz w:val="24"/>
          <w:szCs w:val="24"/>
          <w:u w:val="single"/>
        </w:rPr>
        <w:t>14天</w:t>
      </w:r>
      <w:r>
        <w:rPr>
          <w:rFonts w:hint="eastAsia" w:ascii="宋体" w:hAnsi="宋体" w:eastAsia="宋体" w:cs="宋体"/>
          <w:color w:val="000000"/>
          <w:kern w:val="0"/>
          <w:sz w:val="24"/>
          <w:szCs w:val="24"/>
        </w:rPr>
        <w:t>内，向监理人提交变更估价申请。监理人应在收到承包人提交的变更估价申请后</w:t>
      </w:r>
      <w:r>
        <w:rPr>
          <w:rFonts w:hint="eastAsia" w:ascii="宋体" w:hAnsi="宋体" w:eastAsia="宋体" w:cs="宋体"/>
          <w:color w:val="000000"/>
          <w:kern w:val="0"/>
          <w:sz w:val="24"/>
          <w:szCs w:val="24"/>
          <w:u w:val="single"/>
        </w:rPr>
        <w:t>14天</w:t>
      </w:r>
      <w:r>
        <w:rPr>
          <w:rFonts w:hint="eastAsia" w:ascii="宋体" w:hAnsi="宋体" w:eastAsia="宋体" w:cs="宋体"/>
          <w:color w:val="000000"/>
          <w:kern w:val="0"/>
          <w:sz w:val="24"/>
          <w:szCs w:val="24"/>
        </w:rPr>
        <w:t>内审查完毕并报送发包人，监理人对变更估价申请有异议，通知承包人修改后重新提交。发包人应在承包人提交变更估价申请后</w:t>
      </w:r>
      <w:r>
        <w:rPr>
          <w:rFonts w:hint="eastAsia" w:ascii="宋体" w:hAnsi="宋体" w:eastAsia="宋体" w:cs="宋体"/>
          <w:color w:val="000000"/>
          <w:kern w:val="0"/>
          <w:sz w:val="24"/>
          <w:szCs w:val="24"/>
          <w:u w:val="single"/>
        </w:rPr>
        <w:t>28天</w:t>
      </w:r>
      <w:r>
        <w:rPr>
          <w:rFonts w:hint="eastAsia" w:ascii="宋体" w:hAnsi="宋体" w:eastAsia="宋体" w:cs="宋体"/>
          <w:color w:val="000000"/>
          <w:kern w:val="0"/>
          <w:sz w:val="24"/>
          <w:szCs w:val="24"/>
        </w:rPr>
        <w:t>内审批完毕。</w:t>
      </w:r>
    </w:p>
    <w:p w14:paraId="6A7109D1">
      <w:pPr>
        <w:pStyle w:val="6"/>
        <w:spacing w:before="0" w:after="0" w:line="240" w:lineRule="auto"/>
        <w:ind w:firstLine="480" w:firstLineChars="200"/>
        <w:rPr>
          <w:rFonts w:hint="eastAsia" w:ascii="宋体" w:hAnsi="宋体" w:eastAsia="宋体" w:cs="宋体"/>
          <w:b w:val="0"/>
          <w:color w:val="000000"/>
          <w:sz w:val="24"/>
          <w:szCs w:val="24"/>
        </w:rPr>
      </w:pPr>
      <w:bookmarkStart w:id="223" w:name="_Toc443898129"/>
      <w:r>
        <w:rPr>
          <w:rFonts w:hint="eastAsia" w:ascii="宋体" w:hAnsi="宋体" w:eastAsia="宋体" w:cs="宋体"/>
          <w:b w:val="0"/>
          <w:color w:val="000000"/>
          <w:sz w:val="24"/>
          <w:szCs w:val="24"/>
        </w:rPr>
        <w:t>10.5</w:t>
      </w:r>
      <w:bookmarkStart w:id="224" w:name="_Toc337558792"/>
      <w:bookmarkStart w:id="225" w:name="_Toc296503094"/>
      <w:bookmarkStart w:id="226" w:name="_Toc296346595"/>
      <w:r>
        <w:rPr>
          <w:rFonts w:hint="eastAsia" w:ascii="宋体" w:hAnsi="宋体" w:eastAsia="宋体" w:cs="宋体"/>
          <w:b w:val="0"/>
          <w:color w:val="000000"/>
          <w:sz w:val="24"/>
          <w:szCs w:val="24"/>
        </w:rPr>
        <w:t>承包人的合理化建议</w:t>
      </w:r>
      <w:bookmarkEnd w:id="223"/>
    </w:p>
    <w:p w14:paraId="2833C9AC">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w:t>
      </w:r>
      <w:bookmarkEnd w:id="224"/>
      <w:bookmarkEnd w:id="225"/>
      <w:bookmarkEnd w:id="226"/>
      <w:r>
        <w:rPr>
          <w:rFonts w:hint="eastAsia" w:ascii="宋体" w:hAnsi="宋体" w:eastAsia="宋体" w:cs="宋体"/>
          <w:color w:val="000000"/>
          <w:kern w:val="0"/>
          <w:sz w:val="24"/>
          <w:szCs w:val="24"/>
        </w:rPr>
        <w:t>提出合理化建议的，应向监理人提交合理化建议说明，说明建议的内容和理由，以及实施该建议对合同价格和工期的影响。</w:t>
      </w:r>
    </w:p>
    <w:p w14:paraId="6EEB12B6">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除专用合同条款另有约定外，监理人应在收到承包人提交的合理化建议后</w:t>
      </w:r>
      <w:r>
        <w:rPr>
          <w:rFonts w:hint="eastAsia" w:ascii="宋体" w:hAnsi="宋体" w:eastAsia="宋体" w:cs="宋体"/>
          <w:color w:val="000000"/>
          <w:kern w:val="0"/>
          <w:sz w:val="24"/>
          <w:szCs w:val="24"/>
          <w:u w:val="single"/>
        </w:rPr>
        <w:t>14天</w:t>
      </w:r>
      <w:r>
        <w:rPr>
          <w:rFonts w:hint="eastAsia" w:ascii="宋体" w:hAnsi="宋体" w:eastAsia="宋体" w:cs="宋体"/>
          <w:color w:val="000000"/>
          <w:kern w:val="0"/>
          <w:sz w:val="24"/>
          <w:szCs w:val="24"/>
        </w:rPr>
        <w:t>内审查完毕并报送发包人，发现其中存在技术上的缺陷，应通知承包人修改。发包人应在收到监理人报送的合理化建议后</w:t>
      </w:r>
      <w:r>
        <w:rPr>
          <w:rFonts w:hint="eastAsia" w:ascii="宋体" w:hAnsi="宋体" w:eastAsia="宋体" w:cs="宋体"/>
          <w:color w:val="000000"/>
          <w:kern w:val="0"/>
          <w:sz w:val="24"/>
          <w:szCs w:val="24"/>
          <w:u w:val="single"/>
        </w:rPr>
        <w:t>28天</w:t>
      </w:r>
      <w:r>
        <w:rPr>
          <w:rFonts w:hint="eastAsia" w:ascii="宋体" w:hAnsi="宋体" w:eastAsia="宋体" w:cs="宋体"/>
          <w:color w:val="000000"/>
          <w:kern w:val="0"/>
          <w:sz w:val="24"/>
          <w:szCs w:val="24"/>
        </w:rPr>
        <w:t>内审批完毕。合理化建议经发包人批准的，监理人应及时发出变更指示，由此引起的合同价格调整按照第10.4款〔变更估价〕约定执行。发包人不同意变更的，监理人应书面通知承包人。</w:t>
      </w:r>
    </w:p>
    <w:p w14:paraId="586F32F9">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合理化建议降低了合同价格或者提高了工程经济效益的，发包人可对承包人给予奖励，奖励的方法和金额在专用合同条款中约定。</w:t>
      </w:r>
    </w:p>
    <w:p w14:paraId="2C533D27">
      <w:pPr>
        <w:pStyle w:val="6"/>
        <w:spacing w:before="0" w:after="0" w:line="240" w:lineRule="auto"/>
        <w:ind w:firstLine="480" w:firstLineChars="200"/>
        <w:rPr>
          <w:rFonts w:hint="eastAsia" w:ascii="宋体" w:hAnsi="宋体" w:eastAsia="宋体" w:cs="宋体"/>
          <w:b w:val="0"/>
          <w:color w:val="000000"/>
          <w:sz w:val="24"/>
          <w:szCs w:val="24"/>
        </w:rPr>
      </w:pPr>
      <w:bookmarkStart w:id="227" w:name="_Toc443898130"/>
      <w:r>
        <w:rPr>
          <w:rFonts w:hint="eastAsia" w:ascii="宋体" w:hAnsi="宋体" w:eastAsia="宋体" w:cs="宋体"/>
          <w:b w:val="0"/>
          <w:color w:val="000000"/>
          <w:sz w:val="24"/>
          <w:szCs w:val="24"/>
        </w:rPr>
        <w:t>10.6</w:t>
      </w:r>
      <w:bookmarkStart w:id="228" w:name="_Toc337558793"/>
      <w:r>
        <w:rPr>
          <w:rFonts w:hint="eastAsia" w:ascii="宋体" w:hAnsi="宋体" w:eastAsia="宋体" w:cs="宋体"/>
          <w:b w:val="0"/>
          <w:color w:val="000000"/>
          <w:sz w:val="24"/>
          <w:szCs w:val="24"/>
        </w:rPr>
        <w:t>变更引起的工期调整</w:t>
      </w:r>
      <w:bookmarkEnd w:id="227"/>
    </w:p>
    <w:p w14:paraId="40AE2E0E">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因变</w:t>
      </w:r>
      <w:bookmarkEnd w:id="228"/>
      <w:r>
        <w:rPr>
          <w:rFonts w:hint="eastAsia" w:ascii="宋体" w:hAnsi="宋体" w:eastAsia="宋体" w:cs="宋体"/>
          <w:color w:val="000000"/>
          <w:kern w:val="0"/>
          <w:sz w:val="24"/>
          <w:szCs w:val="24"/>
        </w:rPr>
        <w:t>更引起工期变化的，合同当事人均可要求调整合同工期，由合同当事人按照第4.4款〔商定或确定〕并参考工程所在地的工期定额标准确定增减工期天数。</w:t>
      </w:r>
    </w:p>
    <w:p w14:paraId="27FB6646">
      <w:pPr>
        <w:pStyle w:val="6"/>
        <w:spacing w:before="0" w:after="0" w:line="240" w:lineRule="auto"/>
        <w:ind w:firstLine="480" w:firstLineChars="200"/>
        <w:rPr>
          <w:rFonts w:hint="eastAsia" w:ascii="宋体" w:hAnsi="宋体" w:eastAsia="宋体" w:cs="宋体"/>
          <w:b w:val="0"/>
          <w:color w:val="000000"/>
          <w:sz w:val="24"/>
          <w:szCs w:val="24"/>
        </w:rPr>
      </w:pPr>
      <w:bookmarkStart w:id="229" w:name="_Toc443898131"/>
      <w:r>
        <w:rPr>
          <w:rFonts w:hint="eastAsia" w:ascii="宋体" w:hAnsi="宋体" w:eastAsia="宋体" w:cs="宋体"/>
          <w:b w:val="0"/>
          <w:color w:val="000000"/>
          <w:sz w:val="24"/>
          <w:szCs w:val="24"/>
        </w:rPr>
        <w:t>10.7暂估价</w:t>
      </w:r>
      <w:bookmarkEnd w:id="229"/>
    </w:p>
    <w:p w14:paraId="73844B13">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暂估价专业分包工程、服务、材料和工程设备的明细由合同当事人在专用合同条款中约定。</w:t>
      </w:r>
    </w:p>
    <w:p w14:paraId="34481524">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sz w:val="24"/>
          <w:szCs w:val="24"/>
        </w:rPr>
        <w:t>10.7.1</w:t>
      </w:r>
      <w:r>
        <w:rPr>
          <w:rFonts w:hint="eastAsia" w:ascii="宋体" w:hAnsi="宋体" w:eastAsia="宋体" w:cs="宋体"/>
          <w:color w:val="000000"/>
          <w:kern w:val="0"/>
          <w:sz w:val="24"/>
          <w:szCs w:val="24"/>
        </w:rPr>
        <w:t>依法必须招标的暂估价项目</w:t>
      </w:r>
    </w:p>
    <w:p w14:paraId="7EDFCB38">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对于依法必须招标的暂估价项目，采取以下第1种方式确定。合同当事人也可以在专用合同条款中选择其他招标方式。</w:t>
      </w:r>
    </w:p>
    <w:p w14:paraId="5806EE90">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第1种方式：对于依法必须招标的暂估价项目，由承包人招标，对该暂估价项目的确认和批准按照以下约定执行：</w:t>
      </w:r>
    </w:p>
    <w:p w14:paraId="59043161">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（1）承包人应当根据施工进度计划，在招标工作启动前</w:t>
      </w:r>
      <w:r>
        <w:rPr>
          <w:rFonts w:hint="eastAsia" w:ascii="宋体" w:hAnsi="宋体" w:eastAsia="宋体" w:cs="宋体"/>
          <w:color w:val="000000"/>
          <w:kern w:val="0"/>
          <w:sz w:val="24"/>
          <w:szCs w:val="24"/>
          <w:u w:val="single"/>
        </w:rPr>
        <w:t>28天</w:t>
      </w:r>
      <w:r>
        <w:rPr>
          <w:rFonts w:hint="eastAsia" w:ascii="宋体" w:hAnsi="宋体" w:eastAsia="宋体" w:cs="宋体"/>
          <w:color w:val="000000"/>
          <w:kern w:val="0"/>
          <w:sz w:val="24"/>
          <w:szCs w:val="24"/>
        </w:rPr>
        <w:t>将招标方案通过监理人报送发包人审查，发包人应当在收到承包人报送的招标方案后</w:t>
      </w:r>
      <w:r>
        <w:rPr>
          <w:rFonts w:hint="eastAsia" w:ascii="宋体" w:hAnsi="宋体" w:eastAsia="宋体" w:cs="宋体"/>
          <w:color w:val="000000"/>
          <w:kern w:val="0"/>
          <w:sz w:val="24"/>
          <w:szCs w:val="24"/>
          <w:u w:val="single"/>
        </w:rPr>
        <w:t>21天</w:t>
      </w:r>
      <w:r>
        <w:rPr>
          <w:rFonts w:hint="eastAsia" w:ascii="宋体" w:hAnsi="宋体" w:eastAsia="宋体" w:cs="宋体"/>
          <w:color w:val="000000"/>
          <w:kern w:val="0"/>
          <w:sz w:val="24"/>
          <w:szCs w:val="24"/>
        </w:rPr>
        <w:t>内批准或提出修改意见。承包人应当按照经过发包人批准的招标方案开展招标工作；</w:t>
      </w:r>
    </w:p>
    <w:p w14:paraId="026B41FE">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（2）承包人应当根据施工进度计划，提前</w:t>
      </w:r>
      <w:r>
        <w:rPr>
          <w:rFonts w:hint="eastAsia" w:ascii="宋体" w:hAnsi="宋体" w:eastAsia="宋体" w:cs="宋体"/>
          <w:color w:val="000000"/>
          <w:kern w:val="0"/>
          <w:sz w:val="24"/>
          <w:szCs w:val="24"/>
          <w:u w:val="single"/>
        </w:rPr>
        <w:t>28天</w:t>
      </w:r>
      <w:r>
        <w:rPr>
          <w:rFonts w:hint="eastAsia" w:ascii="宋体" w:hAnsi="宋体" w:eastAsia="宋体" w:cs="宋体"/>
          <w:color w:val="000000"/>
          <w:kern w:val="0"/>
          <w:sz w:val="24"/>
          <w:szCs w:val="24"/>
        </w:rPr>
        <w:t>将招标文件通过监理人报送发包人审批，发包人应当在收到承包人报送的相关文件后</w:t>
      </w:r>
      <w:r>
        <w:rPr>
          <w:rFonts w:hint="eastAsia" w:ascii="宋体" w:hAnsi="宋体" w:eastAsia="宋体" w:cs="宋体"/>
          <w:color w:val="000000"/>
          <w:kern w:val="0"/>
          <w:sz w:val="24"/>
          <w:szCs w:val="24"/>
          <w:u w:val="single"/>
        </w:rPr>
        <w:t>21天</w:t>
      </w:r>
      <w:r>
        <w:rPr>
          <w:rFonts w:hint="eastAsia" w:ascii="宋体" w:hAnsi="宋体" w:eastAsia="宋体" w:cs="宋体"/>
          <w:color w:val="000000"/>
          <w:kern w:val="0"/>
          <w:sz w:val="24"/>
          <w:szCs w:val="24"/>
        </w:rPr>
        <w:t>内完成审批或提出修改意见；发包人有权确定招标控制价并按照法律规定参加评标；</w:t>
      </w:r>
    </w:p>
    <w:p w14:paraId="223C8993">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（3）承包人与供应商、分包人在签订暂估价合同前，应当提前</w:t>
      </w:r>
      <w:r>
        <w:rPr>
          <w:rFonts w:hint="eastAsia" w:ascii="宋体" w:hAnsi="宋体" w:eastAsia="宋体" w:cs="宋体"/>
          <w:color w:val="000000"/>
          <w:kern w:val="0"/>
          <w:sz w:val="24"/>
          <w:szCs w:val="24"/>
          <w:u w:val="single"/>
        </w:rPr>
        <w:t>14天</w:t>
      </w:r>
      <w:r>
        <w:rPr>
          <w:rFonts w:hint="eastAsia" w:ascii="宋体" w:hAnsi="宋体" w:eastAsia="宋体" w:cs="宋体"/>
          <w:color w:val="000000"/>
          <w:kern w:val="0"/>
          <w:sz w:val="24"/>
          <w:szCs w:val="24"/>
        </w:rPr>
        <w:t>将确定的中标候选供应商或中标候选分包人的资料报送发包人，发包人应在收到资料后</w:t>
      </w:r>
      <w:r>
        <w:rPr>
          <w:rFonts w:hint="eastAsia" w:ascii="宋体" w:hAnsi="宋体" w:eastAsia="宋体" w:cs="宋体"/>
          <w:color w:val="000000"/>
          <w:kern w:val="0"/>
          <w:sz w:val="24"/>
          <w:szCs w:val="24"/>
          <w:u w:val="single"/>
        </w:rPr>
        <w:t>14天</w:t>
      </w:r>
      <w:r>
        <w:rPr>
          <w:rFonts w:hint="eastAsia" w:ascii="宋体" w:hAnsi="宋体" w:eastAsia="宋体" w:cs="宋体"/>
          <w:color w:val="000000"/>
          <w:kern w:val="0"/>
          <w:sz w:val="24"/>
          <w:szCs w:val="24"/>
        </w:rPr>
        <w:t>内与承包人共同确定中标人；承包人应当在签订合同后</w:t>
      </w:r>
      <w:r>
        <w:rPr>
          <w:rFonts w:hint="eastAsia" w:ascii="宋体" w:hAnsi="宋体" w:eastAsia="宋体" w:cs="宋体"/>
          <w:color w:val="000000"/>
          <w:kern w:val="0"/>
          <w:sz w:val="24"/>
          <w:szCs w:val="24"/>
          <w:u w:val="single"/>
        </w:rPr>
        <w:t>14天</w:t>
      </w:r>
      <w:r>
        <w:rPr>
          <w:rFonts w:hint="eastAsia" w:ascii="宋体" w:hAnsi="宋体" w:eastAsia="宋体" w:cs="宋体"/>
          <w:color w:val="000000"/>
          <w:kern w:val="0"/>
          <w:sz w:val="24"/>
          <w:szCs w:val="24"/>
        </w:rPr>
        <w:t>内，将暂估价合同副本报送发包人留存。</w:t>
      </w:r>
    </w:p>
    <w:p w14:paraId="6FFA6BFF">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第2种方式：对于依法必须招标的暂估价项目，由发包人和承包人共同招标确定暂估价供应商或分包人的，承包人应按照施工进度计划，在招标工作启动前</w:t>
      </w:r>
      <w:r>
        <w:rPr>
          <w:rFonts w:hint="eastAsia" w:ascii="宋体" w:hAnsi="宋体" w:eastAsia="宋体" w:cs="宋体"/>
          <w:color w:val="000000"/>
          <w:kern w:val="0"/>
          <w:sz w:val="24"/>
          <w:szCs w:val="24"/>
          <w:u w:val="single"/>
        </w:rPr>
        <w:t>14天</w:t>
      </w:r>
      <w:r>
        <w:rPr>
          <w:rFonts w:hint="eastAsia" w:ascii="宋体" w:hAnsi="宋体" w:eastAsia="宋体" w:cs="宋体"/>
          <w:color w:val="000000"/>
          <w:kern w:val="0"/>
          <w:sz w:val="24"/>
          <w:szCs w:val="24"/>
        </w:rPr>
        <w:t>通知发包人，并提交暂估价招标方案和工作分工。发包人应在收到后</w:t>
      </w:r>
      <w:r>
        <w:rPr>
          <w:rFonts w:hint="eastAsia" w:ascii="宋体" w:hAnsi="宋体" w:eastAsia="宋体" w:cs="宋体"/>
          <w:color w:val="000000"/>
          <w:kern w:val="0"/>
          <w:sz w:val="24"/>
          <w:szCs w:val="24"/>
          <w:u w:val="single"/>
        </w:rPr>
        <w:t>21天</w:t>
      </w:r>
      <w:r>
        <w:rPr>
          <w:rFonts w:hint="eastAsia" w:ascii="宋体" w:hAnsi="宋体" w:eastAsia="宋体" w:cs="宋体"/>
          <w:color w:val="000000"/>
          <w:kern w:val="0"/>
          <w:sz w:val="24"/>
          <w:szCs w:val="24"/>
        </w:rPr>
        <w:t>内确认。确定中标人后，由发包人、承包人与中标人共同签订暂估价合同。</w:t>
      </w:r>
    </w:p>
    <w:p w14:paraId="56049139">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发包人有权改变已约定的暂估价项目招标方式。</w:t>
      </w:r>
    </w:p>
    <w:p w14:paraId="0B660F2F">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sz w:val="24"/>
          <w:szCs w:val="24"/>
        </w:rPr>
        <w:t>10.7.2</w:t>
      </w:r>
      <w:r>
        <w:rPr>
          <w:rFonts w:hint="eastAsia" w:ascii="宋体" w:hAnsi="宋体" w:eastAsia="宋体" w:cs="宋体"/>
          <w:color w:val="000000"/>
          <w:kern w:val="0"/>
          <w:sz w:val="24"/>
          <w:szCs w:val="24"/>
        </w:rPr>
        <w:t>不属于依法必须招标的暂估价项目</w:t>
      </w:r>
    </w:p>
    <w:p w14:paraId="500C2F37">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除专用合同条款另有约定外，对于不属于依法必须招标的暂估价项目，采取以下第1种方式确定：</w:t>
      </w:r>
    </w:p>
    <w:p w14:paraId="4C477235">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第1种方式：对于不属于依法必须招标的暂估价项目，按本项约定确认和批准：</w:t>
      </w:r>
    </w:p>
    <w:p w14:paraId="2B5A7140">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（1）承包人应根据施工进度计划，在签订暂估价项目的采购合同、分包合同前</w:t>
      </w:r>
      <w:r>
        <w:rPr>
          <w:rFonts w:hint="eastAsia" w:ascii="宋体" w:hAnsi="宋体" w:eastAsia="宋体" w:cs="宋体"/>
          <w:color w:val="000000"/>
          <w:kern w:val="0"/>
          <w:sz w:val="24"/>
          <w:szCs w:val="24"/>
          <w:u w:val="single"/>
        </w:rPr>
        <w:t>28天</w:t>
      </w:r>
      <w:r>
        <w:rPr>
          <w:rFonts w:hint="eastAsia" w:ascii="宋体" w:hAnsi="宋体" w:eastAsia="宋体" w:cs="宋体"/>
          <w:color w:val="000000"/>
          <w:kern w:val="0"/>
          <w:sz w:val="24"/>
          <w:szCs w:val="24"/>
        </w:rPr>
        <w:t>向监理人提出书面申请。监理人应当在收到申请后3天内报送发包人，发包人应当在收到申请后</w:t>
      </w:r>
      <w:r>
        <w:rPr>
          <w:rFonts w:hint="eastAsia" w:ascii="宋体" w:hAnsi="宋体" w:eastAsia="宋体" w:cs="宋体"/>
          <w:color w:val="000000"/>
          <w:kern w:val="0"/>
          <w:sz w:val="24"/>
          <w:szCs w:val="24"/>
          <w:u w:val="single"/>
        </w:rPr>
        <w:t>21天</w:t>
      </w:r>
      <w:r>
        <w:rPr>
          <w:rFonts w:hint="eastAsia" w:ascii="宋体" w:hAnsi="宋体" w:eastAsia="宋体" w:cs="宋体"/>
          <w:color w:val="000000"/>
          <w:kern w:val="0"/>
          <w:sz w:val="24"/>
          <w:szCs w:val="24"/>
        </w:rPr>
        <w:t>内给予批准或提出修改意见，发包人逾期未予批准或提出修改意见的，视为该书面申请已获得同意；</w:t>
      </w:r>
    </w:p>
    <w:p w14:paraId="57A60B53">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（2）发包人认为承包人确定的供应商、分包人无法满足工程质量或合同要求的，发包人可以要求承包人重新确定暂估价项目的供应商、分包人;</w:t>
      </w:r>
    </w:p>
    <w:p w14:paraId="776C1D13">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（3）承包人应当在签订暂估价合同后</w:t>
      </w:r>
      <w:r>
        <w:rPr>
          <w:rFonts w:hint="eastAsia" w:ascii="宋体" w:hAnsi="宋体" w:eastAsia="宋体" w:cs="宋体"/>
          <w:color w:val="000000"/>
          <w:kern w:val="0"/>
          <w:sz w:val="24"/>
          <w:szCs w:val="24"/>
          <w:u w:val="single"/>
        </w:rPr>
        <w:t>14天</w:t>
      </w:r>
      <w:r>
        <w:rPr>
          <w:rFonts w:hint="eastAsia" w:ascii="宋体" w:hAnsi="宋体" w:eastAsia="宋体" w:cs="宋体"/>
          <w:color w:val="000000"/>
          <w:kern w:val="0"/>
          <w:sz w:val="24"/>
          <w:szCs w:val="24"/>
        </w:rPr>
        <w:t>内，将暂估价合同副本报送发包人留存。</w:t>
      </w:r>
    </w:p>
    <w:p w14:paraId="4D9781F7">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第2种方式：承包人按照第10.7.1项〔依法必须招标的暂估价项目〕约定的第1种方式确定暂估价项目。</w:t>
      </w:r>
    </w:p>
    <w:p w14:paraId="6938B798">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sz w:val="24"/>
          <w:szCs w:val="24"/>
        </w:rPr>
        <w:t>第3种方式：</w:t>
      </w:r>
      <w:r>
        <w:rPr>
          <w:rFonts w:hint="eastAsia" w:ascii="宋体" w:hAnsi="宋体" w:eastAsia="宋体" w:cs="宋体"/>
          <w:color w:val="000000"/>
          <w:kern w:val="0"/>
          <w:sz w:val="24"/>
          <w:szCs w:val="24"/>
        </w:rPr>
        <w:t>承包人直接实施的暂估价项目</w:t>
      </w:r>
    </w:p>
    <w:p w14:paraId="2F38AD37">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承包人具备实施暂估价项目的资格和条件的，经发包人和承包人协商一致后，可由承包人自行实施暂估价项目，合同当事人可以在专用合同条款约定具体事项。</w:t>
      </w:r>
    </w:p>
    <w:p w14:paraId="6DF76FFA">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10.7.3 因发包人原因导致暂估价合同订立和履行迟延的，由此增加的费用和（或）延误的工期由发包人承担。因承包人原因导致暂估价合同订立和履行迟延的，由此增加的费用和（或）延误的工期由承包人承担。</w:t>
      </w:r>
    </w:p>
    <w:p w14:paraId="4965F37A">
      <w:pPr>
        <w:pStyle w:val="6"/>
        <w:spacing w:before="0" w:after="0" w:line="240" w:lineRule="auto"/>
        <w:ind w:firstLine="480" w:firstLineChars="200"/>
        <w:rPr>
          <w:rFonts w:hint="eastAsia" w:ascii="宋体" w:hAnsi="宋体" w:eastAsia="宋体" w:cs="宋体"/>
          <w:b w:val="0"/>
          <w:color w:val="000000"/>
          <w:sz w:val="24"/>
          <w:szCs w:val="24"/>
        </w:rPr>
      </w:pPr>
      <w:bookmarkStart w:id="230" w:name="_Toc443898132"/>
      <w:r>
        <w:rPr>
          <w:rFonts w:hint="eastAsia" w:ascii="宋体" w:hAnsi="宋体" w:eastAsia="宋体" w:cs="宋体"/>
          <w:b w:val="0"/>
          <w:color w:val="000000"/>
          <w:sz w:val="24"/>
          <w:szCs w:val="24"/>
        </w:rPr>
        <w:t>10.8</w:t>
      </w:r>
      <w:bookmarkStart w:id="231" w:name="_Toc337558794"/>
      <w:bookmarkStart w:id="232" w:name="_Toc296503090"/>
      <w:bookmarkStart w:id="233" w:name="_Toc322522561"/>
      <w:bookmarkStart w:id="234" w:name="_Toc296346591"/>
      <w:r>
        <w:rPr>
          <w:rFonts w:hint="eastAsia" w:ascii="宋体" w:hAnsi="宋体" w:eastAsia="宋体" w:cs="宋体"/>
          <w:b w:val="0"/>
          <w:color w:val="000000"/>
          <w:sz w:val="24"/>
          <w:szCs w:val="24"/>
        </w:rPr>
        <w:t>暂列金额</w:t>
      </w:r>
      <w:bookmarkEnd w:id="230"/>
    </w:p>
    <w:p w14:paraId="32525765">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暂列金</w:t>
      </w:r>
      <w:bookmarkEnd w:id="231"/>
      <w:r>
        <w:rPr>
          <w:rFonts w:hint="eastAsia" w:ascii="宋体" w:hAnsi="宋体" w:eastAsia="宋体" w:cs="宋体"/>
          <w:color w:val="000000"/>
          <w:kern w:val="0"/>
          <w:sz w:val="24"/>
          <w:szCs w:val="24"/>
        </w:rPr>
        <w:t>额应按照发包人的要求使用，发包人的要求应通过监理人发出。合同当事人可以在专用合同条款中协商确定有关事项。</w:t>
      </w:r>
    </w:p>
    <w:p w14:paraId="493CA73F">
      <w:pPr>
        <w:pStyle w:val="6"/>
        <w:spacing w:before="0" w:after="0" w:line="240" w:lineRule="auto"/>
        <w:ind w:firstLine="480" w:firstLineChars="200"/>
        <w:rPr>
          <w:rFonts w:hint="eastAsia" w:ascii="宋体" w:hAnsi="宋体" w:eastAsia="宋体" w:cs="宋体"/>
          <w:b w:val="0"/>
          <w:color w:val="000000"/>
          <w:sz w:val="24"/>
          <w:szCs w:val="24"/>
        </w:rPr>
      </w:pPr>
      <w:bookmarkStart w:id="235" w:name="_Toc443898133"/>
      <w:r>
        <w:rPr>
          <w:rFonts w:hint="eastAsia" w:ascii="宋体" w:hAnsi="宋体" w:eastAsia="宋体" w:cs="宋体"/>
          <w:b w:val="0"/>
          <w:color w:val="000000"/>
          <w:sz w:val="24"/>
          <w:szCs w:val="24"/>
        </w:rPr>
        <w:t>10.</w:t>
      </w:r>
      <w:bookmarkEnd w:id="232"/>
      <w:bookmarkEnd w:id="233"/>
      <w:bookmarkEnd w:id="234"/>
      <w:r>
        <w:rPr>
          <w:rFonts w:hint="eastAsia" w:ascii="宋体" w:hAnsi="宋体" w:eastAsia="宋体" w:cs="宋体"/>
          <w:b w:val="0"/>
          <w:color w:val="000000"/>
          <w:sz w:val="24"/>
          <w:szCs w:val="24"/>
        </w:rPr>
        <w:t>9</w:t>
      </w:r>
      <w:bookmarkStart w:id="236" w:name="_Toc337558796"/>
      <w:bookmarkStart w:id="237" w:name="_Toc296503091"/>
      <w:bookmarkStart w:id="238" w:name="_Toc296346592"/>
      <w:r>
        <w:rPr>
          <w:rFonts w:hint="eastAsia" w:ascii="宋体" w:hAnsi="宋体" w:eastAsia="宋体" w:cs="宋体"/>
          <w:b w:val="0"/>
          <w:color w:val="000000"/>
          <w:sz w:val="24"/>
          <w:szCs w:val="24"/>
        </w:rPr>
        <w:t>计日工</w:t>
      </w:r>
      <w:bookmarkEnd w:id="235"/>
    </w:p>
    <w:p w14:paraId="71CA3472">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需要</w:t>
      </w:r>
      <w:bookmarkEnd w:id="236"/>
      <w:bookmarkEnd w:id="237"/>
      <w:bookmarkEnd w:id="238"/>
      <w:r>
        <w:rPr>
          <w:rFonts w:hint="eastAsia" w:ascii="宋体" w:hAnsi="宋体" w:eastAsia="宋体" w:cs="宋体"/>
          <w:color w:val="000000"/>
          <w:kern w:val="0"/>
          <w:sz w:val="24"/>
          <w:szCs w:val="24"/>
        </w:rPr>
        <w:t>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变更工作的单价。</w:t>
      </w:r>
    </w:p>
    <w:p w14:paraId="166CBF88">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采用计日工计价的任何一项工作，承包人应在该项工作实施过程中，每天提交以下报表和有关凭证报送监理人审查：</w:t>
      </w:r>
    </w:p>
    <w:p w14:paraId="6752F3F6">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（1）工作名称、内容和数量；</w:t>
      </w:r>
    </w:p>
    <w:p w14:paraId="1318E401">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（2）投入该工作的所有人员的姓名、专业、工种、级别和耗用工时；</w:t>
      </w:r>
    </w:p>
    <w:p w14:paraId="5FEA8B60">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（3）投入该工作的材料类别和数量；</w:t>
      </w:r>
    </w:p>
    <w:p w14:paraId="72B0F60D">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（4）投入该工作的施工设备型号、台数和耗用台时；</w:t>
      </w:r>
    </w:p>
    <w:p w14:paraId="7EA2486B">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（5）其他有关资料和凭证。</w:t>
      </w:r>
    </w:p>
    <w:p w14:paraId="5A454E79">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计日工由承包人汇总后，列入最近一期进度付款申请单，由监理人审查并经发包人批准后列入进度付款。</w:t>
      </w:r>
    </w:p>
    <w:p w14:paraId="1817A488">
      <w:pPr>
        <w:pStyle w:val="5"/>
        <w:spacing w:before="0" w:after="0" w:line="240" w:lineRule="auto"/>
        <w:ind w:firstLine="480" w:firstLineChars="200"/>
        <w:rPr>
          <w:rFonts w:hint="eastAsia" w:ascii="宋体" w:hAnsi="宋体" w:eastAsia="宋体" w:cs="宋体"/>
          <w:b w:val="0"/>
          <w:color w:val="000000"/>
          <w:sz w:val="24"/>
          <w:szCs w:val="24"/>
        </w:rPr>
      </w:pPr>
      <w:bookmarkStart w:id="239" w:name="_Toc443898134"/>
      <w:r>
        <w:rPr>
          <w:rFonts w:hint="eastAsia" w:ascii="宋体" w:hAnsi="宋体" w:eastAsia="宋体" w:cs="宋体"/>
          <w:b w:val="0"/>
          <w:color w:val="000000"/>
          <w:sz w:val="24"/>
          <w:szCs w:val="24"/>
        </w:rPr>
        <w:t>11. 价格调整</w:t>
      </w:r>
      <w:bookmarkEnd w:id="239"/>
    </w:p>
    <w:p w14:paraId="45A3167C">
      <w:pPr>
        <w:pStyle w:val="6"/>
        <w:spacing w:before="0" w:after="0" w:line="240" w:lineRule="auto"/>
        <w:ind w:firstLine="480" w:firstLineChars="200"/>
        <w:rPr>
          <w:rFonts w:hint="eastAsia" w:ascii="宋体" w:hAnsi="宋体" w:eastAsia="宋体" w:cs="宋体"/>
          <w:b w:val="0"/>
          <w:color w:val="000000"/>
          <w:sz w:val="24"/>
          <w:szCs w:val="24"/>
        </w:rPr>
      </w:pPr>
      <w:bookmarkStart w:id="240" w:name="_Toc443898135"/>
      <w:r>
        <w:rPr>
          <w:rFonts w:hint="eastAsia" w:ascii="宋体" w:hAnsi="宋体" w:eastAsia="宋体" w:cs="宋体"/>
          <w:b w:val="0"/>
          <w:color w:val="000000"/>
          <w:sz w:val="24"/>
          <w:szCs w:val="24"/>
        </w:rPr>
        <w:t>11.</w:t>
      </w:r>
      <w:bookmarkStart w:id="241" w:name="_Toc296503092"/>
      <w:bookmarkStart w:id="242" w:name="_Toc296346593"/>
      <w:bookmarkStart w:id="243" w:name="_Toc337558797"/>
      <w:r>
        <w:rPr>
          <w:rFonts w:hint="eastAsia" w:ascii="宋体" w:hAnsi="宋体" w:eastAsia="宋体" w:cs="宋体"/>
          <w:b w:val="0"/>
          <w:color w:val="000000"/>
          <w:sz w:val="24"/>
          <w:szCs w:val="24"/>
        </w:rPr>
        <w:t>1市场价格波动引起的调整</w:t>
      </w:r>
      <w:bookmarkEnd w:id="240"/>
    </w:p>
    <w:p w14:paraId="3FC16D8B">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w:t>
      </w:r>
      <w:bookmarkEnd w:id="241"/>
      <w:bookmarkEnd w:id="242"/>
      <w:bookmarkEnd w:id="243"/>
      <w:r>
        <w:rPr>
          <w:rFonts w:hint="eastAsia" w:ascii="宋体" w:hAnsi="宋体" w:eastAsia="宋体" w:cs="宋体"/>
          <w:color w:val="000000"/>
          <w:kern w:val="0"/>
          <w:sz w:val="24"/>
          <w:szCs w:val="24"/>
        </w:rPr>
        <w:t>合同条款另有约定外，市场价格波动超过合同当事人约定的范围，合同价格应当调整。合同当事人可以在专用合同条款中约定选择以下一种方式对合同价格进行调整：</w:t>
      </w:r>
    </w:p>
    <w:p w14:paraId="333384E3">
      <w:pPr>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第1种方式：采用价格指数进行价格调整。</w:t>
      </w:r>
    </w:p>
    <w:p w14:paraId="03E5AAC9">
      <w:pPr>
        <w:tabs>
          <w:tab w:val="left" w:pos="0"/>
          <w:tab w:val="left" w:pos="360"/>
          <w:tab w:val="left" w:pos="540"/>
        </w:tabs>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（1）价格调整公式</w:t>
      </w:r>
    </w:p>
    <w:p w14:paraId="75BAE454">
      <w:pPr>
        <w:tabs>
          <w:tab w:val="left" w:pos="0"/>
          <w:tab w:val="left" w:pos="360"/>
          <w:tab w:val="left" w:pos="540"/>
        </w:tabs>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因人工、材料和设备等价格波动影响合同价格时，根据专用合同条款中约定的数据，按以下公式计算差额并调整合同价格：</w:t>
      </w:r>
    </w:p>
    <w:p w14:paraId="339001BB">
      <w:pPr>
        <w:tabs>
          <w:tab w:val="left" w:pos="0"/>
          <w:tab w:val="left" w:pos="360"/>
          <w:tab w:val="left" w:pos="540"/>
        </w:tabs>
        <w:ind w:firstLine="480" w:firstLineChars="200"/>
        <w:rPr>
          <w:rFonts w:hint="eastAsia" w:ascii="宋体" w:hAnsi="宋体" w:eastAsia="宋体" w:cs="宋体"/>
          <w:color w:val="000000"/>
          <w:sz w:val="24"/>
          <w:szCs w:val="24"/>
        </w:rPr>
      </w:pPr>
      <w:r>
        <w:rPr>
          <w:rFonts w:hint="eastAsia" w:ascii="宋体" w:hAnsi="宋体" w:eastAsia="宋体" w:cs="宋体"/>
          <w:color w:val="000000"/>
          <w:position w:val="-30"/>
          <w:sz w:val="24"/>
          <w:szCs w:val="24"/>
        </w:rPr>
        <w:object>
          <v:shape id="_x0000_i1025" o:spt="75" type="#_x0000_t75" style="height:43.9pt;width:360.15pt;" o:ole="t" filled="f" o:preferrelative="t" stroked="f" coordsize="21600,21600">
            <v:path/>
            <v:fill on="f" focussize="0,0"/>
            <v:stroke on="f"/>
            <v:imagedata r:id="rId7" o:title=""/>
            <o:lock v:ext="edit" aspectratio="t"/>
            <w10:wrap type="none"/>
            <w10:anchorlock/>
          </v:shape>
          <o:OLEObject Type="Embed" ProgID="Equation.3" ShapeID="_x0000_i1025" DrawAspect="Content" ObjectID="_1468075725" r:id="rId6">
            <o:LockedField>false</o:LockedField>
          </o:OLEObject>
        </w:object>
      </w:r>
    </w:p>
    <w:p w14:paraId="525B5E6F">
      <w:pPr>
        <w:tabs>
          <w:tab w:val="left" w:pos="0"/>
          <w:tab w:val="left" w:pos="360"/>
          <w:tab w:val="left" w:pos="540"/>
        </w:tabs>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公式中：ΔP——需调整的价格差额；</w:t>
      </w:r>
    </w:p>
    <w:p w14:paraId="3B6F96D5">
      <w:pPr>
        <w:tabs>
          <w:tab w:val="left" w:pos="0"/>
          <w:tab w:val="left" w:pos="360"/>
          <w:tab w:val="left" w:pos="540"/>
        </w:tabs>
        <w:ind w:firstLine="480" w:firstLineChars="200"/>
        <w:rPr>
          <w:rFonts w:hint="eastAsia" w:ascii="宋体" w:hAnsi="宋体" w:eastAsia="宋体" w:cs="宋体"/>
          <w:color w:val="000000"/>
          <w:sz w:val="24"/>
          <w:szCs w:val="24"/>
        </w:rPr>
      </w:pPr>
      <w:r>
        <w:rPr>
          <w:rFonts w:hint="eastAsia" w:ascii="宋体" w:hAnsi="宋体" w:eastAsia="宋体" w:cs="宋体"/>
          <w:color w:val="000000"/>
          <w:position w:val="-6"/>
          <w:sz w:val="24"/>
          <w:szCs w:val="24"/>
        </w:rPr>
        <w:object>
          <v:shape id="_x0000_i1026" o:spt="75" type="#_x0000_t75" style="height:17.3pt;width:17.3pt;" o:ole="t" filled="f" o:preferrelative="t" stroked="f" coordsize="21600,21600">
            <v:path/>
            <v:fill on="f" focussize="0,0"/>
            <v:stroke on="f"/>
            <v:imagedata r:id="rId9" o:title=""/>
            <o:lock v:ext="edit" aspectratio="t"/>
            <w10:wrap type="none"/>
            <w10:anchorlock/>
          </v:shape>
          <o:OLEObject Type="Embed" ProgID="Equation.3" ShapeID="_x0000_i1026" DrawAspect="Content" ObjectID="_1468075726" r:id="rId8">
            <o:LockedField>false</o:LockedField>
          </o:OLEObject>
        </w:object>
      </w:r>
      <w:r>
        <w:rPr>
          <w:rFonts w:hint="eastAsia" w:ascii="宋体" w:hAnsi="宋体" w:eastAsia="宋体" w:cs="宋体"/>
          <w:color w:val="000000"/>
          <w:sz w:val="24"/>
          <w:szCs w:val="24"/>
        </w:rPr>
        <w:t>——约定的付款证书中承包人应得到的已完成工程量的金额。此项金额应不包括价格调整、不计质量保证金的扣留和支付、预付款的支付和扣回。约定的变更及其他金额已按现行价格计价的，也不计在内；</w:t>
      </w:r>
    </w:p>
    <w:p w14:paraId="4109B0D9">
      <w:pPr>
        <w:tabs>
          <w:tab w:val="left" w:pos="0"/>
          <w:tab w:val="left" w:pos="360"/>
          <w:tab w:val="left" w:pos="540"/>
        </w:tabs>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A——定值权重（即不调部分的权重）；</w:t>
      </w:r>
    </w:p>
    <w:p w14:paraId="1DEABA5E">
      <w:pPr>
        <w:tabs>
          <w:tab w:val="left" w:pos="0"/>
          <w:tab w:val="left" w:pos="360"/>
          <w:tab w:val="left" w:pos="540"/>
        </w:tabs>
        <w:ind w:firstLine="480" w:firstLineChars="200"/>
        <w:rPr>
          <w:rFonts w:hint="eastAsia" w:ascii="宋体" w:hAnsi="宋体" w:eastAsia="宋体" w:cs="宋体"/>
          <w:color w:val="000000"/>
          <w:sz w:val="24"/>
          <w:szCs w:val="24"/>
        </w:rPr>
      </w:pPr>
      <w:r>
        <w:rPr>
          <w:rFonts w:hint="eastAsia" w:ascii="宋体" w:hAnsi="宋体" w:eastAsia="宋体" w:cs="宋体"/>
          <w:color w:val="000000"/>
          <w:position w:val="-10"/>
          <w:sz w:val="24"/>
          <w:szCs w:val="24"/>
        </w:rPr>
        <w:object>
          <v:shape id="_x0000_i1027" o:spt="75" type="#_x0000_t75" style="height:21.8pt;width:101.45pt;" o:ole="t" filled="f" o:preferrelative="t" stroked="f" coordsize="21600,21600">
            <v:path/>
            <v:fill on="f" focussize="0,0"/>
            <v:stroke on="f"/>
            <v:imagedata r:id="rId11" o:title=""/>
            <o:lock v:ext="edit" aspectratio="t"/>
            <w10:wrap type="none"/>
            <w10:anchorlock/>
          </v:shape>
          <o:OLEObject Type="Embed" ProgID="Equation.3" ShapeID="_x0000_i1027" DrawAspect="Content" ObjectID="_1468075727" r:id="rId10">
            <o:LockedField>false</o:LockedField>
          </o:OLEObject>
        </w:object>
      </w:r>
      <w:r>
        <w:rPr>
          <w:rFonts w:hint="eastAsia" w:ascii="宋体" w:hAnsi="宋体" w:eastAsia="宋体" w:cs="宋体"/>
          <w:color w:val="000000"/>
          <w:sz w:val="24"/>
          <w:szCs w:val="24"/>
        </w:rPr>
        <w:t>——各可调因子的变值权重（即可调部分的权重），为各可调因子在签约合同价中所占的比例；</w:t>
      </w:r>
    </w:p>
    <w:p w14:paraId="13572123">
      <w:pPr>
        <w:tabs>
          <w:tab w:val="left" w:pos="0"/>
          <w:tab w:val="left" w:pos="360"/>
          <w:tab w:val="left" w:pos="540"/>
        </w:tabs>
        <w:ind w:firstLine="480" w:firstLineChars="200"/>
        <w:rPr>
          <w:rFonts w:hint="eastAsia" w:ascii="宋体" w:hAnsi="宋体" w:eastAsia="宋体" w:cs="宋体"/>
          <w:color w:val="000000"/>
          <w:sz w:val="24"/>
          <w:szCs w:val="24"/>
        </w:rPr>
      </w:pPr>
      <w:r>
        <w:rPr>
          <w:rFonts w:hint="eastAsia" w:ascii="宋体" w:hAnsi="宋体" w:eastAsia="宋体" w:cs="宋体"/>
          <w:color w:val="000000"/>
          <w:position w:val="-10"/>
          <w:sz w:val="24"/>
          <w:szCs w:val="24"/>
        </w:rPr>
        <w:object>
          <v:shape id="_x0000_i1028" o:spt="75" type="#_x0000_t75" style="height:21pt;width:102.2pt;" o:ole="t" filled="f" o:preferrelative="t" stroked="f" coordsize="21600,21600">
            <v:path/>
            <v:fill on="f" focussize="0,0"/>
            <v:stroke on="f"/>
            <v:imagedata r:id="rId13" o:title=""/>
            <o:lock v:ext="edit" aspectratio="t"/>
            <w10:wrap type="none"/>
            <w10:anchorlock/>
          </v:shape>
          <o:OLEObject Type="Embed" ProgID="Equation.3" ShapeID="_x0000_i1028" DrawAspect="Content" ObjectID="_1468075728" r:id="rId12">
            <o:LockedField>false</o:LockedField>
          </o:OLEObject>
        </w:object>
      </w:r>
      <w:r>
        <w:rPr>
          <w:rFonts w:hint="eastAsia" w:ascii="宋体" w:hAnsi="宋体" w:eastAsia="宋体" w:cs="宋体"/>
          <w:color w:val="000000"/>
          <w:sz w:val="24"/>
          <w:szCs w:val="24"/>
        </w:rPr>
        <w:t>——各可调因子的现行价格指数，指约定的付款证书相关周期最后一天的前42天的各可调因子的价格指数；</w:t>
      </w:r>
    </w:p>
    <w:p w14:paraId="762DA45E">
      <w:pPr>
        <w:tabs>
          <w:tab w:val="left" w:pos="0"/>
          <w:tab w:val="left" w:pos="360"/>
          <w:tab w:val="left" w:pos="540"/>
        </w:tabs>
        <w:ind w:firstLine="480" w:firstLineChars="200"/>
        <w:rPr>
          <w:rFonts w:hint="eastAsia" w:ascii="宋体" w:hAnsi="宋体" w:eastAsia="宋体" w:cs="宋体"/>
          <w:color w:val="000000"/>
          <w:sz w:val="24"/>
          <w:szCs w:val="24"/>
        </w:rPr>
      </w:pPr>
      <w:r>
        <w:rPr>
          <w:rFonts w:hint="eastAsia" w:ascii="宋体" w:hAnsi="宋体" w:eastAsia="宋体" w:cs="宋体"/>
          <w:color w:val="000000"/>
          <w:position w:val="-10"/>
          <w:sz w:val="24"/>
          <w:szCs w:val="24"/>
        </w:rPr>
        <w:object>
          <v:shape id="_x0000_i1029" o:spt="75" type="#_x0000_t75" style="height:21pt;width:107.95pt;" o:ole="t" filled="f" o:preferrelative="t" stroked="f" coordsize="21600,21600">
            <v:path/>
            <v:fill on="f" focussize="0,0"/>
            <v:stroke on="f"/>
            <v:imagedata r:id="rId15" o:title=""/>
            <o:lock v:ext="edit" aspectratio="t"/>
            <w10:wrap type="none"/>
            <w10:anchorlock/>
          </v:shape>
          <o:OLEObject Type="Embed" ProgID="Equation.3" ShapeID="_x0000_i1029" DrawAspect="Content" ObjectID="_1468075729" r:id="rId14">
            <o:LockedField>false</o:LockedField>
          </o:OLEObject>
        </w:object>
      </w:r>
      <w:r>
        <w:rPr>
          <w:rFonts w:hint="eastAsia" w:ascii="宋体" w:hAnsi="宋体" w:eastAsia="宋体" w:cs="宋体"/>
          <w:color w:val="000000"/>
          <w:sz w:val="24"/>
          <w:szCs w:val="24"/>
        </w:rPr>
        <w:t>——各可调因子的基本价格指数，指基准日期的各可调因子的价格指数。</w:t>
      </w:r>
    </w:p>
    <w:p w14:paraId="05AFD584">
      <w:pPr>
        <w:tabs>
          <w:tab w:val="left" w:pos="0"/>
          <w:tab w:val="left" w:pos="360"/>
          <w:tab w:val="left" w:pos="540"/>
        </w:tabs>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14:paraId="3626F5C8">
      <w:pPr>
        <w:tabs>
          <w:tab w:val="left" w:pos="0"/>
          <w:tab w:val="left" w:pos="360"/>
          <w:tab w:val="left" w:pos="540"/>
        </w:tabs>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（2）暂时确定调整差额</w:t>
      </w:r>
    </w:p>
    <w:p w14:paraId="27F406C8">
      <w:pPr>
        <w:tabs>
          <w:tab w:val="left" w:pos="0"/>
          <w:tab w:val="left" w:pos="360"/>
          <w:tab w:val="left" w:pos="540"/>
        </w:tabs>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在计算调整差额时无现行价格指数的，合同当事人同意暂用前次价格指数计算。实际价格指数有调整的，合同当事人进行相应调整。</w:t>
      </w:r>
    </w:p>
    <w:p w14:paraId="3E9BEAAD">
      <w:pPr>
        <w:tabs>
          <w:tab w:val="left" w:pos="0"/>
          <w:tab w:val="left" w:pos="360"/>
          <w:tab w:val="left" w:pos="540"/>
        </w:tabs>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（3）权重的调整</w:t>
      </w:r>
    </w:p>
    <w:p w14:paraId="0BF597F9">
      <w:pPr>
        <w:tabs>
          <w:tab w:val="left" w:pos="0"/>
          <w:tab w:val="left" w:pos="360"/>
          <w:tab w:val="left" w:pos="540"/>
        </w:tabs>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因变更导致合同约定的权重不合理时，按照第4.4款〔商定或确定〕执行。</w:t>
      </w:r>
    </w:p>
    <w:p w14:paraId="5FF7EB07">
      <w:pPr>
        <w:tabs>
          <w:tab w:val="left" w:pos="0"/>
          <w:tab w:val="left" w:pos="360"/>
          <w:tab w:val="left" w:pos="540"/>
        </w:tabs>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（4）因承包人原因工期延误后的价格调整</w:t>
      </w:r>
    </w:p>
    <w:p w14:paraId="4161BC36">
      <w:pPr>
        <w:tabs>
          <w:tab w:val="left" w:pos="0"/>
          <w:tab w:val="left" w:pos="360"/>
          <w:tab w:val="left" w:pos="540"/>
        </w:tabs>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因承包人原因未按期竣工的，对合同约定的竣工日期后继续施工的工程，在使用价格调整公式时，应采用计划竣工日期与实际竣工日期的两个价格指数中较低的一个作为现行价格指数。</w:t>
      </w:r>
    </w:p>
    <w:p w14:paraId="7B210FD1">
      <w:pPr>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第2种方式：采用造价信息进行价格调整。</w:t>
      </w:r>
    </w:p>
    <w:p w14:paraId="67AA2CC4">
      <w:pPr>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14:paraId="504ACF21">
      <w:pPr>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14:paraId="3FB76119">
      <w:pPr>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（2）材料、工程设备价格变化的价款调整按照发包人提供的基准价格，按以下风险范围规定执行:</w:t>
      </w:r>
    </w:p>
    <w:p w14:paraId="603BDA34">
      <w:pPr>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①承包人在已标价工程量清单或预算书中载明材料单价低于基准价格的：除专用合同条款另有约定外，合同履行期间材料单价涨幅以基准价格为基础超过</w:t>
      </w:r>
      <w:r>
        <w:rPr>
          <w:rFonts w:hint="eastAsia" w:ascii="宋体" w:hAnsi="宋体" w:eastAsia="宋体" w:cs="宋体"/>
          <w:color w:val="000000"/>
          <w:sz w:val="24"/>
          <w:szCs w:val="24"/>
          <w:u w:val="single"/>
        </w:rPr>
        <w:t>5%</w:t>
      </w:r>
      <w:r>
        <w:rPr>
          <w:rFonts w:hint="eastAsia" w:ascii="宋体" w:hAnsi="宋体" w:eastAsia="宋体" w:cs="宋体"/>
          <w:color w:val="000000"/>
          <w:sz w:val="24"/>
          <w:szCs w:val="24"/>
        </w:rPr>
        <w:t>时，或材料单价跌幅以在已标价工程量清单或预算书中载明材料单价为基础超过</w:t>
      </w:r>
      <w:r>
        <w:rPr>
          <w:rFonts w:hint="eastAsia" w:ascii="宋体" w:hAnsi="宋体" w:eastAsia="宋体" w:cs="宋体"/>
          <w:color w:val="000000"/>
          <w:sz w:val="24"/>
          <w:szCs w:val="24"/>
          <w:u w:val="single"/>
        </w:rPr>
        <w:t>5%</w:t>
      </w:r>
      <w:r>
        <w:rPr>
          <w:rFonts w:hint="eastAsia" w:ascii="宋体" w:hAnsi="宋体" w:eastAsia="宋体" w:cs="宋体"/>
          <w:color w:val="000000"/>
          <w:sz w:val="24"/>
          <w:szCs w:val="24"/>
        </w:rPr>
        <w:t>时，其超过部分据实调整。</w:t>
      </w:r>
    </w:p>
    <w:p w14:paraId="7BAB6876">
      <w:pPr>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②承包人在已标价工程量清单或预算书中载明材料单价高于基准价格的：除专用合同条款另有约定外，合同履行期间材料单价跌幅以基准价格为基础超过</w:t>
      </w:r>
      <w:r>
        <w:rPr>
          <w:rFonts w:hint="eastAsia" w:ascii="宋体" w:hAnsi="宋体" w:eastAsia="宋体" w:cs="宋体"/>
          <w:color w:val="000000"/>
          <w:sz w:val="24"/>
          <w:szCs w:val="24"/>
          <w:u w:val="single"/>
        </w:rPr>
        <w:t>5%</w:t>
      </w:r>
      <w:r>
        <w:rPr>
          <w:rFonts w:hint="eastAsia" w:ascii="宋体" w:hAnsi="宋体" w:eastAsia="宋体" w:cs="宋体"/>
          <w:color w:val="000000"/>
          <w:sz w:val="24"/>
          <w:szCs w:val="24"/>
        </w:rPr>
        <w:t>时，材料单价涨幅以在已标价工程量清单或预算书中载明材料单价为基础超过</w:t>
      </w:r>
      <w:r>
        <w:rPr>
          <w:rFonts w:hint="eastAsia" w:ascii="宋体" w:hAnsi="宋体" w:eastAsia="宋体" w:cs="宋体"/>
          <w:color w:val="000000"/>
          <w:sz w:val="24"/>
          <w:szCs w:val="24"/>
          <w:u w:val="single"/>
        </w:rPr>
        <w:t>5%</w:t>
      </w:r>
      <w:r>
        <w:rPr>
          <w:rFonts w:hint="eastAsia" w:ascii="宋体" w:hAnsi="宋体" w:eastAsia="宋体" w:cs="宋体"/>
          <w:color w:val="000000"/>
          <w:sz w:val="24"/>
          <w:szCs w:val="24"/>
        </w:rPr>
        <w:t>时，其超过部分据实调整。</w:t>
      </w:r>
    </w:p>
    <w:p w14:paraId="1579234C">
      <w:pPr>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③承包人在已标价工程量清单或预算书中载明材料单价等于基准价格的：除专用合同条款另有约定外，合同履行期间材料单价涨跌幅以基准价格为基础超过</w:t>
      </w:r>
      <w:r>
        <w:rPr>
          <w:rFonts w:hint="eastAsia" w:ascii="宋体" w:hAnsi="宋体" w:eastAsia="宋体" w:cs="宋体"/>
          <w:color w:val="000000"/>
          <w:sz w:val="24"/>
          <w:szCs w:val="24"/>
          <w:u w:val="single"/>
        </w:rPr>
        <w:t>±5%</w:t>
      </w:r>
      <w:r>
        <w:rPr>
          <w:rFonts w:hint="eastAsia" w:ascii="宋体" w:hAnsi="宋体" w:eastAsia="宋体" w:cs="宋体"/>
          <w:color w:val="000000"/>
          <w:sz w:val="24"/>
          <w:szCs w:val="24"/>
        </w:rPr>
        <w:t>时，其超过部分据实调整。</w:t>
      </w:r>
    </w:p>
    <w:p w14:paraId="634C6D9C">
      <w:pPr>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④承包人应在采购材料前将采购数量和新的材料单价报发包人核对，发包人确认用于工程时，发包人应确认采购材料的数量和单价。发包人在收到承包人报送的确认资料后</w:t>
      </w:r>
      <w:r>
        <w:rPr>
          <w:rFonts w:hint="eastAsia" w:ascii="宋体" w:hAnsi="宋体" w:eastAsia="宋体" w:cs="宋体"/>
          <w:color w:val="000000"/>
          <w:sz w:val="24"/>
          <w:szCs w:val="24"/>
          <w:u w:val="single"/>
        </w:rPr>
        <w:t>5天</w:t>
      </w:r>
      <w:r>
        <w:rPr>
          <w:rFonts w:hint="eastAsia" w:ascii="宋体" w:hAnsi="宋体" w:eastAsia="宋体" w:cs="宋体"/>
          <w:color w:val="000000"/>
          <w:sz w:val="24"/>
          <w:szCs w:val="24"/>
        </w:rPr>
        <w:t>内不予答复的视为认可，作为调整合同价格的依据。未经发包人事先核对，承包人自行采购材料的，发包人有权不予调整合同价格。发包人同意的，可以调整合同价格。</w:t>
      </w:r>
    </w:p>
    <w:p w14:paraId="223CEE3C">
      <w:pPr>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前述基准价格是指由发包人在招标文件或专用合同条款中给定的材料、工程设备的价格，该价格原则上应当按照省级或行业建设主管部门或其授权的工程造价管理机构发布的信息价编制。</w:t>
      </w:r>
    </w:p>
    <w:p w14:paraId="3ECAAB32">
      <w:pPr>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（3）施工机械台班单价或施工机械使用费发生变化超过省级或行业建设主管部门或其授权的工程造价管理机构规定的范围时，按规定调整合同价格。</w:t>
      </w:r>
    </w:p>
    <w:p w14:paraId="7057EEB1">
      <w:pPr>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第3种方式：专用合同条款约定的其他方式。</w:t>
      </w:r>
    </w:p>
    <w:p w14:paraId="3B3BA9AC">
      <w:pPr>
        <w:pStyle w:val="6"/>
        <w:spacing w:before="0" w:after="0" w:line="240" w:lineRule="auto"/>
        <w:ind w:firstLine="480" w:firstLineChars="200"/>
        <w:rPr>
          <w:rFonts w:hint="eastAsia" w:ascii="宋体" w:hAnsi="宋体" w:eastAsia="宋体" w:cs="宋体"/>
          <w:b w:val="0"/>
          <w:color w:val="000000"/>
          <w:sz w:val="24"/>
          <w:szCs w:val="24"/>
        </w:rPr>
      </w:pPr>
      <w:bookmarkStart w:id="244" w:name="_Toc443898136"/>
      <w:r>
        <w:rPr>
          <w:rFonts w:hint="eastAsia" w:ascii="宋体" w:hAnsi="宋体" w:eastAsia="宋体" w:cs="宋体"/>
          <w:b w:val="0"/>
          <w:color w:val="000000"/>
          <w:sz w:val="24"/>
          <w:szCs w:val="24"/>
        </w:rPr>
        <w:t>11.</w:t>
      </w:r>
      <w:bookmarkStart w:id="245" w:name="_Toc296346594"/>
      <w:bookmarkStart w:id="246" w:name="_Toc337558798"/>
      <w:bookmarkStart w:id="247" w:name="_Toc296503093"/>
      <w:r>
        <w:rPr>
          <w:rFonts w:hint="eastAsia" w:ascii="宋体" w:hAnsi="宋体" w:eastAsia="宋体" w:cs="宋体"/>
          <w:b w:val="0"/>
          <w:color w:val="000000"/>
          <w:sz w:val="24"/>
          <w:szCs w:val="24"/>
        </w:rPr>
        <w:t>2法律变化引起的调整</w:t>
      </w:r>
      <w:bookmarkEnd w:id="244"/>
    </w:p>
    <w:p w14:paraId="56C8C396">
      <w:pPr>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基准日</w:t>
      </w:r>
      <w:bookmarkEnd w:id="245"/>
      <w:bookmarkEnd w:id="246"/>
      <w:bookmarkEnd w:id="247"/>
      <w:r>
        <w:rPr>
          <w:rFonts w:hint="eastAsia" w:ascii="宋体" w:hAnsi="宋体" w:eastAsia="宋体" w:cs="宋体"/>
          <w:color w:val="000000"/>
          <w:sz w:val="24"/>
          <w:szCs w:val="24"/>
        </w:rPr>
        <w:t>期后，法律变化导致承包人在合同履行过程中所需要的费用发生除第11.1款〔市场价格波动引起的调整〕约定以外的增加时，由承包人提出相关法律依据，由此增加的费用由发包人和承包人协商确定；减少时，应从合同价格中予以扣减。基准日期后，因法律变化造成工期延误时，工期应予以顺延。</w:t>
      </w:r>
    </w:p>
    <w:p w14:paraId="51CF52B5">
      <w:pPr>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因法律变化引起的合同价格和工期调整，合同当事人无法达成一致的，由总监理工程师按第4.4款〔商定或确定〕的约定处理。</w:t>
      </w:r>
    </w:p>
    <w:p w14:paraId="4FFEDDFD">
      <w:pPr>
        <w:ind w:firstLine="480" w:firstLineChars="200"/>
        <w:rPr>
          <w:rFonts w:hint="eastAsia" w:ascii="宋体" w:hAnsi="宋体" w:eastAsia="宋体" w:cs="宋体"/>
          <w:color w:val="000000"/>
          <w:sz w:val="24"/>
          <w:szCs w:val="24"/>
        </w:rPr>
      </w:pPr>
      <w:r>
        <w:rPr>
          <w:rFonts w:hint="eastAsia" w:ascii="宋体" w:hAnsi="宋体" w:eastAsia="宋体" w:cs="宋体"/>
          <w:color w:val="000000"/>
          <w:kern w:val="0"/>
          <w:sz w:val="24"/>
          <w:szCs w:val="24"/>
        </w:rPr>
        <w:t>因承包人原因造成工期延误，在工期延误期间出现法律变化的，由此增加的费用和（或）延误的工期由承包人承担。</w:t>
      </w:r>
    </w:p>
    <w:p w14:paraId="2167D7B9">
      <w:pPr>
        <w:pStyle w:val="5"/>
        <w:spacing w:before="0" w:after="0" w:line="240" w:lineRule="auto"/>
        <w:ind w:firstLine="480" w:firstLineChars="200"/>
        <w:rPr>
          <w:rFonts w:hint="eastAsia" w:ascii="宋体" w:hAnsi="宋体" w:eastAsia="宋体" w:cs="宋体"/>
          <w:b w:val="0"/>
          <w:color w:val="000000"/>
          <w:sz w:val="24"/>
          <w:szCs w:val="24"/>
        </w:rPr>
      </w:pPr>
      <w:bookmarkStart w:id="248" w:name="_Toc443898137"/>
      <w:r>
        <w:rPr>
          <w:rFonts w:hint="eastAsia" w:ascii="宋体" w:hAnsi="宋体" w:eastAsia="宋体" w:cs="宋体"/>
          <w:b w:val="0"/>
          <w:color w:val="000000"/>
          <w:sz w:val="24"/>
          <w:szCs w:val="24"/>
        </w:rPr>
        <w:t>12.</w:t>
      </w:r>
      <w:bookmarkStart w:id="249" w:name="_Toc337558799"/>
      <w:bookmarkStart w:id="250" w:name="_Toc296346597"/>
      <w:bookmarkStart w:id="251" w:name="_Toc296503096"/>
      <w:r>
        <w:rPr>
          <w:rFonts w:hint="eastAsia" w:ascii="宋体" w:hAnsi="宋体" w:eastAsia="宋体" w:cs="宋体"/>
          <w:b w:val="0"/>
          <w:color w:val="000000"/>
          <w:sz w:val="24"/>
          <w:szCs w:val="24"/>
        </w:rPr>
        <w:t>合同价格、计量与支付</w:t>
      </w:r>
      <w:bookmarkEnd w:id="248"/>
    </w:p>
    <w:p w14:paraId="08DA337B">
      <w:pPr>
        <w:pStyle w:val="6"/>
        <w:spacing w:before="0" w:after="0" w:line="240" w:lineRule="auto"/>
        <w:ind w:firstLine="480" w:firstLineChars="200"/>
        <w:rPr>
          <w:rFonts w:hint="eastAsia" w:ascii="宋体" w:hAnsi="宋体" w:eastAsia="宋体" w:cs="宋体"/>
          <w:b w:val="0"/>
          <w:color w:val="000000"/>
          <w:sz w:val="24"/>
          <w:szCs w:val="24"/>
        </w:rPr>
      </w:pPr>
      <w:bookmarkStart w:id="252" w:name="_Toc443898138"/>
      <w:r>
        <w:rPr>
          <w:rFonts w:hint="eastAsia" w:ascii="宋体" w:hAnsi="宋体" w:eastAsia="宋体" w:cs="宋体"/>
          <w:b w:val="0"/>
          <w:color w:val="000000"/>
          <w:sz w:val="24"/>
          <w:szCs w:val="24"/>
        </w:rPr>
        <w:t>12.</w:t>
      </w:r>
      <w:bookmarkEnd w:id="249"/>
      <w:bookmarkStart w:id="253" w:name="_Toc337558800"/>
      <w:r>
        <w:rPr>
          <w:rFonts w:hint="eastAsia" w:ascii="宋体" w:hAnsi="宋体" w:eastAsia="宋体" w:cs="宋体"/>
          <w:b w:val="0"/>
          <w:color w:val="000000"/>
          <w:sz w:val="24"/>
          <w:szCs w:val="24"/>
        </w:rPr>
        <w:t>1 合同价格形式</w:t>
      </w:r>
      <w:bookmarkEnd w:id="250"/>
      <w:bookmarkEnd w:id="251"/>
      <w:bookmarkEnd w:id="252"/>
    </w:p>
    <w:p w14:paraId="67F94E9A">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w:t>
      </w:r>
      <w:bookmarkEnd w:id="253"/>
      <w:r>
        <w:rPr>
          <w:rFonts w:hint="eastAsia" w:ascii="宋体" w:hAnsi="宋体" w:eastAsia="宋体" w:cs="宋体"/>
          <w:color w:val="000000"/>
          <w:kern w:val="0"/>
          <w:sz w:val="24"/>
          <w:szCs w:val="24"/>
        </w:rPr>
        <w:t>和承包人应在合同协议书中选择下列一种合同价格形式：</w:t>
      </w:r>
    </w:p>
    <w:p w14:paraId="46D059C0">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1、单价合同</w:t>
      </w:r>
    </w:p>
    <w:p w14:paraId="543977D1">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单价合同是指合同当事人约定以工程量清单及其综合单价进行合同价格计算、调整和确认的建设工程施工合同，</w:t>
      </w:r>
      <w:r>
        <w:rPr>
          <w:rFonts w:hint="eastAsia" w:ascii="宋体" w:hAnsi="宋体" w:eastAsia="宋体" w:cs="宋体"/>
          <w:sz w:val="24"/>
          <w:szCs w:val="24"/>
        </w:rPr>
        <w:t>在约定的范围内合同单价不作调整</w:t>
      </w:r>
      <w:r>
        <w:rPr>
          <w:rFonts w:hint="eastAsia" w:ascii="宋体" w:hAnsi="宋体" w:eastAsia="宋体" w:cs="宋体"/>
          <w:color w:val="000000"/>
          <w:kern w:val="0"/>
          <w:sz w:val="24"/>
          <w:szCs w:val="24"/>
        </w:rPr>
        <w:t>。合同当事人应在专用合同条款中约定综合单价包含的风险范围和风险费用的计算方法</w:t>
      </w:r>
      <w:r>
        <w:rPr>
          <w:rFonts w:hint="eastAsia" w:ascii="宋体" w:hAnsi="宋体" w:eastAsia="宋体" w:cs="宋体"/>
          <w:sz w:val="24"/>
          <w:szCs w:val="24"/>
        </w:rPr>
        <w:t>，</w:t>
      </w:r>
      <w:r>
        <w:rPr>
          <w:rFonts w:hint="eastAsia" w:ascii="宋体" w:hAnsi="宋体" w:eastAsia="宋体" w:cs="宋体"/>
          <w:color w:val="000000"/>
          <w:kern w:val="0"/>
          <w:sz w:val="24"/>
          <w:szCs w:val="24"/>
        </w:rPr>
        <w:t>并约定风险范围以外的合同价格的调整方法，其中因市场价格波动引起的调整按第11.1款〔市场价格波动引起的调整〕约定执行。</w:t>
      </w:r>
    </w:p>
    <w:p w14:paraId="0E1C44A4">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2、总价合同</w:t>
      </w:r>
    </w:p>
    <w:p w14:paraId="142F538D">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总价合同是指合同当事人约定以施工图、已标价工程量清单或预算书及有关条件进行合同价格计算、调整和确认的建设工程施工合同，</w:t>
      </w:r>
      <w:r>
        <w:rPr>
          <w:rFonts w:hint="eastAsia" w:ascii="宋体" w:hAnsi="宋体" w:eastAsia="宋体" w:cs="宋体"/>
          <w:sz w:val="24"/>
          <w:szCs w:val="24"/>
        </w:rPr>
        <w:t>在约定的范围内合同总价不作调整</w:t>
      </w:r>
      <w:r>
        <w:rPr>
          <w:rFonts w:hint="eastAsia" w:ascii="宋体" w:hAnsi="宋体" w:eastAsia="宋体" w:cs="宋体"/>
          <w:color w:val="000000"/>
          <w:kern w:val="0"/>
          <w:sz w:val="24"/>
          <w:szCs w:val="24"/>
        </w:rPr>
        <w:t>。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14:paraId="700A5673">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3、其它价格形式</w:t>
      </w:r>
    </w:p>
    <w:p w14:paraId="06F0411E">
      <w:pPr>
        <w:autoSpaceDE w:val="0"/>
        <w:autoSpaceDN w:val="0"/>
        <w:adjustRightInd w:val="0"/>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rPr>
        <w:t>合同当事人可在专用合同条款中约定其他合同价格形式。</w:t>
      </w:r>
    </w:p>
    <w:p w14:paraId="7E422E81">
      <w:pPr>
        <w:pStyle w:val="6"/>
        <w:spacing w:before="0" w:after="0" w:line="240" w:lineRule="auto"/>
        <w:ind w:firstLine="480" w:firstLineChars="200"/>
        <w:rPr>
          <w:rFonts w:hint="eastAsia" w:ascii="宋体" w:hAnsi="宋体" w:eastAsia="宋体" w:cs="宋体"/>
          <w:b w:val="0"/>
          <w:color w:val="000000"/>
          <w:sz w:val="24"/>
          <w:szCs w:val="24"/>
        </w:rPr>
      </w:pPr>
      <w:bookmarkStart w:id="254" w:name="_Toc443898139"/>
      <w:r>
        <w:rPr>
          <w:rFonts w:hint="eastAsia" w:ascii="宋体" w:hAnsi="宋体" w:eastAsia="宋体" w:cs="宋体"/>
          <w:b w:val="0"/>
          <w:color w:val="000000"/>
          <w:sz w:val="24"/>
          <w:szCs w:val="24"/>
        </w:rPr>
        <w:t>12.</w:t>
      </w:r>
      <w:bookmarkStart w:id="255" w:name="_Toc296503097"/>
      <w:bookmarkStart w:id="256" w:name="_Toc296346598"/>
      <w:bookmarkStart w:id="257" w:name="_Toc337558801"/>
      <w:r>
        <w:rPr>
          <w:rFonts w:hint="eastAsia" w:ascii="宋体" w:hAnsi="宋体" w:eastAsia="宋体" w:cs="宋体"/>
          <w:b w:val="0"/>
          <w:color w:val="000000"/>
          <w:sz w:val="24"/>
          <w:szCs w:val="24"/>
        </w:rPr>
        <w:t>2预付款</w:t>
      </w:r>
      <w:bookmarkEnd w:id="254"/>
    </w:p>
    <w:bookmarkEnd w:id="255"/>
    <w:bookmarkEnd w:id="256"/>
    <w:p w14:paraId="6BB4380B">
      <w:pPr>
        <w:ind w:firstLine="480" w:firstLineChars="200"/>
        <w:jc w:val="left"/>
        <w:rPr>
          <w:rFonts w:hint="eastAsia" w:ascii="宋体" w:hAnsi="宋体" w:eastAsia="宋体" w:cs="宋体"/>
          <w:color w:val="000000"/>
          <w:kern w:val="0"/>
          <w:sz w:val="24"/>
          <w:szCs w:val="24"/>
        </w:rPr>
      </w:pPr>
      <w:bookmarkStart w:id="258" w:name="_Toc296503100"/>
      <w:bookmarkStart w:id="259" w:name="_Toc296346601"/>
      <w:r>
        <w:rPr>
          <w:rFonts w:hint="eastAsia" w:ascii="宋体" w:hAnsi="宋体" w:eastAsia="宋体" w:cs="宋体"/>
          <w:color w:val="000000"/>
          <w:sz w:val="24"/>
          <w:szCs w:val="24"/>
        </w:rPr>
        <w:t>12.</w:t>
      </w:r>
      <w:bookmarkEnd w:id="257"/>
      <w:bookmarkEnd w:id="258"/>
      <w:bookmarkEnd w:id="259"/>
      <w:r>
        <w:rPr>
          <w:rFonts w:hint="eastAsia" w:ascii="宋体" w:hAnsi="宋体" w:eastAsia="宋体" w:cs="宋体"/>
          <w:color w:val="000000"/>
          <w:sz w:val="24"/>
          <w:szCs w:val="24"/>
        </w:rPr>
        <w:t>2.</w:t>
      </w:r>
      <w:r>
        <w:rPr>
          <w:rFonts w:hint="eastAsia" w:ascii="宋体" w:hAnsi="宋体" w:eastAsia="宋体" w:cs="宋体"/>
          <w:color w:val="000000"/>
          <w:kern w:val="0"/>
          <w:sz w:val="24"/>
          <w:szCs w:val="24"/>
        </w:rPr>
        <w:t>1预付款的支付</w:t>
      </w:r>
    </w:p>
    <w:p w14:paraId="007AD9CC">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预付款的支付按照专用合同条款约定执行，但至迟应在开工通知载明的开工日期</w:t>
      </w:r>
      <w:r>
        <w:rPr>
          <w:rFonts w:hint="eastAsia" w:ascii="宋体" w:hAnsi="宋体" w:eastAsia="宋体" w:cs="宋体"/>
          <w:color w:val="000000"/>
          <w:kern w:val="0"/>
          <w:sz w:val="24"/>
          <w:szCs w:val="24"/>
          <w:u w:val="single"/>
        </w:rPr>
        <w:t>21</w:t>
      </w:r>
      <w:r>
        <w:rPr>
          <w:rFonts w:hint="eastAsia" w:ascii="宋体" w:hAnsi="宋体" w:eastAsia="宋体" w:cs="宋体"/>
          <w:color w:val="000000"/>
          <w:kern w:val="0"/>
          <w:sz w:val="24"/>
          <w:szCs w:val="24"/>
        </w:rPr>
        <w:t>天前支付。预付款应当用于材料、工程设备、施工设备的采购及修建临时工程、组织施工队伍进场等。</w:t>
      </w:r>
    </w:p>
    <w:p w14:paraId="795D12BD">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除专用合同条款另有约定外，预付款在进度付款中同比例扣回。在颁发工程接收证书前，提前解除合同的，尚未扣完的预付款应与合同价款一并结算。</w:t>
      </w:r>
    </w:p>
    <w:p w14:paraId="3F71FAA5">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发包人逾期支付预付款超过</w:t>
      </w:r>
      <w:r>
        <w:rPr>
          <w:rFonts w:hint="eastAsia" w:ascii="宋体" w:hAnsi="宋体" w:eastAsia="宋体" w:cs="宋体"/>
          <w:color w:val="000000"/>
          <w:kern w:val="0"/>
          <w:sz w:val="24"/>
          <w:szCs w:val="24"/>
          <w:u w:val="single"/>
        </w:rPr>
        <w:t>21天</w:t>
      </w:r>
      <w:r>
        <w:rPr>
          <w:rFonts w:hint="eastAsia" w:ascii="宋体" w:hAnsi="宋体" w:eastAsia="宋体" w:cs="宋体"/>
          <w:color w:val="000000"/>
          <w:kern w:val="0"/>
          <w:sz w:val="24"/>
          <w:szCs w:val="24"/>
        </w:rPr>
        <w:t>的，承包人有权向发包人发出要求预付的催告通知，发包人收到通知后21天内仍未支付的，承包人有权暂停施工，并按第16.1.1项〔发包人违约的情形〕执行。</w:t>
      </w:r>
    </w:p>
    <w:p w14:paraId="22579983">
      <w:pPr>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12.2.2 预付款担保</w:t>
      </w:r>
    </w:p>
    <w:p w14:paraId="19B55468">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发包人要求承包人提供预付款担保的，承包人应在发包人支付预付款</w:t>
      </w:r>
      <w:r>
        <w:rPr>
          <w:rFonts w:hint="eastAsia" w:ascii="宋体" w:hAnsi="宋体" w:eastAsia="宋体" w:cs="宋体"/>
          <w:color w:val="000000"/>
          <w:kern w:val="0"/>
          <w:sz w:val="24"/>
          <w:szCs w:val="24"/>
          <w:u w:val="single"/>
        </w:rPr>
        <w:t>14天</w:t>
      </w:r>
      <w:r>
        <w:rPr>
          <w:rFonts w:hint="eastAsia" w:ascii="宋体" w:hAnsi="宋体" w:eastAsia="宋体" w:cs="宋体"/>
          <w:color w:val="000000"/>
          <w:kern w:val="0"/>
          <w:sz w:val="24"/>
          <w:szCs w:val="24"/>
        </w:rPr>
        <w:t>前提供预付款担保，专用合同条款另有约定除外。预付款担保可采用银行保函、担保公司担保等形式，具体由合同当事人在专用合同条款中约定。在预付款完全扣回之前，承包人应保证预付款担保持续有效。</w:t>
      </w:r>
    </w:p>
    <w:p w14:paraId="13CFD0E5">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发包人在工程款中逐期扣回预付款后，预付款担保额度应相应减少，但剩余的预付款担保金额不得低于未被扣回的预付款金额。</w:t>
      </w:r>
    </w:p>
    <w:p w14:paraId="21229CF8">
      <w:pPr>
        <w:pStyle w:val="6"/>
        <w:spacing w:before="0" w:after="0" w:line="240" w:lineRule="auto"/>
        <w:ind w:firstLine="480" w:firstLineChars="200"/>
        <w:rPr>
          <w:rFonts w:hint="eastAsia" w:ascii="宋体" w:hAnsi="宋体" w:eastAsia="宋体" w:cs="宋体"/>
          <w:b w:val="0"/>
          <w:color w:val="000000"/>
          <w:sz w:val="24"/>
          <w:szCs w:val="24"/>
        </w:rPr>
      </w:pPr>
      <w:bookmarkStart w:id="260" w:name="_Toc443898140"/>
      <w:r>
        <w:rPr>
          <w:rFonts w:hint="eastAsia" w:ascii="宋体" w:hAnsi="宋体" w:eastAsia="宋体" w:cs="宋体"/>
          <w:b w:val="0"/>
          <w:color w:val="000000"/>
          <w:sz w:val="24"/>
          <w:szCs w:val="24"/>
        </w:rPr>
        <w:t>12.</w:t>
      </w:r>
      <w:bookmarkStart w:id="261" w:name="_Toc337558802"/>
      <w:r>
        <w:rPr>
          <w:rFonts w:hint="eastAsia" w:ascii="宋体" w:hAnsi="宋体" w:eastAsia="宋体" w:cs="宋体"/>
          <w:b w:val="0"/>
          <w:color w:val="000000"/>
          <w:sz w:val="24"/>
          <w:szCs w:val="24"/>
        </w:rPr>
        <w:t>3计量</w:t>
      </w:r>
      <w:bookmarkEnd w:id="260"/>
    </w:p>
    <w:p w14:paraId="441CB45A">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w:t>
      </w:r>
      <w:bookmarkEnd w:id="261"/>
      <w:r>
        <w:rPr>
          <w:rFonts w:hint="eastAsia" w:ascii="宋体" w:hAnsi="宋体" w:eastAsia="宋体" w:cs="宋体"/>
          <w:color w:val="000000"/>
          <w:kern w:val="0"/>
          <w:sz w:val="24"/>
          <w:szCs w:val="24"/>
        </w:rPr>
        <w:t>3.1 计量原则</w:t>
      </w:r>
    </w:p>
    <w:p w14:paraId="427A1F29">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工程量计量按照合同约定的工程量计算规则、图纸及变更指示等进行计量。工程量计算规则应以相关的国家标准、行业标准等为依据，由合同当事人在专用合同条款中约定。</w:t>
      </w:r>
    </w:p>
    <w:p w14:paraId="3C53E1E6">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12.3.2 计量周期</w:t>
      </w:r>
    </w:p>
    <w:p w14:paraId="07F6E429">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除专用合同条款另有约定外，工程量的计量按月进行。</w:t>
      </w:r>
    </w:p>
    <w:p w14:paraId="3DC31B3E">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12.3.3 单价合同的计量</w:t>
      </w:r>
    </w:p>
    <w:p w14:paraId="11010108">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除专用合同条款另有约定外，单价合同的计量按照本项约定执行：</w:t>
      </w:r>
    </w:p>
    <w:p w14:paraId="615BE481">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（1）承包人应于每月</w:t>
      </w:r>
      <w:r>
        <w:rPr>
          <w:rFonts w:hint="eastAsia" w:ascii="宋体" w:hAnsi="宋体" w:eastAsia="宋体" w:cs="宋体"/>
          <w:color w:val="000000"/>
          <w:kern w:val="0"/>
          <w:sz w:val="24"/>
          <w:szCs w:val="24"/>
          <w:u w:val="single"/>
        </w:rPr>
        <w:t>25日</w:t>
      </w:r>
      <w:r>
        <w:rPr>
          <w:rFonts w:hint="eastAsia" w:ascii="宋体" w:hAnsi="宋体" w:eastAsia="宋体" w:cs="宋体"/>
          <w:color w:val="000000"/>
          <w:kern w:val="0"/>
          <w:sz w:val="24"/>
          <w:szCs w:val="24"/>
        </w:rPr>
        <w:t>向监理人报送上月</w:t>
      </w:r>
      <w:r>
        <w:rPr>
          <w:rFonts w:hint="eastAsia" w:ascii="宋体" w:hAnsi="宋体" w:eastAsia="宋体" w:cs="宋体"/>
          <w:color w:val="000000"/>
          <w:kern w:val="0"/>
          <w:sz w:val="24"/>
          <w:szCs w:val="24"/>
          <w:u w:val="single"/>
        </w:rPr>
        <w:t>20日</w:t>
      </w:r>
      <w:r>
        <w:rPr>
          <w:rFonts w:hint="eastAsia" w:ascii="宋体" w:hAnsi="宋体" w:eastAsia="宋体" w:cs="宋体"/>
          <w:color w:val="000000"/>
          <w:kern w:val="0"/>
          <w:sz w:val="24"/>
          <w:szCs w:val="24"/>
        </w:rPr>
        <w:t>至当月</w:t>
      </w:r>
      <w:r>
        <w:rPr>
          <w:rFonts w:hint="eastAsia" w:ascii="宋体" w:hAnsi="宋体" w:eastAsia="宋体" w:cs="宋体"/>
          <w:color w:val="000000"/>
          <w:kern w:val="0"/>
          <w:sz w:val="24"/>
          <w:szCs w:val="24"/>
          <w:u w:val="single"/>
        </w:rPr>
        <w:t>19日</w:t>
      </w:r>
      <w:r>
        <w:rPr>
          <w:rFonts w:hint="eastAsia" w:ascii="宋体" w:hAnsi="宋体" w:eastAsia="宋体" w:cs="宋体"/>
          <w:color w:val="000000"/>
          <w:kern w:val="0"/>
          <w:sz w:val="24"/>
          <w:szCs w:val="24"/>
        </w:rPr>
        <w:t>已完成的工程量报告，并附具进度付款申请单、已完成工程量报表和有关资料。</w:t>
      </w:r>
    </w:p>
    <w:p w14:paraId="7CA8ABA7">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（2）监理人应在收到承包人提交的工程量报告后</w:t>
      </w:r>
      <w:r>
        <w:rPr>
          <w:rFonts w:hint="eastAsia" w:ascii="宋体" w:hAnsi="宋体" w:eastAsia="宋体" w:cs="宋体"/>
          <w:color w:val="000000"/>
          <w:kern w:val="0"/>
          <w:sz w:val="24"/>
          <w:szCs w:val="24"/>
          <w:u w:val="single"/>
        </w:rPr>
        <w:t>14天</w:t>
      </w:r>
      <w:r>
        <w:rPr>
          <w:rFonts w:hint="eastAsia" w:ascii="宋体" w:hAnsi="宋体" w:eastAsia="宋体" w:cs="宋体"/>
          <w:color w:val="000000"/>
          <w:kern w:val="0"/>
          <w:sz w:val="24"/>
          <w:szCs w:val="24"/>
        </w:rPr>
        <w:t>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14:paraId="0ABBA5E2">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（3）监理人未在收到承包人提交的工程量报表后的</w:t>
      </w:r>
      <w:r>
        <w:rPr>
          <w:rFonts w:hint="eastAsia" w:ascii="宋体" w:hAnsi="宋体" w:eastAsia="宋体" w:cs="宋体"/>
          <w:color w:val="000000"/>
          <w:kern w:val="0"/>
          <w:sz w:val="24"/>
          <w:szCs w:val="24"/>
          <w:u w:val="single"/>
        </w:rPr>
        <w:t>14天</w:t>
      </w:r>
      <w:r>
        <w:rPr>
          <w:rFonts w:hint="eastAsia" w:ascii="宋体" w:hAnsi="宋体" w:eastAsia="宋体" w:cs="宋体"/>
          <w:color w:val="000000"/>
          <w:kern w:val="0"/>
          <w:sz w:val="24"/>
          <w:szCs w:val="24"/>
        </w:rPr>
        <w:t>内完成审核的，承包人报送的工程量报告中的工程量视为承包人实际完成的工程量，据此计算工程价款。</w:t>
      </w:r>
    </w:p>
    <w:p w14:paraId="4A38667A">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12.3.4 总价合同的计量</w:t>
      </w:r>
    </w:p>
    <w:p w14:paraId="597F3F2A">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除专用合同条款另有约定外，按月计量支付的总价合同，按照本项约定执行：</w:t>
      </w:r>
    </w:p>
    <w:p w14:paraId="51554388">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（1）承包人应于每月</w:t>
      </w:r>
      <w:r>
        <w:rPr>
          <w:rFonts w:hint="eastAsia" w:ascii="宋体" w:hAnsi="宋体" w:eastAsia="宋体" w:cs="宋体"/>
          <w:color w:val="000000"/>
          <w:kern w:val="0"/>
          <w:sz w:val="24"/>
          <w:szCs w:val="24"/>
          <w:u w:val="single"/>
        </w:rPr>
        <w:t>25日</w:t>
      </w:r>
      <w:r>
        <w:rPr>
          <w:rFonts w:hint="eastAsia" w:ascii="宋体" w:hAnsi="宋体" w:eastAsia="宋体" w:cs="宋体"/>
          <w:color w:val="000000"/>
          <w:kern w:val="0"/>
          <w:sz w:val="24"/>
          <w:szCs w:val="24"/>
        </w:rPr>
        <w:t>向监理人报送上月</w:t>
      </w:r>
      <w:r>
        <w:rPr>
          <w:rFonts w:hint="eastAsia" w:ascii="宋体" w:hAnsi="宋体" w:eastAsia="宋体" w:cs="宋体"/>
          <w:color w:val="000000"/>
          <w:kern w:val="0"/>
          <w:sz w:val="24"/>
          <w:szCs w:val="24"/>
          <w:u w:val="single"/>
        </w:rPr>
        <w:t>20日</w:t>
      </w:r>
      <w:r>
        <w:rPr>
          <w:rFonts w:hint="eastAsia" w:ascii="宋体" w:hAnsi="宋体" w:eastAsia="宋体" w:cs="宋体"/>
          <w:color w:val="000000"/>
          <w:kern w:val="0"/>
          <w:sz w:val="24"/>
          <w:szCs w:val="24"/>
        </w:rPr>
        <w:t>至当月</w:t>
      </w:r>
      <w:r>
        <w:rPr>
          <w:rFonts w:hint="eastAsia" w:ascii="宋体" w:hAnsi="宋体" w:eastAsia="宋体" w:cs="宋体"/>
          <w:color w:val="000000"/>
          <w:kern w:val="0"/>
          <w:sz w:val="24"/>
          <w:szCs w:val="24"/>
          <w:u w:val="single"/>
        </w:rPr>
        <w:t>19日</w:t>
      </w:r>
      <w:r>
        <w:rPr>
          <w:rFonts w:hint="eastAsia" w:ascii="宋体" w:hAnsi="宋体" w:eastAsia="宋体" w:cs="宋体"/>
          <w:color w:val="000000"/>
          <w:kern w:val="0"/>
          <w:sz w:val="24"/>
          <w:szCs w:val="24"/>
        </w:rPr>
        <w:t>已完成的工程量报告，并附具进度付款申请单、已完成工程量报表和有关资料。</w:t>
      </w:r>
    </w:p>
    <w:p w14:paraId="3C1F662E">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监理人应在收到承包人提交的工程量报告后14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14:paraId="7726C51C">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（3）监理人未在收到承包人提交的工程量报表后的</w:t>
      </w:r>
      <w:r>
        <w:rPr>
          <w:rFonts w:hint="eastAsia" w:ascii="宋体" w:hAnsi="宋体" w:eastAsia="宋体" w:cs="宋体"/>
          <w:color w:val="000000"/>
          <w:kern w:val="0"/>
          <w:sz w:val="24"/>
          <w:szCs w:val="24"/>
          <w:u w:val="single"/>
        </w:rPr>
        <w:t>14天</w:t>
      </w:r>
      <w:r>
        <w:rPr>
          <w:rFonts w:hint="eastAsia" w:ascii="宋体" w:hAnsi="宋体" w:eastAsia="宋体" w:cs="宋体"/>
          <w:color w:val="000000"/>
          <w:kern w:val="0"/>
          <w:sz w:val="24"/>
          <w:szCs w:val="24"/>
        </w:rPr>
        <w:t>内完成复核的，承包人提交的工程量报告中的工程量视为承包人实际完成的工程量。</w:t>
      </w:r>
    </w:p>
    <w:p w14:paraId="1FD16DB7">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12.3.5 总价合同采用支付分解表计量支付的，可以按照第12.3.4项〔总价合同的计量〕约定进行计量，但合同价款按照支付分解表进行支付。</w:t>
      </w:r>
    </w:p>
    <w:p w14:paraId="06F0FB46">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12.3.6 其他价格形式合同的计量</w:t>
      </w:r>
    </w:p>
    <w:p w14:paraId="37F33B5E">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合同当事人可在专用合同条款中约定其他价格形式合同的计量方式和程序。</w:t>
      </w:r>
    </w:p>
    <w:p w14:paraId="1E08978B">
      <w:pPr>
        <w:pStyle w:val="6"/>
        <w:spacing w:before="0" w:after="0" w:line="240" w:lineRule="auto"/>
        <w:ind w:firstLine="480" w:firstLineChars="200"/>
        <w:rPr>
          <w:rFonts w:hint="eastAsia" w:ascii="宋体" w:hAnsi="宋体" w:eastAsia="宋体" w:cs="宋体"/>
          <w:b w:val="0"/>
          <w:color w:val="000000"/>
          <w:sz w:val="24"/>
          <w:szCs w:val="24"/>
        </w:rPr>
      </w:pPr>
      <w:bookmarkStart w:id="262" w:name="_Toc443898141"/>
      <w:r>
        <w:rPr>
          <w:rFonts w:hint="eastAsia" w:ascii="宋体" w:hAnsi="宋体" w:eastAsia="宋体" w:cs="宋体"/>
          <w:b w:val="0"/>
          <w:color w:val="000000"/>
          <w:sz w:val="24"/>
          <w:szCs w:val="24"/>
        </w:rPr>
        <w:t>12.</w:t>
      </w:r>
      <w:bookmarkStart w:id="263" w:name="_Toc296346602"/>
      <w:bookmarkStart w:id="264" w:name="_Toc296503101"/>
      <w:bookmarkStart w:id="265" w:name="_Toc337558803"/>
      <w:r>
        <w:rPr>
          <w:rFonts w:hint="eastAsia" w:ascii="宋体" w:hAnsi="宋体" w:eastAsia="宋体" w:cs="宋体"/>
          <w:b w:val="0"/>
          <w:color w:val="000000"/>
          <w:sz w:val="24"/>
          <w:szCs w:val="24"/>
        </w:rPr>
        <w:t>4工程进度款支付</w:t>
      </w:r>
      <w:bookmarkEnd w:id="262"/>
    </w:p>
    <w:p w14:paraId="12689052">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sz w:val="24"/>
          <w:szCs w:val="24"/>
        </w:rPr>
        <w:t>1</w:t>
      </w:r>
      <w:bookmarkEnd w:id="263"/>
      <w:bookmarkEnd w:id="264"/>
      <w:r>
        <w:rPr>
          <w:rFonts w:hint="eastAsia" w:ascii="宋体" w:hAnsi="宋体" w:eastAsia="宋体" w:cs="宋体"/>
          <w:color w:val="000000"/>
          <w:sz w:val="24"/>
          <w:szCs w:val="24"/>
        </w:rPr>
        <w:t>2.</w:t>
      </w:r>
      <w:bookmarkEnd w:id="265"/>
      <w:r>
        <w:rPr>
          <w:rFonts w:hint="eastAsia" w:ascii="宋体" w:hAnsi="宋体" w:eastAsia="宋体" w:cs="宋体"/>
          <w:color w:val="000000"/>
          <w:sz w:val="24"/>
          <w:szCs w:val="24"/>
        </w:rPr>
        <w:t>4</w:t>
      </w:r>
      <w:r>
        <w:rPr>
          <w:rFonts w:hint="eastAsia" w:ascii="宋体" w:hAnsi="宋体" w:eastAsia="宋体" w:cs="宋体"/>
          <w:color w:val="000000"/>
          <w:kern w:val="0"/>
          <w:sz w:val="24"/>
          <w:szCs w:val="24"/>
        </w:rPr>
        <w:t>.1 付款周期</w:t>
      </w:r>
    </w:p>
    <w:p w14:paraId="3584E1CE">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除专用合同条款另有约定外，付款周期应按照第12.3.2项〔计量周期〕的约定与计量周期保持一致。</w:t>
      </w:r>
    </w:p>
    <w:p w14:paraId="59D017F5">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sz w:val="24"/>
          <w:szCs w:val="24"/>
        </w:rPr>
        <w:t>12.4</w:t>
      </w:r>
      <w:r>
        <w:rPr>
          <w:rFonts w:hint="eastAsia" w:ascii="宋体" w:hAnsi="宋体" w:eastAsia="宋体" w:cs="宋体"/>
          <w:color w:val="000000"/>
          <w:kern w:val="0"/>
          <w:sz w:val="24"/>
          <w:szCs w:val="24"/>
        </w:rPr>
        <w:t>.2 进度付款申请单的编制</w:t>
      </w:r>
    </w:p>
    <w:p w14:paraId="6FB3BFEE">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除专用合同条款另有约定外，进度付款申请单应包括下列内容：</w:t>
      </w:r>
    </w:p>
    <w:p w14:paraId="03C829A3">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（1）截至本次付款周期已完成工作对应的金额；</w:t>
      </w:r>
    </w:p>
    <w:p w14:paraId="286679B0">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（2）根据第10条〔变更〕应增加和扣减的变更金额；</w:t>
      </w:r>
    </w:p>
    <w:p w14:paraId="5C79B287">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（3）根据第12.2款〔预付款〕约定应支付的预付款和扣减的返还预付款；</w:t>
      </w:r>
    </w:p>
    <w:p w14:paraId="0ADCEDB5">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（4）根据第15.3款〔质量保证金〕约定应扣减的质量保证金；</w:t>
      </w:r>
    </w:p>
    <w:p w14:paraId="3DA4AA40">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（5）对已签发的进度款支付证书中出现错误的修正，应在本次进度付款中支付或扣除的金额；</w:t>
      </w:r>
    </w:p>
    <w:p w14:paraId="630B0776">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（6）根据合同约定应增加和扣减的其他金额。</w:t>
      </w:r>
    </w:p>
    <w:p w14:paraId="65DCC382">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12.4.3 进度付款申请单的提交</w:t>
      </w:r>
    </w:p>
    <w:p w14:paraId="434A17C4">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（1）单价合同进度付款申请单的提交</w:t>
      </w:r>
    </w:p>
    <w:p w14:paraId="1CA4DB01">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单价合同的进度付款申请单，按照第12.3.3项〔单价合同的计量〕约定的时间按月向监理人提交，并附上已完成工程量报表和有关资料。单价合同中的总价项目按月进行支付分解，并汇总列入当期进度付款申请单。</w:t>
      </w:r>
    </w:p>
    <w:p w14:paraId="51744EFE">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（2）总价合同进度付款申请单的提交</w:t>
      </w:r>
    </w:p>
    <w:p w14:paraId="406FE233">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总价合同按月计量支付的，承包人按照第12.3.4项〔总价合同的计量〕约定的时间按月向监理人提交进度付款申请单，并附上已完成工程量报表和有关资料。</w:t>
      </w:r>
    </w:p>
    <w:p w14:paraId="699AAD72">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总价合同按支付分解表支付的，承包人应按照第12.4.6项〔支付分解表〕及第12.4.2项〔进度付款申请单的编制〕的约定向监理人提交进度付款申请单。</w:t>
      </w:r>
    </w:p>
    <w:p w14:paraId="56423BBC">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（3）其他价格形式合同的进度付款申请单的提交</w:t>
      </w:r>
    </w:p>
    <w:p w14:paraId="569642BB">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合同当事人可在专用合同条款中约定其他价格形式合同的进度付款申请单的编制和提交程序。</w:t>
      </w:r>
    </w:p>
    <w:p w14:paraId="257994D4">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sz w:val="24"/>
          <w:szCs w:val="24"/>
        </w:rPr>
        <w:t>12.4</w:t>
      </w:r>
      <w:r>
        <w:rPr>
          <w:rFonts w:hint="eastAsia" w:ascii="宋体" w:hAnsi="宋体" w:eastAsia="宋体" w:cs="宋体"/>
          <w:color w:val="000000"/>
          <w:kern w:val="0"/>
          <w:sz w:val="24"/>
          <w:szCs w:val="24"/>
        </w:rPr>
        <w:t>.4 进度款审核和支付</w:t>
      </w:r>
    </w:p>
    <w:p w14:paraId="53C2DB37">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（1）除专用合同条款另有约定外，监理人应在收到承包人进度付款申请单以及相关资料后</w:t>
      </w:r>
      <w:r>
        <w:rPr>
          <w:rFonts w:hint="eastAsia" w:ascii="宋体" w:hAnsi="宋体" w:eastAsia="宋体" w:cs="宋体"/>
          <w:color w:val="000000"/>
          <w:kern w:val="0"/>
          <w:sz w:val="24"/>
          <w:szCs w:val="24"/>
          <w:u w:val="single"/>
        </w:rPr>
        <w:t>14天</w:t>
      </w:r>
      <w:r>
        <w:rPr>
          <w:rFonts w:hint="eastAsia" w:ascii="宋体" w:hAnsi="宋体" w:eastAsia="宋体" w:cs="宋体"/>
          <w:color w:val="000000"/>
          <w:kern w:val="0"/>
          <w:sz w:val="24"/>
          <w:szCs w:val="24"/>
        </w:rPr>
        <w:t>内完成审查并报送发包人，发包人应在收到后</w:t>
      </w:r>
      <w:r>
        <w:rPr>
          <w:rFonts w:hint="eastAsia" w:ascii="宋体" w:hAnsi="宋体" w:eastAsia="宋体" w:cs="宋体"/>
          <w:color w:val="000000"/>
          <w:kern w:val="0"/>
          <w:sz w:val="24"/>
          <w:szCs w:val="24"/>
          <w:u w:val="single"/>
        </w:rPr>
        <w:t>21天</w:t>
      </w:r>
      <w:r>
        <w:rPr>
          <w:rFonts w:hint="eastAsia" w:ascii="宋体" w:hAnsi="宋体" w:eastAsia="宋体" w:cs="宋体"/>
          <w:color w:val="000000"/>
          <w:kern w:val="0"/>
          <w:sz w:val="24"/>
          <w:szCs w:val="24"/>
        </w:rPr>
        <w:t>内完成审批并签发进度款支付证书。</w:t>
      </w:r>
    </w:p>
    <w:p w14:paraId="0688D7A8">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和监理人对承包人的进度付款申请单有异议的，有权要求承包人修正和提供补充资料，承包人应提交修正后的进度付款申请单。监理人应在收到承包人修正后的进度付款申请单及相关资料后14天内完成审查并报送发包人，发包人应在收到监理人报送的进度付款申请单及相关资料后</w:t>
      </w:r>
      <w:r>
        <w:rPr>
          <w:rFonts w:hint="eastAsia" w:ascii="宋体" w:hAnsi="宋体" w:eastAsia="宋体" w:cs="宋体"/>
          <w:color w:val="000000"/>
          <w:kern w:val="0"/>
          <w:sz w:val="24"/>
          <w:szCs w:val="24"/>
          <w:u w:val="single"/>
        </w:rPr>
        <w:t>21天</w:t>
      </w:r>
      <w:r>
        <w:rPr>
          <w:rFonts w:hint="eastAsia" w:ascii="宋体" w:hAnsi="宋体" w:eastAsia="宋体" w:cs="宋体"/>
          <w:color w:val="000000"/>
          <w:kern w:val="0"/>
          <w:sz w:val="24"/>
          <w:szCs w:val="24"/>
        </w:rPr>
        <w:t>内，向承包人签发无异议部分的临时进度款支付证书。存在争议的部分，按照第20条〔争议解决〕的约定处理。</w:t>
      </w:r>
    </w:p>
    <w:p w14:paraId="6020762C">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（2）除专用合同条款另有约定外，发包人应在进度款支付证书或临时进度款支付证书签发后</w:t>
      </w:r>
      <w:r>
        <w:rPr>
          <w:rFonts w:hint="eastAsia" w:ascii="宋体" w:hAnsi="宋体" w:eastAsia="宋体" w:cs="宋体"/>
          <w:color w:val="000000"/>
          <w:kern w:val="0"/>
          <w:sz w:val="24"/>
          <w:szCs w:val="24"/>
          <w:u w:val="single"/>
        </w:rPr>
        <w:t>14天</w:t>
      </w:r>
      <w:r>
        <w:rPr>
          <w:rFonts w:hint="eastAsia" w:ascii="宋体" w:hAnsi="宋体" w:eastAsia="宋体" w:cs="宋体"/>
          <w:color w:val="000000"/>
          <w:kern w:val="0"/>
          <w:sz w:val="24"/>
          <w:szCs w:val="24"/>
        </w:rPr>
        <w:t>内完成支付，发包人逾期支付进度款的，应按照中国人民银行发布的同期同类贷款基准利率支付违约金。</w:t>
      </w:r>
    </w:p>
    <w:p w14:paraId="57253DBE">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（3）发包人签发进度款支付证书或临时进度款支付证书，不表明发包人已同意、批准或接受了承包人完成的相应部分的工作。</w:t>
      </w:r>
    </w:p>
    <w:p w14:paraId="07F6F268">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12.4.5 进度付款的修正</w:t>
      </w:r>
    </w:p>
    <w:p w14:paraId="2E818ABB">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在对已签发的进度款支付证书进行阶段汇总和复核中发现错误、遗漏或重复的，发包人和承包人均有权提出修正申请。经发包人和承包人同意的修正，应在下期进度付款中支付或扣除。</w:t>
      </w:r>
    </w:p>
    <w:p w14:paraId="5CB41C15">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12.4.6 支付分解表</w:t>
      </w:r>
    </w:p>
    <w:p w14:paraId="100D8BAC">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1、支付分解表的编制要求</w:t>
      </w:r>
    </w:p>
    <w:p w14:paraId="300480A7">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（1）支付分解表中所列的每期付款金额，应为第12.4.2项〔进度付款申请单的编制〕第（1）目的估算金额；</w:t>
      </w:r>
    </w:p>
    <w:p w14:paraId="11BC7E4A">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（2）实际进度与施工进度计划不一致的，合同当事人可按照第4.4款〔商定或确定〕修改支付分解表；</w:t>
      </w:r>
    </w:p>
    <w:p w14:paraId="51413DA3">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（3）不采用支付分解表的，承包人应向发包人和监理人提交按季度编制的支付估算分解表，用于支付参考。</w:t>
      </w:r>
    </w:p>
    <w:p w14:paraId="22221446">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2、总价合同支付分解表的编制与审批</w:t>
      </w:r>
    </w:p>
    <w:p w14:paraId="51D511C8">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w:t>
      </w:r>
      <w:r>
        <w:rPr>
          <w:rFonts w:hint="eastAsia" w:ascii="宋体" w:hAnsi="宋体" w:eastAsia="宋体" w:cs="宋体"/>
          <w:color w:val="000000"/>
          <w:kern w:val="0"/>
          <w:sz w:val="24"/>
          <w:szCs w:val="24"/>
          <w:u w:val="single"/>
        </w:rPr>
        <w:t>14天</w:t>
      </w:r>
      <w:r>
        <w:rPr>
          <w:rFonts w:hint="eastAsia" w:ascii="宋体" w:hAnsi="宋体" w:eastAsia="宋体" w:cs="宋体"/>
          <w:color w:val="000000"/>
          <w:kern w:val="0"/>
          <w:sz w:val="24"/>
          <w:szCs w:val="24"/>
        </w:rPr>
        <w:t>内，将支付分解表及编制支付分解表的支持性资料报送监理人。</w:t>
      </w:r>
    </w:p>
    <w:p w14:paraId="2C1B67A3">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（2）监理人应在收到支付分解表后</w:t>
      </w:r>
      <w:r>
        <w:rPr>
          <w:rFonts w:hint="eastAsia" w:ascii="宋体" w:hAnsi="宋体" w:eastAsia="宋体" w:cs="宋体"/>
          <w:color w:val="000000"/>
          <w:kern w:val="0"/>
          <w:sz w:val="24"/>
          <w:szCs w:val="24"/>
          <w:u w:val="single"/>
        </w:rPr>
        <w:t>14天</w:t>
      </w:r>
      <w:r>
        <w:rPr>
          <w:rFonts w:hint="eastAsia" w:ascii="宋体" w:hAnsi="宋体" w:eastAsia="宋体" w:cs="宋体"/>
          <w:color w:val="000000"/>
          <w:kern w:val="0"/>
          <w:sz w:val="24"/>
          <w:szCs w:val="24"/>
        </w:rPr>
        <w:t>内完成审核并报送发包人。发包人应在收到经监理人审核的支付分解表后</w:t>
      </w:r>
      <w:r>
        <w:rPr>
          <w:rFonts w:hint="eastAsia" w:ascii="宋体" w:hAnsi="宋体" w:eastAsia="宋体" w:cs="宋体"/>
          <w:color w:val="000000"/>
          <w:kern w:val="0"/>
          <w:sz w:val="24"/>
          <w:szCs w:val="24"/>
          <w:u w:val="single"/>
        </w:rPr>
        <w:t>21天</w:t>
      </w:r>
      <w:r>
        <w:rPr>
          <w:rFonts w:hint="eastAsia" w:ascii="宋体" w:hAnsi="宋体" w:eastAsia="宋体" w:cs="宋体"/>
          <w:color w:val="000000"/>
          <w:kern w:val="0"/>
          <w:sz w:val="24"/>
          <w:szCs w:val="24"/>
        </w:rPr>
        <w:t>内完成审批，经发包人批准的支付分解表为有约束力的支付分解表。</w:t>
      </w:r>
    </w:p>
    <w:p w14:paraId="048A03E6">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（3）发包人逾期未完成支付分解表审批的，也未及时要求承包人进行修正和提供补充资料的，则承包人提交的支付分解表视为已经获得发包人批准。</w:t>
      </w:r>
    </w:p>
    <w:p w14:paraId="36FEE871">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3、单价合同的总价项目支付分解表的编制与审批</w:t>
      </w:r>
    </w:p>
    <w:p w14:paraId="12CD454C">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14:paraId="56AC0B7B">
      <w:pPr>
        <w:pStyle w:val="6"/>
        <w:spacing w:before="0" w:after="0" w:line="240" w:lineRule="auto"/>
        <w:ind w:firstLine="480" w:firstLineChars="200"/>
        <w:rPr>
          <w:rFonts w:hint="eastAsia" w:ascii="宋体" w:hAnsi="宋体" w:eastAsia="宋体" w:cs="宋体"/>
          <w:b w:val="0"/>
          <w:color w:val="000000"/>
          <w:sz w:val="24"/>
          <w:szCs w:val="24"/>
        </w:rPr>
      </w:pPr>
      <w:bookmarkStart w:id="266" w:name="_Toc443898142"/>
      <w:r>
        <w:rPr>
          <w:rFonts w:hint="eastAsia" w:ascii="宋体" w:hAnsi="宋体" w:eastAsia="宋体" w:cs="宋体"/>
          <w:b w:val="0"/>
          <w:color w:val="000000"/>
          <w:sz w:val="24"/>
          <w:szCs w:val="24"/>
        </w:rPr>
        <w:t>12.5支付账户</w:t>
      </w:r>
      <w:bookmarkEnd w:id="266"/>
    </w:p>
    <w:p w14:paraId="74502578">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发包人应将合同价款支付至合同协议书中约定的承包人账户。</w:t>
      </w:r>
    </w:p>
    <w:p w14:paraId="74A1DA4F">
      <w:pPr>
        <w:pStyle w:val="6"/>
        <w:spacing w:before="0" w:after="0" w:line="240" w:lineRule="auto"/>
        <w:ind w:firstLine="480" w:firstLineChars="200"/>
        <w:rPr>
          <w:rFonts w:hint="eastAsia" w:ascii="宋体" w:hAnsi="宋体" w:eastAsia="宋体" w:cs="宋体"/>
          <w:b w:val="0"/>
          <w:color w:val="000000"/>
          <w:sz w:val="24"/>
          <w:szCs w:val="24"/>
        </w:rPr>
      </w:pPr>
      <w:bookmarkStart w:id="267" w:name="_Toc296503106"/>
      <w:bookmarkStart w:id="268" w:name="_Toc337558804"/>
      <w:bookmarkStart w:id="269" w:name="_Toc322522574"/>
      <w:bookmarkStart w:id="270" w:name="_Toc296346607"/>
      <w:bookmarkStart w:id="271" w:name="_Toc443898144"/>
      <w:r>
        <w:rPr>
          <w:rFonts w:hint="eastAsia" w:ascii="宋体" w:hAnsi="宋体" w:eastAsia="宋体" w:cs="宋体"/>
          <w:b w:val="0"/>
          <w:color w:val="000000"/>
          <w:sz w:val="24"/>
          <w:szCs w:val="24"/>
        </w:rPr>
        <w:t>13.</w:t>
      </w:r>
      <w:bookmarkEnd w:id="267"/>
      <w:bookmarkEnd w:id="268"/>
      <w:bookmarkEnd w:id="269"/>
      <w:bookmarkEnd w:id="270"/>
      <w:bookmarkStart w:id="272" w:name="_Toc337558805"/>
      <w:bookmarkStart w:id="273" w:name="_Toc296503110"/>
      <w:bookmarkStart w:id="274" w:name="_Toc296346611"/>
      <w:r>
        <w:rPr>
          <w:rFonts w:hint="eastAsia" w:ascii="宋体" w:hAnsi="宋体" w:eastAsia="宋体" w:cs="宋体"/>
          <w:b w:val="0"/>
          <w:color w:val="000000"/>
          <w:sz w:val="24"/>
          <w:szCs w:val="24"/>
        </w:rPr>
        <w:t>1分部分项工程验收</w:t>
      </w:r>
      <w:bookmarkEnd w:id="271"/>
    </w:p>
    <w:p w14:paraId="74397409">
      <w:pPr>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13.</w:t>
      </w:r>
      <w:bookmarkEnd w:id="272"/>
      <w:r>
        <w:rPr>
          <w:rFonts w:hint="eastAsia" w:ascii="宋体" w:hAnsi="宋体" w:eastAsia="宋体" w:cs="宋体"/>
          <w:color w:val="000000"/>
          <w:sz w:val="24"/>
          <w:szCs w:val="24"/>
        </w:rPr>
        <w:t>1.1 分部分项工程质量应符合国家有关工程施工验收规范、标准及合同约定，承包人应按照施工组织设计的要求完成分部分项工程施工。</w:t>
      </w:r>
    </w:p>
    <w:p w14:paraId="5803EEB1">
      <w:pPr>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13.1.2 除专用合同条款另有约定外，分部分项工程经承包人自检合格并具备验收条件的，承包人应提前</w:t>
      </w:r>
      <w:r>
        <w:rPr>
          <w:rFonts w:hint="eastAsia" w:ascii="宋体" w:hAnsi="宋体" w:eastAsia="宋体" w:cs="宋体"/>
          <w:color w:val="000000"/>
          <w:sz w:val="24"/>
          <w:szCs w:val="24"/>
          <w:u w:val="single"/>
        </w:rPr>
        <w:t>48小时</w:t>
      </w:r>
      <w:r>
        <w:rPr>
          <w:rFonts w:hint="eastAsia" w:ascii="宋体" w:hAnsi="宋体" w:eastAsia="宋体" w:cs="宋体"/>
          <w:color w:val="000000"/>
          <w:sz w:val="24"/>
          <w:szCs w:val="24"/>
        </w:rPr>
        <w:t>通知监理人进行验收。</w:t>
      </w:r>
      <w:r>
        <w:rPr>
          <w:rFonts w:hint="eastAsia" w:ascii="宋体" w:hAnsi="宋体" w:eastAsia="宋体" w:cs="宋体"/>
          <w:color w:val="000000"/>
          <w:kern w:val="0"/>
          <w:sz w:val="24"/>
          <w:szCs w:val="24"/>
        </w:rPr>
        <w:t>监理人不能按时进行验收的，应在验收前</w:t>
      </w:r>
      <w:r>
        <w:rPr>
          <w:rFonts w:hint="eastAsia" w:ascii="宋体" w:hAnsi="宋体" w:eastAsia="宋体" w:cs="宋体"/>
          <w:color w:val="000000"/>
          <w:kern w:val="0"/>
          <w:sz w:val="24"/>
          <w:szCs w:val="24"/>
          <w:u w:val="single"/>
        </w:rPr>
        <w:t>24小时</w:t>
      </w:r>
      <w:r>
        <w:rPr>
          <w:rFonts w:hint="eastAsia" w:ascii="宋体" w:hAnsi="宋体" w:eastAsia="宋体" w:cs="宋体"/>
          <w:color w:val="000000"/>
          <w:kern w:val="0"/>
          <w:sz w:val="24"/>
          <w:szCs w:val="24"/>
        </w:rPr>
        <w:t>向承包人提交书面延期要求，但延期不能超过</w:t>
      </w:r>
      <w:r>
        <w:rPr>
          <w:rFonts w:hint="eastAsia" w:ascii="宋体" w:hAnsi="宋体" w:eastAsia="宋体" w:cs="宋体"/>
          <w:color w:val="000000"/>
          <w:kern w:val="0"/>
          <w:sz w:val="24"/>
          <w:szCs w:val="24"/>
          <w:u w:val="single"/>
        </w:rPr>
        <w:t>48小时</w:t>
      </w:r>
      <w:r>
        <w:rPr>
          <w:rFonts w:hint="eastAsia" w:ascii="宋体" w:hAnsi="宋体" w:eastAsia="宋体" w:cs="宋体"/>
          <w:color w:val="000000"/>
          <w:kern w:val="0"/>
          <w:sz w:val="24"/>
          <w:szCs w:val="24"/>
        </w:rPr>
        <w:t>。监理人未按时进行验收，也未提出延期要求的，承包人有权自行验收，监理人应认可验收结果。</w:t>
      </w:r>
      <w:r>
        <w:rPr>
          <w:rFonts w:hint="eastAsia" w:ascii="宋体" w:hAnsi="宋体" w:eastAsia="宋体" w:cs="宋体"/>
          <w:color w:val="000000"/>
          <w:sz w:val="24"/>
          <w:szCs w:val="24"/>
        </w:rPr>
        <w:t>分部分项工程未经验收的，不得进入下一道工序施工。</w:t>
      </w:r>
    </w:p>
    <w:p w14:paraId="0F22465F">
      <w:pPr>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分部分项工程的验收资料应当作为竣工资料的组成部分。</w:t>
      </w:r>
    </w:p>
    <w:p w14:paraId="38588578">
      <w:pPr>
        <w:pStyle w:val="6"/>
        <w:spacing w:before="0" w:after="0" w:line="240" w:lineRule="auto"/>
        <w:ind w:firstLine="480" w:firstLineChars="200"/>
        <w:rPr>
          <w:rFonts w:hint="eastAsia" w:ascii="宋体" w:hAnsi="宋体" w:eastAsia="宋体" w:cs="宋体"/>
          <w:b w:val="0"/>
          <w:color w:val="000000"/>
          <w:sz w:val="24"/>
          <w:szCs w:val="24"/>
        </w:rPr>
      </w:pPr>
      <w:bookmarkStart w:id="275" w:name="_Toc443898145"/>
      <w:r>
        <w:rPr>
          <w:rFonts w:hint="eastAsia" w:ascii="宋体" w:hAnsi="宋体" w:eastAsia="宋体" w:cs="宋体"/>
          <w:b w:val="0"/>
          <w:color w:val="000000"/>
          <w:sz w:val="24"/>
          <w:szCs w:val="24"/>
        </w:rPr>
        <w:t>13.</w:t>
      </w:r>
      <w:bookmarkStart w:id="276" w:name="_Toc337558806"/>
      <w:r>
        <w:rPr>
          <w:rFonts w:hint="eastAsia" w:ascii="宋体" w:hAnsi="宋体" w:eastAsia="宋体" w:cs="宋体"/>
          <w:b w:val="0"/>
          <w:color w:val="000000"/>
          <w:sz w:val="24"/>
          <w:szCs w:val="24"/>
        </w:rPr>
        <w:t>2竣工验收</w:t>
      </w:r>
      <w:bookmarkEnd w:id="275"/>
    </w:p>
    <w:p w14:paraId="555BCD51">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w:t>
      </w:r>
      <w:bookmarkEnd w:id="273"/>
      <w:bookmarkEnd w:id="274"/>
      <w:bookmarkEnd w:id="276"/>
      <w:r>
        <w:rPr>
          <w:rFonts w:hint="eastAsia" w:ascii="宋体" w:hAnsi="宋体" w:eastAsia="宋体" w:cs="宋体"/>
          <w:color w:val="000000"/>
          <w:kern w:val="0"/>
          <w:sz w:val="24"/>
          <w:szCs w:val="24"/>
        </w:rPr>
        <w:t>2.1竣工验收条件</w:t>
      </w:r>
    </w:p>
    <w:p w14:paraId="61278C50">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工程具备以下条件的，承包人可以申请竣工验收：</w:t>
      </w:r>
    </w:p>
    <w:p w14:paraId="59D02962">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（1）除发包人同意的甩项工作和缺陷修补工作外，合同范围内的全部工程以及有关工作，包括合同要求的试验、试运行以及检验均已完成，并符合合同要求。</w:t>
      </w:r>
    </w:p>
    <w:p w14:paraId="2BBEC074">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（2）已按合同约定编制了甩项工作和缺陷修补工作清单以及相应的施工计划。</w:t>
      </w:r>
    </w:p>
    <w:p w14:paraId="52A40DC3">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（3）已按合同约定的内容和份数备齐竣工资料。</w:t>
      </w:r>
    </w:p>
    <w:p w14:paraId="66FBF9B4">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13.2.2竣工验收程序</w:t>
      </w:r>
    </w:p>
    <w:p w14:paraId="75322028">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除专用合同条款另有约定外，承包人申请竣工验收的，应当按照以下程序进行：</w:t>
      </w:r>
    </w:p>
    <w:p w14:paraId="4B73C2D0">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（1）承包人向监理人报送竣工验收申请报告，监理人应在收到竣工验收申请报告后</w:t>
      </w:r>
      <w:r>
        <w:rPr>
          <w:rFonts w:hint="eastAsia" w:ascii="宋体" w:hAnsi="宋体" w:eastAsia="宋体" w:cs="宋体"/>
          <w:color w:val="000000"/>
          <w:kern w:val="0"/>
          <w:sz w:val="24"/>
          <w:szCs w:val="24"/>
          <w:u w:val="single"/>
        </w:rPr>
        <w:t>14天</w:t>
      </w:r>
      <w:r>
        <w:rPr>
          <w:rFonts w:hint="eastAsia" w:ascii="宋体" w:hAnsi="宋体" w:eastAsia="宋体" w:cs="宋体"/>
          <w:color w:val="000000"/>
          <w:kern w:val="0"/>
          <w:sz w:val="24"/>
          <w:szCs w:val="24"/>
        </w:rPr>
        <w:t>内完成审查并报送发包人。监理人审查后认为尚不具备验收条件的，应通知承包人在竣工验收前承包人还需完成的工作内容，承包人应在完成监理人通知的全部工作内容后，再次提交竣工验收申请报告。</w:t>
      </w:r>
    </w:p>
    <w:p w14:paraId="65F5C2DA">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（2）监理人审查后认为已具备竣工验收条件的，应将竣工验收申请报告提交发包人，发包人应在收到经监理人审核的竣工验收申请报告后</w:t>
      </w:r>
      <w:r>
        <w:rPr>
          <w:rFonts w:hint="eastAsia" w:ascii="宋体" w:hAnsi="宋体" w:eastAsia="宋体" w:cs="宋体"/>
          <w:color w:val="000000"/>
          <w:kern w:val="0"/>
          <w:sz w:val="24"/>
          <w:szCs w:val="24"/>
          <w:u w:val="single"/>
        </w:rPr>
        <w:t>28天</w:t>
      </w:r>
      <w:r>
        <w:rPr>
          <w:rFonts w:hint="eastAsia" w:ascii="宋体" w:hAnsi="宋体" w:eastAsia="宋体" w:cs="宋体"/>
          <w:color w:val="000000"/>
          <w:kern w:val="0"/>
          <w:sz w:val="24"/>
          <w:szCs w:val="24"/>
        </w:rPr>
        <w:t>内审批完毕并组织监理人、承包人、设计人等相关单位完成竣工验收。</w:t>
      </w:r>
    </w:p>
    <w:p w14:paraId="5B257476">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（3）竣工验收合格的，发包人应在验收合格后</w:t>
      </w:r>
      <w:r>
        <w:rPr>
          <w:rFonts w:hint="eastAsia" w:ascii="宋体" w:hAnsi="宋体" w:eastAsia="宋体" w:cs="宋体"/>
          <w:color w:val="000000"/>
          <w:kern w:val="0"/>
          <w:sz w:val="24"/>
          <w:szCs w:val="24"/>
          <w:u w:val="single"/>
        </w:rPr>
        <w:t>21天</w:t>
      </w:r>
      <w:r>
        <w:rPr>
          <w:rFonts w:hint="eastAsia" w:ascii="宋体" w:hAnsi="宋体" w:eastAsia="宋体" w:cs="宋体"/>
          <w:color w:val="000000"/>
          <w:kern w:val="0"/>
          <w:sz w:val="24"/>
          <w:szCs w:val="24"/>
        </w:rPr>
        <w:t>内向承包人签发工程接收证书。发包人无正当理由逾期不颁发工程接收证书的，自验收合格后第</w:t>
      </w:r>
      <w:r>
        <w:rPr>
          <w:rFonts w:hint="eastAsia" w:ascii="宋体" w:hAnsi="宋体" w:eastAsia="宋体" w:cs="宋体"/>
          <w:color w:val="000000"/>
          <w:kern w:val="0"/>
          <w:sz w:val="24"/>
          <w:szCs w:val="24"/>
          <w:u w:val="single"/>
        </w:rPr>
        <w:t>22天</w:t>
      </w:r>
      <w:r>
        <w:rPr>
          <w:rFonts w:hint="eastAsia" w:ascii="宋体" w:hAnsi="宋体" w:eastAsia="宋体" w:cs="宋体"/>
          <w:color w:val="000000"/>
          <w:kern w:val="0"/>
          <w:sz w:val="24"/>
          <w:szCs w:val="24"/>
        </w:rPr>
        <w:t>起视为已颁发工程接收证书。</w:t>
      </w:r>
    </w:p>
    <w:p w14:paraId="36D0D8BB">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38622F9E">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（5）工程未经验收或验收不合格，发包人擅自使用的，应在转移占有工程后</w:t>
      </w:r>
      <w:r>
        <w:rPr>
          <w:rFonts w:hint="eastAsia" w:ascii="宋体" w:hAnsi="宋体" w:eastAsia="宋体" w:cs="宋体"/>
          <w:color w:val="000000"/>
          <w:kern w:val="0"/>
          <w:sz w:val="24"/>
          <w:szCs w:val="24"/>
          <w:u w:val="single"/>
        </w:rPr>
        <w:t>21天</w:t>
      </w:r>
      <w:r>
        <w:rPr>
          <w:rFonts w:hint="eastAsia" w:ascii="宋体" w:hAnsi="宋体" w:eastAsia="宋体" w:cs="宋体"/>
          <w:color w:val="000000"/>
          <w:kern w:val="0"/>
          <w:sz w:val="24"/>
          <w:szCs w:val="24"/>
        </w:rPr>
        <w:t>内向承包人颁发工程接收证书；发包人无正当理由逾期不颁发工程接收证书的，自转移占有后第</w:t>
      </w:r>
      <w:r>
        <w:rPr>
          <w:rFonts w:hint="eastAsia" w:ascii="宋体" w:hAnsi="宋体" w:eastAsia="宋体" w:cs="宋体"/>
          <w:color w:val="000000"/>
          <w:kern w:val="0"/>
          <w:sz w:val="24"/>
          <w:szCs w:val="24"/>
          <w:u w:val="single"/>
        </w:rPr>
        <w:t>22天</w:t>
      </w:r>
      <w:r>
        <w:rPr>
          <w:rFonts w:hint="eastAsia" w:ascii="宋体" w:hAnsi="宋体" w:eastAsia="宋体" w:cs="宋体"/>
          <w:color w:val="000000"/>
          <w:kern w:val="0"/>
          <w:sz w:val="24"/>
          <w:szCs w:val="24"/>
        </w:rPr>
        <w:t>起视为已颁发工程接收证书。</w:t>
      </w:r>
    </w:p>
    <w:p w14:paraId="7B384B7F">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除专用合同条款另有约定外，发包人不按照本项约定组织竣工验收、颁发工程接收证书的，每逾期一天，应以签约合同价为基数，按照中国人民银行发布的同期同类贷款基准利率支付违约金。</w:t>
      </w:r>
    </w:p>
    <w:p w14:paraId="41188400">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13.2.3竣工日期</w:t>
      </w:r>
    </w:p>
    <w:p w14:paraId="43EF630F">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工程经竣工验收合格的，以承包人提交竣工验收申请报告之日为实际竣工日期，并在工程接收证书中载明；因发包人原因，未在监理人收到承包人提交的竣工验收申请报告</w:t>
      </w:r>
      <w:r>
        <w:rPr>
          <w:rFonts w:hint="eastAsia" w:ascii="宋体" w:hAnsi="宋体" w:eastAsia="宋体" w:cs="宋体"/>
          <w:color w:val="000000"/>
          <w:kern w:val="0"/>
          <w:sz w:val="24"/>
          <w:szCs w:val="24"/>
          <w:u w:val="single"/>
        </w:rPr>
        <w:t>42天</w:t>
      </w:r>
      <w:r>
        <w:rPr>
          <w:rFonts w:hint="eastAsia" w:ascii="宋体" w:hAnsi="宋体" w:eastAsia="宋体" w:cs="宋体"/>
          <w:color w:val="000000"/>
          <w:kern w:val="0"/>
          <w:sz w:val="24"/>
          <w:szCs w:val="24"/>
        </w:rPr>
        <w:t>内完成竣工验收，或完成竣工验收不予签发工程接收证书的，以提交竣工验收申请</w:t>
      </w:r>
      <w:bookmarkStart w:id="277" w:name="#go14"/>
      <w:bookmarkEnd w:id="277"/>
      <w:r>
        <w:rPr>
          <w:rFonts w:hint="eastAsia" w:ascii="宋体" w:hAnsi="宋体" w:eastAsia="宋体" w:cs="宋体"/>
          <w:color w:val="000000"/>
          <w:kern w:val="0"/>
          <w:sz w:val="24"/>
          <w:szCs w:val="24"/>
        </w:rPr>
        <w:t>报告的日期为实际竣工日期；工程未经竣工验收，发包人擅自使用的，以转移占有工程之日为实际竣工日期。</w:t>
      </w:r>
    </w:p>
    <w:p w14:paraId="2D4E92CD">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13.2.4 拒绝接收全部或部分工程</w:t>
      </w:r>
    </w:p>
    <w:p w14:paraId="5CC93720">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14:paraId="5DDFEE8D">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13.2.5 移交、接收全部与部分工程</w:t>
      </w:r>
    </w:p>
    <w:p w14:paraId="36F3E528">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除专用合同条款另有约定外，合同当事人应当在颁发工程接收证书后</w:t>
      </w:r>
      <w:r>
        <w:rPr>
          <w:rFonts w:hint="eastAsia" w:ascii="宋体" w:hAnsi="宋体" w:eastAsia="宋体" w:cs="宋体"/>
          <w:color w:val="000000"/>
          <w:kern w:val="0"/>
          <w:sz w:val="24"/>
          <w:szCs w:val="24"/>
          <w:u w:val="single"/>
        </w:rPr>
        <w:t>21天</w:t>
      </w:r>
      <w:r>
        <w:rPr>
          <w:rFonts w:hint="eastAsia" w:ascii="宋体" w:hAnsi="宋体" w:eastAsia="宋体" w:cs="宋体"/>
          <w:color w:val="000000"/>
          <w:kern w:val="0"/>
          <w:sz w:val="24"/>
          <w:szCs w:val="24"/>
        </w:rPr>
        <w:t>内完成工程的移交。</w:t>
      </w:r>
    </w:p>
    <w:p w14:paraId="3E74E694">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发包人无正当理由不接收工程的，发包人自应当接收工程之日起，承担工程照管、成品保护、保管等与工程有关的各项费用，合同当事人可以在专用合同条款中另行约定发包人逾期接收工程的违约责任。</w:t>
      </w:r>
    </w:p>
    <w:p w14:paraId="2E0CB08D">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承包人无正当理由不移交工程的，承包人应承担工程照管、成品保护、保管等与工程有关的各项费用，合同当事人可以在专用合同条款中另行约定承包人无正当理由不移交工程的违约责任。</w:t>
      </w:r>
    </w:p>
    <w:p w14:paraId="0FE33280">
      <w:pPr>
        <w:pStyle w:val="6"/>
        <w:spacing w:before="0" w:after="0" w:line="240" w:lineRule="auto"/>
        <w:ind w:firstLine="480" w:firstLineChars="200"/>
        <w:rPr>
          <w:rFonts w:hint="eastAsia" w:ascii="宋体" w:hAnsi="宋体" w:eastAsia="宋体" w:cs="宋体"/>
          <w:b w:val="0"/>
          <w:color w:val="000000"/>
          <w:sz w:val="24"/>
          <w:szCs w:val="24"/>
        </w:rPr>
      </w:pPr>
      <w:bookmarkStart w:id="278" w:name="_Toc443898146"/>
      <w:r>
        <w:rPr>
          <w:rFonts w:hint="eastAsia" w:ascii="宋体" w:hAnsi="宋体" w:eastAsia="宋体" w:cs="宋体"/>
          <w:b w:val="0"/>
          <w:color w:val="000000"/>
          <w:sz w:val="24"/>
          <w:szCs w:val="24"/>
        </w:rPr>
        <w:t>13.</w:t>
      </w:r>
      <w:bookmarkStart w:id="279" w:name="_Toc337558807"/>
      <w:bookmarkStart w:id="280" w:name="_Toc296346612"/>
      <w:bookmarkStart w:id="281" w:name="_Toc296503111"/>
      <w:r>
        <w:rPr>
          <w:rFonts w:hint="eastAsia" w:ascii="宋体" w:hAnsi="宋体" w:eastAsia="宋体" w:cs="宋体"/>
          <w:b w:val="0"/>
          <w:color w:val="000000"/>
          <w:sz w:val="24"/>
          <w:szCs w:val="24"/>
        </w:rPr>
        <w:t>3工程试车</w:t>
      </w:r>
      <w:bookmarkEnd w:id="278"/>
    </w:p>
    <w:p w14:paraId="48D7C24C">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w:t>
      </w:r>
      <w:bookmarkEnd w:id="279"/>
      <w:bookmarkEnd w:id="280"/>
      <w:bookmarkEnd w:id="281"/>
      <w:r>
        <w:rPr>
          <w:rFonts w:hint="eastAsia" w:ascii="宋体" w:hAnsi="宋体" w:eastAsia="宋体" w:cs="宋体"/>
          <w:color w:val="000000"/>
          <w:kern w:val="0"/>
          <w:sz w:val="24"/>
          <w:szCs w:val="24"/>
        </w:rPr>
        <w:t>3.1试车程序</w:t>
      </w:r>
    </w:p>
    <w:p w14:paraId="31E2C175">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工程需要试车的，除专用合同条款另有约定外，试车内容应与承包人承包范围相一致，试车费用由承包人承担。工程试车应按如下程序进行：</w:t>
      </w:r>
    </w:p>
    <w:p w14:paraId="2CF0D96A">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（1）具备单机无负荷试车条件，承包人组织试车，并在试车前</w:t>
      </w:r>
      <w:r>
        <w:rPr>
          <w:rFonts w:hint="eastAsia" w:ascii="宋体" w:hAnsi="宋体" w:eastAsia="宋体" w:cs="宋体"/>
          <w:color w:val="000000"/>
          <w:kern w:val="0"/>
          <w:sz w:val="24"/>
          <w:szCs w:val="24"/>
          <w:u w:val="single"/>
        </w:rPr>
        <w:t>48小时</w:t>
      </w:r>
      <w:r>
        <w:rPr>
          <w:rFonts w:hint="eastAsia" w:ascii="宋体" w:hAnsi="宋体" w:eastAsia="宋体" w:cs="宋体"/>
          <w:color w:val="000000"/>
          <w:kern w:val="0"/>
          <w:sz w:val="24"/>
          <w:szCs w:val="24"/>
        </w:rPr>
        <w:t>书面通知监理人，通知中应载明试车内容、时间、地点。承包人准备试车记录，发包人根据承包人要求为试车提供必要条件。试车合格的，监理人在试车记录上签字。监理人在试车合格后不在试车记录上签字，自试车结束满</w:t>
      </w:r>
      <w:r>
        <w:rPr>
          <w:rFonts w:hint="eastAsia" w:ascii="宋体" w:hAnsi="宋体" w:eastAsia="宋体" w:cs="宋体"/>
          <w:color w:val="000000"/>
          <w:kern w:val="0"/>
          <w:sz w:val="24"/>
          <w:szCs w:val="24"/>
          <w:u w:val="single"/>
        </w:rPr>
        <w:t>24小时</w:t>
      </w:r>
      <w:r>
        <w:rPr>
          <w:rFonts w:hint="eastAsia" w:ascii="宋体" w:hAnsi="宋体" w:eastAsia="宋体" w:cs="宋体"/>
          <w:color w:val="000000"/>
          <w:kern w:val="0"/>
          <w:sz w:val="24"/>
          <w:szCs w:val="24"/>
        </w:rPr>
        <w:t>后视为监理人已经认可试车记录，承包人可继续施工或办理竣工验收手续。</w:t>
      </w:r>
    </w:p>
    <w:p w14:paraId="3AC79310">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监理人不能按时参加试车，应在试车前</w:t>
      </w:r>
      <w:r>
        <w:rPr>
          <w:rFonts w:hint="eastAsia" w:ascii="宋体" w:hAnsi="宋体" w:eastAsia="宋体" w:cs="宋体"/>
          <w:color w:val="000000"/>
          <w:kern w:val="0"/>
          <w:sz w:val="24"/>
          <w:szCs w:val="24"/>
          <w:u w:val="single"/>
        </w:rPr>
        <w:t>24小时</w:t>
      </w:r>
      <w:r>
        <w:rPr>
          <w:rFonts w:hint="eastAsia" w:ascii="宋体" w:hAnsi="宋体" w:eastAsia="宋体" w:cs="宋体"/>
          <w:color w:val="000000"/>
          <w:kern w:val="0"/>
          <w:sz w:val="24"/>
          <w:szCs w:val="24"/>
        </w:rPr>
        <w:t>以书面形式向承包人提出延期要求，但延期不能超过</w:t>
      </w:r>
      <w:r>
        <w:rPr>
          <w:rFonts w:hint="eastAsia" w:ascii="宋体" w:hAnsi="宋体" w:eastAsia="宋体" w:cs="宋体"/>
          <w:color w:val="000000"/>
          <w:kern w:val="0"/>
          <w:sz w:val="24"/>
          <w:szCs w:val="24"/>
          <w:u w:val="single"/>
        </w:rPr>
        <w:t>48小时</w:t>
      </w:r>
      <w:r>
        <w:rPr>
          <w:rFonts w:hint="eastAsia" w:ascii="宋体" w:hAnsi="宋体" w:eastAsia="宋体" w:cs="宋体"/>
          <w:color w:val="000000"/>
          <w:kern w:val="0"/>
          <w:sz w:val="24"/>
          <w:szCs w:val="24"/>
        </w:rPr>
        <w:t>，由此导致工期延误的，工期应予以顺延。监理人未能在前述期限内提出延期要求，又不参加试车的，视为认可试车记录。</w:t>
      </w:r>
    </w:p>
    <w:p w14:paraId="228E54C1">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（2）具备无负荷联动试车条件，发包人组织试车，并在试车前</w:t>
      </w:r>
      <w:r>
        <w:rPr>
          <w:rFonts w:hint="eastAsia" w:ascii="宋体" w:hAnsi="宋体" w:eastAsia="宋体" w:cs="宋体"/>
          <w:color w:val="000000"/>
          <w:kern w:val="0"/>
          <w:sz w:val="24"/>
          <w:szCs w:val="24"/>
          <w:u w:val="single"/>
        </w:rPr>
        <w:t>48小时</w:t>
      </w:r>
      <w:r>
        <w:rPr>
          <w:rFonts w:hint="eastAsia" w:ascii="宋体" w:hAnsi="宋体" w:eastAsia="宋体" w:cs="宋体"/>
          <w:color w:val="000000"/>
          <w:kern w:val="0"/>
          <w:sz w:val="24"/>
          <w:szCs w:val="24"/>
        </w:rPr>
        <w:t>以书面形式通知承包人。通知中应载明试车内容、时间、地点和对承包人的要求，承包人按要求做好准备工作。试车合格，合同当事人在试车记录上签字。承包人无正当理由不参加试车的，视为认可试车记录。</w:t>
      </w:r>
    </w:p>
    <w:p w14:paraId="5B4AA40A">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13.3.2 试车中的责任</w:t>
      </w:r>
    </w:p>
    <w:p w14:paraId="69A4E6B7">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14:paraId="1379E66B">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承包人须为管理范围内的专业承包单位的系统试车（调试）提供必要的协调及配合服务。</w:t>
      </w:r>
    </w:p>
    <w:p w14:paraId="468AB41D">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13.3.3 投料试车</w:t>
      </w:r>
    </w:p>
    <w:p w14:paraId="5A55B140">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如需进行投料试车的，发包人应在工程竣工验收后组织投料试车。发包人要求在工程竣工验收前进行或需要承包人配合时，应征得承包人同意，并在专用合同条款中约定有关事项。</w:t>
      </w:r>
    </w:p>
    <w:p w14:paraId="361F861A">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14:paraId="729BE241">
      <w:pPr>
        <w:pStyle w:val="6"/>
        <w:spacing w:before="0" w:after="0" w:line="240" w:lineRule="auto"/>
        <w:ind w:firstLine="480" w:firstLineChars="200"/>
        <w:rPr>
          <w:rFonts w:hint="eastAsia" w:ascii="宋体" w:hAnsi="宋体" w:eastAsia="宋体" w:cs="宋体"/>
          <w:b w:val="0"/>
          <w:color w:val="000000"/>
          <w:sz w:val="24"/>
          <w:szCs w:val="24"/>
        </w:rPr>
      </w:pPr>
      <w:bookmarkStart w:id="282" w:name="_Toc443898147"/>
      <w:r>
        <w:rPr>
          <w:rFonts w:hint="eastAsia" w:ascii="宋体" w:hAnsi="宋体" w:eastAsia="宋体" w:cs="宋体"/>
          <w:b w:val="0"/>
          <w:color w:val="000000"/>
          <w:sz w:val="24"/>
          <w:szCs w:val="24"/>
        </w:rPr>
        <w:t>13.</w:t>
      </w:r>
      <w:bookmarkStart w:id="283" w:name="_Toc337558808"/>
      <w:r>
        <w:rPr>
          <w:rFonts w:hint="eastAsia" w:ascii="宋体" w:hAnsi="宋体" w:eastAsia="宋体" w:cs="宋体"/>
          <w:b w:val="0"/>
          <w:color w:val="000000"/>
          <w:sz w:val="24"/>
          <w:szCs w:val="24"/>
        </w:rPr>
        <w:t>4提前交付单位工程的验收</w:t>
      </w:r>
      <w:bookmarkEnd w:id="282"/>
    </w:p>
    <w:p w14:paraId="0B003287">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w:t>
      </w:r>
      <w:bookmarkEnd w:id="283"/>
      <w:r>
        <w:rPr>
          <w:rFonts w:hint="eastAsia" w:ascii="宋体" w:hAnsi="宋体" w:eastAsia="宋体" w:cs="宋体"/>
          <w:color w:val="000000"/>
          <w:kern w:val="0"/>
          <w:sz w:val="24"/>
          <w:szCs w:val="24"/>
        </w:rPr>
        <w:t>4.1 发包人需要在工程竣工前使用单位工程的，或承包人提出提前交付已经竣工的单位工程且经发包人同意的，可进行单位工程验收，验收的程序按照第13.2款〔竣工验收〕的约定进行。</w:t>
      </w:r>
    </w:p>
    <w:p w14:paraId="3C5F3A1F">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验收合格后，由监理人向承包人出具经发包人签认的单位工程接收证书。已签发单位工程接收证书的单位工程由发包人负责照管。单位工程的验收成果和结论作为整体工程竣工验收申请报告的附件。</w:t>
      </w:r>
    </w:p>
    <w:p w14:paraId="3738BFDF">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13.4.2 发包人要求在工程竣工前交付单位工程，由此导致承包人费用增加和（或）工期延误的，由发包人承担由此增加的费用和（或）延误的工期。</w:t>
      </w:r>
    </w:p>
    <w:p w14:paraId="763AE259">
      <w:pPr>
        <w:pStyle w:val="6"/>
        <w:spacing w:before="0" w:after="0" w:line="240" w:lineRule="auto"/>
        <w:ind w:firstLine="480" w:firstLineChars="200"/>
        <w:rPr>
          <w:rFonts w:hint="eastAsia" w:ascii="宋体" w:hAnsi="宋体" w:eastAsia="宋体" w:cs="宋体"/>
          <w:b w:val="0"/>
          <w:color w:val="000000"/>
          <w:sz w:val="24"/>
          <w:szCs w:val="24"/>
        </w:rPr>
      </w:pPr>
      <w:bookmarkStart w:id="284" w:name="_Toc443898148"/>
      <w:r>
        <w:rPr>
          <w:rFonts w:hint="eastAsia" w:ascii="宋体" w:hAnsi="宋体" w:eastAsia="宋体" w:cs="宋体"/>
          <w:b w:val="0"/>
          <w:color w:val="000000"/>
          <w:sz w:val="24"/>
          <w:szCs w:val="24"/>
        </w:rPr>
        <w:t>13.5 施工期运行</w:t>
      </w:r>
      <w:bookmarkEnd w:id="284"/>
    </w:p>
    <w:p w14:paraId="5E08D28C">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13.5.1 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14:paraId="37EF4CAA">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13.5.2 在施工期运行中发现工程或工程设备损坏或存在缺陷的，由承包人按第15.2款〔缺陷责任期〕约定进行修复。</w:t>
      </w:r>
    </w:p>
    <w:p w14:paraId="6FA424FE">
      <w:pPr>
        <w:pStyle w:val="6"/>
        <w:spacing w:before="0" w:after="0" w:line="240" w:lineRule="auto"/>
        <w:ind w:firstLine="480" w:firstLineChars="200"/>
        <w:rPr>
          <w:rFonts w:hint="eastAsia" w:ascii="宋体" w:hAnsi="宋体" w:eastAsia="宋体" w:cs="宋体"/>
          <w:b w:val="0"/>
          <w:color w:val="000000"/>
          <w:sz w:val="24"/>
          <w:szCs w:val="24"/>
        </w:rPr>
      </w:pPr>
      <w:bookmarkStart w:id="285" w:name="_Toc443898149"/>
      <w:r>
        <w:rPr>
          <w:rFonts w:hint="eastAsia" w:ascii="宋体" w:hAnsi="宋体" w:eastAsia="宋体" w:cs="宋体"/>
          <w:b w:val="0"/>
          <w:color w:val="000000"/>
          <w:sz w:val="24"/>
          <w:szCs w:val="24"/>
        </w:rPr>
        <w:t>13.</w:t>
      </w:r>
      <w:bookmarkStart w:id="286" w:name="_Toc296346613"/>
      <w:bookmarkStart w:id="287" w:name="_Toc296503112"/>
      <w:bookmarkStart w:id="288" w:name="_Toc337558809"/>
      <w:r>
        <w:rPr>
          <w:rFonts w:hint="eastAsia" w:ascii="宋体" w:hAnsi="宋体" w:eastAsia="宋体" w:cs="宋体"/>
          <w:b w:val="0"/>
          <w:color w:val="000000"/>
          <w:sz w:val="24"/>
          <w:szCs w:val="24"/>
        </w:rPr>
        <w:t>6 竣工退场</w:t>
      </w:r>
      <w:bookmarkEnd w:id="285"/>
    </w:p>
    <w:p w14:paraId="70CA3E0B">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bookmarkEnd w:id="286"/>
      <w:bookmarkEnd w:id="287"/>
      <w:r>
        <w:rPr>
          <w:rFonts w:hint="eastAsia" w:ascii="宋体" w:hAnsi="宋体" w:eastAsia="宋体" w:cs="宋体"/>
          <w:color w:val="000000"/>
          <w:kern w:val="0"/>
          <w:sz w:val="24"/>
          <w:szCs w:val="24"/>
        </w:rPr>
        <w:t>3.</w:t>
      </w:r>
      <w:bookmarkEnd w:id="288"/>
      <w:r>
        <w:rPr>
          <w:rFonts w:hint="eastAsia" w:ascii="宋体" w:hAnsi="宋体" w:eastAsia="宋体" w:cs="宋体"/>
          <w:color w:val="000000"/>
          <w:kern w:val="0"/>
          <w:sz w:val="24"/>
          <w:szCs w:val="24"/>
        </w:rPr>
        <w:t>6.1 竣工退场</w:t>
      </w:r>
    </w:p>
    <w:p w14:paraId="77F9918A">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颁发工程接收证书后，承包人应按以下要求对施工现场进行清理：</w:t>
      </w:r>
    </w:p>
    <w:p w14:paraId="63112209">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（1）施工现场内残留的垃圾已全部清除出场；</w:t>
      </w:r>
    </w:p>
    <w:p w14:paraId="47324116">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（2）临时工程已拆除，场地已进行清理、平整或复原；</w:t>
      </w:r>
    </w:p>
    <w:p w14:paraId="447C6C02">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（3）按合同约定应撤离的人员、承包人施工设备和剩余的材料，包括废弃的施工设备和材料，已按计划撤离施工现场；</w:t>
      </w:r>
    </w:p>
    <w:p w14:paraId="553C913A">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（4）施工现场周边及其附近道路、河道的施工堆积物，已全部清理；</w:t>
      </w:r>
    </w:p>
    <w:p w14:paraId="0B50B975">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（5）施工现场其他场地清理工作已全部完成。</w:t>
      </w:r>
    </w:p>
    <w:p w14:paraId="4244D5CA">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14:paraId="6F00CC4E">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13.6.2 地表还原</w:t>
      </w:r>
    </w:p>
    <w:p w14:paraId="08015E56">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承包人应按发包人要求恢复临时占地及清理场地，承包人未按发包人的要求恢复临时占地，或者场地清理未达到合同约定要求的，发包人有权委托其他人恢复或清理，所发生的费用由承包人承担。</w:t>
      </w:r>
    </w:p>
    <w:p w14:paraId="1BB4B545">
      <w:pPr>
        <w:pStyle w:val="5"/>
        <w:spacing w:before="0" w:after="0" w:line="240" w:lineRule="auto"/>
        <w:ind w:firstLine="480" w:firstLineChars="200"/>
        <w:rPr>
          <w:rFonts w:hint="eastAsia" w:ascii="宋体" w:hAnsi="宋体" w:eastAsia="宋体" w:cs="宋体"/>
          <w:b w:val="0"/>
          <w:color w:val="000000"/>
          <w:sz w:val="24"/>
          <w:szCs w:val="24"/>
        </w:rPr>
      </w:pPr>
      <w:bookmarkStart w:id="289" w:name="_Toc443898150"/>
      <w:r>
        <w:rPr>
          <w:rFonts w:hint="eastAsia" w:ascii="宋体" w:hAnsi="宋体" w:eastAsia="宋体" w:cs="宋体"/>
          <w:b w:val="0"/>
          <w:color w:val="000000"/>
          <w:sz w:val="24"/>
          <w:szCs w:val="24"/>
        </w:rPr>
        <w:t>14.</w:t>
      </w:r>
      <w:bookmarkStart w:id="290" w:name="_Toc337558810"/>
      <w:bookmarkStart w:id="291" w:name="_Toc296503113"/>
      <w:bookmarkStart w:id="292" w:name="_Toc296346614"/>
      <w:r>
        <w:rPr>
          <w:rFonts w:hint="eastAsia" w:ascii="宋体" w:hAnsi="宋体" w:eastAsia="宋体" w:cs="宋体"/>
          <w:b w:val="0"/>
          <w:color w:val="000000"/>
          <w:sz w:val="24"/>
          <w:szCs w:val="24"/>
        </w:rPr>
        <w:t>竣工结算</w:t>
      </w:r>
      <w:bookmarkEnd w:id="289"/>
    </w:p>
    <w:p w14:paraId="0D43EB55">
      <w:pPr>
        <w:pStyle w:val="6"/>
        <w:spacing w:before="0" w:after="0" w:line="240" w:lineRule="auto"/>
        <w:ind w:firstLine="480" w:firstLineChars="200"/>
        <w:rPr>
          <w:rFonts w:hint="eastAsia" w:ascii="宋体" w:hAnsi="宋体" w:eastAsia="宋体" w:cs="宋体"/>
          <w:b w:val="0"/>
          <w:color w:val="000000"/>
          <w:sz w:val="24"/>
          <w:szCs w:val="24"/>
        </w:rPr>
      </w:pPr>
      <w:bookmarkStart w:id="293" w:name="_Toc443898151"/>
      <w:r>
        <w:rPr>
          <w:rFonts w:hint="eastAsia" w:ascii="宋体" w:hAnsi="宋体" w:eastAsia="宋体" w:cs="宋体"/>
          <w:b w:val="0"/>
          <w:color w:val="000000"/>
          <w:sz w:val="24"/>
          <w:szCs w:val="24"/>
        </w:rPr>
        <w:t>14.1 竣工结算申请</w:t>
      </w:r>
      <w:bookmarkEnd w:id="293"/>
    </w:p>
    <w:p w14:paraId="41154E8F">
      <w:pPr>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本合同的最终结算以发包人审定的金额为准，若有政府财政评审部门时，以其审定的金额为准。</w:t>
      </w:r>
    </w:p>
    <w:p w14:paraId="0A29CE34">
      <w:pPr>
        <w:autoSpaceDE w:val="0"/>
        <w:autoSpaceDN w:val="0"/>
        <w:adjustRightInd w:val="0"/>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kern w:val="0"/>
          <w:sz w:val="24"/>
          <w:szCs w:val="24"/>
        </w:rPr>
        <w:t>除专用合同条款另有约定外，</w:t>
      </w:r>
      <w:r>
        <w:rPr>
          <w:rFonts w:hint="eastAsia" w:ascii="宋体" w:hAnsi="宋体" w:eastAsia="宋体" w:cs="宋体"/>
          <w:color w:val="000000"/>
          <w:sz w:val="24"/>
          <w:szCs w:val="24"/>
        </w:rPr>
        <w:t>承包人应在工程竣工验收合格后</w:t>
      </w:r>
      <w:r>
        <w:rPr>
          <w:rFonts w:hint="eastAsia" w:ascii="宋体" w:hAnsi="宋体" w:eastAsia="宋体" w:cs="宋体"/>
          <w:color w:val="000000"/>
          <w:sz w:val="24"/>
          <w:szCs w:val="24"/>
          <w:u w:val="single"/>
        </w:rPr>
        <w:t>28天内</w:t>
      </w:r>
      <w:r>
        <w:rPr>
          <w:rFonts w:hint="eastAsia" w:ascii="宋体" w:hAnsi="宋体" w:eastAsia="宋体" w:cs="宋体"/>
          <w:color w:val="000000"/>
          <w:sz w:val="24"/>
          <w:szCs w:val="24"/>
        </w:rPr>
        <w:t>向发包人和监理人提交竣工结算申请单，并提交完整的结算资料，有关竣工结算申请单的资料清单和份数等要求由合同当事人在专用合同条款中约定。</w:t>
      </w:r>
    </w:p>
    <w:p w14:paraId="4D1B3979">
      <w:pPr>
        <w:autoSpaceDE w:val="0"/>
        <w:autoSpaceDN w:val="0"/>
        <w:adjustRightInd w:val="0"/>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除专用合同条款另有约定外，竣工结算申请单应包括以下内容：</w:t>
      </w:r>
    </w:p>
    <w:p w14:paraId="2386E30A">
      <w:pPr>
        <w:autoSpaceDE w:val="0"/>
        <w:autoSpaceDN w:val="0"/>
        <w:adjustRightInd w:val="0"/>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（1）竣工结算合同价格；</w:t>
      </w:r>
    </w:p>
    <w:p w14:paraId="60280571">
      <w:pPr>
        <w:autoSpaceDE w:val="0"/>
        <w:autoSpaceDN w:val="0"/>
        <w:adjustRightInd w:val="0"/>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（2）发包人已支付承包人的款项；</w:t>
      </w:r>
    </w:p>
    <w:p w14:paraId="4B212B4D">
      <w:pPr>
        <w:autoSpaceDE w:val="0"/>
        <w:autoSpaceDN w:val="0"/>
        <w:adjustRightInd w:val="0"/>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（3）应扣留的质量保证金；</w:t>
      </w:r>
    </w:p>
    <w:p w14:paraId="04272BE0">
      <w:pPr>
        <w:autoSpaceDE w:val="0"/>
        <w:autoSpaceDN w:val="0"/>
        <w:adjustRightInd w:val="0"/>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（4）发包人应支付承包人的合同价款。</w:t>
      </w:r>
    </w:p>
    <w:p w14:paraId="013E697E">
      <w:pPr>
        <w:pStyle w:val="6"/>
        <w:spacing w:before="0" w:after="0" w:line="240" w:lineRule="auto"/>
        <w:ind w:firstLine="480" w:firstLineChars="200"/>
        <w:rPr>
          <w:rFonts w:hint="eastAsia" w:ascii="宋体" w:hAnsi="宋体" w:eastAsia="宋体" w:cs="宋体"/>
          <w:b w:val="0"/>
          <w:color w:val="000000"/>
          <w:sz w:val="24"/>
          <w:szCs w:val="24"/>
        </w:rPr>
      </w:pPr>
      <w:bookmarkStart w:id="294" w:name="_Toc443898152"/>
      <w:r>
        <w:rPr>
          <w:rFonts w:hint="eastAsia" w:ascii="宋体" w:hAnsi="宋体" w:eastAsia="宋体" w:cs="宋体"/>
          <w:b w:val="0"/>
          <w:color w:val="000000"/>
          <w:sz w:val="24"/>
          <w:szCs w:val="24"/>
        </w:rPr>
        <w:t>14.2 竣工结算审核</w:t>
      </w:r>
      <w:bookmarkEnd w:id="294"/>
    </w:p>
    <w:p w14:paraId="2934E658">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sz w:val="24"/>
          <w:szCs w:val="24"/>
        </w:rPr>
        <w:t>14.2.1</w:t>
      </w:r>
      <w:r>
        <w:rPr>
          <w:rFonts w:hint="eastAsia" w:ascii="宋体" w:hAnsi="宋体" w:eastAsia="宋体" w:cs="宋体"/>
          <w:color w:val="000000"/>
          <w:kern w:val="0"/>
          <w:sz w:val="24"/>
          <w:szCs w:val="24"/>
        </w:rPr>
        <w:t>除专用合同条款另有约定外，监理人应在收到竣工结算申请单后14天内完成核查并报送发包人。发包人应在收到监理人提交的经审核的竣工结算申请单后</w:t>
      </w:r>
      <w:r>
        <w:rPr>
          <w:rFonts w:hint="eastAsia" w:ascii="宋体" w:hAnsi="宋体" w:eastAsia="宋体" w:cs="宋体"/>
          <w:color w:val="000000"/>
          <w:kern w:val="0"/>
          <w:sz w:val="24"/>
          <w:szCs w:val="24"/>
          <w:u w:val="single"/>
        </w:rPr>
        <w:t>21天</w:t>
      </w:r>
      <w:r>
        <w:rPr>
          <w:rFonts w:hint="eastAsia" w:ascii="宋体" w:hAnsi="宋体" w:eastAsia="宋体" w:cs="宋体"/>
          <w:color w:val="000000"/>
          <w:kern w:val="0"/>
          <w:sz w:val="24"/>
          <w:szCs w:val="24"/>
        </w:rPr>
        <w:t>内完成审批，并由监理人向承包人签发经发包人签认的竣工付款证书。监理人或</w:t>
      </w:r>
      <w:r>
        <w:rPr>
          <w:rFonts w:hint="eastAsia" w:ascii="宋体" w:hAnsi="宋体" w:eastAsia="宋体" w:cs="宋体"/>
          <w:color w:val="000000"/>
          <w:sz w:val="24"/>
          <w:szCs w:val="24"/>
        </w:rPr>
        <w:t>发包人对竣工</w:t>
      </w:r>
      <w:r>
        <w:rPr>
          <w:rFonts w:hint="eastAsia" w:ascii="宋体" w:hAnsi="宋体" w:eastAsia="宋体" w:cs="宋体"/>
          <w:color w:val="000000"/>
          <w:kern w:val="0"/>
          <w:sz w:val="24"/>
          <w:szCs w:val="24"/>
        </w:rPr>
        <w:t>结算</w:t>
      </w:r>
      <w:r>
        <w:rPr>
          <w:rFonts w:hint="eastAsia" w:ascii="宋体" w:hAnsi="宋体" w:eastAsia="宋体" w:cs="宋体"/>
          <w:color w:val="000000"/>
          <w:sz w:val="24"/>
          <w:szCs w:val="24"/>
        </w:rPr>
        <w:t>申请单有异议的，有权要求承包人进行修正和提供补充资料，承包人应提交修正后的竣工</w:t>
      </w:r>
      <w:r>
        <w:rPr>
          <w:rFonts w:hint="eastAsia" w:ascii="宋体" w:hAnsi="宋体" w:eastAsia="宋体" w:cs="宋体"/>
          <w:color w:val="000000"/>
          <w:kern w:val="0"/>
          <w:sz w:val="24"/>
          <w:szCs w:val="24"/>
        </w:rPr>
        <w:t>结算</w:t>
      </w:r>
      <w:r>
        <w:rPr>
          <w:rFonts w:hint="eastAsia" w:ascii="宋体" w:hAnsi="宋体" w:eastAsia="宋体" w:cs="宋体"/>
          <w:color w:val="000000"/>
          <w:sz w:val="24"/>
          <w:szCs w:val="24"/>
        </w:rPr>
        <w:t>申请单。</w:t>
      </w:r>
    </w:p>
    <w:p w14:paraId="0495218C">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发包人在收到承包人提交竣工结算申请书后</w:t>
      </w:r>
      <w:r>
        <w:rPr>
          <w:rFonts w:hint="eastAsia" w:ascii="宋体" w:hAnsi="宋体" w:eastAsia="宋体" w:cs="宋体"/>
          <w:color w:val="000000"/>
          <w:kern w:val="0"/>
          <w:sz w:val="24"/>
          <w:szCs w:val="24"/>
          <w:u w:val="single"/>
        </w:rPr>
        <w:t>28天</w:t>
      </w:r>
      <w:r>
        <w:rPr>
          <w:rFonts w:hint="eastAsia" w:ascii="宋体" w:hAnsi="宋体" w:eastAsia="宋体" w:cs="宋体"/>
          <w:color w:val="000000"/>
          <w:kern w:val="0"/>
          <w:sz w:val="24"/>
          <w:szCs w:val="24"/>
        </w:rPr>
        <w:t>内未完成审批且未提出异议的，</w:t>
      </w:r>
      <w:r>
        <w:rPr>
          <w:rFonts w:hint="eastAsia" w:ascii="宋体" w:hAnsi="宋体" w:eastAsia="宋体" w:cs="宋体"/>
          <w:kern w:val="0"/>
          <w:sz w:val="24"/>
          <w:szCs w:val="24"/>
        </w:rPr>
        <w:t>视为发包人认可承包人提交的竣工结算申请单，并自发包人收到承包人提交的竣工结算申请单后第</w:t>
      </w:r>
      <w:r>
        <w:rPr>
          <w:rFonts w:hint="eastAsia" w:ascii="宋体" w:hAnsi="宋体" w:eastAsia="宋体" w:cs="宋体"/>
          <w:kern w:val="0"/>
          <w:sz w:val="24"/>
          <w:szCs w:val="24"/>
          <w:u w:val="single"/>
        </w:rPr>
        <w:t>29天</w:t>
      </w:r>
      <w:r>
        <w:rPr>
          <w:rFonts w:hint="eastAsia" w:ascii="宋体" w:hAnsi="宋体" w:eastAsia="宋体" w:cs="宋体"/>
          <w:kern w:val="0"/>
          <w:sz w:val="24"/>
          <w:szCs w:val="24"/>
        </w:rPr>
        <w:t>起视为已签发竣工付款证书。</w:t>
      </w:r>
    </w:p>
    <w:p w14:paraId="45E377A3">
      <w:pPr>
        <w:autoSpaceDE w:val="0"/>
        <w:autoSpaceDN w:val="0"/>
        <w:adjustRightInd w:val="0"/>
        <w:ind w:firstLine="480" w:firstLineChars="200"/>
        <w:jc w:val="left"/>
        <w:rPr>
          <w:rFonts w:hint="eastAsia" w:ascii="宋体" w:hAnsi="宋体" w:eastAsia="宋体" w:cs="宋体"/>
          <w:strike/>
          <w:color w:val="000000"/>
          <w:kern w:val="0"/>
          <w:sz w:val="24"/>
          <w:szCs w:val="24"/>
        </w:rPr>
      </w:pPr>
      <w:r>
        <w:rPr>
          <w:rFonts w:hint="eastAsia" w:ascii="宋体" w:hAnsi="宋体" w:eastAsia="宋体" w:cs="宋体"/>
          <w:color w:val="000000"/>
          <w:sz w:val="24"/>
          <w:szCs w:val="24"/>
        </w:rPr>
        <w:t>14.2.2</w:t>
      </w:r>
      <w:r>
        <w:rPr>
          <w:rFonts w:hint="eastAsia" w:ascii="宋体" w:hAnsi="宋体" w:eastAsia="宋体" w:cs="宋体"/>
          <w:color w:val="000000"/>
          <w:kern w:val="0"/>
          <w:sz w:val="24"/>
          <w:szCs w:val="24"/>
        </w:rPr>
        <w:t>除专用合同条款另有约定外，发包人应在签发竣工付款证书后的</w:t>
      </w:r>
      <w:r>
        <w:rPr>
          <w:rFonts w:hint="eastAsia" w:ascii="宋体" w:hAnsi="宋体" w:eastAsia="宋体" w:cs="宋体"/>
          <w:color w:val="000000"/>
          <w:kern w:val="0"/>
          <w:sz w:val="24"/>
          <w:szCs w:val="24"/>
          <w:u w:val="single"/>
        </w:rPr>
        <w:t>28天</w:t>
      </w:r>
      <w:r>
        <w:rPr>
          <w:rFonts w:hint="eastAsia" w:ascii="宋体" w:hAnsi="宋体" w:eastAsia="宋体" w:cs="宋体"/>
          <w:color w:val="000000"/>
          <w:kern w:val="0"/>
          <w:sz w:val="24"/>
          <w:szCs w:val="24"/>
        </w:rPr>
        <w:t>内，完成对承包人的竣工付款。</w:t>
      </w:r>
    </w:p>
    <w:p w14:paraId="12167364">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sz w:val="24"/>
          <w:szCs w:val="24"/>
        </w:rPr>
        <w:t>14.2.3</w:t>
      </w:r>
      <w:r>
        <w:rPr>
          <w:rFonts w:hint="eastAsia" w:ascii="宋体" w:hAnsi="宋体" w:eastAsia="宋体" w:cs="宋体"/>
          <w:color w:val="000000"/>
          <w:kern w:val="0"/>
          <w:sz w:val="24"/>
          <w:szCs w:val="24"/>
        </w:rPr>
        <w:t>承包人对发包人签认的竣工付款证书有异议的，对于有异议部分应在收到发包人签认的竣工付款证书后</w:t>
      </w:r>
      <w:r>
        <w:rPr>
          <w:rFonts w:hint="eastAsia" w:ascii="宋体" w:hAnsi="宋体" w:eastAsia="宋体" w:cs="宋体"/>
          <w:color w:val="000000"/>
          <w:kern w:val="0"/>
          <w:sz w:val="24"/>
          <w:szCs w:val="24"/>
          <w:u w:val="single"/>
        </w:rPr>
        <w:t>14天</w:t>
      </w:r>
      <w:r>
        <w:rPr>
          <w:rFonts w:hint="eastAsia" w:ascii="宋体" w:hAnsi="宋体" w:eastAsia="宋体" w:cs="宋体"/>
          <w:color w:val="000000"/>
          <w:kern w:val="0"/>
          <w:sz w:val="24"/>
          <w:szCs w:val="24"/>
        </w:rPr>
        <w:t>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14:paraId="71F2C2EB">
      <w:pPr>
        <w:pStyle w:val="6"/>
        <w:spacing w:before="0" w:after="0" w:line="240" w:lineRule="auto"/>
        <w:ind w:firstLine="480" w:firstLineChars="200"/>
        <w:rPr>
          <w:rFonts w:hint="eastAsia" w:ascii="宋体" w:hAnsi="宋体" w:eastAsia="宋体" w:cs="宋体"/>
          <w:b w:val="0"/>
          <w:color w:val="000000"/>
          <w:sz w:val="24"/>
          <w:szCs w:val="24"/>
        </w:rPr>
      </w:pPr>
      <w:bookmarkStart w:id="295" w:name="_Toc443898153"/>
      <w:r>
        <w:rPr>
          <w:rFonts w:hint="eastAsia" w:ascii="宋体" w:hAnsi="宋体" w:eastAsia="宋体" w:cs="宋体"/>
          <w:b w:val="0"/>
          <w:color w:val="000000"/>
          <w:sz w:val="24"/>
          <w:szCs w:val="24"/>
        </w:rPr>
        <w:t>14.3 甩项竣工协议</w:t>
      </w:r>
      <w:bookmarkEnd w:id="295"/>
    </w:p>
    <w:p w14:paraId="7A4C605B">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sz w:val="24"/>
          <w:szCs w:val="24"/>
        </w:rPr>
        <w:t>发包人要求甩项竣工的，合同当事人应签订甩项竣工协议。在甩项竣工协议中应明确，合同当事人按照第14.1款〔竣工结算申请〕及14.2款〔竣工结算审核〕的约定，对已完合格工程进行结算，并支付相应合同价款。</w:t>
      </w:r>
    </w:p>
    <w:p w14:paraId="3ECFE633">
      <w:pPr>
        <w:pStyle w:val="6"/>
        <w:spacing w:before="0" w:after="0" w:line="240" w:lineRule="auto"/>
        <w:ind w:firstLine="480" w:firstLineChars="200"/>
        <w:rPr>
          <w:rFonts w:hint="eastAsia" w:ascii="宋体" w:hAnsi="宋体" w:eastAsia="宋体" w:cs="宋体"/>
          <w:b w:val="0"/>
          <w:color w:val="000000"/>
          <w:sz w:val="24"/>
          <w:szCs w:val="24"/>
        </w:rPr>
      </w:pPr>
      <w:bookmarkStart w:id="296" w:name="_Toc443898154"/>
      <w:r>
        <w:rPr>
          <w:rFonts w:hint="eastAsia" w:ascii="宋体" w:hAnsi="宋体" w:eastAsia="宋体" w:cs="宋体"/>
          <w:b w:val="0"/>
          <w:color w:val="000000"/>
          <w:sz w:val="24"/>
          <w:szCs w:val="24"/>
        </w:rPr>
        <w:t>14.4 最终结清</w:t>
      </w:r>
      <w:bookmarkEnd w:id="296"/>
    </w:p>
    <w:p w14:paraId="2914EC36">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14.4.1 最终结清申请单</w:t>
      </w:r>
    </w:p>
    <w:p w14:paraId="7F440BD4">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（1）除专用合同条款另有约定外，承包人应在缺陷责任期终止证书颁发后</w:t>
      </w:r>
      <w:r>
        <w:rPr>
          <w:rFonts w:hint="eastAsia" w:ascii="宋体" w:hAnsi="宋体" w:eastAsia="宋体" w:cs="宋体"/>
          <w:color w:val="000000"/>
          <w:kern w:val="0"/>
          <w:sz w:val="24"/>
          <w:szCs w:val="24"/>
          <w:u w:val="single"/>
        </w:rPr>
        <w:t>14天</w:t>
      </w:r>
      <w:r>
        <w:rPr>
          <w:rFonts w:hint="eastAsia" w:ascii="宋体" w:hAnsi="宋体" w:eastAsia="宋体" w:cs="宋体"/>
          <w:color w:val="000000"/>
          <w:kern w:val="0"/>
          <w:sz w:val="24"/>
          <w:szCs w:val="24"/>
        </w:rPr>
        <w:t>内，按专用合同条款约定的份数向发包人提交最终结清申请单，并提供相关证明材料。</w:t>
      </w:r>
    </w:p>
    <w:p w14:paraId="286590BB">
      <w:pPr>
        <w:autoSpaceDE w:val="0"/>
        <w:autoSpaceDN w:val="0"/>
        <w:adjustRightInd w:val="0"/>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除专用合同条款另有约定外，</w:t>
      </w:r>
      <w:r>
        <w:rPr>
          <w:rFonts w:hint="eastAsia" w:ascii="宋体" w:hAnsi="宋体" w:eastAsia="宋体" w:cs="宋体"/>
          <w:color w:val="000000"/>
          <w:kern w:val="0"/>
          <w:sz w:val="24"/>
          <w:szCs w:val="24"/>
        </w:rPr>
        <w:t>最终结清申请单</w:t>
      </w:r>
      <w:r>
        <w:rPr>
          <w:rFonts w:hint="eastAsia" w:ascii="宋体" w:hAnsi="宋体" w:eastAsia="宋体" w:cs="宋体"/>
          <w:color w:val="000000"/>
          <w:sz w:val="24"/>
          <w:szCs w:val="24"/>
        </w:rPr>
        <w:t>应列明质量保证金、应扣除的质量保证金、缺陷责任期内发生的增减费用。</w:t>
      </w:r>
    </w:p>
    <w:p w14:paraId="2C1B96D3">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（2）发包人对最终结清申请单内容有异议的，有权要求承包人进行修正和提供补充资料，承包人应向发包人提交修正后的最终结清申请单。</w:t>
      </w:r>
    </w:p>
    <w:p w14:paraId="4376D2D6">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14.4.2 最终结清证书和支付</w:t>
      </w:r>
    </w:p>
    <w:p w14:paraId="7B4228BA">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（1）除专用合同条款另有约定外，发包人应在收到承包人提交的最终结清申请单后</w:t>
      </w:r>
      <w:r>
        <w:rPr>
          <w:rFonts w:hint="eastAsia" w:ascii="宋体" w:hAnsi="宋体" w:eastAsia="宋体" w:cs="宋体"/>
          <w:color w:val="000000"/>
          <w:kern w:val="0"/>
          <w:sz w:val="24"/>
          <w:szCs w:val="24"/>
          <w:u w:val="single"/>
        </w:rPr>
        <w:t>21天</w:t>
      </w:r>
      <w:r>
        <w:rPr>
          <w:rFonts w:hint="eastAsia" w:ascii="宋体" w:hAnsi="宋体" w:eastAsia="宋体" w:cs="宋体"/>
          <w:color w:val="000000"/>
          <w:kern w:val="0"/>
          <w:sz w:val="24"/>
          <w:szCs w:val="24"/>
        </w:rPr>
        <w:t>内完成审批并向承包人颁发最终结清书证书。发包人逾期未完成审批，又未提出修改意见的，视为发包人同意承包人提交的最终结清申请单，且自发包人收到承包人提交的最终结清申请单后</w:t>
      </w:r>
      <w:r>
        <w:rPr>
          <w:rFonts w:hint="eastAsia" w:ascii="宋体" w:hAnsi="宋体" w:eastAsia="宋体" w:cs="宋体"/>
          <w:color w:val="000000"/>
          <w:kern w:val="0"/>
          <w:sz w:val="24"/>
          <w:szCs w:val="24"/>
          <w:u w:val="single"/>
        </w:rPr>
        <w:t>22天</w:t>
      </w:r>
      <w:r>
        <w:rPr>
          <w:rFonts w:hint="eastAsia" w:ascii="宋体" w:hAnsi="宋体" w:eastAsia="宋体" w:cs="宋体"/>
          <w:color w:val="000000"/>
          <w:kern w:val="0"/>
          <w:sz w:val="24"/>
          <w:szCs w:val="24"/>
        </w:rPr>
        <w:t>起视为已颁发最终结清证书。</w:t>
      </w:r>
    </w:p>
    <w:p w14:paraId="6223906B">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（2）除专用合同条款另有约定外，发包人应在颁发最终结清证书后21天内完成支付。发包人逾期支付的，按照中国人民银行发布的同期同类贷款基准利率支付违约金；逾期支付超过</w:t>
      </w:r>
      <w:r>
        <w:rPr>
          <w:rFonts w:hint="eastAsia" w:ascii="宋体" w:hAnsi="宋体" w:eastAsia="宋体" w:cs="宋体"/>
          <w:color w:val="000000"/>
          <w:kern w:val="0"/>
          <w:sz w:val="24"/>
          <w:szCs w:val="24"/>
          <w:u w:val="single"/>
        </w:rPr>
        <w:t>56天</w:t>
      </w:r>
      <w:r>
        <w:rPr>
          <w:rFonts w:hint="eastAsia" w:ascii="宋体" w:hAnsi="宋体" w:eastAsia="宋体" w:cs="宋体"/>
          <w:color w:val="000000"/>
          <w:kern w:val="0"/>
          <w:sz w:val="24"/>
          <w:szCs w:val="24"/>
        </w:rPr>
        <w:t>的，按照中国人民银行发布的同期同类贷款基准利率的两倍支付违约金。</w:t>
      </w:r>
    </w:p>
    <w:p w14:paraId="5E12F0AD">
      <w:pPr>
        <w:pStyle w:val="5"/>
        <w:spacing w:before="0" w:after="0" w:line="240" w:lineRule="auto"/>
        <w:ind w:firstLine="480" w:firstLineChars="200"/>
        <w:rPr>
          <w:rFonts w:hint="eastAsia" w:ascii="宋体" w:hAnsi="宋体" w:eastAsia="宋体" w:cs="宋体"/>
          <w:b w:val="0"/>
          <w:color w:val="000000"/>
          <w:sz w:val="24"/>
          <w:szCs w:val="24"/>
        </w:rPr>
      </w:pPr>
      <w:bookmarkStart w:id="297" w:name="_Toc443898155"/>
      <w:r>
        <w:rPr>
          <w:rFonts w:hint="eastAsia" w:ascii="宋体" w:hAnsi="宋体" w:eastAsia="宋体" w:cs="宋体"/>
          <w:b w:val="0"/>
          <w:color w:val="000000"/>
          <w:sz w:val="24"/>
          <w:szCs w:val="24"/>
        </w:rPr>
        <w:t>15.</w:t>
      </w:r>
      <w:bookmarkEnd w:id="290"/>
      <w:bookmarkStart w:id="298" w:name="_Toc337558815"/>
      <w:r>
        <w:rPr>
          <w:rFonts w:hint="eastAsia" w:ascii="宋体" w:hAnsi="宋体" w:eastAsia="宋体" w:cs="宋体"/>
          <w:b w:val="0"/>
          <w:color w:val="000000"/>
          <w:sz w:val="24"/>
          <w:szCs w:val="24"/>
        </w:rPr>
        <w:t>缺陷责任与保修</w:t>
      </w:r>
      <w:bookmarkEnd w:id="297"/>
    </w:p>
    <w:p w14:paraId="6FD96683">
      <w:pPr>
        <w:pStyle w:val="6"/>
        <w:spacing w:before="0" w:after="0" w:line="240" w:lineRule="auto"/>
        <w:ind w:firstLine="480" w:firstLineChars="200"/>
        <w:rPr>
          <w:rFonts w:hint="eastAsia" w:ascii="宋体" w:hAnsi="宋体" w:eastAsia="宋体" w:cs="宋体"/>
          <w:b w:val="0"/>
          <w:color w:val="000000"/>
          <w:sz w:val="24"/>
          <w:szCs w:val="24"/>
        </w:rPr>
      </w:pPr>
      <w:bookmarkStart w:id="299" w:name="_Toc443898156"/>
      <w:r>
        <w:rPr>
          <w:rFonts w:hint="eastAsia" w:ascii="宋体" w:hAnsi="宋体" w:eastAsia="宋体" w:cs="宋体"/>
          <w:b w:val="0"/>
          <w:color w:val="000000"/>
          <w:sz w:val="24"/>
          <w:szCs w:val="24"/>
        </w:rPr>
        <w:t>15.</w:t>
      </w:r>
      <w:bookmarkEnd w:id="291"/>
      <w:bookmarkEnd w:id="292"/>
      <w:bookmarkEnd w:id="298"/>
      <w:bookmarkStart w:id="300" w:name="_Toc337558816"/>
      <w:bookmarkStart w:id="301" w:name="_Toc296346615"/>
      <w:bookmarkStart w:id="302" w:name="_Toc296503114"/>
      <w:r>
        <w:rPr>
          <w:rFonts w:hint="eastAsia" w:ascii="宋体" w:hAnsi="宋体" w:eastAsia="宋体" w:cs="宋体"/>
          <w:b w:val="0"/>
          <w:color w:val="000000"/>
          <w:sz w:val="24"/>
          <w:szCs w:val="24"/>
        </w:rPr>
        <w:t>1 工程保修的原则</w:t>
      </w:r>
      <w:bookmarkEnd w:id="299"/>
    </w:p>
    <w:p w14:paraId="1D0DD0C3">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在工程</w:t>
      </w:r>
      <w:bookmarkEnd w:id="300"/>
      <w:r>
        <w:rPr>
          <w:rFonts w:hint="eastAsia" w:ascii="宋体" w:hAnsi="宋体" w:eastAsia="宋体" w:cs="宋体"/>
          <w:color w:val="000000"/>
          <w:kern w:val="0"/>
          <w:sz w:val="24"/>
          <w:szCs w:val="24"/>
        </w:rPr>
        <w:t>移交发包人后，因承包人原因产生的质量缺陷，承包人应承担质量缺陷责任和保修义务。缺陷责任期届满，承包人仍应按合同约定的工程各部位保修年限承担保修义务。</w:t>
      </w:r>
    </w:p>
    <w:p w14:paraId="0E254659">
      <w:pPr>
        <w:pStyle w:val="6"/>
        <w:spacing w:before="0" w:after="0" w:line="240" w:lineRule="auto"/>
        <w:ind w:firstLine="480" w:firstLineChars="200"/>
        <w:rPr>
          <w:rFonts w:hint="eastAsia" w:ascii="宋体" w:hAnsi="宋体" w:eastAsia="宋体" w:cs="宋体"/>
          <w:b w:val="0"/>
          <w:color w:val="000000"/>
          <w:sz w:val="24"/>
          <w:szCs w:val="24"/>
        </w:rPr>
      </w:pPr>
      <w:bookmarkStart w:id="303" w:name="_Toc443898157"/>
      <w:r>
        <w:rPr>
          <w:rFonts w:hint="eastAsia" w:ascii="宋体" w:hAnsi="宋体" w:eastAsia="宋体" w:cs="宋体"/>
          <w:b w:val="0"/>
          <w:color w:val="000000"/>
          <w:sz w:val="24"/>
          <w:szCs w:val="24"/>
        </w:rPr>
        <w:t>15.</w:t>
      </w:r>
      <w:bookmarkStart w:id="304" w:name="_Toc337558817"/>
      <w:r>
        <w:rPr>
          <w:rFonts w:hint="eastAsia" w:ascii="宋体" w:hAnsi="宋体" w:eastAsia="宋体" w:cs="宋体"/>
          <w:b w:val="0"/>
          <w:color w:val="000000"/>
          <w:sz w:val="24"/>
          <w:szCs w:val="24"/>
        </w:rPr>
        <w:t>2 缺陷责任期</w:t>
      </w:r>
      <w:bookmarkEnd w:id="303"/>
    </w:p>
    <w:p w14:paraId="3AA0104D">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w:t>
      </w:r>
      <w:bookmarkEnd w:id="301"/>
      <w:bookmarkEnd w:id="302"/>
      <w:r>
        <w:rPr>
          <w:rFonts w:hint="eastAsia" w:ascii="宋体" w:hAnsi="宋体" w:eastAsia="宋体" w:cs="宋体"/>
          <w:color w:val="000000"/>
          <w:kern w:val="0"/>
          <w:sz w:val="24"/>
          <w:szCs w:val="24"/>
        </w:rPr>
        <w:t>.</w:t>
      </w:r>
      <w:bookmarkEnd w:id="304"/>
      <w:r>
        <w:rPr>
          <w:rFonts w:hint="eastAsia" w:ascii="宋体" w:hAnsi="宋体" w:eastAsia="宋体" w:cs="宋体"/>
          <w:color w:val="000000"/>
          <w:kern w:val="0"/>
          <w:sz w:val="24"/>
          <w:szCs w:val="24"/>
        </w:rPr>
        <w:t>2.1 缺陷责任期自实际竣工日期起计算，合同当事人应在专用合同条款约定缺陷责任期的具体期限，但该期限最长不超过</w:t>
      </w:r>
      <w:r>
        <w:rPr>
          <w:rFonts w:hint="eastAsia" w:ascii="宋体" w:hAnsi="宋体" w:eastAsia="宋体" w:cs="宋体"/>
          <w:color w:val="000000"/>
          <w:kern w:val="0"/>
          <w:sz w:val="24"/>
          <w:szCs w:val="24"/>
          <w:u w:val="single"/>
        </w:rPr>
        <w:t>24个月</w:t>
      </w:r>
      <w:r>
        <w:rPr>
          <w:rFonts w:hint="eastAsia" w:ascii="宋体" w:hAnsi="宋体" w:eastAsia="宋体" w:cs="宋体"/>
          <w:color w:val="000000"/>
          <w:kern w:val="0"/>
          <w:sz w:val="24"/>
          <w:szCs w:val="24"/>
        </w:rPr>
        <w:t>。</w:t>
      </w:r>
    </w:p>
    <w:p w14:paraId="77CE403D">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单位工程先于全部工程进行验收，经验收合格并交付使用的，该单位工程缺陷责任期自单位工程验收合格之日起算。因发包人原因导致工程无法按合同约定期限进行竣工验收的，缺陷责任期自承包人提交竣工验收申请报告之日起开始计算；发包人未经竣工验收擅自使用工程的，缺陷责任期自工程转移占有之日起开始计算。</w:t>
      </w:r>
    </w:p>
    <w:p w14:paraId="2CA821A9">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15.2.2 工程竣工验收合格后，因承包人原因导致的缺陷或损坏致使工程、单位工程或某项主要设备不能按原定目的使用的，则发包人有权要求承</w:t>
      </w:r>
      <w:r>
        <w:rPr>
          <w:rFonts w:hint="eastAsia" w:ascii="宋体" w:hAnsi="宋体" w:eastAsia="宋体" w:cs="宋体"/>
          <w:bCs/>
          <w:color w:val="000000"/>
          <w:sz w:val="24"/>
          <w:szCs w:val="24"/>
        </w:rPr>
        <w:t>包人延长缺陷责任期，</w:t>
      </w:r>
      <w:r>
        <w:rPr>
          <w:rFonts w:hint="eastAsia" w:ascii="宋体" w:hAnsi="宋体" w:eastAsia="宋体" w:cs="宋体"/>
          <w:color w:val="000000"/>
          <w:kern w:val="0"/>
          <w:sz w:val="24"/>
          <w:szCs w:val="24"/>
        </w:rPr>
        <w:t>并应在原缺陷责任期届满前发出延长通知，</w:t>
      </w:r>
      <w:r>
        <w:rPr>
          <w:rFonts w:hint="eastAsia" w:ascii="宋体" w:hAnsi="宋体" w:eastAsia="宋体" w:cs="宋体"/>
          <w:bCs/>
          <w:color w:val="000000"/>
          <w:sz w:val="24"/>
          <w:szCs w:val="24"/>
        </w:rPr>
        <w:t>但缺陷责任期最长</w:t>
      </w:r>
      <w:r>
        <w:rPr>
          <w:rFonts w:hint="eastAsia" w:ascii="宋体" w:hAnsi="宋体" w:eastAsia="宋体" w:cs="宋体"/>
          <w:color w:val="000000"/>
          <w:kern w:val="0"/>
          <w:sz w:val="24"/>
          <w:szCs w:val="24"/>
        </w:rPr>
        <w:t>不能超过</w:t>
      </w:r>
      <w:r>
        <w:rPr>
          <w:rFonts w:hint="eastAsia" w:ascii="宋体" w:hAnsi="宋体" w:eastAsia="宋体" w:cs="宋体"/>
          <w:color w:val="000000"/>
          <w:kern w:val="0"/>
          <w:sz w:val="24"/>
          <w:szCs w:val="24"/>
          <w:u w:val="single"/>
        </w:rPr>
        <w:t>24个月</w:t>
      </w:r>
      <w:r>
        <w:rPr>
          <w:rFonts w:hint="eastAsia" w:ascii="宋体" w:hAnsi="宋体" w:eastAsia="宋体" w:cs="宋体"/>
          <w:color w:val="000000"/>
          <w:kern w:val="0"/>
          <w:sz w:val="24"/>
          <w:szCs w:val="24"/>
        </w:rPr>
        <w:t>。</w:t>
      </w:r>
    </w:p>
    <w:p w14:paraId="7F6E9ABD">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15.2.3 任何一项缺陷或损坏修复后，经检查证明其影响了工程或工程设备的使用性能，承包人应重新进行合同约定的试验和试运行，试验和试运行的全部费用应由责任方承担。</w:t>
      </w:r>
    </w:p>
    <w:p w14:paraId="64F32FC8">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15.2.4 除专用合同条款另有约定外，承包人应于缺陷责任期届满后14天内向发包人发出缺陷责任期届满通知，发包人应在收到缺陷责任期满通知后</w:t>
      </w:r>
      <w:r>
        <w:rPr>
          <w:rFonts w:hint="eastAsia" w:ascii="宋体" w:hAnsi="宋体" w:eastAsia="宋体" w:cs="宋体"/>
          <w:color w:val="000000"/>
          <w:kern w:val="0"/>
          <w:sz w:val="24"/>
          <w:szCs w:val="24"/>
          <w:u w:val="single"/>
        </w:rPr>
        <w:t>21天</w:t>
      </w:r>
      <w:r>
        <w:rPr>
          <w:rFonts w:hint="eastAsia" w:ascii="宋体" w:hAnsi="宋体" w:eastAsia="宋体" w:cs="宋体"/>
          <w:color w:val="000000"/>
          <w:kern w:val="0"/>
          <w:sz w:val="24"/>
          <w:szCs w:val="24"/>
        </w:rPr>
        <w:t>内核实承包人是否履行缺陷修复义务，承包人未能履行缺陷修复义务的，发包人有权扣除相应金额的维修费用。发包人应在收到缺陷责任期届满通知后</w:t>
      </w:r>
      <w:r>
        <w:rPr>
          <w:rFonts w:hint="eastAsia" w:ascii="宋体" w:hAnsi="宋体" w:eastAsia="宋体" w:cs="宋体"/>
          <w:color w:val="000000"/>
          <w:kern w:val="0"/>
          <w:sz w:val="24"/>
          <w:szCs w:val="24"/>
          <w:u w:val="single"/>
        </w:rPr>
        <w:t>21天</w:t>
      </w:r>
      <w:r>
        <w:rPr>
          <w:rFonts w:hint="eastAsia" w:ascii="宋体" w:hAnsi="宋体" w:eastAsia="宋体" w:cs="宋体"/>
          <w:color w:val="000000"/>
          <w:kern w:val="0"/>
          <w:sz w:val="24"/>
          <w:szCs w:val="24"/>
        </w:rPr>
        <w:t>内，向承包人颁发缺陷责任期终止证书。</w:t>
      </w:r>
    </w:p>
    <w:p w14:paraId="74AE360A">
      <w:pPr>
        <w:pStyle w:val="6"/>
        <w:spacing w:before="0" w:after="0" w:line="240" w:lineRule="auto"/>
        <w:ind w:firstLine="480" w:firstLineChars="200"/>
        <w:rPr>
          <w:rFonts w:hint="eastAsia" w:ascii="宋体" w:hAnsi="宋体" w:eastAsia="宋体" w:cs="宋体"/>
          <w:b w:val="0"/>
          <w:color w:val="000000"/>
          <w:sz w:val="24"/>
          <w:szCs w:val="24"/>
        </w:rPr>
      </w:pPr>
      <w:bookmarkStart w:id="305" w:name="_Toc443898158"/>
      <w:r>
        <w:rPr>
          <w:rFonts w:hint="eastAsia" w:ascii="宋体" w:hAnsi="宋体" w:eastAsia="宋体" w:cs="宋体"/>
          <w:b w:val="0"/>
          <w:color w:val="000000"/>
          <w:sz w:val="24"/>
          <w:szCs w:val="24"/>
        </w:rPr>
        <w:t>15.</w:t>
      </w:r>
      <w:bookmarkStart w:id="306" w:name="_Toc337558818"/>
      <w:bookmarkStart w:id="307" w:name="_Toc296346616"/>
      <w:bookmarkStart w:id="308" w:name="_Toc296503115"/>
      <w:r>
        <w:rPr>
          <w:rFonts w:hint="eastAsia" w:ascii="宋体" w:hAnsi="宋体" w:eastAsia="宋体" w:cs="宋体"/>
          <w:b w:val="0"/>
          <w:color w:val="000000"/>
          <w:sz w:val="24"/>
          <w:szCs w:val="24"/>
        </w:rPr>
        <w:t>3 质量保证金</w:t>
      </w:r>
      <w:bookmarkEnd w:id="305"/>
    </w:p>
    <w:p w14:paraId="01531F9F">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经合同</w:t>
      </w:r>
      <w:bookmarkEnd w:id="306"/>
      <w:r>
        <w:rPr>
          <w:rFonts w:hint="eastAsia" w:ascii="宋体" w:hAnsi="宋体" w:eastAsia="宋体" w:cs="宋体"/>
          <w:color w:val="000000"/>
          <w:kern w:val="0"/>
          <w:sz w:val="24"/>
          <w:szCs w:val="24"/>
        </w:rPr>
        <w:t>当事人协商一致扣留质量保证金的，应在专用合同条款中予以明确。</w:t>
      </w:r>
    </w:p>
    <w:p w14:paraId="574B2B41">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15.3.1 承包人提供质量保证金的方式</w:t>
      </w:r>
    </w:p>
    <w:p w14:paraId="05255DC4">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承包人提供质量保证金有以下三种方式：</w:t>
      </w:r>
    </w:p>
    <w:p w14:paraId="69DAB8BC">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（1）质量保证金保函；</w:t>
      </w:r>
    </w:p>
    <w:p w14:paraId="66F0BC29">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（2）相应比例的工程款；</w:t>
      </w:r>
    </w:p>
    <w:p w14:paraId="084725D6">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（3）双方约定的其他方式。</w:t>
      </w:r>
    </w:p>
    <w:p w14:paraId="200700F4">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除专用合同条款另有约定外，质量保证金原则上采用上述第（1）种方式。</w:t>
      </w:r>
    </w:p>
    <w:p w14:paraId="7A24989C">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15.3.2 质量保证金的扣留</w:t>
      </w:r>
    </w:p>
    <w:p w14:paraId="0859EDF9">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质量保证金的扣留有以下三种方式：</w:t>
      </w:r>
    </w:p>
    <w:p w14:paraId="30C72F53">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（1）在支付工程进度款时逐次扣留，在此情形下，质量保证金的计算基数不包括预付款的支付、扣回以及价格调整的金额；</w:t>
      </w:r>
    </w:p>
    <w:p w14:paraId="482A44F6">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（2）工程竣工</w:t>
      </w:r>
      <w:bookmarkStart w:id="309" w:name="#go6"/>
      <w:bookmarkEnd w:id="309"/>
      <w:r>
        <w:rPr>
          <w:rFonts w:hint="eastAsia" w:ascii="宋体" w:hAnsi="宋体" w:eastAsia="宋体" w:cs="宋体"/>
          <w:color w:val="000000"/>
          <w:kern w:val="0"/>
          <w:sz w:val="24"/>
          <w:szCs w:val="24"/>
        </w:rPr>
        <w:t>结算时一次性扣留质量保证金；</w:t>
      </w:r>
    </w:p>
    <w:p w14:paraId="0C8E855B">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（3）双方约定的其他扣留方式。</w:t>
      </w:r>
    </w:p>
    <w:p w14:paraId="46080E0E">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除专用合同条款另有约定外，质量保证金的扣留原则上采用上述第（1）种方式。</w:t>
      </w:r>
    </w:p>
    <w:p w14:paraId="6CA9C512">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发包人累</w:t>
      </w:r>
      <w:bookmarkStart w:id="310" w:name="#go4"/>
      <w:bookmarkEnd w:id="310"/>
      <w:r>
        <w:rPr>
          <w:rFonts w:hint="eastAsia" w:ascii="宋体" w:hAnsi="宋体" w:eastAsia="宋体" w:cs="宋体"/>
          <w:color w:val="000000"/>
          <w:kern w:val="0"/>
          <w:sz w:val="24"/>
          <w:szCs w:val="24"/>
        </w:rPr>
        <w:t>计扣留的质量保证金不得超过结算合同价格的5%，如承包人在发包人签发竣工付款证书后28天内提交质量保证金保函，发包人应同时退还扣留的作为质量保证金的工程价款。</w:t>
      </w:r>
    </w:p>
    <w:p w14:paraId="6D5CB795">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15.3.3 </w:t>
      </w:r>
      <w:r>
        <w:rPr>
          <w:rFonts w:hint="eastAsia" w:ascii="宋体" w:hAnsi="宋体" w:eastAsia="宋体" w:cs="宋体"/>
          <w:color w:val="000000"/>
          <w:sz w:val="24"/>
          <w:szCs w:val="24"/>
        </w:rPr>
        <w:t>质量保证金</w:t>
      </w:r>
      <w:r>
        <w:rPr>
          <w:rFonts w:hint="eastAsia" w:ascii="宋体" w:hAnsi="宋体" w:eastAsia="宋体" w:cs="宋体"/>
          <w:color w:val="000000"/>
          <w:kern w:val="0"/>
          <w:sz w:val="24"/>
          <w:szCs w:val="24"/>
        </w:rPr>
        <w:t>的退还</w:t>
      </w:r>
    </w:p>
    <w:p w14:paraId="7DE303CC">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发包人应按14.4款〔最终结清〕的约定退还质量保证金。</w:t>
      </w:r>
    </w:p>
    <w:p w14:paraId="3CEFD1C5">
      <w:pPr>
        <w:pStyle w:val="6"/>
        <w:spacing w:before="0" w:after="0" w:line="240" w:lineRule="auto"/>
        <w:ind w:firstLine="480" w:firstLineChars="200"/>
        <w:rPr>
          <w:rFonts w:hint="eastAsia" w:ascii="宋体" w:hAnsi="宋体" w:eastAsia="宋体" w:cs="宋体"/>
          <w:b w:val="0"/>
          <w:color w:val="000000"/>
          <w:sz w:val="24"/>
          <w:szCs w:val="24"/>
        </w:rPr>
      </w:pPr>
      <w:bookmarkStart w:id="311" w:name="_Toc443898159"/>
      <w:r>
        <w:rPr>
          <w:rFonts w:hint="eastAsia" w:ascii="宋体" w:hAnsi="宋体" w:eastAsia="宋体" w:cs="宋体"/>
          <w:b w:val="0"/>
          <w:color w:val="000000"/>
          <w:sz w:val="24"/>
          <w:szCs w:val="24"/>
        </w:rPr>
        <w:t>15.</w:t>
      </w:r>
      <w:bookmarkStart w:id="312" w:name="_Toc337558819"/>
      <w:r>
        <w:rPr>
          <w:rFonts w:hint="eastAsia" w:ascii="宋体" w:hAnsi="宋体" w:eastAsia="宋体" w:cs="宋体"/>
          <w:b w:val="0"/>
          <w:color w:val="000000"/>
          <w:sz w:val="24"/>
          <w:szCs w:val="24"/>
        </w:rPr>
        <w:t>4 保修</w:t>
      </w:r>
      <w:bookmarkEnd w:id="311"/>
    </w:p>
    <w:p w14:paraId="7C4A48A7">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w:t>
      </w:r>
      <w:bookmarkEnd w:id="307"/>
      <w:bookmarkEnd w:id="308"/>
      <w:bookmarkEnd w:id="312"/>
      <w:r>
        <w:rPr>
          <w:rFonts w:hint="eastAsia" w:ascii="宋体" w:hAnsi="宋体" w:eastAsia="宋体" w:cs="宋体"/>
          <w:color w:val="000000"/>
          <w:kern w:val="0"/>
          <w:sz w:val="24"/>
          <w:szCs w:val="24"/>
        </w:rPr>
        <w:t>4.1保修责任</w:t>
      </w:r>
    </w:p>
    <w:p w14:paraId="6D0EE130">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14:paraId="027CE028">
      <w:pPr>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发包人未经竣工验收擅自使用工程的，保修期自</w:t>
      </w:r>
      <w:r>
        <w:rPr>
          <w:rFonts w:hint="eastAsia" w:ascii="宋体" w:hAnsi="宋体" w:eastAsia="宋体" w:cs="宋体"/>
          <w:color w:val="000000"/>
          <w:kern w:val="0"/>
          <w:sz w:val="24"/>
          <w:szCs w:val="24"/>
        </w:rPr>
        <w:t>转移占有之日起算</w:t>
      </w:r>
      <w:r>
        <w:rPr>
          <w:rFonts w:hint="eastAsia" w:ascii="宋体" w:hAnsi="宋体" w:eastAsia="宋体" w:cs="宋体"/>
          <w:color w:val="000000"/>
          <w:sz w:val="24"/>
          <w:szCs w:val="24"/>
        </w:rPr>
        <w:t>。</w:t>
      </w:r>
    </w:p>
    <w:p w14:paraId="1300445D">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15.4.2 修复费用</w:t>
      </w:r>
    </w:p>
    <w:p w14:paraId="755A08DF">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保修期内，修复的费用按照以下约定处理：</w:t>
      </w:r>
    </w:p>
    <w:p w14:paraId="3E93C85A">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（1）保修期内，因承包人原因造成工程的缺陷、损坏，承包人应负责修复，并承担修复的费用以及因工程的缺陷、损坏造成的人身伤害和财产损失；</w:t>
      </w:r>
    </w:p>
    <w:p w14:paraId="56D7094E">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（2）保修期内，因发包人使用不当造成工程的缺陷、损坏，可以委托承包人修复，但发包人应承担修复的费用，并支付承包人合理利润；</w:t>
      </w:r>
    </w:p>
    <w:p w14:paraId="786F058F">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（3）因其他原因造成工程的缺陷、损坏，可以委托承包人修复，发包人应承担修复的费用，并支付承包人合理的利润，因工程的缺陷、损坏造成的人身伤害和财产损失由责任方承担。</w:t>
      </w:r>
    </w:p>
    <w:p w14:paraId="45F0862E">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15.4.3 修复通知</w:t>
      </w:r>
    </w:p>
    <w:p w14:paraId="77C82EBB">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14:paraId="585FB09D">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15.4.4 未能修复</w:t>
      </w:r>
    </w:p>
    <w:p w14:paraId="31661D6F">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14:paraId="3617E965">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15.4.5 承包人出入权</w:t>
      </w:r>
    </w:p>
    <w:p w14:paraId="0DC97987">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在保修期内，为了修复缺陷或损坏，承包人有权出入工程现场，除情况紧急必须立即修复缺陷或损坏外，承包人应提前</w:t>
      </w:r>
      <w:r>
        <w:rPr>
          <w:rFonts w:hint="eastAsia" w:ascii="宋体" w:hAnsi="宋体" w:eastAsia="宋体" w:cs="宋体"/>
          <w:color w:val="000000"/>
          <w:kern w:val="0"/>
          <w:sz w:val="24"/>
          <w:szCs w:val="24"/>
          <w:u w:val="single"/>
        </w:rPr>
        <w:t>24小时</w:t>
      </w:r>
      <w:r>
        <w:rPr>
          <w:rFonts w:hint="eastAsia" w:ascii="宋体" w:hAnsi="宋体" w:eastAsia="宋体" w:cs="宋体"/>
          <w:color w:val="000000"/>
          <w:kern w:val="0"/>
          <w:sz w:val="24"/>
          <w:szCs w:val="24"/>
        </w:rPr>
        <w:t>通知发包人进场修复的时间。承包人进入工程现场前应获得发包人同意，且不应影响发包人正常的生产经营，并应遵守发包人有关保安和保密等规定。</w:t>
      </w:r>
    </w:p>
    <w:p w14:paraId="228B21D1">
      <w:pPr>
        <w:pStyle w:val="5"/>
        <w:spacing w:before="0" w:after="0" w:line="240" w:lineRule="auto"/>
        <w:ind w:firstLine="480" w:firstLineChars="200"/>
        <w:rPr>
          <w:rFonts w:hint="eastAsia" w:ascii="宋体" w:hAnsi="宋体" w:eastAsia="宋体" w:cs="宋体"/>
          <w:b w:val="0"/>
          <w:color w:val="000000"/>
          <w:sz w:val="24"/>
          <w:szCs w:val="24"/>
        </w:rPr>
      </w:pPr>
      <w:bookmarkStart w:id="313" w:name="_Toc443898160"/>
      <w:r>
        <w:rPr>
          <w:rFonts w:hint="eastAsia" w:ascii="宋体" w:hAnsi="宋体" w:eastAsia="宋体" w:cs="宋体"/>
          <w:b w:val="0"/>
          <w:color w:val="000000"/>
          <w:sz w:val="24"/>
          <w:szCs w:val="24"/>
        </w:rPr>
        <w:t>16.</w:t>
      </w:r>
      <w:bookmarkStart w:id="314" w:name="_Toc337558820"/>
      <w:r>
        <w:rPr>
          <w:rFonts w:hint="eastAsia" w:ascii="宋体" w:hAnsi="宋体" w:eastAsia="宋体" w:cs="宋体"/>
          <w:b w:val="0"/>
          <w:color w:val="000000"/>
          <w:sz w:val="24"/>
          <w:szCs w:val="24"/>
        </w:rPr>
        <w:t>违约</w:t>
      </w:r>
      <w:bookmarkEnd w:id="313"/>
    </w:p>
    <w:p w14:paraId="279355B2">
      <w:pPr>
        <w:pStyle w:val="6"/>
        <w:spacing w:before="0" w:after="0" w:line="240" w:lineRule="auto"/>
        <w:ind w:firstLine="480" w:firstLineChars="200"/>
        <w:rPr>
          <w:rFonts w:hint="eastAsia" w:ascii="宋体" w:hAnsi="宋体" w:eastAsia="宋体" w:cs="宋体"/>
          <w:b w:val="0"/>
          <w:color w:val="000000"/>
          <w:sz w:val="24"/>
          <w:szCs w:val="24"/>
        </w:rPr>
      </w:pPr>
      <w:bookmarkStart w:id="315" w:name="_Toc443898161"/>
      <w:r>
        <w:rPr>
          <w:rFonts w:hint="eastAsia" w:ascii="宋体" w:hAnsi="宋体" w:eastAsia="宋体" w:cs="宋体"/>
          <w:b w:val="0"/>
          <w:color w:val="000000"/>
          <w:sz w:val="24"/>
          <w:szCs w:val="24"/>
        </w:rPr>
        <w:t>16.</w:t>
      </w:r>
      <w:bookmarkEnd w:id="314"/>
      <w:bookmarkStart w:id="316" w:name="_Toc296503129"/>
      <w:bookmarkStart w:id="317" w:name="_Toc296346630"/>
      <w:bookmarkStart w:id="318" w:name="_Toc337558821"/>
      <w:r>
        <w:rPr>
          <w:rFonts w:hint="eastAsia" w:ascii="宋体" w:hAnsi="宋体" w:eastAsia="宋体" w:cs="宋体"/>
          <w:b w:val="0"/>
          <w:color w:val="000000"/>
          <w:sz w:val="24"/>
          <w:szCs w:val="24"/>
        </w:rPr>
        <w:t>1 发包人违</w:t>
      </w:r>
      <w:bookmarkEnd w:id="316"/>
      <w:bookmarkEnd w:id="317"/>
      <w:r>
        <w:rPr>
          <w:rFonts w:hint="eastAsia" w:ascii="宋体" w:hAnsi="宋体" w:eastAsia="宋体" w:cs="宋体"/>
          <w:b w:val="0"/>
          <w:color w:val="000000"/>
          <w:sz w:val="24"/>
          <w:szCs w:val="24"/>
        </w:rPr>
        <w:t>约</w:t>
      </w:r>
      <w:bookmarkEnd w:id="315"/>
    </w:p>
    <w:p w14:paraId="6FF015B9">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w:t>
      </w:r>
      <w:bookmarkEnd w:id="318"/>
      <w:r>
        <w:rPr>
          <w:rFonts w:hint="eastAsia" w:ascii="宋体" w:hAnsi="宋体" w:eastAsia="宋体" w:cs="宋体"/>
          <w:color w:val="000000"/>
          <w:kern w:val="0"/>
          <w:sz w:val="24"/>
          <w:szCs w:val="24"/>
        </w:rPr>
        <w:t>1.1 发包人违约的情形</w:t>
      </w:r>
    </w:p>
    <w:p w14:paraId="07891D41">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在合同履行过程中发生的下列情形，属于发包人违约：</w:t>
      </w:r>
    </w:p>
    <w:p w14:paraId="44FA2EAA">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r>
        <w:rPr>
          <w:rFonts w:hint="eastAsia" w:ascii="宋体" w:hAnsi="宋体" w:eastAsia="宋体" w:cs="宋体"/>
          <w:kern w:val="0"/>
          <w:sz w:val="24"/>
          <w:szCs w:val="24"/>
        </w:rPr>
        <w:t>发包人无正当理由未</w:t>
      </w:r>
      <w:r>
        <w:rPr>
          <w:rFonts w:hint="eastAsia" w:ascii="宋体" w:hAnsi="宋体" w:eastAsia="宋体" w:cs="宋体"/>
          <w:color w:val="000000"/>
          <w:kern w:val="0"/>
          <w:sz w:val="24"/>
          <w:szCs w:val="24"/>
        </w:rPr>
        <w:t>能在计划开工日期前</w:t>
      </w:r>
      <w:r>
        <w:rPr>
          <w:rFonts w:hint="eastAsia" w:ascii="宋体" w:hAnsi="宋体" w:eastAsia="宋体" w:cs="宋体"/>
          <w:color w:val="000000"/>
          <w:kern w:val="0"/>
          <w:sz w:val="24"/>
          <w:szCs w:val="24"/>
          <w:u w:val="single"/>
        </w:rPr>
        <w:t>7天</w:t>
      </w:r>
      <w:r>
        <w:rPr>
          <w:rFonts w:hint="eastAsia" w:ascii="宋体" w:hAnsi="宋体" w:eastAsia="宋体" w:cs="宋体"/>
          <w:color w:val="000000"/>
          <w:kern w:val="0"/>
          <w:sz w:val="24"/>
          <w:szCs w:val="24"/>
        </w:rPr>
        <w:t>内下达开工通知的；</w:t>
      </w:r>
    </w:p>
    <w:p w14:paraId="727C54CB">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r>
        <w:rPr>
          <w:rFonts w:hint="eastAsia" w:ascii="宋体" w:hAnsi="宋体" w:eastAsia="宋体" w:cs="宋体"/>
          <w:kern w:val="0"/>
          <w:sz w:val="24"/>
          <w:szCs w:val="24"/>
        </w:rPr>
        <w:t>发包人无正当理由</w:t>
      </w:r>
      <w:r>
        <w:rPr>
          <w:rFonts w:hint="eastAsia" w:ascii="宋体" w:hAnsi="宋体" w:eastAsia="宋体" w:cs="宋体"/>
          <w:color w:val="000000"/>
          <w:kern w:val="0"/>
          <w:sz w:val="24"/>
          <w:szCs w:val="24"/>
        </w:rPr>
        <w:t>未能按合同约定支付合同价款的；</w:t>
      </w:r>
    </w:p>
    <w:p w14:paraId="10BFB045">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（3）发包人违反第10.1款〔变更的范围〕第（2）项约定，自行实施被取消的工作或转由他人实施的；</w:t>
      </w:r>
    </w:p>
    <w:p w14:paraId="5421B1F2">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（4）发包人提供的材料、工程设备的规格、数量或质量不符合合同约定，或因发包人</w:t>
      </w:r>
      <w:r>
        <w:rPr>
          <w:rFonts w:hint="eastAsia" w:ascii="宋体" w:hAnsi="宋体" w:eastAsia="宋体" w:cs="宋体"/>
          <w:kern w:val="0"/>
          <w:sz w:val="24"/>
          <w:szCs w:val="24"/>
        </w:rPr>
        <w:t>无正当理由</w:t>
      </w:r>
      <w:r>
        <w:rPr>
          <w:rFonts w:hint="eastAsia" w:ascii="宋体" w:hAnsi="宋体" w:eastAsia="宋体" w:cs="宋体"/>
          <w:color w:val="000000"/>
          <w:kern w:val="0"/>
          <w:sz w:val="24"/>
          <w:szCs w:val="24"/>
        </w:rPr>
        <w:t>导致交货日期延误或交货地点变更等情况的；</w:t>
      </w:r>
    </w:p>
    <w:p w14:paraId="75B26085">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（5）发包人</w:t>
      </w:r>
      <w:r>
        <w:rPr>
          <w:rFonts w:hint="eastAsia" w:ascii="宋体" w:hAnsi="宋体" w:eastAsia="宋体" w:cs="宋体"/>
          <w:kern w:val="0"/>
          <w:sz w:val="24"/>
          <w:szCs w:val="24"/>
        </w:rPr>
        <w:t>无正当理由</w:t>
      </w:r>
      <w:r>
        <w:rPr>
          <w:rFonts w:hint="eastAsia" w:ascii="宋体" w:hAnsi="宋体" w:eastAsia="宋体" w:cs="宋体"/>
          <w:color w:val="000000"/>
          <w:kern w:val="0"/>
          <w:sz w:val="24"/>
          <w:szCs w:val="24"/>
        </w:rPr>
        <w:t>违反合同约定造成暂停施工的；</w:t>
      </w:r>
    </w:p>
    <w:p w14:paraId="360D2668">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（6）发包人无正当理由没有在约定期限内发出复工指示，导致承包人无法复工的；</w:t>
      </w:r>
    </w:p>
    <w:p w14:paraId="7ED96C45">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（7）发包人明确表示或者以其行为表明不履行合同主要义务的；</w:t>
      </w:r>
    </w:p>
    <w:p w14:paraId="2F100DAA">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（8）发包人</w:t>
      </w:r>
      <w:r>
        <w:rPr>
          <w:rFonts w:hint="eastAsia" w:ascii="宋体" w:hAnsi="宋体" w:eastAsia="宋体" w:cs="宋体"/>
          <w:kern w:val="0"/>
          <w:sz w:val="24"/>
          <w:szCs w:val="24"/>
        </w:rPr>
        <w:t>无正当理由</w:t>
      </w:r>
      <w:r>
        <w:rPr>
          <w:rFonts w:hint="eastAsia" w:ascii="宋体" w:hAnsi="宋体" w:eastAsia="宋体" w:cs="宋体"/>
          <w:color w:val="000000"/>
          <w:kern w:val="0"/>
          <w:sz w:val="24"/>
          <w:szCs w:val="24"/>
        </w:rPr>
        <w:t>未能按照合同约定履行其他义务的。</w:t>
      </w:r>
    </w:p>
    <w:p w14:paraId="344AAB95">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发包人发生除本项第（7）目以外的违约情况时，承包人可向发包人发出通知，要求发包人采取有效措施纠正违约行为。在双方有存在分歧的情况下，承包人应保证现场施工的正常推进。</w:t>
      </w:r>
    </w:p>
    <w:p w14:paraId="09CF1ADE">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16.1.2 发包人违约的责任</w:t>
      </w:r>
    </w:p>
    <w:p w14:paraId="1E2E0578">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发包人应承担因其违约而延误的工期。此外，合同当事人可在专用合同条款中另行约定发包人违约责任的承担方式和计算方法。</w:t>
      </w:r>
    </w:p>
    <w:p w14:paraId="2C47DF4F">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16.1.3 因发包人违约解除合同</w:t>
      </w:r>
    </w:p>
    <w:p w14:paraId="718560A9">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除专用合同条款另有约定外，承包人按第16.1.1项〔发包人违约的情形〕约定暂停施工满</w:t>
      </w:r>
      <w:r>
        <w:rPr>
          <w:rFonts w:hint="eastAsia" w:ascii="宋体" w:hAnsi="宋体" w:eastAsia="宋体" w:cs="宋体"/>
          <w:color w:val="000000"/>
          <w:kern w:val="0"/>
          <w:sz w:val="24"/>
          <w:szCs w:val="24"/>
          <w:u w:val="single"/>
        </w:rPr>
        <w:t>28天</w:t>
      </w:r>
      <w:r>
        <w:rPr>
          <w:rFonts w:hint="eastAsia" w:ascii="宋体" w:hAnsi="宋体" w:eastAsia="宋体" w:cs="宋体"/>
          <w:color w:val="000000"/>
          <w:kern w:val="0"/>
          <w:sz w:val="24"/>
          <w:szCs w:val="24"/>
        </w:rPr>
        <w:t>后，发包人仍不纠正其违约行为并致使合同目的不能实现的，或出现第16.1.1项〔发包人违约的情形〕第（7）目约定的违约情况</w:t>
      </w:r>
      <w:r>
        <w:rPr>
          <w:rFonts w:hint="eastAsia" w:ascii="宋体" w:hAnsi="宋体" w:eastAsia="宋体" w:cs="宋体"/>
          <w:kern w:val="0"/>
          <w:sz w:val="24"/>
          <w:szCs w:val="24"/>
        </w:rPr>
        <w:t>，经承包人书面催告后仍未纠正的，则承</w:t>
      </w:r>
      <w:r>
        <w:rPr>
          <w:rFonts w:hint="eastAsia" w:ascii="宋体" w:hAnsi="宋体" w:eastAsia="宋体" w:cs="宋体"/>
          <w:color w:val="000000"/>
          <w:kern w:val="0"/>
          <w:sz w:val="24"/>
          <w:szCs w:val="24"/>
        </w:rPr>
        <w:t>包人有权解除合同。</w:t>
      </w:r>
    </w:p>
    <w:p w14:paraId="1BCCBEAE">
      <w:pPr>
        <w:autoSpaceDE w:val="0"/>
        <w:autoSpaceDN w:val="0"/>
        <w:adjustRightInd w:val="0"/>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kern w:val="0"/>
          <w:sz w:val="24"/>
          <w:szCs w:val="24"/>
        </w:rPr>
        <w:t>16.1.4 因发包人违约解除合同后的付款</w:t>
      </w:r>
    </w:p>
    <w:p w14:paraId="4E64D24F">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承包人按照本款约定解除合同的，</w:t>
      </w:r>
      <w:r>
        <w:rPr>
          <w:rFonts w:hint="eastAsia" w:ascii="宋体" w:hAnsi="宋体" w:eastAsia="宋体" w:cs="宋体"/>
          <w:kern w:val="0"/>
          <w:sz w:val="24"/>
          <w:szCs w:val="24"/>
        </w:rPr>
        <w:t>发包人对解除行为无异议的，</w:t>
      </w:r>
      <w:r>
        <w:rPr>
          <w:rFonts w:hint="eastAsia" w:ascii="宋体" w:hAnsi="宋体" w:eastAsia="宋体" w:cs="宋体"/>
          <w:color w:val="000000"/>
          <w:kern w:val="0"/>
          <w:sz w:val="24"/>
          <w:szCs w:val="24"/>
        </w:rPr>
        <w:t>发包人应在解除合同后</w:t>
      </w:r>
      <w:r>
        <w:rPr>
          <w:rFonts w:hint="eastAsia" w:ascii="宋体" w:hAnsi="宋体" w:eastAsia="宋体" w:cs="宋体"/>
          <w:color w:val="000000"/>
          <w:kern w:val="0"/>
          <w:sz w:val="24"/>
          <w:szCs w:val="24"/>
          <w:u w:val="single"/>
        </w:rPr>
        <w:t>28天</w:t>
      </w:r>
      <w:r>
        <w:rPr>
          <w:rFonts w:hint="eastAsia" w:ascii="宋体" w:hAnsi="宋体" w:eastAsia="宋体" w:cs="宋体"/>
          <w:color w:val="000000"/>
          <w:kern w:val="0"/>
          <w:sz w:val="24"/>
          <w:szCs w:val="24"/>
        </w:rPr>
        <w:t>内支付下列</w:t>
      </w:r>
      <w:r>
        <w:rPr>
          <w:rFonts w:hint="eastAsia" w:ascii="宋体" w:hAnsi="宋体" w:eastAsia="宋体" w:cs="宋体"/>
          <w:kern w:val="0"/>
          <w:sz w:val="24"/>
          <w:szCs w:val="24"/>
        </w:rPr>
        <w:t>经发包人确认无异议的</w:t>
      </w:r>
      <w:r>
        <w:rPr>
          <w:rFonts w:hint="eastAsia" w:ascii="宋体" w:hAnsi="宋体" w:eastAsia="宋体" w:cs="宋体"/>
          <w:color w:val="000000"/>
          <w:kern w:val="0"/>
          <w:sz w:val="24"/>
          <w:szCs w:val="24"/>
        </w:rPr>
        <w:t>款项，并解除履约担保：</w:t>
      </w:r>
    </w:p>
    <w:p w14:paraId="78FA48E0">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（1）合同解除前所完成工作的价款；</w:t>
      </w:r>
    </w:p>
    <w:p w14:paraId="7C17B517">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（2）承包人为工程施工订购并已付款的材料、工程设备和其他物品的价款；</w:t>
      </w:r>
    </w:p>
    <w:p w14:paraId="35E2413A">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（3）承包人撤离施工现场以及遣散承包人人员的款项；</w:t>
      </w:r>
    </w:p>
    <w:p w14:paraId="0D0E9306">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（4）按照合同约定在合同解除前应支付的违约金；</w:t>
      </w:r>
    </w:p>
    <w:p w14:paraId="5EF9AD2D">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（5）按照合同约定应当支付给承包人的其他款项；</w:t>
      </w:r>
    </w:p>
    <w:p w14:paraId="3AFD5A64">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（6）按照合同约定应退还的质量保证金；</w:t>
      </w:r>
    </w:p>
    <w:p w14:paraId="5DB45C41">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（7）因解除合同给承包人造成的损失。</w:t>
      </w:r>
    </w:p>
    <w:p w14:paraId="649754EA">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合同当事人未能就解除合同后的结清达成一致的，按照第20条〔争议解决〕的约定处理。</w:t>
      </w:r>
    </w:p>
    <w:p w14:paraId="1790D0D9">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承包人应妥善做好已完工程和与工程有关的已购材料、工程设备的保护和移交工作，并将施工设备和人员撤出施工现场，发包人应为承包人撤出提供必要条件。</w:t>
      </w:r>
    </w:p>
    <w:p w14:paraId="259353E5">
      <w:pPr>
        <w:pStyle w:val="6"/>
        <w:spacing w:before="0" w:after="0" w:line="240" w:lineRule="auto"/>
        <w:ind w:firstLine="480" w:firstLineChars="200"/>
        <w:rPr>
          <w:rFonts w:hint="eastAsia" w:ascii="宋体" w:hAnsi="宋体" w:eastAsia="宋体" w:cs="宋体"/>
          <w:b w:val="0"/>
          <w:color w:val="000000"/>
          <w:sz w:val="24"/>
          <w:szCs w:val="24"/>
        </w:rPr>
      </w:pPr>
      <w:bookmarkStart w:id="319" w:name="_Toc443898162"/>
      <w:r>
        <w:rPr>
          <w:rFonts w:hint="eastAsia" w:ascii="宋体" w:hAnsi="宋体" w:eastAsia="宋体" w:cs="宋体"/>
          <w:b w:val="0"/>
          <w:color w:val="000000"/>
          <w:sz w:val="24"/>
          <w:szCs w:val="24"/>
        </w:rPr>
        <w:t>16.</w:t>
      </w:r>
      <w:bookmarkStart w:id="320" w:name="_Toc337558822"/>
      <w:bookmarkStart w:id="321" w:name="_Toc296503131"/>
      <w:bookmarkStart w:id="322" w:name="_Toc296346632"/>
      <w:r>
        <w:rPr>
          <w:rFonts w:hint="eastAsia" w:ascii="宋体" w:hAnsi="宋体" w:eastAsia="宋体" w:cs="宋体"/>
          <w:b w:val="0"/>
          <w:color w:val="000000"/>
          <w:sz w:val="24"/>
          <w:szCs w:val="24"/>
        </w:rPr>
        <w:t>2 承包人违约</w:t>
      </w:r>
      <w:bookmarkEnd w:id="319"/>
    </w:p>
    <w:p w14:paraId="5452EBC6">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w:t>
      </w:r>
      <w:bookmarkEnd w:id="320"/>
      <w:bookmarkEnd w:id="321"/>
      <w:bookmarkEnd w:id="322"/>
      <w:r>
        <w:rPr>
          <w:rFonts w:hint="eastAsia" w:ascii="宋体" w:hAnsi="宋体" w:eastAsia="宋体" w:cs="宋体"/>
          <w:color w:val="000000"/>
          <w:kern w:val="0"/>
          <w:sz w:val="24"/>
          <w:szCs w:val="24"/>
        </w:rPr>
        <w:t>2.1 承包人违约的情形</w:t>
      </w:r>
    </w:p>
    <w:p w14:paraId="3F131C3B">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在合同履行过程中发生的下列情形，属于承包人违约：</w:t>
      </w:r>
    </w:p>
    <w:p w14:paraId="05FA031F">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16.2.1.1承包人违反合同约定进行转包或违法分包的；</w:t>
      </w:r>
    </w:p>
    <w:p w14:paraId="08E6F418">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16.2.1.2承包人违反合同约定采购和使用不合格的材料和工程设备的；</w:t>
      </w:r>
    </w:p>
    <w:p w14:paraId="5B446741">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16.2.1.3因承包人原因导致工程质量不符合合同要求的；</w:t>
      </w:r>
    </w:p>
    <w:p w14:paraId="45B5BD0D">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16.2.1.4承包人违反第8.9款〔材料与设备专用要求〕的约定，未经批准，私自将已按照合同约定进入施工现场的材料或设备撤离施工现场，或挪作他用的；</w:t>
      </w:r>
    </w:p>
    <w:p w14:paraId="75C44B59">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16.2.1.5承包人未能按施工进度计划及时完成合同约定的工作，造成工期延误的；</w:t>
      </w:r>
    </w:p>
    <w:p w14:paraId="647160F1">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16.2.1.6承包人在缺陷责任期及保修期内，未能在合理期限对工程缺陷进行修复，或拒绝按发包人要求进行修复的；</w:t>
      </w:r>
    </w:p>
    <w:p w14:paraId="3BA6C490">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16.2.1.7承包人明确表示或者以其行为表明不履行合同主要义务的；</w:t>
      </w:r>
    </w:p>
    <w:p w14:paraId="552D5921">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16.2.1.8承包人未能按照合同约定履行其他义务的。</w:t>
      </w:r>
    </w:p>
    <w:p w14:paraId="480D8009">
      <w:pPr>
        <w:ind w:firstLine="480" w:firstLineChars="200"/>
        <w:rPr>
          <w:rFonts w:hint="eastAsia" w:ascii="宋体" w:hAnsi="宋体" w:eastAsia="宋体" w:cs="宋体"/>
          <w:sz w:val="24"/>
          <w:szCs w:val="24"/>
          <w:u w:val="single"/>
        </w:rPr>
      </w:pPr>
      <w:r>
        <w:rPr>
          <w:rFonts w:hint="eastAsia" w:ascii="宋体" w:hAnsi="宋体" w:eastAsia="宋体" w:cs="宋体"/>
          <w:color w:val="000000"/>
          <w:kern w:val="0"/>
          <w:sz w:val="24"/>
          <w:szCs w:val="24"/>
        </w:rPr>
        <w:t>承包人发生除本项16.2.1.7约定以外的其他违约情况时，监理人可向承包人发出整改通知，要求其在指定的期限内改正。</w:t>
      </w:r>
    </w:p>
    <w:p w14:paraId="0F758155">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16.2.2 承包人违约的责任</w:t>
      </w:r>
    </w:p>
    <w:p w14:paraId="58CDB2E4">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承包人应承担因其违约行为而增加的费用和（或）延误的工期。此外，合同当事人可在专用合同条款中另行约定承包人违约责任的承担方式和计算方法。</w:t>
      </w:r>
    </w:p>
    <w:p w14:paraId="405278D1">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16.2.3 因承包人违约解除合同</w:t>
      </w:r>
    </w:p>
    <w:p w14:paraId="7A1AF953">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14:paraId="45ADC585">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16.2.4因承包人违约解除合同后的处理</w:t>
      </w:r>
    </w:p>
    <w:p w14:paraId="49A20A2D">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因承包人原因导致合同解除的，则合同当事人应在合同解除后</w:t>
      </w:r>
      <w:r>
        <w:rPr>
          <w:rFonts w:hint="eastAsia" w:ascii="宋体" w:hAnsi="宋体" w:eastAsia="宋体" w:cs="宋体"/>
          <w:color w:val="000000"/>
          <w:kern w:val="0"/>
          <w:sz w:val="24"/>
          <w:szCs w:val="24"/>
          <w:u w:val="single"/>
        </w:rPr>
        <w:t>28天</w:t>
      </w:r>
      <w:r>
        <w:rPr>
          <w:rFonts w:hint="eastAsia" w:ascii="宋体" w:hAnsi="宋体" w:eastAsia="宋体" w:cs="宋体"/>
          <w:color w:val="000000"/>
          <w:kern w:val="0"/>
          <w:sz w:val="24"/>
          <w:szCs w:val="24"/>
        </w:rPr>
        <w:t>内完成估价、付款和清算，并按以下约定执行：</w:t>
      </w:r>
    </w:p>
    <w:p w14:paraId="65123ACD">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（1）合同解除后，按第4.4款〔商定或确定〕商定或确定承包人实际完成工作对应的合同价款，以及承包人已提供的材料、工程设备、施工设备和临时工程等的价值；</w:t>
      </w:r>
    </w:p>
    <w:p w14:paraId="570C0FB1">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（2）合同解除后，承包人应支付的违约金；</w:t>
      </w:r>
    </w:p>
    <w:p w14:paraId="0C323D1D">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（3）合同解除后，因解除合同给发包人造成的损失；</w:t>
      </w:r>
    </w:p>
    <w:p w14:paraId="6004B88F">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（4）合同解除后，承包人应按照发包人要求和监理人的指示完成现场的清理和撤离；</w:t>
      </w:r>
    </w:p>
    <w:p w14:paraId="5515A678">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（5）发包人和承包人应在合同解除后进行清算，出具最终结清付款证书，结清全部款项。</w:t>
      </w:r>
    </w:p>
    <w:p w14:paraId="135884C6">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因承包人违约解除合同的，发包人有权暂停对承包人的付款，</w:t>
      </w:r>
      <w:r>
        <w:rPr>
          <w:rFonts w:hint="eastAsia" w:ascii="宋体" w:hAnsi="宋体" w:eastAsia="宋体" w:cs="宋体"/>
          <w:kern w:val="0"/>
          <w:sz w:val="24"/>
          <w:szCs w:val="24"/>
        </w:rPr>
        <w:t>并在未付款中直接扣除承包人的应付款项，</w:t>
      </w:r>
      <w:r>
        <w:rPr>
          <w:rFonts w:hint="eastAsia" w:ascii="宋体" w:hAnsi="宋体" w:eastAsia="宋体" w:cs="宋体"/>
          <w:color w:val="000000"/>
          <w:kern w:val="0"/>
          <w:sz w:val="24"/>
          <w:szCs w:val="24"/>
        </w:rPr>
        <w:t>查清各项付款和已扣款项。发包人和承包人未能就合同解除后的清算和款项支付达成一致的，按照第20条〔争议解决〕的约定处理。</w:t>
      </w:r>
    </w:p>
    <w:p w14:paraId="15881C9B">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16.2.5采购合同权益转让</w:t>
      </w:r>
    </w:p>
    <w:p w14:paraId="4E3E4744">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因承包人违约解除合同的，发包人有权要求承包人将其为实施合同而签订的材料和设备的采购合同的权益转让给发包人，承包人应在收到解除合同通知后</w:t>
      </w:r>
      <w:r>
        <w:rPr>
          <w:rFonts w:hint="eastAsia" w:ascii="宋体" w:hAnsi="宋体" w:eastAsia="宋体" w:cs="宋体"/>
          <w:color w:val="000000"/>
          <w:kern w:val="0"/>
          <w:sz w:val="24"/>
          <w:szCs w:val="24"/>
          <w:u w:val="single"/>
        </w:rPr>
        <w:t>14天</w:t>
      </w:r>
      <w:r>
        <w:rPr>
          <w:rFonts w:hint="eastAsia" w:ascii="宋体" w:hAnsi="宋体" w:eastAsia="宋体" w:cs="宋体"/>
          <w:color w:val="000000"/>
          <w:kern w:val="0"/>
          <w:sz w:val="24"/>
          <w:szCs w:val="24"/>
        </w:rPr>
        <w:t>内，协助发包人与采购合同的供应商达成相关的转让协议。</w:t>
      </w:r>
    </w:p>
    <w:p w14:paraId="70F9B34A">
      <w:pPr>
        <w:pStyle w:val="6"/>
        <w:spacing w:before="0" w:after="0" w:line="240" w:lineRule="auto"/>
        <w:ind w:firstLine="480" w:firstLineChars="200"/>
        <w:rPr>
          <w:rFonts w:hint="eastAsia" w:ascii="宋体" w:hAnsi="宋体" w:eastAsia="宋体" w:cs="宋体"/>
          <w:b w:val="0"/>
          <w:color w:val="000000"/>
          <w:sz w:val="24"/>
          <w:szCs w:val="24"/>
        </w:rPr>
      </w:pPr>
      <w:bookmarkStart w:id="323" w:name="_Toc443898163"/>
      <w:r>
        <w:rPr>
          <w:rFonts w:hint="eastAsia" w:ascii="宋体" w:hAnsi="宋体" w:eastAsia="宋体" w:cs="宋体"/>
          <w:b w:val="0"/>
          <w:color w:val="000000"/>
          <w:sz w:val="24"/>
          <w:szCs w:val="24"/>
        </w:rPr>
        <w:t>16.3 第三人造成的违约</w:t>
      </w:r>
      <w:bookmarkEnd w:id="323"/>
    </w:p>
    <w:p w14:paraId="651E9323">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在履行合同过程中，一方当事人因第三人的原因造成违约的，应当向对方当事人承担违约责任。一方当事人和第三人之间的纠纷，依照法律规定或者按照约定解决。</w:t>
      </w:r>
    </w:p>
    <w:p w14:paraId="1BE493FD">
      <w:pPr>
        <w:pStyle w:val="5"/>
        <w:spacing w:before="0" w:after="0" w:line="240" w:lineRule="auto"/>
        <w:ind w:firstLine="480" w:firstLineChars="200"/>
        <w:rPr>
          <w:rFonts w:hint="eastAsia" w:ascii="宋体" w:hAnsi="宋体" w:eastAsia="宋体" w:cs="宋体"/>
          <w:b w:val="0"/>
          <w:color w:val="000000"/>
          <w:sz w:val="24"/>
          <w:szCs w:val="24"/>
        </w:rPr>
      </w:pPr>
      <w:bookmarkStart w:id="324" w:name="_Toc443898164"/>
      <w:r>
        <w:rPr>
          <w:rFonts w:hint="eastAsia" w:ascii="宋体" w:hAnsi="宋体" w:eastAsia="宋体" w:cs="宋体"/>
          <w:b w:val="0"/>
          <w:color w:val="000000"/>
          <w:sz w:val="24"/>
          <w:szCs w:val="24"/>
        </w:rPr>
        <w:t>17.</w:t>
      </w:r>
      <w:bookmarkStart w:id="325" w:name="_Toc296503116"/>
      <w:bookmarkStart w:id="326" w:name="_Toc337558823"/>
      <w:bookmarkStart w:id="327" w:name="_Toc296346617"/>
      <w:r>
        <w:rPr>
          <w:rFonts w:hint="eastAsia" w:ascii="宋体" w:hAnsi="宋体" w:eastAsia="宋体" w:cs="宋体"/>
          <w:b w:val="0"/>
          <w:color w:val="000000"/>
          <w:sz w:val="24"/>
          <w:szCs w:val="24"/>
        </w:rPr>
        <w:t>不可抗力</w:t>
      </w:r>
      <w:bookmarkEnd w:id="324"/>
    </w:p>
    <w:p w14:paraId="1D6A73B3">
      <w:pPr>
        <w:pStyle w:val="6"/>
        <w:spacing w:before="0" w:after="0" w:line="240" w:lineRule="auto"/>
        <w:ind w:firstLine="480" w:firstLineChars="200"/>
        <w:rPr>
          <w:rFonts w:hint="eastAsia" w:ascii="宋体" w:hAnsi="宋体" w:eastAsia="宋体" w:cs="宋体"/>
          <w:b w:val="0"/>
          <w:color w:val="000000"/>
          <w:sz w:val="24"/>
          <w:szCs w:val="24"/>
        </w:rPr>
      </w:pPr>
      <w:bookmarkStart w:id="328" w:name="_Toc443898165"/>
      <w:r>
        <w:rPr>
          <w:rFonts w:hint="eastAsia" w:ascii="宋体" w:hAnsi="宋体" w:eastAsia="宋体" w:cs="宋体"/>
          <w:b w:val="0"/>
          <w:color w:val="000000"/>
          <w:sz w:val="24"/>
          <w:szCs w:val="24"/>
        </w:rPr>
        <w:t>17</w:t>
      </w:r>
      <w:bookmarkEnd w:id="325"/>
      <w:bookmarkEnd w:id="326"/>
      <w:bookmarkEnd w:id="327"/>
      <w:r>
        <w:rPr>
          <w:rFonts w:hint="eastAsia" w:ascii="宋体" w:hAnsi="宋体" w:eastAsia="宋体" w:cs="宋体"/>
          <w:b w:val="0"/>
          <w:color w:val="000000"/>
          <w:sz w:val="24"/>
          <w:szCs w:val="24"/>
        </w:rPr>
        <w:t>.</w:t>
      </w:r>
      <w:bookmarkStart w:id="329" w:name="_Toc337558824"/>
      <w:bookmarkStart w:id="330" w:name="_Toc296346618"/>
      <w:bookmarkStart w:id="331" w:name="_Toc296503117"/>
      <w:r>
        <w:rPr>
          <w:rFonts w:hint="eastAsia" w:ascii="宋体" w:hAnsi="宋体" w:eastAsia="宋体" w:cs="宋体"/>
          <w:b w:val="0"/>
          <w:color w:val="000000"/>
          <w:sz w:val="24"/>
          <w:szCs w:val="24"/>
        </w:rPr>
        <w:t>1 不可抗力的确认</w:t>
      </w:r>
      <w:bookmarkEnd w:id="328"/>
    </w:p>
    <w:p w14:paraId="01BE26B9">
      <w:pPr>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不可抗</w:t>
      </w:r>
      <w:bookmarkEnd w:id="329"/>
      <w:bookmarkEnd w:id="330"/>
      <w:bookmarkEnd w:id="331"/>
      <w:r>
        <w:rPr>
          <w:rFonts w:hint="eastAsia" w:ascii="宋体" w:hAnsi="宋体" w:eastAsia="宋体" w:cs="宋体"/>
          <w:color w:val="000000"/>
          <w:kern w:val="0"/>
          <w:sz w:val="24"/>
          <w:szCs w:val="24"/>
        </w:rPr>
        <w:t>力是指合同当事人在签订合同时不可预见，在合同履行过程中不可避免且不能克服的自然灾害和社会性突发事件，如地震、海啸、瘟疫、骚乱、戒严、暴动、战争和专用合同条款中约定的其他情形。</w:t>
      </w:r>
    </w:p>
    <w:p w14:paraId="7EC73C78">
      <w:pPr>
        <w:ind w:firstLine="480" w:firstLineChars="200"/>
        <w:rPr>
          <w:rFonts w:hint="eastAsia" w:ascii="宋体" w:hAnsi="宋体" w:eastAsia="宋体" w:cs="宋体"/>
          <w:color w:val="000000"/>
          <w:sz w:val="24"/>
          <w:szCs w:val="24"/>
        </w:rPr>
      </w:pPr>
      <w:r>
        <w:rPr>
          <w:rFonts w:hint="eastAsia" w:ascii="宋体" w:hAnsi="宋体" w:eastAsia="宋体" w:cs="宋体"/>
          <w:color w:val="000000"/>
          <w:kern w:val="0"/>
          <w:sz w:val="24"/>
          <w:szCs w:val="24"/>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14:paraId="7B12E3F8">
      <w:pPr>
        <w:pStyle w:val="6"/>
        <w:spacing w:before="0" w:after="0" w:line="240" w:lineRule="auto"/>
        <w:ind w:firstLine="480" w:firstLineChars="200"/>
        <w:rPr>
          <w:rFonts w:hint="eastAsia" w:ascii="宋体" w:hAnsi="宋体" w:eastAsia="宋体" w:cs="宋体"/>
          <w:b w:val="0"/>
          <w:color w:val="000000"/>
          <w:sz w:val="24"/>
          <w:szCs w:val="24"/>
        </w:rPr>
      </w:pPr>
      <w:bookmarkStart w:id="332" w:name="_Toc443898166"/>
      <w:r>
        <w:rPr>
          <w:rFonts w:hint="eastAsia" w:ascii="宋体" w:hAnsi="宋体" w:eastAsia="宋体" w:cs="宋体"/>
          <w:b w:val="0"/>
          <w:color w:val="000000"/>
          <w:sz w:val="24"/>
          <w:szCs w:val="24"/>
        </w:rPr>
        <w:t>17.</w:t>
      </w:r>
      <w:bookmarkStart w:id="333" w:name="_Toc296346619"/>
      <w:bookmarkStart w:id="334" w:name="_Toc296503118"/>
      <w:bookmarkStart w:id="335" w:name="_Toc337558825"/>
      <w:r>
        <w:rPr>
          <w:rFonts w:hint="eastAsia" w:ascii="宋体" w:hAnsi="宋体" w:eastAsia="宋体" w:cs="宋体"/>
          <w:b w:val="0"/>
          <w:color w:val="000000"/>
          <w:sz w:val="24"/>
          <w:szCs w:val="24"/>
        </w:rPr>
        <w:t>2 不可抗力的通知</w:t>
      </w:r>
      <w:bookmarkEnd w:id="332"/>
    </w:p>
    <w:p w14:paraId="7E280A20">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合同一</w:t>
      </w:r>
      <w:bookmarkEnd w:id="333"/>
      <w:bookmarkEnd w:id="334"/>
      <w:bookmarkEnd w:id="335"/>
      <w:r>
        <w:rPr>
          <w:rFonts w:hint="eastAsia" w:ascii="宋体" w:hAnsi="宋体" w:eastAsia="宋体" w:cs="宋体"/>
          <w:color w:val="000000"/>
          <w:kern w:val="0"/>
          <w:sz w:val="24"/>
          <w:szCs w:val="24"/>
        </w:rPr>
        <w:t>方当事人遇到不可抗力事件，使其履行合同义务受到阻碍时，应立即通知合同另一方当事人和监理人，书面说明不可抗力和受阻碍的详细情况，并提供必要的证明。</w:t>
      </w:r>
    </w:p>
    <w:p w14:paraId="0646A52E">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不可抗力持续发生的，合同一方当事人应及时向合同另一方当事人和监理人提交中间报告，说明不可抗力和履行合同受阻的情况，并于不可抗力事件结束后</w:t>
      </w:r>
      <w:r>
        <w:rPr>
          <w:rFonts w:hint="eastAsia" w:ascii="宋体" w:hAnsi="宋体" w:eastAsia="宋体" w:cs="宋体"/>
          <w:color w:val="000000"/>
          <w:kern w:val="0"/>
          <w:sz w:val="24"/>
          <w:szCs w:val="24"/>
          <w:u w:val="single"/>
        </w:rPr>
        <w:t>28天</w:t>
      </w:r>
      <w:r>
        <w:rPr>
          <w:rFonts w:hint="eastAsia" w:ascii="宋体" w:hAnsi="宋体" w:eastAsia="宋体" w:cs="宋体"/>
          <w:color w:val="000000"/>
          <w:kern w:val="0"/>
          <w:sz w:val="24"/>
          <w:szCs w:val="24"/>
        </w:rPr>
        <w:t>内提交最终报告及有关资料。</w:t>
      </w:r>
    </w:p>
    <w:p w14:paraId="3ABF39A1">
      <w:pPr>
        <w:pStyle w:val="6"/>
        <w:spacing w:before="0" w:after="0" w:line="240" w:lineRule="auto"/>
        <w:ind w:firstLine="480" w:firstLineChars="200"/>
        <w:rPr>
          <w:rFonts w:hint="eastAsia" w:ascii="宋体" w:hAnsi="宋体" w:eastAsia="宋体" w:cs="宋体"/>
          <w:b w:val="0"/>
          <w:color w:val="000000"/>
          <w:sz w:val="24"/>
          <w:szCs w:val="24"/>
        </w:rPr>
      </w:pPr>
      <w:bookmarkStart w:id="336" w:name="_Toc443898167"/>
      <w:r>
        <w:rPr>
          <w:rFonts w:hint="eastAsia" w:ascii="宋体" w:hAnsi="宋体" w:eastAsia="宋体" w:cs="宋体"/>
          <w:b w:val="0"/>
          <w:color w:val="000000"/>
          <w:sz w:val="24"/>
          <w:szCs w:val="24"/>
        </w:rPr>
        <w:t>17.</w:t>
      </w:r>
      <w:bookmarkStart w:id="337" w:name="_Toc337558826"/>
      <w:bookmarkStart w:id="338" w:name="_Toc296503119"/>
      <w:bookmarkStart w:id="339" w:name="_Toc296346620"/>
      <w:r>
        <w:rPr>
          <w:rFonts w:hint="eastAsia" w:ascii="宋体" w:hAnsi="宋体" w:eastAsia="宋体" w:cs="宋体"/>
          <w:b w:val="0"/>
          <w:color w:val="000000"/>
          <w:sz w:val="24"/>
          <w:szCs w:val="24"/>
        </w:rPr>
        <w:t>3 不可抗力后果的承担</w:t>
      </w:r>
      <w:bookmarkEnd w:id="336"/>
    </w:p>
    <w:p w14:paraId="5913CC8F">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w:t>
      </w:r>
      <w:bookmarkEnd w:id="337"/>
      <w:bookmarkEnd w:id="338"/>
      <w:bookmarkEnd w:id="339"/>
      <w:r>
        <w:rPr>
          <w:rFonts w:hint="eastAsia" w:ascii="宋体" w:hAnsi="宋体" w:eastAsia="宋体" w:cs="宋体"/>
          <w:color w:val="000000"/>
          <w:kern w:val="0"/>
          <w:sz w:val="24"/>
          <w:szCs w:val="24"/>
        </w:rPr>
        <w:t>3.1 不可抗力引起的后果及造成的损失由合同当事人按照法律规定及合同约定各自承担。不可抗力发生前已完成的工程应当按照合同约定进行计量支付。</w:t>
      </w:r>
    </w:p>
    <w:p w14:paraId="5F505FA4">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17.3.2 不可抗力导致的人员伤亡、财产损失、费用增加和（或）工期延误等后果，由合同当事人按以下原则承担：</w:t>
      </w:r>
    </w:p>
    <w:p w14:paraId="2783A528">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（1）永久工程、已运至施工现场的材料和工程设备的损坏，以及因工程损坏造成的第三人人员伤亡和财产损失由发包人承担；</w:t>
      </w:r>
    </w:p>
    <w:p w14:paraId="23D1D0F2">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（2）承包人施工设备的损坏由承包人承担；</w:t>
      </w:r>
    </w:p>
    <w:p w14:paraId="46EE7211">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（3）发包人和承包人承担各自人员伤亡和财产的损失；</w:t>
      </w:r>
    </w:p>
    <w:p w14:paraId="486E3D4E">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（4）因不可抗力影响承包人履行合同约定的义务，已经引起或将引起工期延误的，应当顺延工期，由此导致承包人停工的费用损失由发包人和承包人合理分担，停工期间必须支付的工人工资由发包人承担；</w:t>
      </w:r>
    </w:p>
    <w:p w14:paraId="58346204">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（5）因不可抗力引起或将引起工期延误，发包人要求赶工的，由此增加的赶工费用由发包人承担；</w:t>
      </w:r>
    </w:p>
    <w:p w14:paraId="5D8009C1">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（6）承包人在停工期间按照发包人要求照管、清理和修复工程的费用由发包人承担。</w:t>
      </w:r>
    </w:p>
    <w:p w14:paraId="37171A60">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不可抗力发生后，合同当事人均应采取措施尽量避免和减少损失的扩大，任何一方当事人没有采取有效措施导致损失扩大的，应对扩大的损失承担责任。</w:t>
      </w:r>
    </w:p>
    <w:p w14:paraId="75D670E0">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因合同一方迟延履行合同义务，在迟延履行期间遭遇不可抗力的，不免除其违约责任。</w:t>
      </w:r>
    </w:p>
    <w:p w14:paraId="7D6B5C45">
      <w:pPr>
        <w:pStyle w:val="6"/>
        <w:spacing w:before="0" w:after="0" w:line="240" w:lineRule="auto"/>
        <w:ind w:firstLine="480" w:firstLineChars="200"/>
        <w:rPr>
          <w:rFonts w:hint="eastAsia" w:ascii="宋体" w:hAnsi="宋体" w:eastAsia="宋体" w:cs="宋体"/>
          <w:b w:val="0"/>
          <w:color w:val="000000"/>
          <w:sz w:val="24"/>
          <w:szCs w:val="24"/>
        </w:rPr>
      </w:pPr>
      <w:bookmarkStart w:id="340" w:name="_Toc443898168"/>
      <w:r>
        <w:rPr>
          <w:rFonts w:hint="eastAsia" w:ascii="宋体" w:hAnsi="宋体" w:eastAsia="宋体" w:cs="宋体"/>
          <w:b w:val="0"/>
          <w:color w:val="000000"/>
          <w:sz w:val="24"/>
          <w:szCs w:val="24"/>
        </w:rPr>
        <w:t>17.</w:t>
      </w:r>
      <w:bookmarkStart w:id="341" w:name="_Toc337558827"/>
      <w:r>
        <w:rPr>
          <w:rFonts w:hint="eastAsia" w:ascii="宋体" w:hAnsi="宋体" w:eastAsia="宋体" w:cs="宋体"/>
          <w:b w:val="0"/>
          <w:color w:val="000000"/>
          <w:sz w:val="24"/>
          <w:szCs w:val="24"/>
        </w:rPr>
        <w:t>4 因不可抗力解除合同</w:t>
      </w:r>
      <w:bookmarkEnd w:id="340"/>
    </w:p>
    <w:p w14:paraId="7CA2AC81">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因不可</w:t>
      </w:r>
      <w:bookmarkEnd w:id="341"/>
      <w:r>
        <w:rPr>
          <w:rFonts w:hint="eastAsia" w:ascii="宋体" w:hAnsi="宋体" w:eastAsia="宋体" w:cs="宋体"/>
          <w:color w:val="000000"/>
          <w:kern w:val="0"/>
          <w:sz w:val="24"/>
          <w:szCs w:val="24"/>
        </w:rPr>
        <w:t>抗力导致合同无法履行连续超过</w:t>
      </w:r>
      <w:r>
        <w:rPr>
          <w:rFonts w:hint="eastAsia" w:ascii="宋体" w:hAnsi="宋体" w:eastAsia="宋体" w:cs="宋体"/>
          <w:color w:val="000000"/>
          <w:kern w:val="0"/>
          <w:sz w:val="24"/>
          <w:szCs w:val="24"/>
          <w:u w:val="single"/>
        </w:rPr>
        <w:t>84天</w:t>
      </w:r>
      <w:r>
        <w:rPr>
          <w:rFonts w:hint="eastAsia" w:ascii="宋体" w:hAnsi="宋体" w:eastAsia="宋体" w:cs="宋体"/>
          <w:color w:val="000000"/>
          <w:kern w:val="0"/>
          <w:sz w:val="24"/>
          <w:szCs w:val="24"/>
        </w:rPr>
        <w:t>或累计超过</w:t>
      </w:r>
      <w:r>
        <w:rPr>
          <w:rFonts w:hint="eastAsia" w:ascii="宋体" w:hAnsi="宋体" w:eastAsia="宋体" w:cs="宋体"/>
          <w:color w:val="000000"/>
          <w:kern w:val="0"/>
          <w:sz w:val="24"/>
          <w:szCs w:val="24"/>
          <w:u w:val="single"/>
        </w:rPr>
        <w:t>140天</w:t>
      </w:r>
      <w:r>
        <w:rPr>
          <w:rFonts w:hint="eastAsia" w:ascii="宋体" w:hAnsi="宋体" w:eastAsia="宋体" w:cs="宋体"/>
          <w:color w:val="000000"/>
          <w:kern w:val="0"/>
          <w:sz w:val="24"/>
          <w:szCs w:val="24"/>
        </w:rPr>
        <w:t>的，发包人和承包人均有权解除合同。合同解除后，由双方当事人按照第4.4款〔商定或确定〕商定或确定发包人应支付的款项，该款项包括：</w:t>
      </w:r>
    </w:p>
    <w:p w14:paraId="28D54FF8">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（1）合同解除前承包人已完成工作的价款；</w:t>
      </w:r>
    </w:p>
    <w:p w14:paraId="3AB94BE6">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（2）承包人为工程订购的并已交付给承包人，或承包人有责任接受交付的材料、工程设备和其他物品的价款；</w:t>
      </w:r>
    </w:p>
    <w:p w14:paraId="65083D90">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（3）发包人要求承包人退货或解除订货合同而产生的费用，或因不能退货或解除合同而产生的损失；</w:t>
      </w:r>
    </w:p>
    <w:p w14:paraId="09EFADD0">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（4）承包人撤离施工现场以及遣散承包人人员的费用；</w:t>
      </w:r>
    </w:p>
    <w:p w14:paraId="55329BFA">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（5）按照合同约定在合同解除前应支付给承包人的其他款项；</w:t>
      </w:r>
    </w:p>
    <w:p w14:paraId="2B966B59">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（6）扣减承包人按照合同约定应向发包人支付的款项；</w:t>
      </w:r>
    </w:p>
    <w:p w14:paraId="0361220B">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（7）双方商定或确定的其他款项。</w:t>
      </w:r>
    </w:p>
    <w:p w14:paraId="47881D6C">
      <w:pPr>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除专用合同条款另有约定外，合同解除后，发包人应在商定或确定上述款项后</w:t>
      </w:r>
      <w:r>
        <w:rPr>
          <w:rFonts w:hint="eastAsia" w:ascii="宋体" w:hAnsi="宋体" w:eastAsia="宋体" w:cs="宋体"/>
          <w:color w:val="000000"/>
          <w:kern w:val="0"/>
          <w:sz w:val="24"/>
          <w:szCs w:val="24"/>
          <w:u w:val="single"/>
        </w:rPr>
        <w:t>28天</w:t>
      </w:r>
      <w:r>
        <w:rPr>
          <w:rFonts w:hint="eastAsia" w:ascii="宋体" w:hAnsi="宋体" w:eastAsia="宋体" w:cs="宋体"/>
          <w:color w:val="000000"/>
          <w:kern w:val="0"/>
          <w:sz w:val="24"/>
          <w:szCs w:val="24"/>
        </w:rPr>
        <w:t>内完成上述款项的支付。</w:t>
      </w:r>
    </w:p>
    <w:p w14:paraId="34A4AE2A">
      <w:pPr>
        <w:pStyle w:val="5"/>
        <w:spacing w:before="0" w:after="0" w:line="240" w:lineRule="auto"/>
        <w:ind w:firstLine="480" w:firstLineChars="200"/>
        <w:rPr>
          <w:rFonts w:hint="eastAsia" w:ascii="宋体" w:hAnsi="宋体" w:eastAsia="宋体" w:cs="宋体"/>
          <w:b w:val="0"/>
          <w:color w:val="000000"/>
          <w:sz w:val="24"/>
          <w:szCs w:val="24"/>
        </w:rPr>
      </w:pPr>
      <w:bookmarkStart w:id="342" w:name="_Toc443898169"/>
      <w:r>
        <w:rPr>
          <w:rFonts w:hint="eastAsia" w:ascii="宋体" w:hAnsi="宋体" w:eastAsia="宋体" w:cs="宋体"/>
          <w:b w:val="0"/>
          <w:color w:val="000000"/>
          <w:sz w:val="24"/>
          <w:szCs w:val="24"/>
        </w:rPr>
        <w:t>18.</w:t>
      </w:r>
      <w:bookmarkStart w:id="343" w:name="_Toc296346621"/>
      <w:bookmarkStart w:id="344" w:name="_Toc296503120"/>
      <w:bookmarkStart w:id="345" w:name="_Toc337558828"/>
      <w:r>
        <w:rPr>
          <w:rFonts w:hint="eastAsia" w:ascii="宋体" w:hAnsi="宋体" w:eastAsia="宋体" w:cs="宋体"/>
          <w:b w:val="0"/>
          <w:color w:val="000000"/>
          <w:sz w:val="24"/>
          <w:szCs w:val="24"/>
        </w:rPr>
        <w:t>保险</w:t>
      </w:r>
      <w:bookmarkEnd w:id="342"/>
    </w:p>
    <w:p w14:paraId="7CABBF64">
      <w:pPr>
        <w:pStyle w:val="6"/>
        <w:spacing w:before="0" w:after="0" w:line="240" w:lineRule="auto"/>
        <w:ind w:firstLine="480" w:firstLineChars="200"/>
        <w:rPr>
          <w:rFonts w:hint="eastAsia" w:ascii="宋体" w:hAnsi="宋体" w:eastAsia="宋体" w:cs="宋体"/>
          <w:b w:val="0"/>
          <w:color w:val="000000"/>
          <w:sz w:val="24"/>
          <w:szCs w:val="24"/>
        </w:rPr>
      </w:pPr>
      <w:bookmarkStart w:id="346" w:name="_Toc443898170"/>
      <w:r>
        <w:rPr>
          <w:rFonts w:hint="eastAsia" w:ascii="宋体" w:hAnsi="宋体" w:eastAsia="宋体" w:cs="宋体"/>
          <w:b w:val="0"/>
          <w:color w:val="000000"/>
          <w:sz w:val="24"/>
          <w:szCs w:val="24"/>
        </w:rPr>
        <w:t>18.</w:t>
      </w:r>
      <w:bookmarkEnd w:id="343"/>
      <w:bookmarkEnd w:id="344"/>
      <w:bookmarkEnd w:id="345"/>
      <w:bookmarkStart w:id="347" w:name="_Toc296503121"/>
      <w:bookmarkStart w:id="348" w:name="_Toc337558829"/>
      <w:bookmarkStart w:id="349" w:name="_Toc296346622"/>
      <w:r>
        <w:rPr>
          <w:rFonts w:hint="eastAsia" w:ascii="宋体" w:hAnsi="宋体" w:eastAsia="宋体" w:cs="宋体"/>
          <w:b w:val="0"/>
          <w:color w:val="000000"/>
          <w:sz w:val="24"/>
          <w:szCs w:val="24"/>
        </w:rPr>
        <w:t>1 工程保险</w:t>
      </w:r>
      <w:bookmarkEnd w:id="346"/>
    </w:p>
    <w:p w14:paraId="27DA5E1A">
      <w:pPr>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w:t>
      </w:r>
      <w:bookmarkEnd w:id="347"/>
      <w:bookmarkEnd w:id="348"/>
      <w:bookmarkEnd w:id="349"/>
      <w:r>
        <w:rPr>
          <w:rFonts w:hint="eastAsia" w:ascii="宋体" w:hAnsi="宋体" w:eastAsia="宋体" w:cs="宋体"/>
          <w:color w:val="000000"/>
          <w:kern w:val="0"/>
          <w:sz w:val="24"/>
          <w:szCs w:val="24"/>
        </w:rPr>
        <w:t>合同条款另有约定外，发包人应投保建筑工程一切险或安装工程一切险、第三者责任险；发包人委托承包人投保的，因投保产生的保险费和其他相关费用由发包人承担。</w:t>
      </w:r>
    </w:p>
    <w:p w14:paraId="6491C076">
      <w:pPr>
        <w:pStyle w:val="6"/>
        <w:spacing w:before="0" w:after="0" w:line="240" w:lineRule="auto"/>
        <w:ind w:firstLine="480" w:firstLineChars="200"/>
        <w:rPr>
          <w:rFonts w:hint="eastAsia" w:ascii="宋体" w:hAnsi="宋体" w:eastAsia="宋体" w:cs="宋体"/>
          <w:b w:val="0"/>
          <w:color w:val="000000"/>
          <w:sz w:val="24"/>
          <w:szCs w:val="24"/>
        </w:rPr>
      </w:pPr>
      <w:bookmarkStart w:id="350" w:name="_Toc443898171"/>
      <w:r>
        <w:rPr>
          <w:rFonts w:hint="eastAsia" w:ascii="宋体" w:hAnsi="宋体" w:eastAsia="宋体" w:cs="宋体"/>
          <w:b w:val="0"/>
          <w:color w:val="000000"/>
          <w:sz w:val="24"/>
          <w:szCs w:val="24"/>
        </w:rPr>
        <w:t>18.</w:t>
      </w:r>
      <w:bookmarkStart w:id="351" w:name="_Toc296503122"/>
      <w:bookmarkStart w:id="352" w:name="_Toc337558830"/>
      <w:bookmarkStart w:id="353" w:name="_Toc296346623"/>
      <w:r>
        <w:rPr>
          <w:rFonts w:hint="eastAsia" w:ascii="宋体" w:hAnsi="宋体" w:eastAsia="宋体" w:cs="宋体"/>
          <w:b w:val="0"/>
          <w:color w:val="000000"/>
          <w:sz w:val="24"/>
          <w:szCs w:val="24"/>
        </w:rPr>
        <w:t>2 工伤保险</w:t>
      </w:r>
      <w:bookmarkEnd w:id="350"/>
    </w:p>
    <w:p w14:paraId="1704D3F1">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w:t>
      </w:r>
      <w:bookmarkEnd w:id="351"/>
      <w:bookmarkEnd w:id="352"/>
      <w:bookmarkEnd w:id="353"/>
      <w:r>
        <w:rPr>
          <w:rFonts w:hint="eastAsia" w:ascii="宋体" w:hAnsi="宋体" w:eastAsia="宋体" w:cs="宋体"/>
          <w:color w:val="000000"/>
          <w:kern w:val="0"/>
          <w:sz w:val="24"/>
          <w:szCs w:val="24"/>
        </w:rPr>
        <w:t>2.1 发包人应依照法律规定参加工伤保险，并为在施工现场的全部员工办理工伤保险，缴纳工伤保险费，并要求监理人及由发包人为履行合同聘请的第三方依法参加工伤保险。</w:t>
      </w:r>
    </w:p>
    <w:p w14:paraId="5C17DA59">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18.2.2 承包人应依照法律规定参加工伤保险，并为其履行合同的全部员工办理工伤保险，缴纳工伤保险费，并要求分包人及由承包人为履行合同聘请的第三方依法参加工伤保险。</w:t>
      </w:r>
    </w:p>
    <w:p w14:paraId="7EE32BBA">
      <w:pPr>
        <w:pStyle w:val="6"/>
        <w:spacing w:before="0" w:after="0" w:line="240" w:lineRule="auto"/>
        <w:ind w:firstLine="480" w:firstLineChars="200"/>
        <w:rPr>
          <w:rFonts w:hint="eastAsia" w:ascii="宋体" w:hAnsi="宋体" w:eastAsia="宋体" w:cs="宋体"/>
          <w:b w:val="0"/>
          <w:color w:val="000000"/>
          <w:sz w:val="24"/>
          <w:szCs w:val="24"/>
        </w:rPr>
      </w:pPr>
      <w:bookmarkStart w:id="354" w:name="_Toc443898172"/>
      <w:r>
        <w:rPr>
          <w:rFonts w:hint="eastAsia" w:ascii="宋体" w:hAnsi="宋体" w:eastAsia="宋体" w:cs="宋体"/>
          <w:b w:val="0"/>
          <w:color w:val="000000"/>
          <w:sz w:val="24"/>
          <w:szCs w:val="24"/>
        </w:rPr>
        <w:t>18.</w:t>
      </w:r>
      <w:bookmarkStart w:id="355" w:name="_Toc296346626"/>
      <w:bookmarkStart w:id="356" w:name="_Toc337558831"/>
      <w:bookmarkStart w:id="357" w:name="_Toc296503125"/>
      <w:r>
        <w:rPr>
          <w:rFonts w:hint="eastAsia" w:ascii="宋体" w:hAnsi="宋体" w:eastAsia="宋体" w:cs="宋体"/>
          <w:b w:val="0"/>
          <w:color w:val="000000"/>
          <w:sz w:val="24"/>
          <w:szCs w:val="24"/>
        </w:rPr>
        <w:t>3其他保险</w:t>
      </w:r>
      <w:bookmarkEnd w:id="354"/>
    </w:p>
    <w:p w14:paraId="6BCF70ED">
      <w:pPr>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发包人</w:t>
      </w:r>
      <w:bookmarkEnd w:id="355"/>
      <w:bookmarkEnd w:id="356"/>
      <w:bookmarkEnd w:id="357"/>
      <w:r>
        <w:rPr>
          <w:rFonts w:hint="eastAsia" w:ascii="宋体" w:hAnsi="宋体" w:eastAsia="宋体" w:cs="宋体"/>
          <w:color w:val="000000"/>
          <w:sz w:val="24"/>
          <w:szCs w:val="24"/>
        </w:rPr>
        <w:t>和承包人可以为其施工现场的全部人员办理意外伤害保险并支付保险费，包括其员工及为履行合同聘请的第三方的人员，具体事项由合同当事人在专用合同条款约定。</w:t>
      </w:r>
    </w:p>
    <w:p w14:paraId="4DE57F92">
      <w:pPr>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除专用合同条款另有约定外，承包人应为其施工设备等办理财产保险。</w:t>
      </w:r>
    </w:p>
    <w:p w14:paraId="1E5C23C9">
      <w:pPr>
        <w:pStyle w:val="6"/>
        <w:spacing w:before="0" w:after="0" w:line="240" w:lineRule="auto"/>
        <w:ind w:firstLine="480" w:firstLineChars="200"/>
        <w:rPr>
          <w:rFonts w:hint="eastAsia" w:ascii="宋体" w:hAnsi="宋体" w:eastAsia="宋体" w:cs="宋体"/>
          <w:b w:val="0"/>
          <w:color w:val="000000"/>
          <w:sz w:val="24"/>
          <w:szCs w:val="24"/>
        </w:rPr>
      </w:pPr>
      <w:bookmarkStart w:id="358" w:name="_Toc443898173"/>
      <w:r>
        <w:rPr>
          <w:rFonts w:hint="eastAsia" w:ascii="宋体" w:hAnsi="宋体" w:eastAsia="宋体" w:cs="宋体"/>
          <w:b w:val="0"/>
          <w:color w:val="000000"/>
          <w:sz w:val="24"/>
          <w:szCs w:val="24"/>
        </w:rPr>
        <w:t>18.4持续保险</w:t>
      </w:r>
      <w:bookmarkEnd w:id="358"/>
    </w:p>
    <w:p w14:paraId="5081CC61">
      <w:pPr>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合同当事人应与保险人保持联系，使保险人能够随时了解工程实施中的变动，并确保按保险合同条款要求持续保险。</w:t>
      </w:r>
    </w:p>
    <w:p w14:paraId="60D8B156">
      <w:pPr>
        <w:pStyle w:val="6"/>
        <w:spacing w:before="0" w:after="0" w:line="240" w:lineRule="auto"/>
        <w:ind w:firstLine="480" w:firstLineChars="200"/>
        <w:rPr>
          <w:rFonts w:hint="eastAsia" w:ascii="宋体" w:hAnsi="宋体" w:eastAsia="宋体" w:cs="宋体"/>
          <w:b w:val="0"/>
          <w:color w:val="000000"/>
          <w:sz w:val="24"/>
          <w:szCs w:val="24"/>
        </w:rPr>
      </w:pPr>
      <w:bookmarkStart w:id="359" w:name="_Toc443898174"/>
      <w:r>
        <w:rPr>
          <w:rFonts w:hint="eastAsia" w:ascii="宋体" w:hAnsi="宋体" w:eastAsia="宋体" w:cs="宋体"/>
          <w:b w:val="0"/>
          <w:color w:val="000000"/>
          <w:sz w:val="24"/>
          <w:szCs w:val="24"/>
        </w:rPr>
        <w:t>18.</w:t>
      </w:r>
      <w:bookmarkStart w:id="360" w:name="_Toc296346627"/>
      <w:bookmarkStart w:id="361" w:name="_Toc337558832"/>
      <w:bookmarkStart w:id="362" w:name="_Toc296503126"/>
      <w:r>
        <w:rPr>
          <w:rFonts w:hint="eastAsia" w:ascii="宋体" w:hAnsi="宋体" w:eastAsia="宋体" w:cs="宋体"/>
          <w:b w:val="0"/>
          <w:color w:val="000000"/>
          <w:sz w:val="24"/>
          <w:szCs w:val="24"/>
        </w:rPr>
        <w:t>5 保险凭证</w:t>
      </w:r>
      <w:bookmarkEnd w:id="359"/>
    </w:p>
    <w:p w14:paraId="422BB6FC">
      <w:pPr>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合同当</w:t>
      </w:r>
      <w:bookmarkEnd w:id="360"/>
      <w:bookmarkEnd w:id="361"/>
      <w:bookmarkEnd w:id="362"/>
      <w:r>
        <w:rPr>
          <w:rFonts w:hint="eastAsia" w:ascii="宋体" w:hAnsi="宋体" w:eastAsia="宋体" w:cs="宋体"/>
          <w:color w:val="000000"/>
          <w:sz w:val="24"/>
          <w:szCs w:val="24"/>
        </w:rPr>
        <w:t>事人应及时向另一方当事人提交其已投保的各项保险的凭证和保险单复印件。</w:t>
      </w:r>
    </w:p>
    <w:p w14:paraId="48F3A926">
      <w:pPr>
        <w:pStyle w:val="6"/>
        <w:spacing w:before="0" w:after="0" w:line="240" w:lineRule="auto"/>
        <w:ind w:firstLine="480" w:firstLineChars="200"/>
        <w:rPr>
          <w:rFonts w:hint="eastAsia" w:ascii="宋体" w:hAnsi="宋体" w:eastAsia="宋体" w:cs="宋体"/>
          <w:b w:val="0"/>
          <w:color w:val="000000"/>
          <w:sz w:val="24"/>
          <w:szCs w:val="24"/>
        </w:rPr>
      </w:pPr>
      <w:bookmarkStart w:id="363" w:name="_Toc443898175"/>
      <w:r>
        <w:rPr>
          <w:rFonts w:hint="eastAsia" w:ascii="宋体" w:hAnsi="宋体" w:eastAsia="宋体" w:cs="宋体"/>
          <w:b w:val="0"/>
          <w:color w:val="000000"/>
          <w:sz w:val="24"/>
          <w:szCs w:val="24"/>
        </w:rPr>
        <w:t>18.</w:t>
      </w:r>
      <w:bookmarkStart w:id="364" w:name="_Toc296346628"/>
      <w:bookmarkStart w:id="365" w:name="_Toc337558833"/>
      <w:bookmarkStart w:id="366" w:name="_Toc296503127"/>
      <w:r>
        <w:rPr>
          <w:rFonts w:hint="eastAsia" w:ascii="宋体" w:hAnsi="宋体" w:eastAsia="宋体" w:cs="宋体"/>
          <w:b w:val="0"/>
          <w:color w:val="000000"/>
          <w:sz w:val="24"/>
          <w:szCs w:val="24"/>
        </w:rPr>
        <w:t>6 未按约定投保的补救</w:t>
      </w:r>
      <w:bookmarkEnd w:id="363"/>
    </w:p>
    <w:p w14:paraId="65564764">
      <w:pPr>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18.</w:t>
      </w:r>
      <w:bookmarkEnd w:id="364"/>
      <w:bookmarkEnd w:id="365"/>
      <w:bookmarkEnd w:id="366"/>
      <w:r>
        <w:rPr>
          <w:rFonts w:hint="eastAsia" w:ascii="宋体" w:hAnsi="宋体" w:eastAsia="宋体" w:cs="宋体"/>
          <w:color w:val="000000"/>
          <w:sz w:val="24"/>
          <w:szCs w:val="24"/>
        </w:rPr>
        <w:t>6.1发包人未按合同约定办理保险，或未能使保险持续有效的，则承包人可代为办理，所需费用由发包人承担。发包人未按合同约定办理保险，导致未能得到足额赔偿的，由发包人负责补足。</w:t>
      </w:r>
    </w:p>
    <w:p w14:paraId="78CD86F9">
      <w:pPr>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18.6.2承包人未按合同约定办理保险，或未能使保险持续有效的，则发包人可代为办理，所需费用由承包人承担。承包人未按合同约定办理保险，导致未能得到足额赔偿的，由承包人负责补足。</w:t>
      </w:r>
    </w:p>
    <w:p w14:paraId="529D9D8A">
      <w:pPr>
        <w:pStyle w:val="6"/>
        <w:spacing w:before="0" w:after="0" w:line="240" w:lineRule="auto"/>
        <w:ind w:firstLine="480" w:firstLineChars="200"/>
        <w:rPr>
          <w:rFonts w:hint="eastAsia" w:ascii="宋体" w:hAnsi="宋体" w:eastAsia="宋体" w:cs="宋体"/>
          <w:b w:val="0"/>
          <w:color w:val="000000"/>
          <w:sz w:val="24"/>
          <w:szCs w:val="24"/>
        </w:rPr>
      </w:pPr>
      <w:bookmarkStart w:id="367" w:name="_Toc443898176"/>
      <w:r>
        <w:rPr>
          <w:rFonts w:hint="eastAsia" w:ascii="宋体" w:hAnsi="宋体" w:eastAsia="宋体" w:cs="宋体"/>
          <w:b w:val="0"/>
          <w:color w:val="000000"/>
          <w:sz w:val="24"/>
          <w:szCs w:val="24"/>
        </w:rPr>
        <w:t>18.</w:t>
      </w:r>
      <w:bookmarkStart w:id="368" w:name="_Toc337558834"/>
      <w:r>
        <w:rPr>
          <w:rFonts w:hint="eastAsia" w:ascii="宋体" w:hAnsi="宋体" w:eastAsia="宋体" w:cs="宋体"/>
          <w:b w:val="0"/>
          <w:color w:val="000000"/>
          <w:sz w:val="24"/>
          <w:szCs w:val="24"/>
        </w:rPr>
        <w:t>7 通知义务</w:t>
      </w:r>
      <w:bookmarkEnd w:id="367"/>
    </w:p>
    <w:p w14:paraId="041F90EC">
      <w:pPr>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除专用</w:t>
      </w:r>
      <w:bookmarkEnd w:id="368"/>
      <w:r>
        <w:rPr>
          <w:rFonts w:hint="eastAsia" w:ascii="宋体" w:hAnsi="宋体" w:eastAsia="宋体" w:cs="宋体"/>
          <w:color w:val="000000"/>
          <w:sz w:val="24"/>
          <w:szCs w:val="24"/>
        </w:rPr>
        <w:t>合同条款另有约定外，发包人变更除工伤保险之外的保险合同时，应事先征得承包人同意，并通知监理人；承包人变更除工伤保险之外的保险合同时，应事先征得发包人同意，并通知监理人。</w:t>
      </w:r>
    </w:p>
    <w:p w14:paraId="2ECEF72B">
      <w:pPr>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保险事故发生时，投保人应按照保险合同规定的条件和期限及时向保险人报告。发包人和承包人应当在知道保险事故发生后及时通知对方。</w:t>
      </w:r>
    </w:p>
    <w:p w14:paraId="4C5F70AD">
      <w:pPr>
        <w:pStyle w:val="5"/>
        <w:spacing w:before="0" w:after="0" w:line="240" w:lineRule="auto"/>
        <w:ind w:firstLine="480" w:firstLineChars="200"/>
        <w:rPr>
          <w:rFonts w:hint="eastAsia" w:ascii="宋体" w:hAnsi="宋体" w:eastAsia="宋体" w:cs="宋体"/>
          <w:b w:val="0"/>
          <w:color w:val="000000"/>
          <w:sz w:val="24"/>
          <w:szCs w:val="24"/>
        </w:rPr>
      </w:pPr>
      <w:bookmarkStart w:id="369" w:name="_Toc443898177"/>
      <w:r>
        <w:rPr>
          <w:rFonts w:hint="eastAsia" w:ascii="宋体" w:hAnsi="宋体" w:eastAsia="宋体" w:cs="宋体"/>
          <w:b w:val="0"/>
          <w:color w:val="000000"/>
          <w:sz w:val="24"/>
          <w:szCs w:val="24"/>
        </w:rPr>
        <w:t>19. 索赔</w:t>
      </w:r>
      <w:bookmarkEnd w:id="369"/>
    </w:p>
    <w:p w14:paraId="14D5A301">
      <w:pPr>
        <w:pStyle w:val="6"/>
        <w:spacing w:before="0" w:after="0" w:line="240" w:lineRule="auto"/>
        <w:ind w:firstLine="480" w:firstLineChars="200"/>
        <w:rPr>
          <w:rFonts w:hint="eastAsia" w:ascii="宋体" w:hAnsi="宋体" w:eastAsia="宋体" w:cs="宋体"/>
          <w:b w:val="0"/>
          <w:color w:val="000000"/>
          <w:sz w:val="24"/>
          <w:szCs w:val="24"/>
        </w:rPr>
      </w:pPr>
      <w:bookmarkStart w:id="370" w:name="_Toc443898178"/>
      <w:r>
        <w:rPr>
          <w:rFonts w:hint="eastAsia" w:ascii="宋体" w:hAnsi="宋体" w:eastAsia="宋体" w:cs="宋体"/>
          <w:b w:val="0"/>
          <w:color w:val="000000"/>
          <w:sz w:val="24"/>
          <w:szCs w:val="24"/>
        </w:rPr>
        <w:t>19.1承包人的索赔</w:t>
      </w:r>
      <w:bookmarkEnd w:id="370"/>
    </w:p>
    <w:p w14:paraId="1AABFEFA">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根据合同约定，承包人认为有权得到追加付款和（或）延长工期的，应按以下程序向发包人提出索赔：</w:t>
      </w:r>
    </w:p>
    <w:p w14:paraId="7E02D784">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（1）承包人应在知道或应当知道索赔事件发生后</w:t>
      </w:r>
      <w:r>
        <w:rPr>
          <w:rFonts w:hint="eastAsia" w:ascii="宋体" w:hAnsi="宋体" w:eastAsia="宋体" w:cs="宋体"/>
          <w:color w:val="000000"/>
          <w:kern w:val="0"/>
          <w:sz w:val="24"/>
          <w:szCs w:val="24"/>
          <w:u w:val="single"/>
        </w:rPr>
        <w:t>28天</w:t>
      </w:r>
      <w:r>
        <w:rPr>
          <w:rFonts w:hint="eastAsia" w:ascii="宋体" w:hAnsi="宋体" w:eastAsia="宋体" w:cs="宋体"/>
          <w:color w:val="000000"/>
          <w:kern w:val="0"/>
          <w:sz w:val="24"/>
          <w:szCs w:val="24"/>
        </w:rPr>
        <w:t>内，向监理人递交</w:t>
      </w:r>
      <w:r>
        <w:rPr>
          <w:rFonts w:hint="eastAsia" w:ascii="宋体" w:hAnsi="宋体" w:eastAsia="宋体" w:cs="宋体"/>
          <w:kern w:val="0"/>
          <w:sz w:val="24"/>
          <w:szCs w:val="24"/>
        </w:rPr>
        <w:t>书面</w:t>
      </w:r>
      <w:r>
        <w:rPr>
          <w:rFonts w:hint="eastAsia" w:ascii="宋体" w:hAnsi="宋体" w:eastAsia="宋体" w:cs="宋体"/>
          <w:color w:val="000000"/>
          <w:kern w:val="0"/>
          <w:sz w:val="24"/>
          <w:szCs w:val="24"/>
        </w:rPr>
        <w:t>索赔意向通知书，并说明发生索赔事件的事由；承包人未在前述</w:t>
      </w:r>
      <w:r>
        <w:rPr>
          <w:rFonts w:hint="eastAsia" w:ascii="宋体" w:hAnsi="宋体" w:eastAsia="宋体" w:cs="宋体"/>
          <w:color w:val="000000"/>
          <w:kern w:val="0"/>
          <w:sz w:val="24"/>
          <w:szCs w:val="24"/>
          <w:u w:val="single"/>
        </w:rPr>
        <w:t>28天</w:t>
      </w:r>
      <w:r>
        <w:rPr>
          <w:rFonts w:hint="eastAsia" w:ascii="宋体" w:hAnsi="宋体" w:eastAsia="宋体" w:cs="宋体"/>
          <w:color w:val="000000"/>
          <w:kern w:val="0"/>
          <w:sz w:val="24"/>
          <w:szCs w:val="24"/>
        </w:rPr>
        <w:t>内发出索赔意向通知书的，丧失要求追加付款和（或）延长工期的权利；</w:t>
      </w:r>
    </w:p>
    <w:p w14:paraId="528EE80D">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（2）承包人应在发出索赔意向通知书后</w:t>
      </w:r>
      <w:r>
        <w:rPr>
          <w:rFonts w:hint="eastAsia" w:ascii="宋体" w:hAnsi="宋体" w:eastAsia="宋体" w:cs="宋体"/>
          <w:color w:val="000000"/>
          <w:kern w:val="0"/>
          <w:sz w:val="24"/>
          <w:szCs w:val="24"/>
          <w:u w:val="single"/>
        </w:rPr>
        <w:t>28天</w:t>
      </w:r>
      <w:r>
        <w:rPr>
          <w:rFonts w:hint="eastAsia" w:ascii="宋体" w:hAnsi="宋体" w:eastAsia="宋体" w:cs="宋体"/>
          <w:color w:val="000000"/>
          <w:kern w:val="0"/>
          <w:sz w:val="24"/>
          <w:szCs w:val="24"/>
        </w:rPr>
        <w:t>内，向监理人正式递交</w:t>
      </w:r>
      <w:r>
        <w:rPr>
          <w:rFonts w:hint="eastAsia" w:ascii="宋体" w:hAnsi="宋体" w:eastAsia="宋体" w:cs="宋体"/>
          <w:kern w:val="0"/>
          <w:sz w:val="24"/>
          <w:szCs w:val="24"/>
        </w:rPr>
        <w:t>书面</w:t>
      </w:r>
      <w:r>
        <w:rPr>
          <w:rFonts w:hint="eastAsia" w:ascii="宋体" w:hAnsi="宋体" w:eastAsia="宋体" w:cs="宋体"/>
          <w:color w:val="000000"/>
          <w:kern w:val="0"/>
          <w:sz w:val="24"/>
          <w:szCs w:val="24"/>
        </w:rPr>
        <w:t>索赔报告；索赔报告应详细说明索赔理由以及要求追加的付款金额和（或）延长的工期，并附必要的记录和证明材料；</w:t>
      </w:r>
    </w:p>
    <w:p w14:paraId="0BFD11A6">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（3）索赔事件具有持续影响的，承包人应按合理时间间隔继续递交延续索赔通知，说明持续影响的实际情况和记录，列出累计的追加付款金额和（或）工期延长天数；</w:t>
      </w:r>
    </w:p>
    <w:p w14:paraId="66773D2E">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（4）在索赔事件影响结束后</w:t>
      </w:r>
      <w:r>
        <w:rPr>
          <w:rFonts w:hint="eastAsia" w:ascii="宋体" w:hAnsi="宋体" w:eastAsia="宋体" w:cs="宋体"/>
          <w:color w:val="000000"/>
          <w:kern w:val="0"/>
          <w:sz w:val="24"/>
          <w:szCs w:val="24"/>
          <w:u w:val="single"/>
        </w:rPr>
        <w:t>28天</w:t>
      </w:r>
      <w:r>
        <w:rPr>
          <w:rFonts w:hint="eastAsia" w:ascii="宋体" w:hAnsi="宋体" w:eastAsia="宋体" w:cs="宋体"/>
          <w:color w:val="000000"/>
          <w:kern w:val="0"/>
          <w:sz w:val="24"/>
          <w:szCs w:val="24"/>
        </w:rPr>
        <w:t>内，承包人应向监理人递交最终索赔报告，说明最终要求索赔的追加付款金额和（或）延长的工期，并附必要的记录和证明材料。</w:t>
      </w:r>
    </w:p>
    <w:p w14:paraId="00363067">
      <w:pPr>
        <w:pStyle w:val="6"/>
        <w:spacing w:before="0" w:after="0" w:line="240" w:lineRule="auto"/>
        <w:ind w:firstLine="480" w:firstLineChars="200"/>
        <w:rPr>
          <w:rFonts w:hint="eastAsia" w:ascii="宋体" w:hAnsi="宋体" w:eastAsia="宋体" w:cs="宋体"/>
          <w:b w:val="0"/>
          <w:color w:val="000000"/>
          <w:sz w:val="24"/>
          <w:szCs w:val="24"/>
        </w:rPr>
      </w:pPr>
      <w:bookmarkStart w:id="371" w:name="_Toc443898179"/>
      <w:r>
        <w:rPr>
          <w:rFonts w:hint="eastAsia" w:ascii="宋体" w:hAnsi="宋体" w:eastAsia="宋体" w:cs="宋体"/>
          <w:b w:val="0"/>
          <w:color w:val="000000"/>
          <w:sz w:val="24"/>
          <w:szCs w:val="24"/>
        </w:rPr>
        <w:t>19.2 对承包人索赔的处理</w:t>
      </w:r>
      <w:bookmarkEnd w:id="371"/>
    </w:p>
    <w:p w14:paraId="05002631">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对承包人索赔的处理如下：</w:t>
      </w:r>
    </w:p>
    <w:p w14:paraId="7607C947">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（1）监理人应在收到索赔报告后</w:t>
      </w:r>
      <w:r>
        <w:rPr>
          <w:rFonts w:hint="eastAsia" w:ascii="宋体" w:hAnsi="宋体" w:eastAsia="宋体" w:cs="宋体"/>
          <w:color w:val="000000"/>
          <w:kern w:val="0"/>
          <w:sz w:val="24"/>
          <w:szCs w:val="24"/>
          <w:u w:val="single"/>
        </w:rPr>
        <w:t>14天</w:t>
      </w:r>
      <w:r>
        <w:rPr>
          <w:rFonts w:hint="eastAsia" w:ascii="宋体" w:hAnsi="宋体" w:eastAsia="宋体" w:cs="宋体"/>
          <w:color w:val="000000"/>
          <w:kern w:val="0"/>
          <w:sz w:val="24"/>
          <w:szCs w:val="24"/>
        </w:rPr>
        <w:t>内完成审查并报送发包人。监理人对索赔报告存在异议的，有权要求承包人提交全部原始记录副本；</w:t>
      </w:r>
    </w:p>
    <w:p w14:paraId="31EFB896">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（2）发包人应在监理人收到索赔报告或有关索赔的进一步证明材料后的</w:t>
      </w:r>
      <w:r>
        <w:rPr>
          <w:rFonts w:hint="eastAsia" w:ascii="宋体" w:hAnsi="宋体" w:eastAsia="宋体" w:cs="宋体"/>
          <w:color w:val="000000"/>
          <w:kern w:val="0"/>
          <w:sz w:val="24"/>
          <w:szCs w:val="24"/>
          <w:u w:val="single"/>
        </w:rPr>
        <w:t>28天</w:t>
      </w:r>
      <w:r>
        <w:rPr>
          <w:rFonts w:hint="eastAsia" w:ascii="宋体" w:hAnsi="宋体" w:eastAsia="宋体" w:cs="宋体"/>
          <w:color w:val="000000"/>
          <w:kern w:val="0"/>
          <w:sz w:val="24"/>
          <w:szCs w:val="24"/>
        </w:rPr>
        <w:t>内，由监理人向承包人出具经发包人签认的索赔处理结果。发包人逾期答复的，则视为认可承包人的索赔要求；</w:t>
      </w:r>
    </w:p>
    <w:p w14:paraId="4B87E305">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（3）承包人接受索赔处理结果的，索赔款项在当期进度款中进行支付；承包人不接受索赔处理结果的，按照第20条〔争议解决〕约定处理。</w:t>
      </w:r>
    </w:p>
    <w:p w14:paraId="1D5E7CEB">
      <w:pPr>
        <w:pStyle w:val="6"/>
        <w:spacing w:before="0" w:after="0" w:line="240" w:lineRule="auto"/>
        <w:ind w:firstLine="480" w:firstLineChars="200"/>
        <w:rPr>
          <w:rFonts w:hint="eastAsia" w:ascii="宋体" w:hAnsi="宋体" w:eastAsia="宋体" w:cs="宋体"/>
          <w:b w:val="0"/>
          <w:color w:val="000000"/>
          <w:sz w:val="24"/>
          <w:szCs w:val="24"/>
        </w:rPr>
      </w:pPr>
      <w:bookmarkStart w:id="372" w:name="_Toc443898180"/>
      <w:r>
        <w:rPr>
          <w:rFonts w:hint="eastAsia" w:ascii="宋体" w:hAnsi="宋体" w:eastAsia="宋体" w:cs="宋体"/>
          <w:b w:val="0"/>
          <w:color w:val="000000"/>
          <w:sz w:val="24"/>
          <w:szCs w:val="24"/>
        </w:rPr>
        <w:t>19.3发包人的索赔</w:t>
      </w:r>
      <w:bookmarkEnd w:id="372"/>
    </w:p>
    <w:p w14:paraId="11087BD7">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根据合同约定，发包人认为有权得到赔付金额和（或）延长缺陷责任期的，监理人应向承包人发出通知并附有详细的证明。</w:t>
      </w:r>
    </w:p>
    <w:p w14:paraId="251A67E2">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发包人应在知道或应当知道索赔事件发生后</w:t>
      </w:r>
      <w:r>
        <w:rPr>
          <w:rFonts w:hint="eastAsia" w:ascii="宋体" w:hAnsi="宋体" w:eastAsia="宋体" w:cs="宋体"/>
          <w:color w:val="000000"/>
          <w:kern w:val="0"/>
          <w:sz w:val="24"/>
          <w:szCs w:val="24"/>
          <w:u w:val="single"/>
        </w:rPr>
        <w:t>28天</w:t>
      </w:r>
      <w:r>
        <w:rPr>
          <w:rFonts w:hint="eastAsia" w:ascii="宋体" w:hAnsi="宋体" w:eastAsia="宋体" w:cs="宋体"/>
          <w:color w:val="000000"/>
          <w:kern w:val="0"/>
          <w:sz w:val="24"/>
          <w:szCs w:val="24"/>
        </w:rPr>
        <w:t>内通过监理人向承包人提出索赔意向通知书，发包人未在前述</w:t>
      </w:r>
      <w:r>
        <w:rPr>
          <w:rFonts w:hint="eastAsia" w:ascii="宋体" w:hAnsi="宋体" w:eastAsia="宋体" w:cs="宋体"/>
          <w:color w:val="000000"/>
          <w:kern w:val="0"/>
          <w:sz w:val="24"/>
          <w:szCs w:val="24"/>
          <w:u w:val="single"/>
        </w:rPr>
        <w:t>28天</w:t>
      </w:r>
      <w:r>
        <w:rPr>
          <w:rFonts w:hint="eastAsia" w:ascii="宋体" w:hAnsi="宋体" w:eastAsia="宋体" w:cs="宋体"/>
          <w:color w:val="000000"/>
          <w:kern w:val="0"/>
          <w:sz w:val="24"/>
          <w:szCs w:val="24"/>
        </w:rPr>
        <w:t>内发出索赔意向通知书的，丧失要求赔付金额和（或）延长缺陷责任期的权利。发包人应在发出索赔意向通知书后</w:t>
      </w:r>
      <w:r>
        <w:rPr>
          <w:rFonts w:hint="eastAsia" w:ascii="宋体" w:hAnsi="宋体" w:eastAsia="宋体" w:cs="宋体"/>
          <w:color w:val="000000"/>
          <w:kern w:val="0"/>
          <w:sz w:val="24"/>
          <w:szCs w:val="24"/>
          <w:u w:val="single"/>
        </w:rPr>
        <w:t>28天</w:t>
      </w:r>
      <w:r>
        <w:rPr>
          <w:rFonts w:hint="eastAsia" w:ascii="宋体" w:hAnsi="宋体" w:eastAsia="宋体" w:cs="宋体"/>
          <w:color w:val="000000"/>
          <w:kern w:val="0"/>
          <w:sz w:val="24"/>
          <w:szCs w:val="24"/>
        </w:rPr>
        <w:t>内，通过监理人向承包人正式递交索赔报告。</w:t>
      </w:r>
    </w:p>
    <w:p w14:paraId="6992C4FD">
      <w:pPr>
        <w:pStyle w:val="6"/>
        <w:spacing w:before="0" w:after="0" w:line="240" w:lineRule="auto"/>
        <w:ind w:firstLine="480" w:firstLineChars="200"/>
        <w:rPr>
          <w:rFonts w:hint="eastAsia" w:ascii="宋体" w:hAnsi="宋体" w:eastAsia="宋体" w:cs="宋体"/>
          <w:b w:val="0"/>
          <w:color w:val="000000"/>
          <w:sz w:val="24"/>
          <w:szCs w:val="24"/>
        </w:rPr>
      </w:pPr>
      <w:bookmarkStart w:id="373" w:name="_Toc443898181"/>
      <w:r>
        <w:rPr>
          <w:rFonts w:hint="eastAsia" w:ascii="宋体" w:hAnsi="宋体" w:eastAsia="宋体" w:cs="宋体"/>
          <w:b w:val="0"/>
          <w:color w:val="000000"/>
          <w:sz w:val="24"/>
          <w:szCs w:val="24"/>
        </w:rPr>
        <w:t>19.4 对发包人索赔的处理</w:t>
      </w:r>
      <w:bookmarkEnd w:id="373"/>
    </w:p>
    <w:p w14:paraId="1F59BD87">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对发包人索赔的处理如下：</w:t>
      </w:r>
    </w:p>
    <w:p w14:paraId="49E5BA16">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（1）承包人收到发包人提交的索赔报告后，应及时审查索赔报告的内容、查验发包人证明材料；</w:t>
      </w:r>
    </w:p>
    <w:p w14:paraId="39ADA642">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（2）承包人应在收到索赔报告或有关索赔的进一步证明材料后</w:t>
      </w:r>
      <w:r>
        <w:rPr>
          <w:rFonts w:hint="eastAsia" w:ascii="宋体" w:hAnsi="宋体" w:eastAsia="宋体" w:cs="宋体"/>
          <w:color w:val="000000"/>
          <w:kern w:val="0"/>
          <w:sz w:val="24"/>
          <w:szCs w:val="24"/>
          <w:u w:val="single"/>
        </w:rPr>
        <w:t>28天</w:t>
      </w:r>
      <w:r>
        <w:rPr>
          <w:rFonts w:hint="eastAsia" w:ascii="宋体" w:hAnsi="宋体" w:eastAsia="宋体" w:cs="宋体"/>
          <w:color w:val="000000"/>
          <w:kern w:val="0"/>
          <w:sz w:val="24"/>
          <w:szCs w:val="24"/>
        </w:rPr>
        <w:t>内，将索赔处理结果答复发包人。如果承包人未在上述期限内作出答复的，则视为对发包人索赔要求的认可；</w:t>
      </w:r>
    </w:p>
    <w:p w14:paraId="6454618C">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（3）承包人接受索赔处理结果的，发包人可从应支付给承包人的合同价款中扣除赔付的金额或延长缺陷责任期；发包人不接受索赔处理结果的，按第20条〔争议解决〕约定处理。</w:t>
      </w:r>
    </w:p>
    <w:p w14:paraId="16400DFA">
      <w:pPr>
        <w:pStyle w:val="6"/>
        <w:spacing w:before="0" w:after="0" w:line="240" w:lineRule="auto"/>
        <w:ind w:firstLine="480" w:firstLineChars="200"/>
        <w:rPr>
          <w:rFonts w:hint="eastAsia" w:ascii="宋体" w:hAnsi="宋体" w:eastAsia="宋体" w:cs="宋体"/>
          <w:b w:val="0"/>
          <w:color w:val="000000"/>
          <w:sz w:val="24"/>
          <w:szCs w:val="24"/>
        </w:rPr>
      </w:pPr>
      <w:bookmarkStart w:id="374" w:name="_Toc443898182"/>
      <w:r>
        <w:rPr>
          <w:rFonts w:hint="eastAsia" w:ascii="宋体" w:hAnsi="宋体" w:eastAsia="宋体" w:cs="宋体"/>
          <w:b w:val="0"/>
          <w:color w:val="000000"/>
          <w:sz w:val="24"/>
          <w:szCs w:val="24"/>
        </w:rPr>
        <w:t>19.5 提出索赔的期限</w:t>
      </w:r>
      <w:bookmarkEnd w:id="374"/>
    </w:p>
    <w:p w14:paraId="5BA25F68">
      <w:pPr>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（1）承包人按第14.2款〔竣工结算审核〕约定接收竣工付款证书后，应被视为已无权再提出在工程接收证书颁发前所发生的任何索赔。</w:t>
      </w:r>
    </w:p>
    <w:p w14:paraId="00CC5409">
      <w:pPr>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（2）承包人按第14.4款〔最终结清〕提交的最终结清申请单中，只限于提出工程接收证书颁发后发生的索赔。提出索赔的期限自接受最终结清证书时终止。</w:t>
      </w:r>
    </w:p>
    <w:p w14:paraId="75B0A363">
      <w:pPr>
        <w:pStyle w:val="5"/>
        <w:spacing w:before="0" w:after="0" w:line="240" w:lineRule="auto"/>
        <w:ind w:firstLine="480" w:firstLineChars="200"/>
        <w:rPr>
          <w:rFonts w:hint="eastAsia" w:ascii="宋体" w:hAnsi="宋体" w:eastAsia="宋体" w:cs="宋体"/>
          <w:b w:val="0"/>
          <w:color w:val="000000"/>
          <w:sz w:val="24"/>
          <w:szCs w:val="24"/>
        </w:rPr>
      </w:pPr>
      <w:bookmarkStart w:id="375" w:name="_Toc443898183"/>
      <w:r>
        <w:rPr>
          <w:rFonts w:hint="eastAsia" w:ascii="宋体" w:hAnsi="宋体" w:eastAsia="宋体" w:cs="宋体"/>
          <w:b w:val="0"/>
          <w:color w:val="000000"/>
          <w:sz w:val="24"/>
          <w:szCs w:val="24"/>
        </w:rPr>
        <w:t>20.</w:t>
      </w:r>
      <w:bookmarkStart w:id="376" w:name="_Toc296503146"/>
      <w:bookmarkStart w:id="377" w:name="_Toc337558840"/>
      <w:bookmarkStart w:id="378" w:name="_Toc296346647"/>
      <w:r>
        <w:rPr>
          <w:rFonts w:hint="eastAsia" w:ascii="宋体" w:hAnsi="宋体" w:eastAsia="宋体" w:cs="宋体"/>
          <w:b w:val="0"/>
          <w:color w:val="000000"/>
          <w:sz w:val="24"/>
          <w:szCs w:val="24"/>
        </w:rPr>
        <w:t>争议解决</w:t>
      </w:r>
      <w:bookmarkEnd w:id="375"/>
    </w:p>
    <w:p w14:paraId="1618EBA4">
      <w:pPr>
        <w:pStyle w:val="6"/>
        <w:spacing w:before="0" w:after="0" w:line="240" w:lineRule="auto"/>
        <w:ind w:firstLine="480" w:firstLineChars="200"/>
        <w:rPr>
          <w:rFonts w:hint="eastAsia" w:ascii="宋体" w:hAnsi="宋体" w:eastAsia="宋体" w:cs="宋体"/>
          <w:b w:val="0"/>
          <w:color w:val="000000"/>
          <w:sz w:val="24"/>
          <w:szCs w:val="24"/>
        </w:rPr>
      </w:pPr>
      <w:bookmarkStart w:id="379" w:name="_Toc443898184"/>
      <w:r>
        <w:rPr>
          <w:rFonts w:hint="eastAsia" w:ascii="宋体" w:hAnsi="宋体" w:eastAsia="宋体" w:cs="宋体"/>
          <w:b w:val="0"/>
          <w:color w:val="000000"/>
          <w:sz w:val="24"/>
          <w:szCs w:val="24"/>
        </w:rPr>
        <w:t>20.</w:t>
      </w:r>
      <w:bookmarkEnd w:id="376"/>
      <w:bookmarkEnd w:id="377"/>
      <w:bookmarkEnd w:id="378"/>
      <w:bookmarkStart w:id="380" w:name="_Toc296503147"/>
      <w:bookmarkStart w:id="381" w:name="_Toc296346648"/>
      <w:bookmarkStart w:id="382" w:name="_Toc337558841"/>
      <w:r>
        <w:rPr>
          <w:rFonts w:hint="eastAsia" w:ascii="宋体" w:hAnsi="宋体" w:eastAsia="宋体" w:cs="宋体"/>
          <w:b w:val="0"/>
          <w:color w:val="000000"/>
          <w:sz w:val="24"/>
          <w:szCs w:val="24"/>
        </w:rPr>
        <w:t>1和解</w:t>
      </w:r>
      <w:bookmarkEnd w:id="379"/>
    </w:p>
    <w:p w14:paraId="0DBBEAC6">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合同当</w:t>
      </w:r>
      <w:bookmarkEnd w:id="380"/>
      <w:bookmarkEnd w:id="381"/>
      <w:bookmarkEnd w:id="382"/>
      <w:r>
        <w:rPr>
          <w:rFonts w:hint="eastAsia" w:ascii="宋体" w:hAnsi="宋体" w:eastAsia="宋体" w:cs="宋体"/>
          <w:color w:val="000000"/>
          <w:kern w:val="0"/>
          <w:sz w:val="24"/>
          <w:szCs w:val="24"/>
        </w:rPr>
        <w:t>事人可以就争议自行和解，自行和解达成协议的经双方法定代表人或其授权代表签字并加盖单位公章（或合同专用章）后作为合同补充文件，双方均应遵照执行。</w:t>
      </w:r>
    </w:p>
    <w:p w14:paraId="052D0714">
      <w:pPr>
        <w:pStyle w:val="6"/>
        <w:spacing w:before="0" w:after="0" w:line="240" w:lineRule="auto"/>
        <w:ind w:firstLine="480" w:firstLineChars="200"/>
        <w:rPr>
          <w:rFonts w:hint="eastAsia" w:ascii="宋体" w:hAnsi="宋体" w:eastAsia="宋体" w:cs="宋体"/>
          <w:b w:val="0"/>
          <w:color w:val="000000"/>
          <w:sz w:val="24"/>
          <w:szCs w:val="24"/>
        </w:rPr>
      </w:pPr>
      <w:bookmarkStart w:id="383" w:name="_Toc443898185"/>
      <w:r>
        <w:rPr>
          <w:rFonts w:hint="eastAsia" w:ascii="宋体" w:hAnsi="宋体" w:eastAsia="宋体" w:cs="宋体"/>
          <w:b w:val="0"/>
          <w:color w:val="000000"/>
          <w:sz w:val="24"/>
          <w:szCs w:val="24"/>
        </w:rPr>
        <w:t>20.</w:t>
      </w:r>
      <w:bookmarkStart w:id="384" w:name="_Toc296346649"/>
      <w:bookmarkStart w:id="385" w:name="_Toc337558842"/>
      <w:bookmarkStart w:id="386" w:name="_Toc296503148"/>
      <w:r>
        <w:rPr>
          <w:rFonts w:hint="eastAsia" w:ascii="宋体" w:hAnsi="宋体" w:eastAsia="宋体" w:cs="宋体"/>
          <w:b w:val="0"/>
          <w:color w:val="000000"/>
          <w:sz w:val="24"/>
          <w:szCs w:val="24"/>
        </w:rPr>
        <w:t>2调解</w:t>
      </w:r>
      <w:bookmarkEnd w:id="383"/>
    </w:p>
    <w:p w14:paraId="176067C2">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合同当</w:t>
      </w:r>
      <w:bookmarkEnd w:id="384"/>
      <w:bookmarkEnd w:id="385"/>
      <w:bookmarkEnd w:id="386"/>
      <w:r>
        <w:rPr>
          <w:rFonts w:hint="eastAsia" w:ascii="宋体" w:hAnsi="宋体" w:eastAsia="宋体" w:cs="宋体"/>
          <w:color w:val="000000"/>
          <w:kern w:val="0"/>
          <w:sz w:val="24"/>
          <w:szCs w:val="24"/>
        </w:rPr>
        <w:t>事人可以就争议请求建设行政主管部门、行业协会或其他第三方进行调解，调解达成协议的，经双方法定代表人或其授权代表签字并加盖单位公章（或合同专用章）后作为合同补充文件，双方均应遵照执行。</w:t>
      </w:r>
    </w:p>
    <w:p w14:paraId="51E2B166">
      <w:pPr>
        <w:pStyle w:val="6"/>
        <w:spacing w:before="0" w:after="0" w:line="240" w:lineRule="auto"/>
        <w:ind w:firstLine="480" w:firstLineChars="200"/>
        <w:rPr>
          <w:rFonts w:hint="eastAsia" w:ascii="宋体" w:hAnsi="宋体" w:eastAsia="宋体" w:cs="宋体"/>
          <w:b w:val="0"/>
          <w:color w:val="000000"/>
          <w:sz w:val="24"/>
          <w:szCs w:val="24"/>
        </w:rPr>
      </w:pPr>
      <w:bookmarkStart w:id="387" w:name="_Toc443898186"/>
      <w:r>
        <w:rPr>
          <w:rFonts w:hint="eastAsia" w:ascii="宋体" w:hAnsi="宋体" w:eastAsia="宋体" w:cs="宋体"/>
          <w:b w:val="0"/>
          <w:color w:val="000000"/>
          <w:sz w:val="24"/>
          <w:szCs w:val="24"/>
        </w:rPr>
        <w:t>20.3争议评审</w:t>
      </w:r>
      <w:bookmarkEnd w:id="387"/>
    </w:p>
    <w:p w14:paraId="606AAEF1">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合同当事人在专用合同条款中约定采取争议评审方式解决争议以及评审规则，并按下列约定执行：</w:t>
      </w:r>
    </w:p>
    <w:p w14:paraId="433A97B8">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20.3.1 争议评审小组的确定</w:t>
      </w:r>
    </w:p>
    <w:p w14:paraId="23320941">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合同当事人可以共同选择一名或三名争议评审员，组成争议评审小组。除专用合同条款另有约定外，合同当事人应当自合同签订后28天内，或者争议发生后</w:t>
      </w:r>
      <w:r>
        <w:rPr>
          <w:rFonts w:hint="eastAsia" w:ascii="宋体" w:hAnsi="宋体" w:eastAsia="宋体" w:cs="宋体"/>
          <w:color w:val="000000"/>
          <w:kern w:val="0"/>
          <w:sz w:val="24"/>
          <w:szCs w:val="24"/>
          <w:u w:val="single"/>
        </w:rPr>
        <w:t>14天</w:t>
      </w:r>
      <w:r>
        <w:rPr>
          <w:rFonts w:hint="eastAsia" w:ascii="宋体" w:hAnsi="宋体" w:eastAsia="宋体" w:cs="宋体"/>
          <w:color w:val="000000"/>
          <w:kern w:val="0"/>
          <w:sz w:val="24"/>
          <w:szCs w:val="24"/>
        </w:rPr>
        <w:t>内，选定争议评审员。</w:t>
      </w:r>
    </w:p>
    <w:p w14:paraId="3885617B">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w:t>
      </w:r>
    </w:p>
    <w:p w14:paraId="7D909787">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除专用合同条款另有约定外，评审员报酬由发包人和承包人各承担一半。</w:t>
      </w:r>
    </w:p>
    <w:p w14:paraId="2C43FC1F">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20.3.2 争议评审小组的决定</w:t>
      </w:r>
    </w:p>
    <w:p w14:paraId="63EC443B">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w:t>
      </w:r>
      <w:r>
        <w:rPr>
          <w:rFonts w:hint="eastAsia" w:ascii="宋体" w:hAnsi="宋体" w:eastAsia="宋体" w:cs="宋体"/>
          <w:color w:val="000000"/>
          <w:kern w:val="0"/>
          <w:sz w:val="24"/>
          <w:szCs w:val="24"/>
          <w:u w:val="single"/>
        </w:rPr>
        <w:t>14天</w:t>
      </w:r>
      <w:r>
        <w:rPr>
          <w:rFonts w:hint="eastAsia" w:ascii="宋体" w:hAnsi="宋体" w:eastAsia="宋体" w:cs="宋体"/>
          <w:color w:val="000000"/>
          <w:kern w:val="0"/>
          <w:sz w:val="24"/>
          <w:szCs w:val="24"/>
        </w:rPr>
        <w:t>内作出书面决定，并说明理由。合同当事人可以在专用合同条款中对本项事项另行约定。</w:t>
      </w:r>
    </w:p>
    <w:p w14:paraId="3811F7AC">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20.3.3 争议评审小组决定的效力</w:t>
      </w:r>
    </w:p>
    <w:p w14:paraId="70C25E5E">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争议评审小组作出的书面决定经合同当事人签字确认后，对双方具有约束力，双方应遵照执行。</w:t>
      </w:r>
    </w:p>
    <w:p w14:paraId="79098BEF">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任何一方当事人不接受争议评审小组决定或不履行争议评审小组决定的，双方可选择采用其他争议解决方式。</w:t>
      </w:r>
    </w:p>
    <w:p w14:paraId="28A05323">
      <w:pPr>
        <w:pStyle w:val="6"/>
        <w:spacing w:before="0" w:after="0" w:line="240" w:lineRule="auto"/>
        <w:ind w:firstLine="480" w:firstLineChars="200"/>
        <w:rPr>
          <w:rFonts w:hint="eastAsia" w:ascii="宋体" w:hAnsi="宋体" w:eastAsia="宋体" w:cs="宋体"/>
          <w:b w:val="0"/>
          <w:color w:val="000000"/>
          <w:sz w:val="24"/>
          <w:szCs w:val="24"/>
        </w:rPr>
      </w:pPr>
      <w:bookmarkStart w:id="388" w:name="_Toc443898187"/>
      <w:r>
        <w:rPr>
          <w:rFonts w:hint="eastAsia" w:ascii="宋体" w:hAnsi="宋体" w:eastAsia="宋体" w:cs="宋体"/>
          <w:b w:val="0"/>
          <w:color w:val="000000"/>
          <w:sz w:val="24"/>
          <w:szCs w:val="24"/>
        </w:rPr>
        <w:t>20.</w:t>
      </w:r>
      <w:bookmarkStart w:id="389" w:name="_Toc296346651"/>
      <w:bookmarkStart w:id="390" w:name="_Toc337558844"/>
      <w:bookmarkStart w:id="391" w:name="_Toc296503150"/>
      <w:r>
        <w:rPr>
          <w:rFonts w:hint="eastAsia" w:ascii="宋体" w:hAnsi="宋体" w:eastAsia="宋体" w:cs="宋体"/>
          <w:b w:val="0"/>
          <w:color w:val="000000"/>
          <w:sz w:val="24"/>
          <w:szCs w:val="24"/>
        </w:rPr>
        <w:t>4仲裁或诉讼</w:t>
      </w:r>
      <w:bookmarkEnd w:id="388"/>
    </w:p>
    <w:p w14:paraId="72BAD577">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因合同</w:t>
      </w:r>
      <w:bookmarkEnd w:id="389"/>
      <w:bookmarkEnd w:id="390"/>
      <w:bookmarkEnd w:id="391"/>
      <w:r>
        <w:rPr>
          <w:rFonts w:hint="eastAsia" w:ascii="宋体" w:hAnsi="宋体" w:eastAsia="宋体" w:cs="宋体"/>
          <w:color w:val="000000"/>
          <w:kern w:val="0"/>
          <w:sz w:val="24"/>
          <w:szCs w:val="24"/>
        </w:rPr>
        <w:t>及合同有关事项产生的争议，合同当事人可以在专用合同条款中约定以下一种方式解决争议：</w:t>
      </w:r>
    </w:p>
    <w:p w14:paraId="523BEB13">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（1）向约定的仲裁委员会申请仲裁；</w:t>
      </w:r>
    </w:p>
    <w:p w14:paraId="30C80B70">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（2）向有管辖权的人民法院起诉。</w:t>
      </w:r>
    </w:p>
    <w:p w14:paraId="56CA80F2">
      <w:pPr>
        <w:pStyle w:val="6"/>
        <w:spacing w:before="0" w:after="0" w:line="240" w:lineRule="auto"/>
        <w:ind w:firstLine="480" w:firstLineChars="200"/>
        <w:rPr>
          <w:rFonts w:hint="eastAsia" w:ascii="宋体" w:hAnsi="宋体" w:eastAsia="宋体" w:cs="宋体"/>
          <w:b w:val="0"/>
          <w:color w:val="000000"/>
          <w:sz w:val="24"/>
          <w:szCs w:val="24"/>
        </w:rPr>
      </w:pPr>
      <w:bookmarkStart w:id="392" w:name="_Toc443898188"/>
      <w:r>
        <w:rPr>
          <w:rFonts w:hint="eastAsia" w:ascii="宋体" w:hAnsi="宋体" w:eastAsia="宋体" w:cs="宋体"/>
          <w:b w:val="0"/>
          <w:color w:val="000000"/>
          <w:sz w:val="24"/>
          <w:szCs w:val="24"/>
        </w:rPr>
        <w:t>20.</w:t>
      </w:r>
      <w:bookmarkStart w:id="393" w:name="_Toc296346653"/>
      <w:bookmarkStart w:id="394" w:name="_Toc296503152"/>
      <w:bookmarkStart w:id="395" w:name="_Toc337558845"/>
      <w:r>
        <w:rPr>
          <w:rFonts w:hint="eastAsia" w:ascii="宋体" w:hAnsi="宋体" w:eastAsia="宋体" w:cs="宋体"/>
          <w:b w:val="0"/>
          <w:color w:val="000000"/>
          <w:sz w:val="24"/>
          <w:szCs w:val="24"/>
        </w:rPr>
        <w:t>5争议解决条款效力</w:t>
      </w:r>
      <w:bookmarkEnd w:id="392"/>
    </w:p>
    <w:p w14:paraId="145E8CE3">
      <w:pPr>
        <w:autoSpaceDE w:val="0"/>
        <w:autoSpaceDN w:val="0"/>
        <w:adjustRightInd w:val="0"/>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合同有</w:t>
      </w:r>
      <w:bookmarkEnd w:id="393"/>
      <w:bookmarkEnd w:id="394"/>
      <w:bookmarkEnd w:id="395"/>
      <w:r>
        <w:rPr>
          <w:rFonts w:hint="eastAsia" w:ascii="宋体" w:hAnsi="宋体" w:eastAsia="宋体" w:cs="宋体"/>
          <w:color w:val="000000"/>
          <w:kern w:val="0"/>
          <w:sz w:val="24"/>
          <w:szCs w:val="24"/>
        </w:rPr>
        <w:t>关争议解决的条款独立存在，合同的变更、解除、终止、无效或者被撤销均不影响其效力。</w:t>
      </w:r>
    </w:p>
    <w:p w14:paraId="35991022">
      <w:pPr>
        <w:pStyle w:val="4"/>
        <w:spacing w:line="240" w:lineRule="auto"/>
        <w:outlineLvl w:val="9"/>
        <w:rPr>
          <w:rFonts w:hint="eastAsia" w:ascii="宋体" w:hAnsi="宋体" w:eastAsia="宋体" w:cs="宋体"/>
          <w:b w:val="0"/>
          <w:sz w:val="24"/>
          <w:szCs w:val="24"/>
        </w:rPr>
      </w:pPr>
      <w:bookmarkStart w:id="396" w:name="_Toc443898189"/>
    </w:p>
    <w:p w14:paraId="2B2D5E8F">
      <w:pPr>
        <w:rPr>
          <w:rFonts w:hint="eastAsia" w:ascii="宋体" w:hAnsi="宋体" w:eastAsia="宋体" w:cs="宋体"/>
          <w:sz w:val="24"/>
          <w:szCs w:val="24"/>
        </w:rPr>
      </w:pPr>
    </w:p>
    <w:p w14:paraId="0F3A4526">
      <w:pPr>
        <w:pStyle w:val="16"/>
        <w:rPr>
          <w:rFonts w:hint="eastAsia" w:ascii="宋体" w:hAnsi="宋体" w:eastAsia="宋体" w:cs="宋体"/>
          <w:sz w:val="24"/>
          <w:szCs w:val="24"/>
        </w:rPr>
      </w:pPr>
    </w:p>
    <w:p w14:paraId="4540E0AC">
      <w:pPr>
        <w:rPr>
          <w:rFonts w:hint="eastAsia" w:ascii="宋体" w:hAnsi="宋体" w:eastAsia="宋体" w:cs="宋体"/>
          <w:sz w:val="24"/>
          <w:szCs w:val="24"/>
        </w:rPr>
      </w:pPr>
    </w:p>
    <w:p w14:paraId="16C5E872">
      <w:pPr>
        <w:pStyle w:val="3"/>
        <w:jc w:val="center"/>
        <w:outlineLvl w:val="0"/>
        <w:rPr>
          <w:rFonts w:hint="eastAsia" w:ascii="宋体" w:hAnsi="宋体" w:eastAsia="宋体" w:cs="宋体"/>
          <w:sz w:val="44"/>
          <w:szCs w:val="44"/>
        </w:rPr>
      </w:pPr>
      <w:bookmarkStart w:id="397" w:name="_Toc2499"/>
      <w:bookmarkStart w:id="398" w:name="_Toc8352"/>
      <w:bookmarkStart w:id="399" w:name="_Toc5435"/>
      <w:bookmarkStart w:id="400" w:name="_Toc6313"/>
      <w:bookmarkStart w:id="401" w:name="_Toc24650"/>
      <w:bookmarkStart w:id="402" w:name="_Toc13624"/>
      <w:bookmarkStart w:id="403" w:name="_Toc865"/>
      <w:bookmarkStart w:id="404" w:name="_Toc15809"/>
      <w:bookmarkStart w:id="405" w:name="_Toc26509"/>
      <w:r>
        <w:rPr>
          <w:rFonts w:hint="eastAsia" w:ascii="宋体" w:hAnsi="宋体" w:eastAsia="宋体" w:cs="宋体"/>
          <w:sz w:val="44"/>
          <w:szCs w:val="44"/>
        </w:rPr>
        <w:br w:type="page"/>
      </w:r>
      <w:bookmarkStart w:id="406" w:name="_Toc32205"/>
      <w:r>
        <w:rPr>
          <w:rFonts w:hint="eastAsia" w:ascii="宋体" w:hAnsi="宋体" w:eastAsia="宋体" w:cs="宋体"/>
          <w:sz w:val="44"/>
          <w:szCs w:val="44"/>
        </w:rPr>
        <w:t>第三部分 专用合同条款</w:t>
      </w:r>
      <w:bookmarkEnd w:id="396"/>
      <w:bookmarkEnd w:id="397"/>
      <w:bookmarkEnd w:id="398"/>
      <w:bookmarkEnd w:id="399"/>
      <w:bookmarkEnd w:id="400"/>
      <w:bookmarkEnd w:id="401"/>
      <w:bookmarkEnd w:id="402"/>
      <w:bookmarkEnd w:id="403"/>
      <w:bookmarkEnd w:id="404"/>
      <w:bookmarkEnd w:id="405"/>
      <w:bookmarkEnd w:id="406"/>
    </w:p>
    <w:p w14:paraId="63BC94A9">
      <w:pPr>
        <w:pStyle w:val="5"/>
        <w:spacing w:before="0" w:after="0" w:line="240" w:lineRule="auto"/>
        <w:ind w:firstLine="482" w:firstLineChars="200"/>
        <w:contextualSpacing/>
        <w:rPr>
          <w:rFonts w:hint="eastAsia" w:ascii="宋体" w:hAnsi="宋体" w:eastAsia="宋体" w:cs="宋体"/>
          <w:color w:val="000000"/>
          <w:sz w:val="24"/>
          <w:szCs w:val="24"/>
        </w:rPr>
      </w:pPr>
      <w:bookmarkStart w:id="407" w:name="_Toc443898190"/>
      <w:r>
        <w:rPr>
          <w:rFonts w:hint="eastAsia" w:ascii="宋体" w:hAnsi="宋体" w:eastAsia="宋体" w:cs="宋体"/>
          <w:color w:val="000000"/>
          <w:sz w:val="24"/>
          <w:szCs w:val="24"/>
        </w:rPr>
        <w:t>1. 一般约定</w:t>
      </w:r>
      <w:bookmarkEnd w:id="407"/>
    </w:p>
    <w:p w14:paraId="308F1FBB">
      <w:pPr>
        <w:ind w:firstLine="482" w:firstLineChars="200"/>
        <w:contextualSpacing/>
        <w:rPr>
          <w:rFonts w:hint="eastAsia" w:ascii="宋体" w:hAnsi="宋体" w:eastAsia="宋体" w:cs="宋体"/>
          <w:b/>
          <w:bCs/>
          <w:color w:val="000000"/>
          <w:sz w:val="24"/>
          <w:szCs w:val="24"/>
        </w:rPr>
      </w:pPr>
      <w:r>
        <w:rPr>
          <w:rFonts w:hint="eastAsia" w:ascii="宋体" w:hAnsi="宋体" w:eastAsia="宋体" w:cs="宋体"/>
          <w:b/>
          <w:bCs/>
          <w:color w:val="000000"/>
          <w:sz w:val="24"/>
          <w:szCs w:val="24"/>
        </w:rPr>
        <w:t>1.1 词语定义</w:t>
      </w:r>
    </w:p>
    <w:p w14:paraId="77A7DDCE">
      <w:pPr>
        <w:ind w:firstLine="480" w:firstLineChars="200"/>
        <w:contextualSpacing/>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1.1.1合同</w:t>
      </w:r>
    </w:p>
    <w:p w14:paraId="5BEE6204">
      <w:pPr>
        <w:ind w:firstLine="482" w:firstLineChars="200"/>
        <w:contextualSpacing/>
        <w:jc w:val="left"/>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1.1.1.1条款修改为：</w:t>
      </w:r>
    </w:p>
    <w:p w14:paraId="5DE4C54D">
      <w:pPr>
        <w:ind w:firstLine="480" w:firstLineChars="200"/>
        <w:contextualSpacing/>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合同：是指根据法律规定和合同当事人约定具有约束力的文件，构成合同的文件包括合同补充协议（如果有）、合同协议书、中标通知书（如果有）、投标函及其附录（如果有）、专用合同条款</w:t>
      </w:r>
      <w:r>
        <w:rPr>
          <w:rFonts w:hint="eastAsia" w:ascii="宋体" w:hAnsi="宋体" w:eastAsia="宋体" w:cs="宋体"/>
          <w:color w:val="000000"/>
          <w:sz w:val="24"/>
          <w:szCs w:val="24"/>
        </w:rPr>
        <w:t>及其附件</w:t>
      </w:r>
      <w:r>
        <w:rPr>
          <w:rFonts w:hint="eastAsia" w:ascii="宋体" w:hAnsi="宋体" w:eastAsia="宋体" w:cs="宋体"/>
          <w:color w:val="000000"/>
          <w:kern w:val="0"/>
          <w:sz w:val="24"/>
          <w:szCs w:val="24"/>
        </w:rPr>
        <w:t>、通用合同条款、技术标准和要求、图纸、已标价工程量清单或预算书以及其他合同文件。</w:t>
      </w:r>
    </w:p>
    <w:p w14:paraId="68F21912">
      <w:pPr>
        <w:ind w:firstLine="480" w:firstLineChars="200"/>
        <w:contextualSpacing/>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1.1.1.10其他合同文件包括但不限于：</w:t>
      </w:r>
      <w:r>
        <w:rPr>
          <w:rFonts w:hint="eastAsia" w:ascii="宋体" w:hAnsi="宋体" w:eastAsia="宋体" w:cs="宋体"/>
          <w:color w:val="000000"/>
          <w:sz w:val="24"/>
          <w:szCs w:val="24"/>
          <w:u w:val="single"/>
        </w:rPr>
        <w:t>招标文件、投标文件</w:t>
      </w:r>
      <w:r>
        <w:rPr>
          <w:rFonts w:hint="eastAsia" w:ascii="宋体" w:hAnsi="宋体" w:eastAsia="宋体" w:cs="宋体"/>
          <w:color w:val="000000"/>
          <w:sz w:val="24"/>
          <w:szCs w:val="24"/>
        </w:rPr>
        <w:t>。</w:t>
      </w:r>
    </w:p>
    <w:p w14:paraId="287154B5">
      <w:pPr>
        <w:ind w:firstLine="480" w:firstLineChars="200"/>
        <w:contextualSpacing/>
        <w:rPr>
          <w:rFonts w:hint="eastAsia" w:ascii="宋体" w:hAnsi="宋体" w:eastAsia="宋体" w:cs="宋体"/>
          <w:color w:val="000000"/>
          <w:sz w:val="24"/>
          <w:szCs w:val="24"/>
        </w:rPr>
      </w:pPr>
      <w:r>
        <w:rPr>
          <w:rFonts w:hint="eastAsia" w:ascii="宋体" w:hAnsi="宋体" w:eastAsia="宋体" w:cs="宋体"/>
          <w:color w:val="000000"/>
          <w:sz w:val="24"/>
          <w:szCs w:val="24"/>
        </w:rPr>
        <w:t>1.1.2 合同当事人及其他相关方</w:t>
      </w:r>
    </w:p>
    <w:p w14:paraId="62FB8CD4">
      <w:pPr>
        <w:ind w:firstLine="480" w:firstLineChars="200"/>
        <w:contextualSpacing/>
        <w:rPr>
          <w:rFonts w:hint="eastAsia" w:ascii="宋体" w:hAnsi="宋体" w:eastAsia="宋体" w:cs="宋体"/>
          <w:color w:val="000000"/>
          <w:sz w:val="24"/>
          <w:szCs w:val="24"/>
        </w:rPr>
      </w:pPr>
      <w:r>
        <w:rPr>
          <w:rFonts w:hint="eastAsia" w:ascii="宋体" w:hAnsi="宋体" w:eastAsia="宋体" w:cs="宋体"/>
          <w:color w:val="000000"/>
          <w:sz w:val="24"/>
          <w:szCs w:val="24"/>
        </w:rPr>
        <w:t>1.1.2.4监理人：</w:t>
      </w:r>
    </w:p>
    <w:p w14:paraId="4E2E058B">
      <w:pPr>
        <w:ind w:firstLine="480" w:firstLineChars="200"/>
        <w:contextualSpacing/>
        <w:rPr>
          <w:rFonts w:hint="eastAsia" w:ascii="宋体" w:hAnsi="宋体" w:eastAsia="宋体" w:cs="宋体"/>
          <w:color w:val="000000"/>
          <w:sz w:val="24"/>
          <w:szCs w:val="24"/>
        </w:rPr>
      </w:pPr>
      <w:r>
        <w:rPr>
          <w:rFonts w:hint="eastAsia" w:ascii="宋体" w:hAnsi="宋体" w:eastAsia="宋体" w:cs="宋体"/>
          <w:color w:val="000000"/>
          <w:sz w:val="24"/>
          <w:szCs w:val="24"/>
        </w:rPr>
        <w:t>名称：</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3AC29319">
      <w:pPr>
        <w:widowControl/>
        <w:ind w:left="0" w:leftChars="0"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资质类别和等级：</w:t>
      </w:r>
      <w:r>
        <w:rPr>
          <w:rFonts w:hint="eastAsia" w:ascii="宋体" w:hAnsi="宋体" w:eastAsia="宋体" w:cs="宋体"/>
          <w:color w:val="000000"/>
          <w:sz w:val="24"/>
          <w:szCs w:val="24"/>
          <w:u w:val="single"/>
        </w:rPr>
        <w:t xml:space="preserve">                ；</w:t>
      </w:r>
    </w:p>
    <w:p w14:paraId="60A28A88">
      <w:pPr>
        <w:ind w:firstLine="480" w:firstLineChars="200"/>
        <w:contextualSpacing/>
        <w:rPr>
          <w:rFonts w:hint="eastAsia" w:ascii="宋体" w:hAnsi="宋体" w:eastAsia="宋体" w:cs="宋体"/>
          <w:color w:val="000000"/>
          <w:sz w:val="24"/>
          <w:szCs w:val="24"/>
        </w:rPr>
      </w:pPr>
      <w:r>
        <w:rPr>
          <w:rFonts w:hint="eastAsia" w:ascii="宋体" w:hAnsi="宋体" w:eastAsia="宋体" w:cs="宋体"/>
          <w:color w:val="000000"/>
          <w:sz w:val="24"/>
          <w:szCs w:val="24"/>
        </w:rPr>
        <w:t>联系电话：</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16910479">
      <w:pPr>
        <w:ind w:firstLine="480" w:firstLineChars="200"/>
        <w:contextualSpacing/>
        <w:rPr>
          <w:rFonts w:hint="eastAsia" w:ascii="宋体" w:hAnsi="宋体" w:eastAsia="宋体" w:cs="宋体"/>
          <w:color w:val="000000"/>
          <w:sz w:val="24"/>
          <w:szCs w:val="24"/>
          <w:u w:val="single"/>
        </w:rPr>
      </w:pPr>
      <w:r>
        <w:rPr>
          <w:rFonts w:hint="eastAsia" w:ascii="宋体" w:hAnsi="宋体" w:eastAsia="宋体" w:cs="宋体"/>
          <w:color w:val="000000"/>
          <w:sz w:val="24"/>
          <w:szCs w:val="24"/>
        </w:rPr>
        <w:t>电子信箱：</w:t>
      </w:r>
      <w:r>
        <w:rPr>
          <w:rFonts w:hint="eastAsia" w:ascii="宋体" w:hAnsi="宋体" w:eastAsia="宋体" w:cs="宋体"/>
          <w:color w:val="000000"/>
          <w:sz w:val="24"/>
          <w:szCs w:val="24"/>
          <w:u w:val="single"/>
        </w:rPr>
        <w:t>                  ；</w:t>
      </w:r>
    </w:p>
    <w:p w14:paraId="2D804B3B">
      <w:pPr>
        <w:ind w:firstLine="480" w:firstLineChars="200"/>
        <w:contextualSpacing/>
        <w:rPr>
          <w:rFonts w:hint="eastAsia" w:ascii="宋体" w:hAnsi="宋体" w:eastAsia="宋体" w:cs="宋体"/>
          <w:color w:val="000000"/>
          <w:sz w:val="24"/>
          <w:szCs w:val="24"/>
        </w:rPr>
      </w:pPr>
      <w:r>
        <w:rPr>
          <w:rFonts w:hint="eastAsia" w:ascii="宋体" w:hAnsi="宋体" w:eastAsia="宋体" w:cs="宋体"/>
          <w:color w:val="000000"/>
          <w:sz w:val="24"/>
          <w:szCs w:val="24"/>
        </w:rPr>
        <w:t>通信地址：</w:t>
      </w:r>
      <w:r>
        <w:rPr>
          <w:rFonts w:hint="eastAsia" w:ascii="宋体" w:hAnsi="宋体" w:eastAsia="宋体" w:cs="宋体"/>
          <w:sz w:val="24"/>
          <w:szCs w:val="24"/>
          <w:u w:val="single"/>
        </w:rPr>
        <w:t xml:space="preserve">                      </w:t>
      </w:r>
      <w:r>
        <w:rPr>
          <w:rFonts w:hint="eastAsia" w:ascii="宋体" w:hAnsi="宋体" w:eastAsia="宋体" w:cs="宋体"/>
          <w:color w:val="000000"/>
          <w:sz w:val="24"/>
          <w:szCs w:val="24"/>
        </w:rPr>
        <w:t>。</w:t>
      </w:r>
    </w:p>
    <w:p w14:paraId="7A7845B2">
      <w:pPr>
        <w:ind w:firstLine="480" w:firstLineChars="200"/>
        <w:contextualSpacing/>
        <w:rPr>
          <w:rFonts w:hint="eastAsia" w:ascii="宋体" w:hAnsi="宋体" w:eastAsia="宋体" w:cs="宋体"/>
          <w:color w:val="000000"/>
          <w:sz w:val="24"/>
          <w:szCs w:val="24"/>
        </w:rPr>
      </w:pPr>
      <w:r>
        <w:rPr>
          <w:rFonts w:hint="eastAsia" w:ascii="宋体" w:hAnsi="宋体" w:eastAsia="宋体" w:cs="宋体"/>
          <w:color w:val="000000"/>
          <w:sz w:val="24"/>
          <w:szCs w:val="24"/>
        </w:rPr>
        <w:t>1.1.2.5 设计人：</w:t>
      </w:r>
    </w:p>
    <w:p w14:paraId="3B91A6DB">
      <w:pPr>
        <w:ind w:firstLine="480" w:firstLineChars="200"/>
        <w:contextualSpacing/>
        <w:rPr>
          <w:rFonts w:hint="eastAsia" w:ascii="宋体" w:hAnsi="宋体" w:eastAsia="宋体" w:cs="宋体"/>
          <w:color w:val="000000"/>
          <w:sz w:val="24"/>
          <w:szCs w:val="24"/>
        </w:rPr>
      </w:pPr>
      <w:r>
        <w:rPr>
          <w:rFonts w:hint="eastAsia" w:ascii="宋体" w:hAnsi="宋体" w:eastAsia="宋体" w:cs="宋体"/>
          <w:color w:val="000000"/>
          <w:sz w:val="24"/>
          <w:szCs w:val="24"/>
        </w:rPr>
        <w:t>名称：</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7BC7FEC0">
      <w:pPr>
        <w:ind w:firstLine="480" w:firstLineChars="200"/>
        <w:contextualSpacing/>
        <w:rPr>
          <w:rFonts w:hint="eastAsia" w:ascii="宋体" w:hAnsi="宋体" w:eastAsia="宋体" w:cs="宋体"/>
          <w:color w:val="000000"/>
          <w:sz w:val="24"/>
          <w:szCs w:val="24"/>
        </w:rPr>
      </w:pPr>
      <w:r>
        <w:rPr>
          <w:rFonts w:hint="eastAsia" w:ascii="宋体" w:hAnsi="宋体" w:eastAsia="宋体" w:cs="宋体"/>
          <w:color w:val="000000"/>
          <w:sz w:val="24"/>
          <w:szCs w:val="24"/>
        </w:rPr>
        <w:t>资质类别和等级：</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4DB5D605">
      <w:pPr>
        <w:ind w:firstLine="480" w:firstLineChars="200"/>
        <w:contextualSpacing/>
        <w:rPr>
          <w:rFonts w:hint="eastAsia" w:ascii="宋体" w:hAnsi="宋体" w:eastAsia="宋体" w:cs="宋体"/>
          <w:color w:val="000000"/>
          <w:sz w:val="24"/>
          <w:szCs w:val="24"/>
        </w:rPr>
      </w:pPr>
      <w:r>
        <w:rPr>
          <w:rFonts w:hint="eastAsia" w:ascii="宋体" w:hAnsi="宋体" w:eastAsia="宋体" w:cs="宋体"/>
          <w:color w:val="000000"/>
          <w:sz w:val="24"/>
          <w:szCs w:val="24"/>
        </w:rPr>
        <w:t>联系电话：</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1EBF1A52">
      <w:pPr>
        <w:ind w:firstLine="480" w:firstLineChars="200"/>
        <w:contextualSpacing/>
        <w:rPr>
          <w:rFonts w:hint="eastAsia" w:ascii="宋体" w:hAnsi="宋体" w:eastAsia="宋体" w:cs="宋体"/>
          <w:color w:val="000000"/>
          <w:sz w:val="24"/>
          <w:szCs w:val="24"/>
        </w:rPr>
      </w:pPr>
      <w:r>
        <w:rPr>
          <w:rFonts w:hint="eastAsia" w:ascii="宋体" w:hAnsi="宋体" w:eastAsia="宋体" w:cs="宋体"/>
          <w:color w:val="000000"/>
          <w:sz w:val="24"/>
          <w:szCs w:val="24"/>
        </w:rPr>
        <w:t>电子信箱：</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2284182E">
      <w:pPr>
        <w:ind w:firstLine="480" w:firstLineChars="200"/>
        <w:contextualSpacing/>
        <w:rPr>
          <w:rFonts w:hint="eastAsia" w:ascii="宋体" w:hAnsi="宋体" w:eastAsia="宋体" w:cs="宋体"/>
          <w:color w:val="000000"/>
          <w:sz w:val="24"/>
          <w:szCs w:val="24"/>
        </w:rPr>
      </w:pPr>
      <w:r>
        <w:rPr>
          <w:rFonts w:hint="eastAsia" w:ascii="宋体" w:hAnsi="宋体" w:eastAsia="宋体" w:cs="宋体"/>
          <w:color w:val="000000"/>
          <w:sz w:val="24"/>
          <w:szCs w:val="24"/>
        </w:rPr>
        <w:t>通信地址：</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73F532A0">
      <w:pPr>
        <w:ind w:firstLine="482" w:firstLineChars="200"/>
        <w:contextualSpacing/>
        <w:rPr>
          <w:rFonts w:hint="eastAsia" w:ascii="宋体" w:hAnsi="宋体" w:eastAsia="宋体" w:cs="宋体"/>
          <w:b/>
          <w:color w:val="000000"/>
          <w:sz w:val="24"/>
          <w:szCs w:val="24"/>
        </w:rPr>
      </w:pPr>
      <w:r>
        <w:rPr>
          <w:rFonts w:hint="eastAsia" w:ascii="宋体" w:hAnsi="宋体" w:eastAsia="宋体" w:cs="宋体"/>
          <w:b/>
          <w:color w:val="000000"/>
          <w:sz w:val="24"/>
          <w:szCs w:val="24"/>
        </w:rPr>
        <w:t>增加1.1.2.10条款：</w:t>
      </w:r>
    </w:p>
    <w:p w14:paraId="09EBA5C7">
      <w:pPr>
        <w:ind w:firstLine="480" w:firstLineChars="200"/>
        <w:contextualSpacing/>
        <w:rPr>
          <w:rFonts w:hint="eastAsia" w:ascii="宋体" w:hAnsi="宋体" w:eastAsia="宋体" w:cs="宋体"/>
          <w:color w:val="000000"/>
          <w:sz w:val="24"/>
          <w:szCs w:val="24"/>
        </w:rPr>
      </w:pPr>
      <w:r>
        <w:rPr>
          <w:rFonts w:hint="eastAsia" w:ascii="宋体" w:hAnsi="宋体" w:eastAsia="宋体" w:cs="宋体"/>
          <w:color w:val="000000"/>
          <w:sz w:val="24"/>
          <w:szCs w:val="24"/>
        </w:rPr>
        <w:t>1.1.2.10专业承包单位：发包人在总体工程中将部分专业性强的工作内容，按照国家及省市相关法律法规的规定通过招投标或采购另行选定的工程承包人。</w:t>
      </w:r>
    </w:p>
    <w:p w14:paraId="2C192B10">
      <w:pPr>
        <w:ind w:firstLine="482" w:firstLineChars="200"/>
        <w:contextualSpacing/>
        <w:jc w:val="lef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1.1.3.9增加以下条款：</w:t>
      </w:r>
    </w:p>
    <w:p w14:paraId="68BC2794">
      <w:pPr>
        <w:ind w:firstLine="480" w:firstLineChars="200"/>
        <w:contextualSpacing/>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1.1.3.9永久占地包括：</w:t>
      </w:r>
      <w:r>
        <w:rPr>
          <w:rStyle w:val="20"/>
          <w:rFonts w:hint="eastAsia" w:ascii="宋体" w:hAnsi="宋体" w:eastAsia="宋体" w:cs="宋体"/>
          <w:sz w:val="24"/>
          <w:szCs w:val="24"/>
          <w:u w:val="single" w:color="000000"/>
        </w:rPr>
        <w:t>设计单位提供的设计图纸中的工程所在区域</w:t>
      </w:r>
      <w:r>
        <w:rPr>
          <w:rFonts w:hint="eastAsia" w:ascii="宋体" w:hAnsi="宋体" w:eastAsia="宋体" w:cs="宋体"/>
          <w:color w:val="000000"/>
          <w:kern w:val="0"/>
          <w:sz w:val="24"/>
          <w:szCs w:val="24"/>
        </w:rPr>
        <w:t>。</w:t>
      </w:r>
    </w:p>
    <w:p w14:paraId="2CA192DF">
      <w:pPr>
        <w:ind w:firstLine="482" w:firstLineChars="200"/>
        <w:contextualSpacing/>
        <w:jc w:val="lef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1.1.3.10增加以下条款：</w:t>
      </w:r>
    </w:p>
    <w:p w14:paraId="7C11BEF0">
      <w:pPr>
        <w:ind w:firstLine="480" w:firstLineChars="200"/>
        <w:contextualSpacing/>
        <w:jc w:val="left"/>
        <w:rPr>
          <w:rFonts w:hint="eastAsia" w:ascii="宋体" w:hAnsi="宋体" w:eastAsia="宋体" w:cs="宋体"/>
          <w:color w:val="000000"/>
          <w:kern w:val="0"/>
          <w:sz w:val="24"/>
          <w:szCs w:val="24"/>
        </w:rPr>
      </w:pPr>
      <w:r>
        <w:rPr>
          <w:rFonts w:hint="eastAsia" w:ascii="宋体" w:hAnsi="宋体" w:eastAsia="宋体" w:cs="宋体"/>
          <w:b w:val="0"/>
          <w:bCs w:val="0"/>
          <w:color w:val="000000"/>
          <w:kern w:val="0"/>
          <w:sz w:val="24"/>
          <w:szCs w:val="24"/>
        </w:rPr>
        <w:t>1.1.3.10</w:t>
      </w:r>
      <w:r>
        <w:rPr>
          <w:rFonts w:hint="eastAsia" w:ascii="宋体" w:hAnsi="宋体" w:eastAsia="宋体" w:cs="宋体"/>
          <w:color w:val="000000"/>
          <w:kern w:val="0"/>
          <w:sz w:val="24"/>
          <w:szCs w:val="24"/>
        </w:rPr>
        <w:t>临时占地包括：</w:t>
      </w:r>
      <w:r>
        <w:rPr>
          <w:rStyle w:val="20"/>
          <w:rFonts w:hint="eastAsia" w:ascii="宋体" w:hAnsi="宋体" w:eastAsia="宋体" w:cs="宋体"/>
          <w:sz w:val="24"/>
          <w:szCs w:val="24"/>
          <w:u w:val="single" w:color="000000"/>
        </w:rPr>
        <w:t>承包人项目部临时占用的区域，双方在履行合同的过程中根据需要确定</w:t>
      </w:r>
      <w:r>
        <w:rPr>
          <w:rFonts w:hint="eastAsia" w:ascii="宋体" w:hAnsi="宋体" w:eastAsia="宋体" w:cs="宋体"/>
          <w:color w:val="000000"/>
          <w:kern w:val="0"/>
          <w:sz w:val="24"/>
          <w:szCs w:val="24"/>
        </w:rPr>
        <w:t>。</w:t>
      </w:r>
    </w:p>
    <w:p w14:paraId="0A12E9E1">
      <w:pPr>
        <w:ind w:firstLine="482" w:firstLineChars="200"/>
        <w:contextualSpacing/>
        <w:jc w:val="left"/>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1.1.4.4条款修改为：</w:t>
      </w:r>
    </w:p>
    <w:p w14:paraId="1A38CC4E">
      <w:pPr>
        <w:ind w:firstLine="480" w:firstLineChars="200"/>
        <w:contextualSpacing/>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缺陷责任期：是指承包人按照合同约定承担缺陷修复义务的期限，自工程实际竣工日期起计算。</w:t>
      </w:r>
    </w:p>
    <w:p w14:paraId="41E3256E">
      <w:pPr>
        <w:ind w:firstLine="482" w:firstLineChars="200"/>
        <w:contextualSpacing/>
        <w:jc w:val="left"/>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1.1.5.7条款修改为：</w:t>
      </w:r>
    </w:p>
    <w:p w14:paraId="7323B1E6">
      <w:pPr>
        <w:ind w:firstLine="480" w:firstLineChars="200"/>
        <w:contextualSpacing/>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质量保证金：是指按照第15.3款〔质量保证金〕约定承包人用于保证其在缺陷责任期和保修期内履行缺陷修补和保修义务的担保。</w:t>
      </w:r>
    </w:p>
    <w:p w14:paraId="3A1E4DCF">
      <w:pPr>
        <w:ind w:firstLine="482" w:firstLineChars="200"/>
        <w:contextualSpacing/>
        <w:rPr>
          <w:rFonts w:hint="eastAsia" w:ascii="宋体" w:hAnsi="宋体" w:eastAsia="宋体" w:cs="宋体"/>
          <w:b/>
          <w:color w:val="000000"/>
          <w:sz w:val="24"/>
          <w:szCs w:val="24"/>
        </w:rPr>
      </w:pPr>
      <w:r>
        <w:rPr>
          <w:rFonts w:hint="eastAsia" w:ascii="宋体" w:hAnsi="宋体" w:eastAsia="宋体" w:cs="宋体"/>
          <w:b/>
          <w:color w:val="000000"/>
          <w:sz w:val="24"/>
          <w:szCs w:val="24"/>
        </w:rPr>
        <w:t>1.3法律</w:t>
      </w:r>
    </w:p>
    <w:p w14:paraId="39F53441">
      <w:pPr>
        <w:autoSpaceDE w:val="0"/>
        <w:autoSpaceDN w:val="0"/>
        <w:ind w:left="0" w:leftChars="0" w:firstLine="480" w:firstLineChars="200"/>
        <w:contextualSpacing/>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rPr>
        <w:t>适用于合同的其他规范性文件：</w:t>
      </w:r>
      <w:r>
        <w:rPr>
          <w:rFonts w:hint="eastAsia" w:ascii="宋体" w:hAnsi="宋体" w:eastAsia="宋体" w:cs="宋体"/>
          <w:color w:val="000000"/>
          <w:sz w:val="24"/>
          <w:szCs w:val="24"/>
          <w:u w:val="single"/>
        </w:rPr>
        <w:t>无</w:t>
      </w:r>
      <w:r>
        <w:rPr>
          <w:rFonts w:hint="eastAsia" w:ascii="宋体" w:hAnsi="宋体" w:eastAsia="宋体" w:cs="宋体"/>
          <w:color w:val="000000"/>
          <w:sz w:val="24"/>
          <w:szCs w:val="24"/>
        </w:rPr>
        <w:t>。本合同不适用中国港澳台地区的法律法规。</w:t>
      </w:r>
    </w:p>
    <w:p w14:paraId="2F848061">
      <w:pPr>
        <w:ind w:firstLine="482" w:firstLineChars="200"/>
        <w:contextualSpacing/>
        <w:rPr>
          <w:rFonts w:hint="eastAsia" w:ascii="宋体" w:hAnsi="宋体" w:eastAsia="宋体" w:cs="宋体"/>
          <w:b/>
          <w:color w:val="000000"/>
          <w:sz w:val="24"/>
          <w:szCs w:val="24"/>
        </w:rPr>
      </w:pPr>
      <w:r>
        <w:rPr>
          <w:rFonts w:hint="eastAsia" w:ascii="宋体" w:hAnsi="宋体" w:eastAsia="宋体" w:cs="宋体"/>
          <w:b/>
          <w:color w:val="000000"/>
          <w:sz w:val="24"/>
          <w:szCs w:val="24"/>
        </w:rPr>
        <w:t>1.4 标准和规范</w:t>
      </w:r>
    </w:p>
    <w:p w14:paraId="7BF88D34">
      <w:pPr>
        <w:ind w:left="0" w:leftChars="0" w:firstLine="480" w:firstLineChars="200"/>
        <w:contextualSpacing/>
        <w:rPr>
          <w:rFonts w:hint="eastAsia" w:ascii="宋体" w:hAnsi="宋体" w:eastAsia="宋体" w:cs="宋体"/>
          <w:color w:val="000000"/>
          <w:sz w:val="24"/>
          <w:szCs w:val="24"/>
        </w:rPr>
      </w:pPr>
      <w:r>
        <w:rPr>
          <w:rFonts w:hint="eastAsia" w:ascii="宋体" w:hAnsi="宋体" w:eastAsia="宋体" w:cs="宋体"/>
          <w:color w:val="000000"/>
          <w:sz w:val="24"/>
          <w:szCs w:val="24"/>
        </w:rPr>
        <w:t>1.4.1适用于工程的标准规范包括：</w:t>
      </w:r>
      <w:r>
        <w:rPr>
          <w:rStyle w:val="20"/>
          <w:rFonts w:hint="eastAsia" w:ascii="宋体" w:hAnsi="宋体" w:eastAsia="宋体" w:cs="宋体"/>
          <w:sz w:val="24"/>
          <w:szCs w:val="24"/>
          <w:u w:val="single" w:color="000000"/>
        </w:rPr>
        <w:t>按本工程《施工招标文件》第七章技术标准和要求</w:t>
      </w:r>
      <w:r>
        <w:rPr>
          <w:rFonts w:hint="eastAsia" w:ascii="宋体" w:hAnsi="宋体" w:eastAsia="宋体" w:cs="宋体"/>
          <w:color w:val="000000"/>
          <w:sz w:val="24"/>
          <w:szCs w:val="24"/>
        </w:rPr>
        <w:t>；</w:t>
      </w:r>
    </w:p>
    <w:p w14:paraId="0B9C48D2">
      <w:pPr>
        <w:ind w:firstLine="480" w:firstLineChars="200"/>
        <w:contextualSpacing/>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1.4.2 发包人提供国外标准、规范的名称：</w:t>
      </w:r>
      <w:r>
        <w:rPr>
          <w:rFonts w:hint="eastAsia" w:ascii="宋体" w:hAnsi="宋体" w:eastAsia="宋体" w:cs="宋体"/>
          <w:color w:val="000000"/>
          <w:sz w:val="24"/>
          <w:szCs w:val="24"/>
          <w:u w:val="single"/>
        </w:rPr>
        <w:t>/</w:t>
      </w:r>
      <w:r>
        <w:rPr>
          <w:rFonts w:hint="eastAsia" w:ascii="宋体" w:hAnsi="宋体" w:eastAsia="宋体" w:cs="宋体"/>
          <w:color w:val="000000"/>
          <w:kern w:val="0"/>
          <w:sz w:val="24"/>
          <w:szCs w:val="24"/>
        </w:rPr>
        <w:t>；</w:t>
      </w:r>
    </w:p>
    <w:p w14:paraId="301B480B">
      <w:pPr>
        <w:ind w:firstLine="480" w:firstLineChars="200"/>
        <w:contextualSpacing/>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发包人提供国外标准、规范的份数：</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rPr>
        <w:t>；</w:t>
      </w:r>
    </w:p>
    <w:p w14:paraId="24FB2702">
      <w:pPr>
        <w:ind w:left="0" w:leftChars="0" w:firstLine="480" w:firstLineChars="200"/>
        <w:contextualSpacing/>
        <w:rPr>
          <w:rFonts w:hint="eastAsia" w:ascii="宋体" w:hAnsi="宋体" w:eastAsia="宋体" w:cs="宋体"/>
          <w:color w:val="000000"/>
          <w:sz w:val="24"/>
          <w:szCs w:val="24"/>
        </w:rPr>
      </w:pPr>
      <w:r>
        <w:rPr>
          <w:rFonts w:hint="eastAsia" w:ascii="宋体" w:hAnsi="宋体" w:eastAsia="宋体" w:cs="宋体"/>
          <w:color w:val="000000"/>
          <w:kern w:val="0"/>
          <w:sz w:val="24"/>
          <w:szCs w:val="24"/>
        </w:rPr>
        <w:t>发包人提供国外标准、规范的名称：</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5CCF719F">
      <w:pPr>
        <w:ind w:firstLine="480" w:firstLineChars="200"/>
        <w:contextualSpacing/>
        <w:rPr>
          <w:rFonts w:hint="eastAsia" w:ascii="宋体" w:hAnsi="宋体" w:eastAsia="宋体" w:cs="宋体"/>
          <w:color w:val="000000"/>
          <w:sz w:val="24"/>
          <w:szCs w:val="24"/>
        </w:rPr>
      </w:pPr>
      <w:r>
        <w:rPr>
          <w:rFonts w:hint="eastAsia" w:ascii="宋体" w:hAnsi="宋体" w:eastAsia="宋体" w:cs="宋体"/>
          <w:color w:val="000000"/>
          <w:sz w:val="24"/>
          <w:szCs w:val="24"/>
        </w:rPr>
        <w:t>1.4.3发包人对工程的技术标准和功能要求的特殊要求：</w:t>
      </w:r>
      <w:r>
        <w:rPr>
          <w:rFonts w:hint="eastAsia" w:ascii="宋体" w:hAnsi="宋体" w:eastAsia="宋体" w:cs="宋体"/>
          <w:kern w:val="0"/>
          <w:sz w:val="24"/>
          <w:szCs w:val="24"/>
          <w:u w:val="single"/>
        </w:rPr>
        <w:t>严格按施工图进行施工，按照设计文件和有关技术标准、规范和合同规定施工，验收达到国家、地方和行业合格标准。</w:t>
      </w:r>
    </w:p>
    <w:p w14:paraId="40F182F8">
      <w:pPr>
        <w:ind w:firstLine="482" w:firstLineChars="200"/>
        <w:contextualSpacing/>
        <w:rPr>
          <w:rFonts w:hint="eastAsia" w:ascii="宋体" w:hAnsi="宋体" w:eastAsia="宋体" w:cs="宋体"/>
          <w:b/>
          <w:color w:val="000000"/>
          <w:sz w:val="24"/>
          <w:szCs w:val="24"/>
        </w:rPr>
      </w:pPr>
      <w:r>
        <w:rPr>
          <w:rFonts w:hint="eastAsia" w:ascii="宋体" w:hAnsi="宋体" w:eastAsia="宋体" w:cs="宋体"/>
          <w:b/>
          <w:color w:val="000000"/>
          <w:sz w:val="24"/>
          <w:szCs w:val="24"/>
        </w:rPr>
        <w:t>1.5 合同文件的优先顺序</w:t>
      </w:r>
    </w:p>
    <w:p w14:paraId="2F18584A">
      <w:pPr>
        <w:ind w:firstLine="482" w:firstLineChars="200"/>
        <w:contextualSpacing/>
        <w:jc w:val="left"/>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合同文件组成及优先顺序修改为：</w:t>
      </w:r>
    </w:p>
    <w:p w14:paraId="2CBE6D4F">
      <w:pPr>
        <w:autoSpaceDE w:val="0"/>
        <w:autoSpaceDN w:val="0"/>
        <w:ind w:firstLine="480" w:firstLineChars="200"/>
        <w:contextualSpacing/>
        <w:jc w:val="left"/>
        <w:rPr>
          <w:rFonts w:hint="eastAsia" w:ascii="宋体" w:hAnsi="宋体" w:eastAsia="宋体" w:cs="宋体"/>
          <w:bCs/>
          <w:color w:val="000000"/>
          <w:sz w:val="24"/>
          <w:szCs w:val="24"/>
        </w:rPr>
      </w:pPr>
      <w:r>
        <w:rPr>
          <w:rFonts w:hint="eastAsia" w:ascii="宋体" w:hAnsi="宋体" w:eastAsia="宋体" w:cs="宋体"/>
          <w:bCs/>
          <w:color w:val="000000"/>
          <w:sz w:val="24"/>
          <w:szCs w:val="24"/>
        </w:rPr>
        <w:t>（1）合同补充协议（若有）；</w:t>
      </w:r>
    </w:p>
    <w:p w14:paraId="24DF1F93">
      <w:pPr>
        <w:autoSpaceDE w:val="0"/>
        <w:autoSpaceDN w:val="0"/>
        <w:ind w:firstLine="480" w:firstLineChars="200"/>
        <w:contextualSpacing/>
        <w:jc w:val="left"/>
        <w:rPr>
          <w:rFonts w:hint="eastAsia" w:ascii="宋体" w:hAnsi="宋体" w:eastAsia="宋体" w:cs="宋体"/>
          <w:bCs/>
          <w:color w:val="000000"/>
          <w:sz w:val="24"/>
          <w:szCs w:val="24"/>
        </w:rPr>
      </w:pPr>
      <w:r>
        <w:rPr>
          <w:rFonts w:hint="eastAsia" w:ascii="宋体" w:hAnsi="宋体" w:eastAsia="宋体" w:cs="宋体"/>
          <w:bCs/>
          <w:color w:val="000000"/>
          <w:sz w:val="24"/>
          <w:szCs w:val="24"/>
        </w:rPr>
        <w:t>（2）本合同协议书；</w:t>
      </w:r>
    </w:p>
    <w:p w14:paraId="1EEEF6C4">
      <w:pPr>
        <w:autoSpaceDE w:val="0"/>
        <w:autoSpaceDN w:val="0"/>
        <w:ind w:firstLine="480" w:firstLineChars="200"/>
        <w:contextualSpacing/>
        <w:jc w:val="left"/>
        <w:rPr>
          <w:rFonts w:hint="eastAsia" w:ascii="宋体" w:hAnsi="宋体" w:eastAsia="宋体" w:cs="宋体"/>
          <w:bCs/>
          <w:color w:val="000000"/>
          <w:sz w:val="24"/>
          <w:szCs w:val="24"/>
        </w:rPr>
      </w:pPr>
      <w:r>
        <w:rPr>
          <w:rFonts w:hint="eastAsia" w:ascii="宋体" w:hAnsi="宋体" w:eastAsia="宋体" w:cs="宋体"/>
          <w:bCs/>
          <w:color w:val="000000"/>
          <w:sz w:val="24"/>
          <w:szCs w:val="24"/>
        </w:rPr>
        <w:t>（3）专用合同条款；</w:t>
      </w:r>
    </w:p>
    <w:p w14:paraId="0A11D4E5">
      <w:pPr>
        <w:autoSpaceDE w:val="0"/>
        <w:autoSpaceDN w:val="0"/>
        <w:ind w:firstLine="480" w:firstLineChars="200"/>
        <w:contextualSpacing/>
        <w:jc w:val="left"/>
        <w:rPr>
          <w:rFonts w:hint="eastAsia" w:ascii="宋体" w:hAnsi="宋体" w:eastAsia="宋体" w:cs="宋体"/>
          <w:bCs/>
          <w:color w:val="000000"/>
          <w:sz w:val="24"/>
          <w:szCs w:val="24"/>
        </w:rPr>
      </w:pPr>
      <w:r>
        <w:rPr>
          <w:rFonts w:hint="eastAsia" w:ascii="宋体" w:hAnsi="宋体" w:eastAsia="宋体" w:cs="宋体"/>
          <w:bCs/>
          <w:color w:val="000000"/>
          <w:sz w:val="24"/>
          <w:szCs w:val="24"/>
        </w:rPr>
        <w:t>（4）通用合同条款；</w:t>
      </w:r>
    </w:p>
    <w:p w14:paraId="3F14FC2C">
      <w:pPr>
        <w:autoSpaceDE w:val="0"/>
        <w:autoSpaceDN w:val="0"/>
        <w:ind w:firstLine="480" w:firstLineChars="200"/>
        <w:contextualSpacing/>
        <w:jc w:val="left"/>
        <w:rPr>
          <w:rFonts w:hint="eastAsia" w:ascii="宋体" w:hAnsi="宋体" w:eastAsia="宋体" w:cs="宋体"/>
          <w:bCs/>
          <w:color w:val="000000"/>
          <w:sz w:val="24"/>
          <w:szCs w:val="24"/>
        </w:rPr>
      </w:pPr>
      <w:r>
        <w:rPr>
          <w:rFonts w:hint="eastAsia" w:ascii="宋体" w:hAnsi="宋体" w:eastAsia="宋体" w:cs="宋体"/>
          <w:bCs/>
          <w:color w:val="000000"/>
          <w:sz w:val="24"/>
          <w:szCs w:val="24"/>
        </w:rPr>
        <w:t>（5）技术标准和要求；</w:t>
      </w:r>
    </w:p>
    <w:p w14:paraId="0E26F21F">
      <w:pPr>
        <w:autoSpaceDE w:val="0"/>
        <w:autoSpaceDN w:val="0"/>
        <w:ind w:firstLine="480" w:firstLineChars="200"/>
        <w:contextualSpacing/>
        <w:jc w:val="left"/>
        <w:rPr>
          <w:rFonts w:hint="eastAsia" w:ascii="宋体" w:hAnsi="宋体" w:eastAsia="宋体" w:cs="宋体"/>
          <w:bCs/>
          <w:color w:val="000000"/>
          <w:sz w:val="24"/>
          <w:szCs w:val="24"/>
        </w:rPr>
      </w:pPr>
      <w:r>
        <w:rPr>
          <w:rFonts w:hint="eastAsia" w:ascii="宋体" w:hAnsi="宋体" w:eastAsia="宋体" w:cs="宋体"/>
          <w:bCs/>
          <w:color w:val="000000"/>
          <w:sz w:val="24"/>
          <w:szCs w:val="24"/>
        </w:rPr>
        <w:t>（6）图纸；</w:t>
      </w:r>
    </w:p>
    <w:p w14:paraId="55E90448">
      <w:pPr>
        <w:autoSpaceDE w:val="0"/>
        <w:autoSpaceDN w:val="0"/>
        <w:ind w:firstLine="480" w:firstLineChars="200"/>
        <w:contextualSpacing/>
        <w:jc w:val="left"/>
        <w:rPr>
          <w:rFonts w:hint="eastAsia" w:ascii="宋体" w:hAnsi="宋体" w:eastAsia="宋体" w:cs="宋体"/>
          <w:bCs/>
          <w:color w:val="000000"/>
          <w:sz w:val="24"/>
          <w:szCs w:val="24"/>
        </w:rPr>
      </w:pPr>
      <w:r>
        <w:rPr>
          <w:rFonts w:hint="eastAsia" w:ascii="宋体" w:hAnsi="宋体" w:eastAsia="宋体" w:cs="宋体"/>
          <w:bCs/>
          <w:color w:val="000000"/>
          <w:sz w:val="24"/>
          <w:szCs w:val="24"/>
        </w:rPr>
        <w:t>（7）已标价的工程量清单或预算书；</w:t>
      </w:r>
    </w:p>
    <w:p w14:paraId="77047283">
      <w:pPr>
        <w:autoSpaceDE w:val="0"/>
        <w:autoSpaceDN w:val="0"/>
        <w:ind w:firstLine="480" w:firstLineChars="200"/>
        <w:contextualSpacing/>
        <w:jc w:val="left"/>
        <w:rPr>
          <w:rFonts w:hint="eastAsia" w:ascii="宋体" w:hAnsi="宋体" w:eastAsia="宋体" w:cs="宋体"/>
          <w:bCs/>
          <w:color w:val="000000"/>
          <w:sz w:val="24"/>
          <w:szCs w:val="24"/>
        </w:rPr>
      </w:pPr>
      <w:r>
        <w:rPr>
          <w:rFonts w:hint="eastAsia" w:ascii="宋体" w:hAnsi="宋体" w:eastAsia="宋体" w:cs="宋体"/>
          <w:bCs/>
          <w:color w:val="000000"/>
          <w:sz w:val="24"/>
          <w:szCs w:val="24"/>
        </w:rPr>
        <w:t>（8）招标文件及澄清补充文件及其他补充资料；</w:t>
      </w:r>
    </w:p>
    <w:p w14:paraId="6292D520">
      <w:pPr>
        <w:autoSpaceDE w:val="0"/>
        <w:autoSpaceDN w:val="0"/>
        <w:ind w:firstLine="480" w:firstLineChars="200"/>
        <w:contextualSpacing/>
        <w:jc w:val="left"/>
        <w:rPr>
          <w:rFonts w:hint="eastAsia" w:ascii="宋体" w:hAnsi="宋体" w:eastAsia="宋体" w:cs="宋体"/>
          <w:bCs/>
          <w:color w:val="000000"/>
          <w:sz w:val="24"/>
          <w:szCs w:val="24"/>
        </w:rPr>
      </w:pPr>
      <w:r>
        <w:rPr>
          <w:rFonts w:hint="eastAsia" w:ascii="宋体" w:hAnsi="宋体" w:eastAsia="宋体" w:cs="宋体"/>
          <w:bCs/>
          <w:color w:val="000000"/>
          <w:sz w:val="24"/>
          <w:szCs w:val="24"/>
        </w:rPr>
        <w:t>（9）投标文件及澄清补充文件及其他补充资料；</w:t>
      </w:r>
    </w:p>
    <w:p w14:paraId="1AFF1364">
      <w:pPr>
        <w:autoSpaceDE w:val="0"/>
        <w:autoSpaceDN w:val="0"/>
        <w:ind w:firstLine="480" w:firstLineChars="200"/>
        <w:contextualSpacing/>
        <w:jc w:val="left"/>
        <w:rPr>
          <w:rFonts w:hint="eastAsia" w:ascii="宋体" w:hAnsi="宋体" w:eastAsia="宋体" w:cs="宋体"/>
          <w:bCs/>
          <w:color w:val="000000"/>
          <w:sz w:val="24"/>
          <w:szCs w:val="24"/>
        </w:rPr>
      </w:pPr>
      <w:r>
        <w:rPr>
          <w:rFonts w:hint="eastAsia" w:ascii="宋体" w:hAnsi="宋体" w:eastAsia="宋体" w:cs="宋体"/>
          <w:bCs/>
          <w:color w:val="000000"/>
          <w:sz w:val="24"/>
          <w:szCs w:val="24"/>
        </w:rPr>
        <w:t>（11）其他合同文件。</w:t>
      </w:r>
    </w:p>
    <w:p w14:paraId="6C113F64">
      <w:pPr>
        <w:ind w:firstLine="482" w:firstLineChars="200"/>
        <w:contextualSpacing/>
        <w:rPr>
          <w:rFonts w:hint="eastAsia" w:ascii="宋体" w:hAnsi="宋体" w:eastAsia="宋体" w:cs="宋体"/>
          <w:b/>
          <w:color w:val="000000"/>
          <w:sz w:val="24"/>
          <w:szCs w:val="24"/>
        </w:rPr>
      </w:pPr>
      <w:r>
        <w:rPr>
          <w:rFonts w:hint="eastAsia" w:ascii="宋体" w:hAnsi="宋体" w:eastAsia="宋体" w:cs="宋体"/>
          <w:b/>
          <w:color w:val="000000"/>
          <w:sz w:val="24"/>
          <w:szCs w:val="24"/>
        </w:rPr>
        <w:t>1.6 图纸和承包人文件</w:t>
      </w:r>
      <w:r>
        <w:rPr>
          <w:rFonts w:hint="eastAsia" w:ascii="宋体" w:hAnsi="宋体" w:eastAsia="宋体" w:cs="宋体"/>
          <w:b/>
          <w:color w:val="000000"/>
          <w:sz w:val="24"/>
          <w:szCs w:val="24"/>
        </w:rPr>
        <w:tab/>
      </w:r>
    </w:p>
    <w:p w14:paraId="1CC14C9F">
      <w:pPr>
        <w:ind w:firstLine="480" w:firstLineChars="200"/>
        <w:contextualSpacing/>
        <w:rPr>
          <w:rFonts w:hint="eastAsia" w:ascii="宋体" w:hAnsi="宋体" w:eastAsia="宋体" w:cs="宋体"/>
          <w:color w:val="000000"/>
          <w:sz w:val="24"/>
          <w:szCs w:val="24"/>
        </w:rPr>
      </w:pPr>
      <w:r>
        <w:rPr>
          <w:rFonts w:hint="eastAsia" w:ascii="宋体" w:hAnsi="宋体" w:eastAsia="宋体" w:cs="宋体"/>
          <w:color w:val="000000"/>
          <w:sz w:val="24"/>
          <w:szCs w:val="24"/>
        </w:rPr>
        <w:t>1.6.1 图纸的提供</w:t>
      </w:r>
    </w:p>
    <w:p w14:paraId="3F379ECD">
      <w:pPr>
        <w:ind w:firstLine="480" w:firstLineChars="200"/>
        <w:contextualSpacing/>
        <w:rPr>
          <w:rFonts w:hint="eastAsia" w:ascii="宋体" w:hAnsi="宋体" w:eastAsia="宋体" w:cs="宋体"/>
          <w:color w:val="000000"/>
          <w:sz w:val="24"/>
          <w:szCs w:val="24"/>
        </w:rPr>
      </w:pPr>
      <w:r>
        <w:rPr>
          <w:rFonts w:hint="eastAsia" w:ascii="宋体" w:hAnsi="宋体" w:eastAsia="宋体" w:cs="宋体"/>
          <w:color w:val="000000"/>
          <w:sz w:val="24"/>
          <w:szCs w:val="24"/>
        </w:rPr>
        <w:t>发包人向承包人提供图纸的期限：</w:t>
      </w:r>
      <w:r>
        <w:rPr>
          <w:rFonts w:hint="eastAsia" w:ascii="宋体" w:hAnsi="宋体" w:eastAsia="宋体" w:cs="宋体"/>
          <w:sz w:val="24"/>
          <w:szCs w:val="24"/>
          <w:u w:val="single"/>
        </w:rPr>
        <w:t>在开工前向承包人提供</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rPr>
        <w:t>；</w:t>
      </w:r>
    </w:p>
    <w:p w14:paraId="0E6AAC61">
      <w:pPr>
        <w:ind w:firstLine="480" w:firstLineChars="200"/>
        <w:contextualSpacing/>
        <w:rPr>
          <w:rFonts w:hint="eastAsia" w:ascii="宋体" w:hAnsi="宋体" w:eastAsia="宋体" w:cs="宋体"/>
          <w:color w:val="000000"/>
          <w:sz w:val="24"/>
          <w:szCs w:val="24"/>
        </w:rPr>
      </w:pPr>
      <w:r>
        <w:rPr>
          <w:rFonts w:hint="eastAsia" w:ascii="宋体" w:hAnsi="宋体" w:eastAsia="宋体" w:cs="宋体"/>
          <w:color w:val="000000"/>
          <w:sz w:val="24"/>
          <w:szCs w:val="24"/>
        </w:rPr>
        <w:t>发包人向承包人提供图纸的数量：</w:t>
      </w:r>
      <w:r>
        <w:rPr>
          <w:rFonts w:hint="eastAsia" w:ascii="宋体" w:hAnsi="宋体" w:eastAsia="宋体" w:cs="宋体"/>
          <w:color w:val="000000"/>
          <w:sz w:val="24"/>
          <w:szCs w:val="24"/>
          <w:u w:val="single"/>
        </w:rPr>
        <w:t></w:t>
      </w:r>
      <w:r>
        <w:rPr>
          <w:rFonts w:hint="eastAsia" w:ascii="宋体" w:hAnsi="宋体" w:eastAsia="宋体" w:cs="宋体"/>
          <w:sz w:val="24"/>
          <w:szCs w:val="24"/>
          <w:u w:val="single"/>
        </w:rPr>
        <w:t>4 套</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rPr>
        <w:t>；</w:t>
      </w:r>
    </w:p>
    <w:p w14:paraId="7A81F2C5">
      <w:pPr>
        <w:ind w:firstLine="480" w:firstLineChars="200"/>
        <w:contextualSpacing/>
        <w:rPr>
          <w:rFonts w:hint="eastAsia" w:ascii="宋体" w:hAnsi="宋体" w:eastAsia="宋体" w:cs="宋体"/>
          <w:color w:val="000000"/>
          <w:sz w:val="24"/>
          <w:szCs w:val="24"/>
        </w:rPr>
      </w:pPr>
      <w:r>
        <w:rPr>
          <w:rFonts w:hint="eastAsia" w:ascii="宋体" w:hAnsi="宋体" w:eastAsia="宋体" w:cs="宋体"/>
          <w:color w:val="000000"/>
          <w:sz w:val="24"/>
          <w:szCs w:val="24"/>
        </w:rPr>
        <w:t>发包人向承包人提供图纸的内容：</w:t>
      </w:r>
      <w:r>
        <w:rPr>
          <w:rFonts w:hint="eastAsia" w:ascii="宋体" w:hAnsi="宋体" w:eastAsia="宋体" w:cs="宋体"/>
          <w:sz w:val="24"/>
          <w:szCs w:val="24"/>
          <w:u w:val="single"/>
        </w:rPr>
        <w:t>整套施工图</w:t>
      </w:r>
      <w:r>
        <w:rPr>
          <w:rFonts w:hint="eastAsia" w:ascii="宋体" w:hAnsi="宋体" w:eastAsia="宋体" w:cs="宋体"/>
          <w:color w:val="000000"/>
          <w:sz w:val="24"/>
          <w:szCs w:val="24"/>
        </w:rPr>
        <w:t>。</w:t>
      </w:r>
    </w:p>
    <w:p w14:paraId="2FF24836">
      <w:pPr>
        <w:ind w:firstLine="480" w:firstLineChars="200"/>
        <w:contextualSpacing/>
        <w:rPr>
          <w:rFonts w:hint="eastAsia" w:ascii="宋体" w:hAnsi="宋体" w:eastAsia="宋体" w:cs="宋体"/>
          <w:color w:val="000000"/>
          <w:sz w:val="24"/>
          <w:szCs w:val="24"/>
        </w:rPr>
      </w:pPr>
      <w:r>
        <w:rPr>
          <w:rFonts w:hint="eastAsia" w:ascii="宋体" w:hAnsi="宋体" w:eastAsia="宋体" w:cs="宋体"/>
          <w:color w:val="000000"/>
          <w:sz w:val="24"/>
          <w:szCs w:val="24"/>
        </w:rPr>
        <w:t>1.6.4 承包人文件</w:t>
      </w:r>
    </w:p>
    <w:p w14:paraId="042D0A79">
      <w:pPr>
        <w:ind w:firstLine="480" w:firstLineChars="200"/>
        <w:contextualSpacing/>
        <w:jc w:val="left"/>
        <w:rPr>
          <w:rFonts w:hint="eastAsia" w:ascii="宋体" w:hAnsi="宋体" w:eastAsia="宋体" w:cs="宋体"/>
          <w:color w:val="000000"/>
          <w:sz w:val="24"/>
          <w:szCs w:val="24"/>
        </w:rPr>
      </w:pPr>
      <w:r>
        <w:rPr>
          <w:rFonts w:hint="eastAsia" w:ascii="宋体" w:hAnsi="宋体" w:eastAsia="宋体" w:cs="宋体"/>
          <w:color w:val="000000"/>
          <w:sz w:val="24"/>
          <w:szCs w:val="24"/>
        </w:rPr>
        <w:t>需要由承包人提供的文件，包括：</w:t>
      </w:r>
      <w:r>
        <w:rPr>
          <w:rFonts w:hint="eastAsia" w:ascii="宋体" w:hAnsi="宋体" w:eastAsia="宋体" w:cs="宋体"/>
          <w:sz w:val="24"/>
          <w:szCs w:val="24"/>
          <w:u w:val="single"/>
        </w:rPr>
        <w:t>施工组织设计、专项施工方案、施工总进度计划、用于报建的现场施工管理人员的相关证件等</w:t>
      </w:r>
      <w:r>
        <w:rPr>
          <w:rFonts w:hint="eastAsia" w:ascii="宋体" w:hAnsi="宋体" w:eastAsia="宋体" w:cs="宋体"/>
          <w:color w:val="000000"/>
          <w:sz w:val="24"/>
          <w:szCs w:val="24"/>
        </w:rPr>
        <w:t xml:space="preserve"> ；</w:t>
      </w:r>
    </w:p>
    <w:p w14:paraId="17B207B5">
      <w:pPr>
        <w:ind w:firstLine="480" w:firstLineChars="200"/>
        <w:contextualSpacing/>
        <w:rPr>
          <w:rFonts w:hint="eastAsia" w:ascii="宋体" w:hAnsi="宋体" w:eastAsia="宋体" w:cs="宋体"/>
          <w:sz w:val="24"/>
          <w:szCs w:val="24"/>
        </w:rPr>
      </w:pPr>
      <w:r>
        <w:rPr>
          <w:rFonts w:hint="eastAsia" w:ascii="宋体" w:hAnsi="宋体" w:eastAsia="宋体" w:cs="宋体"/>
          <w:color w:val="000000"/>
          <w:sz w:val="24"/>
          <w:szCs w:val="24"/>
        </w:rPr>
        <w:t>承包人提供的文件的期限为：</w:t>
      </w:r>
      <w:r>
        <w:rPr>
          <w:rStyle w:val="21"/>
          <w:rFonts w:hint="eastAsia" w:ascii="宋体" w:hAnsi="宋体" w:eastAsia="宋体" w:cs="宋体"/>
          <w:sz w:val="24"/>
          <w:szCs w:val="24"/>
          <w:u w:val="single" w:color="000000"/>
        </w:rPr>
        <w:t>领取中标通知书后14天内向监理人提供，并由监理人报送发包人</w:t>
      </w:r>
      <w:r>
        <w:rPr>
          <w:rFonts w:hint="eastAsia" w:ascii="宋体" w:hAnsi="宋体" w:eastAsia="宋体" w:cs="宋体"/>
          <w:color w:val="000000"/>
          <w:sz w:val="24"/>
          <w:szCs w:val="24"/>
        </w:rPr>
        <w:t>；</w:t>
      </w:r>
    </w:p>
    <w:p w14:paraId="63A913D1">
      <w:pPr>
        <w:ind w:firstLine="480" w:firstLineChars="200"/>
        <w:contextualSpacing/>
        <w:rPr>
          <w:rFonts w:hint="eastAsia" w:ascii="宋体" w:hAnsi="宋体" w:eastAsia="宋体" w:cs="宋体"/>
          <w:sz w:val="24"/>
          <w:szCs w:val="24"/>
        </w:rPr>
      </w:pPr>
      <w:r>
        <w:rPr>
          <w:rFonts w:hint="eastAsia" w:ascii="宋体" w:hAnsi="宋体" w:eastAsia="宋体" w:cs="宋体"/>
          <w:color w:val="000000"/>
          <w:sz w:val="24"/>
          <w:szCs w:val="24"/>
        </w:rPr>
        <w:t>承包人提供的文件的数量为：</w:t>
      </w:r>
      <w:r>
        <w:rPr>
          <w:rStyle w:val="21"/>
          <w:rFonts w:hint="eastAsia" w:ascii="宋体" w:hAnsi="宋体" w:eastAsia="宋体" w:cs="宋体"/>
          <w:sz w:val="24"/>
          <w:szCs w:val="24"/>
          <w:u w:val="single" w:color="000000"/>
        </w:rPr>
        <w:t>各一式三份</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rPr>
        <w:t>；</w:t>
      </w:r>
    </w:p>
    <w:p w14:paraId="14BF64AC">
      <w:pPr>
        <w:ind w:firstLine="480" w:firstLineChars="200"/>
        <w:contextualSpacing/>
        <w:rPr>
          <w:rFonts w:hint="eastAsia" w:ascii="宋体" w:hAnsi="宋体" w:eastAsia="宋体" w:cs="宋体"/>
          <w:sz w:val="24"/>
          <w:szCs w:val="24"/>
        </w:rPr>
      </w:pPr>
      <w:r>
        <w:rPr>
          <w:rFonts w:hint="eastAsia" w:ascii="宋体" w:hAnsi="宋体" w:eastAsia="宋体" w:cs="宋体"/>
          <w:color w:val="000000"/>
          <w:sz w:val="24"/>
          <w:szCs w:val="24"/>
        </w:rPr>
        <w:t>承包人提供的文件的形式为：</w:t>
      </w:r>
      <w:r>
        <w:rPr>
          <w:rStyle w:val="21"/>
          <w:rFonts w:hint="eastAsia" w:ascii="宋体" w:hAnsi="宋体" w:eastAsia="宋体" w:cs="宋体"/>
          <w:sz w:val="24"/>
          <w:szCs w:val="24"/>
          <w:u w:val="single" w:color="000000"/>
        </w:rPr>
        <w:t>纸质文件</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rPr>
        <w:t>；</w:t>
      </w:r>
    </w:p>
    <w:p w14:paraId="4B193A71">
      <w:pPr>
        <w:ind w:firstLine="480" w:firstLineChars="200"/>
        <w:contextualSpacing/>
        <w:rPr>
          <w:rFonts w:hint="eastAsia" w:ascii="宋体" w:hAnsi="宋体" w:eastAsia="宋体" w:cs="宋体"/>
          <w:sz w:val="24"/>
          <w:szCs w:val="24"/>
        </w:rPr>
      </w:pPr>
      <w:r>
        <w:rPr>
          <w:rFonts w:hint="eastAsia" w:ascii="宋体" w:hAnsi="宋体" w:eastAsia="宋体" w:cs="宋体"/>
          <w:color w:val="000000"/>
          <w:sz w:val="24"/>
          <w:szCs w:val="24"/>
        </w:rPr>
        <w:t>发包人审批承包人文件的期限：</w:t>
      </w:r>
      <w:r>
        <w:rPr>
          <w:rStyle w:val="21"/>
          <w:rFonts w:hint="eastAsia" w:ascii="宋体" w:hAnsi="宋体" w:eastAsia="宋体" w:cs="宋体"/>
          <w:sz w:val="24"/>
          <w:szCs w:val="24"/>
          <w:u w:val="single" w:color="000000"/>
        </w:rPr>
        <w:t>监理人收到承包人文件后7天内审批完毕，并将意见提交给发包人后，发包人7天内完成审批。</w:t>
      </w:r>
    </w:p>
    <w:p w14:paraId="044AB251">
      <w:pPr>
        <w:ind w:firstLine="480" w:firstLineChars="200"/>
        <w:contextualSpacing/>
        <w:rPr>
          <w:rFonts w:hint="eastAsia" w:ascii="宋体" w:hAnsi="宋体" w:eastAsia="宋体" w:cs="宋体"/>
          <w:color w:val="000000"/>
          <w:sz w:val="24"/>
          <w:szCs w:val="24"/>
        </w:rPr>
      </w:pPr>
      <w:r>
        <w:rPr>
          <w:rFonts w:hint="eastAsia" w:ascii="宋体" w:hAnsi="宋体" w:eastAsia="宋体" w:cs="宋体"/>
          <w:color w:val="000000"/>
          <w:sz w:val="24"/>
          <w:szCs w:val="24"/>
        </w:rPr>
        <w:t>1.6.5 现场图纸准备</w:t>
      </w:r>
    </w:p>
    <w:p w14:paraId="75847AB1">
      <w:pPr>
        <w:ind w:firstLine="480" w:firstLineChars="200"/>
        <w:contextualSpacing/>
        <w:rPr>
          <w:rFonts w:hint="eastAsia" w:ascii="宋体" w:hAnsi="宋体" w:eastAsia="宋体" w:cs="宋体"/>
          <w:color w:val="000000"/>
          <w:sz w:val="24"/>
          <w:szCs w:val="24"/>
        </w:rPr>
      </w:pPr>
      <w:r>
        <w:rPr>
          <w:rFonts w:hint="eastAsia" w:ascii="宋体" w:hAnsi="宋体" w:eastAsia="宋体" w:cs="宋体"/>
          <w:color w:val="000000"/>
          <w:sz w:val="24"/>
          <w:szCs w:val="24"/>
        </w:rPr>
        <w:t>关于现场图纸准备的约定：</w:t>
      </w:r>
      <w:r>
        <w:rPr>
          <w:rFonts w:hint="eastAsia" w:ascii="宋体" w:hAnsi="宋体" w:eastAsia="宋体" w:cs="宋体"/>
          <w:color w:val="000000"/>
          <w:sz w:val="24"/>
          <w:szCs w:val="24"/>
          <w:u w:val="single"/>
        </w:rPr>
        <w:t></w:t>
      </w:r>
      <w:r>
        <w:rPr>
          <w:rFonts w:hint="eastAsia" w:ascii="宋体" w:hAnsi="宋体" w:eastAsia="宋体" w:cs="宋体"/>
          <w:sz w:val="24"/>
          <w:szCs w:val="24"/>
          <w:u w:val="single"/>
        </w:rPr>
        <w:t>无</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rPr>
        <w:t>。</w:t>
      </w:r>
    </w:p>
    <w:p w14:paraId="37B56DA0">
      <w:pPr>
        <w:ind w:firstLine="482" w:firstLineChars="200"/>
        <w:contextualSpacing/>
        <w:rPr>
          <w:rFonts w:hint="eastAsia" w:ascii="宋体" w:hAnsi="宋体" w:eastAsia="宋体" w:cs="宋体"/>
          <w:b/>
          <w:color w:val="000000"/>
          <w:sz w:val="24"/>
          <w:szCs w:val="24"/>
        </w:rPr>
      </w:pPr>
      <w:r>
        <w:rPr>
          <w:rFonts w:hint="eastAsia" w:ascii="宋体" w:hAnsi="宋体" w:eastAsia="宋体" w:cs="宋体"/>
          <w:b/>
          <w:color w:val="000000"/>
          <w:sz w:val="24"/>
          <w:szCs w:val="24"/>
        </w:rPr>
        <w:t>增加1.6.6条款：</w:t>
      </w:r>
    </w:p>
    <w:p w14:paraId="01EA5E54">
      <w:pPr>
        <w:ind w:firstLine="480" w:firstLineChars="200"/>
        <w:contextualSpacing/>
        <w:rPr>
          <w:rFonts w:hint="eastAsia" w:ascii="宋体" w:hAnsi="宋体" w:eastAsia="宋体" w:cs="宋体"/>
          <w:color w:val="000000"/>
          <w:sz w:val="24"/>
          <w:szCs w:val="24"/>
        </w:rPr>
      </w:pPr>
      <w:r>
        <w:rPr>
          <w:rFonts w:hint="eastAsia" w:ascii="宋体" w:hAnsi="宋体" w:eastAsia="宋体" w:cs="宋体"/>
          <w:color w:val="000000"/>
          <w:sz w:val="24"/>
          <w:szCs w:val="24"/>
        </w:rPr>
        <w:t>1.6.6 图纸归档</w:t>
      </w:r>
    </w:p>
    <w:p w14:paraId="3853FCF9">
      <w:pPr>
        <w:ind w:firstLine="480" w:firstLineChars="200"/>
        <w:contextualSpacing/>
        <w:rPr>
          <w:rFonts w:hint="eastAsia" w:ascii="宋体" w:hAnsi="宋体" w:eastAsia="宋体" w:cs="宋体"/>
          <w:color w:val="000000"/>
          <w:sz w:val="24"/>
          <w:szCs w:val="24"/>
        </w:rPr>
      </w:pPr>
      <w:r>
        <w:rPr>
          <w:rFonts w:hint="eastAsia" w:ascii="宋体" w:hAnsi="宋体" w:eastAsia="宋体" w:cs="宋体"/>
          <w:color w:val="000000"/>
          <w:sz w:val="24"/>
          <w:szCs w:val="24"/>
        </w:rPr>
        <w:t>承包人认为合同工程具备竣工验收条件的，应按照国家或行业、省规定的工程竣工验收技术资料格式和要求，向发包人提交符合要求的完整竣工图纸资料归档。</w:t>
      </w:r>
    </w:p>
    <w:p w14:paraId="54D98B7A">
      <w:pPr>
        <w:ind w:firstLine="482" w:firstLineChars="200"/>
        <w:contextualSpacing/>
        <w:rPr>
          <w:rFonts w:hint="eastAsia" w:ascii="宋体" w:hAnsi="宋体" w:eastAsia="宋体" w:cs="宋体"/>
          <w:b/>
          <w:color w:val="000000"/>
          <w:sz w:val="24"/>
          <w:szCs w:val="24"/>
        </w:rPr>
      </w:pPr>
      <w:r>
        <w:rPr>
          <w:rFonts w:hint="eastAsia" w:ascii="宋体" w:hAnsi="宋体" w:eastAsia="宋体" w:cs="宋体"/>
          <w:b/>
          <w:color w:val="000000"/>
          <w:sz w:val="24"/>
          <w:szCs w:val="24"/>
        </w:rPr>
        <w:t>1.7 联络</w:t>
      </w:r>
    </w:p>
    <w:p w14:paraId="6EAB3D78">
      <w:pPr>
        <w:ind w:firstLine="480" w:firstLineChars="200"/>
        <w:contextualSpacing/>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1.7.1发包人和承包人应当在事件发生之日起</w:t>
      </w:r>
      <w:r>
        <w:rPr>
          <w:rFonts w:hint="eastAsia" w:ascii="宋体" w:hAnsi="宋体" w:eastAsia="宋体" w:cs="宋体"/>
          <w:color w:val="000000"/>
          <w:sz w:val="24"/>
          <w:szCs w:val="24"/>
          <w:u w:val="single"/>
        </w:rPr>
        <w:t>14</w:t>
      </w:r>
      <w:r>
        <w:rPr>
          <w:rFonts w:hint="eastAsia" w:ascii="宋体" w:hAnsi="宋体" w:eastAsia="宋体" w:cs="宋体"/>
          <w:color w:val="000000"/>
          <w:kern w:val="0"/>
          <w:sz w:val="24"/>
          <w:szCs w:val="24"/>
        </w:rPr>
        <w:t>天内将与合同有关的通知、批准、证明、证书、指示、指令、要求、请求、同意、意见、确定和决定等书面函件送达对方当事人。</w:t>
      </w:r>
    </w:p>
    <w:p w14:paraId="5C399332">
      <w:pPr>
        <w:ind w:firstLine="480" w:firstLineChars="200"/>
        <w:contextualSpacing/>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1.7.2 发包人接收文件的地点：</w:t>
      </w:r>
      <w:r>
        <w:rPr>
          <w:rFonts w:hint="eastAsia" w:ascii="宋体" w:hAnsi="宋体" w:eastAsia="宋体" w:cs="宋体"/>
          <w:color w:val="000000"/>
          <w:sz w:val="24"/>
          <w:szCs w:val="24"/>
          <w:u w:val="single"/>
        </w:rPr>
        <w:t>由发包人书面通知</w:t>
      </w:r>
      <w:r>
        <w:rPr>
          <w:rFonts w:hint="eastAsia" w:ascii="宋体" w:hAnsi="宋体" w:eastAsia="宋体" w:cs="宋体"/>
          <w:color w:val="000000"/>
          <w:kern w:val="0"/>
          <w:sz w:val="24"/>
          <w:szCs w:val="24"/>
        </w:rPr>
        <w:t>；</w:t>
      </w:r>
    </w:p>
    <w:p w14:paraId="6B50E349">
      <w:pPr>
        <w:ind w:firstLine="480" w:firstLineChars="200"/>
        <w:contextualSpacing/>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发包人指定的接收人为：</w:t>
      </w:r>
      <w:r>
        <w:rPr>
          <w:rFonts w:hint="eastAsia" w:ascii="宋体" w:hAnsi="宋体" w:eastAsia="宋体" w:cs="宋体"/>
          <w:color w:val="000000"/>
          <w:sz w:val="24"/>
          <w:szCs w:val="24"/>
          <w:u w:val="single"/>
        </w:rPr>
        <w:t>由发包人书面通知</w:t>
      </w:r>
      <w:r>
        <w:rPr>
          <w:rFonts w:hint="eastAsia" w:ascii="宋体" w:hAnsi="宋体" w:eastAsia="宋体" w:cs="宋体"/>
          <w:color w:val="000000"/>
          <w:kern w:val="0"/>
          <w:sz w:val="24"/>
          <w:szCs w:val="24"/>
        </w:rPr>
        <w:t>。</w:t>
      </w:r>
    </w:p>
    <w:p w14:paraId="74A94424">
      <w:pPr>
        <w:ind w:firstLine="480" w:firstLineChars="200"/>
        <w:contextualSpacing/>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承包人接收文件的地点：</w:t>
      </w:r>
      <w:r>
        <w:rPr>
          <w:rFonts w:hint="eastAsia" w:ascii="宋体" w:hAnsi="宋体" w:eastAsia="宋体" w:cs="宋体"/>
          <w:color w:val="000000"/>
          <w:sz w:val="24"/>
          <w:szCs w:val="24"/>
          <w:u w:val="single"/>
        </w:rPr>
        <w:t>由承包人书面通知</w:t>
      </w:r>
      <w:r>
        <w:rPr>
          <w:rFonts w:hint="eastAsia" w:ascii="宋体" w:hAnsi="宋体" w:eastAsia="宋体" w:cs="宋体"/>
          <w:color w:val="000000"/>
          <w:kern w:val="0"/>
          <w:sz w:val="24"/>
          <w:szCs w:val="24"/>
        </w:rPr>
        <w:t>；</w:t>
      </w:r>
    </w:p>
    <w:p w14:paraId="40894A9F">
      <w:pPr>
        <w:ind w:firstLine="480" w:firstLineChars="200"/>
        <w:contextualSpacing/>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承包人指定的接收人为：</w:t>
      </w:r>
      <w:r>
        <w:rPr>
          <w:rFonts w:hint="eastAsia" w:ascii="宋体" w:hAnsi="宋体" w:eastAsia="宋体" w:cs="宋体"/>
          <w:color w:val="000000"/>
          <w:sz w:val="24"/>
          <w:szCs w:val="24"/>
          <w:u w:val="single"/>
        </w:rPr>
        <w:t>由承包人书面通知</w:t>
      </w:r>
      <w:r>
        <w:rPr>
          <w:rFonts w:hint="eastAsia" w:ascii="宋体" w:hAnsi="宋体" w:eastAsia="宋体" w:cs="宋体"/>
          <w:color w:val="000000"/>
          <w:kern w:val="0"/>
          <w:sz w:val="24"/>
          <w:szCs w:val="24"/>
        </w:rPr>
        <w:t>。</w:t>
      </w:r>
    </w:p>
    <w:p w14:paraId="55F25C8F">
      <w:pPr>
        <w:ind w:firstLine="480" w:firstLineChars="200"/>
        <w:contextualSpacing/>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监理人接收文件的地点：</w:t>
      </w:r>
      <w:r>
        <w:rPr>
          <w:rFonts w:hint="eastAsia" w:ascii="宋体" w:hAnsi="宋体" w:eastAsia="宋体" w:cs="宋体"/>
          <w:sz w:val="24"/>
          <w:szCs w:val="24"/>
          <w:u w:val="single"/>
        </w:rPr>
        <w:t>监理人设在施工现场的监理办公室</w:t>
      </w:r>
      <w:r>
        <w:rPr>
          <w:rFonts w:hint="eastAsia" w:ascii="宋体" w:hAnsi="宋体" w:eastAsia="宋体" w:cs="宋体"/>
          <w:color w:val="000000"/>
          <w:kern w:val="0"/>
          <w:sz w:val="24"/>
          <w:szCs w:val="24"/>
        </w:rPr>
        <w:t>；</w:t>
      </w:r>
    </w:p>
    <w:p w14:paraId="0D1704E7">
      <w:pPr>
        <w:ind w:firstLine="480" w:firstLineChars="200"/>
        <w:contextualSpacing/>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监理人指定的接收人为：</w:t>
      </w:r>
      <w:r>
        <w:rPr>
          <w:rFonts w:hint="eastAsia" w:ascii="宋体" w:hAnsi="宋体" w:eastAsia="宋体" w:cs="宋体"/>
          <w:sz w:val="24"/>
          <w:szCs w:val="24"/>
          <w:u w:val="single"/>
        </w:rPr>
        <w:t>总监理工程师或现场监理工程师</w:t>
      </w:r>
      <w:r>
        <w:rPr>
          <w:rFonts w:hint="eastAsia" w:ascii="宋体" w:hAnsi="宋体" w:eastAsia="宋体" w:cs="宋体"/>
          <w:color w:val="000000"/>
          <w:kern w:val="0"/>
          <w:sz w:val="24"/>
          <w:szCs w:val="24"/>
        </w:rPr>
        <w:t>。</w:t>
      </w:r>
    </w:p>
    <w:p w14:paraId="33564A3F">
      <w:pPr>
        <w:ind w:firstLine="482" w:firstLineChars="200"/>
        <w:contextualSpacing/>
        <w:rPr>
          <w:rFonts w:hint="eastAsia" w:ascii="宋体" w:hAnsi="宋体" w:eastAsia="宋体" w:cs="宋体"/>
          <w:b/>
          <w:color w:val="000000"/>
          <w:sz w:val="24"/>
          <w:szCs w:val="24"/>
        </w:rPr>
      </w:pPr>
      <w:r>
        <w:rPr>
          <w:rFonts w:hint="eastAsia" w:ascii="宋体" w:hAnsi="宋体" w:eastAsia="宋体" w:cs="宋体"/>
          <w:b/>
          <w:color w:val="000000"/>
          <w:sz w:val="24"/>
          <w:szCs w:val="24"/>
        </w:rPr>
        <w:t>1.9化石、文物</w:t>
      </w:r>
    </w:p>
    <w:p w14:paraId="1BFB9ADD">
      <w:pPr>
        <w:ind w:firstLine="482" w:firstLineChars="200"/>
        <w:contextualSpacing/>
        <w:rPr>
          <w:rFonts w:hint="eastAsia" w:ascii="宋体" w:hAnsi="宋体" w:eastAsia="宋体" w:cs="宋体"/>
          <w:b/>
          <w:color w:val="000000"/>
          <w:sz w:val="24"/>
          <w:szCs w:val="24"/>
        </w:rPr>
      </w:pPr>
      <w:r>
        <w:rPr>
          <w:rFonts w:hint="eastAsia" w:ascii="宋体" w:hAnsi="宋体" w:eastAsia="宋体" w:cs="宋体"/>
          <w:b/>
          <w:color w:val="000000"/>
          <w:sz w:val="24"/>
          <w:szCs w:val="24"/>
        </w:rPr>
        <w:t>1.9条款修改为：</w:t>
      </w:r>
    </w:p>
    <w:p w14:paraId="1B78E4E7">
      <w:pPr>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1.9.1 文物、化石等物品保护</w:t>
      </w:r>
    </w:p>
    <w:p w14:paraId="56E3C8F3">
      <w:pPr>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在施工现场发现的古墓、古建筑遗址等文物、古迹以及其他具有考古、地质研究等价值的遗迹、化石、钱币或物品，属于国家所有。一旦发现上述文物，承包人应立即保护好现场，防止任何人员移动或损坏上述文物，并于</w:t>
      </w:r>
      <w:r>
        <w:rPr>
          <w:rFonts w:hint="eastAsia" w:ascii="宋体" w:hAnsi="宋体" w:eastAsia="宋体" w:cs="宋体"/>
          <w:sz w:val="24"/>
          <w:szCs w:val="24"/>
          <w:u w:val="single"/>
        </w:rPr>
        <w:t>4 小时</w:t>
      </w:r>
      <w:r>
        <w:rPr>
          <w:rFonts w:hint="eastAsia" w:ascii="宋体" w:hAnsi="宋体" w:eastAsia="宋体" w:cs="宋体"/>
          <w:sz w:val="24"/>
          <w:szCs w:val="24"/>
        </w:rPr>
        <w:t>内以书面形式通知监理人和发包人。监理人应在收到通知后立即指令承包人继续保护好现场，并在收到通知后</w:t>
      </w:r>
      <w:r>
        <w:rPr>
          <w:rFonts w:hint="eastAsia" w:ascii="宋体" w:hAnsi="宋体" w:eastAsia="宋体" w:cs="宋体"/>
          <w:sz w:val="24"/>
          <w:szCs w:val="24"/>
          <w:u w:val="single"/>
        </w:rPr>
        <w:t>24 小时</w:t>
      </w:r>
      <w:r>
        <w:rPr>
          <w:rFonts w:hint="eastAsia" w:ascii="宋体" w:hAnsi="宋体" w:eastAsia="宋体" w:cs="宋体"/>
          <w:sz w:val="24"/>
          <w:szCs w:val="24"/>
        </w:rPr>
        <w:t>内报告当地文物管理部门，合同双方当事人应按照文物管理部门的要求采取妥善保护措施。发包人应承担由此延误的工期。如发现文物后隐瞒不报或报告不及时，导致上述文物丢失或遭受破坏的，由责任方赔偿损失，并承担相应的法律责任。</w:t>
      </w:r>
    </w:p>
    <w:p w14:paraId="6AFAC8AC">
      <w:pPr>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1.9.2 地下障碍物的处置</w:t>
      </w:r>
    </w:p>
    <w:p w14:paraId="77A44B46">
      <w:pPr>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本合同已明确指出的地下障碍物，应视为承包人在投标报价时已预见其对施工的影响，并已在合同价款中考虑。本合同未有明确指出的地下障碍物，在施工过程遇到时，承包人应于</w:t>
      </w:r>
      <w:r>
        <w:rPr>
          <w:rFonts w:hint="eastAsia" w:ascii="宋体" w:hAnsi="宋体" w:eastAsia="宋体" w:cs="宋体"/>
          <w:sz w:val="24"/>
          <w:szCs w:val="24"/>
          <w:u w:val="single"/>
        </w:rPr>
        <w:t>8小时</w:t>
      </w:r>
      <w:r>
        <w:rPr>
          <w:rFonts w:hint="eastAsia" w:ascii="宋体" w:hAnsi="宋体" w:eastAsia="宋体" w:cs="宋体"/>
          <w:sz w:val="24"/>
          <w:szCs w:val="24"/>
        </w:rPr>
        <w:t>内以书面形式通知监理人和发包人，并提出处置方案。监理人在收到处置方案后</w:t>
      </w:r>
      <w:r>
        <w:rPr>
          <w:rFonts w:hint="eastAsia" w:ascii="宋体" w:hAnsi="宋体" w:eastAsia="宋体" w:cs="宋体"/>
          <w:sz w:val="24"/>
          <w:szCs w:val="24"/>
          <w:u w:val="single"/>
        </w:rPr>
        <w:t>24 小时</w:t>
      </w:r>
      <w:r>
        <w:rPr>
          <w:rFonts w:hint="eastAsia" w:ascii="宋体" w:hAnsi="宋体" w:eastAsia="宋体" w:cs="宋体"/>
          <w:sz w:val="24"/>
          <w:szCs w:val="24"/>
        </w:rPr>
        <w:t>内予以确认或提出修正方案，并发出施工指令。承包人应按照监理人指令进行施工。发包人应承担由此延误的工期。</w:t>
      </w:r>
    </w:p>
    <w:p w14:paraId="78108562">
      <w:pPr>
        <w:ind w:firstLine="482" w:firstLineChars="200"/>
        <w:contextualSpacing/>
        <w:rPr>
          <w:rFonts w:hint="eastAsia" w:ascii="宋体" w:hAnsi="宋体" w:eastAsia="宋体" w:cs="宋体"/>
          <w:b/>
          <w:color w:val="000000"/>
          <w:sz w:val="24"/>
          <w:szCs w:val="24"/>
        </w:rPr>
      </w:pPr>
      <w:r>
        <w:rPr>
          <w:rFonts w:hint="eastAsia" w:ascii="宋体" w:hAnsi="宋体" w:eastAsia="宋体" w:cs="宋体"/>
          <w:b/>
          <w:color w:val="000000"/>
          <w:sz w:val="24"/>
          <w:szCs w:val="24"/>
        </w:rPr>
        <w:t>1.10 交通运输</w:t>
      </w:r>
    </w:p>
    <w:p w14:paraId="136ABB35">
      <w:pPr>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1.10.1 出入现场的权利</w:t>
      </w:r>
    </w:p>
    <w:p w14:paraId="4C50D1E6">
      <w:pPr>
        <w:ind w:left="0" w:leftChars="0" w:firstLine="480" w:firstLineChars="200"/>
        <w:contextualSpacing/>
        <w:rPr>
          <w:rFonts w:hint="eastAsia" w:ascii="宋体" w:hAnsi="宋体" w:eastAsia="宋体" w:cs="宋体"/>
          <w:color w:val="000000"/>
          <w:sz w:val="24"/>
          <w:szCs w:val="24"/>
          <w:u w:val="single"/>
        </w:rPr>
      </w:pPr>
      <w:r>
        <w:rPr>
          <w:rFonts w:hint="eastAsia" w:ascii="宋体" w:hAnsi="宋体" w:eastAsia="宋体" w:cs="宋体"/>
          <w:sz w:val="24"/>
          <w:szCs w:val="24"/>
        </w:rPr>
        <w:t>关于出入现场的权利的约定：</w:t>
      </w:r>
      <w:r>
        <w:rPr>
          <w:rFonts w:hint="eastAsia" w:ascii="宋体" w:hAnsi="宋体" w:eastAsia="宋体" w:cs="宋体"/>
          <w:color w:val="000000"/>
          <w:sz w:val="24"/>
          <w:szCs w:val="24"/>
          <w:u w:val="single"/>
        </w:rPr>
        <w:t>按通用合同条款约定</w:t>
      </w:r>
      <w:r>
        <w:rPr>
          <w:rFonts w:hint="eastAsia" w:ascii="宋体" w:hAnsi="宋体" w:eastAsia="宋体" w:cs="宋体"/>
          <w:sz w:val="24"/>
          <w:szCs w:val="24"/>
        </w:rPr>
        <w:t>。</w:t>
      </w:r>
    </w:p>
    <w:p w14:paraId="341633C5">
      <w:pPr>
        <w:ind w:firstLine="480" w:firstLineChars="200"/>
        <w:contextualSpacing/>
        <w:jc w:val="left"/>
        <w:rPr>
          <w:rFonts w:hint="eastAsia" w:ascii="宋体" w:hAnsi="宋体" w:eastAsia="宋体" w:cs="宋体"/>
          <w:sz w:val="24"/>
          <w:szCs w:val="24"/>
        </w:rPr>
      </w:pPr>
      <w:r>
        <w:rPr>
          <w:rFonts w:hint="eastAsia" w:ascii="宋体" w:hAnsi="宋体" w:eastAsia="宋体" w:cs="宋体"/>
          <w:sz w:val="24"/>
          <w:szCs w:val="24"/>
        </w:rPr>
        <w:t>1.10.3 场内交通</w:t>
      </w:r>
    </w:p>
    <w:p w14:paraId="047EDEF8">
      <w:pPr>
        <w:ind w:firstLine="480" w:firstLineChars="200"/>
        <w:contextualSpacing/>
        <w:jc w:val="left"/>
        <w:rPr>
          <w:rFonts w:hint="eastAsia" w:ascii="宋体" w:hAnsi="宋体" w:eastAsia="宋体" w:cs="宋体"/>
          <w:sz w:val="24"/>
          <w:szCs w:val="24"/>
        </w:rPr>
      </w:pPr>
      <w:r>
        <w:rPr>
          <w:rFonts w:hint="eastAsia" w:ascii="宋体" w:hAnsi="宋体" w:eastAsia="宋体" w:cs="宋体"/>
          <w:color w:val="000000"/>
          <w:kern w:val="0"/>
          <w:sz w:val="24"/>
          <w:szCs w:val="24"/>
        </w:rPr>
        <w:t>关于场外交通和场内交通的边界的约定：</w:t>
      </w:r>
      <w:r>
        <w:rPr>
          <w:rFonts w:hint="eastAsia" w:ascii="宋体" w:hAnsi="宋体" w:eastAsia="宋体" w:cs="宋体"/>
          <w:sz w:val="24"/>
          <w:szCs w:val="24"/>
          <w:u w:val="single"/>
        </w:rPr>
        <w:t>以项目规划总平图用地红线为界</w:t>
      </w:r>
      <w:r>
        <w:rPr>
          <w:rFonts w:hint="eastAsia" w:ascii="宋体" w:hAnsi="宋体" w:eastAsia="宋体" w:cs="宋体"/>
          <w:sz w:val="24"/>
          <w:szCs w:val="24"/>
        </w:rPr>
        <w:t>。</w:t>
      </w:r>
    </w:p>
    <w:p w14:paraId="69817841">
      <w:pPr>
        <w:ind w:firstLine="480" w:firstLineChars="200"/>
        <w:contextualSpacing/>
        <w:jc w:val="left"/>
        <w:rPr>
          <w:rFonts w:hint="eastAsia" w:ascii="宋体" w:hAnsi="宋体" w:eastAsia="宋体" w:cs="宋体"/>
          <w:sz w:val="24"/>
          <w:szCs w:val="24"/>
        </w:rPr>
      </w:pPr>
      <w:r>
        <w:rPr>
          <w:rFonts w:hint="eastAsia" w:ascii="宋体" w:hAnsi="宋体" w:eastAsia="宋体" w:cs="宋体"/>
          <w:sz w:val="24"/>
          <w:szCs w:val="24"/>
        </w:rPr>
        <w:t>场内道路和交通设施的约定：</w:t>
      </w:r>
      <w:r>
        <w:rPr>
          <w:rFonts w:hint="eastAsia" w:ascii="宋体" w:hAnsi="宋体" w:eastAsia="宋体" w:cs="宋体"/>
          <w:color w:val="000000"/>
          <w:sz w:val="24"/>
          <w:szCs w:val="24"/>
          <w:u w:val="single"/>
        </w:rPr>
        <w:t>无</w:t>
      </w:r>
      <w:r>
        <w:rPr>
          <w:rFonts w:hint="eastAsia" w:ascii="宋体" w:hAnsi="宋体" w:eastAsia="宋体" w:cs="宋体"/>
          <w:sz w:val="24"/>
          <w:szCs w:val="24"/>
        </w:rPr>
        <w:t>。</w:t>
      </w:r>
    </w:p>
    <w:p w14:paraId="3F9B5333">
      <w:pPr>
        <w:ind w:firstLine="480" w:firstLineChars="200"/>
        <w:contextualSpacing/>
        <w:jc w:val="left"/>
        <w:rPr>
          <w:rFonts w:hint="eastAsia" w:ascii="宋体" w:hAnsi="宋体" w:eastAsia="宋体" w:cs="宋体"/>
          <w:sz w:val="24"/>
          <w:szCs w:val="24"/>
        </w:rPr>
      </w:pPr>
      <w:r>
        <w:rPr>
          <w:rFonts w:hint="eastAsia" w:ascii="宋体" w:hAnsi="宋体" w:eastAsia="宋体" w:cs="宋体"/>
          <w:sz w:val="24"/>
          <w:szCs w:val="24"/>
        </w:rPr>
        <w:t>1.10.4超大件和超重件的运输</w:t>
      </w:r>
    </w:p>
    <w:p w14:paraId="732B9AB4">
      <w:pPr>
        <w:ind w:firstLine="480" w:firstLineChars="200"/>
        <w:contextualSpacing/>
        <w:jc w:val="left"/>
        <w:rPr>
          <w:rFonts w:hint="eastAsia" w:ascii="宋体" w:hAnsi="宋体" w:eastAsia="宋体" w:cs="宋体"/>
          <w:sz w:val="24"/>
          <w:szCs w:val="24"/>
        </w:rPr>
      </w:pPr>
      <w:r>
        <w:rPr>
          <w:rFonts w:hint="eastAsia" w:ascii="宋体" w:hAnsi="宋体" w:eastAsia="宋体" w:cs="宋体"/>
          <w:sz w:val="24"/>
          <w:szCs w:val="24"/>
        </w:rPr>
        <w:t>运输超大件或超重件所需的道路和桥梁临时加固改造费用和其他有关费用由承包人承担。</w:t>
      </w:r>
    </w:p>
    <w:p w14:paraId="1614B5B7">
      <w:pPr>
        <w:ind w:firstLine="482" w:firstLineChars="200"/>
        <w:contextualSpacing/>
        <w:rPr>
          <w:rFonts w:hint="eastAsia" w:ascii="宋体" w:hAnsi="宋体" w:eastAsia="宋体" w:cs="宋体"/>
          <w:b/>
          <w:color w:val="000000"/>
          <w:sz w:val="24"/>
          <w:szCs w:val="24"/>
        </w:rPr>
      </w:pPr>
      <w:r>
        <w:rPr>
          <w:rFonts w:hint="eastAsia" w:ascii="宋体" w:hAnsi="宋体" w:eastAsia="宋体" w:cs="宋体"/>
          <w:b/>
          <w:color w:val="000000"/>
          <w:sz w:val="24"/>
          <w:szCs w:val="24"/>
        </w:rPr>
        <w:t>1.11 知识产权</w:t>
      </w:r>
    </w:p>
    <w:p w14:paraId="5B7D50C3">
      <w:pPr>
        <w:ind w:firstLine="480" w:firstLineChars="200"/>
        <w:contextualSpacing/>
        <w:rPr>
          <w:rFonts w:hint="eastAsia" w:ascii="宋体" w:hAnsi="宋体" w:eastAsia="宋体" w:cs="宋体"/>
          <w:color w:val="000000"/>
          <w:sz w:val="24"/>
          <w:szCs w:val="24"/>
        </w:rPr>
      </w:pPr>
      <w:r>
        <w:rPr>
          <w:rFonts w:hint="eastAsia" w:ascii="宋体" w:hAnsi="宋体" w:eastAsia="宋体" w:cs="宋体"/>
          <w:color w:val="000000"/>
          <w:sz w:val="24"/>
          <w:szCs w:val="24"/>
        </w:rPr>
        <w:t>1.11.2 关于承包人为实施工程所编制文件的著作权的归属：</w:t>
      </w:r>
      <w:r>
        <w:rPr>
          <w:rFonts w:hint="eastAsia" w:ascii="宋体" w:hAnsi="宋体" w:eastAsia="宋体" w:cs="宋体"/>
          <w:color w:val="000000"/>
          <w:sz w:val="24"/>
          <w:szCs w:val="24"/>
          <w:u w:val="single"/>
        </w:rPr>
        <w:t>按通用合同条款约定</w:t>
      </w:r>
      <w:r>
        <w:rPr>
          <w:rFonts w:hint="eastAsia" w:ascii="宋体" w:hAnsi="宋体" w:eastAsia="宋体" w:cs="宋体"/>
          <w:color w:val="000000"/>
          <w:sz w:val="24"/>
          <w:szCs w:val="24"/>
        </w:rPr>
        <w:t>。</w:t>
      </w:r>
    </w:p>
    <w:p w14:paraId="454E918E">
      <w:pPr>
        <w:ind w:firstLine="480" w:firstLineChars="200"/>
        <w:contextualSpacing/>
        <w:rPr>
          <w:rFonts w:hint="eastAsia" w:ascii="宋体" w:hAnsi="宋体" w:eastAsia="宋体" w:cs="宋体"/>
          <w:color w:val="000000"/>
          <w:sz w:val="24"/>
          <w:szCs w:val="24"/>
        </w:rPr>
      </w:pPr>
      <w:r>
        <w:rPr>
          <w:rFonts w:hint="eastAsia" w:ascii="宋体" w:hAnsi="宋体" w:eastAsia="宋体" w:cs="宋体"/>
          <w:color w:val="000000"/>
          <w:sz w:val="24"/>
          <w:szCs w:val="24"/>
        </w:rPr>
        <w:t>关于承包人提供的上述文件的使用限制的要求：</w:t>
      </w:r>
      <w:r>
        <w:rPr>
          <w:rFonts w:hint="eastAsia" w:ascii="宋体" w:hAnsi="宋体" w:eastAsia="宋体" w:cs="宋体"/>
          <w:color w:val="000000"/>
          <w:sz w:val="24"/>
          <w:szCs w:val="24"/>
          <w:u w:val="single"/>
        </w:rPr>
        <w:t>按通用合同条款约定</w:t>
      </w:r>
      <w:r>
        <w:rPr>
          <w:rFonts w:hint="eastAsia" w:ascii="宋体" w:hAnsi="宋体" w:eastAsia="宋体" w:cs="宋体"/>
          <w:color w:val="000000"/>
          <w:sz w:val="24"/>
          <w:szCs w:val="24"/>
        </w:rPr>
        <w:t>。</w:t>
      </w:r>
    </w:p>
    <w:p w14:paraId="24DDA94C">
      <w:pPr>
        <w:ind w:firstLine="480" w:firstLineChars="200"/>
        <w:contextualSpacing/>
        <w:rPr>
          <w:rFonts w:hint="eastAsia" w:ascii="宋体" w:hAnsi="宋体" w:eastAsia="宋体" w:cs="宋体"/>
          <w:color w:val="000000"/>
          <w:kern w:val="0"/>
          <w:sz w:val="24"/>
          <w:szCs w:val="24"/>
        </w:rPr>
      </w:pPr>
      <w:r>
        <w:rPr>
          <w:rFonts w:hint="eastAsia" w:ascii="宋体" w:hAnsi="宋体" w:eastAsia="宋体" w:cs="宋体"/>
          <w:color w:val="000000"/>
          <w:sz w:val="24"/>
          <w:szCs w:val="24"/>
        </w:rPr>
        <w:t>1.11.4 承包人在施工过程中所采用的专利、专有技术、技术秘密的使用费的承担方式：</w:t>
      </w:r>
      <w:r>
        <w:rPr>
          <w:rFonts w:hint="eastAsia" w:ascii="宋体" w:hAnsi="宋体" w:eastAsia="宋体" w:cs="宋体"/>
          <w:color w:val="000000"/>
          <w:sz w:val="24"/>
          <w:szCs w:val="24"/>
          <w:u w:val="single"/>
        </w:rPr>
        <w:t>已包含在投标总价中</w:t>
      </w:r>
      <w:r>
        <w:rPr>
          <w:rFonts w:hint="eastAsia" w:ascii="宋体" w:hAnsi="宋体" w:eastAsia="宋体" w:cs="宋体"/>
          <w:color w:val="000000"/>
          <w:kern w:val="0"/>
          <w:sz w:val="24"/>
          <w:szCs w:val="24"/>
        </w:rPr>
        <w:t>。</w:t>
      </w:r>
    </w:p>
    <w:p w14:paraId="740D6FC6">
      <w:pPr>
        <w:ind w:firstLine="482" w:firstLineChars="200"/>
        <w:contextualSpacing/>
        <w:rPr>
          <w:rFonts w:hint="eastAsia" w:ascii="宋体" w:hAnsi="宋体" w:eastAsia="宋体" w:cs="宋体"/>
          <w:b/>
          <w:bCs/>
          <w:color w:val="000000"/>
          <w:sz w:val="24"/>
          <w:szCs w:val="24"/>
        </w:rPr>
      </w:pPr>
      <w:r>
        <w:rPr>
          <w:rFonts w:hint="eastAsia" w:ascii="宋体" w:hAnsi="宋体" w:eastAsia="宋体" w:cs="宋体"/>
          <w:b/>
          <w:bCs/>
          <w:color w:val="000000"/>
          <w:sz w:val="24"/>
          <w:szCs w:val="24"/>
        </w:rPr>
        <w:t>1.13工程量清单错误的修正</w:t>
      </w:r>
    </w:p>
    <w:p w14:paraId="2516E261">
      <w:pPr>
        <w:ind w:firstLine="480" w:firstLineChars="200"/>
        <w:contextualSpacing/>
        <w:rPr>
          <w:rFonts w:hint="eastAsia" w:ascii="宋体" w:hAnsi="宋体" w:eastAsia="宋体" w:cs="宋体"/>
          <w:color w:val="000000"/>
          <w:sz w:val="24"/>
          <w:szCs w:val="24"/>
        </w:rPr>
      </w:pPr>
      <w:r>
        <w:rPr>
          <w:rFonts w:hint="eastAsia" w:ascii="宋体" w:hAnsi="宋体" w:eastAsia="宋体" w:cs="宋体"/>
          <w:color w:val="000000"/>
          <w:kern w:val="0"/>
          <w:sz w:val="24"/>
          <w:szCs w:val="24"/>
        </w:rPr>
        <w:t>1.13.1</w:t>
      </w:r>
      <w:r>
        <w:rPr>
          <w:rFonts w:hint="eastAsia" w:ascii="宋体" w:hAnsi="宋体" w:eastAsia="宋体" w:cs="宋体"/>
          <w:color w:val="000000"/>
          <w:sz w:val="24"/>
          <w:szCs w:val="24"/>
        </w:rPr>
        <w:t>除专用合同条款另有约定外，发包人提供的工程量清单，应被认为是准确的和完整的。出现下列情形之一时，发包人应予以修正，并相应调整合同价格：</w:t>
      </w:r>
    </w:p>
    <w:p w14:paraId="06DEA7D3">
      <w:pPr>
        <w:ind w:left="0" w:firstLine="480" w:firstLineChars="200"/>
        <w:contextualSpacing/>
        <w:rPr>
          <w:rFonts w:hint="eastAsia" w:ascii="宋体" w:hAnsi="宋体" w:eastAsia="宋体" w:cs="宋体"/>
          <w:color w:val="000000"/>
          <w:sz w:val="24"/>
          <w:szCs w:val="24"/>
        </w:rPr>
      </w:pPr>
      <w:r>
        <w:rPr>
          <w:rFonts w:hint="eastAsia" w:ascii="宋体" w:hAnsi="宋体" w:eastAsia="宋体" w:cs="宋体"/>
          <w:color w:val="000000"/>
          <w:sz w:val="24"/>
          <w:szCs w:val="24"/>
        </w:rPr>
        <w:t>（1）工程量清单存在缺项、漏项的；</w:t>
      </w:r>
    </w:p>
    <w:p w14:paraId="61C99E30">
      <w:pPr>
        <w:ind w:left="0" w:firstLine="480" w:firstLineChars="200"/>
        <w:contextualSpacing/>
        <w:rPr>
          <w:rFonts w:hint="eastAsia" w:ascii="宋体" w:hAnsi="宋体" w:eastAsia="宋体" w:cs="宋体"/>
          <w:color w:val="000000"/>
          <w:sz w:val="24"/>
          <w:szCs w:val="24"/>
        </w:rPr>
      </w:pPr>
      <w:r>
        <w:rPr>
          <w:rFonts w:hint="eastAsia" w:ascii="宋体" w:hAnsi="宋体" w:eastAsia="宋体" w:cs="宋体"/>
          <w:color w:val="000000"/>
          <w:sz w:val="24"/>
          <w:szCs w:val="24"/>
        </w:rPr>
        <w:t>（2）招标工程量清单的工程量与施工图纸存在偏差。</w:t>
      </w:r>
    </w:p>
    <w:p w14:paraId="34D55140">
      <w:pPr>
        <w:autoSpaceDE w:val="0"/>
        <w:autoSpaceDN w:val="0"/>
        <w:ind w:firstLine="482" w:firstLineChars="200"/>
        <w:contextualSpacing/>
        <w:jc w:val="lef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增加1.13.</w:t>
      </w:r>
      <w:r>
        <w:rPr>
          <w:rFonts w:hint="eastAsia" w:ascii="宋体" w:hAnsi="宋体" w:eastAsia="宋体" w:cs="宋体"/>
          <w:b/>
          <w:bCs/>
          <w:color w:val="000000"/>
          <w:kern w:val="0"/>
          <w:sz w:val="24"/>
          <w:szCs w:val="24"/>
          <w:lang w:val="en-US" w:eastAsia="zh-CN"/>
        </w:rPr>
        <w:t>2</w:t>
      </w:r>
      <w:r>
        <w:rPr>
          <w:rFonts w:hint="eastAsia" w:ascii="宋体" w:hAnsi="宋体" w:eastAsia="宋体" w:cs="宋体"/>
          <w:b/>
          <w:bCs/>
          <w:color w:val="000000"/>
          <w:kern w:val="0"/>
          <w:sz w:val="24"/>
          <w:szCs w:val="24"/>
        </w:rPr>
        <w:t>条款：</w:t>
      </w:r>
    </w:p>
    <w:p w14:paraId="49056CC6">
      <w:pPr>
        <w:autoSpaceDE w:val="0"/>
        <w:autoSpaceDN w:val="0"/>
        <w:ind w:firstLine="480" w:firstLineChars="200"/>
        <w:contextualSpacing/>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1.13.</w:t>
      </w: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算术性错误的调整</w:t>
      </w:r>
    </w:p>
    <w:p w14:paraId="3754A22D">
      <w:pPr>
        <w:autoSpaceDE w:val="0"/>
        <w:autoSpaceDN w:val="0"/>
        <w:ind w:firstLine="480" w:firstLineChars="200"/>
        <w:contextualSpacing/>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承包人投标文件中出现算术性错误，导致其实际总造价与报价总金额不一致时，按照招标文件有关规定予以修正。</w:t>
      </w:r>
    </w:p>
    <w:p w14:paraId="0451B98A">
      <w:pPr>
        <w:pStyle w:val="5"/>
        <w:spacing w:before="0" w:after="0" w:line="240" w:lineRule="auto"/>
        <w:ind w:firstLine="482" w:firstLineChars="200"/>
        <w:contextualSpacing/>
        <w:rPr>
          <w:rFonts w:hint="eastAsia" w:ascii="宋体" w:hAnsi="宋体" w:eastAsia="宋体" w:cs="宋体"/>
          <w:color w:val="000000"/>
          <w:sz w:val="24"/>
          <w:szCs w:val="24"/>
        </w:rPr>
      </w:pPr>
      <w:bookmarkStart w:id="408" w:name="_Toc443898191"/>
      <w:r>
        <w:rPr>
          <w:rFonts w:hint="eastAsia" w:ascii="宋体" w:hAnsi="宋体" w:eastAsia="宋体" w:cs="宋体"/>
          <w:color w:val="000000"/>
          <w:sz w:val="24"/>
          <w:szCs w:val="24"/>
        </w:rPr>
        <w:t>2. 发包人</w:t>
      </w:r>
      <w:bookmarkEnd w:id="408"/>
    </w:p>
    <w:p w14:paraId="0B67ACDF">
      <w:pPr>
        <w:ind w:firstLine="482" w:firstLineChars="200"/>
        <w:contextualSpacing/>
        <w:rPr>
          <w:rFonts w:hint="eastAsia" w:ascii="宋体" w:hAnsi="宋体" w:eastAsia="宋体" w:cs="宋体"/>
          <w:b/>
          <w:color w:val="000000"/>
          <w:sz w:val="24"/>
          <w:szCs w:val="24"/>
        </w:rPr>
      </w:pPr>
      <w:r>
        <w:rPr>
          <w:rFonts w:hint="eastAsia" w:ascii="宋体" w:hAnsi="宋体" w:eastAsia="宋体" w:cs="宋体"/>
          <w:b/>
          <w:color w:val="000000"/>
          <w:sz w:val="24"/>
          <w:szCs w:val="24"/>
        </w:rPr>
        <w:t>2.2 发包人代表</w:t>
      </w:r>
    </w:p>
    <w:p w14:paraId="5483969E">
      <w:pPr>
        <w:ind w:firstLine="482" w:firstLineChars="200"/>
        <w:contextualSpacing/>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增加以下条款：</w:t>
      </w:r>
    </w:p>
    <w:p w14:paraId="2DDBAA0A">
      <w:pPr>
        <w:ind w:firstLine="480" w:firstLineChars="200"/>
        <w:contextualSpacing/>
        <w:rPr>
          <w:rFonts w:hint="eastAsia" w:ascii="宋体" w:hAnsi="宋体" w:eastAsia="宋体" w:cs="宋体"/>
          <w:color w:val="000000"/>
          <w:sz w:val="24"/>
          <w:szCs w:val="24"/>
        </w:rPr>
      </w:pPr>
      <w:r>
        <w:rPr>
          <w:rFonts w:hint="eastAsia" w:ascii="宋体" w:hAnsi="宋体" w:eastAsia="宋体" w:cs="宋体"/>
          <w:color w:val="000000"/>
          <w:kern w:val="0"/>
          <w:sz w:val="24"/>
          <w:szCs w:val="24"/>
        </w:rPr>
        <w:t>发包人现场管理人员任命和更换：</w:t>
      </w:r>
      <w:r>
        <w:rPr>
          <w:rFonts w:hint="eastAsia" w:ascii="宋体" w:hAnsi="宋体" w:eastAsia="宋体" w:cs="宋体"/>
          <w:color w:val="000000"/>
          <w:kern w:val="0"/>
          <w:sz w:val="24"/>
          <w:szCs w:val="24"/>
          <w:u w:val="single"/>
        </w:rPr>
        <w:t>以发包人书面通知为准。</w:t>
      </w:r>
    </w:p>
    <w:p w14:paraId="41B2AE4A">
      <w:pPr>
        <w:ind w:firstLine="482" w:firstLineChars="200"/>
        <w:contextualSpacing/>
        <w:rPr>
          <w:rFonts w:hint="eastAsia" w:ascii="宋体" w:hAnsi="宋体" w:eastAsia="宋体" w:cs="宋体"/>
          <w:b/>
          <w:color w:val="000000"/>
          <w:sz w:val="24"/>
          <w:szCs w:val="24"/>
        </w:rPr>
      </w:pPr>
      <w:r>
        <w:rPr>
          <w:rFonts w:hint="eastAsia" w:ascii="宋体" w:hAnsi="宋体" w:eastAsia="宋体" w:cs="宋体"/>
          <w:b/>
          <w:color w:val="000000"/>
          <w:sz w:val="24"/>
          <w:szCs w:val="24"/>
        </w:rPr>
        <w:t>2.4 施工现场、施工条件和基础资料的提供</w:t>
      </w:r>
    </w:p>
    <w:p w14:paraId="69E4841F">
      <w:pPr>
        <w:ind w:firstLine="480" w:firstLineChars="200"/>
        <w:contextualSpacing/>
        <w:rPr>
          <w:rFonts w:hint="eastAsia" w:ascii="宋体" w:hAnsi="宋体" w:eastAsia="宋体" w:cs="宋体"/>
          <w:color w:val="000000"/>
          <w:sz w:val="24"/>
          <w:szCs w:val="24"/>
        </w:rPr>
      </w:pPr>
      <w:r>
        <w:rPr>
          <w:rFonts w:hint="eastAsia" w:ascii="宋体" w:hAnsi="宋体" w:eastAsia="宋体" w:cs="宋体"/>
          <w:color w:val="000000"/>
          <w:sz w:val="24"/>
          <w:szCs w:val="24"/>
        </w:rPr>
        <w:t>2.4.1 提供施工现场</w:t>
      </w:r>
    </w:p>
    <w:p w14:paraId="193880F4">
      <w:pPr>
        <w:ind w:firstLine="480" w:firstLineChars="200"/>
        <w:contextualSpacing/>
        <w:jc w:val="left"/>
        <w:rPr>
          <w:rFonts w:hint="eastAsia" w:ascii="宋体" w:hAnsi="宋体" w:eastAsia="宋体" w:cs="宋体"/>
          <w:color w:val="000000"/>
          <w:sz w:val="24"/>
          <w:szCs w:val="24"/>
        </w:rPr>
      </w:pPr>
      <w:r>
        <w:rPr>
          <w:rFonts w:hint="eastAsia" w:ascii="宋体" w:hAnsi="宋体" w:eastAsia="宋体" w:cs="宋体"/>
          <w:color w:val="000000"/>
          <w:sz w:val="24"/>
          <w:szCs w:val="24"/>
        </w:rPr>
        <w:t>关于发包人移交施工现场的期限要求：</w:t>
      </w:r>
      <w:r>
        <w:rPr>
          <w:rFonts w:hint="eastAsia" w:ascii="宋体" w:hAnsi="宋体" w:eastAsia="宋体" w:cs="宋体"/>
          <w:color w:val="000000"/>
          <w:kern w:val="0"/>
          <w:sz w:val="24"/>
          <w:szCs w:val="24"/>
          <w:u w:val="single"/>
        </w:rPr>
        <w:t>于开工日期7天前</w:t>
      </w:r>
      <w:r>
        <w:rPr>
          <w:rFonts w:hint="eastAsia" w:ascii="宋体" w:hAnsi="宋体" w:eastAsia="宋体" w:cs="宋体"/>
          <w:color w:val="000000"/>
          <w:sz w:val="24"/>
          <w:szCs w:val="24"/>
        </w:rPr>
        <w:t>。</w:t>
      </w:r>
    </w:p>
    <w:p w14:paraId="69CB61C3">
      <w:pPr>
        <w:ind w:firstLine="480" w:firstLineChars="200"/>
        <w:contextualSpacing/>
        <w:rPr>
          <w:rFonts w:hint="eastAsia" w:ascii="宋体" w:hAnsi="宋体" w:eastAsia="宋体" w:cs="宋体"/>
          <w:color w:val="000000"/>
          <w:sz w:val="24"/>
          <w:szCs w:val="24"/>
        </w:rPr>
      </w:pPr>
      <w:r>
        <w:rPr>
          <w:rFonts w:hint="eastAsia" w:ascii="宋体" w:hAnsi="宋体" w:eastAsia="宋体" w:cs="宋体"/>
          <w:color w:val="000000"/>
          <w:sz w:val="24"/>
          <w:szCs w:val="24"/>
        </w:rPr>
        <w:t>2.4.2 提供施工条件</w:t>
      </w:r>
    </w:p>
    <w:p w14:paraId="713ACEAC">
      <w:pPr>
        <w:autoSpaceDE w:val="0"/>
        <w:autoSpaceDN w:val="0"/>
        <w:ind w:firstLine="482" w:firstLineChars="200"/>
        <w:contextualSpacing/>
        <w:jc w:val="left"/>
        <w:rPr>
          <w:rFonts w:hint="eastAsia" w:ascii="宋体" w:hAnsi="宋体" w:eastAsia="宋体" w:cs="宋体"/>
          <w:b/>
          <w:color w:val="000000"/>
          <w:sz w:val="24"/>
          <w:szCs w:val="24"/>
        </w:rPr>
      </w:pPr>
      <w:r>
        <w:rPr>
          <w:rFonts w:hint="eastAsia" w:ascii="宋体" w:hAnsi="宋体" w:eastAsia="宋体" w:cs="宋体"/>
          <w:b/>
          <w:color w:val="000000"/>
          <w:sz w:val="24"/>
          <w:szCs w:val="24"/>
        </w:rPr>
        <w:t>2.4.2条款修改为：</w:t>
      </w:r>
    </w:p>
    <w:p w14:paraId="7A6BC639">
      <w:pPr>
        <w:ind w:firstLine="480" w:firstLineChars="200"/>
        <w:contextualSpacing/>
        <w:rPr>
          <w:rFonts w:hint="eastAsia" w:ascii="宋体" w:hAnsi="宋体" w:eastAsia="宋体" w:cs="宋体"/>
          <w:color w:val="000000"/>
          <w:sz w:val="24"/>
          <w:szCs w:val="24"/>
        </w:rPr>
      </w:pPr>
      <w:r>
        <w:rPr>
          <w:rFonts w:hint="eastAsia" w:ascii="宋体" w:hAnsi="宋体" w:eastAsia="宋体" w:cs="宋体"/>
          <w:color w:val="000000"/>
          <w:sz w:val="24"/>
          <w:szCs w:val="24"/>
        </w:rPr>
        <w:t>2.4.2 关于施工条件的规定</w:t>
      </w:r>
    </w:p>
    <w:p w14:paraId="32663340">
      <w:pPr>
        <w:autoSpaceDE w:val="0"/>
        <w:autoSpaceDN w:val="0"/>
        <w:ind w:firstLine="480" w:firstLineChars="200"/>
        <w:contextualSpacing/>
        <w:jc w:val="left"/>
        <w:rPr>
          <w:rFonts w:hint="eastAsia" w:ascii="宋体" w:hAnsi="宋体" w:eastAsia="宋体" w:cs="宋体"/>
          <w:kern w:val="0"/>
          <w:sz w:val="24"/>
          <w:szCs w:val="24"/>
          <w:u w:val="single"/>
        </w:rPr>
      </w:pPr>
      <w:r>
        <w:rPr>
          <w:rFonts w:hint="eastAsia" w:ascii="宋体" w:hAnsi="宋体" w:eastAsia="宋体" w:cs="宋体"/>
          <w:color w:val="000000"/>
          <w:sz w:val="24"/>
          <w:szCs w:val="24"/>
        </w:rPr>
        <w:t>（1）办理土地征用、拆迁、平整工作场地等工作，使施工场地具备施工条件的约定：</w:t>
      </w:r>
      <w:r>
        <w:rPr>
          <w:rFonts w:hint="eastAsia" w:ascii="宋体" w:hAnsi="宋体" w:eastAsia="宋体" w:cs="宋体"/>
          <w:sz w:val="24"/>
          <w:szCs w:val="24"/>
          <w:u w:val="single"/>
        </w:rPr>
        <w:t>场地清理、平整等工作由承包人负责完成，费用已包含在投标报价中</w:t>
      </w:r>
      <w:r>
        <w:rPr>
          <w:rFonts w:hint="eastAsia" w:ascii="宋体" w:hAnsi="宋体" w:eastAsia="宋体" w:cs="宋体"/>
          <w:sz w:val="24"/>
          <w:szCs w:val="24"/>
        </w:rPr>
        <w:t>；</w:t>
      </w:r>
    </w:p>
    <w:p w14:paraId="7CE5015D">
      <w:pPr>
        <w:autoSpaceDE w:val="0"/>
        <w:autoSpaceDN w:val="0"/>
        <w:ind w:firstLine="480" w:firstLineChars="200"/>
        <w:contextualSpacing/>
        <w:jc w:val="left"/>
        <w:rPr>
          <w:rFonts w:hint="eastAsia" w:ascii="宋体" w:hAnsi="宋体" w:eastAsia="宋体" w:cs="宋体"/>
          <w:color w:val="000000"/>
          <w:sz w:val="24"/>
          <w:szCs w:val="24"/>
        </w:rPr>
      </w:pPr>
      <w:r>
        <w:rPr>
          <w:rFonts w:hint="eastAsia" w:ascii="宋体" w:hAnsi="宋体" w:eastAsia="宋体" w:cs="宋体"/>
          <w:color w:val="000000"/>
          <w:sz w:val="24"/>
          <w:szCs w:val="24"/>
        </w:rPr>
        <w:t>（2）完成施工所需水、电、通讯线路接驳的约定：</w:t>
      </w:r>
    </w:p>
    <w:p w14:paraId="05669EBF">
      <w:pPr>
        <w:autoSpaceDE w:val="0"/>
        <w:autoSpaceDN w:val="0"/>
        <w:ind w:firstLine="480" w:firstLineChars="200"/>
        <w:contextualSpacing/>
        <w:jc w:val="left"/>
        <w:rPr>
          <w:rFonts w:hint="eastAsia" w:ascii="宋体" w:hAnsi="宋体" w:eastAsia="宋体" w:cs="宋体"/>
          <w:kern w:val="0"/>
          <w:sz w:val="24"/>
          <w:szCs w:val="24"/>
        </w:rPr>
      </w:pPr>
      <w:r>
        <w:rPr>
          <w:rFonts w:hint="eastAsia" w:ascii="宋体" w:hAnsi="宋体" w:eastAsia="宋体" w:cs="宋体"/>
          <w:sz w:val="24"/>
          <w:szCs w:val="24"/>
          <w:u w:val="single"/>
        </w:rPr>
        <w:t>发包人不提供现场临时水电接驳点、通讯工程由承包人自行解决，</w:t>
      </w:r>
      <w:r>
        <w:rPr>
          <w:rFonts w:hint="eastAsia" w:ascii="宋体" w:hAnsi="宋体" w:eastAsia="宋体" w:cs="宋体"/>
          <w:color w:val="000000"/>
          <w:sz w:val="24"/>
          <w:szCs w:val="24"/>
          <w:u w:val="single"/>
        </w:rPr>
        <w:t>承包人负责了解、落实外电工程的工程量及接驳点，</w:t>
      </w:r>
      <w:r>
        <w:rPr>
          <w:rFonts w:hint="eastAsia" w:ascii="宋体" w:hAnsi="宋体" w:eastAsia="宋体" w:cs="宋体"/>
          <w:sz w:val="24"/>
          <w:szCs w:val="24"/>
          <w:u w:val="single"/>
        </w:rPr>
        <w:t>相关费用已包含在投标报价中</w:t>
      </w:r>
      <w:r>
        <w:rPr>
          <w:rFonts w:hint="eastAsia" w:ascii="宋体" w:hAnsi="宋体" w:eastAsia="宋体" w:cs="宋体"/>
          <w:sz w:val="24"/>
          <w:szCs w:val="24"/>
        </w:rPr>
        <w:t>；</w:t>
      </w:r>
    </w:p>
    <w:p w14:paraId="1F424A32">
      <w:pPr>
        <w:autoSpaceDE w:val="0"/>
        <w:autoSpaceDN w:val="0"/>
        <w:ind w:firstLine="480" w:firstLineChars="200"/>
        <w:contextualSpacing/>
        <w:jc w:val="left"/>
        <w:rPr>
          <w:rFonts w:hint="eastAsia" w:ascii="宋体" w:hAnsi="宋体" w:eastAsia="宋体" w:cs="宋体"/>
          <w:sz w:val="24"/>
          <w:szCs w:val="24"/>
        </w:rPr>
      </w:pPr>
      <w:r>
        <w:rPr>
          <w:rFonts w:hint="eastAsia" w:ascii="宋体" w:hAnsi="宋体" w:eastAsia="宋体" w:cs="宋体"/>
          <w:color w:val="000000"/>
          <w:sz w:val="24"/>
          <w:szCs w:val="24"/>
        </w:rPr>
        <w:t>（3）开工施工现场与城乡公共道路间的通道的约定：</w:t>
      </w:r>
      <w:r>
        <w:rPr>
          <w:rFonts w:hint="eastAsia" w:ascii="宋体" w:hAnsi="宋体" w:eastAsia="宋体" w:cs="宋体"/>
          <w:sz w:val="24"/>
          <w:szCs w:val="24"/>
          <w:u w:val="single"/>
        </w:rPr>
        <w:t>由承包人自行解决，相关费用已包含在投标报价中</w:t>
      </w:r>
      <w:r>
        <w:rPr>
          <w:rFonts w:hint="eastAsia" w:ascii="宋体" w:hAnsi="宋体" w:eastAsia="宋体" w:cs="宋体"/>
          <w:sz w:val="24"/>
          <w:szCs w:val="24"/>
        </w:rPr>
        <w:t>；</w:t>
      </w:r>
    </w:p>
    <w:p w14:paraId="7113E5A7">
      <w:pPr>
        <w:autoSpaceDE w:val="0"/>
        <w:autoSpaceDN w:val="0"/>
        <w:ind w:firstLine="480" w:firstLineChars="200"/>
        <w:contextualSpacing/>
        <w:jc w:val="left"/>
        <w:rPr>
          <w:rFonts w:hint="eastAsia" w:ascii="宋体" w:hAnsi="宋体" w:eastAsia="宋体" w:cs="宋体"/>
          <w:color w:val="000000"/>
          <w:sz w:val="24"/>
          <w:szCs w:val="24"/>
        </w:rPr>
      </w:pPr>
      <w:r>
        <w:rPr>
          <w:rFonts w:hint="eastAsia" w:ascii="宋体" w:hAnsi="宋体" w:eastAsia="宋体" w:cs="宋体"/>
          <w:color w:val="000000"/>
          <w:sz w:val="24"/>
          <w:szCs w:val="24"/>
        </w:rPr>
        <w:t>（4）提供有关资料的约定</w:t>
      </w:r>
    </w:p>
    <w:p w14:paraId="4033C9D8">
      <w:pPr>
        <w:autoSpaceDE w:val="0"/>
        <w:autoSpaceDN w:val="0"/>
        <w:ind w:firstLine="480" w:firstLineChars="200"/>
        <w:contextualSpacing/>
        <w:jc w:val="left"/>
        <w:rPr>
          <w:rFonts w:hint="eastAsia" w:ascii="宋体" w:hAnsi="宋体" w:eastAsia="宋体" w:cs="宋体"/>
          <w:sz w:val="24"/>
          <w:szCs w:val="24"/>
        </w:rPr>
      </w:pPr>
      <w:r>
        <w:rPr>
          <w:rFonts w:hint="eastAsia" w:ascii="宋体" w:hAnsi="宋体" w:eastAsia="宋体" w:cs="宋体"/>
          <w:color w:val="000000"/>
          <w:sz w:val="24"/>
          <w:szCs w:val="24"/>
          <w:u w:val="single"/>
        </w:rPr>
        <w:t>工程地质资料与设计文件同时提供,</w:t>
      </w:r>
      <w:r>
        <w:rPr>
          <w:rFonts w:hint="eastAsia" w:ascii="宋体" w:hAnsi="宋体" w:eastAsia="宋体" w:cs="宋体"/>
          <w:sz w:val="24"/>
          <w:szCs w:val="24"/>
          <w:u w:val="single"/>
        </w:rPr>
        <w:t>地下管线资料由承包人自行调查、摸查、购买、核实、物探、提交管线专项报告，并承担由此引起的责任和损失，费用已包含在投标报价中，发包人不另行计量支付</w:t>
      </w:r>
      <w:r>
        <w:rPr>
          <w:rFonts w:hint="eastAsia" w:ascii="宋体" w:hAnsi="宋体" w:eastAsia="宋体" w:cs="宋体"/>
          <w:sz w:val="24"/>
          <w:szCs w:val="24"/>
        </w:rPr>
        <w:t>；</w:t>
      </w:r>
    </w:p>
    <w:p w14:paraId="5AB31388">
      <w:pPr>
        <w:autoSpaceDE w:val="0"/>
        <w:autoSpaceDN w:val="0"/>
        <w:ind w:firstLine="480" w:firstLineChars="200"/>
        <w:contextualSpacing/>
        <w:jc w:val="left"/>
        <w:rPr>
          <w:rFonts w:hint="eastAsia" w:ascii="宋体" w:hAnsi="宋体" w:eastAsia="宋体" w:cs="宋体"/>
          <w:color w:val="000000"/>
          <w:sz w:val="24"/>
          <w:szCs w:val="24"/>
        </w:rPr>
      </w:pPr>
      <w:r>
        <w:rPr>
          <w:rFonts w:hint="eastAsia" w:ascii="宋体" w:hAnsi="宋体" w:eastAsia="宋体" w:cs="宋体"/>
          <w:color w:val="000000"/>
          <w:sz w:val="24"/>
          <w:szCs w:val="24"/>
        </w:rPr>
        <w:t>（5）办理有关所需证件的约定</w:t>
      </w:r>
    </w:p>
    <w:p w14:paraId="7CFF29DF">
      <w:pPr>
        <w:autoSpaceDE w:val="0"/>
        <w:autoSpaceDN w:val="0"/>
        <w:ind w:firstLine="480" w:firstLineChars="200"/>
        <w:contextualSpacing/>
        <w:jc w:val="left"/>
        <w:rPr>
          <w:rFonts w:hint="eastAsia" w:ascii="宋体" w:hAnsi="宋体" w:eastAsia="宋体" w:cs="宋体"/>
          <w:b/>
          <w:strike/>
          <w:color w:val="0000FF"/>
          <w:sz w:val="24"/>
          <w:szCs w:val="24"/>
          <w:shd w:val="pct10" w:color="auto" w:fill="FFFFFF"/>
        </w:rPr>
      </w:pPr>
      <w:r>
        <w:rPr>
          <w:rFonts w:hint="eastAsia" w:ascii="宋体" w:hAnsi="宋体" w:eastAsia="宋体" w:cs="宋体"/>
          <w:sz w:val="24"/>
          <w:szCs w:val="24"/>
          <w:u w:val="single"/>
        </w:rPr>
        <w:t>承包人负责办理与本工程相关的所有报批手续，含施工所需的各种相关证件手续的办理及各类专业报建手续的报批。上述工作的相关费用（除国家及各级政府相关法律、法规或规定明确要求由发包人承担的行政性收费以外）已包含于投标报价中，不另支付；</w:t>
      </w:r>
    </w:p>
    <w:p w14:paraId="018FC2AE">
      <w:pPr>
        <w:autoSpaceDE w:val="0"/>
        <w:autoSpaceDN w:val="0"/>
        <w:ind w:firstLine="480" w:firstLineChars="200"/>
        <w:contextualSpacing/>
        <w:jc w:val="left"/>
        <w:rPr>
          <w:rFonts w:hint="eastAsia" w:ascii="宋体" w:hAnsi="宋体" w:eastAsia="宋体" w:cs="宋体"/>
          <w:sz w:val="24"/>
          <w:szCs w:val="24"/>
          <w:u w:val="single"/>
        </w:rPr>
      </w:pPr>
      <w:r>
        <w:rPr>
          <w:rFonts w:hint="eastAsia" w:ascii="宋体" w:hAnsi="宋体" w:eastAsia="宋体" w:cs="宋体"/>
          <w:sz w:val="24"/>
          <w:szCs w:val="24"/>
          <w:u w:val="single"/>
        </w:rPr>
        <w:t>承包人应按发包人要求的时间节点完成报批报建手续，如发生延误的，每延误一天，发包人按每个考核节点对应的合同造价（初始合同价+变更金额）的0.2‰向承包人收取违约金，并在考核节点完成的次月计量支付中扣除。</w:t>
      </w:r>
    </w:p>
    <w:p w14:paraId="02852B40">
      <w:pPr>
        <w:ind w:firstLine="480" w:firstLineChars="200"/>
        <w:contextualSpacing/>
        <w:rPr>
          <w:rFonts w:hint="eastAsia" w:ascii="宋体" w:hAnsi="宋体" w:eastAsia="宋体" w:cs="宋体"/>
          <w:color w:val="000000"/>
          <w:sz w:val="24"/>
          <w:szCs w:val="24"/>
        </w:rPr>
      </w:pPr>
      <w:r>
        <w:rPr>
          <w:rFonts w:hint="eastAsia" w:ascii="宋体" w:hAnsi="宋体" w:eastAsia="宋体" w:cs="宋体"/>
          <w:color w:val="000000"/>
          <w:sz w:val="24"/>
          <w:szCs w:val="24"/>
        </w:rPr>
        <w:t>（6）现场交验的时间</w:t>
      </w:r>
    </w:p>
    <w:p w14:paraId="24C2CA65">
      <w:pPr>
        <w:ind w:firstLine="480" w:firstLineChars="200"/>
        <w:contextualSpacing/>
        <w:rPr>
          <w:rFonts w:hint="eastAsia" w:ascii="宋体" w:hAnsi="宋体" w:eastAsia="宋体" w:cs="宋体"/>
          <w:sz w:val="24"/>
          <w:szCs w:val="24"/>
        </w:rPr>
      </w:pPr>
      <w:r>
        <w:rPr>
          <w:rFonts w:hint="eastAsia" w:ascii="宋体" w:hAnsi="宋体" w:eastAsia="宋体" w:cs="宋体"/>
          <w:sz w:val="24"/>
          <w:szCs w:val="24"/>
          <w:u w:val="single"/>
        </w:rPr>
        <w:t>开工前两天。发包人负责联系设计人向承包人作技术交底，提供道路测量控制桩、水准点和标高。承包人应负责对设计提供的道路测量控制桩、水准点和标高进行现场复测，并填妥《测量复核记录》签字备案，然后将用地边线标识后提交给发包人委托的拆迁单位作为控制边线</w:t>
      </w:r>
      <w:r>
        <w:rPr>
          <w:rFonts w:hint="eastAsia" w:ascii="宋体" w:hAnsi="宋体" w:eastAsia="宋体" w:cs="宋体"/>
          <w:sz w:val="24"/>
          <w:szCs w:val="24"/>
        </w:rPr>
        <w:t>。</w:t>
      </w:r>
    </w:p>
    <w:p w14:paraId="0A7AA29E">
      <w:pPr>
        <w:ind w:firstLine="480" w:firstLineChars="200"/>
        <w:contextualSpacing/>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2.4.4 逾期提供的责任</w:t>
      </w:r>
    </w:p>
    <w:p w14:paraId="1A90D9D8">
      <w:pPr>
        <w:ind w:firstLine="482" w:firstLineChars="200"/>
        <w:contextualSpacing/>
        <w:rPr>
          <w:rFonts w:hint="eastAsia" w:ascii="宋体" w:hAnsi="宋体" w:eastAsia="宋体" w:cs="宋体"/>
          <w:b/>
          <w:sz w:val="24"/>
          <w:szCs w:val="24"/>
        </w:rPr>
      </w:pPr>
      <w:r>
        <w:rPr>
          <w:rFonts w:hint="eastAsia" w:ascii="宋体" w:hAnsi="宋体" w:eastAsia="宋体" w:cs="宋体"/>
          <w:b/>
          <w:sz w:val="24"/>
          <w:szCs w:val="24"/>
        </w:rPr>
        <w:t>此条款不适用。</w:t>
      </w:r>
    </w:p>
    <w:p w14:paraId="2B3A2372">
      <w:pPr>
        <w:ind w:firstLine="482" w:firstLineChars="200"/>
        <w:contextualSpacing/>
        <w:rPr>
          <w:rFonts w:hint="eastAsia" w:ascii="宋体" w:hAnsi="宋体" w:eastAsia="宋体" w:cs="宋体"/>
          <w:b/>
          <w:color w:val="000000"/>
          <w:sz w:val="24"/>
          <w:szCs w:val="24"/>
        </w:rPr>
      </w:pPr>
      <w:r>
        <w:rPr>
          <w:rFonts w:hint="eastAsia" w:ascii="宋体" w:hAnsi="宋体" w:eastAsia="宋体" w:cs="宋体"/>
          <w:b/>
          <w:color w:val="000000"/>
          <w:sz w:val="24"/>
          <w:szCs w:val="24"/>
        </w:rPr>
        <w:t>2.5 资金来源证明及支付担保</w:t>
      </w:r>
    </w:p>
    <w:p w14:paraId="17B21BF5">
      <w:pPr>
        <w:ind w:firstLine="480" w:firstLineChars="200"/>
        <w:contextualSpacing/>
        <w:rPr>
          <w:rFonts w:hint="eastAsia" w:ascii="宋体" w:hAnsi="宋体" w:eastAsia="宋体" w:cs="宋体"/>
          <w:color w:val="000000"/>
          <w:sz w:val="24"/>
          <w:szCs w:val="24"/>
          <w:u w:val="single"/>
        </w:rPr>
      </w:pPr>
      <w:r>
        <w:rPr>
          <w:rFonts w:hint="eastAsia" w:ascii="宋体" w:hAnsi="宋体" w:eastAsia="宋体" w:cs="宋体"/>
          <w:color w:val="000000"/>
          <w:sz w:val="24"/>
          <w:szCs w:val="24"/>
          <w:u w:val="single"/>
        </w:rPr>
        <w:t>发包人不提供资金来源证明和支付担保。</w:t>
      </w:r>
    </w:p>
    <w:p w14:paraId="5A90C825">
      <w:pPr>
        <w:ind w:firstLine="482" w:firstLineChars="200"/>
        <w:contextualSpacing/>
        <w:rPr>
          <w:rFonts w:hint="eastAsia" w:ascii="宋体" w:hAnsi="宋体" w:eastAsia="宋体" w:cs="宋体"/>
          <w:b/>
          <w:color w:val="000000"/>
          <w:sz w:val="24"/>
          <w:szCs w:val="24"/>
        </w:rPr>
      </w:pPr>
      <w:r>
        <w:rPr>
          <w:rFonts w:hint="eastAsia" w:ascii="宋体" w:hAnsi="宋体" w:eastAsia="宋体" w:cs="宋体"/>
          <w:b/>
          <w:color w:val="000000"/>
          <w:sz w:val="24"/>
          <w:szCs w:val="24"/>
        </w:rPr>
        <w:t>2.8现场统一管理协议</w:t>
      </w:r>
    </w:p>
    <w:p w14:paraId="2FB48AD8">
      <w:pPr>
        <w:ind w:firstLine="480" w:firstLineChars="200"/>
        <w:contextualSpacing/>
        <w:rPr>
          <w:rFonts w:hint="eastAsia" w:ascii="宋体" w:hAnsi="宋体" w:eastAsia="宋体" w:cs="宋体"/>
          <w:color w:val="000000"/>
          <w:sz w:val="24"/>
          <w:szCs w:val="24"/>
          <w:u w:val="single"/>
        </w:rPr>
      </w:pPr>
      <w:r>
        <w:rPr>
          <w:rFonts w:hint="eastAsia" w:ascii="宋体" w:hAnsi="宋体" w:eastAsia="宋体" w:cs="宋体"/>
          <w:color w:val="000000"/>
          <w:sz w:val="24"/>
          <w:szCs w:val="24"/>
          <w:u w:val="single"/>
        </w:rPr>
        <w:t>发包人不另行签订统一管理协议。</w:t>
      </w:r>
    </w:p>
    <w:p w14:paraId="7F4D5A75">
      <w:pPr>
        <w:ind w:firstLine="482" w:firstLineChars="200"/>
        <w:contextualSpacing/>
        <w:rPr>
          <w:rFonts w:hint="eastAsia" w:ascii="宋体" w:hAnsi="宋体" w:eastAsia="宋体" w:cs="宋体"/>
          <w:b/>
          <w:color w:val="000000"/>
          <w:sz w:val="24"/>
          <w:szCs w:val="24"/>
        </w:rPr>
      </w:pPr>
      <w:r>
        <w:rPr>
          <w:rFonts w:hint="eastAsia" w:ascii="宋体" w:hAnsi="宋体" w:eastAsia="宋体" w:cs="宋体"/>
          <w:b/>
          <w:color w:val="000000"/>
          <w:sz w:val="24"/>
          <w:szCs w:val="24"/>
        </w:rPr>
        <w:t>增加2.9条款：</w:t>
      </w:r>
    </w:p>
    <w:p w14:paraId="5154BED7">
      <w:pPr>
        <w:ind w:firstLine="482" w:firstLineChars="200"/>
        <w:contextualSpacing/>
        <w:rPr>
          <w:rFonts w:hint="eastAsia" w:ascii="宋体" w:hAnsi="宋体" w:eastAsia="宋体" w:cs="宋体"/>
          <w:b/>
          <w:color w:val="000000"/>
          <w:sz w:val="24"/>
          <w:szCs w:val="24"/>
        </w:rPr>
      </w:pPr>
      <w:r>
        <w:rPr>
          <w:rFonts w:hint="eastAsia" w:ascii="宋体" w:hAnsi="宋体" w:eastAsia="宋体" w:cs="宋体"/>
          <w:b/>
          <w:color w:val="000000"/>
          <w:sz w:val="24"/>
          <w:szCs w:val="24"/>
        </w:rPr>
        <w:t>2.9 其他约定</w:t>
      </w:r>
    </w:p>
    <w:p w14:paraId="51A40F5E">
      <w:pPr>
        <w:ind w:firstLine="480" w:firstLineChars="200"/>
        <w:contextualSpacing/>
        <w:rPr>
          <w:rFonts w:hint="eastAsia" w:ascii="宋体" w:hAnsi="宋体" w:eastAsia="宋体" w:cs="宋体"/>
          <w:color w:val="000000"/>
          <w:sz w:val="24"/>
          <w:szCs w:val="24"/>
          <w:u w:val="single"/>
        </w:rPr>
      </w:pPr>
      <w:r>
        <w:rPr>
          <w:rFonts w:hint="eastAsia" w:ascii="宋体" w:hAnsi="宋体" w:eastAsia="宋体" w:cs="宋体"/>
          <w:color w:val="000000"/>
          <w:sz w:val="24"/>
          <w:szCs w:val="24"/>
        </w:rPr>
        <w:t>（1）提供标准与规范的约定：</w:t>
      </w:r>
      <w:r>
        <w:rPr>
          <w:rFonts w:hint="eastAsia" w:ascii="宋体" w:hAnsi="宋体" w:eastAsia="宋体" w:cs="宋体"/>
          <w:color w:val="000000"/>
          <w:sz w:val="24"/>
          <w:szCs w:val="24"/>
          <w:u w:val="single"/>
        </w:rPr>
        <w:t>有关标准与规范由承包人自行收集；</w:t>
      </w:r>
    </w:p>
    <w:p w14:paraId="1802F55B">
      <w:pPr>
        <w:ind w:firstLine="480" w:firstLineChars="200"/>
        <w:contextualSpacing/>
        <w:rPr>
          <w:rFonts w:hint="eastAsia" w:ascii="宋体" w:hAnsi="宋体" w:eastAsia="宋体" w:cs="宋体"/>
          <w:color w:val="000000"/>
          <w:sz w:val="24"/>
          <w:szCs w:val="24"/>
          <w:u w:val="single"/>
        </w:rPr>
      </w:pPr>
      <w:r>
        <w:rPr>
          <w:rFonts w:hint="eastAsia" w:ascii="宋体" w:hAnsi="宋体" w:eastAsia="宋体" w:cs="宋体"/>
          <w:color w:val="000000"/>
          <w:sz w:val="24"/>
          <w:szCs w:val="24"/>
        </w:rPr>
        <w:t>（2）组织图纸会审和设计交底的时间</w:t>
      </w:r>
    </w:p>
    <w:p w14:paraId="3146864F">
      <w:pPr>
        <w:ind w:firstLine="480" w:firstLineChars="200"/>
        <w:contextualSpacing/>
        <w:rPr>
          <w:rFonts w:hint="eastAsia" w:ascii="宋体" w:hAnsi="宋体" w:eastAsia="宋体" w:cs="宋体"/>
          <w:b/>
          <w:sz w:val="24"/>
          <w:szCs w:val="24"/>
          <w:shd w:val="pct10" w:color="auto" w:fill="FFFFFF"/>
        </w:rPr>
      </w:pPr>
      <w:r>
        <w:rPr>
          <w:rFonts w:hint="eastAsia" w:ascii="宋体" w:hAnsi="宋体" w:eastAsia="宋体" w:cs="宋体"/>
          <w:color w:val="000000"/>
          <w:sz w:val="24"/>
          <w:szCs w:val="24"/>
          <w:u w:val="single"/>
        </w:rPr>
        <w:t>发包人在开工前3天内组织承包人和设计人等单位进行图纸会审、设计交底，由承包人做好会审、交底纪要。</w:t>
      </w:r>
    </w:p>
    <w:p w14:paraId="5927C474">
      <w:pPr>
        <w:autoSpaceDE w:val="0"/>
        <w:autoSpaceDN w:val="0"/>
        <w:ind w:firstLine="480" w:firstLineChars="200"/>
        <w:contextualSpacing/>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rPr>
        <w:t>（3）接收已完工程、支付工程相关价款的约定：</w:t>
      </w:r>
      <w:r>
        <w:rPr>
          <w:rFonts w:hint="eastAsia" w:ascii="宋体" w:hAnsi="宋体" w:eastAsia="宋体" w:cs="宋体"/>
          <w:color w:val="000000"/>
          <w:sz w:val="24"/>
          <w:szCs w:val="24"/>
          <w:u w:val="single"/>
        </w:rPr>
        <w:t>发包人可将其中部分工作委托给承包人办理，具体由发包人决定。工程移交、工程款的支付按合同条款执行。</w:t>
      </w:r>
    </w:p>
    <w:p w14:paraId="1128D253">
      <w:pPr>
        <w:autoSpaceDE w:val="0"/>
        <w:autoSpaceDN w:val="0"/>
        <w:ind w:firstLine="480" w:firstLineChars="200"/>
        <w:contextualSpacing/>
        <w:jc w:val="left"/>
        <w:rPr>
          <w:rFonts w:hint="eastAsia" w:ascii="宋体" w:hAnsi="宋体" w:eastAsia="宋体" w:cs="宋体"/>
          <w:color w:val="000000"/>
          <w:sz w:val="24"/>
          <w:szCs w:val="24"/>
        </w:rPr>
      </w:pPr>
      <w:r>
        <w:rPr>
          <w:rFonts w:hint="eastAsia" w:ascii="宋体" w:hAnsi="宋体" w:eastAsia="宋体" w:cs="宋体"/>
          <w:color w:val="000000"/>
          <w:sz w:val="24"/>
          <w:szCs w:val="24"/>
        </w:rPr>
        <w:t>（4）委托给承包人负责的部分工作有：</w:t>
      </w:r>
      <w:r>
        <w:rPr>
          <w:rFonts w:hint="eastAsia" w:ascii="宋体" w:hAnsi="宋体" w:eastAsia="宋体" w:cs="宋体"/>
          <w:color w:val="000000"/>
          <w:sz w:val="24"/>
          <w:szCs w:val="24"/>
          <w:u w:val="single"/>
        </w:rPr>
        <w:t>负责正式工程移交前的照管，相关的费用已包含在承包人的投标报价中</w:t>
      </w:r>
      <w:r>
        <w:rPr>
          <w:rFonts w:hint="eastAsia" w:ascii="宋体" w:hAnsi="宋体" w:eastAsia="宋体" w:cs="宋体"/>
          <w:color w:val="000000"/>
          <w:sz w:val="24"/>
          <w:szCs w:val="24"/>
        </w:rPr>
        <w:t>。</w:t>
      </w:r>
    </w:p>
    <w:p w14:paraId="2A085397">
      <w:pPr>
        <w:autoSpaceDE w:val="0"/>
        <w:autoSpaceDN w:val="0"/>
        <w:ind w:firstLine="480" w:firstLineChars="200"/>
        <w:contextualSpacing/>
        <w:jc w:val="left"/>
        <w:rPr>
          <w:rFonts w:hint="eastAsia" w:ascii="宋体" w:hAnsi="宋体" w:eastAsia="宋体" w:cs="宋体"/>
          <w:color w:val="000000"/>
          <w:sz w:val="24"/>
          <w:szCs w:val="24"/>
        </w:rPr>
      </w:pPr>
      <w:r>
        <w:rPr>
          <w:rFonts w:hint="eastAsia" w:ascii="宋体" w:hAnsi="宋体" w:eastAsia="宋体" w:cs="宋体"/>
          <w:color w:val="000000"/>
          <w:sz w:val="24"/>
          <w:szCs w:val="24"/>
        </w:rPr>
        <w:t>（5）如承包人进度拖延，发包人有权自行或委托第三方代替承包人完成工作，由此产生的所有费用从应付给承包人的工程款中扣除。在此期间，承包人必须无条件服从发包人和监理人的所有安排。</w:t>
      </w:r>
    </w:p>
    <w:p w14:paraId="1E937E20">
      <w:pPr>
        <w:pStyle w:val="5"/>
        <w:spacing w:before="0" w:after="0" w:line="240" w:lineRule="auto"/>
        <w:ind w:firstLine="482" w:firstLineChars="200"/>
        <w:contextualSpacing/>
        <w:rPr>
          <w:rFonts w:hint="eastAsia" w:ascii="宋体" w:hAnsi="宋体" w:eastAsia="宋体" w:cs="宋体"/>
          <w:color w:val="000000"/>
          <w:sz w:val="24"/>
          <w:szCs w:val="24"/>
        </w:rPr>
      </w:pPr>
      <w:bookmarkStart w:id="409" w:name="_Toc443898192"/>
      <w:r>
        <w:rPr>
          <w:rFonts w:hint="eastAsia" w:ascii="宋体" w:hAnsi="宋体" w:eastAsia="宋体" w:cs="宋体"/>
          <w:color w:val="000000"/>
          <w:sz w:val="24"/>
          <w:szCs w:val="24"/>
        </w:rPr>
        <w:t>3. 承包人</w:t>
      </w:r>
      <w:bookmarkEnd w:id="409"/>
    </w:p>
    <w:p w14:paraId="3CDE5129">
      <w:pPr>
        <w:ind w:firstLine="482" w:firstLineChars="200"/>
        <w:contextualSpacing/>
        <w:rPr>
          <w:rFonts w:hint="eastAsia" w:ascii="宋体" w:hAnsi="宋体" w:eastAsia="宋体" w:cs="宋体"/>
          <w:b/>
          <w:color w:val="000000"/>
          <w:sz w:val="24"/>
          <w:szCs w:val="24"/>
        </w:rPr>
      </w:pPr>
      <w:r>
        <w:rPr>
          <w:rFonts w:hint="eastAsia" w:ascii="宋体" w:hAnsi="宋体" w:eastAsia="宋体" w:cs="宋体"/>
          <w:b/>
          <w:color w:val="000000"/>
          <w:sz w:val="24"/>
          <w:szCs w:val="24"/>
        </w:rPr>
        <w:t>3.1 承包人的一般义务</w:t>
      </w:r>
    </w:p>
    <w:p w14:paraId="779C24C4">
      <w:pPr>
        <w:ind w:firstLine="482" w:firstLineChars="200"/>
        <w:contextualSpacing/>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将第（8）目修改为：</w:t>
      </w:r>
    </w:p>
    <w:p w14:paraId="19FE8C2C">
      <w:pPr>
        <w:ind w:firstLine="480" w:firstLineChars="200"/>
        <w:contextualSpacing/>
        <w:jc w:val="left"/>
        <w:rPr>
          <w:rFonts w:hint="eastAsia" w:ascii="宋体" w:hAnsi="宋体" w:eastAsia="宋体" w:cs="宋体"/>
          <w:color w:val="000000"/>
          <w:sz w:val="24"/>
          <w:szCs w:val="24"/>
        </w:rPr>
      </w:pPr>
      <w:r>
        <w:rPr>
          <w:rFonts w:hint="eastAsia" w:ascii="宋体" w:hAnsi="宋体" w:eastAsia="宋体" w:cs="宋体"/>
          <w:color w:val="000000"/>
          <w:sz w:val="24"/>
          <w:szCs w:val="24"/>
        </w:rPr>
        <w:t>（8）将发包人按合同约定支付的各项价款专用于合同工程，且应及时支付其雇用人员工资，并及时向联合体人、供应商等主体支付合同价款；</w:t>
      </w:r>
    </w:p>
    <w:p w14:paraId="7E097F00">
      <w:pPr>
        <w:ind w:firstLine="482" w:firstLineChars="200"/>
        <w:contextualSpacing/>
        <w:jc w:val="left"/>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rPr>
        <w:t>对</w:t>
      </w:r>
      <w:r>
        <w:rPr>
          <w:rFonts w:hint="eastAsia" w:ascii="宋体" w:hAnsi="宋体" w:eastAsia="宋体" w:cs="宋体"/>
          <w:b/>
          <w:bCs/>
          <w:color w:val="000000"/>
          <w:sz w:val="24"/>
          <w:szCs w:val="24"/>
        </w:rPr>
        <w:t>第（9）目明确如下：</w:t>
      </w:r>
    </w:p>
    <w:p w14:paraId="200E1EFB">
      <w:pPr>
        <w:ind w:firstLine="480" w:firstLineChars="200"/>
        <w:contextualSpacing/>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rPr>
        <w:t>承包人提交的竣工资料的内容：</w:t>
      </w:r>
      <w:r>
        <w:rPr>
          <w:rFonts w:hint="eastAsia" w:ascii="宋体" w:hAnsi="宋体" w:eastAsia="宋体" w:cs="宋体"/>
          <w:color w:val="000000"/>
          <w:sz w:val="24"/>
          <w:szCs w:val="24"/>
          <w:u w:val="single"/>
        </w:rPr>
        <w:t>执行政府主管部门要求,包括但不限于</w:t>
      </w:r>
      <w:r>
        <w:rPr>
          <w:rFonts w:hint="eastAsia" w:ascii="宋体" w:hAnsi="宋体" w:eastAsia="宋体" w:cs="宋体"/>
          <w:sz w:val="24"/>
          <w:szCs w:val="24"/>
          <w:u w:val="single"/>
        </w:rPr>
        <w:t>开工报告、竣工报告、工程质量验收评定证书、材料检验报告、材料进场验收报告、产品质量合格证、经发包人批准的施工组织设计或施工方案、隐蔽工程验收记录、安装工程的调试方案和调试记录等。</w:t>
      </w:r>
    </w:p>
    <w:p w14:paraId="295A452D">
      <w:pPr>
        <w:ind w:firstLine="480" w:firstLineChars="200"/>
        <w:contextualSpacing/>
        <w:jc w:val="left"/>
        <w:rPr>
          <w:rFonts w:hint="eastAsia" w:ascii="宋体" w:hAnsi="宋体" w:eastAsia="宋体" w:cs="宋体"/>
          <w:color w:val="000000"/>
          <w:sz w:val="24"/>
          <w:szCs w:val="24"/>
        </w:rPr>
      </w:pPr>
      <w:r>
        <w:rPr>
          <w:rFonts w:hint="eastAsia" w:ascii="宋体" w:hAnsi="宋体" w:eastAsia="宋体" w:cs="宋体"/>
          <w:color w:val="000000"/>
          <w:sz w:val="24"/>
          <w:szCs w:val="24"/>
        </w:rPr>
        <w:t>承包人需要提交的竣工资料套数：</w:t>
      </w:r>
      <w:r>
        <w:rPr>
          <w:rFonts w:hint="eastAsia" w:ascii="宋体" w:hAnsi="宋体" w:eastAsia="宋体" w:cs="宋体"/>
          <w:color w:val="000000"/>
          <w:sz w:val="24"/>
          <w:szCs w:val="24"/>
          <w:u w:val="single"/>
        </w:rPr>
        <w:t xml:space="preserve"> </w:t>
      </w:r>
      <w:r>
        <w:rPr>
          <w:rStyle w:val="20"/>
          <w:rFonts w:hint="eastAsia" w:ascii="宋体" w:hAnsi="宋体" w:eastAsia="宋体" w:cs="宋体"/>
          <w:sz w:val="24"/>
          <w:szCs w:val="24"/>
          <w:u w:val="single" w:color="000000"/>
        </w:rPr>
        <w:t>按有关规范及规章</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24D17D98">
      <w:pPr>
        <w:ind w:firstLine="480" w:firstLineChars="200"/>
        <w:contextualSpacing/>
        <w:jc w:val="left"/>
        <w:rPr>
          <w:rFonts w:hint="eastAsia" w:ascii="宋体" w:hAnsi="宋体" w:eastAsia="宋体" w:cs="宋体"/>
          <w:color w:val="000000"/>
          <w:sz w:val="24"/>
          <w:szCs w:val="24"/>
        </w:rPr>
      </w:pPr>
      <w:r>
        <w:rPr>
          <w:rFonts w:hint="eastAsia" w:ascii="宋体" w:hAnsi="宋体" w:eastAsia="宋体" w:cs="宋体"/>
          <w:color w:val="000000"/>
          <w:sz w:val="24"/>
          <w:szCs w:val="24"/>
        </w:rPr>
        <w:t>承包人提交的竣工资料的费用承担：</w:t>
      </w:r>
      <w:r>
        <w:rPr>
          <w:rStyle w:val="20"/>
          <w:rFonts w:hint="eastAsia" w:ascii="宋体" w:hAnsi="宋体" w:eastAsia="宋体" w:cs="宋体"/>
          <w:sz w:val="24"/>
          <w:szCs w:val="24"/>
          <w:u w:val="single" w:color="000000"/>
        </w:rPr>
        <w:t>承包人</w:t>
      </w:r>
      <w:r>
        <w:rPr>
          <w:rFonts w:hint="eastAsia" w:ascii="宋体" w:hAnsi="宋体" w:eastAsia="宋体" w:cs="宋体"/>
          <w:color w:val="000000"/>
          <w:sz w:val="24"/>
          <w:szCs w:val="24"/>
        </w:rPr>
        <w:t>。</w:t>
      </w:r>
    </w:p>
    <w:p w14:paraId="3EAACC22">
      <w:pPr>
        <w:ind w:firstLine="480" w:firstLineChars="200"/>
        <w:contextualSpacing/>
        <w:jc w:val="left"/>
        <w:rPr>
          <w:rFonts w:hint="eastAsia" w:ascii="宋体" w:hAnsi="宋体" w:eastAsia="宋体" w:cs="宋体"/>
          <w:color w:val="FF0000"/>
          <w:sz w:val="24"/>
          <w:szCs w:val="24"/>
        </w:rPr>
      </w:pPr>
      <w:r>
        <w:rPr>
          <w:rFonts w:hint="eastAsia" w:ascii="宋体" w:hAnsi="宋体" w:eastAsia="宋体" w:cs="宋体"/>
          <w:color w:val="000000"/>
          <w:sz w:val="24"/>
          <w:szCs w:val="24"/>
        </w:rPr>
        <w:t>承包人提交的竣工资料移交时间：</w:t>
      </w:r>
      <w:r>
        <w:rPr>
          <w:rStyle w:val="20"/>
          <w:rFonts w:hint="eastAsia" w:ascii="宋体" w:hAnsi="宋体" w:eastAsia="宋体" w:cs="宋体"/>
          <w:sz w:val="24"/>
          <w:szCs w:val="24"/>
          <w:u w:val="single" w:color="000000"/>
        </w:rPr>
        <w:t>工程竣工验合格,且各项资料各方已全部签字盖章后60天内</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03CA378F">
      <w:pPr>
        <w:ind w:firstLine="480" w:firstLineChars="200"/>
        <w:contextualSpacing/>
        <w:jc w:val="left"/>
        <w:rPr>
          <w:rFonts w:hint="eastAsia" w:ascii="宋体" w:hAnsi="宋体" w:eastAsia="宋体" w:cs="宋体"/>
          <w:color w:val="000000"/>
          <w:sz w:val="24"/>
          <w:szCs w:val="24"/>
        </w:rPr>
      </w:pPr>
      <w:r>
        <w:rPr>
          <w:rFonts w:hint="eastAsia" w:ascii="宋体" w:hAnsi="宋体" w:eastAsia="宋体" w:cs="宋体"/>
          <w:color w:val="000000"/>
          <w:sz w:val="24"/>
          <w:szCs w:val="24"/>
        </w:rPr>
        <w:t>承包人提交的竣工资料形式要求：</w:t>
      </w:r>
      <w:r>
        <w:rPr>
          <w:rStyle w:val="20"/>
          <w:rFonts w:hint="eastAsia" w:ascii="宋体" w:hAnsi="宋体" w:eastAsia="宋体" w:cs="宋体"/>
          <w:sz w:val="24"/>
          <w:szCs w:val="24"/>
          <w:u w:val="single" w:color="000000"/>
        </w:rPr>
        <w:t>按档案整理有关规定</w:t>
      </w:r>
      <w:r>
        <w:rPr>
          <w:rFonts w:hint="eastAsia" w:ascii="宋体" w:hAnsi="宋体" w:eastAsia="宋体" w:cs="宋体"/>
          <w:color w:val="000000"/>
          <w:sz w:val="24"/>
          <w:szCs w:val="24"/>
        </w:rPr>
        <w:t>。</w:t>
      </w:r>
    </w:p>
    <w:p w14:paraId="79031DA8">
      <w:pPr>
        <w:ind w:firstLine="482" w:firstLineChars="200"/>
        <w:contextualSpacing/>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对第（10）目明确如下：</w:t>
      </w:r>
    </w:p>
    <w:p w14:paraId="189C7D08">
      <w:pPr>
        <w:ind w:firstLine="480" w:firstLineChars="200"/>
        <w:contextualSpacing/>
        <w:rPr>
          <w:rFonts w:hint="eastAsia" w:ascii="宋体" w:hAnsi="宋体" w:eastAsia="宋体" w:cs="宋体"/>
          <w:color w:val="000000"/>
          <w:sz w:val="24"/>
          <w:szCs w:val="24"/>
        </w:rPr>
      </w:pPr>
      <w:r>
        <w:rPr>
          <w:rFonts w:hint="eastAsia" w:ascii="宋体" w:hAnsi="宋体" w:eastAsia="宋体" w:cs="宋体"/>
          <w:color w:val="000000"/>
          <w:kern w:val="0"/>
          <w:sz w:val="24"/>
          <w:szCs w:val="24"/>
        </w:rPr>
        <w:t>承包人应履行的其他义务包括但不限于以下内容：</w:t>
      </w:r>
    </w:p>
    <w:p w14:paraId="31438256">
      <w:pPr>
        <w:autoSpaceDE w:val="0"/>
        <w:autoSpaceDN w:val="0"/>
        <w:ind w:firstLine="480" w:firstLineChars="200"/>
        <w:contextualSpacing/>
        <w:jc w:val="left"/>
        <w:rPr>
          <w:rFonts w:hint="eastAsia" w:ascii="宋体" w:hAnsi="宋体" w:eastAsia="宋体" w:cs="宋体"/>
          <w:color w:val="000000"/>
          <w:sz w:val="24"/>
          <w:szCs w:val="24"/>
        </w:rPr>
      </w:pPr>
      <w:r>
        <w:rPr>
          <w:rFonts w:hint="eastAsia" w:ascii="宋体" w:hAnsi="宋体" w:eastAsia="宋体" w:cs="宋体"/>
          <w:color w:val="000000"/>
          <w:kern w:val="0"/>
          <w:sz w:val="24"/>
          <w:szCs w:val="24"/>
        </w:rPr>
        <w:t>1）</w:t>
      </w:r>
      <w:r>
        <w:rPr>
          <w:rFonts w:hint="eastAsia" w:ascii="宋体" w:hAnsi="宋体" w:eastAsia="宋体" w:cs="宋体"/>
          <w:color w:val="000000"/>
          <w:sz w:val="24"/>
          <w:szCs w:val="24"/>
        </w:rPr>
        <w:t>承包人应注意对现有的道路、排水管、供水管、绿化、路灯、电力和通讯设施等进行保护，由承包人原因造成的毁损，承包人应负责修复，不能修复的应全责赔偿，并承担由此产生的一切费用。若不能按要求修复则由发包人另行委托其它单位修复，由此产生的所有费用由发包人直接从应付承包人工程款中扣除，不足部分由承包人向发包人支付。</w:t>
      </w:r>
    </w:p>
    <w:p w14:paraId="75095886">
      <w:pPr>
        <w:autoSpaceDE w:val="0"/>
        <w:autoSpaceDN w:val="0"/>
        <w:ind w:firstLine="480" w:firstLineChars="200"/>
        <w:contextualSpacing/>
        <w:jc w:val="left"/>
        <w:rPr>
          <w:rFonts w:hint="eastAsia" w:ascii="宋体" w:hAnsi="宋体" w:eastAsia="宋体" w:cs="宋体"/>
          <w:sz w:val="24"/>
          <w:szCs w:val="24"/>
          <w:u w:val="single"/>
        </w:rPr>
      </w:pPr>
      <w:r>
        <w:rPr>
          <w:rFonts w:hint="eastAsia" w:ascii="宋体" w:hAnsi="宋体" w:eastAsia="宋体" w:cs="宋体"/>
          <w:color w:val="000000"/>
          <w:kern w:val="0"/>
          <w:sz w:val="24"/>
          <w:szCs w:val="24"/>
        </w:rPr>
        <w:t>2）</w:t>
      </w:r>
      <w:r>
        <w:rPr>
          <w:rFonts w:hint="eastAsia" w:ascii="宋体" w:hAnsi="宋体" w:eastAsia="宋体" w:cs="宋体"/>
          <w:color w:val="000000"/>
          <w:sz w:val="24"/>
          <w:szCs w:val="24"/>
        </w:rPr>
        <w:t>做好施工场地地下管线和邻近建筑物、构筑物（包括文物保护建筑）、古树名木等保护工作的约定：</w:t>
      </w:r>
    </w:p>
    <w:p w14:paraId="7A3E3BDF">
      <w:pPr>
        <w:ind w:firstLine="480" w:firstLineChars="200"/>
        <w:contextualSpacing/>
        <w:rPr>
          <w:rFonts w:hint="eastAsia" w:ascii="宋体" w:hAnsi="宋体" w:eastAsia="宋体" w:cs="宋体"/>
          <w:sz w:val="24"/>
          <w:szCs w:val="24"/>
          <w:u w:val="single"/>
        </w:rPr>
      </w:pPr>
      <w:r>
        <w:rPr>
          <w:rFonts w:hint="eastAsia" w:ascii="宋体" w:hAnsi="宋体" w:eastAsia="宋体" w:cs="宋体"/>
          <w:kern w:val="0"/>
          <w:sz w:val="24"/>
          <w:szCs w:val="24"/>
          <w:u w:val="single"/>
        </w:rPr>
        <w:t>承包人应对施工场地及周围的地下管线、建筑物、构筑物（含文物保护建筑）、名树名木之状况进行勘察，根据勘察结果确定具体的保护措施并承担有关费用。若发现正常施工措施及现有条件已不能达到保护目的，承包人应及时报告，经总监理工程师、发包人批准采取特殊保护处理的，发包人承担不包含在招投标内容中的额外保护费用。</w:t>
      </w:r>
    </w:p>
    <w:p w14:paraId="5F22ECD9">
      <w:pPr>
        <w:ind w:firstLine="480" w:firstLineChars="200"/>
        <w:contextualSpacing/>
        <w:rPr>
          <w:rFonts w:hint="eastAsia" w:ascii="宋体" w:hAnsi="宋体" w:eastAsia="宋体" w:cs="宋体"/>
          <w:sz w:val="24"/>
          <w:szCs w:val="24"/>
        </w:rPr>
      </w:pPr>
      <w:r>
        <w:rPr>
          <w:rFonts w:hint="eastAsia" w:ascii="宋体" w:hAnsi="宋体" w:eastAsia="宋体" w:cs="宋体"/>
          <w:color w:val="000000"/>
          <w:kern w:val="0"/>
          <w:sz w:val="24"/>
          <w:szCs w:val="24"/>
        </w:rPr>
        <w:t>3）</w:t>
      </w:r>
      <w:r>
        <w:rPr>
          <w:rFonts w:hint="eastAsia" w:ascii="宋体" w:hAnsi="宋体" w:eastAsia="宋体" w:cs="宋体"/>
          <w:sz w:val="24"/>
          <w:szCs w:val="24"/>
        </w:rPr>
        <w:t>承包人应采取适当措施，确保其施工作业人员的身体健康，遵照当地卫生部门的相关要求，保证在施工的全过程当中若出现任何重大或恶性传染性的疾病，承包人必须遵守并执行省市卫生部门为处理或控制上述传染病而制定的规章、命令和要求，迅速向发包人和佛山市南海区疾控部门报告。</w:t>
      </w:r>
    </w:p>
    <w:p w14:paraId="646CFB6F">
      <w:pPr>
        <w:autoSpaceDE w:val="0"/>
        <w:autoSpaceDN w:val="0"/>
        <w:ind w:firstLine="480" w:firstLineChars="200"/>
        <w:contextualSpacing/>
        <w:jc w:val="left"/>
        <w:rPr>
          <w:rFonts w:hint="eastAsia" w:ascii="宋体" w:hAnsi="宋体" w:eastAsia="宋体" w:cs="宋体"/>
          <w:sz w:val="24"/>
          <w:szCs w:val="24"/>
        </w:rPr>
      </w:pPr>
      <w:r>
        <w:rPr>
          <w:rFonts w:hint="eastAsia" w:ascii="宋体" w:hAnsi="宋体" w:eastAsia="宋体" w:cs="宋体"/>
          <w:color w:val="000000"/>
          <w:kern w:val="0"/>
          <w:sz w:val="24"/>
          <w:szCs w:val="24"/>
        </w:rPr>
        <w:t>4）</w:t>
      </w:r>
      <w:r>
        <w:rPr>
          <w:rFonts w:hint="eastAsia" w:ascii="宋体" w:hAnsi="宋体" w:eastAsia="宋体" w:cs="宋体"/>
          <w:sz w:val="24"/>
          <w:szCs w:val="24"/>
        </w:rPr>
        <w:t>若承包人认为发包人或监理人的指令违反了安全管理规定，可以拒绝执行，同时必须书面向监理人提交有关说明，否则，责任由承包人承担。</w:t>
      </w:r>
    </w:p>
    <w:p w14:paraId="41C2C171">
      <w:pPr>
        <w:autoSpaceDE w:val="0"/>
        <w:autoSpaceDN w:val="0"/>
        <w:ind w:firstLine="480" w:firstLineChars="200"/>
        <w:contextualSpacing/>
        <w:jc w:val="left"/>
        <w:rPr>
          <w:rFonts w:hint="eastAsia" w:ascii="宋体" w:hAnsi="宋体" w:eastAsia="宋体" w:cs="宋体"/>
          <w:sz w:val="24"/>
          <w:szCs w:val="24"/>
        </w:rPr>
      </w:pPr>
      <w:r>
        <w:rPr>
          <w:rFonts w:hint="eastAsia" w:ascii="宋体" w:hAnsi="宋体" w:eastAsia="宋体" w:cs="宋体"/>
          <w:color w:val="000000"/>
          <w:kern w:val="0"/>
          <w:sz w:val="24"/>
          <w:szCs w:val="24"/>
        </w:rPr>
        <w:t>5）</w:t>
      </w:r>
      <w:r>
        <w:rPr>
          <w:rFonts w:hint="eastAsia" w:ascii="宋体" w:hAnsi="宋体" w:eastAsia="宋体" w:cs="宋体"/>
          <w:sz w:val="24"/>
          <w:szCs w:val="24"/>
        </w:rPr>
        <w:t>承包人应按时向雇员支付劳务工资和购买社会保险。</w:t>
      </w:r>
    </w:p>
    <w:p w14:paraId="77DB6345">
      <w:pPr>
        <w:pStyle w:val="22"/>
        <w:ind w:firstLine="560"/>
        <w:contextualSpacing/>
        <w:rPr>
          <w:rFonts w:hint="eastAsia" w:ascii="宋体" w:hAnsi="宋体" w:eastAsia="宋体" w:cs="宋体"/>
          <w:kern w:val="0"/>
          <w:sz w:val="24"/>
          <w:szCs w:val="24"/>
        </w:rPr>
      </w:pPr>
      <w:r>
        <w:rPr>
          <w:rFonts w:hint="eastAsia" w:ascii="宋体" w:hAnsi="宋体" w:eastAsia="宋体" w:cs="宋体"/>
          <w:sz w:val="24"/>
          <w:szCs w:val="24"/>
        </w:rPr>
        <w:t>a.</w:t>
      </w:r>
      <w:r>
        <w:rPr>
          <w:rFonts w:hint="eastAsia" w:ascii="宋体" w:hAnsi="宋体" w:eastAsia="宋体" w:cs="宋体"/>
          <w:kern w:val="0"/>
          <w:sz w:val="24"/>
          <w:szCs w:val="24"/>
        </w:rPr>
        <w:t>承包人严格执行主管部门颁发的工人工资管理规定，按要求实行工人工资分账支付，在办理施工手续前向建设项目相对应的建设行业主管部门公布名录中的商业银行开设工人工资支付专用账户，用于支付工人工资。承包人申请拨付预付款、进度款时，须向发包人提供工人工资支付专用账户。发包人支付预付款、进度款时，按协议书约定的工人工资款比例，将工人工资拨付到工人工资支付专用账户。</w:t>
      </w:r>
    </w:p>
    <w:p w14:paraId="2F75A74C">
      <w:pPr>
        <w:pStyle w:val="22"/>
        <w:ind w:firstLine="560"/>
        <w:contextualSpacing/>
        <w:rPr>
          <w:rFonts w:hint="eastAsia" w:ascii="宋体" w:hAnsi="宋体" w:eastAsia="宋体" w:cs="宋体"/>
          <w:kern w:val="0"/>
          <w:sz w:val="24"/>
          <w:szCs w:val="24"/>
        </w:rPr>
      </w:pPr>
      <w:r>
        <w:rPr>
          <w:rFonts w:hint="eastAsia" w:ascii="宋体" w:hAnsi="宋体" w:eastAsia="宋体" w:cs="宋体"/>
          <w:color w:val="000000"/>
          <w:sz w:val="24"/>
          <w:szCs w:val="24"/>
        </w:rPr>
        <w:t>b.</w:t>
      </w:r>
      <w:r>
        <w:rPr>
          <w:rFonts w:hint="eastAsia" w:ascii="宋体" w:hAnsi="宋体" w:eastAsia="宋体" w:cs="宋体"/>
          <w:kern w:val="0"/>
          <w:sz w:val="24"/>
          <w:szCs w:val="24"/>
        </w:rPr>
        <w:t>承包人应保证每期所获进度款和工人工资安排民工工资的发放，否则，发包人有权在下一期进度款或履约保证金中扣除一定款项作为民工工资保证金，必要时直接支付给民工个人。</w:t>
      </w:r>
    </w:p>
    <w:p w14:paraId="7F4AD5A1">
      <w:pPr>
        <w:pStyle w:val="22"/>
        <w:ind w:firstLine="560"/>
        <w:contextualSpacing/>
        <w:rPr>
          <w:rFonts w:hint="eastAsia" w:ascii="宋体" w:hAnsi="宋体" w:eastAsia="宋体" w:cs="宋体"/>
          <w:kern w:val="0"/>
          <w:sz w:val="24"/>
          <w:szCs w:val="24"/>
        </w:rPr>
      </w:pPr>
      <w:r>
        <w:rPr>
          <w:rFonts w:hint="eastAsia" w:ascii="宋体" w:hAnsi="宋体" w:eastAsia="宋体" w:cs="宋体"/>
          <w:color w:val="000000"/>
          <w:sz w:val="24"/>
          <w:szCs w:val="24"/>
        </w:rPr>
        <w:t>c.</w:t>
      </w:r>
      <w:r>
        <w:rPr>
          <w:rFonts w:hint="eastAsia" w:ascii="宋体" w:hAnsi="宋体" w:eastAsia="宋体" w:cs="宋体"/>
          <w:kern w:val="0"/>
          <w:sz w:val="24"/>
          <w:szCs w:val="24"/>
        </w:rPr>
        <w:t>承包人应当根据劳动合同约定的民工工资标准等内容，按照依法签订的集体合同或劳动合同约定的日期按月支付工资，并不得低于本工程所在地及承包人注册地的当地最低工资标准。承包人在合同有效期内应根据国家及省市相关法律规定的更改，提高或降低民工的工资。</w:t>
      </w:r>
    </w:p>
    <w:p w14:paraId="2CA6A35C">
      <w:pPr>
        <w:pStyle w:val="22"/>
        <w:ind w:firstLine="560"/>
        <w:contextualSpacing/>
        <w:rPr>
          <w:rFonts w:hint="eastAsia" w:ascii="宋体" w:hAnsi="宋体" w:eastAsia="宋体" w:cs="宋体"/>
          <w:kern w:val="0"/>
          <w:sz w:val="24"/>
          <w:szCs w:val="24"/>
        </w:rPr>
      </w:pPr>
      <w:r>
        <w:rPr>
          <w:rFonts w:hint="eastAsia" w:ascii="宋体" w:hAnsi="宋体" w:eastAsia="宋体" w:cs="宋体"/>
          <w:color w:val="000000"/>
          <w:sz w:val="24"/>
          <w:szCs w:val="24"/>
        </w:rPr>
        <w:t>d.</w:t>
      </w:r>
      <w:r>
        <w:rPr>
          <w:rFonts w:hint="eastAsia" w:ascii="宋体" w:hAnsi="宋体" w:eastAsia="宋体" w:cs="宋体"/>
          <w:kern w:val="0"/>
          <w:sz w:val="24"/>
          <w:szCs w:val="24"/>
        </w:rPr>
        <w:t>承包人支付民工工资应编制工资支付表，工资支付表上应由领取工资的民工签收，如实记录支付表，支付时间、支付对象、支付数额等工资支付情况，并保存备查。</w:t>
      </w:r>
    </w:p>
    <w:p w14:paraId="12768864">
      <w:pPr>
        <w:pStyle w:val="22"/>
        <w:ind w:firstLine="560"/>
        <w:contextualSpacing/>
        <w:rPr>
          <w:rFonts w:hint="eastAsia" w:ascii="宋体" w:hAnsi="宋体" w:eastAsia="宋体" w:cs="宋体"/>
          <w:kern w:val="0"/>
          <w:sz w:val="24"/>
          <w:szCs w:val="24"/>
        </w:rPr>
      </w:pPr>
      <w:r>
        <w:rPr>
          <w:rFonts w:hint="eastAsia" w:ascii="宋体" w:hAnsi="宋体" w:eastAsia="宋体" w:cs="宋体"/>
          <w:color w:val="000000"/>
          <w:sz w:val="24"/>
          <w:szCs w:val="24"/>
        </w:rPr>
        <w:t>e.</w:t>
      </w:r>
      <w:r>
        <w:rPr>
          <w:rFonts w:hint="eastAsia" w:ascii="宋体" w:hAnsi="宋体" w:eastAsia="宋体" w:cs="宋体"/>
          <w:kern w:val="0"/>
          <w:sz w:val="24"/>
          <w:szCs w:val="24"/>
        </w:rPr>
        <w:t>非经发包人同意，本工程不得分包。发包人同意分包的，承包人应对其专业分包或劳务分包人工资支付进行监督，督促其依法支付民工工资。承包人的专业分包或劳务分包人的责任同样视为承包人的责任。</w:t>
      </w:r>
    </w:p>
    <w:p w14:paraId="65F087A0">
      <w:pPr>
        <w:pStyle w:val="22"/>
        <w:ind w:firstLine="560"/>
        <w:contextualSpacing/>
        <w:rPr>
          <w:rFonts w:hint="eastAsia" w:ascii="宋体" w:hAnsi="宋体" w:eastAsia="宋体" w:cs="宋体"/>
          <w:kern w:val="0"/>
          <w:sz w:val="24"/>
          <w:szCs w:val="24"/>
        </w:rPr>
      </w:pPr>
      <w:r>
        <w:rPr>
          <w:rFonts w:hint="eastAsia" w:ascii="宋体" w:hAnsi="宋体" w:eastAsia="宋体" w:cs="宋体"/>
          <w:color w:val="000000"/>
          <w:sz w:val="24"/>
          <w:szCs w:val="24"/>
        </w:rPr>
        <w:t>f.</w:t>
      </w:r>
      <w:r>
        <w:rPr>
          <w:rFonts w:hint="eastAsia" w:ascii="宋体" w:hAnsi="宋体" w:eastAsia="宋体" w:cs="宋体"/>
          <w:kern w:val="0"/>
          <w:sz w:val="24"/>
          <w:szCs w:val="24"/>
        </w:rPr>
        <w:t>承包人应按上述要求及国家、地方有关规定按时支付民工工资，否则，视为违约，并按相应条款承担违约责任。</w:t>
      </w:r>
    </w:p>
    <w:p w14:paraId="6AB488F9">
      <w:pPr>
        <w:pStyle w:val="22"/>
        <w:ind w:firstLine="560"/>
        <w:contextualSpacing/>
        <w:rPr>
          <w:rFonts w:hint="eastAsia" w:ascii="宋体" w:hAnsi="宋体" w:eastAsia="宋体" w:cs="宋体"/>
          <w:kern w:val="0"/>
          <w:sz w:val="24"/>
          <w:szCs w:val="24"/>
        </w:rPr>
      </w:pPr>
      <w:r>
        <w:rPr>
          <w:rFonts w:hint="eastAsia" w:ascii="宋体" w:hAnsi="宋体" w:eastAsia="宋体" w:cs="宋体"/>
          <w:color w:val="000000"/>
          <w:sz w:val="24"/>
          <w:szCs w:val="24"/>
        </w:rPr>
        <w:t>g.</w:t>
      </w:r>
      <w:r>
        <w:rPr>
          <w:rFonts w:hint="eastAsia" w:ascii="宋体" w:hAnsi="宋体" w:eastAsia="宋体" w:cs="宋体"/>
          <w:kern w:val="0"/>
          <w:sz w:val="24"/>
          <w:szCs w:val="24"/>
        </w:rPr>
        <w:t>承包人应严格按照法律法规、国家和地方行政规范性文件的规定，为其雇员购买社会保险，否则按照以下原则处理：</w:t>
      </w:r>
    </w:p>
    <w:p w14:paraId="4BA35BD3">
      <w:pPr>
        <w:pStyle w:val="22"/>
        <w:ind w:firstLine="560"/>
        <w:contextualSpacing/>
        <w:rPr>
          <w:rFonts w:hint="eastAsia" w:ascii="宋体" w:hAnsi="宋体" w:eastAsia="宋体" w:cs="宋体"/>
          <w:kern w:val="0"/>
          <w:sz w:val="24"/>
          <w:szCs w:val="24"/>
        </w:rPr>
      </w:pPr>
      <w:r>
        <w:rPr>
          <w:rFonts w:hint="eastAsia" w:ascii="宋体" w:hAnsi="宋体" w:eastAsia="宋体" w:cs="宋体"/>
          <w:kern w:val="0"/>
          <w:sz w:val="24"/>
          <w:szCs w:val="24"/>
        </w:rPr>
        <w:t>a）承包人自行承担相应的行政责任和向雇员承担法律责任，上述责任与发包人无关。</w:t>
      </w:r>
    </w:p>
    <w:p w14:paraId="6C281C63">
      <w:pPr>
        <w:pStyle w:val="22"/>
        <w:ind w:firstLine="560"/>
        <w:contextualSpacing/>
        <w:rPr>
          <w:rFonts w:hint="eastAsia" w:ascii="宋体" w:hAnsi="宋体" w:eastAsia="宋体" w:cs="宋体"/>
          <w:kern w:val="0"/>
          <w:sz w:val="24"/>
          <w:szCs w:val="24"/>
        </w:rPr>
      </w:pPr>
      <w:r>
        <w:rPr>
          <w:rFonts w:hint="eastAsia" w:ascii="宋体" w:hAnsi="宋体" w:eastAsia="宋体" w:cs="宋体"/>
          <w:kern w:val="0"/>
          <w:sz w:val="24"/>
          <w:szCs w:val="24"/>
        </w:rPr>
        <w:t>b）承包人须向发包人承担本合同项下的违约责任，给发包人造成损失的，由承包人向发包人承担该损失，发包人有权在合同款项中扣除该损失。</w:t>
      </w:r>
    </w:p>
    <w:p w14:paraId="4A500EC3">
      <w:pPr>
        <w:pStyle w:val="22"/>
        <w:ind w:firstLine="560"/>
        <w:contextualSpacing/>
        <w:rPr>
          <w:rFonts w:hint="eastAsia" w:ascii="宋体" w:hAnsi="宋体" w:eastAsia="宋体" w:cs="宋体"/>
          <w:kern w:val="0"/>
          <w:sz w:val="24"/>
          <w:szCs w:val="24"/>
        </w:rPr>
      </w:pPr>
      <w:r>
        <w:rPr>
          <w:rFonts w:hint="eastAsia" w:ascii="宋体" w:hAnsi="宋体" w:eastAsia="宋体" w:cs="宋体"/>
          <w:kern w:val="0"/>
          <w:sz w:val="24"/>
          <w:szCs w:val="24"/>
        </w:rPr>
        <w:t>c）必要时发包人有权先行垫付，相应垫付款项由承包人承担，发包人有权在合同款项中扣除该垫付款。</w:t>
      </w:r>
    </w:p>
    <w:p w14:paraId="261CD266">
      <w:pPr>
        <w:pStyle w:val="22"/>
        <w:ind w:firstLine="560"/>
        <w:contextualSpacing/>
        <w:rPr>
          <w:rFonts w:hint="eastAsia" w:ascii="宋体" w:hAnsi="宋体" w:eastAsia="宋体" w:cs="宋体"/>
          <w:sz w:val="24"/>
          <w:szCs w:val="24"/>
        </w:rPr>
      </w:pPr>
      <w:r>
        <w:rPr>
          <w:rFonts w:hint="eastAsia" w:ascii="宋体" w:hAnsi="宋体" w:eastAsia="宋体" w:cs="宋体"/>
          <w:kern w:val="0"/>
          <w:sz w:val="24"/>
          <w:szCs w:val="24"/>
        </w:rPr>
        <w:t>d）承包人应对其专业分包或劳务分包人的社会保险购买情况进行监督，督促各专业分包或劳务分包人履行购买社会保险义务，承包人的专业分包或劳务分包人的责任同样视为承包人的责任，按照上述a）、b）</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c）条的原则处理。</w:t>
      </w:r>
    </w:p>
    <w:p w14:paraId="2D3114F3">
      <w:pPr>
        <w:autoSpaceDE w:val="0"/>
        <w:autoSpaceDN w:val="0"/>
        <w:ind w:firstLine="480" w:firstLineChars="200"/>
        <w:contextualSpacing/>
        <w:jc w:val="left"/>
        <w:rPr>
          <w:rFonts w:hint="eastAsia" w:ascii="宋体" w:hAnsi="宋体" w:eastAsia="宋体" w:cs="宋体"/>
          <w:sz w:val="24"/>
          <w:szCs w:val="24"/>
        </w:rPr>
      </w:pPr>
      <w:r>
        <w:rPr>
          <w:rFonts w:hint="eastAsia" w:ascii="宋体" w:hAnsi="宋体" w:eastAsia="宋体" w:cs="宋体"/>
          <w:color w:val="000000"/>
          <w:sz w:val="24"/>
          <w:szCs w:val="24"/>
        </w:rPr>
        <w:t>h.</w:t>
      </w:r>
      <w:r>
        <w:rPr>
          <w:rFonts w:hint="eastAsia" w:ascii="宋体" w:hAnsi="宋体" w:eastAsia="宋体" w:cs="宋体"/>
          <w:sz w:val="24"/>
          <w:szCs w:val="24"/>
        </w:rPr>
        <w:t>承包人在履行本合同过程中发生的人员伤亡等事件所导致的经济赔偿及法律责任均由承包人自行承担。若发包人代为垫付或因此给发包人造成损失的，发包人有权直接从应付给承包人的合同款项中予以扣除。</w:t>
      </w:r>
    </w:p>
    <w:p w14:paraId="7630D86E">
      <w:pPr>
        <w:ind w:firstLine="480" w:firstLineChars="200"/>
        <w:contextualSpacing/>
        <w:rPr>
          <w:rFonts w:hint="eastAsia" w:ascii="宋体" w:hAnsi="宋体" w:eastAsia="宋体" w:cs="宋体"/>
          <w:kern w:val="0"/>
          <w:sz w:val="24"/>
          <w:szCs w:val="24"/>
        </w:rPr>
      </w:pPr>
      <w:r>
        <w:rPr>
          <w:rFonts w:hint="eastAsia" w:ascii="宋体" w:hAnsi="宋体" w:eastAsia="宋体" w:cs="宋体"/>
          <w:color w:val="000000"/>
          <w:kern w:val="0"/>
          <w:sz w:val="24"/>
          <w:szCs w:val="24"/>
        </w:rPr>
        <w:t>6）</w:t>
      </w:r>
      <w:r>
        <w:rPr>
          <w:rFonts w:hint="eastAsia" w:ascii="宋体" w:hAnsi="宋体" w:eastAsia="宋体" w:cs="宋体"/>
          <w:sz w:val="24"/>
          <w:szCs w:val="24"/>
        </w:rPr>
        <w:t>承包人应按相关规定或协议及时向材料、劳务等分包人支付相应款项。因承包人未及时向分包人支付相应款项而引起分包人以发包人为被告的诉讼，承包人应承担因此给发包人造成的损失（包括但不限于诉讼费、仲裁费、律师费、工期损失和其他损失赔偿金），发包人有权从直接应付给承包人的合同款项中予以扣除</w:t>
      </w:r>
      <w:r>
        <w:rPr>
          <w:rFonts w:hint="eastAsia" w:ascii="宋体" w:hAnsi="宋体" w:eastAsia="宋体" w:cs="宋体"/>
          <w:kern w:val="0"/>
          <w:sz w:val="24"/>
          <w:szCs w:val="24"/>
        </w:rPr>
        <w:t>。</w:t>
      </w:r>
    </w:p>
    <w:p w14:paraId="429AA35F">
      <w:pPr>
        <w:autoSpaceDE w:val="0"/>
        <w:autoSpaceDN w:val="0"/>
        <w:ind w:firstLine="480" w:firstLineChars="200"/>
        <w:contextualSpacing/>
        <w:jc w:val="left"/>
        <w:rPr>
          <w:rFonts w:hint="eastAsia" w:ascii="宋体" w:hAnsi="宋体" w:eastAsia="宋体" w:cs="宋体"/>
          <w:sz w:val="24"/>
          <w:szCs w:val="24"/>
        </w:rPr>
      </w:pPr>
      <w:r>
        <w:rPr>
          <w:rFonts w:hint="eastAsia" w:ascii="宋体" w:hAnsi="宋体" w:eastAsia="宋体" w:cs="宋体"/>
          <w:color w:val="000000"/>
          <w:kern w:val="0"/>
          <w:sz w:val="24"/>
          <w:szCs w:val="24"/>
        </w:rPr>
        <w:t>7）</w:t>
      </w:r>
      <w:r>
        <w:rPr>
          <w:rFonts w:hint="eastAsia" w:ascii="宋体" w:hAnsi="宋体" w:eastAsia="宋体" w:cs="宋体"/>
          <w:sz w:val="24"/>
          <w:szCs w:val="24"/>
        </w:rPr>
        <w:t>必须确保本项目所有工程（包括指定分包人、独立分包人负责的工程）达到建设工程质量监督管理机构要求的竣工验收及备案条件，并完成所有法定的手续。提交竣工验收申请报告和竣工结算文件按发包人要求进行结算工作。</w:t>
      </w:r>
    </w:p>
    <w:p w14:paraId="0FDEA831">
      <w:pPr>
        <w:ind w:firstLine="480" w:firstLineChars="200"/>
        <w:contextualSpacing/>
        <w:rPr>
          <w:rFonts w:hint="eastAsia" w:ascii="宋体" w:hAnsi="宋体" w:eastAsia="宋体" w:cs="宋体"/>
          <w:sz w:val="24"/>
          <w:szCs w:val="24"/>
        </w:rPr>
      </w:pPr>
      <w:r>
        <w:rPr>
          <w:rFonts w:hint="eastAsia" w:ascii="宋体" w:hAnsi="宋体" w:eastAsia="宋体" w:cs="宋体"/>
          <w:color w:val="000000"/>
          <w:kern w:val="0"/>
          <w:sz w:val="24"/>
          <w:szCs w:val="24"/>
        </w:rPr>
        <w:t>8）</w:t>
      </w:r>
      <w:r>
        <w:rPr>
          <w:rFonts w:hint="eastAsia" w:ascii="宋体" w:hAnsi="宋体" w:eastAsia="宋体" w:cs="宋体"/>
          <w:sz w:val="24"/>
          <w:szCs w:val="24"/>
        </w:rPr>
        <w:t>向发包人及监理人提供施工场地办公和生活的房屋约定为：</w:t>
      </w:r>
    </w:p>
    <w:p w14:paraId="35D74E05">
      <w:pPr>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提供时间：项目开工前</w:t>
      </w:r>
      <w:r>
        <w:rPr>
          <w:rFonts w:hint="eastAsia" w:ascii="宋体" w:hAnsi="宋体" w:eastAsia="宋体" w:cs="宋体"/>
          <w:sz w:val="24"/>
          <w:szCs w:val="24"/>
          <w:u w:val="single"/>
        </w:rPr>
        <w:t>15天</w:t>
      </w:r>
      <w:r>
        <w:rPr>
          <w:rFonts w:hint="eastAsia" w:ascii="宋体" w:hAnsi="宋体" w:eastAsia="宋体" w:cs="宋体"/>
          <w:sz w:val="24"/>
          <w:szCs w:val="24"/>
        </w:rPr>
        <w:t>。</w:t>
      </w:r>
    </w:p>
    <w:p w14:paraId="6CF5F2A4">
      <w:pPr>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要求：具体的标准详见下表。</w:t>
      </w:r>
    </w:p>
    <w:p w14:paraId="29667C34">
      <w:pPr>
        <w:ind w:left="0" w:leftChars="0" w:firstLine="0" w:firstLineChars="0"/>
        <w:contextualSpacing/>
        <w:jc w:val="center"/>
        <w:rPr>
          <w:rFonts w:hint="eastAsia" w:ascii="宋体" w:hAnsi="宋体" w:eastAsia="宋体" w:cs="宋体"/>
          <w:sz w:val="24"/>
          <w:szCs w:val="24"/>
        </w:rPr>
      </w:pPr>
      <w:r>
        <w:rPr>
          <w:rFonts w:hint="eastAsia" w:ascii="宋体" w:hAnsi="宋体" w:eastAsia="宋体" w:cs="宋体"/>
          <w:sz w:val="24"/>
          <w:szCs w:val="24"/>
        </w:rPr>
        <w:t>办公用房及设施表</w:t>
      </w:r>
    </w:p>
    <w:tbl>
      <w:tblPr>
        <w:tblStyle w:val="17"/>
        <w:tblW w:w="0" w:type="auto"/>
        <w:tblInd w:w="17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30" w:type="dxa"/>
          <w:bottom w:w="0" w:type="dxa"/>
          <w:right w:w="30" w:type="dxa"/>
        </w:tblCellMar>
      </w:tblPr>
      <w:tblGrid>
        <w:gridCol w:w="1418"/>
        <w:gridCol w:w="2835"/>
        <w:gridCol w:w="800"/>
        <w:gridCol w:w="901"/>
        <w:gridCol w:w="3024"/>
      </w:tblGrid>
      <w:tr w14:paraId="69653A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30" w:type="dxa"/>
            <w:bottom w:w="0" w:type="dxa"/>
            <w:right w:w="30" w:type="dxa"/>
          </w:tblCellMar>
        </w:tblPrEx>
        <w:trPr>
          <w:trHeight w:val="320" w:hRule="atLeast"/>
        </w:trPr>
        <w:tc>
          <w:tcPr>
            <w:tcW w:w="1418" w:type="dxa"/>
            <w:noWrap w:val="0"/>
            <w:vAlign w:val="center"/>
          </w:tcPr>
          <w:p w14:paraId="2EA4DA94">
            <w:pPr>
              <w:autoSpaceDE w:val="0"/>
              <w:autoSpaceDN w:val="0"/>
              <w:ind w:firstLine="0"/>
              <w:contextualSpacing/>
              <w:jc w:val="center"/>
              <w:rPr>
                <w:rFonts w:hint="eastAsia" w:ascii="宋体" w:hAnsi="宋体" w:eastAsia="宋体" w:cs="宋体"/>
                <w:sz w:val="24"/>
                <w:szCs w:val="24"/>
              </w:rPr>
            </w:pPr>
            <w:r>
              <w:rPr>
                <w:rFonts w:hint="eastAsia" w:ascii="宋体" w:hAnsi="宋体" w:eastAsia="宋体" w:cs="宋体"/>
                <w:sz w:val="24"/>
                <w:szCs w:val="24"/>
              </w:rPr>
              <w:t>序号</w:t>
            </w:r>
          </w:p>
        </w:tc>
        <w:tc>
          <w:tcPr>
            <w:tcW w:w="2835" w:type="dxa"/>
            <w:noWrap w:val="0"/>
            <w:vAlign w:val="center"/>
          </w:tcPr>
          <w:p w14:paraId="3E5B36C7">
            <w:pPr>
              <w:autoSpaceDE w:val="0"/>
              <w:autoSpaceDN w:val="0"/>
              <w:ind w:firstLine="0"/>
              <w:contextualSpacing/>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800" w:type="dxa"/>
            <w:noWrap w:val="0"/>
            <w:vAlign w:val="center"/>
          </w:tcPr>
          <w:p w14:paraId="4647290F">
            <w:pPr>
              <w:autoSpaceDE w:val="0"/>
              <w:autoSpaceDN w:val="0"/>
              <w:contextualSpacing/>
              <w:jc w:val="center"/>
              <w:rPr>
                <w:rFonts w:hint="eastAsia" w:ascii="宋体" w:hAnsi="宋体" w:eastAsia="宋体" w:cs="宋体"/>
                <w:sz w:val="24"/>
                <w:szCs w:val="24"/>
              </w:rPr>
            </w:pPr>
            <w:r>
              <w:rPr>
                <w:rFonts w:hint="eastAsia" w:ascii="宋体" w:hAnsi="宋体" w:eastAsia="宋体" w:cs="宋体"/>
                <w:sz w:val="24"/>
                <w:szCs w:val="24"/>
              </w:rPr>
              <w:t>规格</w:t>
            </w:r>
          </w:p>
        </w:tc>
        <w:tc>
          <w:tcPr>
            <w:tcW w:w="901" w:type="dxa"/>
            <w:noWrap w:val="0"/>
            <w:vAlign w:val="center"/>
          </w:tcPr>
          <w:p w14:paraId="0F7D860C">
            <w:pPr>
              <w:autoSpaceDE w:val="0"/>
              <w:autoSpaceDN w:val="0"/>
              <w:contextualSpacing/>
              <w:jc w:val="center"/>
              <w:rPr>
                <w:rFonts w:hint="eastAsia" w:ascii="宋体" w:hAnsi="宋体" w:eastAsia="宋体" w:cs="宋体"/>
                <w:sz w:val="24"/>
                <w:szCs w:val="24"/>
              </w:rPr>
            </w:pPr>
            <w:r>
              <w:rPr>
                <w:rFonts w:hint="eastAsia" w:ascii="宋体" w:hAnsi="宋体" w:eastAsia="宋体" w:cs="宋体"/>
                <w:sz w:val="24"/>
                <w:szCs w:val="24"/>
              </w:rPr>
              <w:t>数量</w:t>
            </w:r>
          </w:p>
        </w:tc>
        <w:tc>
          <w:tcPr>
            <w:tcW w:w="3024" w:type="dxa"/>
            <w:noWrap w:val="0"/>
            <w:vAlign w:val="center"/>
          </w:tcPr>
          <w:p w14:paraId="12C4C515">
            <w:pPr>
              <w:autoSpaceDE w:val="0"/>
              <w:autoSpaceDN w:val="0"/>
              <w:ind w:firstLine="0"/>
              <w:contextualSpacing/>
              <w:jc w:val="center"/>
              <w:rPr>
                <w:rFonts w:hint="eastAsia" w:ascii="宋体" w:hAnsi="宋体" w:eastAsia="宋体" w:cs="宋体"/>
                <w:sz w:val="24"/>
                <w:szCs w:val="24"/>
              </w:rPr>
            </w:pPr>
            <w:r>
              <w:rPr>
                <w:rFonts w:hint="eastAsia" w:ascii="宋体" w:hAnsi="宋体" w:eastAsia="宋体" w:cs="宋体"/>
                <w:sz w:val="24"/>
                <w:szCs w:val="24"/>
              </w:rPr>
              <w:t>备注</w:t>
            </w:r>
          </w:p>
        </w:tc>
      </w:tr>
      <w:tr w14:paraId="2B921F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30" w:type="dxa"/>
            <w:bottom w:w="0" w:type="dxa"/>
            <w:right w:w="30" w:type="dxa"/>
          </w:tblCellMar>
        </w:tblPrEx>
        <w:trPr>
          <w:trHeight w:val="320" w:hRule="atLeast"/>
        </w:trPr>
        <w:tc>
          <w:tcPr>
            <w:tcW w:w="1418" w:type="dxa"/>
            <w:noWrap w:val="0"/>
            <w:vAlign w:val="center"/>
          </w:tcPr>
          <w:p w14:paraId="64C7FACA">
            <w:pPr>
              <w:autoSpaceDE w:val="0"/>
              <w:autoSpaceDN w:val="0"/>
              <w:ind w:firstLine="360"/>
              <w:contextualSpacing/>
              <w:rPr>
                <w:rFonts w:hint="eastAsia" w:ascii="宋体" w:hAnsi="宋体" w:eastAsia="宋体" w:cs="宋体"/>
                <w:sz w:val="24"/>
                <w:szCs w:val="24"/>
              </w:rPr>
            </w:pPr>
            <w:r>
              <w:rPr>
                <w:rFonts w:hint="eastAsia" w:ascii="宋体" w:hAnsi="宋体" w:eastAsia="宋体" w:cs="宋体"/>
                <w:sz w:val="24"/>
                <w:szCs w:val="24"/>
              </w:rPr>
              <w:t>一</w:t>
            </w:r>
          </w:p>
        </w:tc>
        <w:tc>
          <w:tcPr>
            <w:tcW w:w="2835" w:type="dxa"/>
            <w:noWrap w:val="0"/>
            <w:vAlign w:val="center"/>
          </w:tcPr>
          <w:p w14:paraId="2C7F436E">
            <w:pPr>
              <w:autoSpaceDE w:val="0"/>
              <w:autoSpaceDN w:val="0"/>
              <w:contextualSpacing/>
              <w:rPr>
                <w:rFonts w:hint="eastAsia" w:ascii="宋体" w:hAnsi="宋体" w:eastAsia="宋体" w:cs="宋体"/>
                <w:color w:val="FFFFFF"/>
                <w:sz w:val="24"/>
                <w:szCs w:val="24"/>
              </w:rPr>
            </w:pPr>
            <w:r>
              <w:rPr>
                <w:rFonts w:hint="eastAsia" w:ascii="宋体" w:hAnsi="宋体" w:eastAsia="宋体" w:cs="宋体"/>
                <w:sz w:val="24"/>
                <w:szCs w:val="24"/>
              </w:rPr>
              <w:t>办公用房</w:t>
            </w:r>
          </w:p>
        </w:tc>
        <w:tc>
          <w:tcPr>
            <w:tcW w:w="800" w:type="dxa"/>
            <w:noWrap w:val="0"/>
            <w:vAlign w:val="top"/>
          </w:tcPr>
          <w:p w14:paraId="72B87B78">
            <w:pPr>
              <w:autoSpaceDE w:val="0"/>
              <w:autoSpaceDN w:val="0"/>
              <w:ind w:firstLine="360"/>
              <w:contextualSpacing/>
              <w:jc w:val="center"/>
              <w:rPr>
                <w:rFonts w:hint="eastAsia" w:ascii="宋体" w:hAnsi="宋体" w:eastAsia="宋体" w:cs="宋体"/>
                <w:sz w:val="24"/>
                <w:szCs w:val="24"/>
              </w:rPr>
            </w:pPr>
          </w:p>
        </w:tc>
        <w:tc>
          <w:tcPr>
            <w:tcW w:w="901" w:type="dxa"/>
            <w:noWrap w:val="0"/>
            <w:vAlign w:val="center"/>
          </w:tcPr>
          <w:p w14:paraId="4C355F6C">
            <w:pPr>
              <w:autoSpaceDE w:val="0"/>
              <w:autoSpaceDN w:val="0"/>
              <w:ind w:firstLine="360"/>
              <w:contextualSpacing/>
              <w:jc w:val="center"/>
              <w:rPr>
                <w:rFonts w:hint="eastAsia" w:ascii="宋体" w:hAnsi="宋体" w:eastAsia="宋体" w:cs="宋体"/>
                <w:sz w:val="24"/>
                <w:szCs w:val="24"/>
              </w:rPr>
            </w:pPr>
          </w:p>
        </w:tc>
        <w:tc>
          <w:tcPr>
            <w:tcW w:w="3024" w:type="dxa"/>
            <w:noWrap w:val="0"/>
            <w:vAlign w:val="center"/>
          </w:tcPr>
          <w:p w14:paraId="069968E4">
            <w:pPr>
              <w:autoSpaceDE w:val="0"/>
              <w:autoSpaceDN w:val="0"/>
              <w:ind w:firstLine="360"/>
              <w:contextualSpacing/>
              <w:rPr>
                <w:rFonts w:hint="eastAsia" w:ascii="宋体" w:hAnsi="宋体" w:eastAsia="宋体" w:cs="宋体"/>
                <w:sz w:val="24"/>
                <w:szCs w:val="24"/>
              </w:rPr>
            </w:pPr>
          </w:p>
        </w:tc>
      </w:tr>
      <w:tr w14:paraId="0C233F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30" w:type="dxa"/>
            <w:bottom w:w="0" w:type="dxa"/>
            <w:right w:w="30" w:type="dxa"/>
          </w:tblCellMar>
        </w:tblPrEx>
        <w:trPr>
          <w:trHeight w:val="320" w:hRule="atLeast"/>
        </w:trPr>
        <w:tc>
          <w:tcPr>
            <w:tcW w:w="1418" w:type="dxa"/>
            <w:noWrap w:val="0"/>
            <w:vAlign w:val="center"/>
          </w:tcPr>
          <w:p w14:paraId="1064A159">
            <w:pPr>
              <w:autoSpaceDE w:val="0"/>
              <w:autoSpaceDN w:val="0"/>
              <w:ind w:firstLine="360"/>
              <w:contextualSpacing/>
              <w:rPr>
                <w:rFonts w:hint="eastAsia" w:ascii="宋体" w:hAnsi="宋体" w:eastAsia="宋体" w:cs="宋体"/>
                <w:color w:val="FFFFFF"/>
                <w:sz w:val="24"/>
                <w:szCs w:val="24"/>
              </w:rPr>
            </w:pPr>
            <w:r>
              <w:rPr>
                <w:rFonts w:hint="eastAsia" w:ascii="宋体" w:hAnsi="宋体" w:eastAsia="宋体" w:cs="宋体"/>
                <w:sz w:val="24"/>
                <w:szCs w:val="24"/>
              </w:rPr>
              <w:t>1.1</w:t>
            </w:r>
          </w:p>
        </w:tc>
        <w:tc>
          <w:tcPr>
            <w:tcW w:w="2835" w:type="dxa"/>
            <w:noWrap w:val="0"/>
            <w:vAlign w:val="center"/>
          </w:tcPr>
          <w:p w14:paraId="1DE975D6">
            <w:pPr>
              <w:autoSpaceDE w:val="0"/>
              <w:autoSpaceDN w:val="0"/>
              <w:contextualSpacing/>
              <w:rPr>
                <w:rFonts w:hint="eastAsia" w:ascii="宋体" w:hAnsi="宋体" w:eastAsia="宋体" w:cs="宋体"/>
                <w:color w:val="FFFFFF"/>
                <w:sz w:val="24"/>
                <w:szCs w:val="24"/>
              </w:rPr>
            </w:pPr>
            <w:r>
              <w:rPr>
                <w:rFonts w:hint="eastAsia" w:ascii="宋体" w:hAnsi="宋体" w:eastAsia="宋体" w:cs="宋体"/>
                <w:sz w:val="24"/>
                <w:szCs w:val="24"/>
              </w:rPr>
              <w:t>卧房</w:t>
            </w:r>
          </w:p>
        </w:tc>
        <w:tc>
          <w:tcPr>
            <w:tcW w:w="800" w:type="dxa"/>
            <w:noWrap w:val="0"/>
            <w:vAlign w:val="top"/>
          </w:tcPr>
          <w:p w14:paraId="1AB2B9D9">
            <w:pPr>
              <w:autoSpaceDE w:val="0"/>
              <w:autoSpaceDN w:val="0"/>
              <w:ind w:firstLine="360"/>
              <w:contextualSpacing/>
              <w:jc w:val="center"/>
              <w:rPr>
                <w:rFonts w:hint="eastAsia" w:ascii="宋体" w:hAnsi="宋体" w:eastAsia="宋体" w:cs="宋体"/>
                <w:sz w:val="24"/>
                <w:szCs w:val="24"/>
              </w:rPr>
            </w:pPr>
          </w:p>
        </w:tc>
        <w:tc>
          <w:tcPr>
            <w:tcW w:w="901" w:type="dxa"/>
            <w:noWrap w:val="0"/>
            <w:vAlign w:val="center"/>
          </w:tcPr>
          <w:p w14:paraId="784753AE">
            <w:pPr>
              <w:autoSpaceDE w:val="0"/>
              <w:autoSpaceDN w:val="0"/>
              <w:contextualSpacing/>
              <w:jc w:val="center"/>
              <w:rPr>
                <w:rFonts w:hint="eastAsia" w:ascii="宋体" w:hAnsi="宋体" w:eastAsia="宋体" w:cs="宋体"/>
                <w:sz w:val="24"/>
                <w:szCs w:val="24"/>
              </w:rPr>
            </w:pPr>
            <w:r>
              <w:rPr>
                <w:rFonts w:hint="eastAsia" w:ascii="宋体" w:hAnsi="宋体" w:eastAsia="宋体" w:cs="宋体"/>
                <w:sz w:val="24"/>
                <w:szCs w:val="24"/>
              </w:rPr>
              <w:t>4</w:t>
            </w:r>
          </w:p>
        </w:tc>
        <w:tc>
          <w:tcPr>
            <w:tcW w:w="3024" w:type="dxa"/>
            <w:noWrap w:val="0"/>
            <w:vAlign w:val="center"/>
          </w:tcPr>
          <w:p w14:paraId="158183CE">
            <w:pPr>
              <w:autoSpaceDE w:val="0"/>
              <w:autoSpaceDN w:val="0"/>
              <w:contextualSpacing/>
              <w:rPr>
                <w:rFonts w:hint="eastAsia" w:ascii="宋体" w:hAnsi="宋体" w:eastAsia="宋体" w:cs="宋体"/>
                <w:sz w:val="24"/>
                <w:szCs w:val="24"/>
              </w:rPr>
            </w:pPr>
            <w:r>
              <w:rPr>
                <w:rFonts w:hint="eastAsia" w:ascii="宋体" w:hAnsi="宋体" w:eastAsia="宋体" w:cs="宋体"/>
                <w:sz w:val="24"/>
                <w:szCs w:val="24"/>
              </w:rPr>
              <w:t>配床上用品</w:t>
            </w:r>
          </w:p>
        </w:tc>
      </w:tr>
      <w:tr w14:paraId="728BC4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30" w:type="dxa"/>
            <w:bottom w:w="0" w:type="dxa"/>
            <w:right w:w="30" w:type="dxa"/>
          </w:tblCellMar>
        </w:tblPrEx>
        <w:trPr>
          <w:trHeight w:val="320" w:hRule="atLeast"/>
        </w:trPr>
        <w:tc>
          <w:tcPr>
            <w:tcW w:w="1418" w:type="dxa"/>
            <w:noWrap w:val="0"/>
            <w:vAlign w:val="center"/>
          </w:tcPr>
          <w:p w14:paraId="742739A8">
            <w:pPr>
              <w:autoSpaceDE w:val="0"/>
              <w:autoSpaceDN w:val="0"/>
              <w:ind w:firstLine="360"/>
              <w:contextualSpacing/>
              <w:rPr>
                <w:rFonts w:hint="eastAsia" w:ascii="宋体" w:hAnsi="宋体" w:eastAsia="宋体" w:cs="宋体"/>
                <w:color w:val="FFFFFF"/>
                <w:sz w:val="24"/>
                <w:szCs w:val="24"/>
              </w:rPr>
            </w:pPr>
            <w:r>
              <w:rPr>
                <w:rFonts w:hint="eastAsia" w:ascii="宋体" w:hAnsi="宋体" w:eastAsia="宋体" w:cs="宋体"/>
                <w:sz w:val="24"/>
                <w:szCs w:val="24"/>
              </w:rPr>
              <w:t>1.2</w:t>
            </w:r>
          </w:p>
        </w:tc>
        <w:tc>
          <w:tcPr>
            <w:tcW w:w="2835" w:type="dxa"/>
            <w:noWrap w:val="0"/>
            <w:vAlign w:val="center"/>
          </w:tcPr>
          <w:p w14:paraId="3D2060C7">
            <w:pPr>
              <w:autoSpaceDE w:val="0"/>
              <w:autoSpaceDN w:val="0"/>
              <w:contextualSpacing/>
              <w:rPr>
                <w:rFonts w:hint="eastAsia" w:ascii="宋体" w:hAnsi="宋体" w:eastAsia="宋体" w:cs="宋体"/>
                <w:color w:val="FFFFFF"/>
                <w:sz w:val="24"/>
                <w:szCs w:val="24"/>
              </w:rPr>
            </w:pPr>
            <w:r>
              <w:rPr>
                <w:rFonts w:hint="eastAsia" w:ascii="宋体" w:hAnsi="宋体" w:eastAsia="宋体" w:cs="宋体"/>
                <w:sz w:val="24"/>
                <w:szCs w:val="24"/>
              </w:rPr>
              <w:t>厨房、浴室、厕所（砖砌）</w:t>
            </w:r>
          </w:p>
        </w:tc>
        <w:tc>
          <w:tcPr>
            <w:tcW w:w="800" w:type="dxa"/>
            <w:noWrap w:val="0"/>
            <w:vAlign w:val="top"/>
          </w:tcPr>
          <w:p w14:paraId="43022C49">
            <w:pPr>
              <w:autoSpaceDE w:val="0"/>
              <w:autoSpaceDN w:val="0"/>
              <w:ind w:firstLine="360"/>
              <w:contextualSpacing/>
              <w:jc w:val="center"/>
              <w:rPr>
                <w:rFonts w:hint="eastAsia" w:ascii="宋体" w:hAnsi="宋体" w:eastAsia="宋体" w:cs="宋体"/>
                <w:sz w:val="24"/>
                <w:szCs w:val="24"/>
              </w:rPr>
            </w:pPr>
          </w:p>
        </w:tc>
        <w:tc>
          <w:tcPr>
            <w:tcW w:w="901" w:type="dxa"/>
            <w:noWrap w:val="0"/>
            <w:vAlign w:val="center"/>
          </w:tcPr>
          <w:p w14:paraId="0D23ABF1">
            <w:pPr>
              <w:autoSpaceDE w:val="0"/>
              <w:autoSpaceDN w:val="0"/>
              <w:ind w:firstLine="360"/>
              <w:contextualSpacing/>
              <w:jc w:val="center"/>
              <w:rPr>
                <w:rFonts w:hint="eastAsia" w:ascii="宋体" w:hAnsi="宋体" w:eastAsia="宋体" w:cs="宋体"/>
                <w:sz w:val="24"/>
                <w:szCs w:val="24"/>
              </w:rPr>
            </w:pPr>
          </w:p>
        </w:tc>
        <w:tc>
          <w:tcPr>
            <w:tcW w:w="3024" w:type="dxa"/>
            <w:noWrap w:val="0"/>
            <w:vAlign w:val="center"/>
          </w:tcPr>
          <w:p w14:paraId="7359FC97">
            <w:pPr>
              <w:autoSpaceDE w:val="0"/>
              <w:autoSpaceDN w:val="0"/>
              <w:contextualSpacing/>
              <w:rPr>
                <w:rFonts w:hint="eastAsia" w:ascii="宋体" w:hAnsi="宋体" w:eastAsia="宋体" w:cs="宋体"/>
                <w:sz w:val="24"/>
                <w:szCs w:val="24"/>
              </w:rPr>
            </w:pPr>
            <w:r>
              <w:rPr>
                <w:rFonts w:hint="eastAsia" w:ascii="宋体" w:hAnsi="宋体" w:eastAsia="宋体" w:cs="宋体"/>
                <w:sz w:val="24"/>
                <w:szCs w:val="24"/>
              </w:rPr>
              <w:t>共用</w:t>
            </w:r>
          </w:p>
        </w:tc>
      </w:tr>
      <w:tr w14:paraId="769B41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30" w:type="dxa"/>
            <w:bottom w:w="0" w:type="dxa"/>
            <w:right w:w="30" w:type="dxa"/>
          </w:tblCellMar>
        </w:tblPrEx>
        <w:trPr>
          <w:trHeight w:val="320" w:hRule="atLeast"/>
        </w:trPr>
        <w:tc>
          <w:tcPr>
            <w:tcW w:w="1418" w:type="dxa"/>
            <w:noWrap w:val="0"/>
            <w:vAlign w:val="center"/>
          </w:tcPr>
          <w:p w14:paraId="7DD25E9D">
            <w:pPr>
              <w:autoSpaceDE w:val="0"/>
              <w:autoSpaceDN w:val="0"/>
              <w:ind w:firstLine="360"/>
              <w:contextualSpacing/>
              <w:rPr>
                <w:rFonts w:hint="eastAsia" w:ascii="宋体" w:hAnsi="宋体" w:eastAsia="宋体" w:cs="宋体"/>
                <w:color w:val="FFFFFF"/>
                <w:sz w:val="24"/>
                <w:szCs w:val="24"/>
              </w:rPr>
            </w:pPr>
            <w:r>
              <w:rPr>
                <w:rFonts w:hint="eastAsia" w:ascii="宋体" w:hAnsi="宋体" w:eastAsia="宋体" w:cs="宋体"/>
                <w:sz w:val="24"/>
                <w:szCs w:val="24"/>
              </w:rPr>
              <w:t>1.3</w:t>
            </w:r>
          </w:p>
        </w:tc>
        <w:tc>
          <w:tcPr>
            <w:tcW w:w="2835" w:type="dxa"/>
            <w:noWrap w:val="0"/>
            <w:vAlign w:val="center"/>
          </w:tcPr>
          <w:p w14:paraId="3CB4A1B7">
            <w:pPr>
              <w:autoSpaceDE w:val="0"/>
              <w:autoSpaceDN w:val="0"/>
              <w:contextualSpacing/>
              <w:rPr>
                <w:rFonts w:hint="eastAsia" w:ascii="宋体" w:hAnsi="宋体" w:eastAsia="宋体" w:cs="宋体"/>
                <w:color w:val="FFFFFF"/>
                <w:sz w:val="24"/>
                <w:szCs w:val="24"/>
              </w:rPr>
            </w:pPr>
            <w:r>
              <w:rPr>
                <w:rFonts w:hint="eastAsia" w:ascii="宋体" w:hAnsi="宋体" w:eastAsia="宋体" w:cs="宋体"/>
                <w:sz w:val="24"/>
                <w:szCs w:val="24"/>
              </w:rPr>
              <w:t>办公室</w:t>
            </w:r>
          </w:p>
        </w:tc>
        <w:tc>
          <w:tcPr>
            <w:tcW w:w="800" w:type="dxa"/>
            <w:noWrap w:val="0"/>
            <w:vAlign w:val="top"/>
          </w:tcPr>
          <w:p w14:paraId="47E1F923">
            <w:pPr>
              <w:autoSpaceDE w:val="0"/>
              <w:autoSpaceDN w:val="0"/>
              <w:ind w:firstLine="360"/>
              <w:contextualSpacing/>
              <w:jc w:val="center"/>
              <w:rPr>
                <w:rFonts w:hint="eastAsia" w:ascii="宋体" w:hAnsi="宋体" w:eastAsia="宋体" w:cs="宋体"/>
                <w:sz w:val="24"/>
                <w:szCs w:val="24"/>
              </w:rPr>
            </w:pPr>
          </w:p>
        </w:tc>
        <w:tc>
          <w:tcPr>
            <w:tcW w:w="901" w:type="dxa"/>
            <w:noWrap w:val="0"/>
            <w:vAlign w:val="center"/>
          </w:tcPr>
          <w:p w14:paraId="3AA47B99">
            <w:pPr>
              <w:autoSpaceDE w:val="0"/>
              <w:autoSpaceDN w:val="0"/>
              <w:contextualSpacing/>
              <w:jc w:val="center"/>
              <w:rPr>
                <w:rFonts w:hint="eastAsia" w:ascii="宋体" w:hAnsi="宋体" w:eastAsia="宋体" w:cs="宋体"/>
                <w:sz w:val="24"/>
                <w:szCs w:val="24"/>
              </w:rPr>
            </w:pPr>
            <w:r>
              <w:rPr>
                <w:rFonts w:hint="eastAsia" w:ascii="宋体" w:hAnsi="宋体" w:eastAsia="宋体" w:cs="宋体"/>
                <w:sz w:val="24"/>
                <w:szCs w:val="24"/>
              </w:rPr>
              <w:t>4</w:t>
            </w:r>
          </w:p>
        </w:tc>
        <w:tc>
          <w:tcPr>
            <w:tcW w:w="3024" w:type="dxa"/>
            <w:noWrap w:val="0"/>
            <w:vAlign w:val="center"/>
          </w:tcPr>
          <w:p w14:paraId="40E5563C">
            <w:pPr>
              <w:autoSpaceDE w:val="0"/>
              <w:autoSpaceDN w:val="0"/>
              <w:contextualSpacing/>
              <w:rPr>
                <w:rFonts w:hint="eastAsia" w:ascii="宋体" w:hAnsi="宋体" w:eastAsia="宋体" w:cs="宋体"/>
                <w:sz w:val="24"/>
                <w:szCs w:val="24"/>
              </w:rPr>
            </w:pPr>
            <w:r>
              <w:rPr>
                <w:rFonts w:hint="eastAsia" w:ascii="宋体" w:hAnsi="宋体" w:eastAsia="宋体" w:cs="宋体"/>
                <w:sz w:val="24"/>
                <w:szCs w:val="24"/>
              </w:rPr>
              <w:t>其中2间发包人用</w:t>
            </w:r>
          </w:p>
        </w:tc>
      </w:tr>
      <w:tr w14:paraId="4E41F6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30" w:type="dxa"/>
            <w:bottom w:w="0" w:type="dxa"/>
            <w:right w:w="30" w:type="dxa"/>
          </w:tblCellMar>
        </w:tblPrEx>
        <w:trPr>
          <w:trHeight w:val="320" w:hRule="atLeast"/>
        </w:trPr>
        <w:tc>
          <w:tcPr>
            <w:tcW w:w="1418" w:type="dxa"/>
            <w:noWrap w:val="0"/>
            <w:vAlign w:val="center"/>
          </w:tcPr>
          <w:p w14:paraId="62237498">
            <w:pPr>
              <w:autoSpaceDE w:val="0"/>
              <w:autoSpaceDN w:val="0"/>
              <w:ind w:firstLine="360"/>
              <w:contextualSpacing/>
              <w:rPr>
                <w:rFonts w:hint="eastAsia" w:ascii="宋体" w:hAnsi="宋体" w:eastAsia="宋体" w:cs="宋体"/>
                <w:color w:val="FFFFFF"/>
                <w:sz w:val="24"/>
                <w:szCs w:val="24"/>
              </w:rPr>
            </w:pPr>
            <w:r>
              <w:rPr>
                <w:rFonts w:hint="eastAsia" w:ascii="宋体" w:hAnsi="宋体" w:eastAsia="宋体" w:cs="宋体"/>
                <w:sz w:val="24"/>
                <w:szCs w:val="24"/>
              </w:rPr>
              <w:t>二</w:t>
            </w:r>
          </w:p>
        </w:tc>
        <w:tc>
          <w:tcPr>
            <w:tcW w:w="2835" w:type="dxa"/>
            <w:noWrap w:val="0"/>
            <w:vAlign w:val="center"/>
          </w:tcPr>
          <w:p w14:paraId="7C8E4F23">
            <w:pPr>
              <w:autoSpaceDE w:val="0"/>
              <w:autoSpaceDN w:val="0"/>
              <w:contextualSpacing/>
              <w:rPr>
                <w:rFonts w:hint="eastAsia" w:ascii="宋体" w:hAnsi="宋体" w:eastAsia="宋体" w:cs="宋体"/>
                <w:color w:val="FFFFFF"/>
                <w:sz w:val="24"/>
                <w:szCs w:val="24"/>
              </w:rPr>
            </w:pPr>
            <w:r>
              <w:rPr>
                <w:rFonts w:hint="eastAsia" w:ascii="宋体" w:hAnsi="宋体" w:eastAsia="宋体" w:cs="宋体"/>
                <w:sz w:val="24"/>
                <w:szCs w:val="24"/>
              </w:rPr>
              <w:t>设施（新购）</w:t>
            </w:r>
          </w:p>
        </w:tc>
        <w:tc>
          <w:tcPr>
            <w:tcW w:w="800" w:type="dxa"/>
            <w:noWrap w:val="0"/>
            <w:vAlign w:val="top"/>
          </w:tcPr>
          <w:p w14:paraId="371EB792">
            <w:pPr>
              <w:autoSpaceDE w:val="0"/>
              <w:autoSpaceDN w:val="0"/>
              <w:ind w:firstLine="360"/>
              <w:contextualSpacing/>
              <w:jc w:val="center"/>
              <w:rPr>
                <w:rFonts w:hint="eastAsia" w:ascii="宋体" w:hAnsi="宋体" w:eastAsia="宋体" w:cs="宋体"/>
                <w:sz w:val="24"/>
                <w:szCs w:val="24"/>
              </w:rPr>
            </w:pPr>
          </w:p>
        </w:tc>
        <w:tc>
          <w:tcPr>
            <w:tcW w:w="901" w:type="dxa"/>
            <w:noWrap w:val="0"/>
            <w:vAlign w:val="center"/>
          </w:tcPr>
          <w:p w14:paraId="3CC103DB">
            <w:pPr>
              <w:autoSpaceDE w:val="0"/>
              <w:autoSpaceDN w:val="0"/>
              <w:ind w:firstLine="360"/>
              <w:contextualSpacing/>
              <w:jc w:val="center"/>
              <w:rPr>
                <w:rFonts w:hint="eastAsia" w:ascii="宋体" w:hAnsi="宋体" w:eastAsia="宋体" w:cs="宋体"/>
                <w:sz w:val="24"/>
                <w:szCs w:val="24"/>
              </w:rPr>
            </w:pPr>
          </w:p>
        </w:tc>
        <w:tc>
          <w:tcPr>
            <w:tcW w:w="3024" w:type="dxa"/>
            <w:noWrap w:val="0"/>
            <w:vAlign w:val="center"/>
          </w:tcPr>
          <w:p w14:paraId="01E219D0">
            <w:pPr>
              <w:autoSpaceDE w:val="0"/>
              <w:autoSpaceDN w:val="0"/>
              <w:ind w:firstLine="360"/>
              <w:contextualSpacing/>
              <w:rPr>
                <w:rFonts w:hint="eastAsia" w:ascii="宋体" w:hAnsi="宋体" w:eastAsia="宋体" w:cs="宋体"/>
                <w:sz w:val="24"/>
                <w:szCs w:val="24"/>
              </w:rPr>
            </w:pPr>
          </w:p>
        </w:tc>
      </w:tr>
      <w:tr w14:paraId="7AA521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30" w:type="dxa"/>
            <w:bottom w:w="0" w:type="dxa"/>
            <w:right w:w="30" w:type="dxa"/>
          </w:tblCellMar>
        </w:tblPrEx>
        <w:trPr>
          <w:trHeight w:val="320" w:hRule="atLeast"/>
        </w:trPr>
        <w:tc>
          <w:tcPr>
            <w:tcW w:w="1418" w:type="dxa"/>
            <w:noWrap w:val="0"/>
            <w:vAlign w:val="center"/>
          </w:tcPr>
          <w:p w14:paraId="58A15863">
            <w:pPr>
              <w:autoSpaceDE w:val="0"/>
              <w:autoSpaceDN w:val="0"/>
              <w:ind w:firstLine="360"/>
              <w:contextualSpacing/>
              <w:rPr>
                <w:rFonts w:hint="eastAsia" w:ascii="宋体" w:hAnsi="宋体" w:eastAsia="宋体" w:cs="宋体"/>
                <w:color w:val="FFFFFF"/>
                <w:sz w:val="24"/>
                <w:szCs w:val="24"/>
              </w:rPr>
            </w:pPr>
            <w:r>
              <w:rPr>
                <w:rFonts w:hint="eastAsia" w:ascii="宋体" w:hAnsi="宋体" w:eastAsia="宋体" w:cs="宋体"/>
                <w:sz w:val="24"/>
                <w:szCs w:val="24"/>
              </w:rPr>
              <w:t>2.1</w:t>
            </w:r>
          </w:p>
        </w:tc>
        <w:tc>
          <w:tcPr>
            <w:tcW w:w="2835" w:type="dxa"/>
            <w:noWrap w:val="0"/>
            <w:vAlign w:val="center"/>
          </w:tcPr>
          <w:p w14:paraId="14ABC23B">
            <w:pPr>
              <w:autoSpaceDE w:val="0"/>
              <w:autoSpaceDN w:val="0"/>
              <w:contextualSpacing/>
              <w:rPr>
                <w:rFonts w:hint="eastAsia" w:ascii="宋体" w:hAnsi="宋体" w:eastAsia="宋体" w:cs="宋体"/>
                <w:color w:val="FFFFFF"/>
                <w:sz w:val="24"/>
                <w:szCs w:val="24"/>
              </w:rPr>
            </w:pPr>
            <w:r>
              <w:rPr>
                <w:rFonts w:hint="eastAsia" w:ascii="宋体" w:hAnsi="宋体" w:eastAsia="宋体" w:cs="宋体"/>
                <w:sz w:val="24"/>
                <w:szCs w:val="24"/>
              </w:rPr>
              <w:t>热水器</w:t>
            </w:r>
          </w:p>
        </w:tc>
        <w:tc>
          <w:tcPr>
            <w:tcW w:w="800" w:type="dxa"/>
            <w:noWrap w:val="0"/>
            <w:vAlign w:val="top"/>
          </w:tcPr>
          <w:p w14:paraId="3B32D3F2">
            <w:pPr>
              <w:autoSpaceDE w:val="0"/>
              <w:autoSpaceDN w:val="0"/>
              <w:ind w:firstLine="360"/>
              <w:contextualSpacing/>
              <w:jc w:val="center"/>
              <w:rPr>
                <w:rFonts w:hint="eastAsia" w:ascii="宋体" w:hAnsi="宋体" w:eastAsia="宋体" w:cs="宋体"/>
                <w:sz w:val="24"/>
                <w:szCs w:val="24"/>
              </w:rPr>
            </w:pPr>
          </w:p>
        </w:tc>
        <w:tc>
          <w:tcPr>
            <w:tcW w:w="901" w:type="dxa"/>
            <w:noWrap w:val="0"/>
            <w:vAlign w:val="center"/>
          </w:tcPr>
          <w:p w14:paraId="6BCC49AE">
            <w:pPr>
              <w:autoSpaceDE w:val="0"/>
              <w:autoSpaceDN w:val="0"/>
              <w:ind w:firstLine="360"/>
              <w:contextualSpacing/>
              <w:jc w:val="center"/>
              <w:rPr>
                <w:rFonts w:hint="eastAsia" w:ascii="宋体" w:hAnsi="宋体" w:eastAsia="宋体" w:cs="宋体"/>
                <w:sz w:val="24"/>
                <w:szCs w:val="24"/>
              </w:rPr>
            </w:pPr>
          </w:p>
        </w:tc>
        <w:tc>
          <w:tcPr>
            <w:tcW w:w="3024" w:type="dxa"/>
            <w:noWrap w:val="0"/>
            <w:vAlign w:val="center"/>
          </w:tcPr>
          <w:p w14:paraId="4479A893">
            <w:pPr>
              <w:autoSpaceDE w:val="0"/>
              <w:autoSpaceDN w:val="0"/>
              <w:contextualSpacing/>
              <w:rPr>
                <w:rFonts w:hint="eastAsia" w:ascii="宋体" w:hAnsi="宋体" w:eastAsia="宋体" w:cs="宋体"/>
                <w:sz w:val="24"/>
                <w:szCs w:val="24"/>
              </w:rPr>
            </w:pPr>
            <w:r>
              <w:rPr>
                <w:rFonts w:hint="eastAsia" w:ascii="宋体" w:hAnsi="宋体" w:eastAsia="宋体" w:cs="宋体"/>
                <w:sz w:val="24"/>
                <w:szCs w:val="24"/>
              </w:rPr>
              <w:t>共用</w:t>
            </w:r>
          </w:p>
        </w:tc>
      </w:tr>
      <w:tr w14:paraId="7676A1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30" w:type="dxa"/>
            <w:bottom w:w="0" w:type="dxa"/>
            <w:right w:w="30" w:type="dxa"/>
          </w:tblCellMar>
        </w:tblPrEx>
        <w:trPr>
          <w:trHeight w:val="320" w:hRule="atLeast"/>
        </w:trPr>
        <w:tc>
          <w:tcPr>
            <w:tcW w:w="1418" w:type="dxa"/>
            <w:noWrap w:val="0"/>
            <w:vAlign w:val="center"/>
          </w:tcPr>
          <w:p w14:paraId="61AD63DD">
            <w:pPr>
              <w:autoSpaceDE w:val="0"/>
              <w:autoSpaceDN w:val="0"/>
              <w:ind w:firstLine="360"/>
              <w:contextualSpacing/>
              <w:rPr>
                <w:rFonts w:hint="eastAsia" w:ascii="宋体" w:hAnsi="宋体" w:eastAsia="宋体" w:cs="宋体"/>
                <w:color w:val="FFFFFF"/>
                <w:sz w:val="24"/>
                <w:szCs w:val="24"/>
              </w:rPr>
            </w:pPr>
            <w:r>
              <w:rPr>
                <w:rFonts w:hint="eastAsia" w:ascii="宋体" w:hAnsi="宋体" w:eastAsia="宋体" w:cs="宋体"/>
                <w:sz w:val="24"/>
                <w:szCs w:val="24"/>
              </w:rPr>
              <w:t>2.2</w:t>
            </w:r>
          </w:p>
        </w:tc>
        <w:tc>
          <w:tcPr>
            <w:tcW w:w="2835" w:type="dxa"/>
            <w:noWrap w:val="0"/>
            <w:vAlign w:val="center"/>
          </w:tcPr>
          <w:p w14:paraId="10BBF732">
            <w:pPr>
              <w:autoSpaceDE w:val="0"/>
              <w:autoSpaceDN w:val="0"/>
              <w:contextualSpacing/>
              <w:rPr>
                <w:rFonts w:hint="eastAsia" w:ascii="宋体" w:hAnsi="宋体" w:eastAsia="宋体" w:cs="宋体"/>
                <w:color w:val="FFFFFF"/>
                <w:sz w:val="24"/>
                <w:szCs w:val="24"/>
              </w:rPr>
            </w:pPr>
            <w:r>
              <w:rPr>
                <w:rFonts w:hint="eastAsia" w:ascii="宋体" w:hAnsi="宋体" w:eastAsia="宋体" w:cs="宋体"/>
                <w:sz w:val="24"/>
                <w:szCs w:val="24"/>
              </w:rPr>
              <w:t>炊具</w:t>
            </w:r>
          </w:p>
        </w:tc>
        <w:tc>
          <w:tcPr>
            <w:tcW w:w="800" w:type="dxa"/>
            <w:noWrap w:val="0"/>
            <w:vAlign w:val="top"/>
          </w:tcPr>
          <w:p w14:paraId="48C69299">
            <w:pPr>
              <w:autoSpaceDE w:val="0"/>
              <w:autoSpaceDN w:val="0"/>
              <w:ind w:firstLine="360"/>
              <w:contextualSpacing/>
              <w:jc w:val="center"/>
              <w:rPr>
                <w:rFonts w:hint="eastAsia" w:ascii="宋体" w:hAnsi="宋体" w:eastAsia="宋体" w:cs="宋体"/>
                <w:sz w:val="24"/>
                <w:szCs w:val="24"/>
              </w:rPr>
            </w:pPr>
          </w:p>
        </w:tc>
        <w:tc>
          <w:tcPr>
            <w:tcW w:w="901" w:type="dxa"/>
            <w:noWrap w:val="0"/>
            <w:vAlign w:val="center"/>
          </w:tcPr>
          <w:p w14:paraId="682ABE03">
            <w:pPr>
              <w:autoSpaceDE w:val="0"/>
              <w:autoSpaceDN w:val="0"/>
              <w:ind w:firstLine="360"/>
              <w:contextualSpacing/>
              <w:jc w:val="center"/>
              <w:rPr>
                <w:rFonts w:hint="eastAsia" w:ascii="宋体" w:hAnsi="宋体" w:eastAsia="宋体" w:cs="宋体"/>
                <w:sz w:val="24"/>
                <w:szCs w:val="24"/>
              </w:rPr>
            </w:pPr>
          </w:p>
        </w:tc>
        <w:tc>
          <w:tcPr>
            <w:tcW w:w="3024" w:type="dxa"/>
            <w:noWrap w:val="0"/>
            <w:vAlign w:val="center"/>
          </w:tcPr>
          <w:p w14:paraId="47836036">
            <w:pPr>
              <w:autoSpaceDE w:val="0"/>
              <w:autoSpaceDN w:val="0"/>
              <w:contextualSpacing/>
              <w:rPr>
                <w:rFonts w:hint="eastAsia" w:ascii="宋体" w:hAnsi="宋体" w:eastAsia="宋体" w:cs="宋体"/>
                <w:sz w:val="24"/>
                <w:szCs w:val="24"/>
              </w:rPr>
            </w:pPr>
            <w:r>
              <w:rPr>
                <w:rFonts w:hint="eastAsia" w:ascii="宋体" w:hAnsi="宋体" w:eastAsia="宋体" w:cs="宋体"/>
                <w:sz w:val="24"/>
                <w:szCs w:val="24"/>
              </w:rPr>
              <w:t>共用</w:t>
            </w:r>
          </w:p>
        </w:tc>
      </w:tr>
      <w:tr w14:paraId="00C14A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30" w:type="dxa"/>
            <w:bottom w:w="0" w:type="dxa"/>
            <w:right w:w="30" w:type="dxa"/>
          </w:tblCellMar>
        </w:tblPrEx>
        <w:trPr>
          <w:trHeight w:val="278" w:hRule="atLeast"/>
        </w:trPr>
        <w:tc>
          <w:tcPr>
            <w:tcW w:w="1418" w:type="dxa"/>
            <w:noWrap w:val="0"/>
            <w:vAlign w:val="center"/>
          </w:tcPr>
          <w:p w14:paraId="7BD75FD1">
            <w:pPr>
              <w:autoSpaceDE w:val="0"/>
              <w:autoSpaceDN w:val="0"/>
              <w:ind w:firstLine="360"/>
              <w:contextualSpacing/>
              <w:rPr>
                <w:rFonts w:hint="eastAsia" w:ascii="宋体" w:hAnsi="宋体" w:eastAsia="宋体" w:cs="宋体"/>
                <w:color w:val="FFFFFF"/>
                <w:sz w:val="24"/>
                <w:szCs w:val="24"/>
              </w:rPr>
            </w:pPr>
            <w:r>
              <w:rPr>
                <w:rFonts w:hint="eastAsia" w:ascii="宋体" w:hAnsi="宋体" w:eastAsia="宋体" w:cs="宋体"/>
                <w:sz w:val="24"/>
                <w:szCs w:val="24"/>
              </w:rPr>
              <w:t>2.3</w:t>
            </w:r>
          </w:p>
        </w:tc>
        <w:tc>
          <w:tcPr>
            <w:tcW w:w="2835" w:type="dxa"/>
            <w:noWrap w:val="0"/>
            <w:vAlign w:val="center"/>
          </w:tcPr>
          <w:p w14:paraId="6BB7D729">
            <w:pPr>
              <w:autoSpaceDE w:val="0"/>
              <w:autoSpaceDN w:val="0"/>
              <w:contextualSpacing/>
              <w:rPr>
                <w:rFonts w:hint="eastAsia" w:ascii="宋体" w:hAnsi="宋体" w:eastAsia="宋体" w:cs="宋体"/>
                <w:color w:val="FFFFFF"/>
                <w:sz w:val="24"/>
                <w:szCs w:val="24"/>
              </w:rPr>
            </w:pPr>
            <w:r>
              <w:rPr>
                <w:rFonts w:hint="eastAsia" w:ascii="宋体" w:hAnsi="宋体" w:eastAsia="宋体" w:cs="宋体"/>
                <w:sz w:val="24"/>
                <w:szCs w:val="24"/>
              </w:rPr>
              <w:t>办公桌、椅</w:t>
            </w:r>
          </w:p>
        </w:tc>
        <w:tc>
          <w:tcPr>
            <w:tcW w:w="800" w:type="dxa"/>
            <w:noWrap w:val="0"/>
            <w:vAlign w:val="top"/>
          </w:tcPr>
          <w:p w14:paraId="127C64F5">
            <w:pPr>
              <w:autoSpaceDE w:val="0"/>
              <w:autoSpaceDN w:val="0"/>
              <w:ind w:firstLine="360"/>
              <w:contextualSpacing/>
              <w:jc w:val="center"/>
              <w:rPr>
                <w:rFonts w:hint="eastAsia" w:ascii="宋体" w:hAnsi="宋体" w:eastAsia="宋体" w:cs="宋体"/>
                <w:sz w:val="24"/>
                <w:szCs w:val="24"/>
              </w:rPr>
            </w:pPr>
          </w:p>
        </w:tc>
        <w:tc>
          <w:tcPr>
            <w:tcW w:w="901" w:type="dxa"/>
            <w:noWrap w:val="0"/>
            <w:vAlign w:val="center"/>
          </w:tcPr>
          <w:p w14:paraId="324B712F">
            <w:pPr>
              <w:autoSpaceDE w:val="0"/>
              <w:autoSpaceDN w:val="0"/>
              <w:contextualSpacing/>
              <w:jc w:val="center"/>
              <w:rPr>
                <w:rFonts w:hint="eastAsia" w:ascii="宋体" w:hAnsi="宋体" w:eastAsia="宋体" w:cs="宋体"/>
                <w:sz w:val="24"/>
                <w:szCs w:val="24"/>
              </w:rPr>
            </w:pPr>
            <w:r>
              <w:rPr>
                <w:rFonts w:hint="eastAsia" w:ascii="宋体" w:hAnsi="宋体" w:eastAsia="宋体" w:cs="宋体"/>
                <w:sz w:val="24"/>
                <w:szCs w:val="24"/>
              </w:rPr>
              <w:t>6</w:t>
            </w:r>
          </w:p>
        </w:tc>
        <w:tc>
          <w:tcPr>
            <w:tcW w:w="3024" w:type="dxa"/>
            <w:noWrap w:val="0"/>
            <w:vAlign w:val="center"/>
          </w:tcPr>
          <w:p w14:paraId="7B1046E0">
            <w:pPr>
              <w:autoSpaceDE w:val="0"/>
              <w:autoSpaceDN w:val="0"/>
              <w:ind w:firstLine="360"/>
              <w:contextualSpacing/>
              <w:rPr>
                <w:rFonts w:hint="eastAsia" w:ascii="宋体" w:hAnsi="宋体" w:eastAsia="宋体" w:cs="宋体"/>
                <w:sz w:val="24"/>
                <w:szCs w:val="24"/>
              </w:rPr>
            </w:pPr>
          </w:p>
        </w:tc>
      </w:tr>
      <w:tr w14:paraId="6BB46B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30" w:type="dxa"/>
            <w:bottom w:w="0" w:type="dxa"/>
            <w:right w:w="30" w:type="dxa"/>
          </w:tblCellMar>
        </w:tblPrEx>
        <w:trPr>
          <w:trHeight w:val="278" w:hRule="atLeast"/>
        </w:trPr>
        <w:tc>
          <w:tcPr>
            <w:tcW w:w="1418" w:type="dxa"/>
            <w:noWrap w:val="0"/>
            <w:vAlign w:val="center"/>
          </w:tcPr>
          <w:p w14:paraId="4F84C4E5">
            <w:pPr>
              <w:autoSpaceDE w:val="0"/>
              <w:autoSpaceDN w:val="0"/>
              <w:ind w:firstLine="360"/>
              <w:contextualSpacing/>
              <w:rPr>
                <w:rFonts w:hint="eastAsia" w:ascii="宋体" w:hAnsi="宋体" w:eastAsia="宋体" w:cs="宋体"/>
                <w:color w:val="FFFFFF"/>
                <w:sz w:val="24"/>
                <w:szCs w:val="24"/>
              </w:rPr>
            </w:pPr>
            <w:r>
              <w:rPr>
                <w:rFonts w:hint="eastAsia" w:ascii="宋体" w:hAnsi="宋体" w:eastAsia="宋体" w:cs="宋体"/>
                <w:sz w:val="24"/>
                <w:szCs w:val="24"/>
              </w:rPr>
              <w:t>2.4</w:t>
            </w:r>
          </w:p>
        </w:tc>
        <w:tc>
          <w:tcPr>
            <w:tcW w:w="2835" w:type="dxa"/>
            <w:noWrap w:val="0"/>
            <w:vAlign w:val="center"/>
          </w:tcPr>
          <w:p w14:paraId="35C46726">
            <w:pPr>
              <w:autoSpaceDE w:val="0"/>
              <w:autoSpaceDN w:val="0"/>
              <w:contextualSpacing/>
              <w:rPr>
                <w:rFonts w:hint="eastAsia" w:ascii="宋体" w:hAnsi="宋体" w:eastAsia="宋体" w:cs="宋体"/>
                <w:color w:val="FFFFFF"/>
                <w:sz w:val="24"/>
                <w:szCs w:val="24"/>
              </w:rPr>
            </w:pPr>
            <w:r>
              <w:rPr>
                <w:rFonts w:hint="eastAsia" w:ascii="宋体" w:hAnsi="宋体" w:eastAsia="宋体" w:cs="宋体"/>
                <w:sz w:val="24"/>
                <w:szCs w:val="24"/>
              </w:rPr>
              <w:t>饮水机</w:t>
            </w:r>
          </w:p>
        </w:tc>
        <w:tc>
          <w:tcPr>
            <w:tcW w:w="800" w:type="dxa"/>
            <w:noWrap w:val="0"/>
            <w:vAlign w:val="top"/>
          </w:tcPr>
          <w:p w14:paraId="1480E920">
            <w:pPr>
              <w:autoSpaceDE w:val="0"/>
              <w:autoSpaceDN w:val="0"/>
              <w:ind w:firstLine="360"/>
              <w:contextualSpacing/>
              <w:jc w:val="center"/>
              <w:rPr>
                <w:rFonts w:hint="eastAsia" w:ascii="宋体" w:hAnsi="宋体" w:eastAsia="宋体" w:cs="宋体"/>
                <w:sz w:val="24"/>
                <w:szCs w:val="24"/>
              </w:rPr>
            </w:pPr>
          </w:p>
        </w:tc>
        <w:tc>
          <w:tcPr>
            <w:tcW w:w="901" w:type="dxa"/>
            <w:noWrap w:val="0"/>
            <w:vAlign w:val="center"/>
          </w:tcPr>
          <w:p w14:paraId="50DCE865">
            <w:pPr>
              <w:autoSpaceDE w:val="0"/>
              <w:autoSpaceDN w:val="0"/>
              <w:contextualSpacing/>
              <w:jc w:val="center"/>
              <w:rPr>
                <w:rFonts w:hint="eastAsia" w:ascii="宋体" w:hAnsi="宋体" w:eastAsia="宋体" w:cs="宋体"/>
                <w:sz w:val="24"/>
                <w:szCs w:val="24"/>
              </w:rPr>
            </w:pPr>
            <w:r>
              <w:rPr>
                <w:rFonts w:hint="eastAsia" w:ascii="宋体" w:hAnsi="宋体" w:eastAsia="宋体" w:cs="宋体"/>
                <w:sz w:val="24"/>
                <w:szCs w:val="24"/>
              </w:rPr>
              <w:t>3</w:t>
            </w:r>
          </w:p>
        </w:tc>
        <w:tc>
          <w:tcPr>
            <w:tcW w:w="3024" w:type="dxa"/>
            <w:noWrap w:val="0"/>
            <w:vAlign w:val="center"/>
          </w:tcPr>
          <w:p w14:paraId="70560939">
            <w:pPr>
              <w:autoSpaceDE w:val="0"/>
              <w:autoSpaceDN w:val="0"/>
              <w:ind w:firstLine="360"/>
              <w:contextualSpacing/>
              <w:rPr>
                <w:rFonts w:hint="eastAsia" w:ascii="宋体" w:hAnsi="宋体" w:eastAsia="宋体" w:cs="宋体"/>
                <w:sz w:val="24"/>
                <w:szCs w:val="24"/>
              </w:rPr>
            </w:pPr>
          </w:p>
        </w:tc>
      </w:tr>
      <w:tr w14:paraId="2F91FC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30" w:type="dxa"/>
            <w:bottom w:w="0" w:type="dxa"/>
            <w:right w:w="30" w:type="dxa"/>
          </w:tblCellMar>
        </w:tblPrEx>
        <w:trPr>
          <w:trHeight w:val="385" w:hRule="atLeast"/>
        </w:trPr>
        <w:tc>
          <w:tcPr>
            <w:tcW w:w="1418" w:type="dxa"/>
            <w:noWrap w:val="0"/>
            <w:vAlign w:val="center"/>
          </w:tcPr>
          <w:p w14:paraId="380F3111">
            <w:pPr>
              <w:autoSpaceDE w:val="0"/>
              <w:autoSpaceDN w:val="0"/>
              <w:ind w:firstLine="360"/>
              <w:contextualSpacing/>
              <w:rPr>
                <w:rFonts w:hint="eastAsia" w:ascii="宋体" w:hAnsi="宋体" w:eastAsia="宋体" w:cs="宋体"/>
                <w:color w:val="FFFFFF"/>
                <w:sz w:val="24"/>
                <w:szCs w:val="24"/>
              </w:rPr>
            </w:pPr>
            <w:r>
              <w:rPr>
                <w:rFonts w:hint="eastAsia" w:ascii="宋体" w:hAnsi="宋体" w:eastAsia="宋体" w:cs="宋体"/>
                <w:sz w:val="24"/>
                <w:szCs w:val="24"/>
              </w:rPr>
              <w:t>2.5</w:t>
            </w:r>
          </w:p>
        </w:tc>
        <w:tc>
          <w:tcPr>
            <w:tcW w:w="2835" w:type="dxa"/>
            <w:noWrap w:val="0"/>
            <w:vAlign w:val="center"/>
          </w:tcPr>
          <w:p w14:paraId="4E3AA332">
            <w:pPr>
              <w:autoSpaceDE w:val="0"/>
              <w:autoSpaceDN w:val="0"/>
              <w:contextualSpacing/>
              <w:rPr>
                <w:rFonts w:hint="eastAsia" w:ascii="宋体" w:hAnsi="宋体" w:eastAsia="宋体" w:cs="宋体"/>
                <w:color w:val="FFFFFF"/>
                <w:sz w:val="24"/>
                <w:szCs w:val="24"/>
              </w:rPr>
            </w:pPr>
            <w:r>
              <w:rPr>
                <w:rFonts w:hint="eastAsia" w:ascii="宋体" w:hAnsi="宋体" w:eastAsia="宋体" w:cs="宋体"/>
                <w:sz w:val="24"/>
                <w:szCs w:val="24"/>
              </w:rPr>
              <w:t>电话</w:t>
            </w:r>
          </w:p>
        </w:tc>
        <w:tc>
          <w:tcPr>
            <w:tcW w:w="800" w:type="dxa"/>
            <w:noWrap w:val="0"/>
            <w:vAlign w:val="top"/>
          </w:tcPr>
          <w:p w14:paraId="642B78E8">
            <w:pPr>
              <w:autoSpaceDE w:val="0"/>
              <w:autoSpaceDN w:val="0"/>
              <w:ind w:firstLine="360"/>
              <w:contextualSpacing/>
              <w:jc w:val="center"/>
              <w:rPr>
                <w:rFonts w:hint="eastAsia" w:ascii="宋体" w:hAnsi="宋体" w:eastAsia="宋体" w:cs="宋体"/>
                <w:sz w:val="24"/>
                <w:szCs w:val="24"/>
              </w:rPr>
            </w:pPr>
          </w:p>
        </w:tc>
        <w:tc>
          <w:tcPr>
            <w:tcW w:w="901" w:type="dxa"/>
            <w:noWrap w:val="0"/>
            <w:vAlign w:val="center"/>
          </w:tcPr>
          <w:p w14:paraId="14522908">
            <w:pPr>
              <w:autoSpaceDE w:val="0"/>
              <w:autoSpaceDN w:val="0"/>
              <w:contextualSpacing/>
              <w:jc w:val="center"/>
              <w:rPr>
                <w:rFonts w:hint="eastAsia" w:ascii="宋体" w:hAnsi="宋体" w:eastAsia="宋体" w:cs="宋体"/>
                <w:sz w:val="24"/>
                <w:szCs w:val="24"/>
              </w:rPr>
            </w:pPr>
            <w:r>
              <w:rPr>
                <w:rFonts w:hint="eastAsia" w:ascii="宋体" w:hAnsi="宋体" w:eastAsia="宋体" w:cs="宋体"/>
                <w:sz w:val="24"/>
                <w:szCs w:val="24"/>
              </w:rPr>
              <w:t>0</w:t>
            </w:r>
          </w:p>
        </w:tc>
        <w:tc>
          <w:tcPr>
            <w:tcW w:w="3024" w:type="dxa"/>
            <w:noWrap w:val="0"/>
            <w:vAlign w:val="center"/>
          </w:tcPr>
          <w:p w14:paraId="1CB45450">
            <w:pPr>
              <w:autoSpaceDE w:val="0"/>
              <w:autoSpaceDN w:val="0"/>
              <w:ind w:firstLine="360"/>
              <w:contextualSpacing/>
              <w:rPr>
                <w:rFonts w:hint="eastAsia" w:ascii="宋体" w:hAnsi="宋体" w:eastAsia="宋体" w:cs="宋体"/>
                <w:sz w:val="24"/>
                <w:szCs w:val="24"/>
              </w:rPr>
            </w:pPr>
          </w:p>
        </w:tc>
      </w:tr>
      <w:tr w14:paraId="025E45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30" w:type="dxa"/>
            <w:bottom w:w="0" w:type="dxa"/>
            <w:right w:w="30" w:type="dxa"/>
          </w:tblCellMar>
        </w:tblPrEx>
        <w:trPr>
          <w:trHeight w:val="385" w:hRule="atLeast"/>
        </w:trPr>
        <w:tc>
          <w:tcPr>
            <w:tcW w:w="1418" w:type="dxa"/>
            <w:noWrap w:val="0"/>
            <w:vAlign w:val="center"/>
          </w:tcPr>
          <w:p w14:paraId="7D0AAB69">
            <w:pPr>
              <w:autoSpaceDE w:val="0"/>
              <w:autoSpaceDN w:val="0"/>
              <w:ind w:firstLine="360"/>
              <w:contextualSpacing/>
              <w:rPr>
                <w:rFonts w:hint="eastAsia" w:ascii="宋体" w:hAnsi="宋体" w:eastAsia="宋体" w:cs="宋体"/>
                <w:color w:val="FFFFFF"/>
                <w:sz w:val="24"/>
                <w:szCs w:val="24"/>
              </w:rPr>
            </w:pPr>
            <w:r>
              <w:rPr>
                <w:rFonts w:hint="eastAsia" w:ascii="宋体" w:hAnsi="宋体" w:eastAsia="宋体" w:cs="宋体"/>
                <w:sz w:val="24"/>
                <w:szCs w:val="24"/>
              </w:rPr>
              <w:t>2.6</w:t>
            </w:r>
          </w:p>
        </w:tc>
        <w:tc>
          <w:tcPr>
            <w:tcW w:w="2835" w:type="dxa"/>
            <w:noWrap w:val="0"/>
            <w:vAlign w:val="center"/>
          </w:tcPr>
          <w:p w14:paraId="0D6B0C92">
            <w:pPr>
              <w:autoSpaceDE w:val="0"/>
              <w:autoSpaceDN w:val="0"/>
              <w:contextualSpacing/>
              <w:rPr>
                <w:rFonts w:hint="eastAsia" w:ascii="宋体" w:hAnsi="宋体" w:eastAsia="宋体" w:cs="宋体"/>
                <w:color w:val="FFFFFF"/>
                <w:sz w:val="24"/>
                <w:szCs w:val="24"/>
              </w:rPr>
            </w:pPr>
            <w:r>
              <w:rPr>
                <w:rFonts w:hint="eastAsia" w:ascii="宋体" w:hAnsi="宋体" w:eastAsia="宋体" w:cs="宋体"/>
                <w:sz w:val="24"/>
                <w:szCs w:val="24"/>
              </w:rPr>
              <w:t>传真机</w:t>
            </w:r>
          </w:p>
        </w:tc>
        <w:tc>
          <w:tcPr>
            <w:tcW w:w="800" w:type="dxa"/>
            <w:noWrap w:val="0"/>
            <w:vAlign w:val="top"/>
          </w:tcPr>
          <w:p w14:paraId="4E760FCB">
            <w:pPr>
              <w:autoSpaceDE w:val="0"/>
              <w:autoSpaceDN w:val="0"/>
              <w:ind w:firstLine="360"/>
              <w:contextualSpacing/>
              <w:jc w:val="center"/>
              <w:rPr>
                <w:rFonts w:hint="eastAsia" w:ascii="宋体" w:hAnsi="宋体" w:eastAsia="宋体" w:cs="宋体"/>
                <w:sz w:val="24"/>
                <w:szCs w:val="24"/>
              </w:rPr>
            </w:pPr>
          </w:p>
        </w:tc>
        <w:tc>
          <w:tcPr>
            <w:tcW w:w="901" w:type="dxa"/>
            <w:noWrap w:val="0"/>
            <w:vAlign w:val="center"/>
          </w:tcPr>
          <w:p w14:paraId="5AEA3BD0">
            <w:pPr>
              <w:autoSpaceDE w:val="0"/>
              <w:autoSpaceDN w:val="0"/>
              <w:ind w:firstLine="360"/>
              <w:contextualSpacing/>
              <w:rPr>
                <w:rFonts w:hint="eastAsia" w:ascii="宋体" w:hAnsi="宋体" w:eastAsia="宋体" w:cs="宋体"/>
                <w:sz w:val="24"/>
                <w:szCs w:val="24"/>
              </w:rPr>
            </w:pPr>
            <w:r>
              <w:rPr>
                <w:rFonts w:hint="eastAsia" w:ascii="宋体" w:hAnsi="宋体" w:eastAsia="宋体" w:cs="宋体"/>
                <w:sz w:val="24"/>
                <w:szCs w:val="24"/>
              </w:rPr>
              <w:t>0</w:t>
            </w:r>
          </w:p>
        </w:tc>
        <w:tc>
          <w:tcPr>
            <w:tcW w:w="3024" w:type="dxa"/>
            <w:noWrap w:val="0"/>
            <w:vAlign w:val="center"/>
          </w:tcPr>
          <w:p w14:paraId="66EAC5A9">
            <w:pPr>
              <w:autoSpaceDE w:val="0"/>
              <w:autoSpaceDN w:val="0"/>
              <w:ind w:firstLine="360"/>
              <w:contextualSpacing/>
              <w:rPr>
                <w:rFonts w:hint="eastAsia" w:ascii="宋体" w:hAnsi="宋体" w:eastAsia="宋体" w:cs="宋体"/>
                <w:sz w:val="24"/>
                <w:szCs w:val="24"/>
              </w:rPr>
            </w:pPr>
          </w:p>
        </w:tc>
      </w:tr>
      <w:tr w14:paraId="725B17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30" w:type="dxa"/>
            <w:bottom w:w="0" w:type="dxa"/>
            <w:right w:w="30" w:type="dxa"/>
          </w:tblCellMar>
        </w:tblPrEx>
        <w:trPr>
          <w:trHeight w:val="385" w:hRule="atLeast"/>
        </w:trPr>
        <w:tc>
          <w:tcPr>
            <w:tcW w:w="1418" w:type="dxa"/>
            <w:noWrap w:val="0"/>
            <w:vAlign w:val="center"/>
          </w:tcPr>
          <w:p w14:paraId="6B07179B">
            <w:pPr>
              <w:autoSpaceDE w:val="0"/>
              <w:autoSpaceDN w:val="0"/>
              <w:ind w:firstLine="360"/>
              <w:contextualSpacing/>
              <w:rPr>
                <w:rFonts w:hint="eastAsia" w:ascii="宋体" w:hAnsi="宋体" w:eastAsia="宋体" w:cs="宋体"/>
                <w:color w:val="FFFFFF"/>
                <w:sz w:val="24"/>
                <w:szCs w:val="24"/>
              </w:rPr>
            </w:pPr>
            <w:r>
              <w:rPr>
                <w:rFonts w:hint="eastAsia" w:ascii="宋体" w:hAnsi="宋体" w:eastAsia="宋体" w:cs="宋体"/>
                <w:sz w:val="24"/>
                <w:szCs w:val="24"/>
              </w:rPr>
              <w:t>2.7</w:t>
            </w:r>
          </w:p>
        </w:tc>
        <w:tc>
          <w:tcPr>
            <w:tcW w:w="2835" w:type="dxa"/>
            <w:noWrap w:val="0"/>
            <w:vAlign w:val="center"/>
          </w:tcPr>
          <w:p w14:paraId="2BA39E41">
            <w:pPr>
              <w:autoSpaceDE w:val="0"/>
              <w:autoSpaceDN w:val="0"/>
              <w:contextualSpacing/>
              <w:rPr>
                <w:rFonts w:hint="eastAsia" w:ascii="宋体" w:hAnsi="宋体" w:eastAsia="宋体" w:cs="宋体"/>
                <w:color w:val="FFFFFF"/>
                <w:sz w:val="24"/>
                <w:szCs w:val="24"/>
              </w:rPr>
            </w:pPr>
            <w:r>
              <w:rPr>
                <w:rFonts w:hint="eastAsia" w:ascii="宋体" w:hAnsi="宋体" w:eastAsia="宋体" w:cs="宋体"/>
                <w:sz w:val="24"/>
                <w:szCs w:val="24"/>
              </w:rPr>
              <w:t>复印机</w:t>
            </w:r>
          </w:p>
        </w:tc>
        <w:tc>
          <w:tcPr>
            <w:tcW w:w="800" w:type="dxa"/>
            <w:noWrap w:val="0"/>
            <w:vAlign w:val="top"/>
          </w:tcPr>
          <w:p w14:paraId="4FAB89DD">
            <w:pPr>
              <w:autoSpaceDE w:val="0"/>
              <w:autoSpaceDN w:val="0"/>
              <w:ind w:firstLine="360"/>
              <w:contextualSpacing/>
              <w:jc w:val="center"/>
              <w:rPr>
                <w:rFonts w:hint="eastAsia" w:ascii="宋体" w:hAnsi="宋体" w:eastAsia="宋体" w:cs="宋体"/>
                <w:sz w:val="24"/>
                <w:szCs w:val="24"/>
              </w:rPr>
            </w:pPr>
          </w:p>
        </w:tc>
        <w:tc>
          <w:tcPr>
            <w:tcW w:w="901" w:type="dxa"/>
            <w:noWrap w:val="0"/>
            <w:vAlign w:val="center"/>
          </w:tcPr>
          <w:p w14:paraId="4A39CDBD">
            <w:pPr>
              <w:autoSpaceDE w:val="0"/>
              <w:autoSpaceDN w:val="0"/>
              <w:ind w:firstLine="360"/>
              <w:contextualSpacing/>
              <w:rPr>
                <w:rFonts w:hint="eastAsia" w:ascii="宋体" w:hAnsi="宋体" w:eastAsia="宋体" w:cs="宋体"/>
                <w:sz w:val="24"/>
                <w:szCs w:val="24"/>
              </w:rPr>
            </w:pPr>
            <w:r>
              <w:rPr>
                <w:rFonts w:hint="eastAsia" w:ascii="宋体" w:hAnsi="宋体" w:eastAsia="宋体" w:cs="宋体"/>
                <w:sz w:val="24"/>
                <w:szCs w:val="24"/>
              </w:rPr>
              <w:t>2</w:t>
            </w:r>
          </w:p>
        </w:tc>
        <w:tc>
          <w:tcPr>
            <w:tcW w:w="3024" w:type="dxa"/>
            <w:noWrap w:val="0"/>
            <w:vAlign w:val="center"/>
          </w:tcPr>
          <w:p w14:paraId="06CAB8FC">
            <w:pPr>
              <w:autoSpaceDE w:val="0"/>
              <w:autoSpaceDN w:val="0"/>
              <w:contextualSpacing/>
              <w:rPr>
                <w:rFonts w:hint="eastAsia" w:ascii="宋体" w:hAnsi="宋体" w:eastAsia="宋体" w:cs="宋体"/>
                <w:sz w:val="24"/>
                <w:szCs w:val="24"/>
              </w:rPr>
            </w:pPr>
            <w:r>
              <w:rPr>
                <w:rFonts w:hint="eastAsia" w:ascii="宋体" w:hAnsi="宋体" w:eastAsia="宋体" w:cs="宋体"/>
                <w:sz w:val="24"/>
                <w:szCs w:val="24"/>
              </w:rPr>
              <w:t>打印、扫描、复印一体机（A3双面彩印）</w:t>
            </w:r>
          </w:p>
        </w:tc>
      </w:tr>
      <w:tr w14:paraId="2ED946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30" w:type="dxa"/>
            <w:bottom w:w="0" w:type="dxa"/>
            <w:right w:w="30" w:type="dxa"/>
          </w:tblCellMar>
        </w:tblPrEx>
        <w:trPr>
          <w:trHeight w:val="385" w:hRule="atLeast"/>
        </w:trPr>
        <w:tc>
          <w:tcPr>
            <w:tcW w:w="1418" w:type="dxa"/>
            <w:noWrap w:val="0"/>
            <w:vAlign w:val="center"/>
          </w:tcPr>
          <w:p w14:paraId="15C3E653">
            <w:pPr>
              <w:autoSpaceDE w:val="0"/>
              <w:autoSpaceDN w:val="0"/>
              <w:ind w:firstLine="360"/>
              <w:contextualSpacing/>
              <w:rPr>
                <w:rFonts w:hint="eastAsia" w:ascii="宋体" w:hAnsi="宋体" w:eastAsia="宋体" w:cs="宋体"/>
                <w:color w:val="FFFFFF"/>
                <w:sz w:val="24"/>
                <w:szCs w:val="24"/>
              </w:rPr>
            </w:pPr>
            <w:r>
              <w:rPr>
                <w:rFonts w:hint="eastAsia" w:ascii="宋体" w:hAnsi="宋体" w:eastAsia="宋体" w:cs="宋体"/>
                <w:sz w:val="24"/>
                <w:szCs w:val="24"/>
              </w:rPr>
              <w:t>2.8</w:t>
            </w:r>
          </w:p>
        </w:tc>
        <w:tc>
          <w:tcPr>
            <w:tcW w:w="2835" w:type="dxa"/>
            <w:noWrap w:val="0"/>
            <w:vAlign w:val="center"/>
          </w:tcPr>
          <w:p w14:paraId="5722798F">
            <w:pPr>
              <w:autoSpaceDE w:val="0"/>
              <w:autoSpaceDN w:val="0"/>
              <w:contextualSpacing/>
              <w:rPr>
                <w:rFonts w:hint="eastAsia" w:ascii="宋体" w:hAnsi="宋体" w:eastAsia="宋体" w:cs="宋体"/>
                <w:color w:val="FFFFFF"/>
                <w:sz w:val="24"/>
                <w:szCs w:val="24"/>
              </w:rPr>
            </w:pPr>
            <w:r>
              <w:rPr>
                <w:rFonts w:hint="eastAsia" w:ascii="宋体" w:hAnsi="宋体" w:eastAsia="宋体" w:cs="宋体"/>
                <w:sz w:val="24"/>
                <w:szCs w:val="24"/>
              </w:rPr>
              <w:t>电脑</w:t>
            </w:r>
          </w:p>
        </w:tc>
        <w:tc>
          <w:tcPr>
            <w:tcW w:w="800" w:type="dxa"/>
            <w:noWrap w:val="0"/>
            <w:vAlign w:val="top"/>
          </w:tcPr>
          <w:p w14:paraId="68CC256F">
            <w:pPr>
              <w:autoSpaceDE w:val="0"/>
              <w:autoSpaceDN w:val="0"/>
              <w:ind w:firstLine="360"/>
              <w:contextualSpacing/>
              <w:jc w:val="center"/>
              <w:rPr>
                <w:rFonts w:hint="eastAsia" w:ascii="宋体" w:hAnsi="宋体" w:eastAsia="宋体" w:cs="宋体"/>
                <w:sz w:val="24"/>
                <w:szCs w:val="24"/>
              </w:rPr>
            </w:pPr>
          </w:p>
        </w:tc>
        <w:tc>
          <w:tcPr>
            <w:tcW w:w="901" w:type="dxa"/>
            <w:noWrap w:val="0"/>
            <w:vAlign w:val="center"/>
          </w:tcPr>
          <w:p w14:paraId="4DCCEF31">
            <w:pPr>
              <w:autoSpaceDE w:val="0"/>
              <w:autoSpaceDN w:val="0"/>
              <w:ind w:firstLine="360"/>
              <w:contextualSpacing/>
              <w:jc w:val="center"/>
              <w:rPr>
                <w:rFonts w:hint="eastAsia" w:ascii="宋体" w:hAnsi="宋体" w:eastAsia="宋体" w:cs="宋体"/>
                <w:sz w:val="24"/>
                <w:szCs w:val="24"/>
              </w:rPr>
            </w:pPr>
          </w:p>
        </w:tc>
        <w:tc>
          <w:tcPr>
            <w:tcW w:w="3024" w:type="dxa"/>
            <w:noWrap w:val="0"/>
            <w:vAlign w:val="center"/>
          </w:tcPr>
          <w:p w14:paraId="3C460CE9">
            <w:pPr>
              <w:autoSpaceDE w:val="0"/>
              <w:autoSpaceDN w:val="0"/>
              <w:ind w:firstLine="360"/>
              <w:contextualSpacing/>
              <w:rPr>
                <w:rFonts w:hint="eastAsia" w:ascii="宋体" w:hAnsi="宋体" w:eastAsia="宋体" w:cs="宋体"/>
                <w:sz w:val="24"/>
                <w:szCs w:val="24"/>
              </w:rPr>
            </w:pPr>
          </w:p>
        </w:tc>
      </w:tr>
      <w:tr w14:paraId="5397A0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30" w:type="dxa"/>
            <w:bottom w:w="0" w:type="dxa"/>
            <w:right w:w="30" w:type="dxa"/>
          </w:tblCellMar>
        </w:tblPrEx>
        <w:trPr>
          <w:trHeight w:val="385" w:hRule="atLeast"/>
        </w:trPr>
        <w:tc>
          <w:tcPr>
            <w:tcW w:w="1418" w:type="dxa"/>
            <w:noWrap w:val="0"/>
            <w:vAlign w:val="center"/>
          </w:tcPr>
          <w:p w14:paraId="7F4D7146">
            <w:pPr>
              <w:autoSpaceDE w:val="0"/>
              <w:autoSpaceDN w:val="0"/>
              <w:ind w:firstLine="360"/>
              <w:contextualSpacing/>
              <w:rPr>
                <w:rFonts w:hint="eastAsia" w:ascii="宋体" w:hAnsi="宋体" w:eastAsia="宋体" w:cs="宋体"/>
                <w:color w:val="FFFFFF"/>
                <w:sz w:val="24"/>
                <w:szCs w:val="24"/>
              </w:rPr>
            </w:pPr>
            <w:r>
              <w:rPr>
                <w:rFonts w:hint="eastAsia" w:ascii="宋体" w:hAnsi="宋体" w:eastAsia="宋体" w:cs="宋体"/>
                <w:sz w:val="24"/>
                <w:szCs w:val="24"/>
              </w:rPr>
              <w:t>2.9</w:t>
            </w:r>
          </w:p>
        </w:tc>
        <w:tc>
          <w:tcPr>
            <w:tcW w:w="2835" w:type="dxa"/>
            <w:noWrap w:val="0"/>
            <w:vAlign w:val="center"/>
          </w:tcPr>
          <w:p w14:paraId="0435E843">
            <w:pPr>
              <w:autoSpaceDE w:val="0"/>
              <w:autoSpaceDN w:val="0"/>
              <w:contextualSpacing/>
              <w:rPr>
                <w:rFonts w:hint="eastAsia" w:ascii="宋体" w:hAnsi="宋体" w:eastAsia="宋体" w:cs="宋体"/>
                <w:color w:val="FFFFFF"/>
                <w:sz w:val="24"/>
                <w:szCs w:val="24"/>
              </w:rPr>
            </w:pPr>
            <w:r>
              <w:rPr>
                <w:rFonts w:hint="eastAsia" w:ascii="宋体" w:hAnsi="宋体" w:eastAsia="宋体" w:cs="宋体"/>
                <w:sz w:val="24"/>
                <w:szCs w:val="24"/>
              </w:rPr>
              <w:t>打印机</w:t>
            </w:r>
          </w:p>
        </w:tc>
        <w:tc>
          <w:tcPr>
            <w:tcW w:w="800" w:type="dxa"/>
            <w:noWrap w:val="0"/>
            <w:vAlign w:val="top"/>
          </w:tcPr>
          <w:p w14:paraId="2CDCF3F3">
            <w:pPr>
              <w:autoSpaceDE w:val="0"/>
              <w:autoSpaceDN w:val="0"/>
              <w:ind w:firstLine="360"/>
              <w:contextualSpacing/>
              <w:jc w:val="center"/>
              <w:rPr>
                <w:rFonts w:hint="eastAsia" w:ascii="宋体" w:hAnsi="宋体" w:eastAsia="宋体" w:cs="宋体"/>
                <w:sz w:val="24"/>
                <w:szCs w:val="24"/>
              </w:rPr>
            </w:pPr>
          </w:p>
        </w:tc>
        <w:tc>
          <w:tcPr>
            <w:tcW w:w="901" w:type="dxa"/>
            <w:noWrap w:val="0"/>
            <w:vAlign w:val="center"/>
          </w:tcPr>
          <w:p w14:paraId="6F072138">
            <w:pPr>
              <w:autoSpaceDE w:val="0"/>
              <w:autoSpaceDN w:val="0"/>
              <w:ind w:firstLine="360"/>
              <w:contextualSpacing/>
              <w:rPr>
                <w:rFonts w:hint="eastAsia" w:ascii="宋体" w:hAnsi="宋体" w:eastAsia="宋体" w:cs="宋体"/>
                <w:sz w:val="24"/>
                <w:szCs w:val="24"/>
              </w:rPr>
            </w:pPr>
            <w:r>
              <w:rPr>
                <w:rFonts w:hint="eastAsia" w:ascii="宋体" w:hAnsi="宋体" w:eastAsia="宋体" w:cs="宋体"/>
                <w:sz w:val="24"/>
                <w:szCs w:val="24"/>
              </w:rPr>
              <w:t>0</w:t>
            </w:r>
          </w:p>
        </w:tc>
        <w:tc>
          <w:tcPr>
            <w:tcW w:w="3024" w:type="dxa"/>
            <w:noWrap w:val="0"/>
            <w:vAlign w:val="center"/>
          </w:tcPr>
          <w:p w14:paraId="1E1CC8D3">
            <w:pPr>
              <w:autoSpaceDE w:val="0"/>
              <w:autoSpaceDN w:val="0"/>
              <w:ind w:firstLine="360"/>
              <w:contextualSpacing/>
              <w:rPr>
                <w:rFonts w:hint="eastAsia" w:ascii="宋体" w:hAnsi="宋体" w:eastAsia="宋体" w:cs="宋体"/>
                <w:sz w:val="24"/>
                <w:szCs w:val="24"/>
              </w:rPr>
            </w:pPr>
          </w:p>
        </w:tc>
      </w:tr>
      <w:tr w14:paraId="7750CD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30" w:type="dxa"/>
            <w:bottom w:w="0" w:type="dxa"/>
            <w:right w:w="30" w:type="dxa"/>
          </w:tblCellMar>
        </w:tblPrEx>
        <w:trPr>
          <w:trHeight w:val="385" w:hRule="atLeast"/>
        </w:trPr>
        <w:tc>
          <w:tcPr>
            <w:tcW w:w="1418" w:type="dxa"/>
            <w:noWrap w:val="0"/>
            <w:vAlign w:val="center"/>
          </w:tcPr>
          <w:p w14:paraId="5AEBFC74">
            <w:pPr>
              <w:autoSpaceDE w:val="0"/>
              <w:autoSpaceDN w:val="0"/>
              <w:ind w:firstLine="360"/>
              <w:contextualSpacing/>
              <w:rPr>
                <w:rFonts w:hint="eastAsia" w:ascii="宋体" w:hAnsi="宋体" w:eastAsia="宋体" w:cs="宋体"/>
                <w:color w:val="FFFFFF"/>
                <w:sz w:val="24"/>
                <w:szCs w:val="24"/>
              </w:rPr>
            </w:pPr>
            <w:r>
              <w:rPr>
                <w:rFonts w:hint="eastAsia" w:ascii="宋体" w:hAnsi="宋体" w:eastAsia="宋体" w:cs="宋体"/>
                <w:sz w:val="24"/>
                <w:szCs w:val="24"/>
              </w:rPr>
              <w:t>2.10</w:t>
            </w:r>
          </w:p>
        </w:tc>
        <w:tc>
          <w:tcPr>
            <w:tcW w:w="2835" w:type="dxa"/>
            <w:noWrap w:val="0"/>
            <w:vAlign w:val="center"/>
          </w:tcPr>
          <w:p w14:paraId="3DFC5D81">
            <w:pPr>
              <w:autoSpaceDE w:val="0"/>
              <w:autoSpaceDN w:val="0"/>
              <w:contextualSpacing/>
              <w:rPr>
                <w:rFonts w:hint="eastAsia" w:ascii="宋体" w:hAnsi="宋体" w:eastAsia="宋体" w:cs="宋体"/>
                <w:color w:val="FFFFFF"/>
                <w:sz w:val="24"/>
                <w:szCs w:val="24"/>
              </w:rPr>
            </w:pPr>
            <w:r>
              <w:rPr>
                <w:rFonts w:hint="eastAsia" w:ascii="宋体" w:hAnsi="宋体" w:eastAsia="宋体" w:cs="宋体"/>
                <w:sz w:val="24"/>
                <w:szCs w:val="24"/>
              </w:rPr>
              <w:t>文件柜</w:t>
            </w:r>
          </w:p>
        </w:tc>
        <w:tc>
          <w:tcPr>
            <w:tcW w:w="800" w:type="dxa"/>
            <w:noWrap w:val="0"/>
            <w:vAlign w:val="top"/>
          </w:tcPr>
          <w:p w14:paraId="74A7E567">
            <w:pPr>
              <w:autoSpaceDE w:val="0"/>
              <w:autoSpaceDN w:val="0"/>
              <w:ind w:firstLine="360"/>
              <w:contextualSpacing/>
              <w:jc w:val="center"/>
              <w:rPr>
                <w:rFonts w:hint="eastAsia" w:ascii="宋体" w:hAnsi="宋体" w:eastAsia="宋体" w:cs="宋体"/>
                <w:sz w:val="24"/>
                <w:szCs w:val="24"/>
              </w:rPr>
            </w:pPr>
          </w:p>
        </w:tc>
        <w:tc>
          <w:tcPr>
            <w:tcW w:w="901" w:type="dxa"/>
            <w:noWrap w:val="0"/>
            <w:vAlign w:val="center"/>
          </w:tcPr>
          <w:p w14:paraId="617FB640">
            <w:pPr>
              <w:autoSpaceDE w:val="0"/>
              <w:autoSpaceDN w:val="0"/>
              <w:ind w:firstLine="360"/>
              <w:contextualSpacing/>
              <w:rPr>
                <w:rFonts w:hint="eastAsia" w:ascii="宋体" w:hAnsi="宋体" w:eastAsia="宋体" w:cs="宋体"/>
                <w:sz w:val="24"/>
                <w:szCs w:val="24"/>
              </w:rPr>
            </w:pPr>
            <w:r>
              <w:rPr>
                <w:rFonts w:hint="eastAsia" w:ascii="宋体" w:hAnsi="宋体" w:eastAsia="宋体" w:cs="宋体"/>
                <w:sz w:val="24"/>
                <w:szCs w:val="24"/>
              </w:rPr>
              <w:t>4</w:t>
            </w:r>
          </w:p>
        </w:tc>
        <w:tc>
          <w:tcPr>
            <w:tcW w:w="3024" w:type="dxa"/>
            <w:noWrap w:val="0"/>
            <w:vAlign w:val="center"/>
          </w:tcPr>
          <w:p w14:paraId="6D8F8213">
            <w:pPr>
              <w:autoSpaceDE w:val="0"/>
              <w:autoSpaceDN w:val="0"/>
              <w:ind w:firstLine="360"/>
              <w:contextualSpacing/>
              <w:rPr>
                <w:rFonts w:hint="eastAsia" w:ascii="宋体" w:hAnsi="宋体" w:eastAsia="宋体" w:cs="宋体"/>
                <w:sz w:val="24"/>
                <w:szCs w:val="24"/>
              </w:rPr>
            </w:pPr>
          </w:p>
        </w:tc>
      </w:tr>
      <w:tr w14:paraId="0457E0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30" w:type="dxa"/>
            <w:bottom w:w="0" w:type="dxa"/>
            <w:right w:w="30" w:type="dxa"/>
          </w:tblCellMar>
        </w:tblPrEx>
        <w:trPr>
          <w:trHeight w:val="385" w:hRule="atLeast"/>
        </w:trPr>
        <w:tc>
          <w:tcPr>
            <w:tcW w:w="1418" w:type="dxa"/>
            <w:noWrap w:val="0"/>
            <w:vAlign w:val="center"/>
          </w:tcPr>
          <w:p w14:paraId="5E1AE899">
            <w:pPr>
              <w:autoSpaceDE w:val="0"/>
              <w:autoSpaceDN w:val="0"/>
              <w:ind w:firstLine="360"/>
              <w:contextualSpacing/>
              <w:rPr>
                <w:rFonts w:hint="eastAsia" w:ascii="宋体" w:hAnsi="宋体" w:eastAsia="宋体" w:cs="宋体"/>
                <w:color w:val="FFFFFF"/>
                <w:sz w:val="24"/>
                <w:szCs w:val="24"/>
              </w:rPr>
            </w:pPr>
            <w:r>
              <w:rPr>
                <w:rFonts w:hint="eastAsia" w:ascii="宋体" w:hAnsi="宋体" w:eastAsia="宋体" w:cs="宋体"/>
                <w:sz w:val="24"/>
                <w:szCs w:val="24"/>
              </w:rPr>
              <w:t>2.11</w:t>
            </w:r>
          </w:p>
        </w:tc>
        <w:tc>
          <w:tcPr>
            <w:tcW w:w="2835" w:type="dxa"/>
            <w:noWrap w:val="0"/>
            <w:vAlign w:val="center"/>
          </w:tcPr>
          <w:p w14:paraId="5DC4294C">
            <w:pPr>
              <w:autoSpaceDE w:val="0"/>
              <w:autoSpaceDN w:val="0"/>
              <w:contextualSpacing/>
              <w:rPr>
                <w:rFonts w:hint="eastAsia" w:ascii="宋体" w:hAnsi="宋体" w:eastAsia="宋体" w:cs="宋体"/>
                <w:color w:val="FFFFFF"/>
                <w:sz w:val="24"/>
                <w:szCs w:val="24"/>
              </w:rPr>
            </w:pPr>
            <w:r>
              <w:rPr>
                <w:rFonts w:hint="eastAsia" w:ascii="宋体" w:hAnsi="宋体" w:eastAsia="宋体" w:cs="宋体"/>
                <w:sz w:val="24"/>
                <w:szCs w:val="24"/>
              </w:rPr>
              <w:t>磁性写字板</w:t>
            </w:r>
          </w:p>
        </w:tc>
        <w:tc>
          <w:tcPr>
            <w:tcW w:w="800" w:type="dxa"/>
            <w:noWrap w:val="0"/>
            <w:vAlign w:val="top"/>
          </w:tcPr>
          <w:p w14:paraId="6ADC7F12">
            <w:pPr>
              <w:autoSpaceDE w:val="0"/>
              <w:autoSpaceDN w:val="0"/>
              <w:ind w:firstLine="360"/>
              <w:contextualSpacing/>
              <w:jc w:val="center"/>
              <w:rPr>
                <w:rFonts w:hint="eastAsia" w:ascii="宋体" w:hAnsi="宋体" w:eastAsia="宋体" w:cs="宋体"/>
                <w:sz w:val="24"/>
                <w:szCs w:val="24"/>
                <w:vertAlign w:val="superscript"/>
              </w:rPr>
            </w:pPr>
          </w:p>
        </w:tc>
        <w:tc>
          <w:tcPr>
            <w:tcW w:w="901" w:type="dxa"/>
            <w:noWrap w:val="0"/>
            <w:vAlign w:val="center"/>
          </w:tcPr>
          <w:p w14:paraId="5A66EE9B">
            <w:pPr>
              <w:autoSpaceDE w:val="0"/>
              <w:autoSpaceDN w:val="0"/>
              <w:ind w:firstLine="360"/>
              <w:contextualSpacing/>
              <w:rPr>
                <w:rFonts w:hint="eastAsia" w:ascii="宋体" w:hAnsi="宋体" w:eastAsia="宋体" w:cs="宋体"/>
                <w:sz w:val="24"/>
                <w:szCs w:val="24"/>
              </w:rPr>
            </w:pPr>
            <w:r>
              <w:rPr>
                <w:rFonts w:hint="eastAsia" w:ascii="宋体" w:hAnsi="宋体" w:eastAsia="宋体" w:cs="宋体"/>
                <w:sz w:val="24"/>
                <w:szCs w:val="24"/>
              </w:rPr>
              <w:t>2</w:t>
            </w:r>
          </w:p>
        </w:tc>
        <w:tc>
          <w:tcPr>
            <w:tcW w:w="3024" w:type="dxa"/>
            <w:noWrap w:val="0"/>
            <w:vAlign w:val="center"/>
          </w:tcPr>
          <w:p w14:paraId="5F172F16">
            <w:pPr>
              <w:autoSpaceDE w:val="0"/>
              <w:autoSpaceDN w:val="0"/>
              <w:ind w:firstLine="360"/>
              <w:contextualSpacing/>
              <w:rPr>
                <w:rFonts w:hint="eastAsia" w:ascii="宋体" w:hAnsi="宋体" w:eastAsia="宋体" w:cs="宋体"/>
                <w:sz w:val="24"/>
                <w:szCs w:val="24"/>
              </w:rPr>
            </w:pPr>
          </w:p>
        </w:tc>
      </w:tr>
      <w:tr w14:paraId="4B4109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30" w:type="dxa"/>
            <w:bottom w:w="0" w:type="dxa"/>
            <w:right w:w="30" w:type="dxa"/>
          </w:tblCellMar>
        </w:tblPrEx>
        <w:trPr>
          <w:cantSplit/>
        </w:trPr>
        <w:tc>
          <w:tcPr>
            <w:tcW w:w="8978" w:type="dxa"/>
            <w:gridSpan w:val="5"/>
            <w:noWrap w:val="0"/>
            <w:vAlign w:val="top"/>
          </w:tcPr>
          <w:p w14:paraId="571E19B7">
            <w:pPr>
              <w:autoSpaceDE w:val="0"/>
              <w:autoSpaceDN w:val="0"/>
              <w:contextualSpacing/>
              <w:rPr>
                <w:rFonts w:hint="eastAsia" w:ascii="宋体" w:hAnsi="宋体" w:eastAsia="宋体" w:cs="宋体"/>
                <w:color w:val="FFFFFF"/>
                <w:sz w:val="24"/>
                <w:szCs w:val="24"/>
              </w:rPr>
            </w:pPr>
            <w:r>
              <w:rPr>
                <w:rFonts w:hint="eastAsia" w:ascii="宋体" w:hAnsi="宋体" w:eastAsia="宋体" w:cs="宋体"/>
                <w:sz w:val="24"/>
                <w:szCs w:val="24"/>
              </w:rPr>
              <w:t>装修及环境要求：</w:t>
            </w:r>
          </w:p>
          <w:p w14:paraId="505C5448">
            <w:pPr>
              <w:autoSpaceDE w:val="0"/>
              <w:autoSpaceDN w:val="0"/>
              <w:contextualSpacing/>
              <w:rPr>
                <w:rFonts w:hint="eastAsia" w:ascii="宋体" w:hAnsi="宋体" w:eastAsia="宋体" w:cs="宋体"/>
                <w:color w:val="FFFFFF"/>
                <w:sz w:val="24"/>
                <w:szCs w:val="24"/>
              </w:rPr>
            </w:pPr>
            <w:r>
              <w:rPr>
                <w:rFonts w:hint="eastAsia" w:ascii="宋体" w:hAnsi="宋体" w:eastAsia="宋体" w:cs="宋体"/>
                <w:sz w:val="24"/>
                <w:szCs w:val="24"/>
              </w:rPr>
              <w:t>1、吊顶：顶层用天花吊顶，贴面板装修；</w:t>
            </w:r>
          </w:p>
          <w:p w14:paraId="2D67CA84">
            <w:pPr>
              <w:autoSpaceDE w:val="0"/>
              <w:autoSpaceDN w:val="0"/>
              <w:contextualSpacing/>
              <w:rPr>
                <w:rFonts w:hint="eastAsia" w:ascii="宋体" w:hAnsi="宋体" w:eastAsia="宋体" w:cs="宋体"/>
                <w:color w:val="FFFFFF"/>
                <w:sz w:val="24"/>
                <w:szCs w:val="24"/>
              </w:rPr>
            </w:pPr>
            <w:r>
              <w:rPr>
                <w:rFonts w:hint="eastAsia" w:ascii="宋体" w:hAnsi="宋体" w:eastAsia="宋体" w:cs="宋体"/>
                <w:sz w:val="24"/>
                <w:szCs w:val="24"/>
              </w:rPr>
              <w:t>2、地面：地砖；</w:t>
            </w:r>
          </w:p>
          <w:p w14:paraId="0BDEBACC">
            <w:pPr>
              <w:autoSpaceDE w:val="0"/>
              <w:autoSpaceDN w:val="0"/>
              <w:contextualSpacing/>
              <w:rPr>
                <w:rFonts w:hint="eastAsia" w:ascii="宋体" w:hAnsi="宋体" w:eastAsia="宋体" w:cs="宋体"/>
                <w:color w:val="FFFFFF"/>
                <w:sz w:val="24"/>
                <w:szCs w:val="24"/>
              </w:rPr>
            </w:pPr>
            <w:r>
              <w:rPr>
                <w:rFonts w:hint="eastAsia" w:ascii="宋体" w:hAnsi="宋体" w:eastAsia="宋体" w:cs="宋体"/>
                <w:sz w:val="24"/>
                <w:szCs w:val="24"/>
              </w:rPr>
              <w:t>3、内墙面：厨房、浴室贴2米高的白色瓷砖，其余灰白色批挡；</w:t>
            </w:r>
          </w:p>
          <w:p w14:paraId="4ED0CDBA">
            <w:pPr>
              <w:autoSpaceDE w:val="0"/>
              <w:autoSpaceDN w:val="0"/>
              <w:contextualSpacing/>
              <w:rPr>
                <w:rFonts w:hint="eastAsia" w:ascii="宋体" w:hAnsi="宋体" w:eastAsia="宋体" w:cs="宋体"/>
                <w:sz w:val="24"/>
                <w:szCs w:val="24"/>
              </w:rPr>
            </w:pPr>
            <w:r>
              <w:rPr>
                <w:rFonts w:hint="eastAsia" w:ascii="宋体" w:hAnsi="宋体" w:eastAsia="宋体" w:cs="宋体"/>
                <w:sz w:val="24"/>
                <w:szCs w:val="24"/>
              </w:rPr>
              <w:t>4、外墙面：按常规；</w:t>
            </w:r>
          </w:p>
          <w:p w14:paraId="4EDBA7EF">
            <w:pPr>
              <w:autoSpaceDE w:val="0"/>
              <w:autoSpaceDN w:val="0"/>
              <w:contextualSpacing/>
              <w:rPr>
                <w:rFonts w:hint="eastAsia" w:ascii="宋体" w:hAnsi="宋体" w:eastAsia="宋体" w:cs="宋体"/>
                <w:sz w:val="24"/>
                <w:szCs w:val="24"/>
              </w:rPr>
            </w:pPr>
            <w:r>
              <w:rPr>
                <w:rFonts w:hint="eastAsia" w:ascii="宋体" w:hAnsi="宋体" w:eastAsia="宋体" w:cs="宋体"/>
                <w:sz w:val="24"/>
                <w:szCs w:val="24"/>
              </w:rPr>
              <w:t>5、照明与动力配电：日光灯管（常规布置）；</w:t>
            </w:r>
          </w:p>
          <w:p w14:paraId="42A09317">
            <w:pPr>
              <w:autoSpaceDE w:val="0"/>
              <w:autoSpaceDN w:val="0"/>
              <w:contextualSpacing/>
              <w:rPr>
                <w:rFonts w:hint="eastAsia" w:ascii="宋体" w:hAnsi="宋体" w:eastAsia="宋体" w:cs="宋体"/>
                <w:sz w:val="24"/>
                <w:szCs w:val="24"/>
              </w:rPr>
            </w:pPr>
            <w:r>
              <w:rPr>
                <w:rFonts w:hint="eastAsia" w:ascii="宋体" w:hAnsi="宋体" w:eastAsia="宋体" w:cs="宋体"/>
                <w:sz w:val="24"/>
                <w:szCs w:val="24"/>
              </w:rPr>
              <w:t>6、门窗要求：按常规。</w:t>
            </w:r>
          </w:p>
          <w:p w14:paraId="3879735F">
            <w:pPr>
              <w:autoSpaceDE w:val="0"/>
              <w:autoSpaceDN w:val="0"/>
              <w:contextualSpacing/>
              <w:rPr>
                <w:rFonts w:hint="eastAsia" w:ascii="宋体" w:hAnsi="宋体" w:eastAsia="宋体" w:cs="宋体"/>
                <w:sz w:val="24"/>
                <w:szCs w:val="24"/>
              </w:rPr>
            </w:pPr>
            <w:r>
              <w:rPr>
                <w:rFonts w:hint="eastAsia" w:ascii="宋体" w:hAnsi="宋体" w:eastAsia="宋体" w:cs="宋体"/>
                <w:sz w:val="24"/>
                <w:szCs w:val="24"/>
              </w:rPr>
              <w:t>7、发包人有权按项目所在地的文明施工标准进行调整，承包人必须服从。</w:t>
            </w:r>
          </w:p>
        </w:tc>
      </w:tr>
    </w:tbl>
    <w:p w14:paraId="22E49E67">
      <w:pPr>
        <w:ind w:firstLine="480" w:firstLineChars="200"/>
        <w:contextualSpacing/>
        <w:rPr>
          <w:rFonts w:hint="eastAsia" w:ascii="宋体" w:hAnsi="宋体" w:eastAsia="宋体" w:cs="宋体"/>
          <w:sz w:val="24"/>
          <w:szCs w:val="24"/>
        </w:rPr>
      </w:pPr>
      <w:r>
        <w:rPr>
          <w:rFonts w:hint="eastAsia" w:ascii="宋体" w:hAnsi="宋体" w:eastAsia="宋体" w:cs="宋体"/>
          <w:color w:val="000000"/>
          <w:kern w:val="0"/>
          <w:sz w:val="24"/>
          <w:szCs w:val="24"/>
        </w:rPr>
        <w:t>9）</w:t>
      </w:r>
      <w:r>
        <w:rPr>
          <w:rFonts w:hint="eastAsia" w:ascii="宋体" w:hAnsi="宋体" w:eastAsia="宋体" w:cs="宋体"/>
          <w:sz w:val="24"/>
          <w:szCs w:val="24"/>
        </w:rPr>
        <w:t>前期工作</w:t>
      </w:r>
    </w:p>
    <w:p w14:paraId="6594FB1C">
      <w:pPr>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办理土地征用、拆迁、平整工作场地等工作，使施工场地具备施工条件的时间：提供现场的日期与开工日期相同，场地清理、平整等工作由承包人负责完成，费用已包含在投标报价中；</w:t>
      </w:r>
    </w:p>
    <w:p w14:paraId="284BB01F">
      <w:pPr>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施工水电接驳与维护：临时水电接驳、通讯工程及维护工作由承包人承担，其费用由包含在投标报价中。</w:t>
      </w:r>
    </w:p>
    <w:p w14:paraId="2978A28C">
      <w:pPr>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除按照发包人委托办理相关证件外，承包人需协助发包人申请办理施工所需的其它相关证件。</w:t>
      </w:r>
    </w:p>
    <w:p w14:paraId="7B69147A">
      <w:pPr>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a.施工过程中需占用部分道路时，征得发包人同意后，承包人办理相关批准手续并负责对道路的交通进行维护疏导，所发生费用由承包人承担。</w:t>
      </w:r>
    </w:p>
    <w:p w14:paraId="0D5A5A63">
      <w:pPr>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b.除发包人可提供的部分红线外场地，凡红线范围内场地及临时设施不能满足施工需求的，承包人应自行协调红线外场地使用，红线外临时设施搭拆、使用租金、材料堆放运输等由此引起的一切费用由承包人自负，承包人同时应承担所占红线范围外场地设施、地下管线的保护和修复费用。</w:t>
      </w:r>
    </w:p>
    <w:p w14:paraId="67A0E5D7">
      <w:pPr>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c.承包人采取的任何施工方案和技术措施，如需要经政府有关部门审查批准的，承包人应取得相关部门批准后才能施工，由此发生的文件报批、评审活动组织等全部工作和费用均由承包人承担。</w:t>
      </w:r>
    </w:p>
    <w:p w14:paraId="2C7B2F18">
      <w:pPr>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d.完成与后续工程的交接配合工作，须提供详尽的技术资料和验收证明，不得以任何未经发包人同意的理由影响工程进度，否则后果由承包人承担。</w:t>
      </w:r>
    </w:p>
    <w:p w14:paraId="4A461132">
      <w:pPr>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e.承包人应全面负责施工范围内现场施工管理，对施工场地内的用水、用电、施工现场的安全与卫生、场地内的施工协调等负全部的管理责任。</w:t>
      </w:r>
    </w:p>
    <w:p w14:paraId="315BF16D">
      <w:pPr>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f.场地照明除满足施工要求外，因施工对原临街市政照明造成影响的，由承包人负责提供临时照明。</w:t>
      </w:r>
    </w:p>
    <w:p w14:paraId="0EB7E81A">
      <w:pPr>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g.如果发包人要求，承包人负责的临时用水、照明设施在此合同实施期间为其它承包人提供分表接口，水表、电表及以后的管线由使用单位承担和安装，同时本合同承包人也应安装分表。水电费用按各分表用户分摊。各分表用量总和与供水、供电部门计量的差额，按分表用户的用量比例分摊。若同时有几个使用单位使用同一授水、授电点时，由承包</w:t>
      </w:r>
      <w:r>
        <w:rPr>
          <w:rFonts w:hint="eastAsia" w:ascii="宋体" w:hAnsi="宋体" w:eastAsia="宋体" w:cs="宋体"/>
          <w:sz w:val="24"/>
          <w:szCs w:val="24"/>
          <w:lang w:val="en-US" w:eastAsia="zh-CN"/>
        </w:rPr>
        <w:t>人</w:t>
      </w:r>
      <w:r>
        <w:rPr>
          <w:rFonts w:hint="eastAsia" w:ascii="宋体" w:hAnsi="宋体" w:eastAsia="宋体" w:cs="宋体"/>
          <w:sz w:val="24"/>
          <w:szCs w:val="24"/>
        </w:rPr>
        <w:t>负责施工水电的管理。</w:t>
      </w:r>
    </w:p>
    <w:p w14:paraId="5D810E26">
      <w:pPr>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h.承包人应根据场地条件、施工安排、场内运输组织作好临时设施的布置，并向有关部门办理报建手续。</w:t>
      </w:r>
    </w:p>
    <w:p w14:paraId="4885F59E">
      <w:pPr>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i.发包人可能向承包人移交变压器（含开关箱、高压室等）及水表等设施，移交后一切责任（包括：维护、安全等）由承包人负责。</w:t>
      </w:r>
    </w:p>
    <w:p w14:paraId="71591054">
      <w:pPr>
        <w:ind w:firstLine="480" w:firstLineChars="200"/>
        <w:contextualSpacing/>
        <w:rPr>
          <w:rFonts w:hint="eastAsia" w:ascii="宋体" w:hAnsi="宋体" w:eastAsia="宋体" w:cs="宋体"/>
          <w:kern w:val="0"/>
          <w:sz w:val="24"/>
          <w:szCs w:val="24"/>
        </w:rPr>
      </w:pPr>
      <w:r>
        <w:rPr>
          <w:rFonts w:hint="eastAsia" w:ascii="宋体" w:hAnsi="宋体" w:eastAsia="宋体" w:cs="宋体"/>
          <w:color w:val="000000"/>
          <w:kern w:val="0"/>
          <w:sz w:val="24"/>
          <w:szCs w:val="24"/>
        </w:rPr>
        <w:t>10）</w:t>
      </w:r>
      <w:r>
        <w:rPr>
          <w:rFonts w:hint="eastAsia" w:ascii="宋体" w:hAnsi="宋体" w:eastAsia="宋体" w:cs="宋体"/>
          <w:sz w:val="24"/>
          <w:szCs w:val="24"/>
        </w:rPr>
        <w:t>承包人须为第三方测量或检测单位提供必要的人员、场地、水电等配合工作，相关费用包含在投标报价内。</w:t>
      </w:r>
    </w:p>
    <w:p w14:paraId="4B934E46">
      <w:pPr>
        <w:autoSpaceDE w:val="0"/>
        <w:autoSpaceDN w:val="0"/>
        <w:ind w:firstLine="480" w:firstLineChars="200"/>
        <w:contextualSpacing/>
        <w:jc w:val="left"/>
        <w:rPr>
          <w:rFonts w:hint="eastAsia" w:ascii="宋体" w:hAnsi="宋体" w:eastAsia="宋体" w:cs="宋体"/>
          <w:color w:val="000000"/>
          <w:kern w:val="0"/>
          <w:sz w:val="24"/>
          <w:szCs w:val="24"/>
          <w:u w:val="single"/>
        </w:rPr>
      </w:pPr>
      <w:r>
        <w:rPr>
          <w:rFonts w:hint="eastAsia" w:ascii="宋体" w:hAnsi="宋体" w:eastAsia="宋体" w:cs="宋体"/>
          <w:color w:val="000000"/>
          <w:kern w:val="0"/>
          <w:sz w:val="24"/>
          <w:szCs w:val="24"/>
        </w:rPr>
        <w:t>11）</w:t>
      </w:r>
      <w:r>
        <w:rPr>
          <w:rFonts w:hint="eastAsia" w:ascii="宋体" w:hAnsi="宋体" w:eastAsia="宋体" w:cs="宋体"/>
          <w:kern w:val="0"/>
          <w:sz w:val="24"/>
          <w:szCs w:val="24"/>
        </w:rPr>
        <w:t>散体物料运输车辆的要求：承包人必须遵守</w:t>
      </w:r>
      <w:r>
        <w:rPr>
          <w:rFonts w:hint="eastAsia" w:ascii="宋体" w:hAnsi="宋体" w:eastAsia="宋体" w:cs="宋体"/>
          <w:kern w:val="0"/>
          <w:sz w:val="24"/>
          <w:szCs w:val="24"/>
          <w:u w:val="single"/>
        </w:rPr>
        <w:t>佛山市相关部门</w:t>
      </w:r>
      <w:r>
        <w:rPr>
          <w:rFonts w:hint="eastAsia" w:ascii="宋体" w:hAnsi="宋体" w:eastAsia="宋体" w:cs="宋体"/>
          <w:kern w:val="0"/>
          <w:sz w:val="24"/>
          <w:szCs w:val="24"/>
        </w:rPr>
        <w:t>的有关规定要求，对出入工地的散体物料运输车辆进行严格管理，坚决执行“一不准进，三不准出”的管理规定。</w:t>
      </w:r>
    </w:p>
    <w:p w14:paraId="05AEA770">
      <w:pPr>
        <w:ind w:firstLine="480" w:firstLineChars="200"/>
        <w:contextualSpacing/>
        <w:rPr>
          <w:rFonts w:hint="eastAsia" w:ascii="宋体" w:hAnsi="宋体" w:eastAsia="宋体" w:cs="宋体"/>
          <w:sz w:val="24"/>
          <w:szCs w:val="24"/>
        </w:rPr>
      </w:pPr>
      <w:r>
        <w:rPr>
          <w:rFonts w:hint="eastAsia" w:ascii="宋体" w:hAnsi="宋体" w:eastAsia="宋体" w:cs="宋体"/>
          <w:color w:val="000000"/>
          <w:kern w:val="0"/>
          <w:sz w:val="24"/>
          <w:szCs w:val="24"/>
        </w:rPr>
        <w:t>12）</w:t>
      </w:r>
      <w:r>
        <w:rPr>
          <w:rFonts w:hint="eastAsia" w:ascii="宋体" w:hAnsi="宋体" w:eastAsia="宋体" w:cs="宋体"/>
          <w:sz w:val="24"/>
          <w:szCs w:val="24"/>
        </w:rPr>
        <w:t>对于本项目合同外新增的施工内容，由发包人自行决定是否委托承包人实施，承包人对发包人的决定不得有任何异议。</w:t>
      </w:r>
    </w:p>
    <w:p w14:paraId="79642CDA">
      <w:pPr>
        <w:ind w:firstLine="480" w:firstLineChars="200"/>
        <w:contextualSpacing/>
        <w:rPr>
          <w:rFonts w:hint="eastAsia" w:ascii="宋体" w:hAnsi="宋体" w:eastAsia="宋体" w:cs="宋体"/>
          <w:sz w:val="24"/>
          <w:szCs w:val="24"/>
        </w:rPr>
      </w:pPr>
      <w:r>
        <w:rPr>
          <w:rFonts w:hint="eastAsia" w:ascii="宋体" w:hAnsi="宋体" w:eastAsia="宋体" w:cs="宋体"/>
          <w:color w:val="000000"/>
          <w:kern w:val="0"/>
          <w:sz w:val="24"/>
          <w:szCs w:val="24"/>
        </w:rPr>
        <w:t>13）</w:t>
      </w:r>
      <w:r>
        <w:rPr>
          <w:rFonts w:hint="eastAsia" w:ascii="宋体" w:hAnsi="宋体" w:eastAsia="宋体" w:cs="宋体"/>
          <w:sz w:val="24"/>
          <w:szCs w:val="24"/>
        </w:rPr>
        <w:t>承包人所有发送给发包人的函件均应符合发包人的表格形式，该表格形式和要求由发包人给予说明。</w:t>
      </w:r>
    </w:p>
    <w:p w14:paraId="7E6663E5">
      <w:pPr>
        <w:ind w:firstLine="480" w:firstLineChars="200"/>
        <w:contextualSpacing/>
        <w:rPr>
          <w:rFonts w:hint="eastAsia" w:ascii="宋体" w:hAnsi="宋体" w:eastAsia="宋体" w:cs="宋体"/>
          <w:sz w:val="24"/>
          <w:szCs w:val="24"/>
        </w:rPr>
      </w:pPr>
      <w:r>
        <w:rPr>
          <w:rFonts w:hint="eastAsia" w:ascii="宋体" w:hAnsi="宋体" w:eastAsia="宋体" w:cs="宋体"/>
          <w:color w:val="000000"/>
          <w:kern w:val="0"/>
          <w:sz w:val="24"/>
          <w:szCs w:val="24"/>
        </w:rPr>
        <w:t>14）</w:t>
      </w:r>
      <w:r>
        <w:rPr>
          <w:rFonts w:hint="eastAsia" w:ascii="宋体" w:hAnsi="宋体" w:eastAsia="宋体" w:cs="宋体"/>
          <w:sz w:val="24"/>
          <w:szCs w:val="24"/>
        </w:rPr>
        <w:t>发包人移交场地后，承包人必须要和周边单位做好沟通、协调工作，和周边单位发生矛盾时，承包人必须负责解决相关问题。承包人有责任维护发包人在市民中的企业形象，若因工程原因发生骚乱等对发包人有影响的重大事件，承包人要负全责，造成发包人被他人索赔，发包人保留向承包人索赔的权利，且发包人有权从应付给承包人的合同款项中直接予以扣除发包人因此而产生的费用、损失。</w:t>
      </w:r>
    </w:p>
    <w:p w14:paraId="4E69631F">
      <w:pPr>
        <w:ind w:firstLine="480" w:firstLineChars="200"/>
        <w:contextualSpacing/>
        <w:rPr>
          <w:rFonts w:hint="eastAsia" w:ascii="宋体" w:hAnsi="宋体" w:eastAsia="宋体" w:cs="宋体"/>
          <w:sz w:val="24"/>
          <w:szCs w:val="24"/>
        </w:rPr>
      </w:pPr>
      <w:r>
        <w:rPr>
          <w:rFonts w:hint="eastAsia" w:ascii="宋体" w:hAnsi="宋体" w:eastAsia="宋体" w:cs="宋体"/>
          <w:color w:val="000000"/>
          <w:kern w:val="0"/>
          <w:sz w:val="24"/>
          <w:szCs w:val="24"/>
        </w:rPr>
        <w:t>15）发包人有权视情况，要求</w:t>
      </w:r>
      <w:r>
        <w:rPr>
          <w:rFonts w:hint="eastAsia" w:ascii="宋体" w:hAnsi="宋体" w:eastAsia="宋体" w:cs="宋体"/>
          <w:sz w:val="24"/>
          <w:szCs w:val="24"/>
        </w:rPr>
        <w:t>承包人在签订本合同的同时，与发包人签订《工程建设项目廉政责任书》。</w:t>
      </w:r>
    </w:p>
    <w:p w14:paraId="7C3001E3">
      <w:pPr>
        <w:ind w:firstLine="480" w:firstLineChars="200"/>
        <w:contextualSpacing/>
        <w:rPr>
          <w:rFonts w:hint="eastAsia" w:ascii="宋体" w:hAnsi="宋体" w:eastAsia="宋体" w:cs="宋体"/>
          <w:sz w:val="24"/>
          <w:szCs w:val="24"/>
        </w:rPr>
      </w:pPr>
      <w:r>
        <w:rPr>
          <w:rFonts w:hint="eastAsia" w:ascii="宋体" w:hAnsi="宋体" w:eastAsia="宋体" w:cs="宋体"/>
          <w:color w:val="000000"/>
          <w:kern w:val="0"/>
          <w:sz w:val="24"/>
          <w:szCs w:val="24"/>
        </w:rPr>
        <w:t>16）</w:t>
      </w:r>
      <w:r>
        <w:rPr>
          <w:rFonts w:hint="eastAsia" w:ascii="宋体" w:hAnsi="宋体" w:eastAsia="宋体" w:cs="宋体"/>
          <w:sz w:val="24"/>
          <w:szCs w:val="24"/>
        </w:rPr>
        <w:t>承包人在施工中使用专利技术和特殊工艺，应报发包人批准，所发生的费用由承包人承担。承包人为履行本合同而使用或交付发包人的任何含有知识产权的物品、程序或资料，所有与该知识产权相关的费用（包含但不限于使用费）视为已包括在投标报价内，如需向第三人支付，均由承包人负责支付，承包人使用、侵犯或涉嫌侵犯任何物品、程序或资料的知识产权，及由此导致发包人持有或使用该类物品、程序或资料构成侵犯或涉嫌侵犯他人的知识产权，因此发生经济纠纷或法律纠纷，一切责任及后果由承包人负责和承担，承包人须全额赔偿给发包人造成的所有损失，发包人有权从应付给承包人的合同款项中直接予以扣除。</w:t>
      </w:r>
    </w:p>
    <w:p w14:paraId="2656F376">
      <w:pPr>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承包人须遵守发包人现有的和将制定的、不与本合同的规定精神相冲突的各项管理制度、监理细则、技术要求，并按要求填报各种管理报表并报送监理人。</w:t>
      </w:r>
    </w:p>
    <w:p w14:paraId="7BFF2E26">
      <w:pPr>
        <w:ind w:firstLine="480" w:firstLineChars="200"/>
        <w:contextualSpacing/>
        <w:rPr>
          <w:rFonts w:hint="eastAsia" w:ascii="宋体" w:hAnsi="宋体" w:eastAsia="宋体" w:cs="宋体"/>
          <w:sz w:val="24"/>
          <w:szCs w:val="24"/>
        </w:rPr>
      </w:pPr>
      <w:r>
        <w:rPr>
          <w:rFonts w:hint="eastAsia" w:ascii="宋体" w:hAnsi="宋体" w:eastAsia="宋体" w:cs="宋体"/>
          <w:color w:val="000000"/>
          <w:kern w:val="0"/>
          <w:sz w:val="24"/>
          <w:szCs w:val="24"/>
        </w:rPr>
        <w:t>17）</w:t>
      </w:r>
      <w:r>
        <w:rPr>
          <w:rFonts w:hint="eastAsia" w:ascii="宋体" w:hAnsi="宋体" w:eastAsia="宋体" w:cs="宋体"/>
          <w:sz w:val="24"/>
          <w:szCs w:val="24"/>
        </w:rPr>
        <w:t>承包人应注意对现有的道路、排水管、供水管、绿化、路灯、电力和通讯设施等进行保护，如有毁损，承包人应负责修复，不能修复的应全责赔偿，并承担由此产生的一切费用。若不能按要求修复则由发包人另行委托其它单位修复，费用直接从应付给承包人的工程款中扣付。</w:t>
      </w:r>
    </w:p>
    <w:p w14:paraId="37B48E3E">
      <w:pPr>
        <w:ind w:firstLine="480" w:firstLineChars="200"/>
        <w:contextualSpacing/>
        <w:rPr>
          <w:rFonts w:hint="eastAsia" w:ascii="宋体" w:hAnsi="宋体" w:eastAsia="宋体" w:cs="宋体"/>
          <w:sz w:val="24"/>
          <w:szCs w:val="24"/>
        </w:rPr>
      </w:pPr>
      <w:r>
        <w:rPr>
          <w:rFonts w:hint="eastAsia" w:ascii="宋体" w:hAnsi="宋体" w:eastAsia="宋体" w:cs="宋体"/>
          <w:color w:val="000000"/>
          <w:kern w:val="0"/>
          <w:sz w:val="24"/>
          <w:szCs w:val="24"/>
        </w:rPr>
        <w:t>18）</w:t>
      </w:r>
      <w:r>
        <w:rPr>
          <w:rFonts w:hint="eastAsia" w:ascii="宋体" w:hAnsi="宋体" w:eastAsia="宋体" w:cs="宋体"/>
          <w:sz w:val="24"/>
          <w:szCs w:val="24"/>
        </w:rPr>
        <w:t>承包人应采取适当措施，确保其施工作业人员的身体健康，遵照当地卫生部门的相关要求，保证在施工的全过程当中若出现任何重大或恶性传染性的疾病，承包人必须遵守并执行省市卫生部门为处理或控制上述传染病而制定的规章、命令和要求，迅速向发包人和佛山市南海区疾控部门报告。</w:t>
      </w:r>
    </w:p>
    <w:p w14:paraId="0AAF455B">
      <w:pPr>
        <w:ind w:firstLine="480" w:firstLineChars="200"/>
        <w:contextualSpacing/>
        <w:rPr>
          <w:rFonts w:hint="eastAsia" w:ascii="宋体" w:hAnsi="宋体" w:eastAsia="宋体" w:cs="宋体"/>
          <w:sz w:val="24"/>
          <w:szCs w:val="24"/>
        </w:rPr>
      </w:pPr>
      <w:r>
        <w:rPr>
          <w:rFonts w:hint="eastAsia" w:ascii="宋体" w:hAnsi="宋体" w:eastAsia="宋体" w:cs="宋体"/>
          <w:sz w:val="24"/>
          <w:szCs w:val="24"/>
          <w:lang w:val="en-US" w:eastAsia="zh-CN"/>
        </w:rPr>
        <w:t>19</w:t>
      </w:r>
      <w:r>
        <w:rPr>
          <w:rFonts w:hint="eastAsia" w:ascii="宋体" w:hAnsi="宋体" w:eastAsia="宋体" w:cs="宋体"/>
          <w:color w:val="000000"/>
          <w:kern w:val="0"/>
          <w:sz w:val="24"/>
          <w:szCs w:val="24"/>
        </w:rPr>
        <w:t>）</w:t>
      </w:r>
      <w:r>
        <w:rPr>
          <w:rFonts w:hint="eastAsia" w:ascii="宋体" w:hAnsi="宋体" w:eastAsia="宋体" w:cs="宋体"/>
          <w:sz w:val="24"/>
          <w:szCs w:val="24"/>
        </w:rPr>
        <w:t>承包人须无条件服从发包人制定的考评管理办法。</w:t>
      </w:r>
    </w:p>
    <w:p w14:paraId="4F86822C">
      <w:pPr>
        <w:ind w:firstLine="480" w:firstLineChars="200"/>
        <w:contextualSpacing/>
        <w:rPr>
          <w:rFonts w:hint="eastAsia" w:ascii="宋体" w:hAnsi="宋体" w:eastAsia="宋体" w:cs="宋体"/>
          <w:sz w:val="24"/>
          <w:szCs w:val="24"/>
        </w:rPr>
      </w:pPr>
      <w:r>
        <w:rPr>
          <w:rFonts w:hint="eastAsia" w:ascii="宋体" w:hAnsi="宋体" w:eastAsia="宋体" w:cs="宋体"/>
          <w:color w:val="000000"/>
          <w:kern w:val="0"/>
          <w:sz w:val="24"/>
          <w:szCs w:val="24"/>
        </w:rPr>
        <w:t>2</w:t>
      </w:r>
      <w:r>
        <w:rPr>
          <w:rFonts w:hint="eastAsia" w:ascii="宋体" w:hAnsi="宋体" w:eastAsia="宋体" w:cs="宋体"/>
          <w:color w:val="000000"/>
          <w:kern w:val="0"/>
          <w:sz w:val="24"/>
          <w:szCs w:val="24"/>
          <w:lang w:val="en-US" w:eastAsia="zh-CN"/>
        </w:rPr>
        <w:t>0</w:t>
      </w:r>
      <w:r>
        <w:rPr>
          <w:rFonts w:hint="eastAsia" w:ascii="宋体" w:hAnsi="宋体" w:eastAsia="宋体" w:cs="宋体"/>
          <w:color w:val="000000"/>
          <w:kern w:val="0"/>
          <w:sz w:val="24"/>
          <w:szCs w:val="24"/>
        </w:rPr>
        <w:t>）</w:t>
      </w:r>
      <w:r>
        <w:rPr>
          <w:rFonts w:hint="eastAsia" w:ascii="宋体" w:hAnsi="宋体" w:eastAsia="宋体" w:cs="宋体"/>
          <w:sz w:val="24"/>
          <w:szCs w:val="24"/>
        </w:rPr>
        <w:t>承包人在永久结构里搭设临时设施的，一旦发包人下令清除拆卸，承包人在24小时内必须清除干净，并承担相关费用。</w:t>
      </w:r>
    </w:p>
    <w:p w14:paraId="2C652353">
      <w:pPr>
        <w:ind w:firstLine="480" w:firstLineChars="200"/>
        <w:contextualSpacing/>
        <w:rPr>
          <w:rFonts w:hint="eastAsia" w:ascii="宋体" w:hAnsi="宋体" w:eastAsia="宋体" w:cs="宋体"/>
          <w:sz w:val="24"/>
          <w:szCs w:val="24"/>
          <w:u w:val="single"/>
        </w:rPr>
      </w:pPr>
      <w:r>
        <w:rPr>
          <w:rFonts w:hint="eastAsia" w:ascii="宋体" w:hAnsi="宋体" w:eastAsia="宋体" w:cs="宋体"/>
          <w:color w:val="000000"/>
          <w:kern w:val="0"/>
          <w:sz w:val="24"/>
          <w:szCs w:val="24"/>
          <w:u w:val="single"/>
        </w:rPr>
        <w:t>2</w:t>
      </w:r>
      <w:r>
        <w:rPr>
          <w:rFonts w:hint="eastAsia" w:ascii="宋体" w:hAnsi="宋体" w:eastAsia="宋体" w:cs="宋体"/>
          <w:color w:val="000000"/>
          <w:kern w:val="0"/>
          <w:sz w:val="24"/>
          <w:szCs w:val="24"/>
          <w:u w:val="single"/>
          <w:lang w:val="en-US" w:eastAsia="zh-CN"/>
        </w:rPr>
        <w:t>1</w:t>
      </w:r>
      <w:r>
        <w:rPr>
          <w:rFonts w:hint="eastAsia" w:ascii="宋体" w:hAnsi="宋体" w:eastAsia="宋体" w:cs="宋体"/>
          <w:color w:val="000000"/>
          <w:kern w:val="0"/>
          <w:sz w:val="24"/>
          <w:szCs w:val="24"/>
          <w:u w:val="single"/>
        </w:rPr>
        <w:t>）</w:t>
      </w:r>
      <w:r>
        <w:rPr>
          <w:rFonts w:hint="eastAsia" w:ascii="宋体" w:hAnsi="宋体" w:eastAsia="宋体" w:cs="宋体"/>
          <w:sz w:val="24"/>
          <w:szCs w:val="24"/>
          <w:u w:val="single"/>
        </w:rPr>
        <w:t>承包人应严格按照设计、规范及发包人关于施工监测的工作要求，强化基坑、管线、周边建筑物的监测管理。发包人或发包人委托第三方进行的安全监测等工作，承包人必须积极配合，提供所需的原始资料和数据，并为检验和监测等工作提供所需的场地、劳力、电力等需承包人配合完成的配合工作。（发包人或发包人委托的第三方监测工作不免除承包人在本工程中针对本项目应尽的施工监测的义务与责任。）</w:t>
      </w:r>
    </w:p>
    <w:p w14:paraId="16239317">
      <w:pPr>
        <w:ind w:firstLine="480" w:firstLineChars="200"/>
        <w:contextualSpacing/>
        <w:rPr>
          <w:rFonts w:hint="eastAsia" w:ascii="宋体" w:hAnsi="宋体" w:eastAsia="宋体" w:cs="宋体"/>
          <w:sz w:val="24"/>
          <w:szCs w:val="24"/>
          <w:u w:val="single"/>
        </w:rPr>
      </w:pPr>
      <w:r>
        <w:rPr>
          <w:rFonts w:hint="eastAsia" w:ascii="宋体" w:hAnsi="宋体" w:eastAsia="宋体" w:cs="宋体"/>
          <w:color w:val="000000"/>
          <w:kern w:val="0"/>
          <w:sz w:val="24"/>
          <w:szCs w:val="24"/>
          <w:u w:val="single"/>
        </w:rPr>
        <w:t>2</w:t>
      </w:r>
      <w:r>
        <w:rPr>
          <w:rFonts w:hint="eastAsia" w:ascii="宋体" w:hAnsi="宋体" w:eastAsia="宋体" w:cs="宋体"/>
          <w:color w:val="000000"/>
          <w:kern w:val="0"/>
          <w:sz w:val="24"/>
          <w:szCs w:val="24"/>
          <w:u w:val="single"/>
          <w:lang w:val="en-US" w:eastAsia="zh-CN"/>
        </w:rPr>
        <w:t>2</w:t>
      </w:r>
      <w:r>
        <w:rPr>
          <w:rFonts w:hint="eastAsia" w:ascii="宋体" w:hAnsi="宋体" w:eastAsia="宋体" w:cs="宋体"/>
          <w:color w:val="000000"/>
          <w:kern w:val="0"/>
          <w:sz w:val="24"/>
          <w:szCs w:val="24"/>
          <w:u w:val="single"/>
        </w:rPr>
        <w:t>）承包人</w:t>
      </w:r>
      <w:r>
        <w:rPr>
          <w:rFonts w:hint="eastAsia" w:ascii="宋体" w:hAnsi="宋体" w:eastAsia="宋体" w:cs="宋体"/>
          <w:sz w:val="24"/>
          <w:szCs w:val="24"/>
          <w:u w:val="single"/>
        </w:rPr>
        <w:t>须负责对整个工地的看管与保安工作。</w:t>
      </w:r>
    </w:p>
    <w:p w14:paraId="04E067F3">
      <w:pPr>
        <w:ind w:firstLine="480" w:firstLineChars="200"/>
        <w:contextualSpacing/>
        <w:rPr>
          <w:rFonts w:hint="eastAsia" w:ascii="宋体" w:hAnsi="宋体" w:eastAsia="宋体" w:cs="宋体"/>
          <w:sz w:val="24"/>
          <w:szCs w:val="24"/>
          <w:u w:val="single"/>
        </w:rPr>
      </w:pPr>
      <w:r>
        <w:rPr>
          <w:rFonts w:hint="eastAsia" w:ascii="宋体" w:hAnsi="宋体" w:eastAsia="宋体" w:cs="宋体"/>
          <w:color w:val="000000"/>
          <w:kern w:val="0"/>
          <w:sz w:val="24"/>
          <w:szCs w:val="24"/>
          <w:u w:val="single"/>
        </w:rPr>
        <w:t>2</w:t>
      </w:r>
      <w:r>
        <w:rPr>
          <w:rFonts w:hint="eastAsia" w:ascii="宋体" w:hAnsi="宋体" w:eastAsia="宋体" w:cs="宋体"/>
          <w:color w:val="000000"/>
          <w:kern w:val="0"/>
          <w:sz w:val="24"/>
          <w:szCs w:val="24"/>
          <w:u w:val="single"/>
          <w:lang w:val="en-US" w:eastAsia="zh-CN"/>
        </w:rPr>
        <w:t>3</w:t>
      </w:r>
      <w:r>
        <w:rPr>
          <w:rFonts w:hint="eastAsia" w:ascii="宋体" w:hAnsi="宋体" w:eastAsia="宋体" w:cs="宋体"/>
          <w:color w:val="000000"/>
          <w:kern w:val="0"/>
          <w:sz w:val="24"/>
          <w:szCs w:val="24"/>
          <w:u w:val="single"/>
        </w:rPr>
        <w:t>）承包人</w:t>
      </w:r>
      <w:r>
        <w:rPr>
          <w:rFonts w:hint="eastAsia" w:ascii="宋体" w:hAnsi="宋体" w:eastAsia="宋体" w:cs="宋体"/>
          <w:sz w:val="24"/>
          <w:szCs w:val="24"/>
          <w:u w:val="single"/>
        </w:rPr>
        <w:t>须负责与当地政府及有关单位联系、安排及协调直至完成整个总承包工程。</w:t>
      </w:r>
    </w:p>
    <w:p w14:paraId="456417F9">
      <w:pPr>
        <w:ind w:firstLine="480" w:firstLineChars="200"/>
        <w:contextualSpacing/>
        <w:rPr>
          <w:rFonts w:hint="eastAsia" w:ascii="宋体" w:hAnsi="宋体" w:eastAsia="宋体" w:cs="宋体"/>
          <w:sz w:val="24"/>
          <w:szCs w:val="24"/>
          <w:u w:val="single"/>
        </w:rPr>
      </w:pPr>
      <w:r>
        <w:rPr>
          <w:rFonts w:hint="eastAsia" w:ascii="宋体" w:hAnsi="宋体" w:eastAsia="宋体" w:cs="宋体"/>
          <w:color w:val="000000"/>
          <w:kern w:val="0"/>
          <w:sz w:val="24"/>
          <w:szCs w:val="24"/>
          <w:u w:val="single"/>
        </w:rPr>
        <w:t>2</w:t>
      </w:r>
      <w:r>
        <w:rPr>
          <w:rFonts w:hint="eastAsia" w:ascii="宋体" w:hAnsi="宋体" w:eastAsia="宋体" w:cs="宋体"/>
          <w:color w:val="000000"/>
          <w:kern w:val="0"/>
          <w:sz w:val="24"/>
          <w:szCs w:val="24"/>
          <w:u w:val="single"/>
          <w:lang w:val="en-US" w:eastAsia="zh-CN"/>
        </w:rPr>
        <w:t>4</w:t>
      </w:r>
      <w:r>
        <w:rPr>
          <w:rFonts w:hint="eastAsia" w:ascii="宋体" w:hAnsi="宋体" w:eastAsia="宋体" w:cs="宋体"/>
          <w:color w:val="000000"/>
          <w:kern w:val="0"/>
          <w:sz w:val="24"/>
          <w:szCs w:val="24"/>
          <w:u w:val="single"/>
        </w:rPr>
        <w:t>）</w:t>
      </w:r>
      <w:r>
        <w:rPr>
          <w:rFonts w:hint="eastAsia" w:ascii="宋体" w:hAnsi="宋体" w:eastAsia="宋体" w:cs="宋体"/>
          <w:sz w:val="24"/>
          <w:szCs w:val="24"/>
          <w:u w:val="single"/>
        </w:rPr>
        <w:t>散装水泥缴费及时退还：如果发包人向当地政府相关部门缴纳工程墙体改造基金和散装水泥基金，若需由承包人负责办理退费，承包人需保证按政府规定退费办法将上述费用退费给业主，否则发包人将从结算款中扣除上述未退还的费用，若因设计原因造成不能全退或部分退还的除外。</w:t>
      </w:r>
    </w:p>
    <w:p w14:paraId="2882AF10">
      <w:pPr>
        <w:ind w:firstLine="480" w:firstLineChars="200"/>
        <w:contextualSpacing/>
        <w:rPr>
          <w:rFonts w:hint="eastAsia" w:ascii="宋体" w:hAnsi="宋体" w:eastAsia="宋体" w:cs="宋体"/>
          <w:sz w:val="24"/>
          <w:szCs w:val="24"/>
          <w:u w:val="single"/>
        </w:rPr>
      </w:pPr>
      <w:r>
        <w:rPr>
          <w:rFonts w:hint="eastAsia" w:ascii="宋体" w:hAnsi="宋体" w:eastAsia="宋体" w:cs="宋体"/>
          <w:color w:val="000000"/>
          <w:kern w:val="0"/>
          <w:sz w:val="24"/>
          <w:szCs w:val="24"/>
          <w:u w:val="single"/>
        </w:rPr>
        <w:t>2</w:t>
      </w:r>
      <w:r>
        <w:rPr>
          <w:rFonts w:hint="eastAsia" w:ascii="宋体" w:hAnsi="宋体" w:eastAsia="宋体" w:cs="宋体"/>
          <w:color w:val="000000"/>
          <w:kern w:val="0"/>
          <w:sz w:val="24"/>
          <w:szCs w:val="24"/>
          <w:u w:val="single"/>
          <w:lang w:val="en-US" w:eastAsia="zh-CN"/>
        </w:rPr>
        <w:t>5</w:t>
      </w:r>
      <w:r>
        <w:rPr>
          <w:rFonts w:hint="eastAsia" w:ascii="宋体" w:hAnsi="宋体" w:eastAsia="宋体" w:cs="宋体"/>
          <w:color w:val="000000"/>
          <w:kern w:val="0"/>
          <w:sz w:val="24"/>
          <w:szCs w:val="24"/>
          <w:u w:val="single"/>
        </w:rPr>
        <w:t>）</w:t>
      </w:r>
      <w:r>
        <w:rPr>
          <w:rFonts w:hint="eastAsia" w:ascii="宋体" w:hAnsi="宋体" w:eastAsia="宋体" w:cs="宋体"/>
          <w:sz w:val="24"/>
          <w:szCs w:val="24"/>
          <w:u w:val="single"/>
        </w:rPr>
        <w:t>承包人在施工前，应根据工程概况按照设计、规范、发包人以及项目所在地等地方管理办法的要求，对周边的房屋、桥梁等建构筑物进行安全鉴定，鉴定工作应该由承包人委托具备相应鉴定资质的单位进行，费用由承包人承担。</w:t>
      </w:r>
    </w:p>
    <w:p w14:paraId="4CB0747D">
      <w:pPr>
        <w:ind w:firstLine="480" w:firstLineChars="200"/>
        <w:contextualSpacing/>
        <w:rPr>
          <w:rFonts w:hint="eastAsia" w:ascii="宋体" w:hAnsi="宋体" w:eastAsia="宋体" w:cs="宋体"/>
          <w:sz w:val="24"/>
          <w:szCs w:val="24"/>
          <w:u w:val="single"/>
        </w:rPr>
      </w:pPr>
      <w:r>
        <w:rPr>
          <w:rFonts w:hint="eastAsia" w:ascii="宋体" w:hAnsi="宋体" w:eastAsia="宋体" w:cs="宋体"/>
          <w:color w:val="000000"/>
          <w:kern w:val="0"/>
          <w:sz w:val="24"/>
          <w:szCs w:val="24"/>
          <w:u w:val="single"/>
        </w:rPr>
        <w:t>2</w:t>
      </w:r>
      <w:r>
        <w:rPr>
          <w:rFonts w:hint="eastAsia" w:ascii="宋体" w:hAnsi="宋体" w:eastAsia="宋体" w:cs="宋体"/>
          <w:color w:val="000000"/>
          <w:kern w:val="0"/>
          <w:sz w:val="24"/>
          <w:szCs w:val="24"/>
          <w:u w:val="single"/>
          <w:lang w:val="en-US" w:eastAsia="zh-CN"/>
        </w:rPr>
        <w:t>6</w:t>
      </w:r>
      <w:r>
        <w:rPr>
          <w:rFonts w:hint="eastAsia" w:ascii="宋体" w:hAnsi="宋体" w:eastAsia="宋体" w:cs="宋体"/>
          <w:sz w:val="24"/>
          <w:szCs w:val="24"/>
          <w:u w:val="single"/>
        </w:rPr>
        <w:t>）在施工期间及质量保修期内，承包人需配合发包人或发包人的合作方开展通信引入、施工调试等。</w:t>
      </w:r>
    </w:p>
    <w:p w14:paraId="165DBDDC">
      <w:pPr>
        <w:ind w:firstLine="482" w:firstLineChars="200"/>
        <w:contextualSpacing/>
        <w:rPr>
          <w:rFonts w:hint="eastAsia" w:ascii="宋体" w:hAnsi="宋体" w:eastAsia="宋体" w:cs="宋体"/>
          <w:b/>
          <w:color w:val="000000"/>
          <w:sz w:val="24"/>
          <w:szCs w:val="24"/>
        </w:rPr>
      </w:pPr>
      <w:r>
        <w:rPr>
          <w:rFonts w:hint="eastAsia" w:ascii="宋体" w:hAnsi="宋体" w:eastAsia="宋体" w:cs="宋体"/>
          <w:b/>
          <w:color w:val="000000"/>
          <w:sz w:val="24"/>
          <w:szCs w:val="24"/>
        </w:rPr>
        <w:t>3.2 项目经理</w:t>
      </w:r>
    </w:p>
    <w:p w14:paraId="0D06DC08">
      <w:pPr>
        <w:ind w:firstLine="480" w:firstLineChars="200"/>
        <w:contextualSpacing/>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3.2.1 </w:t>
      </w:r>
      <w:r>
        <w:rPr>
          <w:rFonts w:hint="eastAsia" w:ascii="宋体" w:hAnsi="宋体" w:eastAsia="宋体" w:cs="宋体"/>
          <w:color w:val="000000"/>
          <w:sz w:val="24"/>
          <w:szCs w:val="24"/>
        </w:rPr>
        <w:t>项目经理：</w:t>
      </w:r>
    </w:p>
    <w:p w14:paraId="2E614C1C">
      <w:pPr>
        <w:ind w:firstLine="480" w:firstLineChars="200"/>
        <w:contextualSpacing/>
        <w:rPr>
          <w:rFonts w:hint="eastAsia" w:ascii="宋体" w:hAnsi="宋体" w:eastAsia="宋体" w:cs="宋体"/>
          <w:color w:val="000000"/>
          <w:sz w:val="24"/>
          <w:szCs w:val="24"/>
        </w:rPr>
      </w:pPr>
      <w:r>
        <w:rPr>
          <w:rFonts w:hint="eastAsia" w:ascii="宋体" w:hAnsi="宋体" w:eastAsia="宋体" w:cs="宋体"/>
          <w:color w:val="000000"/>
          <w:sz w:val="24"/>
          <w:szCs w:val="24"/>
        </w:rPr>
        <w:t>姓名：</w:t>
      </w:r>
      <w:r>
        <w:rPr>
          <w:rFonts w:hint="eastAsia" w:ascii="宋体" w:hAnsi="宋体" w:eastAsia="宋体" w:cs="宋体"/>
          <w:color w:val="000000"/>
          <w:sz w:val="24"/>
          <w:szCs w:val="24"/>
          <w:u w:val="single"/>
        </w:rPr>
        <w:t>       </w:t>
      </w:r>
      <w:r>
        <w:rPr>
          <w:rFonts w:hint="eastAsia" w:ascii="宋体" w:hAnsi="宋体" w:eastAsia="宋体" w:cs="宋体"/>
          <w:color w:val="000000"/>
          <w:sz w:val="24"/>
          <w:szCs w:val="24"/>
        </w:rPr>
        <w:t>；</w:t>
      </w:r>
    </w:p>
    <w:p w14:paraId="3BCCE128">
      <w:pPr>
        <w:ind w:firstLine="480" w:firstLineChars="200"/>
        <w:contextualSpacing/>
        <w:rPr>
          <w:rFonts w:hint="eastAsia" w:ascii="宋体" w:hAnsi="宋体" w:eastAsia="宋体" w:cs="宋体"/>
          <w:color w:val="000000"/>
          <w:sz w:val="24"/>
          <w:szCs w:val="24"/>
        </w:rPr>
      </w:pPr>
      <w:r>
        <w:rPr>
          <w:rFonts w:hint="eastAsia" w:ascii="宋体" w:hAnsi="宋体" w:eastAsia="宋体" w:cs="宋体"/>
          <w:color w:val="000000"/>
          <w:sz w:val="24"/>
          <w:szCs w:val="24"/>
        </w:rPr>
        <w:t>身份证号：</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1ADB4745">
      <w:pPr>
        <w:ind w:firstLine="480" w:firstLineChars="200"/>
        <w:contextualSpacing/>
        <w:rPr>
          <w:rFonts w:hint="eastAsia" w:ascii="宋体" w:hAnsi="宋体" w:eastAsia="宋体" w:cs="宋体"/>
          <w:color w:val="000000"/>
          <w:sz w:val="24"/>
          <w:szCs w:val="24"/>
        </w:rPr>
      </w:pPr>
      <w:r>
        <w:rPr>
          <w:rFonts w:hint="eastAsia" w:ascii="宋体" w:hAnsi="宋体" w:eastAsia="宋体" w:cs="宋体"/>
          <w:color w:val="000000"/>
          <w:sz w:val="24"/>
          <w:szCs w:val="24"/>
        </w:rPr>
        <w:t>建造师执业资格等级：</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w:t>
      </w:r>
    </w:p>
    <w:p w14:paraId="6EC47663">
      <w:pPr>
        <w:ind w:firstLine="480" w:firstLineChars="200"/>
        <w:contextualSpacing/>
        <w:rPr>
          <w:rFonts w:hint="eastAsia" w:ascii="宋体" w:hAnsi="宋体" w:eastAsia="宋体" w:cs="宋体"/>
          <w:color w:val="000000"/>
          <w:sz w:val="24"/>
          <w:szCs w:val="24"/>
        </w:rPr>
      </w:pPr>
      <w:r>
        <w:rPr>
          <w:rFonts w:hint="eastAsia" w:ascii="宋体" w:hAnsi="宋体" w:eastAsia="宋体" w:cs="宋体"/>
          <w:color w:val="000000"/>
          <w:sz w:val="24"/>
          <w:szCs w:val="24"/>
        </w:rPr>
        <w:t>建造师注册证书号：</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w:t>
      </w:r>
    </w:p>
    <w:p w14:paraId="39D6305C">
      <w:pPr>
        <w:ind w:firstLine="480" w:firstLineChars="200"/>
        <w:contextualSpacing/>
        <w:rPr>
          <w:rFonts w:hint="eastAsia" w:ascii="宋体" w:hAnsi="宋体" w:eastAsia="宋体" w:cs="宋体"/>
          <w:color w:val="000000"/>
          <w:sz w:val="24"/>
          <w:szCs w:val="24"/>
        </w:rPr>
      </w:pPr>
      <w:r>
        <w:rPr>
          <w:rFonts w:hint="eastAsia" w:ascii="宋体" w:hAnsi="宋体" w:eastAsia="宋体" w:cs="宋体"/>
          <w:color w:val="000000"/>
          <w:sz w:val="24"/>
          <w:szCs w:val="24"/>
        </w:rPr>
        <w:t>建造师执业印章号：</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0CF3D7E8">
      <w:pPr>
        <w:ind w:firstLine="480" w:firstLineChars="200"/>
        <w:contextualSpacing/>
        <w:rPr>
          <w:rFonts w:hint="eastAsia" w:ascii="宋体" w:hAnsi="宋体" w:eastAsia="宋体" w:cs="宋体"/>
          <w:color w:val="000000"/>
          <w:sz w:val="24"/>
          <w:szCs w:val="24"/>
        </w:rPr>
      </w:pPr>
      <w:r>
        <w:rPr>
          <w:rFonts w:hint="eastAsia" w:ascii="宋体" w:hAnsi="宋体" w:eastAsia="宋体" w:cs="宋体"/>
          <w:color w:val="000000"/>
          <w:sz w:val="24"/>
          <w:szCs w:val="24"/>
        </w:rPr>
        <w:t>安全生产考核合格证书号：</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31BF4B6D">
      <w:pPr>
        <w:ind w:firstLine="480" w:firstLineChars="200"/>
        <w:contextualSpacing/>
        <w:rPr>
          <w:rFonts w:hint="eastAsia" w:ascii="宋体" w:hAnsi="宋体" w:eastAsia="宋体" w:cs="宋体"/>
          <w:color w:val="000000"/>
          <w:sz w:val="24"/>
          <w:szCs w:val="24"/>
        </w:rPr>
      </w:pPr>
      <w:r>
        <w:rPr>
          <w:rFonts w:hint="eastAsia" w:ascii="宋体" w:hAnsi="宋体" w:eastAsia="宋体" w:cs="宋体"/>
          <w:color w:val="000000"/>
          <w:sz w:val="24"/>
          <w:szCs w:val="24"/>
        </w:rPr>
        <w:t>联系电话：</w:t>
      </w:r>
      <w:r>
        <w:rPr>
          <w:rFonts w:hint="eastAsia" w:ascii="宋体" w:hAnsi="宋体" w:eastAsia="宋体" w:cs="宋体"/>
          <w:color w:val="000000"/>
          <w:sz w:val="24"/>
          <w:szCs w:val="24"/>
          <w:u w:val="single"/>
        </w:rPr>
        <w:t></w:t>
      </w:r>
      <w:r>
        <w:rPr>
          <w:rFonts w:hint="eastAsia" w:ascii="宋体" w:hAnsi="宋体" w:eastAsia="宋体" w:cs="宋体"/>
          <w:sz w:val="24"/>
          <w:szCs w:val="24"/>
          <w:u w:val="single"/>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01A129F2">
      <w:pPr>
        <w:ind w:firstLine="480" w:firstLineChars="200"/>
        <w:contextualSpacing/>
        <w:rPr>
          <w:rFonts w:hint="eastAsia" w:ascii="宋体" w:hAnsi="宋体" w:eastAsia="宋体" w:cs="宋体"/>
          <w:color w:val="000000"/>
          <w:sz w:val="24"/>
          <w:szCs w:val="24"/>
        </w:rPr>
      </w:pPr>
      <w:r>
        <w:rPr>
          <w:rFonts w:hint="eastAsia" w:ascii="宋体" w:hAnsi="宋体" w:eastAsia="宋体" w:cs="宋体"/>
          <w:color w:val="000000"/>
          <w:sz w:val="24"/>
          <w:szCs w:val="24"/>
        </w:rPr>
        <w:t>电子信箱：</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w:t>
      </w:r>
    </w:p>
    <w:p w14:paraId="17F6BE5B">
      <w:pPr>
        <w:ind w:firstLine="480" w:firstLineChars="200"/>
        <w:contextualSpacing/>
        <w:rPr>
          <w:rFonts w:hint="eastAsia" w:ascii="宋体" w:hAnsi="宋体" w:eastAsia="宋体" w:cs="宋体"/>
          <w:color w:val="000000"/>
          <w:sz w:val="24"/>
          <w:szCs w:val="24"/>
        </w:rPr>
      </w:pPr>
      <w:r>
        <w:rPr>
          <w:rFonts w:hint="eastAsia" w:ascii="宋体" w:hAnsi="宋体" w:eastAsia="宋体" w:cs="宋体"/>
          <w:color w:val="000000"/>
          <w:sz w:val="24"/>
          <w:szCs w:val="24"/>
        </w:rPr>
        <w:t>通信地址：</w:t>
      </w:r>
      <w:r>
        <w:rPr>
          <w:rFonts w:hint="eastAsia" w:ascii="宋体" w:hAnsi="宋体" w:eastAsia="宋体" w:cs="宋体"/>
          <w:sz w:val="24"/>
          <w:szCs w:val="24"/>
          <w:u w:val="single"/>
        </w:rPr>
        <w:t xml:space="preserve">                        </w:t>
      </w:r>
      <w:r>
        <w:rPr>
          <w:rFonts w:hint="eastAsia" w:ascii="宋体" w:hAnsi="宋体" w:eastAsia="宋体" w:cs="宋体"/>
          <w:color w:val="000000"/>
          <w:sz w:val="24"/>
          <w:szCs w:val="24"/>
        </w:rPr>
        <w:t xml:space="preserve">； </w:t>
      </w:r>
    </w:p>
    <w:p w14:paraId="55527B34">
      <w:pPr>
        <w:ind w:firstLine="480" w:firstLineChars="200"/>
        <w:contextualSpacing/>
        <w:rPr>
          <w:rFonts w:hint="eastAsia" w:ascii="宋体" w:hAnsi="宋体" w:eastAsia="宋体" w:cs="宋体"/>
          <w:color w:val="000000"/>
          <w:sz w:val="24"/>
          <w:szCs w:val="24"/>
        </w:rPr>
      </w:pPr>
      <w:r>
        <w:rPr>
          <w:rFonts w:hint="eastAsia" w:ascii="宋体" w:hAnsi="宋体" w:eastAsia="宋体" w:cs="宋体"/>
          <w:color w:val="000000"/>
          <w:sz w:val="24"/>
          <w:szCs w:val="24"/>
        </w:rPr>
        <w:t>承包人对项目经理的授权范围如下：</w:t>
      </w:r>
      <w:r>
        <w:rPr>
          <w:rFonts w:hint="eastAsia" w:ascii="宋体" w:hAnsi="宋体" w:eastAsia="宋体" w:cs="宋体"/>
          <w:sz w:val="24"/>
          <w:szCs w:val="24"/>
          <w:u w:val="single"/>
        </w:rPr>
        <w:t>（1）仅限于对本工程的施工现场全面管理，包括质量、技术、安全、进度管理，与发包人、监理工程师有关工程联系单、函件往来的签收，但未经承包人盖章同意授权下不得以承包人名义向外采购材料设备、租用建筑周转材料、雇佣劳动力、签订分包合同等从事一切为承包人设立义务或责任的行为 。行使合同约定的权利，履行合同约定的义务；（2）负责本工程的施工组织方案制定和施工组织设计；（3）负责本工程的劳动力组织和机械设备组织；（4）参与选择并使用具有相应资质的分包人；（5）参与选择物资供应单位；（6）在授权范围内协调与项目有关的内、外部关系；（7）负责与发包人、监理人办理设计变更、 现场签证等手续，及时办理本工程相关索赔；（8）负责签收发包人、监理人往来函件，承包人的要求、通知均应以书面形式由承包人项目经理签字并加盖承包人公司公章后递交发包人；（9）代表承包人接受监理工程师或发包人现场代表发出的指示和指命；（10）负责办理本工程竣工结算</w:t>
      </w:r>
      <w:r>
        <w:rPr>
          <w:rFonts w:hint="eastAsia" w:ascii="宋体" w:hAnsi="宋体" w:eastAsia="宋体" w:cs="宋体"/>
          <w:color w:val="000000"/>
          <w:sz w:val="24"/>
          <w:szCs w:val="24"/>
        </w:rPr>
        <w:t>。</w:t>
      </w:r>
    </w:p>
    <w:p w14:paraId="36AC2A31">
      <w:pPr>
        <w:ind w:firstLine="480" w:firstLineChars="200"/>
        <w:contextualSpacing/>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关于项目经理、副经理及技术负责人等主要管理人员每月在施工现场的时间要求：</w:t>
      </w:r>
      <w:r>
        <w:rPr>
          <w:rFonts w:hint="eastAsia" w:ascii="宋体" w:hAnsi="宋体" w:eastAsia="宋体" w:cs="宋体"/>
          <w:color w:val="000000"/>
          <w:sz w:val="24"/>
          <w:szCs w:val="24"/>
          <w:u w:val="single"/>
        </w:rPr>
        <w:t>必须常驻工地，不得兼职（</w:t>
      </w:r>
      <w:r>
        <w:rPr>
          <w:rFonts w:hint="eastAsia" w:ascii="宋体" w:hAnsi="宋体" w:eastAsia="宋体" w:cs="宋体"/>
          <w:sz w:val="24"/>
          <w:szCs w:val="24"/>
        </w:rPr>
        <w:t>施工项目负责人每月现场施工日出勤率应当达到</w:t>
      </w:r>
      <w:r>
        <w:rPr>
          <w:rFonts w:hint="eastAsia" w:ascii="宋体" w:hAnsi="宋体" w:eastAsia="宋体" w:cs="宋体"/>
          <w:sz w:val="24"/>
          <w:szCs w:val="24"/>
          <w:u w:val="single"/>
        </w:rPr>
        <w:t>80%以上</w:t>
      </w:r>
      <w:r>
        <w:rPr>
          <w:rFonts w:hint="eastAsia" w:ascii="宋体" w:hAnsi="宋体" w:eastAsia="宋体" w:cs="宋体"/>
          <w:color w:val="000000"/>
          <w:kern w:val="0"/>
          <w:sz w:val="24"/>
          <w:szCs w:val="24"/>
          <w:u w:val="single"/>
        </w:rPr>
        <w:t>，</w:t>
      </w:r>
      <w:r>
        <w:rPr>
          <w:rFonts w:hint="eastAsia" w:ascii="宋体" w:hAnsi="宋体" w:eastAsia="宋体" w:cs="宋体"/>
          <w:sz w:val="24"/>
          <w:szCs w:val="24"/>
          <w:u w:val="single"/>
        </w:rPr>
        <w:t>每日出勤时间累计不得小于4小时</w:t>
      </w:r>
      <w:r>
        <w:rPr>
          <w:rFonts w:hint="eastAsia" w:ascii="宋体" w:hAnsi="宋体" w:eastAsia="宋体" w:cs="宋体"/>
          <w:color w:val="000000"/>
          <w:kern w:val="0"/>
          <w:sz w:val="24"/>
          <w:szCs w:val="24"/>
          <w:u w:val="single"/>
        </w:rPr>
        <w:t>）</w:t>
      </w:r>
      <w:r>
        <w:rPr>
          <w:rFonts w:hint="eastAsia" w:ascii="宋体" w:hAnsi="宋体" w:eastAsia="宋体" w:cs="宋体"/>
          <w:color w:val="000000"/>
          <w:sz w:val="24"/>
          <w:szCs w:val="24"/>
          <w:u w:val="single"/>
        </w:rPr>
        <w:t>。</w:t>
      </w:r>
    </w:p>
    <w:p w14:paraId="3F27E8EF">
      <w:pPr>
        <w:ind w:firstLine="480" w:firstLineChars="200"/>
        <w:contextualSpacing/>
        <w:rPr>
          <w:rFonts w:hint="eastAsia" w:ascii="宋体" w:hAnsi="宋体" w:eastAsia="宋体" w:cs="宋体"/>
          <w:color w:val="000000"/>
          <w:sz w:val="24"/>
          <w:szCs w:val="24"/>
          <w:u w:val="single"/>
        </w:rPr>
      </w:pPr>
      <w:r>
        <w:rPr>
          <w:rFonts w:hint="eastAsia" w:ascii="宋体" w:hAnsi="宋体" w:eastAsia="宋体" w:cs="宋体"/>
          <w:color w:val="000000"/>
          <w:kern w:val="0"/>
          <w:sz w:val="24"/>
          <w:szCs w:val="24"/>
        </w:rPr>
        <w:t>承包人未提交劳动合同，以及没有为项目经理缴纳社会保险证明的违约责任：</w:t>
      </w:r>
      <w:r>
        <w:rPr>
          <w:rFonts w:hint="eastAsia" w:ascii="宋体" w:hAnsi="宋体" w:eastAsia="宋体" w:cs="宋体"/>
          <w:color w:val="000000"/>
          <w:sz w:val="24"/>
          <w:szCs w:val="24"/>
          <w:u w:val="single"/>
        </w:rPr>
        <w:t>视为承包人未向工人支付工资，未为项目经理缴纳社会保险证明，发包人有权立即停止向承包人支付应付的款项，并在合同履行相应时期的工程价款范围内，直接向工人、项目经理支付承包人应付的款项。发包人也有权选择要求承包人限期内更换项目经理。</w:t>
      </w:r>
    </w:p>
    <w:p w14:paraId="3C701176">
      <w:pPr>
        <w:tabs>
          <w:tab w:val="left" w:pos="1134"/>
        </w:tabs>
        <w:ind w:firstLine="480" w:firstLineChars="200"/>
        <w:contextualSpacing/>
        <w:rPr>
          <w:rFonts w:hint="eastAsia" w:ascii="宋体" w:hAnsi="宋体" w:eastAsia="宋体" w:cs="宋体"/>
          <w:color w:val="000000"/>
          <w:kern w:val="0"/>
          <w:sz w:val="24"/>
          <w:szCs w:val="24"/>
          <w:u w:val="single"/>
        </w:rPr>
      </w:pPr>
      <w:r>
        <w:rPr>
          <w:rFonts w:hint="eastAsia" w:ascii="宋体" w:hAnsi="宋体" w:eastAsia="宋体" w:cs="宋体"/>
          <w:color w:val="000000"/>
          <w:kern w:val="0"/>
          <w:sz w:val="24"/>
          <w:szCs w:val="24"/>
        </w:rPr>
        <w:t>项目班子主要成员未经批准，擅自离开施工现场的违约责任：按照附件16的规定承担违约责任。同时</w:t>
      </w:r>
      <w:r>
        <w:rPr>
          <w:rFonts w:hint="eastAsia" w:ascii="宋体" w:hAnsi="宋体" w:eastAsia="宋体" w:cs="宋体"/>
          <w:color w:val="000000"/>
          <w:kern w:val="0"/>
          <w:sz w:val="24"/>
          <w:szCs w:val="24"/>
          <w:u w:val="single"/>
        </w:rPr>
        <w:t>合同签订后，项目班子主要成员不到位，则发包人不签发开工令；承包人项目经理、副经理及技术负责人离开工地3天以上（含3天）除需征得监理人书面同意外，还需征得发包人的书面同意，其他主要管理人员离开工地应向监理人书面请假经过批准后才能离开，擅自离开工地，发包人将发出停工令，待人员回到岗位后才批准复工，由此产生的工期延误及经济损失由承包人自负，造成发包人损失的，发包人保留索赔的权利，并有权从应付给承包人的合同款中直接予以扣除</w:t>
      </w:r>
      <w:r>
        <w:rPr>
          <w:rFonts w:hint="eastAsia" w:ascii="宋体" w:hAnsi="宋体" w:eastAsia="宋体" w:cs="宋体"/>
          <w:color w:val="000000"/>
          <w:sz w:val="24"/>
          <w:szCs w:val="24"/>
          <w:u w:val="single"/>
        </w:rPr>
        <w:t>。</w:t>
      </w:r>
    </w:p>
    <w:p w14:paraId="1721000E">
      <w:pPr>
        <w:autoSpaceDE w:val="0"/>
        <w:autoSpaceDN w:val="0"/>
        <w:ind w:firstLine="480" w:firstLineChars="200"/>
        <w:contextualSpacing/>
        <w:jc w:val="left"/>
        <w:rPr>
          <w:rFonts w:hint="eastAsia" w:ascii="宋体" w:hAnsi="宋体" w:eastAsia="宋体" w:cs="宋体"/>
          <w:color w:val="000000"/>
          <w:kern w:val="0"/>
          <w:sz w:val="24"/>
          <w:szCs w:val="24"/>
          <w:u w:val="single"/>
        </w:rPr>
      </w:pPr>
      <w:r>
        <w:rPr>
          <w:rFonts w:hint="eastAsia" w:ascii="宋体" w:hAnsi="宋体" w:eastAsia="宋体" w:cs="宋体"/>
          <w:color w:val="000000"/>
          <w:sz w:val="24"/>
          <w:szCs w:val="24"/>
        </w:rPr>
        <w:t>3.2.3 承包人擅自更换项目经理的违约责任：</w:t>
      </w:r>
      <w:r>
        <w:rPr>
          <w:rFonts w:hint="eastAsia" w:ascii="宋体" w:hAnsi="宋体" w:eastAsia="宋体" w:cs="宋体"/>
          <w:color w:val="000000"/>
          <w:kern w:val="0"/>
          <w:sz w:val="24"/>
          <w:szCs w:val="24"/>
          <w:u w:val="single"/>
        </w:rPr>
        <w:t>每次扣罚30万元。施工过程中项目经理不能按要求到位累计30天或以上，视为擅自更换。但项目经理因死亡或重大疾病等情况，经发包人书面批准并办理更换手续后，可不扣款</w:t>
      </w:r>
      <w:r>
        <w:rPr>
          <w:rFonts w:hint="eastAsia" w:ascii="宋体" w:hAnsi="宋体" w:eastAsia="宋体" w:cs="宋体"/>
          <w:color w:val="000000"/>
          <w:sz w:val="24"/>
          <w:szCs w:val="24"/>
          <w:u w:val="single"/>
        </w:rPr>
        <w:t>。</w:t>
      </w:r>
    </w:p>
    <w:p w14:paraId="5F21E84F">
      <w:pPr>
        <w:ind w:firstLine="480" w:firstLineChars="200"/>
        <w:contextualSpacing/>
        <w:rPr>
          <w:rFonts w:hint="eastAsia" w:ascii="宋体" w:hAnsi="宋体" w:eastAsia="宋体" w:cs="宋体"/>
          <w:color w:val="000000"/>
          <w:sz w:val="24"/>
          <w:szCs w:val="24"/>
          <w:u w:val="single"/>
        </w:rPr>
      </w:pPr>
      <w:r>
        <w:rPr>
          <w:rFonts w:hint="eastAsia" w:ascii="宋体" w:hAnsi="宋体" w:eastAsia="宋体" w:cs="宋体"/>
          <w:color w:val="000000"/>
          <w:sz w:val="24"/>
          <w:szCs w:val="24"/>
        </w:rPr>
        <w:t>3.2.4 承包人无正当理由拒绝更换或超过期限仍不更换项目经理的违约责任：</w:t>
      </w:r>
      <w:r>
        <w:rPr>
          <w:rFonts w:hint="eastAsia" w:ascii="宋体" w:hAnsi="宋体" w:eastAsia="宋体" w:cs="宋体"/>
          <w:kern w:val="0"/>
          <w:position w:val="-2"/>
          <w:sz w:val="24"/>
          <w:szCs w:val="24"/>
          <w:u w:val="single"/>
        </w:rPr>
        <w:t>发包人将从合同总价中直接扣减违约金</w:t>
      </w:r>
      <w:r>
        <w:rPr>
          <w:rFonts w:hint="eastAsia" w:ascii="宋体" w:hAnsi="宋体" w:eastAsia="宋体" w:cs="宋体"/>
          <w:kern w:val="0"/>
          <w:sz w:val="24"/>
          <w:szCs w:val="24"/>
          <w:u w:val="single"/>
        </w:rPr>
        <w:t>30万，且承包人还应按照附件16的规定承担违约责任</w:t>
      </w:r>
      <w:r>
        <w:rPr>
          <w:rFonts w:hint="eastAsia" w:ascii="宋体" w:hAnsi="宋体" w:eastAsia="宋体" w:cs="宋体"/>
          <w:color w:val="000000"/>
          <w:sz w:val="24"/>
          <w:szCs w:val="24"/>
          <w:u w:val="single"/>
        </w:rPr>
        <w:t>。</w:t>
      </w:r>
    </w:p>
    <w:p w14:paraId="2D972124">
      <w:pPr>
        <w:ind w:firstLine="482" w:firstLineChars="200"/>
        <w:contextualSpacing/>
        <w:rPr>
          <w:rFonts w:hint="eastAsia" w:ascii="宋体" w:hAnsi="宋体" w:eastAsia="宋体" w:cs="宋体"/>
          <w:color w:val="000000"/>
          <w:sz w:val="24"/>
          <w:szCs w:val="24"/>
          <w:u w:val="single"/>
        </w:rPr>
      </w:pPr>
      <w:r>
        <w:rPr>
          <w:rFonts w:hint="eastAsia" w:ascii="宋体" w:hAnsi="宋体" w:eastAsia="宋体" w:cs="宋体"/>
          <w:b/>
          <w:bCs/>
          <w:sz w:val="24"/>
          <w:szCs w:val="24"/>
        </w:rPr>
        <w:t>将3.2.4条款的更换项目经理等人员的期限修改为：</w:t>
      </w:r>
      <w:r>
        <w:rPr>
          <w:rFonts w:hint="eastAsia" w:ascii="宋体" w:hAnsi="宋体" w:eastAsia="宋体" w:cs="宋体"/>
          <w:sz w:val="24"/>
          <w:szCs w:val="24"/>
          <w:u w:val="single"/>
        </w:rPr>
        <w:t>发包人有权选择要求承包人限期内更换项目经理、技术负责人及其他主要专业管理人员，承包人须在3天内落实人员到位，并将新任命的人员的注册执业资格、管理经验等资料赎买你通知发包人。</w:t>
      </w:r>
    </w:p>
    <w:p w14:paraId="097D058D">
      <w:pPr>
        <w:ind w:firstLine="482" w:firstLineChars="200"/>
        <w:contextualSpacing/>
        <w:rPr>
          <w:rFonts w:hint="eastAsia" w:ascii="宋体" w:hAnsi="宋体" w:eastAsia="宋体" w:cs="宋体"/>
          <w:b/>
          <w:color w:val="000000"/>
          <w:sz w:val="24"/>
          <w:szCs w:val="24"/>
        </w:rPr>
      </w:pPr>
      <w:r>
        <w:rPr>
          <w:rFonts w:hint="eastAsia" w:ascii="宋体" w:hAnsi="宋体" w:eastAsia="宋体" w:cs="宋体"/>
          <w:b/>
          <w:color w:val="000000"/>
          <w:sz w:val="24"/>
          <w:szCs w:val="24"/>
        </w:rPr>
        <w:t>3.3 承包人人员</w:t>
      </w:r>
    </w:p>
    <w:p w14:paraId="7B5C16CC">
      <w:pPr>
        <w:pStyle w:val="8"/>
        <w:ind w:firstLine="482" w:firstLineChars="200"/>
        <w:contextualSpacing/>
        <w:rPr>
          <w:rFonts w:hint="eastAsia" w:ascii="宋体" w:hAnsi="宋体" w:eastAsia="宋体" w:cs="宋体"/>
          <w:b/>
          <w:bCs/>
          <w:color w:val="000000"/>
          <w:sz w:val="24"/>
          <w:szCs w:val="24"/>
          <w:u w:val="single"/>
        </w:rPr>
      </w:pPr>
      <w:r>
        <w:rPr>
          <w:rFonts w:hint="eastAsia" w:ascii="宋体" w:hAnsi="宋体" w:eastAsia="宋体" w:cs="宋体"/>
          <w:b/>
          <w:bCs/>
          <w:color w:val="000000"/>
          <w:sz w:val="24"/>
          <w:szCs w:val="24"/>
          <w:u w:val="single"/>
        </w:rPr>
        <w:t>3.3.1条款修改为：</w:t>
      </w:r>
    </w:p>
    <w:p w14:paraId="5BCB4085">
      <w:pPr>
        <w:pStyle w:val="8"/>
        <w:ind w:firstLine="480" w:firstLineChars="200"/>
        <w:contextualSpacing/>
        <w:rPr>
          <w:rFonts w:hint="eastAsia" w:ascii="宋体" w:hAnsi="宋体" w:eastAsia="宋体" w:cs="宋体"/>
          <w:color w:val="000000"/>
          <w:sz w:val="24"/>
          <w:szCs w:val="24"/>
          <w:u w:val="single"/>
        </w:rPr>
      </w:pPr>
      <w:r>
        <w:rPr>
          <w:rFonts w:hint="eastAsia" w:ascii="宋体" w:hAnsi="宋体" w:eastAsia="宋体" w:cs="宋体"/>
          <w:color w:val="000000"/>
          <w:sz w:val="24"/>
          <w:szCs w:val="24"/>
          <w:u w:val="single"/>
        </w:rPr>
        <w:t>承包人按发包人</w:t>
      </w:r>
      <w:bookmarkStart w:id="410" w:name="_Toc7646"/>
      <w:r>
        <w:rPr>
          <w:rFonts w:hint="eastAsia" w:ascii="宋体" w:hAnsi="宋体" w:eastAsia="宋体" w:cs="宋体"/>
          <w:color w:val="000000"/>
          <w:sz w:val="24"/>
          <w:szCs w:val="24"/>
          <w:u w:val="single"/>
        </w:rPr>
        <w:t>的要求进场后，须向</w:t>
      </w:r>
      <w:bookmarkEnd w:id="410"/>
      <w:r>
        <w:rPr>
          <w:rFonts w:hint="eastAsia" w:ascii="宋体" w:hAnsi="宋体" w:eastAsia="宋体" w:cs="宋体"/>
          <w:color w:val="000000"/>
          <w:sz w:val="24"/>
          <w:szCs w:val="24"/>
          <w:u w:val="single"/>
        </w:rPr>
        <w:t>监理人提交与投标文件一致的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7F306950">
      <w:pPr>
        <w:pStyle w:val="8"/>
        <w:ind w:firstLine="480" w:firstLineChars="200"/>
        <w:contextualSpacing/>
        <w:rPr>
          <w:rFonts w:hint="eastAsia" w:ascii="宋体" w:hAnsi="宋体" w:eastAsia="宋体" w:cs="宋体"/>
          <w:color w:val="000000"/>
          <w:sz w:val="24"/>
          <w:szCs w:val="24"/>
          <w:u w:val="single"/>
        </w:rPr>
      </w:pPr>
      <w:r>
        <w:rPr>
          <w:rFonts w:hint="eastAsia" w:ascii="宋体" w:hAnsi="宋体" w:eastAsia="宋体" w:cs="宋体"/>
          <w:color w:val="000000"/>
          <w:sz w:val="24"/>
          <w:szCs w:val="24"/>
          <w:u w:val="single"/>
        </w:rPr>
        <w:t>承包人应当建立进场工人实名管理制度，其基本信息包括身份信息、从业资格、项目岗位、出入场考勤、作业记录、培训教育、诚信记录等，开展实名管理所需数据的提取、登记、审核、报送和档案管理等工作，各类纸质档案管理台账保存至工程竣工且工资全部结清后至少2年。</w:t>
      </w:r>
    </w:p>
    <w:p w14:paraId="33D405B3">
      <w:pPr>
        <w:pStyle w:val="8"/>
        <w:ind w:firstLine="480" w:firstLineChars="200"/>
        <w:contextualSpacing/>
        <w:rPr>
          <w:rFonts w:hint="eastAsia" w:ascii="宋体" w:hAnsi="宋体" w:eastAsia="宋体" w:cs="宋体"/>
          <w:color w:val="000000"/>
          <w:sz w:val="24"/>
          <w:szCs w:val="24"/>
          <w:u w:val="single"/>
        </w:rPr>
      </w:pPr>
      <w:r>
        <w:rPr>
          <w:rFonts w:hint="eastAsia" w:ascii="宋体" w:hAnsi="宋体" w:eastAsia="宋体" w:cs="宋体"/>
          <w:color w:val="000000"/>
          <w:sz w:val="24"/>
          <w:szCs w:val="24"/>
          <w:u w:val="single"/>
        </w:rPr>
        <w:t>承包人聘请的现场施工人员上岗之前应当完成个人信息入库采集，个人信息入库采集的单位应当是住房城乡建设主管部门认可的单位，个人信息在广东省实行一次性采集。承包人应当聘用已在省级实名管理系统信息库登记的施工现场人员。</w:t>
      </w:r>
    </w:p>
    <w:p w14:paraId="7C7AC836">
      <w:pPr>
        <w:pStyle w:val="8"/>
        <w:ind w:firstLine="480" w:firstLineChars="200"/>
        <w:contextualSpacing/>
        <w:rPr>
          <w:rFonts w:hint="eastAsia" w:ascii="宋体" w:hAnsi="宋体" w:eastAsia="宋体" w:cs="宋体"/>
          <w:color w:val="000000"/>
          <w:sz w:val="24"/>
          <w:szCs w:val="24"/>
          <w:u w:val="single"/>
        </w:rPr>
      </w:pPr>
      <w:r>
        <w:rPr>
          <w:rFonts w:hint="eastAsia" w:ascii="宋体" w:hAnsi="宋体" w:eastAsia="宋体" w:cs="宋体"/>
          <w:color w:val="000000"/>
          <w:sz w:val="24"/>
          <w:szCs w:val="24"/>
          <w:u w:val="single"/>
        </w:rPr>
        <w:t>承包人提交的质量保证体系、安全方案及总体进度计划须交监理人进行审批，并接受监理人的检查和督促。</w:t>
      </w:r>
    </w:p>
    <w:p w14:paraId="6FE1F5F7">
      <w:pPr>
        <w:pStyle w:val="8"/>
        <w:ind w:firstLine="482" w:firstLineChars="200"/>
        <w:contextualSpacing/>
        <w:rPr>
          <w:rFonts w:hint="eastAsia" w:ascii="宋体" w:hAnsi="宋体" w:eastAsia="宋体" w:cs="宋体"/>
          <w:color w:val="000000"/>
          <w:sz w:val="24"/>
          <w:szCs w:val="24"/>
          <w:u w:val="single"/>
        </w:rPr>
      </w:pPr>
      <w:r>
        <w:rPr>
          <w:rFonts w:hint="eastAsia" w:ascii="宋体" w:hAnsi="宋体" w:eastAsia="宋体" w:cs="宋体"/>
          <w:b/>
          <w:bCs/>
          <w:color w:val="000000"/>
          <w:sz w:val="24"/>
          <w:szCs w:val="24"/>
          <w:u w:val="single"/>
        </w:rPr>
        <w:t>3.3.2条款修改为：</w:t>
      </w:r>
    </w:p>
    <w:p w14:paraId="27C9E7F4">
      <w:pPr>
        <w:ind w:firstLine="480" w:firstLineChars="200"/>
        <w:contextualSpacing/>
        <w:rPr>
          <w:rFonts w:hint="eastAsia" w:ascii="宋体" w:hAnsi="宋体" w:eastAsia="宋体" w:cs="宋体"/>
          <w:color w:val="000000"/>
          <w:sz w:val="24"/>
          <w:szCs w:val="24"/>
          <w:u w:val="single"/>
        </w:rPr>
      </w:pPr>
      <w:r>
        <w:rPr>
          <w:rFonts w:hint="eastAsia" w:ascii="宋体" w:hAnsi="宋体" w:eastAsia="宋体" w:cs="宋体"/>
          <w:color w:val="000000"/>
          <w:sz w:val="24"/>
          <w:szCs w:val="24"/>
          <w:u w:val="single"/>
        </w:rPr>
        <w:t>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项目经理、技术负责人及其他主要专业管理人员的更换详见专用合同条款第3.2.3、3.3.4、3.3.5款、通用合同条款3.2.4款。通知中应当载明继任人员的注册执业资格、管理经验等资料。</w:t>
      </w:r>
    </w:p>
    <w:p w14:paraId="7330774D">
      <w:pPr>
        <w:ind w:firstLine="480" w:firstLineChars="200"/>
        <w:contextualSpacing/>
        <w:rPr>
          <w:rFonts w:hint="eastAsia" w:ascii="宋体" w:hAnsi="宋体" w:eastAsia="宋体" w:cs="宋体"/>
          <w:color w:val="000000"/>
          <w:kern w:val="0"/>
          <w:sz w:val="24"/>
          <w:szCs w:val="24"/>
          <w:u w:val="single"/>
        </w:rPr>
      </w:pPr>
      <w:r>
        <w:rPr>
          <w:rFonts w:hint="eastAsia" w:ascii="宋体" w:hAnsi="宋体" w:eastAsia="宋体" w:cs="宋体"/>
          <w:color w:val="000000"/>
          <w:sz w:val="24"/>
          <w:szCs w:val="24"/>
        </w:rPr>
        <w:t>增加</w:t>
      </w:r>
      <w:r>
        <w:rPr>
          <w:rFonts w:hint="eastAsia" w:ascii="宋体" w:hAnsi="宋体" w:eastAsia="宋体" w:cs="宋体"/>
          <w:color w:val="000000"/>
          <w:kern w:val="0"/>
          <w:sz w:val="24"/>
          <w:szCs w:val="24"/>
        </w:rPr>
        <w:t>承包人人员资格的特别规定：</w:t>
      </w:r>
      <w:r>
        <w:rPr>
          <w:rFonts w:hint="eastAsia" w:ascii="宋体" w:hAnsi="宋体" w:eastAsia="宋体" w:cs="宋体"/>
          <w:color w:val="000000"/>
          <w:kern w:val="0"/>
          <w:sz w:val="24"/>
          <w:szCs w:val="24"/>
          <w:u w:val="single"/>
        </w:rPr>
        <w:t>所有特殊工种人员、各种领班以上人员均应符合有关规定的资质，并且应持有该项工作的上岗证，在施工期间佩带其上岗证供驻地监理人随时检查。在特殊工种的施工中，若发现不佩带上岗证的人员施工，则按每发现一次，由承包人按100元/人.次向发包人支付违约金。累计10次则停工整顿。</w:t>
      </w:r>
    </w:p>
    <w:p w14:paraId="1EC4FD97">
      <w:pPr>
        <w:ind w:firstLine="480" w:firstLineChars="200"/>
        <w:contextualSpacing/>
        <w:rPr>
          <w:rFonts w:hint="eastAsia" w:ascii="宋体" w:hAnsi="宋体" w:eastAsia="宋体" w:cs="宋体"/>
          <w:color w:val="000000"/>
          <w:kern w:val="0"/>
          <w:sz w:val="24"/>
          <w:szCs w:val="24"/>
        </w:rPr>
      </w:pPr>
      <w:r>
        <w:rPr>
          <w:rFonts w:hint="eastAsia" w:ascii="宋体" w:hAnsi="宋体" w:eastAsia="宋体" w:cs="宋体"/>
          <w:color w:val="000000"/>
          <w:sz w:val="24"/>
          <w:szCs w:val="24"/>
        </w:rPr>
        <w:t>3.3.3 承包人无正当理由拒绝撤换或超过期限仍不撤换主要施工管理人员的违约责任：</w:t>
      </w:r>
      <w:r>
        <w:rPr>
          <w:rFonts w:hint="eastAsia" w:ascii="宋体" w:hAnsi="宋体" w:eastAsia="宋体" w:cs="宋体"/>
          <w:color w:val="000000"/>
          <w:kern w:val="0"/>
          <w:sz w:val="24"/>
          <w:szCs w:val="24"/>
          <w:u w:val="single"/>
        </w:rPr>
        <w:t>自撤换通知下达7天后,可自行认为该岗位已空缺，发包人有权从合同总价中扣减违约金：项目技术负责人10万元/人、其他人员2万元/人。同时，</w:t>
      </w:r>
      <w:r>
        <w:rPr>
          <w:rFonts w:hint="eastAsia" w:ascii="宋体" w:hAnsi="宋体" w:eastAsia="宋体" w:cs="宋体"/>
          <w:kern w:val="0"/>
          <w:sz w:val="24"/>
          <w:szCs w:val="24"/>
          <w:u w:val="single"/>
        </w:rPr>
        <w:t>承包人还应按照附件16的规定承担违约责任</w:t>
      </w:r>
      <w:r>
        <w:rPr>
          <w:rFonts w:hint="eastAsia" w:ascii="宋体" w:hAnsi="宋体" w:eastAsia="宋体" w:cs="宋体"/>
          <w:color w:val="000000"/>
          <w:sz w:val="24"/>
          <w:szCs w:val="24"/>
          <w:u w:val="single"/>
        </w:rPr>
        <w:t>。</w:t>
      </w:r>
    </w:p>
    <w:p w14:paraId="76CE9AF4">
      <w:pPr>
        <w:ind w:firstLine="480" w:firstLineChars="200"/>
        <w:contextualSpacing/>
        <w:rPr>
          <w:rFonts w:hint="eastAsia" w:ascii="宋体" w:hAnsi="宋体" w:eastAsia="宋体" w:cs="宋体"/>
          <w:color w:val="000000"/>
          <w:kern w:val="0"/>
          <w:sz w:val="24"/>
          <w:szCs w:val="24"/>
          <w:u w:val="single"/>
        </w:rPr>
      </w:pPr>
      <w:r>
        <w:rPr>
          <w:rFonts w:hint="eastAsia" w:ascii="宋体" w:hAnsi="宋体" w:eastAsia="宋体" w:cs="宋体"/>
          <w:color w:val="000000"/>
          <w:sz w:val="24"/>
          <w:szCs w:val="24"/>
        </w:rPr>
        <w:t>3.3.4 承包人主要施工管理人员离开施工现场的批准要求：</w:t>
      </w:r>
      <w:r>
        <w:rPr>
          <w:rFonts w:hint="eastAsia" w:ascii="宋体" w:hAnsi="宋体" w:eastAsia="宋体" w:cs="宋体"/>
          <w:color w:val="000000"/>
          <w:kern w:val="0"/>
          <w:sz w:val="24"/>
          <w:szCs w:val="24"/>
          <w:u w:val="single"/>
        </w:rPr>
        <w:t>项目班子主要成员不到位，则发包人不签发开工令；</w:t>
      </w:r>
      <w:r>
        <w:rPr>
          <w:rFonts w:hint="eastAsia" w:ascii="宋体" w:hAnsi="宋体" w:eastAsia="宋体" w:cs="宋体"/>
          <w:color w:val="000000"/>
          <w:sz w:val="24"/>
          <w:szCs w:val="24"/>
          <w:u w:val="single"/>
        </w:rPr>
        <w:t>项目经理、技术负责人</w:t>
      </w:r>
      <w:r>
        <w:rPr>
          <w:rFonts w:hint="eastAsia" w:ascii="宋体" w:hAnsi="宋体" w:eastAsia="宋体" w:cs="宋体"/>
          <w:color w:val="000000"/>
          <w:kern w:val="0"/>
          <w:sz w:val="24"/>
          <w:szCs w:val="24"/>
          <w:u w:val="single"/>
        </w:rPr>
        <w:t>离开工地3天以上（含3天）除需征得监理人书面同意外，还需征得发包人的书面同意，其他班子主要成员离开工地应向监理人书面请假经过批准后才能离开。</w:t>
      </w:r>
    </w:p>
    <w:p w14:paraId="2D1C89F4">
      <w:pPr>
        <w:ind w:firstLine="480" w:firstLineChars="200"/>
        <w:contextualSpacing/>
        <w:rPr>
          <w:rFonts w:hint="eastAsia" w:ascii="宋体" w:hAnsi="宋体" w:eastAsia="宋体" w:cs="宋体"/>
          <w:color w:val="000000"/>
          <w:kern w:val="0"/>
          <w:sz w:val="24"/>
          <w:szCs w:val="24"/>
          <w:u w:val="single"/>
        </w:rPr>
      </w:pPr>
      <w:r>
        <w:rPr>
          <w:rFonts w:hint="eastAsia" w:ascii="宋体" w:hAnsi="宋体" w:eastAsia="宋体" w:cs="宋体"/>
          <w:color w:val="000000"/>
          <w:sz w:val="24"/>
          <w:szCs w:val="24"/>
        </w:rPr>
        <w:t>3.3.5承包人擅自更换主要施工管理人员的违约责任：</w:t>
      </w:r>
      <w:r>
        <w:rPr>
          <w:rFonts w:hint="eastAsia" w:ascii="宋体" w:hAnsi="宋体" w:eastAsia="宋体" w:cs="宋体"/>
          <w:color w:val="000000"/>
          <w:kern w:val="0"/>
          <w:sz w:val="24"/>
          <w:szCs w:val="24"/>
          <w:u w:val="single"/>
        </w:rPr>
        <w:t xml:space="preserve"> </w:t>
      </w:r>
    </w:p>
    <w:p w14:paraId="4C2F7AB5">
      <w:pPr>
        <w:autoSpaceDE/>
        <w:autoSpaceDN/>
        <w:ind w:right="0" w:firstLine="480" w:firstLineChars="200"/>
        <w:contextualSpacing/>
        <w:jc w:val="both"/>
        <w:rPr>
          <w:rFonts w:hint="eastAsia" w:ascii="宋体" w:hAnsi="宋体" w:eastAsia="宋体" w:cs="宋体"/>
          <w:color w:val="000000"/>
          <w:kern w:val="0"/>
          <w:sz w:val="24"/>
          <w:szCs w:val="24"/>
          <w:u w:val="single"/>
        </w:rPr>
      </w:pPr>
      <w:r>
        <w:rPr>
          <w:rFonts w:hint="eastAsia" w:ascii="宋体" w:hAnsi="宋体" w:eastAsia="宋体" w:cs="宋体"/>
          <w:color w:val="000000"/>
          <w:kern w:val="0"/>
          <w:sz w:val="24"/>
          <w:szCs w:val="24"/>
        </w:rPr>
        <w:t>承包人主要施工管理人员擅自离开施工现场的违约责任：</w:t>
      </w:r>
      <w:r>
        <w:rPr>
          <w:rFonts w:hint="eastAsia" w:ascii="宋体" w:hAnsi="宋体" w:eastAsia="宋体" w:cs="宋体"/>
          <w:color w:val="000000"/>
          <w:kern w:val="0"/>
          <w:sz w:val="24"/>
          <w:szCs w:val="24"/>
          <w:u w:val="single"/>
        </w:rPr>
        <w:t>擅自离开工地，发包人将发出停工令，待人员回到岗位后才批准复工，由此产生的工期延误及经济损失承包人自负，造成发包人损失的，发包人保留索赔的权利，并有权从应付给承包人的合同款中直接予以扣除。</w:t>
      </w:r>
    </w:p>
    <w:p w14:paraId="22C9ED23">
      <w:pPr>
        <w:ind w:firstLine="482" w:firstLineChars="200"/>
        <w:contextualSpacing/>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增加3.3.6条款：</w:t>
      </w:r>
    </w:p>
    <w:p w14:paraId="6DE7DD2B">
      <w:pPr>
        <w:ind w:firstLine="480" w:firstLineChars="200"/>
        <w:contextualSpacing/>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3.3.6承包人应任命代表承包人工作的承包人代表，该代表的人选应具有与本工程相对应专业的注册建造师执业资格，由承包人在开工前依法向发包人提出，并经发包人同意。建设行政主管部门有规定的，应遵守其规定；招标工程的承包人代表，应为投标文件所载明的人选。</w:t>
      </w:r>
      <w:r>
        <w:rPr>
          <w:rFonts w:hint="eastAsia" w:ascii="宋体" w:hAnsi="宋体" w:eastAsia="宋体" w:cs="宋体"/>
          <w:color w:val="000000"/>
          <w:kern w:val="0"/>
          <w:sz w:val="24"/>
          <w:szCs w:val="24"/>
          <w:u w:val="single"/>
        </w:rPr>
        <w:t>承包人如需更换承包人代表，应取得发包人的书面同意和遵守建设行政主管部门的规定，并至少提前7天以书面形式通知发包人，否则该项更换无效。发包人应在收到书面通知后的 7 天内予以答复，否则视为同意。继任承包人代表应继续行使合同规定的前任承包人代表的职权和履行相应的义务。</w:t>
      </w:r>
    </w:p>
    <w:p w14:paraId="6900259E">
      <w:pPr>
        <w:ind w:firstLine="482" w:firstLineChars="200"/>
        <w:contextualSpacing/>
        <w:rPr>
          <w:rFonts w:hint="eastAsia" w:ascii="宋体" w:hAnsi="宋体" w:eastAsia="宋体" w:cs="宋体"/>
          <w:b/>
          <w:color w:val="000000"/>
          <w:kern w:val="0"/>
          <w:sz w:val="24"/>
          <w:szCs w:val="24"/>
        </w:rPr>
      </w:pPr>
      <w:r>
        <w:rPr>
          <w:rFonts w:hint="eastAsia" w:ascii="宋体" w:hAnsi="宋体" w:eastAsia="宋体" w:cs="宋体"/>
          <w:b/>
          <w:color w:val="000000"/>
          <w:sz w:val="24"/>
          <w:szCs w:val="24"/>
        </w:rPr>
        <w:t>3.4 增加以下条款：</w:t>
      </w:r>
    </w:p>
    <w:p w14:paraId="076ED18A">
      <w:pPr>
        <w:autoSpaceDE w:val="0"/>
        <w:autoSpaceDN w:val="0"/>
        <w:ind w:firstLine="480" w:firstLineChars="200"/>
        <w:contextualSpacing/>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应对场区的施工条件、工程地质条件、周边环境、管线、交通疏解及设计文件有充分的认识及了解；经过复核及根据自身的施工经验确定围护结构方案确保围护结构安全并确认主体结构是否安全、合理；并拟定相应的施工方案及采取的措施，其费用应含在报价中；发包人及承包人如有不同意见应在投标时及合同签订前提出，否则发包人有权不予以确认。</w:t>
      </w:r>
    </w:p>
    <w:p w14:paraId="5FF4CAFC">
      <w:pPr>
        <w:autoSpaceDE w:val="0"/>
        <w:autoSpaceDN w:val="0"/>
        <w:ind w:firstLine="480" w:firstLineChars="200"/>
        <w:contextualSpacing/>
        <w:jc w:val="left"/>
        <w:rPr>
          <w:rFonts w:hint="eastAsia" w:ascii="宋体" w:hAnsi="宋体" w:eastAsia="宋体" w:cs="宋体"/>
          <w:color w:val="FF0000"/>
          <w:kern w:val="0"/>
          <w:sz w:val="24"/>
          <w:szCs w:val="24"/>
        </w:rPr>
      </w:pPr>
      <w:r>
        <w:rPr>
          <w:rFonts w:hint="eastAsia" w:ascii="宋体" w:hAnsi="宋体" w:eastAsia="宋体" w:cs="宋体"/>
          <w:kern w:val="0"/>
          <w:sz w:val="24"/>
          <w:szCs w:val="24"/>
        </w:rPr>
        <w:t>若有因交通疏解工作需要需对疏解过程中的临时通道、桥梁等进行管理的，由承包人负责管理。</w:t>
      </w:r>
    </w:p>
    <w:p w14:paraId="4EBC3AD8">
      <w:pPr>
        <w:ind w:firstLine="482" w:firstLineChars="200"/>
        <w:contextualSpacing/>
        <w:rPr>
          <w:rFonts w:hint="eastAsia" w:ascii="宋体" w:hAnsi="宋体" w:eastAsia="宋体" w:cs="宋体"/>
          <w:b/>
          <w:color w:val="000000"/>
          <w:sz w:val="24"/>
          <w:szCs w:val="24"/>
        </w:rPr>
      </w:pPr>
      <w:r>
        <w:rPr>
          <w:rFonts w:hint="eastAsia" w:ascii="宋体" w:hAnsi="宋体" w:eastAsia="宋体" w:cs="宋体"/>
          <w:b/>
          <w:color w:val="000000"/>
          <w:sz w:val="24"/>
          <w:szCs w:val="24"/>
        </w:rPr>
        <w:t>3.5 分包</w:t>
      </w:r>
    </w:p>
    <w:p w14:paraId="32131007">
      <w:pPr>
        <w:ind w:firstLine="482" w:firstLineChars="200"/>
        <w:contextualSpacing/>
        <w:jc w:val="left"/>
        <w:rPr>
          <w:rFonts w:hint="eastAsia" w:ascii="宋体" w:hAnsi="宋体" w:eastAsia="宋体" w:cs="宋体"/>
          <w:b/>
          <w:color w:val="000000"/>
          <w:sz w:val="24"/>
          <w:szCs w:val="24"/>
        </w:rPr>
      </w:pPr>
      <w:r>
        <w:rPr>
          <w:rFonts w:hint="eastAsia" w:ascii="宋体" w:hAnsi="宋体" w:eastAsia="宋体" w:cs="宋体"/>
          <w:b/>
          <w:color w:val="000000"/>
          <w:sz w:val="24"/>
          <w:szCs w:val="24"/>
        </w:rPr>
        <w:t>3.5.1增加以下条款：</w:t>
      </w:r>
    </w:p>
    <w:p w14:paraId="2218DA7C">
      <w:pPr>
        <w:ind w:firstLine="480" w:firstLineChars="200"/>
        <w:contextualSpacing/>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如发现承包人转包或以分包名义肢解转包工程的，发包人有权立即解除合同，履约保证金全部不予退还，归发包人所有；如是履约保函，履约保函不予退回，发包人有权将保函金额转为现金存入发包人账户，并归发包人所有。</w:t>
      </w:r>
    </w:p>
    <w:p w14:paraId="4EA6C242">
      <w:pPr>
        <w:ind w:firstLine="480" w:firstLineChars="200"/>
        <w:contextualSpacing/>
        <w:jc w:val="left"/>
        <w:rPr>
          <w:rFonts w:hint="eastAsia" w:ascii="宋体" w:hAnsi="宋体" w:eastAsia="宋体" w:cs="宋体"/>
          <w:color w:val="000000"/>
          <w:kern w:val="0"/>
          <w:sz w:val="24"/>
          <w:szCs w:val="24"/>
        </w:rPr>
      </w:pPr>
      <w:r>
        <w:rPr>
          <w:rFonts w:hint="eastAsia" w:ascii="宋体" w:hAnsi="宋体" w:eastAsia="宋体" w:cs="宋体"/>
          <w:sz w:val="24"/>
          <w:szCs w:val="24"/>
        </w:rPr>
        <w:t>3.5.2分包的确定</w:t>
      </w:r>
    </w:p>
    <w:p w14:paraId="340E0AEB">
      <w:pPr>
        <w:ind w:firstLine="480" w:firstLineChars="200"/>
        <w:contextualSpacing/>
        <w:rPr>
          <w:rFonts w:hint="eastAsia" w:ascii="宋体" w:hAnsi="宋体" w:eastAsia="宋体" w:cs="宋体"/>
          <w:color w:val="000000"/>
          <w:sz w:val="24"/>
          <w:szCs w:val="24"/>
        </w:rPr>
      </w:pPr>
      <w:r>
        <w:rPr>
          <w:rFonts w:hint="eastAsia" w:ascii="宋体" w:hAnsi="宋体" w:eastAsia="宋体" w:cs="宋体"/>
          <w:sz w:val="24"/>
          <w:szCs w:val="24"/>
        </w:rPr>
        <w:t>允许分包的专业工程包括：</w:t>
      </w:r>
      <w:r>
        <w:rPr>
          <w:rFonts w:hint="eastAsia" w:ascii="宋体" w:hAnsi="宋体" w:eastAsia="宋体" w:cs="宋体"/>
          <w:sz w:val="24"/>
          <w:szCs w:val="24"/>
          <w:u w:val="single"/>
        </w:rPr>
        <w:t xml:space="preserve"> 按照</w:t>
      </w:r>
      <w:r>
        <w:rPr>
          <w:rFonts w:hint="eastAsia" w:ascii="宋体" w:hAnsi="宋体" w:eastAsia="宋体" w:cs="宋体"/>
          <w:sz w:val="24"/>
          <w:szCs w:val="24"/>
          <w:u w:val="single"/>
          <w:lang w:val="en-US" w:eastAsia="zh-CN"/>
        </w:rPr>
        <w:t>本</w:t>
      </w:r>
      <w:r>
        <w:rPr>
          <w:rFonts w:hint="eastAsia" w:ascii="宋体" w:hAnsi="宋体" w:eastAsia="宋体" w:cs="宋体"/>
          <w:sz w:val="24"/>
          <w:szCs w:val="24"/>
          <w:u w:val="single"/>
        </w:rPr>
        <w:t xml:space="preserve">合同约定执行 </w:t>
      </w:r>
      <w:r>
        <w:rPr>
          <w:rFonts w:hint="eastAsia" w:ascii="宋体" w:hAnsi="宋体" w:eastAsia="宋体" w:cs="宋体"/>
          <w:color w:val="000000"/>
          <w:sz w:val="24"/>
          <w:szCs w:val="24"/>
        </w:rPr>
        <w:t>。</w:t>
      </w:r>
    </w:p>
    <w:p w14:paraId="34EBB85F">
      <w:pPr>
        <w:ind w:firstLine="480" w:firstLineChars="200"/>
        <w:contextualSpacing/>
        <w:rPr>
          <w:rFonts w:hint="eastAsia" w:ascii="宋体" w:hAnsi="宋体" w:eastAsia="宋体" w:cs="宋体"/>
          <w:color w:val="000000"/>
          <w:sz w:val="24"/>
          <w:szCs w:val="24"/>
        </w:rPr>
      </w:pPr>
      <w:r>
        <w:rPr>
          <w:rFonts w:hint="eastAsia" w:ascii="宋体" w:hAnsi="宋体" w:eastAsia="宋体" w:cs="宋体"/>
          <w:color w:val="000000"/>
          <w:sz w:val="24"/>
          <w:szCs w:val="24"/>
        </w:rPr>
        <w:t>其他关于分包的其他约定：</w:t>
      </w:r>
      <w:r>
        <w:rPr>
          <w:rFonts w:hint="eastAsia" w:ascii="宋体" w:hAnsi="宋体" w:eastAsia="宋体" w:cs="宋体"/>
          <w:sz w:val="24"/>
          <w:szCs w:val="24"/>
          <w:u w:val="single"/>
        </w:rPr>
        <w:t xml:space="preserve"> 无 </w:t>
      </w:r>
      <w:r>
        <w:rPr>
          <w:rFonts w:hint="eastAsia" w:ascii="宋体" w:hAnsi="宋体" w:eastAsia="宋体" w:cs="宋体"/>
          <w:color w:val="000000"/>
          <w:sz w:val="24"/>
          <w:szCs w:val="24"/>
        </w:rPr>
        <w:t>。</w:t>
      </w:r>
    </w:p>
    <w:p w14:paraId="174B443C">
      <w:pPr>
        <w:ind w:firstLine="482" w:firstLineChars="200"/>
        <w:contextualSpacing/>
        <w:rPr>
          <w:rFonts w:hint="eastAsia" w:ascii="宋体" w:hAnsi="宋体" w:eastAsia="宋体" w:cs="宋体"/>
          <w:b/>
          <w:color w:val="000000"/>
          <w:sz w:val="24"/>
          <w:szCs w:val="24"/>
        </w:rPr>
      </w:pPr>
      <w:r>
        <w:rPr>
          <w:rFonts w:hint="eastAsia" w:ascii="宋体" w:hAnsi="宋体" w:eastAsia="宋体" w:cs="宋体"/>
          <w:b/>
          <w:color w:val="000000"/>
          <w:sz w:val="24"/>
          <w:szCs w:val="24"/>
        </w:rPr>
        <w:t>增加以下条款：</w:t>
      </w:r>
    </w:p>
    <w:p w14:paraId="353B1F24">
      <w:pPr>
        <w:ind w:firstLine="480" w:firstLineChars="200"/>
        <w:contextualSpacing/>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承包人在确定分包人前，必须征得发包人同意。承包人未经批准擅自分包的，将视为违约，发包人有权解除合同。</w:t>
      </w:r>
    </w:p>
    <w:p w14:paraId="1A87F19D">
      <w:pPr>
        <w:ind w:firstLine="480" w:firstLineChars="200"/>
        <w:contextualSpacing/>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（1）承包人作为总承包单位，其责任有：对工程的工期、质量、造价和交付使用后的保修向发包人负责。分包人按合同规定，对其分包的工程向承包人负责。</w:t>
      </w:r>
    </w:p>
    <w:p w14:paraId="2400758A">
      <w:pPr>
        <w:ind w:firstLine="480" w:firstLineChars="200"/>
        <w:contextualSpacing/>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（2）负责编制施工组织总设计，全面负责工程进度、工程质量、施工技术、安全生产等管理工作。</w:t>
      </w:r>
    </w:p>
    <w:p w14:paraId="6E3FE416">
      <w:pPr>
        <w:ind w:firstLine="480" w:firstLineChars="200"/>
        <w:contextualSpacing/>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（3）统一向发包人领取工程技术文件和施工图纸，按时供应给分包人。</w:t>
      </w:r>
    </w:p>
    <w:p w14:paraId="42385E24">
      <w:pPr>
        <w:ind w:firstLine="480" w:firstLineChars="200"/>
        <w:contextualSpacing/>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（4）统筹安排分包人的生产、生活临时设施，为专业承包单位提供场地（临设、材料堆放等）。</w:t>
      </w:r>
    </w:p>
    <w:p w14:paraId="39CA1EEE">
      <w:pPr>
        <w:ind w:firstLine="480" w:firstLineChars="200"/>
        <w:contextualSpacing/>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（5）负责编制阶段工程预算、结算；统一组织分包人编制分包工程结算，并由承包人报送。</w:t>
      </w:r>
    </w:p>
    <w:p w14:paraId="52601F8C">
      <w:pPr>
        <w:ind w:firstLine="480" w:firstLineChars="200"/>
        <w:contextualSpacing/>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（6）负责单位工程竣工验收资料的统一整理、报送、归档。</w:t>
      </w:r>
    </w:p>
    <w:p w14:paraId="516F732F">
      <w:pPr>
        <w:ind w:firstLine="480" w:firstLineChars="200"/>
        <w:contextualSpacing/>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（7）分包工程经检验评定后，由承包人和分包人在评定书上签字，作为分包人向承包人交工的证明。</w:t>
      </w:r>
    </w:p>
    <w:p w14:paraId="3EE4297D">
      <w:pPr>
        <w:ind w:firstLine="480" w:firstLineChars="200"/>
        <w:contextualSpacing/>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（8）属于发包人的原因致使分包合同不能履行时，应由承包人向发包人提出赔偿损失的要求，分包人不能直接向发包人提出赔偿的要求。</w:t>
      </w:r>
    </w:p>
    <w:p w14:paraId="461B9394">
      <w:pPr>
        <w:ind w:firstLine="480" w:firstLineChars="200"/>
        <w:contextualSpacing/>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（9）统一组织各专业承包单位编制工程竣工验收资料。</w:t>
      </w:r>
    </w:p>
    <w:p w14:paraId="6054CE69">
      <w:pPr>
        <w:ind w:firstLine="480" w:firstLineChars="200"/>
        <w:contextualSpacing/>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（10）承包人影响专业承包单位合同履行，并给专业承包单位造成损失时，由承包人向专业承包单位负责赔偿，且不得因此影响工期。</w:t>
      </w:r>
    </w:p>
    <w:p w14:paraId="1EB56F85">
      <w:pPr>
        <w:ind w:firstLine="480" w:firstLineChars="200"/>
        <w:contextualSpacing/>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（11）各专业承包单位施工所产生的水电费由其自行承担，统一由承包人按市价收取。承包人不得以未收到分包人支付的水电费为由，拒绝向发包人支付水电费。</w:t>
      </w:r>
    </w:p>
    <w:p w14:paraId="551C6FBA">
      <w:pPr>
        <w:ind w:firstLine="480" w:firstLineChars="200"/>
        <w:contextualSpacing/>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承包人需预留管槽、孔洞、榫眼等，预埋套筒，使用后予以填充密封，并用适当的填充包围电线、电缆、管道的缝隙。对穿过混凝土结构和二次结构之预埋套管之内外空隙的填充，必须满足防水、人防、消防规范要求。否则</w:t>
      </w:r>
      <w:r>
        <w:rPr>
          <w:rFonts w:hint="eastAsia" w:ascii="宋体" w:hAnsi="宋体" w:eastAsia="宋体" w:cs="宋体"/>
          <w:color w:val="000000"/>
          <w:kern w:val="0"/>
          <w:sz w:val="24"/>
          <w:szCs w:val="24"/>
          <w:lang w:val="en-US" w:eastAsia="zh-CN"/>
        </w:rPr>
        <w:t>发包人</w:t>
      </w:r>
      <w:r>
        <w:rPr>
          <w:rFonts w:hint="eastAsia" w:ascii="宋体" w:hAnsi="宋体" w:eastAsia="宋体" w:cs="宋体"/>
          <w:color w:val="000000"/>
          <w:kern w:val="0"/>
          <w:sz w:val="24"/>
          <w:szCs w:val="24"/>
        </w:rPr>
        <w:t>有权指派其他单位封堵，因此发生的费用业主有权从应付总承包人款项或质量保修金中直接扣除。承包人和分包人的具体职责界面如下：</w:t>
      </w:r>
    </w:p>
    <w:p w14:paraId="6B6DE9DE">
      <w:pPr>
        <w:ind w:firstLine="480" w:firstLineChars="200"/>
        <w:contextualSpacing/>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（13）若因总承包人预留不到位或现场管理问题引起洞口或套管不合格，则由总承包人负责封堵。</w:t>
      </w:r>
    </w:p>
    <w:p w14:paraId="3BBD7408">
      <w:pPr>
        <w:ind w:firstLine="480" w:firstLineChars="200"/>
        <w:contextualSpacing/>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承包人应向分包人提供及安排场地（不含外租场地），让其建造自己的办公室、辅助设施及贮存库房。在施工期间根据现场实际情况，如需迁移已建造的分包人的办公室、辅助设施及贮存库房，分包人应负责迁移的所有工作及费用，总承包人不得提出工期及费用的索偿。当工程竣工时现场的办公室、辅助设施及贮存库应全部拆除，其中包括内部照明及配线，所有的拆除和清场的责任均应由分包人负责。如分包人未拆除和清场的，则由承包人负责。 </w:t>
      </w:r>
    </w:p>
    <w:p w14:paraId="5201D2A4">
      <w:pPr>
        <w:ind w:firstLine="480" w:firstLineChars="200"/>
        <w:contextualSpacing/>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（15）承包人应提供工地内的临时道路共同使用并提供施工场地，清除分包人施工面内障碍，及时为分包人提供所需的工作面。</w:t>
      </w:r>
    </w:p>
    <w:p w14:paraId="1BE372CA">
      <w:pPr>
        <w:ind w:firstLine="480" w:firstLineChars="200"/>
        <w:contextualSpacing/>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总承包人需安排分包人将垃圾、废料堆放指定地点（堆放地点应设在红线范围内），并负责清理由分包人堆放至指定地点的垃圾与废料。特别指出，总承包人必须安排分包人将废料、包装箱/袋堆放地点并负责清运分包人放至指定地点的垃圾、废料、包装箱/袋等；若分包人未及时清理且无法追溯时，由总承包人将垃圾无偿清理至指定堆放地点并外运。总承包人如发生垃圾清运不及时，发包人将另行委托其他单位处理,并将发生费用从应支付的合同款中直接扣除。</w:t>
      </w:r>
    </w:p>
    <w:p w14:paraId="67367394">
      <w:pPr>
        <w:ind w:firstLine="482" w:firstLineChars="200"/>
        <w:contextualSpacing/>
        <w:jc w:val="lef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3.5.4第（2）目修改为：</w:t>
      </w:r>
    </w:p>
    <w:p w14:paraId="04DFB9D2">
      <w:pPr>
        <w:ind w:firstLine="480" w:firstLineChars="200"/>
        <w:contextualSpacing/>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（2）生效法律文书或有权机关要求发包人向分包人支付分包合同价款的，发包人有权从应付承包人工程款中扣除该部分款项。</w:t>
      </w:r>
    </w:p>
    <w:p w14:paraId="0FD86801">
      <w:pPr>
        <w:ind w:firstLine="482" w:firstLineChars="200"/>
        <w:contextualSpacing/>
        <w:rPr>
          <w:rFonts w:hint="eastAsia" w:ascii="宋体" w:hAnsi="宋体" w:eastAsia="宋体" w:cs="宋体"/>
          <w:b/>
          <w:color w:val="000000"/>
          <w:sz w:val="24"/>
          <w:szCs w:val="24"/>
        </w:rPr>
      </w:pPr>
      <w:r>
        <w:rPr>
          <w:rFonts w:hint="eastAsia" w:ascii="宋体" w:hAnsi="宋体" w:eastAsia="宋体" w:cs="宋体"/>
          <w:b/>
          <w:color w:val="000000"/>
          <w:sz w:val="24"/>
          <w:szCs w:val="24"/>
        </w:rPr>
        <w:t>3.6 工程照管与成品、半成品保护</w:t>
      </w:r>
    </w:p>
    <w:p w14:paraId="191C95D0">
      <w:pPr>
        <w:ind w:firstLine="480" w:firstLineChars="200"/>
        <w:contextualSpacing/>
        <w:rPr>
          <w:rFonts w:hint="eastAsia" w:ascii="宋体" w:hAnsi="宋体" w:eastAsia="宋体" w:cs="宋体"/>
          <w:sz w:val="24"/>
          <w:szCs w:val="24"/>
        </w:rPr>
      </w:pPr>
      <w:r>
        <w:rPr>
          <w:rFonts w:hint="eastAsia" w:ascii="宋体" w:hAnsi="宋体" w:eastAsia="宋体" w:cs="宋体"/>
          <w:color w:val="000000"/>
          <w:kern w:val="0"/>
          <w:sz w:val="24"/>
          <w:szCs w:val="24"/>
        </w:rPr>
        <w:t>承包人负责照管工程及工程相关的材料、工程设备的起始时</w:t>
      </w:r>
      <w:r>
        <w:rPr>
          <w:rFonts w:hint="eastAsia" w:ascii="宋体" w:hAnsi="宋体" w:eastAsia="宋体" w:cs="宋体"/>
          <w:kern w:val="0"/>
          <w:sz w:val="24"/>
          <w:szCs w:val="24"/>
        </w:rPr>
        <w:t>间：</w:t>
      </w:r>
      <w:r>
        <w:rPr>
          <w:rFonts w:hint="eastAsia" w:ascii="宋体" w:hAnsi="宋体" w:eastAsia="宋体" w:cs="宋体"/>
          <w:sz w:val="24"/>
          <w:szCs w:val="24"/>
          <w:u w:val="single"/>
        </w:rPr>
        <w:t>按通用合同条款执行</w:t>
      </w:r>
      <w:r>
        <w:rPr>
          <w:rFonts w:hint="eastAsia" w:ascii="宋体" w:hAnsi="宋体" w:eastAsia="宋体" w:cs="宋体"/>
          <w:sz w:val="24"/>
          <w:szCs w:val="24"/>
        </w:rPr>
        <w:t>。</w:t>
      </w:r>
    </w:p>
    <w:p w14:paraId="43F317B3">
      <w:pPr>
        <w:ind w:firstLine="482" w:firstLineChars="200"/>
        <w:contextualSpacing/>
        <w:jc w:val="left"/>
        <w:rPr>
          <w:rFonts w:hint="eastAsia" w:ascii="宋体" w:hAnsi="宋体" w:eastAsia="宋体" w:cs="宋体"/>
          <w:b/>
          <w:sz w:val="24"/>
          <w:szCs w:val="24"/>
        </w:rPr>
      </w:pPr>
      <w:r>
        <w:rPr>
          <w:rFonts w:hint="eastAsia" w:ascii="宋体" w:hAnsi="宋体" w:eastAsia="宋体" w:cs="宋体"/>
          <w:b/>
          <w:color w:val="000000"/>
          <w:kern w:val="0"/>
          <w:sz w:val="24"/>
          <w:szCs w:val="24"/>
        </w:rPr>
        <w:t>增加约定：</w:t>
      </w:r>
    </w:p>
    <w:p w14:paraId="0817B5CD">
      <w:pPr>
        <w:ind w:firstLine="480" w:firstLineChars="200"/>
        <w:contextualSpacing/>
        <w:jc w:val="left"/>
        <w:rPr>
          <w:rFonts w:hint="eastAsia" w:ascii="宋体" w:hAnsi="宋体" w:eastAsia="宋体" w:cs="宋体"/>
          <w:sz w:val="24"/>
          <w:szCs w:val="24"/>
        </w:rPr>
      </w:pPr>
      <w:r>
        <w:rPr>
          <w:rFonts w:hint="eastAsia" w:ascii="宋体" w:hAnsi="宋体" w:eastAsia="宋体" w:cs="宋体"/>
          <w:sz w:val="24"/>
          <w:szCs w:val="24"/>
        </w:rPr>
        <w:t>3.6.4专业承包单位对成品和半成品负主要保护责任，承包人负连带保护责任，发包人有权向专业承包单位或承包人追偿。相关费用包含在总承包服务费中。</w:t>
      </w:r>
    </w:p>
    <w:p w14:paraId="0AF202C7">
      <w:pPr>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3.6.5已完工程成品保护的特殊要求及费用承担：未移交后续施工单位使用前，对自行施工的已完工工程的保护工作及费用均由承包人负责，发生损坏由承包人自费修复；移交后续施工单位使用后，对已完工工程的保护工作及费用均由后续施工单位负责，发生损坏由后续施工单位自费修复，但属于本合同质量保修范围内的，按照工程质量保修书有关规定执行。</w:t>
      </w:r>
    </w:p>
    <w:p w14:paraId="142AD902">
      <w:pPr>
        <w:ind w:firstLine="482" w:firstLineChars="200"/>
        <w:contextualSpacing/>
        <w:rPr>
          <w:rFonts w:hint="eastAsia" w:ascii="宋体" w:hAnsi="宋体" w:eastAsia="宋体" w:cs="宋体"/>
          <w:b/>
          <w:bCs/>
          <w:color w:val="000000"/>
          <w:sz w:val="24"/>
          <w:szCs w:val="24"/>
        </w:rPr>
      </w:pPr>
      <w:r>
        <w:rPr>
          <w:rFonts w:hint="eastAsia" w:ascii="宋体" w:hAnsi="宋体" w:eastAsia="宋体" w:cs="宋体"/>
          <w:b/>
          <w:bCs/>
          <w:color w:val="000000"/>
          <w:sz w:val="24"/>
          <w:szCs w:val="24"/>
        </w:rPr>
        <w:t>3.7 履约担保</w:t>
      </w:r>
    </w:p>
    <w:p w14:paraId="2FE674B7">
      <w:pPr>
        <w:ind w:firstLine="480" w:firstLineChars="200"/>
        <w:contextualSpacing/>
        <w:jc w:val="left"/>
        <w:rPr>
          <w:rFonts w:hint="eastAsia" w:ascii="宋体" w:hAnsi="宋体" w:eastAsia="宋体" w:cs="宋体"/>
          <w:color w:val="000000"/>
          <w:sz w:val="24"/>
          <w:szCs w:val="24"/>
        </w:rPr>
      </w:pPr>
      <w:r>
        <w:rPr>
          <w:rFonts w:hint="eastAsia" w:ascii="宋体" w:hAnsi="宋体" w:eastAsia="宋体" w:cs="宋体"/>
          <w:color w:val="000000"/>
          <w:sz w:val="24"/>
          <w:szCs w:val="24"/>
        </w:rPr>
        <w:t>3.7.1 承包人是否提供履约担保：</w:t>
      </w:r>
      <w:r>
        <w:rPr>
          <w:rFonts w:hint="eastAsia" w:ascii="宋体" w:hAnsi="宋体" w:eastAsia="宋体" w:cs="宋体"/>
          <w:color w:val="000000"/>
          <w:sz w:val="24"/>
          <w:szCs w:val="24"/>
          <w:u w:val="single"/>
        </w:rPr>
        <w:t>是</w:t>
      </w:r>
      <w:r>
        <w:rPr>
          <w:rFonts w:hint="eastAsia" w:ascii="宋体" w:hAnsi="宋体" w:eastAsia="宋体" w:cs="宋体"/>
          <w:color w:val="000000"/>
          <w:sz w:val="24"/>
          <w:szCs w:val="24"/>
        </w:rPr>
        <w:t>。</w:t>
      </w:r>
    </w:p>
    <w:p w14:paraId="32EFC2B6">
      <w:pPr>
        <w:ind w:firstLine="480" w:firstLineChars="200"/>
        <w:contextualSpacing/>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rPr>
        <w:t>3.7.2 承包人提供履约担保的形式、金额及期限的：</w:t>
      </w:r>
      <w:r>
        <w:rPr>
          <w:rFonts w:hint="eastAsia" w:ascii="宋体" w:hAnsi="宋体" w:eastAsia="宋体" w:cs="宋体"/>
          <w:color w:val="000000"/>
          <w:sz w:val="24"/>
          <w:szCs w:val="24"/>
          <w:u w:val="single"/>
        </w:rPr>
        <w:t>履约保函或发包人认可的其他形式，为签约合同价的10%，期限按保函格式要求。</w:t>
      </w:r>
    </w:p>
    <w:p w14:paraId="2ACC0B58">
      <w:pPr>
        <w:ind w:firstLine="480" w:firstLineChars="200"/>
        <w:contextualSpacing/>
        <w:jc w:val="left"/>
        <w:rPr>
          <w:rFonts w:hint="eastAsia" w:ascii="宋体" w:hAnsi="宋体" w:eastAsia="宋体" w:cs="宋体"/>
          <w:color w:val="000000"/>
          <w:sz w:val="24"/>
          <w:szCs w:val="24"/>
        </w:rPr>
      </w:pPr>
      <w:r>
        <w:rPr>
          <w:rFonts w:hint="eastAsia" w:ascii="宋体" w:hAnsi="宋体" w:eastAsia="宋体" w:cs="宋体"/>
          <w:color w:val="000000"/>
          <w:sz w:val="24"/>
          <w:szCs w:val="24"/>
        </w:rPr>
        <w:t>3.7.3 在合同签订后</w:t>
      </w:r>
      <w:r>
        <w:rPr>
          <w:rFonts w:hint="eastAsia" w:ascii="宋体" w:hAnsi="宋体" w:eastAsia="宋体" w:cs="宋体"/>
          <w:color w:val="000000"/>
          <w:sz w:val="24"/>
          <w:szCs w:val="24"/>
          <w:u w:val="single"/>
        </w:rPr>
        <w:t>30天</w:t>
      </w:r>
      <w:r>
        <w:rPr>
          <w:rFonts w:hint="eastAsia" w:ascii="宋体" w:hAnsi="宋体" w:eastAsia="宋体" w:cs="宋体"/>
          <w:color w:val="000000"/>
          <w:sz w:val="24"/>
          <w:szCs w:val="24"/>
        </w:rPr>
        <w:t>内，承包人应按照招标文件的规定向发包人递交履约担保；</w:t>
      </w:r>
    </w:p>
    <w:p w14:paraId="205DE4A4">
      <w:pPr>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3.7.4 履约保函应满足以下规定：</w:t>
      </w:r>
    </w:p>
    <w:p w14:paraId="4BED49BB">
      <w:pPr>
        <w:autoSpaceDE w:val="0"/>
        <w:autoSpaceDN w:val="0"/>
        <w:ind w:firstLine="480" w:firstLineChars="200"/>
        <w:contextualSpacing/>
        <w:jc w:val="left"/>
        <w:rPr>
          <w:rFonts w:hint="eastAsia" w:ascii="宋体" w:hAnsi="宋体" w:eastAsia="宋体" w:cs="宋体"/>
          <w:sz w:val="24"/>
          <w:szCs w:val="24"/>
        </w:rPr>
      </w:pPr>
      <w:r>
        <w:rPr>
          <w:rFonts w:hint="eastAsia" w:ascii="宋体" w:hAnsi="宋体" w:eastAsia="宋体" w:cs="宋体"/>
          <w:sz w:val="24"/>
          <w:szCs w:val="24"/>
        </w:rPr>
        <w:t>3.7.4.1履约保函必须是无条件不可撤销保函。</w:t>
      </w:r>
    </w:p>
    <w:p w14:paraId="0E682DFB">
      <w:pPr>
        <w:autoSpaceDE w:val="0"/>
        <w:autoSpaceDN w:val="0"/>
        <w:ind w:firstLine="480" w:firstLineChars="200"/>
        <w:contextualSpacing/>
        <w:jc w:val="left"/>
        <w:rPr>
          <w:rFonts w:hint="eastAsia" w:ascii="宋体" w:hAnsi="宋体" w:eastAsia="宋体" w:cs="宋体"/>
          <w:sz w:val="24"/>
          <w:szCs w:val="24"/>
        </w:rPr>
      </w:pPr>
      <w:r>
        <w:rPr>
          <w:rFonts w:hint="eastAsia" w:ascii="宋体" w:hAnsi="宋体" w:eastAsia="宋体" w:cs="宋体"/>
          <w:sz w:val="24"/>
          <w:szCs w:val="24"/>
        </w:rPr>
        <w:t>3.7.4.2如果承包人的履约担保是以银行保函的形式提供，则该银行保函应由在中国注册且营业地点在广州或佛山行政辖区内的银行开具。</w:t>
      </w:r>
    </w:p>
    <w:p w14:paraId="75F95F54">
      <w:pPr>
        <w:autoSpaceDE w:val="0"/>
        <w:autoSpaceDN w:val="0"/>
        <w:ind w:firstLine="480" w:firstLineChars="200"/>
        <w:contextualSpacing/>
        <w:jc w:val="left"/>
        <w:rPr>
          <w:rFonts w:hint="eastAsia" w:ascii="宋体" w:hAnsi="宋体" w:eastAsia="宋体" w:cs="宋体"/>
          <w:sz w:val="24"/>
          <w:szCs w:val="24"/>
        </w:rPr>
      </w:pPr>
      <w:r>
        <w:rPr>
          <w:rFonts w:hint="eastAsia" w:ascii="宋体" w:hAnsi="宋体" w:eastAsia="宋体" w:cs="宋体"/>
          <w:sz w:val="24"/>
          <w:szCs w:val="24"/>
        </w:rPr>
        <w:t>3.7.4.3</w:t>
      </w:r>
      <w:r>
        <w:rPr>
          <w:rFonts w:hint="eastAsia" w:ascii="宋体" w:hAnsi="宋体" w:eastAsia="宋体" w:cs="宋体"/>
          <w:color w:val="000000"/>
          <w:sz w:val="24"/>
          <w:szCs w:val="24"/>
        </w:rPr>
        <w:t>在合同签订后</w:t>
      </w:r>
      <w:r>
        <w:rPr>
          <w:rFonts w:hint="eastAsia" w:ascii="宋体" w:hAnsi="宋体" w:eastAsia="宋体" w:cs="宋体"/>
          <w:color w:val="000000"/>
          <w:sz w:val="24"/>
          <w:szCs w:val="24"/>
          <w:u w:val="single"/>
        </w:rPr>
        <w:t>30天</w:t>
      </w:r>
      <w:r>
        <w:rPr>
          <w:rFonts w:hint="eastAsia" w:ascii="宋体" w:hAnsi="宋体" w:eastAsia="宋体" w:cs="宋体"/>
          <w:color w:val="000000"/>
          <w:sz w:val="24"/>
          <w:szCs w:val="24"/>
        </w:rPr>
        <w:t>内</w:t>
      </w:r>
      <w:r>
        <w:rPr>
          <w:rFonts w:hint="eastAsia" w:ascii="宋体" w:hAnsi="宋体" w:eastAsia="宋体" w:cs="宋体"/>
          <w:sz w:val="24"/>
          <w:szCs w:val="24"/>
        </w:rPr>
        <w:t>，承包人未按上款的规定递交履约担保，发包人有权解除中标通知书及本合同，承包人的投标担保不予退还，且依法承担相应法律责任。</w:t>
      </w:r>
    </w:p>
    <w:p w14:paraId="55AE61F6">
      <w:pPr>
        <w:autoSpaceDE w:val="0"/>
        <w:autoSpaceDN w:val="0"/>
        <w:ind w:firstLine="480" w:firstLineChars="200"/>
        <w:contextualSpacing/>
        <w:jc w:val="left"/>
        <w:rPr>
          <w:rFonts w:hint="eastAsia" w:ascii="宋体" w:hAnsi="宋体" w:eastAsia="宋体" w:cs="宋体"/>
          <w:color w:val="000000"/>
          <w:sz w:val="24"/>
          <w:szCs w:val="24"/>
        </w:rPr>
      </w:pPr>
      <w:r>
        <w:rPr>
          <w:rFonts w:hint="eastAsia" w:ascii="宋体" w:hAnsi="宋体" w:eastAsia="宋体" w:cs="宋体"/>
          <w:color w:val="000000"/>
          <w:sz w:val="24"/>
          <w:szCs w:val="24"/>
        </w:rPr>
        <w:t>3.7.4.4履约保函到期，而工程尚未完工移交工程证书的，承包人应在履约保函到期前一个月完成续保，并向发包人提交新的处于有效期内的履约保函。承包人不及时续保的，发包人有权按附件10的规定从进度支付款中扣除相当于保证金额的担保金，且承包人应按附件16的规定承担违约责任。经发包人催告后承包人仍未能按要求续保的，且已影响到合同履行的，发包人有权解除本合同，要求承包人按合同签约价的10%支付违约金，并赔偿给发包人造成的损失。</w:t>
      </w:r>
    </w:p>
    <w:p w14:paraId="2E08B472">
      <w:pPr>
        <w:pStyle w:val="5"/>
        <w:spacing w:before="0" w:after="0" w:line="240" w:lineRule="auto"/>
        <w:ind w:firstLine="482" w:firstLineChars="200"/>
        <w:contextualSpacing/>
        <w:rPr>
          <w:rFonts w:hint="eastAsia" w:ascii="宋体" w:hAnsi="宋体" w:eastAsia="宋体" w:cs="宋体"/>
          <w:color w:val="000000"/>
          <w:sz w:val="24"/>
          <w:szCs w:val="24"/>
        </w:rPr>
      </w:pPr>
      <w:bookmarkStart w:id="411" w:name="_Toc443898193"/>
      <w:r>
        <w:rPr>
          <w:rFonts w:hint="eastAsia" w:ascii="宋体" w:hAnsi="宋体" w:eastAsia="宋体" w:cs="宋体"/>
          <w:color w:val="000000"/>
          <w:sz w:val="24"/>
          <w:szCs w:val="24"/>
        </w:rPr>
        <w:t>4. 监理人</w:t>
      </w:r>
      <w:bookmarkEnd w:id="411"/>
    </w:p>
    <w:p w14:paraId="5BDA084E">
      <w:pPr>
        <w:ind w:firstLine="482" w:firstLineChars="200"/>
        <w:contextualSpacing/>
        <w:rPr>
          <w:rFonts w:hint="eastAsia" w:ascii="宋体" w:hAnsi="宋体" w:eastAsia="宋体" w:cs="宋体"/>
          <w:b/>
          <w:bCs/>
          <w:color w:val="000000"/>
          <w:sz w:val="24"/>
          <w:szCs w:val="24"/>
        </w:rPr>
      </w:pPr>
      <w:r>
        <w:rPr>
          <w:rFonts w:hint="eastAsia" w:ascii="宋体" w:hAnsi="宋体" w:eastAsia="宋体" w:cs="宋体"/>
          <w:b/>
          <w:bCs/>
          <w:color w:val="000000"/>
          <w:sz w:val="24"/>
          <w:szCs w:val="24"/>
        </w:rPr>
        <w:t>4.1监理人的一般规定</w:t>
      </w:r>
    </w:p>
    <w:p w14:paraId="2F19D32D">
      <w:pPr>
        <w:ind w:firstLine="480" w:firstLineChars="200"/>
        <w:contextualSpacing/>
        <w:jc w:val="left"/>
        <w:rPr>
          <w:rFonts w:hint="eastAsia" w:ascii="宋体" w:hAnsi="宋体" w:eastAsia="宋体" w:cs="宋体"/>
          <w:sz w:val="24"/>
          <w:szCs w:val="24"/>
        </w:rPr>
      </w:pPr>
      <w:r>
        <w:rPr>
          <w:rFonts w:hint="eastAsia" w:ascii="宋体" w:hAnsi="宋体" w:eastAsia="宋体" w:cs="宋体"/>
          <w:sz w:val="24"/>
          <w:szCs w:val="24"/>
        </w:rPr>
        <w:t>关于监理人的监理内容：</w:t>
      </w:r>
      <w:r>
        <w:rPr>
          <w:rFonts w:hint="eastAsia" w:ascii="宋体" w:hAnsi="宋体" w:eastAsia="宋体" w:cs="宋体"/>
          <w:sz w:val="24"/>
          <w:szCs w:val="24"/>
          <w:u w:val="single"/>
        </w:rPr>
        <w:t>在施工阶段对建设工程质量、造价、进度进行控制，对合同、信息进行管理，对工程建设相关方的关系进行协调，并履行建设工程安全生产管理法定职责的服务活动</w:t>
      </w:r>
      <w:r>
        <w:rPr>
          <w:rFonts w:hint="eastAsia" w:ascii="宋体" w:hAnsi="宋体" w:eastAsia="宋体" w:cs="宋体"/>
          <w:sz w:val="24"/>
          <w:szCs w:val="24"/>
        </w:rPr>
        <w:t>。</w:t>
      </w:r>
    </w:p>
    <w:p w14:paraId="22DF4A02">
      <w:pPr>
        <w:ind w:firstLine="480" w:firstLineChars="200"/>
        <w:contextualSpacing/>
        <w:jc w:val="left"/>
        <w:rPr>
          <w:rFonts w:hint="eastAsia" w:ascii="宋体" w:hAnsi="宋体" w:eastAsia="宋体" w:cs="宋体"/>
          <w:sz w:val="24"/>
          <w:szCs w:val="24"/>
        </w:rPr>
      </w:pPr>
      <w:r>
        <w:rPr>
          <w:rFonts w:hint="eastAsia" w:ascii="宋体" w:hAnsi="宋体" w:eastAsia="宋体" w:cs="宋体"/>
          <w:sz w:val="24"/>
          <w:szCs w:val="24"/>
        </w:rPr>
        <w:t>关于监理人的监理权限：</w:t>
      </w:r>
      <w:r>
        <w:rPr>
          <w:rFonts w:hint="eastAsia" w:ascii="宋体" w:hAnsi="宋体" w:eastAsia="宋体" w:cs="宋体"/>
          <w:sz w:val="24"/>
          <w:szCs w:val="24"/>
          <w:u w:val="single"/>
        </w:rPr>
        <w:t>负责本项目施工准备阶段、施工阶段、工程收尾阶段（包括但不限于竣工验收、整改、工程移交、工程结算等）、保修阶段（缺陷责任期）的质量控制、职业健康、安全生产及环境监督管理、投资控制、进度控制、合同管理、信息管理、组织协调等全过程监理工作</w:t>
      </w:r>
      <w:r>
        <w:rPr>
          <w:rFonts w:hint="eastAsia" w:ascii="宋体" w:hAnsi="宋体" w:eastAsia="宋体" w:cs="宋体"/>
          <w:sz w:val="24"/>
          <w:szCs w:val="24"/>
        </w:rPr>
        <w:t>。</w:t>
      </w:r>
    </w:p>
    <w:p w14:paraId="2882AD72">
      <w:pPr>
        <w:ind w:firstLine="480" w:firstLineChars="200"/>
        <w:contextualSpacing/>
        <w:rPr>
          <w:rFonts w:hint="eastAsia" w:ascii="宋体" w:hAnsi="宋体" w:eastAsia="宋体" w:cs="宋体"/>
          <w:color w:val="000000"/>
          <w:sz w:val="24"/>
          <w:szCs w:val="24"/>
        </w:rPr>
      </w:pPr>
      <w:r>
        <w:rPr>
          <w:rFonts w:hint="eastAsia" w:ascii="宋体" w:hAnsi="宋体" w:eastAsia="宋体" w:cs="宋体"/>
          <w:color w:val="000000"/>
          <w:sz w:val="24"/>
          <w:szCs w:val="24"/>
        </w:rPr>
        <w:t>关于监理人在施工现场的办公场所、生活场所的提供和费用承担的约定：</w:t>
      </w:r>
      <w:r>
        <w:rPr>
          <w:rFonts w:hint="eastAsia" w:ascii="宋体" w:hAnsi="宋体" w:eastAsia="宋体" w:cs="宋体"/>
          <w:color w:val="000000"/>
          <w:sz w:val="24"/>
          <w:szCs w:val="24"/>
          <w:u w:val="single"/>
        </w:rPr>
        <w:t>由承包人承担</w:t>
      </w:r>
      <w:r>
        <w:rPr>
          <w:rFonts w:hint="eastAsia" w:ascii="宋体" w:hAnsi="宋体" w:eastAsia="宋体" w:cs="宋体"/>
          <w:color w:val="000000"/>
          <w:sz w:val="24"/>
          <w:szCs w:val="24"/>
        </w:rPr>
        <w:t>。</w:t>
      </w:r>
    </w:p>
    <w:p w14:paraId="347ACA7E">
      <w:pPr>
        <w:ind w:firstLine="482" w:firstLineChars="200"/>
        <w:contextualSpacing/>
        <w:rPr>
          <w:rFonts w:hint="eastAsia" w:ascii="宋体" w:hAnsi="宋体" w:eastAsia="宋体" w:cs="宋体"/>
          <w:b/>
          <w:bCs/>
          <w:color w:val="000000"/>
          <w:sz w:val="24"/>
          <w:szCs w:val="24"/>
        </w:rPr>
      </w:pPr>
      <w:r>
        <w:rPr>
          <w:rFonts w:hint="eastAsia" w:ascii="宋体" w:hAnsi="宋体" w:eastAsia="宋体" w:cs="宋体"/>
          <w:b/>
          <w:bCs/>
          <w:color w:val="000000"/>
          <w:sz w:val="24"/>
          <w:szCs w:val="24"/>
        </w:rPr>
        <w:t>4.2 监理人员</w:t>
      </w:r>
    </w:p>
    <w:p w14:paraId="73F94C74">
      <w:pPr>
        <w:ind w:firstLine="480" w:firstLineChars="200"/>
        <w:contextualSpacing/>
        <w:rPr>
          <w:rFonts w:hint="eastAsia" w:ascii="宋体" w:hAnsi="宋体" w:eastAsia="宋体" w:cs="宋体"/>
          <w:color w:val="000000"/>
          <w:sz w:val="24"/>
          <w:szCs w:val="24"/>
        </w:rPr>
      </w:pPr>
      <w:r>
        <w:rPr>
          <w:rFonts w:hint="eastAsia" w:ascii="宋体" w:hAnsi="宋体" w:eastAsia="宋体" w:cs="宋体"/>
          <w:color w:val="000000"/>
          <w:sz w:val="24"/>
          <w:szCs w:val="24"/>
        </w:rPr>
        <w:t>总监理工程师：</w:t>
      </w:r>
    </w:p>
    <w:p w14:paraId="74A1DEA8">
      <w:pPr>
        <w:ind w:firstLine="480" w:firstLineChars="200"/>
        <w:contextualSpacing/>
        <w:rPr>
          <w:rFonts w:hint="eastAsia" w:ascii="宋体" w:hAnsi="宋体" w:eastAsia="宋体" w:cs="宋体"/>
          <w:color w:val="000000"/>
          <w:sz w:val="24"/>
          <w:szCs w:val="24"/>
        </w:rPr>
      </w:pPr>
      <w:r>
        <w:rPr>
          <w:rFonts w:hint="eastAsia" w:ascii="宋体" w:hAnsi="宋体" w:eastAsia="宋体" w:cs="宋体"/>
          <w:color w:val="000000"/>
          <w:sz w:val="24"/>
          <w:szCs w:val="24"/>
        </w:rPr>
        <w:t>姓名：</w:t>
      </w:r>
      <w:r>
        <w:rPr>
          <w:rFonts w:hint="eastAsia" w:ascii="宋体" w:hAnsi="宋体" w:eastAsia="宋体" w:cs="宋体"/>
          <w:color w:val="000000"/>
          <w:sz w:val="24"/>
          <w:szCs w:val="24"/>
          <w:u w:val="single"/>
        </w:rPr>
        <w:t xml:space="preserve">  </w:t>
      </w:r>
      <w:r>
        <w:rPr>
          <w:rFonts w:hint="eastAsia" w:ascii="宋体" w:hAnsi="宋体" w:eastAsia="宋体" w:cs="宋体"/>
          <w:kern w:val="0"/>
          <w:sz w:val="24"/>
          <w:szCs w:val="24"/>
          <w:u w:val="single"/>
        </w:rPr>
        <w:t xml:space="preserve">            </w:t>
      </w:r>
      <w:r>
        <w:rPr>
          <w:rFonts w:hint="eastAsia" w:ascii="宋体" w:hAnsi="宋体" w:eastAsia="宋体" w:cs="宋体"/>
          <w:color w:val="000000"/>
          <w:sz w:val="24"/>
          <w:szCs w:val="24"/>
        </w:rPr>
        <w:t>；</w:t>
      </w:r>
    </w:p>
    <w:p w14:paraId="68AD9844">
      <w:pPr>
        <w:ind w:firstLine="480" w:firstLineChars="200"/>
        <w:contextualSpacing/>
        <w:rPr>
          <w:rFonts w:hint="eastAsia" w:ascii="宋体" w:hAnsi="宋体" w:eastAsia="宋体" w:cs="宋体"/>
          <w:color w:val="000000"/>
          <w:sz w:val="24"/>
          <w:szCs w:val="24"/>
        </w:rPr>
      </w:pPr>
      <w:r>
        <w:rPr>
          <w:rFonts w:hint="eastAsia" w:ascii="宋体" w:hAnsi="宋体" w:eastAsia="宋体" w:cs="宋体"/>
          <w:color w:val="000000"/>
          <w:sz w:val="24"/>
          <w:szCs w:val="24"/>
        </w:rPr>
        <w:t>职务：</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521A6F85">
      <w:pPr>
        <w:ind w:firstLine="480" w:firstLineChars="200"/>
        <w:contextualSpacing/>
        <w:rPr>
          <w:rFonts w:hint="eastAsia" w:ascii="宋体" w:hAnsi="宋体" w:eastAsia="宋体" w:cs="宋体"/>
          <w:color w:val="000000"/>
          <w:sz w:val="24"/>
          <w:szCs w:val="24"/>
        </w:rPr>
      </w:pPr>
      <w:r>
        <w:rPr>
          <w:rFonts w:hint="eastAsia" w:ascii="宋体" w:hAnsi="宋体" w:eastAsia="宋体" w:cs="宋体"/>
          <w:color w:val="000000"/>
          <w:sz w:val="24"/>
          <w:szCs w:val="24"/>
        </w:rPr>
        <w:t>监理工程师执业资格证书号：</w:t>
      </w:r>
      <w:r>
        <w:rPr>
          <w:rFonts w:hint="eastAsia" w:ascii="宋体" w:hAnsi="宋体" w:eastAsia="宋体" w:cs="宋体"/>
          <w:color w:val="000000"/>
          <w:sz w:val="24"/>
          <w:szCs w:val="24"/>
          <w:u w:val="single"/>
        </w:rPr>
        <w:t></w:t>
      </w:r>
      <w:r>
        <w:rPr>
          <w:rFonts w:hint="eastAsia" w:ascii="宋体" w:hAnsi="宋体" w:eastAsia="宋体" w:cs="宋体"/>
          <w:kern w:val="0"/>
          <w:sz w:val="24"/>
          <w:szCs w:val="24"/>
          <w:u w:val="single"/>
        </w:rPr>
        <w:t xml:space="preserve">        </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rPr>
        <w:t>；</w:t>
      </w:r>
    </w:p>
    <w:p w14:paraId="178CFD81">
      <w:pPr>
        <w:ind w:firstLine="480" w:firstLineChars="200"/>
        <w:contextualSpacing/>
        <w:rPr>
          <w:rFonts w:hint="eastAsia" w:ascii="宋体" w:hAnsi="宋体" w:eastAsia="宋体" w:cs="宋体"/>
          <w:color w:val="000000"/>
          <w:sz w:val="24"/>
          <w:szCs w:val="24"/>
        </w:rPr>
      </w:pPr>
      <w:r>
        <w:rPr>
          <w:rFonts w:hint="eastAsia" w:ascii="宋体" w:hAnsi="宋体" w:eastAsia="宋体" w:cs="宋体"/>
          <w:color w:val="000000"/>
          <w:sz w:val="24"/>
          <w:szCs w:val="24"/>
        </w:rPr>
        <w:t>联系电话：</w:t>
      </w:r>
      <w:r>
        <w:rPr>
          <w:rFonts w:hint="eastAsia" w:ascii="宋体" w:hAnsi="宋体" w:eastAsia="宋体" w:cs="宋体"/>
          <w:color w:val="000000"/>
          <w:sz w:val="24"/>
          <w:szCs w:val="24"/>
          <w:u w:val="single"/>
        </w:rPr>
        <w:t>                </w:t>
      </w:r>
      <w:r>
        <w:rPr>
          <w:rFonts w:hint="eastAsia" w:ascii="宋体" w:hAnsi="宋体" w:eastAsia="宋体" w:cs="宋体"/>
          <w:color w:val="000000"/>
          <w:sz w:val="24"/>
          <w:szCs w:val="24"/>
        </w:rPr>
        <w:t>；</w:t>
      </w:r>
    </w:p>
    <w:p w14:paraId="5B9A7124">
      <w:pPr>
        <w:ind w:firstLine="480" w:firstLineChars="200"/>
        <w:contextualSpacing/>
        <w:rPr>
          <w:rFonts w:hint="eastAsia" w:ascii="宋体" w:hAnsi="宋体" w:eastAsia="宋体" w:cs="宋体"/>
          <w:color w:val="000000"/>
          <w:sz w:val="24"/>
          <w:szCs w:val="24"/>
        </w:rPr>
      </w:pPr>
      <w:r>
        <w:rPr>
          <w:rFonts w:hint="eastAsia" w:ascii="宋体" w:hAnsi="宋体" w:eastAsia="宋体" w:cs="宋体"/>
          <w:color w:val="000000"/>
          <w:sz w:val="24"/>
          <w:szCs w:val="24"/>
        </w:rPr>
        <w:t>电子信箱：</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w:t>
      </w:r>
    </w:p>
    <w:p w14:paraId="35EB639B">
      <w:pPr>
        <w:ind w:firstLine="480" w:firstLineChars="200"/>
        <w:contextualSpacing/>
        <w:rPr>
          <w:rFonts w:hint="eastAsia" w:ascii="宋体" w:hAnsi="宋体" w:eastAsia="宋体" w:cs="宋体"/>
          <w:color w:val="000000"/>
          <w:sz w:val="24"/>
          <w:szCs w:val="24"/>
        </w:rPr>
      </w:pPr>
      <w:r>
        <w:rPr>
          <w:rFonts w:hint="eastAsia" w:ascii="宋体" w:hAnsi="宋体" w:eastAsia="宋体" w:cs="宋体"/>
          <w:color w:val="000000"/>
          <w:sz w:val="24"/>
          <w:szCs w:val="24"/>
        </w:rPr>
        <w:t>通信地址：</w:t>
      </w:r>
      <w:r>
        <w:rPr>
          <w:rFonts w:hint="eastAsia" w:ascii="宋体" w:hAnsi="宋体" w:eastAsia="宋体" w:cs="宋体"/>
          <w:color w:val="000000"/>
          <w:sz w:val="24"/>
          <w:szCs w:val="24"/>
          <w:u w:val="single"/>
        </w:rPr>
        <w:t></w:t>
      </w:r>
      <w:r>
        <w:rPr>
          <w:rFonts w:hint="eastAsia" w:ascii="宋体" w:hAnsi="宋体" w:eastAsia="宋体" w:cs="宋体"/>
          <w:sz w:val="24"/>
          <w:szCs w:val="24"/>
          <w:u w:val="single"/>
        </w:rPr>
        <w:t xml:space="preserve">                      </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rPr>
        <w:t>；</w:t>
      </w:r>
    </w:p>
    <w:p w14:paraId="01CA4145">
      <w:pPr>
        <w:ind w:firstLine="480" w:firstLineChars="200"/>
        <w:contextualSpacing/>
        <w:rPr>
          <w:rFonts w:hint="eastAsia" w:ascii="宋体" w:hAnsi="宋体" w:eastAsia="宋体" w:cs="宋体"/>
          <w:color w:val="000000"/>
          <w:sz w:val="24"/>
          <w:szCs w:val="24"/>
        </w:rPr>
      </w:pPr>
      <w:r>
        <w:rPr>
          <w:rFonts w:hint="eastAsia" w:ascii="宋体" w:hAnsi="宋体" w:eastAsia="宋体" w:cs="宋体"/>
          <w:color w:val="000000"/>
          <w:sz w:val="24"/>
          <w:szCs w:val="24"/>
        </w:rPr>
        <w:t>关于监理人的其他约定：</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rPr>
        <w:t>。</w:t>
      </w:r>
    </w:p>
    <w:p w14:paraId="4AABB9EB">
      <w:pPr>
        <w:ind w:firstLine="482" w:firstLineChars="200"/>
        <w:contextualSpacing/>
        <w:rPr>
          <w:rFonts w:hint="eastAsia" w:ascii="宋体" w:hAnsi="宋体" w:eastAsia="宋体" w:cs="宋体"/>
          <w:b/>
          <w:bCs/>
          <w:color w:val="000000"/>
          <w:sz w:val="24"/>
          <w:szCs w:val="24"/>
        </w:rPr>
      </w:pPr>
      <w:r>
        <w:rPr>
          <w:rFonts w:hint="eastAsia" w:ascii="宋体" w:hAnsi="宋体" w:eastAsia="宋体" w:cs="宋体"/>
          <w:b/>
          <w:bCs/>
          <w:color w:val="000000"/>
          <w:sz w:val="24"/>
          <w:szCs w:val="24"/>
        </w:rPr>
        <w:t>4.4 商定或确定</w:t>
      </w:r>
    </w:p>
    <w:p w14:paraId="46D7C458">
      <w:pPr>
        <w:autoSpaceDE w:val="0"/>
        <w:autoSpaceDN w:val="0"/>
        <w:ind w:firstLine="482" w:firstLineChars="200"/>
        <w:contextualSpacing/>
        <w:jc w:val="left"/>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4.4条款修改为：</w:t>
      </w:r>
    </w:p>
    <w:p w14:paraId="1EBB2DF1">
      <w:pPr>
        <w:autoSpaceDE w:val="0"/>
        <w:autoSpaceDN w:val="0"/>
        <w:ind w:firstLine="480" w:firstLineChars="200"/>
        <w:contextualSpacing/>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合同当事人进行商定或确定时，总监理工程师应当会同合同当事人尽量通过协商达成一致，不能达成一致的，由发包人和承包人通过商议确定。</w:t>
      </w:r>
    </w:p>
    <w:p w14:paraId="549D8AA0">
      <w:pPr>
        <w:pStyle w:val="5"/>
        <w:spacing w:before="0" w:after="0" w:line="240" w:lineRule="auto"/>
        <w:ind w:firstLine="482" w:firstLineChars="200"/>
        <w:contextualSpacing/>
        <w:rPr>
          <w:rFonts w:hint="eastAsia" w:ascii="宋体" w:hAnsi="宋体" w:eastAsia="宋体" w:cs="宋体"/>
          <w:color w:val="000000"/>
          <w:sz w:val="24"/>
          <w:szCs w:val="24"/>
        </w:rPr>
      </w:pPr>
      <w:bookmarkStart w:id="412" w:name="_Toc443898194"/>
      <w:r>
        <w:rPr>
          <w:rFonts w:hint="eastAsia" w:ascii="宋体" w:hAnsi="宋体" w:eastAsia="宋体" w:cs="宋体"/>
          <w:color w:val="000000"/>
          <w:sz w:val="24"/>
          <w:szCs w:val="24"/>
        </w:rPr>
        <w:t>5. 工程质量</w:t>
      </w:r>
      <w:bookmarkEnd w:id="412"/>
    </w:p>
    <w:p w14:paraId="11F89B1B">
      <w:pPr>
        <w:ind w:firstLine="482" w:firstLineChars="200"/>
        <w:contextualSpacing/>
        <w:rPr>
          <w:rFonts w:hint="eastAsia" w:ascii="宋体" w:hAnsi="宋体" w:eastAsia="宋体" w:cs="宋体"/>
          <w:b/>
          <w:bCs/>
          <w:color w:val="000000"/>
          <w:sz w:val="24"/>
          <w:szCs w:val="24"/>
        </w:rPr>
      </w:pPr>
      <w:r>
        <w:rPr>
          <w:rFonts w:hint="eastAsia" w:ascii="宋体" w:hAnsi="宋体" w:eastAsia="宋体" w:cs="宋体"/>
          <w:b/>
          <w:bCs/>
          <w:color w:val="000000"/>
          <w:sz w:val="24"/>
          <w:szCs w:val="24"/>
        </w:rPr>
        <w:t>5.1 质量要求</w:t>
      </w:r>
    </w:p>
    <w:p w14:paraId="795F2AA1">
      <w:pPr>
        <w:ind w:firstLine="480" w:firstLineChars="200"/>
        <w:contextualSpacing/>
        <w:jc w:val="left"/>
        <w:rPr>
          <w:rFonts w:hint="eastAsia" w:ascii="宋体" w:hAnsi="宋体" w:eastAsia="宋体" w:cs="宋体"/>
          <w:sz w:val="24"/>
          <w:szCs w:val="24"/>
          <w:u w:val="single"/>
        </w:rPr>
      </w:pPr>
      <w:r>
        <w:rPr>
          <w:rFonts w:hint="eastAsia" w:ascii="宋体" w:hAnsi="宋体" w:eastAsia="宋体" w:cs="宋体"/>
          <w:sz w:val="24"/>
          <w:szCs w:val="24"/>
        </w:rPr>
        <w:t>5.1.1 特殊质量标准和要求：</w:t>
      </w:r>
      <w:r>
        <w:rPr>
          <w:rFonts w:hint="eastAsia" w:ascii="宋体" w:hAnsi="宋体" w:eastAsia="宋体" w:cs="宋体"/>
          <w:sz w:val="24"/>
          <w:szCs w:val="24"/>
          <w:u w:val="single"/>
        </w:rPr>
        <w:t>为</w:t>
      </w:r>
      <w:r>
        <w:rPr>
          <w:rFonts w:hint="eastAsia" w:ascii="宋体" w:hAnsi="宋体" w:eastAsia="宋体" w:cs="宋体"/>
          <w:color w:val="000000"/>
          <w:sz w:val="24"/>
          <w:szCs w:val="24"/>
          <w:u w:val="single"/>
        </w:rPr>
        <w:t>合格</w:t>
      </w:r>
      <w:r>
        <w:rPr>
          <w:rFonts w:hint="eastAsia" w:ascii="宋体" w:hAnsi="宋体" w:eastAsia="宋体" w:cs="宋体"/>
          <w:sz w:val="24"/>
          <w:szCs w:val="24"/>
          <w:u w:val="single"/>
        </w:rPr>
        <w:t>工程，一次性验收合格。</w:t>
      </w:r>
    </w:p>
    <w:p w14:paraId="09DBC11A">
      <w:pPr>
        <w:autoSpaceDE w:val="0"/>
        <w:autoSpaceDN w:val="0"/>
        <w:ind w:firstLine="482" w:firstLineChars="200"/>
        <w:contextualSpacing/>
        <w:jc w:val="lef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增加以下条款：</w:t>
      </w:r>
    </w:p>
    <w:p w14:paraId="60E30B63">
      <w:pPr>
        <w:autoSpaceDE w:val="0"/>
        <w:autoSpaceDN w:val="0"/>
        <w:ind w:firstLine="480" w:firstLineChars="200"/>
        <w:contextualSpacing/>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若本合同中约定的任何工程质量标准低于国家标准及地方标准，则按国家标准执行及地方标准执行；若合同中约定的任何工程质量标注高于国家标准及地方标准，则按合同中约定的标准执行。</w:t>
      </w:r>
    </w:p>
    <w:p w14:paraId="4529662E">
      <w:pPr>
        <w:pStyle w:val="5"/>
        <w:spacing w:before="0" w:after="0" w:line="240" w:lineRule="auto"/>
        <w:ind w:firstLine="482" w:firstLineChars="200"/>
        <w:contextualSpacing/>
        <w:rPr>
          <w:rFonts w:hint="eastAsia" w:ascii="宋体" w:hAnsi="宋体" w:eastAsia="宋体" w:cs="宋体"/>
          <w:color w:val="000000"/>
          <w:sz w:val="24"/>
          <w:szCs w:val="24"/>
        </w:rPr>
      </w:pPr>
      <w:bookmarkStart w:id="413" w:name="_Toc443898195"/>
      <w:r>
        <w:rPr>
          <w:rFonts w:hint="eastAsia" w:ascii="宋体" w:hAnsi="宋体" w:eastAsia="宋体" w:cs="宋体"/>
          <w:color w:val="000000"/>
          <w:sz w:val="24"/>
          <w:szCs w:val="24"/>
        </w:rPr>
        <w:t>6. 安全文明施工与环境保护</w:t>
      </w:r>
      <w:bookmarkEnd w:id="413"/>
    </w:p>
    <w:p w14:paraId="3C0F2258">
      <w:pPr>
        <w:ind w:firstLine="482" w:firstLineChars="200"/>
        <w:contextualSpacing/>
        <w:rPr>
          <w:rFonts w:hint="eastAsia" w:ascii="宋体" w:hAnsi="宋体" w:eastAsia="宋体" w:cs="宋体"/>
          <w:b/>
          <w:bCs/>
          <w:color w:val="000000"/>
          <w:sz w:val="24"/>
          <w:szCs w:val="24"/>
        </w:rPr>
      </w:pPr>
      <w:r>
        <w:rPr>
          <w:rFonts w:hint="eastAsia" w:ascii="宋体" w:hAnsi="宋体" w:eastAsia="宋体" w:cs="宋体"/>
          <w:b/>
          <w:bCs/>
          <w:color w:val="000000"/>
          <w:sz w:val="24"/>
          <w:szCs w:val="24"/>
        </w:rPr>
        <w:t>6.1安全文明施工</w:t>
      </w:r>
    </w:p>
    <w:p w14:paraId="692A1433">
      <w:pPr>
        <w:ind w:firstLine="480" w:firstLineChars="200"/>
        <w:contextualSpacing/>
        <w:jc w:val="left"/>
        <w:rPr>
          <w:rFonts w:hint="eastAsia" w:ascii="宋体" w:hAnsi="宋体" w:eastAsia="宋体" w:cs="宋体"/>
          <w:color w:val="000000"/>
          <w:kern w:val="0"/>
          <w:sz w:val="24"/>
          <w:szCs w:val="24"/>
          <w:u w:val="single"/>
        </w:rPr>
      </w:pPr>
      <w:r>
        <w:rPr>
          <w:rFonts w:hint="eastAsia" w:ascii="宋体" w:hAnsi="宋体" w:eastAsia="宋体" w:cs="宋体"/>
          <w:color w:val="000000"/>
          <w:kern w:val="0"/>
          <w:sz w:val="24"/>
          <w:szCs w:val="24"/>
        </w:rPr>
        <w:t>6.1.1 项目安全生产的达标目标及相应事项的约定：</w:t>
      </w:r>
      <w:r>
        <w:rPr>
          <w:rFonts w:hint="eastAsia" w:ascii="宋体" w:hAnsi="宋体" w:eastAsia="宋体" w:cs="宋体"/>
          <w:color w:val="000000"/>
          <w:kern w:val="0"/>
          <w:sz w:val="24"/>
          <w:szCs w:val="24"/>
          <w:u w:val="single"/>
        </w:rPr>
        <w:t>承包人安全、文明施工必须满足国家和工程所在地有关部门制定的有关管理规定的要求。承包人应严格遵守发包人下发的安全文明管理规定，并不得以任何理由拒绝执行。</w:t>
      </w:r>
    </w:p>
    <w:p w14:paraId="3440217B">
      <w:pPr>
        <w:ind w:firstLine="482" w:firstLineChars="200"/>
        <w:contextualSpacing/>
        <w:rPr>
          <w:rFonts w:hint="eastAsia" w:ascii="宋体" w:hAnsi="宋体" w:eastAsia="宋体" w:cs="宋体"/>
          <w:b/>
          <w:bCs/>
          <w:color w:val="000000"/>
          <w:sz w:val="24"/>
          <w:szCs w:val="24"/>
        </w:rPr>
      </w:pPr>
      <w:r>
        <w:rPr>
          <w:rFonts w:hint="eastAsia" w:ascii="宋体" w:hAnsi="宋体" w:eastAsia="宋体" w:cs="宋体"/>
          <w:b/>
          <w:bCs/>
          <w:color w:val="000000"/>
          <w:sz w:val="24"/>
          <w:szCs w:val="24"/>
        </w:rPr>
        <w:t>6.1.2 条款增加：</w:t>
      </w:r>
    </w:p>
    <w:p w14:paraId="6B36604D">
      <w:pPr>
        <w:ind w:firstLine="480" w:firstLineChars="200"/>
        <w:contextualSpacing/>
        <w:jc w:val="left"/>
        <w:rPr>
          <w:rFonts w:hint="eastAsia" w:ascii="宋体" w:hAnsi="宋体" w:eastAsia="宋体" w:cs="宋体"/>
          <w:color w:val="000000"/>
          <w:kern w:val="0"/>
          <w:sz w:val="24"/>
          <w:szCs w:val="24"/>
          <w:u w:val="single"/>
        </w:rPr>
      </w:pPr>
      <w:r>
        <w:rPr>
          <w:rFonts w:hint="eastAsia" w:ascii="宋体" w:hAnsi="宋体" w:eastAsia="宋体" w:cs="宋体"/>
          <w:color w:val="000000"/>
          <w:sz w:val="24"/>
          <w:szCs w:val="24"/>
        </w:rPr>
        <w:t>承包人应当建立《中华人民共和国安全生产法》规定的相关安全生产制度。</w:t>
      </w:r>
    </w:p>
    <w:p w14:paraId="6930245A">
      <w:pPr>
        <w:ind w:firstLine="480" w:firstLineChars="200"/>
        <w:contextualSpacing/>
        <w:jc w:val="left"/>
        <w:rPr>
          <w:rFonts w:hint="eastAsia" w:ascii="宋体" w:hAnsi="宋体" w:eastAsia="宋体" w:cs="宋体"/>
          <w:color w:val="000000"/>
          <w:kern w:val="0"/>
          <w:sz w:val="24"/>
          <w:szCs w:val="24"/>
          <w:u w:val="single"/>
        </w:rPr>
      </w:pPr>
      <w:r>
        <w:rPr>
          <w:rFonts w:hint="eastAsia" w:ascii="宋体" w:hAnsi="宋体" w:eastAsia="宋体" w:cs="宋体"/>
          <w:color w:val="000000"/>
          <w:kern w:val="0"/>
          <w:sz w:val="24"/>
          <w:szCs w:val="24"/>
        </w:rPr>
        <w:t>6.1.4 关于治安保卫的特别约定：</w:t>
      </w:r>
      <w:r>
        <w:rPr>
          <w:rFonts w:hint="eastAsia" w:ascii="宋体" w:hAnsi="宋体" w:eastAsia="宋体" w:cs="宋体"/>
          <w:color w:val="000000"/>
          <w:kern w:val="0"/>
          <w:sz w:val="24"/>
          <w:szCs w:val="24"/>
          <w:u w:val="single"/>
        </w:rPr>
        <w:t>承包人负责本工程的施工平面、工地门卫管理，承担一切安全保卫责任，要求符合工程所在地建设工程安全文明施工的管理规定。</w:t>
      </w:r>
    </w:p>
    <w:p w14:paraId="7FB03EA1">
      <w:pPr>
        <w:ind w:firstLine="480" w:firstLineChars="200"/>
        <w:contextualSpacing/>
        <w:jc w:val="left"/>
        <w:rPr>
          <w:rFonts w:hint="eastAsia" w:ascii="宋体" w:hAnsi="宋体" w:eastAsia="宋体" w:cs="宋体"/>
          <w:sz w:val="24"/>
          <w:szCs w:val="24"/>
        </w:rPr>
      </w:pPr>
      <w:r>
        <w:rPr>
          <w:rFonts w:hint="eastAsia" w:ascii="宋体" w:hAnsi="宋体" w:eastAsia="宋体" w:cs="宋体"/>
          <w:sz w:val="24"/>
          <w:szCs w:val="24"/>
        </w:rPr>
        <w:t>6.1.5 文明施工</w:t>
      </w:r>
    </w:p>
    <w:p w14:paraId="1BC89201">
      <w:pPr>
        <w:tabs>
          <w:tab w:val="left" w:pos="5387"/>
        </w:tabs>
        <w:ind w:firstLine="480" w:firstLineChars="200"/>
        <w:contextualSpacing/>
        <w:rPr>
          <w:rFonts w:hint="eastAsia" w:ascii="宋体" w:hAnsi="宋体" w:eastAsia="宋体" w:cs="宋体"/>
          <w:sz w:val="24"/>
          <w:szCs w:val="24"/>
          <w:u w:val="single"/>
        </w:rPr>
      </w:pPr>
      <w:r>
        <w:rPr>
          <w:rFonts w:hint="eastAsia" w:ascii="宋体" w:hAnsi="宋体" w:eastAsia="宋体" w:cs="宋体"/>
          <w:sz w:val="24"/>
          <w:szCs w:val="24"/>
        </w:rPr>
        <w:t>合同当事人对文明施工的要求：</w:t>
      </w:r>
      <w:r>
        <w:rPr>
          <w:rFonts w:hint="eastAsia" w:ascii="宋体" w:hAnsi="宋体" w:eastAsia="宋体" w:cs="宋体"/>
          <w:sz w:val="24"/>
          <w:szCs w:val="24"/>
          <w:u w:val="single"/>
        </w:rPr>
        <w:t>安全文明施工的实施须满足《建筑施工安全检查标准》(JGJ59-2011)、《建筑工程施工现场环境与卫生标准》(JGJ146-2013)、广东省建设厅转发建设部关于印发《建筑工程安全防护、文明施工措施费用及使用管理规定》的通知（粤建管字[2005]116号）、关于印发《广东省建设厅建筑工程安全防护、文明施工措施费用管理办法》的通知（粤建管字[2007]39号）、广东省建设厅转发建设部关于印发《建筑施工人员个人劳动保护用品使用管理暂行规定》的通知（粤建安字[2007]108号）等政府相应时期的管理要求，确保达到佛山市安全文明施工样板工地。如以上标准有关规定不统一的，以国家标准为准。如国家、省、市有关行政主管部门对以上标准重新颁布或修正的，以重新颁布或修正的标准为准。</w:t>
      </w:r>
    </w:p>
    <w:p w14:paraId="06D8FF40">
      <w:pPr>
        <w:tabs>
          <w:tab w:val="left" w:pos="5387"/>
        </w:tabs>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承包人负责办理有关手续，包括有关施工场地交通、环境保护、安全防护、文明施工、施工噪音管理、施工许可证、工程质量与安全的监督报监、余泥排放、占用道路申请、夜间施工申请、临电接驳申请等所有承包人负责办理的施工所需证件、批准文件（含发包人委托承包人办理的工作)等，按工程所在地政府的规定办理并承担由此发生的费用，且应以书面形式知会发包人。</w:t>
      </w:r>
    </w:p>
    <w:p w14:paraId="23E94D6D">
      <w:pPr>
        <w:tabs>
          <w:tab w:val="left" w:pos="5387"/>
        </w:tabs>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工程施工期间，有关</w:t>
      </w:r>
      <w:r>
        <w:rPr>
          <w:rFonts w:hint="eastAsia" w:ascii="宋体" w:hAnsi="宋体" w:eastAsia="宋体" w:cs="宋体"/>
          <w:sz w:val="24"/>
          <w:szCs w:val="24"/>
          <w:u w:val="single"/>
        </w:rPr>
        <w:t>洗车、饭堂、厕所、办公室、工人宿舍</w:t>
      </w:r>
      <w:r>
        <w:rPr>
          <w:rFonts w:hint="eastAsia" w:ascii="宋体" w:hAnsi="宋体" w:eastAsia="宋体" w:cs="宋体"/>
          <w:sz w:val="24"/>
          <w:szCs w:val="24"/>
        </w:rPr>
        <w:t>等已包含在文明施工费中，发包人不另行支付；如未能按发包人有关规定设置，发包人另行委托单位完成，相应费用由发包人从安全文明措施费中扣除。</w:t>
      </w:r>
    </w:p>
    <w:p w14:paraId="444FA305">
      <w:pPr>
        <w:ind w:firstLine="482" w:firstLineChars="200"/>
        <w:contextualSpacing/>
        <w:rPr>
          <w:rFonts w:hint="eastAsia" w:ascii="宋体" w:hAnsi="宋体" w:eastAsia="宋体" w:cs="宋体"/>
          <w:b/>
          <w:sz w:val="24"/>
          <w:szCs w:val="24"/>
        </w:rPr>
      </w:pPr>
      <w:r>
        <w:rPr>
          <w:rFonts w:hint="eastAsia" w:ascii="宋体" w:hAnsi="宋体" w:eastAsia="宋体" w:cs="宋体"/>
          <w:b/>
          <w:bCs/>
          <w:sz w:val="24"/>
          <w:szCs w:val="24"/>
        </w:rPr>
        <w:t>6.1.7</w:t>
      </w:r>
      <w:r>
        <w:rPr>
          <w:rFonts w:hint="eastAsia" w:ascii="宋体" w:hAnsi="宋体" w:eastAsia="宋体" w:cs="宋体"/>
          <w:b/>
          <w:sz w:val="24"/>
          <w:szCs w:val="24"/>
        </w:rPr>
        <w:t>增加以下条款：</w:t>
      </w:r>
    </w:p>
    <w:p w14:paraId="0E4E9245">
      <w:pPr>
        <w:tabs>
          <w:tab w:val="left" w:pos="5387"/>
        </w:tabs>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承包人代表按照经发包人认可的施工组织设计和监理人发出的指令组织施工。在紧急情况下，且无法与监理人取得联系时，承包人代表应立即采取保证人员生命和工程、财产安全的有效措施，并在采取措施后</w:t>
      </w:r>
      <w:r>
        <w:rPr>
          <w:rFonts w:hint="eastAsia" w:ascii="宋体" w:hAnsi="宋体" w:eastAsia="宋体" w:cs="宋体"/>
          <w:sz w:val="24"/>
          <w:szCs w:val="24"/>
          <w:u w:val="single"/>
        </w:rPr>
        <w:t>48 小时</w:t>
      </w:r>
      <w:r>
        <w:rPr>
          <w:rFonts w:hint="eastAsia" w:ascii="宋体" w:hAnsi="宋体" w:eastAsia="宋体" w:cs="宋体"/>
          <w:sz w:val="24"/>
          <w:szCs w:val="24"/>
        </w:rPr>
        <w:t>内向监理人提交书面报告，通知发包人。属于发包人或第三方责任的，其发生的费用和（或）延误的工期由发包人承担；属于承包人责任的，其发生的费用和（或）延误的工期由承包人承担。</w:t>
      </w:r>
    </w:p>
    <w:p w14:paraId="623CBFE8">
      <w:pPr>
        <w:ind w:firstLine="482" w:firstLineChars="200"/>
        <w:contextualSpacing/>
        <w:rPr>
          <w:rFonts w:hint="eastAsia" w:ascii="宋体" w:hAnsi="宋体" w:eastAsia="宋体" w:cs="宋体"/>
          <w:b/>
          <w:sz w:val="24"/>
          <w:szCs w:val="24"/>
        </w:rPr>
      </w:pPr>
      <w:r>
        <w:rPr>
          <w:rFonts w:hint="eastAsia" w:ascii="宋体" w:hAnsi="宋体" w:eastAsia="宋体" w:cs="宋体"/>
          <w:b/>
          <w:bCs/>
          <w:sz w:val="24"/>
          <w:szCs w:val="24"/>
        </w:rPr>
        <w:t>6.1.8</w:t>
      </w:r>
      <w:r>
        <w:rPr>
          <w:rFonts w:hint="eastAsia" w:ascii="宋体" w:hAnsi="宋体" w:eastAsia="宋体" w:cs="宋体"/>
          <w:b/>
          <w:sz w:val="24"/>
          <w:szCs w:val="24"/>
        </w:rPr>
        <w:t>增加以下条款：</w:t>
      </w:r>
    </w:p>
    <w:p w14:paraId="2A425B04">
      <w:pPr>
        <w:ind w:firstLine="480" w:firstLineChars="200"/>
        <w:contextualSpacing/>
        <w:jc w:val="left"/>
        <w:rPr>
          <w:rFonts w:hint="eastAsia" w:ascii="宋体" w:hAnsi="宋体" w:eastAsia="宋体" w:cs="宋体"/>
          <w:sz w:val="24"/>
          <w:szCs w:val="24"/>
        </w:rPr>
      </w:pPr>
      <w:r>
        <w:rPr>
          <w:rFonts w:hint="eastAsia" w:ascii="宋体" w:hAnsi="宋体" w:eastAsia="宋体" w:cs="宋体"/>
          <w:sz w:val="24"/>
          <w:szCs w:val="24"/>
        </w:rPr>
        <w:t>对发生生产安全死亡事故的承包人，实行事故通报会制度，由发包人主持召开事故通报会，并邀请有关媒体参加，承包人按照会议安排负责对外澄清和解答。发生一般责任事故的，由承包人项目经理参加事故通报会；发生较大及以上责任事故的，由承包人法定代表人参加事故通报会。拒绝参加事故通报会的承包人，一般责任事故每次扣款</w:t>
      </w:r>
      <w:r>
        <w:rPr>
          <w:rFonts w:hint="eastAsia" w:ascii="宋体" w:hAnsi="宋体" w:eastAsia="宋体" w:cs="宋体"/>
          <w:sz w:val="24"/>
          <w:szCs w:val="24"/>
          <w:u w:val="single"/>
        </w:rPr>
        <w:t>100万</w:t>
      </w:r>
      <w:r>
        <w:rPr>
          <w:rFonts w:hint="eastAsia" w:ascii="宋体" w:hAnsi="宋体" w:eastAsia="宋体" w:cs="宋体"/>
          <w:sz w:val="24"/>
          <w:szCs w:val="24"/>
        </w:rPr>
        <w:t>，较大及以上责任事故每次扣款</w:t>
      </w:r>
      <w:r>
        <w:rPr>
          <w:rFonts w:hint="eastAsia" w:ascii="宋体" w:hAnsi="宋体" w:eastAsia="宋体" w:cs="宋体"/>
          <w:sz w:val="24"/>
          <w:szCs w:val="24"/>
          <w:u w:val="single"/>
        </w:rPr>
        <w:t>300万</w:t>
      </w:r>
      <w:r>
        <w:rPr>
          <w:rFonts w:hint="eastAsia" w:ascii="宋体" w:hAnsi="宋体" w:eastAsia="宋体" w:cs="宋体"/>
          <w:sz w:val="24"/>
          <w:szCs w:val="24"/>
        </w:rPr>
        <w:t>，此项扣款不属于安全风险抵押金范围，在次月从计量支付中扣除，结算时不予退还，并将其不诚信行为记录有效期延长</w:t>
      </w:r>
      <w:r>
        <w:rPr>
          <w:rFonts w:hint="eastAsia" w:ascii="宋体" w:hAnsi="宋体" w:eastAsia="宋体" w:cs="宋体"/>
          <w:sz w:val="24"/>
          <w:szCs w:val="24"/>
          <w:u w:val="single"/>
        </w:rPr>
        <w:t>1年</w:t>
      </w:r>
      <w:r>
        <w:rPr>
          <w:rFonts w:hint="eastAsia" w:ascii="宋体" w:hAnsi="宋体" w:eastAsia="宋体" w:cs="宋体"/>
          <w:sz w:val="24"/>
          <w:szCs w:val="24"/>
        </w:rPr>
        <w:t>。发生安全事件或事故的，相关处罚按照双方签订的《安全管理协议》执行。</w:t>
      </w:r>
    </w:p>
    <w:p w14:paraId="7B093FE2">
      <w:pPr>
        <w:tabs>
          <w:tab w:val="left" w:pos="5387"/>
        </w:tabs>
        <w:ind w:firstLine="482" w:firstLineChars="200"/>
        <w:contextualSpacing/>
        <w:rPr>
          <w:rFonts w:hint="eastAsia" w:ascii="宋体" w:hAnsi="宋体" w:eastAsia="宋体" w:cs="宋体"/>
          <w:b/>
          <w:bCs/>
          <w:sz w:val="24"/>
          <w:szCs w:val="24"/>
        </w:rPr>
      </w:pPr>
      <w:r>
        <w:rPr>
          <w:rFonts w:hint="eastAsia" w:ascii="宋体" w:hAnsi="宋体" w:eastAsia="宋体" w:cs="宋体"/>
          <w:b/>
          <w:bCs/>
          <w:sz w:val="24"/>
          <w:szCs w:val="24"/>
        </w:rPr>
        <w:t>6.1.9.2条款第（1）目修改为：</w:t>
      </w:r>
    </w:p>
    <w:p w14:paraId="03B9BE42">
      <w:pPr>
        <w:ind w:firstLine="480" w:firstLineChars="200"/>
        <w:contextualSpacing/>
        <w:jc w:val="left"/>
        <w:rPr>
          <w:rFonts w:hint="eastAsia" w:ascii="宋体" w:hAnsi="宋体" w:eastAsia="宋体" w:cs="宋体"/>
          <w:b w:val="0"/>
          <w:bCs w:val="0"/>
          <w:sz w:val="24"/>
          <w:szCs w:val="24"/>
        </w:rPr>
      </w:pPr>
      <w:r>
        <w:rPr>
          <w:rFonts w:hint="eastAsia" w:ascii="宋体" w:hAnsi="宋体" w:eastAsia="宋体" w:cs="宋体"/>
          <w:color w:val="000000"/>
          <w:sz w:val="24"/>
          <w:szCs w:val="24"/>
        </w:rPr>
        <w:t>（1）由于发包人原因导致工程或工程的任何部分对土地的占用所造成的第三者财产损失。</w:t>
      </w:r>
    </w:p>
    <w:p w14:paraId="4F566C72">
      <w:pPr>
        <w:tabs>
          <w:tab w:val="left" w:pos="5387"/>
        </w:tabs>
        <w:ind w:firstLine="482" w:firstLineChars="200"/>
        <w:contextualSpacing/>
        <w:rPr>
          <w:rFonts w:hint="eastAsia" w:ascii="宋体" w:hAnsi="宋体" w:eastAsia="宋体" w:cs="宋体"/>
          <w:b/>
          <w:bCs/>
          <w:sz w:val="24"/>
          <w:szCs w:val="24"/>
        </w:rPr>
      </w:pPr>
      <w:r>
        <w:rPr>
          <w:rFonts w:hint="eastAsia" w:ascii="宋体" w:hAnsi="宋体" w:eastAsia="宋体" w:cs="宋体"/>
          <w:b/>
          <w:bCs/>
          <w:sz w:val="24"/>
          <w:szCs w:val="24"/>
        </w:rPr>
        <w:t>6.1.9.2条款修改为：</w:t>
      </w:r>
    </w:p>
    <w:p w14:paraId="756FDD9E">
      <w:pPr>
        <w:ind w:firstLine="480" w:firstLineChars="200"/>
        <w:contextualSpacing/>
        <w:jc w:val="left"/>
        <w:rPr>
          <w:rFonts w:hint="eastAsia" w:ascii="宋体" w:hAnsi="宋体" w:eastAsia="宋体" w:cs="宋体"/>
          <w:b w:val="0"/>
          <w:bCs w:val="0"/>
          <w:color w:val="000000"/>
          <w:sz w:val="24"/>
          <w:szCs w:val="24"/>
        </w:rPr>
      </w:pPr>
      <w:r>
        <w:rPr>
          <w:rFonts w:hint="eastAsia" w:ascii="宋体" w:hAnsi="宋体" w:eastAsia="宋体" w:cs="宋体"/>
          <w:color w:val="000000"/>
          <w:sz w:val="24"/>
          <w:szCs w:val="24"/>
        </w:rPr>
        <w:t>由于承包人原因导致工程或工程的任何部分对土地的占用所造成的第三者财产损失，或在施工场地内及其毗邻地带造成的发包人、监理人以及第三者人员伤亡和财产损失，由承包人负责赔偿。</w:t>
      </w:r>
    </w:p>
    <w:p w14:paraId="3C235383">
      <w:pPr>
        <w:tabs>
          <w:tab w:val="left" w:pos="5387"/>
        </w:tabs>
        <w:ind w:firstLine="482" w:firstLineChars="200"/>
        <w:contextualSpacing/>
        <w:rPr>
          <w:rFonts w:hint="eastAsia" w:ascii="宋体" w:hAnsi="宋体" w:eastAsia="宋体" w:cs="宋体"/>
          <w:b/>
          <w:sz w:val="24"/>
          <w:szCs w:val="24"/>
        </w:rPr>
      </w:pPr>
      <w:r>
        <w:rPr>
          <w:rFonts w:hint="eastAsia" w:ascii="宋体" w:hAnsi="宋体" w:eastAsia="宋体" w:cs="宋体"/>
          <w:b/>
          <w:bCs/>
          <w:sz w:val="24"/>
          <w:szCs w:val="24"/>
        </w:rPr>
        <w:t>6.1.9.2</w:t>
      </w:r>
      <w:r>
        <w:rPr>
          <w:rFonts w:hint="eastAsia" w:ascii="宋体" w:hAnsi="宋体" w:eastAsia="宋体" w:cs="宋体"/>
          <w:b/>
          <w:sz w:val="24"/>
          <w:szCs w:val="24"/>
        </w:rPr>
        <w:t>增加以下条款：</w:t>
      </w:r>
    </w:p>
    <w:p w14:paraId="4CEFE639">
      <w:pPr>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对于承包人或其专业分包人所雇用的工人或任何其它人员的损害或赔偿，发包人不承担责任且不负担涉及这类损害与赔偿或与此有关的索赔、诉讼，损害赔偿，诉讼费、赔偿费及其它费用由承包人负责，另承包人由于伤亡事故而造成本工程停工的，发包人将不予顺延工期，其所有损失由承包人自负。但由于发包人或监理人的行为失误所造成的伤亡除外。如因此给发包人造成损失的，发包人有权向承包人索赔，且有权从应付给承包人的合同款项中直接扣除。</w:t>
      </w:r>
    </w:p>
    <w:p w14:paraId="5719B360">
      <w:pPr>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承包人应制定详细的安全应急抢险方案并承担相应的费用及损失（其责任范围内）。</w:t>
      </w:r>
    </w:p>
    <w:p w14:paraId="33C8F527">
      <w:pPr>
        <w:ind w:firstLine="482" w:firstLineChars="200"/>
        <w:contextualSpacing/>
        <w:jc w:val="left"/>
        <w:rPr>
          <w:rFonts w:hint="eastAsia" w:ascii="宋体" w:hAnsi="宋体" w:eastAsia="宋体" w:cs="宋体"/>
          <w:b/>
          <w:sz w:val="24"/>
          <w:szCs w:val="24"/>
        </w:rPr>
      </w:pPr>
      <w:r>
        <w:rPr>
          <w:rFonts w:hint="eastAsia" w:ascii="宋体" w:hAnsi="宋体" w:eastAsia="宋体" w:cs="宋体"/>
          <w:b/>
          <w:color w:val="000000"/>
          <w:kern w:val="0"/>
          <w:sz w:val="24"/>
          <w:szCs w:val="24"/>
        </w:rPr>
        <w:t>增加</w:t>
      </w:r>
      <w:r>
        <w:rPr>
          <w:rFonts w:hint="eastAsia" w:ascii="宋体" w:hAnsi="宋体" w:eastAsia="宋体" w:cs="宋体"/>
          <w:b/>
          <w:bCs/>
          <w:color w:val="000000"/>
          <w:kern w:val="0"/>
          <w:sz w:val="24"/>
          <w:szCs w:val="24"/>
        </w:rPr>
        <w:t>6.1.10</w:t>
      </w:r>
      <w:r>
        <w:rPr>
          <w:rFonts w:hint="eastAsia" w:ascii="宋体" w:hAnsi="宋体" w:eastAsia="宋体" w:cs="宋体"/>
          <w:b/>
          <w:color w:val="000000"/>
          <w:kern w:val="0"/>
          <w:sz w:val="24"/>
          <w:szCs w:val="24"/>
        </w:rPr>
        <w:t>条款：</w:t>
      </w:r>
    </w:p>
    <w:p w14:paraId="28AFB789">
      <w:pPr>
        <w:ind w:firstLine="480" w:firstLineChars="200"/>
        <w:contextualSpacing/>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对各种可能扰民的施工行为按规定做好防范措施并办理各项报批手续。临时设施（包括临时房屋、场地硬化、道路、排水、围墙、围挡等）的设计或方案，先申报发包人批准后才能实施。工程成品保护、场地清洁卫生必须满足合同规定以及有关规定。</w:t>
      </w:r>
    </w:p>
    <w:p w14:paraId="1DCEC8DC">
      <w:pPr>
        <w:ind w:firstLine="482" w:firstLineChars="200"/>
        <w:contextualSpacing/>
        <w:jc w:val="left"/>
        <w:rPr>
          <w:rFonts w:hint="eastAsia" w:ascii="宋体" w:hAnsi="宋体" w:eastAsia="宋体" w:cs="宋体"/>
          <w:b/>
          <w:sz w:val="24"/>
          <w:szCs w:val="24"/>
        </w:rPr>
      </w:pPr>
      <w:r>
        <w:rPr>
          <w:rFonts w:hint="eastAsia" w:ascii="宋体" w:hAnsi="宋体" w:eastAsia="宋体" w:cs="宋体"/>
          <w:b/>
          <w:color w:val="000000"/>
          <w:kern w:val="0"/>
          <w:sz w:val="24"/>
          <w:szCs w:val="24"/>
        </w:rPr>
        <w:t>增加</w:t>
      </w:r>
      <w:r>
        <w:rPr>
          <w:rFonts w:hint="eastAsia" w:ascii="宋体" w:hAnsi="宋体" w:eastAsia="宋体" w:cs="宋体"/>
          <w:b/>
          <w:bCs/>
          <w:color w:val="000000"/>
          <w:kern w:val="0"/>
          <w:sz w:val="24"/>
          <w:szCs w:val="24"/>
        </w:rPr>
        <w:t>6.1.11</w:t>
      </w:r>
      <w:r>
        <w:rPr>
          <w:rFonts w:hint="eastAsia" w:ascii="宋体" w:hAnsi="宋体" w:eastAsia="宋体" w:cs="宋体"/>
          <w:b/>
          <w:color w:val="000000"/>
          <w:kern w:val="0"/>
          <w:sz w:val="24"/>
          <w:szCs w:val="24"/>
        </w:rPr>
        <w:t>条款：</w:t>
      </w:r>
    </w:p>
    <w:p w14:paraId="70CF1107">
      <w:pPr>
        <w:ind w:firstLine="480" w:firstLineChars="200"/>
        <w:contextualSpacing/>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承包人有责任维护发包人在市民中的企业形象。若由于承包人安全、文明施工问题而造成发包人被他人索赔，发包人保留向承包人索赔的权利，</w:t>
      </w:r>
      <w:r>
        <w:rPr>
          <w:rFonts w:hint="eastAsia" w:ascii="宋体" w:hAnsi="宋体" w:eastAsia="宋体" w:cs="宋体"/>
          <w:sz w:val="24"/>
          <w:szCs w:val="24"/>
        </w:rPr>
        <w:t>且有权从应付给承包人的合同款项中直接扣除</w:t>
      </w:r>
      <w:r>
        <w:rPr>
          <w:rFonts w:hint="eastAsia" w:ascii="宋体" w:hAnsi="宋体" w:eastAsia="宋体" w:cs="宋体"/>
          <w:color w:val="000000"/>
          <w:kern w:val="0"/>
          <w:sz w:val="24"/>
          <w:szCs w:val="24"/>
        </w:rPr>
        <w:t>。</w:t>
      </w:r>
    </w:p>
    <w:p w14:paraId="71E06F41">
      <w:pPr>
        <w:ind w:firstLine="482" w:firstLineChars="200"/>
        <w:contextualSpacing/>
        <w:jc w:val="left"/>
        <w:rPr>
          <w:rFonts w:hint="eastAsia" w:ascii="宋体" w:hAnsi="宋体" w:eastAsia="宋体" w:cs="宋体"/>
          <w:b/>
          <w:sz w:val="24"/>
          <w:szCs w:val="24"/>
        </w:rPr>
      </w:pPr>
      <w:r>
        <w:rPr>
          <w:rFonts w:hint="eastAsia" w:ascii="宋体" w:hAnsi="宋体" w:eastAsia="宋体" w:cs="宋体"/>
          <w:b/>
          <w:color w:val="000000"/>
          <w:kern w:val="0"/>
          <w:sz w:val="24"/>
          <w:szCs w:val="24"/>
        </w:rPr>
        <w:t>增加</w:t>
      </w:r>
      <w:r>
        <w:rPr>
          <w:rFonts w:hint="eastAsia" w:ascii="宋体" w:hAnsi="宋体" w:eastAsia="宋体" w:cs="宋体"/>
          <w:b/>
          <w:bCs/>
          <w:color w:val="000000"/>
          <w:kern w:val="0"/>
          <w:sz w:val="24"/>
          <w:szCs w:val="24"/>
        </w:rPr>
        <w:t>6.1.12</w:t>
      </w:r>
      <w:r>
        <w:rPr>
          <w:rFonts w:hint="eastAsia" w:ascii="宋体" w:hAnsi="宋体" w:eastAsia="宋体" w:cs="宋体"/>
          <w:b/>
          <w:color w:val="000000"/>
          <w:kern w:val="0"/>
          <w:sz w:val="24"/>
          <w:szCs w:val="24"/>
        </w:rPr>
        <w:t>条款：</w:t>
      </w:r>
    </w:p>
    <w:p w14:paraId="24F1DCF6">
      <w:pPr>
        <w:ind w:firstLine="480" w:firstLineChars="200"/>
        <w:contextualSpacing/>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承包人提供民工住房、厨房、厕所等设施应符合工程所在地建设工程安全文明施工管理相关要求，其中民工每人居住面积大于</w:t>
      </w:r>
      <w:r>
        <w:rPr>
          <w:rFonts w:hint="eastAsia" w:ascii="宋体" w:hAnsi="宋体" w:eastAsia="宋体" w:cs="宋体"/>
          <w:color w:val="000000"/>
          <w:kern w:val="0"/>
          <w:sz w:val="24"/>
          <w:szCs w:val="24"/>
          <w:u w:val="single"/>
        </w:rPr>
        <w:t>1.7</w:t>
      </w:r>
      <w:r>
        <w:rPr>
          <w:rFonts w:hint="eastAsia" w:ascii="宋体" w:hAnsi="宋体" w:eastAsia="宋体" w:cs="宋体"/>
          <w:color w:val="000000"/>
          <w:kern w:val="0"/>
          <w:sz w:val="24"/>
          <w:szCs w:val="24"/>
        </w:rPr>
        <w:t>平方米，每间房居住人数不超过</w:t>
      </w:r>
      <w:r>
        <w:rPr>
          <w:rFonts w:hint="eastAsia" w:ascii="宋体" w:hAnsi="宋体" w:eastAsia="宋体" w:cs="宋体"/>
          <w:color w:val="000000"/>
          <w:kern w:val="0"/>
          <w:sz w:val="24"/>
          <w:szCs w:val="24"/>
          <w:u w:val="single"/>
        </w:rPr>
        <w:t>16人</w:t>
      </w:r>
      <w:r>
        <w:rPr>
          <w:rFonts w:hint="eastAsia" w:ascii="宋体" w:hAnsi="宋体" w:eastAsia="宋体" w:cs="宋体"/>
          <w:color w:val="000000"/>
          <w:kern w:val="0"/>
          <w:sz w:val="24"/>
          <w:szCs w:val="24"/>
        </w:rPr>
        <w:t>，并配有空调和良好的通风采光条件。</w:t>
      </w:r>
    </w:p>
    <w:p w14:paraId="6B097DA9">
      <w:pPr>
        <w:ind w:firstLine="482" w:firstLineChars="200"/>
        <w:contextualSpacing/>
        <w:jc w:val="left"/>
        <w:rPr>
          <w:rFonts w:hint="eastAsia" w:ascii="宋体" w:hAnsi="宋体" w:eastAsia="宋体" w:cs="宋体"/>
          <w:b/>
          <w:sz w:val="24"/>
          <w:szCs w:val="24"/>
        </w:rPr>
      </w:pPr>
      <w:r>
        <w:rPr>
          <w:rFonts w:hint="eastAsia" w:ascii="宋体" w:hAnsi="宋体" w:eastAsia="宋体" w:cs="宋体"/>
          <w:b/>
          <w:color w:val="000000"/>
          <w:kern w:val="0"/>
          <w:sz w:val="24"/>
          <w:szCs w:val="24"/>
        </w:rPr>
        <w:t>增加</w:t>
      </w:r>
      <w:r>
        <w:rPr>
          <w:rFonts w:hint="eastAsia" w:ascii="宋体" w:hAnsi="宋体" w:eastAsia="宋体" w:cs="宋体"/>
          <w:b/>
          <w:bCs/>
          <w:color w:val="000000"/>
          <w:kern w:val="0"/>
          <w:sz w:val="24"/>
          <w:szCs w:val="24"/>
        </w:rPr>
        <w:t>6.1.13</w:t>
      </w:r>
      <w:r>
        <w:rPr>
          <w:rFonts w:hint="eastAsia" w:ascii="宋体" w:hAnsi="宋体" w:eastAsia="宋体" w:cs="宋体"/>
          <w:b/>
          <w:color w:val="000000"/>
          <w:kern w:val="0"/>
          <w:sz w:val="24"/>
          <w:szCs w:val="24"/>
        </w:rPr>
        <w:t>条款：</w:t>
      </w:r>
    </w:p>
    <w:p w14:paraId="6FC3D4B7">
      <w:pPr>
        <w:ind w:firstLine="480" w:firstLineChars="200"/>
        <w:contextualSpacing/>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在工程施工、竣工及维修的整个过程中，承包人应当：</w:t>
      </w:r>
    </w:p>
    <w:p w14:paraId="505B87F0">
      <w:pPr>
        <w:ind w:firstLine="480" w:firstLineChars="200"/>
        <w:contextualSpacing/>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（1）全面关照所有有权留在现场上的人员的安全，保持其管辖范围内的现场和尚未竣工的和发包人尚未占用的工程处于有条不紊的状态，以免发生人身事故；</w:t>
      </w:r>
    </w:p>
    <w:p w14:paraId="15FFE0D0">
      <w:pPr>
        <w:ind w:firstLine="480" w:firstLineChars="200"/>
        <w:contextualSpacing/>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（2）在需要的时间和地点，或根据监理人或有关要求，提供和维持所有灯光、护板、栅栏、警告信号和值班，以及对工程进行保护或为公众提供安全和方便，报价包含在投标报价中；</w:t>
      </w:r>
    </w:p>
    <w:p w14:paraId="38C189C6">
      <w:pPr>
        <w:ind w:firstLine="480" w:firstLineChars="200"/>
        <w:contextualSpacing/>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（3）由于承包人原因造成安全、文明施工问题，引起事故或不良影响的，发包人按每次事故或不良影响，由承包人向发包人支付</w:t>
      </w:r>
      <w:r>
        <w:rPr>
          <w:rFonts w:hint="eastAsia" w:ascii="宋体" w:hAnsi="宋体" w:eastAsia="宋体" w:cs="宋体"/>
          <w:color w:val="000000"/>
          <w:kern w:val="0"/>
          <w:sz w:val="24"/>
          <w:szCs w:val="24"/>
          <w:u w:val="single"/>
        </w:rPr>
        <w:t>1万元</w:t>
      </w:r>
      <w:r>
        <w:rPr>
          <w:rFonts w:hint="eastAsia" w:ascii="宋体" w:hAnsi="宋体" w:eastAsia="宋体" w:cs="宋体"/>
          <w:color w:val="000000"/>
          <w:kern w:val="0"/>
          <w:sz w:val="24"/>
          <w:szCs w:val="24"/>
        </w:rPr>
        <w:t>的违约金。若造成发包人被他人索赔时，发包人保留向承包人索赔的权利，</w:t>
      </w:r>
      <w:r>
        <w:rPr>
          <w:rFonts w:hint="eastAsia" w:ascii="宋体" w:hAnsi="宋体" w:eastAsia="宋体" w:cs="宋体"/>
          <w:sz w:val="24"/>
          <w:szCs w:val="24"/>
        </w:rPr>
        <w:t>且有权从应付给承包人的合同款项中直接扣除</w:t>
      </w:r>
      <w:r>
        <w:rPr>
          <w:rFonts w:hint="eastAsia" w:ascii="宋体" w:hAnsi="宋体" w:eastAsia="宋体" w:cs="宋体"/>
          <w:color w:val="000000"/>
          <w:kern w:val="0"/>
          <w:sz w:val="24"/>
          <w:szCs w:val="24"/>
        </w:rPr>
        <w:t>。</w:t>
      </w:r>
    </w:p>
    <w:p w14:paraId="0B97498C">
      <w:pPr>
        <w:ind w:firstLine="482" w:firstLineChars="200"/>
        <w:contextualSpacing/>
        <w:jc w:val="left"/>
        <w:rPr>
          <w:rFonts w:hint="eastAsia" w:ascii="宋体" w:hAnsi="宋体" w:eastAsia="宋体" w:cs="宋体"/>
          <w:b/>
          <w:sz w:val="24"/>
          <w:szCs w:val="24"/>
        </w:rPr>
      </w:pPr>
      <w:r>
        <w:rPr>
          <w:rFonts w:hint="eastAsia" w:ascii="宋体" w:hAnsi="宋体" w:eastAsia="宋体" w:cs="宋体"/>
          <w:b/>
          <w:color w:val="000000"/>
          <w:kern w:val="0"/>
          <w:sz w:val="24"/>
          <w:szCs w:val="24"/>
        </w:rPr>
        <w:t>增加</w:t>
      </w:r>
      <w:r>
        <w:rPr>
          <w:rFonts w:hint="eastAsia" w:ascii="宋体" w:hAnsi="宋体" w:eastAsia="宋体" w:cs="宋体"/>
          <w:b/>
          <w:bCs/>
          <w:color w:val="000000"/>
          <w:kern w:val="0"/>
          <w:sz w:val="24"/>
          <w:szCs w:val="24"/>
        </w:rPr>
        <w:t>6.1.14</w:t>
      </w:r>
      <w:r>
        <w:rPr>
          <w:rFonts w:hint="eastAsia" w:ascii="宋体" w:hAnsi="宋体" w:eastAsia="宋体" w:cs="宋体"/>
          <w:b/>
          <w:color w:val="000000"/>
          <w:kern w:val="0"/>
          <w:sz w:val="24"/>
          <w:szCs w:val="24"/>
        </w:rPr>
        <w:t>条款：</w:t>
      </w:r>
    </w:p>
    <w:p w14:paraId="563A17BB">
      <w:pPr>
        <w:ind w:firstLine="480" w:firstLineChars="200"/>
        <w:contextualSpacing/>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场地一经移交给承包人，承包人应在本合同工程实施全过程中全面负责施工范围内的现场施工管理，对场地的安全保卫、精神文明、环境卫生、污水排放以及周围房屋、市政设施等负全责，对施工场地内的用水、用电、场地内的施工协调负有全部的管理责任。并不得干扰周围居民的正常生活。因场地管理不善引发的一切纠纷由承包人自行解决，发包人不承担任何责任。</w:t>
      </w:r>
    </w:p>
    <w:p w14:paraId="56554465">
      <w:pPr>
        <w:ind w:firstLine="482" w:firstLineChars="200"/>
        <w:contextualSpacing/>
        <w:jc w:val="left"/>
        <w:rPr>
          <w:rFonts w:hint="eastAsia" w:ascii="宋体" w:hAnsi="宋体" w:eastAsia="宋体" w:cs="宋体"/>
          <w:b/>
          <w:sz w:val="24"/>
          <w:szCs w:val="24"/>
        </w:rPr>
      </w:pPr>
      <w:r>
        <w:rPr>
          <w:rFonts w:hint="eastAsia" w:ascii="宋体" w:hAnsi="宋体" w:eastAsia="宋体" w:cs="宋体"/>
          <w:b/>
          <w:color w:val="000000"/>
          <w:kern w:val="0"/>
          <w:sz w:val="24"/>
          <w:szCs w:val="24"/>
        </w:rPr>
        <w:t>增加</w:t>
      </w:r>
      <w:r>
        <w:rPr>
          <w:rFonts w:hint="eastAsia" w:ascii="宋体" w:hAnsi="宋体" w:eastAsia="宋体" w:cs="宋体"/>
          <w:b/>
          <w:bCs/>
          <w:color w:val="000000"/>
          <w:kern w:val="0"/>
          <w:sz w:val="24"/>
          <w:szCs w:val="24"/>
        </w:rPr>
        <w:t>6.1.15</w:t>
      </w:r>
      <w:r>
        <w:rPr>
          <w:rFonts w:hint="eastAsia" w:ascii="宋体" w:hAnsi="宋体" w:eastAsia="宋体" w:cs="宋体"/>
          <w:b/>
          <w:color w:val="000000"/>
          <w:kern w:val="0"/>
          <w:sz w:val="24"/>
          <w:szCs w:val="24"/>
        </w:rPr>
        <w:t>条款：</w:t>
      </w:r>
    </w:p>
    <w:p w14:paraId="2D4BBBC3">
      <w:pPr>
        <w:ind w:firstLine="480" w:firstLineChars="200"/>
        <w:contextualSpacing/>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进场后，应布设好场地内的排水系统，确保场区内的施工、生活污水、雨水能顺利的疏排。施工排水必须经沉淀后才能排入附近下水道。如果承包人把泥浆、杂物、建筑生活垃圾排到下水道，造成下水道堵塞，除负责清理疏通外，还必须承担由此而产生的一切后果（包括城监、市政的罚款以及下水道清疏、对其他周边第三人造成的损失、改管等一切费用）。</w:t>
      </w:r>
    </w:p>
    <w:p w14:paraId="3FCB80F7">
      <w:pPr>
        <w:autoSpaceDE w:val="0"/>
        <w:autoSpaceDN w:val="0"/>
        <w:ind w:firstLine="482" w:firstLineChars="200"/>
        <w:contextualSpacing/>
        <w:jc w:val="left"/>
        <w:rPr>
          <w:rFonts w:hint="eastAsia" w:ascii="宋体" w:hAnsi="宋体" w:eastAsia="宋体" w:cs="宋体"/>
          <w:b/>
          <w:sz w:val="24"/>
          <w:szCs w:val="24"/>
        </w:rPr>
      </w:pPr>
      <w:r>
        <w:rPr>
          <w:rFonts w:hint="eastAsia" w:ascii="宋体" w:hAnsi="宋体" w:eastAsia="宋体" w:cs="宋体"/>
          <w:b/>
          <w:bCs/>
          <w:sz w:val="24"/>
          <w:szCs w:val="24"/>
        </w:rPr>
        <w:t>6.2.1</w:t>
      </w:r>
      <w:r>
        <w:rPr>
          <w:rFonts w:hint="eastAsia" w:ascii="宋体" w:hAnsi="宋体" w:eastAsia="宋体" w:cs="宋体"/>
          <w:b/>
          <w:sz w:val="24"/>
          <w:szCs w:val="24"/>
        </w:rPr>
        <w:t>增加以下条款：</w:t>
      </w:r>
    </w:p>
    <w:p w14:paraId="36927933">
      <w:pPr>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承包人应采取适当措施，确保其施工作业人员的身体健康，遵照当地卫生部门的相关要求，保证在施工的全过程当中若出现任何重大或恶性传染性的疾病，承包人必须遵守并执行省市卫生部门为处理或控制上述传染病而制定的规章、命令和要求，迅速向发包人和佛山市南海区疾控部门报告。</w:t>
      </w:r>
    </w:p>
    <w:p w14:paraId="3A9D5227">
      <w:pPr>
        <w:autoSpaceDE w:val="0"/>
        <w:autoSpaceDN w:val="0"/>
        <w:ind w:firstLine="482" w:firstLineChars="200"/>
        <w:contextualSpacing/>
        <w:jc w:val="left"/>
        <w:rPr>
          <w:rFonts w:hint="eastAsia" w:ascii="宋体" w:hAnsi="宋体" w:eastAsia="宋体" w:cs="宋体"/>
          <w:b/>
          <w:sz w:val="24"/>
          <w:szCs w:val="24"/>
        </w:rPr>
      </w:pPr>
      <w:r>
        <w:rPr>
          <w:rFonts w:hint="eastAsia" w:ascii="宋体" w:hAnsi="宋体" w:eastAsia="宋体" w:cs="宋体"/>
          <w:b/>
          <w:bCs/>
          <w:sz w:val="24"/>
          <w:szCs w:val="24"/>
        </w:rPr>
        <w:t xml:space="preserve">6.3 </w:t>
      </w:r>
      <w:r>
        <w:rPr>
          <w:rFonts w:hint="eastAsia" w:ascii="宋体" w:hAnsi="宋体" w:eastAsia="宋体" w:cs="宋体"/>
          <w:b/>
          <w:sz w:val="24"/>
          <w:szCs w:val="24"/>
        </w:rPr>
        <w:t>增加以下条款：</w:t>
      </w:r>
    </w:p>
    <w:p w14:paraId="7461FAA9">
      <w:pPr>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承包人应在进入现场前提交施工期间的环境保护方案，经监理人批准后实施。对于承包人施工过程中造成的环境污染问题，经发包人或者监理人指出后，承包人未能在</w:t>
      </w:r>
      <w:r>
        <w:rPr>
          <w:rFonts w:hint="eastAsia" w:ascii="宋体" w:hAnsi="宋体" w:eastAsia="宋体" w:cs="宋体"/>
          <w:sz w:val="24"/>
          <w:szCs w:val="24"/>
          <w:u w:val="single"/>
        </w:rPr>
        <w:t>24小时</w:t>
      </w:r>
      <w:r>
        <w:rPr>
          <w:rFonts w:hint="eastAsia" w:ascii="宋体" w:hAnsi="宋体" w:eastAsia="宋体" w:cs="宋体"/>
          <w:sz w:val="24"/>
          <w:szCs w:val="24"/>
        </w:rPr>
        <w:t>之内采取整治措施，或者所采取的整治措施未有效消除污染的，发包人可以自行或者委托他人代为整治，由此所产生的一切损失、费用均由承包人承担，发包人有权从应付给承包人的合同款项中直接予以扣除。</w:t>
      </w:r>
    </w:p>
    <w:p w14:paraId="06BAD060">
      <w:pPr>
        <w:pStyle w:val="5"/>
        <w:spacing w:before="0" w:after="0" w:line="240" w:lineRule="auto"/>
        <w:ind w:firstLine="482" w:firstLineChars="200"/>
        <w:contextualSpacing/>
        <w:rPr>
          <w:rFonts w:hint="eastAsia" w:ascii="宋体" w:hAnsi="宋体" w:eastAsia="宋体" w:cs="宋体"/>
          <w:color w:val="000000"/>
          <w:sz w:val="24"/>
          <w:szCs w:val="24"/>
        </w:rPr>
      </w:pPr>
      <w:bookmarkStart w:id="414" w:name="_Toc443898196"/>
      <w:r>
        <w:rPr>
          <w:rFonts w:hint="eastAsia" w:ascii="宋体" w:hAnsi="宋体" w:eastAsia="宋体" w:cs="宋体"/>
          <w:color w:val="000000"/>
          <w:sz w:val="24"/>
          <w:szCs w:val="24"/>
        </w:rPr>
        <w:t>7. 工期和进度</w:t>
      </w:r>
      <w:bookmarkEnd w:id="414"/>
    </w:p>
    <w:p w14:paraId="4E89A9F9">
      <w:pPr>
        <w:ind w:firstLine="482" w:firstLineChars="200"/>
        <w:contextualSpacing/>
        <w:rPr>
          <w:rFonts w:hint="eastAsia" w:ascii="宋体" w:hAnsi="宋体" w:eastAsia="宋体" w:cs="宋体"/>
          <w:b/>
          <w:bCs/>
          <w:color w:val="000000"/>
          <w:sz w:val="24"/>
          <w:szCs w:val="24"/>
        </w:rPr>
      </w:pPr>
      <w:r>
        <w:rPr>
          <w:rFonts w:hint="eastAsia" w:ascii="宋体" w:hAnsi="宋体" w:eastAsia="宋体" w:cs="宋体"/>
          <w:b/>
          <w:bCs/>
          <w:color w:val="000000"/>
          <w:sz w:val="24"/>
          <w:szCs w:val="24"/>
        </w:rPr>
        <w:t>7.1 施工组织设计</w:t>
      </w:r>
    </w:p>
    <w:p w14:paraId="354E8705">
      <w:pPr>
        <w:autoSpaceDE w:val="0"/>
        <w:autoSpaceDN w:val="0"/>
        <w:ind w:firstLine="480" w:firstLineChars="200"/>
        <w:contextualSpacing/>
        <w:jc w:val="left"/>
        <w:rPr>
          <w:rFonts w:hint="eastAsia" w:ascii="宋体" w:hAnsi="宋体" w:eastAsia="宋体" w:cs="宋体"/>
          <w:color w:val="000000"/>
          <w:kern w:val="0"/>
          <w:sz w:val="24"/>
          <w:szCs w:val="24"/>
        </w:rPr>
      </w:pPr>
      <w:r>
        <w:rPr>
          <w:rFonts w:hint="eastAsia" w:ascii="宋体" w:hAnsi="宋体" w:eastAsia="宋体" w:cs="宋体"/>
          <w:sz w:val="24"/>
          <w:szCs w:val="24"/>
        </w:rPr>
        <w:t xml:space="preserve">7.1.1 </w:t>
      </w:r>
      <w:r>
        <w:rPr>
          <w:rFonts w:hint="eastAsia" w:ascii="宋体" w:hAnsi="宋体" w:eastAsia="宋体" w:cs="宋体"/>
          <w:color w:val="000000"/>
          <w:sz w:val="24"/>
          <w:szCs w:val="24"/>
        </w:rPr>
        <w:t>合</w:t>
      </w:r>
      <w:r>
        <w:rPr>
          <w:rFonts w:hint="eastAsia" w:ascii="宋体" w:hAnsi="宋体" w:eastAsia="宋体" w:cs="宋体"/>
          <w:color w:val="000000"/>
          <w:kern w:val="0"/>
          <w:sz w:val="24"/>
          <w:szCs w:val="24"/>
        </w:rPr>
        <w:t>同当事人约定的施工组织设计应包括的其他内容：</w:t>
      </w:r>
      <w:r>
        <w:rPr>
          <w:rFonts w:hint="eastAsia" w:ascii="宋体" w:hAnsi="宋体" w:eastAsia="宋体" w:cs="宋体"/>
          <w:sz w:val="24"/>
          <w:szCs w:val="24"/>
        </w:rPr>
        <w:t>。</w:t>
      </w:r>
    </w:p>
    <w:p w14:paraId="23CC2F9F">
      <w:pPr>
        <w:autoSpaceDE w:val="0"/>
        <w:autoSpaceDN w:val="0"/>
        <w:ind w:firstLine="480" w:firstLineChars="200"/>
        <w:contextualSpacing/>
        <w:jc w:val="left"/>
        <w:rPr>
          <w:rFonts w:hint="eastAsia" w:ascii="宋体" w:hAnsi="宋体" w:eastAsia="宋体" w:cs="宋体"/>
          <w:kern w:val="0"/>
          <w:sz w:val="24"/>
          <w:szCs w:val="24"/>
        </w:rPr>
      </w:pPr>
      <w:r>
        <w:rPr>
          <w:rFonts w:hint="eastAsia" w:ascii="宋体" w:hAnsi="宋体" w:eastAsia="宋体" w:cs="宋体"/>
          <w:sz w:val="24"/>
          <w:szCs w:val="24"/>
        </w:rPr>
        <w:t>7.1.2</w:t>
      </w:r>
      <w:r>
        <w:rPr>
          <w:rFonts w:hint="eastAsia" w:ascii="宋体" w:hAnsi="宋体" w:eastAsia="宋体" w:cs="宋体"/>
          <w:kern w:val="0"/>
          <w:sz w:val="24"/>
          <w:szCs w:val="24"/>
        </w:rPr>
        <w:t>施工组织设计的提交和修改</w:t>
      </w:r>
    </w:p>
    <w:p w14:paraId="5C9E1A32">
      <w:pPr>
        <w:autoSpaceDE w:val="0"/>
        <w:autoSpaceDN w:val="0"/>
        <w:ind w:firstLine="480" w:firstLineChars="200"/>
        <w:contextualSpacing/>
        <w:jc w:val="left"/>
        <w:rPr>
          <w:rFonts w:hint="eastAsia" w:ascii="宋体" w:hAnsi="宋体" w:eastAsia="宋体" w:cs="宋体"/>
          <w:sz w:val="24"/>
          <w:szCs w:val="24"/>
          <w:u w:val="single"/>
        </w:rPr>
      </w:pPr>
      <w:r>
        <w:rPr>
          <w:rFonts w:hint="eastAsia" w:ascii="宋体" w:hAnsi="宋体" w:eastAsia="宋体" w:cs="宋体"/>
          <w:kern w:val="0"/>
          <w:sz w:val="24"/>
          <w:szCs w:val="24"/>
        </w:rPr>
        <w:t>承包人提交详细施工组织设计的期限的约定：</w:t>
      </w:r>
      <w:r>
        <w:rPr>
          <w:rFonts w:hint="eastAsia" w:ascii="宋体" w:hAnsi="宋体" w:eastAsia="宋体" w:cs="宋体"/>
          <w:sz w:val="24"/>
          <w:szCs w:val="24"/>
        </w:rPr>
        <w:t>应于接到中标通知书</w:t>
      </w:r>
      <w:r>
        <w:rPr>
          <w:rFonts w:hint="eastAsia" w:ascii="宋体" w:hAnsi="宋体" w:eastAsia="宋体" w:cs="宋体"/>
          <w:sz w:val="24"/>
          <w:szCs w:val="24"/>
          <w:u w:val="single"/>
        </w:rPr>
        <w:t xml:space="preserve"> 7天</w:t>
      </w:r>
      <w:r>
        <w:rPr>
          <w:rFonts w:hint="eastAsia" w:ascii="宋体" w:hAnsi="宋体" w:eastAsia="宋体" w:cs="宋体"/>
          <w:sz w:val="24"/>
          <w:szCs w:val="24"/>
        </w:rPr>
        <w:t>内提交。</w:t>
      </w:r>
    </w:p>
    <w:p w14:paraId="71205400">
      <w:pPr>
        <w:ind w:firstLine="480" w:firstLineChars="200"/>
        <w:contextualSpacing/>
        <w:jc w:val="left"/>
        <w:rPr>
          <w:rFonts w:hint="eastAsia" w:ascii="宋体" w:hAnsi="宋体" w:eastAsia="宋体" w:cs="宋体"/>
          <w:color w:val="000000"/>
          <w:sz w:val="24"/>
          <w:szCs w:val="24"/>
        </w:rPr>
      </w:pPr>
      <w:r>
        <w:rPr>
          <w:rFonts w:hint="eastAsia" w:ascii="宋体" w:hAnsi="宋体" w:eastAsia="宋体" w:cs="宋体"/>
          <w:sz w:val="24"/>
          <w:szCs w:val="24"/>
        </w:rPr>
        <w:t>发包人和监理人在收到详细的施工组织设计后确认或提出修改意见的期限：</w:t>
      </w:r>
      <w:r>
        <w:rPr>
          <w:rFonts w:hint="eastAsia" w:ascii="宋体" w:hAnsi="宋体" w:eastAsia="宋体" w:cs="宋体"/>
          <w:sz w:val="24"/>
          <w:szCs w:val="24"/>
          <w:u w:val="single"/>
        </w:rPr>
        <w:t xml:space="preserve">  7天  </w:t>
      </w:r>
      <w:r>
        <w:rPr>
          <w:rFonts w:hint="eastAsia" w:ascii="宋体" w:hAnsi="宋体" w:eastAsia="宋体" w:cs="宋体"/>
          <w:sz w:val="24"/>
          <w:szCs w:val="24"/>
        </w:rPr>
        <w:t>。</w:t>
      </w:r>
    </w:p>
    <w:p w14:paraId="232CE995">
      <w:pPr>
        <w:ind w:firstLine="482" w:firstLineChars="200"/>
        <w:contextualSpacing/>
        <w:rPr>
          <w:rFonts w:hint="eastAsia" w:ascii="宋体" w:hAnsi="宋体" w:eastAsia="宋体" w:cs="宋体"/>
          <w:b/>
          <w:bCs/>
          <w:color w:val="000000"/>
          <w:sz w:val="24"/>
          <w:szCs w:val="24"/>
        </w:rPr>
      </w:pPr>
      <w:r>
        <w:rPr>
          <w:rFonts w:hint="eastAsia" w:ascii="宋体" w:hAnsi="宋体" w:eastAsia="宋体" w:cs="宋体"/>
          <w:b/>
          <w:bCs/>
          <w:color w:val="000000"/>
          <w:sz w:val="24"/>
          <w:szCs w:val="24"/>
        </w:rPr>
        <w:t>7.2 施工进度计划</w:t>
      </w:r>
    </w:p>
    <w:p w14:paraId="521B7E2A">
      <w:pPr>
        <w:ind w:firstLine="480" w:firstLineChars="200"/>
        <w:contextualSpacing/>
        <w:jc w:val="left"/>
        <w:rPr>
          <w:rFonts w:hint="eastAsia" w:ascii="宋体" w:hAnsi="宋体" w:eastAsia="宋体" w:cs="宋体"/>
          <w:color w:val="000000"/>
          <w:sz w:val="24"/>
          <w:szCs w:val="24"/>
        </w:rPr>
      </w:pPr>
      <w:r>
        <w:rPr>
          <w:rFonts w:hint="eastAsia" w:ascii="宋体" w:hAnsi="宋体" w:eastAsia="宋体" w:cs="宋体"/>
          <w:color w:val="000000"/>
          <w:sz w:val="24"/>
          <w:szCs w:val="24"/>
        </w:rPr>
        <w:t>7.2.2 施工进度计划的修订</w:t>
      </w:r>
    </w:p>
    <w:p w14:paraId="7A1499FA">
      <w:pPr>
        <w:ind w:firstLine="480" w:firstLineChars="200"/>
        <w:contextualSpacing/>
        <w:jc w:val="left"/>
        <w:rPr>
          <w:rFonts w:hint="eastAsia" w:ascii="宋体" w:hAnsi="宋体" w:eastAsia="宋体" w:cs="宋体"/>
          <w:sz w:val="24"/>
          <w:szCs w:val="24"/>
        </w:rPr>
      </w:pPr>
      <w:r>
        <w:rPr>
          <w:rFonts w:hint="eastAsia" w:ascii="宋体" w:hAnsi="宋体" w:eastAsia="宋体" w:cs="宋体"/>
          <w:sz w:val="24"/>
          <w:szCs w:val="24"/>
        </w:rPr>
        <w:t>发包人和监理人在收到修订的施工进度计划后确认或提出修改意见的期限：</w:t>
      </w:r>
      <w:r>
        <w:rPr>
          <w:rFonts w:hint="eastAsia" w:ascii="宋体" w:hAnsi="宋体" w:eastAsia="宋体" w:cs="宋体"/>
          <w:sz w:val="24"/>
          <w:szCs w:val="24"/>
          <w:u w:val="single"/>
        </w:rPr>
        <w:t xml:space="preserve">  14天 </w:t>
      </w:r>
      <w:r>
        <w:rPr>
          <w:rFonts w:hint="eastAsia" w:ascii="宋体" w:hAnsi="宋体" w:eastAsia="宋体" w:cs="宋体"/>
          <w:sz w:val="24"/>
          <w:szCs w:val="24"/>
        </w:rPr>
        <w:t>。</w:t>
      </w:r>
    </w:p>
    <w:p w14:paraId="39835130">
      <w:pPr>
        <w:ind w:firstLine="482" w:firstLineChars="200"/>
        <w:contextualSpacing/>
        <w:jc w:val="left"/>
        <w:rPr>
          <w:rFonts w:hint="eastAsia" w:ascii="宋体" w:hAnsi="宋体" w:eastAsia="宋体" w:cs="宋体"/>
          <w:b/>
          <w:color w:val="000000"/>
          <w:sz w:val="24"/>
          <w:szCs w:val="24"/>
        </w:rPr>
      </w:pPr>
      <w:r>
        <w:rPr>
          <w:rFonts w:hint="eastAsia" w:ascii="宋体" w:hAnsi="宋体" w:eastAsia="宋体" w:cs="宋体"/>
          <w:b/>
          <w:color w:val="000000"/>
          <w:sz w:val="24"/>
          <w:szCs w:val="24"/>
        </w:rPr>
        <w:t>增加7.2.3 条款：</w:t>
      </w:r>
    </w:p>
    <w:p w14:paraId="666AB489">
      <w:pPr>
        <w:ind w:firstLine="480" w:firstLineChars="200"/>
        <w:contextualSpacing/>
        <w:jc w:val="left"/>
        <w:rPr>
          <w:rFonts w:hint="eastAsia" w:ascii="宋体" w:hAnsi="宋体" w:eastAsia="宋体" w:cs="宋体"/>
          <w:color w:val="000000"/>
          <w:sz w:val="24"/>
          <w:szCs w:val="24"/>
        </w:rPr>
      </w:pPr>
      <w:r>
        <w:rPr>
          <w:rFonts w:hint="eastAsia" w:ascii="宋体" w:hAnsi="宋体" w:eastAsia="宋体" w:cs="宋体"/>
          <w:color w:val="000000"/>
          <w:sz w:val="24"/>
          <w:szCs w:val="24"/>
        </w:rPr>
        <w:t>7.2.3干扰与协调</w:t>
      </w:r>
    </w:p>
    <w:p w14:paraId="50F14C05">
      <w:pPr>
        <w:ind w:firstLine="480" w:firstLineChars="200"/>
        <w:contextualSpacing/>
        <w:jc w:val="left"/>
        <w:rPr>
          <w:rFonts w:hint="eastAsia" w:ascii="宋体" w:hAnsi="宋体" w:eastAsia="宋体" w:cs="宋体"/>
          <w:color w:val="000000"/>
          <w:sz w:val="24"/>
          <w:szCs w:val="24"/>
        </w:rPr>
      </w:pPr>
      <w:r>
        <w:rPr>
          <w:rFonts w:hint="eastAsia" w:ascii="宋体" w:hAnsi="宋体" w:eastAsia="宋体" w:cs="宋体"/>
          <w:color w:val="000000"/>
          <w:sz w:val="24"/>
          <w:szCs w:val="24"/>
        </w:rPr>
        <w:t>（1）承包人应当清楚地预计到施工期间对外界可能产生的必需的不可能避免的干扰，并为此保证主动努力减少这些干扰对外界的影响，且应当积极主动与外界进行协调。</w:t>
      </w:r>
    </w:p>
    <w:p w14:paraId="70C6BF76">
      <w:pPr>
        <w:ind w:firstLine="480" w:firstLineChars="200"/>
        <w:contextualSpacing/>
        <w:jc w:val="left"/>
        <w:rPr>
          <w:rFonts w:hint="eastAsia" w:ascii="宋体" w:hAnsi="宋体" w:eastAsia="宋体" w:cs="宋体"/>
          <w:color w:val="000000"/>
          <w:sz w:val="24"/>
          <w:szCs w:val="24"/>
        </w:rPr>
      </w:pPr>
      <w:r>
        <w:rPr>
          <w:rFonts w:hint="eastAsia" w:ascii="宋体" w:hAnsi="宋体" w:eastAsia="宋体" w:cs="宋体"/>
          <w:color w:val="000000"/>
          <w:sz w:val="24"/>
          <w:szCs w:val="24"/>
        </w:rPr>
        <w:t>（2）承包人应负责协调施工期间外界的各种干扰。</w:t>
      </w:r>
    </w:p>
    <w:p w14:paraId="1C36FDBD">
      <w:pPr>
        <w:ind w:firstLine="480" w:firstLineChars="200"/>
        <w:contextualSpacing/>
        <w:jc w:val="left"/>
        <w:rPr>
          <w:rFonts w:hint="eastAsia" w:ascii="宋体" w:hAnsi="宋体" w:eastAsia="宋体" w:cs="宋体"/>
          <w:color w:val="000000"/>
          <w:sz w:val="24"/>
          <w:szCs w:val="24"/>
        </w:rPr>
      </w:pPr>
      <w:r>
        <w:rPr>
          <w:rFonts w:hint="eastAsia" w:ascii="宋体" w:hAnsi="宋体" w:eastAsia="宋体" w:cs="宋体"/>
          <w:color w:val="000000"/>
          <w:sz w:val="24"/>
          <w:szCs w:val="24"/>
        </w:rPr>
        <w:t>（3）发包人将在承包人的配合下，充分运用自己对各方面的影响力，尽可能地将外界对工程的干扰减少到最少程度。这种协调并不解除承包人的各项责任与义务。</w:t>
      </w:r>
    </w:p>
    <w:p w14:paraId="3E0E8710">
      <w:pPr>
        <w:ind w:firstLine="482" w:firstLineChars="200"/>
        <w:contextualSpacing/>
        <w:rPr>
          <w:rFonts w:hint="eastAsia" w:ascii="宋体" w:hAnsi="宋体" w:eastAsia="宋体" w:cs="宋体"/>
          <w:b/>
          <w:bCs/>
          <w:color w:val="000000"/>
          <w:sz w:val="24"/>
          <w:szCs w:val="24"/>
        </w:rPr>
      </w:pPr>
      <w:r>
        <w:rPr>
          <w:rFonts w:hint="eastAsia" w:ascii="宋体" w:hAnsi="宋体" w:eastAsia="宋体" w:cs="宋体"/>
          <w:b/>
          <w:bCs/>
          <w:color w:val="000000"/>
          <w:sz w:val="24"/>
          <w:szCs w:val="24"/>
        </w:rPr>
        <w:t>7.3 开工</w:t>
      </w:r>
    </w:p>
    <w:p w14:paraId="506EED34">
      <w:pPr>
        <w:ind w:firstLine="480" w:firstLineChars="200"/>
        <w:contextualSpacing/>
        <w:jc w:val="left"/>
        <w:rPr>
          <w:rFonts w:hint="eastAsia" w:ascii="宋体" w:hAnsi="宋体" w:eastAsia="宋体" w:cs="宋体"/>
          <w:color w:val="000000"/>
          <w:sz w:val="24"/>
          <w:szCs w:val="24"/>
        </w:rPr>
      </w:pPr>
      <w:r>
        <w:rPr>
          <w:rFonts w:hint="eastAsia" w:ascii="宋体" w:hAnsi="宋体" w:eastAsia="宋体" w:cs="宋体"/>
          <w:color w:val="000000"/>
          <w:sz w:val="24"/>
          <w:szCs w:val="24"/>
        </w:rPr>
        <w:t>7.3.1 开工准备</w:t>
      </w:r>
    </w:p>
    <w:p w14:paraId="6DBDD35C">
      <w:pPr>
        <w:ind w:firstLine="480" w:firstLineChars="200"/>
        <w:contextualSpacing/>
        <w:jc w:val="left"/>
        <w:rPr>
          <w:rFonts w:hint="eastAsia" w:ascii="宋体" w:hAnsi="宋体" w:eastAsia="宋体" w:cs="宋体"/>
          <w:sz w:val="24"/>
          <w:szCs w:val="24"/>
          <w:u w:val="single"/>
        </w:rPr>
      </w:pPr>
      <w:r>
        <w:rPr>
          <w:rFonts w:hint="eastAsia" w:ascii="宋体" w:hAnsi="宋体" w:eastAsia="宋体" w:cs="宋体"/>
          <w:color w:val="000000"/>
          <w:sz w:val="24"/>
          <w:szCs w:val="24"/>
        </w:rPr>
        <w:t>关于承包人提交</w:t>
      </w:r>
      <w:r>
        <w:rPr>
          <w:rFonts w:hint="eastAsia" w:ascii="宋体" w:hAnsi="宋体" w:eastAsia="宋体" w:cs="宋体"/>
          <w:color w:val="000000"/>
          <w:kern w:val="0"/>
          <w:sz w:val="24"/>
          <w:szCs w:val="24"/>
        </w:rPr>
        <w:t>工程开工报</w:t>
      </w:r>
      <w:r>
        <w:rPr>
          <w:rFonts w:hint="eastAsia" w:ascii="宋体" w:hAnsi="宋体" w:eastAsia="宋体" w:cs="宋体"/>
          <w:kern w:val="0"/>
          <w:sz w:val="24"/>
          <w:szCs w:val="24"/>
        </w:rPr>
        <w:t>审表的期限：</w:t>
      </w:r>
      <w:r>
        <w:rPr>
          <w:rFonts w:hint="eastAsia" w:ascii="宋体" w:hAnsi="宋体" w:eastAsia="宋体" w:cs="宋体"/>
          <w:kern w:val="0"/>
          <w:sz w:val="24"/>
          <w:szCs w:val="24"/>
          <w:u w:val="single"/>
        </w:rPr>
        <w:t xml:space="preserve"> 按通用合同条款  </w:t>
      </w:r>
      <w:r>
        <w:rPr>
          <w:rFonts w:hint="eastAsia" w:ascii="宋体" w:hAnsi="宋体" w:eastAsia="宋体" w:cs="宋体"/>
          <w:sz w:val="24"/>
          <w:szCs w:val="24"/>
        </w:rPr>
        <w:t>。</w:t>
      </w:r>
    </w:p>
    <w:p w14:paraId="51265957">
      <w:pPr>
        <w:ind w:firstLine="480" w:firstLineChars="200"/>
        <w:contextualSpacing/>
        <w:jc w:val="left"/>
        <w:rPr>
          <w:rFonts w:hint="eastAsia" w:ascii="宋体" w:hAnsi="宋体" w:eastAsia="宋体" w:cs="宋体"/>
          <w:sz w:val="24"/>
          <w:szCs w:val="24"/>
        </w:rPr>
      </w:pPr>
      <w:r>
        <w:rPr>
          <w:rFonts w:hint="eastAsia" w:ascii="宋体" w:hAnsi="宋体" w:eastAsia="宋体" w:cs="宋体"/>
          <w:sz w:val="24"/>
          <w:szCs w:val="24"/>
        </w:rPr>
        <w:t>关于发包人应完成的其他开工准备工作及期限：</w:t>
      </w:r>
      <w:r>
        <w:rPr>
          <w:rFonts w:hint="eastAsia" w:ascii="宋体" w:hAnsi="宋体" w:eastAsia="宋体" w:cs="宋体"/>
          <w:kern w:val="0"/>
          <w:sz w:val="24"/>
          <w:szCs w:val="24"/>
          <w:u w:val="single"/>
        </w:rPr>
        <w:t>按通用合同条款</w:t>
      </w:r>
      <w:r>
        <w:rPr>
          <w:rFonts w:hint="eastAsia" w:ascii="宋体" w:hAnsi="宋体" w:eastAsia="宋体" w:cs="宋体"/>
          <w:sz w:val="24"/>
          <w:szCs w:val="24"/>
        </w:rPr>
        <w:t>。</w:t>
      </w:r>
    </w:p>
    <w:p w14:paraId="1BB2DAA8">
      <w:pPr>
        <w:ind w:firstLine="480" w:firstLineChars="200"/>
        <w:contextualSpacing/>
        <w:jc w:val="left"/>
        <w:rPr>
          <w:rFonts w:hint="eastAsia" w:ascii="宋体" w:hAnsi="宋体" w:eastAsia="宋体" w:cs="宋体"/>
          <w:sz w:val="24"/>
          <w:szCs w:val="24"/>
        </w:rPr>
      </w:pPr>
      <w:r>
        <w:rPr>
          <w:rFonts w:hint="eastAsia" w:ascii="宋体" w:hAnsi="宋体" w:eastAsia="宋体" w:cs="宋体"/>
          <w:sz w:val="24"/>
          <w:szCs w:val="24"/>
        </w:rPr>
        <w:t>关于承包人应完成的其他开工准备工作及期限：</w:t>
      </w:r>
      <w:r>
        <w:rPr>
          <w:rFonts w:hint="eastAsia" w:ascii="宋体" w:hAnsi="宋体" w:eastAsia="宋体" w:cs="宋体"/>
          <w:kern w:val="0"/>
          <w:sz w:val="24"/>
          <w:szCs w:val="24"/>
          <w:u w:val="single"/>
        </w:rPr>
        <w:t>按通用合同条款</w:t>
      </w:r>
      <w:r>
        <w:rPr>
          <w:rFonts w:hint="eastAsia" w:ascii="宋体" w:hAnsi="宋体" w:eastAsia="宋体" w:cs="宋体"/>
          <w:sz w:val="24"/>
          <w:szCs w:val="24"/>
        </w:rPr>
        <w:t>。</w:t>
      </w:r>
    </w:p>
    <w:p w14:paraId="19236555">
      <w:pPr>
        <w:ind w:firstLine="480" w:firstLineChars="200"/>
        <w:contextualSpacing/>
        <w:jc w:val="left"/>
        <w:rPr>
          <w:rFonts w:hint="eastAsia" w:ascii="宋体" w:hAnsi="宋体" w:eastAsia="宋体" w:cs="宋体"/>
          <w:sz w:val="24"/>
          <w:szCs w:val="24"/>
        </w:rPr>
      </w:pPr>
      <w:r>
        <w:rPr>
          <w:rFonts w:hint="eastAsia" w:ascii="宋体" w:hAnsi="宋体" w:eastAsia="宋体" w:cs="宋体"/>
          <w:color w:val="000000"/>
          <w:sz w:val="24"/>
          <w:szCs w:val="24"/>
        </w:rPr>
        <w:t>7.3.2开工通知</w:t>
      </w:r>
    </w:p>
    <w:p w14:paraId="54623E9C">
      <w:pPr>
        <w:ind w:firstLine="480" w:firstLineChars="200"/>
        <w:contextualSpacing/>
        <w:jc w:val="left"/>
        <w:rPr>
          <w:rFonts w:hint="eastAsia" w:ascii="宋体" w:hAnsi="宋体" w:eastAsia="宋体" w:cs="宋体"/>
          <w:color w:val="000000"/>
          <w:sz w:val="24"/>
          <w:szCs w:val="24"/>
        </w:rPr>
      </w:pPr>
      <w:r>
        <w:rPr>
          <w:rFonts w:hint="eastAsia" w:ascii="宋体" w:hAnsi="宋体" w:eastAsia="宋体" w:cs="宋体"/>
          <w:sz w:val="24"/>
          <w:szCs w:val="24"/>
        </w:rPr>
        <w:t>因发包人原因造成监理人未能在计划开工日期之日起</w:t>
      </w:r>
      <w:r>
        <w:rPr>
          <w:rFonts w:hint="eastAsia" w:ascii="宋体" w:hAnsi="宋体" w:eastAsia="宋体" w:cs="宋体"/>
          <w:sz w:val="24"/>
          <w:szCs w:val="24"/>
          <w:u w:val="single"/>
        </w:rPr>
        <w:t>90天</w:t>
      </w:r>
      <w:r>
        <w:rPr>
          <w:rFonts w:hint="eastAsia" w:ascii="宋体" w:hAnsi="宋体" w:eastAsia="宋体" w:cs="宋体"/>
          <w:sz w:val="24"/>
          <w:szCs w:val="24"/>
        </w:rPr>
        <w:t>内发</w:t>
      </w:r>
      <w:r>
        <w:rPr>
          <w:rFonts w:hint="eastAsia" w:ascii="宋体" w:hAnsi="宋体" w:eastAsia="宋体" w:cs="宋体"/>
          <w:color w:val="000000"/>
          <w:sz w:val="24"/>
          <w:szCs w:val="24"/>
        </w:rPr>
        <w:t>出开工通知的，发包人应当承担由此延误的工期。</w:t>
      </w:r>
    </w:p>
    <w:p w14:paraId="141AE53C">
      <w:pPr>
        <w:ind w:firstLine="482" w:firstLineChars="200"/>
        <w:contextualSpacing/>
        <w:rPr>
          <w:rFonts w:hint="eastAsia" w:ascii="宋体" w:hAnsi="宋体" w:eastAsia="宋体" w:cs="宋体"/>
          <w:b/>
          <w:bCs/>
          <w:sz w:val="24"/>
          <w:szCs w:val="24"/>
        </w:rPr>
      </w:pPr>
      <w:r>
        <w:rPr>
          <w:rFonts w:hint="eastAsia" w:ascii="宋体" w:hAnsi="宋体" w:eastAsia="宋体" w:cs="宋体"/>
          <w:b/>
          <w:bCs/>
          <w:color w:val="000000"/>
          <w:sz w:val="24"/>
          <w:szCs w:val="24"/>
        </w:rPr>
        <w:t>7.4 测量放线</w:t>
      </w:r>
    </w:p>
    <w:p w14:paraId="511DEE2A">
      <w:pPr>
        <w:ind w:firstLine="480" w:firstLineChars="200"/>
        <w:contextualSpacing/>
        <w:jc w:val="left"/>
        <w:rPr>
          <w:rFonts w:hint="eastAsia" w:ascii="宋体" w:hAnsi="宋体" w:eastAsia="宋体" w:cs="宋体"/>
          <w:sz w:val="24"/>
          <w:szCs w:val="24"/>
        </w:rPr>
      </w:pPr>
      <w:r>
        <w:rPr>
          <w:rFonts w:hint="eastAsia" w:ascii="宋体" w:hAnsi="宋体" w:eastAsia="宋体" w:cs="宋体"/>
          <w:sz w:val="24"/>
          <w:szCs w:val="24"/>
        </w:rPr>
        <w:t>7.4.1发包人通过监理人向承包人提供测量基准点、基准线和水准点及其书面资料的期限：</w:t>
      </w:r>
      <w:r>
        <w:rPr>
          <w:rFonts w:hint="eastAsia" w:ascii="宋体" w:hAnsi="宋体" w:eastAsia="宋体" w:cs="宋体"/>
          <w:sz w:val="24"/>
          <w:szCs w:val="24"/>
          <w:u w:val="single"/>
        </w:rPr>
        <w:t xml:space="preserve"> </w:t>
      </w:r>
      <w:r>
        <w:rPr>
          <w:rFonts w:hint="eastAsia" w:ascii="宋体" w:hAnsi="宋体" w:eastAsia="宋体" w:cs="宋体"/>
          <w:kern w:val="0"/>
          <w:sz w:val="24"/>
          <w:szCs w:val="24"/>
          <w:u w:val="single"/>
        </w:rPr>
        <w:t>按通用合同条款</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075E8356">
      <w:pPr>
        <w:ind w:firstLine="482" w:firstLineChars="200"/>
        <w:contextualSpacing/>
        <w:rPr>
          <w:rFonts w:hint="eastAsia" w:ascii="宋体" w:hAnsi="宋体" w:eastAsia="宋体" w:cs="宋体"/>
          <w:b/>
          <w:bCs/>
          <w:color w:val="000000"/>
          <w:sz w:val="24"/>
          <w:szCs w:val="24"/>
        </w:rPr>
      </w:pPr>
      <w:r>
        <w:rPr>
          <w:rFonts w:hint="eastAsia" w:ascii="宋体" w:hAnsi="宋体" w:eastAsia="宋体" w:cs="宋体"/>
          <w:b/>
          <w:bCs/>
          <w:color w:val="000000"/>
          <w:sz w:val="24"/>
          <w:szCs w:val="24"/>
        </w:rPr>
        <w:t>7.5工期延误</w:t>
      </w:r>
    </w:p>
    <w:p w14:paraId="05B7F457">
      <w:pPr>
        <w:ind w:firstLine="480" w:firstLineChars="200"/>
        <w:contextualSpacing/>
        <w:jc w:val="left"/>
        <w:rPr>
          <w:rFonts w:hint="eastAsia" w:ascii="宋体" w:hAnsi="宋体" w:eastAsia="宋体" w:cs="宋体"/>
          <w:sz w:val="24"/>
          <w:szCs w:val="24"/>
        </w:rPr>
      </w:pPr>
      <w:r>
        <w:rPr>
          <w:rFonts w:hint="eastAsia" w:ascii="宋体" w:hAnsi="宋体" w:eastAsia="宋体" w:cs="宋体"/>
          <w:sz w:val="24"/>
          <w:szCs w:val="24"/>
        </w:rPr>
        <w:t>7.5.1 因发包人原因导致工期延误</w:t>
      </w:r>
    </w:p>
    <w:p w14:paraId="6DBF205B">
      <w:pPr>
        <w:ind w:firstLine="480" w:firstLineChars="200"/>
        <w:contextualSpacing/>
        <w:jc w:val="left"/>
        <w:rPr>
          <w:rFonts w:hint="eastAsia" w:ascii="宋体" w:hAnsi="宋体" w:eastAsia="宋体" w:cs="宋体"/>
          <w:sz w:val="24"/>
          <w:szCs w:val="24"/>
        </w:rPr>
      </w:pPr>
      <w:r>
        <w:rPr>
          <w:rFonts w:hint="eastAsia" w:ascii="宋体" w:hAnsi="宋体" w:eastAsia="宋体" w:cs="宋体"/>
          <w:sz w:val="24"/>
          <w:szCs w:val="24"/>
        </w:rPr>
        <w:t>（7）因发包人原因导致工期延误的其他情形：</w:t>
      </w:r>
      <w:r>
        <w:rPr>
          <w:rFonts w:hint="eastAsia" w:ascii="宋体" w:hAnsi="宋体" w:eastAsia="宋体" w:cs="宋体"/>
          <w:sz w:val="24"/>
          <w:szCs w:val="24"/>
          <w:u w:val="single"/>
        </w:rPr>
        <w:t>无</w:t>
      </w:r>
      <w:r>
        <w:rPr>
          <w:rFonts w:hint="eastAsia" w:ascii="宋体" w:hAnsi="宋体" w:eastAsia="宋体" w:cs="宋体"/>
          <w:sz w:val="24"/>
          <w:szCs w:val="24"/>
        </w:rPr>
        <w:t>。</w:t>
      </w:r>
    </w:p>
    <w:p w14:paraId="1CB84D38">
      <w:pPr>
        <w:ind w:firstLine="480" w:firstLineChars="200"/>
        <w:contextualSpacing/>
        <w:jc w:val="left"/>
        <w:rPr>
          <w:rFonts w:hint="eastAsia" w:ascii="宋体" w:hAnsi="宋体" w:eastAsia="宋体" w:cs="宋体"/>
          <w:sz w:val="24"/>
          <w:szCs w:val="24"/>
        </w:rPr>
      </w:pPr>
      <w:r>
        <w:rPr>
          <w:rFonts w:hint="eastAsia" w:ascii="宋体" w:hAnsi="宋体" w:eastAsia="宋体" w:cs="宋体"/>
          <w:sz w:val="24"/>
          <w:szCs w:val="24"/>
        </w:rPr>
        <w:t>7.5.2 因承包人原因导致工期延误</w:t>
      </w:r>
    </w:p>
    <w:p w14:paraId="187AA659">
      <w:pPr>
        <w:ind w:right="0" w:rightChars="0" w:firstLine="480" w:firstLineChars="200"/>
        <w:contextualSpacing/>
        <w:rPr>
          <w:rFonts w:hint="eastAsia" w:ascii="宋体" w:hAnsi="宋体" w:eastAsia="宋体" w:cs="宋体"/>
          <w:sz w:val="24"/>
          <w:szCs w:val="24"/>
        </w:rPr>
      </w:pPr>
      <w:r>
        <w:rPr>
          <w:rFonts w:hint="eastAsia" w:ascii="宋体" w:hAnsi="宋体" w:eastAsia="宋体" w:cs="宋体"/>
          <w:sz w:val="24"/>
          <w:szCs w:val="24"/>
        </w:rPr>
        <w:t>因承包人不及时向发包人提供材料需求计划或需求计划有误，导致出现工期延误，工期不予顺延。</w:t>
      </w:r>
    </w:p>
    <w:p w14:paraId="0905AFBB">
      <w:pPr>
        <w:autoSpaceDE w:val="0"/>
        <w:autoSpaceDN w:val="0"/>
        <w:ind w:firstLine="480" w:firstLineChars="200"/>
        <w:contextualSpacing/>
        <w:jc w:val="left"/>
        <w:rPr>
          <w:rFonts w:hint="eastAsia" w:ascii="宋体" w:hAnsi="宋体" w:eastAsia="宋体" w:cs="宋体"/>
          <w:kern w:val="0"/>
          <w:sz w:val="24"/>
          <w:szCs w:val="24"/>
        </w:rPr>
      </w:pPr>
      <w:r>
        <w:rPr>
          <w:rFonts w:hint="eastAsia" w:ascii="宋体" w:hAnsi="宋体" w:eastAsia="宋体" w:cs="宋体"/>
          <w:kern w:val="0"/>
          <w:sz w:val="24"/>
          <w:szCs w:val="24"/>
        </w:rPr>
        <w:t>承包人未能按照合同进度计划完成工作，或因承包人原因造成工期延误，发包人可按照本条规定要求承包人支付误期赔偿费。</w:t>
      </w:r>
    </w:p>
    <w:p w14:paraId="338E6026">
      <w:pPr>
        <w:autoSpaceDE w:val="0"/>
        <w:autoSpaceDN w:val="0"/>
        <w:ind w:firstLine="482" w:firstLineChars="200"/>
        <w:contextualSpacing/>
        <w:jc w:val="left"/>
        <w:rPr>
          <w:rFonts w:hint="eastAsia" w:ascii="宋体" w:hAnsi="宋体" w:eastAsia="宋体" w:cs="宋体"/>
          <w:b/>
          <w:kern w:val="0"/>
          <w:sz w:val="24"/>
          <w:szCs w:val="24"/>
        </w:rPr>
      </w:pPr>
      <w:r>
        <w:rPr>
          <w:rFonts w:hint="eastAsia" w:ascii="宋体" w:hAnsi="宋体" w:eastAsia="宋体" w:cs="宋体"/>
          <w:b/>
          <w:kern w:val="0"/>
          <w:sz w:val="24"/>
          <w:szCs w:val="24"/>
        </w:rPr>
        <w:t>增加误期赔偿费的约定：</w:t>
      </w:r>
    </w:p>
    <w:p w14:paraId="37FC2D4C">
      <w:pPr>
        <w:ind w:right="0" w:rightChars="0" w:firstLine="480" w:firstLineChars="200"/>
        <w:contextualSpacing/>
        <w:rPr>
          <w:rFonts w:hint="eastAsia" w:ascii="宋体" w:hAnsi="宋体" w:eastAsia="宋体" w:cs="宋体"/>
          <w:sz w:val="24"/>
          <w:szCs w:val="24"/>
        </w:rPr>
      </w:pPr>
      <w:r>
        <w:rPr>
          <w:rFonts w:hint="eastAsia" w:ascii="宋体" w:hAnsi="宋体" w:eastAsia="宋体" w:cs="宋体"/>
          <w:sz w:val="24"/>
          <w:szCs w:val="24"/>
        </w:rPr>
        <w:t>（1）本项目工期考核节点共有</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2</w:t>
      </w:r>
      <w:r>
        <w:rPr>
          <w:rFonts w:hint="eastAsia" w:ascii="宋体" w:hAnsi="宋体" w:eastAsia="宋体" w:cs="宋体"/>
          <w:sz w:val="24"/>
          <w:szCs w:val="24"/>
          <w:u w:val="single"/>
        </w:rPr>
        <w:t xml:space="preserve">  </w:t>
      </w:r>
      <w:r>
        <w:rPr>
          <w:rFonts w:hint="eastAsia" w:ascii="宋体" w:hAnsi="宋体" w:eastAsia="宋体" w:cs="宋体"/>
          <w:sz w:val="24"/>
          <w:szCs w:val="24"/>
        </w:rPr>
        <w:t>个，分别是：</w:t>
      </w:r>
    </w:p>
    <w:p w14:paraId="20D449D4">
      <w:pPr>
        <w:ind w:right="0" w:rightChars="0" w:firstLine="480" w:firstLineChars="200"/>
        <w:contextualSpacing/>
        <w:rPr>
          <w:rFonts w:hint="eastAsia" w:ascii="宋体" w:hAnsi="宋体" w:eastAsia="宋体" w:cs="宋体"/>
          <w:sz w:val="24"/>
          <w:szCs w:val="24"/>
        </w:rPr>
      </w:pPr>
      <w:r>
        <w:rPr>
          <w:rFonts w:hint="eastAsia" w:ascii="宋体" w:hAnsi="宋体" w:eastAsia="宋体" w:cs="宋体"/>
          <w:sz w:val="24"/>
          <w:szCs w:val="24"/>
        </w:rPr>
        <w:t xml:space="preserve">     年   月   日前完成所有项目并完成预验收；</w:t>
      </w:r>
    </w:p>
    <w:p w14:paraId="15C9DB2C">
      <w:pPr>
        <w:ind w:right="0" w:rightChars="0" w:firstLine="480" w:firstLineChars="200"/>
        <w:contextualSpacing/>
        <w:rPr>
          <w:rFonts w:hint="eastAsia" w:ascii="宋体" w:hAnsi="宋体" w:eastAsia="宋体" w:cs="宋体"/>
          <w:b/>
          <w:sz w:val="24"/>
          <w:szCs w:val="24"/>
          <w:shd w:val="pct10" w:color="auto" w:fill="FFFFFF"/>
        </w:rPr>
      </w:pPr>
      <w:r>
        <w:rPr>
          <w:rFonts w:hint="eastAsia" w:ascii="宋体" w:hAnsi="宋体" w:eastAsia="宋体" w:cs="宋体"/>
          <w:sz w:val="24"/>
          <w:szCs w:val="24"/>
        </w:rPr>
        <w:t xml:space="preserve">     年   月   日前完成工程竣工验收。</w:t>
      </w:r>
    </w:p>
    <w:p w14:paraId="75FD5DAA">
      <w:pPr>
        <w:ind w:right="0" w:rightChars="0" w:firstLine="480" w:firstLineChars="200"/>
        <w:contextualSpacing/>
        <w:rPr>
          <w:rFonts w:hint="eastAsia" w:ascii="宋体" w:hAnsi="宋体" w:eastAsia="宋体" w:cs="宋体"/>
          <w:sz w:val="24"/>
          <w:szCs w:val="24"/>
        </w:rPr>
      </w:pPr>
      <w:r>
        <w:rPr>
          <w:rFonts w:hint="eastAsia" w:ascii="宋体" w:hAnsi="宋体" w:eastAsia="宋体" w:cs="宋体"/>
          <w:sz w:val="24"/>
          <w:szCs w:val="24"/>
        </w:rPr>
        <w:t>（2）若因承包人原因，工期考核节点出现延误，每延误一天，发包人按每个考核节点对应的合同造价（初始合同价+变更金额）的0.5‰向承包人收取违约金，并在考核节点完成的次月计量支付中扣除。对承包人工期延误的处理，不免除承包人应承担的保证工期按既定目标完成的责任与义务。</w:t>
      </w:r>
    </w:p>
    <w:p w14:paraId="507A04C2">
      <w:pPr>
        <w:ind w:right="0" w:rightChars="0" w:firstLine="480" w:firstLineChars="200"/>
        <w:contextualSpacing/>
        <w:rPr>
          <w:rFonts w:hint="eastAsia" w:ascii="宋体" w:hAnsi="宋体" w:eastAsia="宋体" w:cs="宋体"/>
          <w:sz w:val="24"/>
          <w:szCs w:val="24"/>
        </w:rPr>
      </w:pPr>
      <w:r>
        <w:rPr>
          <w:rFonts w:hint="eastAsia" w:ascii="宋体" w:hAnsi="宋体" w:eastAsia="宋体" w:cs="宋体"/>
          <w:sz w:val="24"/>
          <w:szCs w:val="24"/>
        </w:rPr>
        <w:t>（3）承包人上一个工期考核节点出现延误受到处理，若承包人当期工期考核节点达标或提前，则无息返还上一个工期考核节点因工期延误所缴纳的违约金；若承包人当期工期考核节点仍继续出现延误，则上一个工期考核节点因工期延误所缴纳的违约金不予返还。</w:t>
      </w:r>
    </w:p>
    <w:p w14:paraId="41E0A2DA">
      <w:pPr>
        <w:autoSpaceDE w:val="0"/>
        <w:autoSpaceDN w:val="0"/>
        <w:ind w:firstLine="480" w:firstLineChars="200"/>
        <w:contextualSpacing/>
        <w:jc w:val="left"/>
        <w:rPr>
          <w:rFonts w:hint="eastAsia" w:ascii="宋体" w:hAnsi="宋体" w:eastAsia="宋体" w:cs="宋体"/>
          <w:kern w:val="0"/>
          <w:sz w:val="24"/>
          <w:szCs w:val="24"/>
        </w:rPr>
      </w:pPr>
      <w:r>
        <w:rPr>
          <w:rFonts w:hint="eastAsia" w:ascii="宋体" w:hAnsi="宋体" w:eastAsia="宋体" w:cs="宋体"/>
          <w:kern w:val="0"/>
          <w:sz w:val="24"/>
          <w:szCs w:val="24"/>
        </w:rPr>
        <w:t>（4）误期赔偿费最高限额为合同签约价的</w:t>
      </w:r>
      <w:r>
        <w:rPr>
          <w:rFonts w:hint="eastAsia" w:ascii="宋体" w:hAnsi="宋体" w:eastAsia="宋体" w:cs="宋体"/>
          <w:kern w:val="0"/>
          <w:sz w:val="24"/>
          <w:szCs w:val="24"/>
          <w:u w:val="single"/>
        </w:rPr>
        <w:t>1%</w:t>
      </w:r>
      <w:r>
        <w:rPr>
          <w:rFonts w:hint="eastAsia" w:ascii="宋体" w:hAnsi="宋体" w:eastAsia="宋体" w:cs="宋体"/>
          <w:kern w:val="0"/>
          <w:sz w:val="24"/>
          <w:szCs w:val="24"/>
        </w:rPr>
        <w:t>。</w:t>
      </w:r>
    </w:p>
    <w:p w14:paraId="1F0608A3">
      <w:pPr>
        <w:autoSpaceDE w:val="0"/>
        <w:autoSpaceDN w:val="0"/>
        <w:ind w:firstLine="480" w:firstLineChars="200"/>
        <w:contextualSpacing/>
        <w:jc w:val="left"/>
        <w:rPr>
          <w:rFonts w:hint="eastAsia" w:ascii="宋体" w:hAnsi="宋体" w:eastAsia="宋体" w:cs="宋体"/>
          <w:kern w:val="0"/>
          <w:sz w:val="24"/>
          <w:szCs w:val="24"/>
        </w:rPr>
      </w:pPr>
      <w:r>
        <w:rPr>
          <w:rFonts w:hint="eastAsia" w:ascii="宋体" w:hAnsi="宋体" w:eastAsia="宋体" w:cs="宋体"/>
          <w:kern w:val="0"/>
          <w:sz w:val="24"/>
          <w:szCs w:val="24"/>
        </w:rPr>
        <w:t>如果承包人的实际进度迟于计划进度，发包人有权向承包人索取并得到实际延误天数和专用合同条款约定的每日历天应赔额度的乘积计算的误期赔偿费。误期赔偿费列入进度支付文件或竣工结算文件中，在进度款或结算款中扣除。</w:t>
      </w:r>
    </w:p>
    <w:p w14:paraId="7E464EA0">
      <w:pPr>
        <w:ind w:firstLine="482" w:firstLineChars="200"/>
        <w:contextualSpacing/>
        <w:jc w:val="left"/>
        <w:rPr>
          <w:rFonts w:hint="eastAsia" w:ascii="宋体" w:hAnsi="宋体" w:eastAsia="宋体" w:cs="宋体"/>
          <w:b/>
          <w:bCs/>
          <w:sz w:val="24"/>
          <w:szCs w:val="24"/>
        </w:rPr>
      </w:pPr>
      <w:r>
        <w:rPr>
          <w:rFonts w:hint="eastAsia" w:ascii="宋体" w:hAnsi="宋体" w:eastAsia="宋体" w:cs="宋体"/>
          <w:b/>
          <w:bCs/>
          <w:sz w:val="24"/>
          <w:szCs w:val="24"/>
        </w:rPr>
        <w:t>增加7.5.3条款：</w:t>
      </w:r>
    </w:p>
    <w:p w14:paraId="42B84CD2">
      <w:pPr>
        <w:ind w:firstLine="480" w:firstLineChars="200"/>
        <w:contextualSpacing/>
        <w:jc w:val="left"/>
        <w:rPr>
          <w:rFonts w:hint="eastAsia" w:ascii="宋体" w:hAnsi="宋体" w:eastAsia="宋体" w:cs="宋体"/>
          <w:b/>
          <w:sz w:val="24"/>
          <w:szCs w:val="24"/>
        </w:rPr>
      </w:pPr>
      <w:r>
        <w:rPr>
          <w:rFonts w:hint="eastAsia" w:ascii="宋体" w:hAnsi="宋体" w:eastAsia="宋体" w:cs="宋体"/>
          <w:sz w:val="24"/>
          <w:szCs w:val="24"/>
        </w:rPr>
        <w:t>7.5.3对承包人工期要求</w:t>
      </w:r>
    </w:p>
    <w:p w14:paraId="0D90BC06">
      <w:pPr>
        <w:tabs>
          <w:tab w:val="left" w:pos="1740"/>
        </w:tabs>
        <w:ind w:firstLine="480" w:firstLineChars="200"/>
        <w:contextualSpacing/>
        <w:rPr>
          <w:rFonts w:hint="eastAsia" w:ascii="宋体" w:hAnsi="宋体" w:eastAsia="宋体" w:cs="宋体"/>
          <w:color w:val="000000"/>
          <w:sz w:val="24"/>
          <w:szCs w:val="24"/>
        </w:rPr>
      </w:pPr>
      <w:r>
        <w:rPr>
          <w:rFonts w:hint="eastAsia" w:ascii="宋体" w:hAnsi="宋体" w:eastAsia="宋体" w:cs="宋体"/>
          <w:kern w:val="0"/>
          <w:sz w:val="24"/>
          <w:szCs w:val="24"/>
        </w:rPr>
        <w:t>（1）</w:t>
      </w:r>
      <w:r>
        <w:rPr>
          <w:rFonts w:hint="eastAsia" w:ascii="宋体" w:hAnsi="宋体" w:eastAsia="宋体" w:cs="宋体"/>
          <w:color w:val="000000"/>
          <w:sz w:val="24"/>
          <w:szCs w:val="24"/>
        </w:rPr>
        <w:t>承包人必须明确本工程的关键工期、关键工序以及工程中的难点、重点；并拟定相应的施工方案、施工工艺、技术措施以及确保关键工期实现的保证措施；上述相应的方案、工艺、措施均包含在报价中。</w:t>
      </w:r>
    </w:p>
    <w:p w14:paraId="587F37B1">
      <w:pPr>
        <w:tabs>
          <w:tab w:val="left" w:pos="1740"/>
        </w:tabs>
        <w:ind w:firstLine="480" w:firstLineChars="200"/>
        <w:contextualSpacing/>
        <w:rPr>
          <w:rFonts w:hint="eastAsia" w:ascii="宋体" w:hAnsi="宋体" w:eastAsia="宋体" w:cs="宋体"/>
          <w:color w:val="000000"/>
          <w:sz w:val="24"/>
          <w:szCs w:val="24"/>
        </w:rPr>
      </w:pPr>
      <w:r>
        <w:rPr>
          <w:rFonts w:hint="eastAsia" w:ascii="宋体" w:hAnsi="宋体" w:eastAsia="宋体" w:cs="宋体"/>
          <w:kern w:val="0"/>
          <w:sz w:val="24"/>
          <w:szCs w:val="24"/>
        </w:rPr>
        <w:t>（2）</w:t>
      </w:r>
      <w:r>
        <w:rPr>
          <w:rFonts w:hint="eastAsia" w:ascii="宋体" w:hAnsi="宋体" w:eastAsia="宋体" w:cs="宋体"/>
          <w:color w:val="000000"/>
          <w:sz w:val="24"/>
          <w:szCs w:val="24"/>
        </w:rPr>
        <w:t>承包人必须无条件服从，并在施工组织中采取一切有效的措施，确保关键工期节点的工程完成。</w:t>
      </w:r>
    </w:p>
    <w:p w14:paraId="38D5E309">
      <w:pPr>
        <w:tabs>
          <w:tab w:val="left" w:pos="1740"/>
        </w:tabs>
        <w:ind w:firstLine="480" w:firstLineChars="200"/>
        <w:contextualSpacing/>
        <w:rPr>
          <w:rFonts w:hint="eastAsia" w:ascii="宋体" w:hAnsi="宋体" w:eastAsia="宋体" w:cs="宋体"/>
          <w:color w:val="000000"/>
          <w:sz w:val="24"/>
          <w:szCs w:val="24"/>
        </w:rPr>
      </w:pPr>
      <w:r>
        <w:rPr>
          <w:rFonts w:hint="eastAsia" w:ascii="宋体" w:hAnsi="宋体" w:eastAsia="宋体" w:cs="宋体"/>
          <w:kern w:val="0"/>
          <w:sz w:val="24"/>
          <w:szCs w:val="24"/>
        </w:rPr>
        <w:t>（3）</w:t>
      </w:r>
      <w:r>
        <w:rPr>
          <w:rFonts w:hint="eastAsia" w:ascii="宋体" w:hAnsi="宋体" w:eastAsia="宋体" w:cs="宋体"/>
          <w:color w:val="000000"/>
          <w:sz w:val="24"/>
          <w:szCs w:val="24"/>
        </w:rPr>
        <w:t>由于各种原因，发包人可根据工程发展的需要，重新调整确立新的“关键工期”项目，承包人应从大局出发采取积极的措施，调整施工组织安排，配合发包人完成新增的关键工期的项目。</w:t>
      </w:r>
    </w:p>
    <w:p w14:paraId="685A67E6">
      <w:pPr>
        <w:ind w:firstLine="482" w:firstLineChars="200"/>
        <w:contextualSpacing/>
        <w:rPr>
          <w:rFonts w:hint="eastAsia" w:ascii="宋体" w:hAnsi="宋体" w:eastAsia="宋体" w:cs="宋体"/>
          <w:b/>
          <w:bCs/>
          <w:color w:val="000000"/>
          <w:sz w:val="24"/>
          <w:szCs w:val="24"/>
        </w:rPr>
      </w:pPr>
      <w:r>
        <w:rPr>
          <w:rFonts w:hint="eastAsia" w:ascii="宋体" w:hAnsi="宋体" w:eastAsia="宋体" w:cs="宋体"/>
          <w:b/>
          <w:bCs/>
          <w:color w:val="000000"/>
          <w:sz w:val="24"/>
          <w:szCs w:val="24"/>
        </w:rPr>
        <w:t>7.6不利物质条件</w:t>
      </w:r>
    </w:p>
    <w:p w14:paraId="65312A3B">
      <w:pPr>
        <w:ind w:firstLine="480" w:firstLineChars="200"/>
        <w:contextualSpacing/>
        <w:jc w:val="left"/>
        <w:rPr>
          <w:rFonts w:hint="eastAsia" w:ascii="宋体" w:hAnsi="宋体" w:eastAsia="宋体" w:cs="宋体"/>
          <w:sz w:val="24"/>
          <w:szCs w:val="24"/>
        </w:rPr>
      </w:pPr>
      <w:r>
        <w:rPr>
          <w:rFonts w:hint="eastAsia" w:ascii="宋体" w:hAnsi="宋体" w:eastAsia="宋体" w:cs="宋体"/>
          <w:sz w:val="24"/>
          <w:szCs w:val="24"/>
        </w:rPr>
        <w:t>不利物质条件的其他情形和有关约定：</w:t>
      </w:r>
      <w:r>
        <w:rPr>
          <w:rFonts w:hint="eastAsia" w:ascii="宋体" w:hAnsi="宋体" w:eastAsia="宋体" w:cs="宋体"/>
          <w:sz w:val="24"/>
          <w:szCs w:val="24"/>
          <w:u w:val="single"/>
        </w:rPr>
        <w:t>无</w:t>
      </w:r>
      <w:r>
        <w:rPr>
          <w:rFonts w:hint="eastAsia" w:ascii="宋体" w:hAnsi="宋体" w:eastAsia="宋体" w:cs="宋体"/>
          <w:sz w:val="24"/>
          <w:szCs w:val="24"/>
        </w:rPr>
        <w:t>。</w:t>
      </w:r>
    </w:p>
    <w:p w14:paraId="48451194">
      <w:pPr>
        <w:ind w:firstLine="482" w:firstLineChars="200"/>
        <w:contextualSpacing/>
        <w:rPr>
          <w:rFonts w:hint="eastAsia" w:ascii="宋体" w:hAnsi="宋体" w:eastAsia="宋体" w:cs="宋体"/>
          <w:b/>
          <w:bCs/>
          <w:color w:val="000000"/>
          <w:sz w:val="24"/>
          <w:szCs w:val="24"/>
        </w:rPr>
      </w:pPr>
      <w:r>
        <w:rPr>
          <w:rFonts w:hint="eastAsia" w:ascii="宋体" w:hAnsi="宋体" w:eastAsia="宋体" w:cs="宋体"/>
          <w:b/>
          <w:bCs/>
          <w:color w:val="000000"/>
          <w:sz w:val="24"/>
          <w:szCs w:val="24"/>
        </w:rPr>
        <w:t>7.7异常恶劣的气候条件</w:t>
      </w:r>
    </w:p>
    <w:p w14:paraId="343F9ABD">
      <w:pPr>
        <w:ind w:firstLine="480" w:firstLineChars="200"/>
        <w:contextualSpacing/>
        <w:jc w:val="left"/>
        <w:rPr>
          <w:rFonts w:hint="eastAsia" w:ascii="宋体" w:hAnsi="宋体" w:eastAsia="宋体" w:cs="宋体"/>
          <w:sz w:val="24"/>
          <w:szCs w:val="24"/>
        </w:rPr>
      </w:pPr>
      <w:r>
        <w:rPr>
          <w:rFonts w:hint="eastAsia" w:ascii="宋体" w:hAnsi="宋体" w:eastAsia="宋体" w:cs="宋体"/>
          <w:sz w:val="24"/>
          <w:szCs w:val="24"/>
        </w:rPr>
        <w:t>发包人和承包人同意以下情形视为异常恶劣的气候条件：</w:t>
      </w:r>
      <w:r>
        <w:rPr>
          <w:rFonts w:hint="eastAsia" w:ascii="宋体" w:hAnsi="宋体" w:eastAsia="宋体" w:cs="宋体"/>
          <w:sz w:val="24"/>
          <w:szCs w:val="24"/>
          <w:u w:val="single"/>
        </w:rPr>
        <w:t>按国家规定</w:t>
      </w:r>
      <w:r>
        <w:rPr>
          <w:rFonts w:hint="eastAsia" w:ascii="宋体" w:hAnsi="宋体" w:eastAsia="宋体" w:cs="宋体"/>
          <w:sz w:val="24"/>
          <w:szCs w:val="24"/>
        </w:rPr>
        <w:t>；</w:t>
      </w:r>
    </w:p>
    <w:p w14:paraId="31F8AD5C">
      <w:pPr>
        <w:ind w:firstLine="482" w:firstLineChars="200"/>
        <w:contextualSpacing/>
        <w:rPr>
          <w:rFonts w:hint="eastAsia" w:ascii="宋体" w:hAnsi="宋体" w:eastAsia="宋体" w:cs="宋体"/>
          <w:b/>
          <w:sz w:val="24"/>
          <w:szCs w:val="24"/>
        </w:rPr>
      </w:pPr>
      <w:r>
        <w:rPr>
          <w:rFonts w:hint="eastAsia" w:ascii="宋体" w:hAnsi="宋体" w:eastAsia="宋体" w:cs="宋体"/>
          <w:b/>
          <w:sz w:val="24"/>
          <w:szCs w:val="24"/>
        </w:rPr>
        <w:t>7.8.3增加以下条款：</w:t>
      </w:r>
    </w:p>
    <w:p w14:paraId="278CE32E">
      <w:pPr>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为了保证工程质量安全，凡出现下列情况之一（不限于此）的，监理人有权下达停工令，责令承包人停工整改，由此造成的损失由承包人自行负责，造成工期延误的，承包人应承担责任：</w:t>
      </w:r>
    </w:p>
    <w:p w14:paraId="4922A5BC">
      <w:pPr>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a.质量事故；</w:t>
      </w:r>
    </w:p>
    <w:p w14:paraId="23037604">
      <w:pPr>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b.安全生产事故；</w:t>
      </w:r>
    </w:p>
    <w:p w14:paraId="0B7C7D35">
      <w:pPr>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c.拒绝监理人的管理；</w:t>
      </w:r>
    </w:p>
    <w:p w14:paraId="1ADFEF19">
      <w:pPr>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d.施工组织设计（方案）未获监理人批准而进行施工；</w:t>
      </w:r>
    </w:p>
    <w:p w14:paraId="2CE79703">
      <w:pPr>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e.未经监理人检验而进行下一道工序作业；</w:t>
      </w:r>
    </w:p>
    <w:p w14:paraId="4BC8A764">
      <w:pPr>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f.擅自采用未经监理人及发包人认可或批准的材料的，或者使用的原材料、构配件不合格或未经检查确认的，或者擅自采用未经认可的代用材料的；</w:t>
      </w:r>
    </w:p>
    <w:p w14:paraId="30695E0F">
      <w:pPr>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g.擅自变更设计图纸的要求；</w:t>
      </w:r>
    </w:p>
    <w:p w14:paraId="71B1563A">
      <w:pPr>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h.转包工程；</w:t>
      </w:r>
    </w:p>
    <w:p w14:paraId="3E7E199B">
      <w:pPr>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i.擅自让未经监理人批准的分包人进场作业；</w:t>
      </w:r>
    </w:p>
    <w:p w14:paraId="4731F8D8">
      <w:pPr>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j.存在安全隐患，未按监理人要求及时进行整改；</w:t>
      </w:r>
    </w:p>
    <w:p w14:paraId="174B75DE">
      <w:pPr>
        <w:ind w:firstLine="480" w:firstLineChars="200"/>
        <w:contextualSpacing/>
        <w:jc w:val="left"/>
        <w:rPr>
          <w:rFonts w:hint="eastAsia" w:ascii="宋体" w:hAnsi="宋体" w:eastAsia="宋体" w:cs="宋体"/>
          <w:sz w:val="24"/>
          <w:szCs w:val="24"/>
        </w:rPr>
      </w:pPr>
      <w:r>
        <w:rPr>
          <w:rFonts w:hint="eastAsia" w:ascii="宋体" w:hAnsi="宋体" w:eastAsia="宋体" w:cs="宋体"/>
          <w:sz w:val="24"/>
          <w:szCs w:val="24"/>
        </w:rPr>
        <w:t>k.未按双方约定的资料上报要求上报所需资料的。</w:t>
      </w:r>
    </w:p>
    <w:p w14:paraId="11B8E3F3">
      <w:pPr>
        <w:ind w:firstLine="482" w:firstLineChars="200"/>
        <w:contextualSpacing/>
        <w:rPr>
          <w:rFonts w:hint="eastAsia" w:ascii="宋体" w:hAnsi="宋体" w:eastAsia="宋体" w:cs="宋体"/>
          <w:b/>
          <w:bCs/>
          <w:color w:val="000000"/>
          <w:sz w:val="24"/>
          <w:szCs w:val="24"/>
        </w:rPr>
      </w:pPr>
      <w:r>
        <w:rPr>
          <w:rFonts w:hint="eastAsia" w:ascii="宋体" w:hAnsi="宋体" w:eastAsia="宋体" w:cs="宋体"/>
          <w:b/>
          <w:bCs/>
          <w:color w:val="000000"/>
          <w:sz w:val="24"/>
          <w:szCs w:val="24"/>
        </w:rPr>
        <w:t>7.8.6条款修改为：</w:t>
      </w:r>
    </w:p>
    <w:p w14:paraId="4668820E">
      <w:pPr>
        <w:ind w:firstLine="480" w:firstLineChars="200"/>
        <w:jc w:val="left"/>
        <w:rPr>
          <w:rFonts w:hint="eastAsia" w:ascii="宋体" w:hAnsi="宋体" w:eastAsia="宋体" w:cs="宋体"/>
          <w:b/>
          <w:color w:val="000000"/>
          <w:kern w:val="0"/>
          <w:sz w:val="24"/>
          <w:szCs w:val="24"/>
        </w:rPr>
      </w:pPr>
      <w:r>
        <w:rPr>
          <w:rFonts w:hint="eastAsia" w:ascii="宋体" w:hAnsi="宋体" w:eastAsia="宋体" w:cs="宋体"/>
          <w:color w:val="000000"/>
          <w:kern w:val="0"/>
          <w:sz w:val="24"/>
          <w:szCs w:val="24"/>
        </w:rPr>
        <w:t>监理人发出暂停施工指示未向承包人发出复工通知，除该项停工属于第7.8.2项〔承包人原因引起的暂停施工〕及第17条〔不可抗力〕等非发包人原因引起的暂停施工的情形外，工期顺延，发包人不承担其他任何责任。</w:t>
      </w:r>
    </w:p>
    <w:p w14:paraId="0D6F85F1">
      <w:pPr>
        <w:ind w:firstLine="482" w:firstLineChars="200"/>
        <w:contextualSpacing/>
        <w:rPr>
          <w:rFonts w:hint="eastAsia" w:ascii="宋体" w:hAnsi="宋体" w:eastAsia="宋体" w:cs="宋体"/>
          <w:b/>
          <w:bCs/>
          <w:color w:val="000000"/>
          <w:sz w:val="24"/>
          <w:szCs w:val="24"/>
        </w:rPr>
      </w:pPr>
      <w:r>
        <w:rPr>
          <w:rFonts w:hint="eastAsia" w:ascii="宋体" w:hAnsi="宋体" w:eastAsia="宋体" w:cs="宋体"/>
          <w:b/>
          <w:bCs/>
          <w:color w:val="000000"/>
          <w:sz w:val="24"/>
          <w:szCs w:val="24"/>
        </w:rPr>
        <w:t>7.9提前竣工的奖励</w:t>
      </w:r>
    </w:p>
    <w:p w14:paraId="2BE50664">
      <w:pPr>
        <w:autoSpaceDE w:val="0"/>
        <w:autoSpaceDN w:val="0"/>
        <w:ind w:left="0" w:right="0" w:firstLine="480" w:firstLineChars="200"/>
        <w:contextualSpacing/>
        <w:jc w:val="left"/>
        <w:rPr>
          <w:rFonts w:hint="eastAsia" w:ascii="宋体" w:hAnsi="宋体" w:eastAsia="宋体" w:cs="宋体"/>
          <w:sz w:val="24"/>
          <w:szCs w:val="24"/>
        </w:rPr>
      </w:pPr>
      <w:r>
        <w:rPr>
          <w:rFonts w:hint="eastAsia" w:ascii="宋体" w:hAnsi="宋体" w:eastAsia="宋体" w:cs="宋体"/>
          <w:sz w:val="24"/>
          <w:szCs w:val="24"/>
        </w:rPr>
        <w:t>7.9.2提前竣工的奖励：按如下约定。</w:t>
      </w:r>
    </w:p>
    <w:p w14:paraId="7FE90F00">
      <w:pPr>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如承包人自行提前竣工的，发包人不承担由此增加的费用；</w:t>
      </w:r>
    </w:p>
    <w:p w14:paraId="2EEBD955">
      <w:pPr>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如发包人要求工期调整的，按以下原则处理：</w:t>
      </w:r>
    </w:p>
    <w:p w14:paraId="009151FE">
      <w:pPr>
        <w:ind w:firstLine="480" w:firstLineChars="200"/>
        <w:contextualSpacing/>
        <w:rPr>
          <w:rFonts w:hint="eastAsia" w:ascii="宋体" w:hAnsi="宋体" w:eastAsia="宋体" w:cs="宋体"/>
          <w:sz w:val="24"/>
          <w:szCs w:val="24"/>
          <w:u w:val="single"/>
        </w:rPr>
      </w:pPr>
      <w:r>
        <w:rPr>
          <w:rFonts w:hint="eastAsia" w:ascii="宋体" w:hAnsi="宋体" w:eastAsia="宋体" w:cs="宋体"/>
          <w:sz w:val="24"/>
          <w:szCs w:val="24"/>
          <w:u w:val="single"/>
        </w:rPr>
        <w:t>（1）由于发包人原因引起工期调整，如果不影响关键线路的关键工期，则费用不作调整；</w:t>
      </w:r>
    </w:p>
    <w:p w14:paraId="32FEE9FF">
      <w:pPr>
        <w:ind w:firstLine="480" w:firstLineChars="200"/>
        <w:contextualSpacing/>
        <w:rPr>
          <w:rFonts w:hint="eastAsia" w:ascii="宋体" w:hAnsi="宋体" w:eastAsia="宋体" w:cs="宋体"/>
          <w:sz w:val="24"/>
          <w:szCs w:val="24"/>
          <w:u w:val="single"/>
        </w:rPr>
      </w:pPr>
      <w:r>
        <w:rPr>
          <w:rFonts w:hint="eastAsia" w:ascii="宋体" w:hAnsi="宋体" w:eastAsia="宋体" w:cs="宋体"/>
          <w:sz w:val="24"/>
          <w:szCs w:val="24"/>
          <w:u w:val="single"/>
        </w:rPr>
        <w:t>（2）由于发包人原因引起工期调整且影响到关键线路的关键工期，关键工期按每提前一天，给予承包人相应发包人指令赶工范围合同造价的0.05%作为补偿（关键工期指合同中明确约定的一个或几个时间），最高补偿不超相应发包人指令赶工范围合同造价的5%，于合同结算后支付。</w:t>
      </w:r>
    </w:p>
    <w:p w14:paraId="49D9D91C">
      <w:pPr>
        <w:pStyle w:val="5"/>
        <w:spacing w:before="0" w:after="0" w:line="240" w:lineRule="auto"/>
        <w:ind w:firstLine="482" w:firstLineChars="200"/>
        <w:contextualSpacing/>
        <w:rPr>
          <w:rFonts w:hint="eastAsia" w:ascii="宋体" w:hAnsi="宋体" w:eastAsia="宋体" w:cs="宋体"/>
          <w:color w:val="000000"/>
          <w:sz w:val="24"/>
          <w:szCs w:val="24"/>
        </w:rPr>
      </w:pPr>
      <w:bookmarkStart w:id="415" w:name="_Toc443898197"/>
      <w:r>
        <w:rPr>
          <w:rFonts w:hint="eastAsia" w:ascii="宋体" w:hAnsi="宋体" w:eastAsia="宋体" w:cs="宋体"/>
          <w:color w:val="000000"/>
          <w:sz w:val="24"/>
          <w:szCs w:val="24"/>
        </w:rPr>
        <w:t>8. 材料与设备</w:t>
      </w:r>
      <w:bookmarkEnd w:id="415"/>
    </w:p>
    <w:p w14:paraId="26DFEE40">
      <w:pPr>
        <w:pStyle w:val="6"/>
        <w:spacing w:before="0" w:after="0" w:line="240" w:lineRule="auto"/>
        <w:ind w:firstLine="482" w:firstLineChars="200"/>
        <w:contextualSpacing/>
        <w:rPr>
          <w:rFonts w:hint="eastAsia" w:ascii="宋体" w:hAnsi="宋体" w:eastAsia="宋体" w:cs="宋体"/>
          <w:b/>
          <w:bCs w:val="0"/>
          <w:color w:val="000000"/>
          <w:sz w:val="24"/>
          <w:szCs w:val="24"/>
        </w:rPr>
      </w:pPr>
      <w:bookmarkStart w:id="416" w:name="_Toc443898198"/>
      <w:r>
        <w:rPr>
          <w:rFonts w:hint="eastAsia" w:ascii="宋体" w:hAnsi="宋体" w:eastAsia="宋体" w:cs="宋体"/>
          <w:color w:val="000000"/>
          <w:sz w:val="24"/>
          <w:szCs w:val="24"/>
        </w:rPr>
        <w:t>8.1</w:t>
      </w:r>
      <w:r>
        <w:rPr>
          <w:rFonts w:hint="eastAsia" w:ascii="宋体" w:hAnsi="宋体" w:eastAsia="宋体" w:cs="宋体"/>
          <w:b/>
          <w:bCs w:val="0"/>
          <w:color w:val="000000"/>
          <w:sz w:val="24"/>
          <w:szCs w:val="24"/>
        </w:rPr>
        <w:t>发包人供应材料与工程设备</w:t>
      </w:r>
      <w:bookmarkEnd w:id="416"/>
    </w:p>
    <w:p w14:paraId="3E5B9A4A">
      <w:pPr>
        <w:ind w:firstLine="482" w:firstLineChars="200"/>
        <w:contextualSpacing/>
        <w:rPr>
          <w:rFonts w:hint="eastAsia" w:ascii="宋体" w:hAnsi="宋体" w:eastAsia="宋体" w:cs="宋体"/>
          <w:b/>
          <w:sz w:val="24"/>
          <w:szCs w:val="24"/>
        </w:rPr>
      </w:pPr>
      <w:r>
        <w:rPr>
          <w:rFonts w:hint="eastAsia" w:ascii="宋体" w:hAnsi="宋体" w:eastAsia="宋体" w:cs="宋体"/>
          <w:b/>
          <w:sz w:val="24"/>
          <w:szCs w:val="24"/>
        </w:rPr>
        <w:t>增加以下条款：</w:t>
      </w:r>
    </w:p>
    <w:p w14:paraId="696B0BAE">
      <w:pPr>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8.1.1合同规定属于发包人供应的材料和设备，在未取得发包人批准的情况下，承包人就擅自购买材料和设备的，发包人将不予计量该部分材料和设备款。</w:t>
      </w:r>
    </w:p>
    <w:p w14:paraId="5AD730B1">
      <w:pPr>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合同规定属于发包人指定供应的材料和设备，发包人有权根据客观条件要求承包人自己购买材料和设备，承包人不应拒绝发包人的要求。若因任何原因致使部分材料改由发包人供应的，承包人应按8.1.2、8.3、8.4和8.5等相关条款执行。</w:t>
      </w:r>
    </w:p>
    <w:p w14:paraId="054F7E31">
      <w:pPr>
        <w:ind w:firstLine="480" w:firstLineChars="200"/>
        <w:contextualSpacing/>
        <w:rPr>
          <w:rFonts w:hint="eastAsia" w:ascii="宋体" w:hAnsi="宋体" w:eastAsia="宋体" w:cs="宋体"/>
          <w:sz w:val="24"/>
          <w:szCs w:val="24"/>
          <w:u w:val="single"/>
        </w:rPr>
      </w:pPr>
      <w:r>
        <w:rPr>
          <w:rFonts w:hint="eastAsia" w:ascii="宋体" w:hAnsi="宋体" w:eastAsia="宋体" w:cs="宋体"/>
          <w:sz w:val="24"/>
          <w:szCs w:val="24"/>
        </w:rPr>
        <w:t>8.1.2</w:t>
      </w:r>
      <w:r>
        <w:rPr>
          <w:rFonts w:hint="eastAsia" w:ascii="宋体" w:hAnsi="宋体" w:eastAsia="宋体" w:cs="宋体"/>
          <w:sz w:val="24"/>
          <w:szCs w:val="24"/>
          <w:u w:val="single"/>
        </w:rPr>
        <w:t>本合同工程所需的部分材料及设备由发包人指定供货商供应（部分材料及设备由供货商安装，详见附件2《发包人供应材料设备一览表》），承包人应负责发包人供应材料及设备的二次运输、协助安装、成品保护、提供临时设施及材料堆放场地等工作，并为需供货商安装的材料及设备免费提供安装条件，上述所有工作对应的费用已包含在投标报价中。因承包人不能提供安装条件或承包人提供的安装条件不能满足施工要求导致工期延误或材料损耗的，由承包人承担全部责任。发包人有权在应付给承包人的合同款项中扣除相关费用。</w:t>
      </w:r>
    </w:p>
    <w:p w14:paraId="7C14F29C">
      <w:pPr>
        <w:pStyle w:val="6"/>
        <w:spacing w:before="0" w:after="0" w:line="240" w:lineRule="auto"/>
        <w:ind w:firstLine="482" w:firstLineChars="200"/>
        <w:contextualSpacing/>
        <w:rPr>
          <w:rFonts w:hint="eastAsia" w:ascii="宋体" w:hAnsi="宋体" w:eastAsia="宋体" w:cs="宋体"/>
          <w:b/>
          <w:bCs w:val="0"/>
          <w:color w:val="000000"/>
          <w:sz w:val="24"/>
          <w:szCs w:val="24"/>
        </w:rPr>
      </w:pPr>
      <w:bookmarkStart w:id="417" w:name="_Toc443898199"/>
      <w:r>
        <w:rPr>
          <w:rFonts w:hint="eastAsia" w:ascii="宋体" w:hAnsi="宋体" w:eastAsia="宋体" w:cs="宋体"/>
          <w:b/>
          <w:bCs w:val="0"/>
          <w:color w:val="000000"/>
          <w:sz w:val="24"/>
          <w:szCs w:val="24"/>
        </w:rPr>
        <w:t>8.2承包人采购材料与工程设备</w:t>
      </w:r>
      <w:bookmarkEnd w:id="417"/>
    </w:p>
    <w:p w14:paraId="5B1F030A">
      <w:pPr>
        <w:ind w:firstLine="482" w:firstLineChars="200"/>
        <w:contextualSpacing/>
        <w:rPr>
          <w:rFonts w:hint="eastAsia" w:ascii="宋体" w:hAnsi="宋体" w:eastAsia="宋体" w:cs="宋体"/>
          <w:b/>
          <w:sz w:val="24"/>
          <w:szCs w:val="24"/>
        </w:rPr>
      </w:pPr>
      <w:r>
        <w:rPr>
          <w:rFonts w:hint="eastAsia" w:ascii="宋体" w:hAnsi="宋体" w:eastAsia="宋体" w:cs="宋体"/>
          <w:b/>
          <w:sz w:val="24"/>
          <w:szCs w:val="24"/>
        </w:rPr>
        <w:t>增加以下条款：</w:t>
      </w:r>
    </w:p>
    <w:p w14:paraId="7A35FB8F">
      <w:pPr>
        <w:ind w:firstLine="480" w:firstLineChars="200"/>
        <w:contextualSpacing/>
        <w:rPr>
          <w:rFonts w:hint="eastAsia" w:ascii="宋体" w:hAnsi="宋体" w:eastAsia="宋体" w:cs="宋体"/>
          <w:color w:val="0000FF"/>
          <w:sz w:val="24"/>
          <w:szCs w:val="24"/>
        </w:rPr>
      </w:pPr>
      <w:r>
        <w:rPr>
          <w:rFonts w:hint="eastAsia" w:ascii="宋体" w:hAnsi="宋体" w:eastAsia="宋体" w:cs="宋体"/>
          <w:sz w:val="24"/>
          <w:szCs w:val="24"/>
        </w:rPr>
        <w:t>8.2.1本合同工程所需的</w:t>
      </w:r>
      <w:r>
        <w:rPr>
          <w:rFonts w:hint="eastAsia" w:ascii="宋体" w:hAnsi="宋体" w:eastAsia="宋体" w:cs="宋体"/>
          <w:sz w:val="24"/>
          <w:szCs w:val="24"/>
          <w:u w:val="single"/>
        </w:rPr>
        <w:t>/</w:t>
      </w:r>
      <w:r>
        <w:rPr>
          <w:rFonts w:hint="eastAsia" w:ascii="宋体" w:hAnsi="宋体" w:eastAsia="宋体" w:cs="宋体"/>
          <w:sz w:val="24"/>
          <w:szCs w:val="24"/>
        </w:rPr>
        <w:t>由发包人在招标时指定供应商供应，承包人中标后应立即与发包人确定的钢筋、商品砼材料供应商签定供应合同，并作为发包人向承包人支付预付款的条件之一。供应合同中明确具体品种、数量、标准、规格、型号、尺寸、供应办法、供货地点。承包人应严格按供货合同规定及时支付货款,若因不能及时支付货款造成供货合同纠纷的,由承包人承担所有责任。</w:t>
      </w:r>
    </w:p>
    <w:p w14:paraId="018AA769">
      <w:pPr>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8.2.2本工程发包人有权选择部分材料和设备进行推荐厂商，由承包人在合同约定范围内选择厂商采购，并按发包人的要求签订采购合同。合同未约定厂商推荐的，承包人应择优选择</w:t>
      </w:r>
      <w:r>
        <w:rPr>
          <w:rFonts w:hint="eastAsia" w:ascii="宋体" w:hAnsi="宋体" w:eastAsia="宋体" w:cs="宋体"/>
          <w:sz w:val="24"/>
          <w:szCs w:val="24"/>
          <w:u w:val="single"/>
        </w:rPr>
        <w:t>3家</w:t>
      </w:r>
      <w:r>
        <w:rPr>
          <w:rFonts w:hint="eastAsia" w:ascii="宋体" w:hAnsi="宋体" w:eastAsia="宋体" w:cs="宋体"/>
          <w:sz w:val="24"/>
          <w:szCs w:val="24"/>
        </w:rPr>
        <w:t>或以上同等档次的候选品牌和样品，报发包人最后核准，相关费用已包含在投标报价中。</w:t>
      </w:r>
    </w:p>
    <w:p w14:paraId="229CB6DB">
      <w:pPr>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8.2.3</w:t>
      </w:r>
      <w:r>
        <w:rPr>
          <w:rFonts w:hint="eastAsia" w:ascii="宋体" w:hAnsi="宋体" w:eastAsia="宋体" w:cs="宋体"/>
          <w:sz w:val="24"/>
          <w:szCs w:val="24"/>
          <w:u w:val="single"/>
        </w:rPr>
        <w:t>对于承包人采购的材料和设备，发包人保留代扣代付的权利。</w:t>
      </w:r>
    </w:p>
    <w:p w14:paraId="78E89545">
      <w:pPr>
        <w:ind w:firstLine="480" w:firstLineChars="200"/>
        <w:contextualSpacing/>
        <w:rPr>
          <w:rFonts w:hint="eastAsia" w:ascii="宋体" w:hAnsi="宋体" w:eastAsia="宋体" w:cs="宋体"/>
          <w:sz w:val="24"/>
          <w:szCs w:val="24"/>
        </w:rPr>
      </w:pPr>
      <w:r>
        <w:rPr>
          <w:rFonts w:hint="eastAsia" w:ascii="宋体" w:hAnsi="宋体" w:eastAsia="宋体" w:cs="宋体"/>
          <w:sz w:val="24"/>
          <w:szCs w:val="24"/>
          <w:u w:val="single"/>
        </w:rPr>
        <w:t>承包人应按照采购合同规定及时给供货商支付款项，发包人将对承包人延期支付超过60天的款项保留实行扣留直接支付给供货商的权利。采购合同的尾款发包人保留扣留直接支付给供货商的权利。</w:t>
      </w:r>
    </w:p>
    <w:p w14:paraId="116BD4A9">
      <w:pPr>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8.2.4承包人与发包人推荐厂商签订的供货合同，不解除承包人应负的质量、工期的责任。发包人推荐厂商供应的材料和设备如果不符合要求，应拒绝接收。</w:t>
      </w:r>
    </w:p>
    <w:p w14:paraId="3106A915">
      <w:pPr>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8.2.5承包人要充分考虑到选用材料符合设计技术要求，不能降低材料选用的标准，并要充分考虑及符合发包人对乙供材料选型定板审查确认的管理规定。</w:t>
      </w:r>
    </w:p>
    <w:p w14:paraId="0739ED1B">
      <w:pPr>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8.2.6依据《关于使用平台集中采购的承诺书》，本合同项下工程实施所需的钢筋、水泥、混凝土、装配式建筑部品部件、预拌砂浆，均须通过广州市建材集群采购管理服务综合平台采购。其中，采用非招标方式采购的，必须在城轨采购网(网址: www.mtrmart.com)实施采购。</w:t>
      </w:r>
    </w:p>
    <w:p w14:paraId="446003F4">
      <w:pPr>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8.2.7本合同项下工程实施所需的钢筋、水泥、混凝土、装配式建筑部品部件、预拌砂浆，未通过广州市建材集群采购管理服务综合平台采购，或采用非招标方式采购的但未在城轨采购网实施采购的，承包人须向发包人支付该部分材料款的 10%作为违约金。</w:t>
      </w:r>
    </w:p>
    <w:p w14:paraId="3DB6ECB7">
      <w:pPr>
        <w:pStyle w:val="6"/>
        <w:spacing w:before="0" w:after="0" w:line="240" w:lineRule="auto"/>
        <w:ind w:firstLine="482" w:firstLineChars="200"/>
        <w:contextualSpacing/>
        <w:rPr>
          <w:rFonts w:hint="eastAsia" w:ascii="宋体" w:hAnsi="宋体" w:eastAsia="宋体" w:cs="宋体"/>
          <w:b/>
          <w:bCs w:val="0"/>
          <w:color w:val="000000"/>
          <w:sz w:val="24"/>
          <w:szCs w:val="24"/>
        </w:rPr>
      </w:pPr>
      <w:bookmarkStart w:id="418" w:name="_Toc443898200"/>
      <w:r>
        <w:rPr>
          <w:rFonts w:hint="eastAsia" w:ascii="宋体" w:hAnsi="宋体" w:eastAsia="宋体" w:cs="宋体"/>
          <w:b/>
          <w:bCs w:val="0"/>
          <w:color w:val="000000"/>
          <w:sz w:val="24"/>
          <w:szCs w:val="24"/>
        </w:rPr>
        <w:t>8.3材料与工程设备的接收与拒收</w:t>
      </w:r>
      <w:bookmarkEnd w:id="418"/>
    </w:p>
    <w:p w14:paraId="63013208">
      <w:pPr>
        <w:ind w:firstLine="482" w:firstLineChars="200"/>
        <w:contextualSpacing/>
        <w:rPr>
          <w:rFonts w:hint="eastAsia" w:ascii="宋体" w:hAnsi="宋体" w:eastAsia="宋体" w:cs="宋体"/>
          <w:b/>
          <w:sz w:val="24"/>
          <w:szCs w:val="24"/>
        </w:rPr>
      </w:pPr>
      <w:r>
        <w:rPr>
          <w:rFonts w:hint="eastAsia" w:ascii="宋体" w:hAnsi="宋体" w:eastAsia="宋体" w:cs="宋体"/>
          <w:b/>
          <w:sz w:val="24"/>
          <w:szCs w:val="24"/>
        </w:rPr>
        <w:t>增加以下条款：</w:t>
      </w:r>
    </w:p>
    <w:p w14:paraId="3A810356">
      <w:pPr>
        <w:ind w:firstLine="480" w:firstLineChars="200"/>
        <w:contextualSpacing/>
        <w:rPr>
          <w:rFonts w:hint="eastAsia" w:ascii="宋体" w:hAnsi="宋体" w:eastAsia="宋体" w:cs="宋体"/>
          <w:sz w:val="24"/>
          <w:szCs w:val="24"/>
        </w:rPr>
      </w:pPr>
      <w:r>
        <w:rPr>
          <w:rFonts w:hint="eastAsia" w:ascii="宋体" w:hAnsi="宋体" w:eastAsia="宋体" w:cs="宋体"/>
          <w:color w:val="000000"/>
          <w:kern w:val="0"/>
          <w:sz w:val="24"/>
          <w:szCs w:val="24"/>
        </w:rPr>
        <w:t>8.3.3</w:t>
      </w:r>
      <w:r>
        <w:rPr>
          <w:rFonts w:hint="eastAsia" w:ascii="宋体" w:hAnsi="宋体" w:eastAsia="宋体" w:cs="宋体"/>
          <w:sz w:val="24"/>
          <w:szCs w:val="24"/>
          <w:u w:val="single"/>
        </w:rPr>
        <w:t>发包人供应材料及设备到达现场后：由承包人负责安装的发包人供应材料及设备，要立即进行四方验收（监理、发包人、承包人、供货商），验收完成后即移交承包人，产品的装卸、保护、安装等工作皆由承包人负责；由供货商负责安装的发包人供应材料及设备，由供货商卸货完成后，要立即进行四方验收（监理、发包人、承包人、供货商），承包人负责提供临时存放场地及材料保管的工作，供货商安装从开始到验收后期间，产品保护及保管由承包人负责。</w:t>
      </w:r>
    </w:p>
    <w:p w14:paraId="5653DC28">
      <w:pPr>
        <w:ind w:firstLine="482" w:firstLineChars="200"/>
        <w:contextualSpacing/>
        <w:rPr>
          <w:rFonts w:hint="eastAsia" w:ascii="宋体" w:hAnsi="宋体" w:eastAsia="宋体" w:cs="宋体"/>
          <w:b/>
          <w:bCs/>
          <w:color w:val="000000"/>
          <w:sz w:val="24"/>
          <w:szCs w:val="24"/>
        </w:rPr>
      </w:pPr>
      <w:r>
        <w:rPr>
          <w:rFonts w:hint="eastAsia" w:ascii="宋体" w:hAnsi="宋体" w:eastAsia="宋体" w:cs="宋体"/>
          <w:b/>
          <w:bCs/>
          <w:color w:val="000000"/>
          <w:sz w:val="24"/>
          <w:szCs w:val="24"/>
        </w:rPr>
        <w:t>8.4材料与工程设备的保管与使用</w:t>
      </w:r>
    </w:p>
    <w:p w14:paraId="701497FE">
      <w:pPr>
        <w:ind w:firstLine="480" w:firstLineChars="200"/>
        <w:contextualSpacing/>
        <w:jc w:val="left"/>
        <w:rPr>
          <w:rFonts w:hint="eastAsia" w:ascii="宋体" w:hAnsi="宋体" w:eastAsia="宋体" w:cs="宋体"/>
          <w:sz w:val="24"/>
          <w:szCs w:val="24"/>
          <w:u w:val="single"/>
        </w:rPr>
      </w:pPr>
      <w:r>
        <w:rPr>
          <w:rFonts w:hint="eastAsia" w:ascii="宋体" w:hAnsi="宋体" w:eastAsia="宋体" w:cs="宋体"/>
          <w:sz w:val="24"/>
          <w:szCs w:val="24"/>
        </w:rPr>
        <w:t>8.4.1发包人供应的材料设备的保管费用的承担：</w:t>
      </w:r>
      <w:r>
        <w:rPr>
          <w:rFonts w:hint="eastAsia" w:ascii="宋体" w:hAnsi="宋体" w:eastAsia="宋体" w:cs="宋体"/>
          <w:sz w:val="24"/>
          <w:szCs w:val="24"/>
          <w:u w:val="single"/>
        </w:rPr>
        <w:t>由承包人承担，费用包含在投标报价中。</w:t>
      </w:r>
    </w:p>
    <w:p w14:paraId="17F5F363">
      <w:pPr>
        <w:ind w:firstLine="482" w:firstLineChars="200"/>
        <w:contextualSpacing/>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8.5禁止使用不合格的材料和工程设备</w:t>
      </w:r>
    </w:p>
    <w:p w14:paraId="362C73C2">
      <w:pPr>
        <w:ind w:firstLine="482" w:firstLineChars="200"/>
        <w:contextualSpacing/>
        <w:rPr>
          <w:rFonts w:hint="eastAsia" w:ascii="宋体" w:hAnsi="宋体" w:eastAsia="宋体" w:cs="宋体"/>
          <w:b/>
          <w:bCs/>
          <w:sz w:val="24"/>
          <w:szCs w:val="24"/>
        </w:rPr>
      </w:pPr>
      <w:r>
        <w:rPr>
          <w:rFonts w:hint="eastAsia" w:ascii="宋体" w:hAnsi="宋体" w:eastAsia="宋体" w:cs="宋体"/>
          <w:b/>
          <w:bCs/>
          <w:color w:val="000000"/>
          <w:kern w:val="0"/>
          <w:sz w:val="24"/>
          <w:szCs w:val="24"/>
        </w:rPr>
        <w:t>8.5.3</w:t>
      </w:r>
      <w:r>
        <w:rPr>
          <w:rFonts w:hint="eastAsia" w:ascii="宋体" w:hAnsi="宋体" w:eastAsia="宋体" w:cs="宋体"/>
          <w:b/>
          <w:bCs/>
          <w:color w:val="000000"/>
          <w:sz w:val="24"/>
          <w:szCs w:val="24"/>
        </w:rPr>
        <w:t>增加以下条款：</w:t>
      </w:r>
    </w:p>
    <w:p w14:paraId="0B10FCD1">
      <w:pPr>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对于接收后的发包人供应材料及设备在施工过程中出现质量问题，若属于承包人在验收职责范围内应发现的问题，则承包人承担相应责任；若属于承包人在验收职责范围外的问题，则承包人不需承担责任。</w:t>
      </w:r>
    </w:p>
    <w:p w14:paraId="54D5E1C5">
      <w:pPr>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如承包人认为供货商供应的材料和设备如果不符合要求，应在四方验收时拒绝接收，并可要求提交第三方检验。若检验合格，检测费由承包人负责，同时承担由此造成的工期延误的全部责任；检验不合格，检测费由发包人负责，由此造成的工期延误由发包人负责。</w:t>
      </w:r>
    </w:p>
    <w:p w14:paraId="00745895">
      <w:pPr>
        <w:ind w:firstLine="482" w:firstLineChars="200"/>
        <w:contextualSpacing/>
        <w:rPr>
          <w:rFonts w:hint="eastAsia" w:ascii="宋体" w:hAnsi="宋体" w:eastAsia="宋体" w:cs="宋体"/>
          <w:b/>
          <w:bCs/>
          <w:color w:val="000000"/>
          <w:sz w:val="24"/>
          <w:szCs w:val="24"/>
        </w:rPr>
      </w:pPr>
      <w:r>
        <w:rPr>
          <w:rFonts w:hint="eastAsia" w:ascii="宋体" w:hAnsi="宋体" w:eastAsia="宋体" w:cs="宋体"/>
          <w:b/>
          <w:bCs/>
          <w:color w:val="000000"/>
          <w:sz w:val="24"/>
          <w:szCs w:val="24"/>
        </w:rPr>
        <w:t>8.6 样品</w:t>
      </w:r>
    </w:p>
    <w:p w14:paraId="78AF792B">
      <w:pPr>
        <w:autoSpaceDE w:val="0"/>
        <w:autoSpaceDN w:val="0"/>
        <w:ind w:firstLine="480" w:firstLineChars="200"/>
        <w:contextualSpacing/>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8.6.1</w:t>
      </w:r>
      <w:r>
        <w:rPr>
          <w:rFonts w:hint="eastAsia" w:ascii="宋体" w:hAnsi="宋体" w:eastAsia="宋体" w:cs="宋体"/>
          <w:color w:val="000000"/>
          <w:kern w:val="0"/>
          <w:sz w:val="24"/>
          <w:szCs w:val="24"/>
        </w:rPr>
        <w:tab/>
      </w:r>
      <w:r>
        <w:rPr>
          <w:rFonts w:hint="eastAsia" w:ascii="宋体" w:hAnsi="宋体" w:eastAsia="宋体" w:cs="宋体"/>
          <w:color w:val="000000"/>
          <w:kern w:val="0"/>
          <w:sz w:val="24"/>
          <w:szCs w:val="24"/>
        </w:rPr>
        <w:t>样品的报送与封存</w:t>
      </w:r>
    </w:p>
    <w:p w14:paraId="62023727">
      <w:pPr>
        <w:autoSpaceDE w:val="0"/>
        <w:autoSpaceDN w:val="0"/>
        <w:ind w:firstLine="480" w:firstLineChars="200"/>
        <w:contextualSpacing/>
        <w:jc w:val="left"/>
        <w:rPr>
          <w:rFonts w:hint="eastAsia" w:ascii="宋体" w:hAnsi="宋体" w:eastAsia="宋体" w:cs="宋体"/>
          <w:sz w:val="24"/>
          <w:szCs w:val="24"/>
        </w:rPr>
      </w:pPr>
      <w:r>
        <w:rPr>
          <w:rFonts w:hint="eastAsia" w:ascii="宋体" w:hAnsi="宋体" w:eastAsia="宋体" w:cs="宋体"/>
          <w:color w:val="000000"/>
          <w:kern w:val="0"/>
          <w:sz w:val="24"/>
          <w:szCs w:val="24"/>
        </w:rPr>
        <w:t>需要承包人报送样品的材料或工程设备，样品的种类、名称、规格、数量要求：</w:t>
      </w:r>
      <w:r>
        <w:rPr>
          <w:rFonts w:hint="eastAsia" w:ascii="宋体" w:hAnsi="宋体" w:eastAsia="宋体" w:cs="宋体"/>
          <w:sz w:val="24"/>
          <w:szCs w:val="24"/>
        </w:rPr>
        <w:t>。</w:t>
      </w:r>
    </w:p>
    <w:p w14:paraId="73DEAB15">
      <w:pPr>
        <w:ind w:firstLine="482" w:firstLineChars="200"/>
        <w:contextualSpacing/>
        <w:rPr>
          <w:rFonts w:hint="eastAsia" w:ascii="宋体" w:hAnsi="宋体" w:eastAsia="宋体" w:cs="宋体"/>
          <w:b/>
          <w:bCs/>
          <w:color w:val="000000"/>
          <w:sz w:val="24"/>
          <w:szCs w:val="24"/>
        </w:rPr>
      </w:pPr>
      <w:r>
        <w:rPr>
          <w:rFonts w:hint="eastAsia" w:ascii="宋体" w:hAnsi="宋体" w:eastAsia="宋体" w:cs="宋体"/>
          <w:b/>
          <w:bCs/>
          <w:color w:val="000000"/>
          <w:sz w:val="24"/>
          <w:szCs w:val="24"/>
        </w:rPr>
        <w:t>8.8 施工设备和临时设施</w:t>
      </w:r>
    </w:p>
    <w:p w14:paraId="6F7EB615">
      <w:pPr>
        <w:autoSpaceDE w:val="0"/>
        <w:autoSpaceDN w:val="0"/>
        <w:ind w:firstLine="480" w:firstLineChars="200"/>
        <w:contextualSpacing/>
        <w:jc w:val="left"/>
        <w:rPr>
          <w:rFonts w:hint="eastAsia" w:ascii="宋体" w:hAnsi="宋体" w:eastAsia="宋体" w:cs="宋体"/>
          <w:sz w:val="24"/>
          <w:szCs w:val="24"/>
        </w:rPr>
      </w:pPr>
      <w:r>
        <w:rPr>
          <w:rFonts w:hint="eastAsia" w:ascii="宋体" w:hAnsi="宋体" w:eastAsia="宋体" w:cs="宋体"/>
          <w:sz w:val="24"/>
          <w:szCs w:val="24"/>
        </w:rPr>
        <w:t>8.8.1 承包人提供的施工设备和临时设施</w:t>
      </w:r>
    </w:p>
    <w:p w14:paraId="5C6FD9CE">
      <w:pPr>
        <w:autoSpaceDE w:val="0"/>
        <w:autoSpaceDN w:val="0"/>
        <w:ind w:firstLine="480" w:firstLineChars="200"/>
        <w:contextualSpacing/>
        <w:jc w:val="left"/>
        <w:rPr>
          <w:rFonts w:hint="eastAsia" w:ascii="宋体" w:hAnsi="宋体" w:eastAsia="宋体" w:cs="宋体"/>
          <w:sz w:val="24"/>
          <w:szCs w:val="24"/>
        </w:rPr>
      </w:pPr>
      <w:r>
        <w:rPr>
          <w:rFonts w:hint="eastAsia" w:ascii="宋体" w:hAnsi="宋体" w:eastAsia="宋体" w:cs="宋体"/>
          <w:sz w:val="24"/>
          <w:szCs w:val="24"/>
        </w:rPr>
        <w:t>关于修建临时设施费用承担的约定：。</w:t>
      </w:r>
    </w:p>
    <w:p w14:paraId="115349B1">
      <w:pPr>
        <w:pStyle w:val="5"/>
        <w:spacing w:before="0" w:after="0" w:line="240" w:lineRule="auto"/>
        <w:ind w:firstLine="482" w:firstLineChars="200"/>
        <w:contextualSpacing/>
        <w:rPr>
          <w:rFonts w:hint="eastAsia" w:ascii="宋体" w:hAnsi="宋体" w:eastAsia="宋体" w:cs="宋体"/>
          <w:color w:val="000000"/>
          <w:sz w:val="24"/>
          <w:szCs w:val="24"/>
        </w:rPr>
      </w:pPr>
      <w:bookmarkStart w:id="419" w:name="_Toc443898201"/>
      <w:r>
        <w:rPr>
          <w:rFonts w:hint="eastAsia" w:ascii="宋体" w:hAnsi="宋体" w:eastAsia="宋体" w:cs="宋体"/>
          <w:color w:val="000000"/>
          <w:sz w:val="24"/>
          <w:szCs w:val="24"/>
        </w:rPr>
        <w:t>9. 试验与检验</w:t>
      </w:r>
      <w:bookmarkEnd w:id="419"/>
    </w:p>
    <w:p w14:paraId="52B04197">
      <w:pPr>
        <w:ind w:firstLine="482" w:firstLineChars="200"/>
        <w:contextualSpacing/>
        <w:rPr>
          <w:rFonts w:hint="eastAsia" w:ascii="宋体" w:hAnsi="宋体" w:eastAsia="宋体" w:cs="宋体"/>
          <w:b/>
          <w:bCs/>
          <w:color w:val="000000"/>
          <w:sz w:val="24"/>
          <w:szCs w:val="24"/>
        </w:rPr>
      </w:pPr>
      <w:r>
        <w:rPr>
          <w:rFonts w:hint="eastAsia" w:ascii="宋体" w:hAnsi="宋体" w:eastAsia="宋体" w:cs="宋体"/>
          <w:b/>
          <w:bCs/>
          <w:color w:val="000000"/>
          <w:sz w:val="24"/>
          <w:szCs w:val="24"/>
        </w:rPr>
        <w:t>9.1试验设备与试验人员</w:t>
      </w:r>
    </w:p>
    <w:p w14:paraId="0C278330">
      <w:pPr>
        <w:ind w:firstLine="480" w:firstLineChars="200"/>
        <w:contextualSpacing/>
        <w:jc w:val="left"/>
        <w:rPr>
          <w:rFonts w:hint="eastAsia" w:ascii="宋体" w:hAnsi="宋体" w:eastAsia="宋体" w:cs="宋体"/>
          <w:sz w:val="24"/>
          <w:szCs w:val="24"/>
        </w:rPr>
      </w:pPr>
      <w:r>
        <w:rPr>
          <w:rFonts w:hint="eastAsia" w:ascii="宋体" w:hAnsi="宋体" w:eastAsia="宋体" w:cs="宋体"/>
          <w:sz w:val="24"/>
          <w:szCs w:val="24"/>
        </w:rPr>
        <w:t>9.1.2 试验设备</w:t>
      </w:r>
    </w:p>
    <w:p w14:paraId="55130096">
      <w:pPr>
        <w:ind w:firstLine="480" w:firstLineChars="200"/>
        <w:contextualSpacing/>
        <w:jc w:val="left"/>
        <w:rPr>
          <w:rFonts w:hint="eastAsia" w:ascii="宋体" w:hAnsi="宋体" w:eastAsia="宋体" w:cs="宋体"/>
          <w:sz w:val="24"/>
          <w:szCs w:val="24"/>
          <w:u w:val="single"/>
        </w:rPr>
      </w:pPr>
      <w:r>
        <w:rPr>
          <w:rFonts w:hint="eastAsia" w:ascii="宋体" w:hAnsi="宋体" w:eastAsia="宋体" w:cs="宋体"/>
          <w:sz w:val="24"/>
          <w:szCs w:val="24"/>
        </w:rPr>
        <w:t>施工现场需要配置的试验场所：。</w:t>
      </w:r>
    </w:p>
    <w:p w14:paraId="6366772C">
      <w:pPr>
        <w:ind w:firstLine="480" w:firstLineChars="200"/>
        <w:contextualSpacing/>
        <w:jc w:val="left"/>
        <w:rPr>
          <w:rFonts w:hint="eastAsia" w:ascii="宋体" w:hAnsi="宋体" w:eastAsia="宋体" w:cs="宋体"/>
          <w:sz w:val="24"/>
          <w:szCs w:val="24"/>
        </w:rPr>
      </w:pPr>
      <w:r>
        <w:rPr>
          <w:rFonts w:hint="eastAsia" w:ascii="宋体" w:hAnsi="宋体" w:eastAsia="宋体" w:cs="宋体"/>
          <w:sz w:val="24"/>
          <w:szCs w:val="24"/>
        </w:rPr>
        <w:t>施工现场需要配备的试验设备：。</w:t>
      </w:r>
    </w:p>
    <w:p w14:paraId="74DB9E3F">
      <w:pPr>
        <w:ind w:firstLine="480" w:firstLineChars="200"/>
        <w:contextualSpacing/>
        <w:jc w:val="left"/>
        <w:rPr>
          <w:rFonts w:hint="eastAsia" w:ascii="宋体" w:hAnsi="宋体" w:eastAsia="宋体" w:cs="宋体"/>
          <w:sz w:val="24"/>
          <w:szCs w:val="24"/>
          <w:u w:val="single"/>
        </w:rPr>
      </w:pPr>
      <w:r>
        <w:rPr>
          <w:rFonts w:hint="eastAsia" w:ascii="宋体" w:hAnsi="宋体" w:eastAsia="宋体" w:cs="宋体"/>
          <w:sz w:val="24"/>
          <w:szCs w:val="24"/>
        </w:rPr>
        <w:t>施工现场需要具备的其他试验条件：。</w:t>
      </w:r>
    </w:p>
    <w:p w14:paraId="5E809964">
      <w:pPr>
        <w:ind w:firstLine="482" w:firstLineChars="200"/>
        <w:contextualSpacing/>
        <w:jc w:val="lef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增加9.3.4条款：</w:t>
      </w:r>
    </w:p>
    <w:p w14:paraId="35000F2C">
      <w:pPr>
        <w:ind w:firstLine="480" w:firstLineChars="200"/>
        <w:contextualSpacing/>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9.3.4材料和工程设备的检验试验：按照有关质量监督部门的有关检验检测要求，建筑设备安装工程中重要建材产品进场必须按</w:t>
      </w:r>
      <w:r>
        <w:rPr>
          <w:rFonts w:hint="eastAsia" w:ascii="宋体" w:hAnsi="宋体" w:eastAsia="宋体" w:cs="宋体"/>
          <w:color w:val="000000"/>
          <w:kern w:val="0"/>
          <w:sz w:val="24"/>
          <w:szCs w:val="24"/>
          <w:u w:val="single"/>
        </w:rPr>
        <w:t>相关</w:t>
      </w:r>
      <w:r>
        <w:rPr>
          <w:rFonts w:hint="eastAsia" w:ascii="宋体" w:hAnsi="宋体" w:eastAsia="宋体" w:cs="宋体"/>
          <w:color w:val="000000"/>
          <w:kern w:val="0"/>
          <w:sz w:val="24"/>
          <w:szCs w:val="24"/>
        </w:rPr>
        <w:t>要求进行监理人的见证取样送检和监督站的监督抽检，检验合格后方能投入使用。</w:t>
      </w:r>
    </w:p>
    <w:p w14:paraId="116C36BB">
      <w:pPr>
        <w:ind w:firstLine="482" w:firstLineChars="200"/>
        <w:contextualSpacing/>
        <w:rPr>
          <w:rFonts w:hint="eastAsia" w:ascii="宋体" w:hAnsi="宋体" w:eastAsia="宋体" w:cs="宋体"/>
          <w:b/>
          <w:bCs/>
          <w:kern w:val="0"/>
          <w:sz w:val="24"/>
          <w:szCs w:val="24"/>
        </w:rPr>
      </w:pPr>
      <w:r>
        <w:rPr>
          <w:rFonts w:hint="eastAsia" w:ascii="宋体" w:hAnsi="宋体" w:eastAsia="宋体" w:cs="宋体"/>
          <w:b/>
          <w:bCs/>
          <w:kern w:val="0"/>
          <w:sz w:val="24"/>
          <w:szCs w:val="24"/>
        </w:rPr>
        <w:t>增加9.3.5条款：</w:t>
      </w:r>
    </w:p>
    <w:p w14:paraId="17F1C401">
      <w:pPr>
        <w:ind w:firstLine="480" w:firstLineChars="200"/>
        <w:contextualSpacing/>
        <w:rPr>
          <w:rFonts w:hint="eastAsia" w:ascii="宋体" w:hAnsi="宋体" w:eastAsia="宋体" w:cs="宋体"/>
          <w:color w:val="000000"/>
          <w:kern w:val="0"/>
          <w:sz w:val="24"/>
          <w:szCs w:val="24"/>
        </w:rPr>
      </w:pPr>
      <w:r>
        <w:rPr>
          <w:rFonts w:hint="eastAsia" w:ascii="宋体" w:hAnsi="宋体" w:eastAsia="宋体" w:cs="宋体"/>
          <w:kern w:val="0"/>
          <w:sz w:val="24"/>
          <w:szCs w:val="24"/>
        </w:rPr>
        <w:t>9.3.5</w:t>
      </w:r>
      <w:r>
        <w:rPr>
          <w:rFonts w:hint="eastAsia" w:ascii="宋体" w:hAnsi="宋体" w:eastAsia="宋体" w:cs="宋体"/>
          <w:color w:val="000000"/>
          <w:kern w:val="0"/>
          <w:sz w:val="24"/>
          <w:szCs w:val="24"/>
        </w:rPr>
        <w:t>材料设备的见证取样检测：</w:t>
      </w:r>
    </w:p>
    <w:p w14:paraId="32266CAF">
      <w:pPr>
        <w:ind w:firstLine="480" w:firstLineChars="200"/>
        <w:contextualSpacing/>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（1）标准与规范或合同要求进行见证取样检测的材料设备，承包人应在见证取样前</w:t>
      </w:r>
      <w:r>
        <w:rPr>
          <w:rFonts w:hint="eastAsia" w:ascii="宋体" w:hAnsi="宋体" w:eastAsia="宋体" w:cs="宋体"/>
          <w:color w:val="000000"/>
          <w:kern w:val="0"/>
          <w:sz w:val="24"/>
          <w:szCs w:val="24"/>
          <w:u w:val="single"/>
        </w:rPr>
        <w:t>48小时</w:t>
      </w:r>
      <w:r>
        <w:rPr>
          <w:rFonts w:hint="eastAsia" w:ascii="宋体" w:hAnsi="宋体" w:eastAsia="宋体" w:cs="宋体"/>
          <w:color w:val="000000"/>
          <w:kern w:val="0"/>
          <w:sz w:val="24"/>
          <w:szCs w:val="24"/>
        </w:rPr>
        <w:t>通知监理人参加，并在监理人的见证下负责：</w:t>
      </w:r>
    </w:p>
    <w:p w14:paraId="424881B2">
      <w:pPr>
        <w:ind w:firstLine="480" w:firstLineChars="200"/>
        <w:contextualSpacing/>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a.材料设备的见证取样；</w:t>
      </w:r>
    </w:p>
    <w:p w14:paraId="227DCD51">
      <w:pPr>
        <w:ind w:firstLine="480" w:firstLineChars="200"/>
        <w:contextualSpacing/>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b.送至由发包人指定的第三方检测单位检测。</w:t>
      </w:r>
    </w:p>
    <w:p w14:paraId="4D2C9CB3">
      <w:pPr>
        <w:ind w:firstLine="480" w:firstLineChars="200"/>
        <w:contextualSpacing/>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标准与规范或合同没要求进行见证取样检测的材料设备，承包人应与监理人协商确定合同约定的材料设备的检验时间和地点，并按时到场参加检验。如果监理人或其委派的代表不能按时到场参加检验，监理人应至少提前</w:t>
      </w:r>
      <w:r>
        <w:rPr>
          <w:rFonts w:hint="eastAsia" w:ascii="宋体" w:hAnsi="宋体" w:eastAsia="宋体" w:cs="宋体"/>
          <w:color w:val="000000"/>
          <w:kern w:val="0"/>
          <w:sz w:val="24"/>
          <w:szCs w:val="24"/>
          <w:u w:val="single"/>
        </w:rPr>
        <w:t>24小时</w:t>
      </w:r>
      <w:r>
        <w:rPr>
          <w:rFonts w:hint="eastAsia" w:ascii="宋体" w:hAnsi="宋体" w:eastAsia="宋体" w:cs="宋体"/>
          <w:color w:val="000000"/>
          <w:kern w:val="0"/>
          <w:sz w:val="24"/>
          <w:szCs w:val="24"/>
        </w:rPr>
        <w:t>发出延期检验指令并书面说明理由，延期不得超过</w:t>
      </w:r>
      <w:r>
        <w:rPr>
          <w:rFonts w:hint="eastAsia" w:ascii="宋体" w:hAnsi="宋体" w:eastAsia="宋体" w:cs="宋体"/>
          <w:color w:val="000000"/>
          <w:kern w:val="0"/>
          <w:sz w:val="24"/>
          <w:szCs w:val="24"/>
          <w:u w:val="single"/>
        </w:rPr>
        <w:t>48小时</w:t>
      </w:r>
      <w:r>
        <w:rPr>
          <w:rFonts w:hint="eastAsia" w:ascii="宋体" w:hAnsi="宋体" w:eastAsia="宋体" w:cs="宋体"/>
          <w:color w:val="000000"/>
          <w:kern w:val="0"/>
          <w:sz w:val="24"/>
          <w:szCs w:val="24"/>
        </w:rPr>
        <w:t>。如果监理人或其委派的代表未发出延期检验指令也未能按时到场检验，承包人可自行检验，并认为该检验是在监理人在场的情况下完成的。检验完成后，承包人应立即向监理人提交检验数据的有效证据，监理人应认可检验结果。</w:t>
      </w:r>
    </w:p>
    <w:p w14:paraId="2F611F7A">
      <w:pPr>
        <w:ind w:firstLine="480" w:firstLineChars="200"/>
        <w:contextualSpacing/>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实施工程的一切材料、设备，都必须符合工程设计及技术标准、规范的要求，并应当在用于工程之前经过检验或试验，不合格的不得使用。承包人要建立检验、试验制度，并应提供一切正常需要的手段，在材料、设备用于工程之前提供样品、样件，按照监理人的选择和要求进行检验或试验。</w:t>
      </w:r>
    </w:p>
    <w:p w14:paraId="4F0EF5FE">
      <w:pPr>
        <w:ind w:firstLine="480" w:firstLineChars="200"/>
        <w:contextualSpacing/>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在施工过程中，监理人有权随时对工程材料、设备的使用进行抽查，包括成品、半成品、器具、设备、附件、小五金等。抽查范围、比例、数量、批次及检查深度可比照国家现行施工质量验收规范和相关规定有所提高。</w:t>
      </w:r>
    </w:p>
    <w:p w14:paraId="34A71470">
      <w:pPr>
        <w:ind w:firstLine="480" w:firstLineChars="200"/>
        <w:contextualSpacing/>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工程材料、设备的质量依据下列顺序之标准认定：</w:t>
      </w:r>
    </w:p>
    <w:p w14:paraId="3DDE32B1">
      <w:pPr>
        <w:ind w:firstLine="480" w:firstLineChars="200"/>
        <w:contextualSpacing/>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a.本工程设计图纸规定的设计标准；</w:t>
      </w:r>
    </w:p>
    <w:p w14:paraId="1423F62C">
      <w:pPr>
        <w:ind w:firstLine="480" w:firstLineChars="200"/>
        <w:contextualSpacing/>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b.招投标时确定的规格、技术指标、质量标准、品牌等；</w:t>
      </w:r>
    </w:p>
    <w:p w14:paraId="73C7EB0E">
      <w:pPr>
        <w:ind w:firstLine="480" w:firstLineChars="200"/>
        <w:contextualSpacing/>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c.经设计单位、监理单位、承包人、发包人共同认定的产品封样、样板；</w:t>
      </w:r>
    </w:p>
    <w:p w14:paraId="3EF772E0">
      <w:pPr>
        <w:ind w:firstLine="480" w:firstLineChars="200"/>
        <w:contextualSpacing/>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d.国家或行业强制执行的技术标准、技术规范。</w:t>
      </w:r>
    </w:p>
    <w:p w14:paraId="56CF3D6D">
      <w:pPr>
        <w:ind w:firstLine="480" w:firstLineChars="200"/>
        <w:contextualSpacing/>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工程材料、设备的抽查、检验结果与前款约定不符的，监理人必须扩大对该批材料的抽查范围、增加数量抽检。如认定不合格的，承包人必须在发包人或监理人书面通知的限期内全部无条件拆除、更换，并运出施工现场；由此所造成的工期延误、费用增加等一切损失均由承包人承担。同时，承包人还应当按照第16.2.2</w:t>
      </w:r>
      <w:r>
        <w:rPr>
          <w:rFonts w:hint="eastAsia" w:ascii="宋体" w:hAnsi="宋体" w:eastAsia="宋体" w:cs="宋体"/>
          <w:color w:val="000000"/>
          <w:kern w:val="0"/>
          <w:sz w:val="24"/>
          <w:szCs w:val="24"/>
          <w:lang w:val="en-US" w:eastAsia="zh-CN"/>
        </w:rPr>
        <w:t>条</w:t>
      </w:r>
      <w:r>
        <w:rPr>
          <w:rFonts w:hint="eastAsia" w:ascii="宋体" w:hAnsi="宋体" w:eastAsia="宋体" w:cs="宋体"/>
          <w:color w:val="000000"/>
          <w:kern w:val="0"/>
          <w:sz w:val="24"/>
          <w:szCs w:val="24"/>
        </w:rPr>
        <w:t>承担违约责任。</w:t>
      </w:r>
    </w:p>
    <w:p w14:paraId="284992D2">
      <w:pPr>
        <w:ind w:firstLine="480" w:firstLineChars="200"/>
        <w:contextualSpacing/>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发包人有权派人对承包人材料、设备采购、保管、领用等进行监控，并有权委托国家质量检查机构或其他法定检验机构对工程材料、设备的生产、制造、安装、储运全过程进行第三方检查、检验，承包人必须接受并提供便利条件。</w:t>
      </w:r>
    </w:p>
    <w:p w14:paraId="2DDCA67E">
      <w:pPr>
        <w:ind w:firstLine="480" w:firstLineChars="200"/>
        <w:contextualSpacing/>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承包人承诺：无论监理人或（和）发包人对材料、设备是否进行并通过了各项检验，均不解除承包人对其承包的工程的质量所负责任，除非质量问题是由于非承包人责任原因引起，而此类质量问题承包人须及时通知监理人。在采用承包人设计的施工图施工和由承包人自行采购的材料、设备时，设计和制造所引起的质量责任由承包人承担。</w:t>
      </w:r>
    </w:p>
    <w:p w14:paraId="45B8F20D">
      <w:pPr>
        <w:ind w:firstLine="482" w:firstLineChars="200"/>
        <w:contextualSpacing/>
        <w:rPr>
          <w:rFonts w:hint="eastAsia" w:ascii="宋体" w:hAnsi="宋体" w:eastAsia="宋体" w:cs="宋体"/>
          <w:b/>
          <w:bCs/>
          <w:kern w:val="0"/>
          <w:sz w:val="24"/>
          <w:szCs w:val="24"/>
        </w:rPr>
      </w:pPr>
      <w:r>
        <w:rPr>
          <w:rFonts w:hint="eastAsia" w:ascii="宋体" w:hAnsi="宋体" w:eastAsia="宋体" w:cs="宋体"/>
          <w:b/>
          <w:bCs/>
          <w:kern w:val="0"/>
          <w:sz w:val="24"/>
          <w:szCs w:val="24"/>
        </w:rPr>
        <w:t>增加9.3.6条款：</w:t>
      </w:r>
    </w:p>
    <w:p w14:paraId="7F367176">
      <w:pPr>
        <w:ind w:firstLine="480" w:firstLineChars="200"/>
        <w:contextualSpacing/>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9.3.6材料设备的检验费，按实际发生的检测费用计算。</w:t>
      </w:r>
    </w:p>
    <w:p w14:paraId="16AAAFF4">
      <w:pPr>
        <w:ind w:firstLine="480" w:firstLineChars="200"/>
        <w:contextualSpacing/>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由承包人提供的材料、设备因质量等相关问题导致需复检的，复检的费用由承包人承担，发包人有权在应付给承包人合同款项中扣减相应的费用。复检的费用标准以发包人与第三方检测机构的合同约定为准。</w:t>
      </w:r>
    </w:p>
    <w:p w14:paraId="45A6B6CD">
      <w:pPr>
        <w:ind w:firstLine="482" w:firstLineChars="200"/>
        <w:contextualSpacing/>
        <w:rPr>
          <w:rFonts w:hint="eastAsia" w:ascii="宋体" w:hAnsi="宋体" w:eastAsia="宋体" w:cs="宋体"/>
          <w:b/>
          <w:color w:val="000000"/>
          <w:sz w:val="24"/>
          <w:szCs w:val="24"/>
        </w:rPr>
      </w:pPr>
      <w:r>
        <w:rPr>
          <w:rFonts w:hint="eastAsia" w:ascii="宋体" w:hAnsi="宋体" w:eastAsia="宋体" w:cs="宋体"/>
          <w:b/>
          <w:color w:val="000000"/>
          <w:sz w:val="24"/>
          <w:szCs w:val="24"/>
        </w:rPr>
        <w:t>9.4 现场工艺试验</w:t>
      </w:r>
    </w:p>
    <w:p w14:paraId="51DBCEB1">
      <w:pPr>
        <w:ind w:firstLine="480" w:firstLineChars="200"/>
        <w:contextualSpacing/>
        <w:jc w:val="left"/>
        <w:rPr>
          <w:rFonts w:hint="eastAsia" w:ascii="宋体" w:hAnsi="宋体" w:eastAsia="宋体" w:cs="宋体"/>
          <w:sz w:val="24"/>
          <w:szCs w:val="24"/>
          <w:u w:val="single"/>
        </w:rPr>
      </w:pPr>
      <w:r>
        <w:rPr>
          <w:rFonts w:hint="eastAsia" w:ascii="宋体" w:hAnsi="宋体" w:eastAsia="宋体" w:cs="宋体"/>
          <w:sz w:val="24"/>
          <w:szCs w:val="24"/>
        </w:rPr>
        <w:t>现场工艺试验的有关约定：</w:t>
      </w:r>
      <w:r>
        <w:rPr>
          <w:rFonts w:hint="eastAsia" w:ascii="宋体" w:hAnsi="宋体" w:eastAsia="宋体" w:cs="宋体"/>
          <w:sz w:val="24"/>
          <w:szCs w:val="24"/>
          <w:u w:val="single"/>
        </w:rPr>
        <w:t>满足各项施工条件</w:t>
      </w:r>
      <w:r>
        <w:rPr>
          <w:rFonts w:hint="eastAsia" w:ascii="宋体" w:hAnsi="宋体" w:eastAsia="宋体" w:cs="宋体"/>
          <w:sz w:val="24"/>
          <w:szCs w:val="24"/>
        </w:rPr>
        <w:t>。</w:t>
      </w:r>
    </w:p>
    <w:p w14:paraId="55BC086B">
      <w:pPr>
        <w:pStyle w:val="5"/>
        <w:spacing w:before="0" w:after="0" w:line="240" w:lineRule="auto"/>
        <w:ind w:firstLine="482" w:firstLineChars="200"/>
        <w:contextualSpacing/>
        <w:rPr>
          <w:rFonts w:hint="eastAsia" w:ascii="宋体" w:hAnsi="宋体" w:eastAsia="宋体" w:cs="宋体"/>
          <w:b/>
          <w:bCs w:val="0"/>
          <w:color w:val="000000"/>
          <w:sz w:val="24"/>
          <w:szCs w:val="24"/>
        </w:rPr>
      </w:pPr>
      <w:bookmarkStart w:id="420" w:name="_Toc443898202"/>
      <w:r>
        <w:rPr>
          <w:rFonts w:hint="eastAsia" w:ascii="宋体" w:hAnsi="宋体" w:eastAsia="宋体" w:cs="宋体"/>
          <w:b/>
          <w:bCs w:val="0"/>
          <w:color w:val="000000"/>
          <w:sz w:val="24"/>
          <w:szCs w:val="24"/>
        </w:rPr>
        <w:t>10. 变更</w:t>
      </w:r>
      <w:bookmarkEnd w:id="420"/>
    </w:p>
    <w:p w14:paraId="23EC517E">
      <w:pPr>
        <w:ind w:firstLine="482" w:firstLineChars="200"/>
        <w:contextualSpacing/>
        <w:rPr>
          <w:rFonts w:hint="eastAsia" w:ascii="宋体" w:hAnsi="宋体" w:eastAsia="宋体" w:cs="宋体"/>
          <w:b/>
          <w:bCs/>
          <w:color w:val="000000"/>
          <w:sz w:val="24"/>
          <w:szCs w:val="24"/>
        </w:rPr>
      </w:pPr>
      <w:r>
        <w:rPr>
          <w:rFonts w:hint="eastAsia" w:ascii="宋体" w:hAnsi="宋体" w:eastAsia="宋体" w:cs="宋体"/>
          <w:b/>
          <w:bCs/>
          <w:color w:val="000000"/>
          <w:sz w:val="24"/>
          <w:szCs w:val="24"/>
        </w:rPr>
        <w:t>10.1变更的范围</w:t>
      </w:r>
    </w:p>
    <w:p w14:paraId="038194CB">
      <w:pPr>
        <w:ind w:firstLine="482" w:firstLineChars="200"/>
        <w:contextualSpacing/>
        <w:jc w:val="left"/>
        <w:rPr>
          <w:rFonts w:hint="eastAsia" w:ascii="宋体" w:hAnsi="宋体" w:eastAsia="宋体" w:cs="宋体"/>
          <w:b/>
          <w:color w:val="000000"/>
          <w:sz w:val="24"/>
          <w:szCs w:val="24"/>
          <w:u w:val="single"/>
        </w:rPr>
      </w:pPr>
      <w:r>
        <w:rPr>
          <w:rFonts w:hint="eastAsia" w:ascii="宋体" w:hAnsi="宋体" w:eastAsia="宋体" w:cs="宋体"/>
          <w:b/>
          <w:color w:val="000000"/>
          <w:sz w:val="24"/>
          <w:szCs w:val="24"/>
        </w:rPr>
        <w:t>增加变更的范围的约定：</w:t>
      </w:r>
    </w:p>
    <w:p w14:paraId="7A993B97">
      <w:pPr>
        <w:autoSpaceDE w:val="0"/>
        <w:autoSpaceDN w:val="0"/>
        <w:ind w:left="0" w:firstLine="480" w:firstLineChars="200"/>
        <w:contextualSpacing/>
        <w:jc w:val="left"/>
        <w:rPr>
          <w:rFonts w:hint="eastAsia" w:ascii="宋体" w:hAnsi="宋体" w:eastAsia="宋体" w:cs="宋体"/>
          <w:b/>
          <w:color w:val="0000FF"/>
          <w:sz w:val="24"/>
          <w:szCs w:val="24"/>
          <w:shd w:val="pct10" w:color="auto" w:fill="FFFFFF"/>
        </w:rPr>
      </w:pPr>
      <w:r>
        <w:rPr>
          <w:rFonts w:hint="eastAsia" w:ascii="宋体" w:hAnsi="宋体" w:eastAsia="宋体" w:cs="宋体"/>
          <w:color w:val="000000"/>
          <w:kern w:val="0"/>
          <w:sz w:val="24"/>
          <w:szCs w:val="24"/>
        </w:rPr>
        <w:t>（6）招标工程量清单项目缺项；</w:t>
      </w:r>
    </w:p>
    <w:p w14:paraId="6A96D019">
      <w:pPr>
        <w:autoSpaceDE w:val="0"/>
        <w:autoSpaceDN w:val="0"/>
        <w:ind w:firstLine="480" w:firstLineChars="200"/>
        <w:contextualSpacing/>
        <w:jc w:val="left"/>
        <w:rPr>
          <w:rFonts w:hint="eastAsia" w:ascii="宋体" w:hAnsi="宋体" w:eastAsia="宋体" w:cs="宋体"/>
          <w:color w:val="000000"/>
          <w:kern w:val="0"/>
          <w:sz w:val="24"/>
          <w:szCs w:val="24"/>
          <w:u w:val="single"/>
        </w:rPr>
      </w:pPr>
      <w:r>
        <w:rPr>
          <w:rFonts w:hint="eastAsia" w:ascii="宋体" w:hAnsi="宋体" w:eastAsia="宋体" w:cs="宋体"/>
          <w:color w:val="000000"/>
          <w:kern w:val="0"/>
          <w:sz w:val="24"/>
          <w:szCs w:val="24"/>
          <w:u w:val="single"/>
        </w:rPr>
        <w:t>（7）招标图纸与工程量清单项目特征描述不符，导致该项综合单价变化超过±30%。对于超出±30%的，按照专用合同条款10.4条款执行。</w:t>
      </w:r>
    </w:p>
    <w:p w14:paraId="08429735">
      <w:pPr>
        <w:ind w:firstLine="482" w:firstLineChars="200"/>
        <w:contextualSpacing/>
        <w:jc w:val="left"/>
        <w:rPr>
          <w:rFonts w:hint="eastAsia" w:ascii="宋体" w:hAnsi="宋体" w:eastAsia="宋体" w:cs="宋体"/>
          <w:b/>
          <w:color w:val="000000"/>
          <w:sz w:val="24"/>
          <w:szCs w:val="24"/>
        </w:rPr>
      </w:pPr>
      <w:r>
        <w:rPr>
          <w:rFonts w:hint="eastAsia" w:ascii="宋体" w:hAnsi="宋体" w:eastAsia="宋体" w:cs="宋体"/>
          <w:b/>
          <w:color w:val="000000"/>
          <w:sz w:val="24"/>
          <w:szCs w:val="24"/>
        </w:rPr>
        <w:t>增加不予变更的约定：</w:t>
      </w:r>
    </w:p>
    <w:p w14:paraId="2615FDDD">
      <w:pPr>
        <w:autoSpaceDE w:val="0"/>
        <w:autoSpaceDN w:val="0"/>
        <w:ind w:firstLine="480" w:firstLineChars="200"/>
        <w:contextualSpacing/>
        <w:jc w:val="left"/>
        <w:rPr>
          <w:rFonts w:hint="eastAsia" w:ascii="宋体" w:hAnsi="宋体" w:eastAsia="宋体" w:cs="宋体"/>
          <w:sz w:val="24"/>
          <w:szCs w:val="24"/>
          <w:u w:val="single"/>
        </w:rPr>
      </w:pPr>
      <w:r>
        <w:rPr>
          <w:rFonts w:hint="eastAsia" w:ascii="宋体" w:hAnsi="宋体" w:eastAsia="宋体" w:cs="宋体"/>
          <w:sz w:val="24"/>
          <w:szCs w:val="24"/>
          <w:u w:val="single"/>
        </w:rPr>
        <w:t>①发包人对材料品牌的选定和变更，合同单价原则上不作调整；</w:t>
      </w:r>
    </w:p>
    <w:p w14:paraId="4FA73A50">
      <w:pPr>
        <w:autoSpaceDE w:val="0"/>
        <w:autoSpaceDN w:val="0"/>
        <w:ind w:firstLine="480" w:firstLineChars="200"/>
        <w:contextualSpacing/>
        <w:jc w:val="left"/>
        <w:rPr>
          <w:rFonts w:hint="eastAsia" w:ascii="宋体" w:hAnsi="宋体" w:eastAsia="宋体" w:cs="宋体"/>
          <w:sz w:val="24"/>
          <w:szCs w:val="24"/>
          <w:u w:val="single"/>
        </w:rPr>
      </w:pPr>
      <w:r>
        <w:rPr>
          <w:rFonts w:hint="eastAsia" w:ascii="宋体" w:hAnsi="宋体" w:eastAsia="宋体" w:cs="宋体"/>
          <w:sz w:val="24"/>
          <w:szCs w:val="24"/>
          <w:u w:val="single"/>
        </w:rPr>
        <w:t>②材料市场指导价或零售市场价格变化，合同单价不作调整。</w:t>
      </w:r>
    </w:p>
    <w:p w14:paraId="1977336C">
      <w:pPr>
        <w:autoSpaceDE w:val="0"/>
        <w:autoSpaceDN w:val="0"/>
        <w:ind w:firstLine="480" w:firstLineChars="200"/>
        <w:contextualSpacing/>
        <w:jc w:val="left"/>
        <w:rPr>
          <w:rFonts w:hint="eastAsia" w:ascii="宋体" w:hAnsi="宋体" w:eastAsia="宋体" w:cs="宋体"/>
          <w:kern w:val="0"/>
          <w:sz w:val="24"/>
          <w:szCs w:val="24"/>
        </w:rPr>
      </w:pPr>
      <w:r>
        <w:rPr>
          <w:rFonts w:hint="eastAsia" w:ascii="宋体" w:hAnsi="宋体" w:eastAsia="宋体" w:cs="宋体"/>
          <w:kern w:val="0"/>
          <w:sz w:val="24"/>
          <w:szCs w:val="24"/>
        </w:rPr>
        <w:t>10.3.3 变更执行</w:t>
      </w:r>
    </w:p>
    <w:p w14:paraId="6574D2E3">
      <w:pPr>
        <w:autoSpaceDE w:val="0"/>
        <w:autoSpaceDN w:val="0"/>
        <w:ind w:firstLine="482" w:firstLineChars="200"/>
        <w:contextualSpacing/>
        <w:jc w:val="left"/>
        <w:rPr>
          <w:rFonts w:hint="eastAsia" w:ascii="宋体" w:hAnsi="宋体" w:eastAsia="宋体" w:cs="宋体"/>
          <w:b/>
          <w:kern w:val="0"/>
          <w:sz w:val="24"/>
          <w:szCs w:val="24"/>
        </w:rPr>
      </w:pPr>
      <w:r>
        <w:rPr>
          <w:rFonts w:hint="eastAsia" w:ascii="宋体" w:hAnsi="宋体" w:eastAsia="宋体" w:cs="宋体"/>
          <w:b/>
          <w:kern w:val="0"/>
          <w:sz w:val="24"/>
          <w:szCs w:val="24"/>
        </w:rPr>
        <w:t>增加以下条款：</w:t>
      </w:r>
    </w:p>
    <w:p w14:paraId="694040F0">
      <w:pPr>
        <w:autoSpaceDE w:val="0"/>
        <w:autoSpaceDN w:val="0"/>
        <w:ind w:firstLine="480" w:firstLineChars="200"/>
        <w:contextualSpacing/>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所有变更工程和新增工程引起的计价、计量调整、报批和审批过程，均不得影响变更的执行，承包人不得以此为理由公开或变相拖延、延误新增或变更工程，否则，承包人将承担由此造成的经济损失及工期延误的责任。承包人在收到发包人书面通知催促办理变更的情况下，应按照书面通知中规定的时间节点办理变更，如由于承包人原因不能及时办理合同变更，发包人在当次变更的最终审定价中扣罚，每超过一天，扣罚当次变更的最终审定价的</w:t>
      </w:r>
      <w:r>
        <w:rPr>
          <w:rFonts w:hint="eastAsia" w:ascii="宋体" w:hAnsi="宋体" w:eastAsia="宋体" w:cs="宋体"/>
          <w:color w:val="000000"/>
          <w:kern w:val="0"/>
          <w:sz w:val="24"/>
          <w:szCs w:val="24"/>
          <w:u w:val="single"/>
        </w:rPr>
        <w:t>千分之一</w:t>
      </w:r>
      <w:r>
        <w:rPr>
          <w:rFonts w:hint="eastAsia" w:ascii="宋体" w:hAnsi="宋体" w:eastAsia="宋体" w:cs="宋体"/>
          <w:color w:val="000000"/>
          <w:kern w:val="0"/>
          <w:sz w:val="24"/>
          <w:szCs w:val="24"/>
        </w:rPr>
        <w:t>的违约金，最高扣罚限额为当次变更的最终审定价的</w:t>
      </w:r>
      <w:r>
        <w:rPr>
          <w:rFonts w:hint="eastAsia" w:ascii="宋体" w:hAnsi="宋体" w:eastAsia="宋体" w:cs="宋体"/>
          <w:color w:val="000000"/>
          <w:kern w:val="0"/>
          <w:sz w:val="24"/>
          <w:szCs w:val="24"/>
          <w:u w:val="single"/>
        </w:rPr>
        <w:t>5%。</w:t>
      </w:r>
    </w:p>
    <w:p w14:paraId="23037D85">
      <w:pPr>
        <w:ind w:firstLine="482" w:firstLineChars="200"/>
        <w:contextualSpacing/>
        <w:rPr>
          <w:rFonts w:hint="eastAsia" w:ascii="宋体" w:hAnsi="宋体" w:eastAsia="宋体" w:cs="宋体"/>
          <w:b/>
          <w:color w:val="000000"/>
          <w:sz w:val="24"/>
          <w:szCs w:val="24"/>
        </w:rPr>
      </w:pPr>
      <w:r>
        <w:rPr>
          <w:rFonts w:hint="eastAsia" w:ascii="宋体" w:hAnsi="宋体" w:eastAsia="宋体" w:cs="宋体"/>
          <w:b/>
          <w:color w:val="000000"/>
          <w:sz w:val="24"/>
          <w:szCs w:val="24"/>
        </w:rPr>
        <w:t>10.4 变更估价</w:t>
      </w:r>
    </w:p>
    <w:p w14:paraId="3D4351E5">
      <w:pPr>
        <w:ind w:firstLine="480" w:firstLineChars="200"/>
        <w:contextualSpacing/>
        <w:jc w:val="left"/>
        <w:rPr>
          <w:rFonts w:hint="eastAsia" w:ascii="宋体" w:hAnsi="宋体" w:eastAsia="宋体" w:cs="宋体"/>
          <w:sz w:val="24"/>
          <w:szCs w:val="24"/>
        </w:rPr>
      </w:pPr>
      <w:r>
        <w:rPr>
          <w:rFonts w:hint="eastAsia" w:ascii="宋体" w:hAnsi="宋体" w:eastAsia="宋体" w:cs="宋体"/>
          <w:sz w:val="24"/>
          <w:szCs w:val="24"/>
        </w:rPr>
        <w:t>10.4.1 变更估价原则</w:t>
      </w:r>
    </w:p>
    <w:p w14:paraId="2407DE97">
      <w:pPr>
        <w:pStyle w:val="8"/>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10.4.1.1已标价工程量清单有相同项目的，按照相同项目单价认定；</w:t>
      </w:r>
    </w:p>
    <w:p w14:paraId="636774F9">
      <w:pPr>
        <w:autoSpaceDE w:val="0"/>
        <w:autoSpaceDN w:val="0"/>
        <w:ind w:firstLine="480" w:firstLineChars="200"/>
        <w:contextualSpacing/>
        <w:jc w:val="left"/>
        <w:rPr>
          <w:rFonts w:hint="eastAsia" w:ascii="宋体" w:hAnsi="宋体" w:eastAsia="宋体" w:cs="宋体"/>
          <w:color w:val="000000"/>
          <w:kern w:val="0"/>
          <w:sz w:val="24"/>
          <w:szCs w:val="24"/>
        </w:rPr>
      </w:pPr>
      <w:r>
        <w:rPr>
          <w:rFonts w:hint="eastAsia" w:ascii="宋体" w:hAnsi="宋体" w:eastAsia="宋体" w:cs="宋体"/>
          <w:sz w:val="24"/>
          <w:szCs w:val="24"/>
        </w:rPr>
        <w:t>10.4.1.2</w:t>
      </w:r>
      <w:r>
        <w:rPr>
          <w:rFonts w:hint="eastAsia" w:ascii="宋体" w:hAnsi="宋体" w:eastAsia="宋体" w:cs="宋体"/>
          <w:color w:val="000000"/>
          <w:kern w:val="0"/>
          <w:sz w:val="24"/>
          <w:szCs w:val="24"/>
        </w:rPr>
        <w:t>已标价工程量清单中无相同项目，但有类似项目的，按类似项目的综合单价对相应子目、消耗量、单价等进行调整换算，原人工单价、机械费、管理费费率、利润率维持投标水平不变；如类似项目的综合单价有两个以上，则按消耗量最少、管理费和利润取费最低的优先顺序选择类似项目综合单价进行换算。如类似项目综合单价的子目消耗量高于定额水平，则按照定额消耗量调整换算。</w:t>
      </w:r>
    </w:p>
    <w:p w14:paraId="5B216F87">
      <w:pPr>
        <w:ind w:firstLine="480" w:firstLineChars="200"/>
        <w:contextualSpacing/>
        <w:rPr>
          <w:rFonts w:hint="eastAsia" w:ascii="宋体" w:hAnsi="宋体" w:eastAsia="宋体" w:cs="宋体"/>
          <w:color w:val="000000"/>
          <w:kern w:val="0"/>
          <w:sz w:val="24"/>
          <w:szCs w:val="24"/>
        </w:rPr>
      </w:pPr>
      <w:r>
        <w:rPr>
          <w:rFonts w:hint="eastAsia" w:ascii="宋体" w:hAnsi="宋体" w:eastAsia="宋体" w:cs="宋体"/>
          <w:color w:val="000000"/>
          <w:sz w:val="24"/>
          <w:szCs w:val="24"/>
        </w:rPr>
        <w:t>10.4.1.3</w:t>
      </w:r>
      <w:r>
        <w:rPr>
          <w:rFonts w:hint="eastAsia" w:ascii="宋体" w:hAnsi="宋体" w:eastAsia="宋体" w:cs="宋体"/>
          <w:color w:val="000000"/>
          <w:kern w:val="0"/>
          <w:sz w:val="24"/>
          <w:szCs w:val="24"/>
        </w:rPr>
        <w:t>合同中没有适用也没有类似于变更工程项目的，执行工程量清单中的</w:t>
      </w:r>
      <w:r>
        <w:rPr>
          <w:rFonts w:hint="eastAsia" w:ascii="宋体" w:hAnsi="宋体" w:eastAsia="宋体" w:cs="宋体"/>
          <w:color w:val="000000"/>
          <w:kern w:val="0"/>
          <w:sz w:val="24"/>
          <w:szCs w:val="24"/>
          <w:u w:val="single"/>
        </w:rPr>
        <w:t>新增项目计费程</w:t>
      </w:r>
      <w:bookmarkStart w:id="421" w:name="OLE_LINK5"/>
      <w:r>
        <w:rPr>
          <w:rFonts w:hint="eastAsia" w:ascii="宋体" w:hAnsi="宋体" w:eastAsia="宋体" w:cs="宋体"/>
          <w:color w:val="000000"/>
          <w:kern w:val="0"/>
          <w:sz w:val="24"/>
          <w:szCs w:val="24"/>
          <w:u w:val="single"/>
        </w:rPr>
        <w:t>序</w:t>
      </w:r>
      <w:r>
        <w:rPr>
          <w:rFonts w:hint="eastAsia" w:ascii="宋体" w:hAnsi="宋体" w:eastAsia="宋体" w:cs="宋体"/>
          <w:color w:val="000000"/>
          <w:kern w:val="0"/>
          <w:sz w:val="24"/>
          <w:szCs w:val="24"/>
        </w:rPr>
        <w:t>，新增</w:t>
      </w:r>
      <w:bookmarkEnd w:id="421"/>
      <w:r>
        <w:rPr>
          <w:rFonts w:hint="eastAsia" w:ascii="宋体" w:hAnsi="宋体" w:eastAsia="宋体" w:cs="宋体"/>
          <w:color w:val="000000"/>
          <w:kern w:val="0"/>
          <w:sz w:val="24"/>
          <w:szCs w:val="24"/>
        </w:rPr>
        <w:t>项目的材料价格如合同中有相同材料的，则沿用合同价格；</w:t>
      </w:r>
    </w:p>
    <w:p w14:paraId="698AA5D8">
      <w:pPr>
        <w:ind w:firstLine="480" w:firstLineChars="200"/>
        <w:contextualSpacing/>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如没有相同材料但有类似材料的，且新增材料需考虑品牌需求的，经双方协商后在《佛山工程造价信息》名单中，则参考合同中规格、尺寸最接近的类似材料的投标材料价格，对比该类似材料在施工期中《佛山工程造价信息》的价格水平，对新增材料的价格进行相同比例的下浮折算；</w:t>
      </w:r>
    </w:p>
    <w:p w14:paraId="37364B48">
      <w:pPr>
        <w:widowControl/>
        <w:ind w:firstLine="480" w:firstLineChars="200"/>
        <w:contextualSpacing/>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如没有相同及类似材料，则用《佛山工程造价信息》发布的施工期该材料价格下浮5%。对施工期《佛山工程造价信息》中没有的价格，则参考《广州地区建设工程材料（设备）厂家价格信息》价格并下浮：其中建筑、装修材料下浮30%，空调制冷设备类、冷却塔类、通风换气设备类、消防设备及器材类、泵类、供水设备类、污水提升设备、油污处理及水箱，空气净化设备类、电热设备类等均下浮40%，阀门、专业管道接头、金属软管类等下浮50%，其他机电类材料下浮35% 。《佛山工程造价信息》和《广州地区建设工程材料（设备）厂家价格信息》没有的材料，由承包人择优选择3家以上同等档次的候选品牌，以市场询价方式取得其书面盖章的报价单，上报发包人最后核准；如承包人上报价格低于发包人的市场询价，则以承包人上报价格为准；如承包人上报价格高于发包人的市场询价，则以发包人的市场询价为准。如消耗量与定额相比高于定额的，在办理新增项目变更时按定额消耗量办理合同变更。</w:t>
      </w:r>
    </w:p>
    <w:p w14:paraId="5F1EF3A2">
      <w:pPr>
        <w:widowControl/>
        <w:ind w:firstLine="480" w:firstLineChars="200"/>
        <w:contextualSpacing/>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类似材料的判别由发包人审定。新增项目的机械台班单价及消耗量沿用定额，如没有，双方另行协商确定。</w:t>
      </w:r>
    </w:p>
    <w:p w14:paraId="79E993DC">
      <w:pPr>
        <w:autoSpaceDE w:val="0"/>
        <w:autoSpaceDN w:val="0"/>
        <w:ind w:firstLine="480" w:firstLineChars="200"/>
        <w:contextualSpacing/>
        <w:jc w:val="left"/>
        <w:rPr>
          <w:rFonts w:hint="eastAsia" w:ascii="宋体" w:hAnsi="宋体" w:eastAsia="宋体" w:cs="宋体"/>
          <w:color w:val="000000"/>
          <w:kern w:val="0"/>
          <w:sz w:val="24"/>
          <w:szCs w:val="24"/>
        </w:rPr>
      </w:pPr>
      <w:r>
        <w:rPr>
          <w:rFonts w:hint="eastAsia" w:ascii="宋体" w:hAnsi="宋体" w:eastAsia="宋体" w:cs="宋体"/>
          <w:sz w:val="24"/>
          <w:szCs w:val="24"/>
        </w:rPr>
        <w:t>10.4.1.</w:t>
      </w:r>
      <w:r>
        <w:rPr>
          <w:rFonts w:hint="eastAsia" w:ascii="宋体" w:hAnsi="宋体" w:eastAsia="宋体" w:cs="宋体"/>
          <w:color w:val="000000"/>
          <w:sz w:val="24"/>
          <w:szCs w:val="24"/>
        </w:rPr>
        <w:t>4</w:t>
      </w:r>
      <w:r>
        <w:rPr>
          <w:rFonts w:hint="eastAsia" w:ascii="宋体" w:hAnsi="宋体" w:eastAsia="宋体" w:cs="宋体"/>
          <w:color w:val="000000"/>
          <w:kern w:val="0"/>
          <w:sz w:val="24"/>
          <w:szCs w:val="24"/>
        </w:rPr>
        <w:t>相关变更所涉及的人工单价、机械费、管理费费率、利润率在合同有效期间维持投标水平不变。</w:t>
      </w:r>
    </w:p>
    <w:p w14:paraId="56CCBCEF">
      <w:pPr>
        <w:autoSpaceDE w:val="0"/>
        <w:autoSpaceDN w:val="0"/>
        <w:ind w:firstLine="480" w:firstLineChars="200"/>
        <w:contextualSpacing/>
        <w:jc w:val="left"/>
        <w:rPr>
          <w:rFonts w:hint="eastAsia" w:ascii="宋体" w:hAnsi="宋体" w:eastAsia="宋体" w:cs="宋体"/>
          <w:color w:val="000000"/>
          <w:kern w:val="0"/>
          <w:sz w:val="24"/>
          <w:szCs w:val="24"/>
        </w:rPr>
      </w:pPr>
      <w:r>
        <w:rPr>
          <w:rFonts w:hint="eastAsia" w:ascii="宋体" w:hAnsi="宋体" w:eastAsia="宋体" w:cs="宋体"/>
          <w:sz w:val="24"/>
          <w:szCs w:val="24"/>
        </w:rPr>
        <w:t>10.4.1.</w:t>
      </w:r>
      <w:r>
        <w:rPr>
          <w:rFonts w:hint="eastAsia" w:ascii="宋体" w:hAnsi="宋体" w:eastAsia="宋体" w:cs="宋体"/>
          <w:color w:val="000000"/>
          <w:sz w:val="24"/>
          <w:szCs w:val="24"/>
        </w:rPr>
        <w:t>5</w:t>
      </w:r>
      <w:r>
        <w:rPr>
          <w:rFonts w:hint="eastAsia" w:ascii="宋体" w:hAnsi="宋体" w:eastAsia="宋体" w:cs="宋体"/>
          <w:color w:val="000000"/>
          <w:kern w:val="0"/>
          <w:sz w:val="24"/>
          <w:szCs w:val="24"/>
        </w:rPr>
        <w:t>特殊环境和条件下的人工降效费、建筑物超高增加的人工、机械及现行定额规定的其他人工机械增加费维持投标水平不予调整。</w:t>
      </w:r>
    </w:p>
    <w:p w14:paraId="3EBC203C">
      <w:pPr>
        <w:autoSpaceDE w:val="0"/>
        <w:autoSpaceDN w:val="0"/>
        <w:ind w:firstLine="480" w:firstLineChars="200"/>
        <w:contextualSpacing/>
        <w:jc w:val="left"/>
        <w:rPr>
          <w:rFonts w:hint="eastAsia" w:ascii="宋体" w:hAnsi="宋体" w:eastAsia="宋体" w:cs="宋体"/>
          <w:color w:val="000000"/>
          <w:kern w:val="0"/>
          <w:sz w:val="24"/>
          <w:szCs w:val="24"/>
        </w:rPr>
      </w:pPr>
      <w:r>
        <w:rPr>
          <w:rFonts w:hint="eastAsia" w:ascii="宋体" w:hAnsi="宋体" w:eastAsia="宋体" w:cs="宋体"/>
          <w:sz w:val="24"/>
          <w:szCs w:val="24"/>
        </w:rPr>
        <w:t>10.4.1.</w:t>
      </w:r>
      <w:r>
        <w:rPr>
          <w:rFonts w:hint="eastAsia" w:ascii="宋体" w:hAnsi="宋体" w:eastAsia="宋体" w:cs="宋体"/>
          <w:color w:val="000000"/>
          <w:sz w:val="24"/>
          <w:szCs w:val="24"/>
        </w:rPr>
        <w:t>6</w:t>
      </w:r>
      <w:r>
        <w:rPr>
          <w:rFonts w:hint="eastAsia" w:ascii="宋体" w:hAnsi="宋体" w:eastAsia="宋体" w:cs="宋体"/>
          <w:color w:val="000000"/>
          <w:kern w:val="0"/>
          <w:sz w:val="24"/>
          <w:szCs w:val="24"/>
        </w:rPr>
        <w:t>由承包人自身原因引起的工程变更，发包人不予增加费用</w:t>
      </w:r>
      <w:r>
        <w:rPr>
          <w:rFonts w:hint="eastAsia" w:ascii="宋体" w:hAnsi="宋体" w:eastAsia="宋体" w:cs="宋体"/>
          <w:kern w:val="0"/>
          <w:sz w:val="24"/>
          <w:szCs w:val="24"/>
        </w:rPr>
        <w:t>和（或）延长工期</w:t>
      </w:r>
      <w:r>
        <w:rPr>
          <w:rFonts w:hint="eastAsia" w:ascii="宋体" w:hAnsi="宋体" w:eastAsia="宋体" w:cs="宋体"/>
          <w:color w:val="000000"/>
          <w:kern w:val="0"/>
          <w:sz w:val="24"/>
          <w:szCs w:val="24"/>
        </w:rPr>
        <w:t>。</w:t>
      </w:r>
    </w:p>
    <w:p w14:paraId="5F7E1CFA">
      <w:pPr>
        <w:autoSpaceDE w:val="0"/>
        <w:autoSpaceDN w:val="0"/>
        <w:ind w:firstLine="482" w:firstLineChars="200"/>
        <w:contextualSpacing/>
        <w:jc w:val="left"/>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10.4.2条款修改为：</w:t>
      </w:r>
    </w:p>
    <w:p w14:paraId="12F82C19">
      <w:pPr>
        <w:ind w:firstLine="480" w:firstLineChars="200"/>
        <w:contextualSpacing/>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承包人应在收到变更指示后</w:t>
      </w:r>
      <w:r>
        <w:rPr>
          <w:rFonts w:hint="eastAsia" w:ascii="宋体" w:hAnsi="宋体" w:eastAsia="宋体" w:cs="宋体"/>
          <w:color w:val="000000"/>
          <w:kern w:val="0"/>
          <w:sz w:val="24"/>
          <w:szCs w:val="24"/>
          <w:u w:val="single"/>
        </w:rPr>
        <w:t>14</w:t>
      </w:r>
      <w:r>
        <w:rPr>
          <w:rFonts w:hint="eastAsia" w:ascii="宋体" w:hAnsi="宋体" w:eastAsia="宋体" w:cs="宋体"/>
          <w:color w:val="000000"/>
          <w:kern w:val="0"/>
          <w:sz w:val="24"/>
          <w:szCs w:val="24"/>
        </w:rPr>
        <w:t>天内，向监理人提交变更估价申请。监理人应在收到承包人提交的变更估价申请后</w:t>
      </w:r>
      <w:r>
        <w:rPr>
          <w:rFonts w:hint="eastAsia" w:ascii="宋体" w:hAnsi="宋体" w:eastAsia="宋体" w:cs="宋体"/>
          <w:color w:val="000000"/>
          <w:kern w:val="0"/>
          <w:sz w:val="24"/>
          <w:szCs w:val="24"/>
          <w:u w:val="single"/>
        </w:rPr>
        <w:t>14</w:t>
      </w:r>
      <w:r>
        <w:rPr>
          <w:rFonts w:hint="eastAsia" w:ascii="宋体" w:hAnsi="宋体" w:eastAsia="宋体" w:cs="宋体"/>
          <w:color w:val="000000"/>
          <w:kern w:val="0"/>
          <w:sz w:val="24"/>
          <w:szCs w:val="24"/>
        </w:rPr>
        <w:t>天内审查完毕并报送发包人，监理人对变更估价申请有异议，通知承包人修改后重新提交。发包人应在承包人提交变更估价申请后</w:t>
      </w:r>
      <w:r>
        <w:rPr>
          <w:rFonts w:hint="eastAsia" w:ascii="宋体" w:hAnsi="宋体" w:eastAsia="宋体" w:cs="宋体"/>
          <w:color w:val="000000"/>
          <w:kern w:val="0"/>
          <w:sz w:val="24"/>
          <w:szCs w:val="24"/>
          <w:u w:val="single"/>
        </w:rPr>
        <w:t>28</w:t>
      </w:r>
      <w:r>
        <w:rPr>
          <w:rFonts w:hint="eastAsia" w:ascii="宋体" w:hAnsi="宋体" w:eastAsia="宋体" w:cs="宋体"/>
          <w:color w:val="000000"/>
          <w:kern w:val="0"/>
          <w:sz w:val="24"/>
          <w:szCs w:val="24"/>
        </w:rPr>
        <w:t>天内审批完毕。如果双方对工程变更价款在发包人审批期限内无法达成一致意见，则审批期限无限延长。合同变更完成审批并签订补充协议后，于最近一期进度款中申请支付。</w:t>
      </w:r>
    </w:p>
    <w:p w14:paraId="7132F6C2">
      <w:pPr>
        <w:ind w:firstLine="482" w:firstLineChars="200"/>
        <w:contextualSpacing/>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10.5承包人的合理化建议</w:t>
      </w:r>
    </w:p>
    <w:p w14:paraId="36DB6028">
      <w:pPr>
        <w:ind w:firstLine="480" w:firstLineChars="200"/>
        <w:contextualSpacing/>
        <w:jc w:val="left"/>
        <w:rPr>
          <w:rFonts w:hint="eastAsia" w:ascii="宋体" w:hAnsi="宋体" w:eastAsia="宋体" w:cs="宋体"/>
          <w:sz w:val="24"/>
          <w:szCs w:val="24"/>
        </w:rPr>
      </w:pPr>
      <w:r>
        <w:rPr>
          <w:rFonts w:hint="eastAsia" w:ascii="宋体" w:hAnsi="宋体" w:eastAsia="宋体" w:cs="宋体"/>
          <w:sz w:val="24"/>
          <w:szCs w:val="24"/>
        </w:rPr>
        <w:t>监理人审查承包人合理化建议的期限：</w:t>
      </w:r>
      <w:r>
        <w:rPr>
          <w:rFonts w:hint="eastAsia" w:ascii="宋体" w:hAnsi="宋体" w:eastAsia="宋体" w:cs="宋体"/>
          <w:color w:val="000000"/>
          <w:kern w:val="0"/>
          <w:sz w:val="24"/>
          <w:szCs w:val="24"/>
        </w:rPr>
        <w:t>监理人应在收到承包人提交的合理化建议后</w:t>
      </w:r>
      <w:r>
        <w:rPr>
          <w:rFonts w:hint="eastAsia" w:ascii="宋体" w:hAnsi="宋体" w:eastAsia="宋体" w:cs="宋体"/>
          <w:color w:val="000000"/>
          <w:kern w:val="0"/>
          <w:sz w:val="24"/>
          <w:szCs w:val="24"/>
          <w:u w:val="single"/>
        </w:rPr>
        <w:t>14</w:t>
      </w:r>
      <w:r>
        <w:rPr>
          <w:rFonts w:hint="eastAsia" w:ascii="宋体" w:hAnsi="宋体" w:eastAsia="宋体" w:cs="宋体"/>
          <w:color w:val="000000"/>
          <w:kern w:val="0"/>
          <w:sz w:val="24"/>
          <w:szCs w:val="24"/>
        </w:rPr>
        <w:t>天内审查完毕并报送发包人，发现其中存在技术上的缺陷，应通知承包人修改。</w:t>
      </w:r>
    </w:p>
    <w:p w14:paraId="5A8DA33A">
      <w:pPr>
        <w:ind w:firstLine="480" w:firstLineChars="200"/>
        <w:contextualSpacing/>
        <w:jc w:val="left"/>
        <w:rPr>
          <w:rFonts w:hint="eastAsia" w:ascii="宋体" w:hAnsi="宋体" w:eastAsia="宋体" w:cs="宋体"/>
          <w:sz w:val="24"/>
          <w:szCs w:val="24"/>
          <w:u w:val="single"/>
        </w:rPr>
      </w:pPr>
      <w:r>
        <w:rPr>
          <w:rFonts w:hint="eastAsia" w:ascii="宋体" w:hAnsi="宋体" w:eastAsia="宋体" w:cs="宋体"/>
          <w:sz w:val="24"/>
          <w:szCs w:val="24"/>
        </w:rPr>
        <w:t>发包人审批承包人合理化建议的期限：</w:t>
      </w:r>
      <w:r>
        <w:rPr>
          <w:rFonts w:hint="eastAsia" w:ascii="宋体" w:hAnsi="宋体" w:eastAsia="宋体" w:cs="宋体"/>
          <w:color w:val="000000"/>
          <w:kern w:val="0"/>
          <w:sz w:val="24"/>
          <w:szCs w:val="24"/>
        </w:rPr>
        <w:t>发包人应在收到监理人报送的合理化建议后</w:t>
      </w:r>
      <w:r>
        <w:rPr>
          <w:rFonts w:hint="eastAsia" w:ascii="宋体" w:hAnsi="宋体" w:eastAsia="宋体" w:cs="宋体"/>
          <w:color w:val="000000"/>
          <w:kern w:val="0"/>
          <w:sz w:val="24"/>
          <w:szCs w:val="24"/>
          <w:u w:val="single"/>
        </w:rPr>
        <w:t>28</w:t>
      </w:r>
      <w:r>
        <w:rPr>
          <w:rFonts w:hint="eastAsia" w:ascii="宋体" w:hAnsi="宋体" w:eastAsia="宋体" w:cs="宋体"/>
          <w:color w:val="000000"/>
          <w:kern w:val="0"/>
          <w:sz w:val="24"/>
          <w:szCs w:val="24"/>
        </w:rPr>
        <w:t>天内审批完毕。</w:t>
      </w:r>
    </w:p>
    <w:p w14:paraId="4B43BB08">
      <w:pPr>
        <w:ind w:firstLine="480" w:firstLineChars="200"/>
        <w:contextualSpacing/>
        <w:jc w:val="left"/>
        <w:rPr>
          <w:rFonts w:hint="eastAsia" w:ascii="宋体" w:hAnsi="宋体" w:eastAsia="宋体" w:cs="宋体"/>
          <w:sz w:val="24"/>
          <w:szCs w:val="24"/>
        </w:rPr>
      </w:pPr>
      <w:r>
        <w:rPr>
          <w:rFonts w:hint="eastAsia" w:ascii="宋体" w:hAnsi="宋体" w:eastAsia="宋体" w:cs="宋体"/>
          <w:sz w:val="24"/>
          <w:szCs w:val="24"/>
        </w:rPr>
        <w:t>承包人提出的合理化建议降低了合同价格或者提高了工程经济效益的奖励的方法和金额为：</w:t>
      </w:r>
      <w:r>
        <w:rPr>
          <w:rFonts w:hint="eastAsia" w:ascii="宋体" w:hAnsi="宋体" w:eastAsia="宋体" w:cs="宋体"/>
          <w:sz w:val="24"/>
          <w:szCs w:val="24"/>
          <w:u w:val="single"/>
        </w:rPr>
        <w:t>无奖励金额。</w:t>
      </w:r>
    </w:p>
    <w:p w14:paraId="6695F4E0">
      <w:pPr>
        <w:autoSpaceDE w:val="0"/>
        <w:autoSpaceDN w:val="0"/>
        <w:ind w:firstLine="482" w:firstLineChars="200"/>
        <w:contextualSpacing/>
        <w:jc w:val="left"/>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增加以下条款</w:t>
      </w:r>
      <w:r>
        <w:rPr>
          <w:rFonts w:hint="eastAsia" w:ascii="宋体" w:hAnsi="宋体" w:eastAsia="宋体" w:cs="宋体"/>
          <w:b/>
          <w:sz w:val="24"/>
          <w:szCs w:val="24"/>
        </w:rPr>
        <w:t>：</w:t>
      </w:r>
    </w:p>
    <w:p w14:paraId="30116936">
      <w:pPr>
        <w:ind w:firstLine="480" w:firstLineChars="200"/>
        <w:contextualSpacing/>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承包人提出的合理化建议中如涉及降低工程造价，经发包人采纳后，如最终费用对比原合同费用增加，发包人不对此给予补偿。</w:t>
      </w:r>
    </w:p>
    <w:p w14:paraId="20433F3F">
      <w:pPr>
        <w:pStyle w:val="6"/>
        <w:spacing w:before="0" w:after="0" w:line="240" w:lineRule="auto"/>
        <w:ind w:firstLine="482" w:firstLineChars="200"/>
        <w:contextualSpacing/>
        <w:rPr>
          <w:rFonts w:hint="eastAsia" w:ascii="宋体" w:hAnsi="宋体" w:eastAsia="宋体" w:cs="宋体"/>
          <w:color w:val="000000"/>
          <w:sz w:val="24"/>
          <w:szCs w:val="24"/>
        </w:rPr>
      </w:pPr>
      <w:bookmarkStart w:id="422" w:name="_Toc443898203"/>
      <w:r>
        <w:rPr>
          <w:rFonts w:hint="eastAsia" w:ascii="宋体" w:hAnsi="宋体" w:eastAsia="宋体" w:cs="宋体"/>
          <w:color w:val="000000"/>
          <w:sz w:val="24"/>
          <w:szCs w:val="24"/>
        </w:rPr>
        <w:t>10.</w:t>
      </w:r>
      <w:bookmarkStart w:id="423" w:name="_Toc440472891"/>
      <w:r>
        <w:rPr>
          <w:rFonts w:hint="eastAsia" w:ascii="宋体" w:hAnsi="宋体" w:eastAsia="宋体" w:cs="宋体"/>
          <w:color w:val="000000"/>
          <w:sz w:val="24"/>
          <w:szCs w:val="24"/>
        </w:rPr>
        <w:t>6条款修改为：</w:t>
      </w:r>
      <w:bookmarkEnd w:id="422"/>
    </w:p>
    <w:p w14:paraId="67D24CCE">
      <w:pPr>
        <w:autoSpaceDE w:val="0"/>
        <w:autoSpaceDN w:val="0"/>
        <w:ind w:firstLine="480" w:firstLineChars="200"/>
        <w:contextualSpacing/>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因发</w:t>
      </w:r>
      <w:bookmarkEnd w:id="423"/>
      <w:r>
        <w:rPr>
          <w:rFonts w:hint="eastAsia" w:ascii="宋体" w:hAnsi="宋体" w:eastAsia="宋体" w:cs="宋体"/>
          <w:color w:val="000000"/>
          <w:kern w:val="0"/>
          <w:sz w:val="24"/>
          <w:szCs w:val="24"/>
        </w:rPr>
        <w:t>包人原因引起工期变化的，承包人可要求调整合同工期；因承包人原因引起工期变化的，发包人不予顺延工期。具体工期标准参考工程所在地的工期定额标准确定增减工期天数。</w:t>
      </w:r>
    </w:p>
    <w:p w14:paraId="104D867A">
      <w:pPr>
        <w:ind w:firstLine="480" w:firstLineChars="200"/>
        <w:contextualSpacing/>
        <w:rPr>
          <w:rFonts w:hint="eastAsia" w:ascii="宋体" w:hAnsi="宋体" w:eastAsia="宋体" w:cs="宋体"/>
          <w:color w:val="000000"/>
          <w:sz w:val="24"/>
          <w:szCs w:val="24"/>
        </w:rPr>
      </w:pPr>
      <w:r>
        <w:rPr>
          <w:rFonts w:hint="eastAsia" w:ascii="宋体" w:hAnsi="宋体" w:eastAsia="宋体" w:cs="宋体"/>
          <w:color w:val="000000"/>
          <w:sz w:val="24"/>
          <w:szCs w:val="24"/>
        </w:rPr>
        <w:t>10.7 暂估价</w:t>
      </w:r>
    </w:p>
    <w:p w14:paraId="1E513DC9">
      <w:pPr>
        <w:autoSpaceDE w:val="0"/>
        <w:autoSpaceDN w:val="0"/>
        <w:ind w:firstLine="480" w:firstLineChars="200"/>
        <w:contextualSpacing/>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合同当事人关于</w:t>
      </w:r>
      <w:r>
        <w:rPr>
          <w:rFonts w:hint="eastAsia" w:ascii="宋体" w:hAnsi="宋体" w:eastAsia="宋体" w:cs="宋体"/>
          <w:color w:val="000000"/>
          <w:sz w:val="24"/>
          <w:szCs w:val="24"/>
        </w:rPr>
        <w:t>暂估价</w:t>
      </w:r>
      <w:r>
        <w:rPr>
          <w:rFonts w:hint="eastAsia" w:ascii="宋体" w:hAnsi="宋体" w:eastAsia="宋体" w:cs="宋体"/>
          <w:color w:val="000000"/>
          <w:kern w:val="0"/>
          <w:sz w:val="24"/>
          <w:szCs w:val="24"/>
        </w:rPr>
        <w:t>使用</w:t>
      </w:r>
      <w:r>
        <w:rPr>
          <w:rFonts w:hint="eastAsia" w:ascii="宋体" w:hAnsi="宋体" w:eastAsia="宋体" w:cs="宋体"/>
          <w:kern w:val="0"/>
          <w:sz w:val="24"/>
          <w:szCs w:val="24"/>
        </w:rPr>
        <w:t>的约定：</w:t>
      </w:r>
      <w:r>
        <w:rPr>
          <w:rFonts w:hint="eastAsia" w:ascii="宋体" w:hAnsi="宋体" w:eastAsia="宋体" w:cs="宋体"/>
          <w:kern w:val="0"/>
          <w:sz w:val="24"/>
          <w:szCs w:val="24"/>
          <w:u w:val="single"/>
        </w:rPr>
        <w:t xml:space="preserve"> 无 </w:t>
      </w:r>
      <w:r>
        <w:rPr>
          <w:rFonts w:hint="eastAsia" w:ascii="宋体" w:hAnsi="宋体" w:eastAsia="宋体" w:cs="宋体"/>
          <w:kern w:val="0"/>
          <w:sz w:val="24"/>
          <w:szCs w:val="24"/>
        </w:rPr>
        <w:t>。</w:t>
      </w:r>
    </w:p>
    <w:p w14:paraId="2C74F4E8">
      <w:pPr>
        <w:ind w:firstLine="482" w:firstLineChars="200"/>
        <w:contextualSpacing/>
        <w:rPr>
          <w:rFonts w:hint="eastAsia" w:ascii="宋体" w:hAnsi="宋体" w:eastAsia="宋体" w:cs="宋体"/>
          <w:b/>
          <w:bCs/>
          <w:color w:val="000000"/>
          <w:sz w:val="24"/>
          <w:szCs w:val="24"/>
        </w:rPr>
      </w:pPr>
      <w:r>
        <w:rPr>
          <w:rFonts w:hint="eastAsia" w:ascii="宋体" w:hAnsi="宋体" w:eastAsia="宋体" w:cs="宋体"/>
          <w:b/>
          <w:bCs/>
          <w:color w:val="000000"/>
          <w:sz w:val="24"/>
          <w:szCs w:val="24"/>
        </w:rPr>
        <w:t>10.8 暂列金额</w:t>
      </w:r>
    </w:p>
    <w:p w14:paraId="63FC3DFB">
      <w:pPr>
        <w:autoSpaceDE w:val="0"/>
        <w:autoSpaceDN w:val="0"/>
        <w:ind w:firstLine="480" w:firstLineChars="200"/>
        <w:contextualSpacing/>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合同当事人关于暂列金额使用</w:t>
      </w:r>
      <w:r>
        <w:rPr>
          <w:rFonts w:hint="eastAsia" w:ascii="宋体" w:hAnsi="宋体" w:eastAsia="宋体" w:cs="宋体"/>
          <w:kern w:val="0"/>
          <w:sz w:val="24"/>
          <w:szCs w:val="24"/>
        </w:rPr>
        <w:t>的约定：</w:t>
      </w:r>
      <w:r>
        <w:rPr>
          <w:rFonts w:hint="eastAsia" w:ascii="宋体" w:hAnsi="宋体" w:eastAsia="宋体" w:cs="宋体"/>
          <w:kern w:val="0"/>
          <w:sz w:val="24"/>
          <w:szCs w:val="24"/>
          <w:u w:val="single"/>
        </w:rPr>
        <w:t xml:space="preserve"> 无 </w:t>
      </w:r>
      <w:r>
        <w:rPr>
          <w:rFonts w:hint="eastAsia" w:ascii="宋体" w:hAnsi="宋体" w:eastAsia="宋体" w:cs="宋体"/>
          <w:kern w:val="0"/>
          <w:sz w:val="24"/>
          <w:szCs w:val="24"/>
        </w:rPr>
        <w:t>。</w:t>
      </w:r>
    </w:p>
    <w:p w14:paraId="558BADB3">
      <w:pPr>
        <w:ind w:firstLine="482" w:firstLineChars="200"/>
        <w:contextualSpacing/>
        <w:rPr>
          <w:rFonts w:hint="eastAsia" w:ascii="宋体" w:hAnsi="宋体" w:eastAsia="宋体" w:cs="宋体"/>
          <w:b/>
          <w:bCs/>
          <w:color w:val="000000"/>
          <w:sz w:val="24"/>
          <w:szCs w:val="24"/>
        </w:rPr>
      </w:pPr>
      <w:r>
        <w:rPr>
          <w:rFonts w:hint="eastAsia" w:ascii="宋体" w:hAnsi="宋体" w:eastAsia="宋体" w:cs="宋体"/>
          <w:b/>
          <w:bCs/>
          <w:color w:val="000000"/>
          <w:sz w:val="24"/>
          <w:szCs w:val="24"/>
        </w:rPr>
        <w:t>10.9  计日工</w:t>
      </w:r>
    </w:p>
    <w:p w14:paraId="38C7F707">
      <w:pPr>
        <w:ind w:firstLine="482" w:firstLineChars="200"/>
        <w:contextualSpacing/>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此条款不适用。</w:t>
      </w:r>
    </w:p>
    <w:p w14:paraId="38C78126">
      <w:pPr>
        <w:pStyle w:val="5"/>
        <w:numPr>
          <w:ilvl w:val="0"/>
          <w:numId w:val="2"/>
        </w:numPr>
        <w:spacing w:before="0" w:after="0" w:line="240" w:lineRule="auto"/>
        <w:ind w:firstLine="482" w:firstLineChars="200"/>
        <w:contextualSpacing/>
        <w:rPr>
          <w:rFonts w:hint="eastAsia" w:ascii="宋体" w:hAnsi="宋体" w:eastAsia="宋体" w:cs="宋体"/>
          <w:b/>
          <w:bCs w:val="0"/>
          <w:color w:val="000000"/>
          <w:sz w:val="24"/>
          <w:szCs w:val="24"/>
          <w:u w:val="single"/>
        </w:rPr>
      </w:pPr>
      <w:bookmarkStart w:id="424" w:name="_Toc443898204"/>
      <w:r>
        <w:rPr>
          <w:rFonts w:hint="eastAsia" w:ascii="宋体" w:hAnsi="宋体" w:eastAsia="宋体" w:cs="宋体"/>
          <w:b/>
          <w:bCs w:val="0"/>
          <w:color w:val="000000"/>
          <w:sz w:val="24"/>
          <w:szCs w:val="24"/>
        </w:rPr>
        <w:t>价格调整</w:t>
      </w:r>
      <w:bookmarkEnd w:id="424"/>
    </w:p>
    <w:p w14:paraId="78E11E3B">
      <w:pPr>
        <w:autoSpaceDE w:val="0"/>
        <w:autoSpaceDN w:val="0"/>
        <w:ind w:firstLine="480" w:firstLineChars="200"/>
        <w:contextualSpacing/>
        <w:jc w:val="left"/>
        <w:rPr>
          <w:rFonts w:hint="eastAsia" w:ascii="宋体" w:hAnsi="宋体" w:eastAsia="宋体" w:cs="宋体"/>
          <w:color w:val="000000"/>
          <w:sz w:val="24"/>
          <w:szCs w:val="24"/>
        </w:rPr>
      </w:pPr>
      <w:r>
        <w:rPr>
          <w:rFonts w:hint="eastAsia" w:ascii="宋体" w:hAnsi="宋体" w:eastAsia="宋体" w:cs="宋体"/>
          <w:color w:val="000000"/>
          <w:kern w:val="0"/>
          <w:sz w:val="24"/>
          <w:szCs w:val="24"/>
          <w:u w:val="single"/>
        </w:rPr>
        <w:t>本项目合同执行期间人材机不作调整</w:t>
      </w:r>
      <w:r>
        <w:rPr>
          <w:rFonts w:hint="eastAsia" w:ascii="宋体" w:hAnsi="宋体" w:eastAsia="宋体" w:cs="宋体"/>
          <w:bCs/>
          <w:color w:val="000000"/>
          <w:sz w:val="24"/>
          <w:szCs w:val="24"/>
          <w:u w:val="single"/>
        </w:rPr>
        <w:t>。</w:t>
      </w:r>
    </w:p>
    <w:p w14:paraId="1B15B41F">
      <w:pPr>
        <w:ind w:firstLine="482" w:firstLineChars="200"/>
        <w:contextualSpacing/>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增加以下条款：</w:t>
      </w:r>
    </w:p>
    <w:p w14:paraId="68F924D5">
      <w:pPr>
        <w:ind w:firstLine="480" w:firstLineChars="200"/>
        <w:contextualSpacing/>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11.3不平衡报价处理原则</w:t>
      </w:r>
    </w:p>
    <w:p w14:paraId="0E7856E3">
      <w:pPr>
        <w:ind w:firstLine="480" w:firstLineChars="200"/>
        <w:contextualSpacing/>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11.3.1 不平衡报价项目的认定标准</w:t>
      </w:r>
    </w:p>
    <w:p w14:paraId="17A8B0E9">
      <w:pPr>
        <w:ind w:firstLine="480" w:firstLineChars="200"/>
        <w:contextualSpacing/>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在合同执行过程中，对于超出工程量偏差范围±15%的项目，其投标单价与招标控制价的单价偏差超过±20%的，即被认定为不平衡报价项目。</w:t>
      </w:r>
    </w:p>
    <w:p w14:paraId="6C2040E3">
      <w:pPr>
        <w:ind w:firstLine="480" w:firstLineChars="200"/>
        <w:contextualSpacing/>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11.3.2 不平衡报价项目的调整单价计算</w:t>
      </w:r>
    </w:p>
    <w:p w14:paraId="10600989">
      <w:pPr>
        <w:ind w:firstLine="480" w:firstLineChars="200"/>
        <w:contextualSpacing/>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对于被认定为不平衡报价项目的，其实际单价的调整按招标控制价的单价计算。</w:t>
      </w:r>
    </w:p>
    <w:p w14:paraId="646BC67F">
      <w:pPr>
        <w:ind w:firstLine="480" w:firstLineChars="200"/>
        <w:contextualSpacing/>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11.3.3 不平衡报价项目的处理原则</w:t>
      </w:r>
    </w:p>
    <w:p w14:paraId="4338A938">
      <w:pPr>
        <w:ind w:firstLine="480" w:firstLineChars="200"/>
        <w:contextualSpacing/>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（1）对于合同工程量清单中的项目，对于超出合同清单工程量±15%以内的，仍使用原投标单价计价；对于超出合同清单工程量±15%以外的，按以下原则处理。</w:t>
      </w:r>
    </w:p>
    <w:p w14:paraId="56B8E8EC">
      <w:pPr>
        <w:ind w:firstLine="480" w:firstLineChars="200"/>
        <w:contextualSpacing/>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（2）对于合同工程量清单中的项目</w:t>
      </w:r>
    </w:p>
    <w:p w14:paraId="4B4EA81B">
      <w:pPr>
        <w:ind w:firstLine="480" w:firstLineChars="200"/>
        <w:contextualSpacing/>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 a.如果投标单价是低报价情况，当工程量减少超过15%时，超出部分按照不平衡报价的调整单价计算减少费用；当工程量增加超过15%时，超出部分按照原投标单价计算增加费用。</w:t>
      </w:r>
    </w:p>
    <w:p w14:paraId="419CC1D8">
      <w:pPr>
        <w:ind w:firstLine="480" w:firstLineChars="200"/>
        <w:contextualSpacing/>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b.如果投标单价是高报价情况，当工程量减少超过15%时，超出部分按照原投标单价计算减少费用；当工程量增加超过15%时，超出部分按照不平衡报价的调整单价计算增加费用。</w:t>
      </w:r>
    </w:p>
    <w:p w14:paraId="32362BFD">
      <w:pPr>
        <w:ind w:firstLine="480" w:firstLineChars="200"/>
        <w:contextualSpacing/>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（3）对于新增工程项目需要套用原合同单价时，如投标单价是低报价的，则沿用原投标单价，如投标单价是高报价的，则使用不平衡报价的调整单价。</w:t>
      </w:r>
    </w:p>
    <w:p w14:paraId="094C9932">
      <w:pPr>
        <w:ind w:firstLine="480" w:firstLineChars="200"/>
        <w:contextualSpacing/>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11.3.4 不平衡报价处理原则同样适用于暂估价项目。</w:t>
      </w:r>
    </w:p>
    <w:p w14:paraId="2964F811">
      <w:pPr>
        <w:pStyle w:val="5"/>
        <w:spacing w:before="0" w:after="0" w:line="240" w:lineRule="auto"/>
        <w:ind w:firstLine="482" w:firstLineChars="200"/>
        <w:contextualSpacing/>
        <w:rPr>
          <w:rFonts w:hint="eastAsia" w:ascii="宋体" w:hAnsi="宋体" w:eastAsia="宋体" w:cs="宋体"/>
          <w:color w:val="000000"/>
          <w:sz w:val="24"/>
          <w:szCs w:val="24"/>
        </w:rPr>
      </w:pPr>
      <w:bookmarkStart w:id="425" w:name="_Toc443898205"/>
      <w:r>
        <w:rPr>
          <w:rFonts w:hint="eastAsia" w:ascii="宋体" w:hAnsi="宋体" w:eastAsia="宋体" w:cs="宋体"/>
          <w:color w:val="000000"/>
          <w:sz w:val="24"/>
          <w:szCs w:val="24"/>
        </w:rPr>
        <w:t>12. 合同价格、计量与支付</w:t>
      </w:r>
      <w:bookmarkEnd w:id="425"/>
    </w:p>
    <w:p w14:paraId="1B0A0630">
      <w:pPr>
        <w:ind w:firstLine="482" w:firstLineChars="200"/>
        <w:contextualSpacing/>
        <w:rPr>
          <w:rFonts w:hint="eastAsia" w:ascii="宋体" w:hAnsi="宋体" w:eastAsia="宋体" w:cs="宋体"/>
          <w:b/>
          <w:bCs/>
          <w:color w:val="000000"/>
          <w:sz w:val="24"/>
          <w:szCs w:val="24"/>
        </w:rPr>
      </w:pPr>
      <w:r>
        <w:rPr>
          <w:rFonts w:hint="eastAsia" w:ascii="宋体" w:hAnsi="宋体" w:eastAsia="宋体" w:cs="宋体"/>
          <w:b/>
          <w:bCs/>
          <w:color w:val="000000"/>
          <w:sz w:val="24"/>
          <w:szCs w:val="24"/>
        </w:rPr>
        <w:t>12.1 合同价格形式</w:t>
      </w:r>
    </w:p>
    <w:p w14:paraId="0A3C2CC1">
      <w:pPr>
        <w:ind w:firstLine="480" w:firstLineChars="200"/>
        <w:contextualSpacing/>
        <w:jc w:val="left"/>
        <w:rPr>
          <w:rFonts w:hint="eastAsia" w:ascii="宋体" w:hAnsi="宋体" w:eastAsia="宋体" w:cs="宋体"/>
          <w:sz w:val="24"/>
          <w:szCs w:val="24"/>
        </w:rPr>
      </w:pPr>
      <w:r>
        <w:rPr>
          <w:rFonts w:hint="eastAsia" w:ascii="宋体" w:hAnsi="宋体" w:eastAsia="宋体" w:cs="宋体"/>
          <w:sz w:val="24"/>
          <w:szCs w:val="24"/>
        </w:rPr>
        <w:t>对于合同价格形式，本合同采取第</w:t>
      </w:r>
      <w:r>
        <w:rPr>
          <w:rFonts w:hint="eastAsia" w:ascii="宋体" w:hAnsi="宋体" w:eastAsia="宋体" w:cs="宋体"/>
          <w:sz w:val="24"/>
          <w:szCs w:val="24"/>
          <w:u w:val="single"/>
        </w:rPr>
        <w:t>（1）</w:t>
      </w:r>
      <w:r>
        <w:rPr>
          <w:rFonts w:hint="eastAsia" w:ascii="宋体" w:hAnsi="宋体" w:eastAsia="宋体" w:cs="宋体"/>
          <w:sz w:val="24"/>
          <w:szCs w:val="24"/>
        </w:rPr>
        <w:t>种方式确定。</w:t>
      </w:r>
    </w:p>
    <w:p w14:paraId="6F27E377">
      <w:pPr>
        <w:ind w:firstLine="480" w:firstLineChars="200"/>
        <w:contextualSpacing/>
        <w:jc w:val="left"/>
        <w:rPr>
          <w:rFonts w:hint="eastAsia" w:ascii="宋体" w:hAnsi="宋体" w:eastAsia="宋体" w:cs="宋体"/>
          <w:color w:val="000000"/>
          <w:sz w:val="24"/>
          <w:szCs w:val="24"/>
        </w:rPr>
      </w:pPr>
      <w:r>
        <w:rPr>
          <w:rFonts w:hint="eastAsia" w:ascii="宋体" w:hAnsi="宋体" w:eastAsia="宋体" w:cs="宋体"/>
          <w:color w:val="000000"/>
          <w:sz w:val="24"/>
          <w:szCs w:val="24"/>
        </w:rPr>
        <w:t>（1）单价合同。</w:t>
      </w:r>
    </w:p>
    <w:p w14:paraId="739BF910">
      <w:pPr>
        <w:ind w:firstLine="480" w:firstLineChars="200"/>
        <w:contextualSpacing/>
        <w:jc w:val="left"/>
        <w:rPr>
          <w:rFonts w:hint="eastAsia" w:ascii="宋体" w:hAnsi="宋体" w:eastAsia="宋体" w:cs="宋体"/>
          <w:color w:val="000000"/>
          <w:sz w:val="24"/>
          <w:szCs w:val="24"/>
        </w:rPr>
      </w:pPr>
      <w:r>
        <w:rPr>
          <w:rFonts w:hint="eastAsia" w:ascii="宋体" w:hAnsi="宋体" w:eastAsia="宋体" w:cs="宋体"/>
          <w:color w:val="000000"/>
          <w:sz w:val="24"/>
          <w:szCs w:val="24"/>
        </w:rPr>
        <w:t>（2）总价合同。</w:t>
      </w:r>
    </w:p>
    <w:p w14:paraId="38988C7C">
      <w:pPr>
        <w:ind w:firstLine="480" w:firstLineChars="200"/>
        <w:contextualSpacing/>
        <w:jc w:val="left"/>
        <w:rPr>
          <w:rFonts w:hint="eastAsia" w:ascii="宋体" w:hAnsi="宋体" w:eastAsia="宋体" w:cs="宋体"/>
          <w:color w:val="000000"/>
          <w:sz w:val="24"/>
          <w:szCs w:val="24"/>
        </w:rPr>
      </w:pPr>
      <w:r>
        <w:rPr>
          <w:rFonts w:hint="eastAsia" w:ascii="宋体" w:hAnsi="宋体" w:eastAsia="宋体" w:cs="宋体"/>
          <w:color w:val="000000"/>
          <w:sz w:val="24"/>
          <w:szCs w:val="24"/>
        </w:rPr>
        <w:t>（3）其他价格方式</w:t>
      </w:r>
    </w:p>
    <w:p w14:paraId="4982ADC8">
      <w:pPr>
        <w:ind w:firstLine="480" w:firstLineChars="200"/>
        <w:contextualSpacing/>
        <w:jc w:val="left"/>
        <w:rPr>
          <w:rFonts w:hint="eastAsia" w:ascii="宋体" w:hAnsi="宋体" w:eastAsia="宋体" w:cs="宋体"/>
          <w:sz w:val="24"/>
          <w:szCs w:val="24"/>
        </w:rPr>
      </w:pPr>
      <w:r>
        <w:rPr>
          <w:rFonts w:hint="eastAsia" w:ascii="宋体" w:hAnsi="宋体" w:eastAsia="宋体" w:cs="宋体"/>
          <w:sz w:val="24"/>
          <w:szCs w:val="24"/>
        </w:rPr>
        <w:t>除合同其他约定以外，工程量清单中分部分项工程综合单价包干，措施项目费（含实体措施）总价包干。</w:t>
      </w:r>
    </w:p>
    <w:p w14:paraId="4490CE28">
      <w:pPr>
        <w:ind w:firstLine="480" w:firstLineChars="200"/>
        <w:contextualSpacing/>
        <w:jc w:val="left"/>
        <w:rPr>
          <w:rFonts w:hint="eastAsia" w:ascii="宋体" w:hAnsi="宋体" w:eastAsia="宋体" w:cs="宋体"/>
          <w:sz w:val="24"/>
          <w:szCs w:val="24"/>
        </w:rPr>
      </w:pPr>
      <w:r>
        <w:rPr>
          <w:rFonts w:hint="eastAsia" w:ascii="宋体" w:hAnsi="宋体" w:eastAsia="宋体" w:cs="宋体"/>
          <w:sz w:val="24"/>
          <w:szCs w:val="24"/>
        </w:rPr>
        <w:t>综合单价包含的风险范围：</w:t>
      </w:r>
      <w:r>
        <w:rPr>
          <w:rFonts w:hint="eastAsia" w:ascii="宋体" w:hAnsi="宋体" w:eastAsia="宋体" w:cs="宋体"/>
          <w:sz w:val="24"/>
          <w:szCs w:val="24"/>
          <w:u w:val="single"/>
        </w:rPr>
        <w:t>根据专用合同条款第11条进行调整</w:t>
      </w:r>
      <w:r>
        <w:rPr>
          <w:rFonts w:hint="eastAsia" w:ascii="宋体" w:hAnsi="宋体" w:eastAsia="宋体" w:cs="宋体"/>
          <w:sz w:val="24"/>
          <w:szCs w:val="24"/>
        </w:rPr>
        <w:t>。</w:t>
      </w:r>
    </w:p>
    <w:p w14:paraId="40997865">
      <w:pPr>
        <w:ind w:firstLine="480" w:firstLineChars="200"/>
        <w:contextualSpacing/>
        <w:jc w:val="left"/>
        <w:rPr>
          <w:rFonts w:hint="eastAsia" w:ascii="宋体" w:hAnsi="宋体" w:eastAsia="宋体" w:cs="宋体"/>
          <w:sz w:val="24"/>
          <w:szCs w:val="24"/>
          <w:u w:val="single"/>
        </w:rPr>
      </w:pPr>
      <w:r>
        <w:rPr>
          <w:rFonts w:hint="eastAsia" w:ascii="宋体" w:hAnsi="宋体" w:eastAsia="宋体" w:cs="宋体"/>
          <w:sz w:val="24"/>
          <w:szCs w:val="24"/>
        </w:rPr>
        <w:t>风险费用的计算方法：</w:t>
      </w:r>
      <w:r>
        <w:rPr>
          <w:rFonts w:hint="eastAsia" w:ascii="宋体" w:hAnsi="宋体" w:eastAsia="宋体" w:cs="宋体"/>
          <w:sz w:val="24"/>
          <w:szCs w:val="24"/>
          <w:u w:val="single"/>
        </w:rPr>
        <w:t>不予调整</w:t>
      </w:r>
    </w:p>
    <w:p w14:paraId="20A89618">
      <w:pPr>
        <w:ind w:firstLine="480" w:firstLineChars="200"/>
        <w:contextualSpacing/>
        <w:jc w:val="left"/>
        <w:rPr>
          <w:rFonts w:hint="eastAsia" w:ascii="宋体" w:hAnsi="宋体" w:eastAsia="宋体" w:cs="宋体"/>
          <w:sz w:val="24"/>
          <w:szCs w:val="24"/>
          <w:u w:val="single"/>
        </w:rPr>
      </w:pPr>
      <w:r>
        <w:rPr>
          <w:rFonts w:hint="eastAsia" w:ascii="宋体" w:hAnsi="宋体" w:eastAsia="宋体" w:cs="宋体"/>
          <w:sz w:val="24"/>
          <w:szCs w:val="24"/>
        </w:rPr>
        <w:t>风险范围以外合同价格的调整方法：</w:t>
      </w:r>
      <w:r>
        <w:rPr>
          <w:rFonts w:hint="eastAsia" w:ascii="宋体" w:hAnsi="宋体" w:eastAsia="宋体" w:cs="宋体"/>
          <w:kern w:val="0"/>
          <w:sz w:val="24"/>
          <w:szCs w:val="24"/>
          <w:u w:val="single"/>
        </w:rPr>
        <w:t>本工程措施项目费</w:t>
      </w:r>
      <w:r>
        <w:rPr>
          <w:rFonts w:hint="eastAsia" w:ascii="宋体" w:hAnsi="宋体" w:eastAsia="宋体" w:cs="宋体"/>
          <w:sz w:val="24"/>
          <w:szCs w:val="24"/>
          <w:u w:val="single"/>
        </w:rPr>
        <w:t>（含实体措施）</w:t>
      </w:r>
      <w:r>
        <w:rPr>
          <w:rFonts w:hint="eastAsia" w:ascii="宋体" w:hAnsi="宋体" w:eastAsia="宋体" w:cs="宋体"/>
          <w:kern w:val="0"/>
          <w:sz w:val="24"/>
          <w:szCs w:val="24"/>
          <w:u w:val="single"/>
        </w:rPr>
        <w:t>总价包干，招标范围内不做调整</w:t>
      </w:r>
      <w:r>
        <w:rPr>
          <w:rFonts w:hint="eastAsia" w:ascii="宋体" w:hAnsi="宋体" w:eastAsia="宋体" w:cs="宋体"/>
          <w:sz w:val="24"/>
          <w:szCs w:val="24"/>
          <w:u w:val="single"/>
        </w:rPr>
        <w:t>。</w:t>
      </w:r>
    </w:p>
    <w:p w14:paraId="2D266D8C">
      <w:pPr>
        <w:ind w:firstLine="482" w:firstLineChars="200"/>
        <w:contextualSpacing/>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12.2 预付款</w:t>
      </w:r>
    </w:p>
    <w:p w14:paraId="6F3C0A20">
      <w:pPr>
        <w:ind w:firstLine="480" w:firstLineChars="200"/>
        <w:contextualSpacing/>
        <w:jc w:val="left"/>
        <w:rPr>
          <w:rFonts w:hint="eastAsia" w:ascii="宋体" w:hAnsi="宋体" w:eastAsia="宋体" w:cs="宋体"/>
          <w:color w:val="000000"/>
          <w:sz w:val="24"/>
          <w:szCs w:val="24"/>
        </w:rPr>
      </w:pPr>
      <w:r>
        <w:rPr>
          <w:rFonts w:hint="eastAsia" w:ascii="宋体" w:hAnsi="宋体" w:eastAsia="宋体" w:cs="宋体"/>
          <w:color w:val="000000"/>
          <w:sz w:val="24"/>
          <w:szCs w:val="24"/>
        </w:rPr>
        <w:t>12.2.1 预付款的支付</w:t>
      </w:r>
    </w:p>
    <w:p w14:paraId="7FE59FAA">
      <w:pPr>
        <w:ind w:firstLine="480" w:firstLineChars="200"/>
        <w:contextualSpacing/>
        <w:jc w:val="left"/>
        <w:rPr>
          <w:rFonts w:hint="eastAsia" w:ascii="宋体" w:hAnsi="宋体" w:eastAsia="宋体" w:cs="宋体"/>
          <w:color w:val="000000"/>
          <w:sz w:val="24"/>
          <w:szCs w:val="24"/>
        </w:rPr>
      </w:pPr>
      <w:r>
        <w:rPr>
          <w:rFonts w:hint="eastAsia" w:ascii="宋体" w:hAnsi="宋体" w:eastAsia="宋体" w:cs="宋体"/>
          <w:color w:val="000000"/>
          <w:sz w:val="24"/>
          <w:szCs w:val="24"/>
        </w:rPr>
        <w:t>预付款的金额按合同价（不含安全文明措施费）的</w:t>
      </w:r>
      <w:r>
        <w:rPr>
          <w:rFonts w:hint="eastAsia" w:ascii="宋体" w:hAnsi="宋体" w:eastAsia="宋体" w:cs="宋体"/>
          <w:color w:val="000000"/>
          <w:sz w:val="24"/>
          <w:szCs w:val="24"/>
          <w:u w:val="single"/>
        </w:rPr>
        <w:t>1</w:t>
      </w:r>
      <w:r>
        <w:rPr>
          <w:rFonts w:hint="eastAsia" w:ascii="宋体" w:hAnsi="宋体" w:cs="宋体"/>
          <w:color w:val="000000"/>
          <w:sz w:val="24"/>
          <w:szCs w:val="24"/>
          <w:u w:val="single"/>
          <w:lang w:val="en-US" w:eastAsia="zh-CN"/>
        </w:rPr>
        <w:t>0</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rPr>
        <w:t>计，为¥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元，合同外增加的项目或工程量不再追加预付款。承包人完成下述全部工作，并提交预付款支付申请后，发包人将向承包人支付预付款，并</w:t>
      </w:r>
      <w:r>
        <w:rPr>
          <w:rFonts w:hint="eastAsia" w:ascii="宋体" w:hAnsi="宋体" w:eastAsia="宋体" w:cs="宋体"/>
          <w:sz w:val="24"/>
          <w:szCs w:val="24"/>
        </w:rPr>
        <w:t>拨付预付款的15%到工人工资专用账户。</w:t>
      </w:r>
    </w:p>
    <w:p w14:paraId="1E08DDF7">
      <w:pPr>
        <w:ind w:firstLine="480" w:firstLineChars="200"/>
        <w:contextualSpacing/>
        <w:jc w:val="left"/>
        <w:rPr>
          <w:rFonts w:hint="eastAsia" w:ascii="宋体" w:hAnsi="宋体" w:eastAsia="宋体" w:cs="宋体"/>
          <w:color w:val="000000"/>
          <w:sz w:val="24"/>
          <w:szCs w:val="24"/>
        </w:rPr>
      </w:pPr>
      <w:r>
        <w:rPr>
          <w:rFonts w:hint="eastAsia" w:ascii="宋体" w:hAnsi="宋体" w:eastAsia="宋体" w:cs="宋体"/>
          <w:color w:val="000000"/>
          <w:sz w:val="24"/>
          <w:szCs w:val="24"/>
        </w:rPr>
        <w:t>（1）签订合同协议；</w:t>
      </w:r>
    </w:p>
    <w:p w14:paraId="3AF4BDBE">
      <w:pPr>
        <w:ind w:firstLine="480" w:firstLineChars="200"/>
        <w:contextualSpacing/>
        <w:jc w:val="left"/>
        <w:rPr>
          <w:rFonts w:hint="eastAsia" w:ascii="宋体" w:hAnsi="宋体" w:eastAsia="宋体" w:cs="宋体"/>
          <w:color w:val="000000"/>
          <w:sz w:val="24"/>
          <w:szCs w:val="24"/>
        </w:rPr>
      </w:pPr>
      <w:r>
        <w:rPr>
          <w:rFonts w:hint="eastAsia" w:ascii="宋体" w:hAnsi="宋体" w:eastAsia="宋体" w:cs="宋体"/>
          <w:color w:val="000000"/>
          <w:sz w:val="24"/>
          <w:szCs w:val="24"/>
        </w:rPr>
        <w:t>（2）提交合同中标金额10%的履约保证金（或银行履约保函及保函延期承诺书）；</w:t>
      </w:r>
    </w:p>
    <w:p w14:paraId="62BA715B">
      <w:pPr>
        <w:ind w:firstLine="480" w:firstLineChars="200"/>
        <w:contextualSpacing/>
        <w:jc w:val="left"/>
        <w:rPr>
          <w:rFonts w:hint="eastAsia" w:ascii="宋体" w:hAnsi="宋体" w:eastAsia="宋体" w:cs="宋体"/>
          <w:color w:val="000000"/>
          <w:sz w:val="24"/>
          <w:szCs w:val="24"/>
        </w:rPr>
      </w:pPr>
      <w:r>
        <w:rPr>
          <w:rFonts w:hint="eastAsia" w:ascii="宋体" w:hAnsi="宋体" w:eastAsia="宋体" w:cs="宋体"/>
          <w:color w:val="000000"/>
          <w:sz w:val="24"/>
          <w:szCs w:val="24"/>
        </w:rPr>
        <w:t>（3）提交预付款保函及保函延期承诺书；</w:t>
      </w:r>
    </w:p>
    <w:p w14:paraId="757EC661">
      <w:pPr>
        <w:ind w:firstLine="480" w:firstLineChars="200"/>
        <w:contextualSpacing/>
        <w:jc w:val="left"/>
        <w:rPr>
          <w:rFonts w:hint="eastAsia" w:ascii="宋体" w:hAnsi="宋体" w:eastAsia="宋体" w:cs="宋体"/>
          <w:color w:val="000000"/>
          <w:sz w:val="24"/>
          <w:szCs w:val="24"/>
        </w:rPr>
      </w:pPr>
      <w:r>
        <w:rPr>
          <w:rFonts w:hint="eastAsia" w:ascii="宋体" w:hAnsi="宋体" w:eastAsia="宋体" w:cs="宋体"/>
          <w:color w:val="000000"/>
          <w:sz w:val="24"/>
          <w:szCs w:val="24"/>
        </w:rPr>
        <w:t>（4）承包人收款前须开具与收款金额等额</w:t>
      </w:r>
      <w:r>
        <w:rPr>
          <w:rFonts w:hint="eastAsia" w:ascii="宋体" w:hAnsi="宋体" w:cs="宋体"/>
          <w:color w:val="000000"/>
          <w:sz w:val="24"/>
          <w:szCs w:val="24"/>
          <w:lang w:val="en-US" w:eastAsia="zh-CN"/>
        </w:rPr>
        <w:t>收据</w:t>
      </w:r>
      <w:r>
        <w:rPr>
          <w:rFonts w:hint="eastAsia" w:ascii="宋体" w:hAnsi="宋体" w:eastAsia="宋体" w:cs="宋体"/>
          <w:color w:val="000000"/>
          <w:sz w:val="24"/>
          <w:szCs w:val="24"/>
        </w:rPr>
        <w:t>给发包人（发票抬头为“广州地铁工程咨询有限公司”）</w:t>
      </w:r>
    </w:p>
    <w:p w14:paraId="73A88BF5">
      <w:pPr>
        <w:ind w:firstLine="480" w:firstLineChars="200"/>
        <w:contextualSpacing/>
        <w:jc w:val="left"/>
        <w:rPr>
          <w:rFonts w:hint="eastAsia" w:ascii="宋体" w:hAnsi="宋体" w:eastAsia="宋体" w:cs="宋体"/>
          <w:color w:val="000000"/>
          <w:sz w:val="24"/>
          <w:szCs w:val="24"/>
        </w:rPr>
      </w:pPr>
      <w:r>
        <w:rPr>
          <w:rFonts w:hint="eastAsia" w:ascii="宋体" w:hAnsi="宋体" w:eastAsia="宋体" w:cs="宋体"/>
          <w:color w:val="000000"/>
          <w:sz w:val="24"/>
          <w:szCs w:val="24"/>
        </w:rPr>
        <w:t>（5）按规定与主要材料供应商签订材料供应合同并提供副本。</w:t>
      </w:r>
    </w:p>
    <w:p w14:paraId="046AE026">
      <w:pPr>
        <w:ind w:firstLine="480" w:firstLineChars="200"/>
        <w:contextualSpacing/>
        <w:jc w:val="left"/>
        <w:rPr>
          <w:rFonts w:hint="eastAsia" w:ascii="宋体" w:hAnsi="宋体" w:eastAsia="宋体" w:cs="宋体"/>
          <w:color w:val="000000"/>
          <w:sz w:val="24"/>
          <w:szCs w:val="24"/>
        </w:rPr>
      </w:pPr>
      <w:r>
        <w:rPr>
          <w:rFonts w:hint="eastAsia" w:ascii="宋体" w:hAnsi="宋体" w:eastAsia="宋体" w:cs="宋体"/>
          <w:color w:val="000000"/>
          <w:sz w:val="24"/>
          <w:szCs w:val="24"/>
        </w:rPr>
        <w:t>（6）须提供《工资支付保证金专户管理协议书》和开户银行的工人工资支付保证金专用账户或已缴存证明。</w:t>
      </w:r>
    </w:p>
    <w:p w14:paraId="4ABF115E">
      <w:pPr>
        <w:ind w:firstLine="480" w:firstLineChars="200"/>
        <w:contextualSpacing/>
        <w:jc w:val="left"/>
        <w:rPr>
          <w:rFonts w:hint="eastAsia" w:ascii="宋体" w:hAnsi="宋体" w:eastAsia="宋体" w:cs="宋体"/>
          <w:color w:val="000000"/>
          <w:kern w:val="0"/>
          <w:sz w:val="24"/>
          <w:szCs w:val="24"/>
        </w:rPr>
      </w:pPr>
      <w:r>
        <w:rPr>
          <w:rFonts w:hint="eastAsia" w:ascii="宋体" w:hAnsi="宋体" w:eastAsia="宋体" w:cs="宋体"/>
          <w:color w:val="000000"/>
          <w:sz w:val="24"/>
          <w:szCs w:val="24"/>
        </w:rPr>
        <w:t>承包人须确保预付款专款专用，首先应考虑工程的备料款。</w:t>
      </w:r>
      <w:r>
        <w:rPr>
          <w:rFonts w:hint="eastAsia" w:ascii="宋体" w:hAnsi="宋体" w:eastAsia="宋体" w:cs="宋体"/>
          <w:color w:val="000000"/>
          <w:kern w:val="0"/>
          <w:sz w:val="24"/>
          <w:szCs w:val="24"/>
        </w:rPr>
        <w:t>预付款应当用于材料、工程设备、施工设备的采购及修建临时工程、组织施工队伍进场等。</w:t>
      </w:r>
      <w:r>
        <w:rPr>
          <w:rFonts w:hint="eastAsia" w:ascii="宋体" w:hAnsi="宋体" w:eastAsia="宋体" w:cs="宋体"/>
          <w:color w:val="000000"/>
          <w:sz w:val="24"/>
          <w:szCs w:val="24"/>
        </w:rPr>
        <w:t>一旦发包人发现预付款被挪作他用，发包人有权立即采取适当的措施来保证其专款专用。当预付款扣回金额累计达到预付款金额的100%时，承包人可向发包人提出退回预付款保函的申请。</w:t>
      </w:r>
    </w:p>
    <w:p w14:paraId="25E0ED17">
      <w:pPr>
        <w:ind w:firstLine="480" w:firstLineChars="200"/>
        <w:contextualSpacing/>
        <w:jc w:val="left"/>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rPr>
        <w:t>预付款将从发包人付给承包人的金额中扣回，在第一次进度款开始起扣，发包人在合同规定的竣工期前将已支付的预付款全额扣回，扣完即止，在颁发工程接收证书前，提前解除合同的，</w:t>
      </w:r>
      <w:r>
        <w:rPr>
          <w:rFonts w:hint="eastAsia" w:ascii="宋体" w:hAnsi="宋体" w:eastAsia="宋体" w:cs="宋体"/>
          <w:color w:val="000000"/>
          <w:sz w:val="24"/>
          <w:szCs w:val="24"/>
          <w:highlight w:val="none"/>
        </w:rPr>
        <w:t>尚未扣完的预付款应与合同价款一并结算。扣回公式：</w:t>
      </w:r>
      <w:r>
        <w:rPr>
          <w:rFonts w:hint="eastAsia" w:ascii="宋体" w:hAnsi="宋体" w:eastAsia="宋体" w:cs="宋体"/>
          <w:color w:val="000000"/>
          <w:sz w:val="24"/>
          <w:szCs w:val="24"/>
          <w:highlight w:val="none"/>
          <w:u w:val="single"/>
        </w:rPr>
        <w:t>当月预付款扣还金额＝当月完成工程总值*</w:t>
      </w:r>
      <w:r>
        <w:rPr>
          <w:rFonts w:hint="eastAsia" w:ascii="宋体" w:hAnsi="宋体" w:cs="宋体"/>
          <w:color w:val="000000"/>
          <w:sz w:val="24"/>
          <w:szCs w:val="24"/>
          <w:highlight w:val="none"/>
          <w:u w:val="single"/>
          <w:lang w:val="en-US" w:eastAsia="zh-CN"/>
        </w:rPr>
        <w:t>50</w:t>
      </w:r>
      <w:r>
        <w:rPr>
          <w:rFonts w:hint="eastAsia" w:ascii="宋体" w:hAnsi="宋体" w:eastAsia="宋体" w:cs="宋体"/>
          <w:color w:val="000000"/>
          <w:sz w:val="24"/>
          <w:szCs w:val="24"/>
          <w:highlight w:val="none"/>
          <w:u w:val="single"/>
        </w:rPr>
        <w:t>%。</w:t>
      </w:r>
    </w:p>
    <w:p w14:paraId="710F2985">
      <w:pPr>
        <w:ind w:firstLine="480" w:firstLineChars="200"/>
        <w:contextualSpacing/>
        <w:jc w:val="left"/>
        <w:rPr>
          <w:rFonts w:hint="eastAsia" w:ascii="宋体" w:hAnsi="宋体" w:eastAsia="宋体" w:cs="宋体"/>
          <w:color w:val="000000"/>
          <w:sz w:val="24"/>
          <w:szCs w:val="24"/>
        </w:rPr>
      </w:pPr>
      <w:r>
        <w:rPr>
          <w:rFonts w:hint="eastAsia" w:ascii="宋体" w:hAnsi="宋体" w:eastAsia="宋体" w:cs="宋体"/>
          <w:color w:val="000000"/>
          <w:sz w:val="24"/>
          <w:szCs w:val="24"/>
        </w:rPr>
        <w:t>12.2.2 预付款担保</w:t>
      </w:r>
    </w:p>
    <w:p w14:paraId="59E1B4FB">
      <w:pPr>
        <w:ind w:firstLine="480" w:firstLineChars="200"/>
        <w:contextualSpacing/>
        <w:jc w:val="left"/>
        <w:rPr>
          <w:rFonts w:hint="eastAsia" w:ascii="宋体" w:hAnsi="宋体" w:eastAsia="宋体" w:cs="宋体"/>
          <w:color w:val="000000"/>
          <w:sz w:val="24"/>
          <w:szCs w:val="24"/>
        </w:rPr>
      </w:pPr>
      <w:r>
        <w:rPr>
          <w:rFonts w:hint="eastAsia" w:ascii="宋体" w:hAnsi="宋体" w:eastAsia="宋体" w:cs="宋体"/>
          <w:color w:val="000000"/>
          <w:sz w:val="24"/>
          <w:szCs w:val="24"/>
        </w:rPr>
        <w:t>承包人提交预付款担保的期限：</w:t>
      </w:r>
      <w:r>
        <w:rPr>
          <w:rFonts w:hint="eastAsia" w:ascii="宋体" w:hAnsi="宋体" w:eastAsia="宋体" w:cs="宋体"/>
          <w:color w:val="000000"/>
          <w:kern w:val="0"/>
          <w:sz w:val="24"/>
          <w:szCs w:val="24"/>
          <w:u w:val="single"/>
        </w:rPr>
        <w:t>在发包人支付预付款14天前</w:t>
      </w:r>
      <w:r>
        <w:rPr>
          <w:rFonts w:hint="eastAsia" w:ascii="宋体" w:hAnsi="宋体" w:eastAsia="宋体" w:cs="宋体"/>
          <w:color w:val="000000"/>
          <w:sz w:val="24"/>
          <w:szCs w:val="24"/>
        </w:rPr>
        <w:t>。</w:t>
      </w:r>
    </w:p>
    <w:p w14:paraId="17CC0628">
      <w:pPr>
        <w:ind w:firstLine="480" w:firstLineChars="200"/>
        <w:contextualSpacing/>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rPr>
        <w:t>预付款担保的形式为：</w:t>
      </w:r>
      <w:r>
        <w:rPr>
          <w:rFonts w:hint="eastAsia" w:ascii="宋体" w:hAnsi="宋体" w:eastAsia="宋体" w:cs="宋体"/>
          <w:color w:val="000000"/>
          <w:sz w:val="24"/>
          <w:szCs w:val="24"/>
          <w:u w:val="single"/>
        </w:rPr>
        <w:t>预付款银行保函。</w:t>
      </w:r>
    </w:p>
    <w:p w14:paraId="18D84168">
      <w:pPr>
        <w:ind w:firstLine="480" w:firstLineChars="200"/>
        <w:contextualSpacing/>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在预付款完全扣回之后，承包人按照发包人要求程序退还预付款担保。</w:t>
      </w:r>
    </w:p>
    <w:p w14:paraId="6F50666D">
      <w:pPr>
        <w:ind w:firstLine="482" w:firstLineChars="200"/>
        <w:contextualSpacing/>
        <w:rPr>
          <w:rFonts w:hint="eastAsia" w:ascii="宋体" w:hAnsi="宋体" w:eastAsia="宋体" w:cs="宋体"/>
          <w:b/>
          <w:bCs/>
          <w:color w:val="000000"/>
          <w:sz w:val="24"/>
          <w:szCs w:val="24"/>
        </w:rPr>
      </w:pPr>
      <w:r>
        <w:rPr>
          <w:rFonts w:hint="eastAsia" w:ascii="宋体" w:hAnsi="宋体" w:eastAsia="宋体" w:cs="宋体"/>
          <w:b/>
          <w:bCs/>
          <w:color w:val="000000"/>
          <w:sz w:val="24"/>
          <w:szCs w:val="24"/>
        </w:rPr>
        <w:t>12.3 计量</w:t>
      </w:r>
    </w:p>
    <w:p w14:paraId="662305F6">
      <w:pPr>
        <w:ind w:firstLine="480" w:firstLineChars="200"/>
        <w:contextualSpacing/>
        <w:jc w:val="left"/>
        <w:rPr>
          <w:rFonts w:hint="eastAsia" w:ascii="宋体" w:hAnsi="宋体" w:eastAsia="宋体" w:cs="宋体"/>
          <w:color w:val="000000"/>
          <w:sz w:val="24"/>
          <w:szCs w:val="24"/>
        </w:rPr>
      </w:pPr>
      <w:r>
        <w:rPr>
          <w:rFonts w:hint="eastAsia" w:ascii="宋体" w:hAnsi="宋体" w:eastAsia="宋体" w:cs="宋体"/>
          <w:color w:val="000000"/>
          <w:sz w:val="24"/>
          <w:szCs w:val="24"/>
        </w:rPr>
        <w:t>12.3.1 计量原则</w:t>
      </w:r>
    </w:p>
    <w:p w14:paraId="3DFE9D16">
      <w:pPr>
        <w:ind w:firstLine="480" w:firstLineChars="200"/>
        <w:contextualSpacing/>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rPr>
        <w:t>工程量计算规则：</w:t>
      </w:r>
      <w:r>
        <w:rPr>
          <w:rFonts w:hint="eastAsia" w:ascii="宋体" w:hAnsi="宋体" w:eastAsia="宋体" w:cs="宋体"/>
          <w:color w:val="000000"/>
          <w:sz w:val="24"/>
          <w:szCs w:val="24"/>
          <w:u w:val="single"/>
        </w:rPr>
        <w:t>工程计量和计价的依据详见合同工程量清单及相关规定。</w:t>
      </w:r>
    </w:p>
    <w:p w14:paraId="25CFF11E">
      <w:pPr>
        <w:ind w:firstLine="480" w:firstLineChars="200"/>
        <w:contextualSpacing/>
        <w:jc w:val="left"/>
        <w:rPr>
          <w:rFonts w:hint="eastAsia" w:ascii="宋体" w:hAnsi="宋体" w:eastAsia="宋体" w:cs="宋体"/>
          <w:color w:val="000000"/>
          <w:sz w:val="24"/>
          <w:szCs w:val="24"/>
        </w:rPr>
      </w:pPr>
      <w:r>
        <w:rPr>
          <w:rFonts w:hint="eastAsia" w:ascii="宋体" w:hAnsi="宋体" w:eastAsia="宋体" w:cs="宋体"/>
          <w:color w:val="000000"/>
          <w:sz w:val="24"/>
          <w:szCs w:val="24"/>
        </w:rPr>
        <w:t>12.3.2 计量周期</w:t>
      </w:r>
    </w:p>
    <w:p w14:paraId="22E0061E">
      <w:pPr>
        <w:ind w:firstLine="480" w:firstLineChars="200"/>
        <w:contextualSpacing/>
        <w:jc w:val="left"/>
        <w:rPr>
          <w:rFonts w:hint="eastAsia" w:ascii="宋体" w:hAnsi="宋体" w:eastAsia="宋体" w:cs="宋体"/>
          <w:color w:val="000000"/>
          <w:sz w:val="24"/>
          <w:szCs w:val="24"/>
        </w:rPr>
      </w:pPr>
      <w:r>
        <w:rPr>
          <w:rFonts w:hint="eastAsia" w:ascii="宋体" w:hAnsi="宋体" w:eastAsia="宋体" w:cs="宋体"/>
          <w:color w:val="000000"/>
          <w:sz w:val="24"/>
          <w:szCs w:val="24"/>
        </w:rPr>
        <w:t>关于计量周期的约定：</w:t>
      </w:r>
      <w:r>
        <w:rPr>
          <w:rFonts w:hint="eastAsia" w:ascii="宋体" w:hAnsi="宋体" w:eastAsia="宋体" w:cs="宋体"/>
          <w:color w:val="000000"/>
          <w:sz w:val="24"/>
          <w:szCs w:val="24"/>
          <w:u w:val="single"/>
        </w:rPr>
        <w:t>每月</w:t>
      </w:r>
      <w:r>
        <w:rPr>
          <w:rFonts w:hint="eastAsia" w:ascii="宋体" w:hAnsi="宋体" w:eastAsia="宋体" w:cs="宋体"/>
          <w:color w:val="000000"/>
          <w:sz w:val="24"/>
          <w:szCs w:val="24"/>
        </w:rPr>
        <w:t>。</w:t>
      </w:r>
    </w:p>
    <w:p w14:paraId="722D0222">
      <w:pPr>
        <w:ind w:firstLine="480" w:firstLineChars="200"/>
        <w:contextualSpacing/>
        <w:jc w:val="left"/>
        <w:rPr>
          <w:rFonts w:hint="eastAsia" w:ascii="宋体" w:hAnsi="宋体" w:eastAsia="宋体" w:cs="宋体"/>
          <w:color w:val="000000"/>
          <w:sz w:val="24"/>
          <w:szCs w:val="24"/>
        </w:rPr>
      </w:pPr>
      <w:r>
        <w:rPr>
          <w:rFonts w:hint="eastAsia" w:ascii="宋体" w:hAnsi="宋体" w:eastAsia="宋体" w:cs="宋体"/>
          <w:color w:val="000000"/>
          <w:sz w:val="24"/>
          <w:szCs w:val="24"/>
        </w:rPr>
        <w:t>12.3.3 单价合同的计量</w:t>
      </w:r>
    </w:p>
    <w:p w14:paraId="14242B80">
      <w:pPr>
        <w:ind w:firstLine="480" w:firstLineChars="200"/>
        <w:contextualSpacing/>
        <w:jc w:val="left"/>
        <w:rPr>
          <w:rFonts w:hint="eastAsia" w:ascii="宋体" w:hAnsi="宋体" w:eastAsia="宋体" w:cs="宋体"/>
          <w:color w:val="000000"/>
          <w:sz w:val="24"/>
          <w:szCs w:val="24"/>
        </w:rPr>
      </w:pPr>
      <w:r>
        <w:rPr>
          <w:rFonts w:hint="eastAsia" w:ascii="宋体" w:hAnsi="宋体" w:eastAsia="宋体" w:cs="宋体"/>
          <w:color w:val="000000"/>
          <w:sz w:val="24"/>
          <w:szCs w:val="24"/>
        </w:rPr>
        <w:t>关于单价合同计量的约定：</w:t>
      </w:r>
      <w:r>
        <w:rPr>
          <w:rFonts w:hint="eastAsia" w:ascii="宋体" w:hAnsi="宋体" w:eastAsia="宋体" w:cs="宋体"/>
          <w:color w:val="000000"/>
          <w:sz w:val="24"/>
          <w:szCs w:val="24"/>
          <w:u w:val="single"/>
        </w:rPr>
        <w:t>按通用合同条款执行</w:t>
      </w:r>
      <w:r>
        <w:rPr>
          <w:rFonts w:hint="eastAsia" w:ascii="宋体" w:hAnsi="宋体" w:eastAsia="宋体" w:cs="宋体"/>
          <w:color w:val="000000"/>
          <w:sz w:val="24"/>
          <w:szCs w:val="24"/>
        </w:rPr>
        <w:t>。</w:t>
      </w:r>
    </w:p>
    <w:p w14:paraId="6DE4FC95">
      <w:pPr>
        <w:ind w:firstLine="480" w:firstLineChars="200"/>
        <w:contextualSpacing/>
        <w:jc w:val="left"/>
        <w:rPr>
          <w:rFonts w:hint="eastAsia" w:ascii="宋体" w:hAnsi="宋体" w:eastAsia="宋体" w:cs="宋体"/>
          <w:color w:val="000000"/>
          <w:sz w:val="24"/>
          <w:szCs w:val="24"/>
        </w:rPr>
      </w:pPr>
      <w:r>
        <w:rPr>
          <w:rFonts w:hint="eastAsia" w:ascii="宋体" w:hAnsi="宋体" w:eastAsia="宋体" w:cs="宋体"/>
          <w:color w:val="000000"/>
          <w:sz w:val="24"/>
          <w:szCs w:val="24"/>
        </w:rPr>
        <w:t>12.3.5 其他价格形式合同的计量</w:t>
      </w:r>
    </w:p>
    <w:p w14:paraId="7E6F52BC">
      <w:pPr>
        <w:ind w:firstLine="480" w:firstLineChars="200"/>
        <w:contextualSpacing/>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rPr>
        <w:t>其他价格形式的计量方式和程序：</w:t>
      </w:r>
      <w:r>
        <w:rPr>
          <w:rFonts w:hint="eastAsia" w:ascii="宋体" w:hAnsi="宋体" w:eastAsia="宋体" w:cs="宋体"/>
          <w:color w:val="000000"/>
          <w:sz w:val="24"/>
          <w:szCs w:val="24"/>
          <w:u w:val="single"/>
        </w:rPr>
        <w:t>按通用合同条款执行</w:t>
      </w:r>
      <w:r>
        <w:rPr>
          <w:rFonts w:hint="eastAsia" w:ascii="宋体" w:hAnsi="宋体" w:eastAsia="宋体" w:cs="宋体"/>
          <w:sz w:val="24"/>
          <w:szCs w:val="24"/>
        </w:rPr>
        <w:t>。</w:t>
      </w:r>
    </w:p>
    <w:p w14:paraId="5F54CBE5">
      <w:pPr>
        <w:ind w:firstLine="482" w:firstLineChars="200"/>
        <w:contextualSpacing/>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12.4 工程进度款支付</w:t>
      </w:r>
    </w:p>
    <w:p w14:paraId="13D1B2BF">
      <w:pPr>
        <w:ind w:firstLine="482" w:firstLineChars="200"/>
        <w:contextualSpacing/>
        <w:rPr>
          <w:rFonts w:hint="eastAsia" w:ascii="宋体" w:hAnsi="宋体" w:eastAsia="宋体" w:cs="宋体"/>
          <w:sz w:val="24"/>
          <w:szCs w:val="24"/>
        </w:rPr>
      </w:pPr>
      <w:r>
        <w:rPr>
          <w:rFonts w:hint="eastAsia" w:ascii="宋体" w:hAnsi="宋体" w:eastAsia="宋体" w:cs="宋体"/>
          <w:b/>
          <w:bCs/>
          <w:sz w:val="24"/>
          <w:szCs w:val="24"/>
        </w:rPr>
        <w:t>12.4条款修改为：</w:t>
      </w:r>
    </w:p>
    <w:p w14:paraId="4D032969">
      <w:pPr>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12.4.1 月付款申请</w:t>
      </w:r>
    </w:p>
    <w:p w14:paraId="71D921A7">
      <w:pPr>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（1）承包人以经审定的总体用款计划为依据，结合实际完成并经发包人同意计量的形象进度，申请支付进度款。</w:t>
      </w:r>
    </w:p>
    <w:p w14:paraId="3D34AA0E">
      <w:pPr>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（2）进度款中措施项目费（安全防护、文明施工措施费除外）的计算方式：按当期实际完成的分部分项工程费占工程量清单中实际分部分项工程费累计的比例计算。</w:t>
      </w:r>
    </w:p>
    <w:p w14:paraId="3C3A9747">
      <w:pPr>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进度款中其他项目费的计算方式：根据实际完成情况在进度计量中进行计算并支付。</w:t>
      </w:r>
    </w:p>
    <w:p w14:paraId="639EBC39">
      <w:pPr>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进度款中总承包服务费的计算方式：根据实际完成情况在进度计量中进行计算并支付。</w:t>
      </w:r>
    </w:p>
    <w:p w14:paraId="1D2B6FE2">
      <w:pPr>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3）工程款（含预付款、进度款、其他发包人代付款项等）的支付总额，合同内计量在办理工程竣工结算前向承包人支付工程进度款：合同内计量不高于工程价款的80%（扣留的20%工程款：其中质量保证金3%，结算预留金17%）。</w:t>
      </w:r>
    </w:p>
    <w:p w14:paraId="2D69EF7C">
      <w:pPr>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工程进度款支付的公式：当期可支付工程进度款=承包人当期实际完成的工程总值-应扣结算预留金（17%）-应扣质量保证金（3%）-预付款扣回-绩效扣罚-前期已支付的代扣代付款-其他。</w:t>
      </w:r>
    </w:p>
    <w:p w14:paraId="0F55374C">
      <w:pPr>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每期工程进度款支付时，拨付当期实际完成的工程总值的15%到工人工资专用账户，以保证在合同履行过程中及时、足额地发放所有劳动者的工资及相关费用。</w:t>
      </w:r>
    </w:p>
    <w:p w14:paraId="251DBE43">
      <w:pPr>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（4）关于变更的约定：委托方同意变更后，方可执行变更。</w:t>
      </w:r>
    </w:p>
    <w:p w14:paraId="5109B92A">
      <w:pPr>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（5）合同变更中变更清单子目为正的支付至合同变更（含材料调差）金额的70%（扣留的30%工程款：其中质量保证金3%，结算预留金27%），变更清单子目为负的按100%扣减。</w:t>
      </w:r>
    </w:p>
    <w:p w14:paraId="2845EB90">
      <w:pPr>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12.4.2支付期限：按月支付。</w:t>
      </w:r>
    </w:p>
    <w:p w14:paraId="3FB8CA4F">
      <w:pPr>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（1）监理人审查并报送发包人的期限：监理人应在收到承包人进度付款申请单以及相关资料后 14 天内完成审查并报送发包人。</w:t>
      </w:r>
    </w:p>
    <w:p w14:paraId="487C1A4E">
      <w:pPr>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（2）发包人完成审批并签发进度款支付证书的期限：发包人应在收到后21天内完成审批并签发进度款支付证书。</w:t>
      </w:r>
    </w:p>
    <w:p w14:paraId="5BBD5B4B">
      <w:pPr>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（3）发包人支付进度款的期限：发包人应在收到监理人报送的进度付款申请单及相关资料后21天内，向承包人签发无异议部分的临时进度款支付证书。</w:t>
      </w:r>
    </w:p>
    <w:p w14:paraId="4F66F361">
      <w:pPr>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12.4.3支付方式有：电汇，转账支票，汇票等。</w:t>
      </w:r>
    </w:p>
    <w:p w14:paraId="5B5EB055">
      <w:pPr>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12.4.4本合同价包含承包人在工程实施中应缴纳的一切税费。承包人报价时应充分了解和理解政府对相关税费的规定，承包人所报税率和费率一旦确定，在合同执行期间不再作调整。每次付款前，承包人应提供相应金额的合法有效的增值税专用发票（含发票联及抵扣联，符合增值税相关规定要求），并在开票之日起10日内将发票提交发包人，否则发包人有权延缓支付工程款，由此造成的一切延迟支付责任由承包人自行承担。</w:t>
      </w:r>
    </w:p>
    <w:p w14:paraId="2771D11F">
      <w:pPr>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因承包人不及时提供发票或提供的发票不符合税务部门的要求，导致发包人取得的增值税专用发票不能报验抵扣进项税金，或虽可通过报验，后被税务机关以“比对不符”或“失控发票”等事由追缴税款，从而给发包人造成的经济损失，由承包人负责赔偿，且承包人应按照税款金额的二倍向发包人支付违约金。</w:t>
      </w:r>
    </w:p>
    <w:p w14:paraId="17DFE873">
      <w:pPr>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承包人开具的发票在送达发包人后如发生丢失、灭失或被盗等，承包人有义务按照税法规定或发包人要求及时积极协助发包人在税法规定期限内办理有关进项税额的认证抵扣手续，否则由此造成的经济损失，由双方协商分担。</w:t>
      </w:r>
    </w:p>
    <w:p w14:paraId="74ACAD80">
      <w:pPr>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12.4.5承包人违约所扣罚款（绩效考核罚款及其他罚款等）不减少合同金额，应在每次支付申请时开具相应罚款金额的合法、合规、有效的增值税专用发票（含发票联及抵扣联，符合增值税相关规定要求）。工程竣工结算时，承包人需提供本合同价款的所有发票。</w:t>
      </w:r>
    </w:p>
    <w:p w14:paraId="4AE7204B">
      <w:pPr>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12.4.6质量保证金、结算预留金按以下原则返还：</w:t>
      </w:r>
    </w:p>
    <w:p w14:paraId="3BD067F7">
      <w:pPr>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（1）合同结算经终审单位审定后（经发包人或政府部门审核完毕后），且档案资料按发包人要求完成归档，并取得城建档案馆的移交证明文件，支付至结算金额的97%（扣留质量保证金3%）；</w:t>
      </w:r>
    </w:p>
    <w:p w14:paraId="6F4F3BD6">
      <w:pPr>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（2）质量保证金见15.3条款。</w:t>
      </w:r>
    </w:p>
    <w:p w14:paraId="17B514F5">
      <w:pPr>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12.4.7承包人未按规定支付款项的限制</w:t>
      </w:r>
    </w:p>
    <w:p w14:paraId="78C25764">
      <w:pPr>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如果承包人不按雇员劳动合同和政府有关规定支付雇员劳务工资、或不按分包合同支付专业分包人工程款、或不按购销合同支付材料设备供货商货款的，除非承包人有合理原因（需提交有效证明文件），否则可认为承包人违约，发包人有权实施下列工作：</w:t>
      </w:r>
    </w:p>
    <w:p w14:paraId="14983FFC">
      <w:pPr>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(1)立即停止向承包人支付应付的款项；</w:t>
      </w:r>
    </w:p>
    <w:p w14:paraId="07204F96">
      <w:pPr>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(2)在合同履行相应时期的工程价款范围内，发包人有权直接向雇员、专业分包人和材料设备供货商支付承包人应付的款项。</w:t>
      </w:r>
    </w:p>
    <w:p w14:paraId="2C12275B">
      <w:pPr>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发包人在实施上述工作后的 14 天内应以书面形式通知承包人，抄送监理人。监理人签发下期支付证书时，应扣除已由发包人直接支付的款项。因上述工作发生的费用由承包人承担；给发包人造成损失的，承包人应赔偿损失。如果因承包人延期支付分包工程价款而影响工程进度或被媒体曝光的，除扣罚其当期进度款的15%以外，承包人还须承担严重违约责任。</w:t>
      </w:r>
    </w:p>
    <w:p w14:paraId="48787299">
      <w:pPr>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12.4.8在监理人批准的月度计价支付工程量的费用，工程进度未按计划实施且对实施的月度工程进度低于计划进度80%时，发包人有权暂停支付，或发包人有权在审核支付时暂时扣留当月计划费用15%，待符合工程进度计划要求时，予以返还。</w:t>
      </w:r>
    </w:p>
    <w:p w14:paraId="3A92172D">
      <w:pPr>
        <w:autoSpaceDE w:val="0"/>
        <w:autoSpaceDN w:val="0"/>
        <w:ind w:firstLine="482" w:firstLineChars="200"/>
        <w:contextualSpacing/>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增加12.6条款：</w:t>
      </w:r>
    </w:p>
    <w:p w14:paraId="3DC190C6">
      <w:pPr>
        <w:autoSpaceDE w:val="0"/>
        <w:autoSpaceDN w:val="0"/>
        <w:ind w:firstLine="482" w:firstLineChars="200"/>
        <w:contextualSpacing/>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12.6 安全文明施工费支付约定</w:t>
      </w:r>
    </w:p>
    <w:p w14:paraId="264D7B9A">
      <w:pPr>
        <w:autoSpaceDE w:val="0"/>
        <w:autoSpaceDN w:val="0"/>
        <w:ind w:firstLine="480" w:firstLineChars="200"/>
        <w:contextualSpacing/>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安全文明施工费的支付按照</w:t>
      </w:r>
      <w:r>
        <w:rPr>
          <w:rFonts w:hint="eastAsia" w:ascii="宋体" w:hAnsi="宋体" w:eastAsia="宋体" w:cs="宋体"/>
          <w:color w:val="000000"/>
          <w:kern w:val="0"/>
          <w:sz w:val="24"/>
          <w:szCs w:val="24"/>
          <w:u w:val="single"/>
        </w:rPr>
        <w:t>广东省建筑工程安全生产措施费管理办法</w:t>
      </w:r>
      <w:r>
        <w:rPr>
          <w:rFonts w:hint="eastAsia" w:ascii="宋体" w:hAnsi="宋体" w:eastAsia="宋体" w:cs="宋体"/>
          <w:color w:val="000000"/>
          <w:kern w:val="0"/>
          <w:sz w:val="24"/>
          <w:szCs w:val="24"/>
        </w:rPr>
        <w:t>的有关规定，承包人应制定专项的安全文明施工费使用计划，经发包人和监理人审查合格符合开工条件，承包人向发包人提出书面申请，发包人批准后，支付该项费用的</w:t>
      </w:r>
      <w:r>
        <w:rPr>
          <w:rFonts w:hint="eastAsia" w:ascii="宋体" w:hAnsi="宋体" w:eastAsia="宋体" w:cs="宋体"/>
          <w:color w:val="000000"/>
          <w:kern w:val="0"/>
          <w:sz w:val="24"/>
          <w:szCs w:val="24"/>
          <w:u w:val="single"/>
        </w:rPr>
        <w:t>50%</w:t>
      </w:r>
      <w:r>
        <w:rPr>
          <w:rFonts w:hint="eastAsia" w:ascii="宋体" w:hAnsi="宋体" w:eastAsia="宋体" w:cs="宋体"/>
          <w:color w:val="000000"/>
          <w:kern w:val="0"/>
          <w:sz w:val="24"/>
          <w:szCs w:val="24"/>
        </w:rPr>
        <w:t>。其余费用在</w:t>
      </w:r>
      <w:r>
        <w:rPr>
          <w:rFonts w:hint="eastAsia" w:ascii="宋体" w:hAnsi="宋体" w:eastAsia="宋体" w:cs="宋体"/>
          <w:kern w:val="0"/>
          <w:sz w:val="24"/>
          <w:szCs w:val="24"/>
        </w:rPr>
        <w:t>工程款累计支付占签约合同价的</w:t>
      </w:r>
      <w:r>
        <w:rPr>
          <w:rFonts w:hint="eastAsia" w:ascii="宋体" w:hAnsi="宋体" w:eastAsia="宋体" w:cs="宋体"/>
          <w:kern w:val="0"/>
          <w:sz w:val="24"/>
          <w:szCs w:val="24"/>
          <w:u w:val="single"/>
        </w:rPr>
        <w:t>50%</w:t>
      </w:r>
      <w:r>
        <w:rPr>
          <w:rFonts w:hint="eastAsia" w:ascii="宋体" w:hAnsi="宋体" w:eastAsia="宋体" w:cs="宋体"/>
          <w:kern w:val="0"/>
          <w:sz w:val="24"/>
          <w:szCs w:val="24"/>
        </w:rPr>
        <w:t>后，</w:t>
      </w:r>
      <w:r>
        <w:rPr>
          <w:rFonts w:hint="eastAsia" w:ascii="宋体" w:hAnsi="宋体" w:eastAsia="宋体" w:cs="宋体"/>
          <w:color w:val="000000"/>
          <w:kern w:val="0"/>
          <w:sz w:val="24"/>
          <w:szCs w:val="24"/>
        </w:rPr>
        <w:t>按照施工进度以及发包人、监理人、承包人共同核定的安全措施落实情况后与进度款同期支付。如承包人不按规定使用安全文明施工费或安全措施落实不到位，由发包人和监理人责令其改正，停止该项费用的划拨，并有权要求承包人退回发包人当期已支付的安全文明施工费。</w:t>
      </w:r>
    </w:p>
    <w:p w14:paraId="60779AF2">
      <w:pPr>
        <w:ind w:firstLine="480" w:firstLineChars="200"/>
        <w:contextualSpacing/>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承包人申请支付安全文明施工费时，须提交实际已发生的安全防护、文明施工费的支出明细及支出证明，经监理人和发包人核实后与进度款同期支付。</w:t>
      </w:r>
    </w:p>
    <w:p w14:paraId="1089359F">
      <w:pPr>
        <w:autoSpaceDE w:val="0"/>
        <w:autoSpaceDN w:val="0"/>
        <w:ind w:firstLine="480" w:firstLineChars="200"/>
        <w:contextualSpacing/>
        <w:jc w:val="left"/>
        <w:rPr>
          <w:rFonts w:hint="eastAsia" w:ascii="宋体" w:hAnsi="宋体" w:cs="宋体"/>
          <w:color w:val="000000"/>
          <w:kern w:val="0"/>
          <w:sz w:val="24"/>
          <w:szCs w:val="24"/>
          <w:lang w:val="en-US" w:eastAsia="zh-CN"/>
        </w:rPr>
      </w:pPr>
      <w:bookmarkStart w:id="426" w:name="_Toc443898206"/>
      <w:r>
        <w:rPr>
          <w:rFonts w:hint="eastAsia" w:ascii="宋体" w:hAnsi="宋体" w:cs="宋体"/>
          <w:color w:val="000000"/>
          <w:kern w:val="0"/>
          <w:sz w:val="24"/>
          <w:szCs w:val="24"/>
          <w:lang w:val="en-US" w:eastAsia="zh-CN"/>
        </w:rPr>
        <w:t>13. 验收和工程试车</w:t>
      </w:r>
      <w:bookmarkEnd w:id="426"/>
    </w:p>
    <w:p w14:paraId="5B748CBB">
      <w:pPr>
        <w:ind w:firstLine="482" w:firstLineChars="200"/>
        <w:contextualSpacing/>
        <w:rPr>
          <w:rFonts w:hint="eastAsia" w:ascii="宋体" w:hAnsi="宋体" w:eastAsia="宋体" w:cs="宋体"/>
          <w:b/>
          <w:color w:val="000000"/>
          <w:sz w:val="24"/>
          <w:szCs w:val="24"/>
        </w:rPr>
      </w:pPr>
      <w:r>
        <w:rPr>
          <w:rFonts w:hint="eastAsia" w:ascii="宋体" w:hAnsi="宋体" w:eastAsia="宋体" w:cs="宋体"/>
          <w:b/>
          <w:color w:val="000000"/>
          <w:sz w:val="24"/>
          <w:szCs w:val="24"/>
        </w:rPr>
        <w:t>13.1 分部分项工程验收</w:t>
      </w:r>
    </w:p>
    <w:p w14:paraId="741A7708">
      <w:pPr>
        <w:autoSpaceDE w:val="0"/>
        <w:autoSpaceDN w:val="0"/>
        <w:ind w:right="0" w:firstLine="482" w:firstLineChars="200"/>
        <w:contextualSpacing/>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增加13.1.3条款：</w:t>
      </w:r>
    </w:p>
    <w:p w14:paraId="614B6ED4">
      <w:pPr>
        <w:autoSpaceDE w:val="0"/>
        <w:autoSpaceDN w:val="0"/>
        <w:ind w:right="0" w:firstLine="480" w:firstLineChars="200"/>
        <w:contextualSpacing/>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根据工程所在地建设工程质量安全监督站的相关管理规定，隐蔽工程和中间验收分部工程的技术资料和实物达到验收条件时，承包人提出验收申请，由监理人组织相关单位进行中间验收。隐蔽工程或中间验收部位未经监理人验收合格，不得隐蔽或继续施工，否则，该部分工程被视为不合格，由此产生的返工费用及工期延误由承包人承担。</w:t>
      </w:r>
    </w:p>
    <w:p w14:paraId="0B3F03CA">
      <w:pPr>
        <w:autoSpaceDE w:val="0"/>
        <w:autoSpaceDN w:val="0"/>
        <w:ind w:right="0" w:firstLine="480" w:firstLineChars="200"/>
        <w:contextualSpacing/>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承包人应对隐蔽工程进行拍摄或照相或留存样本，保证监理人、发包人能充分检查和测量覆盖或隐蔽的工程，并将结果保存作为日后检查之用，否则后果由承包人承担。</w:t>
      </w:r>
    </w:p>
    <w:p w14:paraId="62AD0A78">
      <w:pPr>
        <w:ind w:firstLine="482" w:firstLineChars="200"/>
        <w:contextualSpacing/>
        <w:rPr>
          <w:rFonts w:hint="eastAsia" w:ascii="宋体" w:hAnsi="宋体" w:eastAsia="宋体" w:cs="宋体"/>
          <w:b/>
          <w:color w:val="000000"/>
          <w:sz w:val="24"/>
          <w:szCs w:val="24"/>
        </w:rPr>
      </w:pPr>
      <w:r>
        <w:rPr>
          <w:rFonts w:hint="eastAsia" w:ascii="宋体" w:hAnsi="宋体" w:eastAsia="宋体" w:cs="宋体"/>
          <w:b/>
          <w:color w:val="000000"/>
          <w:sz w:val="24"/>
          <w:szCs w:val="24"/>
        </w:rPr>
        <w:t>13.2 竣工验收</w:t>
      </w:r>
    </w:p>
    <w:p w14:paraId="3E1E1249">
      <w:pPr>
        <w:ind w:firstLine="480" w:firstLineChars="200"/>
        <w:contextualSpacing/>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13.2.1竣工验收条件</w:t>
      </w:r>
    </w:p>
    <w:p w14:paraId="2819036E">
      <w:pPr>
        <w:autoSpaceDE w:val="0"/>
        <w:autoSpaceDN w:val="0"/>
        <w:ind w:right="0" w:firstLine="482" w:firstLineChars="200"/>
        <w:contextualSpacing/>
        <w:jc w:val="left"/>
        <w:rPr>
          <w:rFonts w:hint="eastAsia" w:ascii="宋体" w:hAnsi="宋体" w:eastAsia="宋体" w:cs="宋体"/>
          <w:b/>
          <w:bCs/>
          <w:color w:val="000000"/>
          <w:kern w:val="0"/>
          <w:sz w:val="24"/>
          <w:szCs w:val="24"/>
        </w:rPr>
      </w:pPr>
      <w:r>
        <w:rPr>
          <w:rFonts w:hint="eastAsia" w:ascii="宋体" w:hAnsi="宋体" w:eastAsia="宋体" w:cs="宋体"/>
          <w:b/>
          <w:bCs/>
          <w:color w:val="000000"/>
          <w:sz w:val="24"/>
          <w:szCs w:val="24"/>
        </w:rPr>
        <w:t>增加以下内容</w:t>
      </w:r>
      <w:r>
        <w:rPr>
          <w:rFonts w:hint="eastAsia" w:ascii="宋体" w:hAnsi="宋体" w:eastAsia="宋体" w:cs="宋体"/>
          <w:b/>
          <w:bCs/>
          <w:color w:val="000000"/>
          <w:kern w:val="0"/>
          <w:sz w:val="24"/>
          <w:szCs w:val="24"/>
        </w:rPr>
        <w:t>：</w:t>
      </w:r>
    </w:p>
    <w:p w14:paraId="4D14DE97">
      <w:pPr>
        <w:autoSpaceDE w:val="0"/>
        <w:autoSpaceDN w:val="0"/>
        <w:ind w:right="0" w:firstLine="480" w:firstLineChars="200"/>
        <w:contextualSpacing/>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（4）承包人需配备合格的项目档案人员，定期参加发包人举办的档案业务培训班；预留一定的项目档案整理费用，用于项目档案（含纸质、电子、声像）的编制。</w:t>
      </w:r>
    </w:p>
    <w:p w14:paraId="68080908">
      <w:pPr>
        <w:autoSpaceDE w:val="0"/>
        <w:autoSpaceDN w:val="0"/>
        <w:ind w:right="0" w:firstLine="480" w:firstLineChars="200"/>
        <w:contextualSpacing/>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承包人需按照发包人的档案管理办法及各档案管理细则要求，按照项目进度，编制项目档案。项目竣工验收后三个月内，承包人需向发包人的档案管理部门移交项目档案（含纸质、电子、声像档案），并按项目所在地城建档案馆要求移交相应的项目档案。项目竣工验收后，发包人档案管理部门确认该项目的项目文件、结算档案等各类项目档案都移交归档后，才能予以支付档案移交保证金。</w:t>
      </w:r>
    </w:p>
    <w:p w14:paraId="525D7DE0">
      <w:pPr>
        <w:autoSpaceDE w:val="0"/>
        <w:autoSpaceDN w:val="0"/>
        <w:ind w:right="0" w:firstLine="480" w:firstLineChars="200"/>
        <w:contextualSpacing/>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（6）承包人须完成日常资料管理和工程竣工整体验收工作，包括但不限于：</w:t>
      </w:r>
    </w:p>
    <w:p w14:paraId="3B5DEEB8">
      <w:pPr>
        <w:autoSpaceDE w:val="0"/>
        <w:autoSpaceDN w:val="0"/>
        <w:ind w:right="0" w:firstLine="480" w:firstLineChars="200"/>
        <w:contextualSpacing/>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1）承包人须参加专业工程的竣工验收工作，加具有关意见；</w:t>
      </w:r>
    </w:p>
    <w:p w14:paraId="0EBEE821">
      <w:pPr>
        <w:autoSpaceDE w:val="0"/>
        <w:autoSpaceDN w:val="0"/>
        <w:ind w:right="0" w:firstLine="480" w:firstLineChars="200"/>
        <w:contextualSpacing/>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2）指导各专业承包单位收集、整理工程资料，使其满足评优申报要求和档案接收要求；</w:t>
      </w:r>
    </w:p>
    <w:p w14:paraId="5CA1E32C">
      <w:pPr>
        <w:autoSpaceDE w:val="0"/>
        <w:autoSpaceDN w:val="0"/>
        <w:ind w:right="0" w:firstLine="480" w:firstLineChars="200"/>
        <w:contextualSpacing/>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3）竣工图纸收集、整理，需要时签章；</w:t>
      </w:r>
    </w:p>
    <w:p w14:paraId="0620A541">
      <w:pPr>
        <w:autoSpaceDE w:val="0"/>
        <w:autoSpaceDN w:val="0"/>
        <w:ind w:right="0" w:firstLine="480" w:firstLineChars="200"/>
        <w:contextualSpacing/>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4）督促各专业承包单位做好竣工资料的收集、整理、立卷工作；</w:t>
      </w:r>
    </w:p>
    <w:p w14:paraId="1FAD9CE1">
      <w:pPr>
        <w:autoSpaceDE w:val="0"/>
        <w:autoSpaceDN w:val="0"/>
        <w:ind w:right="0" w:firstLine="480" w:firstLineChars="200"/>
        <w:contextualSpacing/>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5）督促各专业承包单位及时办理中间验收及专业验收；</w:t>
      </w:r>
    </w:p>
    <w:p w14:paraId="58FD8FD4">
      <w:pPr>
        <w:autoSpaceDE w:val="0"/>
        <w:autoSpaceDN w:val="0"/>
        <w:ind w:right="0" w:firstLine="480" w:firstLineChars="200"/>
        <w:contextualSpacing/>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6）按</w:t>
      </w:r>
      <w:r>
        <w:rPr>
          <w:rFonts w:hint="eastAsia" w:ascii="宋体" w:hAnsi="宋体" w:eastAsia="宋体" w:cs="宋体"/>
          <w:color w:val="000000"/>
          <w:kern w:val="0"/>
          <w:sz w:val="24"/>
          <w:szCs w:val="24"/>
          <w:u w:val="single"/>
        </w:rPr>
        <w:t>《城市建设档案管理规定》以及佛山市南海区档案管理部门</w:t>
      </w:r>
      <w:r>
        <w:rPr>
          <w:rFonts w:hint="eastAsia" w:ascii="宋体" w:hAnsi="宋体" w:eastAsia="宋体" w:cs="宋体"/>
          <w:color w:val="000000"/>
          <w:kern w:val="0"/>
          <w:sz w:val="24"/>
          <w:szCs w:val="24"/>
        </w:rPr>
        <w:t>的具体要求对各专业承包单位的竣工资料进行收集、整理、组卷、编制目录、汇总和管理，并按规定整理归档，向有关部门提交并获得通过；</w:t>
      </w:r>
    </w:p>
    <w:p w14:paraId="5A04DA01">
      <w:pPr>
        <w:ind w:firstLine="480" w:firstLineChars="200"/>
        <w:contextualSpacing/>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7）办理竣工备案手续，具体如下：①在规定时间内负责收集齐所有竣工备案资料，对于不属于</w:t>
      </w:r>
      <w:r>
        <w:rPr>
          <w:rFonts w:hint="eastAsia" w:ascii="宋体" w:hAnsi="宋体" w:eastAsia="宋体" w:cs="宋体"/>
          <w:color w:val="000000"/>
          <w:kern w:val="0"/>
          <w:sz w:val="24"/>
          <w:szCs w:val="24"/>
          <w:lang w:val="en-US" w:eastAsia="zh-CN"/>
        </w:rPr>
        <w:t>承包人</w:t>
      </w:r>
      <w:r>
        <w:rPr>
          <w:rFonts w:hint="eastAsia" w:ascii="宋体" w:hAnsi="宋体" w:eastAsia="宋体" w:cs="宋体"/>
          <w:color w:val="000000"/>
          <w:kern w:val="0"/>
          <w:sz w:val="24"/>
          <w:szCs w:val="24"/>
        </w:rPr>
        <w:t>提供的资料，有责任进行跟踪和协调，及时向发包人反馈收集进度和协调情况。②收集齐所有竣工备案资料后，负责按规定要求向有关部门提交竣工备案资料，并向发包人反馈备案办理进度。</w:t>
      </w:r>
    </w:p>
    <w:p w14:paraId="31F34CD4">
      <w:pPr>
        <w:ind w:firstLine="480" w:firstLineChars="200"/>
        <w:contextualSpacing/>
        <w:jc w:val="left"/>
        <w:rPr>
          <w:rFonts w:hint="eastAsia" w:ascii="宋体" w:hAnsi="宋体" w:eastAsia="宋体" w:cs="宋体"/>
          <w:color w:val="000000"/>
          <w:sz w:val="24"/>
          <w:szCs w:val="24"/>
        </w:rPr>
      </w:pPr>
      <w:r>
        <w:rPr>
          <w:rFonts w:hint="eastAsia" w:ascii="宋体" w:hAnsi="宋体" w:eastAsia="宋体" w:cs="宋体"/>
          <w:color w:val="000000"/>
          <w:sz w:val="24"/>
          <w:szCs w:val="24"/>
        </w:rPr>
        <w:t>13.2.2竣工验收程序</w:t>
      </w:r>
    </w:p>
    <w:p w14:paraId="029044E4">
      <w:pPr>
        <w:ind w:firstLine="480" w:firstLineChars="200"/>
        <w:contextualSpacing/>
        <w:jc w:val="left"/>
        <w:rPr>
          <w:rFonts w:hint="eastAsia" w:ascii="宋体" w:hAnsi="宋体" w:eastAsia="宋体" w:cs="宋体"/>
          <w:color w:val="000000"/>
          <w:sz w:val="24"/>
          <w:szCs w:val="24"/>
        </w:rPr>
      </w:pPr>
      <w:r>
        <w:rPr>
          <w:rFonts w:hint="eastAsia" w:ascii="宋体" w:hAnsi="宋体" w:eastAsia="宋体" w:cs="宋体"/>
          <w:color w:val="000000"/>
          <w:kern w:val="0"/>
          <w:sz w:val="24"/>
          <w:szCs w:val="24"/>
        </w:rPr>
        <w:t>关于竣工验收程序的约定：</w:t>
      </w:r>
      <w:r>
        <w:rPr>
          <w:rFonts w:hint="eastAsia" w:ascii="宋体" w:hAnsi="宋体" w:eastAsia="宋体" w:cs="宋体"/>
          <w:color w:val="000000"/>
          <w:sz w:val="24"/>
          <w:szCs w:val="24"/>
          <w:u w:val="single"/>
        </w:rPr>
        <w:t>按通用合同条款约定执行</w:t>
      </w:r>
      <w:r>
        <w:rPr>
          <w:rFonts w:hint="eastAsia" w:ascii="宋体" w:hAnsi="宋体" w:eastAsia="宋体" w:cs="宋体"/>
          <w:color w:val="000000"/>
          <w:sz w:val="24"/>
          <w:szCs w:val="24"/>
        </w:rPr>
        <w:t>。</w:t>
      </w:r>
    </w:p>
    <w:p w14:paraId="7D82B048">
      <w:pPr>
        <w:ind w:firstLine="480" w:firstLineChars="200"/>
        <w:contextualSpacing/>
        <w:jc w:val="left"/>
        <w:rPr>
          <w:rFonts w:hint="eastAsia" w:ascii="宋体" w:hAnsi="宋体" w:eastAsia="宋体" w:cs="宋体"/>
          <w:color w:val="000000"/>
          <w:sz w:val="24"/>
          <w:szCs w:val="24"/>
          <w:u w:val="single"/>
        </w:rPr>
      </w:pPr>
      <w:r>
        <w:rPr>
          <w:rFonts w:hint="eastAsia" w:ascii="宋体" w:hAnsi="宋体" w:eastAsia="宋体" w:cs="宋体"/>
          <w:color w:val="000000"/>
          <w:kern w:val="0"/>
          <w:sz w:val="24"/>
          <w:szCs w:val="24"/>
        </w:rPr>
        <w:t>发包人不按照本项约定组织竣工验收、颁发工程接收证书的违约金的计算方法：</w:t>
      </w:r>
      <w:r>
        <w:rPr>
          <w:rFonts w:hint="eastAsia" w:ascii="宋体" w:hAnsi="宋体" w:eastAsia="宋体" w:cs="宋体"/>
          <w:color w:val="000000"/>
          <w:sz w:val="24"/>
          <w:szCs w:val="24"/>
          <w:u w:val="single"/>
        </w:rPr>
        <w:t>承包人同意与发包人协商解决，不追究违约金的支付责任。</w:t>
      </w:r>
    </w:p>
    <w:p w14:paraId="7200866F">
      <w:pPr>
        <w:ind w:firstLine="482" w:firstLineChars="200"/>
        <w:contextualSpacing/>
        <w:rPr>
          <w:rFonts w:hint="eastAsia" w:ascii="宋体" w:hAnsi="宋体" w:eastAsia="宋体" w:cs="宋体"/>
          <w:b/>
          <w:color w:val="000000"/>
          <w:sz w:val="24"/>
          <w:szCs w:val="24"/>
        </w:rPr>
      </w:pPr>
      <w:r>
        <w:rPr>
          <w:rFonts w:hint="eastAsia" w:ascii="宋体" w:hAnsi="宋体" w:eastAsia="宋体" w:cs="宋体"/>
          <w:b/>
          <w:color w:val="000000"/>
          <w:sz w:val="24"/>
          <w:szCs w:val="24"/>
        </w:rPr>
        <w:t>13.3 工程试车</w:t>
      </w:r>
    </w:p>
    <w:p w14:paraId="33AFB936">
      <w:pPr>
        <w:ind w:firstLine="480" w:firstLineChars="200"/>
        <w:contextualSpacing/>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13.3.1 试车程序</w:t>
      </w:r>
    </w:p>
    <w:p w14:paraId="5D1A91AB">
      <w:pPr>
        <w:ind w:firstLine="480" w:firstLineChars="200"/>
        <w:contextualSpacing/>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工程试车内容：</w:t>
      </w:r>
      <w:r>
        <w:rPr>
          <w:rFonts w:hint="eastAsia" w:ascii="宋体" w:hAnsi="宋体" w:eastAsia="宋体" w:cs="宋体"/>
          <w:color w:val="000000"/>
          <w:sz w:val="24"/>
          <w:szCs w:val="24"/>
          <w:u w:val="single"/>
        </w:rPr>
        <w:t>无</w:t>
      </w:r>
      <w:r>
        <w:rPr>
          <w:rFonts w:hint="eastAsia" w:ascii="宋体" w:hAnsi="宋体" w:eastAsia="宋体" w:cs="宋体"/>
          <w:color w:val="000000"/>
          <w:sz w:val="24"/>
          <w:szCs w:val="24"/>
        </w:rPr>
        <w:t>。</w:t>
      </w:r>
    </w:p>
    <w:p w14:paraId="36439C19">
      <w:pPr>
        <w:ind w:firstLine="480" w:firstLineChars="200"/>
        <w:contextualSpacing/>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（1）单机无负荷试车费用由</w:t>
      </w:r>
      <w:r>
        <w:rPr>
          <w:rFonts w:hint="eastAsia" w:ascii="宋体" w:hAnsi="宋体" w:eastAsia="宋体" w:cs="宋体"/>
          <w:color w:val="000000"/>
          <w:sz w:val="24"/>
          <w:szCs w:val="24"/>
          <w:u w:val="single"/>
        </w:rPr>
        <w:t>承包人</w:t>
      </w:r>
      <w:r>
        <w:rPr>
          <w:rFonts w:hint="eastAsia" w:ascii="宋体" w:hAnsi="宋体" w:eastAsia="宋体" w:cs="宋体"/>
          <w:color w:val="000000"/>
          <w:kern w:val="0"/>
          <w:sz w:val="24"/>
          <w:szCs w:val="24"/>
        </w:rPr>
        <w:t>承担；</w:t>
      </w:r>
    </w:p>
    <w:p w14:paraId="728CF59E">
      <w:pPr>
        <w:ind w:firstLine="480" w:firstLineChars="200"/>
        <w:contextualSpacing/>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（2）无负荷联动试车费用由</w:t>
      </w:r>
      <w:r>
        <w:rPr>
          <w:rFonts w:hint="eastAsia" w:ascii="宋体" w:hAnsi="宋体" w:eastAsia="宋体" w:cs="宋体"/>
          <w:color w:val="000000"/>
          <w:sz w:val="24"/>
          <w:szCs w:val="24"/>
          <w:u w:val="single"/>
        </w:rPr>
        <w:t>承包人</w:t>
      </w:r>
      <w:r>
        <w:rPr>
          <w:rFonts w:hint="eastAsia" w:ascii="宋体" w:hAnsi="宋体" w:eastAsia="宋体" w:cs="宋体"/>
          <w:color w:val="000000"/>
          <w:kern w:val="0"/>
          <w:sz w:val="24"/>
          <w:szCs w:val="24"/>
        </w:rPr>
        <w:t>承担。</w:t>
      </w:r>
    </w:p>
    <w:p w14:paraId="6382CAFE">
      <w:pPr>
        <w:ind w:firstLine="480" w:firstLineChars="200"/>
        <w:contextualSpacing/>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13.3.3 投料试车</w:t>
      </w:r>
    </w:p>
    <w:p w14:paraId="70323625">
      <w:pPr>
        <w:ind w:firstLine="480" w:firstLineChars="200"/>
        <w:contextualSpacing/>
        <w:jc w:val="left"/>
        <w:rPr>
          <w:rFonts w:hint="eastAsia" w:ascii="宋体" w:hAnsi="宋体" w:eastAsia="宋体" w:cs="宋体"/>
          <w:color w:val="000000"/>
          <w:sz w:val="24"/>
          <w:szCs w:val="24"/>
        </w:rPr>
      </w:pPr>
      <w:r>
        <w:rPr>
          <w:rFonts w:hint="eastAsia" w:ascii="宋体" w:hAnsi="宋体" w:eastAsia="宋体" w:cs="宋体"/>
          <w:color w:val="000000"/>
          <w:kern w:val="0"/>
          <w:sz w:val="24"/>
          <w:szCs w:val="24"/>
        </w:rPr>
        <w:t>关于投料试车相关事项的约定：</w:t>
      </w:r>
      <w:r>
        <w:rPr>
          <w:rFonts w:hint="eastAsia" w:ascii="宋体" w:hAnsi="宋体" w:eastAsia="宋体" w:cs="宋体"/>
          <w:color w:val="000000"/>
          <w:sz w:val="24"/>
          <w:szCs w:val="24"/>
          <w:u w:val="single"/>
        </w:rPr>
        <w:t>无</w:t>
      </w:r>
      <w:r>
        <w:rPr>
          <w:rFonts w:hint="eastAsia" w:ascii="宋体" w:hAnsi="宋体" w:eastAsia="宋体" w:cs="宋体"/>
          <w:color w:val="000000"/>
          <w:sz w:val="24"/>
          <w:szCs w:val="24"/>
        </w:rPr>
        <w:t>。</w:t>
      </w:r>
    </w:p>
    <w:p w14:paraId="24FA90E7">
      <w:pPr>
        <w:ind w:firstLine="482" w:firstLineChars="200"/>
        <w:contextualSpacing/>
        <w:rPr>
          <w:rFonts w:hint="eastAsia" w:ascii="宋体" w:hAnsi="宋体" w:eastAsia="宋体" w:cs="宋体"/>
          <w:b/>
          <w:sz w:val="24"/>
          <w:szCs w:val="24"/>
        </w:rPr>
      </w:pPr>
      <w:r>
        <w:rPr>
          <w:rFonts w:hint="eastAsia" w:ascii="宋体" w:hAnsi="宋体" w:eastAsia="宋体" w:cs="宋体"/>
          <w:b/>
          <w:sz w:val="24"/>
          <w:szCs w:val="24"/>
        </w:rPr>
        <w:t>增加13.4.3条款：</w:t>
      </w:r>
    </w:p>
    <w:p w14:paraId="26A10050">
      <w:pPr>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承包人须为管理范围内的专业承包单位的单位工程验收提供必要的协调及配合服务。</w:t>
      </w:r>
    </w:p>
    <w:p w14:paraId="6E7B7173">
      <w:pPr>
        <w:ind w:firstLine="482" w:firstLineChars="200"/>
        <w:contextualSpacing/>
        <w:rPr>
          <w:rFonts w:hint="eastAsia" w:ascii="宋体" w:hAnsi="宋体" w:eastAsia="宋体" w:cs="宋体"/>
          <w:b/>
          <w:color w:val="000000"/>
          <w:sz w:val="24"/>
          <w:szCs w:val="24"/>
        </w:rPr>
      </w:pPr>
      <w:r>
        <w:rPr>
          <w:rFonts w:hint="eastAsia" w:ascii="宋体" w:hAnsi="宋体" w:eastAsia="宋体" w:cs="宋体"/>
          <w:b/>
          <w:color w:val="000000"/>
          <w:sz w:val="24"/>
          <w:szCs w:val="24"/>
        </w:rPr>
        <w:t>13.6 竣工退场</w:t>
      </w:r>
    </w:p>
    <w:p w14:paraId="790954FF">
      <w:pPr>
        <w:ind w:firstLine="480" w:firstLineChars="200"/>
        <w:contextualSpacing/>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13.6.1 竣工退场</w:t>
      </w:r>
    </w:p>
    <w:p w14:paraId="6E2DE5DC">
      <w:pPr>
        <w:ind w:firstLine="480" w:firstLineChars="200"/>
        <w:contextualSpacing/>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承包人完成竣工退场的期限：</w:t>
      </w:r>
      <w:r>
        <w:rPr>
          <w:rFonts w:hint="eastAsia" w:ascii="宋体" w:hAnsi="宋体" w:eastAsia="宋体" w:cs="宋体"/>
          <w:sz w:val="24"/>
          <w:szCs w:val="24"/>
          <w:u w:val="single"/>
        </w:rPr>
        <w:t>7天</w:t>
      </w:r>
      <w:r>
        <w:rPr>
          <w:rFonts w:hint="eastAsia" w:ascii="宋体" w:hAnsi="宋体" w:eastAsia="宋体" w:cs="宋体"/>
          <w:color w:val="000000"/>
          <w:kern w:val="0"/>
          <w:sz w:val="24"/>
          <w:szCs w:val="24"/>
        </w:rPr>
        <w:t>。</w:t>
      </w:r>
    </w:p>
    <w:p w14:paraId="2187E252">
      <w:pPr>
        <w:ind w:firstLine="480" w:firstLineChars="200"/>
        <w:contextualSpacing/>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遗留的物品视为遗弃物品，发包人有权直接予以处置，发包人不对承包人遗留的物品出现毁损、灭失等情况承担任何责任。发包人处置承包人遗留的物品的方式包括但不限于出售、丢弃、转运等，承包人不得要求发包人对此承担任何责任。因处理承包人遗留的物品产生的费用，发包人有权从应付给承包人的合同款项中直接予以扣除。</w:t>
      </w:r>
    </w:p>
    <w:p w14:paraId="27CCBBCE">
      <w:pPr>
        <w:pStyle w:val="5"/>
        <w:spacing w:before="0" w:after="0" w:line="240" w:lineRule="auto"/>
        <w:ind w:firstLine="482" w:firstLineChars="200"/>
        <w:contextualSpacing/>
        <w:rPr>
          <w:rFonts w:hint="eastAsia" w:ascii="宋体" w:hAnsi="宋体" w:eastAsia="宋体" w:cs="宋体"/>
          <w:b/>
          <w:bCs w:val="0"/>
          <w:color w:val="000000"/>
          <w:sz w:val="24"/>
          <w:szCs w:val="24"/>
        </w:rPr>
      </w:pPr>
      <w:bookmarkStart w:id="427" w:name="_Toc443898207"/>
      <w:r>
        <w:rPr>
          <w:rFonts w:hint="eastAsia" w:ascii="宋体" w:hAnsi="宋体" w:eastAsia="宋体" w:cs="宋体"/>
          <w:b/>
          <w:bCs w:val="0"/>
          <w:color w:val="000000"/>
          <w:sz w:val="24"/>
          <w:szCs w:val="24"/>
        </w:rPr>
        <w:t>14. 竣工结算</w:t>
      </w:r>
      <w:bookmarkEnd w:id="427"/>
    </w:p>
    <w:p w14:paraId="1FFAECDB">
      <w:pPr>
        <w:ind w:firstLine="482" w:firstLineChars="200"/>
        <w:contextualSpacing/>
        <w:rPr>
          <w:rFonts w:hint="eastAsia" w:ascii="宋体" w:hAnsi="宋体" w:eastAsia="宋体" w:cs="宋体"/>
          <w:b/>
          <w:bCs/>
          <w:color w:val="000000"/>
          <w:sz w:val="24"/>
          <w:szCs w:val="24"/>
        </w:rPr>
      </w:pPr>
      <w:r>
        <w:rPr>
          <w:rFonts w:hint="eastAsia" w:ascii="宋体" w:hAnsi="宋体" w:eastAsia="宋体" w:cs="宋体"/>
          <w:b/>
          <w:bCs/>
          <w:color w:val="000000"/>
          <w:sz w:val="24"/>
          <w:szCs w:val="24"/>
        </w:rPr>
        <w:t>14.1 竣工付款申请</w:t>
      </w:r>
    </w:p>
    <w:p w14:paraId="1A2220D8">
      <w:pPr>
        <w:autoSpaceDE w:val="0"/>
        <w:autoSpaceDN w:val="0"/>
        <w:ind w:firstLine="480" w:firstLineChars="200"/>
        <w:contextualSpacing/>
        <w:jc w:val="left"/>
        <w:rPr>
          <w:rFonts w:hint="eastAsia" w:ascii="宋体" w:hAnsi="宋体" w:eastAsia="宋体" w:cs="宋体"/>
          <w:sz w:val="24"/>
          <w:szCs w:val="24"/>
        </w:rPr>
      </w:pPr>
      <w:r>
        <w:rPr>
          <w:rFonts w:hint="eastAsia" w:ascii="宋体" w:hAnsi="宋体" w:eastAsia="宋体" w:cs="宋体"/>
          <w:sz w:val="24"/>
          <w:szCs w:val="24"/>
        </w:rPr>
        <w:t>14.1.1承包人在竣工验收合格，且完成合同约定的所有工作内容、变更和调差的办理后30日内上报合同结算。</w:t>
      </w:r>
    </w:p>
    <w:p w14:paraId="3A66A540">
      <w:pPr>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承包人应按照发包人结算审核提交资料要求提供如下竣工结算资料，包括但不限于以下内容：</w:t>
      </w:r>
    </w:p>
    <w:p w14:paraId="7119EEB9">
      <w:pPr>
        <w:ind w:firstLine="480" w:firstLineChars="200"/>
        <w:contextualSpacing/>
        <w:rPr>
          <w:rFonts w:hint="eastAsia" w:ascii="宋体" w:hAnsi="宋体" w:eastAsia="宋体" w:cs="宋体"/>
          <w:sz w:val="24"/>
          <w:szCs w:val="24"/>
          <w:u w:val="single"/>
        </w:rPr>
      </w:pPr>
      <w:r>
        <w:rPr>
          <w:rFonts w:hint="eastAsia" w:ascii="宋体" w:hAnsi="宋体" w:eastAsia="宋体" w:cs="宋体"/>
          <w:sz w:val="24"/>
          <w:szCs w:val="24"/>
        </w:rPr>
        <w:t>（1）</w:t>
      </w:r>
      <w:r>
        <w:rPr>
          <w:rFonts w:hint="eastAsia" w:ascii="宋体" w:hAnsi="宋体" w:eastAsia="宋体" w:cs="宋体"/>
          <w:sz w:val="24"/>
          <w:szCs w:val="24"/>
          <w:u w:val="single"/>
        </w:rPr>
        <w:t>工程结算书及电子文件；</w:t>
      </w:r>
    </w:p>
    <w:p w14:paraId="58F73563">
      <w:pPr>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u w:val="single"/>
        </w:rPr>
        <w:t>工程量计算书(即计算底稿) 及电子文件；</w:t>
      </w:r>
    </w:p>
    <w:p w14:paraId="584317ED">
      <w:pPr>
        <w:pStyle w:val="22"/>
        <w:ind w:firstLine="560"/>
        <w:contextualSpacing/>
        <w:rPr>
          <w:rFonts w:hint="eastAsia" w:ascii="宋体" w:hAnsi="宋体" w:eastAsia="宋体" w:cs="宋体"/>
          <w:sz w:val="24"/>
          <w:szCs w:val="24"/>
          <w:u w:val="single"/>
        </w:rPr>
      </w:pPr>
      <w:r>
        <w:rPr>
          <w:rFonts w:hint="eastAsia" w:ascii="宋体" w:hAnsi="宋体" w:eastAsia="宋体" w:cs="宋体"/>
          <w:sz w:val="24"/>
          <w:szCs w:val="24"/>
        </w:rPr>
        <w:t>（3）</w:t>
      </w:r>
      <w:r>
        <w:rPr>
          <w:rFonts w:hint="eastAsia" w:ascii="宋体" w:hAnsi="宋体" w:eastAsia="宋体" w:cs="宋体"/>
          <w:sz w:val="24"/>
          <w:szCs w:val="24"/>
          <w:u w:val="single"/>
        </w:rPr>
        <w:t>钢筋抽料表及电子文件；</w:t>
      </w:r>
    </w:p>
    <w:p w14:paraId="04BD541D">
      <w:pPr>
        <w:pStyle w:val="22"/>
        <w:ind w:firstLine="560"/>
        <w:contextualSpacing/>
        <w:rPr>
          <w:rFonts w:hint="eastAsia" w:ascii="宋体" w:hAnsi="宋体" w:eastAsia="宋体" w:cs="宋体"/>
          <w:sz w:val="24"/>
          <w:szCs w:val="24"/>
          <w:u w:val="single"/>
        </w:rPr>
      </w:pPr>
      <w:r>
        <w:rPr>
          <w:rFonts w:hint="eastAsia" w:ascii="宋体" w:hAnsi="宋体" w:eastAsia="宋体" w:cs="宋体"/>
          <w:sz w:val="24"/>
          <w:szCs w:val="24"/>
        </w:rPr>
        <w:t>（4）</w:t>
      </w:r>
      <w:r>
        <w:rPr>
          <w:rFonts w:hint="eastAsia" w:ascii="宋体" w:hAnsi="宋体" w:eastAsia="宋体" w:cs="宋体"/>
          <w:sz w:val="24"/>
          <w:szCs w:val="24"/>
          <w:u w:val="single"/>
        </w:rPr>
        <w:t>工程承包合同；</w:t>
      </w:r>
    </w:p>
    <w:p w14:paraId="0F0CCA97">
      <w:pPr>
        <w:pStyle w:val="22"/>
        <w:ind w:firstLine="560"/>
        <w:contextualSpacing/>
        <w:rPr>
          <w:rFonts w:hint="eastAsia" w:ascii="宋体" w:hAnsi="宋体" w:eastAsia="宋体" w:cs="宋体"/>
          <w:sz w:val="24"/>
          <w:szCs w:val="24"/>
          <w:u w:val="single"/>
        </w:rPr>
      </w:pPr>
      <w:r>
        <w:rPr>
          <w:rFonts w:hint="eastAsia" w:ascii="宋体" w:hAnsi="宋体" w:eastAsia="宋体" w:cs="宋体"/>
          <w:sz w:val="24"/>
          <w:szCs w:val="24"/>
        </w:rPr>
        <w:t>（5）</w:t>
      </w:r>
      <w:r>
        <w:rPr>
          <w:rFonts w:hint="eastAsia" w:ascii="宋体" w:hAnsi="宋体" w:eastAsia="宋体" w:cs="宋体"/>
          <w:sz w:val="24"/>
          <w:szCs w:val="24"/>
          <w:u w:val="single"/>
        </w:rPr>
        <w:t>招标文件；</w:t>
      </w:r>
    </w:p>
    <w:p w14:paraId="22810CFC">
      <w:pPr>
        <w:pStyle w:val="22"/>
        <w:ind w:firstLine="560"/>
        <w:contextualSpacing/>
        <w:rPr>
          <w:rFonts w:hint="eastAsia" w:ascii="宋体" w:hAnsi="宋体" w:eastAsia="宋体" w:cs="宋体"/>
          <w:sz w:val="24"/>
          <w:szCs w:val="24"/>
          <w:u w:val="single"/>
        </w:rPr>
      </w:pPr>
      <w:r>
        <w:rPr>
          <w:rFonts w:hint="eastAsia" w:ascii="宋体" w:hAnsi="宋体" w:eastAsia="宋体" w:cs="宋体"/>
          <w:sz w:val="24"/>
          <w:szCs w:val="24"/>
        </w:rPr>
        <w:t>（6）</w:t>
      </w:r>
      <w:r>
        <w:rPr>
          <w:rFonts w:hint="eastAsia" w:ascii="宋体" w:hAnsi="宋体" w:eastAsia="宋体" w:cs="宋体"/>
          <w:sz w:val="24"/>
          <w:szCs w:val="24"/>
          <w:u w:val="single"/>
        </w:rPr>
        <w:t>投标文件(含电子版)、中标通知书；</w:t>
      </w:r>
    </w:p>
    <w:p w14:paraId="2A968B65">
      <w:pPr>
        <w:pStyle w:val="22"/>
        <w:ind w:firstLine="560"/>
        <w:contextualSpacing/>
        <w:rPr>
          <w:rFonts w:hint="eastAsia" w:ascii="宋体" w:hAnsi="宋体" w:eastAsia="宋体" w:cs="宋体"/>
          <w:sz w:val="24"/>
          <w:szCs w:val="24"/>
          <w:u w:val="single"/>
        </w:rPr>
      </w:pPr>
      <w:r>
        <w:rPr>
          <w:rFonts w:hint="eastAsia" w:ascii="宋体" w:hAnsi="宋体" w:eastAsia="宋体" w:cs="宋体"/>
          <w:sz w:val="24"/>
          <w:szCs w:val="24"/>
        </w:rPr>
        <w:t>（7）</w:t>
      </w:r>
      <w:r>
        <w:rPr>
          <w:rFonts w:hint="eastAsia" w:ascii="宋体" w:hAnsi="宋体" w:eastAsia="宋体" w:cs="宋体"/>
          <w:sz w:val="24"/>
          <w:szCs w:val="24"/>
          <w:u w:val="single"/>
        </w:rPr>
        <w:t>工程竣工图及电子文件；</w:t>
      </w:r>
    </w:p>
    <w:p w14:paraId="62C584E3">
      <w:pPr>
        <w:pStyle w:val="22"/>
        <w:ind w:firstLine="560"/>
        <w:contextualSpacing/>
        <w:rPr>
          <w:rFonts w:hint="eastAsia" w:ascii="宋体" w:hAnsi="宋体" w:eastAsia="宋体" w:cs="宋体"/>
          <w:sz w:val="24"/>
          <w:szCs w:val="24"/>
          <w:u w:val="single"/>
        </w:rPr>
      </w:pPr>
      <w:r>
        <w:rPr>
          <w:rFonts w:hint="eastAsia" w:ascii="宋体" w:hAnsi="宋体" w:eastAsia="宋体" w:cs="宋体"/>
          <w:sz w:val="24"/>
          <w:szCs w:val="24"/>
        </w:rPr>
        <w:t>（8）</w:t>
      </w:r>
      <w:r>
        <w:rPr>
          <w:rFonts w:hint="eastAsia" w:ascii="宋体" w:hAnsi="宋体" w:eastAsia="宋体" w:cs="宋体"/>
          <w:sz w:val="24"/>
          <w:szCs w:val="24"/>
          <w:u w:val="single"/>
        </w:rPr>
        <w:t>工程竣工资料及电子文件；</w:t>
      </w:r>
    </w:p>
    <w:p w14:paraId="2342415C">
      <w:pPr>
        <w:pStyle w:val="22"/>
        <w:ind w:firstLine="560"/>
        <w:contextualSpacing/>
        <w:rPr>
          <w:rFonts w:hint="eastAsia" w:ascii="宋体" w:hAnsi="宋体" w:eastAsia="宋体" w:cs="宋体"/>
          <w:sz w:val="24"/>
          <w:szCs w:val="24"/>
          <w:u w:val="single"/>
        </w:rPr>
      </w:pPr>
      <w:r>
        <w:rPr>
          <w:rFonts w:hint="eastAsia" w:ascii="宋体" w:hAnsi="宋体" w:eastAsia="宋体" w:cs="宋体"/>
          <w:sz w:val="24"/>
          <w:szCs w:val="24"/>
        </w:rPr>
        <w:t>（9）</w:t>
      </w:r>
      <w:r>
        <w:rPr>
          <w:rFonts w:hint="eastAsia" w:ascii="宋体" w:hAnsi="宋体" w:eastAsia="宋体" w:cs="宋体"/>
          <w:sz w:val="24"/>
          <w:szCs w:val="24"/>
          <w:u w:val="single"/>
        </w:rPr>
        <w:t>图纸会审纪录：</w:t>
      </w:r>
    </w:p>
    <w:p w14:paraId="2DA037F8">
      <w:pPr>
        <w:pStyle w:val="22"/>
        <w:ind w:firstLine="560"/>
        <w:contextualSpacing/>
        <w:rPr>
          <w:rFonts w:hint="eastAsia" w:ascii="宋体" w:hAnsi="宋体" w:eastAsia="宋体" w:cs="宋体"/>
          <w:sz w:val="24"/>
          <w:szCs w:val="24"/>
          <w:u w:val="single"/>
        </w:rPr>
      </w:pPr>
      <w:r>
        <w:rPr>
          <w:rFonts w:hint="eastAsia" w:ascii="宋体" w:hAnsi="宋体" w:eastAsia="宋体" w:cs="宋体"/>
          <w:sz w:val="24"/>
          <w:szCs w:val="24"/>
        </w:rPr>
        <w:t>（10）</w:t>
      </w:r>
      <w:r>
        <w:rPr>
          <w:rFonts w:hint="eastAsia" w:ascii="宋体" w:hAnsi="宋体" w:eastAsia="宋体" w:cs="宋体"/>
          <w:sz w:val="24"/>
          <w:szCs w:val="24"/>
          <w:u w:val="single"/>
        </w:rPr>
        <w:t>设计变更单；</w:t>
      </w:r>
    </w:p>
    <w:p w14:paraId="0F0EDFA2">
      <w:pPr>
        <w:pStyle w:val="22"/>
        <w:ind w:firstLine="560"/>
        <w:contextualSpacing/>
        <w:rPr>
          <w:rFonts w:hint="eastAsia" w:ascii="宋体" w:hAnsi="宋体" w:eastAsia="宋体" w:cs="宋体"/>
          <w:sz w:val="24"/>
          <w:szCs w:val="24"/>
          <w:u w:val="single"/>
        </w:rPr>
      </w:pPr>
      <w:r>
        <w:rPr>
          <w:rFonts w:hint="eastAsia" w:ascii="宋体" w:hAnsi="宋体" w:eastAsia="宋体" w:cs="宋体"/>
          <w:sz w:val="24"/>
          <w:szCs w:val="24"/>
        </w:rPr>
        <w:t>（11）</w:t>
      </w:r>
      <w:r>
        <w:rPr>
          <w:rFonts w:hint="eastAsia" w:ascii="宋体" w:hAnsi="宋体" w:eastAsia="宋体" w:cs="宋体"/>
          <w:sz w:val="24"/>
          <w:szCs w:val="24"/>
          <w:u w:val="single"/>
        </w:rPr>
        <w:t>监理人通知或发包人施工指令；</w:t>
      </w:r>
    </w:p>
    <w:p w14:paraId="3A59B7F7">
      <w:pPr>
        <w:pStyle w:val="22"/>
        <w:ind w:firstLine="560"/>
        <w:contextualSpacing/>
        <w:rPr>
          <w:rFonts w:hint="eastAsia" w:ascii="宋体" w:hAnsi="宋体" w:eastAsia="宋体" w:cs="宋体"/>
          <w:sz w:val="24"/>
          <w:szCs w:val="24"/>
          <w:u w:val="single"/>
        </w:rPr>
      </w:pPr>
      <w:r>
        <w:rPr>
          <w:rFonts w:hint="eastAsia" w:ascii="宋体" w:hAnsi="宋体" w:eastAsia="宋体" w:cs="宋体"/>
          <w:sz w:val="24"/>
          <w:szCs w:val="24"/>
        </w:rPr>
        <w:t>（12）</w:t>
      </w:r>
      <w:r>
        <w:rPr>
          <w:rFonts w:hint="eastAsia" w:ascii="宋体" w:hAnsi="宋体" w:eastAsia="宋体" w:cs="宋体"/>
          <w:sz w:val="24"/>
          <w:szCs w:val="24"/>
          <w:u w:val="single"/>
        </w:rPr>
        <w:t>会议纪要；</w:t>
      </w:r>
    </w:p>
    <w:p w14:paraId="3776EAE0">
      <w:pPr>
        <w:pStyle w:val="22"/>
        <w:ind w:firstLine="560"/>
        <w:contextualSpacing/>
        <w:rPr>
          <w:rFonts w:hint="eastAsia" w:ascii="宋体" w:hAnsi="宋体" w:eastAsia="宋体" w:cs="宋体"/>
          <w:sz w:val="24"/>
          <w:szCs w:val="24"/>
          <w:u w:val="single"/>
        </w:rPr>
      </w:pPr>
      <w:r>
        <w:rPr>
          <w:rFonts w:hint="eastAsia" w:ascii="宋体" w:hAnsi="宋体" w:eastAsia="宋体" w:cs="宋体"/>
          <w:sz w:val="24"/>
          <w:szCs w:val="24"/>
        </w:rPr>
        <w:t>（13）</w:t>
      </w:r>
      <w:r>
        <w:rPr>
          <w:rFonts w:hint="eastAsia" w:ascii="宋体" w:hAnsi="宋体" w:eastAsia="宋体" w:cs="宋体"/>
          <w:sz w:val="24"/>
          <w:szCs w:val="24"/>
          <w:u w:val="single"/>
        </w:rPr>
        <w:t>材料设备单价呈批审核单；</w:t>
      </w:r>
    </w:p>
    <w:p w14:paraId="1EF0ED0C">
      <w:pPr>
        <w:pStyle w:val="22"/>
        <w:ind w:firstLine="560"/>
        <w:contextualSpacing/>
        <w:rPr>
          <w:rFonts w:hint="eastAsia" w:ascii="宋体" w:hAnsi="宋体" w:eastAsia="宋体" w:cs="宋体"/>
          <w:sz w:val="24"/>
          <w:szCs w:val="24"/>
          <w:u w:val="single"/>
        </w:rPr>
      </w:pPr>
      <w:r>
        <w:rPr>
          <w:rFonts w:hint="eastAsia" w:ascii="宋体" w:hAnsi="宋体" w:eastAsia="宋体" w:cs="宋体"/>
          <w:sz w:val="24"/>
          <w:szCs w:val="24"/>
        </w:rPr>
        <w:t>（14）</w:t>
      </w:r>
      <w:r>
        <w:rPr>
          <w:rFonts w:hint="eastAsia" w:ascii="宋体" w:hAnsi="宋体" w:eastAsia="宋体" w:cs="宋体"/>
          <w:sz w:val="24"/>
          <w:szCs w:val="24"/>
          <w:u w:val="single"/>
        </w:rPr>
        <w:t>综合单价呈批审核单；</w:t>
      </w:r>
    </w:p>
    <w:p w14:paraId="509AFD35">
      <w:pPr>
        <w:pStyle w:val="22"/>
        <w:ind w:firstLine="560"/>
        <w:contextualSpacing/>
        <w:rPr>
          <w:rFonts w:hint="eastAsia" w:ascii="宋体" w:hAnsi="宋体" w:eastAsia="宋体" w:cs="宋体"/>
          <w:sz w:val="24"/>
          <w:szCs w:val="24"/>
          <w:u w:val="single"/>
        </w:rPr>
      </w:pPr>
      <w:r>
        <w:rPr>
          <w:rFonts w:hint="eastAsia" w:ascii="宋体" w:hAnsi="宋体" w:eastAsia="宋体" w:cs="宋体"/>
          <w:sz w:val="24"/>
          <w:szCs w:val="24"/>
        </w:rPr>
        <w:t>（15）</w:t>
      </w:r>
      <w:r>
        <w:rPr>
          <w:rFonts w:hint="eastAsia" w:ascii="宋体" w:hAnsi="宋体" w:eastAsia="宋体" w:cs="宋体"/>
          <w:sz w:val="24"/>
          <w:szCs w:val="24"/>
          <w:u w:val="single"/>
        </w:rPr>
        <w:t>发包人供应材料收货验收签收单；</w:t>
      </w:r>
    </w:p>
    <w:p w14:paraId="6DBEFB81">
      <w:pPr>
        <w:pStyle w:val="22"/>
        <w:ind w:firstLine="560"/>
        <w:contextualSpacing/>
        <w:rPr>
          <w:rFonts w:hint="eastAsia" w:ascii="宋体" w:hAnsi="宋体" w:eastAsia="宋体" w:cs="宋体"/>
          <w:sz w:val="24"/>
          <w:szCs w:val="24"/>
          <w:u w:val="single"/>
        </w:rPr>
      </w:pPr>
      <w:r>
        <w:rPr>
          <w:rFonts w:hint="eastAsia" w:ascii="宋体" w:hAnsi="宋体" w:eastAsia="宋体" w:cs="宋体"/>
          <w:sz w:val="24"/>
          <w:szCs w:val="24"/>
        </w:rPr>
        <w:t>（16）</w:t>
      </w:r>
      <w:r>
        <w:rPr>
          <w:rFonts w:hint="eastAsia" w:ascii="宋体" w:hAnsi="宋体" w:eastAsia="宋体" w:cs="宋体"/>
          <w:sz w:val="24"/>
          <w:szCs w:val="24"/>
          <w:u w:val="single"/>
        </w:rPr>
        <w:t>发包人供应材料收货验收签收单；</w:t>
      </w:r>
    </w:p>
    <w:p w14:paraId="2F135EF8">
      <w:pPr>
        <w:pStyle w:val="22"/>
        <w:ind w:firstLine="560"/>
        <w:contextualSpacing/>
        <w:rPr>
          <w:rFonts w:hint="eastAsia" w:ascii="宋体" w:hAnsi="宋体" w:eastAsia="宋体" w:cs="宋体"/>
          <w:sz w:val="24"/>
          <w:szCs w:val="24"/>
          <w:u w:val="single"/>
        </w:rPr>
      </w:pPr>
      <w:r>
        <w:rPr>
          <w:rFonts w:hint="eastAsia" w:ascii="宋体" w:hAnsi="宋体" w:eastAsia="宋体" w:cs="宋体"/>
          <w:sz w:val="24"/>
          <w:szCs w:val="24"/>
        </w:rPr>
        <w:t>（17）</w:t>
      </w:r>
      <w:r>
        <w:rPr>
          <w:rFonts w:hint="eastAsia" w:ascii="宋体" w:hAnsi="宋体" w:eastAsia="宋体" w:cs="宋体"/>
          <w:sz w:val="24"/>
          <w:szCs w:val="24"/>
          <w:u w:val="single"/>
        </w:rPr>
        <w:t>其他结算资料；</w:t>
      </w:r>
    </w:p>
    <w:p w14:paraId="29F4F97D">
      <w:pPr>
        <w:pStyle w:val="22"/>
        <w:ind w:firstLine="560"/>
        <w:contextualSpacing/>
        <w:rPr>
          <w:rFonts w:hint="eastAsia" w:ascii="宋体" w:hAnsi="宋体" w:eastAsia="宋体" w:cs="宋体"/>
          <w:sz w:val="24"/>
          <w:szCs w:val="24"/>
          <w:u w:val="single"/>
        </w:rPr>
      </w:pPr>
      <w:r>
        <w:rPr>
          <w:rFonts w:hint="eastAsia" w:ascii="宋体" w:hAnsi="宋体" w:eastAsia="宋体" w:cs="宋体"/>
          <w:sz w:val="24"/>
          <w:szCs w:val="24"/>
        </w:rPr>
        <w:t>（18）</w:t>
      </w:r>
      <w:r>
        <w:rPr>
          <w:rFonts w:hint="eastAsia" w:ascii="宋体" w:hAnsi="宋体" w:eastAsia="宋体" w:cs="宋体"/>
          <w:sz w:val="24"/>
          <w:szCs w:val="24"/>
          <w:u w:val="single"/>
        </w:rPr>
        <w:t>资料移交签收表。</w:t>
      </w:r>
    </w:p>
    <w:p w14:paraId="196FEBF0">
      <w:pPr>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14.1.2上述结算资料的具体要求，包括但不限于以下内容：</w:t>
      </w:r>
    </w:p>
    <w:p w14:paraId="372B9299">
      <w:pPr>
        <w:pStyle w:val="22"/>
        <w:ind w:firstLine="480" w:firstLineChars="200"/>
        <w:contextualSpacing/>
        <w:rPr>
          <w:rFonts w:hint="eastAsia" w:ascii="宋体" w:hAnsi="宋体" w:eastAsia="宋体" w:cs="宋体"/>
          <w:sz w:val="24"/>
          <w:szCs w:val="24"/>
          <w:u w:val="single"/>
        </w:rPr>
      </w:pPr>
      <w:r>
        <w:rPr>
          <w:rFonts w:hint="eastAsia" w:ascii="宋体" w:hAnsi="宋体" w:eastAsia="宋体" w:cs="宋体"/>
          <w:sz w:val="24"/>
          <w:szCs w:val="24"/>
          <w:u w:val="single"/>
        </w:rPr>
        <w:t>（1）结算书：每项工程的结算书要求分两部分编制：第一部分是合同价为主要部分，第二部分包括图纸会审记录、设计变更、监理人通知或发包人施工指令、现场签证、工程洽商记录以及其它有关费用（最终施工图纸未含部分）为依据编制部分。上述两部分不应有重复列项的内容。</w:t>
      </w:r>
    </w:p>
    <w:p w14:paraId="59DDB6C0">
      <w:pPr>
        <w:pStyle w:val="22"/>
        <w:ind w:firstLine="480" w:firstLineChars="200"/>
        <w:contextualSpacing/>
        <w:rPr>
          <w:rFonts w:hint="eastAsia" w:ascii="宋体" w:hAnsi="宋体" w:eastAsia="宋体" w:cs="宋体"/>
          <w:sz w:val="24"/>
          <w:szCs w:val="24"/>
          <w:u w:val="single"/>
        </w:rPr>
      </w:pPr>
      <w:r>
        <w:rPr>
          <w:rFonts w:hint="eastAsia" w:ascii="宋体" w:hAnsi="宋体" w:eastAsia="宋体" w:cs="宋体"/>
          <w:sz w:val="24"/>
          <w:szCs w:val="24"/>
          <w:u w:val="single"/>
        </w:rPr>
        <w:t>（2）工程量计算书(即计算底稿)：工程量计算书应由工程量汇总表和详细的工程量计算式组成，工程量应有详细的计算表达式，施工图、图纸会审记录、设计变更、工程洽商记录、现场签证单、监理人通知或发包人施工指令等部分的内容应在工程量计算式中一次计算。</w:t>
      </w:r>
    </w:p>
    <w:p w14:paraId="4F81ED58">
      <w:pPr>
        <w:pStyle w:val="22"/>
        <w:ind w:firstLine="480" w:firstLineChars="200"/>
        <w:contextualSpacing/>
        <w:rPr>
          <w:rFonts w:hint="eastAsia" w:ascii="宋体" w:hAnsi="宋体" w:eastAsia="宋体" w:cs="宋体"/>
          <w:sz w:val="24"/>
          <w:szCs w:val="24"/>
          <w:u w:val="single"/>
        </w:rPr>
      </w:pPr>
      <w:r>
        <w:rPr>
          <w:rFonts w:hint="eastAsia" w:ascii="宋体" w:hAnsi="宋体" w:eastAsia="宋体" w:cs="宋体"/>
          <w:sz w:val="24"/>
          <w:szCs w:val="24"/>
          <w:u w:val="single"/>
        </w:rPr>
        <w:t>（3）工程施工合同：包括发包人与承包人签订的工程施工合同、经发包人确认的承包人与第三方签订的分包合同、各类补充合同、合同附件等，要求将上述合同文件列出总目录按顺序整理装订成册。</w:t>
      </w:r>
    </w:p>
    <w:p w14:paraId="22126D95">
      <w:pPr>
        <w:pStyle w:val="22"/>
        <w:ind w:firstLine="480" w:firstLineChars="200"/>
        <w:contextualSpacing/>
        <w:rPr>
          <w:rFonts w:hint="eastAsia" w:ascii="宋体" w:hAnsi="宋体" w:eastAsia="宋体" w:cs="宋体"/>
          <w:sz w:val="24"/>
          <w:szCs w:val="24"/>
          <w:u w:val="single"/>
        </w:rPr>
      </w:pPr>
      <w:r>
        <w:rPr>
          <w:rFonts w:hint="eastAsia" w:ascii="宋体" w:hAnsi="宋体" w:eastAsia="宋体" w:cs="宋体"/>
          <w:sz w:val="24"/>
          <w:szCs w:val="24"/>
          <w:u w:val="single"/>
        </w:rPr>
        <w:t>（4）钢筋抽料表：要求提供详细的抽料表和明细汇总表，详细的抽料表应注明钢筋所在构件名称、施工部位、钢筋编号、图样、计算式等，明细汇总表应区分不同类型、不同构件的汇总数量，用软件抽料的钢筋用量表要求提供相应的拷贝光盘。</w:t>
      </w:r>
    </w:p>
    <w:p w14:paraId="6FDF74DD">
      <w:pPr>
        <w:pStyle w:val="22"/>
        <w:ind w:firstLine="480" w:firstLineChars="200"/>
        <w:contextualSpacing/>
        <w:rPr>
          <w:rFonts w:hint="eastAsia" w:ascii="宋体" w:hAnsi="宋体" w:eastAsia="宋体" w:cs="宋体"/>
          <w:sz w:val="24"/>
          <w:szCs w:val="24"/>
          <w:u w:val="single"/>
        </w:rPr>
      </w:pPr>
      <w:r>
        <w:rPr>
          <w:rFonts w:hint="eastAsia" w:ascii="宋体" w:hAnsi="宋体" w:eastAsia="宋体" w:cs="宋体"/>
          <w:sz w:val="24"/>
          <w:szCs w:val="24"/>
          <w:u w:val="single"/>
        </w:rPr>
        <w:t>（5）竣工图：用于结算的竣工图必须有承包人竣工图专用章及其相关人员签字，有监理人和发包人的审核人签字和单位盖章确认。经发包人、设计人、监理人等单位确认的图纸会审记录、设计变更、工程洽商记录、监理人通知或发包人施工指令等内容均应反映在相应的竣工图上。对未在竣工图上反映的图纸会审记录、设计变更和工程洽商记录等，其费用的增减，在结算评审中不予考虑。承包人应保证提供的竣工图纸与实际相符，如在结算审核过程中一旦发现竣工图与实际不符，发包人按实际调整造价，如承包人因此少报造价，由承包人自负责任，不调整造价。</w:t>
      </w:r>
    </w:p>
    <w:p w14:paraId="685B6C8F">
      <w:pPr>
        <w:pStyle w:val="22"/>
        <w:ind w:firstLine="480" w:firstLineChars="200"/>
        <w:contextualSpacing/>
        <w:rPr>
          <w:rFonts w:hint="eastAsia" w:ascii="宋体" w:hAnsi="宋体" w:eastAsia="宋体" w:cs="宋体"/>
          <w:sz w:val="24"/>
          <w:szCs w:val="24"/>
          <w:u w:val="single"/>
        </w:rPr>
      </w:pPr>
      <w:r>
        <w:rPr>
          <w:rFonts w:hint="eastAsia" w:ascii="宋体" w:hAnsi="宋体" w:eastAsia="宋体" w:cs="宋体"/>
          <w:sz w:val="24"/>
          <w:szCs w:val="24"/>
          <w:u w:val="single"/>
        </w:rPr>
        <w:t>（6）竣工资料：指在进行工程竣工验收和资料归档时所需的资料。具体包括开工报告、竣工报告、工程质量验收评定证书、材料检验报告、材料进场验收报告、产品质量合格证、经发包人批准的施工组织设计或施工方案、隐蔽工程验收记录、安装工程的调试方案和调试记录等。竣工资料要求监理人和发包人在确认表上盖章确认，以证明竣工资料上的相关内容与该项目送审资料的实际内容相一致。整理装订成册的竣工资料需编制总目录，并在每一页的下方统一编号，以便于查找。</w:t>
      </w:r>
    </w:p>
    <w:p w14:paraId="0B511E0C">
      <w:pPr>
        <w:pStyle w:val="22"/>
        <w:ind w:firstLine="480" w:firstLineChars="200"/>
        <w:contextualSpacing/>
        <w:rPr>
          <w:rFonts w:hint="eastAsia" w:ascii="宋体" w:hAnsi="宋体" w:eastAsia="宋体" w:cs="宋体"/>
          <w:sz w:val="24"/>
          <w:szCs w:val="24"/>
          <w:u w:val="single"/>
        </w:rPr>
      </w:pPr>
      <w:r>
        <w:rPr>
          <w:rFonts w:hint="eastAsia" w:ascii="宋体" w:hAnsi="宋体" w:eastAsia="宋体" w:cs="宋体"/>
          <w:sz w:val="24"/>
          <w:szCs w:val="24"/>
          <w:u w:val="single"/>
        </w:rPr>
        <w:t>（7）图纸会审记录：要求按图纸会审的时间先后整理装订成册，图纸会审记录须有各单位参加会审人员签字及会审单位盖章确认。</w:t>
      </w:r>
    </w:p>
    <w:p w14:paraId="4D4B2BD3">
      <w:pPr>
        <w:pStyle w:val="22"/>
        <w:ind w:firstLine="480" w:firstLineChars="200"/>
        <w:contextualSpacing/>
        <w:rPr>
          <w:rFonts w:hint="eastAsia" w:ascii="宋体" w:hAnsi="宋体" w:eastAsia="宋体" w:cs="宋体"/>
          <w:sz w:val="24"/>
          <w:szCs w:val="24"/>
          <w:u w:val="single"/>
        </w:rPr>
      </w:pPr>
      <w:r>
        <w:rPr>
          <w:rFonts w:hint="eastAsia" w:ascii="宋体" w:hAnsi="宋体" w:eastAsia="宋体" w:cs="宋体"/>
          <w:sz w:val="24"/>
          <w:szCs w:val="24"/>
          <w:u w:val="single"/>
        </w:rPr>
        <w:t>（8）设计变更单：要求按设计变更的时间先后整理(安装工程要分专业)装订成册。设计变更单要求有设计人员的签名及设计人的盖章，同时要求有发包人同意按相关的设计变更进行施工的签认意见和盖章确认。</w:t>
      </w:r>
    </w:p>
    <w:p w14:paraId="396BFE79">
      <w:pPr>
        <w:pStyle w:val="22"/>
        <w:ind w:firstLine="480" w:firstLineChars="200"/>
        <w:contextualSpacing/>
        <w:rPr>
          <w:rFonts w:hint="eastAsia" w:ascii="宋体" w:hAnsi="宋体" w:eastAsia="宋体" w:cs="宋体"/>
          <w:sz w:val="24"/>
          <w:szCs w:val="24"/>
          <w:u w:val="single"/>
        </w:rPr>
      </w:pPr>
      <w:r>
        <w:rPr>
          <w:rFonts w:hint="eastAsia" w:ascii="宋体" w:hAnsi="宋体" w:eastAsia="宋体" w:cs="宋体"/>
          <w:sz w:val="24"/>
          <w:szCs w:val="24"/>
          <w:u w:val="single"/>
        </w:rPr>
        <w:t>（9）工程洽商记录：要求根据工程洽商记录的时间先后整理装订成册，然后在每一页的下方统一编号，以便于查找。工程洽商记录要求有监理人和发包人相关人员的签字和单位盖章确认。</w:t>
      </w:r>
    </w:p>
    <w:p w14:paraId="2E1BC062">
      <w:pPr>
        <w:pStyle w:val="22"/>
        <w:ind w:firstLine="480" w:firstLineChars="200"/>
        <w:contextualSpacing/>
        <w:rPr>
          <w:rFonts w:hint="eastAsia" w:ascii="宋体" w:hAnsi="宋体" w:eastAsia="宋体" w:cs="宋体"/>
          <w:sz w:val="24"/>
          <w:szCs w:val="24"/>
          <w:u w:val="single"/>
        </w:rPr>
      </w:pPr>
      <w:r>
        <w:rPr>
          <w:rFonts w:hint="eastAsia" w:ascii="宋体" w:hAnsi="宋体" w:eastAsia="宋体" w:cs="宋体"/>
          <w:sz w:val="24"/>
          <w:szCs w:val="24"/>
          <w:u w:val="single"/>
        </w:rPr>
        <w:t>（10）监理人通知或发包人施工指令：要求根据监理人通知或发包人施工指令的时间先后整理装订成册，然后在每一页的下方统一编号。监理人通知要求有监理人和发包人相关人员的签字和单位盖章确认，发包人施工指令要求有发包人相关人员的签字和单位盖章确认。</w:t>
      </w:r>
    </w:p>
    <w:p w14:paraId="13E1B88E">
      <w:pPr>
        <w:pStyle w:val="22"/>
        <w:ind w:firstLine="480" w:firstLineChars="200"/>
        <w:contextualSpacing/>
        <w:rPr>
          <w:rFonts w:hint="eastAsia" w:ascii="宋体" w:hAnsi="宋体" w:eastAsia="宋体" w:cs="宋体"/>
          <w:sz w:val="24"/>
          <w:szCs w:val="24"/>
          <w:u w:val="single"/>
        </w:rPr>
      </w:pPr>
      <w:r>
        <w:rPr>
          <w:rFonts w:hint="eastAsia" w:ascii="宋体" w:hAnsi="宋体" w:eastAsia="宋体" w:cs="宋体"/>
          <w:sz w:val="24"/>
          <w:szCs w:val="24"/>
          <w:u w:val="single"/>
        </w:rPr>
        <w:t>（11）会议纪要：指工程质量、安全、技术、经济等现场协调会会议纪要等。要求根据会议纪要的时间先后整理装订成册，然后在每一页的下方统一编号。会议纪要要求有参与会议的各方代表签字，并有监理人和发包人盖章确认。</w:t>
      </w:r>
    </w:p>
    <w:p w14:paraId="11D779DE">
      <w:pPr>
        <w:pStyle w:val="22"/>
        <w:ind w:firstLine="480" w:firstLineChars="200"/>
        <w:contextualSpacing/>
        <w:rPr>
          <w:rFonts w:hint="eastAsia" w:ascii="宋体" w:hAnsi="宋体" w:eastAsia="宋体" w:cs="宋体"/>
          <w:sz w:val="24"/>
          <w:szCs w:val="24"/>
          <w:u w:val="single"/>
        </w:rPr>
      </w:pPr>
      <w:r>
        <w:rPr>
          <w:rFonts w:hint="eastAsia" w:ascii="宋体" w:hAnsi="宋体" w:eastAsia="宋体" w:cs="宋体"/>
          <w:sz w:val="24"/>
          <w:szCs w:val="24"/>
          <w:u w:val="single"/>
        </w:rPr>
        <w:t>（12）现场签证单：要求根据现场签证单的时间先后整理装订成册，然后在每一页的下方统一连续编号，现场签证单上应有工程数量的计算过程和施工简图，由承包人盖章确认，并有监理人和发包人现场及造价人员签字和单位盖章确认。</w:t>
      </w:r>
    </w:p>
    <w:p w14:paraId="434A6EA5">
      <w:pPr>
        <w:pStyle w:val="22"/>
        <w:ind w:firstLine="480" w:firstLineChars="200"/>
        <w:contextualSpacing/>
        <w:rPr>
          <w:rFonts w:hint="eastAsia" w:ascii="宋体" w:hAnsi="宋体" w:eastAsia="宋体" w:cs="宋体"/>
          <w:sz w:val="24"/>
          <w:szCs w:val="24"/>
          <w:u w:val="single"/>
        </w:rPr>
      </w:pPr>
      <w:r>
        <w:rPr>
          <w:rFonts w:hint="eastAsia" w:ascii="宋体" w:hAnsi="宋体" w:eastAsia="宋体" w:cs="宋体"/>
          <w:sz w:val="24"/>
          <w:szCs w:val="24"/>
          <w:u w:val="single"/>
        </w:rPr>
        <w:t>（13）材料设备单价呈批审核单：凡在工程招标文件或工程承包合同中未明确的主要材料设备单价，要求根据材料设备单价呈批审核单的编号顺序整理装订成册。每项审核单应附有相关的资料或注明相关资料在送审结算资料的哪一部分和哪一页位置上，要求有监理人和发包人相关人员的签字和单位盖章确认。</w:t>
      </w:r>
    </w:p>
    <w:p w14:paraId="0852E569">
      <w:pPr>
        <w:pStyle w:val="22"/>
        <w:ind w:firstLine="480" w:firstLineChars="200"/>
        <w:contextualSpacing/>
        <w:rPr>
          <w:rFonts w:hint="eastAsia" w:ascii="宋体" w:hAnsi="宋体" w:eastAsia="宋体" w:cs="宋体"/>
          <w:sz w:val="24"/>
          <w:szCs w:val="24"/>
          <w:u w:val="single"/>
        </w:rPr>
      </w:pPr>
      <w:r>
        <w:rPr>
          <w:rFonts w:hint="eastAsia" w:ascii="宋体" w:hAnsi="宋体" w:eastAsia="宋体" w:cs="宋体"/>
          <w:sz w:val="24"/>
          <w:szCs w:val="24"/>
          <w:u w:val="single"/>
        </w:rPr>
        <w:t>（14）综合单价呈批审核单：应由承包人编制单价分析表，盖章确认后报监理人和发包人审核综合单价。在结算资料送审时，要求按综合单价呈批审核单的编号顺序整理装订成册。每项审核单应附有相关的资料或注明相关资料在送审结算资料的哪一部分和哪一页位置上，要求有监理人和发包人造价人员的签字和单位盖章确认。</w:t>
      </w:r>
    </w:p>
    <w:p w14:paraId="1BFCBBEA">
      <w:pPr>
        <w:pStyle w:val="22"/>
        <w:ind w:firstLine="480" w:firstLineChars="200"/>
        <w:contextualSpacing/>
        <w:rPr>
          <w:rFonts w:hint="eastAsia" w:ascii="宋体" w:hAnsi="宋体" w:eastAsia="宋体" w:cs="宋体"/>
          <w:sz w:val="24"/>
          <w:szCs w:val="24"/>
          <w:u w:val="single"/>
        </w:rPr>
      </w:pPr>
      <w:r>
        <w:rPr>
          <w:rFonts w:hint="eastAsia" w:ascii="宋体" w:hAnsi="宋体" w:eastAsia="宋体" w:cs="宋体"/>
          <w:sz w:val="24"/>
          <w:szCs w:val="24"/>
        </w:rPr>
        <w:t>（15）</w:t>
      </w:r>
      <w:r>
        <w:rPr>
          <w:rFonts w:hint="eastAsia" w:ascii="宋体" w:hAnsi="宋体" w:eastAsia="宋体" w:cs="宋体"/>
          <w:sz w:val="24"/>
          <w:szCs w:val="24"/>
          <w:u w:val="single"/>
        </w:rPr>
        <w:t>发包人供应材料收货验收签收单：按发包人供应材料收货验收签收单的编号顺序及不同材料分类整理装订成册。要求发包人供应材料收货验收签收单上有承包人、监理人、发包人代表签字和单位盖章确认。</w:t>
      </w:r>
    </w:p>
    <w:p w14:paraId="2421C43F">
      <w:pPr>
        <w:pStyle w:val="22"/>
        <w:ind w:firstLine="480" w:firstLineChars="200"/>
        <w:contextualSpacing/>
        <w:rPr>
          <w:rFonts w:hint="eastAsia" w:ascii="宋体" w:hAnsi="宋体" w:eastAsia="宋体" w:cs="宋体"/>
          <w:sz w:val="24"/>
          <w:szCs w:val="24"/>
          <w:u w:val="single"/>
        </w:rPr>
      </w:pPr>
      <w:r>
        <w:rPr>
          <w:rFonts w:hint="eastAsia" w:ascii="宋体" w:hAnsi="宋体" w:eastAsia="宋体" w:cs="宋体"/>
          <w:sz w:val="24"/>
          <w:szCs w:val="24"/>
        </w:rPr>
        <w:t>（16）</w:t>
      </w:r>
      <w:r>
        <w:rPr>
          <w:rFonts w:hint="eastAsia" w:ascii="宋体" w:hAnsi="宋体" w:eastAsia="宋体" w:cs="宋体"/>
          <w:sz w:val="24"/>
          <w:szCs w:val="24"/>
          <w:u w:val="single"/>
        </w:rPr>
        <w:t>其他结算资料：凡上述未提及而在结算评审中需要的资料均需提供，例如：施工日记、地质勘察报告、非常用的标准图集、应由承包人承担而由发包人支付的费用证明（如发包人方代缴施工水电费发票、余泥排放费证明等）。</w:t>
      </w:r>
    </w:p>
    <w:p w14:paraId="699D2886">
      <w:pPr>
        <w:pStyle w:val="22"/>
        <w:ind w:firstLine="480" w:firstLineChars="200"/>
        <w:contextualSpacing/>
        <w:rPr>
          <w:rFonts w:hint="eastAsia" w:ascii="宋体" w:hAnsi="宋体" w:eastAsia="宋体" w:cs="宋体"/>
          <w:sz w:val="24"/>
          <w:szCs w:val="24"/>
          <w:u w:val="single"/>
        </w:rPr>
      </w:pPr>
      <w:r>
        <w:rPr>
          <w:rFonts w:hint="eastAsia" w:ascii="宋体" w:hAnsi="宋体" w:eastAsia="宋体" w:cs="宋体"/>
          <w:sz w:val="24"/>
          <w:szCs w:val="24"/>
          <w:u w:val="single"/>
        </w:rPr>
        <w:t>（17）资料签收表：按送审结算资料的内容列表，以便资料的移交和管理。资料签收表上应注明资料内容、份数和页数(标注页码)，并且对所有复印资料的真实性进行确认。资料签收表一式两份，由资料移交人和接收人分别签名，必要时加盖双方单位的印章。</w:t>
      </w:r>
    </w:p>
    <w:p w14:paraId="7E2A9289">
      <w:pPr>
        <w:ind w:firstLine="482" w:firstLineChars="200"/>
        <w:contextualSpacing/>
        <w:rPr>
          <w:rFonts w:hint="eastAsia" w:ascii="宋体" w:hAnsi="宋体" w:eastAsia="宋体" w:cs="宋体"/>
          <w:b/>
          <w:sz w:val="24"/>
          <w:szCs w:val="24"/>
        </w:rPr>
      </w:pPr>
      <w:r>
        <w:rPr>
          <w:rFonts w:hint="eastAsia" w:ascii="宋体" w:hAnsi="宋体" w:eastAsia="宋体" w:cs="宋体"/>
          <w:b/>
          <w:color w:val="000000"/>
          <w:sz w:val="24"/>
          <w:szCs w:val="24"/>
        </w:rPr>
        <w:t>14.2条款</w:t>
      </w:r>
      <w:r>
        <w:rPr>
          <w:rFonts w:hint="eastAsia" w:ascii="宋体" w:hAnsi="宋体" w:eastAsia="宋体" w:cs="宋体"/>
          <w:b/>
          <w:sz w:val="24"/>
          <w:szCs w:val="24"/>
        </w:rPr>
        <w:t xml:space="preserve">修改为： </w:t>
      </w:r>
    </w:p>
    <w:p w14:paraId="2D67D065">
      <w:pPr>
        <w:ind w:firstLine="482" w:firstLineChars="200"/>
        <w:contextualSpacing/>
        <w:rPr>
          <w:rFonts w:hint="eastAsia" w:ascii="宋体" w:hAnsi="宋体" w:eastAsia="宋体" w:cs="宋体"/>
          <w:b/>
          <w:color w:val="000000"/>
          <w:sz w:val="24"/>
          <w:szCs w:val="24"/>
        </w:rPr>
      </w:pPr>
      <w:r>
        <w:rPr>
          <w:rFonts w:hint="eastAsia" w:ascii="宋体" w:hAnsi="宋体" w:eastAsia="宋体" w:cs="宋体"/>
          <w:b/>
          <w:color w:val="000000"/>
          <w:sz w:val="24"/>
          <w:szCs w:val="24"/>
        </w:rPr>
        <w:t>14.2 竣工结算审核</w:t>
      </w:r>
    </w:p>
    <w:p w14:paraId="3D62C5A5">
      <w:pPr>
        <w:ind w:left="0" w:firstLine="480" w:firstLineChars="200"/>
        <w:contextualSpacing/>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14.2.1 </w:t>
      </w:r>
      <w:r>
        <w:rPr>
          <w:rFonts w:hint="eastAsia" w:ascii="宋体" w:hAnsi="宋体" w:eastAsia="宋体" w:cs="宋体"/>
          <w:color w:val="000000"/>
          <w:kern w:val="0"/>
          <w:sz w:val="24"/>
          <w:szCs w:val="24"/>
          <w:u w:val="single"/>
        </w:rPr>
        <w:t>本合同的最终结算以佛山市南海区财政部门审定的金额为准。</w:t>
      </w:r>
    </w:p>
    <w:p w14:paraId="6FEA5907">
      <w:pPr>
        <w:ind w:left="0" w:firstLine="480" w:firstLineChars="200"/>
        <w:contextualSpacing/>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14.2.2 承包人完成合同规定的全部项目且竣工验收合格后的60天内，编制符合结算要求的竣工结算书并提交给监理人审核，如因承包人原因超出60天未上报结算，每超出一天按合同价</w:t>
      </w:r>
      <w:r>
        <w:rPr>
          <w:rFonts w:hint="eastAsia" w:ascii="宋体" w:hAnsi="宋体" w:eastAsia="宋体" w:cs="宋体"/>
          <w:color w:val="000000"/>
          <w:kern w:val="0"/>
          <w:sz w:val="24"/>
          <w:szCs w:val="24"/>
          <w:u w:val="single"/>
        </w:rPr>
        <w:t>0.01%</w:t>
      </w:r>
      <w:r>
        <w:rPr>
          <w:rFonts w:hint="eastAsia" w:ascii="宋体" w:hAnsi="宋体" w:eastAsia="宋体" w:cs="宋体"/>
          <w:color w:val="000000"/>
          <w:kern w:val="0"/>
          <w:sz w:val="24"/>
          <w:szCs w:val="24"/>
        </w:rPr>
        <w:t>进行扣罚，最高扣罚累计不超出合同价的</w:t>
      </w:r>
      <w:r>
        <w:rPr>
          <w:rFonts w:hint="eastAsia" w:ascii="宋体" w:hAnsi="宋体" w:eastAsia="宋体" w:cs="宋体"/>
          <w:color w:val="000000"/>
          <w:kern w:val="0"/>
          <w:sz w:val="24"/>
          <w:szCs w:val="24"/>
          <w:u w:val="single"/>
        </w:rPr>
        <w:t>5%</w:t>
      </w:r>
      <w:r>
        <w:rPr>
          <w:rFonts w:hint="eastAsia" w:ascii="宋体" w:hAnsi="宋体" w:eastAsia="宋体" w:cs="宋体"/>
          <w:color w:val="000000"/>
          <w:kern w:val="0"/>
          <w:sz w:val="24"/>
          <w:szCs w:val="24"/>
        </w:rPr>
        <w:t>。</w:t>
      </w:r>
    </w:p>
    <w:p w14:paraId="4E530E56">
      <w:pPr>
        <w:ind w:left="0" w:firstLine="480" w:firstLineChars="200"/>
        <w:contextualSpacing/>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14.2.3 承包人的竣工结算书报发包人和政府部门审核后，要配合发包人和政府部门做好核对结算数据、提供结算支持材料、对评审结果进行确认并加盖单位公章等结算事宜。</w:t>
      </w:r>
    </w:p>
    <w:p w14:paraId="53C9F2F7">
      <w:pPr>
        <w:ind w:left="0" w:firstLine="480" w:firstLineChars="200"/>
        <w:contextualSpacing/>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14.2.4 发包人或政府部门在审核结算过程中，口头通知承包人前来核实结算金额、办理评审结果确认表等结算事宜15天内，承包人不配合相关结算事宜的，由发包人或政府部门再以书面文件催告(函件中说明发包人或政府部门审核的结算金额),承包人在收到该书面催告函件30天内仍不配合办理相关结算事宜的，视为认可发包人或政府终审部门的评审意见。其中政府部门出具的评审结果直接由其与发包人两方确认，责任由承包人承担，承包人不得再对合同结算金额提出异议或请求鉴定。</w:t>
      </w:r>
    </w:p>
    <w:p w14:paraId="7564522C">
      <w:pPr>
        <w:ind w:left="0" w:firstLine="480" w:firstLineChars="200"/>
        <w:contextualSpacing/>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14.2.5 结算手续办理完毕后，承包人负责按发包人要求完成结算归档工作并办理工程尾款支付申请手续。如因承包人原因未按发包人要求完成结算归档工作，每超出一天，按合同结算价的</w:t>
      </w:r>
      <w:r>
        <w:rPr>
          <w:rFonts w:hint="eastAsia" w:ascii="宋体" w:hAnsi="宋体" w:eastAsia="宋体" w:cs="宋体"/>
          <w:color w:val="000000"/>
          <w:kern w:val="0"/>
          <w:sz w:val="24"/>
          <w:szCs w:val="24"/>
          <w:u w:val="single"/>
        </w:rPr>
        <w:t>0.01%</w:t>
      </w:r>
      <w:r>
        <w:rPr>
          <w:rFonts w:hint="eastAsia" w:ascii="宋体" w:hAnsi="宋体" w:eastAsia="宋体" w:cs="宋体"/>
          <w:color w:val="000000"/>
          <w:kern w:val="0"/>
          <w:sz w:val="24"/>
          <w:szCs w:val="24"/>
        </w:rPr>
        <w:t>在</w:t>
      </w:r>
      <w:r>
        <w:rPr>
          <w:rFonts w:hint="eastAsia" w:ascii="宋体" w:hAnsi="宋体" w:eastAsia="宋体" w:cs="宋体"/>
          <w:color w:val="000000"/>
          <w:kern w:val="0"/>
          <w:sz w:val="24"/>
          <w:szCs w:val="24"/>
          <w:u w:val="single"/>
        </w:rPr>
        <w:t>结算预留金</w:t>
      </w:r>
      <w:r>
        <w:rPr>
          <w:rFonts w:hint="eastAsia" w:ascii="宋体" w:hAnsi="宋体" w:eastAsia="宋体" w:cs="宋体"/>
          <w:color w:val="000000"/>
          <w:kern w:val="0"/>
          <w:sz w:val="24"/>
          <w:szCs w:val="24"/>
        </w:rPr>
        <w:t>中进行扣罚，最高扣罚累计不超出合同结算价的5%。</w:t>
      </w:r>
    </w:p>
    <w:p w14:paraId="7C52ECA7">
      <w:pPr>
        <w:ind w:left="0" w:firstLine="480" w:firstLineChars="200"/>
        <w:contextualSpacing/>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14.2.6 如合同执行期间政府部门出台相关合同结算要求，按政府文件执行。</w:t>
      </w:r>
    </w:p>
    <w:p w14:paraId="42F84F8E">
      <w:pPr>
        <w:ind w:left="0" w:firstLine="480" w:firstLineChars="200"/>
        <w:contextualSpacing/>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14.2.7 特别约定：</w:t>
      </w:r>
      <w:r>
        <w:rPr>
          <w:rFonts w:hint="eastAsia" w:ascii="宋体" w:hAnsi="宋体" w:eastAsia="宋体" w:cs="宋体"/>
          <w:kern w:val="0"/>
          <w:sz w:val="24"/>
          <w:szCs w:val="24"/>
        </w:rPr>
        <w:t>如承包人送审结算价和发包人或政府终审部门（如有）</w:t>
      </w:r>
      <w:r>
        <w:rPr>
          <w:rFonts w:hint="eastAsia" w:ascii="宋体" w:hAnsi="宋体" w:eastAsia="宋体" w:cs="宋体"/>
          <w:color w:val="000000"/>
          <w:kern w:val="0"/>
          <w:sz w:val="24"/>
          <w:szCs w:val="24"/>
        </w:rPr>
        <w:t>最终审定价的结算价差异超过</w:t>
      </w:r>
      <w:r>
        <w:rPr>
          <w:rFonts w:hint="eastAsia" w:ascii="宋体" w:hAnsi="宋体" w:eastAsia="宋体" w:cs="宋体"/>
          <w:color w:val="000000"/>
          <w:kern w:val="0"/>
          <w:sz w:val="24"/>
          <w:szCs w:val="24"/>
          <w:u w:val="single"/>
        </w:rPr>
        <w:t>10%</w:t>
      </w:r>
      <w:r>
        <w:rPr>
          <w:rFonts w:hint="eastAsia" w:ascii="宋体" w:hAnsi="宋体" w:eastAsia="宋体" w:cs="宋体"/>
          <w:color w:val="000000"/>
          <w:kern w:val="0"/>
          <w:sz w:val="24"/>
          <w:szCs w:val="24"/>
        </w:rPr>
        <w:t>，超出</w:t>
      </w:r>
      <w:r>
        <w:rPr>
          <w:rFonts w:hint="eastAsia" w:ascii="宋体" w:hAnsi="宋体" w:eastAsia="宋体" w:cs="宋体"/>
          <w:color w:val="000000"/>
          <w:kern w:val="0"/>
          <w:sz w:val="24"/>
          <w:szCs w:val="24"/>
          <w:u w:val="single"/>
        </w:rPr>
        <w:t>10%</w:t>
      </w:r>
      <w:r>
        <w:rPr>
          <w:rFonts w:hint="eastAsia" w:ascii="宋体" w:hAnsi="宋体" w:eastAsia="宋体" w:cs="宋体"/>
          <w:color w:val="000000"/>
          <w:kern w:val="0"/>
          <w:sz w:val="24"/>
          <w:szCs w:val="24"/>
        </w:rPr>
        <w:t>的该部分费用由承包人承担。</w:t>
      </w:r>
    </w:p>
    <w:p w14:paraId="21B1E298">
      <w:pPr>
        <w:ind w:firstLine="482" w:firstLineChars="200"/>
        <w:contextualSpacing/>
        <w:rPr>
          <w:rFonts w:hint="eastAsia" w:ascii="宋体" w:hAnsi="宋体" w:eastAsia="宋体" w:cs="宋体"/>
          <w:b/>
          <w:color w:val="000000"/>
          <w:sz w:val="24"/>
          <w:szCs w:val="24"/>
        </w:rPr>
      </w:pPr>
      <w:r>
        <w:rPr>
          <w:rFonts w:hint="eastAsia" w:ascii="宋体" w:hAnsi="宋体" w:eastAsia="宋体" w:cs="宋体"/>
          <w:b/>
          <w:color w:val="000000"/>
          <w:sz w:val="24"/>
          <w:szCs w:val="24"/>
        </w:rPr>
        <w:t>14.4 最终结清</w:t>
      </w:r>
    </w:p>
    <w:p w14:paraId="198E208C">
      <w:pPr>
        <w:ind w:firstLine="480" w:firstLineChars="200"/>
        <w:contextualSpacing/>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14.4.1 最终结清申请单</w:t>
      </w:r>
    </w:p>
    <w:p w14:paraId="72BF0DDA">
      <w:pPr>
        <w:ind w:firstLine="480" w:firstLineChars="200"/>
        <w:contextualSpacing/>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承包人提交最终结清申请单的份数：</w:t>
      </w:r>
      <w:r>
        <w:rPr>
          <w:rFonts w:hint="eastAsia" w:ascii="宋体" w:hAnsi="宋体" w:eastAsia="宋体" w:cs="宋体"/>
          <w:color w:val="000000"/>
          <w:kern w:val="0"/>
          <w:sz w:val="24"/>
          <w:szCs w:val="24"/>
          <w:u w:val="single"/>
        </w:rPr>
        <w:t>四份</w:t>
      </w:r>
      <w:r>
        <w:rPr>
          <w:rFonts w:hint="eastAsia" w:ascii="宋体" w:hAnsi="宋体" w:eastAsia="宋体" w:cs="宋体"/>
          <w:color w:val="000000"/>
          <w:kern w:val="0"/>
          <w:sz w:val="24"/>
          <w:szCs w:val="24"/>
        </w:rPr>
        <w:t>。</w:t>
      </w:r>
    </w:p>
    <w:p w14:paraId="725EC2D0">
      <w:pPr>
        <w:ind w:firstLine="480" w:firstLineChars="200"/>
        <w:contextualSpacing/>
        <w:jc w:val="left"/>
        <w:rPr>
          <w:rFonts w:hint="eastAsia" w:ascii="宋体" w:hAnsi="宋体" w:eastAsia="宋体" w:cs="宋体"/>
          <w:sz w:val="24"/>
          <w:szCs w:val="24"/>
        </w:rPr>
      </w:pPr>
      <w:r>
        <w:rPr>
          <w:rFonts w:hint="eastAsia" w:ascii="宋体" w:hAnsi="宋体" w:eastAsia="宋体" w:cs="宋体"/>
          <w:color w:val="000000"/>
          <w:kern w:val="0"/>
          <w:sz w:val="24"/>
          <w:szCs w:val="24"/>
        </w:rPr>
        <w:t>承包人提交最终结算申请单的期限：</w:t>
      </w:r>
      <w:r>
        <w:rPr>
          <w:rFonts w:hint="eastAsia" w:ascii="宋体" w:hAnsi="宋体" w:eastAsia="宋体" w:cs="宋体"/>
          <w:color w:val="000000"/>
          <w:sz w:val="24"/>
          <w:szCs w:val="24"/>
          <w:u w:val="single"/>
        </w:rPr>
        <w:t>按通用合同条款约定执行</w:t>
      </w:r>
      <w:r>
        <w:rPr>
          <w:rFonts w:hint="eastAsia" w:ascii="宋体" w:hAnsi="宋体" w:eastAsia="宋体" w:cs="宋体"/>
          <w:color w:val="000000"/>
          <w:sz w:val="24"/>
          <w:szCs w:val="24"/>
        </w:rPr>
        <w:t>。</w:t>
      </w:r>
    </w:p>
    <w:p w14:paraId="587997C1">
      <w:pPr>
        <w:ind w:firstLine="480" w:firstLineChars="200"/>
        <w:contextualSpacing/>
        <w:jc w:val="left"/>
        <w:rPr>
          <w:rFonts w:hint="eastAsia" w:ascii="宋体" w:hAnsi="宋体" w:eastAsia="宋体" w:cs="宋体"/>
          <w:sz w:val="24"/>
          <w:szCs w:val="24"/>
        </w:rPr>
      </w:pPr>
      <w:r>
        <w:rPr>
          <w:rFonts w:hint="eastAsia" w:ascii="宋体" w:hAnsi="宋体" w:eastAsia="宋体" w:cs="宋体"/>
          <w:sz w:val="24"/>
          <w:szCs w:val="24"/>
        </w:rPr>
        <w:t>14.4.2 最终结清证书和支付</w:t>
      </w:r>
    </w:p>
    <w:p w14:paraId="2BC5BE96">
      <w:pPr>
        <w:ind w:firstLine="480" w:firstLineChars="200"/>
        <w:contextualSpacing/>
        <w:jc w:val="left"/>
        <w:rPr>
          <w:rFonts w:hint="eastAsia" w:ascii="宋体" w:hAnsi="宋体" w:eastAsia="宋体" w:cs="宋体"/>
          <w:sz w:val="24"/>
          <w:szCs w:val="24"/>
        </w:rPr>
      </w:pPr>
      <w:r>
        <w:rPr>
          <w:rFonts w:hint="eastAsia" w:ascii="宋体" w:hAnsi="宋体" w:eastAsia="宋体" w:cs="宋体"/>
          <w:sz w:val="24"/>
          <w:szCs w:val="24"/>
        </w:rPr>
        <w:t>（1）发包人完成最终结清申请单的审批并颁发最终结清证书的期限：</w:t>
      </w:r>
      <w:r>
        <w:rPr>
          <w:rFonts w:hint="eastAsia" w:ascii="宋体" w:hAnsi="宋体" w:eastAsia="宋体" w:cs="宋体"/>
          <w:color w:val="000000"/>
          <w:sz w:val="24"/>
          <w:szCs w:val="24"/>
          <w:u w:val="single"/>
        </w:rPr>
        <w:t>按通用合同条款约定执行</w:t>
      </w:r>
      <w:r>
        <w:rPr>
          <w:rFonts w:hint="eastAsia" w:ascii="宋体" w:hAnsi="宋体" w:eastAsia="宋体" w:cs="宋体"/>
          <w:color w:val="000000"/>
          <w:sz w:val="24"/>
          <w:szCs w:val="24"/>
        </w:rPr>
        <w:t>。</w:t>
      </w:r>
    </w:p>
    <w:p w14:paraId="431E2B71">
      <w:pPr>
        <w:ind w:firstLine="480" w:firstLineChars="200"/>
        <w:contextualSpacing/>
        <w:jc w:val="left"/>
        <w:rPr>
          <w:rFonts w:hint="eastAsia" w:ascii="宋体" w:hAnsi="宋体" w:eastAsia="宋体" w:cs="宋体"/>
          <w:color w:val="000000"/>
          <w:sz w:val="24"/>
          <w:szCs w:val="24"/>
        </w:rPr>
      </w:pPr>
      <w:r>
        <w:rPr>
          <w:rFonts w:hint="eastAsia" w:ascii="宋体" w:hAnsi="宋体" w:eastAsia="宋体" w:cs="宋体"/>
          <w:sz w:val="24"/>
          <w:szCs w:val="24"/>
        </w:rPr>
        <w:t>（2）发包人完成支付的期限：</w:t>
      </w:r>
      <w:r>
        <w:rPr>
          <w:rFonts w:hint="eastAsia" w:ascii="宋体" w:hAnsi="宋体" w:eastAsia="宋体" w:cs="宋体"/>
          <w:color w:val="000000"/>
          <w:sz w:val="24"/>
          <w:szCs w:val="24"/>
          <w:u w:val="single"/>
        </w:rPr>
        <w:t>按通用合同条款约定执行</w:t>
      </w:r>
      <w:r>
        <w:rPr>
          <w:rFonts w:hint="eastAsia" w:ascii="宋体" w:hAnsi="宋体" w:eastAsia="宋体" w:cs="宋体"/>
          <w:color w:val="000000"/>
          <w:sz w:val="24"/>
          <w:szCs w:val="24"/>
        </w:rPr>
        <w:t>。</w:t>
      </w:r>
    </w:p>
    <w:p w14:paraId="346092F8">
      <w:pPr>
        <w:autoSpaceDE w:val="0"/>
        <w:autoSpaceDN w:val="0"/>
        <w:ind w:firstLine="482" w:firstLineChars="200"/>
        <w:contextualSpacing/>
        <w:jc w:val="left"/>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删除如下内容：</w:t>
      </w:r>
    </w:p>
    <w:p w14:paraId="1BAEFC86">
      <w:pPr>
        <w:autoSpaceDE w:val="0"/>
        <w:autoSpaceDN w:val="0"/>
        <w:ind w:firstLine="480" w:firstLineChars="200"/>
        <w:contextualSpacing/>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发包人逾期支付的，按照中国人民银行发布的同期同类贷款基准利率支付违约金；逾期支付超过</w:t>
      </w:r>
      <w:r>
        <w:rPr>
          <w:rFonts w:hint="eastAsia" w:ascii="宋体" w:hAnsi="宋体" w:eastAsia="宋体" w:cs="宋体"/>
          <w:color w:val="000000"/>
          <w:kern w:val="0"/>
          <w:sz w:val="24"/>
          <w:szCs w:val="24"/>
          <w:u w:val="single"/>
        </w:rPr>
        <w:t>56天</w:t>
      </w:r>
      <w:r>
        <w:rPr>
          <w:rFonts w:hint="eastAsia" w:ascii="宋体" w:hAnsi="宋体" w:eastAsia="宋体" w:cs="宋体"/>
          <w:color w:val="000000"/>
          <w:kern w:val="0"/>
          <w:sz w:val="24"/>
          <w:szCs w:val="24"/>
        </w:rPr>
        <w:t>的，按照中国人民银行发布的同期同类贷款基准利率的两倍支付违约金。</w:t>
      </w:r>
    </w:p>
    <w:p w14:paraId="5DBE18AE">
      <w:pPr>
        <w:autoSpaceDE w:val="0"/>
        <w:autoSpaceDN w:val="0"/>
        <w:ind w:firstLine="482" w:firstLineChars="200"/>
        <w:contextualSpacing/>
        <w:jc w:val="lef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增加如下条款：</w:t>
      </w:r>
    </w:p>
    <w:p w14:paraId="1EEC3D8C">
      <w:pPr>
        <w:autoSpaceDE w:val="0"/>
        <w:autoSpaceDN w:val="0"/>
        <w:ind w:firstLine="480" w:firstLineChars="200"/>
        <w:contextualSpacing/>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（3）承包人对发包人颁发的最终结清证书不得再提出异议。</w:t>
      </w:r>
    </w:p>
    <w:p w14:paraId="22A2FC1E">
      <w:pPr>
        <w:pStyle w:val="5"/>
        <w:spacing w:before="0" w:after="0" w:line="240" w:lineRule="auto"/>
        <w:ind w:firstLine="482" w:firstLineChars="200"/>
        <w:contextualSpacing/>
        <w:rPr>
          <w:rFonts w:hint="eastAsia" w:ascii="宋体" w:hAnsi="宋体" w:eastAsia="宋体" w:cs="宋体"/>
          <w:color w:val="000000"/>
          <w:sz w:val="24"/>
          <w:szCs w:val="24"/>
        </w:rPr>
      </w:pPr>
      <w:bookmarkStart w:id="428" w:name="_Toc443898208"/>
      <w:r>
        <w:rPr>
          <w:rFonts w:hint="eastAsia" w:ascii="宋体" w:hAnsi="宋体" w:eastAsia="宋体" w:cs="宋体"/>
          <w:color w:val="000000"/>
          <w:sz w:val="24"/>
          <w:szCs w:val="24"/>
        </w:rPr>
        <w:t>15. 缺陷责任期与保修</w:t>
      </w:r>
      <w:bookmarkEnd w:id="428"/>
    </w:p>
    <w:p w14:paraId="47DC2E80">
      <w:pPr>
        <w:ind w:firstLine="482" w:firstLineChars="200"/>
        <w:contextualSpacing/>
        <w:rPr>
          <w:rFonts w:hint="eastAsia" w:ascii="宋体" w:hAnsi="宋体" w:eastAsia="宋体" w:cs="宋体"/>
          <w:b/>
          <w:color w:val="000000"/>
          <w:sz w:val="24"/>
          <w:szCs w:val="24"/>
        </w:rPr>
      </w:pPr>
      <w:r>
        <w:rPr>
          <w:rFonts w:hint="eastAsia" w:ascii="宋体" w:hAnsi="宋体" w:eastAsia="宋体" w:cs="宋体"/>
          <w:b/>
          <w:color w:val="000000"/>
          <w:sz w:val="24"/>
          <w:szCs w:val="24"/>
        </w:rPr>
        <w:t>15.2缺陷责任期</w:t>
      </w:r>
    </w:p>
    <w:p w14:paraId="4E458691">
      <w:pPr>
        <w:ind w:firstLine="480" w:firstLineChars="200"/>
        <w:contextualSpacing/>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rPr>
        <w:t>缺陷责任期的具体期限：</w:t>
      </w:r>
      <w:r>
        <w:rPr>
          <w:rFonts w:hint="eastAsia" w:ascii="宋体" w:hAnsi="宋体" w:eastAsia="宋体" w:cs="宋体"/>
          <w:color w:val="000000"/>
          <w:sz w:val="24"/>
          <w:szCs w:val="24"/>
          <w:u w:val="single"/>
        </w:rPr>
        <w:t>24个月</w:t>
      </w:r>
    </w:p>
    <w:p w14:paraId="20182D15">
      <w:pPr>
        <w:ind w:firstLine="482" w:firstLineChars="200"/>
        <w:contextualSpacing/>
        <w:rPr>
          <w:rFonts w:hint="eastAsia" w:ascii="宋体" w:hAnsi="宋体" w:eastAsia="宋体" w:cs="宋体"/>
          <w:b/>
          <w:color w:val="000000"/>
          <w:sz w:val="24"/>
          <w:szCs w:val="24"/>
        </w:rPr>
      </w:pPr>
      <w:r>
        <w:rPr>
          <w:rFonts w:hint="eastAsia" w:ascii="宋体" w:hAnsi="宋体" w:eastAsia="宋体" w:cs="宋体"/>
          <w:b/>
          <w:color w:val="000000"/>
          <w:sz w:val="24"/>
          <w:szCs w:val="24"/>
        </w:rPr>
        <w:t>15.3 质量保证金</w:t>
      </w:r>
    </w:p>
    <w:p w14:paraId="1C34852A">
      <w:pPr>
        <w:ind w:firstLine="480" w:firstLineChars="200"/>
        <w:contextualSpacing/>
        <w:jc w:val="left"/>
        <w:rPr>
          <w:rFonts w:hint="eastAsia" w:ascii="宋体" w:hAnsi="宋体" w:eastAsia="宋体" w:cs="宋体"/>
          <w:color w:val="000000"/>
          <w:sz w:val="24"/>
          <w:szCs w:val="24"/>
        </w:rPr>
      </w:pPr>
      <w:r>
        <w:rPr>
          <w:rFonts w:hint="eastAsia" w:ascii="宋体" w:hAnsi="宋体" w:eastAsia="宋体" w:cs="宋体"/>
          <w:color w:val="000000"/>
          <w:sz w:val="24"/>
          <w:szCs w:val="24"/>
        </w:rPr>
        <w:t>关于是否扣留质量保证金的约定：</w:t>
      </w:r>
      <w:r>
        <w:rPr>
          <w:rFonts w:hint="eastAsia" w:ascii="宋体" w:hAnsi="宋体" w:eastAsia="宋体" w:cs="宋体"/>
          <w:color w:val="000000"/>
          <w:sz w:val="24"/>
          <w:szCs w:val="24"/>
          <w:u w:val="single"/>
        </w:rPr>
        <w:t>是</w:t>
      </w:r>
      <w:r>
        <w:rPr>
          <w:rFonts w:hint="eastAsia" w:ascii="宋体" w:hAnsi="宋体" w:eastAsia="宋体" w:cs="宋体"/>
          <w:color w:val="000000"/>
          <w:sz w:val="24"/>
          <w:szCs w:val="24"/>
        </w:rPr>
        <w:t>。</w:t>
      </w:r>
    </w:p>
    <w:p w14:paraId="7CB78C38">
      <w:pPr>
        <w:ind w:firstLine="480" w:firstLineChars="200"/>
        <w:contextualSpacing/>
        <w:jc w:val="left"/>
        <w:rPr>
          <w:rFonts w:hint="eastAsia" w:ascii="宋体" w:hAnsi="宋体" w:eastAsia="宋体" w:cs="宋体"/>
          <w:color w:val="000000"/>
          <w:sz w:val="24"/>
          <w:szCs w:val="24"/>
        </w:rPr>
      </w:pPr>
      <w:r>
        <w:rPr>
          <w:rFonts w:hint="eastAsia" w:ascii="宋体" w:hAnsi="宋体" w:eastAsia="宋体" w:cs="宋体"/>
          <w:color w:val="000000"/>
          <w:sz w:val="24"/>
          <w:szCs w:val="24"/>
        </w:rPr>
        <w:t>15.3.1 承包人提供质量保证金的方式</w:t>
      </w:r>
    </w:p>
    <w:p w14:paraId="0534C57E">
      <w:pPr>
        <w:ind w:firstLine="480" w:firstLineChars="200"/>
        <w:contextualSpacing/>
        <w:jc w:val="left"/>
        <w:rPr>
          <w:rFonts w:hint="eastAsia" w:ascii="宋体" w:hAnsi="宋体" w:eastAsia="宋体" w:cs="宋体"/>
          <w:color w:val="000000"/>
          <w:sz w:val="24"/>
          <w:szCs w:val="24"/>
        </w:rPr>
      </w:pPr>
      <w:r>
        <w:rPr>
          <w:rFonts w:hint="eastAsia" w:ascii="宋体" w:hAnsi="宋体" w:eastAsia="宋体" w:cs="宋体"/>
          <w:color w:val="000000"/>
          <w:sz w:val="24"/>
          <w:szCs w:val="24"/>
        </w:rPr>
        <w:t>质量保证金采用以下第</w:t>
      </w:r>
      <w:r>
        <w:rPr>
          <w:rFonts w:hint="eastAsia" w:ascii="宋体" w:hAnsi="宋体" w:eastAsia="宋体" w:cs="宋体"/>
          <w:color w:val="000000"/>
          <w:sz w:val="24"/>
          <w:szCs w:val="24"/>
          <w:u w:val="single"/>
        </w:rPr>
        <w:t>（2）</w:t>
      </w:r>
      <w:r>
        <w:rPr>
          <w:rFonts w:hint="eastAsia" w:ascii="宋体" w:hAnsi="宋体" w:eastAsia="宋体" w:cs="宋体"/>
          <w:color w:val="000000"/>
          <w:sz w:val="24"/>
          <w:szCs w:val="24"/>
        </w:rPr>
        <w:t>种方式：</w:t>
      </w:r>
    </w:p>
    <w:p w14:paraId="5F3D4CBC">
      <w:pPr>
        <w:autoSpaceDE w:val="0"/>
        <w:autoSpaceDN w:val="0"/>
        <w:ind w:firstLine="480" w:firstLineChars="200"/>
        <w:contextualSpacing/>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（1）质量保证金保函，保证金额为：</w:t>
      </w:r>
      <w:r>
        <w:rPr>
          <w:rFonts w:hint="eastAsia" w:ascii="宋体" w:hAnsi="宋体" w:eastAsia="宋体" w:cs="宋体"/>
          <w:color w:val="000000"/>
          <w:kern w:val="0"/>
          <w:sz w:val="24"/>
          <w:szCs w:val="24"/>
          <w:u w:val="single"/>
        </w:rPr>
        <w:t>无</w:t>
      </w:r>
      <w:r>
        <w:rPr>
          <w:rFonts w:hint="eastAsia" w:ascii="宋体" w:hAnsi="宋体" w:eastAsia="宋体" w:cs="宋体"/>
          <w:color w:val="000000"/>
          <w:kern w:val="0"/>
          <w:sz w:val="24"/>
          <w:szCs w:val="24"/>
        </w:rPr>
        <w:t>；</w:t>
      </w:r>
    </w:p>
    <w:p w14:paraId="2AEA2DA2">
      <w:pPr>
        <w:autoSpaceDE w:val="0"/>
        <w:autoSpaceDN w:val="0"/>
        <w:ind w:firstLine="480" w:firstLineChars="200"/>
        <w:contextualSpacing/>
        <w:jc w:val="left"/>
        <w:rPr>
          <w:rFonts w:hint="eastAsia" w:ascii="宋体" w:hAnsi="宋体" w:eastAsia="宋体" w:cs="宋体"/>
          <w:kern w:val="0"/>
          <w:sz w:val="24"/>
          <w:szCs w:val="24"/>
        </w:rPr>
      </w:pPr>
      <w:r>
        <w:rPr>
          <w:rFonts w:hint="eastAsia" w:ascii="宋体" w:hAnsi="宋体" w:eastAsia="宋体" w:cs="宋体"/>
          <w:kern w:val="0"/>
          <w:sz w:val="24"/>
          <w:szCs w:val="24"/>
        </w:rPr>
        <w:t>（2）</w:t>
      </w:r>
      <w:r>
        <w:rPr>
          <w:rFonts w:hint="eastAsia" w:ascii="宋体" w:hAnsi="宋体" w:eastAsia="宋体" w:cs="宋体"/>
          <w:kern w:val="0"/>
          <w:sz w:val="24"/>
          <w:szCs w:val="24"/>
          <w:u w:val="single"/>
        </w:rPr>
        <w:t>3</w:t>
      </w:r>
      <w:r>
        <w:rPr>
          <w:rFonts w:hint="eastAsia" w:ascii="宋体" w:hAnsi="宋体" w:eastAsia="宋体" w:cs="宋体"/>
          <w:kern w:val="0"/>
          <w:sz w:val="24"/>
          <w:szCs w:val="24"/>
        </w:rPr>
        <w:t>%的工程款；</w:t>
      </w:r>
    </w:p>
    <w:p w14:paraId="541E07C9">
      <w:pPr>
        <w:autoSpaceDE w:val="0"/>
        <w:autoSpaceDN w:val="0"/>
        <w:ind w:firstLine="480" w:firstLineChars="200"/>
        <w:contextualSpacing/>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（3）其他方式:</w:t>
      </w:r>
      <w:r>
        <w:rPr>
          <w:rFonts w:hint="eastAsia" w:ascii="宋体" w:hAnsi="宋体" w:eastAsia="宋体" w:cs="宋体"/>
          <w:color w:val="000000"/>
          <w:kern w:val="0"/>
          <w:sz w:val="24"/>
          <w:szCs w:val="24"/>
          <w:u w:val="single"/>
        </w:rPr>
        <w:t>无</w:t>
      </w:r>
      <w:r>
        <w:rPr>
          <w:rFonts w:hint="eastAsia" w:ascii="宋体" w:hAnsi="宋体" w:eastAsia="宋体" w:cs="宋体"/>
          <w:color w:val="000000"/>
          <w:kern w:val="0"/>
          <w:sz w:val="24"/>
          <w:szCs w:val="24"/>
        </w:rPr>
        <w:t>。</w:t>
      </w:r>
    </w:p>
    <w:p w14:paraId="5E53EA6B">
      <w:pPr>
        <w:ind w:firstLine="480" w:firstLineChars="200"/>
        <w:contextualSpacing/>
        <w:jc w:val="left"/>
        <w:rPr>
          <w:rFonts w:hint="eastAsia" w:ascii="宋体" w:hAnsi="宋体" w:eastAsia="宋体" w:cs="宋体"/>
          <w:color w:val="000000"/>
          <w:sz w:val="24"/>
          <w:szCs w:val="24"/>
        </w:rPr>
      </w:pPr>
      <w:r>
        <w:rPr>
          <w:rFonts w:hint="eastAsia" w:ascii="宋体" w:hAnsi="宋体" w:eastAsia="宋体" w:cs="宋体"/>
          <w:color w:val="000000"/>
          <w:sz w:val="24"/>
          <w:szCs w:val="24"/>
        </w:rPr>
        <w:t>15.3.2 质量保证金的扣留</w:t>
      </w:r>
    </w:p>
    <w:p w14:paraId="170BBFFD">
      <w:pPr>
        <w:ind w:firstLine="480" w:firstLineChars="200"/>
        <w:contextualSpacing/>
        <w:jc w:val="left"/>
        <w:rPr>
          <w:rFonts w:hint="eastAsia" w:ascii="宋体" w:hAnsi="宋体" w:eastAsia="宋体" w:cs="宋体"/>
          <w:color w:val="000000"/>
          <w:sz w:val="24"/>
          <w:szCs w:val="24"/>
        </w:rPr>
      </w:pPr>
      <w:r>
        <w:rPr>
          <w:rFonts w:hint="eastAsia" w:ascii="宋体" w:hAnsi="宋体" w:eastAsia="宋体" w:cs="宋体"/>
          <w:color w:val="000000"/>
          <w:sz w:val="24"/>
          <w:szCs w:val="24"/>
        </w:rPr>
        <w:t>质量保证金的扣留采取以下第</w:t>
      </w:r>
      <w:r>
        <w:rPr>
          <w:rFonts w:hint="eastAsia" w:ascii="宋体" w:hAnsi="宋体" w:eastAsia="宋体" w:cs="宋体"/>
          <w:color w:val="000000"/>
          <w:sz w:val="24"/>
          <w:szCs w:val="24"/>
          <w:u w:val="single"/>
        </w:rPr>
        <w:t>（1）</w:t>
      </w:r>
      <w:r>
        <w:rPr>
          <w:rFonts w:hint="eastAsia" w:ascii="宋体" w:hAnsi="宋体" w:eastAsia="宋体" w:cs="宋体"/>
          <w:color w:val="000000"/>
          <w:sz w:val="24"/>
          <w:szCs w:val="24"/>
        </w:rPr>
        <w:t>种方式：</w:t>
      </w:r>
    </w:p>
    <w:p w14:paraId="36A81422">
      <w:pPr>
        <w:autoSpaceDE w:val="0"/>
        <w:autoSpaceDN w:val="0"/>
        <w:ind w:firstLine="480" w:firstLineChars="200"/>
        <w:contextualSpacing/>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（1）在支付工程进度款时逐次扣留，在此情形下，质量保证金的计算基数不包括预付款的支付、扣回以及价格调整的金额；</w:t>
      </w:r>
    </w:p>
    <w:p w14:paraId="296ED5DA">
      <w:pPr>
        <w:autoSpaceDE w:val="0"/>
        <w:autoSpaceDN w:val="0"/>
        <w:ind w:firstLine="480" w:firstLineChars="200"/>
        <w:contextualSpacing/>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（2）工程竣工结算时一次性扣留质量保证金；</w:t>
      </w:r>
    </w:p>
    <w:p w14:paraId="13CA6476">
      <w:pPr>
        <w:autoSpaceDE w:val="0"/>
        <w:autoSpaceDN w:val="0"/>
        <w:ind w:firstLine="480" w:firstLineChars="200"/>
        <w:contextualSpacing/>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（3）其他扣留方式:</w:t>
      </w:r>
      <w:r>
        <w:rPr>
          <w:rFonts w:hint="eastAsia" w:ascii="宋体" w:hAnsi="宋体" w:eastAsia="宋体" w:cs="宋体"/>
          <w:color w:val="000000"/>
          <w:kern w:val="0"/>
          <w:sz w:val="24"/>
          <w:szCs w:val="24"/>
          <w:u w:val="single"/>
        </w:rPr>
        <w:t>无</w:t>
      </w:r>
      <w:r>
        <w:rPr>
          <w:rFonts w:hint="eastAsia" w:ascii="宋体" w:hAnsi="宋体" w:eastAsia="宋体" w:cs="宋体"/>
          <w:color w:val="000000"/>
          <w:kern w:val="0"/>
          <w:sz w:val="24"/>
          <w:szCs w:val="24"/>
        </w:rPr>
        <w:t>。</w:t>
      </w:r>
    </w:p>
    <w:p w14:paraId="13901425">
      <w:pPr>
        <w:ind w:firstLine="480" w:firstLineChars="200"/>
        <w:contextualSpacing/>
        <w:jc w:val="left"/>
        <w:rPr>
          <w:rFonts w:hint="eastAsia" w:ascii="宋体" w:hAnsi="宋体" w:eastAsia="宋体" w:cs="宋体"/>
          <w:color w:val="000000"/>
          <w:sz w:val="24"/>
          <w:szCs w:val="24"/>
        </w:rPr>
      </w:pPr>
      <w:r>
        <w:rPr>
          <w:rFonts w:hint="eastAsia" w:ascii="宋体" w:hAnsi="宋体" w:eastAsia="宋体" w:cs="宋体"/>
          <w:color w:val="000000"/>
          <w:sz w:val="24"/>
          <w:szCs w:val="24"/>
        </w:rPr>
        <w:t>15.3.3质量保证金的退还</w:t>
      </w:r>
    </w:p>
    <w:p w14:paraId="5897F2BD">
      <w:pPr>
        <w:ind w:firstLine="480" w:firstLineChars="200"/>
        <w:contextualSpacing/>
        <w:jc w:val="left"/>
        <w:rPr>
          <w:rFonts w:hint="eastAsia" w:ascii="宋体" w:hAnsi="宋体" w:eastAsia="宋体" w:cs="宋体"/>
          <w:color w:val="000000"/>
          <w:sz w:val="24"/>
          <w:szCs w:val="24"/>
        </w:rPr>
      </w:pPr>
      <w:r>
        <w:rPr>
          <w:rFonts w:hint="eastAsia" w:ascii="宋体" w:hAnsi="宋体" w:eastAsia="宋体" w:cs="宋体"/>
          <w:color w:val="000000"/>
          <w:sz w:val="24"/>
          <w:szCs w:val="24"/>
        </w:rPr>
        <w:t>15.3.3.1质量保证金在承包人按照合同约定完成缺陷整改和保修责任的前提下，在全部工程质量保修期届满后退回质量保证金数额的100%，但退回时须扣除依照合同约定的质量保证金扣罚金额、因工程缺陷或质量问题而给发包人造成的损失、因承包人未按要求履行保修责任而产生的费用和损失等款项。</w:t>
      </w:r>
    </w:p>
    <w:p w14:paraId="39BE6C53">
      <w:pPr>
        <w:ind w:firstLine="480" w:firstLineChars="200"/>
        <w:contextualSpacing/>
        <w:jc w:val="left"/>
        <w:rPr>
          <w:rFonts w:hint="eastAsia" w:ascii="宋体" w:hAnsi="宋体" w:eastAsia="宋体" w:cs="宋体"/>
          <w:color w:val="000000"/>
          <w:sz w:val="24"/>
          <w:szCs w:val="24"/>
        </w:rPr>
      </w:pPr>
      <w:r>
        <w:rPr>
          <w:rFonts w:hint="eastAsia" w:ascii="宋体" w:hAnsi="宋体" w:eastAsia="宋体" w:cs="宋体"/>
          <w:color w:val="000000"/>
          <w:sz w:val="24"/>
          <w:szCs w:val="24"/>
        </w:rPr>
        <w:t>15.3.3.2 其余约定见工程质量保修书。</w:t>
      </w:r>
    </w:p>
    <w:p w14:paraId="0E381F1D">
      <w:pPr>
        <w:ind w:firstLine="480" w:firstLineChars="200"/>
        <w:contextualSpacing/>
        <w:jc w:val="left"/>
        <w:rPr>
          <w:rFonts w:hint="eastAsia" w:ascii="宋体" w:hAnsi="宋体" w:eastAsia="宋体" w:cs="宋体"/>
          <w:color w:val="000000"/>
          <w:sz w:val="24"/>
          <w:szCs w:val="24"/>
        </w:rPr>
      </w:pPr>
      <w:r>
        <w:rPr>
          <w:rFonts w:hint="eastAsia" w:ascii="宋体" w:hAnsi="宋体" w:eastAsia="宋体" w:cs="宋体"/>
          <w:color w:val="000000"/>
          <w:sz w:val="24"/>
          <w:szCs w:val="24"/>
        </w:rPr>
        <w:t>关于质量保证金的补充约定：无。</w:t>
      </w:r>
    </w:p>
    <w:p w14:paraId="56C7E350">
      <w:pPr>
        <w:ind w:firstLine="482" w:firstLineChars="200"/>
        <w:contextualSpacing/>
        <w:rPr>
          <w:rFonts w:hint="eastAsia" w:ascii="宋体" w:hAnsi="宋体" w:eastAsia="宋体" w:cs="宋体"/>
          <w:b/>
          <w:color w:val="000000"/>
          <w:sz w:val="24"/>
          <w:szCs w:val="24"/>
        </w:rPr>
      </w:pPr>
      <w:r>
        <w:rPr>
          <w:rFonts w:hint="eastAsia" w:ascii="宋体" w:hAnsi="宋体" w:eastAsia="宋体" w:cs="宋体"/>
          <w:b/>
          <w:color w:val="000000"/>
          <w:sz w:val="24"/>
          <w:szCs w:val="24"/>
        </w:rPr>
        <w:t>15.4保修</w:t>
      </w:r>
    </w:p>
    <w:p w14:paraId="40A8F980">
      <w:pPr>
        <w:ind w:firstLine="480" w:firstLineChars="200"/>
        <w:contextualSpacing/>
        <w:jc w:val="left"/>
        <w:rPr>
          <w:rFonts w:hint="eastAsia" w:ascii="宋体" w:hAnsi="宋体" w:eastAsia="宋体" w:cs="宋体"/>
          <w:color w:val="000000"/>
          <w:sz w:val="24"/>
          <w:szCs w:val="24"/>
        </w:rPr>
      </w:pPr>
      <w:r>
        <w:rPr>
          <w:rFonts w:hint="eastAsia" w:ascii="宋体" w:hAnsi="宋体" w:eastAsia="宋体" w:cs="宋体"/>
          <w:color w:val="000000"/>
          <w:sz w:val="24"/>
          <w:szCs w:val="24"/>
        </w:rPr>
        <w:t>15.4.1 保修责任</w:t>
      </w:r>
    </w:p>
    <w:p w14:paraId="0669FE59">
      <w:pPr>
        <w:ind w:firstLine="480" w:firstLineChars="200"/>
        <w:contextualSpacing/>
        <w:jc w:val="left"/>
        <w:rPr>
          <w:rFonts w:hint="eastAsia" w:ascii="宋体" w:hAnsi="宋体" w:eastAsia="宋体" w:cs="宋体"/>
          <w:color w:val="000000"/>
          <w:kern w:val="0"/>
          <w:sz w:val="24"/>
          <w:szCs w:val="24"/>
        </w:rPr>
      </w:pPr>
      <w:r>
        <w:rPr>
          <w:rFonts w:hint="eastAsia" w:ascii="宋体" w:hAnsi="宋体" w:eastAsia="宋体" w:cs="宋体"/>
          <w:color w:val="000000"/>
          <w:sz w:val="24"/>
          <w:szCs w:val="24"/>
        </w:rPr>
        <w:t>工程保修期为：</w:t>
      </w:r>
      <w:r>
        <w:rPr>
          <w:rFonts w:hint="eastAsia" w:ascii="宋体" w:hAnsi="宋体" w:eastAsia="宋体" w:cs="宋体"/>
          <w:color w:val="000000"/>
          <w:kern w:val="0"/>
          <w:sz w:val="24"/>
          <w:szCs w:val="24"/>
          <w:u w:val="single"/>
        </w:rPr>
        <w:t>按工程质量保修书的约定执行</w:t>
      </w:r>
      <w:r>
        <w:rPr>
          <w:rFonts w:hint="eastAsia" w:ascii="宋体" w:hAnsi="宋体" w:eastAsia="宋体" w:cs="宋体"/>
          <w:color w:val="000000"/>
          <w:kern w:val="0"/>
          <w:sz w:val="24"/>
          <w:szCs w:val="24"/>
        </w:rPr>
        <w:t>。</w:t>
      </w:r>
    </w:p>
    <w:p w14:paraId="2D255754">
      <w:pPr>
        <w:ind w:firstLine="480" w:firstLineChars="200"/>
        <w:contextualSpacing/>
        <w:jc w:val="left"/>
        <w:rPr>
          <w:rFonts w:hint="eastAsia" w:ascii="宋体" w:hAnsi="宋体" w:eastAsia="宋体" w:cs="宋体"/>
          <w:color w:val="000000"/>
          <w:sz w:val="24"/>
          <w:szCs w:val="24"/>
        </w:rPr>
      </w:pPr>
      <w:r>
        <w:rPr>
          <w:rFonts w:hint="eastAsia" w:ascii="宋体" w:hAnsi="宋体" w:eastAsia="宋体" w:cs="宋体"/>
          <w:color w:val="000000"/>
          <w:sz w:val="24"/>
          <w:szCs w:val="24"/>
        </w:rPr>
        <w:t>15.4.3 修复通知</w:t>
      </w:r>
    </w:p>
    <w:p w14:paraId="13B48863">
      <w:pPr>
        <w:ind w:firstLine="480" w:firstLineChars="200"/>
        <w:contextualSpacing/>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承包人收到保修通知并到达工程现场的合理时间：</w:t>
      </w:r>
      <w:r>
        <w:rPr>
          <w:rFonts w:hint="eastAsia" w:ascii="宋体" w:hAnsi="宋体" w:eastAsia="宋体" w:cs="宋体"/>
          <w:sz w:val="24"/>
          <w:szCs w:val="24"/>
          <w:u w:val="single"/>
        </w:rPr>
        <w:t xml:space="preserve"> 48小时</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p>
    <w:p w14:paraId="3EDAE54D">
      <w:pPr>
        <w:pStyle w:val="5"/>
        <w:spacing w:before="0" w:after="0" w:line="240" w:lineRule="auto"/>
        <w:ind w:firstLine="482" w:firstLineChars="200"/>
        <w:contextualSpacing/>
        <w:rPr>
          <w:rFonts w:hint="eastAsia" w:ascii="宋体" w:hAnsi="宋体" w:eastAsia="宋体" w:cs="宋体"/>
          <w:color w:val="000000"/>
          <w:sz w:val="24"/>
          <w:szCs w:val="24"/>
        </w:rPr>
      </w:pPr>
      <w:bookmarkStart w:id="429" w:name="_Toc443898209"/>
      <w:r>
        <w:rPr>
          <w:rFonts w:hint="eastAsia" w:ascii="宋体" w:hAnsi="宋体" w:eastAsia="宋体" w:cs="宋体"/>
          <w:color w:val="000000"/>
          <w:sz w:val="24"/>
          <w:szCs w:val="24"/>
        </w:rPr>
        <w:t>16. 违约</w:t>
      </w:r>
      <w:bookmarkEnd w:id="429"/>
    </w:p>
    <w:p w14:paraId="739CEB77">
      <w:pPr>
        <w:ind w:firstLine="482" w:firstLineChars="200"/>
        <w:contextualSpacing/>
        <w:rPr>
          <w:rFonts w:hint="eastAsia" w:ascii="宋体" w:hAnsi="宋体" w:eastAsia="宋体" w:cs="宋体"/>
          <w:b/>
          <w:color w:val="000000"/>
          <w:sz w:val="24"/>
          <w:szCs w:val="24"/>
        </w:rPr>
      </w:pPr>
      <w:r>
        <w:rPr>
          <w:rFonts w:hint="eastAsia" w:ascii="宋体" w:hAnsi="宋体" w:eastAsia="宋体" w:cs="宋体"/>
          <w:b/>
          <w:color w:val="000000"/>
          <w:sz w:val="24"/>
          <w:szCs w:val="24"/>
        </w:rPr>
        <w:t>16.1 发包人违约</w:t>
      </w:r>
    </w:p>
    <w:p w14:paraId="4BDF46B7">
      <w:pPr>
        <w:ind w:firstLine="480" w:firstLineChars="200"/>
        <w:contextualSpacing/>
        <w:jc w:val="left"/>
        <w:rPr>
          <w:rFonts w:hint="eastAsia" w:ascii="宋体" w:hAnsi="宋体" w:eastAsia="宋体" w:cs="宋体"/>
          <w:color w:val="000000"/>
          <w:sz w:val="24"/>
          <w:szCs w:val="24"/>
        </w:rPr>
      </w:pPr>
      <w:r>
        <w:rPr>
          <w:rFonts w:hint="eastAsia" w:ascii="宋体" w:hAnsi="宋体" w:eastAsia="宋体" w:cs="宋体"/>
          <w:color w:val="000000"/>
          <w:sz w:val="24"/>
          <w:szCs w:val="24"/>
        </w:rPr>
        <w:t>16.1.1发包人违约的情形</w:t>
      </w:r>
    </w:p>
    <w:p w14:paraId="5B697D45">
      <w:pPr>
        <w:autoSpaceDE w:val="0"/>
        <w:autoSpaceDN w:val="0"/>
        <w:ind w:firstLine="482" w:firstLineChars="200"/>
        <w:contextualSpacing/>
        <w:jc w:val="left"/>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删除第（1）、（3）、（4）目，并增加以下条款：</w:t>
      </w:r>
    </w:p>
    <w:p w14:paraId="61D3E483">
      <w:pPr>
        <w:autoSpaceDE w:val="0"/>
        <w:autoSpaceDN w:val="0"/>
        <w:ind w:firstLine="480" w:firstLineChars="200"/>
        <w:contextualSpacing/>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发包人违约的情形，需</w:t>
      </w:r>
      <w:r>
        <w:rPr>
          <w:rFonts w:hint="eastAsia" w:ascii="宋体" w:hAnsi="宋体" w:eastAsia="宋体" w:cs="宋体"/>
          <w:kern w:val="0"/>
          <w:sz w:val="24"/>
          <w:szCs w:val="24"/>
        </w:rPr>
        <w:t>在承包人不存在违约的前提下，且</w:t>
      </w:r>
      <w:r>
        <w:rPr>
          <w:rFonts w:hint="eastAsia" w:ascii="宋体" w:hAnsi="宋体" w:eastAsia="宋体" w:cs="宋体"/>
          <w:color w:val="000000"/>
          <w:kern w:val="0"/>
          <w:sz w:val="24"/>
          <w:szCs w:val="24"/>
        </w:rPr>
        <w:t>在合同履行过程中发生的下列情形，不属于发包人违约：</w:t>
      </w:r>
    </w:p>
    <w:p w14:paraId="5CE072D9">
      <w:pPr>
        <w:autoSpaceDE w:val="0"/>
        <w:autoSpaceDN w:val="0"/>
        <w:ind w:firstLine="480" w:firstLineChars="200"/>
        <w:contextualSpacing/>
        <w:jc w:val="left"/>
        <w:rPr>
          <w:rFonts w:hint="eastAsia" w:ascii="宋体" w:hAnsi="宋体" w:eastAsia="宋体" w:cs="宋体"/>
          <w:color w:val="000000"/>
          <w:kern w:val="0"/>
          <w:sz w:val="24"/>
          <w:szCs w:val="24"/>
          <w:u w:val="single"/>
        </w:rPr>
      </w:pPr>
      <w:r>
        <w:rPr>
          <w:rFonts w:hint="eastAsia" w:ascii="宋体" w:hAnsi="宋体" w:eastAsia="宋体" w:cs="宋体"/>
          <w:color w:val="000000"/>
          <w:kern w:val="0"/>
          <w:sz w:val="24"/>
          <w:szCs w:val="24"/>
        </w:rPr>
        <w:t>（1）</w:t>
      </w:r>
      <w:r>
        <w:rPr>
          <w:rFonts w:hint="eastAsia" w:ascii="宋体" w:hAnsi="宋体" w:eastAsia="宋体" w:cs="宋体"/>
          <w:color w:val="000000"/>
          <w:kern w:val="0"/>
          <w:sz w:val="24"/>
          <w:szCs w:val="24"/>
          <w:u w:val="single"/>
        </w:rPr>
        <w:t>因发包人原因未能在计划开工日期前7天内下达开工通知的；</w:t>
      </w:r>
    </w:p>
    <w:p w14:paraId="7EB2BFBC">
      <w:pPr>
        <w:autoSpaceDE w:val="0"/>
        <w:autoSpaceDN w:val="0"/>
        <w:ind w:firstLine="480" w:firstLineChars="200"/>
        <w:contextualSpacing/>
        <w:jc w:val="left"/>
        <w:rPr>
          <w:rFonts w:hint="eastAsia" w:ascii="宋体" w:hAnsi="宋体" w:eastAsia="宋体" w:cs="宋体"/>
          <w:color w:val="000000"/>
          <w:kern w:val="0"/>
          <w:sz w:val="24"/>
          <w:szCs w:val="24"/>
          <w:u w:val="single"/>
        </w:rPr>
      </w:pPr>
      <w:r>
        <w:rPr>
          <w:rFonts w:hint="eastAsia" w:ascii="宋体" w:hAnsi="宋体" w:eastAsia="宋体" w:cs="宋体"/>
          <w:color w:val="000000"/>
          <w:kern w:val="0"/>
          <w:sz w:val="24"/>
          <w:szCs w:val="24"/>
        </w:rPr>
        <w:t>（2）</w:t>
      </w:r>
      <w:r>
        <w:rPr>
          <w:rFonts w:hint="eastAsia" w:ascii="宋体" w:hAnsi="宋体" w:eastAsia="宋体" w:cs="宋体"/>
          <w:color w:val="000000"/>
          <w:kern w:val="0"/>
          <w:sz w:val="24"/>
          <w:szCs w:val="24"/>
          <w:u w:val="single"/>
        </w:rPr>
        <w:t>根据合同约定，由发包人委托专业承包单位实施部分专业性强的工作内容的，或者合同其他另行约定委托他人实施的；</w:t>
      </w:r>
    </w:p>
    <w:p w14:paraId="12144792">
      <w:pPr>
        <w:autoSpaceDE w:val="0"/>
        <w:autoSpaceDN w:val="0"/>
        <w:ind w:firstLine="480" w:firstLineChars="200"/>
        <w:contextualSpacing/>
        <w:jc w:val="left"/>
        <w:rPr>
          <w:rFonts w:hint="eastAsia" w:ascii="宋体" w:hAnsi="宋体" w:eastAsia="宋体" w:cs="宋体"/>
          <w:color w:val="000000"/>
          <w:kern w:val="0"/>
          <w:sz w:val="24"/>
          <w:szCs w:val="24"/>
          <w:u w:val="single"/>
        </w:rPr>
      </w:pPr>
      <w:r>
        <w:rPr>
          <w:rFonts w:hint="eastAsia" w:ascii="宋体" w:hAnsi="宋体" w:eastAsia="宋体" w:cs="宋体"/>
          <w:color w:val="000000"/>
          <w:kern w:val="0"/>
          <w:sz w:val="24"/>
          <w:szCs w:val="24"/>
        </w:rPr>
        <w:t>（3）</w:t>
      </w:r>
      <w:r>
        <w:rPr>
          <w:rFonts w:hint="eastAsia" w:ascii="宋体" w:hAnsi="宋体" w:eastAsia="宋体" w:cs="宋体"/>
          <w:color w:val="000000"/>
          <w:kern w:val="0"/>
          <w:sz w:val="24"/>
          <w:szCs w:val="24"/>
          <w:u w:val="single"/>
        </w:rPr>
        <w:t>根据合同约定，发包人提供的材料、工程设备（含规格、数量或质量）由承包人负责按时验收，交货日期根据工期进度提供并进行协调，如出现规格、数量或质量不符合合同约定的，或交货日期出现延误、交货地点变更，由承包人承担责任，不属于发包人违约。</w:t>
      </w:r>
    </w:p>
    <w:p w14:paraId="383A9278">
      <w:pPr>
        <w:ind w:left="0" w:firstLine="480" w:firstLineChars="200"/>
        <w:contextualSpacing/>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16.1.2 发包人违约的责任</w:t>
      </w:r>
    </w:p>
    <w:p w14:paraId="4DADA8F5">
      <w:pPr>
        <w:ind w:firstLine="480" w:firstLineChars="200"/>
        <w:contextualSpacing/>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发包人违约责任的承担方式和计算方法：</w:t>
      </w:r>
    </w:p>
    <w:p w14:paraId="09624801">
      <w:pPr>
        <w:ind w:firstLine="480" w:firstLineChars="200"/>
        <w:contextualSpacing/>
        <w:jc w:val="left"/>
        <w:rPr>
          <w:rFonts w:hint="eastAsia" w:ascii="宋体" w:hAnsi="宋体" w:eastAsia="宋体" w:cs="宋体"/>
          <w:color w:val="000000"/>
          <w:kern w:val="0"/>
          <w:sz w:val="24"/>
          <w:szCs w:val="24"/>
          <w:u w:val="single"/>
        </w:rPr>
      </w:pPr>
      <w:r>
        <w:rPr>
          <w:rFonts w:hint="eastAsia" w:ascii="宋体" w:hAnsi="宋体" w:eastAsia="宋体" w:cs="宋体"/>
          <w:color w:val="000000"/>
          <w:kern w:val="0"/>
          <w:sz w:val="24"/>
          <w:szCs w:val="24"/>
        </w:rPr>
        <w:t>（1）因发包人原因未能按合同约定支付合同价款的违约责任：</w:t>
      </w:r>
      <w:r>
        <w:rPr>
          <w:rFonts w:hint="eastAsia" w:ascii="宋体" w:hAnsi="宋体" w:eastAsia="宋体" w:cs="宋体"/>
          <w:color w:val="000000"/>
          <w:kern w:val="0"/>
          <w:sz w:val="24"/>
          <w:szCs w:val="24"/>
          <w:u w:val="single"/>
        </w:rPr>
        <w:t>承包人同意与发包人协商解决，不追究逾期支付责任。</w:t>
      </w:r>
    </w:p>
    <w:p w14:paraId="2CD77746">
      <w:pPr>
        <w:ind w:firstLine="480" w:firstLineChars="200"/>
        <w:contextualSpacing/>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（2）发包人违反第10.1款〔变更的范围〕第（2）项约定，自行实施被取消的工作或转由他人实施的违约责任：</w:t>
      </w:r>
    </w:p>
    <w:p w14:paraId="1A6047F2">
      <w:pPr>
        <w:ind w:firstLine="480" w:firstLineChars="200"/>
        <w:contextualSpacing/>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① 如发包人根据项目实际情况取消合同项下的工作并不再实施时，不视为发包人违约，发包人不因此向承包人承担任何形式的违约责任、赔偿或补偿。</w:t>
      </w:r>
    </w:p>
    <w:p w14:paraId="573FF9C9">
      <w:pPr>
        <w:ind w:firstLine="480" w:firstLineChars="200"/>
        <w:contextualSpacing/>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②如承包人存在违约（包括但不限于无法实施或无法达到发包人要求的工作），发包人有权追究承包人违约责任，并有权取消该部分工作而自行实施或转由他人实施，发包人不因此向承包人承担任何形式的违约责任、赔偿或补偿。</w:t>
      </w:r>
    </w:p>
    <w:p w14:paraId="00E43690">
      <w:pPr>
        <w:ind w:firstLine="480" w:firstLineChars="200"/>
        <w:contextualSpacing/>
        <w:jc w:val="left"/>
        <w:rPr>
          <w:rFonts w:hint="eastAsia" w:ascii="宋体" w:hAnsi="宋体" w:eastAsia="宋体" w:cs="宋体"/>
          <w:b/>
          <w:color w:val="000000"/>
          <w:kern w:val="0"/>
          <w:sz w:val="24"/>
          <w:szCs w:val="24"/>
        </w:rPr>
      </w:pPr>
      <w:r>
        <w:rPr>
          <w:rFonts w:hint="eastAsia" w:ascii="宋体" w:hAnsi="宋体" w:eastAsia="宋体" w:cs="宋体"/>
          <w:color w:val="000000"/>
          <w:kern w:val="0"/>
          <w:sz w:val="24"/>
          <w:szCs w:val="24"/>
        </w:rPr>
        <w:t>③如承包人不存在违约，发包人取消合同项下的工作并自行实施或转由他人实施时，承包人应配合发包人另行协商确定。</w:t>
      </w:r>
    </w:p>
    <w:p w14:paraId="177DAE88">
      <w:pPr>
        <w:ind w:firstLine="480" w:firstLineChars="200"/>
        <w:contextualSpacing/>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发包人提供的材料、工程设备的规格、数量或质量不符合合同约定，或因发包人原因导致交货日期延误或交货地点变更等情况的违约责任：发包人不承担违约责任，处理方式可参照专用合同条款8.5.3相关约定。</w:t>
      </w:r>
    </w:p>
    <w:p w14:paraId="72C0BBDB">
      <w:pPr>
        <w:ind w:firstLine="480" w:firstLineChars="200"/>
        <w:contextualSpacing/>
        <w:jc w:val="left"/>
        <w:rPr>
          <w:rFonts w:hint="eastAsia" w:ascii="宋体" w:hAnsi="宋体" w:eastAsia="宋体" w:cs="宋体"/>
          <w:color w:val="000000"/>
          <w:kern w:val="0"/>
          <w:sz w:val="24"/>
          <w:szCs w:val="24"/>
          <w:u w:val="single"/>
        </w:rPr>
      </w:pPr>
      <w:r>
        <w:rPr>
          <w:rFonts w:hint="eastAsia" w:ascii="宋体" w:hAnsi="宋体" w:eastAsia="宋体" w:cs="宋体"/>
          <w:color w:val="000000"/>
          <w:kern w:val="0"/>
          <w:sz w:val="24"/>
          <w:szCs w:val="24"/>
        </w:rPr>
        <w:t>（4）因发包人违反合同约定造成暂停施工的违约责任：</w:t>
      </w:r>
      <w:r>
        <w:rPr>
          <w:rFonts w:hint="eastAsia" w:ascii="宋体" w:hAnsi="宋体" w:eastAsia="宋体" w:cs="宋体"/>
          <w:color w:val="000000"/>
          <w:kern w:val="0"/>
          <w:sz w:val="24"/>
          <w:szCs w:val="24"/>
          <w:u w:val="single"/>
        </w:rPr>
        <w:t>发包人不承担违约责任，给予工期相应顺延。</w:t>
      </w:r>
    </w:p>
    <w:p w14:paraId="3A533C02">
      <w:pPr>
        <w:ind w:firstLine="480" w:firstLineChars="200"/>
        <w:contextualSpacing/>
        <w:jc w:val="left"/>
        <w:rPr>
          <w:rFonts w:hint="eastAsia" w:ascii="宋体" w:hAnsi="宋体" w:eastAsia="宋体" w:cs="宋体"/>
          <w:color w:val="000000"/>
          <w:kern w:val="0"/>
          <w:sz w:val="24"/>
          <w:szCs w:val="24"/>
          <w:u w:val="single"/>
        </w:rPr>
      </w:pPr>
      <w:r>
        <w:rPr>
          <w:rFonts w:hint="eastAsia" w:ascii="宋体" w:hAnsi="宋体" w:eastAsia="宋体" w:cs="宋体"/>
          <w:color w:val="000000"/>
          <w:kern w:val="0"/>
          <w:sz w:val="24"/>
          <w:szCs w:val="24"/>
        </w:rPr>
        <w:t>（5）发包人无正当理由没有在约定期限内发出复工指示，导致承包人无法复工的违约责任：</w:t>
      </w:r>
      <w:r>
        <w:rPr>
          <w:rFonts w:hint="eastAsia" w:ascii="宋体" w:hAnsi="宋体" w:eastAsia="宋体" w:cs="宋体"/>
          <w:color w:val="000000"/>
          <w:kern w:val="0"/>
          <w:sz w:val="24"/>
          <w:szCs w:val="24"/>
          <w:u w:val="single"/>
        </w:rPr>
        <w:t>发包人不承担违约责任，给予工期相应顺延。</w:t>
      </w:r>
    </w:p>
    <w:p w14:paraId="15588E05">
      <w:pPr>
        <w:ind w:firstLine="480" w:firstLineChars="200"/>
        <w:contextualSpacing/>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（6）其他：</w:t>
      </w:r>
      <w:r>
        <w:rPr>
          <w:rFonts w:hint="eastAsia" w:ascii="宋体" w:hAnsi="宋体" w:eastAsia="宋体" w:cs="宋体"/>
          <w:color w:val="000000"/>
          <w:kern w:val="0"/>
          <w:sz w:val="24"/>
          <w:szCs w:val="24"/>
          <w:u w:val="single"/>
        </w:rPr>
        <w:t xml:space="preserve">                                         </w:t>
      </w:r>
      <w:r>
        <w:rPr>
          <w:rFonts w:hint="eastAsia" w:ascii="宋体" w:hAnsi="宋体" w:eastAsia="宋体" w:cs="宋体"/>
          <w:sz w:val="24"/>
          <w:szCs w:val="24"/>
          <w:u w:val="single"/>
        </w:rPr>
        <w:t>。</w:t>
      </w:r>
    </w:p>
    <w:p w14:paraId="78C4AEAA">
      <w:pPr>
        <w:ind w:firstLine="480" w:firstLineChars="200"/>
        <w:contextualSpacing/>
        <w:jc w:val="left"/>
        <w:rPr>
          <w:rFonts w:hint="eastAsia" w:ascii="宋体" w:hAnsi="宋体" w:eastAsia="宋体" w:cs="宋体"/>
          <w:color w:val="000000"/>
          <w:sz w:val="24"/>
          <w:szCs w:val="24"/>
        </w:rPr>
      </w:pPr>
      <w:r>
        <w:rPr>
          <w:rFonts w:hint="eastAsia" w:ascii="宋体" w:hAnsi="宋体" w:eastAsia="宋体" w:cs="宋体"/>
          <w:color w:val="000000"/>
          <w:sz w:val="24"/>
          <w:szCs w:val="24"/>
        </w:rPr>
        <w:t>16.1.3 因发包人违约解除合同</w:t>
      </w:r>
    </w:p>
    <w:p w14:paraId="217C2339">
      <w:pPr>
        <w:autoSpaceDE w:val="0"/>
        <w:autoSpaceDN w:val="0"/>
        <w:ind w:firstLine="480" w:firstLineChars="200"/>
        <w:contextualSpacing/>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承包人按16.1.1项〔发包人违约的情形〕约定以书面形式通知监理人暂停施工，监理人收到通知的</w:t>
      </w:r>
      <w:r>
        <w:rPr>
          <w:rFonts w:hint="eastAsia" w:ascii="宋体" w:hAnsi="宋体" w:eastAsia="宋体" w:cs="宋体"/>
          <w:color w:val="000000"/>
          <w:kern w:val="0"/>
          <w:sz w:val="24"/>
          <w:szCs w:val="24"/>
          <w:u w:val="single"/>
        </w:rPr>
        <w:t>12小时</w:t>
      </w:r>
      <w:r>
        <w:rPr>
          <w:rFonts w:hint="eastAsia" w:ascii="宋体" w:hAnsi="宋体" w:eastAsia="宋体" w:cs="宋体"/>
          <w:color w:val="000000"/>
          <w:kern w:val="0"/>
          <w:sz w:val="24"/>
          <w:szCs w:val="24"/>
        </w:rPr>
        <w:t>内对承包人申报内容进行核查，并将核查结果上报发包人，暂停施工满</w:t>
      </w:r>
      <w:r>
        <w:rPr>
          <w:rFonts w:hint="eastAsia" w:ascii="宋体" w:hAnsi="宋体" w:eastAsia="宋体" w:cs="宋体"/>
          <w:color w:val="000000"/>
          <w:kern w:val="0"/>
          <w:sz w:val="24"/>
          <w:szCs w:val="24"/>
          <w:u w:val="single"/>
        </w:rPr>
        <w:t xml:space="preserve"> 28天</w:t>
      </w:r>
      <w:r>
        <w:rPr>
          <w:rFonts w:hint="eastAsia" w:ascii="宋体" w:hAnsi="宋体" w:eastAsia="宋体" w:cs="宋体"/>
          <w:color w:val="000000"/>
          <w:kern w:val="0"/>
          <w:sz w:val="24"/>
          <w:szCs w:val="24"/>
        </w:rPr>
        <w:t>后发包人无理由不纠正其违约行为并致使合同目的不能实现的，承包人有权解除合同。</w:t>
      </w:r>
    </w:p>
    <w:p w14:paraId="756814A5">
      <w:pPr>
        <w:ind w:firstLine="482" w:firstLineChars="200"/>
        <w:contextualSpacing/>
        <w:rPr>
          <w:rFonts w:hint="eastAsia" w:ascii="宋体" w:hAnsi="宋体" w:eastAsia="宋体" w:cs="宋体"/>
          <w:b/>
          <w:color w:val="000000"/>
          <w:sz w:val="24"/>
          <w:szCs w:val="24"/>
        </w:rPr>
      </w:pPr>
      <w:r>
        <w:rPr>
          <w:rFonts w:hint="eastAsia" w:ascii="宋体" w:hAnsi="宋体" w:eastAsia="宋体" w:cs="宋体"/>
          <w:b/>
          <w:color w:val="000000"/>
          <w:sz w:val="24"/>
          <w:szCs w:val="24"/>
        </w:rPr>
        <w:t>16.2 承包人违约</w:t>
      </w:r>
    </w:p>
    <w:p w14:paraId="22567A62">
      <w:pPr>
        <w:ind w:firstLine="480" w:firstLineChars="200"/>
        <w:contextualSpacing/>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16.2.1 承包人违约的情形</w:t>
      </w:r>
    </w:p>
    <w:p w14:paraId="6FD07455">
      <w:pPr>
        <w:autoSpaceDE w:val="0"/>
        <w:autoSpaceDN w:val="0"/>
        <w:ind w:firstLine="482" w:firstLineChars="200"/>
        <w:contextualSpacing/>
        <w:jc w:val="left"/>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增加以下条款：</w:t>
      </w:r>
    </w:p>
    <w:p w14:paraId="0AA2FEE9">
      <w:pPr>
        <w:autoSpaceDE w:val="0"/>
        <w:autoSpaceDN w:val="0"/>
        <w:ind w:firstLine="480" w:firstLineChars="200"/>
        <w:contextualSpacing/>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16.2.1.9 </w:t>
      </w:r>
      <w:r>
        <w:rPr>
          <w:rFonts w:hint="eastAsia" w:ascii="宋体" w:hAnsi="宋体" w:eastAsia="宋体" w:cs="宋体"/>
          <w:sz w:val="24"/>
          <w:szCs w:val="24"/>
        </w:rPr>
        <w:t>承包人在政府行政主管部门组织的安全生产检查中，被发现存在严重的安全隐患、施工场地被评为不合格工地的、被通报批评，或被新闻媒体、自媒体曝光造成不良影响的，或被投诉、曝光（包括但不限于第三方向有关部门举报，在公众号、视频号、抖音等平台上投诉、曝光等）造成不良影响的；</w:t>
      </w:r>
    </w:p>
    <w:p w14:paraId="754919E3">
      <w:pPr>
        <w:autoSpaceDE w:val="0"/>
        <w:autoSpaceDN w:val="0"/>
        <w:ind w:firstLine="480" w:firstLineChars="200"/>
        <w:contextualSpacing/>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16.2.1.10 </w:t>
      </w:r>
      <w:r>
        <w:rPr>
          <w:rFonts w:hint="eastAsia" w:ascii="宋体" w:hAnsi="宋体" w:eastAsia="宋体" w:cs="宋体"/>
          <w:sz w:val="24"/>
          <w:szCs w:val="24"/>
        </w:rPr>
        <w:t>承包人未达到本合同协议书约定的安全文明施工目标的；</w:t>
      </w:r>
    </w:p>
    <w:p w14:paraId="45A1C05D">
      <w:pPr>
        <w:autoSpaceDE w:val="0"/>
        <w:autoSpaceDN w:val="0"/>
        <w:ind w:firstLine="480" w:firstLineChars="200"/>
        <w:contextualSpacing/>
        <w:jc w:val="left"/>
        <w:rPr>
          <w:rFonts w:hint="eastAsia" w:ascii="宋体" w:hAnsi="宋体" w:eastAsia="宋体" w:cs="宋体"/>
          <w:sz w:val="24"/>
          <w:szCs w:val="24"/>
        </w:rPr>
      </w:pPr>
      <w:r>
        <w:rPr>
          <w:rFonts w:hint="eastAsia" w:ascii="宋体" w:hAnsi="宋体" w:eastAsia="宋体" w:cs="宋体"/>
          <w:color w:val="000000"/>
          <w:kern w:val="0"/>
          <w:sz w:val="24"/>
          <w:szCs w:val="24"/>
        </w:rPr>
        <w:t xml:space="preserve">16.2.1.11 </w:t>
      </w:r>
      <w:r>
        <w:rPr>
          <w:rFonts w:hint="eastAsia" w:ascii="宋体" w:hAnsi="宋体" w:eastAsia="宋体" w:cs="宋体"/>
          <w:sz w:val="24"/>
          <w:szCs w:val="24"/>
        </w:rPr>
        <w:t>工程竣工验收达不到合格质量标准的（承包人除限期返工或修补缺陷达到合同约定的质量标准外）；</w:t>
      </w:r>
    </w:p>
    <w:p w14:paraId="2A6BF43F">
      <w:pPr>
        <w:autoSpaceDE w:val="0"/>
        <w:autoSpaceDN w:val="0"/>
        <w:ind w:firstLine="480" w:firstLineChars="200"/>
        <w:contextualSpacing/>
        <w:jc w:val="left"/>
        <w:rPr>
          <w:rFonts w:hint="eastAsia" w:ascii="宋体" w:hAnsi="宋体" w:eastAsia="宋体" w:cs="宋体"/>
          <w:sz w:val="24"/>
          <w:szCs w:val="24"/>
        </w:rPr>
      </w:pPr>
      <w:r>
        <w:rPr>
          <w:rFonts w:hint="eastAsia" w:ascii="宋体" w:hAnsi="宋体" w:eastAsia="宋体" w:cs="宋体"/>
          <w:color w:val="000000"/>
          <w:kern w:val="0"/>
          <w:sz w:val="24"/>
          <w:szCs w:val="24"/>
        </w:rPr>
        <w:t xml:space="preserve">16.2.1.12 </w:t>
      </w:r>
      <w:r>
        <w:rPr>
          <w:rFonts w:hint="eastAsia" w:ascii="宋体" w:hAnsi="宋体" w:eastAsia="宋体" w:cs="宋体"/>
          <w:sz w:val="24"/>
          <w:szCs w:val="24"/>
        </w:rPr>
        <w:t>工程保修期内发现重大质量不合格问题（该重大质量问题应界定为达不到要求的质量标准，属质量保修的问题除外）；</w:t>
      </w:r>
    </w:p>
    <w:p w14:paraId="720CAB11">
      <w:pPr>
        <w:tabs>
          <w:tab w:val="left" w:pos="-1120"/>
        </w:tabs>
        <w:ind w:firstLine="480" w:firstLineChars="200"/>
        <w:contextualSpacing/>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16.2.1.13发包人对承包人项目经理和</w:t>
      </w:r>
      <w:r>
        <w:rPr>
          <w:rFonts w:hint="eastAsia" w:ascii="宋体" w:hAnsi="宋体" w:eastAsia="宋体" w:cs="宋体"/>
          <w:color w:val="000000"/>
          <w:kern w:val="0"/>
          <w:sz w:val="24"/>
          <w:szCs w:val="24"/>
          <w:lang w:val="en-US" w:eastAsia="zh-CN"/>
        </w:rPr>
        <w:t>技术负责人</w:t>
      </w:r>
      <w:r>
        <w:rPr>
          <w:rFonts w:hint="eastAsia" w:ascii="宋体" w:hAnsi="宋体" w:eastAsia="宋体" w:cs="宋体"/>
          <w:color w:val="000000"/>
          <w:kern w:val="0"/>
          <w:sz w:val="24"/>
          <w:szCs w:val="24"/>
        </w:rPr>
        <w:t>的考核实行黄牌制度，黄牌为警告，并罚款3000至5000元，对被出示过两张黄牌的项目经理或总工，发包人有权要求承包人进行更换，承包人需无条件地在3天内执行。</w:t>
      </w:r>
    </w:p>
    <w:p w14:paraId="673BCE79">
      <w:pPr>
        <w:tabs>
          <w:tab w:val="left" w:pos="-1120"/>
        </w:tabs>
        <w:ind w:firstLine="480" w:firstLineChars="200"/>
        <w:contextualSpacing/>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16.2.1.13.1以下行为项目总工将被出示黄牌：</w:t>
      </w:r>
    </w:p>
    <w:p w14:paraId="0D7CCF81">
      <w:pPr>
        <w:ind w:firstLine="480" w:firstLineChars="200"/>
        <w:contextualSpacing/>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（1）当月累计缺勤次数达到3次；</w:t>
      </w:r>
    </w:p>
    <w:p w14:paraId="57D69620">
      <w:pPr>
        <w:ind w:firstLine="480" w:firstLineChars="200"/>
        <w:contextualSpacing/>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（2）缺席发包人要求参加的会议当月累计2次的；</w:t>
      </w:r>
    </w:p>
    <w:p w14:paraId="70EA3F86">
      <w:pPr>
        <w:tabs>
          <w:tab w:val="left" w:pos="-1120"/>
        </w:tabs>
        <w:ind w:firstLine="480" w:firstLineChars="200"/>
        <w:contextualSpacing/>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（3）未按图施工，不上报，造成严重质量事故的；</w:t>
      </w:r>
    </w:p>
    <w:p w14:paraId="67D10711">
      <w:pPr>
        <w:tabs>
          <w:tab w:val="left" w:pos="-1120"/>
        </w:tabs>
        <w:ind w:firstLine="480" w:firstLineChars="200"/>
        <w:contextualSpacing/>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（4）收到监理人通知单后，不按要求完成整改的；</w:t>
      </w:r>
    </w:p>
    <w:p w14:paraId="6BED0C33">
      <w:pPr>
        <w:tabs>
          <w:tab w:val="left" w:pos="-1120"/>
        </w:tabs>
        <w:ind w:firstLine="480" w:firstLineChars="200"/>
        <w:contextualSpacing/>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（5）隐蔽工程施工不向监理人报告，无监理人旁站的；</w:t>
      </w:r>
    </w:p>
    <w:p w14:paraId="4457AD4B">
      <w:pPr>
        <w:tabs>
          <w:tab w:val="left" w:pos="-1120"/>
        </w:tabs>
        <w:ind w:firstLine="480" w:firstLineChars="200"/>
        <w:contextualSpacing/>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（6）其它严重违规事项。</w:t>
      </w:r>
    </w:p>
    <w:p w14:paraId="0770CF57">
      <w:pPr>
        <w:tabs>
          <w:tab w:val="left" w:pos="-1120"/>
        </w:tabs>
        <w:ind w:firstLine="480" w:firstLineChars="200"/>
        <w:contextualSpacing/>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16.2.1.13.2以下行为项目经理将被出示黄牌：</w:t>
      </w:r>
    </w:p>
    <w:p w14:paraId="62FF816F">
      <w:pPr>
        <w:ind w:firstLine="480" w:firstLineChars="200"/>
        <w:contextualSpacing/>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（1）当月累计缺勤次数达到3次；</w:t>
      </w:r>
    </w:p>
    <w:p w14:paraId="7DEFE7FA">
      <w:pPr>
        <w:ind w:firstLine="480" w:firstLineChars="200"/>
        <w:contextualSpacing/>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（2）缺席发包人要求参加的会议当月累计2次的；</w:t>
      </w:r>
    </w:p>
    <w:p w14:paraId="4BDD72A4">
      <w:pPr>
        <w:ind w:firstLine="480" w:firstLineChars="200"/>
        <w:contextualSpacing/>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（3）月度完成总量为月度计划的60%以下的；</w:t>
      </w:r>
    </w:p>
    <w:p w14:paraId="55629A7C">
      <w:pPr>
        <w:ind w:firstLine="480" w:firstLineChars="200"/>
        <w:contextualSpacing/>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（4）当月拖欠民工工资的；</w:t>
      </w:r>
    </w:p>
    <w:p w14:paraId="271D53BE">
      <w:pPr>
        <w:ind w:firstLine="480" w:firstLineChars="200"/>
        <w:contextualSpacing/>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（5）收到监理人通知单后，不按要求完成整改的；</w:t>
      </w:r>
    </w:p>
    <w:p w14:paraId="06421DF7">
      <w:pPr>
        <w:ind w:firstLine="480" w:firstLineChars="200"/>
        <w:contextualSpacing/>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（6）工地存在安全隐患，不进行整改的；</w:t>
      </w:r>
    </w:p>
    <w:p w14:paraId="7C383FCE">
      <w:pPr>
        <w:ind w:firstLine="480" w:firstLineChars="200"/>
        <w:contextualSpacing/>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（7）分包人未经监理人批准就进场施工的；</w:t>
      </w:r>
    </w:p>
    <w:p w14:paraId="71595532">
      <w:pPr>
        <w:tabs>
          <w:tab w:val="left" w:pos="-1120"/>
        </w:tabs>
        <w:ind w:firstLine="480" w:firstLineChars="200"/>
        <w:contextualSpacing/>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（8）其它严重违规事项。</w:t>
      </w:r>
    </w:p>
    <w:p w14:paraId="27FFADE1">
      <w:pPr>
        <w:ind w:firstLine="480" w:firstLineChars="200"/>
        <w:contextualSpacing/>
        <w:rPr>
          <w:rFonts w:hint="eastAsia" w:ascii="宋体" w:hAnsi="宋体" w:eastAsia="宋体" w:cs="宋体"/>
          <w:color w:val="auto"/>
          <w:kern w:val="2"/>
          <w:sz w:val="24"/>
          <w:szCs w:val="24"/>
        </w:rPr>
      </w:pPr>
      <w:r>
        <w:rPr>
          <w:rFonts w:hint="eastAsia" w:ascii="宋体" w:hAnsi="宋体" w:eastAsia="宋体" w:cs="宋体"/>
          <w:color w:val="000000"/>
          <w:kern w:val="0"/>
          <w:sz w:val="24"/>
          <w:szCs w:val="24"/>
        </w:rPr>
        <w:t>16.2.1.14 附件16规定的违约情况。</w:t>
      </w:r>
    </w:p>
    <w:p w14:paraId="1308C38B">
      <w:pPr>
        <w:ind w:firstLine="480" w:firstLineChars="200"/>
        <w:contextualSpacing/>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16.2.2承包人违约的责任</w:t>
      </w:r>
    </w:p>
    <w:p w14:paraId="33C97DB1">
      <w:pPr>
        <w:ind w:firstLine="480" w:firstLineChars="200"/>
        <w:contextualSpacing/>
        <w:jc w:val="left"/>
        <w:rPr>
          <w:rFonts w:hint="eastAsia" w:ascii="宋体" w:hAnsi="宋体" w:eastAsia="宋体" w:cs="宋体"/>
          <w:color w:val="000000"/>
          <w:sz w:val="24"/>
          <w:szCs w:val="24"/>
        </w:rPr>
      </w:pPr>
      <w:r>
        <w:rPr>
          <w:rFonts w:hint="eastAsia" w:ascii="宋体" w:hAnsi="宋体" w:eastAsia="宋体" w:cs="宋体"/>
          <w:color w:val="000000"/>
          <w:kern w:val="0"/>
          <w:sz w:val="24"/>
          <w:szCs w:val="24"/>
        </w:rPr>
        <w:t>承包人违约责任的承担方式和计算方法：</w:t>
      </w:r>
    </w:p>
    <w:p w14:paraId="6E2E49E5">
      <w:pPr>
        <w:ind w:firstLine="480" w:firstLineChars="200"/>
        <w:contextualSpacing/>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（1）承包人提交监理人、发包人的工程结算款与本工程结算终审部门的审核价相比，差值必须控制在承包人提交监理人、发包人的工程结算款的</w:t>
      </w:r>
      <w:r>
        <w:rPr>
          <w:rFonts w:hint="eastAsia" w:ascii="宋体" w:hAnsi="宋体" w:eastAsia="宋体" w:cs="宋体"/>
          <w:color w:val="000000"/>
          <w:kern w:val="0"/>
          <w:sz w:val="24"/>
          <w:szCs w:val="24"/>
          <w:u w:val="single"/>
        </w:rPr>
        <w:t>20％</w:t>
      </w:r>
      <w:r>
        <w:rPr>
          <w:rFonts w:hint="eastAsia" w:ascii="宋体" w:hAnsi="宋体" w:eastAsia="宋体" w:cs="宋体"/>
          <w:color w:val="000000"/>
          <w:kern w:val="0"/>
          <w:sz w:val="24"/>
          <w:szCs w:val="24"/>
        </w:rPr>
        <w:t>范围内，如超出该范围，承包人无条件同意发包人按终审价核减金额的</w:t>
      </w:r>
      <w:r>
        <w:rPr>
          <w:rFonts w:hint="eastAsia" w:ascii="宋体" w:hAnsi="宋体" w:eastAsia="宋体" w:cs="宋体"/>
          <w:color w:val="000000"/>
          <w:kern w:val="0"/>
          <w:sz w:val="24"/>
          <w:szCs w:val="24"/>
          <w:u w:val="single"/>
        </w:rPr>
        <w:t>20％</w:t>
      </w:r>
      <w:r>
        <w:rPr>
          <w:rFonts w:hint="eastAsia" w:ascii="宋体" w:hAnsi="宋体" w:eastAsia="宋体" w:cs="宋体"/>
          <w:color w:val="000000"/>
          <w:kern w:val="0"/>
          <w:sz w:val="24"/>
          <w:szCs w:val="24"/>
        </w:rPr>
        <w:t>作为违约金直接从承包人工程结算款中予以扣减。同时，超过10%的部分费用由承包人自行承担，发包人无需向承包人支付该部分费用。</w:t>
      </w:r>
    </w:p>
    <w:p w14:paraId="5EB5DC38">
      <w:pPr>
        <w:ind w:firstLine="480" w:firstLineChars="200"/>
        <w:contextualSpacing/>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（2）出现16.2.1.2情形的，每次扣罚     元，且承包人应立即更换合格的材料和工程设备，将不合格的材料和工程设备撤离施工现场。</w:t>
      </w:r>
    </w:p>
    <w:p w14:paraId="5A5C7F6C">
      <w:pPr>
        <w:ind w:firstLine="480" w:firstLineChars="200"/>
        <w:contextualSpacing/>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（3）出现16.2.1.4情形的，每次扣罚     元，且承包人应立即纠正该情形。</w:t>
      </w:r>
    </w:p>
    <w:p w14:paraId="1C6A9E82">
      <w:pPr>
        <w:ind w:firstLine="480" w:firstLineChars="200"/>
        <w:contextualSpacing/>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（4）出现16.2.1.5情形的，每逾期一日，承包人应按签约合同价的   %支付违约金；逾期累计超过三十日（含三十日）的，发包人有权解除合同。</w:t>
      </w:r>
    </w:p>
    <w:p w14:paraId="34FA2F12">
      <w:pPr>
        <w:ind w:firstLine="480" w:firstLineChars="200"/>
        <w:contextualSpacing/>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（5）出现16.2.1.6情形的，按照工程质量保修书的约定进行扣罚。</w:t>
      </w:r>
    </w:p>
    <w:p w14:paraId="718157CF">
      <w:pPr>
        <w:ind w:firstLine="480" w:firstLineChars="200"/>
        <w:contextualSpacing/>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（6）出现16.2.1.8情形的，每次扣罚</w:t>
      </w:r>
      <w:r>
        <w:rPr>
          <w:rFonts w:hint="eastAsia" w:ascii="宋体" w:hAnsi="宋体" w:eastAsia="宋体" w:cs="宋体"/>
          <w:color w:val="000000"/>
          <w:kern w:val="0"/>
          <w:sz w:val="24"/>
          <w:szCs w:val="24"/>
          <w:u w:val="single"/>
        </w:rPr>
        <w:t>10万元</w:t>
      </w:r>
      <w:r>
        <w:rPr>
          <w:rFonts w:hint="eastAsia" w:ascii="宋体" w:hAnsi="宋体" w:eastAsia="宋体" w:cs="宋体"/>
          <w:color w:val="000000"/>
          <w:kern w:val="0"/>
          <w:sz w:val="24"/>
          <w:szCs w:val="24"/>
        </w:rPr>
        <w:t>。累计出现3次或以上的，发包人有权解除合同，将本工程另行发包，且不免除承包人应承担的违约赔偿责任。</w:t>
      </w:r>
    </w:p>
    <w:p w14:paraId="037AD5C8">
      <w:pPr>
        <w:ind w:firstLine="480" w:firstLineChars="200"/>
        <w:contextualSpacing/>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（7）出现16.2.1.9情形的，每次扣罚承包人工程结算价款的</w:t>
      </w:r>
      <w:r>
        <w:rPr>
          <w:rFonts w:hint="eastAsia" w:ascii="宋体" w:hAnsi="宋体" w:eastAsia="宋体" w:cs="宋体"/>
          <w:color w:val="000000"/>
          <w:kern w:val="0"/>
          <w:sz w:val="24"/>
          <w:szCs w:val="24"/>
          <w:u w:val="single"/>
        </w:rPr>
        <w:t>0.5％</w:t>
      </w:r>
      <w:r>
        <w:rPr>
          <w:rFonts w:hint="eastAsia" w:ascii="宋体" w:hAnsi="宋体" w:eastAsia="宋体" w:cs="宋体"/>
          <w:color w:val="000000"/>
          <w:kern w:val="0"/>
          <w:sz w:val="24"/>
          <w:szCs w:val="24"/>
        </w:rPr>
        <w:t>。</w:t>
      </w:r>
    </w:p>
    <w:p w14:paraId="2017FDD0">
      <w:pPr>
        <w:ind w:firstLine="480" w:firstLineChars="200"/>
        <w:contextualSpacing/>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（8）出现16.2.1.10情形的，承包人向发包人缴纳合同审定结算价</w:t>
      </w:r>
      <w:r>
        <w:rPr>
          <w:rFonts w:hint="eastAsia" w:ascii="宋体" w:hAnsi="宋体" w:eastAsia="宋体" w:cs="宋体"/>
          <w:color w:val="000000"/>
          <w:kern w:val="0"/>
          <w:sz w:val="24"/>
          <w:szCs w:val="24"/>
          <w:u w:val="single"/>
        </w:rPr>
        <w:t>5％</w:t>
      </w:r>
      <w:r>
        <w:rPr>
          <w:rFonts w:hint="eastAsia" w:ascii="宋体" w:hAnsi="宋体" w:eastAsia="宋体" w:cs="宋体"/>
          <w:color w:val="000000"/>
          <w:kern w:val="0"/>
          <w:sz w:val="24"/>
          <w:szCs w:val="24"/>
        </w:rPr>
        <w:t>的违约金。</w:t>
      </w:r>
    </w:p>
    <w:p w14:paraId="0E98280E">
      <w:pPr>
        <w:ind w:firstLine="480" w:firstLineChars="200"/>
        <w:contextualSpacing/>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（9）出现16.2.1.3、16.2.1.11、16.2.1.12情形的，承包人必须在规定的期限返工并达到合同约定的质量等级，并按该不合格工程造价</w:t>
      </w:r>
      <w:r>
        <w:rPr>
          <w:rFonts w:hint="eastAsia" w:ascii="宋体" w:hAnsi="宋体" w:eastAsia="宋体" w:cs="宋体"/>
          <w:color w:val="000000"/>
          <w:kern w:val="0"/>
          <w:sz w:val="24"/>
          <w:szCs w:val="24"/>
          <w:u w:val="single"/>
        </w:rPr>
        <w:t>5%</w:t>
      </w:r>
      <w:r>
        <w:rPr>
          <w:rFonts w:hint="eastAsia" w:ascii="宋体" w:hAnsi="宋体" w:eastAsia="宋体" w:cs="宋体"/>
          <w:color w:val="000000"/>
          <w:kern w:val="0"/>
          <w:sz w:val="24"/>
          <w:szCs w:val="24"/>
        </w:rPr>
        <w:t>向发包人承担支付违约金的责任；</w:t>
      </w:r>
    </w:p>
    <w:p w14:paraId="2B768C19">
      <w:pPr>
        <w:ind w:firstLine="480" w:firstLineChars="200"/>
        <w:contextualSpacing/>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（10）因承包人原因造成发包人损失的，且违约金不足以弥补发包人由此遭受的实际损失的，承包人应向发包人赔偿实际损失与违约金之间的差额；</w:t>
      </w:r>
    </w:p>
    <w:p w14:paraId="453FB32E">
      <w:pPr>
        <w:ind w:firstLine="480" w:firstLineChars="200"/>
        <w:contextualSpacing/>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（11）对每次施工质量的抽查，如发现存在质量不合格或严重违反操作规程的现象，发包人有权要求承包人停工、返工；返工后经检查合格才准进入下一工序，工期不予顺延，承包人向发包人交纳</w:t>
      </w:r>
      <w:r>
        <w:rPr>
          <w:rFonts w:hint="eastAsia" w:ascii="宋体" w:hAnsi="宋体" w:eastAsia="宋体" w:cs="宋体"/>
          <w:color w:val="000000"/>
          <w:kern w:val="0"/>
          <w:sz w:val="24"/>
          <w:szCs w:val="24"/>
          <w:u w:val="single"/>
        </w:rPr>
        <w:t>10万</w:t>
      </w:r>
      <w:r>
        <w:rPr>
          <w:rFonts w:hint="eastAsia" w:ascii="宋体" w:hAnsi="宋体" w:eastAsia="宋体" w:cs="宋体"/>
          <w:color w:val="000000"/>
          <w:kern w:val="0"/>
          <w:sz w:val="24"/>
          <w:szCs w:val="24"/>
        </w:rPr>
        <w:t>元／次违约金；</w:t>
      </w:r>
    </w:p>
    <w:p w14:paraId="11E0E9B6">
      <w:pPr>
        <w:ind w:firstLine="480" w:firstLineChars="200"/>
        <w:contextualSpacing/>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按照质监部门、监理人及有关规范要求，承包人对各工序必须报验检查的各类质量控制点，实行先自检后申请报验的程序，并对自检结果负责。如承包人申请报验后，经检查发现质量不合格，则该工序质量为不合格，承包人必须全部返工，返工后经检查合格才准进人下一工序，工期不予顺延，承包人必须向发包人交纳</w:t>
      </w:r>
      <w:r>
        <w:rPr>
          <w:rFonts w:hint="eastAsia" w:ascii="宋体" w:hAnsi="宋体" w:eastAsia="宋体" w:cs="宋体"/>
          <w:color w:val="000000"/>
          <w:kern w:val="0"/>
          <w:sz w:val="24"/>
          <w:szCs w:val="24"/>
          <w:u w:val="single"/>
        </w:rPr>
        <w:t>10万</w:t>
      </w:r>
      <w:r>
        <w:rPr>
          <w:rFonts w:hint="eastAsia" w:ascii="宋体" w:hAnsi="宋体" w:eastAsia="宋体" w:cs="宋体"/>
          <w:color w:val="000000"/>
          <w:kern w:val="0"/>
          <w:sz w:val="24"/>
          <w:szCs w:val="24"/>
        </w:rPr>
        <w:t>元／次违约金。</w:t>
      </w:r>
    </w:p>
    <w:p w14:paraId="377587A0">
      <w:pPr>
        <w:ind w:firstLine="480" w:firstLineChars="200"/>
        <w:contextualSpacing/>
        <w:rPr>
          <w:rFonts w:hint="eastAsia" w:ascii="宋体" w:hAnsi="宋体" w:eastAsia="宋体" w:cs="宋体"/>
          <w:color w:val="000000"/>
          <w:kern w:val="0"/>
          <w:sz w:val="24"/>
          <w:szCs w:val="24"/>
        </w:rPr>
      </w:pPr>
    </w:p>
    <w:p w14:paraId="2D5BD113">
      <w:pPr>
        <w:ind w:firstLine="480" w:firstLineChars="200"/>
        <w:contextualSpacing/>
        <w:jc w:val="left"/>
        <w:rPr>
          <w:rFonts w:hint="eastAsia" w:ascii="宋体" w:hAnsi="宋体" w:eastAsia="宋体" w:cs="宋体"/>
          <w:color w:val="000000"/>
          <w:sz w:val="24"/>
          <w:szCs w:val="24"/>
        </w:rPr>
      </w:pPr>
      <w:r>
        <w:rPr>
          <w:rFonts w:hint="eastAsia" w:ascii="宋体" w:hAnsi="宋体" w:eastAsia="宋体" w:cs="宋体"/>
          <w:color w:val="000000"/>
          <w:sz w:val="24"/>
          <w:szCs w:val="24"/>
        </w:rPr>
        <w:t>16.2.3 因承包人违约解除合同</w:t>
      </w:r>
    </w:p>
    <w:p w14:paraId="7201622C">
      <w:pPr>
        <w:ind w:firstLine="482" w:firstLineChars="200"/>
        <w:contextualSpacing/>
        <w:jc w:val="left"/>
        <w:rPr>
          <w:rFonts w:hint="eastAsia" w:ascii="宋体" w:hAnsi="宋体" w:eastAsia="宋体" w:cs="宋体"/>
          <w:b/>
          <w:color w:val="000000"/>
          <w:sz w:val="24"/>
          <w:szCs w:val="24"/>
        </w:rPr>
      </w:pPr>
      <w:r>
        <w:rPr>
          <w:rFonts w:hint="eastAsia" w:ascii="宋体" w:hAnsi="宋体" w:eastAsia="宋体" w:cs="宋体"/>
          <w:b/>
          <w:color w:val="000000"/>
          <w:sz w:val="24"/>
          <w:szCs w:val="24"/>
        </w:rPr>
        <w:t>增加以下条款：</w:t>
      </w:r>
    </w:p>
    <w:p w14:paraId="13D1B4C6">
      <w:pPr>
        <w:ind w:firstLine="480" w:firstLineChars="200"/>
        <w:contextualSpacing/>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关于承包人违约解除合同的特别约定：（1）承包人因自身原因造成的重大安全事故（含工程质量事故）的，发包人有权单方解除合同，承包人须按国家规定接受相关主管部门处罚，并承担因重大安全事故引发的其他一切法律责任。</w:t>
      </w:r>
    </w:p>
    <w:p w14:paraId="05A16B31">
      <w:pPr>
        <w:ind w:firstLine="480" w:firstLineChars="200"/>
        <w:contextualSpacing/>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除合同另有约定外，承包人违反合同有关期限要求的条款（包括但不限于：逾期开工、工期延误等），逾期累计超过三十日（含三十日）的，发包人有权解除合同；违反合同其他条款（包括但不限于：采购和使用不合格材料和工程设备、工程质量不符合合同要求、未按要求安排人员进场、擅自更换人员等），同一类型违约行为累计出现三次或以上的，发包人有权解除合同。</w:t>
      </w:r>
    </w:p>
    <w:p w14:paraId="037226EC">
      <w:pPr>
        <w:ind w:firstLine="480" w:firstLineChars="200"/>
        <w:contextualSpacing/>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在任何索赔和争议期间，不论索赔是否有据，均不能免除承包人按合同约定履行义务，承包人不得以此为借口拒不履行或拖延合同的履行，否则，发包人有权单方解除合同，并要求承包人赔偿由此导致的实际损失。</w:t>
      </w:r>
    </w:p>
    <w:p w14:paraId="5B764244">
      <w:pPr>
        <w:ind w:firstLine="480" w:firstLineChars="200"/>
        <w:contextualSpacing/>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合同解除的，发包人有权没收承包人的履约保证金，如是履约保函，履约保函不予退回，发包人有权将保函金额转为现金存入发包人账户，并归发包人所有。若保函无法兑付（包括但不限于：保函已经超过有效期、开立人拒绝付款等），则发包人有权选择要求承包人按签约合同价的10%向发包人支付违约金。履约保证金、履约保函或违约金不足以弥补发包人的损失的，发包人有权向承包人追索。同时承包人仍需按合同约定向发包人承担违约责任，发包人不能免除承包人对已完成项目的保修责任。但是，双方在合同中约定的结算和清理尾款的效力不受影响，发包人有权在尚未向承包人支付的工程款中抵扣承包人应向发包人支付的违约金、赔偿金等款项。不足部分，发包人有权另行向承包人追索。</w:t>
      </w:r>
    </w:p>
    <w:p w14:paraId="2F31E4C2">
      <w:pPr>
        <w:ind w:firstLine="480" w:firstLineChars="200"/>
        <w:contextualSpacing/>
        <w:rPr>
          <w:rFonts w:hint="eastAsia" w:ascii="宋体" w:hAnsi="宋体" w:eastAsia="宋体" w:cs="宋体"/>
          <w:color w:val="000000"/>
          <w:sz w:val="24"/>
          <w:szCs w:val="24"/>
        </w:rPr>
      </w:pPr>
      <w:r>
        <w:rPr>
          <w:rFonts w:hint="eastAsia" w:ascii="宋体" w:hAnsi="宋体" w:eastAsia="宋体" w:cs="宋体"/>
          <w:color w:val="000000"/>
          <w:sz w:val="24"/>
          <w:szCs w:val="24"/>
        </w:rPr>
        <w:t>16.2.4 因承包人违约解除合同后的处理</w:t>
      </w:r>
    </w:p>
    <w:p w14:paraId="63C2972A">
      <w:pPr>
        <w:ind w:firstLine="482" w:firstLineChars="200"/>
        <w:contextualSpacing/>
        <w:jc w:val="left"/>
        <w:rPr>
          <w:rFonts w:hint="eastAsia" w:ascii="宋体" w:hAnsi="宋体" w:eastAsia="宋体" w:cs="宋体"/>
          <w:b/>
          <w:color w:val="000000"/>
          <w:sz w:val="24"/>
          <w:szCs w:val="24"/>
        </w:rPr>
      </w:pPr>
      <w:r>
        <w:rPr>
          <w:rFonts w:hint="eastAsia" w:ascii="宋体" w:hAnsi="宋体" w:eastAsia="宋体" w:cs="宋体"/>
          <w:b/>
          <w:color w:val="000000"/>
          <w:sz w:val="24"/>
          <w:szCs w:val="24"/>
        </w:rPr>
        <w:t>增加以下条款：</w:t>
      </w:r>
    </w:p>
    <w:p w14:paraId="473E9D21">
      <w:pPr>
        <w:ind w:firstLine="480" w:firstLineChars="200"/>
        <w:contextualSpacing/>
        <w:rPr>
          <w:rFonts w:hint="eastAsia" w:ascii="宋体" w:hAnsi="宋体" w:eastAsia="宋体" w:cs="宋体"/>
          <w:color w:val="000000"/>
          <w:sz w:val="24"/>
          <w:szCs w:val="24"/>
        </w:rPr>
      </w:pPr>
      <w:r>
        <w:rPr>
          <w:rFonts w:hint="eastAsia" w:ascii="宋体" w:hAnsi="宋体" w:eastAsia="宋体" w:cs="宋体"/>
          <w:color w:val="000000"/>
          <w:sz w:val="24"/>
          <w:szCs w:val="24"/>
        </w:rPr>
        <w:t>承包人需对承包范围内的全部工程的质量、安全、工期、文明施工等负完全责任，且对施工现场内的其他单位、人员负文明施工、安全管理责任。</w:t>
      </w:r>
    </w:p>
    <w:p w14:paraId="75DFC253">
      <w:pPr>
        <w:ind w:firstLine="480" w:firstLineChars="200"/>
        <w:contextualSpacing/>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合同解除后，发包人继续使用承包人在施工现场的材料、设备、临时工程、承包人文件和由承包人或以其名义编制的其他文件的费用承担方式：</w:t>
      </w:r>
    </w:p>
    <w:p w14:paraId="499AAADF">
      <w:pPr>
        <w:ind w:firstLine="480" w:firstLineChars="200"/>
        <w:contextualSpacing/>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（1）承包人接到合同解除的违约责任通知后，必须在</w:t>
      </w:r>
      <w:r>
        <w:rPr>
          <w:rFonts w:hint="eastAsia" w:ascii="宋体" w:hAnsi="宋体" w:eastAsia="宋体" w:cs="宋体"/>
          <w:color w:val="000000"/>
          <w:kern w:val="0"/>
          <w:sz w:val="24"/>
          <w:szCs w:val="24"/>
          <w:u w:val="single"/>
        </w:rPr>
        <w:t>2天</w:t>
      </w:r>
      <w:r>
        <w:rPr>
          <w:rFonts w:hint="eastAsia" w:ascii="宋体" w:hAnsi="宋体" w:eastAsia="宋体" w:cs="宋体"/>
          <w:color w:val="000000"/>
          <w:kern w:val="0"/>
          <w:sz w:val="24"/>
          <w:szCs w:val="24"/>
        </w:rPr>
        <w:t>内停止工程施工，并在</w:t>
      </w:r>
      <w:r>
        <w:rPr>
          <w:rFonts w:hint="eastAsia" w:ascii="宋体" w:hAnsi="宋体" w:eastAsia="宋体" w:cs="宋体"/>
          <w:color w:val="000000"/>
          <w:kern w:val="0"/>
          <w:sz w:val="24"/>
          <w:szCs w:val="24"/>
          <w:u w:val="single"/>
        </w:rPr>
        <w:t>10天</w:t>
      </w:r>
      <w:r>
        <w:rPr>
          <w:rFonts w:hint="eastAsia" w:ascii="宋体" w:hAnsi="宋体" w:eastAsia="宋体" w:cs="宋体"/>
          <w:color w:val="000000"/>
          <w:kern w:val="0"/>
          <w:sz w:val="24"/>
          <w:szCs w:val="24"/>
        </w:rPr>
        <w:t>内将机械、材料、物件、人员从施工现场撤离。停工</w:t>
      </w:r>
      <w:r>
        <w:rPr>
          <w:rFonts w:hint="eastAsia" w:ascii="宋体" w:hAnsi="宋体" w:eastAsia="宋体" w:cs="宋体"/>
          <w:color w:val="000000"/>
          <w:kern w:val="0"/>
          <w:sz w:val="24"/>
          <w:szCs w:val="24"/>
          <w:u w:val="single"/>
        </w:rPr>
        <w:t>3天</w:t>
      </w:r>
      <w:r>
        <w:rPr>
          <w:rFonts w:hint="eastAsia" w:ascii="宋体" w:hAnsi="宋体" w:eastAsia="宋体" w:cs="宋体"/>
          <w:color w:val="000000"/>
          <w:kern w:val="0"/>
          <w:sz w:val="24"/>
          <w:szCs w:val="24"/>
        </w:rPr>
        <w:t>内，发包人、监理人将会同承包人对已完成工程量进行清点：发包人只承认已发生并投入且符合质量验收标准的部分工程，对于已订货而未到现场或在现场未使用的材料、设备等均不予承认，由承包人自行处理；对于承包人已开工但经检验不合格的工程，承包人在监理人发出通知的限期内拆除，并清运出工地，由此带来的损失由承包人自行承担。</w:t>
      </w:r>
    </w:p>
    <w:p w14:paraId="09CAA5F8">
      <w:pPr>
        <w:ind w:firstLine="480" w:firstLineChars="200"/>
        <w:contextualSpacing/>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承包人未在规定期限内离场的，发包人有权将其留在现场的材料、设备和其他物件临时转运到其它堆放处，由此产生的搬运、保管费用应由承包人负责，在此过程中出现的任何非发包人主观故意引起的损坏、遗失由承包人自行负责，处理费用由承包人承担。</w:t>
      </w:r>
    </w:p>
    <w:p w14:paraId="5381468C">
      <w:pPr>
        <w:ind w:firstLine="480" w:firstLineChars="200"/>
        <w:contextualSpacing/>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（3）合同解除通知生效后，发包人即可另行与其他单位签订施工合同，承包人不得阻碍新的承包人进场施工。</w:t>
      </w:r>
    </w:p>
    <w:p w14:paraId="6B2C74D8">
      <w:pPr>
        <w:pStyle w:val="8"/>
        <w:rPr>
          <w:rFonts w:hint="eastAsia" w:ascii="宋体" w:hAnsi="宋体" w:eastAsia="宋体" w:cs="宋体"/>
          <w:color w:val="auto"/>
          <w:kern w:val="2"/>
          <w:sz w:val="24"/>
          <w:szCs w:val="24"/>
        </w:rPr>
      </w:pPr>
      <w:r>
        <w:rPr>
          <w:rFonts w:hint="eastAsia" w:ascii="宋体" w:hAnsi="宋体" w:eastAsia="宋体" w:cs="宋体"/>
          <w:color w:val="000000"/>
          <w:kern w:val="0"/>
          <w:sz w:val="24"/>
          <w:szCs w:val="24"/>
        </w:rPr>
        <w:t>（4）由于合同解除引致发包人工期延误及其它方面的损失，由承包人负责赔偿。</w:t>
      </w:r>
    </w:p>
    <w:p w14:paraId="5B435B3F">
      <w:pPr>
        <w:pStyle w:val="5"/>
        <w:spacing w:before="0" w:after="0" w:line="240" w:lineRule="auto"/>
        <w:ind w:firstLine="482" w:firstLineChars="200"/>
        <w:contextualSpacing/>
        <w:rPr>
          <w:rFonts w:hint="eastAsia" w:ascii="宋体" w:hAnsi="宋体" w:eastAsia="宋体" w:cs="宋体"/>
          <w:color w:val="000000"/>
          <w:sz w:val="24"/>
          <w:szCs w:val="24"/>
        </w:rPr>
      </w:pPr>
      <w:bookmarkStart w:id="430" w:name="_Toc443898210"/>
      <w:r>
        <w:rPr>
          <w:rFonts w:hint="eastAsia" w:ascii="宋体" w:hAnsi="宋体" w:eastAsia="宋体" w:cs="宋体"/>
          <w:color w:val="000000"/>
          <w:sz w:val="24"/>
          <w:szCs w:val="24"/>
        </w:rPr>
        <w:t>17. 不可抗力</w:t>
      </w:r>
      <w:bookmarkEnd w:id="430"/>
    </w:p>
    <w:p w14:paraId="2C2CB035">
      <w:pPr>
        <w:ind w:firstLine="482" w:firstLineChars="200"/>
        <w:contextualSpacing/>
        <w:rPr>
          <w:rFonts w:hint="eastAsia" w:ascii="宋体" w:hAnsi="宋体" w:eastAsia="宋体" w:cs="宋体"/>
          <w:b/>
          <w:bCs/>
          <w:color w:val="000000"/>
          <w:sz w:val="24"/>
          <w:szCs w:val="24"/>
        </w:rPr>
      </w:pPr>
      <w:r>
        <w:rPr>
          <w:rFonts w:hint="eastAsia" w:ascii="宋体" w:hAnsi="宋体" w:eastAsia="宋体" w:cs="宋体"/>
          <w:b/>
          <w:bCs/>
          <w:color w:val="000000"/>
          <w:sz w:val="24"/>
          <w:szCs w:val="24"/>
        </w:rPr>
        <w:t>17.1 不可抗力的确认</w:t>
      </w:r>
    </w:p>
    <w:p w14:paraId="4E5BF63F">
      <w:pPr>
        <w:ind w:firstLine="480" w:firstLineChars="200"/>
        <w:contextualSpacing/>
        <w:jc w:val="left"/>
        <w:rPr>
          <w:rFonts w:hint="eastAsia" w:ascii="宋体" w:hAnsi="宋体" w:eastAsia="宋体" w:cs="宋体"/>
          <w:sz w:val="24"/>
          <w:szCs w:val="24"/>
          <w:u w:val="single"/>
        </w:rPr>
      </w:pPr>
      <w:r>
        <w:rPr>
          <w:rFonts w:hint="eastAsia" w:ascii="宋体" w:hAnsi="宋体" w:eastAsia="宋体" w:cs="宋体"/>
          <w:color w:val="000000"/>
          <w:sz w:val="24"/>
          <w:szCs w:val="24"/>
        </w:rPr>
        <w:t>除通用合同条款约定的不可抗力事件之外，视为不可抗力的其他情形：</w:t>
      </w:r>
      <w:r>
        <w:rPr>
          <w:rFonts w:hint="eastAsia" w:ascii="宋体" w:hAnsi="宋体" w:eastAsia="宋体" w:cs="宋体"/>
          <w:sz w:val="24"/>
          <w:szCs w:val="24"/>
          <w:u w:val="single"/>
        </w:rPr>
        <w:t>包括因战争、敌对行动（无论是否宣战）、入侵、外敌行为、军事政变、恐怖主义、骚乱、暴动、空中飞行物坠落或其他非合同双方当事人责任或原因造成的罢工、停工、爆炸、火灾等，以及：</w:t>
      </w:r>
    </w:p>
    <w:p w14:paraId="56D618D9">
      <w:pPr>
        <w:ind w:firstLine="480" w:firstLineChars="200"/>
        <w:contextualSpacing/>
        <w:rPr>
          <w:rFonts w:hint="eastAsia" w:ascii="宋体" w:hAnsi="宋体" w:eastAsia="宋体" w:cs="宋体"/>
          <w:sz w:val="24"/>
          <w:szCs w:val="24"/>
          <w:u w:val="single"/>
        </w:rPr>
      </w:pPr>
      <w:r>
        <w:rPr>
          <w:rFonts w:hint="eastAsia" w:ascii="宋体" w:hAnsi="宋体" w:eastAsia="宋体" w:cs="宋体"/>
          <w:sz w:val="24"/>
          <w:szCs w:val="24"/>
          <w:u w:val="single"/>
        </w:rPr>
        <w:t>（1）当地气象部门规定的情形：仅指50年以上（含50年）一遇的洪水、10级以上（含10级）台风；</w:t>
      </w:r>
    </w:p>
    <w:p w14:paraId="7EEDD304">
      <w:pPr>
        <w:ind w:firstLine="480" w:firstLineChars="200"/>
        <w:contextualSpacing/>
        <w:rPr>
          <w:rFonts w:hint="eastAsia" w:ascii="宋体" w:hAnsi="宋体" w:eastAsia="宋体" w:cs="宋体"/>
          <w:sz w:val="24"/>
          <w:szCs w:val="24"/>
          <w:u w:val="single"/>
        </w:rPr>
      </w:pPr>
      <w:r>
        <w:rPr>
          <w:rFonts w:hint="eastAsia" w:ascii="宋体" w:hAnsi="宋体" w:eastAsia="宋体" w:cs="宋体"/>
          <w:sz w:val="24"/>
          <w:szCs w:val="24"/>
          <w:u w:val="single"/>
        </w:rPr>
        <w:t>（2）当地地震部门规定的情形：仅指里氏5级以上（含5级）地震；</w:t>
      </w:r>
    </w:p>
    <w:p w14:paraId="1876A6DA">
      <w:pPr>
        <w:ind w:firstLine="480" w:firstLineChars="200"/>
        <w:contextualSpacing/>
        <w:rPr>
          <w:rFonts w:hint="eastAsia" w:ascii="宋体" w:hAnsi="宋体" w:eastAsia="宋体" w:cs="宋体"/>
          <w:sz w:val="24"/>
          <w:szCs w:val="24"/>
          <w:u w:val="single"/>
        </w:rPr>
      </w:pPr>
      <w:r>
        <w:rPr>
          <w:rFonts w:hint="eastAsia" w:ascii="宋体" w:hAnsi="宋体" w:eastAsia="宋体" w:cs="宋体"/>
          <w:sz w:val="24"/>
          <w:szCs w:val="24"/>
          <w:u w:val="single"/>
        </w:rPr>
        <w:t>（3）当地卫生部门规定的情形：仅指强行要求停工的情况发生。</w:t>
      </w:r>
    </w:p>
    <w:p w14:paraId="5AB791E9">
      <w:pPr>
        <w:ind w:firstLine="480" w:firstLineChars="200"/>
        <w:contextualSpacing/>
        <w:rPr>
          <w:rFonts w:hint="eastAsia" w:ascii="宋体" w:hAnsi="宋体" w:eastAsia="宋体" w:cs="宋体"/>
          <w:color w:val="000000"/>
          <w:sz w:val="24"/>
          <w:szCs w:val="24"/>
        </w:rPr>
      </w:pPr>
      <w:r>
        <w:rPr>
          <w:rFonts w:hint="eastAsia" w:ascii="宋体" w:hAnsi="宋体" w:eastAsia="宋体" w:cs="宋体"/>
          <w:color w:val="000000"/>
          <w:sz w:val="24"/>
          <w:szCs w:val="24"/>
        </w:rPr>
        <w:t>17.3 不可抗力后果的承担</w:t>
      </w:r>
    </w:p>
    <w:p w14:paraId="58A56E72">
      <w:pPr>
        <w:ind w:firstLine="480" w:firstLineChars="200"/>
        <w:contextualSpacing/>
        <w:jc w:val="left"/>
        <w:rPr>
          <w:rFonts w:hint="eastAsia" w:ascii="宋体" w:hAnsi="宋体" w:eastAsia="宋体" w:cs="宋体"/>
          <w:color w:val="000000"/>
          <w:sz w:val="24"/>
          <w:szCs w:val="24"/>
        </w:rPr>
      </w:pPr>
      <w:r>
        <w:rPr>
          <w:rFonts w:hint="eastAsia" w:ascii="宋体" w:hAnsi="宋体" w:eastAsia="宋体" w:cs="宋体"/>
          <w:color w:val="000000"/>
          <w:sz w:val="24"/>
          <w:szCs w:val="24"/>
        </w:rPr>
        <w:t>17.3.2条款第（4）目中“停工期间必须支付的工资工资”指：停工期间为保护施工现场的工程、材料和工程设备而安排的必要人员的工资（如留守人员的工资等）。</w:t>
      </w:r>
    </w:p>
    <w:p w14:paraId="48813AAC">
      <w:pPr>
        <w:ind w:firstLine="482" w:firstLineChars="200"/>
        <w:contextualSpacing/>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17.4 因不可抗力解除合同</w:t>
      </w:r>
    </w:p>
    <w:p w14:paraId="3EA3D6A5">
      <w:pPr>
        <w:ind w:firstLine="480" w:firstLineChars="200"/>
        <w:contextualSpacing/>
        <w:jc w:val="left"/>
        <w:rPr>
          <w:rFonts w:hint="eastAsia" w:ascii="宋体" w:hAnsi="宋体" w:eastAsia="宋体" w:cs="宋体"/>
          <w:color w:val="000000"/>
          <w:sz w:val="24"/>
          <w:szCs w:val="24"/>
        </w:rPr>
      </w:pPr>
      <w:r>
        <w:rPr>
          <w:rFonts w:hint="eastAsia" w:ascii="宋体" w:hAnsi="宋体" w:eastAsia="宋体" w:cs="宋体"/>
          <w:color w:val="000000"/>
          <w:sz w:val="24"/>
          <w:szCs w:val="24"/>
        </w:rPr>
        <w:t>第（3）目修改为：发包人要求承包人退货或解除订货合同而产生的费用，或因不能退货或解除合同而产生的损失，但承包人自行退货或解除合同的除外，无论是否经发包人同意。</w:t>
      </w:r>
    </w:p>
    <w:p w14:paraId="35C7F369">
      <w:pPr>
        <w:ind w:firstLine="480" w:firstLineChars="200"/>
        <w:contextualSpacing/>
        <w:jc w:val="left"/>
        <w:rPr>
          <w:rFonts w:hint="eastAsia" w:ascii="宋体" w:hAnsi="宋体" w:eastAsia="宋体" w:cs="宋体"/>
          <w:color w:val="000000"/>
          <w:sz w:val="24"/>
          <w:szCs w:val="24"/>
        </w:rPr>
      </w:pPr>
      <w:r>
        <w:rPr>
          <w:rFonts w:hint="eastAsia" w:ascii="宋体" w:hAnsi="宋体" w:eastAsia="宋体" w:cs="宋体"/>
          <w:color w:val="000000"/>
          <w:sz w:val="24"/>
          <w:szCs w:val="24"/>
        </w:rPr>
        <w:t>合同解除后，发包人应在商定或确定发包人应支付款项后</w:t>
      </w:r>
      <w:r>
        <w:rPr>
          <w:rFonts w:hint="eastAsia" w:ascii="宋体" w:hAnsi="宋体" w:eastAsia="宋体" w:cs="宋体"/>
          <w:color w:val="000000"/>
          <w:kern w:val="0"/>
          <w:sz w:val="24"/>
          <w:szCs w:val="24"/>
          <w:u w:val="single"/>
        </w:rPr>
        <w:t>28天</w:t>
      </w:r>
      <w:r>
        <w:rPr>
          <w:rFonts w:hint="eastAsia" w:ascii="宋体" w:hAnsi="宋体" w:eastAsia="宋体" w:cs="宋体"/>
          <w:color w:val="000000"/>
          <w:sz w:val="24"/>
          <w:szCs w:val="24"/>
        </w:rPr>
        <w:t>内完成款项的支付。</w:t>
      </w:r>
    </w:p>
    <w:p w14:paraId="1B6F752A">
      <w:pPr>
        <w:pStyle w:val="5"/>
        <w:spacing w:before="0" w:after="0" w:line="240" w:lineRule="auto"/>
        <w:ind w:firstLine="482" w:firstLineChars="200"/>
        <w:contextualSpacing/>
        <w:rPr>
          <w:rFonts w:hint="eastAsia" w:ascii="宋体" w:hAnsi="宋体" w:eastAsia="宋体" w:cs="宋体"/>
          <w:color w:val="000000"/>
          <w:sz w:val="24"/>
          <w:szCs w:val="24"/>
        </w:rPr>
      </w:pPr>
      <w:bookmarkStart w:id="431" w:name="_Toc443898211"/>
      <w:r>
        <w:rPr>
          <w:rFonts w:hint="eastAsia" w:ascii="宋体" w:hAnsi="宋体" w:eastAsia="宋体" w:cs="宋体"/>
          <w:color w:val="000000"/>
          <w:sz w:val="24"/>
          <w:szCs w:val="24"/>
        </w:rPr>
        <w:t>18. 保险</w:t>
      </w:r>
      <w:bookmarkEnd w:id="431"/>
    </w:p>
    <w:p w14:paraId="7B6BF5EF">
      <w:pPr>
        <w:ind w:firstLine="482" w:firstLineChars="200"/>
        <w:contextualSpacing/>
        <w:rPr>
          <w:rFonts w:hint="eastAsia" w:ascii="宋体" w:hAnsi="宋体" w:eastAsia="宋体" w:cs="宋体"/>
          <w:b/>
          <w:color w:val="000000"/>
          <w:sz w:val="24"/>
          <w:szCs w:val="24"/>
        </w:rPr>
      </w:pPr>
      <w:r>
        <w:rPr>
          <w:rFonts w:hint="eastAsia" w:ascii="宋体" w:hAnsi="宋体" w:eastAsia="宋体" w:cs="宋体"/>
          <w:b/>
          <w:color w:val="000000"/>
          <w:sz w:val="24"/>
          <w:szCs w:val="24"/>
        </w:rPr>
        <w:t>18.1 工程保险</w:t>
      </w:r>
    </w:p>
    <w:p w14:paraId="54729B33">
      <w:pPr>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关于工程保险的特别约定：</w:t>
      </w:r>
    </w:p>
    <w:p w14:paraId="143E7C5B">
      <w:pPr>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保险期从办理保险之日起至工程竣工验收合格之日止。</w:t>
      </w:r>
    </w:p>
    <w:p w14:paraId="5EBA51A5">
      <w:pPr>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除发包人投保的险种外，承包人应为下列事项办理保险，包括但不限于：</w:t>
      </w:r>
    </w:p>
    <w:p w14:paraId="5500E6D2">
      <w:pPr>
        <w:ind w:firstLine="480" w:firstLineChars="200"/>
        <w:contextualSpacing/>
        <w:rPr>
          <w:rFonts w:hint="eastAsia" w:ascii="宋体" w:hAnsi="宋体" w:eastAsia="宋体" w:cs="宋体"/>
          <w:sz w:val="24"/>
          <w:szCs w:val="24"/>
          <w:u w:val="single"/>
        </w:rPr>
      </w:pPr>
      <w:r>
        <w:rPr>
          <w:rFonts w:hint="eastAsia" w:ascii="宋体" w:hAnsi="宋体" w:eastAsia="宋体" w:cs="宋体"/>
          <w:sz w:val="24"/>
          <w:szCs w:val="24"/>
          <w:u w:val="single"/>
        </w:rPr>
        <w:t>（1）工程开工前，为施工场地内自有人员办理工伤保险和意外伤害保险；</w:t>
      </w:r>
    </w:p>
    <w:p w14:paraId="2EBDD6C6">
      <w:pPr>
        <w:ind w:firstLine="480" w:firstLineChars="200"/>
        <w:contextualSpacing/>
        <w:rPr>
          <w:rFonts w:hint="eastAsia" w:ascii="宋体" w:hAnsi="宋体" w:eastAsia="宋体" w:cs="宋体"/>
          <w:sz w:val="24"/>
          <w:szCs w:val="24"/>
          <w:u w:val="single"/>
        </w:rPr>
      </w:pPr>
      <w:r>
        <w:rPr>
          <w:rFonts w:hint="eastAsia" w:ascii="宋体" w:hAnsi="宋体" w:eastAsia="宋体" w:cs="宋体"/>
          <w:sz w:val="24"/>
          <w:szCs w:val="24"/>
          <w:u w:val="single"/>
        </w:rPr>
        <w:t>（2）为施工场地内的自有施工机械、设备办理保险。</w:t>
      </w:r>
    </w:p>
    <w:p w14:paraId="545FAE09">
      <w:pPr>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（3）工程开工前，办理安全生产责任险。</w:t>
      </w:r>
    </w:p>
    <w:p w14:paraId="760EE32A">
      <w:pPr>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承包人支付上述保险费，该保险费已包含在合同总价中，保险期自开工之日起至工程竣工验收合格之日止。有关工程保险（包括发包人及承包人投保项目）的理赔事宜由承包人协调处理。</w:t>
      </w:r>
    </w:p>
    <w:p w14:paraId="38FC264F">
      <w:pPr>
        <w:ind w:firstLine="482" w:firstLineChars="200"/>
        <w:contextualSpacing/>
        <w:rPr>
          <w:rFonts w:hint="eastAsia" w:ascii="宋体" w:hAnsi="宋体" w:eastAsia="宋体" w:cs="宋体"/>
          <w:b/>
          <w:color w:val="000000"/>
          <w:sz w:val="24"/>
          <w:szCs w:val="24"/>
        </w:rPr>
      </w:pPr>
      <w:r>
        <w:rPr>
          <w:rFonts w:hint="eastAsia" w:ascii="宋体" w:hAnsi="宋体" w:eastAsia="宋体" w:cs="宋体"/>
          <w:b/>
          <w:color w:val="000000"/>
          <w:sz w:val="24"/>
          <w:szCs w:val="24"/>
        </w:rPr>
        <w:t>18.3 其他保险</w:t>
      </w:r>
    </w:p>
    <w:p w14:paraId="681CBE2B">
      <w:pPr>
        <w:ind w:firstLine="480" w:firstLineChars="200"/>
        <w:contextualSpacing/>
        <w:jc w:val="left"/>
        <w:rPr>
          <w:rFonts w:hint="eastAsia" w:ascii="宋体" w:hAnsi="宋体" w:eastAsia="宋体" w:cs="宋体"/>
          <w:color w:val="000000"/>
          <w:kern w:val="0"/>
          <w:sz w:val="24"/>
          <w:szCs w:val="24"/>
        </w:rPr>
      </w:pPr>
      <w:r>
        <w:rPr>
          <w:rFonts w:hint="eastAsia" w:ascii="宋体" w:hAnsi="宋体" w:eastAsia="宋体" w:cs="宋体"/>
          <w:color w:val="000000"/>
          <w:sz w:val="24"/>
          <w:szCs w:val="24"/>
        </w:rPr>
        <w:t>关于其他保险的约定：</w:t>
      </w:r>
      <w:r>
        <w:rPr>
          <w:rFonts w:hint="eastAsia" w:ascii="宋体" w:hAnsi="宋体" w:eastAsia="宋体" w:cs="宋体"/>
          <w:color w:val="000000"/>
          <w:kern w:val="0"/>
          <w:sz w:val="24"/>
          <w:szCs w:val="24"/>
          <w:u w:val="single"/>
        </w:rPr>
        <w:t>无</w:t>
      </w:r>
      <w:r>
        <w:rPr>
          <w:rFonts w:hint="eastAsia" w:ascii="宋体" w:hAnsi="宋体" w:eastAsia="宋体" w:cs="宋体"/>
          <w:color w:val="000000"/>
          <w:kern w:val="0"/>
          <w:sz w:val="24"/>
          <w:szCs w:val="24"/>
        </w:rPr>
        <w:t>。</w:t>
      </w:r>
    </w:p>
    <w:p w14:paraId="658A79E5">
      <w:pPr>
        <w:ind w:firstLine="480" w:firstLineChars="200"/>
        <w:contextualSpacing/>
        <w:jc w:val="left"/>
        <w:rPr>
          <w:rFonts w:hint="eastAsia" w:ascii="宋体" w:hAnsi="宋体" w:eastAsia="宋体" w:cs="宋体"/>
          <w:color w:val="000000"/>
          <w:kern w:val="0"/>
          <w:sz w:val="24"/>
          <w:szCs w:val="24"/>
        </w:rPr>
      </w:pPr>
      <w:r>
        <w:rPr>
          <w:rFonts w:hint="eastAsia" w:ascii="宋体" w:hAnsi="宋体" w:eastAsia="宋体" w:cs="宋体"/>
          <w:color w:val="000000"/>
          <w:sz w:val="24"/>
          <w:szCs w:val="24"/>
        </w:rPr>
        <w:t>承包人是否应为其施工设备等办理财产保险：</w:t>
      </w:r>
      <w:r>
        <w:rPr>
          <w:rFonts w:hint="eastAsia" w:ascii="宋体" w:hAnsi="宋体" w:eastAsia="宋体" w:cs="宋体"/>
          <w:color w:val="000000"/>
          <w:sz w:val="24"/>
          <w:szCs w:val="24"/>
          <w:u w:val="single"/>
        </w:rPr>
        <w:t>是</w:t>
      </w:r>
      <w:r>
        <w:rPr>
          <w:rFonts w:hint="eastAsia" w:ascii="宋体" w:hAnsi="宋体" w:eastAsia="宋体" w:cs="宋体"/>
          <w:color w:val="000000"/>
          <w:sz w:val="24"/>
          <w:szCs w:val="24"/>
        </w:rPr>
        <w:t>。</w:t>
      </w:r>
    </w:p>
    <w:p w14:paraId="76BC2387">
      <w:pPr>
        <w:ind w:firstLine="480" w:firstLineChars="200"/>
        <w:contextualSpacing/>
        <w:rPr>
          <w:rFonts w:hint="eastAsia" w:ascii="宋体" w:hAnsi="宋体" w:eastAsia="宋体" w:cs="宋体"/>
          <w:color w:val="000000"/>
          <w:sz w:val="24"/>
          <w:szCs w:val="24"/>
        </w:rPr>
      </w:pPr>
      <w:r>
        <w:rPr>
          <w:rFonts w:hint="eastAsia" w:ascii="宋体" w:hAnsi="宋体" w:eastAsia="宋体" w:cs="宋体"/>
          <w:color w:val="000000"/>
          <w:sz w:val="24"/>
          <w:szCs w:val="24"/>
        </w:rPr>
        <w:t>18.7 通知义务</w:t>
      </w:r>
    </w:p>
    <w:p w14:paraId="27606255">
      <w:pPr>
        <w:ind w:firstLine="480" w:firstLineChars="200"/>
        <w:contextualSpacing/>
        <w:jc w:val="left"/>
        <w:rPr>
          <w:rFonts w:hint="eastAsia" w:ascii="宋体" w:hAnsi="宋体" w:eastAsia="宋体" w:cs="宋体"/>
          <w:color w:val="000000"/>
          <w:sz w:val="24"/>
          <w:szCs w:val="24"/>
        </w:rPr>
      </w:pPr>
      <w:r>
        <w:rPr>
          <w:rFonts w:hint="eastAsia" w:ascii="宋体" w:hAnsi="宋体" w:eastAsia="宋体" w:cs="宋体"/>
          <w:color w:val="000000"/>
          <w:kern w:val="0"/>
          <w:sz w:val="24"/>
          <w:szCs w:val="24"/>
        </w:rPr>
        <w:t>关于变更保险合同时的通知义务的约定：</w:t>
      </w:r>
      <w:r>
        <w:rPr>
          <w:rFonts w:hint="eastAsia" w:ascii="宋体" w:hAnsi="宋体" w:eastAsia="宋体" w:cs="宋体"/>
          <w:color w:val="000000"/>
          <w:sz w:val="24"/>
          <w:szCs w:val="24"/>
          <w:u w:val="single"/>
        </w:rPr>
        <w:t>无</w:t>
      </w:r>
      <w:r>
        <w:rPr>
          <w:rFonts w:hint="eastAsia" w:ascii="宋体" w:hAnsi="宋体" w:eastAsia="宋体" w:cs="宋体"/>
          <w:color w:val="000000"/>
          <w:sz w:val="24"/>
          <w:szCs w:val="24"/>
        </w:rPr>
        <w:t>。</w:t>
      </w:r>
    </w:p>
    <w:p w14:paraId="3912EACC">
      <w:pPr>
        <w:pStyle w:val="5"/>
        <w:spacing w:before="0" w:after="0" w:line="240" w:lineRule="auto"/>
        <w:ind w:firstLine="482" w:firstLineChars="200"/>
        <w:contextualSpacing/>
        <w:rPr>
          <w:rFonts w:hint="eastAsia" w:ascii="宋体" w:hAnsi="宋体" w:eastAsia="宋体" w:cs="宋体"/>
          <w:color w:val="000000"/>
          <w:sz w:val="24"/>
          <w:szCs w:val="24"/>
        </w:rPr>
      </w:pPr>
      <w:bookmarkStart w:id="432" w:name="_Toc443898212"/>
      <w:r>
        <w:rPr>
          <w:rFonts w:hint="eastAsia" w:ascii="宋体" w:hAnsi="宋体" w:eastAsia="宋体" w:cs="宋体"/>
          <w:color w:val="000000"/>
          <w:sz w:val="24"/>
          <w:szCs w:val="24"/>
        </w:rPr>
        <w:t>19. 索赔</w:t>
      </w:r>
      <w:bookmarkEnd w:id="432"/>
    </w:p>
    <w:p w14:paraId="397B063E">
      <w:pPr>
        <w:ind w:firstLine="482" w:firstLineChars="200"/>
        <w:contextualSpacing/>
        <w:rPr>
          <w:rFonts w:hint="eastAsia" w:ascii="宋体" w:hAnsi="宋体" w:eastAsia="宋体" w:cs="宋体"/>
          <w:b/>
          <w:color w:val="000000"/>
          <w:sz w:val="24"/>
          <w:szCs w:val="24"/>
        </w:rPr>
      </w:pPr>
      <w:r>
        <w:rPr>
          <w:rFonts w:hint="eastAsia" w:ascii="宋体" w:hAnsi="宋体" w:eastAsia="宋体" w:cs="宋体"/>
          <w:b/>
          <w:color w:val="000000"/>
          <w:sz w:val="24"/>
          <w:szCs w:val="24"/>
        </w:rPr>
        <w:t>此条款不适用。</w:t>
      </w:r>
    </w:p>
    <w:p w14:paraId="319FE29F">
      <w:pPr>
        <w:pStyle w:val="5"/>
        <w:spacing w:before="0" w:after="0" w:line="240" w:lineRule="auto"/>
        <w:ind w:firstLine="482" w:firstLineChars="200"/>
        <w:contextualSpacing/>
        <w:rPr>
          <w:rFonts w:hint="eastAsia" w:ascii="宋体" w:hAnsi="宋体" w:eastAsia="宋体" w:cs="宋体"/>
          <w:color w:val="000000"/>
          <w:sz w:val="24"/>
          <w:szCs w:val="24"/>
        </w:rPr>
      </w:pPr>
      <w:bookmarkStart w:id="433" w:name="_Toc443898213"/>
      <w:r>
        <w:rPr>
          <w:rFonts w:hint="eastAsia" w:ascii="宋体" w:hAnsi="宋体" w:eastAsia="宋体" w:cs="宋体"/>
          <w:color w:val="000000"/>
          <w:sz w:val="24"/>
          <w:szCs w:val="24"/>
        </w:rPr>
        <w:t>20. 争议解决</w:t>
      </w:r>
      <w:bookmarkEnd w:id="433"/>
    </w:p>
    <w:p w14:paraId="7A37B199">
      <w:pPr>
        <w:ind w:firstLine="482" w:firstLineChars="200"/>
        <w:contextualSpacing/>
        <w:rPr>
          <w:rFonts w:hint="eastAsia" w:ascii="宋体" w:hAnsi="宋体" w:eastAsia="宋体" w:cs="宋体"/>
          <w:b/>
          <w:color w:val="000000"/>
          <w:sz w:val="24"/>
          <w:szCs w:val="24"/>
        </w:rPr>
      </w:pPr>
      <w:r>
        <w:rPr>
          <w:rFonts w:hint="eastAsia" w:ascii="宋体" w:hAnsi="宋体" w:eastAsia="宋体" w:cs="宋体"/>
          <w:b/>
          <w:color w:val="000000"/>
          <w:sz w:val="24"/>
          <w:szCs w:val="24"/>
        </w:rPr>
        <w:t>20.3 争议评审</w:t>
      </w:r>
    </w:p>
    <w:p w14:paraId="613C4CAA">
      <w:pPr>
        <w:ind w:firstLine="480" w:firstLineChars="200"/>
        <w:contextualSpacing/>
        <w:rPr>
          <w:rFonts w:hint="eastAsia" w:ascii="宋体" w:hAnsi="宋体" w:eastAsia="宋体" w:cs="宋体"/>
          <w:color w:val="000000"/>
          <w:sz w:val="24"/>
          <w:szCs w:val="24"/>
          <w:u w:val="single"/>
        </w:rPr>
      </w:pPr>
      <w:r>
        <w:rPr>
          <w:rFonts w:hint="eastAsia" w:ascii="宋体" w:hAnsi="宋体" w:eastAsia="宋体" w:cs="宋体"/>
          <w:color w:val="000000"/>
          <w:sz w:val="24"/>
          <w:szCs w:val="24"/>
          <w:u w:val="single"/>
        </w:rPr>
        <w:t>不采用。</w:t>
      </w:r>
    </w:p>
    <w:p w14:paraId="6236D414">
      <w:pPr>
        <w:ind w:firstLine="482" w:firstLineChars="200"/>
        <w:contextualSpacing/>
        <w:rPr>
          <w:rFonts w:hint="eastAsia" w:ascii="宋体" w:hAnsi="宋体" w:eastAsia="宋体" w:cs="宋体"/>
          <w:b/>
          <w:color w:val="000000"/>
          <w:sz w:val="24"/>
          <w:szCs w:val="24"/>
        </w:rPr>
      </w:pPr>
      <w:r>
        <w:rPr>
          <w:rFonts w:hint="eastAsia" w:ascii="宋体" w:hAnsi="宋体" w:eastAsia="宋体" w:cs="宋体"/>
          <w:b/>
          <w:color w:val="000000"/>
          <w:sz w:val="24"/>
          <w:szCs w:val="24"/>
        </w:rPr>
        <w:t>20.4仲裁或诉讼</w:t>
      </w:r>
    </w:p>
    <w:p w14:paraId="6B2C9134">
      <w:pPr>
        <w:ind w:firstLine="480" w:firstLineChars="200"/>
        <w:contextualSpacing/>
        <w:jc w:val="left"/>
        <w:rPr>
          <w:rFonts w:hint="eastAsia" w:ascii="宋体" w:hAnsi="宋体" w:eastAsia="宋体" w:cs="宋体"/>
          <w:color w:val="000000"/>
          <w:sz w:val="24"/>
          <w:szCs w:val="24"/>
        </w:rPr>
      </w:pPr>
      <w:r>
        <w:rPr>
          <w:rFonts w:hint="eastAsia" w:ascii="宋体" w:hAnsi="宋体" w:eastAsia="宋体" w:cs="宋体"/>
          <w:color w:val="000000"/>
          <w:sz w:val="24"/>
          <w:szCs w:val="24"/>
        </w:rPr>
        <w:t>因合同及合同有关事项发生的争议，双方可向</w:t>
      </w:r>
      <w:r>
        <w:rPr>
          <w:rFonts w:hint="eastAsia" w:ascii="宋体" w:hAnsi="宋体" w:eastAsia="宋体" w:cs="宋体"/>
          <w:color w:val="000000"/>
          <w:kern w:val="0"/>
          <w:sz w:val="24"/>
          <w:szCs w:val="24"/>
          <w:u w:val="single"/>
        </w:rPr>
        <w:t>发包人住所地有管辖权的</w:t>
      </w:r>
      <w:r>
        <w:rPr>
          <w:rFonts w:hint="eastAsia" w:ascii="宋体" w:hAnsi="宋体" w:eastAsia="宋体" w:cs="宋体"/>
          <w:color w:val="000000"/>
          <w:sz w:val="24"/>
          <w:szCs w:val="24"/>
        </w:rPr>
        <w:t>人民法院通过诉讼方式解决。</w:t>
      </w:r>
    </w:p>
    <w:p w14:paraId="42D04E6F">
      <w:pPr>
        <w:ind w:firstLine="482" w:firstLineChars="200"/>
        <w:contextualSpacing/>
        <w:jc w:val="left"/>
        <w:rPr>
          <w:rFonts w:hint="eastAsia" w:ascii="宋体" w:hAnsi="宋体" w:eastAsia="宋体" w:cs="宋体"/>
          <w:b/>
          <w:color w:val="000000"/>
          <w:sz w:val="24"/>
          <w:szCs w:val="24"/>
        </w:rPr>
      </w:pPr>
      <w:r>
        <w:rPr>
          <w:rFonts w:hint="eastAsia" w:ascii="宋体" w:hAnsi="宋体" w:eastAsia="宋体" w:cs="宋体"/>
          <w:b/>
          <w:color w:val="000000"/>
          <w:sz w:val="24"/>
          <w:szCs w:val="24"/>
        </w:rPr>
        <w:t>21.补充条款</w:t>
      </w:r>
    </w:p>
    <w:p w14:paraId="26620319">
      <w:pPr>
        <w:ind w:firstLine="480" w:firstLineChars="200"/>
        <w:contextualSpacing/>
        <w:jc w:val="left"/>
        <w:rPr>
          <w:rFonts w:hint="eastAsia" w:ascii="宋体" w:hAnsi="宋体" w:eastAsia="宋体" w:cs="宋体"/>
          <w:color w:val="000000"/>
          <w:sz w:val="24"/>
          <w:szCs w:val="24"/>
        </w:rPr>
      </w:pPr>
      <w:r>
        <w:rPr>
          <w:rFonts w:hint="eastAsia" w:ascii="宋体" w:hAnsi="宋体" w:eastAsia="宋体" w:cs="宋体"/>
          <w:color w:val="000000"/>
          <w:sz w:val="24"/>
          <w:szCs w:val="24"/>
        </w:rPr>
        <w:t>本工程执行《佛山市政府投资工程建设项目标后履约监督管理办法（试行）》（佛政数〔2024〕24号）相关规定，承包人部分违约情况向发包人支付违约金的标准详见合同附件16《承包人违约情况一览表》。</w:t>
      </w:r>
    </w:p>
    <w:p w14:paraId="08A4A691">
      <w:pPr>
        <w:contextualSpacing/>
        <w:jc w:val="left"/>
        <w:rPr>
          <w:rFonts w:hint="eastAsia" w:ascii="宋体" w:hAnsi="宋体" w:eastAsia="宋体" w:cs="宋体"/>
          <w:color w:val="000000"/>
          <w:sz w:val="30"/>
          <w:szCs w:val="32"/>
        </w:rPr>
      </w:pPr>
      <w:r>
        <w:rPr>
          <w:rFonts w:hint="eastAsia" w:ascii="宋体" w:hAnsi="宋体" w:eastAsia="宋体" w:cs="宋体"/>
          <w:color w:val="000000"/>
          <w:sz w:val="24"/>
          <w:szCs w:val="24"/>
        </w:rPr>
        <w:br w:type="page"/>
      </w:r>
      <w:r>
        <w:rPr>
          <w:rFonts w:hint="eastAsia" w:ascii="宋体" w:hAnsi="宋体" w:eastAsia="宋体" w:cs="宋体"/>
          <w:color w:val="000000"/>
          <w:sz w:val="32"/>
          <w:szCs w:val="32"/>
        </w:rPr>
        <w:t>附件：</w:t>
      </w:r>
      <w:bookmarkStart w:id="434" w:name="OLE_LINK6"/>
      <w:bookmarkStart w:id="435" w:name="OLE_LINK7"/>
    </w:p>
    <w:p w14:paraId="7130C9BA">
      <w:pPr>
        <w:contextualSpacing/>
        <w:jc w:val="left"/>
        <w:rPr>
          <w:rFonts w:hint="eastAsia" w:ascii="宋体" w:hAnsi="宋体" w:eastAsia="宋体" w:cs="宋体"/>
          <w:color w:val="000000"/>
          <w:sz w:val="30"/>
          <w:szCs w:val="32"/>
        </w:rPr>
      </w:pPr>
      <w:r>
        <w:rPr>
          <w:rFonts w:hint="eastAsia" w:ascii="宋体" w:hAnsi="宋体" w:eastAsia="宋体" w:cs="宋体"/>
          <w:color w:val="000000"/>
          <w:sz w:val="30"/>
          <w:szCs w:val="32"/>
        </w:rPr>
        <w:t>1.承</w:t>
      </w:r>
      <w:bookmarkEnd w:id="434"/>
      <w:bookmarkEnd w:id="435"/>
      <w:r>
        <w:rPr>
          <w:rFonts w:hint="eastAsia" w:ascii="宋体" w:hAnsi="宋体" w:eastAsia="宋体" w:cs="宋体"/>
          <w:color w:val="000000"/>
          <w:sz w:val="30"/>
          <w:szCs w:val="32"/>
        </w:rPr>
        <w:t>包人承揽工程项目一览表</w:t>
      </w:r>
    </w:p>
    <w:p w14:paraId="26C28AB0">
      <w:pPr>
        <w:contextualSpacing/>
        <w:jc w:val="left"/>
        <w:rPr>
          <w:rFonts w:hint="eastAsia" w:ascii="宋体" w:hAnsi="宋体" w:eastAsia="宋体" w:cs="宋体"/>
          <w:color w:val="000000"/>
          <w:sz w:val="30"/>
          <w:szCs w:val="32"/>
        </w:rPr>
      </w:pPr>
      <w:r>
        <w:rPr>
          <w:rFonts w:hint="eastAsia" w:ascii="宋体" w:hAnsi="宋体" w:eastAsia="宋体" w:cs="宋体"/>
          <w:color w:val="000000"/>
          <w:sz w:val="30"/>
          <w:szCs w:val="32"/>
        </w:rPr>
        <w:t>2.发包人供应材料设备一览表</w:t>
      </w:r>
    </w:p>
    <w:p w14:paraId="2527A02F">
      <w:pPr>
        <w:jc w:val="left"/>
        <w:rPr>
          <w:rFonts w:hint="eastAsia" w:ascii="宋体" w:hAnsi="宋体" w:eastAsia="宋体" w:cs="宋体"/>
          <w:color w:val="000000"/>
          <w:sz w:val="30"/>
          <w:szCs w:val="32"/>
        </w:rPr>
      </w:pPr>
      <w:r>
        <w:rPr>
          <w:rFonts w:hint="eastAsia" w:ascii="宋体" w:hAnsi="宋体" w:eastAsia="宋体" w:cs="宋体"/>
          <w:color w:val="000000"/>
          <w:sz w:val="30"/>
          <w:szCs w:val="32"/>
        </w:rPr>
        <w:t>3.工程质量保修书</w:t>
      </w:r>
    </w:p>
    <w:p w14:paraId="0BF15D4B">
      <w:pPr>
        <w:jc w:val="left"/>
        <w:rPr>
          <w:rFonts w:hint="eastAsia" w:ascii="宋体" w:hAnsi="宋体" w:eastAsia="宋体" w:cs="宋体"/>
          <w:color w:val="000000"/>
          <w:sz w:val="30"/>
          <w:szCs w:val="32"/>
        </w:rPr>
      </w:pPr>
      <w:r>
        <w:rPr>
          <w:rFonts w:hint="eastAsia" w:ascii="宋体" w:hAnsi="宋体" w:eastAsia="宋体" w:cs="宋体"/>
          <w:color w:val="000000"/>
          <w:sz w:val="30"/>
          <w:szCs w:val="32"/>
        </w:rPr>
        <w:t>4.主要建设工程文件目录</w:t>
      </w:r>
    </w:p>
    <w:p w14:paraId="79C9AA09">
      <w:pPr>
        <w:jc w:val="left"/>
        <w:rPr>
          <w:rFonts w:hint="eastAsia" w:ascii="宋体" w:hAnsi="宋体" w:eastAsia="宋体" w:cs="宋体"/>
          <w:color w:val="000000"/>
          <w:sz w:val="30"/>
          <w:szCs w:val="32"/>
        </w:rPr>
      </w:pPr>
      <w:r>
        <w:rPr>
          <w:rFonts w:hint="eastAsia" w:ascii="宋体" w:hAnsi="宋体" w:eastAsia="宋体" w:cs="宋体"/>
          <w:color w:val="000000"/>
          <w:sz w:val="30"/>
          <w:szCs w:val="32"/>
        </w:rPr>
        <w:t>5.承包人用于本工程施工的机械设备表</w:t>
      </w:r>
    </w:p>
    <w:p w14:paraId="3CED5A7D">
      <w:pPr>
        <w:jc w:val="left"/>
        <w:rPr>
          <w:rFonts w:hint="eastAsia" w:ascii="宋体" w:hAnsi="宋体" w:eastAsia="宋体" w:cs="宋体"/>
          <w:color w:val="000000"/>
          <w:sz w:val="30"/>
          <w:szCs w:val="32"/>
        </w:rPr>
      </w:pPr>
      <w:r>
        <w:rPr>
          <w:rFonts w:hint="eastAsia" w:ascii="宋体" w:hAnsi="宋体" w:eastAsia="宋体" w:cs="宋体"/>
          <w:color w:val="000000"/>
          <w:sz w:val="30"/>
          <w:szCs w:val="32"/>
        </w:rPr>
        <w:t>6.承包人主要施工管理人员表</w:t>
      </w:r>
    </w:p>
    <w:p w14:paraId="06E5D3C4">
      <w:pPr>
        <w:jc w:val="left"/>
        <w:rPr>
          <w:rFonts w:hint="eastAsia" w:ascii="宋体" w:hAnsi="宋体" w:eastAsia="宋体" w:cs="宋体"/>
          <w:color w:val="000000"/>
          <w:sz w:val="30"/>
          <w:szCs w:val="32"/>
        </w:rPr>
      </w:pPr>
      <w:r>
        <w:rPr>
          <w:rFonts w:hint="eastAsia" w:ascii="宋体" w:hAnsi="宋体" w:eastAsia="宋体" w:cs="宋体"/>
          <w:color w:val="000000"/>
          <w:sz w:val="30"/>
          <w:szCs w:val="32"/>
        </w:rPr>
        <w:t>7.分包人主要施工管理人员表</w:t>
      </w:r>
    </w:p>
    <w:p w14:paraId="1FE22D7E">
      <w:pPr>
        <w:rPr>
          <w:rFonts w:hint="eastAsia" w:ascii="宋体" w:hAnsi="宋体" w:eastAsia="宋体" w:cs="宋体"/>
          <w:color w:val="000000"/>
          <w:sz w:val="30"/>
          <w:szCs w:val="32"/>
        </w:rPr>
      </w:pPr>
      <w:r>
        <w:rPr>
          <w:rFonts w:hint="eastAsia" w:ascii="宋体" w:hAnsi="宋体" w:eastAsia="宋体" w:cs="宋体"/>
          <w:color w:val="000000"/>
          <w:sz w:val="30"/>
          <w:szCs w:val="32"/>
        </w:rPr>
        <w:t>8.银行履约保函</w:t>
      </w:r>
    </w:p>
    <w:p w14:paraId="5C968E4C">
      <w:pPr>
        <w:jc w:val="left"/>
        <w:rPr>
          <w:rFonts w:hint="eastAsia" w:ascii="宋体" w:hAnsi="宋体" w:eastAsia="宋体" w:cs="宋体"/>
          <w:color w:val="000000"/>
          <w:sz w:val="30"/>
          <w:szCs w:val="32"/>
        </w:rPr>
      </w:pPr>
      <w:r>
        <w:rPr>
          <w:rFonts w:hint="eastAsia" w:ascii="宋体" w:hAnsi="宋体" w:eastAsia="宋体" w:cs="宋体"/>
          <w:color w:val="000000"/>
          <w:sz w:val="30"/>
          <w:szCs w:val="32"/>
        </w:rPr>
        <w:t>9.预付款银行保函</w:t>
      </w:r>
    </w:p>
    <w:p w14:paraId="7BB9A0CE">
      <w:pPr>
        <w:jc w:val="left"/>
        <w:rPr>
          <w:rFonts w:hint="eastAsia" w:ascii="宋体" w:hAnsi="宋体" w:eastAsia="宋体" w:cs="宋体"/>
          <w:color w:val="000000"/>
          <w:sz w:val="30"/>
          <w:szCs w:val="32"/>
        </w:rPr>
      </w:pPr>
      <w:r>
        <w:rPr>
          <w:rFonts w:hint="eastAsia" w:ascii="宋体" w:hAnsi="宋体" w:eastAsia="宋体" w:cs="宋体"/>
          <w:color w:val="000000"/>
          <w:sz w:val="30"/>
          <w:szCs w:val="32"/>
        </w:rPr>
        <w:t>10.保函延期承诺书</w:t>
      </w:r>
    </w:p>
    <w:p w14:paraId="51129366">
      <w:pPr>
        <w:jc w:val="left"/>
        <w:rPr>
          <w:rFonts w:hint="eastAsia" w:ascii="宋体" w:hAnsi="宋体" w:eastAsia="宋体" w:cs="宋体"/>
          <w:color w:val="000000"/>
          <w:sz w:val="30"/>
          <w:szCs w:val="32"/>
        </w:rPr>
      </w:pPr>
      <w:r>
        <w:rPr>
          <w:rFonts w:hint="eastAsia" w:ascii="宋体" w:hAnsi="宋体" w:eastAsia="宋体" w:cs="宋体"/>
          <w:color w:val="000000"/>
          <w:sz w:val="30"/>
          <w:szCs w:val="30"/>
        </w:rPr>
        <w:t>11</w:t>
      </w:r>
      <w:r>
        <w:rPr>
          <w:rFonts w:hint="eastAsia" w:ascii="宋体" w:hAnsi="宋体" w:eastAsia="宋体" w:cs="宋体"/>
          <w:color w:val="000000"/>
          <w:sz w:val="30"/>
          <w:szCs w:val="32"/>
        </w:rPr>
        <w:t>.暂估价一览表</w:t>
      </w:r>
    </w:p>
    <w:p w14:paraId="4FFF7CF0">
      <w:pPr>
        <w:jc w:val="left"/>
        <w:rPr>
          <w:rFonts w:hint="eastAsia" w:ascii="宋体" w:hAnsi="宋体" w:eastAsia="宋体" w:cs="宋体"/>
          <w:color w:val="000000"/>
          <w:sz w:val="30"/>
          <w:szCs w:val="30"/>
        </w:rPr>
      </w:pPr>
      <w:r>
        <w:rPr>
          <w:rFonts w:hint="eastAsia" w:ascii="宋体" w:hAnsi="宋体" w:eastAsia="宋体" w:cs="宋体"/>
          <w:color w:val="000000"/>
          <w:sz w:val="30"/>
          <w:szCs w:val="30"/>
        </w:rPr>
        <w:t>12</w:t>
      </w:r>
      <w:r>
        <w:rPr>
          <w:rFonts w:hint="eastAsia" w:ascii="宋体" w:hAnsi="宋体" w:eastAsia="宋体" w:cs="宋体"/>
          <w:color w:val="000000"/>
          <w:sz w:val="30"/>
          <w:szCs w:val="32"/>
        </w:rPr>
        <w:t>.</w:t>
      </w:r>
      <w:r>
        <w:rPr>
          <w:rFonts w:hint="eastAsia" w:ascii="宋体" w:hAnsi="宋体" w:eastAsia="宋体" w:cs="宋体"/>
          <w:color w:val="000000"/>
          <w:sz w:val="30"/>
          <w:szCs w:val="30"/>
        </w:rPr>
        <w:t>工程量清单</w:t>
      </w:r>
    </w:p>
    <w:p w14:paraId="1A4F416B">
      <w:pPr>
        <w:jc w:val="left"/>
        <w:rPr>
          <w:rFonts w:hint="eastAsia" w:ascii="宋体" w:hAnsi="宋体" w:eastAsia="宋体" w:cs="宋体"/>
          <w:color w:val="000000"/>
          <w:sz w:val="30"/>
          <w:szCs w:val="30"/>
        </w:rPr>
      </w:pPr>
      <w:r>
        <w:rPr>
          <w:rFonts w:hint="eastAsia" w:ascii="宋体" w:hAnsi="宋体" w:eastAsia="宋体" w:cs="宋体"/>
          <w:color w:val="000000"/>
          <w:sz w:val="30"/>
          <w:szCs w:val="30"/>
        </w:rPr>
        <w:t>13.不平衡报价的调整单价确认表</w:t>
      </w:r>
    </w:p>
    <w:p w14:paraId="26B9F408">
      <w:pPr>
        <w:jc w:val="left"/>
        <w:rPr>
          <w:rFonts w:hint="eastAsia" w:ascii="宋体" w:hAnsi="宋体" w:eastAsia="宋体" w:cs="宋体"/>
          <w:color w:val="000000"/>
          <w:sz w:val="30"/>
          <w:szCs w:val="30"/>
        </w:rPr>
      </w:pPr>
      <w:r>
        <w:rPr>
          <w:rFonts w:hint="eastAsia" w:ascii="宋体" w:hAnsi="宋体" w:eastAsia="宋体" w:cs="宋体"/>
          <w:color w:val="000000"/>
          <w:sz w:val="30"/>
          <w:szCs w:val="32"/>
        </w:rPr>
        <w:t>14.</w:t>
      </w:r>
      <w:r>
        <w:rPr>
          <w:rFonts w:hint="eastAsia" w:ascii="宋体" w:hAnsi="宋体" w:eastAsia="宋体" w:cs="宋体"/>
          <w:color w:val="000000"/>
          <w:sz w:val="30"/>
          <w:szCs w:val="30"/>
        </w:rPr>
        <w:t>安全责任书</w:t>
      </w:r>
    </w:p>
    <w:p w14:paraId="265F2CF0">
      <w:pPr>
        <w:pStyle w:val="9"/>
        <w:rPr>
          <w:rFonts w:hint="eastAsia" w:ascii="宋体" w:hAnsi="宋体" w:eastAsia="宋体" w:cs="宋体"/>
          <w:color w:val="000000"/>
          <w:sz w:val="30"/>
          <w:szCs w:val="30"/>
        </w:rPr>
      </w:pPr>
      <w:r>
        <w:rPr>
          <w:rFonts w:hint="eastAsia" w:ascii="宋体" w:hAnsi="宋体" w:eastAsia="宋体" w:cs="宋体"/>
          <w:color w:val="000000"/>
          <w:sz w:val="30"/>
          <w:szCs w:val="30"/>
        </w:rPr>
        <w:t>15.廉洁协议</w:t>
      </w:r>
    </w:p>
    <w:p w14:paraId="0535FB4C">
      <w:pPr>
        <w:pStyle w:val="9"/>
        <w:rPr>
          <w:rFonts w:hint="eastAsia" w:hAnsi="宋体" w:eastAsia="宋体" w:cs="宋体"/>
        </w:rPr>
        <w:sectPr>
          <w:footerReference r:id="rId3" w:type="default"/>
          <w:endnotePr>
            <w:numFmt w:val="decimal"/>
          </w:endnotePr>
          <w:pgSz w:w="11907" w:h="16840"/>
          <w:pgMar w:top="1134" w:right="1134" w:bottom="1134" w:left="1134" w:header="851" w:footer="907" w:gutter="284"/>
          <w:pgNumType w:start="1" w:chapStyle="1"/>
          <w:cols w:space="720" w:num="1"/>
        </w:sectPr>
      </w:pPr>
      <w:r>
        <w:rPr>
          <w:rFonts w:hint="eastAsia" w:ascii="宋体" w:hAnsi="宋体" w:eastAsia="宋体" w:cs="宋体"/>
          <w:color w:val="000000"/>
          <w:sz w:val="30"/>
          <w:szCs w:val="30"/>
        </w:rPr>
        <w:t>16.承包人违约情况一览表</w:t>
      </w:r>
    </w:p>
    <w:p w14:paraId="6482012A">
      <w:pPr>
        <w:outlineLvl w:val="0"/>
        <w:rPr>
          <w:rFonts w:hint="eastAsia" w:ascii="宋体" w:hAnsi="宋体" w:eastAsia="宋体" w:cs="宋体"/>
          <w:color w:val="000000"/>
          <w:sz w:val="28"/>
          <w:szCs w:val="28"/>
          <w:highlight w:val="none"/>
        </w:rPr>
      </w:pPr>
      <w:bookmarkStart w:id="436" w:name="_Toc20709"/>
      <w:bookmarkStart w:id="437" w:name="_Toc17410"/>
      <w:bookmarkStart w:id="438" w:name="_Toc20781"/>
      <w:bookmarkStart w:id="439" w:name="_Toc30739"/>
      <w:bookmarkStart w:id="440" w:name="_Toc16387"/>
      <w:bookmarkStart w:id="441" w:name="_Toc29635"/>
      <w:bookmarkStart w:id="442" w:name="_Toc15338"/>
      <w:bookmarkStart w:id="443" w:name="_Toc8515"/>
      <w:bookmarkStart w:id="444" w:name="_Toc14554"/>
      <w:bookmarkStart w:id="445" w:name="_Toc14457"/>
      <w:bookmarkStart w:id="446" w:name="_Toc13576"/>
      <w:bookmarkStart w:id="447" w:name="_Toc29448"/>
      <w:bookmarkStart w:id="448" w:name="_Toc23966"/>
      <w:bookmarkStart w:id="449" w:name="_Toc541"/>
      <w:r>
        <w:rPr>
          <w:rFonts w:hint="eastAsia" w:ascii="宋体" w:hAnsi="宋体" w:eastAsia="宋体" w:cs="宋体"/>
          <w:color w:val="000000"/>
          <w:sz w:val="28"/>
          <w:szCs w:val="28"/>
          <w:highlight w:val="none"/>
        </w:rPr>
        <w:t>附件1：承包人承揽工程项目一览表</w:t>
      </w:r>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p w14:paraId="31F1E905">
      <w:pPr>
        <w:ind w:firstLine="723" w:firstLineChars="200"/>
        <w:jc w:val="center"/>
        <w:rPr>
          <w:rFonts w:hint="eastAsia" w:ascii="宋体" w:hAnsi="宋体" w:eastAsia="宋体" w:cs="宋体"/>
          <w:b/>
          <w:color w:val="000000"/>
          <w:sz w:val="36"/>
          <w:szCs w:val="36"/>
          <w:highlight w:val="none"/>
        </w:rPr>
      </w:pPr>
      <w:r>
        <w:rPr>
          <w:rFonts w:hint="eastAsia" w:ascii="宋体" w:hAnsi="宋体" w:eastAsia="宋体" w:cs="宋体"/>
          <w:b/>
          <w:color w:val="000000"/>
          <w:sz w:val="36"/>
          <w:szCs w:val="36"/>
          <w:highlight w:val="none"/>
        </w:rPr>
        <w:t>承包人承揽工程项目一览表</w:t>
      </w:r>
    </w:p>
    <w:tbl>
      <w:tblPr>
        <w:tblStyle w:val="17"/>
        <w:tblW w:w="11296" w:type="dxa"/>
        <w:tblInd w:w="-74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435"/>
        <w:gridCol w:w="1917"/>
        <w:gridCol w:w="1083"/>
        <w:gridCol w:w="626"/>
        <w:gridCol w:w="404"/>
        <w:gridCol w:w="613"/>
        <w:gridCol w:w="731"/>
        <w:gridCol w:w="1630"/>
        <w:gridCol w:w="1409"/>
        <w:gridCol w:w="1448"/>
      </w:tblGrid>
      <w:tr w14:paraId="75EE9770">
        <w:tblPrEx>
          <w:tblCellMar>
            <w:top w:w="0" w:type="dxa"/>
            <w:left w:w="28" w:type="dxa"/>
            <w:bottom w:w="0" w:type="dxa"/>
            <w:right w:w="28" w:type="dxa"/>
          </w:tblCellMar>
        </w:tblPrEx>
        <w:tc>
          <w:tcPr>
            <w:tcW w:w="1435" w:type="dxa"/>
            <w:tcBorders>
              <w:top w:val="single" w:color="auto" w:sz="12" w:space="0"/>
              <w:bottom w:val="double" w:color="auto" w:sz="6" w:space="0"/>
            </w:tcBorders>
            <w:noWrap w:val="0"/>
            <w:vAlign w:val="center"/>
          </w:tcPr>
          <w:p w14:paraId="53249905">
            <w:pPr>
              <w:pStyle w:val="10"/>
              <w:keepNext/>
              <w:spacing w:after="0" w:line="240" w:lineRule="auto"/>
              <w:ind w:left="63" w:right="63"/>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单位工程名称</w:t>
            </w:r>
          </w:p>
        </w:tc>
        <w:tc>
          <w:tcPr>
            <w:tcW w:w="1917" w:type="dxa"/>
            <w:tcBorders>
              <w:top w:val="single" w:color="auto" w:sz="12" w:space="0"/>
              <w:bottom w:val="double" w:color="auto" w:sz="6" w:space="0"/>
            </w:tcBorders>
            <w:noWrap w:val="0"/>
            <w:vAlign w:val="center"/>
          </w:tcPr>
          <w:p w14:paraId="091A876C">
            <w:pPr>
              <w:pStyle w:val="10"/>
              <w:keepNext/>
              <w:spacing w:after="0" w:line="240" w:lineRule="auto"/>
              <w:ind w:left="63" w:right="63"/>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建设规模</w:t>
            </w:r>
          </w:p>
        </w:tc>
        <w:tc>
          <w:tcPr>
            <w:tcW w:w="1083" w:type="dxa"/>
            <w:tcBorders>
              <w:top w:val="single" w:color="auto" w:sz="12" w:space="0"/>
              <w:bottom w:val="double" w:color="auto" w:sz="6" w:space="0"/>
            </w:tcBorders>
            <w:noWrap w:val="0"/>
            <w:vAlign w:val="center"/>
          </w:tcPr>
          <w:p w14:paraId="385BBD23">
            <w:pPr>
              <w:rPr>
                <w:rFonts w:hint="eastAsia" w:ascii="宋体" w:hAnsi="宋体" w:eastAsia="宋体" w:cs="宋体"/>
              </w:rPr>
            </w:pPr>
            <w:r>
              <w:rPr>
                <w:rFonts w:hint="eastAsia" w:ascii="宋体" w:hAnsi="宋体" w:eastAsia="宋体" w:cs="宋体"/>
                <w:color w:val="000000"/>
                <w:kern w:val="2"/>
                <w:sz w:val="24"/>
                <w:szCs w:val="24"/>
              </w:rPr>
              <w:t>建筑面积</w:t>
            </w:r>
          </w:p>
          <w:p w14:paraId="5396ED9B">
            <w:pPr>
              <w:pStyle w:val="10"/>
              <w:keepNext/>
              <w:spacing w:after="0" w:line="240" w:lineRule="auto"/>
              <w:ind w:left="63" w:right="63"/>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(平方米)</w:t>
            </w:r>
          </w:p>
        </w:tc>
        <w:tc>
          <w:tcPr>
            <w:tcW w:w="626" w:type="dxa"/>
            <w:tcBorders>
              <w:top w:val="single" w:color="auto" w:sz="12" w:space="0"/>
              <w:bottom w:val="double" w:color="auto" w:sz="6" w:space="0"/>
            </w:tcBorders>
            <w:noWrap w:val="0"/>
            <w:vAlign w:val="center"/>
          </w:tcPr>
          <w:p w14:paraId="57FEF64F">
            <w:pPr>
              <w:pStyle w:val="10"/>
              <w:keepNext/>
              <w:spacing w:after="0" w:line="240" w:lineRule="auto"/>
              <w:ind w:left="63" w:right="63"/>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结构形式</w:t>
            </w:r>
          </w:p>
        </w:tc>
        <w:tc>
          <w:tcPr>
            <w:tcW w:w="404" w:type="dxa"/>
            <w:tcBorders>
              <w:top w:val="single" w:color="auto" w:sz="12" w:space="0"/>
              <w:bottom w:val="double" w:color="auto" w:sz="6" w:space="0"/>
            </w:tcBorders>
            <w:noWrap w:val="0"/>
            <w:vAlign w:val="center"/>
          </w:tcPr>
          <w:p w14:paraId="4387B46F">
            <w:pPr>
              <w:pStyle w:val="10"/>
              <w:keepNext/>
              <w:spacing w:after="0" w:line="240" w:lineRule="auto"/>
              <w:ind w:left="63" w:right="63"/>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层数</w:t>
            </w:r>
          </w:p>
        </w:tc>
        <w:tc>
          <w:tcPr>
            <w:tcW w:w="613" w:type="dxa"/>
            <w:tcBorders>
              <w:top w:val="single" w:color="auto" w:sz="12" w:space="0"/>
              <w:bottom w:val="double" w:color="auto" w:sz="6" w:space="0"/>
            </w:tcBorders>
            <w:noWrap w:val="0"/>
            <w:vAlign w:val="center"/>
          </w:tcPr>
          <w:p w14:paraId="7E09C69C">
            <w:pPr>
              <w:pStyle w:val="10"/>
              <w:keepNext/>
              <w:spacing w:after="0" w:line="240" w:lineRule="auto"/>
              <w:ind w:left="63" w:right="63"/>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生产能力</w:t>
            </w:r>
          </w:p>
        </w:tc>
        <w:tc>
          <w:tcPr>
            <w:tcW w:w="731" w:type="dxa"/>
            <w:tcBorders>
              <w:top w:val="single" w:color="auto" w:sz="12" w:space="0"/>
              <w:bottom w:val="double" w:color="auto" w:sz="6" w:space="0"/>
            </w:tcBorders>
            <w:noWrap w:val="0"/>
            <w:vAlign w:val="center"/>
          </w:tcPr>
          <w:p w14:paraId="2612F3A8">
            <w:pPr>
              <w:pStyle w:val="10"/>
              <w:keepNext/>
              <w:spacing w:after="0" w:line="240" w:lineRule="auto"/>
              <w:ind w:left="63" w:right="63"/>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设备安装内容</w:t>
            </w:r>
          </w:p>
        </w:tc>
        <w:tc>
          <w:tcPr>
            <w:tcW w:w="1630" w:type="dxa"/>
            <w:tcBorders>
              <w:top w:val="single" w:color="auto" w:sz="12" w:space="0"/>
              <w:bottom w:val="double" w:color="auto" w:sz="6" w:space="0"/>
            </w:tcBorders>
            <w:noWrap w:val="0"/>
            <w:vAlign w:val="center"/>
          </w:tcPr>
          <w:p w14:paraId="0604BF41">
            <w:pPr>
              <w:pStyle w:val="10"/>
              <w:keepNext/>
              <w:spacing w:after="0" w:line="240" w:lineRule="auto"/>
              <w:ind w:left="63" w:right="63"/>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合同价格（元）</w:t>
            </w:r>
          </w:p>
        </w:tc>
        <w:tc>
          <w:tcPr>
            <w:tcW w:w="1409" w:type="dxa"/>
            <w:tcBorders>
              <w:top w:val="single" w:color="auto" w:sz="12" w:space="0"/>
              <w:bottom w:val="double" w:color="auto" w:sz="6" w:space="0"/>
            </w:tcBorders>
            <w:noWrap w:val="0"/>
            <w:vAlign w:val="center"/>
          </w:tcPr>
          <w:p w14:paraId="68365E31">
            <w:pPr>
              <w:pStyle w:val="10"/>
              <w:keepNext/>
              <w:spacing w:after="0" w:line="240" w:lineRule="auto"/>
              <w:ind w:left="63" w:right="63"/>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开工日期</w:t>
            </w:r>
          </w:p>
        </w:tc>
        <w:tc>
          <w:tcPr>
            <w:tcW w:w="1448" w:type="dxa"/>
            <w:tcBorders>
              <w:top w:val="single" w:color="auto" w:sz="12" w:space="0"/>
              <w:bottom w:val="double" w:color="auto" w:sz="6" w:space="0"/>
            </w:tcBorders>
            <w:noWrap w:val="0"/>
            <w:vAlign w:val="center"/>
          </w:tcPr>
          <w:p w14:paraId="6361CD0F">
            <w:pPr>
              <w:pStyle w:val="10"/>
              <w:keepNext/>
              <w:spacing w:after="0" w:line="240" w:lineRule="auto"/>
              <w:ind w:left="63" w:right="63"/>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竣工日期</w:t>
            </w:r>
          </w:p>
        </w:tc>
      </w:tr>
      <w:tr w14:paraId="7DAA48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435" w:type="dxa"/>
            <w:tcBorders>
              <w:top w:val="double" w:color="auto" w:sz="6" w:space="0"/>
              <w:bottom w:val="single" w:color="auto" w:sz="6" w:space="0"/>
            </w:tcBorders>
            <w:noWrap w:val="0"/>
            <w:vAlign w:val="center"/>
          </w:tcPr>
          <w:p w14:paraId="1762D2FC">
            <w:pPr>
              <w:pStyle w:val="10"/>
              <w:keepNext/>
              <w:spacing w:after="0" w:line="240" w:lineRule="auto"/>
              <w:ind w:left="63" w:right="63" w:firstLine="600"/>
              <w:rPr>
                <w:rFonts w:hint="eastAsia" w:ascii="宋体" w:hAnsi="宋体" w:eastAsia="宋体" w:cs="宋体"/>
                <w:b/>
                <w:bCs/>
                <w:color w:val="000000"/>
                <w:kern w:val="2"/>
                <w:sz w:val="28"/>
                <w:szCs w:val="28"/>
                <w:highlight w:val="yellow"/>
              </w:rPr>
            </w:pPr>
          </w:p>
        </w:tc>
        <w:tc>
          <w:tcPr>
            <w:tcW w:w="1917" w:type="dxa"/>
            <w:tcBorders>
              <w:top w:val="double" w:color="auto" w:sz="6" w:space="0"/>
              <w:bottom w:val="single" w:color="auto" w:sz="6" w:space="0"/>
            </w:tcBorders>
            <w:noWrap w:val="0"/>
            <w:vAlign w:val="center"/>
          </w:tcPr>
          <w:p w14:paraId="0F622646">
            <w:pPr>
              <w:pStyle w:val="10"/>
              <w:keepNext/>
              <w:spacing w:after="0" w:line="240" w:lineRule="auto"/>
              <w:ind w:left="63" w:right="63" w:firstLine="600"/>
              <w:rPr>
                <w:rFonts w:hint="eastAsia" w:ascii="宋体" w:hAnsi="宋体" w:eastAsia="宋体" w:cs="宋体"/>
                <w:b/>
                <w:bCs/>
                <w:color w:val="000000"/>
                <w:kern w:val="2"/>
                <w:sz w:val="28"/>
                <w:szCs w:val="28"/>
                <w:highlight w:val="yellow"/>
              </w:rPr>
            </w:pPr>
          </w:p>
        </w:tc>
        <w:tc>
          <w:tcPr>
            <w:tcW w:w="1083" w:type="dxa"/>
            <w:tcBorders>
              <w:top w:val="double" w:color="auto" w:sz="6" w:space="0"/>
              <w:bottom w:val="single" w:color="auto" w:sz="6" w:space="0"/>
            </w:tcBorders>
            <w:noWrap w:val="0"/>
            <w:vAlign w:val="center"/>
          </w:tcPr>
          <w:p w14:paraId="170658F8">
            <w:pPr>
              <w:pStyle w:val="10"/>
              <w:keepNext/>
              <w:spacing w:after="0" w:line="240" w:lineRule="auto"/>
              <w:ind w:left="63" w:right="63" w:firstLine="600"/>
              <w:rPr>
                <w:rFonts w:hint="eastAsia" w:ascii="宋体" w:hAnsi="宋体" w:eastAsia="宋体" w:cs="宋体"/>
                <w:b/>
                <w:bCs/>
                <w:color w:val="000000"/>
                <w:kern w:val="2"/>
                <w:sz w:val="28"/>
                <w:szCs w:val="28"/>
                <w:highlight w:val="yellow"/>
              </w:rPr>
            </w:pPr>
          </w:p>
        </w:tc>
        <w:tc>
          <w:tcPr>
            <w:tcW w:w="626" w:type="dxa"/>
            <w:tcBorders>
              <w:top w:val="double" w:color="auto" w:sz="6" w:space="0"/>
              <w:bottom w:val="single" w:color="auto" w:sz="6" w:space="0"/>
            </w:tcBorders>
            <w:noWrap w:val="0"/>
            <w:vAlign w:val="center"/>
          </w:tcPr>
          <w:p w14:paraId="3C31C8C4">
            <w:pPr>
              <w:pStyle w:val="10"/>
              <w:keepNext/>
              <w:spacing w:after="0" w:line="240" w:lineRule="auto"/>
              <w:ind w:left="63" w:right="63" w:firstLine="600"/>
              <w:rPr>
                <w:rFonts w:hint="eastAsia" w:ascii="宋体" w:hAnsi="宋体" w:eastAsia="宋体" w:cs="宋体"/>
                <w:b/>
                <w:bCs/>
                <w:color w:val="000000"/>
                <w:kern w:val="2"/>
                <w:sz w:val="28"/>
                <w:szCs w:val="28"/>
                <w:highlight w:val="yellow"/>
              </w:rPr>
            </w:pPr>
          </w:p>
        </w:tc>
        <w:tc>
          <w:tcPr>
            <w:tcW w:w="404" w:type="dxa"/>
            <w:tcBorders>
              <w:top w:val="double" w:color="auto" w:sz="6" w:space="0"/>
              <w:bottom w:val="single" w:color="auto" w:sz="6" w:space="0"/>
            </w:tcBorders>
            <w:noWrap w:val="0"/>
            <w:vAlign w:val="center"/>
          </w:tcPr>
          <w:p w14:paraId="1DC6989A">
            <w:pPr>
              <w:pStyle w:val="10"/>
              <w:keepNext/>
              <w:spacing w:after="0" w:line="240" w:lineRule="auto"/>
              <w:ind w:left="63" w:right="63" w:firstLine="600"/>
              <w:rPr>
                <w:rFonts w:hint="eastAsia" w:ascii="宋体" w:hAnsi="宋体" w:eastAsia="宋体" w:cs="宋体"/>
                <w:b/>
                <w:bCs/>
                <w:color w:val="000000"/>
                <w:kern w:val="2"/>
                <w:sz w:val="28"/>
                <w:szCs w:val="28"/>
                <w:highlight w:val="yellow"/>
              </w:rPr>
            </w:pPr>
          </w:p>
        </w:tc>
        <w:tc>
          <w:tcPr>
            <w:tcW w:w="613" w:type="dxa"/>
            <w:tcBorders>
              <w:top w:val="double" w:color="auto" w:sz="6" w:space="0"/>
              <w:bottom w:val="single" w:color="auto" w:sz="6" w:space="0"/>
            </w:tcBorders>
            <w:noWrap w:val="0"/>
            <w:vAlign w:val="center"/>
          </w:tcPr>
          <w:p w14:paraId="5AE4E64D">
            <w:pPr>
              <w:pStyle w:val="10"/>
              <w:keepNext/>
              <w:spacing w:after="0" w:line="240" w:lineRule="auto"/>
              <w:ind w:left="63" w:right="63" w:firstLine="600"/>
              <w:rPr>
                <w:rFonts w:hint="eastAsia" w:ascii="宋体" w:hAnsi="宋体" w:eastAsia="宋体" w:cs="宋体"/>
                <w:b/>
                <w:bCs/>
                <w:color w:val="000000"/>
                <w:kern w:val="2"/>
                <w:sz w:val="28"/>
                <w:szCs w:val="28"/>
                <w:highlight w:val="yellow"/>
              </w:rPr>
            </w:pPr>
          </w:p>
        </w:tc>
        <w:tc>
          <w:tcPr>
            <w:tcW w:w="731" w:type="dxa"/>
            <w:tcBorders>
              <w:top w:val="double" w:color="auto" w:sz="6" w:space="0"/>
              <w:bottom w:val="single" w:color="auto" w:sz="6" w:space="0"/>
            </w:tcBorders>
            <w:noWrap w:val="0"/>
            <w:vAlign w:val="center"/>
          </w:tcPr>
          <w:p w14:paraId="371149C9">
            <w:pPr>
              <w:pStyle w:val="10"/>
              <w:keepNext/>
              <w:spacing w:after="0" w:line="240" w:lineRule="auto"/>
              <w:ind w:left="63" w:right="63" w:firstLine="600"/>
              <w:rPr>
                <w:rFonts w:hint="eastAsia" w:ascii="宋体" w:hAnsi="宋体" w:eastAsia="宋体" w:cs="宋体"/>
                <w:b/>
                <w:bCs/>
                <w:color w:val="000000"/>
                <w:kern w:val="2"/>
                <w:sz w:val="28"/>
                <w:szCs w:val="28"/>
                <w:highlight w:val="yellow"/>
              </w:rPr>
            </w:pPr>
          </w:p>
        </w:tc>
        <w:tc>
          <w:tcPr>
            <w:tcW w:w="1630" w:type="dxa"/>
            <w:tcBorders>
              <w:top w:val="double" w:color="auto" w:sz="6" w:space="0"/>
              <w:bottom w:val="single" w:color="auto" w:sz="6" w:space="0"/>
            </w:tcBorders>
            <w:noWrap w:val="0"/>
            <w:vAlign w:val="center"/>
          </w:tcPr>
          <w:p w14:paraId="1ED5571B">
            <w:pPr>
              <w:pStyle w:val="10"/>
              <w:keepNext/>
              <w:spacing w:after="0" w:line="240" w:lineRule="auto"/>
              <w:ind w:left="63" w:right="63" w:firstLine="600"/>
              <w:rPr>
                <w:rFonts w:hint="eastAsia" w:ascii="宋体" w:hAnsi="宋体" w:eastAsia="宋体" w:cs="宋体"/>
                <w:b/>
                <w:bCs/>
                <w:color w:val="000000"/>
                <w:kern w:val="2"/>
                <w:sz w:val="28"/>
                <w:szCs w:val="28"/>
                <w:highlight w:val="yellow"/>
              </w:rPr>
            </w:pPr>
          </w:p>
        </w:tc>
        <w:tc>
          <w:tcPr>
            <w:tcW w:w="1409" w:type="dxa"/>
            <w:tcBorders>
              <w:top w:val="double" w:color="auto" w:sz="6" w:space="0"/>
              <w:bottom w:val="single" w:color="auto" w:sz="6" w:space="0"/>
            </w:tcBorders>
            <w:noWrap w:val="0"/>
            <w:vAlign w:val="center"/>
          </w:tcPr>
          <w:p w14:paraId="6BE4CBBF">
            <w:pPr>
              <w:pStyle w:val="10"/>
              <w:keepNext/>
              <w:spacing w:after="0" w:line="240" w:lineRule="auto"/>
              <w:ind w:left="63" w:right="63" w:firstLine="600"/>
              <w:rPr>
                <w:rFonts w:hint="eastAsia" w:ascii="宋体" w:hAnsi="宋体" w:eastAsia="宋体" w:cs="宋体"/>
                <w:b/>
                <w:bCs/>
                <w:color w:val="000000"/>
                <w:kern w:val="2"/>
                <w:sz w:val="28"/>
                <w:szCs w:val="28"/>
                <w:highlight w:val="yellow"/>
              </w:rPr>
            </w:pPr>
          </w:p>
        </w:tc>
        <w:tc>
          <w:tcPr>
            <w:tcW w:w="1448" w:type="dxa"/>
            <w:tcBorders>
              <w:top w:val="double" w:color="auto" w:sz="6" w:space="0"/>
              <w:bottom w:val="single" w:color="auto" w:sz="6" w:space="0"/>
            </w:tcBorders>
            <w:noWrap w:val="0"/>
            <w:vAlign w:val="center"/>
          </w:tcPr>
          <w:p w14:paraId="691C8F4B">
            <w:pPr>
              <w:pStyle w:val="10"/>
              <w:keepNext/>
              <w:spacing w:after="0" w:line="240" w:lineRule="auto"/>
              <w:ind w:left="63" w:right="63" w:firstLine="600"/>
              <w:rPr>
                <w:rFonts w:hint="eastAsia" w:ascii="宋体" w:hAnsi="宋体" w:eastAsia="宋体" w:cs="宋体"/>
                <w:b/>
                <w:bCs/>
                <w:color w:val="000000"/>
                <w:kern w:val="2"/>
                <w:sz w:val="28"/>
                <w:szCs w:val="28"/>
                <w:highlight w:val="yellow"/>
              </w:rPr>
            </w:pPr>
          </w:p>
        </w:tc>
      </w:tr>
      <w:tr w14:paraId="4AD2BC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435" w:type="dxa"/>
            <w:tcBorders>
              <w:top w:val="nil"/>
              <w:bottom w:val="single" w:color="auto" w:sz="4" w:space="0"/>
            </w:tcBorders>
            <w:noWrap w:val="0"/>
            <w:vAlign w:val="center"/>
          </w:tcPr>
          <w:p w14:paraId="503E8A4E">
            <w:pPr>
              <w:pStyle w:val="10"/>
              <w:keepNext/>
              <w:spacing w:after="0" w:line="240" w:lineRule="auto"/>
              <w:ind w:left="63" w:right="63" w:firstLine="600"/>
              <w:rPr>
                <w:rFonts w:hint="eastAsia" w:ascii="宋体" w:hAnsi="宋体" w:eastAsia="宋体" w:cs="宋体"/>
                <w:b/>
                <w:bCs/>
                <w:color w:val="000000"/>
                <w:kern w:val="2"/>
                <w:sz w:val="28"/>
                <w:szCs w:val="28"/>
                <w:highlight w:val="yellow"/>
              </w:rPr>
            </w:pPr>
          </w:p>
        </w:tc>
        <w:tc>
          <w:tcPr>
            <w:tcW w:w="1917" w:type="dxa"/>
            <w:tcBorders>
              <w:top w:val="nil"/>
              <w:bottom w:val="single" w:color="auto" w:sz="4" w:space="0"/>
            </w:tcBorders>
            <w:noWrap w:val="0"/>
            <w:vAlign w:val="center"/>
          </w:tcPr>
          <w:p w14:paraId="54054092">
            <w:pPr>
              <w:pStyle w:val="10"/>
              <w:keepNext/>
              <w:spacing w:after="0" w:line="240" w:lineRule="auto"/>
              <w:ind w:left="63" w:right="63" w:firstLine="600"/>
              <w:rPr>
                <w:rFonts w:hint="eastAsia" w:ascii="宋体" w:hAnsi="宋体" w:eastAsia="宋体" w:cs="宋体"/>
                <w:b/>
                <w:bCs/>
                <w:color w:val="000000"/>
                <w:kern w:val="2"/>
                <w:sz w:val="28"/>
                <w:szCs w:val="28"/>
                <w:highlight w:val="yellow"/>
              </w:rPr>
            </w:pPr>
          </w:p>
        </w:tc>
        <w:tc>
          <w:tcPr>
            <w:tcW w:w="1083" w:type="dxa"/>
            <w:tcBorders>
              <w:top w:val="nil"/>
              <w:bottom w:val="single" w:color="auto" w:sz="4" w:space="0"/>
            </w:tcBorders>
            <w:noWrap w:val="0"/>
            <w:vAlign w:val="center"/>
          </w:tcPr>
          <w:p w14:paraId="37C63777">
            <w:pPr>
              <w:pStyle w:val="10"/>
              <w:keepNext/>
              <w:spacing w:after="0" w:line="240" w:lineRule="auto"/>
              <w:ind w:left="63" w:right="63" w:firstLine="600"/>
              <w:rPr>
                <w:rFonts w:hint="eastAsia" w:ascii="宋体" w:hAnsi="宋体" w:eastAsia="宋体" w:cs="宋体"/>
                <w:b/>
                <w:bCs/>
                <w:color w:val="000000"/>
                <w:kern w:val="2"/>
                <w:sz w:val="28"/>
                <w:szCs w:val="28"/>
                <w:highlight w:val="yellow"/>
              </w:rPr>
            </w:pPr>
          </w:p>
        </w:tc>
        <w:tc>
          <w:tcPr>
            <w:tcW w:w="626" w:type="dxa"/>
            <w:tcBorders>
              <w:top w:val="nil"/>
              <w:bottom w:val="single" w:color="auto" w:sz="4" w:space="0"/>
            </w:tcBorders>
            <w:noWrap w:val="0"/>
            <w:vAlign w:val="center"/>
          </w:tcPr>
          <w:p w14:paraId="0BDF347B">
            <w:pPr>
              <w:pStyle w:val="10"/>
              <w:keepNext/>
              <w:spacing w:after="0" w:line="240" w:lineRule="auto"/>
              <w:ind w:left="63" w:right="63" w:firstLine="600"/>
              <w:rPr>
                <w:rFonts w:hint="eastAsia" w:ascii="宋体" w:hAnsi="宋体" w:eastAsia="宋体" w:cs="宋体"/>
                <w:b/>
                <w:bCs/>
                <w:color w:val="000000"/>
                <w:kern w:val="2"/>
                <w:sz w:val="28"/>
                <w:szCs w:val="28"/>
                <w:highlight w:val="yellow"/>
              </w:rPr>
            </w:pPr>
          </w:p>
        </w:tc>
        <w:tc>
          <w:tcPr>
            <w:tcW w:w="404" w:type="dxa"/>
            <w:tcBorders>
              <w:top w:val="nil"/>
              <w:bottom w:val="single" w:color="auto" w:sz="4" w:space="0"/>
            </w:tcBorders>
            <w:noWrap w:val="0"/>
            <w:vAlign w:val="center"/>
          </w:tcPr>
          <w:p w14:paraId="615F3F75">
            <w:pPr>
              <w:pStyle w:val="10"/>
              <w:keepNext/>
              <w:spacing w:after="0" w:line="240" w:lineRule="auto"/>
              <w:ind w:left="63" w:right="63" w:firstLine="600"/>
              <w:rPr>
                <w:rFonts w:hint="eastAsia" w:ascii="宋体" w:hAnsi="宋体" w:eastAsia="宋体" w:cs="宋体"/>
                <w:b/>
                <w:bCs/>
                <w:color w:val="000000"/>
                <w:kern w:val="2"/>
                <w:sz w:val="28"/>
                <w:szCs w:val="28"/>
                <w:highlight w:val="yellow"/>
              </w:rPr>
            </w:pPr>
          </w:p>
        </w:tc>
        <w:tc>
          <w:tcPr>
            <w:tcW w:w="613" w:type="dxa"/>
            <w:tcBorders>
              <w:top w:val="nil"/>
              <w:bottom w:val="single" w:color="auto" w:sz="4" w:space="0"/>
            </w:tcBorders>
            <w:noWrap w:val="0"/>
            <w:vAlign w:val="center"/>
          </w:tcPr>
          <w:p w14:paraId="4A5FA6F3">
            <w:pPr>
              <w:pStyle w:val="10"/>
              <w:keepNext/>
              <w:spacing w:after="0" w:line="240" w:lineRule="auto"/>
              <w:ind w:left="63" w:right="63" w:firstLine="600"/>
              <w:rPr>
                <w:rFonts w:hint="eastAsia" w:ascii="宋体" w:hAnsi="宋体" w:eastAsia="宋体" w:cs="宋体"/>
                <w:b/>
                <w:bCs/>
                <w:color w:val="000000"/>
                <w:kern w:val="2"/>
                <w:sz w:val="28"/>
                <w:szCs w:val="28"/>
                <w:highlight w:val="yellow"/>
              </w:rPr>
            </w:pPr>
          </w:p>
        </w:tc>
        <w:tc>
          <w:tcPr>
            <w:tcW w:w="731" w:type="dxa"/>
            <w:tcBorders>
              <w:top w:val="nil"/>
              <w:bottom w:val="single" w:color="auto" w:sz="4" w:space="0"/>
            </w:tcBorders>
            <w:noWrap w:val="0"/>
            <w:vAlign w:val="center"/>
          </w:tcPr>
          <w:p w14:paraId="0006E55F">
            <w:pPr>
              <w:pStyle w:val="10"/>
              <w:keepNext/>
              <w:spacing w:after="0" w:line="240" w:lineRule="auto"/>
              <w:ind w:left="63" w:right="63" w:firstLine="600"/>
              <w:rPr>
                <w:rFonts w:hint="eastAsia" w:ascii="宋体" w:hAnsi="宋体" w:eastAsia="宋体" w:cs="宋体"/>
                <w:b/>
                <w:bCs/>
                <w:color w:val="000000"/>
                <w:kern w:val="2"/>
                <w:sz w:val="28"/>
                <w:szCs w:val="28"/>
                <w:highlight w:val="yellow"/>
              </w:rPr>
            </w:pPr>
          </w:p>
        </w:tc>
        <w:tc>
          <w:tcPr>
            <w:tcW w:w="1630" w:type="dxa"/>
            <w:tcBorders>
              <w:top w:val="nil"/>
              <w:bottom w:val="single" w:color="auto" w:sz="4" w:space="0"/>
            </w:tcBorders>
            <w:noWrap w:val="0"/>
            <w:vAlign w:val="center"/>
          </w:tcPr>
          <w:p w14:paraId="0BCDAA4B">
            <w:pPr>
              <w:pStyle w:val="10"/>
              <w:keepNext/>
              <w:spacing w:after="0" w:line="240" w:lineRule="auto"/>
              <w:ind w:left="63" w:right="63" w:firstLine="600"/>
              <w:rPr>
                <w:rFonts w:hint="eastAsia" w:ascii="宋体" w:hAnsi="宋体" w:eastAsia="宋体" w:cs="宋体"/>
                <w:b/>
                <w:bCs/>
                <w:color w:val="000000"/>
                <w:kern w:val="2"/>
                <w:sz w:val="28"/>
                <w:szCs w:val="28"/>
                <w:highlight w:val="yellow"/>
              </w:rPr>
            </w:pPr>
          </w:p>
        </w:tc>
        <w:tc>
          <w:tcPr>
            <w:tcW w:w="1409" w:type="dxa"/>
            <w:tcBorders>
              <w:top w:val="nil"/>
              <w:bottom w:val="single" w:color="auto" w:sz="4" w:space="0"/>
            </w:tcBorders>
            <w:noWrap w:val="0"/>
            <w:vAlign w:val="center"/>
          </w:tcPr>
          <w:p w14:paraId="6184BB0D">
            <w:pPr>
              <w:pStyle w:val="10"/>
              <w:keepNext/>
              <w:spacing w:after="0" w:line="240" w:lineRule="auto"/>
              <w:ind w:left="63" w:right="63" w:firstLine="600"/>
              <w:rPr>
                <w:rFonts w:hint="eastAsia" w:ascii="宋体" w:hAnsi="宋体" w:eastAsia="宋体" w:cs="宋体"/>
                <w:b/>
                <w:bCs/>
                <w:color w:val="000000"/>
                <w:kern w:val="2"/>
                <w:sz w:val="28"/>
                <w:szCs w:val="28"/>
                <w:highlight w:val="yellow"/>
              </w:rPr>
            </w:pPr>
          </w:p>
        </w:tc>
        <w:tc>
          <w:tcPr>
            <w:tcW w:w="1448" w:type="dxa"/>
            <w:tcBorders>
              <w:top w:val="nil"/>
              <w:bottom w:val="single" w:color="auto" w:sz="4" w:space="0"/>
            </w:tcBorders>
            <w:noWrap w:val="0"/>
            <w:vAlign w:val="center"/>
          </w:tcPr>
          <w:p w14:paraId="69CBC7BA">
            <w:pPr>
              <w:pStyle w:val="10"/>
              <w:keepNext/>
              <w:spacing w:after="0" w:line="240" w:lineRule="auto"/>
              <w:ind w:left="63" w:right="63" w:firstLine="600"/>
              <w:rPr>
                <w:rFonts w:hint="eastAsia" w:ascii="宋体" w:hAnsi="宋体" w:eastAsia="宋体" w:cs="宋体"/>
                <w:b/>
                <w:bCs/>
                <w:color w:val="000000"/>
                <w:kern w:val="2"/>
                <w:sz w:val="28"/>
                <w:szCs w:val="28"/>
                <w:highlight w:val="yellow"/>
              </w:rPr>
            </w:pPr>
          </w:p>
        </w:tc>
      </w:tr>
      <w:tr w14:paraId="461CBD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435" w:type="dxa"/>
            <w:tcBorders>
              <w:top w:val="single" w:color="auto" w:sz="4" w:space="0"/>
              <w:left w:val="single" w:color="auto" w:sz="4" w:space="0"/>
              <w:bottom w:val="single" w:color="auto" w:sz="4" w:space="0"/>
              <w:right w:val="single" w:color="auto" w:sz="4" w:space="0"/>
            </w:tcBorders>
            <w:noWrap w:val="0"/>
            <w:vAlign w:val="center"/>
          </w:tcPr>
          <w:p w14:paraId="7131BC5D">
            <w:pPr>
              <w:pStyle w:val="10"/>
              <w:keepNext/>
              <w:spacing w:after="0" w:line="240" w:lineRule="auto"/>
              <w:ind w:left="63" w:right="63" w:firstLine="600"/>
              <w:rPr>
                <w:rFonts w:hint="eastAsia" w:ascii="宋体" w:hAnsi="宋体" w:eastAsia="宋体" w:cs="宋体"/>
                <w:b/>
                <w:bCs/>
                <w:color w:val="000000"/>
                <w:kern w:val="2"/>
                <w:sz w:val="28"/>
                <w:szCs w:val="28"/>
                <w:highlight w:val="yellow"/>
              </w:rPr>
            </w:pPr>
          </w:p>
        </w:tc>
        <w:tc>
          <w:tcPr>
            <w:tcW w:w="1917" w:type="dxa"/>
            <w:tcBorders>
              <w:top w:val="single" w:color="auto" w:sz="4" w:space="0"/>
              <w:left w:val="single" w:color="auto" w:sz="4" w:space="0"/>
              <w:bottom w:val="single" w:color="auto" w:sz="4" w:space="0"/>
              <w:right w:val="single" w:color="auto" w:sz="4" w:space="0"/>
            </w:tcBorders>
            <w:noWrap w:val="0"/>
            <w:vAlign w:val="center"/>
          </w:tcPr>
          <w:p w14:paraId="79D3BB5D">
            <w:pPr>
              <w:pStyle w:val="10"/>
              <w:keepNext/>
              <w:spacing w:after="0" w:line="240" w:lineRule="auto"/>
              <w:ind w:left="63" w:right="63" w:firstLine="600"/>
              <w:rPr>
                <w:rFonts w:hint="eastAsia" w:ascii="宋体" w:hAnsi="宋体" w:eastAsia="宋体" w:cs="宋体"/>
                <w:b/>
                <w:bCs/>
                <w:color w:val="000000"/>
                <w:kern w:val="2"/>
                <w:sz w:val="28"/>
                <w:szCs w:val="28"/>
                <w:highlight w:val="yellow"/>
              </w:rPr>
            </w:pPr>
          </w:p>
        </w:tc>
        <w:tc>
          <w:tcPr>
            <w:tcW w:w="1083" w:type="dxa"/>
            <w:tcBorders>
              <w:top w:val="single" w:color="auto" w:sz="4" w:space="0"/>
              <w:left w:val="single" w:color="auto" w:sz="4" w:space="0"/>
              <w:bottom w:val="single" w:color="auto" w:sz="4" w:space="0"/>
              <w:right w:val="single" w:color="auto" w:sz="4" w:space="0"/>
            </w:tcBorders>
            <w:noWrap w:val="0"/>
            <w:vAlign w:val="center"/>
          </w:tcPr>
          <w:p w14:paraId="29AF1769">
            <w:pPr>
              <w:pStyle w:val="10"/>
              <w:keepNext/>
              <w:spacing w:after="0" w:line="240" w:lineRule="auto"/>
              <w:ind w:left="63" w:right="63" w:firstLine="600"/>
              <w:rPr>
                <w:rFonts w:hint="eastAsia" w:ascii="宋体" w:hAnsi="宋体" w:eastAsia="宋体" w:cs="宋体"/>
                <w:b/>
                <w:bCs/>
                <w:color w:val="000000"/>
                <w:kern w:val="2"/>
                <w:sz w:val="28"/>
                <w:szCs w:val="28"/>
                <w:highlight w:val="yellow"/>
              </w:rPr>
            </w:pPr>
          </w:p>
        </w:tc>
        <w:tc>
          <w:tcPr>
            <w:tcW w:w="626" w:type="dxa"/>
            <w:tcBorders>
              <w:top w:val="single" w:color="auto" w:sz="4" w:space="0"/>
              <w:left w:val="single" w:color="auto" w:sz="4" w:space="0"/>
              <w:bottom w:val="single" w:color="auto" w:sz="4" w:space="0"/>
              <w:right w:val="single" w:color="auto" w:sz="4" w:space="0"/>
            </w:tcBorders>
            <w:noWrap w:val="0"/>
            <w:vAlign w:val="center"/>
          </w:tcPr>
          <w:p w14:paraId="4DFA9321">
            <w:pPr>
              <w:pStyle w:val="10"/>
              <w:keepNext/>
              <w:spacing w:after="0" w:line="240" w:lineRule="auto"/>
              <w:ind w:left="63" w:right="63" w:firstLine="600"/>
              <w:rPr>
                <w:rFonts w:hint="eastAsia" w:ascii="宋体" w:hAnsi="宋体" w:eastAsia="宋体" w:cs="宋体"/>
                <w:b/>
                <w:bCs/>
                <w:color w:val="000000"/>
                <w:kern w:val="2"/>
                <w:sz w:val="28"/>
                <w:szCs w:val="28"/>
                <w:highlight w:val="yellow"/>
              </w:rPr>
            </w:pPr>
          </w:p>
        </w:tc>
        <w:tc>
          <w:tcPr>
            <w:tcW w:w="404" w:type="dxa"/>
            <w:tcBorders>
              <w:top w:val="single" w:color="auto" w:sz="4" w:space="0"/>
              <w:left w:val="single" w:color="auto" w:sz="4" w:space="0"/>
              <w:bottom w:val="single" w:color="auto" w:sz="4" w:space="0"/>
              <w:right w:val="single" w:color="auto" w:sz="4" w:space="0"/>
            </w:tcBorders>
            <w:noWrap w:val="0"/>
            <w:vAlign w:val="center"/>
          </w:tcPr>
          <w:p w14:paraId="4CBB73A2">
            <w:pPr>
              <w:pStyle w:val="10"/>
              <w:keepNext/>
              <w:spacing w:after="0" w:line="240" w:lineRule="auto"/>
              <w:ind w:left="63" w:right="63" w:firstLine="600"/>
              <w:rPr>
                <w:rFonts w:hint="eastAsia" w:ascii="宋体" w:hAnsi="宋体" w:eastAsia="宋体" w:cs="宋体"/>
                <w:b/>
                <w:bCs/>
                <w:color w:val="000000"/>
                <w:kern w:val="2"/>
                <w:sz w:val="28"/>
                <w:szCs w:val="28"/>
                <w:highlight w:val="yellow"/>
              </w:rPr>
            </w:pPr>
          </w:p>
        </w:tc>
        <w:tc>
          <w:tcPr>
            <w:tcW w:w="613" w:type="dxa"/>
            <w:tcBorders>
              <w:top w:val="single" w:color="auto" w:sz="4" w:space="0"/>
              <w:left w:val="single" w:color="auto" w:sz="4" w:space="0"/>
              <w:bottom w:val="single" w:color="auto" w:sz="4" w:space="0"/>
              <w:right w:val="single" w:color="auto" w:sz="4" w:space="0"/>
            </w:tcBorders>
            <w:noWrap w:val="0"/>
            <w:vAlign w:val="center"/>
          </w:tcPr>
          <w:p w14:paraId="124E6E2A">
            <w:pPr>
              <w:pStyle w:val="10"/>
              <w:keepNext/>
              <w:spacing w:after="0" w:line="240" w:lineRule="auto"/>
              <w:ind w:left="63" w:right="63" w:firstLine="600"/>
              <w:rPr>
                <w:rFonts w:hint="eastAsia" w:ascii="宋体" w:hAnsi="宋体" w:eastAsia="宋体" w:cs="宋体"/>
                <w:b/>
                <w:bCs/>
                <w:color w:val="000000"/>
                <w:kern w:val="2"/>
                <w:sz w:val="28"/>
                <w:szCs w:val="28"/>
                <w:highlight w:val="yellow"/>
              </w:rPr>
            </w:pPr>
          </w:p>
        </w:tc>
        <w:tc>
          <w:tcPr>
            <w:tcW w:w="731" w:type="dxa"/>
            <w:tcBorders>
              <w:top w:val="single" w:color="auto" w:sz="4" w:space="0"/>
              <w:left w:val="single" w:color="auto" w:sz="4" w:space="0"/>
              <w:bottom w:val="single" w:color="auto" w:sz="4" w:space="0"/>
              <w:right w:val="single" w:color="auto" w:sz="4" w:space="0"/>
            </w:tcBorders>
            <w:noWrap w:val="0"/>
            <w:vAlign w:val="center"/>
          </w:tcPr>
          <w:p w14:paraId="62E5B186">
            <w:pPr>
              <w:pStyle w:val="10"/>
              <w:keepNext/>
              <w:spacing w:after="0" w:line="240" w:lineRule="auto"/>
              <w:ind w:left="63" w:right="63" w:firstLine="600"/>
              <w:rPr>
                <w:rFonts w:hint="eastAsia" w:ascii="宋体" w:hAnsi="宋体" w:eastAsia="宋体" w:cs="宋体"/>
                <w:b/>
                <w:bCs/>
                <w:color w:val="000000"/>
                <w:kern w:val="2"/>
                <w:sz w:val="28"/>
                <w:szCs w:val="28"/>
                <w:highlight w:val="yellow"/>
              </w:rPr>
            </w:pPr>
          </w:p>
        </w:tc>
        <w:tc>
          <w:tcPr>
            <w:tcW w:w="1630" w:type="dxa"/>
            <w:tcBorders>
              <w:top w:val="single" w:color="auto" w:sz="4" w:space="0"/>
              <w:left w:val="single" w:color="auto" w:sz="4" w:space="0"/>
              <w:bottom w:val="single" w:color="auto" w:sz="4" w:space="0"/>
              <w:right w:val="single" w:color="auto" w:sz="4" w:space="0"/>
            </w:tcBorders>
            <w:noWrap w:val="0"/>
            <w:vAlign w:val="center"/>
          </w:tcPr>
          <w:p w14:paraId="29E8622F">
            <w:pPr>
              <w:pStyle w:val="10"/>
              <w:keepNext/>
              <w:spacing w:after="0" w:line="240" w:lineRule="auto"/>
              <w:ind w:left="63" w:right="63" w:firstLine="600"/>
              <w:rPr>
                <w:rFonts w:hint="eastAsia" w:ascii="宋体" w:hAnsi="宋体" w:eastAsia="宋体" w:cs="宋体"/>
                <w:b/>
                <w:bCs/>
                <w:color w:val="000000"/>
                <w:kern w:val="2"/>
                <w:sz w:val="28"/>
                <w:szCs w:val="28"/>
                <w:highlight w:val="yellow"/>
              </w:rPr>
            </w:pPr>
          </w:p>
        </w:tc>
        <w:tc>
          <w:tcPr>
            <w:tcW w:w="1409" w:type="dxa"/>
            <w:tcBorders>
              <w:top w:val="single" w:color="auto" w:sz="4" w:space="0"/>
              <w:left w:val="single" w:color="auto" w:sz="4" w:space="0"/>
              <w:bottom w:val="single" w:color="auto" w:sz="4" w:space="0"/>
              <w:right w:val="single" w:color="auto" w:sz="4" w:space="0"/>
            </w:tcBorders>
            <w:noWrap w:val="0"/>
            <w:vAlign w:val="center"/>
          </w:tcPr>
          <w:p w14:paraId="27D507EE">
            <w:pPr>
              <w:pStyle w:val="10"/>
              <w:keepNext/>
              <w:spacing w:after="0" w:line="240" w:lineRule="auto"/>
              <w:ind w:left="63" w:right="63" w:firstLine="600"/>
              <w:rPr>
                <w:rFonts w:hint="eastAsia" w:ascii="宋体" w:hAnsi="宋体" w:eastAsia="宋体" w:cs="宋体"/>
                <w:b/>
                <w:bCs/>
                <w:color w:val="000000"/>
                <w:kern w:val="2"/>
                <w:sz w:val="28"/>
                <w:szCs w:val="28"/>
                <w:highlight w:val="yellow"/>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14:paraId="2439A7C3">
            <w:pPr>
              <w:pStyle w:val="10"/>
              <w:keepNext/>
              <w:spacing w:after="0" w:line="240" w:lineRule="auto"/>
              <w:ind w:left="63" w:right="63" w:firstLine="600"/>
              <w:rPr>
                <w:rFonts w:hint="eastAsia" w:ascii="宋体" w:hAnsi="宋体" w:eastAsia="宋体" w:cs="宋体"/>
                <w:b/>
                <w:bCs/>
                <w:color w:val="000000"/>
                <w:kern w:val="2"/>
                <w:sz w:val="28"/>
                <w:szCs w:val="28"/>
                <w:highlight w:val="yellow"/>
              </w:rPr>
            </w:pPr>
          </w:p>
        </w:tc>
      </w:tr>
      <w:tr w14:paraId="2FED42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435" w:type="dxa"/>
            <w:tcBorders>
              <w:top w:val="single" w:color="auto" w:sz="4" w:space="0"/>
              <w:left w:val="single" w:color="auto" w:sz="4" w:space="0"/>
              <w:bottom w:val="single" w:color="auto" w:sz="4" w:space="0"/>
              <w:right w:val="single" w:color="auto" w:sz="4" w:space="0"/>
            </w:tcBorders>
            <w:noWrap w:val="0"/>
            <w:vAlign w:val="center"/>
          </w:tcPr>
          <w:p w14:paraId="3368C654">
            <w:pPr>
              <w:pStyle w:val="10"/>
              <w:keepNext/>
              <w:spacing w:after="0" w:line="240" w:lineRule="auto"/>
              <w:ind w:left="63" w:right="63" w:firstLine="600"/>
              <w:rPr>
                <w:rFonts w:hint="eastAsia" w:ascii="宋体" w:hAnsi="宋体" w:eastAsia="宋体" w:cs="宋体"/>
                <w:b/>
                <w:bCs/>
                <w:color w:val="000000"/>
                <w:kern w:val="2"/>
                <w:sz w:val="28"/>
                <w:szCs w:val="28"/>
                <w:highlight w:val="yellow"/>
              </w:rPr>
            </w:pPr>
          </w:p>
        </w:tc>
        <w:tc>
          <w:tcPr>
            <w:tcW w:w="1917" w:type="dxa"/>
            <w:tcBorders>
              <w:top w:val="single" w:color="auto" w:sz="4" w:space="0"/>
              <w:left w:val="single" w:color="auto" w:sz="4" w:space="0"/>
              <w:bottom w:val="single" w:color="auto" w:sz="4" w:space="0"/>
              <w:right w:val="single" w:color="auto" w:sz="4" w:space="0"/>
            </w:tcBorders>
            <w:noWrap w:val="0"/>
            <w:vAlign w:val="center"/>
          </w:tcPr>
          <w:p w14:paraId="1B8143AB">
            <w:pPr>
              <w:pStyle w:val="10"/>
              <w:keepNext/>
              <w:spacing w:after="0" w:line="240" w:lineRule="auto"/>
              <w:ind w:left="63" w:right="63" w:firstLine="600"/>
              <w:rPr>
                <w:rFonts w:hint="eastAsia" w:ascii="宋体" w:hAnsi="宋体" w:eastAsia="宋体" w:cs="宋体"/>
                <w:b/>
                <w:bCs/>
                <w:color w:val="000000"/>
                <w:kern w:val="2"/>
                <w:sz w:val="28"/>
                <w:szCs w:val="28"/>
                <w:highlight w:val="yellow"/>
              </w:rPr>
            </w:pPr>
          </w:p>
        </w:tc>
        <w:tc>
          <w:tcPr>
            <w:tcW w:w="1083" w:type="dxa"/>
            <w:tcBorders>
              <w:top w:val="single" w:color="auto" w:sz="4" w:space="0"/>
              <w:left w:val="single" w:color="auto" w:sz="4" w:space="0"/>
              <w:bottom w:val="single" w:color="auto" w:sz="4" w:space="0"/>
              <w:right w:val="single" w:color="auto" w:sz="4" w:space="0"/>
            </w:tcBorders>
            <w:noWrap w:val="0"/>
            <w:vAlign w:val="center"/>
          </w:tcPr>
          <w:p w14:paraId="309E017F">
            <w:pPr>
              <w:pStyle w:val="10"/>
              <w:keepNext/>
              <w:spacing w:after="0" w:line="240" w:lineRule="auto"/>
              <w:ind w:left="63" w:right="63" w:firstLine="600"/>
              <w:rPr>
                <w:rFonts w:hint="eastAsia" w:ascii="宋体" w:hAnsi="宋体" w:eastAsia="宋体" w:cs="宋体"/>
                <w:b/>
                <w:bCs/>
                <w:color w:val="000000"/>
                <w:kern w:val="2"/>
                <w:sz w:val="28"/>
                <w:szCs w:val="28"/>
                <w:highlight w:val="yellow"/>
              </w:rPr>
            </w:pPr>
          </w:p>
        </w:tc>
        <w:tc>
          <w:tcPr>
            <w:tcW w:w="626" w:type="dxa"/>
            <w:tcBorders>
              <w:top w:val="single" w:color="auto" w:sz="4" w:space="0"/>
              <w:left w:val="single" w:color="auto" w:sz="4" w:space="0"/>
              <w:bottom w:val="single" w:color="auto" w:sz="4" w:space="0"/>
              <w:right w:val="single" w:color="auto" w:sz="4" w:space="0"/>
            </w:tcBorders>
            <w:noWrap w:val="0"/>
            <w:vAlign w:val="center"/>
          </w:tcPr>
          <w:p w14:paraId="602CD4A6">
            <w:pPr>
              <w:pStyle w:val="10"/>
              <w:keepNext/>
              <w:spacing w:after="0" w:line="240" w:lineRule="auto"/>
              <w:ind w:left="63" w:right="63" w:firstLine="600"/>
              <w:rPr>
                <w:rFonts w:hint="eastAsia" w:ascii="宋体" w:hAnsi="宋体" w:eastAsia="宋体" w:cs="宋体"/>
                <w:b/>
                <w:bCs/>
                <w:color w:val="000000"/>
                <w:kern w:val="2"/>
                <w:sz w:val="28"/>
                <w:szCs w:val="28"/>
                <w:highlight w:val="yellow"/>
              </w:rPr>
            </w:pPr>
          </w:p>
        </w:tc>
        <w:tc>
          <w:tcPr>
            <w:tcW w:w="404" w:type="dxa"/>
            <w:tcBorders>
              <w:top w:val="single" w:color="auto" w:sz="4" w:space="0"/>
              <w:left w:val="single" w:color="auto" w:sz="4" w:space="0"/>
              <w:bottom w:val="single" w:color="auto" w:sz="4" w:space="0"/>
              <w:right w:val="single" w:color="auto" w:sz="4" w:space="0"/>
            </w:tcBorders>
            <w:noWrap w:val="0"/>
            <w:vAlign w:val="center"/>
          </w:tcPr>
          <w:p w14:paraId="5512EEFC">
            <w:pPr>
              <w:pStyle w:val="10"/>
              <w:keepNext/>
              <w:spacing w:after="0" w:line="240" w:lineRule="auto"/>
              <w:ind w:left="63" w:right="63" w:firstLine="600"/>
              <w:rPr>
                <w:rFonts w:hint="eastAsia" w:ascii="宋体" w:hAnsi="宋体" w:eastAsia="宋体" w:cs="宋体"/>
                <w:b/>
                <w:bCs/>
                <w:color w:val="000000"/>
                <w:kern w:val="2"/>
                <w:sz w:val="28"/>
                <w:szCs w:val="28"/>
                <w:highlight w:val="yellow"/>
              </w:rPr>
            </w:pPr>
          </w:p>
        </w:tc>
        <w:tc>
          <w:tcPr>
            <w:tcW w:w="613" w:type="dxa"/>
            <w:tcBorders>
              <w:top w:val="single" w:color="auto" w:sz="4" w:space="0"/>
              <w:left w:val="single" w:color="auto" w:sz="4" w:space="0"/>
              <w:bottom w:val="single" w:color="auto" w:sz="4" w:space="0"/>
              <w:right w:val="single" w:color="auto" w:sz="4" w:space="0"/>
            </w:tcBorders>
            <w:noWrap w:val="0"/>
            <w:vAlign w:val="center"/>
          </w:tcPr>
          <w:p w14:paraId="224330CC">
            <w:pPr>
              <w:pStyle w:val="10"/>
              <w:keepNext/>
              <w:spacing w:after="0" w:line="240" w:lineRule="auto"/>
              <w:ind w:left="63" w:right="63" w:firstLine="600"/>
              <w:rPr>
                <w:rFonts w:hint="eastAsia" w:ascii="宋体" w:hAnsi="宋体" w:eastAsia="宋体" w:cs="宋体"/>
                <w:b/>
                <w:bCs/>
                <w:color w:val="000000"/>
                <w:kern w:val="2"/>
                <w:sz w:val="28"/>
                <w:szCs w:val="28"/>
                <w:highlight w:val="yellow"/>
              </w:rPr>
            </w:pPr>
          </w:p>
        </w:tc>
        <w:tc>
          <w:tcPr>
            <w:tcW w:w="731" w:type="dxa"/>
            <w:tcBorders>
              <w:top w:val="single" w:color="auto" w:sz="4" w:space="0"/>
              <w:left w:val="single" w:color="auto" w:sz="4" w:space="0"/>
              <w:bottom w:val="single" w:color="auto" w:sz="4" w:space="0"/>
              <w:right w:val="single" w:color="auto" w:sz="4" w:space="0"/>
            </w:tcBorders>
            <w:noWrap w:val="0"/>
            <w:vAlign w:val="center"/>
          </w:tcPr>
          <w:p w14:paraId="642CAFC8">
            <w:pPr>
              <w:pStyle w:val="10"/>
              <w:keepNext/>
              <w:spacing w:after="0" w:line="240" w:lineRule="auto"/>
              <w:ind w:left="63" w:right="63" w:firstLine="600"/>
              <w:rPr>
                <w:rFonts w:hint="eastAsia" w:ascii="宋体" w:hAnsi="宋体" w:eastAsia="宋体" w:cs="宋体"/>
                <w:b/>
                <w:bCs/>
                <w:color w:val="000000"/>
                <w:kern w:val="2"/>
                <w:sz w:val="28"/>
                <w:szCs w:val="28"/>
                <w:highlight w:val="yellow"/>
              </w:rPr>
            </w:pPr>
          </w:p>
        </w:tc>
        <w:tc>
          <w:tcPr>
            <w:tcW w:w="1630" w:type="dxa"/>
            <w:tcBorders>
              <w:top w:val="single" w:color="auto" w:sz="4" w:space="0"/>
              <w:left w:val="single" w:color="auto" w:sz="4" w:space="0"/>
              <w:bottom w:val="single" w:color="auto" w:sz="4" w:space="0"/>
              <w:right w:val="single" w:color="auto" w:sz="4" w:space="0"/>
            </w:tcBorders>
            <w:noWrap w:val="0"/>
            <w:vAlign w:val="center"/>
          </w:tcPr>
          <w:p w14:paraId="29F678AD">
            <w:pPr>
              <w:pStyle w:val="10"/>
              <w:keepNext/>
              <w:spacing w:after="0" w:line="240" w:lineRule="auto"/>
              <w:ind w:left="63" w:right="63" w:firstLine="600"/>
              <w:rPr>
                <w:rFonts w:hint="eastAsia" w:ascii="宋体" w:hAnsi="宋体" w:eastAsia="宋体" w:cs="宋体"/>
                <w:b/>
                <w:bCs/>
                <w:color w:val="000000"/>
                <w:kern w:val="2"/>
                <w:sz w:val="28"/>
                <w:szCs w:val="28"/>
                <w:highlight w:val="yellow"/>
              </w:rPr>
            </w:pPr>
          </w:p>
        </w:tc>
        <w:tc>
          <w:tcPr>
            <w:tcW w:w="1409" w:type="dxa"/>
            <w:tcBorders>
              <w:top w:val="single" w:color="auto" w:sz="4" w:space="0"/>
              <w:left w:val="single" w:color="auto" w:sz="4" w:space="0"/>
              <w:bottom w:val="single" w:color="auto" w:sz="4" w:space="0"/>
              <w:right w:val="single" w:color="auto" w:sz="4" w:space="0"/>
            </w:tcBorders>
            <w:noWrap w:val="0"/>
            <w:vAlign w:val="center"/>
          </w:tcPr>
          <w:p w14:paraId="57543E9B">
            <w:pPr>
              <w:pStyle w:val="10"/>
              <w:keepNext/>
              <w:spacing w:after="0" w:line="240" w:lineRule="auto"/>
              <w:ind w:left="63" w:right="63" w:firstLine="600"/>
              <w:rPr>
                <w:rFonts w:hint="eastAsia" w:ascii="宋体" w:hAnsi="宋体" w:eastAsia="宋体" w:cs="宋体"/>
                <w:b/>
                <w:bCs/>
                <w:color w:val="000000"/>
                <w:kern w:val="2"/>
                <w:sz w:val="28"/>
                <w:szCs w:val="28"/>
                <w:highlight w:val="yellow"/>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14:paraId="274AFD39">
            <w:pPr>
              <w:pStyle w:val="10"/>
              <w:keepNext/>
              <w:spacing w:after="0" w:line="240" w:lineRule="auto"/>
              <w:ind w:left="63" w:right="63" w:firstLine="600"/>
              <w:rPr>
                <w:rFonts w:hint="eastAsia" w:ascii="宋体" w:hAnsi="宋体" w:eastAsia="宋体" w:cs="宋体"/>
                <w:b/>
                <w:bCs/>
                <w:color w:val="000000"/>
                <w:kern w:val="2"/>
                <w:sz w:val="28"/>
                <w:szCs w:val="28"/>
                <w:highlight w:val="yellow"/>
              </w:rPr>
            </w:pPr>
          </w:p>
        </w:tc>
      </w:tr>
    </w:tbl>
    <w:p w14:paraId="233D246A">
      <w:pPr>
        <w:rPr>
          <w:rFonts w:hint="eastAsia" w:ascii="宋体" w:hAnsi="宋体" w:eastAsia="宋体" w:cs="宋体"/>
        </w:rPr>
        <w:sectPr>
          <w:footerReference r:id="rId4" w:type="default"/>
          <w:endnotePr>
            <w:numFmt w:val="decimal"/>
          </w:endnotePr>
          <w:pgSz w:w="11907" w:h="16840"/>
          <w:pgMar w:top="1134" w:right="1134" w:bottom="1134" w:left="1134" w:header="851" w:footer="593" w:gutter="0"/>
          <w:cols w:space="720" w:num="1"/>
          <w:docGrid w:linePitch="312" w:charSpace="0"/>
        </w:sectPr>
      </w:pPr>
    </w:p>
    <w:p w14:paraId="33F668BB">
      <w:pPr>
        <w:jc w:val="left"/>
        <w:outlineLvl w:val="0"/>
        <w:rPr>
          <w:rFonts w:hint="eastAsia" w:ascii="宋体" w:hAnsi="宋体" w:eastAsia="宋体" w:cs="宋体"/>
          <w:color w:val="000000"/>
          <w:sz w:val="28"/>
          <w:szCs w:val="28"/>
        </w:rPr>
      </w:pPr>
      <w:bookmarkStart w:id="450" w:name="_Toc9487"/>
      <w:bookmarkStart w:id="451" w:name="_Toc3895"/>
      <w:bookmarkStart w:id="452" w:name="_Toc25213"/>
      <w:bookmarkStart w:id="453" w:name="_Toc25530"/>
      <w:bookmarkStart w:id="454" w:name="_Toc25037"/>
      <w:bookmarkStart w:id="455" w:name="_Toc31922"/>
      <w:bookmarkStart w:id="456" w:name="_Toc159"/>
      <w:bookmarkStart w:id="457" w:name="_Toc28953"/>
      <w:bookmarkStart w:id="458" w:name="_Toc27647"/>
      <w:bookmarkStart w:id="459" w:name="_Toc27789"/>
      <w:bookmarkStart w:id="460" w:name="_Toc443898214"/>
      <w:bookmarkStart w:id="461" w:name="_Toc414"/>
      <w:bookmarkStart w:id="462" w:name="_Toc31991"/>
      <w:bookmarkStart w:id="463" w:name="_Toc12294"/>
      <w:bookmarkStart w:id="464" w:name="_Toc32463"/>
      <w:r>
        <w:rPr>
          <w:rFonts w:hint="eastAsia" w:ascii="宋体" w:hAnsi="宋体" w:eastAsia="宋体" w:cs="宋体"/>
          <w:color w:val="000000"/>
          <w:sz w:val="28"/>
          <w:szCs w:val="28"/>
        </w:rPr>
        <w:t>附件2：发包人供应材料设备一览表</w:t>
      </w:r>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p>
    <w:p w14:paraId="009376E8">
      <w:pPr>
        <w:ind w:firstLine="723" w:firstLineChars="200"/>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发包人供应材料设备一览表</w:t>
      </w:r>
    </w:p>
    <w:tbl>
      <w:tblPr>
        <w:tblStyle w:val="17"/>
        <w:tblW w:w="952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36"/>
        <w:gridCol w:w="1054"/>
        <w:gridCol w:w="1418"/>
        <w:gridCol w:w="940"/>
        <w:gridCol w:w="851"/>
        <w:gridCol w:w="1044"/>
        <w:gridCol w:w="992"/>
        <w:gridCol w:w="851"/>
        <w:gridCol w:w="1034"/>
        <w:gridCol w:w="603"/>
      </w:tblGrid>
      <w:tr w14:paraId="2582AC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51" w:hRule="atLeast"/>
          <w:jc w:val="center"/>
        </w:trPr>
        <w:tc>
          <w:tcPr>
            <w:tcW w:w="736" w:type="dxa"/>
            <w:tcBorders>
              <w:top w:val="single" w:color="auto" w:sz="12" w:space="0"/>
              <w:bottom w:val="double" w:color="auto" w:sz="6" w:space="0"/>
            </w:tcBorders>
            <w:noWrap w:val="0"/>
            <w:vAlign w:val="center"/>
          </w:tcPr>
          <w:p w14:paraId="6C03A0ED">
            <w:pPr>
              <w:pStyle w:val="10"/>
              <w:keepNext/>
              <w:spacing w:after="0" w:line="240" w:lineRule="auto"/>
              <w:ind w:left="63" w:right="63"/>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序号</w:t>
            </w:r>
          </w:p>
        </w:tc>
        <w:tc>
          <w:tcPr>
            <w:tcW w:w="1054" w:type="dxa"/>
            <w:tcBorders>
              <w:top w:val="single" w:color="auto" w:sz="12" w:space="0"/>
              <w:bottom w:val="double" w:color="auto" w:sz="6" w:space="0"/>
            </w:tcBorders>
            <w:noWrap w:val="0"/>
            <w:vAlign w:val="center"/>
          </w:tcPr>
          <w:p w14:paraId="2A73F117">
            <w:pPr>
              <w:pStyle w:val="10"/>
              <w:keepNext/>
              <w:spacing w:after="0" w:line="240" w:lineRule="auto"/>
              <w:ind w:left="0" w:leftChars="0" w:right="63"/>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材料、设备品种</w:t>
            </w:r>
          </w:p>
        </w:tc>
        <w:tc>
          <w:tcPr>
            <w:tcW w:w="1418" w:type="dxa"/>
            <w:tcBorders>
              <w:top w:val="single" w:color="auto" w:sz="12" w:space="0"/>
              <w:bottom w:val="double" w:color="auto" w:sz="6" w:space="0"/>
            </w:tcBorders>
            <w:noWrap w:val="0"/>
            <w:vAlign w:val="center"/>
          </w:tcPr>
          <w:p w14:paraId="3FE0BC3C">
            <w:pPr>
              <w:pStyle w:val="10"/>
              <w:keepNext/>
              <w:spacing w:after="0" w:line="240" w:lineRule="auto"/>
              <w:ind w:left="63" w:right="63"/>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规格型号</w:t>
            </w:r>
          </w:p>
        </w:tc>
        <w:tc>
          <w:tcPr>
            <w:tcW w:w="940" w:type="dxa"/>
            <w:tcBorders>
              <w:top w:val="single" w:color="auto" w:sz="12" w:space="0"/>
              <w:bottom w:val="double" w:color="auto" w:sz="6" w:space="0"/>
            </w:tcBorders>
            <w:noWrap w:val="0"/>
            <w:vAlign w:val="center"/>
          </w:tcPr>
          <w:p w14:paraId="6E78FDD8">
            <w:pPr>
              <w:pStyle w:val="10"/>
              <w:keepNext/>
              <w:spacing w:after="0" w:line="240" w:lineRule="auto"/>
              <w:ind w:left="63" w:right="63"/>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单位</w:t>
            </w:r>
          </w:p>
        </w:tc>
        <w:tc>
          <w:tcPr>
            <w:tcW w:w="851" w:type="dxa"/>
            <w:tcBorders>
              <w:top w:val="single" w:color="auto" w:sz="12" w:space="0"/>
              <w:bottom w:val="double" w:color="auto" w:sz="6" w:space="0"/>
            </w:tcBorders>
            <w:noWrap w:val="0"/>
            <w:vAlign w:val="center"/>
          </w:tcPr>
          <w:p w14:paraId="0A7CE665">
            <w:pPr>
              <w:pStyle w:val="10"/>
              <w:keepNext/>
              <w:spacing w:after="0" w:line="240" w:lineRule="auto"/>
              <w:ind w:left="63" w:right="63"/>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数量</w:t>
            </w:r>
          </w:p>
        </w:tc>
        <w:tc>
          <w:tcPr>
            <w:tcW w:w="1044" w:type="dxa"/>
            <w:tcBorders>
              <w:top w:val="single" w:color="auto" w:sz="12" w:space="0"/>
              <w:bottom w:val="double" w:color="auto" w:sz="6" w:space="0"/>
            </w:tcBorders>
            <w:noWrap w:val="0"/>
            <w:vAlign w:val="center"/>
          </w:tcPr>
          <w:p w14:paraId="48469A54">
            <w:pPr>
              <w:pStyle w:val="10"/>
              <w:keepNext/>
              <w:spacing w:after="0" w:line="240" w:lineRule="auto"/>
              <w:ind w:left="63" w:right="63"/>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单价（元）</w:t>
            </w:r>
          </w:p>
        </w:tc>
        <w:tc>
          <w:tcPr>
            <w:tcW w:w="992" w:type="dxa"/>
            <w:tcBorders>
              <w:top w:val="single" w:color="auto" w:sz="12" w:space="0"/>
              <w:bottom w:val="double" w:color="auto" w:sz="6" w:space="0"/>
            </w:tcBorders>
            <w:noWrap w:val="0"/>
            <w:vAlign w:val="center"/>
          </w:tcPr>
          <w:p w14:paraId="7248AC62">
            <w:pPr>
              <w:pStyle w:val="10"/>
              <w:keepNext/>
              <w:spacing w:after="0" w:line="240" w:lineRule="auto"/>
              <w:ind w:left="63" w:right="63"/>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质量等级</w:t>
            </w:r>
          </w:p>
        </w:tc>
        <w:tc>
          <w:tcPr>
            <w:tcW w:w="851" w:type="dxa"/>
            <w:tcBorders>
              <w:top w:val="single" w:color="auto" w:sz="12" w:space="0"/>
              <w:bottom w:val="double" w:color="auto" w:sz="6" w:space="0"/>
            </w:tcBorders>
            <w:noWrap w:val="0"/>
            <w:vAlign w:val="center"/>
          </w:tcPr>
          <w:p w14:paraId="1D253CA9">
            <w:pPr>
              <w:pStyle w:val="10"/>
              <w:keepNext/>
              <w:spacing w:after="0" w:line="240" w:lineRule="auto"/>
              <w:ind w:left="63" w:right="63"/>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供应时间</w:t>
            </w:r>
          </w:p>
        </w:tc>
        <w:tc>
          <w:tcPr>
            <w:tcW w:w="1034" w:type="dxa"/>
            <w:tcBorders>
              <w:top w:val="single" w:color="auto" w:sz="12" w:space="0"/>
              <w:bottom w:val="double" w:color="auto" w:sz="6" w:space="0"/>
            </w:tcBorders>
            <w:noWrap w:val="0"/>
            <w:vAlign w:val="center"/>
          </w:tcPr>
          <w:p w14:paraId="194EFFC0">
            <w:pPr>
              <w:pStyle w:val="10"/>
              <w:keepNext/>
              <w:spacing w:after="0" w:line="240" w:lineRule="auto"/>
              <w:ind w:left="63" w:right="63"/>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送达地点</w:t>
            </w:r>
          </w:p>
        </w:tc>
        <w:tc>
          <w:tcPr>
            <w:tcW w:w="603" w:type="dxa"/>
            <w:tcBorders>
              <w:top w:val="single" w:color="auto" w:sz="12" w:space="0"/>
              <w:bottom w:val="double" w:color="auto" w:sz="6" w:space="0"/>
            </w:tcBorders>
            <w:noWrap w:val="0"/>
            <w:vAlign w:val="center"/>
          </w:tcPr>
          <w:p w14:paraId="6CFC2D2A">
            <w:pPr>
              <w:pStyle w:val="10"/>
              <w:keepNext/>
              <w:spacing w:after="0" w:line="240" w:lineRule="auto"/>
              <w:ind w:left="63" w:right="63"/>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备注</w:t>
            </w:r>
          </w:p>
        </w:tc>
      </w:tr>
      <w:tr w14:paraId="102D83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36" w:type="dxa"/>
            <w:tcBorders>
              <w:top w:val="double" w:color="auto" w:sz="6" w:space="0"/>
              <w:bottom w:val="single" w:color="auto" w:sz="6" w:space="0"/>
            </w:tcBorders>
            <w:noWrap w:val="0"/>
            <w:vAlign w:val="center"/>
          </w:tcPr>
          <w:p w14:paraId="7AADB9B7">
            <w:pPr>
              <w:pStyle w:val="10"/>
              <w:keepNext/>
              <w:spacing w:after="0" w:line="240" w:lineRule="auto"/>
              <w:ind w:left="63" w:right="63" w:firstLine="600"/>
              <w:rPr>
                <w:rFonts w:hint="eastAsia" w:ascii="宋体" w:hAnsi="宋体" w:eastAsia="宋体" w:cs="宋体"/>
                <w:b/>
                <w:bCs/>
                <w:color w:val="000000"/>
                <w:kern w:val="2"/>
                <w:sz w:val="21"/>
                <w:szCs w:val="21"/>
              </w:rPr>
            </w:pPr>
          </w:p>
        </w:tc>
        <w:tc>
          <w:tcPr>
            <w:tcW w:w="1054" w:type="dxa"/>
            <w:tcBorders>
              <w:top w:val="double" w:color="auto" w:sz="6" w:space="0"/>
              <w:bottom w:val="single" w:color="auto" w:sz="6" w:space="0"/>
            </w:tcBorders>
            <w:noWrap w:val="0"/>
            <w:vAlign w:val="center"/>
          </w:tcPr>
          <w:p w14:paraId="1412B385">
            <w:pPr>
              <w:pStyle w:val="10"/>
              <w:keepNext/>
              <w:spacing w:after="0" w:line="240" w:lineRule="auto"/>
              <w:ind w:right="63"/>
              <w:rPr>
                <w:rFonts w:hint="eastAsia" w:ascii="宋体" w:hAnsi="宋体" w:eastAsia="宋体" w:cs="宋体"/>
                <w:b/>
                <w:bCs/>
                <w:color w:val="000000"/>
                <w:kern w:val="2"/>
                <w:sz w:val="21"/>
                <w:szCs w:val="21"/>
                <w:lang w:val="en-US" w:eastAsia="zh-CN"/>
              </w:rPr>
            </w:pPr>
            <w:r>
              <w:rPr>
                <w:rFonts w:hint="eastAsia" w:ascii="宋体" w:hAnsi="宋体" w:cs="宋体"/>
                <w:b w:val="0"/>
                <w:bCs w:val="0"/>
                <w:color w:val="000000"/>
                <w:kern w:val="2"/>
                <w:sz w:val="21"/>
                <w:szCs w:val="21"/>
                <w:lang w:val="en-US" w:eastAsia="zh-CN"/>
              </w:rPr>
              <w:t>无</w:t>
            </w:r>
          </w:p>
        </w:tc>
        <w:tc>
          <w:tcPr>
            <w:tcW w:w="1418" w:type="dxa"/>
            <w:tcBorders>
              <w:top w:val="double" w:color="auto" w:sz="6" w:space="0"/>
              <w:bottom w:val="single" w:color="auto" w:sz="6" w:space="0"/>
            </w:tcBorders>
            <w:noWrap w:val="0"/>
            <w:vAlign w:val="center"/>
          </w:tcPr>
          <w:p w14:paraId="5804E844">
            <w:pPr>
              <w:pStyle w:val="10"/>
              <w:keepNext/>
              <w:spacing w:after="0" w:line="240" w:lineRule="auto"/>
              <w:ind w:left="63" w:right="63" w:firstLine="600"/>
              <w:rPr>
                <w:rFonts w:hint="eastAsia" w:ascii="宋体" w:hAnsi="宋体" w:eastAsia="宋体" w:cs="宋体"/>
                <w:b/>
                <w:bCs/>
                <w:color w:val="000000"/>
                <w:kern w:val="2"/>
                <w:sz w:val="21"/>
                <w:szCs w:val="21"/>
              </w:rPr>
            </w:pPr>
          </w:p>
        </w:tc>
        <w:tc>
          <w:tcPr>
            <w:tcW w:w="940" w:type="dxa"/>
            <w:tcBorders>
              <w:top w:val="double" w:color="auto" w:sz="6" w:space="0"/>
              <w:bottom w:val="single" w:color="auto" w:sz="6" w:space="0"/>
            </w:tcBorders>
            <w:noWrap w:val="0"/>
            <w:vAlign w:val="center"/>
          </w:tcPr>
          <w:p w14:paraId="24A321B8">
            <w:pPr>
              <w:pStyle w:val="10"/>
              <w:keepNext/>
              <w:spacing w:after="0" w:line="240" w:lineRule="auto"/>
              <w:ind w:left="63" w:right="63" w:firstLine="600"/>
              <w:rPr>
                <w:rFonts w:hint="eastAsia" w:ascii="宋体" w:hAnsi="宋体" w:eastAsia="宋体" w:cs="宋体"/>
                <w:b/>
                <w:bCs/>
                <w:color w:val="000000"/>
                <w:kern w:val="2"/>
                <w:sz w:val="21"/>
                <w:szCs w:val="21"/>
              </w:rPr>
            </w:pPr>
          </w:p>
        </w:tc>
        <w:tc>
          <w:tcPr>
            <w:tcW w:w="851" w:type="dxa"/>
            <w:tcBorders>
              <w:top w:val="double" w:color="auto" w:sz="6" w:space="0"/>
              <w:bottom w:val="single" w:color="auto" w:sz="6" w:space="0"/>
            </w:tcBorders>
            <w:noWrap w:val="0"/>
            <w:vAlign w:val="center"/>
          </w:tcPr>
          <w:p w14:paraId="0989D585">
            <w:pPr>
              <w:pStyle w:val="10"/>
              <w:keepNext/>
              <w:spacing w:after="0" w:line="240" w:lineRule="auto"/>
              <w:ind w:left="63" w:right="63" w:firstLine="600"/>
              <w:rPr>
                <w:rFonts w:hint="eastAsia" w:ascii="宋体" w:hAnsi="宋体" w:eastAsia="宋体" w:cs="宋体"/>
                <w:b/>
                <w:bCs/>
                <w:color w:val="000000"/>
                <w:kern w:val="2"/>
                <w:sz w:val="21"/>
                <w:szCs w:val="21"/>
              </w:rPr>
            </w:pPr>
          </w:p>
        </w:tc>
        <w:tc>
          <w:tcPr>
            <w:tcW w:w="1044" w:type="dxa"/>
            <w:tcBorders>
              <w:top w:val="double" w:color="auto" w:sz="6" w:space="0"/>
              <w:bottom w:val="single" w:color="auto" w:sz="6" w:space="0"/>
            </w:tcBorders>
            <w:noWrap w:val="0"/>
            <w:vAlign w:val="center"/>
          </w:tcPr>
          <w:p w14:paraId="0918CA13">
            <w:pPr>
              <w:pStyle w:val="10"/>
              <w:keepNext/>
              <w:spacing w:after="0" w:line="240" w:lineRule="auto"/>
              <w:ind w:left="63" w:right="63" w:firstLine="600"/>
              <w:rPr>
                <w:rFonts w:hint="eastAsia" w:ascii="宋体" w:hAnsi="宋体" w:eastAsia="宋体" w:cs="宋体"/>
                <w:b/>
                <w:bCs/>
                <w:color w:val="000000"/>
                <w:kern w:val="2"/>
                <w:sz w:val="21"/>
                <w:szCs w:val="21"/>
              </w:rPr>
            </w:pPr>
          </w:p>
        </w:tc>
        <w:tc>
          <w:tcPr>
            <w:tcW w:w="992" w:type="dxa"/>
            <w:tcBorders>
              <w:top w:val="double" w:color="auto" w:sz="6" w:space="0"/>
              <w:bottom w:val="single" w:color="auto" w:sz="6" w:space="0"/>
            </w:tcBorders>
            <w:noWrap w:val="0"/>
            <w:vAlign w:val="center"/>
          </w:tcPr>
          <w:p w14:paraId="6B72F1D3">
            <w:pPr>
              <w:pStyle w:val="10"/>
              <w:keepNext/>
              <w:spacing w:after="0" w:line="240" w:lineRule="auto"/>
              <w:ind w:left="63" w:right="63" w:firstLine="600"/>
              <w:rPr>
                <w:rFonts w:hint="eastAsia" w:ascii="宋体" w:hAnsi="宋体" w:eastAsia="宋体" w:cs="宋体"/>
                <w:b/>
                <w:bCs/>
                <w:color w:val="000000"/>
                <w:kern w:val="2"/>
                <w:sz w:val="21"/>
                <w:szCs w:val="21"/>
              </w:rPr>
            </w:pPr>
          </w:p>
        </w:tc>
        <w:tc>
          <w:tcPr>
            <w:tcW w:w="851" w:type="dxa"/>
            <w:tcBorders>
              <w:top w:val="double" w:color="auto" w:sz="6" w:space="0"/>
              <w:bottom w:val="single" w:color="auto" w:sz="6" w:space="0"/>
            </w:tcBorders>
            <w:noWrap w:val="0"/>
            <w:vAlign w:val="center"/>
          </w:tcPr>
          <w:p w14:paraId="31E661EB">
            <w:pPr>
              <w:pStyle w:val="10"/>
              <w:keepNext/>
              <w:spacing w:after="0" w:line="240" w:lineRule="auto"/>
              <w:ind w:left="63" w:right="63" w:firstLine="600"/>
              <w:rPr>
                <w:rFonts w:hint="eastAsia" w:ascii="宋体" w:hAnsi="宋体" w:eastAsia="宋体" w:cs="宋体"/>
                <w:b/>
                <w:bCs/>
                <w:color w:val="000000"/>
                <w:kern w:val="2"/>
                <w:sz w:val="21"/>
                <w:szCs w:val="21"/>
              </w:rPr>
            </w:pPr>
          </w:p>
        </w:tc>
        <w:tc>
          <w:tcPr>
            <w:tcW w:w="1034" w:type="dxa"/>
            <w:tcBorders>
              <w:top w:val="double" w:color="auto" w:sz="6" w:space="0"/>
              <w:bottom w:val="single" w:color="auto" w:sz="6" w:space="0"/>
            </w:tcBorders>
            <w:noWrap w:val="0"/>
            <w:vAlign w:val="center"/>
          </w:tcPr>
          <w:p w14:paraId="61BA04C4">
            <w:pPr>
              <w:pStyle w:val="10"/>
              <w:keepNext/>
              <w:spacing w:after="0" w:line="240" w:lineRule="auto"/>
              <w:ind w:left="63" w:right="63" w:firstLine="600"/>
              <w:rPr>
                <w:rFonts w:hint="eastAsia" w:ascii="宋体" w:hAnsi="宋体" w:eastAsia="宋体" w:cs="宋体"/>
                <w:b/>
                <w:bCs/>
                <w:color w:val="000000"/>
                <w:kern w:val="2"/>
                <w:sz w:val="21"/>
                <w:szCs w:val="21"/>
              </w:rPr>
            </w:pPr>
          </w:p>
        </w:tc>
        <w:tc>
          <w:tcPr>
            <w:tcW w:w="603" w:type="dxa"/>
            <w:tcBorders>
              <w:top w:val="double" w:color="auto" w:sz="6" w:space="0"/>
              <w:bottom w:val="single" w:color="auto" w:sz="6" w:space="0"/>
            </w:tcBorders>
            <w:noWrap w:val="0"/>
            <w:vAlign w:val="center"/>
          </w:tcPr>
          <w:p w14:paraId="03D83999">
            <w:pPr>
              <w:pStyle w:val="10"/>
              <w:keepNext/>
              <w:spacing w:after="0" w:line="240" w:lineRule="auto"/>
              <w:ind w:left="63" w:right="63" w:firstLine="600"/>
              <w:rPr>
                <w:rFonts w:hint="eastAsia" w:ascii="宋体" w:hAnsi="宋体" w:eastAsia="宋体" w:cs="宋体"/>
                <w:b/>
                <w:bCs/>
                <w:color w:val="000000"/>
                <w:kern w:val="2"/>
                <w:sz w:val="21"/>
                <w:szCs w:val="21"/>
              </w:rPr>
            </w:pPr>
          </w:p>
        </w:tc>
      </w:tr>
      <w:tr w14:paraId="21A156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36" w:type="dxa"/>
            <w:tcBorders>
              <w:top w:val="nil"/>
            </w:tcBorders>
            <w:noWrap w:val="0"/>
            <w:vAlign w:val="center"/>
          </w:tcPr>
          <w:p w14:paraId="232CB66C">
            <w:pPr>
              <w:pStyle w:val="10"/>
              <w:keepNext/>
              <w:spacing w:after="0" w:line="240" w:lineRule="auto"/>
              <w:ind w:left="63" w:right="63" w:firstLine="600"/>
              <w:rPr>
                <w:rFonts w:hint="eastAsia" w:ascii="宋体" w:hAnsi="宋体" w:eastAsia="宋体" w:cs="宋体"/>
                <w:b/>
                <w:bCs/>
                <w:color w:val="000000"/>
                <w:kern w:val="2"/>
                <w:sz w:val="21"/>
                <w:szCs w:val="21"/>
              </w:rPr>
            </w:pPr>
          </w:p>
        </w:tc>
        <w:tc>
          <w:tcPr>
            <w:tcW w:w="1054" w:type="dxa"/>
            <w:tcBorders>
              <w:top w:val="nil"/>
            </w:tcBorders>
            <w:noWrap w:val="0"/>
            <w:vAlign w:val="center"/>
          </w:tcPr>
          <w:p w14:paraId="073C9F0B">
            <w:pPr>
              <w:pStyle w:val="10"/>
              <w:keepNext/>
              <w:spacing w:after="0" w:line="240" w:lineRule="auto"/>
              <w:ind w:left="63" w:right="63" w:firstLine="600"/>
              <w:rPr>
                <w:rFonts w:hint="eastAsia" w:ascii="宋体" w:hAnsi="宋体" w:eastAsia="宋体" w:cs="宋体"/>
                <w:b/>
                <w:bCs/>
                <w:color w:val="000000"/>
                <w:kern w:val="2"/>
                <w:sz w:val="21"/>
                <w:szCs w:val="21"/>
              </w:rPr>
            </w:pPr>
          </w:p>
        </w:tc>
        <w:tc>
          <w:tcPr>
            <w:tcW w:w="1418" w:type="dxa"/>
            <w:tcBorders>
              <w:top w:val="nil"/>
            </w:tcBorders>
            <w:noWrap w:val="0"/>
            <w:vAlign w:val="center"/>
          </w:tcPr>
          <w:p w14:paraId="3E55B4BB">
            <w:pPr>
              <w:pStyle w:val="10"/>
              <w:keepNext/>
              <w:spacing w:after="0" w:line="240" w:lineRule="auto"/>
              <w:ind w:left="63" w:right="63" w:firstLine="600"/>
              <w:rPr>
                <w:rFonts w:hint="eastAsia" w:ascii="宋体" w:hAnsi="宋体" w:eastAsia="宋体" w:cs="宋体"/>
                <w:b/>
                <w:bCs/>
                <w:color w:val="000000"/>
                <w:kern w:val="2"/>
                <w:sz w:val="21"/>
                <w:szCs w:val="21"/>
              </w:rPr>
            </w:pPr>
          </w:p>
        </w:tc>
        <w:tc>
          <w:tcPr>
            <w:tcW w:w="940" w:type="dxa"/>
            <w:tcBorders>
              <w:top w:val="nil"/>
            </w:tcBorders>
            <w:noWrap w:val="0"/>
            <w:vAlign w:val="center"/>
          </w:tcPr>
          <w:p w14:paraId="69DAEEAC">
            <w:pPr>
              <w:pStyle w:val="10"/>
              <w:keepNext/>
              <w:spacing w:after="0" w:line="240" w:lineRule="auto"/>
              <w:ind w:left="63" w:right="63" w:firstLine="600"/>
              <w:rPr>
                <w:rFonts w:hint="eastAsia" w:ascii="宋体" w:hAnsi="宋体" w:eastAsia="宋体" w:cs="宋体"/>
                <w:b/>
                <w:bCs/>
                <w:color w:val="000000"/>
                <w:kern w:val="2"/>
                <w:sz w:val="21"/>
                <w:szCs w:val="21"/>
              </w:rPr>
            </w:pPr>
          </w:p>
        </w:tc>
        <w:tc>
          <w:tcPr>
            <w:tcW w:w="851" w:type="dxa"/>
            <w:tcBorders>
              <w:top w:val="nil"/>
            </w:tcBorders>
            <w:noWrap w:val="0"/>
            <w:vAlign w:val="center"/>
          </w:tcPr>
          <w:p w14:paraId="6572DBD5">
            <w:pPr>
              <w:pStyle w:val="10"/>
              <w:keepNext/>
              <w:spacing w:after="0" w:line="240" w:lineRule="auto"/>
              <w:ind w:left="63" w:right="63" w:firstLine="600"/>
              <w:rPr>
                <w:rFonts w:hint="eastAsia" w:ascii="宋体" w:hAnsi="宋体" w:eastAsia="宋体" w:cs="宋体"/>
                <w:b/>
                <w:bCs/>
                <w:color w:val="000000"/>
                <w:kern w:val="2"/>
                <w:sz w:val="21"/>
                <w:szCs w:val="21"/>
              </w:rPr>
            </w:pPr>
          </w:p>
        </w:tc>
        <w:tc>
          <w:tcPr>
            <w:tcW w:w="1044" w:type="dxa"/>
            <w:tcBorders>
              <w:top w:val="nil"/>
            </w:tcBorders>
            <w:noWrap w:val="0"/>
            <w:vAlign w:val="center"/>
          </w:tcPr>
          <w:p w14:paraId="24209633">
            <w:pPr>
              <w:pStyle w:val="10"/>
              <w:keepNext/>
              <w:spacing w:after="0" w:line="240" w:lineRule="auto"/>
              <w:ind w:left="63" w:right="63" w:firstLine="600"/>
              <w:rPr>
                <w:rFonts w:hint="eastAsia" w:ascii="宋体" w:hAnsi="宋体" w:eastAsia="宋体" w:cs="宋体"/>
                <w:b/>
                <w:bCs/>
                <w:color w:val="000000"/>
                <w:kern w:val="2"/>
                <w:sz w:val="21"/>
                <w:szCs w:val="21"/>
              </w:rPr>
            </w:pPr>
          </w:p>
        </w:tc>
        <w:tc>
          <w:tcPr>
            <w:tcW w:w="992" w:type="dxa"/>
            <w:tcBorders>
              <w:top w:val="nil"/>
            </w:tcBorders>
            <w:noWrap w:val="0"/>
            <w:vAlign w:val="center"/>
          </w:tcPr>
          <w:p w14:paraId="57E00DF7">
            <w:pPr>
              <w:pStyle w:val="10"/>
              <w:keepNext/>
              <w:spacing w:after="0" w:line="240" w:lineRule="auto"/>
              <w:ind w:left="63" w:right="63" w:firstLine="600"/>
              <w:rPr>
                <w:rFonts w:hint="eastAsia" w:ascii="宋体" w:hAnsi="宋体" w:eastAsia="宋体" w:cs="宋体"/>
                <w:b/>
                <w:bCs/>
                <w:color w:val="000000"/>
                <w:kern w:val="2"/>
                <w:sz w:val="21"/>
                <w:szCs w:val="21"/>
              </w:rPr>
            </w:pPr>
          </w:p>
        </w:tc>
        <w:tc>
          <w:tcPr>
            <w:tcW w:w="851" w:type="dxa"/>
            <w:tcBorders>
              <w:top w:val="nil"/>
            </w:tcBorders>
            <w:noWrap w:val="0"/>
            <w:vAlign w:val="center"/>
          </w:tcPr>
          <w:p w14:paraId="141220AA">
            <w:pPr>
              <w:pStyle w:val="10"/>
              <w:keepNext/>
              <w:spacing w:after="0" w:line="240" w:lineRule="auto"/>
              <w:ind w:left="63" w:right="63" w:firstLine="600"/>
              <w:rPr>
                <w:rFonts w:hint="eastAsia" w:ascii="宋体" w:hAnsi="宋体" w:eastAsia="宋体" w:cs="宋体"/>
                <w:b/>
                <w:bCs/>
                <w:color w:val="000000"/>
                <w:kern w:val="2"/>
                <w:sz w:val="21"/>
                <w:szCs w:val="21"/>
              </w:rPr>
            </w:pPr>
          </w:p>
        </w:tc>
        <w:tc>
          <w:tcPr>
            <w:tcW w:w="1034" w:type="dxa"/>
            <w:tcBorders>
              <w:top w:val="nil"/>
            </w:tcBorders>
            <w:noWrap w:val="0"/>
            <w:vAlign w:val="center"/>
          </w:tcPr>
          <w:p w14:paraId="78D370DF">
            <w:pPr>
              <w:pStyle w:val="10"/>
              <w:keepNext/>
              <w:spacing w:after="0" w:line="240" w:lineRule="auto"/>
              <w:ind w:left="63" w:right="63" w:firstLine="600"/>
              <w:rPr>
                <w:rFonts w:hint="eastAsia" w:ascii="宋体" w:hAnsi="宋体" w:eastAsia="宋体" w:cs="宋体"/>
                <w:b/>
                <w:bCs/>
                <w:color w:val="000000"/>
                <w:kern w:val="2"/>
                <w:sz w:val="21"/>
                <w:szCs w:val="21"/>
              </w:rPr>
            </w:pPr>
          </w:p>
        </w:tc>
        <w:tc>
          <w:tcPr>
            <w:tcW w:w="603" w:type="dxa"/>
            <w:tcBorders>
              <w:top w:val="nil"/>
            </w:tcBorders>
            <w:noWrap w:val="0"/>
            <w:vAlign w:val="center"/>
          </w:tcPr>
          <w:p w14:paraId="3F2B1E37">
            <w:pPr>
              <w:pStyle w:val="10"/>
              <w:keepNext/>
              <w:spacing w:after="0" w:line="240" w:lineRule="auto"/>
              <w:ind w:left="63" w:right="63" w:firstLine="600"/>
              <w:rPr>
                <w:rFonts w:hint="eastAsia" w:ascii="宋体" w:hAnsi="宋体" w:eastAsia="宋体" w:cs="宋体"/>
                <w:b/>
                <w:bCs/>
                <w:color w:val="000000"/>
                <w:kern w:val="2"/>
                <w:sz w:val="21"/>
                <w:szCs w:val="21"/>
              </w:rPr>
            </w:pPr>
          </w:p>
        </w:tc>
      </w:tr>
      <w:tr w14:paraId="4CCCA8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36" w:type="dxa"/>
            <w:noWrap w:val="0"/>
            <w:vAlign w:val="center"/>
          </w:tcPr>
          <w:p w14:paraId="1841E08A">
            <w:pPr>
              <w:pStyle w:val="10"/>
              <w:keepNext/>
              <w:spacing w:after="0" w:line="240" w:lineRule="auto"/>
              <w:ind w:left="63" w:right="63" w:firstLine="600"/>
              <w:rPr>
                <w:rFonts w:hint="eastAsia" w:ascii="宋体" w:hAnsi="宋体" w:eastAsia="宋体" w:cs="宋体"/>
                <w:b/>
                <w:bCs/>
                <w:color w:val="000000"/>
                <w:kern w:val="2"/>
                <w:sz w:val="21"/>
                <w:szCs w:val="21"/>
              </w:rPr>
            </w:pPr>
          </w:p>
        </w:tc>
        <w:tc>
          <w:tcPr>
            <w:tcW w:w="1054" w:type="dxa"/>
            <w:noWrap w:val="0"/>
            <w:vAlign w:val="center"/>
          </w:tcPr>
          <w:p w14:paraId="45DCFC61">
            <w:pPr>
              <w:pStyle w:val="10"/>
              <w:keepNext/>
              <w:spacing w:after="0" w:line="240" w:lineRule="auto"/>
              <w:ind w:left="63" w:right="63" w:firstLine="600"/>
              <w:rPr>
                <w:rFonts w:hint="eastAsia" w:ascii="宋体" w:hAnsi="宋体" w:eastAsia="宋体" w:cs="宋体"/>
                <w:b/>
                <w:bCs/>
                <w:color w:val="000000"/>
                <w:kern w:val="2"/>
                <w:sz w:val="21"/>
                <w:szCs w:val="21"/>
              </w:rPr>
            </w:pPr>
          </w:p>
        </w:tc>
        <w:tc>
          <w:tcPr>
            <w:tcW w:w="1418" w:type="dxa"/>
            <w:noWrap w:val="0"/>
            <w:vAlign w:val="center"/>
          </w:tcPr>
          <w:p w14:paraId="0F23250C">
            <w:pPr>
              <w:pStyle w:val="10"/>
              <w:keepNext/>
              <w:spacing w:after="0" w:line="240" w:lineRule="auto"/>
              <w:ind w:left="63" w:right="63" w:firstLine="600"/>
              <w:rPr>
                <w:rFonts w:hint="eastAsia" w:ascii="宋体" w:hAnsi="宋体" w:eastAsia="宋体" w:cs="宋体"/>
                <w:b/>
                <w:bCs/>
                <w:color w:val="000000"/>
                <w:kern w:val="2"/>
                <w:sz w:val="21"/>
                <w:szCs w:val="21"/>
              </w:rPr>
            </w:pPr>
          </w:p>
        </w:tc>
        <w:tc>
          <w:tcPr>
            <w:tcW w:w="940" w:type="dxa"/>
            <w:noWrap w:val="0"/>
            <w:vAlign w:val="center"/>
          </w:tcPr>
          <w:p w14:paraId="315F6236">
            <w:pPr>
              <w:pStyle w:val="10"/>
              <w:keepNext/>
              <w:spacing w:after="0" w:line="240" w:lineRule="auto"/>
              <w:ind w:left="63" w:right="63" w:firstLine="600"/>
              <w:rPr>
                <w:rFonts w:hint="eastAsia" w:ascii="宋体" w:hAnsi="宋体" w:eastAsia="宋体" w:cs="宋体"/>
                <w:b/>
                <w:bCs/>
                <w:color w:val="000000"/>
                <w:kern w:val="2"/>
                <w:sz w:val="21"/>
                <w:szCs w:val="21"/>
              </w:rPr>
            </w:pPr>
          </w:p>
        </w:tc>
        <w:tc>
          <w:tcPr>
            <w:tcW w:w="851" w:type="dxa"/>
            <w:noWrap w:val="0"/>
            <w:vAlign w:val="center"/>
          </w:tcPr>
          <w:p w14:paraId="406E3260">
            <w:pPr>
              <w:pStyle w:val="10"/>
              <w:keepNext/>
              <w:spacing w:after="0" w:line="240" w:lineRule="auto"/>
              <w:ind w:left="63" w:right="63" w:firstLine="600"/>
              <w:rPr>
                <w:rFonts w:hint="eastAsia" w:ascii="宋体" w:hAnsi="宋体" w:eastAsia="宋体" w:cs="宋体"/>
                <w:b/>
                <w:bCs/>
                <w:color w:val="000000"/>
                <w:kern w:val="2"/>
                <w:sz w:val="21"/>
                <w:szCs w:val="21"/>
              </w:rPr>
            </w:pPr>
          </w:p>
        </w:tc>
        <w:tc>
          <w:tcPr>
            <w:tcW w:w="1044" w:type="dxa"/>
            <w:noWrap w:val="0"/>
            <w:vAlign w:val="center"/>
          </w:tcPr>
          <w:p w14:paraId="2E00E813">
            <w:pPr>
              <w:pStyle w:val="10"/>
              <w:keepNext/>
              <w:spacing w:after="0" w:line="240" w:lineRule="auto"/>
              <w:ind w:left="63" w:right="63" w:firstLine="600"/>
              <w:rPr>
                <w:rFonts w:hint="eastAsia" w:ascii="宋体" w:hAnsi="宋体" w:eastAsia="宋体" w:cs="宋体"/>
                <w:b/>
                <w:bCs/>
                <w:color w:val="000000"/>
                <w:kern w:val="2"/>
                <w:sz w:val="21"/>
                <w:szCs w:val="21"/>
              </w:rPr>
            </w:pPr>
          </w:p>
        </w:tc>
        <w:tc>
          <w:tcPr>
            <w:tcW w:w="992" w:type="dxa"/>
            <w:noWrap w:val="0"/>
            <w:vAlign w:val="center"/>
          </w:tcPr>
          <w:p w14:paraId="410B542B">
            <w:pPr>
              <w:pStyle w:val="10"/>
              <w:keepNext/>
              <w:spacing w:after="0" w:line="240" w:lineRule="auto"/>
              <w:ind w:left="63" w:right="63" w:firstLine="600"/>
              <w:rPr>
                <w:rFonts w:hint="eastAsia" w:ascii="宋体" w:hAnsi="宋体" w:eastAsia="宋体" w:cs="宋体"/>
                <w:b/>
                <w:bCs/>
                <w:color w:val="000000"/>
                <w:kern w:val="2"/>
                <w:sz w:val="21"/>
                <w:szCs w:val="21"/>
              </w:rPr>
            </w:pPr>
          </w:p>
        </w:tc>
        <w:tc>
          <w:tcPr>
            <w:tcW w:w="851" w:type="dxa"/>
            <w:noWrap w:val="0"/>
            <w:vAlign w:val="center"/>
          </w:tcPr>
          <w:p w14:paraId="6651140D">
            <w:pPr>
              <w:pStyle w:val="10"/>
              <w:keepNext/>
              <w:spacing w:after="0" w:line="240" w:lineRule="auto"/>
              <w:ind w:left="63" w:right="63" w:firstLine="600"/>
              <w:rPr>
                <w:rFonts w:hint="eastAsia" w:ascii="宋体" w:hAnsi="宋体" w:eastAsia="宋体" w:cs="宋体"/>
                <w:b/>
                <w:bCs/>
                <w:color w:val="000000"/>
                <w:kern w:val="2"/>
                <w:sz w:val="21"/>
                <w:szCs w:val="21"/>
              </w:rPr>
            </w:pPr>
          </w:p>
        </w:tc>
        <w:tc>
          <w:tcPr>
            <w:tcW w:w="1034" w:type="dxa"/>
            <w:noWrap w:val="0"/>
            <w:vAlign w:val="center"/>
          </w:tcPr>
          <w:p w14:paraId="3FC80323">
            <w:pPr>
              <w:pStyle w:val="10"/>
              <w:keepNext/>
              <w:spacing w:after="0" w:line="240" w:lineRule="auto"/>
              <w:ind w:left="63" w:right="63" w:firstLine="600"/>
              <w:rPr>
                <w:rFonts w:hint="eastAsia" w:ascii="宋体" w:hAnsi="宋体" w:eastAsia="宋体" w:cs="宋体"/>
                <w:b/>
                <w:bCs/>
                <w:color w:val="000000"/>
                <w:kern w:val="2"/>
                <w:sz w:val="21"/>
                <w:szCs w:val="21"/>
              </w:rPr>
            </w:pPr>
          </w:p>
        </w:tc>
        <w:tc>
          <w:tcPr>
            <w:tcW w:w="603" w:type="dxa"/>
            <w:noWrap w:val="0"/>
            <w:vAlign w:val="center"/>
          </w:tcPr>
          <w:p w14:paraId="5D3C516B">
            <w:pPr>
              <w:pStyle w:val="10"/>
              <w:keepNext/>
              <w:spacing w:after="0" w:line="240" w:lineRule="auto"/>
              <w:ind w:left="63" w:right="63" w:firstLine="600"/>
              <w:rPr>
                <w:rFonts w:hint="eastAsia" w:ascii="宋体" w:hAnsi="宋体" w:eastAsia="宋体" w:cs="宋体"/>
                <w:b/>
                <w:bCs/>
                <w:color w:val="000000"/>
                <w:kern w:val="2"/>
                <w:sz w:val="21"/>
                <w:szCs w:val="21"/>
              </w:rPr>
            </w:pPr>
          </w:p>
        </w:tc>
      </w:tr>
      <w:tr w14:paraId="35AC35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36" w:type="dxa"/>
            <w:noWrap w:val="0"/>
            <w:vAlign w:val="center"/>
          </w:tcPr>
          <w:p w14:paraId="46A10A0B">
            <w:pPr>
              <w:pStyle w:val="10"/>
              <w:keepNext/>
              <w:spacing w:after="0" w:line="240" w:lineRule="auto"/>
              <w:ind w:left="63" w:right="63" w:firstLine="600"/>
              <w:rPr>
                <w:rFonts w:hint="eastAsia" w:ascii="宋体" w:hAnsi="宋体" w:eastAsia="宋体" w:cs="宋体"/>
                <w:b/>
                <w:bCs/>
                <w:color w:val="000000"/>
                <w:kern w:val="2"/>
                <w:sz w:val="21"/>
                <w:szCs w:val="21"/>
              </w:rPr>
            </w:pPr>
          </w:p>
        </w:tc>
        <w:tc>
          <w:tcPr>
            <w:tcW w:w="1054" w:type="dxa"/>
            <w:noWrap w:val="0"/>
            <w:vAlign w:val="center"/>
          </w:tcPr>
          <w:p w14:paraId="001FC4B7">
            <w:pPr>
              <w:pStyle w:val="10"/>
              <w:keepNext/>
              <w:spacing w:after="0" w:line="240" w:lineRule="auto"/>
              <w:ind w:left="63" w:right="63" w:firstLine="600"/>
              <w:rPr>
                <w:rFonts w:hint="eastAsia" w:ascii="宋体" w:hAnsi="宋体" w:eastAsia="宋体" w:cs="宋体"/>
                <w:b/>
                <w:bCs/>
                <w:color w:val="000000"/>
                <w:kern w:val="2"/>
                <w:sz w:val="21"/>
                <w:szCs w:val="21"/>
              </w:rPr>
            </w:pPr>
          </w:p>
        </w:tc>
        <w:tc>
          <w:tcPr>
            <w:tcW w:w="1418" w:type="dxa"/>
            <w:noWrap w:val="0"/>
            <w:vAlign w:val="center"/>
          </w:tcPr>
          <w:p w14:paraId="2E6CE2B7">
            <w:pPr>
              <w:pStyle w:val="10"/>
              <w:keepNext/>
              <w:spacing w:after="0" w:line="240" w:lineRule="auto"/>
              <w:ind w:left="63" w:right="63" w:firstLine="600"/>
              <w:rPr>
                <w:rFonts w:hint="eastAsia" w:ascii="宋体" w:hAnsi="宋体" w:eastAsia="宋体" w:cs="宋体"/>
                <w:b/>
                <w:bCs/>
                <w:color w:val="000000"/>
                <w:kern w:val="2"/>
                <w:sz w:val="21"/>
                <w:szCs w:val="21"/>
              </w:rPr>
            </w:pPr>
          </w:p>
        </w:tc>
        <w:tc>
          <w:tcPr>
            <w:tcW w:w="940" w:type="dxa"/>
            <w:noWrap w:val="0"/>
            <w:vAlign w:val="center"/>
          </w:tcPr>
          <w:p w14:paraId="0E9E3CB7">
            <w:pPr>
              <w:pStyle w:val="10"/>
              <w:keepNext/>
              <w:spacing w:after="0" w:line="240" w:lineRule="auto"/>
              <w:ind w:left="63" w:right="63" w:firstLine="600"/>
              <w:rPr>
                <w:rFonts w:hint="eastAsia" w:ascii="宋体" w:hAnsi="宋体" w:eastAsia="宋体" w:cs="宋体"/>
                <w:b/>
                <w:bCs/>
                <w:color w:val="000000"/>
                <w:kern w:val="2"/>
                <w:sz w:val="21"/>
                <w:szCs w:val="21"/>
              </w:rPr>
            </w:pPr>
          </w:p>
        </w:tc>
        <w:tc>
          <w:tcPr>
            <w:tcW w:w="851" w:type="dxa"/>
            <w:noWrap w:val="0"/>
            <w:vAlign w:val="center"/>
          </w:tcPr>
          <w:p w14:paraId="5AB3FD07">
            <w:pPr>
              <w:pStyle w:val="10"/>
              <w:keepNext/>
              <w:spacing w:after="0" w:line="240" w:lineRule="auto"/>
              <w:ind w:left="63" w:right="63" w:firstLine="600"/>
              <w:rPr>
                <w:rFonts w:hint="eastAsia" w:ascii="宋体" w:hAnsi="宋体" w:eastAsia="宋体" w:cs="宋体"/>
                <w:b/>
                <w:bCs/>
                <w:color w:val="000000"/>
                <w:kern w:val="2"/>
                <w:sz w:val="21"/>
                <w:szCs w:val="21"/>
              </w:rPr>
            </w:pPr>
          </w:p>
        </w:tc>
        <w:tc>
          <w:tcPr>
            <w:tcW w:w="1044" w:type="dxa"/>
            <w:noWrap w:val="0"/>
            <w:vAlign w:val="center"/>
          </w:tcPr>
          <w:p w14:paraId="5405C94D">
            <w:pPr>
              <w:pStyle w:val="10"/>
              <w:keepNext/>
              <w:spacing w:after="0" w:line="240" w:lineRule="auto"/>
              <w:ind w:left="63" w:right="63" w:firstLine="600"/>
              <w:rPr>
                <w:rFonts w:hint="eastAsia" w:ascii="宋体" w:hAnsi="宋体" w:eastAsia="宋体" w:cs="宋体"/>
                <w:b/>
                <w:bCs/>
                <w:color w:val="000000"/>
                <w:kern w:val="2"/>
                <w:sz w:val="21"/>
                <w:szCs w:val="21"/>
              </w:rPr>
            </w:pPr>
          </w:p>
        </w:tc>
        <w:tc>
          <w:tcPr>
            <w:tcW w:w="992" w:type="dxa"/>
            <w:noWrap w:val="0"/>
            <w:vAlign w:val="center"/>
          </w:tcPr>
          <w:p w14:paraId="516D208E">
            <w:pPr>
              <w:pStyle w:val="10"/>
              <w:keepNext/>
              <w:spacing w:after="0" w:line="240" w:lineRule="auto"/>
              <w:ind w:left="63" w:right="63" w:firstLine="600"/>
              <w:rPr>
                <w:rFonts w:hint="eastAsia" w:ascii="宋体" w:hAnsi="宋体" w:eastAsia="宋体" w:cs="宋体"/>
                <w:b/>
                <w:bCs/>
                <w:color w:val="000000"/>
                <w:kern w:val="2"/>
                <w:sz w:val="21"/>
                <w:szCs w:val="21"/>
              </w:rPr>
            </w:pPr>
          </w:p>
        </w:tc>
        <w:tc>
          <w:tcPr>
            <w:tcW w:w="851" w:type="dxa"/>
            <w:noWrap w:val="0"/>
            <w:vAlign w:val="center"/>
          </w:tcPr>
          <w:p w14:paraId="1A4957C6">
            <w:pPr>
              <w:pStyle w:val="10"/>
              <w:keepNext/>
              <w:spacing w:after="0" w:line="240" w:lineRule="auto"/>
              <w:ind w:left="63" w:right="63" w:firstLine="600"/>
              <w:rPr>
                <w:rFonts w:hint="eastAsia" w:ascii="宋体" w:hAnsi="宋体" w:eastAsia="宋体" w:cs="宋体"/>
                <w:b/>
                <w:bCs/>
                <w:color w:val="000000"/>
                <w:kern w:val="2"/>
                <w:sz w:val="21"/>
                <w:szCs w:val="21"/>
              </w:rPr>
            </w:pPr>
          </w:p>
        </w:tc>
        <w:tc>
          <w:tcPr>
            <w:tcW w:w="1034" w:type="dxa"/>
            <w:noWrap w:val="0"/>
            <w:vAlign w:val="center"/>
          </w:tcPr>
          <w:p w14:paraId="4AB3893A">
            <w:pPr>
              <w:pStyle w:val="10"/>
              <w:keepNext/>
              <w:spacing w:after="0" w:line="240" w:lineRule="auto"/>
              <w:ind w:left="63" w:right="63" w:firstLine="600"/>
              <w:rPr>
                <w:rFonts w:hint="eastAsia" w:ascii="宋体" w:hAnsi="宋体" w:eastAsia="宋体" w:cs="宋体"/>
                <w:b/>
                <w:bCs/>
                <w:color w:val="000000"/>
                <w:kern w:val="2"/>
                <w:sz w:val="21"/>
                <w:szCs w:val="21"/>
              </w:rPr>
            </w:pPr>
          </w:p>
        </w:tc>
        <w:tc>
          <w:tcPr>
            <w:tcW w:w="603" w:type="dxa"/>
            <w:noWrap w:val="0"/>
            <w:vAlign w:val="center"/>
          </w:tcPr>
          <w:p w14:paraId="39D66541">
            <w:pPr>
              <w:pStyle w:val="10"/>
              <w:keepNext/>
              <w:spacing w:after="0" w:line="240" w:lineRule="auto"/>
              <w:ind w:left="63" w:right="63" w:firstLine="600"/>
              <w:rPr>
                <w:rFonts w:hint="eastAsia" w:ascii="宋体" w:hAnsi="宋体" w:eastAsia="宋体" w:cs="宋体"/>
                <w:b/>
                <w:bCs/>
                <w:color w:val="000000"/>
                <w:kern w:val="2"/>
                <w:sz w:val="21"/>
                <w:szCs w:val="21"/>
              </w:rPr>
            </w:pPr>
          </w:p>
        </w:tc>
      </w:tr>
      <w:tr w14:paraId="61E534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36" w:type="dxa"/>
            <w:noWrap w:val="0"/>
            <w:vAlign w:val="center"/>
          </w:tcPr>
          <w:p w14:paraId="322F9247">
            <w:pPr>
              <w:pStyle w:val="10"/>
              <w:keepNext/>
              <w:spacing w:after="0" w:line="240" w:lineRule="auto"/>
              <w:ind w:left="63" w:right="63" w:firstLine="600"/>
              <w:rPr>
                <w:rFonts w:hint="eastAsia" w:ascii="宋体" w:hAnsi="宋体" w:eastAsia="宋体" w:cs="宋体"/>
                <w:b/>
                <w:bCs/>
                <w:color w:val="000000"/>
                <w:kern w:val="2"/>
                <w:sz w:val="21"/>
                <w:szCs w:val="21"/>
              </w:rPr>
            </w:pPr>
          </w:p>
        </w:tc>
        <w:tc>
          <w:tcPr>
            <w:tcW w:w="1054" w:type="dxa"/>
            <w:noWrap w:val="0"/>
            <w:vAlign w:val="center"/>
          </w:tcPr>
          <w:p w14:paraId="69B8D360">
            <w:pPr>
              <w:pStyle w:val="10"/>
              <w:keepNext/>
              <w:spacing w:after="0" w:line="240" w:lineRule="auto"/>
              <w:ind w:left="63" w:right="63" w:firstLine="600"/>
              <w:rPr>
                <w:rFonts w:hint="eastAsia" w:ascii="宋体" w:hAnsi="宋体" w:eastAsia="宋体" w:cs="宋体"/>
                <w:b/>
                <w:bCs/>
                <w:color w:val="000000"/>
                <w:kern w:val="2"/>
                <w:sz w:val="21"/>
                <w:szCs w:val="21"/>
              </w:rPr>
            </w:pPr>
          </w:p>
        </w:tc>
        <w:tc>
          <w:tcPr>
            <w:tcW w:w="1418" w:type="dxa"/>
            <w:noWrap w:val="0"/>
            <w:vAlign w:val="center"/>
          </w:tcPr>
          <w:p w14:paraId="71068E4D">
            <w:pPr>
              <w:pStyle w:val="10"/>
              <w:keepNext/>
              <w:spacing w:after="0" w:line="240" w:lineRule="auto"/>
              <w:ind w:left="63" w:right="63" w:firstLine="600"/>
              <w:rPr>
                <w:rFonts w:hint="eastAsia" w:ascii="宋体" w:hAnsi="宋体" w:eastAsia="宋体" w:cs="宋体"/>
                <w:b/>
                <w:bCs/>
                <w:color w:val="000000"/>
                <w:kern w:val="2"/>
                <w:sz w:val="21"/>
                <w:szCs w:val="21"/>
              </w:rPr>
            </w:pPr>
          </w:p>
        </w:tc>
        <w:tc>
          <w:tcPr>
            <w:tcW w:w="940" w:type="dxa"/>
            <w:noWrap w:val="0"/>
            <w:vAlign w:val="center"/>
          </w:tcPr>
          <w:p w14:paraId="08C5CAFF">
            <w:pPr>
              <w:pStyle w:val="10"/>
              <w:keepNext/>
              <w:spacing w:after="0" w:line="240" w:lineRule="auto"/>
              <w:ind w:left="63" w:right="63" w:firstLine="600"/>
              <w:rPr>
                <w:rFonts w:hint="eastAsia" w:ascii="宋体" w:hAnsi="宋体" w:eastAsia="宋体" w:cs="宋体"/>
                <w:b/>
                <w:bCs/>
                <w:color w:val="000000"/>
                <w:kern w:val="2"/>
                <w:sz w:val="21"/>
                <w:szCs w:val="21"/>
              </w:rPr>
            </w:pPr>
          </w:p>
        </w:tc>
        <w:tc>
          <w:tcPr>
            <w:tcW w:w="851" w:type="dxa"/>
            <w:noWrap w:val="0"/>
            <w:vAlign w:val="center"/>
          </w:tcPr>
          <w:p w14:paraId="468DFD1C">
            <w:pPr>
              <w:pStyle w:val="10"/>
              <w:keepNext/>
              <w:spacing w:after="0" w:line="240" w:lineRule="auto"/>
              <w:ind w:left="63" w:right="63" w:firstLine="600"/>
              <w:rPr>
                <w:rFonts w:hint="eastAsia" w:ascii="宋体" w:hAnsi="宋体" w:eastAsia="宋体" w:cs="宋体"/>
                <w:b/>
                <w:bCs/>
                <w:color w:val="000000"/>
                <w:kern w:val="2"/>
                <w:sz w:val="21"/>
                <w:szCs w:val="21"/>
              </w:rPr>
            </w:pPr>
          </w:p>
        </w:tc>
        <w:tc>
          <w:tcPr>
            <w:tcW w:w="1044" w:type="dxa"/>
            <w:noWrap w:val="0"/>
            <w:vAlign w:val="center"/>
          </w:tcPr>
          <w:p w14:paraId="2CF641CC">
            <w:pPr>
              <w:pStyle w:val="10"/>
              <w:keepNext/>
              <w:spacing w:after="0" w:line="240" w:lineRule="auto"/>
              <w:ind w:left="63" w:right="63" w:firstLine="600"/>
              <w:rPr>
                <w:rFonts w:hint="eastAsia" w:ascii="宋体" w:hAnsi="宋体" w:eastAsia="宋体" w:cs="宋体"/>
                <w:b/>
                <w:bCs/>
                <w:color w:val="000000"/>
                <w:kern w:val="2"/>
                <w:sz w:val="21"/>
                <w:szCs w:val="21"/>
              </w:rPr>
            </w:pPr>
          </w:p>
        </w:tc>
        <w:tc>
          <w:tcPr>
            <w:tcW w:w="992" w:type="dxa"/>
            <w:noWrap w:val="0"/>
            <w:vAlign w:val="center"/>
          </w:tcPr>
          <w:p w14:paraId="681B212D">
            <w:pPr>
              <w:pStyle w:val="10"/>
              <w:keepNext/>
              <w:spacing w:after="0" w:line="240" w:lineRule="auto"/>
              <w:ind w:left="63" w:right="63" w:firstLine="600"/>
              <w:rPr>
                <w:rFonts w:hint="eastAsia" w:ascii="宋体" w:hAnsi="宋体" w:eastAsia="宋体" w:cs="宋体"/>
                <w:b/>
                <w:bCs/>
                <w:color w:val="000000"/>
                <w:kern w:val="2"/>
                <w:sz w:val="21"/>
                <w:szCs w:val="21"/>
              </w:rPr>
            </w:pPr>
          </w:p>
        </w:tc>
        <w:tc>
          <w:tcPr>
            <w:tcW w:w="851" w:type="dxa"/>
            <w:noWrap w:val="0"/>
            <w:vAlign w:val="center"/>
          </w:tcPr>
          <w:p w14:paraId="40DAFAD7">
            <w:pPr>
              <w:pStyle w:val="10"/>
              <w:keepNext/>
              <w:spacing w:after="0" w:line="240" w:lineRule="auto"/>
              <w:ind w:left="63" w:right="63" w:firstLine="600"/>
              <w:rPr>
                <w:rFonts w:hint="eastAsia" w:ascii="宋体" w:hAnsi="宋体" w:eastAsia="宋体" w:cs="宋体"/>
                <w:b/>
                <w:bCs/>
                <w:color w:val="000000"/>
                <w:kern w:val="2"/>
                <w:sz w:val="21"/>
                <w:szCs w:val="21"/>
              </w:rPr>
            </w:pPr>
          </w:p>
        </w:tc>
        <w:tc>
          <w:tcPr>
            <w:tcW w:w="1034" w:type="dxa"/>
            <w:noWrap w:val="0"/>
            <w:vAlign w:val="center"/>
          </w:tcPr>
          <w:p w14:paraId="38340C11">
            <w:pPr>
              <w:pStyle w:val="10"/>
              <w:keepNext/>
              <w:spacing w:after="0" w:line="240" w:lineRule="auto"/>
              <w:ind w:left="63" w:right="63" w:firstLine="600"/>
              <w:rPr>
                <w:rFonts w:hint="eastAsia" w:ascii="宋体" w:hAnsi="宋体" w:eastAsia="宋体" w:cs="宋体"/>
                <w:b/>
                <w:bCs/>
                <w:color w:val="000000"/>
                <w:kern w:val="2"/>
                <w:sz w:val="21"/>
                <w:szCs w:val="21"/>
              </w:rPr>
            </w:pPr>
          </w:p>
        </w:tc>
        <w:tc>
          <w:tcPr>
            <w:tcW w:w="603" w:type="dxa"/>
            <w:noWrap w:val="0"/>
            <w:vAlign w:val="center"/>
          </w:tcPr>
          <w:p w14:paraId="0565D914">
            <w:pPr>
              <w:pStyle w:val="10"/>
              <w:keepNext/>
              <w:spacing w:after="0" w:line="240" w:lineRule="auto"/>
              <w:ind w:left="63" w:right="63" w:firstLine="600"/>
              <w:rPr>
                <w:rFonts w:hint="eastAsia" w:ascii="宋体" w:hAnsi="宋体" w:eastAsia="宋体" w:cs="宋体"/>
                <w:b/>
                <w:bCs/>
                <w:color w:val="000000"/>
                <w:kern w:val="2"/>
                <w:sz w:val="21"/>
                <w:szCs w:val="21"/>
              </w:rPr>
            </w:pPr>
          </w:p>
        </w:tc>
      </w:tr>
      <w:tr w14:paraId="09A7D6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36" w:type="dxa"/>
            <w:noWrap w:val="0"/>
            <w:vAlign w:val="center"/>
          </w:tcPr>
          <w:p w14:paraId="40DC9720">
            <w:pPr>
              <w:pStyle w:val="10"/>
              <w:keepNext/>
              <w:spacing w:after="0" w:line="240" w:lineRule="auto"/>
              <w:ind w:left="63" w:right="63" w:firstLine="600"/>
              <w:rPr>
                <w:rFonts w:hint="eastAsia" w:ascii="宋体" w:hAnsi="宋体" w:eastAsia="宋体" w:cs="宋体"/>
                <w:b/>
                <w:bCs/>
                <w:color w:val="000000"/>
                <w:kern w:val="2"/>
                <w:sz w:val="21"/>
                <w:szCs w:val="21"/>
              </w:rPr>
            </w:pPr>
          </w:p>
        </w:tc>
        <w:tc>
          <w:tcPr>
            <w:tcW w:w="1054" w:type="dxa"/>
            <w:noWrap w:val="0"/>
            <w:vAlign w:val="center"/>
          </w:tcPr>
          <w:p w14:paraId="07063BDD">
            <w:pPr>
              <w:pStyle w:val="10"/>
              <w:keepNext/>
              <w:spacing w:after="0" w:line="240" w:lineRule="auto"/>
              <w:ind w:left="63" w:right="63" w:firstLine="600"/>
              <w:rPr>
                <w:rFonts w:hint="eastAsia" w:ascii="宋体" w:hAnsi="宋体" w:eastAsia="宋体" w:cs="宋体"/>
                <w:b/>
                <w:bCs/>
                <w:color w:val="000000"/>
                <w:kern w:val="2"/>
                <w:sz w:val="21"/>
                <w:szCs w:val="21"/>
              </w:rPr>
            </w:pPr>
          </w:p>
        </w:tc>
        <w:tc>
          <w:tcPr>
            <w:tcW w:w="1418" w:type="dxa"/>
            <w:noWrap w:val="0"/>
            <w:vAlign w:val="center"/>
          </w:tcPr>
          <w:p w14:paraId="2E7FBCDF">
            <w:pPr>
              <w:pStyle w:val="10"/>
              <w:keepNext/>
              <w:spacing w:after="0" w:line="240" w:lineRule="auto"/>
              <w:ind w:left="63" w:right="63" w:firstLine="600"/>
              <w:rPr>
                <w:rFonts w:hint="eastAsia" w:ascii="宋体" w:hAnsi="宋体" w:eastAsia="宋体" w:cs="宋体"/>
                <w:b/>
                <w:bCs/>
                <w:color w:val="000000"/>
                <w:kern w:val="2"/>
                <w:sz w:val="21"/>
                <w:szCs w:val="21"/>
              </w:rPr>
            </w:pPr>
          </w:p>
        </w:tc>
        <w:tc>
          <w:tcPr>
            <w:tcW w:w="940" w:type="dxa"/>
            <w:noWrap w:val="0"/>
            <w:vAlign w:val="center"/>
          </w:tcPr>
          <w:p w14:paraId="5108DDF3">
            <w:pPr>
              <w:pStyle w:val="10"/>
              <w:keepNext/>
              <w:spacing w:after="0" w:line="240" w:lineRule="auto"/>
              <w:ind w:left="63" w:right="63" w:firstLine="600"/>
              <w:rPr>
                <w:rFonts w:hint="eastAsia" w:ascii="宋体" w:hAnsi="宋体" w:eastAsia="宋体" w:cs="宋体"/>
                <w:b/>
                <w:bCs/>
                <w:color w:val="000000"/>
                <w:kern w:val="2"/>
                <w:sz w:val="21"/>
                <w:szCs w:val="21"/>
              </w:rPr>
            </w:pPr>
          </w:p>
        </w:tc>
        <w:tc>
          <w:tcPr>
            <w:tcW w:w="851" w:type="dxa"/>
            <w:noWrap w:val="0"/>
            <w:vAlign w:val="center"/>
          </w:tcPr>
          <w:p w14:paraId="2F09CB49">
            <w:pPr>
              <w:pStyle w:val="10"/>
              <w:keepNext/>
              <w:spacing w:after="0" w:line="240" w:lineRule="auto"/>
              <w:ind w:left="63" w:right="63" w:firstLine="600"/>
              <w:rPr>
                <w:rFonts w:hint="eastAsia" w:ascii="宋体" w:hAnsi="宋体" w:eastAsia="宋体" w:cs="宋体"/>
                <w:b/>
                <w:bCs/>
                <w:color w:val="000000"/>
                <w:kern w:val="2"/>
                <w:sz w:val="21"/>
                <w:szCs w:val="21"/>
              </w:rPr>
            </w:pPr>
          </w:p>
        </w:tc>
        <w:tc>
          <w:tcPr>
            <w:tcW w:w="1044" w:type="dxa"/>
            <w:noWrap w:val="0"/>
            <w:vAlign w:val="center"/>
          </w:tcPr>
          <w:p w14:paraId="4A7BE834">
            <w:pPr>
              <w:pStyle w:val="10"/>
              <w:keepNext/>
              <w:spacing w:after="0" w:line="240" w:lineRule="auto"/>
              <w:ind w:left="63" w:right="63" w:firstLine="600"/>
              <w:rPr>
                <w:rFonts w:hint="eastAsia" w:ascii="宋体" w:hAnsi="宋体" w:eastAsia="宋体" w:cs="宋体"/>
                <w:b/>
                <w:bCs/>
                <w:color w:val="000000"/>
                <w:kern w:val="2"/>
                <w:sz w:val="21"/>
                <w:szCs w:val="21"/>
              </w:rPr>
            </w:pPr>
          </w:p>
        </w:tc>
        <w:tc>
          <w:tcPr>
            <w:tcW w:w="992" w:type="dxa"/>
            <w:noWrap w:val="0"/>
            <w:vAlign w:val="center"/>
          </w:tcPr>
          <w:p w14:paraId="21690F33">
            <w:pPr>
              <w:pStyle w:val="10"/>
              <w:keepNext/>
              <w:spacing w:after="0" w:line="240" w:lineRule="auto"/>
              <w:ind w:left="63" w:right="63" w:firstLine="600"/>
              <w:rPr>
                <w:rFonts w:hint="eastAsia" w:ascii="宋体" w:hAnsi="宋体" w:eastAsia="宋体" w:cs="宋体"/>
                <w:b/>
                <w:bCs/>
                <w:color w:val="000000"/>
                <w:kern w:val="2"/>
                <w:sz w:val="21"/>
                <w:szCs w:val="21"/>
              </w:rPr>
            </w:pPr>
          </w:p>
        </w:tc>
        <w:tc>
          <w:tcPr>
            <w:tcW w:w="851" w:type="dxa"/>
            <w:noWrap w:val="0"/>
            <w:vAlign w:val="center"/>
          </w:tcPr>
          <w:p w14:paraId="0E30C13C">
            <w:pPr>
              <w:pStyle w:val="10"/>
              <w:keepNext/>
              <w:spacing w:after="0" w:line="240" w:lineRule="auto"/>
              <w:ind w:left="63" w:right="63" w:firstLine="600"/>
              <w:rPr>
                <w:rFonts w:hint="eastAsia" w:ascii="宋体" w:hAnsi="宋体" w:eastAsia="宋体" w:cs="宋体"/>
                <w:b/>
                <w:bCs/>
                <w:color w:val="000000"/>
                <w:kern w:val="2"/>
                <w:sz w:val="21"/>
                <w:szCs w:val="21"/>
              </w:rPr>
            </w:pPr>
          </w:p>
        </w:tc>
        <w:tc>
          <w:tcPr>
            <w:tcW w:w="1034" w:type="dxa"/>
            <w:noWrap w:val="0"/>
            <w:vAlign w:val="center"/>
          </w:tcPr>
          <w:p w14:paraId="1EA849DF">
            <w:pPr>
              <w:pStyle w:val="10"/>
              <w:keepNext/>
              <w:spacing w:after="0" w:line="240" w:lineRule="auto"/>
              <w:ind w:left="63" w:right="63" w:firstLine="600"/>
              <w:rPr>
                <w:rFonts w:hint="eastAsia" w:ascii="宋体" w:hAnsi="宋体" w:eastAsia="宋体" w:cs="宋体"/>
                <w:b/>
                <w:bCs/>
                <w:color w:val="000000"/>
                <w:kern w:val="2"/>
                <w:sz w:val="21"/>
                <w:szCs w:val="21"/>
              </w:rPr>
            </w:pPr>
          </w:p>
        </w:tc>
        <w:tc>
          <w:tcPr>
            <w:tcW w:w="603" w:type="dxa"/>
            <w:noWrap w:val="0"/>
            <w:vAlign w:val="center"/>
          </w:tcPr>
          <w:p w14:paraId="3F3F65AD">
            <w:pPr>
              <w:pStyle w:val="10"/>
              <w:keepNext/>
              <w:spacing w:after="0" w:line="240" w:lineRule="auto"/>
              <w:ind w:left="63" w:right="63" w:firstLine="600"/>
              <w:rPr>
                <w:rFonts w:hint="eastAsia" w:ascii="宋体" w:hAnsi="宋体" w:eastAsia="宋体" w:cs="宋体"/>
                <w:b/>
                <w:bCs/>
                <w:color w:val="000000"/>
                <w:kern w:val="2"/>
                <w:sz w:val="21"/>
                <w:szCs w:val="21"/>
              </w:rPr>
            </w:pPr>
          </w:p>
        </w:tc>
      </w:tr>
      <w:tr w14:paraId="433B26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36" w:type="dxa"/>
            <w:noWrap w:val="0"/>
            <w:vAlign w:val="center"/>
          </w:tcPr>
          <w:p w14:paraId="09785A96">
            <w:pPr>
              <w:pStyle w:val="10"/>
              <w:keepNext/>
              <w:spacing w:after="0" w:line="240" w:lineRule="auto"/>
              <w:ind w:left="63" w:right="63" w:firstLine="600"/>
              <w:rPr>
                <w:rFonts w:hint="eastAsia" w:ascii="宋体" w:hAnsi="宋体" w:eastAsia="宋体" w:cs="宋体"/>
                <w:b/>
                <w:bCs/>
                <w:color w:val="000000"/>
                <w:kern w:val="2"/>
                <w:sz w:val="21"/>
                <w:szCs w:val="21"/>
              </w:rPr>
            </w:pPr>
          </w:p>
        </w:tc>
        <w:tc>
          <w:tcPr>
            <w:tcW w:w="1054" w:type="dxa"/>
            <w:noWrap w:val="0"/>
            <w:vAlign w:val="center"/>
          </w:tcPr>
          <w:p w14:paraId="3925588B">
            <w:pPr>
              <w:pStyle w:val="10"/>
              <w:keepNext/>
              <w:spacing w:after="0" w:line="240" w:lineRule="auto"/>
              <w:ind w:left="63" w:right="63" w:firstLine="600"/>
              <w:rPr>
                <w:rFonts w:hint="eastAsia" w:ascii="宋体" w:hAnsi="宋体" w:eastAsia="宋体" w:cs="宋体"/>
                <w:b/>
                <w:bCs/>
                <w:color w:val="000000"/>
                <w:kern w:val="2"/>
                <w:sz w:val="21"/>
                <w:szCs w:val="21"/>
              </w:rPr>
            </w:pPr>
          </w:p>
        </w:tc>
        <w:tc>
          <w:tcPr>
            <w:tcW w:w="1418" w:type="dxa"/>
            <w:noWrap w:val="0"/>
            <w:vAlign w:val="center"/>
          </w:tcPr>
          <w:p w14:paraId="2231A64B">
            <w:pPr>
              <w:pStyle w:val="10"/>
              <w:keepNext/>
              <w:spacing w:after="0" w:line="240" w:lineRule="auto"/>
              <w:ind w:left="63" w:right="63" w:firstLine="600"/>
              <w:rPr>
                <w:rFonts w:hint="eastAsia" w:ascii="宋体" w:hAnsi="宋体" w:eastAsia="宋体" w:cs="宋体"/>
                <w:b/>
                <w:bCs/>
                <w:color w:val="000000"/>
                <w:kern w:val="2"/>
                <w:sz w:val="21"/>
                <w:szCs w:val="21"/>
              </w:rPr>
            </w:pPr>
          </w:p>
        </w:tc>
        <w:tc>
          <w:tcPr>
            <w:tcW w:w="940" w:type="dxa"/>
            <w:noWrap w:val="0"/>
            <w:vAlign w:val="center"/>
          </w:tcPr>
          <w:p w14:paraId="01B206B8">
            <w:pPr>
              <w:pStyle w:val="10"/>
              <w:keepNext/>
              <w:spacing w:after="0" w:line="240" w:lineRule="auto"/>
              <w:ind w:left="63" w:right="63" w:firstLine="600"/>
              <w:rPr>
                <w:rFonts w:hint="eastAsia" w:ascii="宋体" w:hAnsi="宋体" w:eastAsia="宋体" w:cs="宋体"/>
                <w:b/>
                <w:bCs/>
                <w:color w:val="000000"/>
                <w:kern w:val="2"/>
                <w:sz w:val="21"/>
                <w:szCs w:val="21"/>
              </w:rPr>
            </w:pPr>
          </w:p>
        </w:tc>
        <w:tc>
          <w:tcPr>
            <w:tcW w:w="851" w:type="dxa"/>
            <w:noWrap w:val="0"/>
            <w:vAlign w:val="center"/>
          </w:tcPr>
          <w:p w14:paraId="52CD1116">
            <w:pPr>
              <w:pStyle w:val="10"/>
              <w:keepNext/>
              <w:spacing w:after="0" w:line="240" w:lineRule="auto"/>
              <w:ind w:left="63" w:right="63" w:firstLine="600"/>
              <w:rPr>
                <w:rFonts w:hint="eastAsia" w:ascii="宋体" w:hAnsi="宋体" w:eastAsia="宋体" w:cs="宋体"/>
                <w:b/>
                <w:bCs/>
                <w:color w:val="000000"/>
                <w:kern w:val="2"/>
                <w:sz w:val="21"/>
                <w:szCs w:val="21"/>
              </w:rPr>
            </w:pPr>
          </w:p>
        </w:tc>
        <w:tc>
          <w:tcPr>
            <w:tcW w:w="1044" w:type="dxa"/>
            <w:noWrap w:val="0"/>
            <w:vAlign w:val="center"/>
          </w:tcPr>
          <w:p w14:paraId="500CB033">
            <w:pPr>
              <w:pStyle w:val="10"/>
              <w:keepNext/>
              <w:spacing w:after="0" w:line="240" w:lineRule="auto"/>
              <w:ind w:left="63" w:right="63" w:firstLine="600"/>
              <w:rPr>
                <w:rFonts w:hint="eastAsia" w:ascii="宋体" w:hAnsi="宋体" w:eastAsia="宋体" w:cs="宋体"/>
                <w:b/>
                <w:bCs/>
                <w:color w:val="000000"/>
                <w:kern w:val="2"/>
                <w:sz w:val="21"/>
                <w:szCs w:val="21"/>
              </w:rPr>
            </w:pPr>
          </w:p>
        </w:tc>
        <w:tc>
          <w:tcPr>
            <w:tcW w:w="992" w:type="dxa"/>
            <w:noWrap w:val="0"/>
            <w:vAlign w:val="center"/>
          </w:tcPr>
          <w:p w14:paraId="53FFF3DB">
            <w:pPr>
              <w:pStyle w:val="10"/>
              <w:keepNext/>
              <w:spacing w:after="0" w:line="240" w:lineRule="auto"/>
              <w:ind w:left="63" w:right="63" w:firstLine="600"/>
              <w:rPr>
                <w:rFonts w:hint="eastAsia" w:ascii="宋体" w:hAnsi="宋体" w:eastAsia="宋体" w:cs="宋体"/>
                <w:b/>
                <w:bCs/>
                <w:color w:val="000000"/>
                <w:kern w:val="2"/>
                <w:sz w:val="21"/>
                <w:szCs w:val="21"/>
              </w:rPr>
            </w:pPr>
          </w:p>
        </w:tc>
        <w:tc>
          <w:tcPr>
            <w:tcW w:w="851" w:type="dxa"/>
            <w:noWrap w:val="0"/>
            <w:vAlign w:val="center"/>
          </w:tcPr>
          <w:p w14:paraId="14C7EF82">
            <w:pPr>
              <w:pStyle w:val="10"/>
              <w:keepNext/>
              <w:spacing w:after="0" w:line="240" w:lineRule="auto"/>
              <w:ind w:left="63" w:right="63" w:firstLine="600"/>
              <w:rPr>
                <w:rFonts w:hint="eastAsia" w:ascii="宋体" w:hAnsi="宋体" w:eastAsia="宋体" w:cs="宋体"/>
                <w:b/>
                <w:bCs/>
                <w:color w:val="000000"/>
                <w:kern w:val="2"/>
                <w:sz w:val="21"/>
                <w:szCs w:val="21"/>
              </w:rPr>
            </w:pPr>
          </w:p>
        </w:tc>
        <w:tc>
          <w:tcPr>
            <w:tcW w:w="1034" w:type="dxa"/>
            <w:noWrap w:val="0"/>
            <w:vAlign w:val="center"/>
          </w:tcPr>
          <w:p w14:paraId="1B1BE4DB">
            <w:pPr>
              <w:pStyle w:val="10"/>
              <w:keepNext/>
              <w:spacing w:after="0" w:line="240" w:lineRule="auto"/>
              <w:ind w:left="63" w:right="63" w:firstLine="600"/>
              <w:rPr>
                <w:rFonts w:hint="eastAsia" w:ascii="宋体" w:hAnsi="宋体" w:eastAsia="宋体" w:cs="宋体"/>
                <w:b/>
                <w:bCs/>
                <w:color w:val="000000"/>
                <w:kern w:val="2"/>
                <w:sz w:val="21"/>
                <w:szCs w:val="21"/>
              </w:rPr>
            </w:pPr>
          </w:p>
        </w:tc>
        <w:tc>
          <w:tcPr>
            <w:tcW w:w="603" w:type="dxa"/>
            <w:noWrap w:val="0"/>
            <w:vAlign w:val="center"/>
          </w:tcPr>
          <w:p w14:paraId="69F31118">
            <w:pPr>
              <w:pStyle w:val="10"/>
              <w:keepNext/>
              <w:spacing w:after="0" w:line="240" w:lineRule="auto"/>
              <w:ind w:left="63" w:right="63" w:firstLine="600"/>
              <w:rPr>
                <w:rFonts w:hint="eastAsia" w:ascii="宋体" w:hAnsi="宋体" w:eastAsia="宋体" w:cs="宋体"/>
                <w:b/>
                <w:bCs/>
                <w:color w:val="000000"/>
                <w:kern w:val="2"/>
                <w:sz w:val="21"/>
                <w:szCs w:val="21"/>
              </w:rPr>
            </w:pPr>
          </w:p>
        </w:tc>
      </w:tr>
      <w:tr w14:paraId="2A71C4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36" w:type="dxa"/>
            <w:noWrap w:val="0"/>
            <w:vAlign w:val="center"/>
          </w:tcPr>
          <w:p w14:paraId="448D0004">
            <w:pPr>
              <w:pStyle w:val="10"/>
              <w:keepNext/>
              <w:spacing w:after="0" w:line="240" w:lineRule="auto"/>
              <w:ind w:left="63" w:right="63" w:firstLine="600"/>
              <w:rPr>
                <w:rFonts w:hint="eastAsia" w:ascii="宋体" w:hAnsi="宋体" w:eastAsia="宋体" w:cs="宋体"/>
                <w:b/>
                <w:bCs/>
                <w:color w:val="000000"/>
                <w:kern w:val="2"/>
                <w:sz w:val="21"/>
                <w:szCs w:val="21"/>
              </w:rPr>
            </w:pPr>
          </w:p>
        </w:tc>
        <w:tc>
          <w:tcPr>
            <w:tcW w:w="1054" w:type="dxa"/>
            <w:noWrap w:val="0"/>
            <w:vAlign w:val="center"/>
          </w:tcPr>
          <w:p w14:paraId="2269001D">
            <w:pPr>
              <w:pStyle w:val="10"/>
              <w:keepNext/>
              <w:spacing w:after="0" w:line="240" w:lineRule="auto"/>
              <w:ind w:left="63" w:right="63" w:firstLine="600"/>
              <w:rPr>
                <w:rFonts w:hint="eastAsia" w:ascii="宋体" w:hAnsi="宋体" w:eastAsia="宋体" w:cs="宋体"/>
                <w:b/>
                <w:bCs/>
                <w:color w:val="000000"/>
                <w:kern w:val="2"/>
                <w:sz w:val="21"/>
                <w:szCs w:val="21"/>
              </w:rPr>
            </w:pPr>
          </w:p>
        </w:tc>
        <w:tc>
          <w:tcPr>
            <w:tcW w:w="1418" w:type="dxa"/>
            <w:noWrap w:val="0"/>
            <w:vAlign w:val="center"/>
          </w:tcPr>
          <w:p w14:paraId="799B486F">
            <w:pPr>
              <w:pStyle w:val="10"/>
              <w:keepNext/>
              <w:spacing w:after="0" w:line="240" w:lineRule="auto"/>
              <w:ind w:left="63" w:right="63" w:firstLine="600"/>
              <w:rPr>
                <w:rFonts w:hint="eastAsia" w:ascii="宋体" w:hAnsi="宋体" w:eastAsia="宋体" w:cs="宋体"/>
                <w:b/>
                <w:bCs/>
                <w:color w:val="000000"/>
                <w:kern w:val="2"/>
                <w:sz w:val="21"/>
                <w:szCs w:val="21"/>
              </w:rPr>
            </w:pPr>
          </w:p>
        </w:tc>
        <w:tc>
          <w:tcPr>
            <w:tcW w:w="940" w:type="dxa"/>
            <w:noWrap w:val="0"/>
            <w:vAlign w:val="center"/>
          </w:tcPr>
          <w:p w14:paraId="0EE30FA3">
            <w:pPr>
              <w:pStyle w:val="10"/>
              <w:keepNext/>
              <w:spacing w:after="0" w:line="240" w:lineRule="auto"/>
              <w:ind w:left="63" w:right="63" w:firstLine="600"/>
              <w:rPr>
                <w:rFonts w:hint="eastAsia" w:ascii="宋体" w:hAnsi="宋体" w:eastAsia="宋体" w:cs="宋体"/>
                <w:b/>
                <w:bCs/>
                <w:color w:val="000000"/>
                <w:kern w:val="2"/>
                <w:sz w:val="21"/>
                <w:szCs w:val="21"/>
              </w:rPr>
            </w:pPr>
          </w:p>
        </w:tc>
        <w:tc>
          <w:tcPr>
            <w:tcW w:w="851" w:type="dxa"/>
            <w:noWrap w:val="0"/>
            <w:vAlign w:val="center"/>
          </w:tcPr>
          <w:p w14:paraId="706567A3">
            <w:pPr>
              <w:pStyle w:val="10"/>
              <w:keepNext/>
              <w:spacing w:after="0" w:line="240" w:lineRule="auto"/>
              <w:ind w:left="63" w:right="63" w:firstLine="600"/>
              <w:rPr>
                <w:rFonts w:hint="eastAsia" w:ascii="宋体" w:hAnsi="宋体" w:eastAsia="宋体" w:cs="宋体"/>
                <w:b/>
                <w:bCs/>
                <w:color w:val="000000"/>
                <w:kern w:val="2"/>
                <w:sz w:val="21"/>
                <w:szCs w:val="21"/>
              </w:rPr>
            </w:pPr>
          </w:p>
        </w:tc>
        <w:tc>
          <w:tcPr>
            <w:tcW w:w="1044" w:type="dxa"/>
            <w:noWrap w:val="0"/>
            <w:vAlign w:val="center"/>
          </w:tcPr>
          <w:p w14:paraId="049DE4A4">
            <w:pPr>
              <w:pStyle w:val="10"/>
              <w:keepNext/>
              <w:spacing w:after="0" w:line="240" w:lineRule="auto"/>
              <w:ind w:left="63" w:right="63" w:firstLine="600"/>
              <w:rPr>
                <w:rFonts w:hint="eastAsia" w:ascii="宋体" w:hAnsi="宋体" w:eastAsia="宋体" w:cs="宋体"/>
                <w:b/>
                <w:bCs/>
                <w:color w:val="000000"/>
                <w:kern w:val="2"/>
                <w:sz w:val="21"/>
                <w:szCs w:val="21"/>
              </w:rPr>
            </w:pPr>
          </w:p>
        </w:tc>
        <w:tc>
          <w:tcPr>
            <w:tcW w:w="992" w:type="dxa"/>
            <w:noWrap w:val="0"/>
            <w:vAlign w:val="center"/>
          </w:tcPr>
          <w:p w14:paraId="10726B0C">
            <w:pPr>
              <w:pStyle w:val="10"/>
              <w:keepNext/>
              <w:spacing w:after="0" w:line="240" w:lineRule="auto"/>
              <w:ind w:left="63" w:right="63" w:firstLine="600"/>
              <w:rPr>
                <w:rFonts w:hint="eastAsia" w:ascii="宋体" w:hAnsi="宋体" w:eastAsia="宋体" w:cs="宋体"/>
                <w:b/>
                <w:bCs/>
                <w:color w:val="000000"/>
                <w:kern w:val="2"/>
                <w:sz w:val="21"/>
                <w:szCs w:val="21"/>
              </w:rPr>
            </w:pPr>
          </w:p>
        </w:tc>
        <w:tc>
          <w:tcPr>
            <w:tcW w:w="851" w:type="dxa"/>
            <w:noWrap w:val="0"/>
            <w:vAlign w:val="center"/>
          </w:tcPr>
          <w:p w14:paraId="60FA3F4C">
            <w:pPr>
              <w:pStyle w:val="10"/>
              <w:keepNext/>
              <w:spacing w:after="0" w:line="240" w:lineRule="auto"/>
              <w:ind w:left="63" w:right="63" w:firstLine="600"/>
              <w:rPr>
                <w:rFonts w:hint="eastAsia" w:ascii="宋体" w:hAnsi="宋体" w:eastAsia="宋体" w:cs="宋体"/>
                <w:b/>
                <w:bCs/>
                <w:color w:val="000000"/>
                <w:kern w:val="2"/>
                <w:sz w:val="21"/>
                <w:szCs w:val="21"/>
              </w:rPr>
            </w:pPr>
          </w:p>
        </w:tc>
        <w:tc>
          <w:tcPr>
            <w:tcW w:w="1034" w:type="dxa"/>
            <w:noWrap w:val="0"/>
            <w:vAlign w:val="center"/>
          </w:tcPr>
          <w:p w14:paraId="271F280B">
            <w:pPr>
              <w:pStyle w:val="10"/>
              <w:keepNext/>
              <w:spacing w:after="0" w:line="240" w:lineRule="auto"/>
              <w:ind w:left="63" w:right="63" w:firstLine="600"/>
              <w:rPr>
                <w:rFonts w:hint="eastAsia" w:ascii="宋体" w:hAnsi="宋体" w:eastAsia="宋体" w:cs="宋体"/>
                <w:b/>
                <w:bCs/>
                <w:color w:val="000000"/>
                <w:kern w:val="2"/>
                <w:sz w:val="21"/>
                <w:szCs w:val="21"/>
              </w:rPr>
            </w:pPr>
          </w:p>
        </w:tc>
        <w:tc>
          <w:tcPr>
            <w:tcW w:w="603" w:type="dxa"/>
            <w:noWrap w:val="0"/>
            <w:vAlign w:val="center"/>
          </w:tcPr>
          <w:p w14:paraId="445A693D">
            <w:pPr>
              <w:pStyle w:val="10"/>
              <w:keepNext/>
              <w:spacing w:after="0" w:line="240" w:lineRule="auto"/>
              <w:ind w:left="63" w:right="63" w:firstLine="600"/>
              <w:rPr>
                <w:rFonts w:hint="eastAsia" w:ascii="宋体" w:hAnsi="宋体" w:eastAsia="宋体" w:cs="宋体"/>
                <w:b/>
                <w:bCs/>
                <w:color w:val="000000"/>
                <w:kern w:val="2"/>
                <w:sz w:val="21"/>
                <w:szCs w:val="21"/>
              </w:rPr>
            </w:pPr>
          </w:p>
        </w:tc>
      </w:tr>
      <w:tr w14:paraId="24E8A9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36" w:type="dxa"/>
            <w:noWrap w:val="0"/>
            <w:vAlign w:val="center"/>
          </w:tcPr>
          <w:p w14:paraId="7AD5D278">
            <w:pPr>
              <w:ind w:firstLine="600"/>
              <w:jc w:val="center"/>
              <w:rPr>
                <w:rFonts w:hint="eastAsia" w:ascii="宋体" w:hAnsi="宋体" w:eastAsia="宋体" w:cs="宋体"/>
                <w:color w:val="000000"/>
                <w:szCs w:val="21"/>
              </w:rPr>
            </w:pPr>
          </w:p>
        </w:tc>
        <w:tc>
          <w:tcPr>
            <w:tcW w:w="1054" w:type="dxa"/>
            <w:noWrap w:val="0"/>
            <w:vAlign w:val="center"/>
          </w:tcPr>
          <w:p w14:paraId="2EA48710">
            <w:pPr>
              <w:ind w:firstLine="600"/>
              <w:jc w:val="center"/>
              <w:rPr>
                <w:rFonts w:hint="eastAsia" w:ascii="宋体" w:hAnsi="宋体" w:eastAsia="宋体" w:cs="宋体"/>
                <w:color w:val="000000"/>
                <w:szCs w:val="21"/>
              </w:rPr>
            </w:pPr>
          </w:p>
        </w:tc>
        <w:tc>
          <w:tcPr>
            <w:tcW w:w="1418" w:type="dxa"/>
            <w:noWrap w:val="0"/>
            <w:vAlign w:val="center"/>
          </w:tcPr>
          <w:p w14:paraId="1AE456F8">
            <w:pPr>
              <w:ind w:firstLine="600"/>
              <w:jc w:val="center"/>
              <w:rPr>
                <w:rFonts w:hint="eastAsia" w:ascii="宋体" w:hAnsi="宋体" w:eastAsia="宋体" w:cs="宋体"/>
                <w:color w:val="000000"/>
                <w:szCs w:val="21"/>
              </w:rPr>
            </w:pPr>
          </w:p>
        </w:tc>
        <w:tc>
          <w:tcPr>
            <w:tcW w:w="940" w:type="dxa"/>
            <w:noWrap w:val="0"/>
            <w:vAlign w:val="center"/>
          </w:tcPr>
          <w:p w14:paraId="5AF06CA9">
            <w:pPr>
              <w:ind w:firstLine="600"/>
              <w:jc w:val="center"/>
              <w:rPr>
                <w:rFonts w:hint="eastAsia" w:ascii="宋体" w:hAnsi="宋体" w:eastAsia="宋体" w:cs="宋体"/>
                <w:color w:val="000000"/>
                <w:szCs w:val="21"/>
              </w:rPr>
            </w:pPr>
          </w:p>
        </w:tc>
        <w:tc>
          <w:tcPr>
            <w:tcW w:w="851" w:type="dxa"/>
            <w:noWrap w:val="0"/>
            <w:vAlign w:val="center"/>
          </w:tcPr>
          <w:p w14:paraId="1B460C75">
            <w:pPr>
              <w:ind w:firstLine="600"/>
              <w:jc w:val="center"/>
              <w:rPr>
                <w:rFonts w:hint="eastAsia" w:ascii="宋体" w:hAnsi="宋体" w:eastAsia="宋体" w:cs="宋体"/>
                <w:color w:val="000000"/>
                <w:szCs w:val="21"/>
              </w:rPr>
            </w:pPr>
          </w:p>
        </w:tc>
        <w:tc>
          <w:tcPr>
            <w:tcW w:w="1044" w:type="dxa"/>
            <w:noWrap w:val="0"/>
            <w:vAlign w:val="center"/>
          </w:tcPr>
          <w:p w14:paraId="5FD6DD83">
            <w:pPr>
              <w:ind w:firstLine="600"/>
              <w:jc w:val="center"/>
              <w:rPr>
                <w:rFonts w:hint="eastAsia" w:ascii="宋体" w:hAnsi="宋体" w:eastAsia="宋体" w:cs="宋体"/>
                <w:color w:val="000000"/>
                <w:szCs w:val="21"/>
              </w:rPr>
            </w:pPr>
          </w:p>
        </w:tc>
        <w:tc>
          <w:tcPr>
            <w:tcW w:w="992" w:type="dxa"/>
            <w:noWrap w:val="0"/>
            <w:vAlign w:val="center"/>
          </w:tcPr>
          <w:p w14:paraId="54BF2EAC">
            <w:pPr>
              <w:ind w:firstLine="600"/>
              <w:jc w:val="center"/>
              <w:rPr>
                <w:rFonts w:hint="eastAsia" w:ascii="宋体" w:hAnsi="宋体" w:eastAsia="宋体" w:cs="宋体"/>
                <w:color w:val="000000"/>
                <w:szCs w:val="21"/>
              </w:rPr>
            </w:pPr>
          </w:p>
        </w:tc>
        <w:tc>
          <w:tcPr>
            <w:tcW w:w="851" w:type="dxa"/>
            <w:noWrap w:val="0"/>
            <w:vAlign w:val="center"/>
          </w:tcPr>
          <w:p w14:paraId="793C9437">
            <w:pPr>
              <w:ind w:firstLine="600"/>
              <w:jc w:val="center"/>
              <w:rPr>
                <w:rFonts w:hint="eastAsia" w:ascii="宋体" w:hAnsi="宋体" w:eastAsia="宋体" w:cs="宋体"/>
                <w:color w:val="000000"/>
                <w:szCs w:val="21"/>
              </w:rPr>
            </w:pPr>
          </w:p>
        </w:tc>
        <w:tc>
          <w:tcPr>
            <w:tcW w:w="1034" w:type="dxa"/>
            <w:noWrap w:val="0"/>
            <w:vAlign w:val="center"/>
          </w:tcPr>
          <w:p w14:paraId="140C42C3">
            <w:pPr>
              <w:ind w:firstLine="600"/>
              <w:jc w:val="center"/>
              <w:rPr>
                <w:rFonts w:hint="eastAsia" w:ascii="宋体" w:hAnsi="宋体" w:eastAsia="宋体" w:cs="宋体"/>
                <w:color w:val="000000"/>
                <w:szCs w:val="21"/>
              </w:rPr>
            </w:pPr>
          </w:p>
        </w:tc>
        <w:tc>
          <w:tcPr>
            <w:tcW w:w="603" w:type="dxa"/>
            <w:noWrap w:val="0"/>
            <w:vAlign w:val="center"/>
          </w:tcPr>
          <w:p w14:paraId="566F5CC8">
            <w:pPr>
              <w:ind w:firstLine="600"/>
              <w:jc w:val="center"/>
              <w:rPr>
                <w:rFonts w:hint="eastAsia" w:ascii="宋体" w:hAnsi="宋体" w:eastAsia="宋体" w:cs="宋体"/>
                <w:color w:val="000000"/>
                <w:szCs w:val="21"/>
              </w:rPr>
            </w:pPr>
          </w:p>
        </w:tc>
      </w:tr>
      <w:tr w14:paraId="4E903E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36" w:type="dxa"/>
            <w:noWrap w:val="0"/>
            <w:vAlign w:val="center"/>
          </w:tcPr>
          <w:p w14:paraId="04E08167">
            <w:pPr>
              <w:pStyle w:val="10"/>
              <w:keepNext/>
              <w:spacing w:after="0" w:line="240" w:lineRule="auto"/>
              <w:ind w:left="63" w:right="63" w:firstLine="600"/>
              <w:rPr>
                <w:rFonts w:hint="eastAsia" w:ascii="宋体" w:hAnsi="宋体" w:eastAsia="宋体" w:cs="宋体"/>
                <w:b/>
                <w:bCs/>
                <w:color w:val="000000"/>
                <w:kern w:val="2"/>
                <w:sz w:val="21"/>
                <w:szCs w:val="21"/>
              </w:rPr>
            </w:pPr>
          </w:p>
        </w:tc>
        <w:tc>
          <w:tcPr>
            <w:tcW w:w="1054" w:type="dxa"/>
            <w:noWrap w:val="0"/>
            <w:vAlign w:val="center"/>
          </w:tcPr>
          <w:p w14:paraId="7BB33E15">
            <w:pPr>
              <w:pStyle w:val="10"/>
              <w:keepNext/>
              <w:spacing w:after="0" w:line="240" w:lineRule="auto"/>
              <w:ind w:left="63" w:right="63" w:firstLine="600"/>
              <w:rPr>
                <w:rFonts w:hint="eastAsia" w:ascii="宋体" w:hAnsi="宋体" w:eastAsia="宋体" w:cs="宋体"/>
                <w:b/>
                <w:bCs/>
                <w:color w:val="000000"/>
                <w:kern w:val="2"/>
                <w:sz w:val="21"/>
                <w:szCs w:val="21"/>
              </w:rPr>
            </w:pPr>
          </w:p>
        </w:tc>
        <w:tc>
          <w:tcPr>
            <w:tcW w:w="1418" w:type="dxa"/>
            <w:noWrap w:val="0"/>
            <w:vAlign w:val="center"/>
          </w:tcPr>
          <w:p w14:paraId="4FD7AC6F">
            <w:pPr>
              <w:pStyle w:val="10"/>
              <w:keepNext/>
              <w:spacing w:after="0" w:line="240" w:lineRule="auto"/>
              <w:ind w:left="63" w:right="63" w:firstLine="600"/>
              <w:rPr>
                <w:rFonts w:hint="eastAsia" w:ascii="宋体" w:hAnsi="宋体" w:eastAsia="宋体" w:cs="宋体"/>
                <w:b/>
                <w:bCs/>
                <w:color w:val="000000"/>
                <w:kern w:val="2"/>
                <w:sz w:val="21"/>
                <w:szCs w:val="21"/>
              </w:rPr>
            </w:pPr>
          </w:p>
        </w:tc>
        <w:tc>
          <w:tcPr>
            <w:tcW w:w="940" w:type="dxa"/>
            <w:noWrap w:val="0"/>
            <w:vAlign w:val="center"/>
          </w:tcPr>
          <w:p w14:paraId="497E436B">
            <w:pPr>
              <w:pStyle w:val="10"/>
              <w:keepNext/>
              <w:spacing w:after="0" w:line="240" w:lineRule="auto"/>
              <w:ind w:left="63" w:right="63" w:firstLine="600"/>
              <w:rPr>
                <w:rFonts w:hint="eastAsia" w:ascii="宋体" w:hAnsi="宋体" w:eastAsia="宋体" w:cs="宋体"/>
                <w:b/>
                <w:bCs/>
                <w:color w:val="000000"/>
                <w:kern w:val="2"/>
                <w:sz w:val="21"/>
                <w:szCs w:val="21"/>
              </w:rPr>
            </w:pPr>
          </w:p>
        </w:tc>
        <w:tc>
          <w:tcPr>
            <w:tcW w:w="851" w:type="dxa"/>
            <w:noWrap w:val="0"/>
            <w:vAlign w:val="center"/>
          </w:tcPr>
          <w:p w14:paraId="421482DF">
            <w:pPr>
              <w:pStyle w:val="10"/>
              <w:keepNext/>
              <w:spacing w:after="0" w:line="240" w:lineRule="auto"/>
              <w:ind w:left="63" w:right="63" w:firstLine="600"/>
              <w:rPr>
                <w:rFonts w:hint="eastAsia" w:ascii="宋体" w:hAnsi="宋体" w:eastAsia="宋体" w:cs="宋体"/>
                <w:b/>
                <w:bCs/>
                <w:color w:val="000000"/>
                <w:kern w:val="2"/>
                <w:sz w:val="21"/>
                <w:szCs w:val="21"/>
              </w:rPr>
            </w:pPr>
          </w:p>
        </w:tc>
        <w:tc>
          <w:tcPr>
            <w:tcW w:w="1044" w:type="dxa"/>
            <w:noWrap w:val="0"/>
            <w:vAlign w:val="center"/>
          </w:tcPr>
          <w:p w14:paraId="2D2740E6">
            <w:pPr>
              <w:pStyle w:val="10"/>
              <w:keepNext/>
              <w:spacing w:after="0" w:line="240" w:lineRule="auto"/>
              <w:ind w:left="63" w:right="63" w:firstLine="600"/>
              <w:rPr>
                <w:rFonts w:hint="eastAsia" w:ascii="宋体" w:hAnsi="宋体" w:eastAsia="宋体" w:cs="宋体"/>
                <w:b/>
                <w:bCs/>
                <w:color w:val="000000"/>
                <w:kern w:val="2"/>
                <w:sz w:val="21"/>
                <w:szCs w:val="21"/>
              </w:rPr>
            </w:pPr>
          </w:p>
        </w:tc>
        <w:tc>
          <w:tcPr>
            <w:tcW w:w="992" w:type="dxa"/>
            <w:noWrap w:val="0"/>
            <w:vAlign w:val="center"/>
          </w:tcPr>
          <w:p w14:paraId="6A617686">
            <w:pPr>
              <w:pStyle w:val="10"/>
              <w:keepNext/>
              <w:spacing w:after="0" w:line="240" w:lineRule="auto"/>
              <w:ind w:left="63" w:right="63" w:firstLine="600"/>
              <w:rPr>
                <w:rFonts w:hint="eastAsia" w:ascii="宋体" w:hAnsi="宋体" w:eastAsia="宋体" w:cs="宋体"/>
                <w:b/>
                <w:bCs/>
                <w:color w:val="000000"/>
                <w:kern w:val="2"/>
                <w:sz w:val="21"/>
                <w:szCs w:val="21"/>
              </w:rPr>
            </w:pPr>
          </w:p>
        </w:tc>
        <w:tc>
          <w:tcPr>
            <w:tcW w:w="851" w:type="dxa"/>
            <w:noWrap w:val="0"/>
            <w:vAlign w:val="center"/>
          </w:tcPr>
          <w:p w14:paraId="7CE2428D">
            <w:pPr>
              <w:pStyle w:val="10"/>
              <w:keepNext/>
              <w:spacing w:after="0" w:line="240" w:lineRule="auto"/>
              <w:ind w:left="63" w:right="63" w:firstLine="600"/>
              <w:rPr>
                <w:rFonts w:hint="eastAsia" w:ascii="宋体" w:hAnsi="宋体" w:eastAsia="宋体" w:cs="宋体"/>
                <w:b/>
                <w:bCs/>
                <w:color w:val="000000"/>
                <w:kern w:val="2"/>
                <w:sz w:val="21"/>
                <w:szCs w:val="21"/>
              </w:rPr>
            </w:pPr>
          </w:p>
        </w:tc>
        <w:tc>
          <w:tcPr>
            <w:tcW w:w="1034" w:type="dxa"/>
            <w:noWrap w:val="0"/>
            <w:vAlign w:val="center"/>
          </w:tcPr>
          <w:p w14:paraId="1FC2F420">
            <w:pPr>
              <w:pStyle w:val="10"/>
              <w:keepNext/>
              <w:spacing w:after="0" w:line="240" w:lineRule="auto"/>
              <w:ind w:left="63" w:right="63" w:firstLine="600"/>
              <w:rPr>
                <w:rFonts w:hint="eastAsia" w:ascii="宋体" w:hAnsi="宋体" w:eastAsia="宋体" w:cs="宋体"/>
                <w:b/>
                <w:bCs/>
                <w:color w:val="000000"/>
                <w:kern w:val="2"/>
                <w:sz w:val="21"/>
                <w:szCs w:val="21"/>
              </w:rPr>
            </w:pPr>
          </w:p>
        </w:tc>
        <w:tc>
          <w:tcPr>
            <w:tcW w:w="603" w:type="dxa"/>
            <w:noWrap w:val="0"/>
            <w:vAlign w:val="center"/>
          </w:tcPr>
          <w:p w14:paraId="0C99DC36">
            <w:pPr>
              <w:pStyle w:val="10"/>
              <w:keepNext/>
              <w:spacing w:after="0" w:line="240" w:lineRule="auto"/>
              <w:ind w:left="63" w:right="63" w:firstLine="600"/>
              <w:rPr>
                <w:rFonts w:hint="eastAsia" w:ascii="宋体" w:hAnsi="宋体" w:eastAsia="宋体" w:cs="宋体"/>
                <w:b/>
                <w:bCs/>
                <w:color w:val="000000"/>
                <w:kern w:val="2"/>
                <w:sz w:val="21"/>
                <w:szCs w:val="21"/>
              </w:rPr>
            </w:pPr>
          </w:p>
        </w:tc>
      </w:tr>
      <w:tr w14:paraId="013E1F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36" w:type="dxa"/>
            <w:noWrap w:val="0"/>
            <w:vAlign w:val="center"/>
          </w:tcPr>
          <w:p w14:paraId="7325377B">
            <w:pPr>
              <w:ind w:firstLine="600"/>
              <w:jc w:val="center"/>
              <w:rPr>
                <w:rFonts w:hint="eastAsia" w:ascii="宋体" w:hAnsi="宋体" w:eastAsia="宋体" w:cs="宋体"/>
                <w:color w:val="000000"/>
                <w:szCs w:val="21"/>
              </w:rPr>
            </w:pPr>
          </w:p>
        </w:tc>
        <w:tc>
          <w:tcPr>
            <w:tcW w:w="1054" w:type="dxa"/>
            <w:noWrap w:val="0"/>
            <w:vAlign w:val="center"/>
          </w:tcPr>
          <w:p w14:paraId="02EFE243">
            <w:pPr>
              <w:ind w:firstLine="600"/>
              <w:jc w:val="center"/>
              <w:rPr>
                <w:rFonts w:hint="eastAsia" w:ascii="宋体" w:hAnsi="宋体" w:eastAsia="宋体" w:cs="宋体"/>
                <w:color w:val="000000"/>
                <w:szCs w:val="21"/>
              </w:rPr>
            </w:pPr>
          </w:p>
        </w:tc>
        <w:tc>
          <w:tcPr>
            <w:tcW w:w="1418" w:type="dxa"/>
            <w:noWrap w:val="0"/>
            <w:vAlign w:val="center"/>
          </w:tcPr>
          <w:p w14:paraId="6E891D62">
            <w:pPr>
              <w:ind w:firstLine="600"/>
              <w:jc w:val="center"/>
              <w:rPr>
                <w:rFonts w:hint="eastAsia" w:ascii="宋体" w:hAnsi="宋体" w:eastAsia="宋体" w:cs="宋体"/>
                <w:color w:val="000000"/>
                <w:szCs w:val="21"/>
              </w:rPr>
            </w:pPr>
          </w:p>
        </w:tc>
        <w:tc>
          <w:tcPr>
            <w:tcW w:w="940" w:type="dxa"/>
            <w:noWrap w:val="0"/>
            <w:vAlign w:val="center"/>
          </w:tcPr>
          <w:p w14:paraId="429FF10C">
            <w:pPr>
              <w:ind w:firstLine="600"/>
              <w:jc w:val="center"/>
              <w:rPr>
                <w:rFonts w:hint="eastAsia" w:ascii="宋体" w:hAnsi="宋体" w:eastAsia="宋体" w:cs="宋体"/>
                <w:color w:val="000000"/>
                <w:szCs w:val="21"/>
              </w:rPr>
            </w:pPr>
          </w:p>
        </w:tc>
        <w:tc>
          <w:tcPr>
            <w:tcW w:w="851" w:type="dxa"/>
            <w:noWrap w:val="0"/>
            <w:vAlign w:val="center"/>
          </w:tcPr>
          <w:p w14:paraId="0BAC6F3F">
            <w:pPr>
              <w:ind w:firstLine="600"/>
              <w:jc w:val="center"/>
              <w:rPr>
                <w:rFonts w:hint="eastAsia" w:ascii="宋体" w:hAnsi="宋体" w:eastAsia="宋体" w:cs="宋体"/>
                <w:color w:val="000000"/>
                <w:szCs w:val="21"/>
              </w:rPr>
            </w:pPr>
          </w:p>
        </w:tc>
        <w:tc>
          <w:tcPr>
            <w:tcW w:w="1044" w:type="dxa"/>
            <w:noWrap w:val="0"/>
            <w:vAlign w:val="center"/>
          </w:tcPr>
          <w:p w14:paraId="6EFBF1A6">
            <w:pPr>
              <w:ind w:firstLine="600"/>
              <w:jc w:val="center"/>
              <w:rPr>
                <w:rFonts w:hint="eastAsia" w:ascii="宋体" w:hAnsi="宋体" w:eastAsia="宋体" w:cs="宋体"/>
                <w:color w:val="000000"/>
                <w:szCs w:val="21"/>
              </w:rPr>
            </w:pPr>
          </w:p>
        </w:tc>
        <w:tc>
          <w:tcPr>
            <w:tcW w:w="992" w:type="dxa"/>
            <w:noWrap w:val="0"/>
            <w:vAlign w:val="center"/>
          </w:tcPr>
          <w:p w14:paraId="1DE71FAB">
            <w:pPr>
              <w:ind w:firstLine="600"/>
              <w:jc w:val="center"/>
              <w:rPr>
                <w:rFonts w:hint="eastAsia" w:ascii="宋体" w:hAnsi="宋体" w:eastAsia="宋体" w:cs="宋体"/>
                <w:color w:val="000000"/>
                <w:szCs w:val="21"/>
              </w:rPr>
            </w:pPr>
          </w:p>
        </w:tc>
        <w:tc>
          <w:tcPr>
            <w:tcW w:w="851" w:type="dxa"/>
            <w:noWrap w:val="0"/>
            <w:vAlign w:val="center"/>
          </w:tcPr>
          <w:p w14:paraId="0F9F4331">
            <w:pPr>
              <w:ind w:firstLine="600"/>
              <w:jc w:val="center"/>
              <w:rPr>
                <w:rFonts w:hint="eastAsia" w:ascii="宋体" w:hAnsi="宋体" w:eastAsia="宋体" w:cs="宋体"/>
                <w:color w:val="000000"/>
                <w:szCs w:val="21"/>
              </w:rPr>
            </w:pPr>
          </w:p>
        </w:tc>
        <w:tc>
          <w:tcPr>
            <w:tcW w:w="1034" w:type="dxa"/>
            <w:noWrap w:val="0"/>
            <w:vAlign w:val="center"/>
          </w:tcPr>
          <w:p w14:paraId="7713DC10">
            <w:pPr>
              <w:ind w:firstLine="600"/>
              <w:jc w:val="center"/>
              <w:rPr>
                <w:rFonts w:hint="eastAsia" w:ascii="宋体" w:hAnsi="宋体" w:eastAsia="宋体" w:cs="宋体"/>
                <w:color w:val="000000"/>
                <w:szCs w:val="21"/>
              </w:rPr>
            </w:pPr>
          </w:p>
        </w:tc>
        <w:tc>
          <w:tcPr>
            <w:tcW w:w="603" w:type="dxa"/>
            <w:noWrap w:val="0"/>
            <w:vAlign w:val="center"/>
          </w:tcPr>
          <w:p w14:paraId="65325E56">
            <w:pPr>
              <w:ind w:firstLine="600"/>
              <w:jc w:val="center"/>
              <w:rPr>
                <w:rFonts w:hint="eastAsia" w:ascii="宋体" w:hAnsi="宋体" w:eastAsia="宋体" w:cs="宋体"/>
                <w:color w:val="000000"/>
                <w:szCs w:val="21"/>
              </w:rPr>
            </w:pPr>
          </w:p>
        </w:tc>
      </w:tr>
      <w:tr w14:paraId="4036B8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36" w:type="dxa"/>
            <w:noWrap w:val="0"/>
            <w:vAlign w:val="center"/>
          </w:tcPr>
          <w:p w14:paraId="0A21F09B">
            <w:pPr>
              <w:ind w:firstLine="600"/>
              <w:jc w:val="center"/>
              <w:rPr>
                <w:rFonts w:hint="eastAsia" w:ascii="宋体" w:hAnsi="宋体" w:eastAsia="宋体" w:cs="宋体"/>
                <w:color w:val="000000"/>
                <w:szCs w:val="21"/>
              </w:rPr>
            </w:pPr>
          </w:p>
        </w:tc>
        <w:tc>
          <w:tcPr>
            <w:tcW w:w="1054" w:type="dxa"/>
            <w:noWrap w:val="0"/>
            <w:vAlign w:val="center"/>
          </w:tcPr>
          <w:p w14:paraId="2B739006">
            <w:pPr>
              <w:ind w:firstLine="600"/>
              <w:jc w:val="center"/>
              <w:rPr>
                <w:rFonts w:hint="eastAsia" w:ascii="宋体" w:hAnsi="宋体" w:eastAsia="宋体" w:cs="宋体"/>
                <w:color w:val="000000"/>
                <w:szCs w:val="21"/>
              </w:rPr>
            </w:pPr>
          </w:p>
        </w:tc>
        <w:tc>
          <w:tcPr>
            <w:tcW w:w="1418" w:type="dxa"/>
            <w:noWrap w:val="0"/>
            <w:vAlign w:val="center"/>
          </w:tcPr>
          <w:p w14:paraId="02017C5B">
            <w:pPr>
              <w:ind w:firstLine="600"/>
              <w:jc w:val="center"/>
              <w:rPr>
                <w:rFonts w:hint="eastAsia" w:ascii="宋体" w:hAnsi="宋体" w:eastAsia="宋体" w:cs="宋体"/>
                <w:color w:val="000000"/>
                <w:szCs w:val="21"/>
              </w:rPr>
            </w:pPr>
          </w:p>
        </w:tc>
        <w:tc>
          <w:tcPr>
            <w:tcW w:w="940" w:type="dxa"/>
            <w:noWrap w:val="0"/>
            <w:vAlign w:val="center"/>
          </w:tcPr>
          <w:p w14:paraId="7C1E2B43">
            <w:pPr>
              <w:ind w:firstLine="600"/>
              <w:jc w:val="center"/>
              <w:rPr>
                <w:rFonts w:hint="eastAsia" w:ascii="宋体" w:hAnsi="宋体" w:eastAsia="宋体" w:cs="宋体"/>
                <w:color w:val="000000"/>
                <w:szCs w:val="21"/>
              </w:rPr>
            </w:pPr>
          </w:p>
        </w:tc>
        <w:tc>
          <w:tcPr>
            <w:tcW w:w="851" w:type="dxa"/>
            <w:noWrap w:val="0"/>
            <w:vAlign w:val="center"/>
          </w:tcPr>
          <w:p w14:paraId="7FA99201">
            <w:pPr>
              <w:ind w:firstLine="600"/>
              <w:jc w:val="center"/>
              <w:rPr>
                <w:rFonts w:hint="eastAsia" w:ascii="宋体" w:hAnsi="宋体" w:eastAsia="宋体" w:cs="宋体"/>
                <w:color w:val="000000"/>
                <w:szCs w:val="21"/>
              </w:rPr>
            </w:pPr>
          </w:p>
        </w:tc>
        <w:tc>
          <w:tcPr>
            <w:tcW w:w="1044" w:type="dxa"/>
            <w:noWrap w:val="0"/>
            <w:vAlign w:val="center"/>
          </w:tcPr>
          <w:p w14:paraId="75C162F5">
            <w:pPr>
              <w:ind w:firstLine="600"/>
              <w:jc w:val="center"/>
              <w:rPr>
                <w:rFonts w:hint="eastAsia" w:ascii="宋体" w:hAnsi="宋体" w:eastAsia="宋体" w:cs="宋体"/>
                <w:color w:val="000000"/>
                <w:szCs w:val="21"/>
              </w:rPr>
            </w:pPr>
          </w:p>
        </w:tc>
        <w:tc>
          <w:tcPr>
            <w:tcW w:w="992" w:type="dxa"/>
            <w:noWrap w:val="0"/>
            <w:vAlign w:val="center"/>
          </w:tcPr>
          <w:p w14:paraId="00E8E04C">
            <w:pPr>
              <w:ind w:firstLine="600"/>
              <w:jc w:val="center"/>
              <w:rPr>
                <w:rFonts w:hint="eastAsia" w:ascii="宋体" w:hAnsi="宋体" w:eastAsia="宋体" w:cs="宋体"/>
                <w:color w:val="000000"/>
                <w:szCs w:val="21"/>
              </w:rPr>
            </w:pPr>
          </w:p>
        </w:tc>
        <w:tc>
          <w:tcPr>
            <w:tcW w:w="851" w:type="dxa"/>
            <w:noWrap w:val="0"/>
            <w:vAlign w:val="center"/>
          </w:tcPr>
          <w:p w14:paraId="0CAB62AE">
            <w:pPr>
              <w:ind w:firstLine="600"/>
              <w:jc w:val="center"/>
              <w:rPr>
                <w:rFonts w:hint="eastAsia" w:ascii="宋体" w:hAnsi="宋体" w:eastAsia="宋体" w:cs="宋体"/>
                <w:color w:val="000000"/>
                <w:szCs w:val="21"/>
              </w:rPr>
            </w:pPr>
          </w:p>
        </w:tc>
        <w:tc>
          <w:tcPr>
            <w:tcW w:w="1034" w:type="dxa"/>
            <w:noWrap w:val="0"/>
            <w:vAlign w:val="center"/>
          </w:tcPr>
          <w:p w14:paraId="62464F6E">
            <w:pPr>
              <w:ind w:firstLine="600"/>
              <w:jc w:val="center"/>
              <w:rPr>
                <w:rFonts w:hint="eastAsia" w:ascii="宋体" w:hAnsi="宋体" w:eastAsia="宋体" w:cs="宋体"/>
                <w:color w:val="000000"/>
                <w:szCs w:val="21"/>
              </w:rPr>
            </w:pPr>
          </w:p>
        </w:tc>
        <w:tc>
          <w:tcPr>
            <w:tcW w:w="603" w:type="dxa"/>
            <w:noWrap w:val="0"/>
            <w:vAlign w:val="center"/>
          </w:tcPr>
          <w:p w14:paraId="48279C91">
            <w:pPr>
              <w:ind w:firstLine="600"/>
              <w:jc w:val="center"/>
              <w:rPr>
                <w:rFonts w:hint="eastAsia" w:ascii="宋体" w:hAnsi="宋体" w:eastAsia="宋体" w:cs="宋体"/>
                <w:color w:val="000000"/>
                <w:szCs w:val="21"/>
              </w:rPr>
            </w:pPr>
          </w:p>
        </w:tc>
      </w:tr>
      <w:tr w14:paraId="224FDC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36" w:type="dxa"/>
            <w:noWrap w:val="0"/>
            <w:vAlign w:val="center"/>
          </w:tcPr>
          <w:p w14:paraId="2A55A381">
            <w:pPr>
              <w:ind w:firstLine="600"/>
              <w:jc w:val="center"/>
              <w:rPr>
                <w:rFonts w:hint="eastAsia" w:ascii="宋体" w:hAnsi="宋体" w:eastAsia="宋体" w:cs="宋体"/>
                <w:color w:val="000000"/>
                <w:szCs w:val="21"/>
              </w:rPr>
            </w:pPr>
          </w:p>
        </w:tc>
        <w:tc>
          <w:tcPr>
            <w:tcW w:w="1054" w:type="dxa"/>
            <w:noWrap w:val="0"/>
            <w:vAlign w:val="center"/>
          </w:tcPr>
          <w:p w14:paraId="0D2FBB77">
            <w:pPr>
              <w:ind w:firstLine="600"/>
              <w:jc w:val="center"/>
              <w:rPr>
                <w:rFonts w:hint="eastAsia" w:ascii="宋体" w:hAnsi="宋体" w:eastAsia="宋体" w:cs="宋体"/>
                <w:color w:val="000000"/>
                <w:szCs w:val="21"/>
              </w:rPr>
            </w:pPr>
          </w:p>
        </w:tc>
        <w:tc>
          <w:tcPr>
            <w:tcW w:w="1418" w:type="dxa"/>
            <w:noWrap w:val="0"/>
            <w:vAlign w:val="center"/>
          </w:tcPr>
          <w:p w14:paraId="553A3B19">
            <w:pPr>
              <w:ind w:firstLine="600"/>
              <w:jc w:val="center"/>
              <w:rPr>
                <w:rFonts w:hint="eastAsia" w:ascii="宋体" w:hAnsi="宋体" w:eastAsia="宋体" w:cs="宋体"/>
                <w:color w:val="000000"/>
                <w:szCs w:val="21"/>
              </w:rPr>
            </w:pPr>
          </w:p>
        </w:tc>
        <w:tc>
          <w:tcPr>
            <w:tcW w:w="940" w:type="dxa"/>
            <w:noWrap w:val="0"/>
            <w:vAlign w:val="center"/>
          </w:tcPr>
          <w:p w14:paraId="2D3AA1F4">
            <w:pPr>
              <w:ind w:firstLine="600"/>
              <w:jc w:val="center"/>
              <w:rPr>
                <w:rFonts w:hint="eastAsia" w:ascii="宋体" w:hAnsi="宋体" w:eastAsia="宋体" w:cs="宋体"/>
                <w:color w:val="000000"/>
                <w:szCs w:val="21"/>
              </w:rPr>
            </w:pPr>
          </w:p>
        </w:tc>
        <w:tc>
          <w:tcPr>
            <w:tcW w:w="851" w:type="dxa"/>
            <w:noWrap w:val="0"/>
            <w:vAlign w:val="center"/>
          </w:tcPr>
          <w:p w14:paraId="365D717E">
            <w:pPr>
              <w:ind w:firstLine="600"/>
              <w:jc w:val="center"/>
              <w:rPr>
                <w:rFonts w:hint="eastAsia" w:ascii="宋体" w:hAnsi="宋体" w:eastAsia="宋体" w:cs="宋体"/>
                <w:color w:val="000000"/>
                <w:szCs w:val="21"/>
              </w:rPr>
            </w:pPr>
          </w:p>
        </w:tc>
        <w:tc>
          <w:tcPr>
            <w:tcW w:w="1044" w:type="dxa"/>
            <w:noWrap w:val="0"/>
            <w:vAlign w:val="center"/>
          </w:tcPr>
          <w:p w14:paraId="4A23D728">
            <w:pPr>
              <w:ind w:firstLine="600"/>
              <w:jc w:val="center"/>
              <w:rPr>
                <w:rFonts w:hint="eastAsia" w:ascii="宋体" w:hAnsi="宋体" w:eastAsia="宋体" w:cs="宋体"/>
                <w:color w:val="000000"/>
                <w:szCs w:val="21"/>
              </w:rPr>
            </w:pPr>
          </w:p>
        </w:tc>
        <w:tc>
          <w:tcPr>
            <w:tcW w:w="992" w:type="dxa"/>
            <w:noWrap w:val="0"/>
            <w:vAlign w:val="center"/>
          </w:tcPr>
          <w:p w14:paraId="40DC7779">
            <w:pPr>
              <w:ind w:firstLine="600"/>
              <w:jc w:val="center"/>
              <w:rPr>
                <w:rFonts w:hint="eastAsia" w:ascii="宋体" w:hAnsi="宋体" w:eastAsia="宋体" w:cs="宋体"/>
                <w:color w:val="000000"/>
                <w:szCs w:val="21"/>
              </w:rPr>
            </w:pPr>
          </w:p>
        </w:tc>
        <w:tc>
          <w:tcPr>
            <w:tcW w:w="851" w:type="dxa"/>
            <w:noWrap w:val="0"/>
            <w:vAlign w:val="center"/>
          </w:tcPr>
          <w:p w14:paraId="6FCE4A7B">
            <w:pPr>
              <w:ind w:firstLine="600"/>
              <w:jc w:val="center"/>
              <w:rPr>
                <w:rFonts w:hint="eastAsia" w:ascii="宋体" w:hAnsi="宋体" w:eastAsia="宋体" w:cs="宋体"/>
                <w:color w:val="000000"/>
                <w:szCs w:val="21"/>
              </w:rPr>
            </w:pPr>
          </w:p>
        </w:tc>
        <w:tc>
          <w:tcPr>
            <w:tcW w:w="1034" w:type="dxa"/>
            <w:noWrap w:val="0"/>
            <w:vAlign w:val="center"/>
          </w:tcPr>
          <w:p w14:paraId="486B35AE">
            <w:pPr>
              <w:ind w:firstLine="600"/>
              <w:jc w:val="center"/>
              <w:rPr>
                <w:rFonts w:hint="eastAsia" w:ascii="宋体" w:hAnsi="宋体" w:eastAsia="宋体" w:cs="宋体"/>
                <w:color w:val="000000"/>
                <w:szCs w:val="21"/>
              </w:rPr>
            </w:pPr>
          </w:p>
        </w:tc>
        <w:tc>
          <w:tcPr>
            <w:tcW w:w="603" w:type="dxa"/>
            <w:noWrap w:val="0"/>
            <w:vAlign w:val="center"/>
          </w:tcPr>
          <w:p w14:paraId="6DE61A2E">
            <w:pPr>
              <w:ind w:firstLine="600"/>
              <w:jc w:val="center"/>
              <w:rPr>
                <w:rFonts w:hint="eastAsia" w:ascii="宋体" w:hAnsi="宋体" w:eastAsia="宋体" w:cs="宋体"/>
                <w:color w:val="000000"/>
                <w:szCs w:val="21"/>
              </w:rPr>
            </w:pPr>
          </w:p>
        </w:tc>
      </w:tr>
      <w:tr w14:paraId="3081F0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36" w:type="dxa"/>
            <w:noWrap w:val="0"/>
            <w:vAlign w:val="center"/>
          </w:tcPr>
          <w:p w14:paraId="21160792">
            <w:pPr>
              <w:ind w:firstLine="600"/>
              <w:jc w:val="center"/>
              <w:rPr>
                <w:rFonts w:hint="eastAsia" w:ascii="宋体" w:hAnsi="宋体" w:eastAsia="宋体" w:cs="宋体"/>
                <w:color w:val="000000"/>
                <w:szCs w:val="21"/>
              </w:rPr>
            </w:pPr>
          </w:p>
        </w:tc>
        <w:tc>
          <w:tcPr>
            <w:tcW w:w="1054" w:type="dxa"/>
            <w:noWrap w:val="0"/>
            <w:vAlign w:val="center"/>
          </w:tcPr>
          <w:p w14:paraId="48B32D7B">
            <w:pPr>
              <w:ind w:firstLine="600"/>
              <w:jc w:val="center"/>
              <w:rPr>
                <w:rFonts w:hint="eastAsia" w:ascii="宋体" w:hAnsi="宋体" w:eastAsia="宋体" w:cs="宋体"/>
                <w:color w:val="000000"/>
                <w:szCs w:val="21"/>
              </w:rPr>
            </w:pPr>
          </w:p>
        </w:tc>
        <w:tc>
          <w:tcPr>
            <w:tcW w:w="1418" w:type="dxa"/>
            <w:noWrap w:val="0"/>
            <w:vAlign w:val="center"/>
          </w:tcPr>
          <w:p w14:paraId="38405F20">
            <w:pPr>
              <w:ind w:firstLine="600"/>
              <w:jc w:val="center"/>
              <w:rPr>
                <w:rFonts w:hint="eastAsia" w:ascii="宋体" w:hAnsi="宋体" w:eastAsia="宋体" w:cs="宋体"/>
                <w:color w:val="000000"/>
                <w:szCs w:val="21"/>
              </w:rPr>
            </w:pPr>
          </w:p>
        </w:tc>
        <w:tc>
          <w:tcPr>
            <w:tcW w:w="940" w:type="dxa"/>
            <w:noWrap w:val="0"/>
            <w:vAlign w:val="center"/>
          </w:tcPr>
          <w:p w14:paraId="798EC9C3">
            <w:pPr>
              <w:ind w:firstLine="600"/>
              <w:jc w:val="center"/>
              <w:rPr>
                <w:rFonts w:hint="eastAsia" w:ascii="宋体" w:hAnsi="宋体" w:eastAsia="宋体" w:cs="宋体"/>
                <w:color w:val="000000"/>
                <w:szCs w:val="21"/>
              </w:rPr>
            </w:pPr>
          </w:p>
        </w:tc>
        <w:tc>
          <w:tcPr>
            <w:tcW w:w="851" w:type="dxa"/>
            <w:noWrap w:val="0"/>
            <w:vAlign w:val="center"/>
          </w:tcPr>
          <w:p w14:paraId="7459E167">
            <w:pPr>
              <w:ind w:firstLine="600"/>
              <w:jc w:val="center"/>
              <w:rPr>
                <w:rFonts w:hint="eastAsia" w:ascii="宋体" w:hAnsi="宋体" w:eastAsia="宋体" w:cs="宋体"/>
                <w:color w:val="000000"/>
                <w:szCs w:val="21"/>
              </w:rPr>
            </w:pPr>
          </w:p>
        </w:tc>
        <w:tc>
          <w:tcPr>
            <w:tcW w:w="1044" w:type="dxa"/>
            <w:noWrap w:val="0"/>
            <w:vAlign w:val="center"/>
          </w:tcPr>
          <w:p w14:paraId="2BC8672F">
            <w:pPr>
              <w:ind w:firstLine="600"/>
              <w:jc w:val="center"/>
              <w:rPr>
                <w:rFonts w:hint="eastAsia" w:ascii="宋体" w:hAnsi="宋体" w:eastAsia="宋体" w:cs="宋体"/>
                <w:color w:val="000000"/>
                <w:szCs w:val="21"/>
              </w:rPr>
            </w:pPr>
          </w:p>
        </w:tc>
        <w:tc>
          <w:tcPr>
            <w:tcW w:w="992" w:type="dxa"/>
            <w:noWrap w:val="0"/>
            <w:vAlign w:val="center"/>
          </w:tcPr>
          <w:p w14:paraId="49F8200C">
            <w:pPr>
              <w:ind w:firstLine="600"/>
              <w:jc w:val="center"/>
              <w:rPr>
                <w:rFonts w:hint="eastAsia" w:ascii="宋体" w:hAnsi="宋体" w:eastAsia="宋体" w:cs="宋体"/>
                <w:color w:val="000000"/>
                <w:szCs w:val="21"/>
              </w:rPr>
            </w:pPr>
          </w:p>
        </w:tc>
        <w:tc>
          <w:tcPr>
            <w:tcW w:w="851" w:type="dxa"/>
            <w:noWrap w:val="0"/>
            <w:vAlign w:val="center"/>
          </w:tcPr>
          <w:p w14:paraId="69CB588E">
            <w:pPr>
              <w:ind w:firstLine="600"/>
              <w:jc w:val="center"/>
              <w:rPr>
                <w:rFonts w:hint="eastAsia" w:ascii="宋体" w:hAnsi="宋体" w:eastAsia="宋体" w:cs="宋体"/>
                <w:color w:val="000000"/>
                <w:szCs w:val="21"/>
              </w:rPr>
            </w:pPr>
          </w:p>
        </w:tc>
        <w:tc>
          <w:tcPr>
            <w:tcW w:w="1034" w:type="dxa"/>
            <w:noWrap w:val="0"/>
            <w:vAlign w:val="center"/>
          </w:tcPr>
          <w:p w14:paraId="4D00187A">
            <w:pPr>
              <w:ind w:firstLine="600"/>
              <w:jc w:val="center"/>
              <w:rPr>
                <w:rFonts w:hint="eastAsia" w:ascii="宋体" w:hAnsi="宋体" w:eastAsia="宋体" w:cs="宋体"/>
                <w:color w:val="000000"/>
                <w:szCs w:val="21"/>
              </w:rPr>
            </w:pPr>
          </w:p>
        </w:tc>
        <w:tc>
          <w:tcPr>
            <w:tcW w:w="603" w:type="dxa"/>
            <w:noWrap w:val="0"/>
            <w:vAlign w:val="center"/>
          </w:tcPr>
          <w:p w14:paraId="00017E91">
            <w:pPr>
              <w:ind w:firstLine="600"/>
              <w:jc w:val="center"/>
              <w:rPr>
                <w:rFonts w:hint="eastAsia" w:ascii="宋体" w:hAnsi="宋体" w:eastAsia="宋体" w:cs="宋体"/>
                <w:color w:val="000000"/>
                <w:szCs w:val="21"/>
              </w:rPr>
            </w:pPr>
          </w:p>
        </w:tc>
      </w:tr>
      <w:tr w14:paraId="53AE93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36" w:type="dxa"/>
            <w:noWrap w:val="0"/>
            <w:vAlign w:val="center"/>
          </w:tcPr>
          <w:p w14:paraId="11E83CEF">
            <w:pPr>
              <w:ind w:firstLine="600"/>
              <w:jc w:val="center"/>
              <w:rPr>
                <w:rFonts w:hint="eastAsia" w:ascii="宋体" w:hAnsi="宋体" w:eastAsia="宋体" w:cs="宋体"/>
                <w:color w:val="000000"/>
                <w:szCs w:val="21"/>
              </w:rPr>
            </w:pPr>
          </w:p>
        </w:tc>
        <w:tc>
          <w:tcPr>
            <w:tcW w:w="1054" w:type="dxa"/>
            <w:noWrap w:val="0"/>
            <w:vAlign w:val="center"/>
          </w:tcPr>
          <w:p w14:paraId="05E6A0B6">
            <w:pPr>
              <w:ind w:firstLine="600"/>
              <w:jc w:val="center"/>
              <w:rPr>
                <w:rFonts w:hint="eastAsia" w:ascii="宋体" w:hAnsi="宋体" w:eastAsia="宋体" w:cs="宋体"/>
                <w:color w:val="000000"/>
                <w:szCs w:val="21"/>
              </w:rPr>
            </w:pPr>
          </w:p>
        </w:tc>
        <w:tc>
          <w:tcPr>
            <w:tcW w:w="1418" w:type="dxa"/>
            <w:noWrap w:val="0"/>
            <w:vAlign w:val="center"/>
          </w:tcPr>
          <w:p w14:paraId="1058A1ED">
            <w:pPr>
              <w:ind w:firstLine="600"/>
              <w:jc w:val="center"/>
              <w:rPr>
                <w:rFonts w:hint="eastAsia" w:ascii="宋体" w:hAnsi="宋体" w:eastAsia="宋体" w:cs="宋体"/>
                <w:color w:val="000000"/>
                <w:szCs w:val="21"/>
              </w:rPr>
            </w:pPr>
          </w:p>
        </w:tc>
        <w:tc>
          <w:tcPr>
            <w:tcW w:w="940" w:type="dxa"/>
            <w:noWrap w:val="0"/>
            <w:vAlign w:val="center"/>
          </w:tcPr>
          <w:p w14:paraId="19BED774">
            <w:pPr>
              <w:ind w:firstLine="600"/>
              <w:jc w:val="center"/>
              <w:rPr>
                <w:rFonts w:hint="eastAsia" w:ascii="宋体" w:hAnsi="宋体" w:eastAsia="宋体" w:cs="宋体"/>
                <w:color w:val="000000"/>
                <w:szCs w:val="21"/>
              </w:rPr>
            </w:pPr>
          </w:p>
        </w:tc>
        <w:tc>
          <w:tcPr>
            <w:tcW w:w="851" w:type="dxa"/>
            <w:noWrap w:val="0"/>
            <w:vAlign w:val="center"/>
          </w:tcPr>
          <w:p w14:paraId="2D10D8BD">
            <w:pPr>
              <w:ind w:firstLine="600"/>
              <w:jc w:val="center"/>
              <w:rPr>
                <w:rFonts w:hint="eastAsia" w:ascii="宋体" w:hAnsi="宋体" w:eastAsia="宋体" w:cs="宋体"/>
                <w:color w:val="000000"/>
                <w:szCs w:val="21"/>
              </w:rPr>
            </w:pPr>
          </w:p>
        </w:tc>
        <w:tc>
          <w:tcPr>
            <w:tcW w:w="1044" w:type="dxa"/>
            <w:noWrap w:val="0"/>
            <w:vAlign w:val="center"/>
          </w:tcPr>
          <w:p w14:paraId="5A8349FD">
            <w:pPr>
              <w:ind w:firstLine="600"/>
              <w:jc w:val="center"/>
              <w:rPr>
                <w:rFonts w:hint="eastAsia" w:ascii="宋体" w:hAnsi="宋体" w:eastAsia="宋体" w:cs="宋体"/>
                <w:color w:val="000000"/>
                <w:szCs w:val="21"/>
              </w:rPr>
            </w:pPr>
          </w:p>
        </w:tc>
        <w:tc>
          <w:tcPr>
            <w:tcW w:w="992" w:type="dxa"/>
            <w:noWrap w:val="0"/>
            <w:vAlign w:val="center"/>
          </w:tcPr>
          <w:p w14:paraId="415A91C8">
            <w:pPr>
              <w:ind w:firstLine="600"/>
              <w:jc w:val="center"/>
              <w:rPr>
                <w:rFonts w:hint="eastAsia" w:ascii="宋体" w:hAnsi="宋体" w:eastAsia="宋体" w:cs="宋体"/>
                <w:color w:val="000000"/>
                <w:szCs w:val="21"/>
              </w:rPr>
            </w:pPr>
          </w:p>
        </w:tc>
        <w:tc>
          <w:tcPr>
            <w:tcW w:w="851" w:type="dxa"/>
            <w:noWrap w:val="0"/>
            <w:vAlign w:val="center"/>
          </w:tcPr>
          <w:p w14:paraId="0DBBB2D3">
            <w:pPr>
              <w:ind w:firstLine="600"/>
              <w:jc w:val="center"/>
              <w:rPr>
                <w:rFonts w:hint="eastAsia" w:ascii="宋体" w:hAnsi="宋体" w:eastAsia="宋体" w:cs="宋体"/>
                <w:color w:val="000000"/>
                <w:szCs w:val="21"/>
              </w:rPr>
            </w:pPr>
          </w:p>
        </w:tc>
        <w:tc>
          <w:tcPr>
            <w:tcW w:w="1034" w:type="dxa"/>
            <w:noWrap w:val="0"/>
            <w:vAlign w:val="center"/>
          </w:tcPr>
          <w:p w14:paraId="2D52A914">
            <w:pPr>
              <w:ind w:firstLine="600"/>
              <w:jc w:val="center"/>
              <w:rPr>
                <w:rFonts w:hint="eastAsia" w:ascii="宋体" w:hAnsi="宋体" w:eastAsia="宋体" w:cs="宋体"/>
                <w:color w:val="000000"/>
                <w:szCs w:val="21"/>
              </w:rPr>
            </w:pPr>
          </w:p>
        </w:tc>
        <w:tc>
          <w:tcPr>
            <w:tcW w:w="603" w:type="dxa"/>
            <w:noWrap w:val="0"/>
            <w:vAlign w:val="center"/>
          </w:tcPr>
          <w:p w14:paraId="09A4A161">
            <w:pPr>
              <w:ind w:firstLine="600"/>
              <w:jc w:val="center"/>
              <w:rPr>
                <w:rFonts w:hint="eastAsia" w:ascii="宋体" w:hAnsi="宋体" w:eastAsia="宋体" w:cs="宋体"/>
                <w:color w:val="000000"/>
                <w:szCs w:val="21"/>
              </w:rPr>
            </w:pPr>
          </w:p>
        </w:tc>
      </w:tr>
      <w:tr w14:paraId="55BA50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36" w:type="dxa"/>
            <w:noWrap w:val="0"/>
            <w:vAlign w:val="center"/>
          </w:tcPr>
          <w:p w14:paraId="13650195">
            <w:pPr>
              <w:ind w:firstLine="600"/>
              <w:jc w:val="center"/>
              <w:rPr>
                <w:rFonts w:hint="eastAsia" w:ascii="宋体" w:hAnsi="宋体" w:eastAsia="宋体" w:cs="宋体"/>
                <w:color w:val="000000"/>
                <w:szCs w:val="21"/>
              </w:rPr>
            </w:pPr>
          </w:p>
        </w:tc>
        <w:tc>
          <w:tcPr>
            <w:tcW w:w="1054" w:type="dxa"/>
            <w:noWrap w:val="0"/>
            <w:vAlign w:val="center"/>
          </w:tcPr>
          <w:p w14:paraId="2FADBD38">
            <w:pPr>
              <w:ind w:firstLine="600"/>
              <w:jc w:val="center"/>
              <w:rPr>
                <w:rFonts w:hint="eastAsia" w:ascii="宋体" w:hAnsi="宋体" w:eastAsia="宋体" w:cs="宋体"/>
                <w:color w:val="000000"/>
                <w:szCs w:val="21"/>
              </w:rPr>
            </w:pPr>
          </w:p>
        </w:tc>
        <w:tc>
          <w:tcPr>
            <w:tcW w:w="1418" w:type="dxa"/>
            <w:noWrap w:val="0"/>
            <w:vAlign w:val="center"/>
          </w:tcPr>
          <w:p w14:paraId="4F360629">
            <w:pPr>
              <w:ind w:firstLine="600"/>
              <w:jc w:val="center"/>
              <w:rPr>
                <w:rFonts w:hint="eastAsia" w:ascii="宋体" w:hAnsi="宋体" w:eastAsia="宋体" w:cs="宋体"/>
                <w:color w:val="000000"/>
                <w:szCs w:val="21"/>
              </w:rPr>
            </w:pPr>
          </w:p>
        </w:tc>
        <w:tc>
          <w:tcPr>
            <w:tcW w:w="940" w:type="dxa"/>
            <w:noWrap w:val="0"/>
            <w:vAlign w:val="center"/>
          </w:tcPr>
          <w:p w14:paraId="358C49B7">
            <w:pPr>
              <w:ind w:firstLine="600"/>
              <w:jc w:val="center"/>
              <w:rPr>
                <w:rFonts w:hint="eastAsia" w:ascii="宋体" w:hAnsi="宋体" w:eastAsia="宋体" w:cs="宋体"/>
                <w:color w:val="000000"/>
                <w:szCs w:val="21"/>
              </w:rPr>
            </w:pPr>
          </w:p>
        </w:tc>
        <w:tc>
          <w:tcPr>
            <w:tcW w:w="851" w:type="dxa"/>
            <w:noWrap w:val="0"/>
            <w:vAlign w:val="center"/>
          </w:tcPr>
          <w:p w14:paraId="28DB7FE4">
            <w:pPr>
              <w:ind w:firstLine="600"/>
              <w:jc w:val="center"/>
              <w:rPr>
                <w:rFonts w:hint="eastAsia" w:ascii="宋体" w:hAnsi="宋体" w:eastAsia="宋体" w:cs="宋体"/>
                <w:color w:val="000000"/>
                <w:szCs w:val="21"/>
              </w:rPr>
            </w:pPr>
          </w:p>
        </w:tc>
        <w:tc>
          <w:tcPr>
            <w:tcW w:w="1044" w:type="dxa"/>
            <w:noWrap w:val="0"/>
            <w:vAlign w:val="center"/>
          </w:tcPr>
          <w:p w14:paraId="7C21E5CD">
            <w:pPr>
              <w:ind w:firstLine="600"/>
              <w:jc w:val="center"/>
              <w:rPr>
                <w:rFonts w:hint="eastAsia" w:ascii="宋体" w:hAnsi="宋体" w:eastAsia="宋体" w:cs="宋体"/>
                <w:color w:val="000000"/>
                <w:szCs w:val="21"/>
              </w:rPr>
            </w:pPr>
          </w:p>
        </w:tc>
        <w:tc>
          <w:tcPr>
            <w:tcW w:w="992" w:type="dxa"/>
            <w:noWrap w:val="0"/>
            <w:vAlign w:val="center"/>
          </w:tcPr>
          <w:p w14:paraId="6724FAC6">
            <w:pPr>
              <w:ind w:firstLine="600"/>
              <w:jc w:val="center"/>
              <w:rPr>
                <w:rFonts w:hint="eastAsia" w:ascii="宋体" w:hAnsi="宋体" w:eastAsia="宋体" w:cs="宋体"/>
                <w:color w:val="000000"/>
                <w:szCs w:val="21"/>
              </w:rPr>
            </w:pPr>
          </w:p>
        </w:tc>
        <w:tc>
          <w:tcPr>
            <w:tcW w:w="851" w:type="dxa"/>
            <w:noWrap w:val="0"/>
            <w:vAlign w:val="center"/>
          </w:tcPr>
          <w:p w14:paraId="05ED98B4">
            <w:pPr>
              <w:ind w:firstLine="600"/>
              <w:jc w:val="center"/>
              <w:rPr>
                <w:rFonts w:hint="eastAsia" w:ascii="宋体" w:hAnsi="宋体" w:eastAsia="宋体" w:cs="宋体"/>
                <w:color w:val="000000"/>
                <w:szCs w:val="21"/>
              </w:rPr>
            </w:pPr>
          </w:p>
        </w:tc>
        <w:tc>
          <w:tcPr>
            <w:tcW w:w="1034" w:type="dxa"/>
            <w:noWrap w:val="0"/>
            <w:vAlign w:val="center"/>
          </w:tcPr>
          <w:p w14:paraId="47A0EA5C">
            <w:pPr>
              <w:ind w:firstLine="600"/>
              <w:jc w:val="center"/>
              <w:rPr>
                <w:rFonts w:hint="eastAsia" w:ascii="宋体" w:hAnsi="宋体" w:eastAsia="宋体" w:cs="宋体"/>
                <w:color w:val="000000"/>
                <w:szCs w:val="21"/>
              </w:rPr>
            </w:pPr>
          </w:p>
        </w:tc>
        <w:tc>
          <w:tcPr>
            <w:tcW w:w="603" w:type="dxa"/>
            <w:noWrap w:val="0"/>
            <w:vAlign w:val="center"/>
          </w:tcPr>
          <w:p w14:paraId="3317636B">
            <w:pPr>
              <w:ind w:firstLine="600"/>
              <w:jc w:val="center"/>
              <w:rPr>
                <w:rFonts w:hint="eastAsia" w:ascii="宋体" w:hAnsi="宋体" w:eastAsia="宋体" w:cs="宋体"/>
                <w:color w:val="000000"/>
                <w:szCs w:val="21"/>
              </w:rPr>
            </w:pPr>
          </w:p>
        </w:tc>
      </w:tr>
    </w:tbl>
    <w:p w14:paraId="2E3FDB87">
      <w:pPr>
        <w:jc w:val="left"/>
        <w:outlineLvl w:val="9"/>
        <w:rPr>
          <w:rFonts w:hint="eastAsia" w:ascii="宋体" w:hAnsi="宋体" w:eastAsia="宋体" w:cs="宋体"/>
          <w:color w:val="000000"/>
          <w:sz w:val="30"/>
          <w:szCs w:val="30"/>
        </w:rPr>
      </w:pPr>
      <w:bookmarkStart w:id="465" w:name="_Toc443898215"/>
      <w:bookmarkStart w:id="466" w:name="_Toc4201"/>
    </w:p>
    <w:p w14:paraId="5E787856">
      <w:pPr>
        <w:jc w:val="left"/>
        <w:outlineLvl w:val="9"/>
        <w:rPr>
          <w:rFonts w:hint="eastAsia" w:ascii="宋体" w:hAnsi="宋体" w:eastAsia="宋体" w:cs="宋体"/>
          <w:color w:val="000000"/>
          <w:sz w:val="30"/>
          <w:szCs w:val="30"/>
        </w:rPr>
      </w:pPr>
    </w:p>
    <w:p w14:paraId="0898642D">
      <w:pPr>
        <w:jc w:val="left"/>
        <w:outlineLvl w:val="9"/>
        <w:rPr>
          <w:rFonts w:hint="eastAsia" w:ascii="宋体" w:hAnsi="宋体" w:eastAsia="宋体" w:cs="宋体"/>
          <w:color w:val="000000"/>
          <w:sz w:val="30"/>
          <w:szCs w:val="30"/>
        </w:rPr>
      </w:pPr>
    </w:p>
    <w:p w14:paraId="01650BC3">
      <w:pPr>
        <w:jc w:val="left"/>
        <w:outlineLvl w:val="9"/>
        <w:rPr>
          <w:rFonts w:hint="eastAsia" w:ascii="宋体" w:hAnsi="宋体" w:eastAsia="宋体" w:cs="宋体"/>
          <w:color w:val="000000"/>
          <w:sz w:val="30"/>
          <w:szCs w:val="30"/>
        </w:rPr>
      </w:pPr>
    </w:p>
    <w:p w14:paraId="54C4A398">
      <w:pPr>
        <w:jc w:val="left"/>
        <w:outlineLvl w:val="9"/>
        <w:rPr>
          <w:rFonts w:hint="eastAsia" w:ascii="宋体" w:hAnsi="宋体" w:eastAsia="宋体" w:cs="宋体"/>
          <w:color w:val="000000"/>
          <w:sz w:val="30"/>
          <w:szCs w:val="30"/>
        </w:rPr>
      </w:pPr>
    </w:p>
    <w:p w14:paraId="2108B7BB">
      <w:pPr>
        <w:jc w:val="left"/>
        <w:outlineLvl w:val="9"/>
        <w:rPr>
          <w:rFonts w:hint="eastAsia" w:ascii="宋体" w:hAnsi="宋体" w:eastAsia="宋体" w:cs="宋体"/>
          <w:color w:val="000000"/>
          <w:sz w:val="30"/>
          <w:szCs w:val="30"/>
        </w:rPr>
      </w:pPr>
    </w:p>
    <w:p w14:paraId="0446472D">
      <w:pPr>
        <w:jc w:val="left"/>
        <w:outlineLvl w:val="9"/>
        <w:rPr>
          <w:rFonts w:hint="eastAsia" w:ascii="宋体" w:hAnsi="宋体" w:eastAsia="宋体" w:cs="宋体"/>
          <w:color w:val="000000"/>
          <w:sz w:val="30"/>
          <w:szCs w:val="30"/>
        </w:rPr>
      </w:pPr>
    </w:p>
    <w:p w14:paraId="2A0E5D51">
      <w:pPr>
        <w:jc w:val="left"/>
        <w:outlineLvl w:val="0"/>
        <w:rPr>
          <w:rFonts w:hint="eastAsia" w:ascii="宋体" w:hAnsi="宋体" w:eastAsia="宋体" w:cs="宋体"/>
          <w:color w:val="000000"/>
          <w:sz w:val="28"/>
          <w:szCs w:val="28"/>
        </w:rPr>
      </w:pPr>
      <w:bookmarkStart w:id="467" w:name="_Toc17729"/>
      <w:bookmarkStart w:id="468" w:name="_Toc19872"/>
      <w:bookmarkStart w:id="469" w:name="_Toc13102"/>
      <w:bookmarkStart w:id="470" w:name="_Toc21232"/>
      <w:bookmarkStart w:id="471" w:name="_Toc11025"/>
      <w:bookmarkStart w:id="472" w:name="_Toc31320"/>
      <w:bookmarkStart w:id="473" w:name="_Toc20082"/>
      <w:bookmarkStart w:id="474" w:name="_Toc32349"/>
      <w:bookmarkStart w:id="475" w:name="_Toc15345"/>
      <w:bookmarkStart w:id="476" w:name="_Toc14135"/>
      <w:bookmarkStart w:id="477" w:name="_Toc29559"/>
      <w:bookmarkStart w:id="478" w:name="_Toc31"/>
      <w:bookmarkStart w:id="479" w:name="_Toc29173"/>
      <w:r>
        <w:rPr>
          <w:rFonts w:hint="eastAsia" w:ascii="宋体" w:hAnsi="宋体" w:eastAsia="宋体" w:cs="宋体"/>
          <w:color w:val="000000"/>
          <w:sz w:val="28"/>
          <w:szCs w:val="28"/>
        </w:rPr>
        <w:t>附件3：工程质量保修书</w:t>
      </w:r>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p>
    <w:p w14:paraId="4F16AE6B">
      <w:pPr>
        <w:autoSpaceDE w:val="0"/>
        <w:autoSpaceDN w:val="0"/>
        <w:adjustRightInd w:val="0"/>
        <w:spacing w:line="360" w:lineRule="auto"/>
        <w:jc w:val="center"/>
        <w:rPr>
          <w:rFonts w:hint="eastAsia" w:ascii="宋体" w:hAnsi="宋体" w:eastAsia="宋体" w:cs="宋体"/>
          <w:b/>
          <w:snapToGrid w:val="0"/>
          <w:spacing w:val="4"/>
          <w:kern w:val="0"/>
          <w:sz w:val="36"/>
          <w:szCs w:val="36"/>
        </w:rPr>
      </w:pPr>
      <w:r>
        <w:rPr>
          <w:rFonts w:hint="eastAsia" w:ascii="宋体" w:hAnsi="宋体" w:eastAsia="宋体" w:cs="宋体"/>
          <w:b/>
          <w:snapToGrid w:val="0"/>
          <w:spacing w:val="4"/>
          <w:kern w:val="0"/>
          <w:sz w:val="36"/>
          <w:szCs w:val="36"/>
        </w:rPr>
        <w:t>工程质量保修书</w:t>
      </w:r>
    </w:p>
    <w:p w14:paraId="2AA3C242">
      <w:pPr>
        <w:autoSpaceDE w:val="0"/>
        <w:autoSpaceDN w:val="0"/>
        <w:adjustRightInd w:val="0"/>
        <w:spacing w:line="288" w:lineRule="auto"/>
        <w:rPr>
          <w:rFonts w:hint="eastAsia" w:ascii="宋体" w:hAnsi="宋体" w:eastAsia="宋体" w:cs="宋体"/>
          <w:kern w:val="0"/>
          <w:sz w:val="24"/>
          <w:szCs w:val="24"/>
        </w:rPr>
      </w:pPr>
      <w:r>
        <w:rPr>
          <w:rFonts w:hint="eastAsia" w:ascii="宋体" w:hAnsi="宋体" w:eastAsia="宋体" w:cs="宋体"/>
          <w:sz w:val="24"/>
          <w:szCs w:val="24"/>
        </w:rPr>
        <w:t>发包人:</w:t>
      </w:r>
      <w:r>
        <w:rPr>
          <w:rFonts w:hint="eastAsia" w:ascii="宋体" w:hAnsi="宋体" w:eastAsia="宋体" w:cs="宋体"/>
          <w:sz w:val="24"/>
          <w:szCs w:val="24"/>
          <w:u w:val="single"/>
        </w:rPr>
        <w:t>广州地铁工程咨询有限公司</w:t>
      </w:r>
      <w:r>
        <w:rPr>
          <w:rFonts w:hint="eastAsia" w:ascii="宋体" w:hAnsi="宋体" w:eastAsia="宋体" w:cs="宋体"/>
          <w:sz w:val="24"/>
          <w:szCs w:val="24"/>
        </w:rPr>
        <w:t>（全称）</w:t>
      </w:r>
    </w:p>
    <w:p w14:paraId="485BF7B5">
      <w:pPr>
        <w:autoSpaceDE w:val="0"/>
        <w:autoSpaceDN w:val="0"/>
        <w:adjustRightInd w:val="0"/>
        <w:spacing w:line="288" w:lineRule="auto"/>
        <w:rPr>
          <w:rFonts w:hint="eastAsia" w:ascii="宋体" w:hAnsi="宋体" w:eastAsia="宋体" w:cs="宋体"/>
          <w:kern w:val="0"/>
          <w:sz w:val="24"/>
          <w:szCs w:val="24"/>
        </w:rPr>
      </w:pPr>
      <w:r>
        <w:rPr>
          <w:rFonts w:hint="eastAsia" w:ascii="宋体" w:hAnsi="宋体" w:eastAsia="宋体" w:cs="宋体"/>
          <w:sz w:val="24"/>
          <w:szCs w:val="24"/>
        </w:rPr>
        <w:t>承包人:</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（全称）</w:t>
      </w:r>
    </w:p>
    <w:p w14:paraId="59E83009">
      <w:pPr>
        <w:spacing w:line="288"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为保证</w:t>
      </w:r>
      <w:r>
        <w:rPr>
          <w:rFonts w:hint="eastAsia" w:ascii="宋体" w:hAnsi="宋体" w:eastAsia="宋体" w:cs="宋体"/>
          <w:sz w:val="24"/>
          <w:szCs w:val="24"/>
          <w:u w:val="single"/>
        </w:rPr>
        <w:t>广佛肇工业园站周边片区开发项目一坑田站至瑞浦地块 110KV 电力迁改工程  (涉铁部分)施工</w:t>
      </w:r>
      <w:r>
        <w:rPr>
          <w:rFonts w:hint="eastAsia" w:ascii="宋体" w:hAnsi="宋体" w:eastAsia="宋体" w:cs="宋体"/>
          <w:sz w:val="24"/>
          <w:szCs w:val="24"/>
          <w:u w:val="single"/>
        </w:rPr>
        <w:t>总承包工程</w:t>
      </w:r>
      <w:r>
        <w:rPr>
          <w:rFonts w:hint="eastAsia" w:ascii="宋体" w:hAnsi="宋体" w:eastAsia="宋体" w:cs="宋体"/>
          <w:sz w:val="24"/>
          <w:szCs w:val="24"/>
        </w:rPr>
        <w:t>在合理使用期限内正常使用，合同双方根据《中华人民共和国建筑法》、《建设工程质量管理条例》和《房屋建筑工程质量保修办法》等规定，经协商一致，订立本质量保修书。</w:t>
      </w:r>
    </w:p>
    <w:p w14:paraId="363E9A6B">
      <w:pPr>
        <w:autoSpaceDE w:val="0"/>
        <w:autoSpaceDN w:val="0"/>
        <w:adjustRightInd w:val="0"/>
        <w:spacing w:line="288" w:lineRule="auto"/>
        <w:ind w:firstLine="480" w:firstLineChars="200"/>
        <w:outlineLvl w:val="9"/>
        <w:rPr>
          <w:rFonts w:hint="eastAsia" w:ascii="宋体" w:hAnsi="宋体" w:eastAsia="宋体" w:cs="宋体"/>
          <w:sz w:val="24"/>
          <w:szCs w:val="24"/>
        </w:rPr>
      </w:pPr>
      <w:bookmarkStart w:id="480" w:name="_Toc19774"/>
      <w:r>
        <w:rPr>
          <w:rFonts w:hint="eastAsia" w:ascii="宋体" w:hAnsi="宋体" w:eastAsia="宋体" w:cs="宋体"/>
          <w:sz w:val="24"/>
          <w:szCs w:val="24"/>
        </w:rPr>
        <w:t>1．质量保修范围</w:t>
      </w:r>
      <w:bookmarkEnd w:id="480"/>
    </w:p>
    <w:p w14:paraId="20175624">
      <w:pPr>
        <w:autoSpaceDE w:val="0"/>
        <w:autoSpaceDN w:val="0"/>
        <w:adjustRightInd w:val="0"/>
        <w:spacing w:line="288" w:lineRule="auto"/>
        <w:ind w:firstLine="480" w:firstLineChars="200"/>
        <w:rPr>
          <w:rFonts w:hint="eastAsia" w:ascii="宋体" w:hAnsi="宋体" w:eastAsia="宋体" w:cs="宋体"/>
          <w:kern w:val="0"/>
          <w:sz w:val="24"/>
          <w:szCs w:val="24"/>
          <w:u w:val="single"/>
        </w:rPr>
      </w:pPr>
      <w:r>
        <w:rPr>
          <w:rFonts w:hint="eastAsia" w:ascii="宋体" w:hAnsi="宋体" w:eastAsia="宋体" w:cs="宋体"/>
          <w:sz w:val="24"/>
          <w:szCs w:val="24"/>
        </w:rPr>
        <w:t>质量保修范围包括钢结构工程、屋面防水工程以及双方约定其他项目。具体质量保修范围，合同双方约定如下：</w:t>
      </w:r>
      <w:r>
        <w:rPr>
          <w:rFonts w:hint="eastAsia" w:ascii="宋体" w:hAnsi="宋体" w:cs="宋体"/>
          <w:sz w:val="24"/>
          <w:szCs w:val="24"/>
          <w:u w:val="single"/>
          <w:lang w:val="en-US" w:eastAsia="zh-CN"/>
        </w:rPr>
        <w:t>承包人负责实施的全部工。</w:t>
      </w:r>
    </w:p>
    <w:p w14:paraId="4D671C82">
      <w:pPr>
        <w:autoSpaceDE w:val="0"/>
        <w:autoSpaceDN w:val="0"/>
        <w:adjustRightInd w:val="0"/>
        <w:spacing w:line="288" w:lineRule="auto"/>
        <w:ind w:firstLine="480" w:firstLineChars="200"/>
        <w:outlineLvl w:val="9"/>
        <w:rPr>
          <w:rFonts w:hint="eastAsia" w:ascii="宋体" w:hAnsi="宋体" w:eastAsia="宋体" w:cs="宋体"/>
          <w:sz w:val="24"/>
          <w:szCs w:val="24"/>
        </w:rPr>
      </w:pPr>
      <w:bookmarkStart w:id="481" w:name="_Toc9074"/>
      <w:r>
        <w:rPr>
          <w:rFonts w:hint="eastAsia" w:ascii="宋体" w:hAnsi="宋体" w:eastAsia="宋体" w:cs="宋体"/>
          <w:sz w:val="24"/>
          <w:szCs w:val="24"/>
        </w:rPr>
        <w:t>2．质量保修期</w:t>
      </w:r>
      <w:bookmarkEnd w:id="481"/>
    </w:p>
    <w:p w14:paraId="2B91452D">
      <w:pPr>
        <w:autoSpaceDE w:val="0"/>
        <w:autoSpaceDN w:val="0"/>
        <w:adjustRightInd w:val="0"/>
        <w:spacing w:line="288"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2.1质量保修期从合同工程实际竣工验收合格之日算起。单项竣工验收的工程，按单项工程分别计算质量保修期。</w:t>
      </w:r>
    </w:p>
    <w:p w14:paraId="13CB3F5C">
      <w:pPr>
        <w:autoSpaceDE w:val="0"/>
        <w:autoSpaceDN w:val="0"/>
        <w:adjustRightInd w:val="0"/>
        <w:spacing w:line="288"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2.2合同工程质量保修期，合同双方约定如下：</w:t>
      </w:r>
    </w:p>
    <w:p w14:paraId="0D8B78EE">
      <w:pPr>
        <w:widowControl/>
        <w:spacing w:line="288"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（1）基础设施工程、地基基础工程和主体结构工程，为设计文件规定的该工程的合理使用年限；</w:t>
      </w:r>
    </w:p>
    <w:p w14:paraId="7AE55288">
      <w:pPr>
        <w:widowControl/>
        <w:spacing w:line="288"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（2）道路等市政公用工程为2年；</w:t>
      </w:r>
    </w:p>
    <w:p w14:paraId="2C926EC4">
      <w:pPr>
        <w:widowControl/>
        <w:spacing w:line="288"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（3）电气管线、给排水管道、设备安装和装修工程，为２年；</w:t>
      </w:r>
    </w:p>
    <w:p w14:paraId="740FC476">
      <w:pPr>
        <w:autoSpaceDE w:val="0"/>
        <w:autoSpaceDN w:val="0"/>
        <w:adjustRightInd w:val="0"/>
        <w:spacing w:line="288" w:lineRule="auto"/>
        <w:ind w:firstLine="480" w:firstLineChars="200"/>
        <w:rPr>
          <w:rFonts w:hint="eastAsia" w:ascii="宋体" w:hAnsi="宋体" w:eastAsia="宋体" w:cs="宋体"/>
          <w:kern w:val="0"/>
          <w:sz w:val="24"/>
          <w:szCs w:val="24"/>
        </w:rPr>
      </w:pPr>
      <w:r>
        <w:rPr>
          <w:rFonts w:hint="eastAsia" w:ascii="宋体" w:hAnsi="宋体" w:eastAsia="宋体" w:cs="宋体"/>
          <w:sz w:val="24"/>
          <w:szCs w:val="24"/>
        </w:rPr>
        <w:t>（4）其他项目:</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0E44BBF4">
      <w:pPr>
        <w:autoSpaceDE w:val="0"/>
        <w:autoSpaceDN w:val="0"/>
        <w:adjustRightInd w:val="0"/>
        <w:spacing w:line="288" w:lineRule="auto"/>
        <w:ind w:firstLine="480" w:firstLineChars="200"/>
        <w:rPr>
          <w:rFonts w:hint="eastAsia" w:ascii="宋体" w:hAnsi="宋体" w:eastAsia="宋体" w:cs="宋体"/>
          <w:kern w:val="0"/>
          <w:sz w:val="24"/>
          <w:szCs w:val="24"/>
        </w:rPr>
      </w:pPr>
      <w:r>
        <w:rPr>
          <w:rFonts w:hint="eastAsia" w:ascii="宋体" w:hAnsi="宋体" w:eastAsia="宋体" w:cs="宋体"/>
          <w:sz w:val="24"/>
          <w:szCs w:val="24"/>
        </w:rPr>
        <w:t>3．质量保修责任</w:t>
      </w:r>
    </w:p>
    <w:p w14:paraId="4D63C646">
      <w:pPr>
        <w:autoSpaceDE w:val="0"/>
        <w:autoSpaceDN w:val="0"/>
        <w:adjustRightInd w:val="0"/>
        <w:spacing w:line="288" w:lineRule="auto"/>
        <w:ind w:firstLine="480" w:firstLineChars="200"/>
        <w:rPr>
          <w:rFonts w:hint="eastAsia" w:ascii="宋体" w:hAnsi="宋体" w:eastAsia="宋体" w:cs="宋体"/>
          <w:kern w:val="0"/>
          <w:sz w:val="24"/>
          <w:szCs w:val="24"/>
        </w:rPr>
      </w:pPr>
      <w:r>
        <w:rPr>
          <w:rFonts w:hint="eastAsia" w:ascii="宋体" w:hAnsi="宋体" w:eastAsia="宋体" w:cs="宋体"/>
          <w:sz w:val="24"/>
          <w:szCs w:val="24"/>
        </w:rPr>
        <w:t>3.1属于保修范围的项目，承包人应在接到发包人通知后的7天内派人保修。承包人未能在规定时间内派人保修的，或经承包人实施保修后仍存在缺陷或质量问题的，发包人可自行或委托第三方保修，由此产生的费用和损失由承包人承担。发包人自行或委托第三方保修，并不免除承包人的质量保修责任。</w:t>
      </w:r>
    </w:p>
    <w:p w14:paraId="0ACBD6CA">
      <w:pPr>
        <w:autoSpaceDE w:val="0"/>
        <w:autoSpaceDN w:val="0"/>
        <w:adjustRightInd w:val="0"/>
        <w:spacing w:line="288"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3.2发生紧急抢修事故的，承包人在接到通知后，应立即到达事故现场抢修。</w:t>
      </w:r>
    </w:p>
    <w:p w14:paraId="12972C1C">
      <w:pPr>
        <w:autoSpaceDE w:val="0"/>
        <w:autoSpaceDN w:val="0"/>
        <w:adjustRightInd w:val="0"/>
        <w:spacing w:line="288"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3.3在国家规定的合理使用期限内，承包人应确保地基基础工程和主体结构的质量和安全。凡出现质量问题，应立即报告当地建设行政主管部门，经设计人提出保修方案后，承包人应立即实施保修。</w:t>
      </w:r>
    </w:p>
    <w:p w14:paraId="6BC8FAE2">
      <w:pPr>
        <w:autoSpaceDE w:val="0"/>
        <w:autoSpaceDN w:val="0"/>
        <w:adjustRightInd w:val="0"/>
        <w:spacing w:line="288"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3.4质量保修完成后，由发包人组织验收。</w:t>
      </w:r>
    </w:p>
    <w:p w14:paraId="6DADBE6C">
      <w:pPr>
        <w:autoSpaceDE w:val="0"/>
        <w:autoSpaceDN w:val="0"/>
        <w:adjustRightInd w:val="0"/>
        <w:spacing w:line="288"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4．质量保修费用</w:t>
      </w:r>
    </w:p>
    <w:p w14:paraId="33EEA3C4">
      <w:pPr>
        <w:autoSpaceDE w:val="0"/>
        <w:autoSpaceDN w:val="0"/>
        <w:adjustRightInd w:val="0"/>
        <w:spacing w:line="288"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质量保修等费用，由责任方承担。</w:t>
      </w:r>
    </w:p>
    <w:p w14:paraId="411DECA2">
      <w:pPr>
        <w:autoSpaceDE w:val="0"/>
        <w:autoSpaceDN w:val="0"/>
        <w:adjustRightInd w:val="0"/>
        <w:spacing w:line="288"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5．质量保证金 </w:t>
      </w:r>
    </w:p>
    <w:p w14:paraId="69EE527C">
      <w:pPr>
        <w:autoSpaceDE w:val="0"/>
        <w:autoSpaceDN w:val="0"/>
        <w:adjustRightInd w:val="0"/>
        <w:spacing w:line="288"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质量保证金的约定、支付和使用与本合同第三部分《专用合同条款》第15.3条赋予的规定一致。</w:t>
      </w:r>
    </w:p>
    <w:p w14:paraId="215B6186">
      <w:pPr>
        <w:autoSpaceDE w:val="0"/>
        <w:autoSpaceDN w:val="0"/>
        <w:adjustRightInd w:val="0"/>
        <w:spacing w:line="288"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6．违约责任</w:t>
      </w:r>
    </w:p>
    <w:p w14:paraId="70C26448">
      <w:pPr>
        <w:autoSpaceDE w:val="0"/>
        <w:autoSpaceDN w:val="0"/>
        <w:adjustRightInd w:val="0"/>
        <w:spacing w:line="288"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6.1承包人未按要求期限实施保修的，每逾期一小时，发包人有权从质量保证金中扣罚</w:t>
      </w:r>
      <w:r>
        <w:rPr>
          <w:rFonts w:hint="eastAsia" w:ascii="宋体" w:hAnsi="宋体" w:eastAsia="宋体" w:cs="宋体"/>
          <w:sz w:val="24"/>
          <w:szCs w:val="24"/>
          <w:u w:val="single"/>
        </w:rPr>
        <w:t xml:space="preserve">    </w:t>
      </w:r>
      <w:r>
        <w:rPr>
          <w:rFonts w:hint="eastAsia" w:ascii="宋体" w:hAnsi="宋体" w:eastAsia="宋体" w:cs="宋体"/>
          <w:sz w:val="24"/>
          <w:szCs w:val="24"/>
        </w:rPr>
        <w:t>元，且发包人有权自行或委托第三方保修。因承包人逾期实施保修而给发包人造成的费用和损失，由承包人承担，发包人有权从质量保证金中扣除，也有权向承包人追索。</w:t>
      </w:r>
    </w:p>
    <w:p w14:paraId="391E04E9">
      <w:pPr>
        <w:autoSpaceDE w:val="0"/>
        <w:autoSpaceDN w:val="0"/>
        <w:adjustRightInd w:val="0"/>
        <w:spacing w:line="288"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6.2承包人拒不履行保修责任的，发包人有权直接没收质量保证金，且发包人有权自行或委托第三方保修。因发包人拒不履行保修责任而给发包人造成的费用和损失，由承包人承担，发包人有权向承包人追索。</w:t>
      </w:r>
    </w:p>
    <w:p w14:paraId="17FB3979">
      <w:pPr>
        <w:autoSpaceDE w:val="0"/>
        <w:autoSpaceDN w:val="0"/>
        <w:adjustRightInd w:val="0"/>
        <w:spacing w:line="288"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6.3经承包人实施保修后，工程仍存在缺陷或质量问题的，每次扣罚    元，且发包人有权自行或委托第三方保修。因承包人逾期实施保修而给发包人造成的费用和损失，由承包人承担，发包人有权从质量保证金中扣除，也有权向承包人追索。</w:t>
      </w:r>
    </w:p>
    <w:p w14:paraId="4B953408">
      <w:pPr>
        <w:autoSpaceDE w:val="0"/>
        <w:autoSpaceDN w:val="0"/>
        <w:adjustRightInd w:val="0"/>
        <w:spacing w:line="288"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6.4因工程缺陷或质量问题，而给发包人造成的费用和损失，由承包人承担，发包人有权从质量保证金中扣除，也有权向承包人追索。</w:t>
      </w:r>
    </w:p>
    <w:p w14:paraId="6F4A4894">
      <w:pPr>
        <w:autoSpaceDE w:val="0"/>
        <w:autoSpaceDN w:val="0"/>
        <w:adjustRightInd w:val="0"/>
        <w:spacing w:line="288"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7.其他</w:t>
      </w:r>
    </w:p>
    <w:p w14:paraId="18C10B17">
      <w:pPr>
        <w:autoSpaceDE w:val="0"/>
        <w:autoSpaceDN w:val="0"/>
        <w:adjustRightInd w:val="0"/>
        <w:spacing w:line="288" w:lineRule="auto"/>
        <w:ind w:firstLine="480" w:firstLineChars="200"/>
        <w:rPr>
          <w:rFonts w:hint="eastAsia" w:ascii="宋体" w:hAnsi="宋体" w:eastAsia="宋体" w:cs="宋体"/>
          <w:kern w:val="0"/>
          <w:sz w:val="24"/>
          <w:szCs w:val="24"/>
          <w:u w:val="single"/>
        </w:rPr>
      </w:pPr>
      <w:r>
        <w:rPr>
          <w:rFonts w:hint="eastAsia" w:ascii="宋体" w:hAnsi="宋体" w:eastAsia="宋体" w:cs="宋体"/>
          <w:sz w:val="24"/>
          <w:szCs w:val="24"/>
        </w:rPr>
        <w:t>7.1合同双方约定的其他质量保修事项：</w:t>
      </w:r>
      <w:r>
        <w:rPr>
          <w:rFonts w:hint="eastAsia" w:ascii="宋体" w:hAnsi="宋体" w:eastAsia="宋体" w:cs="宋体"/>
          <w:sz w:val="24"/>
          <w:szCs w:val="24"/>
          <w:u w:val="single"/>
        </w:rPr>
        <w:t xml:space="preserve">  / 。</w:t>
      </w:r>
    </w:p>
    <w:p w14:paraId="1DE8A4DA">
      <w:pPr>
        <w:autoSpaceDE w:val="0"/>
        <w:autoSpaceDN w:val="0"/>
        <w:adjustRightInd w:val="0"/>
        <w:spacing w:line="288"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7.2本质量保修书，由合同双方在承包人向发包人提交竣工验收申请报告时签署，作为本合同的附件。</w:t>
      </w:r>
    </w:p>
    <w:p w14:paraId="50F185C0">
      <w:pPr>
        <w:autoSpaceDE w:val="0"/>
        <w:autoSpaceDN w:val="0"/>
        <w:adjustRightInd w:val="0"/>
        <w:spacing w:line="288"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7.3本质量保修书，自合同双方签署之日起生效，至质量保修期满且承包人履行完全部保修责任后失效。</w:t>
      </w:r>
    </w:p>
    <w:p w14:paraId="2D0BDAC0">
      <w:pPr>
        <w:autoSpaceDE w:val="0"/>
        <w:autoSpaceDN w:val="0"/>
        <w:adjustRightInd w:val="0"/>
        <w:spacing w:line="360" w:lineRule="auto"/>
        <w:rPr>
          <w:rFonts w:hint="eastAsia" w:ascii="宋体" w:hAnsi="宋体" w:eastAsia="宋体" w:cs="宋体"/>
          <w:sz w:val="24"/>
          <w:szCs w:val="24"/>
        </w:rPr>
      </w:pPr>
    </w:p>
    <w:p w14:paraId="4AC408B5">
      <w:pPr>
        <w:autoSpaceDE w:val="0"/>
        <w:autoSpaceDN w:val="0"/>
        <w:adjustRightIn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发包人：     </w:t>
      </w:r>
      <w:r>
        <w:rPr>
          <w:rFonts w:hint="eastAsia" w:ascii="宋体" w:hAnsi="宋体" w:cs="宋体"/>
          <w:sz w:val="24"/>
          <w:szCs w:val="24"/>
          <w:lang w:val="en-US" w:eastAsia="zh-CN"/>
        </w:rPr>
        <w:t xml:space="preserve">                       </w:t>
      </w:r>
      <w:r>
        <w:rPr>
          <w:rFonts w:hint="eastAsia" w:ascii="宋体" w:hAnsi="宋体" w:eastAsia="宋体" w:cs="宋体"/>
          <w:sz w:val="24"/>
          <w:szCs w:val="24"/>
        </w:rPr>
        <w:t>承包人：</w:t>
      </w:r>
    </w:p>
    <w:p w14:paraId="51026514">
      <w:pPr>
        <w:autoSpaceDE w:val="0"/>
        <w:autoSpaceDN w:val="0"/>
        <w:adjustRightIn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（公章）                      </w:t>
      </w:r>
      <w:r>
        <w:rPr>
          <w:rFonts w:hint="eastAsia" w:ascii="宋体" w:hAnsi="宋体" w:cs="宋体"/>
          <w:sz w:val="24"/>
          <w:szCs w:val="24"/>
          <w:lang w:val="en-US" w:eastAsia="zh-CN"/>
        </w:rPr>
        <w:t xml:space="preserve">  </w:t>
      </w:r>
      <w:r>
        <w:rPr>
          <w:rFonts w:hint="eastAsia" w:ascii="宋体" w:hAnsi="宋体" w:eastAsia="宋体" w:cs="宋体"/>
          <w:sz w:val="24"/>
          <w:szCs w:val="24"/>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rPr>
        <w:t>（公章）</w:t>
      </w:r>
    </w:p>
    <w:p w14:paraId="01E08E66">
      <w:pPr>
        <w:autoSpaceDE w:val="0"/>
        <w:autoSpaceDN w:val="0"/>
        <w:adjustRightIn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法定代表人：            </w:t>
      </w:r>
      <w:r>
        <w:rPr>
          <w:rFonts w:hint="eastAsia" w:ascii="宋体" w:hAnsi="宋体" w:cs="宋体"/>
          <w:sz w:val="24"/>
          <w:szCs w:val="24"/>
          <w:lang w:val="en-US" w:eastAsia="zh-CN"/>
        </w:rPr>
        <w:t xml:space="preserve">        </w:t>
      </w:r>
      <w:r>
        <w:rPr>
          <w:rFonts w:hint="eastAsia" w:ascii="宋体" w:hAnsi="宋体" w:eastAsia="宋体" w:cs="宋体"/>
          <w:sz w:val="24"/>
          <w:szCs w:val="24"/>
        </w:rPr>
        <w:t xml:space="preserve">    法定代表人：</w:t>
      </w:r>
    </w:p>
    <w:p w14:paraId="1BB38609">
      <w:pPr>
        <w:autoSpaceDE w:val="0"/>
        <w:autoSpaceDN w:val="0"/>
        <w:adjustRightIn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联系电话：                          联系电话： </w:t>
      </w:r>
    </w:p>
    <w:p w14:paraId="69CF7493">
      <w:pPr>
        <w:autoSpaceDE w:val="0"/>
        <w:autoSpaceDN w:val="0"/>
        <w:adjustRightInd w:val="0"/>
        <w:spacing w:line="360" w:lineRule="auto"/>
        <w:rPr>
          <w:rFonts w:hint="eastAsia" w:ascii="宋体" w:hAnsi="宋体" w:eastAsia="宋体" w:cs="宋体"/>
          <w:sz w:val="24"/>
          <w:szCs w:val="24"/>
        </w:rPr>
      </w:pPr>
    </w:p>
    <w:p w14:paraId="6A51FB81">
      <w:pPr>
        <w:autoSpaceDE w:val="0"/>
        <w:autoSpaceDN w:val="0"/>
        <w:adjustRightInd w:val="0"/>
        <w:spacing w:line="360" w:lineRule="auto"/>
        <w:ind w:firstLine="720" w:firstLineChars="300"/>
        <w:rPr>
          <w:rFonts w:hint="eastAsia" w:ascii="宋体" w:hAnsi="宋体" w:eastAsia="宋体" w:cs="宋体"/>
          <w:sz w:val="24"/>
          <w:szCs w:val="24"/>
        </w:rPr>
      </w:pPr>
      <w:r>
        <w:rPr>
          <w:rFonts w:hint="eastAsia" w:ascii="宋体" w:hAnsi="宋体" w:eastAsia="宋体" w:cs="宋体"/>
          <w:sz w:val="24"/>
          <w:szCs w:val="24"/>
        </w:rPr>
        <w:t xml:space="preserve"> 年   月   日                         年   月   日</w:t>
      </w:r>
    </w:p>
    <w:p w14:paraId="599263EA">
      <w:pPr>
        <w:rPr>
          <w:rFonts w:hint="eastAsia" w:ascii="宋体" w:hAnsi="宋体" w:eastAsia="宋体" w:cs="宋体"/>
          <w:sz w:val="24"/>
          <w:szCs w:val="24"/>
        </w:rPr>
      </w:pPr>
    </w:p>
    <w:p w14:paraId="3EF8DC9F">
      <w:pPr>
        <w:rPr>
          <w:rFonts w:hint="eastAsia" w:ascii="宋体" w:hAnsi="宋体" w:eastAsia="宋体" w:cs="宋体"/>
        </w:rPr>
      </w:pPr>
    </w:p>
    <w:p w14:paraId="282AEE1F">
      <w:pPr>
        <w:jc w:val="left"/>
        <w:outlineLvl w:val="0"/>
        <w:rPr>
          <w:rFonts w:hint="eastAsia" w:ascii="宋体" w:hAnsi="宋体" w:eastAsia="宋体" w:cs="宋体"/>
          <w:color w:val="000000"/>
          <w:sz w:val="28"/>
          <w:szCs w:val="28"/>
        </w:rPr>
      </w:pPr>
      <w:bookmarkStart w:id="482" w:name="_Toc30666"/>
      <w:bookmarkStart w:id="483" w:name="_Toc13299"/>
      <w:bookmarkStart w:id="484" w:name="_Toc15647"/>
      <w:bookmarkStart w:id="485" w:name="_Toc32003"/>
      <w:bookmarkStart w:id="486" w:name="_Toc11017"/>
      <w:bookmarkStart w:id="487" w:name="_Toc1711"/>
      <w:bookmarkStart w:id="488" w:name="_Toc26454"/>
      <w:bookmarkStart w:id="489" w:name="_Toc17332"/>
      <w:bookmarkStart w:id="490" w:name="_Toc2351"/>
      <w:bookmarkStart w:id="491" w:name="_Toc20225"/>
      <w:r>
        <w:rPr>
          <w:rFonts w:hint="eastAsia" w:ascii="宋体" w:hAnsi="宋体" w:eastAsia="宋体" w:cs="宋体"/>
          <w:color w:val="000000"/>
          <w:sz w:val="28"/>
          <w:szCs w:val="28"/>
        </w:rPr>
        <w:br w:type="page"/>
      </w:r>
      <w:bookmarkStart w:id="492" w:name="_Toc18194"/>
      <w:bookmarkStart w:id="493" w:name="_Toc31280"/>
      <w:bookmarkStart w:id="494" w:name="_Toc21174"/>
      <w:bookmarkStart w:id="495" w:name="_Toc3118"/>
      <w:r>
        <w:rPr>
          <w:rFonts w:hint="eastAsia" w:ascii="宋体" w:hAnsi="宋体" w:eastAsia="宋体" w:cs="宋体"/>
          <w:color w:val="000000"/>
          <w:sz w:val="28"/>
          <w:szCs w:val="28"/>
        </w:rPr>
        <w:t>附件4：主要建设工程文件目录</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p>
    <w:p w14:paraId="01B099E3">
      <w:pPr>
        <w:spacing w:before="120" w:beforeLines="50" w:after="120" w:afterLines="50"/>
        <w:ind w:firstLine="600"/>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主要建设工程文件目录</w:t>
      </w:r>
    </w:p>
    <w:tbl>
      <w:tblPr>
        <w:tblStyle w:val="1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67"/>
        <w:gridCol w:w="1559"/>
        <w:gridCol w:w="1834"/>
      </w:tblGrid>
      <w:tr w14:paraId="7B817E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noWrap w:val="0"/>
            <w:vAlign w:val="center"/>
          </w:tcPr>
          <w:p w14:paraId="260C6648">
            <w:pPr>
              <w:pStyle w:val="10"/>
              <w:keepNext/>
              <w:spacing w:after="0" w:line="240" w:lineRule="auto"/>
              <w:ind w:left="0" w:leftChars="0" w:right="63"/>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文件名称</w:t>
            </w:r>
          </w:p>
        </w:tc>
        <w:tc>
          <w:tcPr>
            <w:tcW w:w="1276" w:type="dxa"/>
            <w:tcBorders>
              <w:top w:val="single" w:color="auto" w:sz="12" w:space="0"/>
              <w:bottom w:val="double" w:color="auto" w:sz="6" w:space="0"/>
            </w:tcBorders>
            <w:noWrap w:val="0"/>
            <w:vAlign w:val="center"/>
          </w:tcPr>
          <w:p w14:paraId="59B62A2C">
            <w:pPr>
              <w:pStyle w:val="10"/>
              <w:keepNext/>
              <w:spacing w:after="0" w:line="240" w:lineRule="auto"/>
              <w:ind w:left="63" w:right="63"/>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套数</w:t>
            </w:r>
          </w:p>
        </w:tc>
        <w:tc>
          <w:tcPr>
            <w:tcW w:w="1450" w:type="dxa"/>
            <w:tcBorders>
              <w:top w:val="single" w:color="auto" w:sz="12" w:space="0"/>
              <w:bottom w:val="double" w:color="auto" w:sz="6" w:space="0"/>
            </w:tcBorders>
            <w:noWrap w:val="0"/>
            <w:vAlign w:val="center"/>
          </w:tcPr>
          <w:p w14:paraId="65B73EF5">
            <w:pPr>
              <w:pStyle w:val="10"/>
              <w:keepNext/>
              <w:spacing w:after="0" w:line="240" w:lineRule="auto"/>
              <w:ind w:left="63" w:right="63"/>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费用（元）</w:t>
            </w:r>
          </w:p>
        </w:tc>
        <w:tc>
          <w:tcPr>
            <w:tcW w:w="1267" w:type="dxa"/>
            <w:tcBorders>
              <w:top w:val="single" w:color="auto" w:sz="12" w:space="0"/>
              <w:bottom w:val="double" w:color="auto" w:sz="6" w:space="0"/>
            </w:tcBorders>
            <w:noWrap w:val="0"/>
            <w:vAlign w:val="center"/>
          </w:tcPr>
          <w:p w14:paraId="77447D64">
            <w:pPr>
              <w:pStyle w:val="10"/>
              <w:keepNext/>
              <w:spacing w:after="0" w:line="240" w:lineRule="auto"/>
              <w:ind w:left="63" w:right="63"/>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质量</w:t>
            </w:r>
          </w:p>
        </w:tc>
        <w:tc>
          <w:tcPr>
            <w:tcW w:w="1559" w:type="dxa"/>
            <w:tcBorders>
              <w:top w:val="single" w:color="auto" w:sz="12" w:space="0"/>
              <w:bottom w:val="double" w:color="auto" w:sz="6" w:space="0"/>
            </w:tcBorders>
            <w:noWrap w:val="0"/>
            <w:vAlign w:val="top"/>
          </w:tcPr>
          <w:p w14:paraId="5BB9BBA7">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移交时间</w:t>
            </w:r>
          </w:p>
        </w:tc>
        <w:tc>
          <w:tcPr>
            <w:tcW w:w="1834" w:type="dxa"/>
            <w:tcBorders>
              <w:top w:val="single" w:color="auto" w:sz="12" w:space="0"/>
              <w:bottom w:val="double" w:color="auto" w:sz="6" w:space="0"/>
            </w:tcBorders>
            <w:noWrap w:val="0"/>
            <w:vAlign w:val="top"/>
          </w:tcPr>
          <w:p w14:paraId="0970ECE1">
            <w:pPr>
              <w:ind w:firstLine="360" w:firstLineChars="150"/>
              <w:jc w:val="center"/>
              <w:rPr>
                <w:rFonts w:hint="eastAsia" w:ascii="宋体" w:hAnsi="宋体" w:eastAsia="宋体" w:cs="宋体"/>
                <w:color w:val="000000"/>
                <w:sz w:val="24"/>
                <w:szCs w:val="24"/>
              </w:rPr>
            </w:pPr>
            <w:r>
              <w:rPr>
                <w:rFonts w:hint="eastAsia" w:ascii="宋体" w:hAnsi="宋体" w:eastAsia="宋体" w:cs="宋体"/>
                <w:color w:val="000000"/>
                <w:sz w:val="24"/>
                <w:szCs w:val="24"/>
              </w:rPr>
              <w:t>责任人</w:t>
            </w:r>
          </w:p>
        </w:tc>
      </w:tr>
      <w:tr w14:paraId="1A271E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953" w:type="dxa"/>
            <w:tcBorders>
              <w:top w:val="double" w:color="auto" w:sz="6" w:space="0"/>
              <w:bottom w:val="single" w:color="auto" w:sz="6" w:space="0"/>
            </w:tcBorders>
            <w:noWrap w:val="0"/>
            <w:vAlign w:val="center"/>
          </w:tcPr>
          <w:p w14:paraId="479D6E47">
            <w:pPr>
              <w:pStyle w:val="10"/>
              <w:keepNext/>
              <w:spacing w:after="0" w:line="240" w:lineRule="auto"/>
              <w:ind w:left="63" w:right="63" w:firstLine="600"/>
              <w:rPr>
                <w:rFonts w:hint="eastAsia" w:ascii="宋体" w:hAnsi="宋体" w:eastAsia="宋体" w:cs="宋体"/>
                <w:b/>
                <w:bCs/>
                <w:color w:val="000000"/>
                <w:kern w:val="2"/>
                <w:sz w:val="24"/>
                <w:szCs w:val="24"/>
              </w:rPr>
            </w:pPr>
          </w:p>
        </w:tc>
        <w:tc>
          <w:tcPr>
            <w:tcW w:w="1276" w:type="dxa"/>
            <w:tcBorders>
              <w:top w:val="double" w:color="auto" w:sz="6" w:space="0"/>
              <w:bottom w:val="single" w:color="auto" w:sz="6" w:space="0"/>
            </w:tcBorders>
            <w:noWrap w:val="0"/>
            <w:vAlign w:val="center"/>
          </w:tcPr>
          <w:p w14:paraId="10E52DA6">
            <w:pPr>
              <w:pStyle w:val="10"/>
              <w:keepNext/>
              <w:spacing w:after="0" w:line="240" w:lineRule="auto"/>
              <w:ind w:left="63" w:right="63" w:firstLine="600"/>
              <w:rPr>
                <w:rFonts w:hint="eastAsia" w:ascii="宋体" w:hAnsi="宋体" w:eastAsia="宋体" w:cs="宋体"/>
                <w:b/>
                <w:bCs/>
                <w:color w:val="000000"/>
                <w:kern w:val="2"/>
                <w:sz w:val="24"/>
                <w:szCs w:val="24"/>
              </w:rPr>
            </w:pPr>
          </w:p>
        </w:tc>
        <w:tc>
          <w:tcPr>
            <w:tcW w:w="1450" w:type="dxa"/>
            <w:tcBorders>
              <w:top w:val="double" w:color="auto" w:sz="6" w:space="0"/>
              <w:bottom w:val="single" w:color="auto" w:sz="6" w:space="0"/>
            </w:tcBorders>
            <w:noWrap w:val="0"/>
            <w:vAlign w:val="center"/>
          </w:tcPr>
          <w:p w14:paraId="17EB6511">
            <w:pPr>
              <w:pStyle w:val="10"/>
              <w:keepNext/>
              <w:spacing w:after="0" w:line="240" w:lineRule="auto"/>
              <w:ind w:left="63" w:right="63" w:firstLine="600"/>
              <w:rPr>
                <w:rFonts w:hint="eastAsia" w:ascii="宋体" w:hAnsi="宋体" w:eastAsia="宋体" w:cs="宋体"/>
                <w:b/>
                <w:bCs/>
                <w:color w:val="000000"/>
                <w:kern w:val="2"/>
                <w:sz w:val="24"/>
                <w:szCs w:val="24"/>
              </w:rPr>
            </w:pPr>
          </w:p>
        </w:tc>
        <w:tc>
          <w:tcPr>
            <w:tcW w:w="1267" w:type="dxa"/>
            <w:tcBorders>
              <w:top w:val="double" w:color="auto" w:sz="6" w:space="0"/>
              <w:bottom w:val="single" w:color="auto" w:sz="6" w:space="0"/>
            </w:tcBorders>
            <w:noWrap w:val="0"/>
            <w:vAlign w:val="center"/>
          </w:tcPr>
          <w:p w14:paraId="001C3C83">
            <w:pPr>
              <w:pStyle w:val="10"/>
              <w:keepNext/>
              <w:spacing w:after="0" w:line="240" w:lineRule="auto"/>
              <w:ind w:left="63" w:right="63" w:firstLine="600"/>
              <w:rPr>
                <w:rFonts w:hint="eastAsia" w:ascii="宋体" w:hAnsi="宋体" w:eastAsia="宋体" w:cs="宋体"/>
                <w:b/>
                <w:bCs/>
                <w:color w:val="000000"/>
                <w:kern w:val="2"/>
                <w:sz w:val="24"/>
                <w:szCs w:val="24"/>
              </w:rPr>
            </w:pPr>
          </w:p>
        </w:tc>
        <w:tc>
          <w:tcPr>
            <w:tcW w:w="1559" w:type="dxa"/>
            <w:tcBorders>
              <w:top w:val="double" w:color="auto" w:sz="6" w:space="0"/>
              <w:bottom w:val="single" w:color="auto" w:sz="6" w:space="0"/>
            </w:tcBorders>
            <w:noWrap w:val="0"/>
            <w:vAlign w:val="center"/>
          </w:tcPr>
          <w:p w14:paraId="26FAD6FA">
            <w:pPr>
              <w:pStyle w:val="10"/>
              <w:keepNext/>
              <w:spacing w:after="0" w:line="240" w:lineRule="auto"/>
              <w:ind w:left="63" w:right="63" w:firstLine="600"/>
              <w:rPr>
                <w:rFonts w:hint="eastAsia" w:ascii="宋体" w:hAnsi="宋体" w:eastAsia="宋体" w:cs="宋体"/>
                <w:b/>
                <w:bCs/>
                <w:color w:val="000000"/>
                <w:kern w:val="2"/>
                <w:sz w:val="24"/>
                <w:szCs w:val="24"/>
              </w:rPr>
            </w:pPr>
          </w:p>
        </w:tc>
        <w:tc>
          <w:tcPr>
            <w:tcW w:w="1834" w:type="dxa"/>
            <w:tcBorders>
              <w:top w:val="double" w:color="auto" w:sz="6" w:space="0"/>
              <w:bottom w:val="single" w:color="auto" w:sz="6" w:space="0"/>
            </w:tcBorders>
            <w:noWrap w:val="0"/>
            <w:vAlign w:val="center"/>
          </w:tcPr>
          <w:p w14:paraId="24268593">
            <w:pPr>
              <w:pStyle w:val="10"/>
              <w:keepNext/>
              <w:spacing w:after="0" w:line="240" w:lineRule="auto"/>
              <w:ind w:left="63" w:right="63" w:firstLine="600"/>
              <w:rPr>
                <w:rFonts w:hint="eastAsia" w:ascii="宋体" w:hAnsi="宋体" w:eastAsia="宋体" w:cs="宋体"/>
                <w:b/>
                <w:bCs/>
                <w:color w:val="000000"/>
                <w:kern w:val="2"/>
                <w:sz w:val="24"/>
                <w:szCs w:val="24"/>
              </w:rPr>
            </w:pPr>
          </w:p>
        </w:tc>
      </w:tr>
      <w:tr w14:paraId="672A4A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noWrap w:val="0"/>
            <w:vAlign w:val="center"/>
          </w:tcPr>
          <w:p w14:paraId="654C7665">
            <w:pPr>
              <w:pStyle w:val="10"/>
              <w:keepNext/>
              <w:spacing w:after="0" w:line="240" w:lineRule="auto"/>
              <w:ind w:left="63" w:right="63" w:firstLine="600"/>
              <w:rPr>
                <w:rFonts w:hint="eastAsia" w:ascii="宋体" w:hAnsi="宋体" w:eastAsia="宋体" w:cs="宋体"/>
                <w:b/>
                <w:bCs/>
                <w:color w:val="000000"/>
                <w:kern w:val="2"/>
                <w:sz w:val="24"/>
                <w:szCs w:val="24"/>
              </w:rPr>
            </w:pPr>
          </w:p>
        </w:tc>
        <w:tc>
          <w:tcPr>
            <w:tcW w:w="1276" w:type="dxa"/>
            <w:tcBorders>
              <w:top w:val="nil"/>
            </w:tcBorders>
            <w:noWrap w:val="0"/>
            <w:vAlign w:val="center"/>
          </w:tcPr>
          <w:p w14:paraId="4D314A15">
            <w:pPr>
              <w:pStyle w:val="10"/>
              <w:keepNext/>
              <w:spacing w:after="0" w:line="240" w:lineRule="auto"/>
              <w:ind w:left="63" w:right="63" w:firstLine="600"/>
              <w:rPr>
                <w:rFonts w:hint="eastAsia" w:ascii="宋体" w:hAnsi="宋体" w:eastAsia="宋体" w:cs="宋体"/>
                <w:b/>
                <w:bCs/>
                <w:color w:val="000000"/>
                <w:kern w:val="2"/>
                <w:sz w:val="24"/>
                <w:szCs w:val="24"/>
              </w:rPr>
            </w:pPr>
          </w:p>
        </w:tc>
        <w:tc>
          <w:tcPr>
            <w:tcW w:w="1450" w:type="dxa"/>
            <w:tcBorders>
              <w:top w:val="nil"/>
            </w:tcBorders>
            <w:noWrap w:val="0"/>
            <w:vAlign w:val="center"/>
          </w:tcPr>
          <w:p w14:paraId="3FC4BA77">
            <w:pPr>
              <w:pStyle w:val="10"/>
              <w:keepNext/>
              <w:spacing w:after="0" w:line="240" w:lineRule="auto"/>
              <w:ind w:left="63" w:right="63" w:firstLine="600"/>
              <w:rPr>
                <w:rFonts w:hint="eastAsia" w:ascii="宋体" w:hAnsi="宋体" w:eastAsia="宋体" w:cs="宋体"/>
                <w:b/>
                <w:bCs/>
                <w:color w:val="000000"/>
                <w:kern w:val="2"/>
                <w:sz w:val="24"/>
                <w:szCs w:val="24"/>
              </w:rPr>
            </w:pPr>
          </w:p>
        </w:tc>
        <w:tc>
          <w:tcPr>
            <w:tcW w:w="1267" w:type="dxa"/>
            <w:tcBorders>
              <w:top w:val="nil"/>
            </w:tcBorders>
            <w:noWrap w:val="0"/>
            <w:vAlign w:val="center"/>
          </w:tcPr>
          <w:p w14:paraId="52F7C028">
            <w:pPr>
              <w:pStyle w:val="10"/>
              <w:keepNext/>
              <w:spacing w:after="0" w:line="240" w:lineRule="auto"/>
              <w:ind w:left="63" w:right="63" w:firstLine="600"/>
              <w:rPr>
                <w:rFonts w:hint="eastAsia" w:ascii="宋体" w:hAnsi="宋体" w:eastAsia="宋体" w:cs="宋体"/>
                <w:b/>
                <w:bCs/>
                <w:color w:val="000000"/>
                <w:kern w:val="2"/>
                <w:sz w:val="24"/>
                <w:szCs w:val="24"/>
              </w:rPr>
            </w:pPr>
          </w:p>
        </w:tc>
        <w:tc>
          <w:tcPr>
            <w:tcW w:w="1559" w:type="dxa"/>
            <w:tcBorders>
              <w:top w:val="nil"/>
            </w:tcBorders>
            <w:noWrap w:val="0"/>
            <w:vAlign w:val="center"/>
          </w:tcPr>
          <w:p w14:paraId="1A8E9B32">
            <w:pPr>
              <w:pStyle w:val="10"/>
              <w:keepNext/>
              <w:spacing w:after="0" w:line="240" w:lineRule="auto"/>
              <w:ind w:left="63" w:right="63" w:firstLine="600"/>
              <w:rPr>
                <w:rFonts w:hint="eastAsia" w:ascii="宋体" w:hAnsi="宋体" w:eastAsia="宋体" w:cs="宋体"/>
                <w:b/>
                <w:bCs/>
                <w:color w:val="000000"/>
                <w:kern w:val="2"/>
                <w:sz w:val="24"/>
                <w:szCs w:val="24"/>
              </w:rPr>
            </w:pPr>
          </w:p>
        </w:tc>
        <w:tc>
          <w:tcPr>
            <w:tcW w:w="1834" w:type="dxa"/>
            <w:tcBorders>
              <w:top w:val="nil"/>
            </w:tcBorders>
            <w:noWrap w:val="0"/>
            <w:vAlign w:val="center"/>
          </w:tcPr>
          <w:p w14:paraId="62C4CB06">
            <w:pPr>
              <w:pStyle w:val="10"/>
              <w:keepNext/>
              <w:spacing w:after="0" w:line="240" w:lineRule="auto"/>
              <w:ind w:left="63" w:right="63" w:firstLine="600"/>
              <w:rPr>
                <w:rFonts w:hint="eastAsia" w:ascii="宋体" w:hAnsi="宋体" w:eastAsia="宋体" w:cs="宋体"/>
                <w:b/>
                <w:bCs/>
                <w:color w:val="000000"/>
                <w:kern w:val="2"/>
                <w:sz w:val="24"/>
                <w:szCs w:val="24"/>
              </w:rPr>
            </w:pPr>
          </w:p>
        </w:tc>
      </w:tr>
      <w:tr w14:paraId="4C719E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0A811FD4">
            <w:pPr>
              <w:pStyle w:val="10"/>
              <w:keepNext/>
              <w:spacing w:after="0" w:line="240" w:lineRule="auto"/>
              <w:ind w:left="63" w:right="63" w:firstLine="600"/>
              <w:rPr>
                <w:rFonts w:hint="eastAsia" w:ascii="宋体" w:hAnsi="宋体" w:eastAsia="宋体" w:cs="宋体"/>
                <w:b/>
                <w:bCs/>
                <w:color w:val="000000"/>
                <w:kern w:val="2"/>
                <w:sz w:val="24"/>
                <w:szCs w:val="24"/>
              </w:rPr>
            </w:pPr>
          </w:p>
        </w:tc>
        <w:tc>
          <w:tcPr>
            <w:tcW w:w="1276" w:type="dxa"/>
            <w:noWrap w:val="0"/>
            <w:vAlign w:val="center"/>
          </w:tcPr>
          <w:p w14:paraId="577D1BFA">
            <w:pPr>
              <w:pStyle w:val="10"/>
              <w:keepNext/>
              <w:spacing w:after="0" w:line="240" w:lineRule="auto"/>
              <w:ind w:left="63" w:right="63" w:firstLine="600"/>
              <w:rPr>
                <w:rFonts w:hint="eastAsia" w:ascii="宋体" w:hAnsi="宋体" w:eastAsia="宋体" w:cs="宋体"/>
                <w:b/>
                <w:bCs/>
                <w:color w:val="000000"/>
                <w:kern w:val="2"/>
                <w:sz w:val="24"/>
                <w:szCs w:val="24"/>
              </w:rPr>
            </w:pPr>
          </w:p>
        </w:tc>
        <w:tc>
          <w:tcPr>
            <w:tcW w:w="1450" w:type="dxa"/>
            <w:noWrap w:val="0"/>
            <w:vAlign w:val="center"/>
          </w:tcPr>
          <w:p w14:paraId="3EFCED44">
            <w:pPr>
              <w:pStyle w:val="10"/>
              <w:keepNext/>
              <w:spacing w:after="0" w:line="240" w:lineRule="auto"/>
              <w:ind w:left="63" w:right="63" w:firstLine="600"/>
              <w:rPr>
                <w:rFonts w:hint="eastAsia" w:ascii="宋体" w:hAnsi="宋体" w:eastAsia="宋体" w:cs="宋体"/>
                <w:b/>
                <w:bCs/>
                <w:color w:val="000000"/>
                <w:kern w:val="2"/>
                <w:sz w:val="24"/>
                <w:szCs w:val="24"/>
              </w:rPr>
            </w:pPr>
          </w:p>
        </w:tc>
        <w:tc>
          <w:tcPr>
            <w:tcW w:w="1267" w:type="dxa"/>
            <w:noWrap w:val="0"/>
            <w:vAlign w:val="center"/>
          </w:tcPr>
          <w:p w14:paraId="4F822777">
            <w:pPr>
              <w:pStyle w:val="10"/>
              <w:keepNext/>
              <w:spacing w:after="0" w:line="240" w:lineRule="auto"/>
              <w:ind w:left="63" w:right="63" w:firstLine="600"/>
              <w:rPr>
                <w:rFonts w:hint="eastAsia" w:ascii="宋体" w:hAnsi="宋体" w:eastAsia="宋体" w:cs="宋体"/>
                <w:b/>
                <w:bCs/>
                <w:color w:val="000000"/>
                <w:kern w:val="2"/>
                <w:sz w:val="24"/>
                <w:szCs w:val="24"/>
              </w:rPr>
            </w:pPr>
          </w:p>
        </w:tc>
        <w:tc>
          <w:tcPr>
            <w:tcW w:w="1559" w:type="dxa"/>
            <w:noWrap w:val="0"/>
            <w:vAlign w:val="center"/>
          </w:tcPr>
          <w:p w14:paraId="21807F9E">
            <w:pPr>
              <w:pStyle w:val="10"/>
              <w:keepNext/>
              <w:spacing w:after="0" w:line="240" w:lineRule="auto"/>
              <w:ind w:left="63" w:right="63" w:firstLine="600"/>
              <w:rPr>
                <w:rFonts w:hint="eastAsia" w:ascii="宋体" w:hAnsi="宋体" w:eastAsia="宋体" w:cs="宋体"/>
                <w:b/>
                <w:bCs/>
                <w:color w:val="000000"/>
                <w:kern w:val="2"/>
                <w:sz w:val="24"/>
                <w:szCs w:val="24"/>
              </w:rPr>
            </w:pPr>
          </w:p>
        </w:tc>
        <w:tc>
          <w:tcPr>
            <w:tcW w:w="1834" w:type="dxa"/>
            <w:noWrap w:val="0"/>
            <w:vAlign w:val="center"/>
          </w:tcPr>
          <w:p w14:paraId="3C76E67B">
            <w:pPr>
              <w:pStyle w:val="10"/>
              <w:keepNext/>
              <w:spacing w:after="0" w:line="240" w:lineRule="auto"/>
              <w:ind w:left="63" w:right="63" w:firstLine="600"/>
              <w:rPr>
                <w:rFonts w:hint="eastAsia" w:ascii="宋体" w:hAnsi="宋体" w:eastAsia="宋体" w:cs="宋体"/>
                <w:b/>
                <w:bCs/>
                <w:color w:val="000000"/>
                <w:kern w:val="2"/>
                <w:sz w:val="24"/>
                <w:szCs w:val="24"/>
              </w:rPr>
            </w:pPr>
          </w:p>
        </w:tc>
      </w:tr>
      <w:tr w14:paraId="4616D4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7C754058">
            <w:pPr>
              <w:pStyle w:val="10"/>
              <w:keepNext/>
              <w:spacing w:after="0" w:line="240" w:lineRule="auto"/>
              <w:ind w:left="63" w:right="63" w:firstLine="600"/>
              <w:rPr>
                <w:rFonts w:hint="eastAsia" w:ascii="宋体" w:hAnsi="宋体" w:eastAsia="宋体" w:cs="宋体"/>
                <w:b/>
                <w:bCs/>
                <w:color w:val="000000"/>
                <w:kern w:val="2"/>
                <w:sz w:val="24"/>
                <w:szCs w:val="24"/>
              </w:rPr>
            </w:pPr>
          </w:p>
        </w:tc>
        <w:tc>
          <w:tcPr>
            <w:tcW w:w="1276" w:type="dxa"/>
            <w:noWrap w:val="0"/>
            <w:vAlign w:val="center"/>
          </w:tcPr>
          <w:p w14:paraId="590C01AB">
            <w:pPr>
              <w:pStyle w:val="10"/>
              <w:keepNext/>
              <w:spacing w:after="0" w:line="240" w:lineRule="auto"/>
              <w:ind w:left="63" w:right="63" w:firstLine="600"/>
              <w:rPr>
                <w:rFonts w:hint="eastAsia" w:ascii="宋体" w:hAnsi="宋体" w:eastAsia="宋体" w:cs="宋体"/>
                <w:b/>
                <w:bCs/>
                <w:color w:val="000000"/>
                <w:kern w:val="2"/>
                <w:sz w:val="24"/>
                <w:szCs w:val="24"/>
              </w:rPr>
            </w:pPr>
          </w:p>
        </w:tc>
        <w:tc>
          <w:tcPr>
            <w:tcW w:w="1450" w:type="dxa"/>
            <w:noWrap w:val="0"/>
            <w:vAlign w:val="center"/>
          </w:tcPr>
          <w:p w14:paraId="18EFDC79">
            <w:pPr>
              <w:pStyle w:val="10"/>
              <w:keepNext/>
              <w:spacing w:after="0" w:line="240" w:lineRule="auto"/>
              <w:ind w:left="63" w:right="63" w:firstLine="600"/>
              <w:rPr>
                <w:rFonts w:hint="eastAsia" w:ascii="宋体" w:hAnsi="宋体" w:eastAsia="宋体" w:cs="宋体"/>
                <w:b/>
                <w:bCs/>
                <w:color w:val="000000"/>
                <w:kern w:val="2"/>
                <w:sz w:val="24"/>
                <w:szCs w:val="24"/>
              </w:rPr>
            </w:pPr>
          </w:p>
        </w:tc>
        <w:tc>
          <w:tcPr>
            <w:tcW w:w="1267" w:type="dxa"/>
            <w:noWrap w:val="0"/>
            <w:vAlign w:val="center"/>
          </w:tcPr>
          <w:p w14:paraId="464FA476">
            <w:pPr>
              <w:pStyle w:val="10"/>
              <w:keepNext/>
              <w:spacing w:after="0" w:line="240" w:lineRule="auto"/>
              <w:ind w:left="63" w:right="63" w:firstLine="600"/>
              <w:rPr>
                <w:rFonts w:hint="eastAsia" w:ascii="宋体" w:hAnsi="宋体" w:eastAsia="宋体" w:cs="宋体"/>
                <w:b/>
                <w:bCs/>
                <w:color w:val="000000"/>
                <w:kern w:val="2"/>
                <w:sz w:val="24"/>
                <w:szCs w:val="24"/>
              </w:rPr>
            </w:pPr>
          </w:p>
        </w:tc>
        <w:tc>
          <w:tcPr>
            <w:tcW w:w="1559" w:type="dxa"/>
            <w:noWrap w:val="0"/>
            <w:vAlign w:val="center"/>
          </w:tcPr>
          <w:p w14:paraId="763B1049">
            <w:pPr>
              <w:pStyle w:val="10"/>
              <w:keepNext/>
              <w:spacing w:after="0" w:line="240" w:lineRule="auto"/>
              <w:ind w:left="63" w:right="63" w:firstLine="600"/>
              <w:rPr>
                <w:rFonts w:hint="eastAsia" w:ascii="宋体" w:hAnsi="宋体" w:eastAsia="宋体" w:cs="宋体"/>
                <w:b/>
                <w:bCs/>
                <w:color w:val="000000"/>
                <w:kern w:val="2"/>
                <w:sz w:val="24"/>
                <w:szCs w:val="24"/>
              </w:rPr>
            </w:pPr>
          </w:p>
        </w:tc>
        <w:tc>
          <w:tcPr>
            <w:tcW w:w="1834" w:type="dxa"/>
            <w:noWrap w:val="0"/>
            <w:vAlign w:val="center"/>
          </w:tcPr>
          <w:p w14:paraId="3F9AFB7C">
            <w:pPr>
              <w:pStyle w:val="10"/>
              <w:keepNext/>
              <w:spacing w:after="0" w:line="240" w:lineRule="auto"/>
              <w:ind w:left="63" w:right="63" w:firstLine="600"/>
              <w:rPr>
                <w:rFonts w:hint="eastAsia" w:ascii="宋体" w:hAnsi="宋体" w:eastAsia="宋体" w:cs="宋体"/>
                <w:b/>
                <w:bCs/>
                <w:color w:val="000000"/>
                <w:kern w:val="2"/>
                <w:sz w:val="24"/>
                <w:szCs w:val="24"/>
              </w:rPr>
            </w:pPr>
          </w:p>
        </w:tc>
      </w:tr>
      <w:tr w14:paraId="48B3F5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2227C924">
            <w:pPr>
              <w:pStyle w:val="10"/>
              <w:keepNext/>
              <w:spacing w:after="0" w:line="240" w:lineRule="auto"/>
              <w:ind w:left="63" w:right="63" w:firstLine="600"/>
              <w:rPr>
                <w:rFonts w:hint="eastAsia" w:ascii="宋体" w:hAnsi="宋体" w:eastAsia="宋体" w:cs="宋体"/>
                <w:b/>
                <w:bCs/>
                <w:color w:val="000000"/>
                <w:kern w:val="2"/>
                <w:sz w:val="24"/>
                <w:szCs w:val="24"/>
              </w:rPr>
            </w:pPr>
          </w:p>
        </w:tc>
        <w:tc>
          <w:tcPr>
            <w:tcW w:w="1276" w:type="dxa"/>
            <w:noWrap w:val="0"/>
            <w:vAlign w:val="center"/>
          </w:tcPr>
          <w:p w14:paraId="454EE8AA">
            <w:pPr>
              <w:pStyle w:val="10"/>
              <w:keepNext/>
              <w:spacing w:after="0" w:line="240" w:lineRule="auto"/>
              <w:ind w:left="63" w:right="63" w:firstLine="600"/>
              <w:rPr>
                <w:rFonts w:hint="eastAsia" w:ascii="宋体" w:hAnsi="宋体" w:eastAsia="宋体" w:cs="宋体"/>
                <w:b/>
                <w:bCs/>
                <w:color w:val="000000"/>
                <w:kern w:val="2"/>
                <w:sz w:val="24"/>
                <w:szCs w:val="24"/>
              </w:rPr>
            </w:pPr>
          </w:p>
        </w:tc>
        <w:tc>
          <w:tcPr>
            <w:tcW w:w="1450" w:type="dxa"/>
            <w:noWrap w:val="0"/>
            <w:vAlign w:val="center"/>
          </w:tcPr>
          <w:p w14:paraId="429AA12E">
            <w:pPr>
              <w:pStyle w:val="10"/>
              <w:keepNext/>
              <w:spacing w:after="0" w:line="240" w:lineRule="auto"/>
              <w:ind w:left="63" w:right="63" w:firstLine="600"/>
              <w:rPr>
                <w:rFonts w:hint="eastAsia" w:ascii="宋体" w:hAnsi="宋体" w:eastAsia="宋体" w:cs="宋体"/>
                <w:b/>
                <w:bCs/>
                <w:color w:val="000000"/>
                <w:kern w:val="2"/>
                <w:sz w:val="24"/>
                <w:szCs w:val="24"/>
              </w:rPr>
            </w:pPr>
          </w:p>
        </w:tc>
        <w:tc>
          <w:tcPr>
            <w:tcW w:w="1267" w:type="dxa"/>
            <w:noWrap w:val="0"/>
            <w:vAlign w:val="center"/>
          </w:tcPr>
          <w:p w14:paraId="58347BFC">
            <w:pPr>
              <w:pStyle w:val="10"/>
              <w:keepNext/>
              <w:spacing w:after="0" w:line="240" w:lineRule="auto"/>
              <w:ind w:left="63" w:right="63" w:firstLine="600"/>
              <w:rPr>
                <w:rFonts w:hint="eastAsia" w:ascii="宋体" w:hAnsi="宋体" w:eastAsia="宋体" w:cs="宋体"/>
                <w:b/>
                <w:bCs/>
                <w:color w:val="000000"/>
                <w:kern w:val="2"/>
                <w:sz w:val="24"/>
                <w:szCs w:val="24"/>
              </w:rPr>
            </w:pPr>
          </w:p>
        </w:tc>
        <w:tc>
          <w:tcPr>
            <w:tcW w:w="1559" w:type="dxa"/>
            <w:noWrap w:val="0"/>
            <w:vAlign w:val="center"/>
          </w:tcPr>
          <w:p w14:paraId="095453F2">
            <w:pPr>
              <w:pStyle w:val="10"/>
              <w:keepNext/>
              <w:spacing w:after="0" w:line="240" w:lineRule="auto"/>
              <w:ind w:left="63" w:right="63" w:firstLine="600"/>
              <w:rPr>
                <w:rFonts w:hint="eastAsia" w:ascii="宋体" w:hAnsi="宋体" w:eastAsia="宋体" w:cs="宋体"/>
                <w:b/>
                <w:bCs/>
                <w:color w:val="000000"/>
                <w:kern w:val="2"/>
                <w:sz w:val="24"/>
                <w:szCs w:val="24"/>
              </w:rPr>
            </w:pPr>
          </w:p>
        </w:tc>
        <w:tc>
          <w:tcPr>
            <w:tcW w:w="1834" w:type="dxa"/>
            <w:noWrap w:val="0"/>
            <w:vAlign w:val="center"/>
          </w:tcPr>
          <w:p w14:paraId="68C3979F">
            <w:pPr>
              <w:pStyle w:val="10"/>
              <w:keepNext/>
              <w:spacing w:after="0" w:line="240" w:lineRule="auto"/>
              <w:ind w:left="63" w:right="63" w:firstLine="600"/>
              <w:rPr>
                <w:rFonts w:hint="eastAsia" w:ascii="宋体" w:hAnsi="宋体" w:eastAsia="宋体" w:cs="宋体"/>
                <w:b/>
                <w:bCs/>
                <w:color w:val="000000"/>
                <w:kern w:val="2"/>
                <w:sz w:val="24"/>
                <w:szCs w:val="24"/>
              </w:rPr>
            </w:pPr>
          </w:p>
        </w:tc>
      </w:tr>
      <w:tr w14:paraId="42C4EF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234909A5">
            <w:pPr>
              <w:pStyle w:val="10"/>
              <w:keepNext/>
              <w:spacing w:after="0" w:line="240" w:lineRule="auto"/>
              <w:ind w:left="63" w:right="63" w:firstLine="600"/>
              <w:rPr>
                <w:rFonts w:hint="eastAsia" w:ascii="宋体" w:hAnsi="宋体" w:eastAsia="宋体" w:cs="宋体"/>
                <w:b/>
                <w:bCs/>
                <w:color w:val="000000"/>
                <w:kern w:val="2"/>
                <w:sz w:val="24"/>
                <w:szCs w:val="24"/>
              </w:rPr>
            </w:pPr>
          </w:p>
        </w:tc>
        <w:tc>
          <w:tcPr>
            <w:tcW w:w="1276" w:type="dxa"/>
            <w:noWrap w:val="0"/>
            <w:vAlign w:val="center"/>
          </w:tcPr>
          <w:p w14:paraId="031BBAFE">
            <w:pPr>
              <w:pStyle w:val="10"/>
              <w:keepNext/>
              <w:spacing w:after="0" w:line="240" w:lineRule="auto"/>
              <w:ind w:left="63" w:right="63" w:firstLine="600"/>
              <w:rPr>
                <w:rFonts w:hint="eastAsia" w:ascii="宋体" w:hAnsi="宋体" w:eastAsia="宋体" w:cs="宋体"/>
                <w:b/>
                <w:bCs/>
                <w:color w:val="000000"/>
                <w:kern w:val="2"/>
                <w:sz w:val="24"/>
                <w:szCs w:val="24"/>
              </w:rPr>
            </w:pPr>
          </w:p>
        </w:tc>
        <w:tc>
          <w:tcPr>
            <w:tcW w:w="1450" w:type="dxa"/>
            <w:noWrap w:val="0"/>
            <w:vAlign w:val="center"/>
          </w:tcPr>
          <w:p w14:paraId="60935B85">
            <w:pPr>
              <w:pStyle w:val="10"/>
              <w:keepNext/>
              <w:spacing w:after="0" w:line="240" w:lineRule="auto"/>
              <w:ind w:left="63" w:right="63" w:firstLine="600"/>
              <w:rPr>
                <w:rFonts w:hint="eastAsia" w:ascii="宋体" w:hAnsi="宋体" w:eastAsia="宋体" w:cs="宋体"/>
                <w:b/>
                <w:bCs/>
                <w:color w:val="000000"/>
                <w:kern w:val="2"/>
                <w:sz w:val="24"/>
                <w:szCs w:val="24"/>
              </w:rPr>
            </w:pPr>
          </w:p>
        </w:tc>
        <w:tc>
          <w:tcPr>
            <w:tcW w:w="1267" w:type="dxa"/>
            <w:noWrap w:val="0"/>
            <w:vAlign w:val="center"/>
          </w:tcPr>
          <w:p w14:paraId="20637904">
            <w:pPr>
              <w:pStyle w:val="10"/>
              <w:keepNext/>
              <w:spacing w:after="0" w:line="240" w:lineRule="auto"/>
              <w:ind w:left="63" w:right="63" w:firstLine="600"/>
              <w:rPr>
                <w:rFonts w:hint="eastAsia" w:ascii="宋体" w:hAnsi="宋体" w:eastAsia="宋体" w:cs="宋体"/>
                <w:b/>
                <w:bCs/>
                <w:color w:val="000000"/>
                <w:kern w:val="2"/>
                <w:sz w:val="24"/>
                <w:szCs w:val="24"/>
              </w:rPr>
            </w:pPr>
          </w:p>
        </w:tc>
        <w:tc>
          <w:tcPr>
            <w:tcW w:w="1559" w:type="dxa"/>
            <w:noWrap w:val="0"/>
            <w:vAlign w:val="center"/>
          </w:tcPr>
          <w:p w14:paraId="52BEF56C">
            <w:pPr>
              <w:pStyle w:val="10"/>
              <w:keepNext/>
              <w:spacing w:after="0" w:line="240" w:lineRule="auto"/>
              <w:ind w:left="63" w:right="63" w:firstLine="600"/>
              <w:rPr>
                <w:rFonts w:hint="eastAsia" w:ascii="宋体" w:hAnsi="宋体" w:eastAsia="宋体" w:cs="宋体"/>
                <w:b/>
                <w:bCs/>
                <w:color w:val="000000"/>
                <w:kern w:val="2"/>
                <w:sz w:val="24"/>
                <w:szCs w:val="24"/>
              </w:rPr>
            </w:pPr>
          </w:p>
        </w:tc>
        <w:tc>
          <w:tcPr>
            <w:tcW w:w="1834" w:type="dxa"/>
            <w:noWrap w:val="0"/>
            <w:vAlign w:val="center"/>
          </w:tcPr>
          <w:p w14:paraId="7530BDDD">
            <w:pPr>
              <w:pStyle w:val="10"/>
              <w:keepNext/>
              <w:spacing w:after="0" w:line="240" w:lineRule="auto"/>
              <w:ind w:left="63" w:right="63" w:firstLine="600"/>
              <w:rPr>
                <w:rFonts w:hint="eastAsia" w:ascii="宋体" w:hAnsi="宋体" w:eastAsia="宋体" w:cs="宋体"/>
                <w:b/>
                <w:bCs/>
                <w:color w:val="000000"/>
                <w:kern w:val="2"/>
                <w:sz w:val="24"/>
                <w:szCs w:val="24"/>
              </w:rPr>
            </w:pPr>
          </w:p>
        </w:tc>
      </w:tr>
      <w:tr w14:paraId="2E53E0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22CE139B">
            <w:pPr>
              <w:pStyle w:val="10"/>
              <w:keepNext/>
              <w:spacing w:after="0" w:line="240" w:lineRule="auto"/>
              <w:ind w:left="63" w:right="63" w:firstLine="600"/>
              <w:rPr>
                <w:rFonts w:hint="eastAsia" w:ascii="宋体" w:hAnsi="宋体" w:eastAsia="宋体" w:cs="宋体"/>
                <w:b/>
                <w:bCs/>
                <w:color w:val="000000"/>
                <w:kern w:val="2"/>
                <w:sz w:val="24"/>
                <w:szCs w:val="24"/>
              </w:rPr>
            </w:pPr>
          </w:p>
        </w:tc>
        <w:tc>
          <w:tcPr>
            <w:tcW w:w="1276" w:type="dxa"/>
            <w:noWrap w:val="0"/>
            <w:vAlign w:val="center"/>
          </w:tcPr>
          <w:p w14:paraId="63183E22">
            <w:pPr>
              <w:pStyle w:val="10"/>
              <w:keepNext/>
              <w:spacing w:after="0" w:line="240" w:lineRule="auto"/>
              <w:ind w:left="63" w:right="63" w:firstLine="600"/>
              <w:rPr>
                <w:rFonts w:hint="eastAsia" w:ascii="宋体" w:hAnsi="宋体" w:eastAsia="宋体" w:cs="宋体"/>
                <w:b/>
                <w:bCs/>
                <w:color w:val="000000"/>
                <w:kern w:val="2"/>
                <w:sz w:val="24"/>
                <w:szCs w:val="24"/>
              </w:rPr>
            </w:pPr>
          </w:p>
        </w:tc>
        <w:tc>
          <w:tcPr>
            <w:tcW w:w="1450" w:type="dxa"/>
            <w:noWrap w:val="0"/>
            <w:vAlign w:val="center"/>
          </w:tcPr>
          <w:p w14:paraId="36F707B7">
            <w:pPr>
              <w:pStyle w:val="10"/>
              <w:keepNext/>
              <w:spacing w:after="0" w:line="240" w:lineRule="auto"/>
              <w:ind w:left="63" w:right="63" w:firstLine="600"/>
              <w:rPr>
                <w:rFonts w:hint="eastAsia" w:ascii="宋体" w:hAnsi="宋体" w:eastAsia="宋体" w:cs="宋体"/>
                <w:b/>
                <w:bCs/>
                <w:color w:val="000000"/>
                <w:kern w:val="2"/>
                <w:sz w:val="24"/>
                <w:szCs w:val="24"/>
              </w:rPr>
            </w:pPr>
          </w:p>
        </w:tc>
        <w:tc>
          <w:tcPr>
            <w:tcW w:w="1267" w:type="dxa"/>
            <w:noWrap w:val="0"/>
            <w:vAlign w:val="center"/>
          </w:tcPr>
          <w:p w14:paraId="5B08B49A">
            <w:pPr>
              <w:pStyle w:val="10"/>
              <w:keepNext/>
              <w:spacing w:after="0" w:line="240" w:lineRule="auto"/>
              <w:ind w:left="63" w:right="63" w:firstLine="600"/>
              <w:rPr>
                <w:rFonts w:hint="eastAsia" w:ascii="宋体" w:hAnsi="宋体" w:eastAsia="宋体" w:cs="宋体"/>
                <w:b/>
                <w:bCs/>
                <w:color w:val="000000"/>
                <w:kern w:val="2"/>
                <w:sz w:val="24"/>
                <w:szCs w:val="24"/>
              </w:rPr>
            </w:pPr>
          </w:p>
        </w:tc>
        <w:tc>
          <w:tcPr>
            <w:tcW w:w="1559" w:type="dxa"/>
            <w:noWrap w:val="0"/>
            <w:vAlign w:val="center"/>
          </w:tcPr>
          <w:p w14:paraId="35E7D367">
            <w:pPr>
              <w:pStyle w:val="10"/>
              <w:keepNext/>
              <w:spacing w:after="0" w:line="240" w:lineRule="auto"/>
              <w:ind w:left="63" w:right="63" w:firstLine="600"/>
              <w:rPr>
                <w:rFonts w:hint="eastAsia" w:ascii="宋体" w:hAnsi="宋体" w:eastAsia="宋体" w:cs="宋体"/>
                <w:b/>
                <w:bCs/>
                <w:color w:val="000000"/>
                <w:kern w:val="2"/>
                <w:sz w:val="24"/>
                <w:szCs w:val="24"/>
              </w:rPr>
            </w:pPr>
          </w:p>
        </w:tc>
        <w:tc>
          <w:tcPr>
            <w:tcW w:w="1834" w:type="dxa"/>
            <w:noWrap w:val="0"/>
            <w:vAlign w:val="center"/>
          </w:tcPr>
          <w:p w14:paraId="3AF092E5">
            <w:pPr>
              <w:pStyle w:val="10"/>
              <w:keepNext/>
              <w:spacing w:after="0" w:line="240" w:lineRule="auto"/>
              <w:ind w:left="63" w:right="63" w:firstLine="600"/>
              <w:rPr>
                <w:rFonts w:hint="eastAsia" w:ascii="宋体" w:hAnsi="宋体" w:eastAsia="宋体" w:cs="宋体"/>
                <w:b/>
                <w:bCs/>
                <w:color w:val="000000"/>
                <w:kern w:val="2"/>
                <w:sz w:val="24"/>
                <w:szCs w:val="24"/>
              </w:rPr>
            </w:pPr>
          </w:p>
        </w:tc>
      </w:tr>
      <w:tr w14:paraId="337C12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7A631467">
            <w:pPr>
              <w:pStyle w:val="10"/>
              <w:keepNext/>
              <w:spacing w:after="0" w:line="240" w:lineRule="auto"/>
              <w:ind w:left="63" w:right="63" w:firstLine="600"/>
              <w:rPr>
                <w:rFonts w:hint="eastAsia" w:ascii="宋体" w:hAnsi="宋体" w:eastAsia="宋体" w:cs="宋体"/>
                <w:b/>
                <w:bCs/>
                <w:color w:val="000000"/>
                <w:kern w:val="2"/>
                <w:sz w:val="24"/>
                <w:szCs w:val="24"/>
              </w:rPr>
            </w:pPr>
          </w:p>
        </w:tc>
        <w:tc>
          <w:tcPr>
            <w:tcW w:w="1276" w:type="dxa"/>
            <w:noWrap w:val="0"/>
            <w:vAlign w:val="center"/>
          </w:tcPr>
          <w:p w14:paraId="5F78F2C0">
            <w:pPr>
              <w:pStyle w:val="10"/>
              <w:keepNext/>
              <w:spacing w:after="0" w:line="240" w:lineRule="auto"/>
              <w:ind w:left="63" w:right="63" w:firstLine="600"/>
              <w:rPr>
                <w:rFonts w:hint="eastAsia" w:ascii="宋体" w:hAnsi="宋体" w:eastAsia="宋体" w:cs="宋体"/>
                <w:b/>
                <w:bCs/>
                <w:color w:val="000000"/>
                <w:kern w:val="2"/>
                <w:sz w:val="24"/>
                <w:szCs w:val="24"/>
              </w:rPr>
            </w:pPr>
          </w:p>
        </w:tc>
        <w:tc>
          <w:tcPr>
            <w:tcW w:w="1450" w:type="dxa"/>
            <w:noWrap w:val="0"/>
            <w:vAlign w:val="center"/>
          </w:tcPr>
          <w:p w14:paraId="21FD24D8">
            <w:pPr>
              <w:pStyle w:val="10"/>
              <w:keepNext/>
              <w:spacing w:after="0" w:line="240" w:lineRule="auto"/>
              <w:ind w:left="63" w:right="63" w:firstLine="600"/>
              <w:rPr>
                <w:rFonts w:hint="eastAsia" w:ascii="宋体" w:hAnsi="宋体" w:eastAsia="宋体" w:cs="宋体"/>
                <w:b/>
                <w:bCs/>
                <w:color w:val="000000"/>
                <w:kern w:val="2"/>
                <w:sz w:val="24"/>
                <w:szCs w:val="24"/>
              </w:rPr>
            </w:pPr>
          </w:p>
        </w:tc>
        <w:tc>
          <w:tcPr>
            <w:tcW w:w="1267" w:type="dxa"/>
            <w:noWrap w:val="0"/>
            <w:vAlign w:val="center"/>
          </w:tcPr>
          <w:p w14:paraId="506B6FEE">
            <w:pPr>
              <w:pStyle w:val="10"/>
              <w:keepNext/>
              <w:spacing w:after="0" w:line="240" w:lineRule="auto"/>
              <w:ind w:left="63" w:right="63" w:firstLine="600"/>
              <w:rPr>
                <w:rFonts w:hint="eastAsia" w:ascii="宋体" w:hAnsi="宋体" w:eastAsia="宋体" w:cs="宋体"/>
                <w:b/>
                <w:bCs/>
                <w:color w:val="000000"/>
                <w:kern w:val="2"/>
                <w:sz w:val="24"/>
                <w:szCs w:val="24"/>
              </w:rPr>
            </w:pPr>
          </w:p>
        </w:tc>
        <w:tc>
          <w:tcPr>
            <w:tcW w:w="1559" w:type="dxa"/>
            <w:noWrap w:val="0"/>
            <w:vAlign w:val="center"/>
          </w:tcPr>
          <w:p w14:paraId="4B43CA37">
            <w:pPr>
              <w:pStyle w:val="10"/>
              <w:keepNext/>
              <w:spacing w:after="0" w:line="240" w:lineRule="auto"/>
              <w:ind w:left="63" w:right="63" w:firstLine="600"/>
              <w:rPr>
                <w:rFonts w:hint="eastAsia" w:ascii="宋体" w:hAnsi="宋体" w:eastAsia="宋体" w:cs="宋体"/>
                <w:b/>
                <w:bCs/>
                <w:color w:val="000000"/>
                <w:kern w:val="2"/>
                <w:sz w:val="24"/>
                <w:szCs w:val="24"/>
              </w:rPr>
            </w:pPr>
          </w:p>
        </w:tc>
        <w:tc>
          <w:tcPr>
            <w:tcW w:w="1834" w:type="dxa"/>
            <w:noWrap w:val="0"/>
            <w:vAlign w:val="center"/>
          </w:tcPr>
          <w:p w14:paraId="65EB0E57">
            <w:pPr>
              <w:pStyle w:val="10"/>
              <w:keepNext/>
              <w:spacing w:after="0" w:line="240" w:lineRule="auto"/>
              <w:ind w:left="63" w:right="63" w:firstLine="600"/>
              <w:rPr>
                <w:rFonts w:hint="eastAsia" w:ascii="宋体" w:hAnsi="宋体" w:eastAsia="宋体" w:cs="宋体"/>
                <w:b/>
                <w:bCs/>
                <w:color w:val="000000"/>
                <w:kern w:val="2"/>
                <w:sz w:val="24"/>
                <w:szCs w:val="24"/>
              </w:rPr>
            </w:pPr>
          </w:p>
        </w:tc>
      </w:tr>
      <w:tr w14:paraId="40EF0C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65590DBE">
            <w:pPr>
              <w:ind w:firstLine="600"/>
              <w:rPr>
                <w:rFonts w:hint="eastAsia" w:ascii="宋体" w:hAnsi="宋体" w:eastAsia="宋体" w:cs="宋体"/>
                <w:color w:val="000000"/>
                <w:sz w:val="24"/>
                <w:szCs w:val="24"/>
              </w:rPr>
            </w:pPr>
          </w:p>
        </w:tc>
        <w:tc>
          <w:tcPr>
            <w:tcW w:w="1276" w:type="dxa"/>
            <w:noWrap w:val="0"/>
            <w:vAlign w:val="top"/>
          </w:tcPr>
          <w:p w14:paraId="327B8E43">
            <w:pPr>
              <w:ind w:firstLine="600"/>
              <w:rPr>
                <w:rFonts w:hint="eastAsia" w:ascii="宋体" w:hAnsi="宋体" w:eastAsia="宋体" w:cs="宋体"/>
                <w:color w:val="000000"/>
                <w:sz w:val="24"/>
                <w:szCs w:val="24"/>
              </w:rPr>
            </w:pPr>
          </w:p>
        </w:tc>
        <w:tc>
          <w:tcPr>
            <w:tcW w:w="1450" w:type="dxa"/>
            <w:noWrap w:val="0"/>
            <w:vAlign w:val="top"/>
          </w:tcPr>
          <w:p w14:paraId="0915E0B6">
            <w:pPr>
              <w:ind w:firstLine="600"/>
              <w:rPr>
                <w:rFonts w:hint="eastAsia" w:ascii="宋体" w:hAnsi="宋体" w:eastAsia="宋体" w:cs="宋体"/>
                <w:color w:val="000000"/>
                <w:sz w:val="24"/>
                <w:szCs w:val="24"/>
              </w:rPr>
            </w:pPr>
          </w:p>
        </w:tc>
        <w:tc>
          <w:tcPr>
            <w:tcW w:w="1267" w:type="dxa"/>
            <w:noWrap w:val="0"/>
            <w:vAlign w:val="top"/>
          </w:tcPr>
          <w:p w14:paraId="609A20DD">
            <w:pPr>
              <w:ind w:firstLine="600"/>
              <w:rPr>
                <w:rFonts w:hint="eastAsia" w:ascii="宋体" w:hAnsi="宋体" w:eastAsia="宋体" w:cs="宋体"/>
                <w:color w:val="000000"/>
                <w:sz w:val="24"/>
                <w:szCs w:val="24"/>
              </w:rPr>
            </w:pPr>
          </w:p>
        </w:tc>
        <w:tc>
          <w:tcPr>
            <w:tcW w:w="1559" w:type="dxa"/>
            <w:noWrap w:val="0"/>
            <w:vAlign w:val="top"/>
          </w:tcPr>
          <w:p w14:paraId="75855013">
            <w:pPr>
              <w:ind w:firstLine="600"/>
              <w:rPr>
                <w:rFonts w:hint="eastAsia" w:ascii="宋体" w:hAnsi="宋体" w:eastAsia="宋体" w:cs="宋体"/>
                <w:color w:val="000000"/>
                <w:sz w:val="24"/>
                <w:szCs w:val="24"/>
              </w:rPr>
            </w:pPr>
          </w:p>
        </w:tc>
        <w:tc>
          <w:tcPr>
            <w:tcW w:w="1834" w:type="dxa"/>
            <w:noWrap w:val="0"/>
            <w:vAlign w:val="top"/>
          </w:tcPr>
          <w:p w14:paraId="042F3676">
            <w:pPr>
              <w:ind w:firstLine="600"/>
              <w:rPr>
                <w:rFonts w:hint="eastAsia" w:ascii="宋体" w:hAnsi="宋体" w:eastAsia="宋体" w:cs="宋体"/>
                <w:color w:val="000000"/>
                <w:sz w:val="24"/>
                <w:szCs w:val="24"/>
              </w:rPr>
            </w:pPr>
          </w:p>
        </w:tc>
      </w:tr>
      <w:tr w14:paraId="1E50E3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51BE4F55">
            <w:pPr>
              <w:pStyle w:val="10"/>
              <w:keepNext/>
              <w:spacing w:after="0" w:line="240" w:lineRule="auto"/>
              <w:ind w:left="63" w:right="63" w:firstLine="600"/>
              <w:rPr>
                <w:rFonts w:hint="eastAsia" w:ascii="宋体" w:hAnsi="宋体" w:eastAsia="宋体" w:cs="宋体"/>
                <w:b/>
                <w:bCs/>
                <w:color w:val="000000"/>
                <w:kern w:val="2"/>
                <w:sz w:val="24"/>
                <w:szCs w:val="24"/>
              </w:rPr>
            </w:pPr>
          </w:p>
        </w:tc>
        <w:tc>
          <w:tcPr>
            <w:tcW w:w="1276" w:type="dxa"/>
            <w:noWrap w:val="0"/>
            <w:vAlign w:val="center"/>
          </w:tcPr>
          <w:p w14:paraId="72AC34D3">
            <w:pPr>
              <w:pStyle w:val="10"/>
              <w:keepNext/>
              <w:spacing w:after="0" w:line="240" w:lineRule="auto"/>
              <w:ind w:left="63" w:right="63" w:firstLine="600"/>
              <w:rPr>
                <w:rFonts w:hint="eastAsia" w:ascii="宋体" w:hAnsi="宋体" w:eastAsia="宋体" w:cs="宋体"/>
                <w:b/>
                <w:bCs/>
                <w:color w:val="000000"/>
                <w:kern w:val="2"/>
                <w:sz w:val="24"/>
                <w:szCs w:val="24"/>
              </w:rPr>
            </w:pPr>
          </w:p>
        </w:tc>
        <w:tc>
          <w:tcPr>
            <w:tcW w:w="1450" w:type="dxa"/>
            <w:noWrap w:val="0"/>
            <w:vAlign w:val="center"/>
          </w:tcPr>
          <w:p w14:paraId="1432395F">
            <w:pPr>
              <w:pStyle w:val="10"/>
              <w:keepNext/>
              <w:spacing w:after="0" w:line="240" w:lineRule="auto"/>
              <w:ind w:left="63" w:right="63" w:firstLine="600"/>
              <w:rPr>
                <w:rFonts w:hint="eastAsia" w:ascii="宋体" w:hAnsi="宋体" w:eastAsia="宋体" w:cs="宋体"/>
                <w:b/>
                <w:bCs/>
                <w:color w:val="000000"/>
                <w:kern w:val="2"/>
                <w:sz w:val="24"/>
                <w:szCs w:val="24"/>
              </w:rPr>
            </w:pPr>
          </w:p>
        </w:tc>
        <w:tc>
          <w:tcPr>
            <w:tcW w:w="1267" w:type="dxa"/>
            <w:noWrap w:val="0"/>
            <w:vAlign w:val="center"/>
          </w:tcPr>
          <w:p w14:paraId="73B7CCEC">
            <w:pPr>
              <w:pStyle w:val="10"/>
              <w:keepNext/>
              <w:spacing w:after="0" w:line="240" w:lineRule="auto"/>
              <w:ind w:left="63" w:right="63" w:firstLine="600"/>
              <w:rPr>
                <w:rFonts w:hint="eastAsia" w:ascii="宋体" w:hAnsi="宋体" w:eastAsia="宋体" w:cs="宋体"/>
                <w:b/>
                <w:bCs/>
                <w:color w:val="000000"/>
                <w:kern w:val="2"/>
                <w:sz w:val="24"/>
                <w:szCs w:val="24"/>
              </w:rPr>
            </w:pPr>
          </w:p>
        </w:tc>
        <w:tc>
          <w:tcPr>
            <w:tcW w:w="1559" w:type="dxa"/>
            <w:noWrap w:val="0"/>
            <w:vAlign w:val="center"/>
          </w:tcPr>
          <w:p w14:paraId="5D7331BE">
            <w:pPr>
              <w:pStyle w:val="10"/>
              <w:keepNext/>
              <w:spacing w:after="0" w:line="240" w:lineRule="auto"/>
              <w:ind w:left="63" w:right="63" w:firstLine="600"/>
              <w:rPr>
                <w:rFonts w:hint="eastAsia" w:ascii="宋体" w:hAnsi="宋体" w:eastAsia="宋体" w:cs="宋体"/>
                <w:b/>
                <w:bCs/>
                <w:color w:val="000000"/>
                <w:kern w:val="2"/>
                <w:sz w:val="24"/>
                <w:szCs w:val="24"/>
              </w:rPr>
            </w:pPr>
          </w:p>
        </w:tc>
        <w:tc>
          <w:tcPr>
            <w:tcW w:w="1834" w:type="dxa"/>
            <w:noWrap w:val="0"/>
            <w:vAlign w:val="center"/>
          </w:tcPr>
          <w:p w14:paraId="374514AD">
            <w:pPr>
              <w:pStyle w:val="10"/>
              <w:keepNext/>
              <w:spacing w:after="0" w:line="240" w:lineRule="auto"/>
              <w:ind w:left="63" w:right="63" w:firstLine="600"/>
              <w:rPr>
                <w:rFonts w:hint="eastAsia" w:ascii="宋体" w:hAnsi="宋体" w:eastAsia="宋体" w:cs="宋体"/>
                <w:b/>
                <w:bCs/>
                <w:color w:val="000000"/>
                <w:kern w:val="2"/>
                <w:sz w:val="24"/>
                <w:szCs w:val="24"/>
              </w:rPr>
            </w:pPr>
          </w:p>
        </w:tc>
      </w:tr>
      <w:tr w14:paraId="0D1ABB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26DD79B0">
            <w:pPr>
              <w:ind w:firstLine="600"/>
              <w:rPr>
                <w:rFonts w:hint="eastAsia" w:ascii="宋体" w:hAnsi="宋体" w:eastAsia="宋体" w:cs="宋体"/>
                <w:color w:val="000000"/>
                <w:sz w:val="24"/>
                <w:szCs w:val="24"/>
              </w:rPr>
            </w:pPr>
          </w:p>
        </w:tc>
        <w:tc>
          <w:tcPr>
            <w:tcW w:w="1276" w:type="dxa"/>
            <w:noWrap w:val="0"/>
            <w:vAlign w:val="top"/>
          </w:tcPr>
          <w:p w14:paraId="35611DF1">
            <w:pPr>
              <w:ind w:firstLine="600"/>
              <w:rPr>
                <w:rFonts w:hint="eastAsia" w:ascii="宋体" w:hAnsi="宋体" w:eastAsia="宋体" w:cs="宋体"/>
                <w:color w:val="000000"/>
                <w:sz w:val="24"/>
                <w:szCs w:val="24"/>
              </w:rPr>
            </w:pPr>
          </w:p>
        </w:tc>
        <w:tc>
          <w:tcPr>
            <w:tcW w:w="1450" w:type="dxa"/>
            <w:noWrap w:val="0"/>
            <w:vAlign w:val="top"/>
          </w:tcPr>
          <w:p w14:paraId="3F033D37">
            <w:pPr>
              <w:ind w:firstLine="600"/>
              <w:rPr>
                <w:rFonts w:hint="eastAsia" w:ascii="宋体" w:hAnsi="宋体" w:eastAsia="宋体" w:cs="宋体"/>
                <w:color w:val="000000"/>
                <w:sz w:val="24"/>
                <w:szCs w:val="24"/>
              </w:rPr>
            </w:pPr>
          </w:p>
        </w:tc>
        <w:tc>
          <w:tcPr>
            <w:tcW w:w="1267" w:type="dxa"/>
            <w:noWrap w:val="0"/>
            <w:vAlign w:val="top"/>
          </w:tcPr>
          <w:p w14:paraId="3CCCC3DF">
            <w:pPr>
              <w:ind w:firstLine="600"/>
              <w:rPr>
                <w:rFonts w:hint="eastAsia" w:ascii="宋体" w:hAnsi="宋体" w:eastAsia="宋体" w:cs="宋体"/>
                <w:color w:val="000000"/>
                <w:sz w:val="24"/>
                <w:szCs w:val="24"/>
              </w:rPr>
            </w:pPr>
          </w:p>
        </w:tc>
        <w:tc>
          <w:tcPr>
            <w:tcW w:w="1559" w:type="dxa"/>
            <w:noWrap w:val="0"/>
            <w:vAlign w:val="top"/>
          </w:tcPr>
          <w:p w14:paraId="5ED69AAD">
            <w:pPr>
              <w:ind w:firstLine="600"/>
              <w:rPr>
                <w:rFonts w:hint="eastAsia" w:ascii="宋体" w:hAnsi="宋体" w:eastAsia="宋体" w:cs="宋体"/>
                <w:color w:val="000000"/>
                <w:sz w:val="24"/>
                <w:szCs w:val="24"/>
              </w:rPr>
            </w:pPr>
          </w:p>
        </w:tc>
        <w:tc>
          <w:tcPr>
            <w:tcW w:w="1834" w:type="dxa"/>
            <w:noWrap w:val="0"/>
            <w:vAlign w:val="top"/>
          </w:tcPr>
          <w:p w14:paraId="1AEE240D">
            <w:pPr>
              <w:ind w:firstLine="600"/>
              <w:rPr>
                <w:rFonts w:hint="eastAsia" w:ascii="宋体" w:hAnsi="宋体" w:eastAsia="宋体" w:cs="宋体"/>
                <w:color w:val="000000"/>
                <w:sz w:val="24"/>
                <w:szCs w:val="24"/>
              </w:rPr>
            </w:pPr>
          </w:p>
        </w:tc>
      </w:tr>
      <w:tr w14:paraId="5F7A88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5212E5AC">
            <w:pPr>
              <w:ind w:firstLine="600"/>
              <w:rPr>
                <w:rFonts w:hint="eastAsia" w:ascii="宋体" w:hAnsi="宋体" w:eastAsia="宋体" w:cs="宋体"/>
                <w:color w:val="000000"/>
                <w:sz w:val="24"/>
                <w:szCs w:val="24"/>
              </w:rPr>
            </w:pPr>
          </w:p>
        </w:tc>
        <w:tc>
          <w:tcPr>
            <w:tcW w:w="1276" w:type="dxa"/>
            <w:noWrap w:val="0"/>
            <w:vAlign w:val="top"/>
          </w:tcPr>
          <w:p w14:paraId="176060E8">
            <w:pPr>
              <w:ind w:firstLine="600"/>
              <w:rPr>
                <w:rFonts w:hint="eastAsia" w:ascii="宋体" w:hAnsi="宋体" w:eastAsia="宋体" w:cs="宋体"/>
                <w:color w:val="000000"/>
                <w:sz w:val="24"/>
                <w:szCs w:val="24"/>
              </w:rPr>
            </w:pPr>
          </w:p>
        </w:tc>
        <w:tc>
          <w:tcPr>
            <w:tcW w:w="1450" w:type="dxa"/>
            <w:noWrap w:val="0"/>
            <w:vAlign w:val="top"/>
          </w:tcPr>
          <w:p w14:paraId="000354A0">
            <w:pPr>
              <w:ind w:firstLine="600"/>
              <w:rPr>
                <w:rFonts w:hint="eastAsia" w:ascii="宋体" w:hAnsi="宋体" w:eastAsia="宋体" w:cs="宋体"/>
                <w:color w:val="000000"/>
                <w:sz w:val="24"/>
                <w:szCs w:val="24"/>
              </w:rPr>
            </w:pPr>
          </w:p>
        </w:tc>
        <w:tc>
          <w:tcPr>
            <w:tcW w:w="1267" w:type="dxa"/>
            <w:noWrap w:val="0"/>
            <w:vAlign w:val="top"/>
          </w:tcPr>
          <w:p w14:paraId="415B662A">
            <w:pPr>
              <w:ind w:firstLine="600"/>
              <w:rPr>
                <w:rFonts w:hint="eastAsia" w:ascii="宋体" w:hAnsi="宋体" w:eastAsia="宋体" w:cs="宋体"/>
                <w:color w:val="000000"/>
                <w:sz w:val="24"/>
                <w:szCs w:val="24"/>
              </w:rPr>
            </w:pPr>
          </w:p>
        </w:tc>
        <w:tc>
          <w:tcPr>
            <w:tcW w:w="1559" w:type="dxa"/>
            <w:noWrap w:val="0"/>
            <w:vAlign w:val="top"/>
          </w:tcPr>
          <w:p w14:paraId="473E6876">
            <w:pPr>
              <w:ind w:firstLine="600"/>
              <w:rPr>
                <w:rFonts w:hint="eastAsia" w:ascii="宋体" w:hAnsi="宋体" w:eastAsia="宋体" w:cs="宋体"/>
                <w:color w:val="000000"/>
                <w:sz w:val="24"/>
                <w:szCs w:val="24"/>
              </w:rPr>
            </w:pPr>
          </w:p>
        </w:tc>
        <w:tc>
          <w:tcPr>
            <w:tcW w:w="1834" w:type="dxa"/>
            <w:noWrap w:val="0"/>
            <w:vAlign w:val="top"/>
          </w:tcPr>
          <w:p w14:paraId="47A00AED">
            <w:pPr>
              <w:ind w:firstLine="600"/>
              <w:rPr>
                <w:rFonts w:hint="eastAsia" w:ascii="宋体" w:hAnsi="宋体" w:eastAsia="宋体" w:cs="宋体"/>
                <w:color w:val="000000"/>
                <w:sz w:val="24"/>
                <w:szCs w:val="24"/>
              </w:rPr>
            </w:pPr>
          </w:p>
        </w:tc>
      </w:tr>
      <w:tr w14:paraId="18E8C5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66609E7A">
            <w:pPr>
              <w:ind w:firstLine="600"/>
              <w:rPr>
                <w:rFonts w:hint="eastAsia" w:ascii="宋体" w:hAnsi="宋体" w:eastAsia="宋体" w:cs="宋体"/>
                <w:color w:val="000000"/>
                <w:sz w:val="24"/>
                <w:szCs w:val="24"/>
              </w:rPr>
            </w:pPr>
          </w:p>
        </w:tc>
        <w:tc>
          <w:tcPr>
            <w:tcW w:w="1276" w:type="dxa"/>
            <w:noWrap w:val="0"/>
            <w:vAlign w:val="top"/>
          </w:tcPr>
          <w:p w14:paraId="0049C04C">
            <w:pPr>
              <w:ind w:firstLine="600"/>
              <w:rPr>
                <w:rFonts w:hint="eastAsia" w:ascii="宋体" w:hAnsi="宋体" w:eastAsia="宋体" w:cs="宋体"/>
                <w:color w:val="000000"/>
                <w:sz w:val="24"/>
                <w:szCs w:val="24"/>
              </w:rPr>
            </w:pPr>
          </w:p>
        </w:tc>
        <w:tc>
          <w:tcPr>
            <w:tcW w:w="1450" w:type="dxa"/>
            <w:noWrap w:val="0"/>
            <w:vAlign w:val="top"/>
          </w:tcPr>
          <w:p w14:paraId="593093CA">
            <w:pPr>
              <w:ind w:firstLine="600"/>
              <w:rPr>
                <w:rFonts w:hint="eastAsia" w:ascii="宋体" w:hAnsi="宋体" w:eastAsia="宋体" w:cs="宋体"/>
                <w:color w:val="000000"/>
                <w:sz w:val="24"/>
                <w:szCs w:val="24"/>
              </w:rPr>
            </w:pPr>
          </w:p>
        </w:tc>
        <w:tc>
          <w:tcPr>
            <w:tcW w:w="1267" w:type="dxa"/>
            <w:noWrap w:val="0"/>
            <w:vAlign w:val="top"/>
          </w:tcPr>
          <w:p w14:paraId="2F30B371">
            <w:pPr>
              <w:ind w:firstLine="600"/>
              <w:rPr>
                <w:rFonts w:hint="eastAsia" w:ascii="宋体" w:hAnsi="宋体" w:eastAsia="宋体" w:cs="宋体"/>
                <w:color w:val="000000"/>
                <w:sz w:val="24"/>
                <w:szCs w:val="24"/>
              </w:rPr>
            </w:pPr>
          </w:p>
        </w:tc>
        <w:tc>
          <w:tcPr>
            <w:tcW w:w="1559" w:type="dxa"/>
            <w:noWrap w:val="0"/>
            <w:vAlign w:val="top"/>
          </w:tcPr>
          <w:p w14:paraId="1B8B01C7">
            <w:pPr>
              <w:ind w:firstLine="600"/>
              <w:rPr>
                <w:rFonts w:hint="eastAsia" w:ascii="宋体" w:hAnsi="宋体" w:eastAsia="宋体" w:cs="宋体"/>
                <w:color w:val="000000"/>
                <w:sz w:val="24"/>
                <w:szCs w:val="24"/>
              </w:rPr>
            </w:pPr>
          </w:p>
        </w:tc>
        <w:tc>
          <w:tcPr>
            <w:tcW w:w="1834" w:type="dxa"/>
            <w:noWrap w:val="0"/>
            <w:vAlign w:val="top"/>
          </w:tcPr>
          <w:p w14:paraId="136E6029">
            <w:pPr>
              <w:ind w:firstLine="600"/>
              <w:rPr>
                <w:rFonts w:hint="eastAsia" w:ascii="宋体" w:hAnsi="宋体" w:eastAsia="宋体" w:cs="宋体"/>
                <w:color w:val="000000"/>
                <w:sz w:val="24"/>
                <w:szCs w:val="24"/>
              </w:rPr>
            </w:pPr>
          </w:p>
        </w:tc>
      </w:tr>
      <w:tr w14:paraId="369DC9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55D3AB39">
            <w:pPr>
              <w:ind w:firstLine="600"/>
              <w:rPr>
                <w:rFonts w:hint="eastAsia" w:ascii="宋体" w:hAnsi="宋体" w:eastAsia="宋体" w:cs="宋体"/>
                <w:color w:val="000000"/>
                <w:sz w:val="24"/>
                <w:szCs w:val="24"/>
              </w:rPr>
            </w:pPr>
          </w:p>
        </w:tc>
        <w:tc>
          <w:tcPr>
            <w:tcW w:w="1276" w:type="dxa"/>
            <w:noWrap w:val="0"/>
            <w:vAlign w:val="top"/>
          </w:tcPr>
          <w:p w14:paraId="6F82F6DE">
            <w:pPr>
              <w:ind w:firstLine="600"/>
              <w:rPr>
                <w:rFonts w:hint="eastAsia" w:ascii="宋体" w:hAnsi="宋体" w:eastAsia="宋体" w:cs="宋体"/>
                <w:color w:val="000000"/>
                <w:sz w:val="24"/>
                <w:szCs w:val="24"/>
              </w:rPr>
            </w:pPr>
          </w:p>
        </w:tc>
        <w:tc>
          <w:tcPr>
            <w:tcW w:w="1450" w:type="dxa"/>
            <w:noWrap w:val="0"/>
            <w:vAlign w:val="top"/>
          </w:tcPr>
          <w:p w14:paraId="0B9A4EF9">
            <w:pPr>
              <w:ind w:firstLine="600"/>
              <w:rPr>
                <w:rFonts w:hint="eastAsia" w:ascii="宋体" w:hAnsi="宋体" w:eastAsia="宋体" w:cs="宋体"/>
                <w:color w:val="000000"/>
                <w:sz w:val="24"/>
                <w:szCs w:val="24"/>
              </w:rPr>
            </w:pPr>
          </w:p>
        </w:tc>
        <w:tc>
          <w:tcPr>
            <w:tcW w:w="1267" w:type="dxa"/>
            <w:noWrap w:val="0"/>
            <w:vAlign w:val="top"/>
          </w:tcPr>
          <w:p w14:paraId="6CE4F4F3">
            <w:pPr>
              <w:ind w:firstLine="600"/>
              <w:rPr>
                <w:rFonts w:hint="eastAsia" w:ascii="宋体" w:hAnsi="宋体" w:eastAsia="宋体" w:cs="宋体"/>
                <w:color w:val="000000"/>
                <w:sz w:val="24"/>
                <w:szCs w:val="24"/>
              </w:rPr>
            </w:pPr>
          </w:p>
        </w:tc>
        <w:tc>
          <w:tcPr>
            <w:tcW w:w="1559" w:type="dxa"/>
            <w:noWrap w:val="0"/>
            <w:vAlign w:val="top"/>
          </w:tcPr>
          <w:p w14:paraId="3EA6A730">
            <w:pPr>
              <w:ind w:firstLine="600"/>
              <w:rPr>
                <w:rFonts w:hint="eastAsia" w:ascii="宋体" w:hAnsi="宋体" w:eastAsia="宋体" w:cs="宋体"/>
                <w:color w:val="000000"/>
                <w:sz w:val="24"/>
                <w:szCs w:val="24"/>
              </w:rPr>
            </w:pPr>
          </w:p>
        </w:tc>
        <w:tc>
          <w:tcPr>
            <w:tcW w:w="1834" w:type="dxa"/>
            <w:noWrap w:val="0"/>
            <w:vAlign w:val="top"/>
          </w:tcPr>
          <w:p w14:paraId="488D97A9">
            <w:pPr>
              <w:ind w:firstLine="600"/>
              <w:rPr>
                <w:rFonts w:hint="eastAsia" w:ascii="宋体" w:hAnsi="宋体" w:eastAsia="宋体" w:cs="宋体"/>
                <w:color w:val="000000"/>
                <w:sz w:val="24"/>
                <w:szCs w:val="24"/>
              </w:rPr>
            </w:pPr>
          </w:p>
        </w:tc>
      </w:tr>
      <w:tr w14:paraId="1D2363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7D6154FA">
            <w:pPr>
              <w:ind w:firstLine="600"/>
              <w:rPr>
                <w:rFonts w:hint="eastAsia" w:ascii="宋体" w:hAnsi="宋体" w:eastAsia="宋体" w:cs="宋体"/>
                <w:color w:val="000000"/>
                <w:sz w:val="24"/>
                <w:szCs w:val="24"/>
              </w:rPr>
            </w:pPr>
          </w:p>
        </w:tc>
        <w:tc>
          <w:tcPr>
            <w:tcW w:w="1276" w:type="dxa"/>
            <w:noWrap w:val="0"/>
            <w:vAlign w:val="top"/>
          </w:tcPr>
          <w:p w14:paraId="1998E834">
            <w:pPr>
              <w:ind w:firstLine="600"/>
              <w:rPr>
                <w:rFonts w:hint="eastAsia" w:ascii="宋体" w:hAnsi="宋体" w:eastAsia="宋体" w:cs="宋体"/>
                <w:color w:val="000000"/>
                <w:sz w:val="24"/>
                <w:szCs w:val="24"/>
              </w:rPr>
            </w:pPr>
          </w:p>
        </w:tc>
        <w:tc>
          <w:tcPr>
            <w:tcW w:w="1450" w:type="dxa"/>
            <w:noWrap w:val="0"/>
            <w:vAlign w:val="top"/>
          </w:tcPr>
          <w:p w14:paraId="3454293A">
            <w:pPr>
              <w:ind w:firstLine="600"/>
              <w:rPr>
                <w:rFonts w:hint="eastAsia" w:ascii="宋体" w:hAnsi="宋体" w:eastAsia="宋体" w:cs="宋体"/>
                <w:color w:val="000000"/>
                <w:sz w:val="24"/>
                <w:szCs w:val="24"/>
              </w:rPr>
            </w:pPr>
          </w:p>
        </w:tc>
        <w:tc>
          <w:tcPr>
            <w:tcW w:w="1267" w:type="dxa"/>
            <w:noWrap w:val="0"/>
            <w:vAlign w:val="top"/>
          </w:tcPr>
          <w:p w14:paraId="388BE250">
            <w:pPr>
              <w:ind w:firstLine="600"/>
              <w:rPr>
                <w:rFonts w:hint="eastAsia" w:ascii="宋体" w:hAnsi="宋体" w:eastAsia="宋体" w:cs="宋体"/>
                <w:color w:val="000000"/>
                <w:sz w:val="24"/>
                <w:szCs w:val="24"/>
              </w:rPr>
            </w:pPr>
          </w:p>
        </w:tc>
        <w:tc>
          <w:tcPr>
            <w:tcW w:w="1559" w:type="dxa"/>
            <w:noWrap w:val="0"/>
            <w:vAlign w:val="top"/>
          </w:tcPr>
          <w:p w14:paraId="42886BCB">
            <w:pPr>
              <w:ind w:firstLine="600"/>
              <w:rPr>
                <w:rFonts w:hint="eastAsia" w:ascii="宋体" w:hAnsi="宋体" w:eastAsia="宋体" w:cs="宋体"/>
                <w:color w:val="000000"/>
                <w:sz w:val="24"/>
                <w:szCs w:val="24"/>
              </w:rPr>
            </w:pPr>
          </w:p>
        </w:tc>
        <w:tc>
          <w:tcPr>
            <w:tcW w:w="1834" w:type="dxa"/>
            <w:noWrap w:val="0"/>
            <w:vAlign w:val="top"/>
          </w:tcPr>
          <w:p w14:paraId="5FB2C775">
            <w:pPr>
              <w:ind w:firstLine="600"/>
              <w:rPr>
                <w:rFonts w:hint="eastAsia" w:ascii="宋体" w:hAnsi="宋体" w:eastAsia="宋体" w:cs="宋体"/>
                <w:color w:val="000000"/>
                <w:sz w:val="24"/>
                <w:szCs w:val="24"/>
              </w:rPr>
            </w:pPr>
          </w:p>
        </w:tc>
      </w:tr>
      <w:tr w14:paraId="099DC3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56CE0C89">
            <w:pPr>
              <w:ind w:firstLine="600"/>
              <w:rPr>
                <w:rFonts w:hint="eastAsia" w:ascii="宋体" w:hAnsi="宋体" w:eastAsia="宋体" w:cs="宋体"/>
                <w:color w:val="000000"/>
                <w:sz w:val="24"/>
                <w:szCs w:val="24"/>
              </w:rPr>
            </w:pPr>
          </w:p>
        </w:tc>
        <w:tc>
          <w:tcPr>
            <w:tcW w:w="1276" w:type="dxa"/>
            <w:noWrap w:val="0"/>
            <w:vAlign w:val="top"/>
          </w:tcPr>
          <w:p w14:paraId="37D8850F">
            <w:pPr>
              <w:ind w:firstLine="600"/>
              <w:rPr>
                <w:rFonts w:hint="eastAsia" w:ascii="宋体" w:hAnsi="宋体" w:eastAsia="宋体" w:cs="宋体"/>
                <w:color w:val="000000"/>
                <w:sz w:val="24"/>
                <w:szCs w:val="24"/>
              </w:rPr>
            </w:pPr>
          </w:p>
        </w:tc>
        <w:tc>
          <w:tcPr>
            <w:tcW w:w="1450" w:type="dxa"/>
            <w:noWrap w:val="0"/>
            <w:vAlign w:val="top"/>
          </w:tcPr>
          <w:p w14:paraId="6E5D74B8">
            <w:pPr>
              <w:ind w:firstLine="600"/>
              <w:rPr>
                <w:rFonts w:hint="eastAsia" w:ascii="宋体" w:hAnsi="宋体" w:eastAsia="宋体" w:cs="宋体"/>
                <w:color w:val="000000"/>
                <w:sz w:val="24"/>
                <w:szCs w:val="24"/>
              </w:rPr>
            </w:pPr>
          </w:p>
        </w:tc>
        <w:tc>
          <w:tcPr>
            <w:tcW w:w="1267" w:type="dxa"/>
            <w:noWrap w:val="0"/>
            <w:vAlign w:val="top"/>
          </w:tcPr>
          <w:p w14:paraId="5F963896">
            <w:pPr>
              <w:ind w:firstLine="600"/>
              <w:rPr>
                <w:rFonts w:hint="eastAsia" w:ascii="宋体" w:hAnsi="宋体" w:eastAsia="宋体" w:cs="宋体"/>
                <w:color w:val="000000"/>
                <w:sz w:val="24"/>
                <w:szCs w:val="24"/>
              </w:rPr>
            </w:pPr>
          </w:p>
        </w:tc>
        <w:tc>
          <w:tcPr>
            <w:tcW w:w="1559" w:type="dxa"/>
            <w:noWrap w:val="0"/>
            <w:vAlign w:val="top"/>
          </w:tcPr>
          <w:p w14:paraId="7B1CBE0E">
            <w:pPr>
              <w:ind w:firstLine="600"/>
              <w:rPr>
                <w:rFonts w:hint="eastAsia" w:ascii="宋体" w:hAnsi="宋体" w:eastAsia="宋体" w:cs="宋体"/>
                <w:color w:val="000000"/>
                <w:sz w:val="24"/>
                <w:szCs w:val="24"/>
              </w:rPr>
            </w:pPr>
          </w:p>
        </w:tc>
        <w:tc>
          <w:tcPr>
            <w:tcW w:w="1834" w:type="dxa"/>
            <w:noWrap w:val="0"/>
            <w:vAlign w:val="top"/>
          </w:tcPr>
          <w:p w14:paraId="79809337">
            <w:pPr>
              <w:ind w:firstLine="600"/>
              <w:rPr>
                <w:rFonts w:hint="eastAsia" w:ascii="宋体" w:hAnsi="宋体" w:eastAsia="宋体" w:cs="宋体"/>
                <w:color w:val="000000"/>
                <w:sz w:val="24"/>
                <w:szCs w:val="24"/>
              </w:rPr>
            </w:pPr>
          </w:p>
        </w:tc>
      </w:tr>
      <w:tr w14:paraId="100C68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242606A2">
            <w:pPr>
              <w:ind w:firstLine="600"/>
              <w:rPr>
                <w:rFonts w:hint="eastAsia" w:ascii="宋体" w:hAnsi="宋体" w:eastAsia="宋体" w:cs="宋体"/>
                <w:color w:val="000000"/>
                <w:sz w:val="24"/>
                <w:szCs w:val="24"/>
              </w:rPr>
            </w:pPr>
          </w:p>
        </w:tc>
        <w:tc>
          <w:tcPr>
            <w:tcW w:w="1276" w:type="dxa"/>
            <w:noWrap w:val="0"/>
            <w:vAlign w:val="top"/>
          </w:tcPr>
          <w:p w14:paraId="15DFE565">
            <w:pPr>
              <w:ind w:firstLine="600"/>
              <w:rPr>
                <w:rFonts w:hint="eastAsia" w:ascii="宋体" w:hAnsi="宋体" w:eastAsia="宋体" w:cs="宋体"/>
                <w:color w:val="000000"/>
                <w:sz w:val="24"/>
                <w:szCs w:val="24"/>
              </w:rPr>
            </w:pPr>
          </w:p>
        </w:tc>
        <w:tc>
          <w:tcPr>
            <w:tcW w:w="1450" w:type="dxa"/>
            <w:noWrap w:val="0"/>
            <w:vAlign w:val="top"/>
          </w:tcPr>
          <w:p w14:paraId="7FF5FDE2">
            <w:pPr>
              <w:ind w:firstLine="600"/>
              <w:rPr>
                <w:rFonts w:hint="eastAsia" w:ascii="宋体" w:hAnsi="宋体" w:eastAsia="宋体" w:cs="宋体"/>
                <w:color w:val="000000"/>
                <w:sz w:val="24"/>
                <w:szCs w:val="24"/>
              </w:rPr>
            </w:pPr>
          </w:p>
        </w:tc>
        <w:tc>
          <w:tcPr>
            <w:tcW w:w="1267" w:type="dxa"/>
            <w:noWrap w:val="0"/>
            <w:vAlign w:val="top"/>
          </w:tcPr>
          <w:p w14:paraId="19C02000">
            <w:pPr>
              <w:ind w:firstLine="600"/>
              <w:rPr>
                <w:rFonts w:hint="eastAsia" w:ascii="宋体" w:hAnsi="宋体" w:eastAsia="宋体" w:cs="宋体"/>
                <w:color w:val="000000"/>
                <w:sz w:val="24"/>
                <w:szCs w:val="24"/>
              </w:rPr>
            </w:pPr>
          </w:p>
        </w:tc>
        <w:tc>
          <w:tcPr>
            <w:tcW w:w="1559" w:type="dxa"/>
            <w:noWrap w:val="0"/>
            <w:vAlign w:val="top"/>
          </w:tcPr>
          <w:p w14:paraId="411D7C3D">
            <w:pPr>
              <w:ind w:firstLine="600"/>
              <w:rPr>
                <w:rFonts w:hint="eastAsia" w:ascii="宋体" w:hAnsi="宋体" w:eastAsia="宋体" w:cs="宋体"/>
                <w:color w:val="000000"/>
                <w:sz w:val="24"/>
                <w:szCs w:val="24"/>
              </w:rPr>
            </w:pPr>
          </w:p>
        </w:tc>
        <w:tc>
          <w:tcPr>
            <w:tcW w:w="1834" w:type="dxa"/>
            <w:noWrap w:val="0"/>
            <w:vAlign w:val="top"/>
          </w:tcPr>
          <w:p w14:paraId="0ED320AD">
            <w:pPr>
              <w:ind w:firstLine="600"/>
              <w:rPr>
                <w:rFonts w:hint="eastAsia" w:ascii="宋体" w:hAnsi="宋体" w:eastAsia="宋体" w:cs="宋体"/>
                <w:color w:val="000000"/>
                <w:sz w:val="24"/>
                <w:szCs w:val="24"/>
              </w:rPr>
            </w:pPr>
          </w:p>
        </w:tc>
      </w:tr>
    </w:tbl>
    <w:p w14:paraId="1A55B8EF">
      <w:pPr>
        <w:ind w:firstLine="600"/>
        <w:rPr>
          <w:rFonts w:hint="eastAsia" w:ascii="宋体" w:hAnsi="宋体" w:eastAsia="宋体" w:cs="宋体"/>
          <w:color w:val="000000"/>
          <w:sz w:val="28"/>
          <w:szCs w:val="28"/>
        </w:rPr>
      </w:pPr>
    </w:p>
    <w:p w14:paraId="763D5858">
      <w:pPr>
        <w:jc w:val="left"/>
        <w:outlineLvl w:val="0"/>
        <w:rPr>
          <w:rFonts w:hint="eastAsia" w:ascii="宋体" w:hAnsi="宋体" w:eastAsia="宋体" w:cs="宋体"/>
          <w:color w:val="000000"/>
          <w:sz w:val="28"/>
          <w:szCs w:val="28"/>
        </w:rPr>
      </w:pPr>
      <w:r>
        <w:rPr>
          <w:rFonts w:hint="eastAsia" w:ascii="宋体" w:hAnsi="宋体" w:eastAsia="宋体" w:cs="宋体"/>
          <w:color w:val="000000"/>
          <w:sz w:val="28"/>
          <w:szCs w:val="28"/>
        </w:rPr>
        <w:br w:type="page"/>
      </w:r>
      <w:bookmarkStart w:id="496" w:name="_Toc1978"/>
      <w:bookmarkStart w:id="497" w:name="_Toc18333"/>
      <w:bookmarkStart w:id="498" w:name="_Toc30854"/>
      <w:bookmarkStart w:id="499" w:name="_Toc15411"/>
      <w:bookmarkStart w:id="500" w:name="_Toc443898217"/>
      <w:bookmarkStart w:id="501" w:name="_Toc3545"/>
      <w:bookmarkStart w:id="502" w:name="_Toc20308"/>
      <w:bookmarkStart w:id="503" w:name="_Toc14252"/>
      <w:bookmarkStart w:id="504" w:name="_Toc13648"/>
      <w:bookmarkStart w:id="505" w:name="_Toc26511"/>
      <w:bookmarkStart w:id="506" w:name="_Toc16248"/>
      <w:bookmarkStart w:id="507" w:name="_Toc21184"/>
      <w:bookmarkStart w:id="508" w:name="_Toc30393"/>
      <w:bookmarkStart w:id="509" w:name="_Toc26074"/>
      <w:bookmarkStart w:id="510" w:name="_Toc17294"/>
      <w:r>
        <w:rPr>
          <w:rFonts w:hint="eastAsia" w:ascii="宋体" w:hAnsi="宋体" w:eastAsia="宋体" w:cs="宋体"/>
          <w:color w:val="000000"/>
          <w:sz w:val="28"/>
          <w:szCs w:val="28"/>
        </w:rPr>
        <w:t>附件5：承包人用于本工程施工的机械设备表</w:t>
      </w:r>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6E0CC77D">
      <w:pPr>
        <w:spacing w:before="120" w:beforeLines="50" w:after="120" w:afterLines="50"/>
        <w:ind w:firstLine="600"/>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承包人用于本工程施工的机械设备表</w:t>
      </w:r>
      <w:bookmarkStart w:id="511" w:name="_Toc443898218"/>
    </w:p>
    <w:tbl>
      <w:tblPr>
        <w:tblStyle w:val="17"/>
        <w:tblW w:w="977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19"/>
        <w:gridCol w:w="1652"/>
        <w:gridCol w:w="1226"/>
        <w:gridCol w:w="675"/>
        <w:gridCol w:w="983"/>
        <w:gridCol w:w="1134"/>
        <w:gridCol w:w="1251"/>
        <w:gridCol w:w="1016"/>
        <w:gridCol w:w="918"/>
      </w:tblGrid>
      <w:tr w14:paraId="1FBD33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93" w:hRule="atLeast"/>
          <w:jc w:val="center"/>
        </w:trPr>
        <w:tc>
          <w:tcPr>
            <w:tcW w:w="919" w:type="dxa"/>
            <w:tcBorders>
              <w:top w:val="single" w:color="auto" w:sz="12" w:space="0"/>
              <w:bottom w:val="double" w:color="auto" w:sz="6" w:space="0"/>
            </w:tcBorders>
            <w:noWrap w:val="0"/>
            <w:vAlign w:val="center"/>
          </w:tcPr>
          <w:p w14:paraId="4B07AB33">
            <w:pPr>
              <w:pStyle w:val="10"/>
              <w:keepNext/>
              <w:spacing w:after="0" w:line="240" w:lineRule="auto"/>
              <w:ind w:left="63" w:right="63"/>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序号</w:t>
            </w:r>
          </w:p>
        </w:tc>
        <w:tc>
          <w:tcPr>
            <w:tcW w:w="1652" w:type="dxa"/>
            <w:tcBorders>
              <w:top w:val="single" w:color="auto" w:sz="12" w:space="0"/>
              <w:bottom w:val="double" w:color="auto" w:sz="6" w:space="0"/>
            </w:tcBorders>
            <w:noWrap w:val="0"/>
            <w:vAlign w:val="center"/>
          </w:tcPr>
          <w:p w14:paraId="09C162BD">
            <w:pPr>
              <w:pStyle w:val="10"/>
              <w:keepNext/>
              <w:spacing w:after="0" w:line="240" w:lineRule="auto"/>
              <w:ind w:left="63" w:right="63"/>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机械或设备名称</w:t>
            </w:r>
          </w:p>
        </w:tc>
        <w:tc>
          <w:tcPr>
            <w:tcW w:w="1226" w:type="dxa"/>
            <w:tcBorders>
              <w:top w:val="single" w:color="auto" w:sz="12" w:space="0"/>
              <w:bottom w:val="double" w:color="auto" w:sz="6" w:space="0"/>
            </w:tcBorders>
            <w:noWrap w:val="0"/>
            <w:vAlign w:val="center"/>
          </w:tcPr>
          <w:p w14:paraId="55E811F6">
            <w:pPr>
              <w:pStyle w:val="10"/>
              <w:keepNext/>
              <w:spacing w:after="0" w:line="240" w:lineRule="auto"/>
              <w:ind w:left="63" w:right="63"/>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规格型号</w:t>
            </w:r>
          </w:p>
        </w:tc>
        <w:tc>
          <w:tcPr>
            <w:tcW w:w="675" w:type="dxa"/>
            <w:tcBorders>
              <w:top w:val="single" w:color="auto" w:sz="12" w:space="0"/>
              <w:bottom w:val="double" w:color="auto" w:sz="6" w:space="0"/>
            </w:tcBorders>
            <w:noWrap w:val="0"/>
            <w:vAlign w:val="center"/>
          </w:tcPr>
          <w:p w14:paraId="75B3B5C7">
            <w:pPr>
              <w:pStyle w:val="10"/>
              <w:keepNext/>
              <w:spacing w:after="0" w:line="240" w:lineRule="auto"/>
              <w:ind w:left="63" w:right="63"/>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数量</w:t>
            </w:r>
          </w:p>
        </w:tc>
        <w:tc>
          <w:tcPr>
            <w:tcW w:w="983" w:type="dxa"/>
            <w:tcBorders>
              <w:top w:val="single" w:color="auto" w:sz="12" w:space="0"/>
              <w:bottom w:val="double" w:color="auto" w:sz="6" w:space="0"/>
            </w:tcBorders>
            <w:noWrap w:val="0"/>
            <w:vAlign w:val="center"/>
          </w:tcPr>
          <w:p w14:paraId="399B7663">
            <w:pPr>
              <w:pStyle w:val="10"/>
              <w:keepNext/>
              <w:spacing w:after="0" w:line="240" w:lineRule="auto"/>
              <w:ind w:left="63" w:right="63"/>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产地</w:t>
            </w:r>
          </w:p>
        </w:tc>
        <w:tc>
          <w:tcPr>
            <w:tcW w:w="1134" w:type="dxa"/>
            <w:tcBorders>
              <w:top w:val="single" w:color="auto" w:sz="12" w:space="0"/>
              <w:bottom w:val="double" w:color="auto" w:sz="6" w:space="0"/>
            </w:tcBorders>
            <w:noWrap w:val="0"/>
            <w:vAlign w:val="center"/>
          </w:tcPr>
          <w:p w14:paraId="255CF981">
            <w:pPr>
              <w:pStyle w:val="10"/>
              <w:keepNext/>
              <w:spacing w:after="0" w:line="240" w:lineRule="auto"/>
              <w:ind w:left="63" w:right="63"/>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制造年份</w:t>
            </w:r>
          </w:p>
        </w:tc>
        <w:tc>
          <w:tcPr>
            <w:tcW w:w="1251" w:type="dxa"/>
            <w:tcBorders>
              <w:top w:val="single" w:color="auto" w:sz="12" w:space="0"/>
              <w:bottom w:val="double" w:color="auto" w:sz="6" w:space="0"/>
            </w:tcBorders>
            <w:noWrap w:val="0"/>
            <w:vAlign w:val="center"/>
          </w:tcPr>
          <w:p w14:paraId="41EFAC8E">
            <w:pPr>
              <w:pStyle w:val="10"/>
              <w:keepNext/>
              <w:spacing w:after="0" w:line="240" w:lineRule="auto"/>
              <w:ind w:left="63" w:right="63"/>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额定功率(kW)</w:t>
            </w:r>
          </w:p>
        </w:tc>
        <w:tc>
          <w:tcPr>
            <w:tcW w:w="1016" w:type="dxa"/>
            <w:tcBorders>
              <w:top w:val="single" w:color="auto" w:sz="12" w:space="0"/>
              <w:bottom w:val="double" w:color="auto" w:sz="6" w:space="0"/>
            </w:tcBorders>
            <w:noWrap w:val="0"/>
            <w:vAlign w:val="center"/>
          </w:tcPr>
          <w:p w14:paraId="171A222C">
            <w:pPr>
              <w:pStyle w:val="10"/>
              <w:keepNext/>
              <w:spacing w:after="0" w:line="240" w:lineRule="auto"/>
              <w:ind w:left="63" w:right="63"/>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生产能力</w:t>
            </w:r>
          </w:p>
        </w:tc>
        <w:tc>
          <w:tcPr>
            <w:tcW w:w="918" w:type="dxa"/>
            <w:tcBorders>
              <w:top w:val="single" w:color="auto" w:sz="12" w:space="0"/>
              <w:bottom w:val="double" w:color="auto" w:sz="6" w:space="0"/>
            </w:tcBorders>
            <w:noWrap w:val="0"/>
            <w:vAlign w:val="center"/>
          </w:tcPr>
          <w:p w14:paraId="0C8B65AC">
            <w:pPr>
              <w:pStyle w:val="10"/>
              <w:keepNext/>
              <w:spacing w:after="0" w:line="240" w:lineRule="auto"/>
              <w:ind w:left="63" w:right="63"/>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备注</w:t>
            </w:r>
          </w:p>
        </w:tc>
      </w:tr>
      <w:tr w14:paraId="0D7908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11" w:hRule="atLeast"/>
          <w:jc w:val="center"/>
        </w:trPr>
        <w:tc>
          <w:tcPr>
            <w:tcW w:w="919" w:type="dxa"/>
            <w:tcBorders>
              <w:top w:val="double" w:color="auto" w:sz="6" w:space="0"/>
              <w:bottom w:val="single" w:color="auto" w:sz="6" w:space="0"/>
            </w:tcBorders>
            <w:noWrap w:val="0"/>
            <w:vAlign w:val="center"/>
          </w:tcPr>
          <w:p w14:paraId="2893AAC8">
            <w:pPr>
              <w:jc w:val="center"/>
              <w:rPr>
                <w:rFonts w:hint="eastAsia" w:ascii="宋体" w:hAnsi="宋体" w:eastAsia="宋体" w:cs="宋体"/>
                <w:lang w:val="en-US" w:eastAsia="zh-CN"/>
              </w:rPr>
            </w:pPr>
          </w:p>
        </w:tc>
        <w:tc>
          <w:tcPr>
            <w:tcW w:w="1652" w:type="dxa"/>
            <w:tcBorders>
              <w:top w:val="double" w:color="auto" w:sz="6" w:space="0"/>
              <w:bottom w:val="single" w:color="auto" w:sz="6" w:space="0"/>
            </w:tcBorders>
            <w:noWrap w:val="0"/>
            <w:vAlign w:val="center"/>
          </w:tcPr>
          <w:p w14:paraId="7EEE501E">
            <w:pPr>
              <w:jc w:val="center"/>
              <w:rPr>
                <w:rFonts w:hint="eastAsia" w:ascii="宋体" w:hAnsi="宋体" w:eastAsia="宋体" w:cs="宋体"/>
                <w:lang w:val="en-US" w:eastAsia="zh-CN"/>
              </w:rPr>
            </w:pPr>
          </w:p>
        </w:tc>
        <w:tc>
          <w:tcPr>
            <w:tcW w:w="1226" w:type="dxa"/>
            <w:tcBorders>
              <w:top w:val="double" w:color="auto" w:sz="6" w:space="0"/>
              <w:bottom w:val="single" w:color="auto" w:sz="6" w:space="0"/>
            </w:tcBorders>
            <w:noWrap w:val="0"/>
            <w:vAlign w:val="center"/>
          </w:tcPr>
          <w:p w14:paraId="4B339A32">
            <w:pPr>
              <w:jc w:val="center"/>
              <w:rPr>
                <w:rFonts w:hint="default" w:ascii="宋体" w:hAnsi="宋体" w:eastAsia="宋体" w:cs="宋体"/>
                <w:lang w:val="en-US" w:eastAsia="zh-CN"/>
              </w:rPr>
            </w:pPr>
          </w:p>
        </w:tc>
        <w:tc>
          <w:tcPr>
            <w:tcW w:w="675" w:type="dxa"/>
            <w:tcBorders>
              <w:top w:val="double" w:color="auto" w:sz="6" w:space="0"/>
              <w:bottom w:val="single" w:color="auto" w:sz="6" w:space="0"/>
            </w:tcBorders>
            <w:noWrap w:val="0"/>
            <w:vAlign w:val="center"/>
          </w:tcPr>
          <w:p w14:paraId="48864F5A">
            <w:pPr>
              <w:jc w:val="center"/>
              <w:rPr>
                <w:rFonts w:hint="eastAsia" w:ascii="宋体" w:hAnsi="宋体" w:eastAsia="宋体" w:cs="宋体"/>
                <w:lang w:val="en-US" w:eastAsia="zh-CN"/>
              </w:rPr>
            </w:pPr>
          </w:p>
        </w:tc>
        <w:tc>
          <w:tcPr>
            <w:tcW w:w="983" w:type="dxa"/>
            <w:tcBorders>
              <w:top w:val="double" w:color="auto" w:sz="6" w:space="0"/>
              <w:bottom w:val="single" w:color="auto" w:sz="6" w:space="0"/>
            </w:tcBorders>
            <w:noWrap w:val="0"/>
            <w:vAlign w:val="center"/>
          </w:tcPr>
          <w:p w14:paraId="252AD6EF">
            <w:pPr>
              <w:jc w:val="center"/>
              <w:rPr>
                <w:rFonts w:hint="default" w:ascii="宋体" w:hAnsi="宋体" w:eastAsia="宋体" w:cs="宋体"/>
                <w:lang w:val="en-US" w:eastAsia="zh-CN"/>
              </w:rPr>
            </w:pPr>
          </w:p>
        </w:tc>
        <w:tc>
          <w:tcPr>
            <w:tcW w:w="1134" w:type="dxa"/>
            <w:tcBorders>
              <w:top w:val="double" w:color="auto" w:sz="6" w:space="0"/>
              <w:bottom w:val="single" w:color="auto" w:sz="6" w:space="0"/>
            </w:tcBorders>
            <w:noWrap w:val="0"/>
            <w:vAlign w:val="center"/>
          </w:tcPr>
          <w:p w14:paraId="5B51912F">
            <w:pPr>
              <w:jc w:val="center"/>
              <w:rPr>
                <w:rFonts w:hint="default" w:ascii="宋体" w:hAnsi="宋体" w:eastAsia="宋体" w:cs="宋体"/>
                <w:color w:val="000000"/>
                <w:lang w:val="en-US" w:eastAsia="zh-CN"/>
              </w:rPr>
            </w:pPr>
          </w:p>
        </w:tc>
        <w:tc>
          <w:tcPr>
            <w:tcW w:w="1251" w:type="dxa"/>
            <w:tcBorders>
              <w:top w:val="double" w:color="auto" w:sz="6" w:space="0"/>
              <w:bottom w:val="single" w:color="auto" w:sz="6" w:space="0"/>
            </w:tcBorders>
            <w:noWrap w:val="0"/>
            <w:vAlign w:val="center"/>
          </w:tcPr>
          <w:p w14:paraId="7BC94A33">
            <w:pPr>
              <w:jc w:val="center"/>
              <w:rPr>
                <w:rFonts w:hint="eastAsia" w:ascii="宋体" w:hAnsi="宋体" w:eastAsia="宋体" w:cs="宋体"/>
                <w:color w:val="000000"/>
              </w:rPr>
            </w:pPr>
          </w:p>
        </w:tc>
        <w:tc>
          <w:tcPr>
            <w:tcW w:w="1016" w:type="dxa"/>
            <w:tcBorders>
              <w:top w:val="double" w:color="auto" w:sz="6" w:space="0"/>
              <w:bottom w:val="single" w:color="auto" w:sz="6" w:space="0"/>
            </w:tcBorders>
            <w:noWrap w:val="0"/>
            <w:vAlign w:val="center"/>
          </w:tcPr>
          <w:p w14:paraId="5371BC5F">
            <w:pPr>
              <w:jc w:val="center"/>
              <w:rPr>
                <w:rFonts w:hint="eastAsia" w:ascii="宋体" w:hAnsi="宋体" w:eastAsia="宋体" w:cs="宋体"/>
              </w:rPr>
            </w:pPr>
          </w:p>
        </w:tc>
        <w:tc>
          <w:tcPr>
            <w:tcW w:w="918" w:type="dxa"/>
            <w:tcBorders>
              <w:top w:val="double" w:color="auto" w:sz="6" w:space="0"/>
              <w:bottom w:val="single" w:color="auto" w:sz="6" w:space="0"/>
            </w:tcBorders>
            <w:noWrap w:val="0"/>
            <w:vAlign w:val="center"/>
          </w:tcPr>
          <w:p w14:paraId="61B309F2">
            <w:pPr>
              <w:jc w:val="center"/>
              <w:rPr>
                <w:rFonts w:hint="eastAsia" w:ascii="宋体" w:hAnsi="宋体" w:eastAsia="宋体" w:cs="宋体"/>
              </w:rPr>
            </w:pPr>
          </w:p>
        </w:tc>
      </w:tr>
      <w:tr w14:paraId="74B322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06" w:hRule="atLeast"/>
          <w:jc w:val="center"/>
        </w:trPr>
        <w:tc>
          <w:tcPr>
            <w:tcW w:w="919" w:type="dxa"/>
            <w:tcBorders>
              <w:top w:val="nil"/>
            </w:tcBorders>
            <w:noWrap w:val="0"/>
            <w:vAlign w:val="center"/>
          </w:tcPr>
          <w:p w14:paraId="79320D2B">
            <w:pPr>
              <w:jc w:val="center"/>
              <w:rPr>
                <w:rFonts w:hint="eastAsia" w:ascii="宋体" w:hAnsi="宋体" w:eastAsia="宋体" w:cs="宋体"/>
                <w:lang w:val="en-US" w:eastAsia="zh-CN"/>
              </w:rPr>
            </w:pPr>
          </w:p>
        </w:tc>
        <w:tc>
          <w:tcPr>
            <w:tcW w:w="1652" w:type="dxa"/>
            <w:tcBorders>
              <w:top w:val="nil"/>
            </w:tcBorders>
            <w:noWrap w:val="0"/>
            <w:vAlign w:val="center"/>
          </w:tcPr>
          <w:p w14:paraId="50FA7C11">
            <w:pPr>
              <w:jc w:val="center"/>
              <w:rPr>
                <w:rFonts w:hint="eastAsia" w:ascii="宋体" w:hAnsi="宋体" w:eastAsia="宋体" w:cs="宋体"/>
                <w:lang w:val="en-US" w:eastAsia="zh-CN"/>
              </w:rPr>
            </w:pPr>
          </w:p>
        </w:tc>
        <w:tc>
          <w:tcPr>
            <w:tcW w:w="1226" w:type="dxa"/>
            <w:tcBorders>
              <w:top w:val="nil"/>
            </w:tcBorders>
            <w:noWrap w:val="0"/>
            <w:vAlign w:val="center"/>
          </w:tcPr>
          <w:p w14:paraId="1EADF103">
            <w:pPr>
              <w:jc w:val="center"/>
              <w:rPr>
                <w:rFonts w:hint="default" w:ascii="宋体" w:hAnsi="宋体" w:eastAsia="宋体" w:cs="宋体"/>
                <w:lang w:val="en-US" w:eastAsia="zh-CN"/>
              </w:rPr>
            </w:pPr>
          </w:p>
        </w:tc>
        <w:tc>
          <w:tcPr>
            <w:tcW w:w="675" w:type="dxa"/>
            <w:tcBorders>
              <w:top w:val="nil"/>
            </w:tcBorders>
            <w:noWrap w:val="0"/>
            <w:vAlign w:val="center"/>
          </w:tcPr>
          <w:p w14:paraId="75B006FC">
            <w:pPr>
              <w:jc w:val="center"/>
              <w:rPr>
                <w:rFonts w:hint="eastAsia" w:ascii="宋体" w:hAnsi="宋体" w:eastAsia="宋体" w:cs="宋体"/>
                <w:lang w:val="en-US" w:eastAsia="zh-CN"/>
              </w:rPr>
            </w:pPr>
          </w:p>
        </w:tc>
        <w:tc>
          <w:tcPr>
            <w:tcW w:w="983" w:type="dxa"/>
            <w:tcBorders>
              <w:top w:val="nil"/>
            </w:tcBorders>
            <w:noWrap w:val="0"/>
            <w:vAlign w:val="center"/>
          </w:tcPr>
          <w:p w14:paraId="0E204947">
            <w:pPr>
              <w:jc w:val="center"/>
              <w:rPr>
                <w:rFonts w:hint="eastAsia" w:ascii="宋体" w:hAnsi="宋体" w:eastAsia="宋体" w:cs="宋体"/>
              </w:rPr>
            </w:pPr>
          </w:p>
        </w:tc>
        <w:tc>
          <w:tcPr>
            <w:tcW w:w="1134" w:type="dxa"/>
            <w:tcBorders>
              <w:top w:val="nil"/>
            </w:tcBorders>
            <w:noWrap w:val="0"/>
            <w:vAlign w:val="center"/>
          </w:tcPr>
          <w:p w14:paraId="1219FEC5">
            <w:pPr>
              <w:jc w:val="center"/>
              <w:rPr>
                <w:rFonts w:hint="default" w:ascii="宋体" w:hAnsi="宋体" w:eastAsia="宋体" w:cs="宋体"/>
                <w:color w:val="000000"/>
                <w:lang w:val="en-US" w:eastAsia="zh-CN"/>
              </w:rPr>
            </w:pPr>
          </w:p>
        </w:tc>
        <w:tc>
          <w:tcPr>
            <w:tcW w:w="1251" w:type="dxa"/>
            <w:tcBorders>
              <w:top w:val="nil"/>
            </w:tcBorders>
            <w:noWrap w:val="0"/>
            <w:vAlign w:val="center"/>
          </w:tcPr>
          <w:p w14:paraId="0BB92395">
            <w:pPr>
              <w:jc w:val="center"/>
              <w:rPr>
                <w:rFonts w:hint="eastAsia" w:ascii="宋体" w:hAnsi="宋体" w:eastAsia="宋体" w:cs="宋体"/>
                <w:color w:val="000000"/>
              </w:rPr>
            </w:pPr>
          </w:p>
        </w:tc>
        <w:tc>
          <w:tcPr>
            <w:tcW w:w="1016" w:type="dxa"/>
            <w:tcBorders>
              <w:top w:val="nil"/>
            </w:tcBorders>
            <w:noWrap w:val="0"/>
            <w:vAlign w:val="center"/>
          </w:tcPr>
          <w:p w14:paraId="0FB698F3">
            <w:pPr>
              <w:jc w:val="center"/>
              <w:rPr>
                <w:rFonts w:hint="eastAsia" w:ascii="宋体" w:hAnsi="宋体" w:eastAsia="宋体" w:cs="宋体"/>
              </w:rPr>
            </w:pPr>
          </w:p>
        </w:tc>
        <w:tc>
          <w:tcPr>
            <w:tcW w:w="918" w:type="dxa"/>
            <w:tcBorders>
              <w:top w:val="nil"/>
            </w:tcBorders>
            <w:noWrap w:val="0"/>
            <w:vAlign w:val="center"/>
          </w:tcPr>
          <w:p w14:paraId="4A914B28">
            <w:pPr>
              <w:jc w:val="center"/>
              <w:rPr>
                <w:rFonts w:hint="eastAsia" w:ascii="宋体" w:hAnsi="宋体" w:eastAsia="宋体" w:cs="宋体"/>
              </w:rPr>
            </w:pPr>
          </w:p>
        </w:tc>
      </w:tr>
      <w:tr w14:paraId="6983FA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06" w:hRule="atLeast"/>
          <w:jc w:val="center"/>
        </w:trPr>
        <w:tc>
          <w:tcPr>
            <w:tcW w:w="919" w:type="dxa"/>
            <w:noWrap w:val="0"/>
            <w:vAlign w:val="center"/>
          </w:tcPr>
          <w:p w14:paraId="2C1E9C93">
            <w:pPr>
              <w:jc w:val="center"/>
              <w:rPr>
                <w:rFonts w:hint="eastAsia" w:ascii="宋体" w:hAnsi="宋体" w:eastAsia="宋体" w:cs="宋体"/>
                <w:lang w:val="en-US" w:eastAsia="zh-CN"/>
              </w:rPr>
            </w:pPr>
          </w:p>
        </w:tc>
        <w:tc>
          <w:tcPr>
            <w:tcW w:w="1652" w:type="dxa"/>
            <w:noWrap w:val="0"/>
            <w:vAlign w:val="center"/>
          </w:tcPr>
          <w:p w14:paraId="046EA866">
            <w:pPr>
              <w:jc w:val="center"/>
              <w:rPr>
                <w:rFonts w:hint="eastAsia" w:ascii="宋体" w:hAnsi="宋体" w:eastAsia="宋体" w:cs="宋体"/>
                <w:lang w:val="en-US" w:eastAsia="zh-CN"/>
              </w:rPr>
            </w:pPr>
          </w:p>
        </w:tc>
        <w:tc>
          <w:tcPr>
            <w:tcW w:w="1226" w:type="dxa"/>
            <w:noWrap w:val="0"/>
            <w:vAlign w:val="center"/>
          </w:tcPr>
          <w:p w14:paraId="2A042C45">
            <w:pPr>
              <w:jc w:val="center"/>
              <w:rPr>
                <w:rFonts w:hint="default" w:ascii="宋体" w:hAnsi="宋体" w:cs="宋体"/>
                <w:lang w:val="en-US" w:eastAsia="zh-CN"/>
              </w:rPr>
            </w:pPr>
          </w:p>
        </w:tc>
        <w:tc>
          <w:tcPr>
            <w:tcW w:w="675" w:type="dxa"/>
            <w:noWrap w:val="0"/>
            <w:vAlign w:val="center"/>
          </w:tcPr>
          <w:p w14:paraId="023504AE">
            <w:pPr>
              <w:jc w:val="center"/>
              <w:rPr>
                <w:rFonts w:hint="eastAsia" w:ascii="宋体" w:hAnsi="宋体" w:eastAsia="宋体" w:cs="宋体"/>
                <w:lang w:val="en-US" w:eastAsia="zh-CN"/>
              </w:rPr>
            </w:pPr>
          </w:p>
        </w:tc>
        <w:tc>
          <w:tcPr>
            <w:tcW w:w="983" w:type="dxa"/>
            <w:noWrap w:val="0"/>
            <w:vAlign w:val="center"/>
          </w:tcPr>
          <w:p w14:paraId="6E5BDF91">
            <w:pPr>
              <w:jc w:val="center"/>
              <w:rPr>
                <w:rFonts w:hint="eastAsia" w:ascii="宋体" w:hAnsi="宋体" w:eastAsia="宋体" w:cs="宋体"/>
              </w:rPr>
            </w:pPr>
          </w:p>
        </w:tc>
        <w:tc>
          <w:tcPr>
            <w:tcW w:w="1134" w:type="dxa"/>
            <w:noWrap w:val="0"/>
            <w:vAlign w:val="center"/>
          </w:tcPr>
          <w:p w14:paraId="5B7D2CC6">
            <w:pPr>
              <w:jc w:val="center"/>
              <w:rPr>
                <w:rFonts w:hint="default" w:ascii="宋体" w:hAnsi="宋体" w:eastAsia="宋体" w:cs="宋体"/>
                <w:color w:val="000000"/>
                <w:lang w:val="en-US" w:eastAsia="zh-CN"/>
              </w:rPr>
            </w:pPr>
          </w:p>
        </w:tc>
        <w:tc>
          <w:tcPr>
            <w:tcW w:w="1251" w:type="dxa"/>
            <w:noWrap w:val="0"/>
            <w:vAlign w:val="center"/>
          </w:tcPr>
          <w:p w14:paraId="52E31B46">
            <w:pPr>
              <w:jc w:val="center"/>
              <w:rPr>
                <w:rFonts w:hint="eastAsia" w:ascii="宋体" w:hAnsi="宋体" w:eastAsia="宋体" w:cs="宋体"/>
                <w:color w:val="000000"/>
              </w:rPr>
            </w:pPr>
          </w:p>
        </w:tc>
        <w:tc>
          <w:tcPr>
            <w:tcW w:w="1016" w:type="dxa"/>
            <w:noWrap w:val="0"/>
            <w:vAlign w:val="center"/>
          </w:tcPr>
          <w:p w14:paraId="396273AB">
            <w:pPr>
              <w:jc w:val="center"/>
              <w:rPr>
                <w:rFonts w:hint="eastAsia" w:ascii="宋体" w:hAnsi="宋体" w:eastAsia="宋体" w:cs="宋体"/>
              </w:rPr>
            </w:pPr>
          </w:p>
        </w:tc>
        <w:tc>
          <w:tcPr>
            <w:tcW w:w="918" w:type="dxa"/>
            <w:noWrap w:val="0"/>
            <w:vAlign w:val="center"/>
          </w:tcPr>
          <w:p w14:paraId="207C72C1">
            <w:pPr>
              <w:jc w:val="center"/>
              <w:rPr>
                <w:rFonts w:hint="eastAsia" w:ascii="宋体" w:hAnsi="宋体" w:eastAsia="宋体" w:cs="宋体"/>
              </w:rPr>
            </w:pPr>
          </w:p>
        </w:tc>
      </w:tr>
      <w:tr w14:paraId="3B4A42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5" w:hRule="atLeast"/>
          <w:jc w:val="center"/>
        </w:trPr>
        <w:tc>
          <w:tcPr>
            <w:tcW w:w="919" w:type="dxa"/>
            <w:noWrap w:val="0"/>
            <w:vAlign w:val="center"/>
          </w:tcPr>
          <w:p w14:paraId="06F0286A">
            <w:pPr>
              <w:jc w:val="center"/>
              <w:rPr>
                <w:rFonts w:hint="eastAsia" w:ascii="宋体" w:hAnsi="宋体" w:eastAsia="宋体" w:cs="宋体"/>
                <w:lang w:val="en-US" w:eastAsia="zh-CN"/>
              </w:rPr>
            </w:pPr>
          </w:p>
        </w:tc>
        <w:tc>
          <w:tcPr>
            <w:tcW w:w="1652" w:type="dxa"/>
            <w:noWrap w:val="0"/>
            <w:vAlign w:val="center"/>
          </w:tcPr>
          <w:p w14:paraId="28045BC0">
            <w:pPr>
              <w:jc w:val="center"/>
              <w:rPr>
                <w:rFonts w:hint="default" w:ascii="宋体" w:hAnsi="宋体" w:eastAsia="宋体" w:cs="宋体"/>
                <w:lang w:val="en-US" w:eastAsia="zh-CN"/>
              </w:rPr>
            </w:pPr>
          </w:p>
        </w:tc>
        <w:tc>
          <w:tcPr>
            <w:tcW w:w="1226" w:type="dxa"/>
            <w:noWrap w:val="0"/>
            <w:vAlign w:val="center"/>
          </w:tcPr>
          <w:p w14:paraId="46262090">
            <w:pPr>
              <w:jc w:val="center"/>
              <w:rPr>
                <w:rFonts w:hint="eastAsia" w:ascii="宋体" w:hAnsi="宋体" w:eastAsia="宋体" w:cs="宋体"/>
              </w:rPr>
            </w:pPr>
          </w:p>
        </w:tc>
        <w:tc>
          <w:tcPr>
            <w:tcW w:w="675" w:type="dxa"/>
            <w:noWrap w:val="0"/>
            <w:vAlign w:val="center"/>
          </w:tcPr>
          <w:p w14:paraId="3A98D66E">
            <w:pPr>
              <w:jc w:val="center"/>
              <w:rPr>
                <w:rFonts w:hint="eastAsia" w:ascii="宋体" w:hAnsi="宋体" w:eastAsia="宋体" w:cs="宋体"/>
                <w:lang w:val="en-US" w:eastAsia="zh-CN"/>
              </w:rPr>
            </w:pPr>
          </w:p>
        </w:tc>
        <w:tc>
          <w:tcPr>
            <w:tcW w:w="983" w:type="dxa"/>
            <w:noWrap w:val="0"/>
            <w:vAlign w:val="center"/>
          </w:tcPr>
          <w:p w14:paraId="190A21CC">
            <w:pPr>
              <w:jc w:val="center"/>
              <w:rPr>
                <w:rFonts w:hint="default" w:ascii="宋体" w:hAnsi="宋体" w:eastAsia="宋体" w:cs="宋体"/>
                <w:lang w:val="en-US" w:eastAsia="zh-CN"/>
              </w:rPr>
            </w:pPr>
          </w:p>
        </w:tc>
        <w:tc>
          <w:tcPr>
            <w:tcW w:w="1134" w:type="dxa"/>
            <w:noWrap w:val="0"/>
            <w:vAlign w:val="center"/>
          </w:tcPr>
          <w:p w14:paraId="14315AA1">
            <w:pPr>
              <w:jc w:val="center"/>
              <w:rPr>
                <w:rFonts w:hint="default" w:ascii="宋体" w:hAnsi="宋体" w:eastAsia="宋体" w:cs="宋体"/>
                <w:color w:val="000000"/>
                <w:lang w:val="en-US" w:eastAsia="zh-CN"/>
              </w:rPr>
            </w:pPr>
          </w:p>
        </w:tc>
        <w:tc>
          <w:tcPr>
            <w:tcW w:w="1251" w:type="dxa"/>
            <w:noWrap w:val="0"/>
            <w:vAlign w:val="center"/>
          </w:tcPr>
          <w:p w14:paraId="0206BE95">
            <w:pPr>
              <w:jc w:val="center"/>
              <w:rPr>
                <w:rFonts w:hint="eastAsia" w:ascii="宋体" w:hAnsi="宋体" w:eastAsia="宋体" w:cs="宋体"/>
                <w:color w:val="000000"/>
              </w:rPr>
            </w:pPr>
          </w:p>
        </w:tc>
        <w:tc>
          <w:tcPr>
            <w:tcW w:w="1016" w:type="dxa"/>
            <w:noWrap w:val="0"/>
            <w:vAlign w:val="center"/>
          </w:tcPr>
          <w:p w14:paraId="704FC9E7">
            <w:pPr>
              <w:jc w:val="center"/>
              <w:rPr>
                <w:rFonts w:hint="eastAsia" w:ascii="宋体" w:hAnsi="宋体" w:eastAsia="宋体" w:cs="宋体"/>
              </w:rPr>
            </w:pPr>
          </w:p>
        </w:tc>
        <w:tc>
          <w:tcPr>
            <w:tcW w:w="918" w:type="dxa"/>
            <w:noWrap w:val="0"/>
            <w:vAlign w:val="center"/>
          </w:tcPr>
          <w:p w14:paraId="0E1B5330">
            <w:pPr>
              <w:jc w:val="center"/>
              <w:rPr>
                <w:rFonts w:hint="eastAsia" w:ascii="宋体" w:hAnsi="宋体" w:eastAsia="宋体" w:cs="宋体"/>
              </w:rPr>
            </w:pPr>
          </w:p>
        </w:tc>
      </w:tr>
      <w:tr w14:paraId="51C4E0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1" w:hRule="atLeast"/>
          <w:jc w:val="center"/>
        </w:trPr>
        <w:tc>
          <w:tcPr>
            <w:tcW w:w="919" w:type="dxa"/>
            <w:noWrap w:val="0"/>
            <w:vAlign w:val="center"/>
          </w:tcPr>
          <w:p w14:paraId="092F2FF2">
            <w:pPr>
              <w:jc w:val="center"/>
              <w:rPr>
                <w:rFonts w:hint="eastAsia" w:ascii="宋体" w:hAnsi="宋体" w:eastAsia="宋体" w:cs="宋体"/>
                <w:lang w:val="en-US" w:eastAsia="zh-CN"/>
              </w:rPr>
            </w:pPr>
          </w:p>
        </w:tc>
        <w:tc>
          <w:tcPr>
            <w:tcW w:w="1652" w:type="dxa"/>
            <w:noWrap w:val="0"/>
            <w:vAlign w:val="center"/>
          </w:tcPr>
          <w:p w14:paraId="25E2659B">
            <w:pPr>
              <w:jc w:val="center"/>
              <w:rPr>
                <w:rFonts w:hint="default" w:ascii="宋体" w:hAnsi="宋体" w:eastAsia="宋体" w:cs="宋体"/>
                <w:lang w:val="en-US" w:eastAsia="zh-CN"/>
              </w:rPr>
            </w:pPr>
          </w:p>
        </w:tc>
        <w:tc>
          <w:tcPr>
            <w:tcW w:w="1226" w:type="dxa"/>
            <w:noWrap w:val="0"/>
            <w:vAlign w:val="center"/>
          </w:tcPr>
          <w:p w14:paraId="4172ADDA">
            <w:pPr>
              <w:jc w:val="center"/>
              <w:rPr>
                <w:rFonts w:hint="eastAsia" w:ascii="宋体" w:hAnsi="宋体" w:eastAsia="宋体" w:cs="宋体"/>
              </w:rPr>
            </w:pPr>
          </w:p>
        </w:tc>
        <w:tc>
          <w:tcPr>
            <w:tcW w:w="675" w:type="dxa"/>
            <w:noWrap w:val="0"/>
            <w:vAlign w:val="center"/>
          </w:tcPr>
          <w:p w14:paraId="3733AE10">
            <w:pPr>
              <w:jc w:val="center"/>
              <w:rPr>
                <w:rFonts w:hint="eastAsia" w:ascii="宋体" w:hAnsi="宋体" w:eastAsia="宋体" w:cs="宋体"/>
                <w:lang w:val="en-US" w:eastAsia="zh-CN"/>
              </w:rPr>
            </w:pPr>
          </w:p>
        </w:tc>
        <w:tc>
          <w:tcPr>
            <w:tcW w:w="983" w:type="dxa"/>
            <w:noWrap w:val="0"/>
            <w:vAlign w:val="center"/>
          </w:tcPr>
          <w:p w14:paraId="3AEBBDA6">
            <w:pPr>
              <w:jc w:val="center"/>
              <w:rPr>
                <w:rFonts w:hint="eastAsia" w:ascii="宋体" w:hAnsi="宋体" w:eastAsia="宋体" w:cs="宋体"/>
                <w:lang w:val="en-US" w:eastAsia="zh-CN"/>
              </w:rPr>
            </w:pPr>
          </w:p>
        </w:tc>
        <w:tc>
          <w:tcPr>
            <w:tcW w:w="1134" w:type="dxa"/>
            <w:noWrap w:val="0"/>
            <w:vAlign w:val="center"/>
          </w:tcPr>
          <w:p w14:paraId="7F45A3EB">
            <w:pPr>
              <w:jc w:val="center"/>
              <w:rPr>
                <w:rFonts w:hint="default" w:ascii="宋体" w:hAnsi="宋体" w:eastAsia="宋体" w:cs="宋体"/>
                <w:color w:val="000000"/>
                <w:lang w:val="en-US" w:eastAsia="zh-CN"/>
              </w:rPr>
            </w:pPr>
          </w:p>
        </w:tc>
        <w:tc>
          <w:tcPr>
            <w:tcW w:w="1251" w:type="dxa"/>
            <w:noWrap w:val="0"/>
            <w:vAlign w:val="center"/>
          </w:tcPr>
          <w:p w14:paraId="6ACC3C94">
            <w:pPr>
              <w:jc w:val="center"/>
              <w:rPr>
                <w:rFonts w:hint="eastAsia" w:ascii="宋体" w:hAnsi="宋体" w:eastAsia="宋体" w:cs="宋体"/>
                <w:color w:val="000000"/>
              </w:rPr>
            </w:pPr>
          </w:p>
        </w:tc>
        <w:tc>
          <w:tcPr>
            <w:tcW w:w="1016" w:type="dxa"/>
            <w:noWrap w:val="0"/>
            <w:vAlign w:val="center"/>
          </w:tcPr>
          <w:p w14:paraId="360A2AF0">
            <w:pPr>
              <w:jc w:val="center"/>
              <w:rPr>
                <w:rFonts w:hint="eastAsia" w:ascii="宋体" w:hAnsi="宋体" w:eastAsia="宋体" w:cs="宋体"/>
              </w:rPr>
            </w:pPr>
          </w:p>
        </w:tc>
        <w:tc>
          <w:tcPr>
            <w:tcW w:w="918" w:type="dxa"/>
            <w:noWrap w:val="0"/>
            <w:vAlign w:val="center"/>
          </w:tcPr>
          <w:p w14:paraId="6629C87E">
            <w:pPr>
              <w:jc w:val="center"/>
              <w:rPr>
                <w:rFonts w:hint="eastAsia" w:ascii="宋体" w:hAnsi="宋体" w:eastAsia="宋体" w:cs="宋体"/>
              </w:rPr>
            </w:pPr>
          </w:p>
        </w:tc>
      </w:tr>
      <w:tr w14:paraId="0BD235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06" w:hRule="atLeast"/>
          <w:jc w:val="center"/>
        </w:trPr>
        <w:tc>
          <w:tcPr>
            <w:tcW w:w="919" w:type="dxa"/>
            <w:noWrap w:val="0"/>
            <w:vAlign w:val="center"/>
          </w:tcPr>
          <w:p w14:paraId="150CDED6">
            <w:pPr>
              <w:jc w:val="center"/>
              <w:rPr>
                <w:rFonts w:hint="eastAsia" w:ascii="宋体" w:hAnsi="宋体" w:eastAsia="宋体" w:cs="宋体"/>
                <w:lang w:val="en-US" w:eastAsia="zh-CN"/>
              </w:rPr>
            </w:pPr>
          </w:p>
        </w:tc>
        <w:tc>
          <w:tcPr>
            <w:tcW w:w="1652" w:type="dxa"/>
            <w:noWrap w:val="0"/>
            <w:vAlign w:val="center"/>
          </w:tcPr>
          <w:p w14:paraId="134F4B93">
            <w:pPr>
              <w:jc w:val="center"/>
              <w:rPr>
                <w:rFonts w:hint="eastAsia" w:ascii="宋体" w:hAnsi="宋体" w:eastAsia="宋体" w:cs="宋体"/>
                <w:lang w:val="en-US" w:eastAsia="zh-CN"/>
              </w:rPr>
            </w:pPr>
          </w:p>
        </w:tc>
        <w:tc>
          <w:tcPr>
            <w:tcW w:w="1226" w:type="dxa"/>
            <w:noWrap w:val="0"/>
            <w:vAlign w:val="center"/>
          </w:tcPr>
          <w:p w14:paraId="2A4F64F6">
            <w:pPr>
              <w:jc w:val="center"/>
              <w:rPr>
                <w:rFonts w:hint="eastAsia" w:ascii="宋体" w:hAnsi="宋体" w:eastAsia="宋体" w:cs="宋体"/>
              </w:rPr>
            </w:pPr>
          </w:p>
        </w:tc>
        <w:tc>
          <w:tcPr>
            <w:tcW w:w="675" w:type="dxa"/>
            <w:noWrap w:val="0"/>
            <w:vAlign w:val="center"/>
          </w:tcPr>
          <w:p w14:paraId="63F11D4F">
            <w:pPr>
              <w:jc w:val="center"/>
              <w:rPr>
                <w:rFonts w:hint="eastAsia" w:ascii="宋体" w:hAnsi="宋体" w:eastAsia="宋体" w:cs="宋体"/>
                <w:lang w:val="en-US" w:eastAsia="zh-CN"/>
              </w:rPr>
            </w:pPr>
          </w:p>
        </w:tc>
        <w:tc>
          <w:tcPr>
            <w:tcW w:w="983" w:type="dxa"/>
            <w:noWrap w:val="0"/>
            <w:vAlign w:val="center"/>
          </w:tcPr>
          <w:p w14:paraId="68822B23">
            <w:pPr>
              <w:jc w:val="center"/>
              <w:rPr>
                <w:rFonts w:hint="eastAsia" w:ascii="宋体" w:hAnsi="宋体" w:eastAsia="宋体" w:cs="宋体"/>
                <w:lang w:val="en-US" w:eastAsia="zh-CN"/>
              </w:rPr>
            </w:pPr>
          </w:p>
        </w:tc>
        <w:tc>
          <w:tcPr>
            <w:tcW w:w="1134" w:type="dxa"/>
            <w:noWrap w:val="0"/>
            <w:vAlign w:val="center"/>
          </w:tcPr>
          <w:p w14:paraId="36F00C7F">
            <w:pPr>
              <w:jc w:val="center"/>
              <w:rPr>
                <w:rFonts w:hint="default" w:ascii="宋体" w:hAnsi="宋体" w:eastAsia="宋体" w:cs="宋体"/>
                <w:color w:val="000000"/>
                <w:lang w:val="en-US" w:eastAsia="zh-CN"/>
              </w:rPr>
            </w:pPr>
          </w:p>
        </w:tc>
        <w:tc>
          <w:tcPr>
            <w:tcW w:w="1251" w:type="dxa"/>
            <w:noWrap w:val="0"/>
            <w:vAlign w:val="center"/>
          </w:tcPr>
          <w:p w14:paraId="59A613CF">
            <w:pPr>
              <w:jc w:val="center"/>
              <w:rPr>
                <w:rFonts w:hint="eastAsia" w:ascii="宋体" w:hAnsi="宋体" w:eastAsia="宋体" w:cs="宋体"/>
                <w:color w:val="000000"/>
              </w:rPr>
            </w:pPr>
          </w:p>
        </w:tc>
        <w:tc>
          <w:tcPr>
            <w:tcW w:w="1016" w:type="dxa"/>
            <w:noWrap w:val="0"/>
            <w:vAlign w:val="center"/>
          </w:tcPr>
          <w:p w14:paraId="596CF1CE">
            <w:pPr>
              <w:jc w:val="center"/>
              <w:rPr>
                <w:rFonts w:hint="eastAsia" w:ascii="宋体" w:hAnsi="宋体" w:eastAsia="宋体" w:cs="宋体"/>
              </w:rPr>
            </w:pPr>
          </w:p>
        </w:tc>
        <w:tc>
          <w:tcPr>
            <w:tcW w:w="918" w:type="dxa"/>
            <w:noWrap w:val="0"/>
            <w:vAlign w:val="center"/>
          </w:tcPr>
          <w:p w14:paraId="548C2126">
            <w:pPr>
              <w:jc w:val="center"/>
              <w:rPr>
                <w:rFonts w:hint="eastAsia" w:ascii="宋体" w:hAnsi="宋体" w:eastAsia="宋体" w:cs="宋体"/>
              </w:rPr>
            </w:pPr>
          </w:p>
        </w:tc>
      </w:tr>
      <w:tr w14:paraId="5DF2A7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6" w:hRule="atLeast"/>
          <w:jc w:val="center"/>
        </w:trPr>
        <w:tc>
          <w:tcPr>
            <w:tcW w:w="919" w:type="dxa"/>
            <w:noWrap w:val="0"/>
            <w:vAlign w:val="center"/>
          </w:tcPr>
          <w:p w14:paraId="492A206A">
            <w:pPr>
              <w:jc w:val="center"/>
              <w:rPr>
                <w:rFonts w:hint="eastAsia" w:ascii="宋体" w:hAnsi="宋体" w:eastAsia="宋体" w:cs="宋体"/>
                <w:lang w:val="en-US" w:eastAsia="zh-CN"/>
              </w:rPr>
            </w:pPr>
          </w:p>
        </w:tc>
        <w:tc>
          <w:tcPr>
            <w:tcW w:w="1652" w:type="dxa"/>
            <w:noWrap w:val="0"/>
            <w:vAlign w:val="center"/>
          </w:tcPr>
          <w:p w14:paraId="76867BB1">
            <w:pPr>
              <w:jc w:val="center"/>
              <w:rPr>
                <w:rFonts w:hint="eastAsia" w:ascii="宋体" w:hAnsi="宋体" w:eastAsia="宋体" w:cs="宋体"/>
                <w:lang w:val="en-US" w:eastAsia="zh-CN"/>
              </w:rPr>
            </w:pPr>
          </w:p>
        </w:tc>
        <w:tc>
          <w:tcPr>
            <w:tcW w:w="1226" w:type="dxa"/>
            <w:noWrap w:val="0"/>
            <w:vAlign w:val="center"/>
          </w:tcPr>
          <w:p w14:paraId="6FCA6120">
            <w:pPr>
              <w:jc w:val="center"/>
              <w:rPr>
                <w:rFonts w:hint="default" w:ascii="宋体" w:hAnsi="宋体" w:eastAsia="宋体" w:cs="宋体"/>
                <w:lang w:val="en-US" w:eastAsia="zh-CN"/>
              </w:rPr>
            </w:pPr>
          </w:p>
        </w:tc>
        <w:tc>
          <w:tcPr>
            <w:tcW w:w="675" w:type="dxa"/>
            <w:noWrap w:val="0"/>
            <w:vAlign w:val="center"/>
          </w:tcPr>
          <w:p w14:paraId="312D00FE">
            <w:pPr>
              <w:jc w:val="center"/>
              <w:rPr>
                <w:rFonts w:hint="eastAsia" w:ascii="宋体" w:hAnsi="宋体" w:eastAsia="宋体" w:cs="宋体"/>
                <w:lang w:val="en-US" w:eastAsia="zh-CN"/>
              </w:rPr>
            </w:pPr>
          </w:p>
        </w:tc>
        <w:tc>
          <w:tcPr>
            <w:tcW w:w="983" w:type="dxa"/>
            <w:noWrap w:val="0"/>
            <w:vAlign w:val="center"/>
          </w:tcPr>
          <w:p w14:paraId="053D9F48">
            <w:pPr>
              <w:jc w:val="center"/>
              <w:rPr>
                <w:rFonts w:hint="eastAsia" w:ascii="宋体" w:hAnsi="宋体" w:eastAsia="宋体" w:cs="宋体"/>
                <w:lang w:val="en-US" w:eastAsia="zh-CN"/>
              </w:rPr>
            </w:pPr>
          </w:p>
        </w:tc>
        <w:tc>
          <w:tcPr>
            <w:tcW w:w="1134" w:type="dxa"/>
            <w:noWrap w:val="0"/>
            <w:vAlign w:val="center"/>
          </w:tcPr>
          <w:p w14:paraId="79CB5447">
            <w:pPr>
              <w:jc w:val="center"/>
              <w:rPr>
                <w:rFonts w:hint="default" w:ascii="宋体" w:hAnsi="宋体" w:eastAsia="宋体" w:cs="宋体"/>
                <w:color w:val="000000"/>
                <w:lang w:val="en-US" w:eastAsia="zh-CN"/>
              </w:rPr>
            </w:pPr>
          </w:p>
        </w:tc>
        <w:tc>
          <w:tcPr>
            <w:tcW w:w="1251" w:type="dxa"/>
            <w:noWrap w:val="0"/>
            <w:vAlign w:val="center"/>
          </w:tcPr>
          <w:p w14:paraId="323A7D1A">
            <w:pPr>
              <w:jc w:val="center"/>
              <w:rPr>
                <w:rFonts w:hint="eastAsia" w:ascii="宋体" w:hAnsi="宋体" w:eastAsia="宋体" w:cs="宋体"/>
                <w:color w:val="000000"/>
              </w:rPr>
            </w:pPr>
          </w:p>
        </w:tc>
        <w:tc>
          <w:tcPr>
            <w:tcW w:w="1016" w:type="dxa"/>
            <w:noWrap w:val="0"/>
            <w:vAlign w:val="center"/>
          </w:tcPr>
          <w:p w14:paraId="4D3B6F13">
            <w:pPr>
              <w:jc w:val="center"/>
              <w:rPr>
                <w:rFonts w:hint="eastAsia" w:ascii="宋体" w:hAnsi="宋体" w:eastAsia="宋体" w:cs="宋体"/>
              </w:rPr>
            </w:pPr>
          </w:p>
        </w:tc>
        <w:tc>
          <w:tcPr>
            <w:tcW w:w="918" w:type="dxa"/>
            <w:noWrap w:val="0"/>
            <w:vAlign w:val="center"/>
          </w:tcPr>
          <w:p w14:paraId="2856857D">
            <w:pPr>
              <w:jc w:val="center"/>
              <w:rPr>
                <w:rFonts w:hint="eastAsia" w:ascii="宋体" w:hAnsi="宋体" w:eastAsia="宋体" w:cs="宋体"/>
              </w:rPr>
            </w:pPr>
          </w:p>
        </w:tc>
      </w:tr>
      <w:tr w14:paraId="2B68CA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06" w:hRule="atLeast"/>
          <w:jc w:val="center"/>
        </w:trPr>
        <w:tc>
          <w:tcPr>
            <w:tcW w:w="919" w:type="dxa"/>
            <w:noWrap w:val="0"/>
            <w:vAlign w:val="center"/>
          </w:tcPr>
          <w:p w14:paraId="02ED9220">
            <w:pPr>
              <w:jc w:val="center"/>
              <w:rPr>
                <w:rFonts w:hint="eastAsia" w:ascii="宋体" w:hAnsi="宋体" w:eastAsia="宋体" w:cs="宋体"/>
                <w:lang w:val="en-US" w:eastAsia="zh-CN"/>
              </w:rPr>
            </w:pPr>
          </w:p>
        </w:tc>
        <w:tc>
          <w:tcPr>
            <w:tcW w:w="1652" w:type="dxa"/>
            <w:noWrap w:val="0"/>
            <w:vAlign w:val="center"/>
          </w:tcPr>
          <w:p w14:paraId="5FD8CD07">
            <w:pPr>
              <w:jc w:val="center"/>
              <w:rPr>
                <w:rFonts w:hint="eastAsia" w:ascii="宋体" w:hAnsi="宋体" w:eastAsia="宋体" w:cs="宋体"/>
                <w:lang w:val="en-US" w:eastAsia="zh-CN"/>
              </w:rPr>
            </w:pPr>
          </w:p>
        </w:tc>
        <w:tc>
          <w:tcPr>
            <w:tcW w:w="1226" w:type="dxa"/>
            <w:noWrap w:val="0"/>
            <w:vAlign w:val="center"/>
          </w:tcPr>
          <w:p w14:paraId="4EE02301">
            <w:pPr>
              <w:jc w:val="center"/>
              <w:rPr>
                <w:rFonts w:hint="eastAsia" w:ascii="宋体" w:hAnsi="宋体" w:eastAsia="宋体" w:cs="宋体"/>
              </w:rPr>
            </w:pPr>
          </w:p>
        </w:tc>
        <w:tc>
          <w:tcPr>
            <w:tcW w:w="675" w:type="dxa"/>
            <w:noWrap w:val="0"/>
            <w:vAlign w:val="center"/>
          </w:tcPr>
          <w:p w14:paraId="21F718BD">
            <w:pPr>
              <w:jc w:val="center"/>
              <w:rPr>
                <w:rFonts w:hint="eastAsia" w:ascii="宋体" w:hAnsi="宋体" w:eastAsia="宋体" w:cs="宋体"/>
                <w:lang w:val="en-US" w:eastAsia="zh-CN"/>
              </w:rPr>
            </w:pPr>
          </w:p>
        </w:tc>
        <w:tc>
          <w:tcPr>
            <w:tcW w:w="983" w:type="dxa"/>
            <w:noWrap w:val="0"/>
            <w:vAlign w:val="center"/>
          </w:tcPr>
          <w:p w14:paraId="307D2F35">
            <w:pPr>
              <w:jc w:val="center"/>
              <w:rPr>
                <w:rFonts w:hint="eastAsia" w:ascii="宋体" w:hAnsi="宋体" w:eastAsia="宋体" w:cs="宋体"/>
                <w:lang w:val="en-US" w:eastAsia="zh-CN"/>
              </w:rPr>
            </w:pPr>
          </w:p>
        </w:tc>
        <w:tc>
          <w:tcPr>
            <w:tcW w:w="1134" w:type="dxa"/>
            <w:noWrap w:val="0"/>
            <w:vAlign w:val="center"/>
          </w:tcPr>
          <w:p w14:paraId="5A9A10B4">
            <w:pPr>
              <w:jc w:val="center"/>
              <w:rPr>
                <w:rFonts w:hint="default" w:ascii="宋体" w:hAnsi="宋体" w:eastAsia="宋体" w:cs="宋体"/>
                <w:color w:val="000000"/>
                <w:lang w:val="en-US" w:eastAsia="zh-CN"/>
              </w:rPr>
            </w:pPr>
          </w:p>
        </w:tc>
        <w:tc>
          <w:tcPr>
            <w:tcW w:w="1251" w:type="dxa"/>
            <w:noWrap w:val="0"/>
            <w:vAlign w:val="center"/>
          </w:tcPr>
          <w:p w14:paraId="78580833">
            <w:pPr>
              <w:jc w:val="center"/>
              <w:rPr>
                <w:rFonts w:hint="eastAsia" w:ascii="宋体" w:hAnsi="宋体" w:eastAsia="宋体" w:cs="宋体"/>
                <w:color w:val="000000"/>
              </w:rPr>
            </w:pPr>
          </w:p>
        </w:tc>
        <w:tc>
          <w:tcPr>
            <w:tcW w:w="1016" w:type="dxa"/>
            <w:noWrap w:val="0"/>
            <w:vAlign w:val="center"/>
          </w:tcPr>
          <w:p w14:paraId="6C0E19C9">
            <w:pPr>
              <w:jc w:val="center"/>
              <w:rPr>
                <w:rFonts w:hint="eastAsia" w:ascii="宋体" w:hAnsi="宋体" w:eastAsia="宋体" w:cs="宋体"/>
              </w:rPr>
            </w:pPr>
          </w:p>
        </w:tc>
        <w:tc>
          <w:tcPr>
            <w:tcW w:w="918" w:type="dxa"/>
            <w:noWrap w:val="0"/>
            <w:vAlign w:val="center"/>
          </w:tcPr>
          <w:p w14:paraId="0306E127">
            <w:pPr>
              <w:jc w:val="center"/>
              <w:rPr>
                <w:rFonts w:hint="eastAsia" w:ascii="宋体" w:hAnsi="宋体" w:eastAsia="宋体" w:cs="宋体"/>
              </w:rPr>
            </w:pPr>
          </w:p>
        </w:tc>
      </w:tr>
      <w:tr w14:paraId="7F514D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06" w:hRule="atLeast"/>
          <w:jc w:val="center"/>
        </w:trPr>
        <w:tc>
          <w:tcPr>
            <w:tcW w:w="919" w:type="dxa"/>
            <w:noWrap w:val="0"/>
            <w:vAlign w:val="center"/>
          </w:tcPr>
          <w:p w14:paraId="115E912E">
            <w:pPr>
              <w:jc w:val="center"/>
              <w:rPr>
                <w:rFonts w:hint="eastAsia" w:ascii="宋体" w:hAnsi="宋体" w:eastAsia="宋体" w:cs="宋体"/>
              </w:rPr>
            </w:pPr>
          </w:p>
        </w:tc>
        <w:tc>
          <w:tcPr>
            <w:tcW w:w="1652" w:type="dxa"/>
            <w:noWrap w:val="0"/>
            <w:vAlign w:val="center"/>
          </w:tcPr>
          <w:p w14:paraId="5F653B71">
            <w:pPr>
              <w:jc w:val="center"/>
              <w:rPr>
                <w:rFonts w:hint="eastAsia" w:ascii="宋体" w:hAnsi="宋体" w:eastAsia="宋体" w:cs="宋体"/>
              </w:rPr>
            </w:pPr>
          </w:p>
        </w:tc>
        <w:tc>
          <w:tcPr>
            <w:tcW w:w="1226" w:type="dxa"/>
            <w:noWrap w:val="0"/>
            <w:vAlign w:val="center"/>
          </w:tcPr>
          <w:p w14:paraId="36F2E61F">
            <w:pPr>
              <w:jc w:val="center"/>
              <w:rPr>
                <w:rFonts w:hint="eastAsia" w:ascii="宋体" w:hAnsi="宋体" w:eastAsia="宋体" w:cs="宋体"/>
              </w:rPr>
            </w:pPr>
          </w:p>
        </w:tc>
        <w:tc>
          <w:tcPr>
            <w:tcW w:w="675" w:type="dxa"/>
            <w:noWrap w:val="0"/>
            <w:vAlign w:val="center"/>
          </w:tcPr>
          <w:p w14:paraId="1F76BF1C">
            <w:pPr>
              <w:jc w:val="center"/>
              <w:rPr>
                <w:rFonts w:hint="eastAsia" w:ascii="宋体" w:hAnsi="宋体" w:eastAsia="宋体" w:cs="宋体"/>
              </w:rPr>
            </w:pPr>
          </w:p>
        </w:tc>
        <w:tc>
          <w:tcPr>
            <w:tcW w:w="983" w:type="dxa"/>
            <w:noWrap w:val="0"/>
            <w:vAlign w:val="center"/>
          </w:tcPr>
          <w:p w14:paraId="251296D1">
            <w:pPr>
              <w:jc w:val="center"/>
              <w:rPr>
                <w:rFonts w:hint="eastAsia" w:ascii="宋体" w:hAnsi="宋体" w:eastAsia="宋体" w:cs="宋体"/>
              </w:rPr>
            </w:pPr>
          </w:p>
        </w:tc>
        <w:tc>
          <w:tcPr>
            <w:tcW w:w="1134" w:type="dxa"/>
            <w:noWrap w:val="0"/>
            <w:vAlign w:val="center"/>
          </w:tcPr>
          <w:p w14:paraId="20190AE0">
            <w:pPr>
              <w:jc w:val="center"/>
              <w:rPr>
                <w:rFonts w:hint="eastAsia" w:ascii="宋体" w:hAnsi="宋体" w:eastAsia="宋体" w:cs="宋体"/>
                <w:color w:val="000000"/>
              </w:rPr>
            </w:pPr>
          </w:p>
        </w:tc>
        <w:tc>
          <w:tcPr>
            <w:tcW w:w="1251" w:type="dxa"/>
            <w:noWrap w:val="0"/>
            <w:vAlign w:val="center"/>
          </w:tcPr>
          <w:p w14:paraId="1A9E9847">
            <w:pPr>
              <w:jc w:val="center"/>
              <w:rPr>
                <w:rFonts w:hint="eastAsia" w:ascii="宋体" w:hAnsi="宋体" w:eastAsia="宋体" w:cs="宋体"/>
                <w:color w:val="000000"/>
              </w:rPr>
            </w:pPr>
          </w:p>
        </w:tc>
        <w:tc>
          <w:tcPr>
            <w:tcW w:w="1016" w:type="dxa"/>
            <w:noWrap w:val="0"/>
            <w:vAlign w:val="center"/>
          </w:tcPr>
          <w:p w14:paraId="6A826427">
            <w:pPr>
              <w:jc w:val="center"/>
              <w:rPr>
                <w:rFonts w:hint="eastAsia" w:ascii="宋体" w:hAnsi="宋体" w:eastAsia="宋体" w:cs="宋体"/>
              </w:rPr>
            </w:pPr>
          </w:p>
        </w:tc>
        <w:tc>
          <w:tcPr>
            <w:tcW w:w="918" w:type="dxa"/>
            <w:noWrap w:val="0"/>
            <w:vAlign w:val="center"/>
          </w:tcPr>
          <w:p w14:paraId="14365F95">
            <w:pPr>
              <w:jc w:val="center"/>
              <w:rPr>
                <w:rFonts w:hint="eastAsia" w:ascii="宋体" w:hAnsi="宋体" w:eastAsia="宋体" w:cs="宋体"/>
              </w:rPr>
            </w:pPr>
          </w:p>
        </w:tc>
      </w:tr>
      <w:tr w14:paraId="62A280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06" w:hRule="atLeast"/>
          <w:jc w:val="center"/>
        </w:trPr>
        <w:tc>
          <w:tcPr>
            <w:tcW w:w="919" w:type="dxa"/>
            <w:noWrap w:val="0"/>
            <w:vAlign w:val="center"/>
          </w:tcPr>
          <w:p w14:paraId="006CBFC2">
            <w:pPr>
              <w:jc w:val="center"/>
              <w:rPr>
                <w:rFonts w:hint="eastAsia" w:ascii="宋体" w:hAnsi="宋体" w:eastAsia="宋体" w:cs="宋体"/>
              </w:rPr>
            </w:pPr>
          </w:p>
        </w:tc>
        <w:tc>
          <w:tcPr>
            <w:tcW w:w="1652" w:type="dxa"/>
            <w:noWrap w:val="0"/>
            <w:vAlign w:val="center"/>
          </w:tcPr>
          <w:p w14:paraId="4846A87B">
            <w:pPr>
              <w:jc w:val="center"/>
              <w:rPr>
                <w:rFonts w:hint="eastAsia" w:ascii="宋体" w:hAnsi="宋体" w:eastAsia="宋体" w:cs="宋体"/>
              </w:rPr>
            </w:pPr>
          </w:p>
        </w:tc>
        <w:tc>
          <w:tcPr>
            <w:tcW w:w="1226" w:type="dxa"/>
            <w:noWrap w:val="0"/>
            <w:vAlign w:val="center"/>
          </w:tcPr>
          <w:p w14:paraId="10A830CE">
            <w:pPr>
              <w:jc w:val="center"/>
              <w:rPr>
                <w:rFonts w:hint="eastAsia" w:ascii="宋体" w:hAnsi="宋体" w:eastAsia="宋体" w:cs="宋体"/>
              </w:rPr>
            </w:pPr>
          </w:p>
        </w:tc>
        <w:tc>
          <w:tcPr>
            <w:tcW w:w="675" w:type="dxa"/>
            <w:noWrap w:val="0"/>
            <w:vAlign w:val="center"/>
          </w:tcPr>
          <w:p w14:paraId="2CA82E50">
            <w:pPr>
              <w:jc w:val="center"/>
              <w:rPr>
                <w:rFonts w:hint="eastAsia" w:ascii="宋体" w:hAnsi="宋体" w:eastAsia="宋体" w:cs="宋体"/>
              </w:rPr>
            </w:pPr>
          </w:p>
        </w:tc>
        <w:tc>
          <w:tcPr>
            <w:tcW w:w="983" w:type="dxa"/>
            <w:noWrap w:val="0"/>
            <w:vAlign w:val="center"/>
          </w:tcPr>
          <w:p w14:paraId="0414F89D">
            <w:pPr>
              <w:jc w:val="center"/>
              <w:rPr>
                <w:rFonts w:hint="eastAsia" w:ascii="宋体" w:hAnsi="宋体" w:eastAsia="宋体" w:cs="宋体"/>
              </w:rPr>
            </w:pPr>
          </w:p>
        </w:tc>
        <w:tc>
          <w:tcPr>
            <w:tcW w:w="1134" w:type="dxa"/>
            <w:noWrap w:val="0"/>
            <w:vAlign w:val="center"/>
          </w:tcPr>
          <w:p w14:paraId="18D89680">
            <w:pPr>
              <w:jc w:val="center"/>
              <w:rPr>
                <w:rFonts w:hint="eastAsia" w:ascii="宋体" w:hAnsi="宋体" w:eastAsia="宋体" w:cs="宋体"/>
                <w:color w:val="000000"/>
              </w:rPr>
            </w:pPr>
          </w:p>
        </w:tc>
        <w:tc>
          <w:tcPr>
            <w:tcW w:w="1251" w:type="dxa"/>
            <w:noWrap w:val="0"/>
            <w:vAlign w:val="center"/>
          </w:tcPr>
          <w:p w14:paraId="35D5F363">
            <w:pPr>
              <w:jc w:val="center"/>
              <w:rPr>
                <w:rFonts w:hint="eastAsia" w:ascii="宋体" w:hAnsi="宋体" w:eastAsia="宋体" w:cs="宋体"/>
                <w:color w:val="000000"/>
              </w:rPr>
            </w:pPr>
          </w:p>
        </w:tc>
        <w:tc>
          <w:tcPr>
            <w:tcW w:w="1016" w:type="dxa"/>
            <w:noWrap w:val="0"/>
            <w:vAlign w:val="center"/>
          </w:tcPr>
          <w:p w14:paraId="09E37886">
            <w:pPr>
              <w:jc w:val="center"/>
              <w:rPr>
                <w:rFonts w:hint="eastAsia" w:ascii="宋体" w:hAnsi="宋体" w:eastAsia="宋体" w:cs="宋体"/>
              </w:rPr>
            </w:pPr>
          </w:p>
        </w:tc>
        <w:tc>
          <w:tcPr>
            <w:tcW w:w="918" w:type="dxa"/>
            <w:noWrap w:val="0"/>
            <w:vAlign w:val="center"/>
          </w:tcPr>
          <w:p w14:paraId="1C1E23D8">
            <w:pPr>
              <w:jc w:val="center"/>
              <w:rPr>
                <w:rFonts w:hint="eastAsia" w:ascii="宋体" w:hAnsi="宋体" w:eastAsia="宋体" w:cs="宋体"/>
              </w:rPr>
            </w:pPr>
          </w:p>
        </w:tc>
      </w:tr>
      <w:tr w14:paraId="72C69F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53" w:hRule="atLeast"/>
          <w:jc w:val="center"/>
        </w:trPr>
        <w:tc>
          <w:tcPr>
            <w:tcW w:w="919" w:type="dxa"/>
            <w:noWrap w:val="0"/>
            <w:vAlign w:val="center"/>
          </w:tcPr>
          <w:p w14:paraId="6D852534">
            <w:pPr>
              <w:jc w:val="center"/>
              <w:rPr>
                <w:rFonts w:hint="eastAsia" w:ascii="宋体" w:hAnsi="宋体" w:eastAsia="宋体" w:cs="宋体"/>
              </w:rPr>
            </w:pPr>
          </w:p>
        </w:tc>
        <w:tc>
          <w:tcPr>
            <w:tcW w:w="1652" w:type="dxa"/>
            <w:noWrap w:val="0"/>
            <w:vAlign w:val="center"/>
          </w:tcPr>
          <w:p w14:paraId="30D8EBB3">
            <w:pPr>
              <w:jc w:val="center"/>
              <w:rPr>
                <w:rFonts w:hint="eastAsia" w:ascii="宋体" w:hAnsi="宋体" w:eastAsia="宋体" w:cs="宋体"/>
              </w:rPr>
            </w:pPr>
          </w:p>
        </w:tc>
        <w:tc>
          <w:tcPr>
            <w:tcW w:w="1226" w:type="dxa"/>
            <w:noWrap w:val="0"/>
            <w:vAlign w:val="center"/>
          </w:tcPr>
          <w:p w14:paraId="5F187780">
            <w:pPr>
              <w:jc w:val="center"/>
              <w:rPr>
                <w:rFonts w:hint="eastAsia" w:ascii="宋体" w:hAnsi="宋体" w:eastAsia="宋体" w:cs="宋体"/>
              </w:rPr>
            </w:pPr>
          </w:p>
        </w:tc>
        <w:tc>
          <w:tcPr>
            <w:tcW w:w="675" w:type="dxa"/>
            <w:noWrap w:val="0"/>
            <w:vAlign w:val="center"/>
          </w:tcPr>
          <w:p w14:paraId="26A987DC">
            <w:pPr>
              <w:jc w:val="center"/>
              <w:rPr>
                <w:rFonts w:hint="eastAsia" w:ascii="宋体" w:hAnsi="宋体" w:eastAsia="宋体" w:cs="宋体"/>
              </w:rPr>
            </w:pPr>
          </w:p>
        </w:tc>
        <w:tc>
          <w:tcPr>
            <w:tcW w:w="983" w:type="dxa"/>
            <w:noWrap w:val="0"/>
            <w:vAlign w:val="center"/>
          </w:tcPr>
          <w:p w14:paraId="06886C36">
            <w:pPr>
              <w:jc w:val="center"/>
              <w:rPr>
                <w:rFonts w:hint="eastAsia" w:ascii="宋体" w:hAnsi="宋体" w:eastAsia="宋体" w:cs="宋体"/>
              </w:rPr>
            </w:pPr>
          </w:p>
        </w:tc>
        <w:tc>
          <w:tcPr>
            <w:tcW w:w="1134" w:type="dxa"/>
            <w:noWrap w:val="0"/>
            <w:vAlign w:val="center"/>
          </w:tcPr>
          <w:p w14:paraId="3EB70DD6">
            <w:pPr>
              <w:jc w:val="center"/>
              <w:rPr>
                <w:rFonts w:hint="eastAsia" w:ascii="宋体" w:hAnsi="宋体" w:eastAsia="宋体" w:cs="宋体"/>
                <w:color w:val="000000"/>
              </w:rPr>
            </w:pPr>
          </w:p>
        </w:tc>
        <w:tc>
          <w:tcPr>
            <w:tcW w:w="1251" w:type="dxa"/>
            <w:noWrap w:val="0"/>
            <w:vAlign w:val="center"/>
          </w:tcPr>
          <w:p w14:paraId="63168ADF">
            <w:pPr>
              <w:jc w:val="center"/>
              <w:rPr>
                <w:rFonts w:hint="eastAsia" w:ascii="宋体" w:hAnsi="宋体" w:eastAsia="宋体" w:cs="宋体"/>
                <w:color w:val="000000"/>
              </w:rPr>
            </w:pPr>
          </w:p>
        </w:tc>
        <w:tc>
          <w:tcPr>
            <w:tcW w:w="1016" w:type="dxa"/>
            <w:noWrap w:val="0"/>
            <w:vAlign w:val="center"/>
          </w:tcPr>
          <w:p w14:paraId="3D4800FA">
            <w:pPr>
              <w:jc w:val="center"/>
              <w:rPr>
                <w:rFonts w:hint="eastAsia" w:ascii="宋体" w:hAnsi="宋体" w:eastAsia="宋体" w:cs="宋体"/>
              </w:rPr>
            </w:pPr>
          </w:p>
        </w:tc>
        <w:tc>
          <w:tcPr>
            <w:tcW w:w="918" w:type="dxa"/>
            <w:noWrap w:val="0"/>
            <w:vAlign w:val="center"/>
          </w:tcPr>
          <w:p w14:paraId="394CDEBC">
            <w:pPr>
              <w:jc w:val="center"/>
              <w:rPr>
                <w:rFonts w:hint="eastAsia" w:ascii="宋体" w:hAnsi="宋体" w:eastAsia="宋体" w:cs="宋体"/>
              </w:rPr>
            </w:pPr>
          </w:p>
        </w:tc>
      </w:tr>
      <w:tr w14:paraId="7E7992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06" w:hRule="atLeast"/>
          <w:jc w:val="center"/>
        </w:trPr>
        <w:tc>
          <w:tcPr>
            <w:tcW w:w="919" w:type="dxa"/>
            <w:noWrap w:val="0"/>
            <w:vAlign w:val="center"/>
          </w:tcPr>
          <w:p w14:paraId="384A903E">
            <w:pPr>
              <w:jc w:val="center"/>
              <w:rPr>
                <w:rFonts w:hint="eastAsia" w:ascii="宋体" w:hAnsi="宋体" w:eastAsia="宋体" w:cs="宋体"/>
              </w:rPr>
            </w:pPr>
          </w:p>
        </w:tc>
        <w:tc>
          <w:tcPr>
            <w:tcW w:w="1652" w:type="dxa"/>
            <w:noWrap w:val="0"/>
            <w:vAlign w:val="center"/>
          </w:tcPr>
          <w:p w14:paraId="0896424F">
            <w:pPr>
              <w:jc w:val="center"/>
              <w:rPr>
                <w:rFonts w:hint="eastAsia" w:ascii="宋体" w:hAnsi="宋体" w:eastAsia="宋体" w:cs="宋体"/>
              </w:rPr>
            </w:pPr>
          </w:p>
        </w:tc>
        <w:tc>
          <w:tcPr>
            <w:tcW w:w="1226" w:type="dxa"/>
            <w:noWrap w:val="0"/>
            <w:vAlign w:val="center"/>
          </w:tcPr>
          <w:p w14:paraId="135A6DDC">
            <w:pPr>
              <w:jc w:val="center"/>
              <w:rPr>
                <w:rFonts w:hint="eastAsia" w:ascii="宋体" w:hAnsi="宋体" w:eastAsia="宋体" w:cs="宋体"/>
              </w:rPr>
            </w:pPr>
          </w:p>
        </w:tc>
        <w:tc>
          <w:tcPr>
            <w:tcW w:w="675" w:type="dxa"/>
            <w:noWrap w:val="0"/>
            <w:vAlign w:val="center"/>
          </w:tcPr>
          <w:p w14:paraId="60E13FEA">
            <w:pPr>
              <w:jc w:val="center"/>
              <w:rPr>
                <w:rFonts w:hint="eastAsia" w:ascii="宋体" w:hAnsi="宋体" w:eastAsia="宋体" w:cs="宋体"/>
              </w:rPr>
            </w:pPr>
          </w:p>
        </w:tc>
        <w:tc>
          <w:tcPr>
            <w:tcW w:w="983" w:type="dxa"/>
            <w:noWrap w:val="0"/>
            <w:vAlign w:val="center"/>
          </w:tcPr>
          <w:p w14:paraId="349D30D3">
            <w:pPr>
              <w:jc w:val="center"/>
              <w:rPr>
                <w:rFonts w:hint="eastAsia" w:ascii="宋体" w:hAnsi="宋体" w:eastAsia="宋体" w:cs="宋体"/>
              </w:rPr>
            </w:pPr>
          </w:p>
        </w:tc>
        <w:tc>
          <w:tcPr>
            <w:tcW w:w="1134" w:type="dxa"/>
            <w:noWrap w:val="0"/>
            <w:vAlign w:val="center"/>
          </w:tcPr>
          <w:p w14:paraId="370DB2D5">
            <w:pPr>
              <w:jc w:val="center"/>
              <w:rPr>
                <w:rFonts w:hint="eastAsia" w:ascii="宋体" w:hAnsi="宋体" w:eastAsia="宋体" w:cs="宋体"/>
                <w:color w:val="000000"/>
              </w:rPr>
            </w:pPr>
          </w:p>
        </w:tc>
        <w:tc>
          <w:tcPr>
            <w:tcW w:w="1251" w:type="dxa"/>
            <w:noWrap w:val="0"/>
            <w:vAlign w:val="center"/>
          </w:tcPr>
          <w:p w14:paraId="47504163">
            <w:pPr>
              <w:jc w:val="center"/>
              <w:rPr>
                <w:rFonts w:hint="eastAsia" w:ascii="宋体" w:hAnsi="宋体" w:eastAsia="宋体" w:cs="宋体"/>
                <w:color w:val="000000"/>
              </w:rPr>
            </w:pPr>
          </w:p>
        </w:tc>
        <w:tc>
          <w:tcPr>
            <w:tcW w:w="1016" w:type="dxa"/>
            <w:noWrap w:val="0"/>
            <w:vAlign w:val="center"/>
          </w:tcPr>
          <w:p w14:paraId="3788B8D7">
            <w:pPr>
              <w:jc w:val="center"/>
              <w:rPr>
                <w:rFonts w:hint="eastAsia" w:ascii="宋体" w:hAnsi="宋体" w:eastAsia="宋体" w:cs="宋体"/>
              </w:rPr>
            </w:pPr>
          </w:p>
        </w:tc>
        <w:tc>
          <w:tcPr>
            <w:tcW w:w="918" w:type="dxa"/>
            <w:noWrap w:val="0"/>
            <w:vAlign w:val="center"/>
          </w:tcPr>
          <w:p w14:paraId="48ED5F8D">
            <w:pPr>
              <w:jc w:val="center"/>
              <w:rPr>
                <w:rFonts w:hint="eastAsia" w:ascii="宋体" w:hAnsi="宋体" w:eastAsia="宋体" w:cs="宋体"/>
              </w:rPr>
            </w:pPr>
          </w:p>
        </w:tc>
      </w:tr>
      <w:tr w14:paraId="33EB19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06" w:hRule="atLeast"/>
          <w:jc w:val="center"/>
        </w:trPr>
        <w:tc>
          <w:tcPr>
            <w:tcW w:w="919" w:type="dxa"/>
            <w:noWrap w:val="0"/>
            <w:vAlign w:val="center"/>
          </w:tcPr>
          <w:p w14:paraId="438DF292">
            <w:pPr>
              <w:jc w:val="center"/>
              <w:rPr>
                <w:rFonts w:hint="eastAsia" w:ascii="宋体" w:hAnsi="宋体" w:eastAsia="宋体" w:cs="宋体"/>
              </w:rPr>
            </w:pPr>
          </w:p>
        </w:tc>
        <w:tc>
          <w:tcPr>
            <w:tcW w:w="1652" w:type="dxa"/>
            <w:noWrap w:val="0"/>
            <w:vAlign w:val="center"/>
          </w:tcPr>
          <w:p w14:paraId="4F706E0D">
            <w:pPr>
              <w:jc w:val="center"/>
              <w:rPr>
                <w:rFonts w:hint="eastAsia" w:ascii="宋体" w:hAnsi="宋体" w:eastAsia="宋体" w:cs="宋体"/>
              </w:rPr>
            </w:pPr>
          </w:p>
        </w:tc>
        <w:tc>
          <w:tcPr>
            <w:tcW w:w="1226" w:type="dxa"/>
            <w:noWrap w:val="0"/>
            <w:vAlign w:val="center"/>
          </w:tcPr>
          <w:p w14:paraId="3D72F1B1">
            <w:pPr>
              <w:jc w:val="center"/>
              <w:rPr>
                <w:rFonts w:hint="eastAsia" w:ascii="宋体" w:hAnsi="宋体" w:eastAsia="宋体" w:cs="宋体"/>
              </w:rPr>
            </w:pPr>
          </w:p>
        </w:tc>
        <w:tc>
          <w:tcPr>
            <w:tcW w:w="675" w:type="dxa"/>
            <w:noWrap w:val="0"/>
            <w:vAlign w:val="center"/>
          </w:tcPr>
          <w:p w14:paraId="6C62960C">
            <w:pPr>
              <w:jc w:val="center"/>
              <w:rPr>
                <w:rFonts w:hint="eastAsia" w:ascii="宋体" w:hAnsi="宋体" w:eastAsia="宋体" w:cs="宋体"/>
              </w:rPr>
            </w:pPr>
          </w:p>
        </w:tc>
        <w:tc>
          <w:tcPr>
            <w:tcW w:w="983" w:type="dxa"/>
            <w:noWrap w:val="0"/>
            <w:vAlign w:val="center"/>
          </w:tcPr>
          <w:p w14:paraId="1EB01267">
            <w:pPr>
              <w:jc w:val="center"/>
              <w:rPr>
                <w:rFonts w:hint="eastAsia" w:ascii="宋体" w:hAnsi="宋体" w:eastAsia="宋体" w:cs="宋体"/>
              </w:rPr>
            </w:pPr>
          </w:p>
        </w:tc>
        <w:tc>
          <w:tcPr>
            <w:tcW w:w="1134" w:type="dxa"/>
            <w:noWrap w:val="0"/>
            <w:vAlign w:val="center"/>
          </w:tcPr>
          <w:p w14:paraId="600DA15E">
            <w:pPr>
              <w:jc w:val="center"/>
              <w:rPr>
                <w:rFonts w:hint="eastAsia" w:ascii="宋体" w:hAnsi="宋体" w:eastAsia="宋体" w:cs="宋体"/>
                <w:color w:val="000000"/>
              </w:rPr>
            </w:pPr>
          </w:p>
        </w:tc>
        <w:tc>
          <w:tcPr>
            <w:tcW w:w="1251" w:type="dxa"/>
            <w:noWrap w:val="0"/>
            <w:vAlign w:val="center"/>
          </w:tcPr>
          <w:p w14:paraId="475EB057">
            <w:pPr>
              <w:jc w:val="center"/>
              <w:rPr>
                <w:rFonts w:hint="eastAsia" w:ascii="宋体" w:hAnsi="宋体" w:eastAsia="宋体" w:cs="宋体"/>
                <w:color w:val="000000"/>
              </w:rPr>
            </w:pPr>
          </w:p>
        </w:tc>
        <w:tc>
          <w:tcPr>
            <w:tcW w:w="1016" w:type="dxa"/>
            <w:noWrap w:val="0"/>
            <w:vAlign w:val="center"/>
          </w:tcPr>
          <w:p w14:paraId="297BE097">
            <w:pPr>
              <w:jc w:val="center"/>
              <w:rPr>
                <w:rFonts w:hint="eastAsia" w:ascii="宋体" w:hAnsi="宋体" w:eastAsia="宋体" w:cs="宋体"/>
              </w:rPr>
            </w:pPr>
          </w:p>
        </w:tc>
        <w:tc>
          <w:tcPr>
            <w:tcW w:w="918" w:type="dxa"/>
            <w:noWrap w:val="0"/>
            <w:vAlign w:val="center"/>
          </w:tcPr>
          <w:p w14:paraId="28B5396C">
            <w:pPr>
              <w:jc w:val="center"/>
              <w:rPr>
                <w:rFonts w:hint="eastAsia" w:ascii="宋体" w:hAnsi="宋体" w:eastAsia="宋体" w:cs="宋体"/>
              </w:rPr>
            </w:pPr>
          </w:p>
        </w:tc>
      </w:tr>
      <w:tr w14:paraId="0D2606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06" w:hRule="atLeast"/>
          <w:jc w:val="center"/>
        </w:trPr>
        <w:tc>
          <w:tcPr>
            <w:tcW w:w="919" w:type="dxa"/>
            <w:noWrap w:val="0"/>
            <w:vAlign w:val="center"/>
          </w:tcPr>
          <w:p w14:paraId="4CD0795B">
            <w:pPr>
              <w:jc w:val="center"/>
              <w:rPr>
                <w:rFonts w:hint="eastAsia" w:ascii="宋体" w:hAnsi="宋体" w:eastAsia="宋体" w:cs="宋体"/>
              </w:rPr>
            </w:pPr>
          </w:p>
        </w:tc>
        <w:tc>
          <w:tcPr>
            <w:tcW w:w="1652" w:type="dxa"/>
            <w:noWrap w:val="0"/>
            <w:vAlign w:val="center"/>
          </w:tcPr>
          <w:p w14:paraId="27068D12">
            <w:pPr>
              <w:jc w:val="center"/>
              <w:rPr>
                <w:rFonts w:hint="eastAsia" w:ascii="宋体" w:hAnsi="宋体" w:eastAsia="宋体" w:cs="宋体"/>
              </w:rPr>
            </w:pPr>
          </w:p>
        </w:tc>
        <w:tc>
          <w:tcPr>
            <w:tcW w:w="1226" w:type="dxa"/>
            <w:noWrap w:val="0"/>
            <w:vAlign w:val="center"/>
          </w:tcPr>
          <w:p w14:paraId="5DA4F66F">
            <w:pPr>
              <w:jc w:val="center"/>
              <w:rPr>
                <w:rFonts w:hint="eastAsia" w:ascii="宋体" w:hAnsi="宋体" w:eastAsia="宋体" w:cs="宋体"/>
              </w:rPr>
            </w:pPr>
          </w:p>
        </w:tc>
        <w:tc>
          <w:tcPr>
            <w:tcW w:w="675" w:type="dxa"/>
            <w:noWrap w:val="0"/>
            <w:vAlign w:val="center"/>
          </w:tcPr>
          <w:p w14:paraId="1E1E5524">
            <w:pPr>
              <w:jc w:val="center"/>
              <w:rPr>
                <w:rFonts w:hint="eastAsia" w:ascii="宋体" w:hAnsi="宋体" w:eastAsia="宋体" w:cs="宋体"/>
              </w:rPr>
            </w:pPr>
          </w:p>
        </w:tc>
        <w:tc>
          <w:tcPr>
            <w:tcW w:w="983" w:type="dxa"/>
            <w:noWrap w:val="0"/>
            <w:vAlign w:val="center"/>
          </w:tcPr>
          <w:p w14:paraId="233E2071">
            <w:pPr>
              <w:jc w:val="center"/>
              <w:rPr>
                <w:rFonts w:hint="eastAsia" w:ascii="宋体" w:hAnsi="宋体" w:eastAsia="宋体" w:cs="宋体"/>
              </w:rPr>
            </w:pPr>
          </w:p>
        </w:tc>
        <w:tc>
          <w:tcPr>
            <w:tcW w:w="1134" w:type="dxa"/>
            <w:noWrap w:val="0"/>
            <w:vAlign w:val="center"/>
          </w:tcPr>
          <w:p w14:paraId="679C2E56">
            <w:pPr>
              <w:jc w:val="center"/>
              <w:rPr>
                <w:rFonts w:hint="eastAsia" w:ascii="宋体" w:hAnsi="宋体" w:eastAsia="宋体" w:cs="宋体"/>
                <w:color w:val="000000"/>
              </w:rPr>
            </w:pPr>
          </w:p>
        </w:tc>
        <w:tc>
          <w:tcPr>
            <w:tcW w:w="1251" w:type="dxa"/>
            <w:noWrap w:val="0"/>
            <w:vAlign w:val="center"/>
          </w:tcPr>
          <w:p w14:paraId="025EE7B6">
            <w:pPr>
              <w:jc w:val="center"/>
              <w:rPr>
                <w:rFonts w:hint="eastAsia" w:ascii="宋体" w:hAnsi="宋体" w:eastAsia="宋体" w:cs="宋体"/>
                <w:color w:val="000000"/>
              </w:rPr>
            </w:pPr>
          </w:p>
        </w:tc>
        <w:tc>
          <w:tcPr>
            <w:tcW w:w="1016" w:type="dxa"/>
            <w:noWrap w:val="0"/>
            <w:vAlign w:val="center"/>
          </w:tcPr>
          <w:p w14:paraId="655EA198">
            <w:pPr>
              <w:jc w:val="center"/>
              <w:rPr>
                <w:rFonts w:hint="eastAsia" w:ascii="宋体" w:hAnsi="宋体" w:eastAsia="宋体" w:cs="宋体"/>
              </w:rPr>
            </w:pPr>
          </w:p>
        </w:tc>
        <w:tc>
          <w:tcPr>
            <w:tcW w:w="918" w:type="dxa"/>
            <w:noWrap w:val="0"/>
            <w:vAlign w:val="center"/>
          </w:tcPr>
          <w:p w14:paraId="0C0260F6">
            <w:pPr>
              <w:jc w:val="center"/>
              <w:rPr>
                <w:rFonts w:hint="eastAsia" w:ascii="宋体" w:hAnsi="宋体" w:eastAsia="宋体" w:cs="宋体"/>
              </w:rPr>
            </w:pPr>
          </w:p>
        </w:tc>
      </w:tr>
      <w:tr w14:paraId="290EA0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75" w:hRule="atLeast"/>
          <w:jc w:val="center"/>
        </w:trPr>
        <w:tc>
          <w:tcPr>
            <w:tcW w:w="919" w:type="dxa"/>
            <w:noWrap w:val="0"/>
            <w:vAlign w:val="center"/>
          </w:tcPr>
          <w:p w14:paraId="48D268CE">
            <w:pPr>
              <w:jc w:val="center"/>
              <w:rPr>
                <w:rFonts w:hint="eastAsia" w:ascii="宋体" w:hAnsi="宋体" w:eastAsia="宋体" w:cs="宋体"/>
              </w:rPr>
            </w:pPr>
          </w:p>
        </w:tc>
        <w:tc>
          <w:tcPr>
            <w:tcW w:w="1652" w:type="dxa"/>
            <w:noWrap w:val="0"/>
            <w:vAlign w:val="center"/>
          </w:tcPr>
          <w:p w14:paraId="7CD86D48">
            <w:pPr>
              <w:jc w:val="center"/>
              <w:rPr>
                <w:rFonts w:hint="eastAsia" w:ascii="宋体" w:hAnsi="宋体" w:eastAsia="宋体" w:cs="宋体"/>
              </w:rPr>
            </w:pPr>
          </w:p>
        </w:tc>
        <w:tc>
          <w:tcPr>
            <w:tcW w:w="1226" w:type="dxa"/>
            <w:noWrap w:val="0"/>
            <w:vAlign w:val="center"/>
          </w:tcPr>
          <w:p w14:paraId="45E9EB56">
            <w:pPr>
              <w:jc w:val="center"/>
              <w:rPr>
                <w:rFonts w:hint="eastAsia" w:ascii="宋体" w:hAnsi="宋体" w:eastAsia="宋体" w:cs="宋体"/>
              </w:rPr>
            </w:pPr>
          </w:p>
        </w:tc>
        <w:tc>
          <w:tcPr>
            <w:tcW w:w="675" w:type="dxa"/>
            <w:noWrap w:val="0"/>
            <w:vAlign w:val="center"/>
          </w:tcPr>
          <w:p w14:paraId="0CF34B29">
            <w:pPr>
              <w:jc w:val="center"/>
              <w:rPr>
                <w:rFonts w:hint="eastAsia" w:ascii="宋体" w:hAnsi="宋体" w:eastAsia="宋体" w:cs="宋体"/>
              </w:rPr>
            </w:pPr>
          </w:p>
        </w:tc>
        <w:tc>
          <w:tcPr>
            <w:tcW w:w="983" w:type="dxa"/>
            <w:noWrap w:val="0"/>
            <w:vAlign w:val="center"/>
          </w:tcPr>
          <w:p w14:paraId="3ED12371">
            <w:pPr>
              <w:jc w:val="center"/>
              <w:rPr>
                <w:rFonts w:hint="eastAsia" w:ascii="宋体" w:hAnsi="宋体" w:eastAsia="宋体" w:cs="宋体"/>
              </w:rPr>
            </w:pPr>
          </w:p>
        </w:tc>
        <w:tc>
          <w:tcPr>
            <w:tcW w:w="1134" w:type="dxa"/>
            <w:noWrap w:val="0"/>
            <w:vAlign w:val="center"/>
          </w:tcPr>
          <w:p w14:paraId="4A8FB685">
            <w:pPr>
              <w:jc w:val="center"/>
              <w:rPr>
                <w:rFonts w:hint="eastAsia" w:ascii="宋体" w:hAnsi="宋体" w:eastAsia="宋体" w:cs="宋体"/>
                <w:color w:val="000000"/>
              </w:rPr>
            </w:pPr>
          </w:p>
        </w:tc>
        <w:tc>
          <w:tcPr>
            <w:tcW w:w="1251" w:type="dxa"/>
            <w:noWrap w:val="0"/>
            <w:vAlign w:val="center"/>
          </w:tcPr>
          <w:p w14:paraId="4B010CDA">
            <w:pPr>
              <w:jc w:val="center"/>
              <w:rPr>
                <w:rFonts w:hint="eastAsia" w:ascii="宋体" w:hAnsi="宋体" w:eastAsia="宋体" w:cs="宋体"/>
                <w:color w:val="000000"/>
              </w:rPr>
            </w:pPr>
          </w:p>
        </w:tc>
        <w:tc>
          <w:tcPr>
            <w:tcW w:w="1016" w:type="dxa"/>
            <w:noWrap w:val="0"/>
            <w:vAlign w:val="center"/>
          </w:tcPr>
          <w:p w14:paraId="1BAF7120">
            <w:pPr>
              <w:jc w:val="center"/>
              <w:rPr>
                <w:rFonts w:hint="eastAsia" w:ascii="宋体" w:hAnsi="宋体" w:eastAsia="宋体" w:cs="宋体"/>
              </w:rPr>
            </w:pPr>
          </w:p>
        </w:tc>
        <w:tc>
          <w:tcPr>
            <w:tcW w:w="918" w:type="dxa"/>
            <w:noWrap w:val="0"/>
            <w:vAlign w:val="center"/>
          </w:tcPr>
          <w:p w14:paraId="3646DA9C">
            <w:pPr>
              <w:jc w:val="center"/>
              <w:rPr>
                <w:rFonts w:hint="eastAsia" w:ascii="宋体" w:hAnsi="宋体" w:eastAsia="宋体" w:cs="宋体"/>
              </w:rPr>
            </w:pPr>
          </w:p>
        </w:tc>
      </w:tr>
      <w:tr w14:paraId="07D98C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06" w:hRule="atLeast"/>
          <w:jc w:val="center"/>
        </w:trPr>
        <w:tc>
          <w:tcPr>
            <w:tcW w:w="919" w:type="dxa"/>
            <w:noWrap w:val="0"/>
            <w:vAlign w:val="center"/>
          </w:tcPr>
          <w:p w14:paraId="2EDDBA58">
            <w:pPr>
              <w:jc w:val="center"/>
              <w:rPr>
                <w:rFonts w:hint="eastAsia" w:ascii="宋体" w:hAnsi="宋体" w:eastAsia="宋体" w:cs="宋体"/>
              </w:rPr>
            </w:pPr>
          </w:p>
        </w:tc>
        <w:tc>
          <w:tcPr>
            <w:tcW w:w="1652" w:type="dxa"/>
            <w:noWrap w:val="0"/>
            <w:vAlign w:val="center"/>
          </w:tcPr>
          <w:p w14:paraId="1570F8CC">
            <w:pPr>
              <w:jc w:val="center"/>
              <w:rPr>
                <w:rFonts w:hint="eastAsia" w:ascii="宋体" w:hAnsi="宋体" w:eastAsia="宋体" w:cs="宋体"/>
              </w:rPr>
            </w:pPr>
          </w:p>
        </w:tc>
        <w:tc>
          <w:tcPr>
            <w:tcW w:w="1226" w:type="dxa"/>
            <w:noWrap w:val="0"/>
            <w:vAlign w:val="center"/>
          </w:tcPr>
          <w:p w14:paraId="5F05A0A0">
            <w:pPr>
              <w:jc w:val="center"/>
              <w:rPr>
                <w:rFonts w:hint="eastAsia" w:ascii="宋体" w:hAnsi="宋体" w:eastAsia="宋体" w:cs="宋体"/>
              </w:rPr>
            </w:pPr>
          </w:p>
        </w:tc>
        <w:tc>
          <w:tcPr>
            <w:tcW w:w="675" w:type="dxa"/>
            <w:noWrap w:val="0"/>
            <w:vAlign w:val="center"/>
          </w:tcPr>
          <w:p w14:paraId="2A3DA24B">
            <w:pPr>
              <w:jc w:val="center"/>
              <w:rPr>
                <w:rFonts w:hint="eastAsia" w:ascii="宋体" w:hAnsi="宋体" w:eastAsia="宋体" w:cs="宋体"/>
              </w:rPr>
            </w:pPr>
          </w:p>
        </w:tc>
        <w:tc>
          <w:tcPr>
            <w:tcW w:w="983" w:type="dxa"/>
            <w:noWrap w:val="0"/>
            <w:vAlign w:val="center"/>
          </w:tcPr>
          <w:p w14:paraId="145535C3">
            <w:pPr>
              <w:jc w:val="center"/>
              <w:rPr>
                <w:rFonts w:hint="eastAsia" w:ascii="宋体" w:hAnsi="宋体" w:eastAsia="宋体" w:cs="宋体"/>
              </w:rPr>
            </w:pPr>
          </w:p>
        </w:tc>
        <w:tc>
          <w:tcPr>
            <w:tcW w:w="1134" w:type="dxa"/>
            <w:noWrap w:val="0"/>
            <w:vAlign w:val="center"/>
          </w:tcPr>
          <w:p w14:paraId="7A1EBCAF">
            <w:pPr>
              <w:jc w:val="center"/>
              <w:rPr>
                <w:rFonts w:hint="eastAsia" w:ascii="宋体" w:hAnsi="宋体" w:eastAsia="宋体" w:cs="宋体"/>
                <w:color w:val="000000"/>
              </w:rPr>
            </w:pPr>
          </w:p>
        </w:tc>
        <w:tc>
          <w:tcPr>
            <w:tcW w:w="1251" w:type="dxa"/>
            <w:noWrap w:val="0"/>
            <w:vAlign w:val="center"/>
          </w:tcPr>
          <w:p w14:paraId="53861E17">
            <w:pPr>
              <w:jc w:val="center"/>
              <w:rPr>
                <w:rFonts w:hint="eastAsia" w:ascii="宋体" w:hAnsi="宋体" w:eastAsia="宋体" w:cs="宋体"/>
                <w:color w:val="000000"/>
              </w:rPr>
            </w:pPr>
          </w:p>
        </w:tc>
        <w:tc>
          <w:tcPr>
            <w:tcW w:w="1016" w:type="dxa"/>
            <w:noWrap w:val="0"/>
            <w:vAlign w:val="center"/>
          </w:tcPr>
          <w:p w14:paraId="7F7569D8">
            <w:pPr>
              <w:jc w:val="center"/>
              <w:rPr>
                <w:rFonts w:hint="eastAsia" w:ascii="宋体" w:hAnsi="宋体" w:eastAsia="宋体" w:cs="宋体"/>
              </w:rPr>
            </w:pPr>
          </w:p>
        </w:tc>
        <w:tc>
          <w:tcPr>
            <w:tcW w:w="918" w:type="dxa"/>
            <w:noWrap w:val="0"/>
            <w:vAlign w:val="center"/>
          </w:tcPr>
          <w:p w14:paraId="09ABE0F9">
            <w:pPr>
              <w:jc w:val="center"/>
              <w:rPr>
                <w:rFonts w:hint="eastAsia" w:ascii="宋体" w:hAnsi="宋体" w:eastAsia="宋体" w:cs="宋体"/>
              </w:rPr>
            </w:pPr>
          </w:p>
        </w:tc>
      </w:tr>
      <w:tr w14:paraId="3C866C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06" w:hRule="atLeast"/>
          <w:jc w:val="center"/>
        </w:trPr>
        <w:tc>
          <w:tcPr>
            <w:tcW w:w="919" w:type="dxa"/>
            <w:noWrap w:val="0"/>
            <w:vAlign w:val="center"/>
          </w:tcPr>
          <w:p w14:paraId="28434E0B">
            <w:pPr>
              <w:jc w:val="center"/>
              <w:rPr>
                <w:rFonts w:hint="eastAsia" w:ascii="宋体" w:hAnsi="宋体" w:eastAsia="宋体" w:cs="宋体"/>
              </w:rPr>
            </w:pPr>
          </w:p>
        </w:tc>
        <w:tc>
          <w:tcPr>
            <w:tcW w:w="1652" w:type="dxa"/>
            <w:noWrap w:val="0"/>
            <w:vAlign w:val="center"/>
          </w:tcPr>
          <w:p w14:paraId="3559F985">
            <w:pPr>
              <w:jc w:val="center"/>
              <w:rPr>
                <w:rFonts w:hint="eastAsia" w:ascii="宋体" w:hAnsi="宋体" w:eastAsia="宋体" w:cs="宋体"/>
              </w:rPr>
            </w:pPr>
          </w:p>
        </w:tc>
        <w:tc>
          <w:tcPr>
            <w:tcW w:w="1226" w:type="dxa"/>
            <w:noWrap w:val="0"/>
            <w:vAlign w:val="center"/>
          </w:tcPr>
          <w:p w14:paraId="74CE1BEF">
            <w:pPr>
              <w:jc w:val="center"/>
              <w:rPr>
                <w:rFonts w:hint="eastAsia" w:ascii="宋体" w:hAnsi="宋体" w:eastAsia="宋体" w:cs="宋体"/>
              </w:rPr>
            </w:pPr>
          </w:p>
        </w:tc>
        <w:tc>
          <w:tcPr>
            <w:tcW w:w="675" w:type="dxa"/>
            <w:noWrap w:val="0"/>
            <w:vAlign w:val="center"/>
          </w:tcPr>
          <w:p w14:paraId="24DB1838">
            <w:pPr>
              <w:jc w:val="center"/>
              <w:rPr>
                <w:rFonts w:hint="eastAsia" w:ascii="宋体" w:hAnsi="宋体" w:eastAsia="宋体" w:cs="宋体"/>
              </w:rPr>
            </w:pPr>
          </w:p>
        </w:tc>
        <w:tc>
          <w:tcPr>
            <w:tcW w:w="983" w:type="dxa"/>
            <w:noWrap w:val="0"/>
            <w:vAlign w:val="center"/>
          </w:tcPr>
          <w:p w14:paraId="42432AA6">
            <w:pPr>
              <w:jc w:val="center"/>
              <w:rPr>
                <w:rFonts w:hint="eastAsia" w:ascii="宋体" w:hAnsi="宋体" w:eastAsia="宋体" w:cs="宋体"/>
              </w:rPr>
            </w:pPr>
          </w:p>
        </w:tc>
        <w:tc>
          <w:tcPr>
            <w:tcW w:w="1134" w:type="dxa"/>
            <w:noWrap w:val="0"/>
            <w:vAlign w:val="center"/>
          </w:tcPr>
          <w:p w14:paraId="1D3A91D2">
            <w:pPr>
              <w:jc w:val="center"/>
              <w:rPr>
                <w:rFonts w:hint="eastAsia" w:ascii="宋体" w:hAnsi="宋体" w:eastAsia="宋体" w:cs="宋体"/>
                <w:color w:val="000000"/>
              </w:rPr>
            </w:pPr>
          </w:p>
        </w:tc>
        <w:tc>
          <w:tcPr>
            <w:tcW w:w="1251" w:type="dxa"/>
            <w:noWrap w:val="0"/>
            <w:vAlign w:val="center"/>
          </w:tcPr>
          <w:p w14:paraId="08190829">
            <w:pPr>
              <w:jc w:val="center"/>
              <w:rPr>
                <w:rFonts w:hint="eastAsia" w:ascii="宋体" w:hAnsi="宋体" w:eastAsia="宋体" w:cs="宋体"/>
                <w:color w:val="000000"/>
              </w:rPr>
            </w:pPr>
          </w:p>
        </w:tc>
        <w:tc>
          <w:tcPr>
            <w:tcW w:w="1016" w:type="dxa"/>
            <w:noWrap w:val="0"/>
            <w:vAlign w:val="center"/>
          </w:tcPr>
          <w:p w14:paraId="1E09C821">
            <w:pPr>
              <w:jc w:val="center"/>
              <w:rPr>
                <w:rFonts w:hint="eastAsia" w:ascii="宋体" w:hAnsi="宋体" w:eastAsia="宋体" w:cs="宋体"/>
              </w:rPr>
            </w:pPr>
          </w:p>
        </w:tc>
        <w:tc>
          <w:tcPr>
            <w:tcW w:w="918" w:type="dxa"/>
            <w:noWrap w:val="0"/>
            <w:vAlign w:val="center"/>
          </w:tcPr>
          <w:p w14:paraId="79379F5B">
            <w:pPr>
              <w:jc w:val="center"/>
              <w:rPr>
                <w:rFonts w:hint="eastAsia" w:ascii="宋体" w:hAnsi="宋体" w:eastAsia="宋体" w:cs="宋体"/>
              </w:rPr>
            </w:pPr>
          </w:p>
        </w:tc>
      </w:tr>
    </w:tbl>
    <w:p w14:paraId="099F52C4">
      <w:pPr>
        <w:jc w:val="left"/>
        <w:outlineLvl w:val="0"/>
        <w:rPr>
          <w:rFonts w:hint="eastAsia" w:ascii="宋体" w:hAnsi="宋体" w:eastAsia="宋体" w:cs="宋体"/>
          <w:color w:val="000000"/>
          <w:sz w:val="28"/>
          <w:szCs w:val="28"/>
          <w:highlight w:val="none"/>
        </w:rPr>
      </w:pPr>
      <w:r>
        <w:rPr>
          <w:rFonts w:hint="eastAsia" w:ascii="宋体" w:hAnsi="宋体" w:eastAsia="宋体" w:cs="宋体"/>
          <w:color w:val="000000"/>
          <w:szCs w:val="24"/>
        </w:rPr>
        <w:br w:type="page"/>
      </w:r>
      <w:bookmarkStart w:id="512" w:name="_Toc12375"/>
      <w:bookmarkStart w:id="513" w:name="_Toc9288"/>
      <w:bookmarkStart w:id="514" w:name="_Toc18728"/>
      <w:bookmarkStart w:id="515" w:name="_Toc14538"/>
      <w:bookmarkStart w:id="516" w:name="_Toc29686"/>
      <w:bookmarkStart w:id="517" w:name="_Toc16357"/>
      <w:bookmarkStart w:id="518" w:name="_Toc18034"/>
      <w:bookmarkStart w:id="519" w:name="_Toc22441"/>
      <w:bookmarkStart w:id="520" w:name="_Toc8992"/>
      <w:bookmarkStart w:id="521" w:name="_Toc22887"/>
      <w:bookmarkStart w:id="522" w:name="_Toc4042"/>
      <w:bookmarkStart w:id="523" w:name="_Toc31188"/>
      <w:bookmarkStart w:id="524" w:name="_Toc12965"/>
      <w:bookmarkStart w:id="525" w:name="_Toc3852"/>
      <w:r>
        <w:rPr>
          <w:rFonts w:hint="eastAsia" w:ascii="宋体" w:hAnsi="宋体" w:eastAsia="宋体" w:cs="宋体"/>
          <w:color w:val="000000"/>
          <w:sz w:val="28"/>
          <w:szCs w:val="28"/>
          <w:highlight w:val="none"/>
        </w:rPr>
        <w:t>附件6：承包人主要施工管理人员表</w:t>
      </w:r>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p w14:paraId="68FD4AC2">
      <w:pPr>
        <w:spacing w:before="120" w:beforeLines="50" w:after="120" w:afterLines="50"/>
        <w:ind w:firstLine="600"/>
        <w:jc w:val="center"/>
        <w:rPr>
          <w:rFonts w:hint="eastAsia" w:ascii="宋体" w:hAnsi="宋体" w:eastAsia="宋体" w:cs="宋体"/>
          <w:b/>
          <w:color w:val="000000"/>
          <w:sz w:val="36"/>
          <w:szCs w:val="36"/>
          <w:highlight w:val="none"/>
        </w:rPr>
      </w:pPr>
      <w:r>
        <w:rPr>
          <w:rFonts w:hint="eastAsia" w:ascii="宋体" w:hAnsi="宋体" w:eastAsia="宋体" w:cs="宋体"/>
          <w:b/>
          <w:color w:val="000000"/>
          <w:sz w:val="36"/>
          <w:szCs w:val="36"/>
          <w:highlight w:val="none"/>
        </w:rPr>
        <w:t>承包人主要施工管理人员表</w:t>
      </w:r>
    </w:p>
    <w:tbl>
      <w:tblPr>
        <w:tblStyle w:val="17"/>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2229"/>
        <w:gridCol w:w="1701"/>
        <w:gridCol w:w="2409"/>
      </w:tblGrid>
      <w:tr w14:paraId="4C9FF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center"/>
          </w:tcPr>
          <w:p w14:paraId="1123788A">
            <w:pPr>
              <w:pStyle w:val="23"/>
              <w:spacing w:line="400" w:lineRule="exact"/>
              <w:ind w:left="63"/>
              <w:rPr>
                <w:rFonts w:hint="eastAsia" w:ascii="宋体" w:hAnsi="宋体" w:eastAsia="宋体" w:cs="宋体"/>
                <w:color w:val="000000"/>
                <w:sz w:val="24"/>
                <w:szCs w:val="24"/>
              </w:rPr>
            </w:pPr>
            <w:r>
              <w:rPr>
                <w:rFonts w:hint="eastAsia" w:ascii="宋体" w:hAnsi="宋体" w:eastAsia="宋体" w:cs="宋体"/>
                <w:sz w:val="24"/>
                <w:szCs w:val="24"/>
              </w:rPr>
              <w:t>名称</w:t>
            </w:r>
          </w:p>
        </w:tc>
        <w:tc>
          <w:tcPr>
            <w:tcW w:w="1704" w:type="dxa"/>
            <w:noWrap w:val="0"/>
            <w:vAlign w:val="center"/>
          </w:tcPr>
          <w:p w14:paraId="30DA1E5A">
            <w:pPr>
              <w:pStyle w:val="23"/>
              <w:spacing w:line="400" w:lineRule="exact"/>
              <w:ind w:left="63"/>
              <w:rPr>
                <w:rFonts w:hint="eastAsia" w:ascii="宋体" w:hAnsi="宋体" w:eastAsia="宋体" w:cs="宋体"/>
                <w:color w:val="000000"/>
                <w:sz w:val="24"/>
                <w:szCs w:val="24"/>
              </w:rPr>
            </w:pPr>
            <w:r>
              <w:rPr>
                <w:rFonts w:hint="eastAsia" w:ascii="宋体" w:hAnsi="宋体" w:eastAsia="宋体" w:cs="宋体"/>
                <w:sz w:val="24"/>
                <w:szCs w:val="24"/>
              </w:rPr>
              <w:t>姓名</w:t>
            </w:r>
          </w:p>
        </w:tc>
        <w:tc>
          <w:tcPr>
            <w:tcW w:w="2229" w:type="dxa"/>
            <w:noWrap w:val="0"/>
            <w:vAlign w:val="center"/>
          </w:tcPr>
          <w:p w14:paraId="1D939921">
            <w:pPr>
              <w:pStyle w:val="23"/>
              <w:spacing w:line="400" w:lineRule="exact"/>
              <w:ind w:left="63"/>
              <w:jc w:val="center"/>
              <w:rPr>
                <w:rFonts w:hint="eastAsia" w:ascii="宋体" w:hAnsi="宋体" w:eastAsia="宋体" w:cs="宋体"/>
                <w:color w:val="000000"/>
                <w:sz w:val="24"/>
                <w:szCs w:val="24"/>
              </w:rPr>
            </w:pPr>
            <w:r>
              <w:rPr>
                <w:rFonts w:hint="eastAsia" w:ascii="宋体" w:hAnsi="宋体" w:eastAsia="宋体" w:cs="宋体"/>
                <w:sz w:val="24"/>
                <w:szCs w:val="24"/>
              </w:rPr>
              <w:t>职务</w:t>
            </w:r>
          </w:p>
        </w:tc>
        <w:tc>
          <w:tcPr>
            <w:tcW w:w="1701" w:type="dxa"/>
            <w:noWrap w:val="0"/>
            <w:vAlign w:val="center"/>
          </w:tcPr>
          <w:p w14:paraId="1AC3CB61">
            <w:pPr>
              <w:pStyle w:val="23"/>
              <w:spacing w:line="400" w:lineRule="exact"/>
              <w:ind w:left="63"/>
              <w:jc w:val="center"/>
              <w:rPr>
                <w:rFonts w:hint="eastAsia" w:ascii="宋体" w:hAnsi="宋体" w:eastAsia="宋体" w:cs="宋体"/>
                <w:color w:val="000000"/>
                <w:sz w:val="24"/>
                <w:szCs w:val="24"/>
              </w:rPr>
            </w:pPr>
            <w:r>
              <w:rPr>
                <w:rFonts w:hint="eastAsia" w:ascii="宋体" w:hAnsi="宋体" w:eastAsia="宋体" w:cs="宋体"/>
                <w:sz w:val="24"/>
                <w:szCs w:val="24"/>
              </w:rPr>
              <w:t>职称</w:t>
            </w:r>
          </w:p>
        </w:tc>
        <w:tc>
          <w:tcPr>
            <w:tcW w:w="2409" w:type="dxa"/>
            <w:noWrap w:val="0"/>
            <w:vAlign w:val="center"/>
          </w:tcPr>
          <w:p w14:paraId="0D3F9B8D">
            <w:pPr>
              <w:pStyle w:val="23"/>
              <w:spacing w:line="400" w:lineRule="exact"/>
              <w:ind w:left="63"/>
              <w:jc w:val="center"/>
              <w:rPr>
                <w:rFonts w:hint="eastAsia" w:ascii="宋体" w:hAnsi="宋体" w:eastAsia="宋体" w:cs="宋体"/>
                <w:color w:val="000000"/>
                <w:sz w:val="24"/>
                <w:szCs w:val="24"/>
              </w:rPr>
            </w:pPr>
            <w:r>
              <w:rPr>
                <w:rFonts w:hint="eastAsia" w:ascii="宋体" w:hAnsi="宋体" w:eastAsia="宋体" w:cs="宋体"/>
                <w:sz w:val="24"/>
                <w:szCs w:val="24"/>
              </w:rPr>
              <w:t>主要资历、经验及承担过的项目</w:t>
            </w:r>
          </w:p>
        </w:tc>
      </w:tr>
      <w:tr w14:paraId="52419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7" w:type="dxa"/>
            <w:gridSpan w:val="5"/>
            <w:noWrap w:val="0"/>
            <w:vAlign w:val="center"/>
          </w:tcPr>
          <w:p w14:paraId="68AE0853">
            <w:pPr>
              <w:pStyle w:val="23"/>
              <w:spacing w:line="400" w:lineRule="exact"/>
              <w:jc w:val="center"/>
              <w:rPr>
                <w:rFonts w:hint="eastAsia" w:ascii="宋体" w:hAnsi="宋体" w:eastAsia="宋体" w:cs="宋体"/>
                <w:color w:val="000000"/>
                <w:sz w:val="24"/>
                <w:szCs w:val="24"/>
              </w:rPr>
            </w:pPr>
            <w:r>
              <w:rPr>
                <w:rFonts w:hint="eastAsia" w:ascii="宋体" w:hAnsi="宋体" w:eastAsia="宋体" w:cs="宋体"/>
                <w:sz w:val="24"/>
                <w:szCs w:val="24"/>
              </w:rPr>
              <w:t>一、总部人员</w:t>
            </w:r>
          </w:p>
        </w:tc>
      </w:tr>
      <w:tr w14:paraId="7B8AB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center"/>
          </w:tcPr>
          <w:p w14:paraId="618A6B57">
            <w:pPr>
              <w:pStyle w:val="23"/>
              <w:spacing w:line="400" w:lineRule="exact"/>
              <w:ind w:left="71"/>
              <w:jc w:val="center"/>
              <w:rPr>
                <w:rFonts w:hint="eastAsia" w:ascii="宋体" w:hAnsi="宋体" w:eastAsia="宋体" w:cs="宋体"/>
                <w:color w:val="000000"/>
                <w:sz w:val="24"/>
                <w:szCs w:val="24"/>
              </w:rPr>
            </w:pPr>
            <w:r>
              <w:rPr>
                <w:rFonts w:hint="eastAsia" w:ascii="宋体" w:hAnsi="宋体" w:eastAsia="宋体" w:cs="宋体"/>
                <w:sz w:val="24"/>
                <w:szCs w:val="24"/>
              </w:rPr>
              <w:t>项目主管</w:t>
            </w:r>
          </w:p>
        </w:tc>
        <w:tc>
          <w:tcPr>
            <w:tcW w:w="1704" w:type="dxa"/>
            <w:noWrap w:val="0"/>
            <w:vAlign w:val="center"/>
          </w:tcPr>
          <w:p w14:paraId="764B1EAF">
            <w:pPr>
              <w:pStyle w:val="23"/>
              <w:spacing w:line="400" w:lineRule="exact"/>
              <w:jc w:val="center"/>
              <w:rPr>
                <w:rFonts w:hint="eastAsia" w:ascii="宋体" w:hAnsi="宋体" w:eastAsia="宋体" w:cs="宋体"/>
                <w:color w:val="000000"/>
                <w:sz w:val="24"/>
                <w:szCs w:val="24"/>
              </w:rPr>
            </w:pPr>
          </w:p>
        </w:tc>
        <w:tc>
          <w:tcPr>
            <w:tcW w:w="2229" w:type="dxa"/>
            <w:noWrap w:val="0"/>
            <w:vAlign w:val="center"/>
          </w:tcPr>
          <w:p w14:paraId="33067788">
            <w:pPr>
              <w:pStyle w:val="23"/>
              <w:spacing w:line="400" w:lineRule="exact"/>
              <w:jc w:val="center"/>
              <w:rPr>
                <w:rFonts w:hint="eastAsia" w:ascii="宋体" w:hAnsi="宋体" w:eastAsia="宋体" w:cs="宋体"/>
                <w:color w:val="000000"/>
                <w:sz w:val="24"/>
                <w:szCs w:val="24"/>
              </w:rPr>
            </w:pPr>
          </w:p>
        </w:tc>
        <w:tc>
          <w:tcPr>
            <w:tcW w:w="1701" w:type="dxa"/>
            <w:noWrap w:val="0"/>
            <w:vAlign w:val="center"/>
          </w:tcPr>
          <w:p w14:paraId="2F7BB7D0">
            <w:pPr>
              <w:pStyle w:val="23"/>
              <w:spacing w:line="400" w:lineRule="exact"/>
              <w:jc w:val="center"/>
              <w:rPr>
                <w:rFonts w:hint="eastAsia" w:ascii="宋体" w:hAnsi="宋体" w:eastAsia="宋体" w:cs="宋体"/>
                <w:color w:val="000000"/>
                <w:sz w:val="24"/>
                <w:szCs w:val="24"/>
              </w:rPr>
            </w:pPr>
          </w:p>
        </w:tc>
        <w:tc>
          <w:tcPr>
            <w:tcW w:w="2409" w:type="dxa"/>
            <w:noWrap w:val="0"/>
            <w:vAlign w:val="center"/>
          </w:tcPr>
          <w:p w14:paraId="145B7520">
            <w:pPr>
              <w:pStyle w:val="23"/>
              <w:spacing w:line="400" w:lineRule="exact"/>
              <w:jc w:val="center"/>
              <w:rPr>
                <w:rFonts w:hint="eastAsia" w:ascii="宋体" w:hAnsi="宋体" w:eastAsia="宋体" w:cs="宋体"/>
                <w:color w:val="000000"/>
                <w:sz w:val="24"/>
                <w:szCs w:val="24"/>
              </w:rPr>
            </w:pPr>
          </w:p>
        </w:tc>
      </w:tr>
      <w:tr w14:paraId="10DFC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restart"/>
            <w:noWrap w:val="0"/>
            <w:vAlign w:val="center"/>
          </w:tcPr>
          <w:p w14:paraId="15829BA4">
            <w:pPr>
              <w:pStyle w:val="23"/>
              <w:spacing w:line="400" w:lineRule="exact"/>
              <w:jc w:val="center"/>
              <w:rPr>
                <w:rFonts w:hint="eastAsia" w:ascii="宋体" w:hAnsi="宋体" w:eastAsia="宋体" w:cs="宋体"/>
                <w:color w:val="000000"/>
                <w:sz w:val="24"/>
                <w:szCs w:val="24"/>
              </w:rPr>
            </w:pPr>
            <w:r>
              <w:rPr>
                <w:rFonts w:hint="eastAsia" w:ascii="宋体" w:hAnsi="宋体" w:eastAsia="宋体" w:cs="宋体"/>
                <w:sz w:val="24"/>
                <w:szCs w:val="24"/>
              </w:rPr>
              <w:t>其他人员</w:t>
            </w:r>
          </w:p>
        </w:tc>
        <w:tc>
          <w:tcPr>
            <w:tcW w:w="1704" w:type="dxa"/>
            <w:noWrap w:val="0"/>
            <w:vAlign w:val="center"/>
          </w:tcPr>
          <w:p w14:paraId="0530B62A">
            <w:pPr>
              <w:pStyle w:val="23"/>
              <w:spacing w:line="400" w:lineRule="exact"/>
              <w:jc w:val="center"/>
              <w:rPr>
                <w:rFonts w:hint="eastAsia" w:ascii="宋体" w:hAnsi="宋体" w:eastAsia="宋体" w:cs="宋体"/>
                <w:color w:val="000000"/>
                <w:sz w:val="24"/>
                <w:szCs w:val="24"/>
              </w:rPr>
            </w:pPr>
          </w:p>
        </w:tc>
        <w:tc>
          <w:tcPr>
            <w:tcW w:w="2229" w:type="dxa"/>
            <w:noWrap w:val="0"/>
            <w:vAlign w:val="center"/>
          </w:tcPr>
          <w:p w14:paraId="77D46867">
            <w:pPr>
              <w:pStyle w:val="23"/>
              <w:spacing w:line="400" w:lineRule="exact"/>
              <w:jc w:val="center"/>
              <w:rPr>
                <w:rFonts w:hint="eastAsia" w:ascii="宋体" w:hAnsi="宋体" w:eastAsia="宋体" w:cs="宋体"/>
                <w:color w:val="000000"/>
                <w:sz w:val="24"/>
                <w:szCs w:val="24"/>
              </w:rPr>
            </w:pPr>
          </w:p>
        </w:tc>
        <w:tc>
          <w:tcPr>
            <w:tcW w:w="1701" w:type="dxa"/>
            <w:noWrap w:val="0"/>
            <w:vAlign w:val="center"/>
          </w:tcPr>
          <w:p w14:paraId="723E9BE4">
            <w:pPr>
              <w:pStyle w:val="23"/>
              <w:spacing w:line="400" w:lineRule="exact"/>
              <w:jc w:val="center"/>
              <w:rPr>
                <w:rFonts w:hint="eastAsia" w:ascii="宋体" w:hAnsi="宋体" w:eastAsia="宋体" w:cs="宋体"/>
                <w:color w:val="000000"/>
                <w:sz w:val="24"/>
                <w:szCs w:val="24"/>
              </w:rPr>
            </w:pPr>
          </w:p>
        </w:tc>
        <w:tc>
          <w:tcPr>
            <w:tcW w:w="2409" w:type="dxa"/>
            <w:noWrap w:val="0"/>
            <w:vAlign w:val="center"/>
          </w:tcPr>
          <w:p w14:paraId="238C112D">
            <w:pPr>
              <w:pStyle w:val="23"/>
              <w:spacing w:line="400" w:lineRule="exact"/>
              <w:jc w:val="center"/>
              <w:rPr>
                <w:rFonts w:hint="eastAsia" w:ascii="宋体" w:hAnsi="宋体" w:eastAsia="宋体" w:cs="宋体"/>
                <w:color w:val="000000"/>
                <w:sz w:val="24"/>
                <w:szCs w:val="24"/>
              </w:rPr>
            </w:pPr>
          </w:p>
        </w:tc>
      </w:tr>
      <w:tr w14:paraId="29C27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noWrap w:val="0"/>
            <w:vAlign w:val="center"/>
          </w:tcPr>
          <w:p w14:paraId="532889DA">
            <w:pPr>
              <w:pStyle w:val="23"/>
              <w:spacing w:line="400" w:lineRule="exact"/>
              <w:jc w:val="center"/>
              <w:rPr>
                <w:rFonts w:hint="eastAsia" w:ascii="宋体" w:hAnsi="宋体" w:eastAsia="宋体" w:cs="宋体"/>
                <w:color w:val="000000"/>
                <w:sz w:val="24"/>
                <w:szCs w:val="24"/>
              </w:rPr>
            </w:pPr>
          </w:p>
        </w:tc>
        <w:tc>
          <w:tcPr>
            <w:tcW w:w="1704" w:type="dxa"/>
            <w:noWrap w:val="0"/>
            <w:vAlign w:val="center"/>
          </w:tcPr>
          <w:p w14:paraId="25A1B7BD">
            <w:pPr>
              <w:pStyle w:val="23"/>
              <w:spacing w:line="400" w:lineRule="exact"/>
              <w:jc w:val="center"/>
              <w:rPr>
                <w:rFonts w:hint="eastAsia" w:ascii="宋体" w:hAnsi="宋体" w:eastAsia="宋体" w:cs="宋体"/>
                <w:color w:val="000000"/>
                <w:sz w:val="24"/>
                <w:szCs w:val="24"/>
              </w:rPr>
            </w:pPr>
          </w:p>
        </w:tc>
        <w:tc>
          <w:tcPr>
            <w:tcW w:w="2229" w:type="dxa"/>
            <w:noWrap w:val="0"/>
            <w:vAlign w:val="center"/>
          </w:tcPr>
          <w:p w14:paraId="68B5FD61">
            <w:pPr>
              <w:pStyle w:val="23"/>
              <w:spacing w:line="400" w:lineRule="exact"/>
              <w:jc w:val="center"/>
              <w:rPr>
                <w:rFonts w:hint="eastAsia" w:ascii="宋体" w:hAnsi="宋体" w:eastAsia="宋体" w:cs="宋体"/>
                <w:color w:val="000000"/>
                <w:sz w:val="24"/>
                <w:szCs w:val="24"/>
              </w:rPr>
            </w:pPr>
          </w:p>
        </w:tc>
        <w:tc>
          <w:tcPr>
            <w:tcW w:w="1701" w:type="dxa"/>
            <w:noWrap w:val="0"/>
            <w:vAlign w:val="center"/>
          </w:tcPr>
          <w:p w14:paraId="4F108DA0">
            <w:pPr>
              <w:pStyle w:val="23"/>
              <w:spacing w:line="400" w:lineRule="exact"/>
              <w:jc w:val="center"/>
              <w:rPr>
                <w:rFonts w:hint="eastAsia" w:ascii="宋体" w:hAnsi="宋体" w:eastAsia="宋体" w:cs="宋体"/>
                <w:color w:val="000000"/>
                <w:sz w:val="24"/>
                <w:szCs w:val="24"/>
              </w:rPr>
            </w:pPr>
          </w:p>
        </w:tc>
        <w:tc>
          <w:tcPr>
            <w:tcW w:w="2409" w:type="dxa"/>
            <w:noWrap w:val="0"/>
            <w:vAlign w:val="center"/>
          </w:tcPr>
          <w:p w14:paraId="6733017F">
            <w:pPr>
              <w:pStyle w:val="23"/>
              <w:spacing w:line="400" w:lineRule="exact"/>
              <w:jc w:val="center"/>
              <w:rPr>
                <w:rFonts w:hint="eastAsia" w:ascii="宋体" w:hAnsi="宋体" w:eastAsia="宋体" w:cs="宋体"/>
                <w:color w:val="000000"/>
                <w:sz w:val="24"/>
                <w:szCs w:val="24"/>
              </w:rPr>
            </w:pPr>
          </w:p>
        </w:tc>
      </w:tr>
      <w:tr w14:paraId="36BC3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noWrap w:val="0"/>
            <w:vAlign w:val="center"/>
          </w:tcPr>
          <w:p w14:paraId="06A2CF37">
            <w:pPr>
              <w:pStyle w:val="23"/>
              <w:spacing w:line="400" w:lineRule="exact"/>
              <w:jc w:val="center"/>
              <w:rPr>
                <w:rFonts w:hint="eastAsia" w:ascii="宋体" w:hAnsi="宋体" w:eastAsia="宋体" w:cs="宋体"/>
                <w:color w:val="000000"/>
                <w:sz w:val="24"/>
                <w:szCs w:val="24"/>
              </w:rPr>
            </w:pPr>
          </w:p>
        </w:tc>
        <w:tc>
          <w:tcPr>
            <w:tcW w:w="1704" w:type="dxa"/>
            <w:noWrap w:val="0"/>
            <w:vAlign w:val="center"/>
          </w:tcPr>
          <w:p w14:paraId="17B68EFC">
            <w:pPr>
              <w:pStyle w:val="23"/>
              <w:spacing w:line="400" w:lineRule="exact"/>
              <w:jc w:val="center"/>
              <w:rPr>
                <w:rFonts w:hint="eastAsia" w:ascii="宋体" w:hAnsi="宋体" w:eastAsia="宋体" w:cs="宋体"/>
                <w:color w:val="000000"/>
                <w:sz w:val="24"/>
                <w:szCs w:val="24"/>
              </w:rPr>
            </w:pPr>
          </w:p>
        </w:tc>
        <w:tc>
          <w:tcPr>
            <w:tcW w:w="2229" w:type="dxa"/>
            <w:noWrap w:val="0"/>
            <w:vAlign w:val="center"/>
          </w:tcPr>
          <w:p w14:paraId="3FC0C35C">
            <w:pPr>
              <w:pStyle w:val="23"/>
              <w:spacing w:line="400" w:lineRule="exact"/>
              <w:jc w:val="center"/>
              <w:rPr>
                <w:rFonts w:hint="eastAsia" w:ascii="宋体" w:hAnsi="宋体" w:eastAsia="宋体" w:cs="宋体"/>
                <w:color w:val="000000"/>
                <w:sz w:val="24"/>
                <w:szCs w:val="24"/>
              </w:rPr>
            </w:pPr>
          </w:p>
        </w:tc>
        <w:tc>
          <w:tcPr>
            <w:tcW w:w="1701" w:type="dxa"/>
            <w:noWrap w:val="0"/>
            <w:vAlign w:val="center"/>
          </w:tcPr>
          <w:p w14:paraId="383ADE7E">
            <w:pPr>
              <w:pStyle w:val="23"/>
              <w:spacing w:line="400" w:lineRule="exact"/>
              <w:jc w:val="center"/>
              <w:rPr>
                <w:rFonts w:hint="eastAsia" w:ascii="宋体" w:hAnsi="宋体" w:eastAsia="宋体" w:cs="宋体"/>
                <w:color w:val="000000"/>
                <w:sz w:val="24"/>
                <w:szCs w:val="24"/>
              </w:rPr>
            </w:pPr>
          </w:p>
        </w:tc>
        <w:tc>
          <w:tcPr>
            <w:tcW w:w="2409" w:type="dxa"/>
            <w:noWrap w:val="0"/>
            <w:vAlign w:val="center"/>
          </w:tcPr>
          <w:p w14:paraId="711AD0CA">
            <w:pPr>
              <w:pStyle w:val="23"/>
              <w:spacing w:line="400" w:lineRule="exact"/>
              <w:jc w:val="center"/>
              <w:rPr>
                <w:rFonts w:hint="eastAsia" w:ascii="宋体" w:hAnsi="宋体" w:eastAsia="宋体" w:cs="宋体"/>
                <w:color w:val="000000"/>
                <w:sz w:val="24"/>
                <w:szCs w:val="24"/>
              </w:rPr>
            </w:pPr>
          </w:p>
        </w:tc>
      </w:tr>
      <w:tr w14:paraId="071CF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7" w:type="dxa"/>
            <w:gridSpan w:val="5"/>
            <w:noWrap w:val="0"/>
            <w:vAlign w:val="center"/>
          </w:tcPr>
          <w:p w14:paraId="0F85E48D">
            <w:pPr>
              <w:pStyle w:val="23"/>
              <w:spacing w:line="400" w:lineRule="exact"/>
              <w:jc w:val="center"/>
              <w:rPr>
                <w:rFonts w:hint="eastAsia" w:ascii="宋体" w:hAnsi="宋体" w:eastAsia="宋体" w:cs="宋体"/>
                <w:color w:val="000000"/>
                <w:sz w:val="24"/>
                <w:szCs w:val="24"/>
              </w:rPr>
            </w:pPr>
            <w:r>
              <w:rPr>
                <w:rFonts w:hint="eastAsia" w:ascii="宋体" w:hAnsi="宋体" w:eastAsia="宋体" w:cs="宋体"/>
                <w:sz w:val="24"/>
                <w:szCs w:val="24"/>
              </w:rPr>
              <w:t>二、现场人员</w:t>
            </w:r>
          </w:p>
        </w:tc>
      </w:tr>
      <w:tr w14:paraId="18F7D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center"/>
          </w:tcPr>
          <w:p w14:paraId="6753B612">
            <w:pPr>
              <w:pStyle w:val="23"/>
              <w:spacing w:line="400" w:lineRule="exact"/>
              <w:jc w:val="center"/>
              <w:rPr>
                <w:rFonts w:hint="eastAsia" w:ascii="宋体" w:hAnsi="宋体" w:eastAsia="宋体" w:cs="宋体"/>
                <w:color w:val="000000"/>
                <w:sz w:val="24"/>
                <w:szCs w:val="24"/>
              </w:rPr>
            </w:pPr>
          </w:p>
        </w:tc>
        <w:tc>
          <w:tcPr>
            <w:tcW w:w="1704" w:type="dxa"/>
            <w:noWrap w:val="0"/>
            <w:vAlign w:val="center"/>
          </w:tcPr>
          <w:p w14:paraId="216434D7">
            <w:pPr>
              <w:pStyle w:val="23"/>
              <w:spacing w:line="400" w:lineRule="exact"/>
              <w:jc w:val="center"/>
              <w:rPr>
                <w:rFonts w:hint="eastAsia" w:ascii="宋体" w:hAnsi="宋体" w:eastAsia="宋体" w:cs="宋体"/>
                <w:color w:val="000000"/>
                <w:sz w:val="24"/>
                <w:szCs w:val="24"/>
              </w:rPr>
            </w:pPr>
          </w:p>
        </w:tc>
        <w:tc>
          <w:tcPr>
            <w:tcW w:w="2229" w:type="dxa"/>
            <w:noWrap w:val="0"/>
            <w:vAlign w:val="center"/>
          </w:tcPr>
          <w:p w14:paraId="78455674">
            <w:pPr>
              <w:pStyle w:val="23"/>
              <w:spacing w:line="400" w:lineRule="exact"/>
              <w:jc w:val="center"/>
              <w:rPr>
                <w:rFonts w:hint="eastAsia" w:ascii="宋体" w:hAnsi="宋体" w:eastAsia="宋体" w:cs="宋体"/>
                <w:color w:val="000000"/>
                <w:sz w:val="24"/>
                <w:szCs w:val="24"/>
              </w:rPr>
            </w:pPr>
          </w:p>
        </w:tc>
        <w:tc>
          <w:tcPr>
            <w:tcW w:w="1701" w:type="dxa"/>
            <w:noWrap w:val="0"/>
            <w:vAlign w:val="center"/>
          </w:tcPr>
          <w:p w14:paraId="43D84EF4">
            <w:pPr>
              <w:pStyle w:val="23"/>
              <w:spacing w:line="400" w:lineRule="exact"/>
              <w:jc w:val="center"/>
              <w:rPr>
                <w:rFonts w:hint="eastAsia" w:ascii="宋体" w:hAnsi="宋体" w:eastAsia="宋体" w:cs="宋体"/>
                <w:color w:val="000000"/>
                <w:sz w:val="24"/>
                <w:szCs w:val="24"/>
              </w:rPr>
            </w:pPr>
          </w:p>
        </w:tc>
        <w:tc>
          <w:tcPr>
            <w:tcW w:w="2409" w:type="dxa"/>
            <w:noWrap w:val="0"/>
            <w:vAlign w:val="center"/>
          </w:tcPr>
          <w:p w14:paraId="1D73F628">
            <w:pPr>
              <w:pStyle w:val="23"/>
              <w:spacing w:line="400" w:lineRule="exact"/>
              <w:jc w:val="center"/>
              <w:rPr>
                <w:rFonts w:hint="eastAsia" w:ascii="宋体" w:hAnsi="宋体" w:eastAsia="宋体" w:cs="宋体"/>
                <w:color w:val="000000"/>
                <w:sz w:val="24"/>
                <w:szCs w:val="24"/>
              </w:rPr>
            </w:pPr>
          </w:p>
        </w:tc>
      </w:tr>
      <w:tr w14:paraId="25179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center"/>
          </w:tcPr>
          <w:p w14:paraId="1054A232">
            <w:pPr>
              <w:pStyle w:val="23"/>
              <w:spacing w:line="400" w:lineRule="exact"/>
              <w:jc w:val="center"/>
              <w:rPr>
                <w:rFonts w:hint="eastAsia" w:ascii="宋体" w:hAnsi="宋体" w:eastAsia="宋体" w:cs="宋体"/>
                <w:color w:val="000000"/>
                <w:sz w:val="24"/>
                <w:szCs w:val="24"/>
              </w:rPr>
            </w:pPr>
          </w:p>
        </w:tc>
        <w:tc>
          <w:tcPr>
            <w:tcW w:w="1704" w:type="dxa"/>
            <w:noWrap w:val="0"/>
            <w:vAlign w:val="center"/>
          </w:tcPr>
          <w:p w14:paraId="64851098">
            <w:pPr>
              <w:pStyle w:val="23"/>
              <w:spacing w:line="400" w:lineRule="exact"/>
              <w:jc w:val="center"/>
              <w:rPr>
                <w:rFonts w:hint="eastAsia" w:ascii="宋体" w:hAnsi="宋体" w:eastAsia="宋体" w:cs="宋体"/>
                <w:color w:val="000000"/>
                <w:sz w:val="24"/>
                <w:szCs w:val="24"/>
              </w:rPr>
            </w:pPr>
          </w:p>
        </w:tc>
        <w:tc>
          <w:tcPr>
            <w:tcW w:w="2229" w:type="dxa"/>
            <w:noWrap w:val="0"/>
            <w:vAlign w:val="center"/>
          </w:tcPr>
          <w:p w14:paraId="51E73AF0">
            <w:pPr>
              <w:pStyle w:val="23"/>
              <w:spacing w:line="400" w:lineRule="exact"/>
              <w:jc w:val="center"/>
              <w:rPr>
                <w:rFonts w:hint="eastAsia" w:ascii="宋体" w:hAnsi="宋体" w:eastAsia="宋体" w:cs="宋体"/>
                <w:color w:val="000000"/>
                <w:sz w:val="24"/>
                <w:szCs w:val="24"/>
              </w:rPr>
            </w:pPr>
          </w:p>
        </w:tc>
        <w:tc>
          <w:tcPr>
            <w:tcW w:w="1701" w:type="dxa"/>
            <w:noWrap w:val="0"/>
            <w:vAlign w:val="center"/>
          </w:tcPr>
          <w:p w14:paraId="039446A6">
            <w:pPr>
              <w:pStyle w:val="23"/>
              <w:spacing w:line="400" w:lineRule="exact"/>
              <w:jc w:val="center"/>
              <w:rPr>
                <w:rFonts w:hint="eastAsia" w:ascii="宋体" w:hAnsi="宋体" w:eastAsia="宋体" w:cs="宋体"/>
                <w:color w:val="000000"/>
                <w:sz w:val="24"/>
                <w:szCs w:val="24"/>
              </w:rPr>
            </w:pPr>
          </w:p>
        </w:tc>
        <w:tc>
          <w:tcPr>
            <w:tcW w:w="2409" w:type="dxa"/>
            <w:noWrap w:val="0"/>
            <w:vAlign w:val="center"/>
          </w:tcPr>
          <w:p w14:paraId="75D12BE1">
            <w:pPr>
              <w:pStyle w:val="23"/>
              <w:spacing w:line="400" w:lineRule="exact"/>
              <w:jc w:val="center"/>
              <w:rPr>
                <w:rFonts w:hint="eastAsia" w:ascii="宋体" w:hAnsi="宋体" w:eastAsia="宋体" w:cs="宋体"/>
                <w:color w:val="000000"/>
                <w:sz w:val="24"/>
                <w:szCs w:val="24"/>
              </w:rPr>
            </w:pPr>
          </w:p>
        </w:tc>
      </w:tr>
      <w:tr w14:paraId="6C239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center"/>
          </w:tcPr>
          <w:p w14:paraId="69C449BD">
            <w:pPr>
              <w:pStyle w:val="23"/>
              <w:spacing w:line="400" w:lineRule="exact"/>
              <w:jc w:val="center"/>
              <w:rPr>
                <w:rFonts w:hint="eastAsia" w:ascii="宋体" w:hAnsi="宋体" w:eastAsia="宋体" w:cs="宋体"/>
                <w:color w:val="000000"/>
                <w:sz w:val="24"/>
                <w:szCs w:val="24"/>
              </w:rPr>
            </w:pPr>
          </w:p>
        </w:tc>
        <w:tc>
          <w:tcPr>
            <w:tcW w:w="1704" w:type="dxa"/>
            <w:noWrap w:val="0"/>
            <w:vAlign w:val="center"/>
          </w:tcPr>
          <w:p w14:paraId="7CF9812A">
            <w:pPr>
              <w:pStyle w:val="23"/>
              <w:spacing w:line="400" w:lineRule="exact"/>
              <w:jc w:val="center"/>
              <w:rPr>
                <w:rFonts w:hint="eastAsia" w:ascii="宋体" w:hAnsi="宋体" w:eastAsia="宋体" w:cs="宋体"/>
                <w:color w:val="000000"/>
                <w:sz w:val="24"/>
                <w:szCs w:val="24"/>
              </w:rPr>
            </w:pPr>
          </w:p>
        </w:tc>
        <w:tc>
          <w:tcPr>
            <w:tcW w:w="2229" w:type="dxa"/>
            <w:noWrap w:val="0"/>
            <w:vAlign w:val="center"/>
          </w:tcPr>
          <w:p w14:paraId="28B85FFC">
            <w:pPr>
              <w:pStyle w:val="23"/>
              <w:spacing w:line="400" w:lineRule="exact"/>
              <w:jc w:val="center"/>
              <w:rPr>
                <w:rFonts w:hint="eastAsia" w:ascii="宋体" w:hAnsi="宋体" w:eastAsia="宋体" w:cs="宋体"/>
                <w:color w:val="000000"/>
                <w:sz w:val="24"/>
                <w:szCs w:val="24"/>
              </w:rPr>
            </w:pPr>
          </w:p>
        </w:tc>
        <w:tc>
          <w:tcPr>
            <w:tcW w:w="1701" w:type="dxa"/>
            <w:noWrap w:val="0"/>
            <w:vAlign w:val="center"/>
          </w:tcPr>
          <w:p w14:paraId="1434178E">
            <w:pPr>
              <w:pStyle w:val="23"/>
              <w:spacing w:line="400" w:lineRule="exact"/>
              <w:jc w:val="center"/>
              <w:rPr>
                <w:rFonts w:hint="eastAsia" w:ascii="宋体" w:hAnsi="宋体" w:eastAsia="宋体" w:cs="宋体"/>
                <w:color w:val="000000"/>
                <w:sz w:val="24"/>
                <w:szCs w:val="24"/>
              </w:rPr>
            </w:pPr>
          </w:p>
        </w:tc>
        <w:tc>
          <w:tcPr>
            <w:tcW w:w="2409" w:type="dxa"/>
            <w:noWrap w:val="0"/>
            <w:vAlign w:val="center"/>
          </w:tcPr>
          <w:p w14:paraId="1BE16636">
            <w:pPr>
              <w:pStyle w:val="23"/>
              <w:spacing w:line="400" w:lineRule="exact"/>
              <w:jc w:val="center"/>
              <w:rPr>
                <w:rFonts w:hint="eastAsia" w:ascii="宋体" w:hAnsi="宋体" w:eastAsia="宋体" w:cs="宋体"/>
                <w:color w:val="000000"/>
                <w:sz w:val="24"/>
                <w:szCs w:val="24"/>
              </w:rPr>
            </w:pPr>
          </w:p>
        </w:tc>
      </w:tr>
      <w:tr w14:paraId="3C14F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center"/>
          </w:tcPr>
          <w:p w14:paraId="4C059DCB">
            <w:pPr>
              <w:pStyle w:val="23"/>
              <w:spacing w:line="400" w:lineRule="exact"/>
              <w:jc w:val="center"/>
              <w:rPr>
                <w:rFonts w:hint="eastAsia" w:ascii="宋体" w:hAnsi="宋体" w:eastAsia="宋体" w:cs="宋体"/>
                <w:color w:val="000000"/>
                <w:sz w:val="24"/>
                <w:szCs w:val="24"/>
              </w:rPr>
            </w:pPr>
          </w:p>
        </w:tc>
        <w:tc>
          <w:tcPr>
            <w:tcW w:w="1704" w:type="dxa"/>
            <w:noWrap w:val="0"/>
            <w:vAlign w:val="center"/>
          </w:tcPr>
          <w:p w14:paraId="1D6B60B1">
            <w:pPr>
              <w:pStyle w:val="23"/>
              <w:spacing w:line="400" w:lineRule="exact"/>
              <w:jc w:val="center"/>
              <w:rPr>
                <w:rFonts w:hint="eastAsia" w:ascii="宋体" w:hAnsi="宋体" w:eastAsia="宋体" w:cs="宋体"/>
                <w:color w:val="000000"/>
                <w:sz w:val="24"/>
                <w:szCs w:val="24"/>
              </w:rPr>
            </w:pPr>
          </w:p>
        </w:tc>
        <w:tc>
          <w:tcPr>
            <w:tcW w:w="2229" w:type="dxa"/>
            <w:noWrap w:val="0"/>
            <w:vAlign w:val="center"/>
          </w:tcPr>
          <w:p w14:paraId="49511AB8">
            <w:pPr>
              <w:pStyle w:val="23"/>
              <w:spacing w:line="400" w:lineRule="exact"/>
              <w:jc w:val="center"/>
              <w:rPr>
                <w:rFonts w:hint="eastAsia" w:ascii="宋体" w:hAnsi="宋体" w:eastAsia="宋体" w:cs="宋体"/>
                <w:color w:val="000000"/>
                <w:sz w:val="24"/>
                <w:szCs w:val="24"/>
              </w:rPr>
            </w:pPr>
          </w:p>
        </w:tc>
        <w:tc>
          <w:tcPr>
            <w:tcW w:w="1701" w:type="dxa"/>
            <w:noWrap w:val="0"/>
            <w:vAlign w:val="center"/>
          </w:tcPr>
          <w:p w14:paraId="2ED9141D">
            <w:pPr>
              <w:pStyle w:val="23"/>
              <w:spacing w:line="400" w:lineRule="exact"/>
              <w:jc w:val="center"/>
              <w:rPr>
                <w:rFonts w:hint="eastAsia" w:ascii="宋体" w:hAnsi="宋体" w:eastAsia="宋体" w:cs="宋体"/>
                <w:color w:val="000000"/>
                <w:sz w:val="24"/>
                <w:szCs w:val="24"/>
              </w:rPr>
            </w:pPr>
          </w:p>
        </w:tc>
        <w:tc>
          <w:tcPr>
            <w:tcW w:w="2409" w:type="dxa"/>
            <w:noWrap w:val="0"/>
            <w:vAlign w:val="center"/>
          </w:tcPr>
          <w:p w14:paraId="0021CC1D">
            <w:pPr>
              <w:pStyle w:val="23"/>
              <w:spacing w:line="400" w:lineRule="exact"/>
              <w:jc w:val="center"/>
              <w:rPr>
                <w:rFonts w:hint="eastAsia" w:ascii="宋体" w:hAnsi="宋体" w:eastAsia="宋体" w:cs="宋体"/>
                <w:color w:val="000000"/>
                <w:sz w:val="24"/>
                <w:szCs w:val="24"/>
              </w:rPr>
            </w:pPr>
          </w:p>
        </w:tc>
      </w:tr>
      <w:tr w14:paraId="0FE39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center"/>
          </w:tcPr>
          <w:p w14:paraId="160E69DF">
            <w:pPr>
              <w:pStyle w:val="23"/>
              <w:spacing w:line="400" w:lineRule="exact"/>
              <w:jc w:val="center"/>
              <w:rPr>
                <w:rFonts w:hint="eastAsia" w:ascii="宋体" w:hAnsi="宋体" w:eastAsia="宋体" w:cs="宋体"/>
                <w:color w:val="000000"/>
                <w:sz w:val="24"/>
                <w:szCs w:val="24"/>
              </w:rPr>
            </w:pPr>
          </w:p>
        </w:tc>
        <w:tc>
          <w:tcPr>
            <w:tcW w:w="1704" w:type="dxa"/>
            <w:noWrap w:val="0"/>
            <w:vAlign w:val="center"/>
          </w:tcPr>
          <w:p w14:paraId="5289E87B">
            <w:pPr>
              <w:pStyle w:val="23"/>
              <w:spacing w:line="400" w:lineRule="exact"/>
              <w:jc w:val="center"/>
              <w:rPr>
                <w:rFonts w:hint="eastAsia" w:ascii="宋体" w:hAnsi="宋体" w:eastAsia="宋体" w:cs="宋体"/>
                <w:color w:val="000000"/>
                <w:sz w:val="24"/>
                <w:szCs w:val="24"/>
              </w:rPr>
            </w:pPr>
          </w:p>
        </w:tc>
        <w:tc>
          <w:tcPr>
            <w:tcW w:w="2229" w:type="dxa"/>
            <w:noWrap w:val="0"/>
            <w:vAlign w:val="center"/>
          </w:tcPr>
          <w:p w14:paraId="63AC9EE6">
            <w:pPr>
              <w:pStyle w:val="23"/>
              <w:spacing w:line="400" w:lineRule="exact"/>
              <w:jc w:val="center"/>
              <w:rPr>
                <w:rFonts w:hint="eastAsia" w:ascii="宋体" w:hAnsi="宋体" w:eastAsia="宋体" w:cs="宋体"/>
                <w:color w:val="000000"/>
                <w:sz w:val="24"/>
                <w:szCs w:val="24"/>
              </w:rPr>
            </w:pPr>
          </w:p>
        </w:tc>
        <w:tc>
          <w:tcPr>
            <w:tcW w:w="1701" w:type="dxa"/>
            <w:noWrap w:val="0"/>
            <w:vAlign w:val="center"/>
          </w:tcPr>
          <w:p w14:paraId="2CF37CD1">
            <w:pPr>
              <w:pStyle w:val="23"/>
              <w:spacing w:line="400" w:lineRule="exact"/>
              <w:jc w:val="center"/>
              <w:rPr>
                <w:rFonts w:hint="eastAsia" w:ascii="宋体" w:hAnsi="宋体" w:eastAsia="宋体" w:cs="宋体"/>
                <w:color w:val="000000"/>
                <w:sz w:val="24"/>
                <w:szCs w:val="24"/>
              </w:rPr>
            </w:pPr>
          </w:p>
        </w:tc>
        <w:tc>
          <w:tcPr>
            <w:tcW w:w="2409" w:type="dxa"/>
            <w:noWrap w:val="0"/>
            <w:vAlign w:val="center"/>
          </w:tcPr>
          <w:p w14:paraId="62008910">
            <w:pPr>
              <w:pStyle w:val="23"/>
              <w:spacing w:line="400" w:lineRule="exact"/>
              <w:jc w:val="center"/>
              <w:rPr>
                <w:rFonts w:hint="eastAsia" w:ascii="宋体" w:hAnsi="宋体" w:eastAsia="宋体" w:cs="宋体"/>
                <w:color w:val="000000"/>
                <w:sz w:val="24"/>
                <w:szCs w:val="24"/>
              </w:rPr>
            </w:pPr>
          </w:p>
        </w:tc>
      </w:tr>
      <w:tr w14:paraId="33D71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center"/>
          </w:tcPr>
          <w:p w14:paraId="25A8BC57">
            <w:pPr>
              <w:pStyle w:val="23"/>
              <w:spacing w:line="400" w:lineRule="exact"/>
              <w:jc w:val="center"/>
              <w:rPr>
                <w:rFonts w:hint="eastAsia" w:ascii="宋体" w:hAnsi="宋体" w:eastAsia="宋体" w:cs="宋体"/>
                <w:color w:val="000000"/>
                <w:sz w:val="24"/>
                <w:szCs w:val="24"/>
              </w:rPr>
            </w:pPr>
          </w:p>
        </w:tc>
        <w:tc>
          <w:tcPr>
            <w:tcW w:w="1704" w:type="dxa"/>
            <w:noWrap w:val="0"/>
            <w:vAlign w:val="center"/>
          </w:tcPr>
          <w:p w14:paraId="2F0D557E">
            <w:pPr>
              <w:pStyle w:val="23"/>
              <w:spacing w:line="400" w:lineRule="exact"/>
              <w:jc w:val="center"/>
              <w:rPr>
                <w:rFonts w:hint="eastAsia" w:ascii="宋体" w:hAnsi="宋体" w:eastAsia="宋体" w:cs="宋体"/>
                <w:color w:val="000000"/>
                <w:sz w:val="24"/>
                <w:szCs w:val="24"/>
              </w:rPr>
            </w:pPr>
          </w:p>
        </w:tc>
        <w:tc>
          <w:tcPr>
            <w:tcW w:w="2229" w:type="dxa"/>
            <w:noWrap w:val="0"/>
            <w:vAlign w:val="center"/>
          </w:tcPr>
          <w:p w14:paraId="450E311D">
            <w:pPr>
              <w:pStyle w:val="23"/>
              <w:spacing w:line="400" w:lineRule="exact"/>
              <w:jc w:val="center"/>
              <w:rPr>
                <w:rFonts w:hint="eastAsia" w:ascii="宋体" w:hAnsi="宋体" w:eastAsia="宋体" w:cs="宋体"/>
                <w:color w:val="000000"/>
                <w:sz w:val="24"/>
                <w:szCs w:val="24"/>
              </w:rPr>
            </w:pPr>
          </w:p>
        </w:tc>
        <w:tc>
          <w:tcPr>
            <w:tcW w:w="1701" w:type="dxa"/>
            <w:noWrap w:val="0"/>
            <w:vAlign w:val="center"/>
          </w:tcPr>
          <w:p w14:paraId="5579C12E">
            <w:pPr>
              <w:pStyle w:val="23"/>
              <w:spacing w:line="400" w:lineRule="exact"/>
              <w:jc w:val="center"/>
              <w:rPr>
                <w:rFonts w:hint="eastAsia" w:ascii="宋体" w:hAnsi="宋体" w:eastAsia="宋体" w:cs="宋体"/>
                <w:color w:val="000000"/>
                <w:sz w:val="24"/>
                <w:szCs w:val="24"/>
              </w:rPr>
            </w:pPr>
          </w:p>
        </w:tc>
        <w:tc>
          <w:tcPr>
            <w:tcW w:w="2409" w:type="dxa"/>
            <w:noWrap w:val="0"/>
            <w:vAlign w:val="center"/>
          </w:tcPr>
          <w:p w14:paraId="4A6A41F1">
            <w:pPr>
              <w:pStyle w:val="23"/>
              <w:spacing w:line="400" w:lineRule="exact"/>
              <w:jc w:val="center"/>
              <w:rPr>
                <w:rFonts w:hint="eastAsia" w:ascii="宋体" w:hAnsi="宋体" w:eastAsia="宋体" w:cs="宋体"/>
                <w:color w:val="000000"/>
                <w:sz w:val="24"/>
                <w:szCs w:val="24"/>
              </w:rPr>
            </w:pPr>
          </w:p>
        </w:tc>
      </w:tr>
      <w:tr w14:paraId="52DC7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center"/>
          </w:tcPr>
          <w:p w14:paraId="228B27B7">
            <w:pPr>
              <w:pStyle w:val="23"/>
              <w:spacing w:line="400" w:lineRule="exact"/>
              <w:jc w:val="center"/>
              <w:rPr>
                <w:rFonts w:hint="eastAsia" w:ascii="宋体" w:hAnsi="宋体" w:eastAsia="宋体" w:cs="宋体"/>
                <w:color w:val="000000"/>
                <w:sz w:val="24"/>
                <w:szCs w:val="24"/>
              </w:rPr>
            </w:pPr>
          </w:p>
        </w:tc>
        <w:tc>
          <w:tcPr>
            <w:tcW w:w="1704" w:type="dxa"/>
            <w:noWrap w:val="0"/>
            <w:vAlign w:val="center"/>
          </w:tcPr>
          <w:p w14:paraId="1D07CF6E">
            <w:pPr>
              <w:pStyle w:val="23"/>
              <w:spacing w:line="400" w:lineRule="exact"/>
              <w:jc w:val="center"/>
              <w:rPr>
                <w:rFonts w:hint="eastAsia" w:ascii="宋体" w:hAnsi="宋体" w:eastAsia="宋体" w:cs="宋体"/>
                <w:color w:val="000000"/>
                <w:sz w:val="24"/>
                <w:szCs w:val="24"/>
              </w:rPr>
            </w:pPr>
          </w:p>
        </w:tc>
        <w:tc>
          <w:tcPr>
            <w:tcW w:w="2229" w:type="dxa"/>
            <w:noWrap w:val="0"/>
            <w:vAlign w:val="center"/>
          </w:tcPr>
          <w:p w14:paraId="202F45EE">
            <w:pPr>
              <w:pStyle w:val="23"/>
              <w:spacing w:line="400" w:lineRule="exact"/>
              <w:jc w:val="center"/>
              <w:rPr>
                <w:rFonts w:hint="eastAsia" w:ascii="宋体" w:hAnsi="宋体" w:eastAsia="宋体" w:cs="宋体"/>
                <w:color w:val="000000"/>
                <w:sz w:val="24"/>
                <w:szCs w:val="24"/>
              </w:rPr>
            </w:pPr>
          </w:p>
        </w:tc>
        <w:tc>
          <w:tcPr>
            <w:tcW w:w="1701" w:type="dxa"/>
            <w:noWrap w:val="0"/>
            <w:vAlign w:val="center"/>
          </w:tcPr>
          <w:p w14:paraId="1F4CA56C">
            <w:pPr>
              <w:pStyle w:val="23"/>
              <w:spacing w:line="400" w:lineRule="exact"/>
              <w:ind w:left="63"/>
              <w:jc w:val="center"/>
              <w:rPr>
                <w:rFonts w:hint="eastAsia" w:ascii="宋体" w:hAnsi="宋体" w:eastAsia="宋体" w:cs="宋体"/>
                <w:color w:val="000000"/>
                <w:sz w:val="24"/>
                <w:szCs w:val="24"/>
              </w:rPr>
            </w:pPr>
          </w:p>
        </w:tc>
        <w:tc>
          <w:tcPr>
            <w:tcW w:w="2409" w:type="dxa"/>
            <w:noWrap w:val="0"/>
            <w:vAlign w:val="center"/>
          </w:tcPr>
          <w:p w14:paraId="058E743C">
            <w:pPr>
              <w:pStyle w:val="23"/>
              <w:spacing w:line="400" w:lineRule="exact"/>
              <w:jc w:val="center"/>
              <w:rPr>
                <w:rFonts w:hint="eastAsia" w:ascii="宋体" w:hAnsi="宋体" w:eastAsia="宋体" w:cs="宋体"/>
                <w:color w:val="000000"/>
                <w:sz w:val="24"/>
                <w:szCs w:val="24"/>
              </w:rPr>
            </w:pPr>
          </w:p>
        </w:tc>
      </w:tr>
      <w:tr w14:paraId="535C5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center"/>
          </w:tcPr>
          <w:p w14:paraId="3C6743E9">
            <w:pPr>
              <w:pStyle w:val="23"/>
              <w:spacing w:line="400" w:lineRule="exact"/>
              <w:jc w:val="center"/>
              <w:rPr>
                <w:rFonts w:hint="eastAsia" w:ascii="宋体" w:hAnsi="宋体" w:eastAsia="宋体" w:cs="宋体"/>
                <w:color w:val="000000"/>
                <w:sz w:val="24"/>
                <w:szCs w:val="24"/>
              </w:rPr>
            </w:pPr>
          </w:p>
        </w:tc>
        <w:tc>
          <w:tcPr>
            <w:tcW w:w="1704" w:type="dxa"/>
            <w:noWrap w:val="0"/>
            <w:vAlign w:val="center"/>
          </w:tcPr>
          <w:p w14:paraId="675A114B">
            <w:pPr>
              <w:pStyle w:val="23"/>
              <w:spacing w:line="400" w:lineRule="exact"/>
              <w:jc w:val="center"/>
              <w:rPr>
                <w:rFonts w:hint="eastAsia" w:ascii="宋体" w:hAnsi="宋体" w:eastAsia="宋体" w:cs="宋体"/>
                <w:color w:val="000000"/>
                <w:sz w:val="24"/>
                <w:szCs w:val="24"/>
              </w:rPr>
            </w:pPr>
          </w:p>
        </w:tc>
        <w:tc>
          <w:tcPr>
            <w:tcW w:w="2229" w:type="dxa"/>
            <w:noWrap w:val="0"/>
            <w:vAlign w:val="center"/>
          </w:tcPr>
          <w:p w14:paraId="0B5619B3">
            <w:pPr>
              <w:pStyle w:val="23"/>
              <w:spacing w:line="400" w:lineRule="exact"/>
              <w:jc w:val="center"/>
              <w:rPr>
                <w:rFonts w:hint="eastAsia" w:ascii="宋体" w:hAnsi="宋体" w:eastAsia="宋体" w:cs="宋体"/>
                <w:color w:val="000000"/>
                <w:sz w:val="24"/>
                <w:szCs w:val="24"/>
              </w:rPr>
            </w:pPr>
          </w:p>
        </w:tc>
        <w:tc>
          <w:tcPr>
            <w:tcW w:w="1701" w:type="dxa"/>
            <w:noWrap w:val="0"/>
            <w:vAlign w:val="center"/>
          </w:tcPr>
          <w:p w14:paraId="2DAE32BB">
            <w:pPr>
              <w:pStyle w:val="23"/>
              <w:spacing w:line="400" w:lineRule="exact"/>
              <w:ind w:left="63"/>
              <w:jc w:val="center"/>
              <w:rPr>
                <w:rFonts w:hint="eastAsia" w:ascii="宋体" w:hAnsi="宋体" w:eastAsia="宋体" w:cs="宋体"/>
                <w:color w:val="000000"/>
                <w:sz w:val="24"/>
                <w:szCs w:val="24"/>
              </w:rPr>
            </w:pPr>
          </w:p>
        </w:tc>
        <w:tc>
          <w:tcPr>
            <w:tcW w:w="2409" w:type="dxa"/>
            <w:noWrap w:val="0"/>
            <w:vAlign w:val="center"/>
          </w:tcPr>
          <w:p w14:paraId="28A1614A">
            <w:pPr>
              <w:pStyle w:val="23"/>
              <w:spacing w:line="400" w:lineRule="exact"/>
              <w:jc w:val="center"/>
              <w:rPr>
                <w:rFonts w:hint="eastAsia" w:ascii="宋体" w:hAnsi="宋体" w:eastAsia="宋体" w:cs="宋体"/>
                <w:color w:val="000000"/>
                <w:sz w:val="24"/>
                <w:szCs w:val="24"/>
              </w:rPr>
            </w:pPr>
          </w:p>
        </w:tc>
      </w:tr>
      <w:tr w14:paraId="15429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center"/>
          </w:tcPr>
          <w:p w14:paraId="569CAD9A">
            <w:pPr>
              <w:pStyle w:val="23"/>
              <w:spacing w:line="400" w:lineRule="exact"/>
              <w:jc w:val="center"/>
              <w:rPr>
                <w:rFonts w:hint="eastAsia" w:ascii="宋体" w:hAnsi="宋体" w:eastAsia="宋体" w:cs="宋体"/>
                <w:color w:val="000000"/>
                <w:sz w:val="24"/>
                <w:szCs w:val="24"/>
              </w:rPr>
            </w:pPr>
          </w:p>
        </w:tc>
        <w:tc>
          <w:tcPr>
            <w:tcW w:w="1704" w:type="dxa"/>
            <w:noWrap w:val="0"/>
            <w:vAlign w:val="center"/>
          </w:tcPr>
          <w:p w14:paraId="50331EE8">
            <w:pPr>
              <w:pStyle w:val="23"/>
              <w:spacing w:line="400" w:lineRule="exact"/>
              <w:jc w:val="center"/>
              <w:rPr>
                <w:rFonts w:hint="eastAsia" w:ascii="宋体" w:hAnsi="宋体" w:eastAsia="宋体" w:cs="宋体"/>
                <w:color w:val="000000"/>
                <w:sz w:val="24"/>
                <w:szCs w:val="24"/>
              </w:rPr>
            </w:pPr>
          </w:p>
        </w:tc>
        <w:tc>
          <w:tcPr>
            <w:tcW w:w="2229" w:type="dxa"/>
            <w:noWrap w:val="0"/>
            <w:vAlign w:val="center"/>
          </w:tcPr>
          <w:p w14:paraId="16B4CC50">
            <w:pPr>
              <w:pStyle w:val="23"/>
              <w:spacing w:line="400" w:lineRule="exact"/>
              <w:jc w:val="center"/>
              <w:rPr>
                <w:rFonts w:hint="eastAsia" w:ascii="宋体" w:hAnsi="宋体" w:eastAsia="宋体" w:cs="宋体"/>
                <w:color w:val="000000"/>
                <w:sz w:val="24"/>
                <w:szCs w:val="24"/>
              </w:rPr>
            </w:pPr>
          </w:p>
        </w:tc>
        <w:tc>
          <w:tcPr>
            <w:tcW w:w="1701" w:type="dxa"/>
            <w:noWrap w:val="0"/>
            <w:vAlign w:val="center"/>
          </w:tcPr>
          <w:p w14:paraId="287838A4">
            <w:pPr>
              <w:pStyle w:val="23"/>
              <w:spacing w:line="400" w:lineRule="exact"/>
              <w:ind w:left="63"/>
              <w:jc w:val="center"/>
              <w:rPr>
                <w:rFonts w:hint="eastAsia" w:ascii="宋体" w:hAnsi="宋体" w:eastAsia="宋体" w:cs="宋体"/>
                <w:color w:val="000000"/>
                <w:sz w:val="24"/>
                <w:szCs w:val="24"/>
              </w:rPr>
            </w:pPr>
          </w:p>
        </w:tc>
        <w:tc>
          <w:tcPr>
            <w:tcW w:w="2409" w:type="dxa"/>
            <w:noWrap w:val="0"/>
            <w:vAlign w:val="center"/>
          </w:tcPr>
          <w:p w14:paraId="7004DBA7">
            <w:pPr>
              <w:pStyle w:val="23"/>
              <w:spacing w:line="400" w:lineRule="exact"/>
              <w:jc w:val="center"/>
              <w:rPr>
                <w:rFonts w:hint="eastAsia" w:ascii="宋体" w:hAnsi="宋体" w:eastAsia="宋体" w:cs="宋体"/>
                <w:color w:val="000000"/>
                <w:sz w:val="24"/>
                <w:szCs w:val="24"/>
              </w:rPr>
            </w:pPr>
          </w:p>
        </w:tc>
      </w:tr>
      <w:tr w14:paraId="7FE76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center"/>
          </w:tcPr>
          <w:p w14:paraId="6559BEC5">
            <w:pPr>
              <w:pStyle w:val="23"/>
              <w:spacing w:line="400" w:lineRule="exact"/>
              <w:ind w:firstLine="240" w:firstLineChars="100"/>
              <w:rPr>
                <w:rStyle w:val="24"/>
                <w:rFonts w:hint="eastAsia" w:ascii="宋体" w:hAnsi="宋体" w:eastAsia="宋体" w:cs="宋体"/>
                <w:sz w:val="24"/>
                <w:szCs w:val="24"/>
              </w:rPr>
            </w:pPr>
          </w:p>
        </w:tc>
        <w:tc>
          <w:tcPr>
            <w:tcW w:w="1704" w:type="dxa"/>
            <w:noWrap w:val="0"/>
            <w:vAlign w:val="center"/>
          </w:tcPr>
          <w:p w14:paraId="7C63D553">
            <w:pPr>
              <w:pStyle w:val="23"/>
              <w:spacing w:line="400" w:lineRule="exact"/>
              <w:ind w:firstLine="360" w:firstLineChars="150"/>
              <w:rPr>
                <w:rStyle w:val="24"/>
                <w:rFonts w:hint="eastAsia" w:ascii="宋体" w:hAnsi="宋体" w:eastAsia="宋体" w:cs="宋体"/>
                <w:sz w:val="24"/>
                <w:szCs w:val="24"/>
              </w:rPr>
            </w:pPr>
          </w:p>
        </w:tc>
        <w:tc>
          <w:tcPr>
            <w:tcW w:w="2229" w:type="dxa"/>
            <w:noWrap w:val="0"/>
            <w:vAlign w:val="center"/>
          </w:tcPr>
          <w:p w14:paraId="52A183AF">
            <w:pPr>
              <w:pStyle w:val="23"/>
              <w:spacing w:line="400" w:lineRule="exact"/>
              <w:jc w:val="center"/>
              <w:rPr>
                <w:rStyle w:val="24"/>
                <w:rFonts w:hint="eastAsia" w:ascii="宋体" w:hAnsi="宋体" w:eastAsia="宋体" w:cs="宋体"/>
                <w:sz w:val="24"/>
                <w:szCs w:val="24"/>
              </w:rPr>
            </w:pPr>
          </w:p>
        </w:tc>
        <w:tc>
          <w:tcPr>
            <w:tcW w:w="1701" w:type="dxa"/>
            <w:noWrap w:val="0"/>
            <w:vAlign w:val="center"/>
          </w:tcPr>
          <w:p w14:paraId="5555FFA2">
            <w:pPr>
              <w:pStyle w:val="23"/>
              <w:spacing w:line="400" w:lineRule="exact"/>
              <w:ind w:left="63"/>
              <w:jc w:val="center"/>
              <w:rPr>
                <w:rFonts w:hint="eastAsia" w:ascii="宋体" w:hAnsi="宋体" w:eastAsia="宋体" w:cs="宋体"/>
                <w:sz w:val="24"/>
                <w:szCs w:val="24"/>
              </w:rPr>
            </w:pPr>
          </w:p>
        </w:tc>
        <w:tc>
          <w:tcPr>
            <w:tcW w:w="2409" w:type="dxa"/>
            <w:noWrap w:val="0"/>
            <w:vAlign w:val="center"/>
          </w:tcPr>
          <w:p w14:paraId="00459791">
            <w:pPr>
              <w:pStyle w:val="23"/>
              <w:spacing w:line="400" w:lineRule="exact"/>
              <w:rPr>
                <w:rFonts w:hint="eastAsia" w:ascii="宋体" w:hAnsi="宋体" w:eastAsia="宋体" w:cs="宋体"/>
                <w:sz w:val="24"/>
                <w:szCs w:val="24"/>
              </w:rPr>
            </w:pPr>
          </w:p>
        </w:tc>
      </w:tr>
      <w:tr w14:paraId="53BF9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center"/>
          </w:tcPr>
          <w:p w14:paraId="759BE71A">
            <w:pPr>
              <w:pStyle w:val="23"/>
              <w:spacing w:line="400" w:lineRule="exact"/>
              <w:jc w:val="center"/>
              <w:rPr>
                <w:rFonts w:hint="eastAsia" w:ascii="宋体" w:hAnsi="宋体" w:eastAsia="宋体" w:cs="宋体"/>
                <w:color w:val="000000"/>
                <w:sz w:val="24"/>
                <w:szCs w:val="24"/>
              </w:rPr>
            </w:pPr>
          </w:p>
        </w:tc>
        <w:tc>
          <w:tcPr>
            <w:tcW w:w="1704" w:type="dxa"/>
            <w:noWrap w:val="0"/>
            <w:vAlign w:val="center"/>
          </w:tcPr>
          <w:p w14:paraId="0DFCCD15">
            <w:pPr>
              <w:pStyle w:val="23"/>
              <w:spacing w:line="400" w:lineRule="exact"/>
              <w:jc w:val="center"/>
              <w:rPr>
                <w:rFonts w:hint="eastAsia" w:ascii="宋体" w:hAnsi="宋体" w:eastAsia="宋体" w:cs="宋体"/>
                <w:color w:val="000000"/>
                <w:sz w:val="24"/>
                <w:szCs w:val="24"/>
              </w:rPr>
            </w:pPr>
          </w:p>
        </w:tc>
        <w:tc>
          <w:tcPr>
            <w:tcW w:w="2229" w:type="dxa"/>
            <w:noWrap w:val="0"/>
            <w:vAlign w:val="center"/>
          </w:tcPr>
          <w:p w14:paraId="061663B2">
            <w:pPr>
              <w:pStyle w:val="23"/>
              <w:spacing w:line="400" w:lineRule="exact"/>
              <w:jc w:val="center"/>
              <w:rPr>
                <w:rFonts w:hint="eastAsia" w:ascii="宋体" w:hAnsi="宋体" w:eastAsia="宋体" w:cs="宋体"/>
                <w:color w:val="000000"/>
                <w:sz w:val="24"/>
                <w:szCs w:val="24"/>
              </w:rPr>
            </w:pPr>
          </w:p>
        </w:tc>
        <w:tc>
          <w:tcPr>
            <w:tcW w:w="1701" w:type="dxa"/>
            <w:noWrap w:val="0"/>
            <w:vAlign w:val="center"/>
          </w:tcPr>
          <w:p w14:paraId="602D6B13">
            <w:pPr>
              <w:pStyle w:val="23"/>
              <w:spacing w:line="400" w:lineRule="exact"/>
              <w:ind w:left="63"/>
              <w:jc w:val="center"/>
              <w:rPr>
                <w:rFonts w:hint="eastAsia" w:ascii="宋体" w:hAnsi="宋体" w:eastAsia="宋体" w:cs="宋体"/>
                <w:color w:val="000000"/>
                <w:sz w:val="24"/>
                <w:szCs w:val="24"/>
              </w:rPr>
            </w:pPr>
          </w:p>
        </w:tc>
        <w:tc>
          <w:tcPr>
            <w:tcW w:w="2409" w:type="dxa"/>
            <w:noWrap w:val="0"/>
            <w:vAlign w:val="center"/>
          </w:tcPr>
          <w:p w14:paraId="244E846C">
            <w:pPr>
              <w:pStyle w:val="23"/>
              <w:spacing w:line="400" w:lineRule="exact"/>
              <w:jc w:val="center"/>
              <w:rPr>
                <w:rFonts w:hint="eastAsia" w:ascii="宋体" w:hAnsi="宋体" w:eastAsia="宋体" w:cs="宋体"/>
                <w:color w:val="000000"/>
                <w:sz w:val="24"/>
                <w:szCs w:val="24"/>
              </w:rPr>
            </w:pPr>
          </w:p>
        </w:tc>
      </w:tr>
      <w:tr w14:paraId="757B6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center"/>
          </w:tcPr>
          <w:p w14:paraId="6C767B22">
            <w:pPr>
              <w:pStyle w:val="23"/>
              <w:spacing w:line="400" w:lineRule="exact"/>
              <w:jc w:val="center"/>
              <w:rPr>
                <w:rFonts w:hint="eastAsia" w:ascii="宋体" w:hAnsi="宋体" w:eastAsia="宋体" w:cs="宋体"/>
                <w:color w:val="000000"/>
                <w:sz w:val="24"/>
                <w:szCs w:val="24"/>
              </w:rPr>
            </w:pPr>
          </w:p>
        </w:tc>
        <w:tc>
          <w:tcPr>
            <w:tcW w:w="1704" w:type="dxa"/>
            <w:noWrap w:val="0"/>
            <w:vAlign w:val="center"/>
          </w:tcPr>
          <w:p w14:paraId="0B882E0E">
            <w:pPr>
              <w:pStyle w:val="23"/>
              <w:spacing w:line="400" w:lineRule="exact"/>
              <w:jc w:val="center"/>
              <w:rPr>
                <w:rFonts w:hint="eastAsia" w:ascii="宋体" w:hAnsi="宋体" w:eastAsia="宋体" w:cs="宋体"/>
                <w:color w:val="000000"/>
                <w:sz w:val="24"/>
                <w:szCs w:val="24"/>
              </w:rPr>
            </w:pPr>
          </w:p>
        </w:tc>
        <w:tc>
          <w:tcPr>
            <w:tcW w:w="2229" w:type="dxa"/>
            <w:noWrap w:val="0"/>
            <w:vAlign w:val="center"/>
          </w:tcPr>
          <w:p w14:paraId="16583090">
            <w:pPr>
              <w:pStyle w:val="23"/>
              <w:spacing w:line="400" w:lineRule="exact"/>
              <w:jc w:val="center"/>
              <w:rPr>
                <w:rFonts w:hint="eastAsia" w:ascii="宋体" w:hAnsi="宋体" w:eastAsia="宋体" w:cs="宋体"/>
                <w:color w:val="000000"/>
                <w:sz w:val="24"/>
                <w:szCs w:val="24"/>
              </w:rPr>
            </w:pPr>
          </w:p>
        </w:tc>
        <w:tc>
          <w:tcPr>
            <w:tcW w:w="1701" w:type="dxa"/>
            <w:noWrap w:val="0"/>
            <w:vAlign w:val="center"/>
          </w:tcPr>
          <w:p w14:paraId="6E821B76">
            <w:pPr>
              <w:pStyle w:val="23"/>
              <w:spacing w:line="400" w:lineRule="exact"/>
              <w:ind w:left="63"/>
              <w:jc w:val="center"/>
              <w:rPr>
                <w:rFonts w:hint="eastAsia" w:ascii="宋体" w:hAnsi="宋体" w:eastAsia="宋体" w:cs="宋体"/>
                <w:color w:val="000000"/>
                <w:sz w:val="24"/>
                <w:szCs w:val="24"/>
              </w:rPr>
            </w:pPr>
          </w:p>
        </w:tc>
        <w:tc>
          <w:tcPr>
            <w:tcW w:w="2409" w:type="dxa"/>
            <w:noWrap w:val="0"/>
            <w:vAlign w:val="center"/>
          </w:tcPr>
          <w:p w14:paraId="690A2EA0">
            <w:pPr>
              <w:pStyle w:val="23"/>
              <w:spacing w:line="400" w:lineRule="exact"/>
              <w:jc w:val="center"/>
              <w:rPr>
                <w:rFonts w:hint="eastAsia" w:ascii="宋体" w:hAnsi="宋体" w:eastAsia="宋体" w:cs="宋体"/>
                <w:color w:val="000000"/>
                <w:sz w:val="24"/>
                <w:szCs w:val="24"/>
              </w:rPr>
            </w:pPr>
          </w:p>
        </w:tc>
      </w:tr>
      <w:tr w14:paraId="709BF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center"/>
          </w:tcPr>
          <w:p w14:paraId="22EC655D">
            <w:pPr>
              <w:pStyle w:val="23"/>
              <w:spacing w:line="400" w:lineRule="exact"/>
              <w:jc w:val="center"/>
              <w:rPr>
                <w:rFonts w:hint="eastAsia" w:ascii="宋体" w:hAnsi="宋体" w:eastAsia="宋体" w:cs="宋体"/>
                <w:color w:val="000000"/>
                <w:sz w:val="24"/>
                <w:szCs w:val="24"/>
              </w:rPr>
            </w:pPr>
          </w:p>
        </w:tc>
        <w:tc>
          <w:tcPr>
            <w:tcW w:w="1704" w:type="dxa"/>
            <w:noWrap w:val="0"/>
            <w:vAlign w:val="center"/>
          </w:tcPr>
          <w:p w14:paraId="34B7D73F">
            <w:pPr>
              <w:pStyle w:val="23"/>
              <w:spacing w:line="400" w:lineRule="exact"/>
              <w:jc w:val="center"/>
              <w:rPr>
                <w:rFonts w:hint="eastAsia" w:ascii="宋体" w:hAnsi="宋体" w:eastAsia="宋体" w:cs="宋体"/>
                <w:color w:val="000000"/>
                <w:sz w:val="24"/>
                <w:szCs w:val="24"/>
              </w:rPr>
            </w:pPr>
          </w:p>
        </w:tc>
        <w:tc>
          <w:tcPr>
            <w:tcW w:w="2229" w:type="dxa"/>
            <w:noWrap w:val="0"/>
            <w:vAlign w:val="center"/>
          </w:tcPr>
          <w:p w14:paraId="16EFC722">
            <w:pPr>
              <w:pStyle w:val="23"/>
              <w:spacing w:line="400" w:lineRule="exact"/>
              <w:jc w:val="center"/>
              <w:rPr>
                <w:rFonts w:hint="eastAsia" w:ascii="宋体" w:hAnsi="宋体" w:eastAsia="宋体" w:cs="宋体"/>
                <w:color w:val="000000"/>
                <w:sz w:val="24"/>
                <w:szCs w:val="24"/>
              </w:rPr>
            </w:pPr>
          </w:p>
        </w:tc>
        <w:tc>
          <w:tcPr>
            <w:tcW w:w="1701" w:type="dxa"/>
            <w:noWrap w:val="0"/>
            <w:vAlign w:val="center"/>
          </w:tcPr>
          <w:p w14:paraId="6B885026">
            <w:pPr>
              <w:pStyle w:val="23"/>
              <w:spacing w:line="400" w:lineRule="exact"/>
              <w:ind w:left="63"/>
              <w:jc w:val="center"/>
              <w:rPr>
                <w:rFonts w:hint="eastAsia" w:ascii="宋体" w:hAnsi="宋体" w:eastAsia="宋体" w:cs="宋体"/>
                <w:color w:val="000000"/>
                <w:sz w:val="24"/>
                <w:szCs w:val="24"/>
              </w:rPr>
            </w:pPr>
          </w:p>
        </w:tc>
        <w:tc>
          <w:tcPr>
            <w:tcW w:w="2409" w:type="dxa"/>
            <w:noWrap w:val="0"/>
            <w:vAlign w:val="center"/>
          </w:tcPr>
          <w:p w14:paraId="6BAF1491">
            <w:pPr>
              <w:pStyle w:val="23"/>
              <w:spacing w:line="400" w:lineRule="exact"/>
              <w:jc w:val="center"/>
              <w:rPr>
                <w:rFonts w:hint="eastAsia" w:ascii="宋体" w:hAnsi="宋体" w:eastAsia="宋体" w:cs="宋体"/>
                <w:color w:val="000000"/>
                <w:sz w:val="24"/>
                <w:szCs w:val="24"/>
              </w:rPr>
            </w:pPr>
          </w:p>
        </w:tc>
      </w:tr>
      <w:tr w14:paraId="3822A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center"/>
          </w:tcPr>
          <w:p w14:paraId="588F2A15">
            <w:pPr>
              <w:pStyle w:val="23"/>
              <w:spacing w:line="400" w:lineRule="exact"/>
              <w:jc w:val="center"/>
              <w:rPr>
                <w:rFonts w:hint="eastAsia" w:ascii="宋体" w:hAnsi="宋体" w:eastAsia="宋体" w:cs="宋体"/>
                <w:color w:val="000000"/>
                <w:sz w:val="24"/>
                <w:szCs w:val="24"/>
              </w:rPr>
            </w:pPr>
          </w:p>
        </w:tc>
        <w:tc>
          <w:tcPr>
            <w:tcW w:w="1704" w:type="dxa"/>
            <w:noWrap w:val="0"/>
            <w:vAlign w:val="center"/>
          </w:tcPr>
          <w:p w14:paraId="7A1C1245">
            <w:pPr>
              <w:pStyle w:val="23"/>
              <w:spacing w:line="400" w:lineRule="exact"/>
              <w:jc w:val="center"/>
              <w:rPr>
                <w:rFonts w:hint="eastAsia" w:ascii="宋体" w:hAnsi="宋体" w:eastAsia="宋体" w:cs="宋体"/>
                <w:color w:val="000000"/>
                <w:sz w:val="24"/>
                <w:szCs w:val="24"/>
              </w:rPr>
            </w:pPr>
          </w:p>
        </w:tc>
        <w:tc>
          <w:tcPr>
            <w:tcW w:w="2229" w:type="dxa"/>
            <w:noWrap w:val="0"/>
            <w:vAlign w:val="center"/>
          </w:tcPr>
          <w:p w14:paraId="613272CF">
            <w:pPr>
              <w:pStyle w:val="23"/>
              <w:spacing w:line="400" w:lineRule="exact"/>
              <w:jc w:val="center"/>
              <w:rPr>
                <w:rFonts w:hint="eastAsia" w:ascii="宋体" w:hAnsi="宋体" w:eastAsia="宋体" w:cs="宋体"/>
                <w:color w:val="000000"/>
                <w:sz w:val="24"/>
                <w:szCs w:val="24"/>
              </w:rPr>
            </w:pPr>
          </w:p>
        </w:tc>
        <w:tc>
          <w:tcPr>
            <w:tcW w:w="1701" w:type="dxa"/>
            <w:noWrap w:val="0"/>
            <w:vAlign w:val="center"/>
          </w:tcPr>
          <w:p w14:paraId="334F7DC9">
            <w:pPr>
              <w:pStyle w:val="23"/>
              <w:spacing w:line="400" w:lineRule="exact"/>
              <w:ind w:left="63"/>
              <w:jc w:val="center"/>
              <w:rPr>
                <w:rFonts w:hint="eastAsia" w:ascii="宋体" w:hAnsi="宋体" w:eastAsia="宋体" w:cs="宋体"/>
                <w:color w:val="000000"/>
                <w:sz w:val="24"/>
                <w:szCs w:val="24"/>
              </w:rPr>
            </w:pPr>
          </w:p>
        </w:tc>
        <w:tc>
          <w:tcPr>
            <w:tcW w:w="2409" w:type="dxa"/>
            <w:noWrap w:val="0"/>
            <w:vAlign w:val="center"/>
          </w:tcPr>
          <w:p w14:paraId="5D41BC29">
            <w:pPr>
              <w:pStyle w:val="23"/>
              <w:spacing w:line="400" w:lineRule="exact"/>
              <w:jc w:val="center"/>
              <w:rPr>
                <w:rFonts w:hint="eastAsia" w:ascii="宋体" w:hAnsi="宋体" w:eastAsia="宋体" w:cs="宋体"/>
                <w:color w:val="000000"/>
                <w:sz w:val="24"/>
                <w:szCs w:val="24"/>
              </w:rPr>
            </w:pPr>
          </w:p>
        </w:tc>
      </w:tr>
      <w:tr w14:paraId="2A802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center"/>
          </w:tcPr>
          <w:p w14:paraId="1FAC3097">
            <w:pPr>
              <w:pStyle w:val="23"/>
              <w:spacing w:line="400" w:lineRule="exact"/>
              <w:ind w:left="71"/>
              <w:jc w:val="center"/>
              <w:rPr>
                <w:rFonts w:hint="eastAsia" w:ascii="宋体" w:hAnsi="宋体" w:eastAsia="宋体" w:cs="宋体"/>
                <w:color w:val="000000"/>
                <w:sz w:val="24"/>
                <w:szCs w:val="24"/>
              </w:rPr>
            </w:pPr>
          </w:p>
        </w:tc>
        <w:tc>
          <w:tcPr>
            <w:tcW w:w="1704" w:type="dxa"/>
            <w:noWrap w:val="0"/>
            <w:vAlign w:val="center"/>
          </w:tcPr>
          <w:p w14:paraId="6D6F8C73">
            <w:pPr>
              <w:pStyle w:val="23"/>
              <w:spacing w:line="400" w:lineRule="exact"/>
              <w:jc w:val="center"/>
              <w:rPr>
                <w:rFonts w:hint="eastAsia" w:ascii="宋体" w:hAnsi="宋体" w:eastAsia="宋体" w:cs="宋体"/>
                <w:color w:val="000000"/>
                <w:sz w:val="24"/>
                <w:szCs w:val="24"/>
              </w:rPr>
            </w:pPr>
          </w:p>
        </w:tc>
        <w:tc>
          <w:tcPr>
            <w:tcW w:w="2229" w:type="dxa"/>
            <w:noWrap w:val="0"/>
            <w:vAlign w:val="center"/>
          </w:tcPr>
          <w:p w14:paraId="1FCC182F">
            <w:pPr>
              <w:pStyle w:val="23"/>
              <w:spacing w:line="400" w:lineRule="exact"/>
              <w:jc w:val="center"/>
              <w:rPr>
                <w:rFonts w:hint="eastAsia" w:ascii="宋体" w:hAnsi="宋体" w:eastAsia="宋体" w:cs="宋体"/>
                <w:color w:val="000000"/>
                <w:sz w:val="24"/>
                <w:szCs w:val="24"/>
              </w:rPr>
            </w:pPr>
          </w:p>
        </w:tc>
        <w:tc>
          <w:tcPr>
            <w:tcW w:w="1701" w:type="dxa"/>
            <w:noWrap w:val="0"/>
            <w:vAlign w:val="center"/>
          </w:tcPr>
          <w:p w14:paraId="0F2651E1">
            <w:pPr>
              <w:pStyle w:val="23"/>
              <w:spacing w:line="400" w:lineRule="exact"/>
              <w:ind w:left="63"/>
              <w:jc w:val="center"/>
              <w:rPr>
                <w:rFonts w:hint="eastAsia" w:ascii="宋体" w:hAnsi="宋体" w:eastAsia="宋体" w:cs="宋体"/>
                <w:color w:val="000000"/>
                <w:sz w:val="24"/>
                <w:szCs w:val="24"/>
              </w:rPr>
            </w:pPr>
          </w:p>
        </w:tc>
        <w:tc>
          <w:tcPr>
            <w:tcW w:w="2409" w:type="dxa"/>
            <w:noWrap w:val="0"/>
            <w:vAlign w:val="center"/>
          </w:tcPr>
          <w:p w14:paraId="7DEE01CE">
            <w:pPr>
              <w:pStyle w:val="23"/>
              <w:spacing w:line="400" w:lineRule="exact"/>
              <w:jc w:val="center"/>
              <w:rPr>
                <w:rFonts w:hint="eastAsia" w:ascii="宋体" w:hAnsi="宋体" w:eastAsia="宋体" w:cs="宋体"/>
                <w:color w:val="000000"/>
                <w:sz w:val="24"/>
                <w:szCs w:val="24"/>
              </w:rPr>
            </w:pPr>
          </w:p>
        </w:tc>
      </w:tr>
      <w:tr w14:paraId="5156C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center"/>
          </w:tcPr>
          <w:p w14:paraId="5BA197C5">
            <w:pPr>
              <w:pStyle w:val="23"/>
              <w:spacing w:line="400" w:lineRule="exact"/>
              <w:ind w:left="71"/>
              <w:jc w:val="center"/>
              <w:rPr>
                <w:rFonts w:hint="eastAsia" w:ascii="宋体" w:hAnsi="宋体" w:eastAsia="宋体" w:cs="宋体"/>
                <w:color w:val="000000"/>
                <w:sz w:val="24"/>
                <w:szCs w:val="24"/>
              </w:rPr>
            </w:pPr>
          </w:p>
        </w:tc>
        <w:tc>
          <w:tcPr>
            <w:tcW w:w="1704" w:type="dxa"/>
            <w:noWrap w:val="0"/>
            <w:vAlign w:val="center"/>
          </w:tcPr>
          <w:p w14:paraId="71C827B8">
            <w:pPr>
              <w:pStyle w:val="23"/>
              <w:spacing w:line="400" w:lineRule="exact"/>
              <w:jc w:val="center"/>
              <w:rPr>
                <w:rFonts w:hint="eastAsia" w:ascii="宋体" w:hAnsi="宋体" w:eastAsia="宋体" w:cs="宋体"/>
                <w:color w:val="000000"/>
                <w:sz w:val="24"/>
                <w:szCs w:val="24"/>
              </w:rPr>
            </w:pPr>
          </w:p>
        </w:tc>
        <w:tc>
          <w:tcPr>
            <w:tcW w:w="2229" w:type="dxa"/>
            <w:noWrap w:val="0"/>
            <w:vAlign w:val="center"/>
          </w:tcPr>
          <w:p w14:paraId="34349CBD">
            <w:pPr>
              <w:pStyle w:val="23"/>
              <w:spacing w:line="400" w:lineRule="exact"/>
              <w:jc w:val="center"/>
              <w:rPr>
                <w:rFonts w:hint="eastAsia" w:ascii="宋体" w:hAnsi="宋体" w:eastAsia="宋体" w:cs="宋体"/>
                <w:color w:val="000000"/>
                <w:sz w:val="24"/>
                <w:szCs w:val="24"/>
              </w:rPr>
            </w:pPr>
          </w:p>
        </w:tc>
        <w:tc>
          <w:tcPr>
            <w:tcW w:w="1701" w:type="dxa"/>
            <w:noWrap w:val="0"/>
            <w:vAlign w:val="center"/>
          </w:tcPr>
          <w:p w14:paraId="2E4FF7C0">
            <w:pPr>
              <w:pStyle w:val="23"/>
              <w:spacing w:line="400" w:lineRule="exact"/>
              <w:ind w:left="63"/>
              <w:jc w:val="center"/>
              <w:rPr>
                <w:rFonts w:hint="eastAsia" w:ascii="宋体" w:hAnsi="宋体" w:eastAsia="宋体" w:cs="宋体"/>
                <w:color w:val="000000"/>
                <w:sz w:val="24"/>
                <w:szCs w:val="24"/>
              </w:rPr>
            </w:pPr>
          </w:p>
        </w:tc>
        <w:tc>
          <w:tcPr>
            <w:tcW w:w="2409" w:type="dxa"/>
            <w:noWrap w:val="0"/>
            <w:vAlign w:val="center"/>
          </w:tcPr>
          <w:p w14:paraId="20F85005">
            <w:pPr>
              <w:pStyle w:val="23"/>
              <w:spacing w:line="400" w:lineRule="exact"/>
              <w:jc w:val="center"/>
              <w:rPr>
                <w:rFonts w:hint="eastAsia" w:ascii="宋体" w:hAnsi="宋体" w:eastAsia="宋体" w:cs="宋体"/>
                <w:color w:val="000000"/>
                <w:sz w:val="24"/>
                <w:szCs w:val="24"/>
              </w:rPr>
            </w:pPr>
          </w:p>
        </w:tc>
      </w:tr>
      <w:tr w14:paraId="297D4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center"/>
          </w:tcPr>
          <w:p w14:paraId="52309414">
            <w:pPr>
              <w:pStyle w:val="23"/>
              <w:spacing w:line="400" w:lineRule="exact"/>
              <w:jc w:val="center"/>
              <w:rPr>
                <w:rFonts w:hint="eastAsia" w:ascii="宋体" w:hAnsi="宋体" w:eastAsia="宋体" w:cs="宋体"/>
                <w:color w:val="000000"/>
                <w:sz w:val="24"/>
                <w:szCs w:val="24"/>
              </w:rPr>
            </w:pPr>
          </w:p>
        </w:tc>
        <w:tc>
          <w:tcPr>
            <w:tcW w:w="1704" w:type="dxa"/>
            <w:noWrap w:val="0"/>
            <w:vAlign w:val="center"/>
          </w:tcPr>
          <w:p w14:paraId="1D208CC7">
            <w:pPr>
              <w:pStyle w:val="23"/>
              <w:spacing w:line="400" w:lineRule="exact"/>
              <w:jc w:val="center"/>
              <w:rPr>
                <w:rFonts w:hint="eastAsia" w:ascii="宋体" w:hAnsi="宋体" w:eastAsia="宋体" w:cs="宋体"/>
                <w:color w:val="000000"/>
                <w:sz w:val="24"/>
                <w:szCs w:val="24"/>
              </w:rPr>
            </w:pPr>
          </w:p>
        </w:tc>
        <w:tc>
          <w:tcPr>
            <w:tcW w:w="2229" w:type="dxa"/>
            <w:noWrap w:val="0"/>
            <w:vAlign w:val="center"/>
          </w:tcPr>
          <w:p w14:paraId="217B125C">
            <w:pPr>
              <w:pStyle w:val="23"/>
              <w:spacing w:line="400" w:lineRule="exact"/>
              <w:jc w:val="center"/>
              <w:rPr>
                <w:rFonts w:hint="eastAsia" w:ascii="宋体" w:hAnsi="宋体" w:eastAsia="宋体" w:cs="宋体"/>
                <w:color w:val="000000"/>
                <w:sz w:val="24"/>
                <w:szCs w:val="24"/>
              </w:rPr>
            </w:pPr>
          </w:p>
        </w:tc>
        <w:tc>
          <w:tcPr>
            <w:tcW w:w="1701" w:type="dxa"/>
            <w:noWrap w:val="0"/>
            <w:vAlign w:val="center"/>
          </w:tcPr>
          <w:p w14:paraId="7920D1DE">
            <w:pPr>
              <w:pStyle w:val="23"/>
              <w:spacing w:line="400" w:lineRule="exact"/>
              <w:jc w:val="center"/>
              <w:rPr>
                <w:rFonts w:hint="eastAsia" w:ascii="宋体" w:hAnsi="宋体" w:eastAsia="宋体" w:cs="宋体"/>
                <w:color w:val="000000"/>
                <w:sz w:val="24"/>
                <w:szCs w:val="24"/>
              </w:rPr>
            </w:pPr>
          </w:p>
        </w:tc>
        <w:tc>
          <w:tcPr>
            <w:tcW w:w="2409" w:type="dxa"/>
            <w:noWrap w:val="0"/>
            <w:vAlign w:val="center"/>
          </w:tcPr>
          <w:p w14:paraId="3430D68A">
            <w:pPr>
              <w:pStyle w:val="23"/>
              <w:spacing w:line="400" w:lineRule="exact"/>
              <w:jc w:val="center"/>
              <w:rPr>
                <w:rFonts w:hint="eastAsia" w:ascii="宋体" w:hAnsi="宋体" w:eastAsia="宋体" w:cs="宋体"/>
                <w:color w:val="000000"/>
                <w:sz w:val="24"/>
                <w:szCs w:val="24"/>
              </w:rPr>
            </w:pPr>
          </w:p>
        </w:tc>
      </w:tr>
      <w:tr w14:paraId="5C9ED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center"/>
          </w:tcPr>
          <w:p w14:paraId="1AB36434">
            <w:pPr>
              <w:pStyle w:val="23"/>
              <w:spacing w:line="400" w:lineRule="exact"/>
              <w:jc w:val="center"/>
              <w:rPr>
                <w:rFonts w:hint="eastAsia" w:ascii="宋体" w:hAnsi="宋体" w:eastAsia="宋体" w:cs="宋体"/>
                <w:color w:val="000000"/>
                <w:sz w:val="24"/>
                <w:szCs w:val="24"/>
              </w:rPr>
            </w:pPr>
          </w:p>
        </w:tc>
        <w:tc>
          <w:tcPr>
            <w:tcW w:w="1704" w:type="dxa"/>
            <w:noWrap w:val="0"/>
            <w:vAlign w:val="center"/>
          </w:tcPr>
          <w:p w14:paraId="2450101E">
            <w:pPr>
              <w:pStyle w:val="23"/>
              <w:spacing w:line="400" w:lineRule="exact"/>
              <w:jc w:val="center"/>
              <w:rPr>
                <w:rFonts w:hint="eastAsia" w:ascii="宋体" w:hAnsi="宋体" w:eastAsia="宋体" w:cs="宋体"/>
                <w:color w:val="000000"/>
                <w:sz w:val="24"/>
                <w:szCs w:val="24"/>
              </w:rPr>
            </w:pPr>
          </w:p>
        </w:tc>
        <w:tc>
          <w:tcPr>
            <w:tcW w:w="2229" w:type="dxa"/>
            <w:noWrap w:val="0"/>
            <w:vAlign w:val="center"/>
          </w:tcPr>
          <w:p w14:paraId="3B1270A5">
            <w:pPr>
              <w:pStyle w:val="23"/>
              <w:spacing w:line="400" w:lineRule="exact"/>
              <w:jc w:val="center"/>
              <w:rPr>
                <w:rFonts w:hint="eastAsia" w:ascii="宋体" w:hAnsi="宋体" w:eastAsia="宋体" w:cs="宋体"/>
                <w:color w:val="000000"/>
                <w:sz w:val="24"/>
                <w:szCs w:val="24"/>
              </w:rPr>
            </w:pPr>
          </w:p>
        </w:tc>
        <w:tc>
          <w:tcPr>
            <w:tcW w:w="1701" w:type="dxa"/>
            <w:noWrap w:val="0"/>
            <w:vAlign w:val="center"/>
          </w:tcPr>
          <w:p w14:paraId="7B695E0B">
            <w:pPr>
              <w:pStyle w:val="23"/>
              <w:spacing w:line="400" w:lineRule="exact"/>
              <w:jc w:val="center"/>
              <w:rPr>
                <w:rFonts w:hint="eastAsia" w:ascii="宋体" w:hAnsi="宋体" w:eastAsia="宋体" w:cs="宋体"/>
                <w:color w:val="000000"/>
                <w:sz w:val="24"/>
                <w:szCs w:val="24"/>
              </w:rPr>
            </w:pPr>
          </w:p>
        </w:tc>
        <w:tc>
          <w:tcPr>
            <w:tcW w:w="2409" w:type="dxa"/>
            <w:noWrap w:val="0"/>
            <w:vAlign w:val="center"/>
          </w:tcPr>
          <w:p w14:paraId="27BF35D7">
            <w:pPr>
              <w:pStyle w:val="23"/>
              <w:spacing w:line="400" w:lineRule="exact"/>
              <w:jc w:val="center"/>
              <w:rPr>
                <w:rFonts w:hint="eastAsia" w:ascii="宋体" w:hAnsi="宋体" w:eastAsia="宋体" w:cs="宋体"/>
                <w:color w:val="000000"/>
                <w:sz w:val="24"/>
                <w:szCs w:val="24"/>
              </w:rPr>
            </w:pPr>
          </w:p>
        </w:tc>
      </w:tr>
      <w:tr w14:paraId="1220F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center"/>
          </w:tcPr>
          <w:p w14:paraId="6CEBCA2C">
            <w:pPr>
              <w:pStyle w:val="23"/>
              <w:spacing w:line="400" w:lineRule="exact"/>
              <w:jc w:val="center"/>
              <w:rPr>
                <w:rFonts w:hint="eastAsia" w:ascii="宋体" w:hAnsi="宋体" w:eastAsia="宋体" w:cs="宋体"/>
                <w:color w:val="000000"/>
                <w:sz w:val="24"/>
                <w:szCs w:val="24"/>
              </w:rPr>
            </w:pPr>
          </w:p>
        </w:tc>
        <w:tc>
          <w:tcPr>
            <w:tcW w:w="1704" w:type="dxa"/>
            <w:noWrap w:val="0"/>
            <w:vAlign w:val="center"/>
          </w:tcPr>
          <w:p w14:paraId="5CE35AB1">
            <w:pPr>
              <w:pStyle w:val="23"/>
              <w:spacing w:line="400" w:lineRule="exact"/>
              <w:jc w:val="center"/>
              <w:rPr>
                <w:rFonts w:hint="eastAsia" w:ascii="宋体" w:hAnsi="宋体" w:eastAsia="宋体" w:cs="宋体"/>
                <w:color w:val="000000"/>
                <w:sz w:val="24"/>
                <w:szCs w:val="24"/>
              </w:rPr>
            </w:pPr>
          </w:p>
        </w:tc>
        <w:tc>
          <w:tcPr>
            <w:tcW w:w="2229" w:type="dxa"/>
            <w:noWrap w:val="0"/>
            <w:vAlign w:val="center"/>
          </w:tcPr>
          <w:p w14:paraId="397EB9BE">
            <w:pPr>
              <w:pStyle w:val="23"/>
              <w:spacing w:line="400" w:lineRule="exact"/>
              <w:jc w:val="center"/>
              <w:rPr>
                <w:rFonts w:hint="eastAsia" w:ascii="宋体" w:hAnsi="宋体" w:eastAsia="宋体" w:cs="宋体"/>
                <w:color w:val="000000"/>
                <w:sz w:val="24"/>
                <w:szCs w:val="24"/>
              </w:rPr>
            </w:pPr>
          </w:p>
        </w:tc>
        <w:tc>
          <w:tcPr>
            <w:tcW w:w="1701" w:type="dxa"/>
            <w:noWrap w:val="0"/>
            <w:vAlign w:val="center"/>
          </w:tcPr>
          <w:p w14:paraId="2CADDFB7">
            <w:pPr>
              <w:pStyle w:val="23"/>
              <w:spacing w:line="400" w:lineRule="exact"/>
              <w:jc w:val="center"/>
              <w:rPr>
                <w:rFonts w:hint="eastAsia" w:ascii="宋体" w:hAnsi="宋体" w:eastAsia="宋体" w:cs="宋体"/>
                <w:color w:val="000000"/>
                <w:sz w:val="24"/>
                <w:szCs w:val="24"/>
              </w:rPr>
            </w:pPr>
          </w:p>
        </w:tc>
        <w:tc>
          <w:tcPr>
            <w:tcW w:w="2409" w:type="dxa"/>
            <w:noWrap w:val="0"/>
            <w:vAlign w:val="center"/>
          </w:tcPr>
          <w:p w14:paraId="7B754547">
            <w:pPr>
              <w:pStyle w:val="23"/>
              <w:spacing w:line="400" w:lineRule="exact"/>
              <w:jc w:val="center"/>
              <w:rPr>
                <w:rFonts w:hint="eastAsia" w:ascii="宋体" w:hAnsi="宋体" w:eastAsia="宋体" w:cs="宋体"/>
                <w:color w:val="000000"/>
                <w:sz w:val="24"/>
                <w:szCs w:val="24"/>
              </w:rPr>
            </w:pPr>
          </w:p>
        </w:tc>
      </w:tr>
      <w:tr w14:paraId="2F35A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restart"/>
            <w:noWrap w:val="0"/>
            <w:vAlign w:val="center"/>
          </w:tcPr>
          <w:p w14:paraId="25795334">
            <w:pPr>
              <w:pStyle w:val="23"/>
              <w:spacing w:line="400" w:lineRule="exact"/>
              <w:jc w:val="center"/>
              <w:rPr>
                <w:rFonts w:hint="eastAsia" w:ascii="宋体" w:hAnsi="宋体" w:eastAsia="宋体" w:cs="宋体"/>
                <w:color w:val="000000"/>
                <w:sz w:val="24"/>
                <w:szCs w:val="24"/>
              </w:rPr>
            </w:pPr>
            <w:r>
              <w:rPr>
                <w:rFonts w:hint="eastAsia" w:ascii="宋体" w:hAnsi="宋体" w:eastAsia="宋体" w:cs="宋体"/>
                <w:sz w:val="24"/>
                <w:szCs w:val="24"/>
              </w:rPr>
              <w:t>其他人员</w:t>
            </w:r>
          </w:p>
        </w:tc>
        <w:tc>
          <w:tcPr>
            <w:tcW w:w="1704" w:type="dxa"/>
            <w:noWrap w:val="0"/>
            <w:vAlign w:val="center"/>
          </w:tcPr>
          <w:p w14:paraId="1D1AF608">
            <w:pPr>
              <w:pStyle w:val="23"/>
              <w:spacing w:line="400" w:lineRule="exact"/>
              <w:jc w:val="center"/>
              <w:rPr>
                <w:rFonts w:hint="eastAsia" w:ascii="宋体" w:hAnsi="宋体" w:eastAsia="宋体" w:cs="宋体"/>
                <w:color w:val="000000"/>
                <w:sz w:val="24"/>
                <w:szCs w:val="24"/>
              </w:rPr>
            </w:pPr>
          </w:p>
        </w:tc>
        <w:tc>
          <w:tcPr>
            <w:tcW w:w="2229" w:type="dxa"/>
            <w:noWrap w:val="0"/>
            <w:vAlign w:val="center"/>
          </w:tcPr>
          <w:p w14:paraId="522797D9">
            <w:pPr>
              <w:pStyle w:val="23"/>
              <w:spacing w:line="400" w:lineRule="exact"/>
              <w:jc w:val="center"/>
              <w:rPr>
                <w:rFonts w:hint="eastAsia" w:ascii="宋体" w:hAnsi="宋体" w:eastAsia="宋体" w:cs="宋体"/>
                <w:color w:val="000000"/>
                <w:sz w:val="24"/>
                <w:szCs w:val="24"/>
              </w:rPr>
            </w:pPr>
          </w:p>
        </w:tc>
        <w:tc>
          <w:tcPr>
            <w:tcW w:w="1701" w:type="dxa"/>
            <w:noWrap w:val="0"/>
            <w:vAlign w:val="center"/>
          </w:tcPr>
          <w:p w14:paraId="1C0FD559">
            <w:pPr>
              <w:pStyle w:val="23"/>
              <w:spacing w:line="400" w:lineRule="exact"/>
              <w:jc w:val="center"/>
              <w:rPr>
                <w:rFonts w:hint="eastAsia" w:ascii="宋体" w:hAnsi="宋体" w:eastAsia="宋体" w:cs="宋体"/>
                <w:color w:val="000000"/>
                <w:sz w:val="24"/>
                <w:szCs w:val="24"/>
              </w:rPr>
            </w:pPr>
          </w:p>
        </w:tc>
        <w:tc>
          <w:tcPr>
            <w:tcW w:w="2409" w:type="dxa"/>
            <w:noWrap w:val="0"/>
            <w:vAlign w:val="center"/>
          </w:tcPr>
          <w:p w14:paraId="0CD68BAB">
            <w:pPr>
              <w:pStyle w:val="23"/>
              <w:spacing w:line="400" w:lineRule="exact"/>
              <w:jc w:val="center"/>
              <w:rPr>
                <w:rFonts w:hint="eastAsia" w:ascii="宋体" w:hAnsi="宋体" w:eastAsia="宋体" w:cs="宋体"/>
                <w:color w:val="000000"/>
                <w:sz w:val="24"/>
                <w:szCs w:val="24"/>
              </w:rPr>
            </w:pPr>
          </w:p>
        </w:tc>
      </w:tr>
      <w:tr w14:paraId="298F3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noWrap w:val="0"/>
            <w:vAlign w:val="center"/>
          </w:tcPr>
          <w:p w14:paraId="104C3D74">
            <w:pPr>
              <w:pStyle w:val="23"/>
              <w:spacing w:line="400" w:lineRule="exact"/>
              <w:jc w:val="center"/>
              <w:rPr>
                <w:rFonts w:hint="eastAsia" w:ascii="宋体" w:hAnsi="宋体" w:eastAsia="宋体" w:cs="宋体"/>
                <w:color w:val="000000"/>
                <w:sz w:val="24"/>
                <w:szCs w:val="24"/>
              </w:rPr>
            </w:pPr>
          </w:p>
        </w:tc>
        <w:tc>
          <w:tcPr>
            <w:tcW w:w="1704" w:type="dxa"/>
            <w:noWrap w:val="0"/>
            <w:vAlign w:val="center"/>
          </w:tcPr>
          <w:p w14:paraId="07936851">
            <w:pPr>
              <w:pStyle w:val="23"/>
              <w:spacing w:line="400" w:lineRule="exact"/>
              <w:jc w:val="center"/>
              <w:rPr>
                <w:rFonts w:hint="eastAsia" w:ascii="宋体" w:hAnsi="宋体" w:eastAsia="宋体" w:cs="宋体"/>
                <w:color w:val="000000"/>
                <w:sz w:val="24"/>
                <w:szCs w:val="24"/>
              </w:rPr>
            </w:pPr>
          </w:p>
        </w:tc>
        <w:tc>
          <w:tcPr>
            <w:tcW w:w="2229" w:type="dxa"/>
            <w:noWrap w:val="0"/>
            <w:vAlign w:val="center"/>
          </w:tcPr>
          <w:p w14:paraId="6940592D">
            <w:pPr>
              <w:pStyle w:val="23"/>
              <w:spacing w:line="400" w:lineRule="exact"/>
              <w:jc w:val="center"/>
              <w:rPr>
                <w:rFonts w:hint="eastAsia" w:ascii="宋体" w:hAnsi="宋体" w:eastAsia="宋体" w:cs="宋体"/>
                <w:color w:val="000000"/>
                <w:sz w:val="24"/>
                <w:szCs w:val="24"/>
              </w:rPr>
            </w:pPr>
          </w:p>
        </w:tc>
        <w:tc>
          <w:tcPr>
            <w:tcW w:w="1701" w:type="dxa"/>
            <w:noWrap w:val="0"/>
            <w:vAlign w:val="center"/>
          </w:tcPr>
          <w:p w14:paraId="519C81E4">
            <w:pPr>
              <w:pStyle w:val="23"/>
              <w:spacing w:line="400" w:lineRule="exact"/>
              <w:jc w:val="center"/>
              <w:rPr>
                <w:rFonts w:hint="eastAsia" w:ascii="宋体" w:hAnsi="宋体" w:eastAsia="宋体" w:cs="宋体"/>
                <w:color w:val="000000"/>
                <w:sz w:val="24"/>
                <w:szCs w:val="24"/>
              </w:rPr>
            </w:pPr>
          </w:p>
        </w:tc>
        <w:tc>
          <w:tcPr>
            <w:tcW w:w="2409" w:type="dxa"/>
            <w:noWrap w:val="0"/>
            <w:vAlign w:val="center"/>
          </w:tcPr>
          <w:p w14:paraId="779E1CC7">
            <w:pPr>
              <w:pStyle w:val="23"/>
              <w:spacing w:line="400" w:lineRule="exact"/>
              <w:jc w:val="center"/>
              <w:rPr>
                <w:rFonts w:hint="eastAsia" w:ascii="宋体" w:hAnsi="宋体" w:eastAsia="宋体" w:cs="宋体"/>
                <w:color w:val="000000"/>
                <w:sz w:val="24"/>
                <w:szCs w:val="24"/>
              </w:rPr>
            </w:pPr>
          </w:p>
        </w:tc>
      </w:tr>
      <w:tr w14:paraId="59095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noWrap w:val="0"/>
            <w:vAlign w:val="center"/>
          </w:tcPr>
          <w:p w14:paraId="2F91F974">
            <w:pPr>
              <w:pStyle w:val="23"/>
              <w:spacing w:line="400" w:lineRule="exact"/>
              <w:jc w:val="center"/>
              <w:rPr>
                <w:rFonts w:hint="eastAsia" w:ascii="宋体" w:hAnsi="宋体" w:eastAsia="宋体" w:cs="宋体"/>
                <w:color w:val="000000"/>
                <w:sz w:val="24"/>
                <w:szCs w:val="24"/>
              </w:rPr>
            </w:pPr>
          </w:p>
        </w:tc>
        <w:tc>
          <w:tcPr>
            <w:tcW w:w="1704" w:type="dxa"/>
            <w:noWrap w:val="0"/>
            <w:vAlign w:val="center"/>
          </w:tcPr>
          <w:p w14:paraId="45A1CF56">
            <w:pPr>
              <w:pStyle w:val="23"/>
              <w:spacing w:line="400" w:lineRule="exact"/>
              <w:jc w:val="center"/>
              <w:rPr>
                <w:rFonts w:hint="eastAsia" w:ascii="宋体" w:hAnsi="宋体" w:eastAsia="宋体" w:cs="宋体"/>
                <w:color w:val="000000"/>
                <w:sz w:val="24"/>
                <w:szCs w:val="24"/>
              </w:rPr>
            </w:pPr>
          </w:p>
        </w:tc>
        <w:tc>
          <w:tcPr>
            <w:tcW w:w="2229" w:type="dxa"/>
            <w:noWrap w:val="0"/>
            <w:vAlign w:val="center"/>
          </w:tcPr>
          <w:p w14:paraId="0CC17898">
            <w:pPr>
              <w:pStyle w:val="23"/>
              <w:spacing w:line="400" w:lineRule="exact"/>
              <w:jc w:val="center"/>
              <w:rPr>
                <w:rFonts w:hint="eastAsia" w:ascii="宋体" w:hAnsi="宋体" w:eastAsia="宋体" w:cs="宋体"/>
                <w:color w:val="000000"/>
                <w:sz w:val="24"/>
                <w:szCs w:val="24"/>
              </w:rPr>
            </w:pPr>
          </w:p>
        </w:tc>
        <w:tc>
          <w:tcPr>
            <w:tcW w:w="1701" w:type="dxa"/>
            <w:noWrap w:val="0"/>
            <w:vAlign w:val="center"/>
          </w:tcPr>
          <w:p w14:paraId="326C8145">
            <w:pPr>
              <w:pStyle w:val="23"/>
              <w:spacing w:line="400" w:lineRule="exact"/>
              <w:jc w:val="center"/>
              <w:rPr>
                <w:rFonts w:hint="eastAsia" w:ascii="宋体" w:hAnsi="宋体" w:eastAsia="宋体" w:cs="宋体"/>
                <w:color w:val="000000"/>
                <w:sz w:val="24"/>
                <w:szCs w:val="24"/>
              </w:rPr>
            </w:pPr>
          </w:p>
        </w:tc>
        <w:tc>
          <w:tcPr>
            <w:tcW w:w="2409" w:type="dxa"/>
            <w:noWrap w:val="0"/>
            <w:vAlign w:val="center"/>
          </w:tcPr>
          <w:p w14:paraId="4DFE4DF1">
            <w:pPr>
              <w:pStyle w:val="23"/>
              <w:spacing w:line="400" w:lineRule="exact"/>
              <w:jc w:val="center"/>
              <w:rPr>
                <w:rFonts w:hint="eastAsia" w:ascii="宋体" w:hAnsi="宋体" w:eastAsia="宋体" w:cs="宋体"/>
                <w:color w:val="000000"/>
                <w:sz w:val="24"/>
                <w:szCs w:val="24"/>
              </w:rPr>
            </w:pPr>
          </w:p>
        </w:tc>
      </w:tr>
      <w:tr w14:paraId="00CC3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noWrap w:val="0"/>
            <w:vAlign w:val="center"/>
          </w:tcPr>
          <w:p w14:paraId="708CEE84">
            <w:pPr>
              <w:pStyle w:val="23"/>
              <w:spacing w:line="400" w:lineRule="exact"/>
              <w:jc w:val="center"/>
              <w:rPr>
                <w:rFonts w:hint="eastAsia" w:ascii="宋体" w:hAnsi="宋体" w:eastAsia="宋体" w:cs="宋体"/>
                <w:color w:val="000000"/>
                <w:sz w:val="24"/>
                <w:szCs w:val="24"/>
              </w:rPr>
            </w:pPr>
          </w:p>
        </w:tc>
        <w:tc>
          <w:tcPr>
            <w:tcW w:w="1704" w:type="dxa"/>
            <w:noWrap w:val="0"/>
            <w:vAlign w:val="center"/>
          </w:tcPr>
          <w:p w14:paraId="72CF1206">
            <w:pPr>
              <w:pStyle w:val="23"/>
              <w:spacing w:line="400" w:lineRule="exact"/>
              <w:jc w:val="center"/>
              <w:rPr>
                <w:rFonts w:hint="eastAsia" w:ascii="宋体" w:hAnsi="宋体" w:eastAsia="宋体" w:cs="宋体"/>
                <w:color w:val="000000"/>
                <w:sz w:val="24"/>
                <w:szCs w:val="24"/>
              </w:rPr>
            </w:pPr>
          </w:p>
        </w:tc>
        <w:tc>
          <w:tcPr>
            <w:tcW w:w="2229" w:type="dxa"/>
            <w:noWrap w:val="0"/>
            <w:vAlign w:val="center"/>
          </w:tcPr>
          <w:p w14:paraId="02C1D069">
            <w:pPr>
              <w:pStyle w:val="23"/>
              <w:spacing w:line="400" w:lineRule="exact"/>
              <w:jc w:val="center"/>
              <w:rPr>
                <w:rFonts w:hint="eastAsia" w:ascii="宋体" w:hAnsi="宋体" w:eastAsia="宋体" w:cs="宋体"/>
                <w:color w:val="000000"/>
                <w:sz w:val="24"/>
                <w:szCs w:val="24"/>
              </w:rPr>
            </w:pPr>
          </w:p>
        </w:tc>
        <w:tc>
          <w:tcPr>
            <w:tcW w:w="1701" w:type="dxa"/>
            <w:noWrap w:val="0"/>
            <w:vAlign w:val="center"/>
          </w:tcPr>
          <w:p w14:paraId="2BC3DFA8">
            <w:pPr>
              <w:pStyle w:val="23"/>
              <w:spacing w:line="400" w:lineRule="exact"/>
              <w:jc w:val="center"/>
              <w:rPr>
                <w:rFonts w:hint="eastAsia" w:ascii="宋体" w:hAnsi="宋体" w:eastAsia="宋体" w:cs="宋体"/>
                <w:color w:val="000000"/>
                <w:sz w:val="24"/>
                <w:szCs w:val="24"/>
              </w:rPr>
            </w:pPr>
          </w:p>
        </w:tc>
        <w:tc>
          <w:tcPr>
            <w:tcW w:w="2409" w:type="dxa"/>
            <w:noWrap w:val="0"/>
            <w:vAlign w:val="center"/>
          </w:tcPr>
          <w:p w14:paraId="39686422">
            <w:pPr>
              <w:pStyle w:val="23"/>
              <w:spacing w:line="400" w:lineRule="exact"/>
              <w:jc w:val="center"/>
              <w:rPr>
                <w:rFonts w:hint="eastAsia" w:ascii="宋体" w:hAnsi="宋体" w:eastAsia="宋体" w:cs="宋体"/>
                <w:color w:val="000000"/>
                <w:sz w:val="24"/>
                <w:szCs w:val="24"/>
              </w:rPr>
            </w:pPr>
          </w:p>
        </w:tc>
      </w:tr>
    </w:tbl>
    <w:p w14:paraId="0D4A7858">
      <w:pPr>
        <w:jc w:val="left"/>
        <w:outlineLvl w:val="0"/>
        <w:rPr>
          <w:rFonts w:hint="eastAsia" w:ascii="宋体" w:hAnsi="宋体" w:eastAsia="宋体" w:cs="宋体"/>
          <w:color w:val="000000"/>
          <w:sz w:val="28"/>
          <w:szCs w:val="28"/>
        </w:rPr>
      </w:pPr>
      <w:r>
        <w:rPr>
          <w:rFonts w:hint="eastAsia" w:ascii="宋体" w:hAnsi="宋体" w:eastAsia="宋体" w:cs="宋体"/>
          <w:color w:val="000000"/>
          <w:sz w:val="30"/>
          <w:szCs w:val="30"/>
        </w:rPr>
        <w:br w:type="page"/>
      </w:r>
      <w:bookmarkStart w:id="526" w:name="_Toc24004"/>
      <w:bookmarkStart w:id="527" w:name="_Toc18156"/>
      <w:bookmarkStart w:id="528" w:name="_Toc29005"/>
      <w:bookmarkStart w:id="529" w:name="_Toc2868"/>
      <w:bookmarkStart w:id="530" w:name="_Toc14892"/>
      <w:bookmarkStart w:id="531" w:name="_Toc21126"/>
      <w:bookmarkStart w:id="532" w:name="_Toc443898219"/>
      <w:bookmarkStart w:id="533" w:name="_Toc13636"/>
      <w:bookmarkStart w:id="534" w:name="_Toc7602"/>
      <w:bookmarkStart w:id="535" w:name="_Toc6940"/>
      <w:bookmarkStart w:id="536" w:name="_Toc16329"/>
      <w:bookmarkStart w:id="537" w:name="_Toc27211"/>
      <w:bookmarkStart w:id="538" w:name="_Toc5367"/>
      <w:bookmarkStart w:id="539" w:name="_Toc5635"/>
      <w:bookmarkStart w:id="540" w:name="_Toc137"/>
      <w:r>
        <w:rPr>
          <w:rFonts w:hint="eastAsia" w:ascii="宋体" w:hAnsi="宋体" w:eastAsia="宋体" w:cs="宋体"/>
          <w:color w:val="000000"/>
          <w:sz w:val="28"/>
          <w:szCs w:val="28"/>
        </w:rPr>
        <w:t>附件7：分包人主要施工管理人员表</w:t>
      </w:r>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p>
    <w:p w14:paraId="276002A0">
      <w:pPr>
        <w:spacing w:before="120" w:beforeLines="50" w:after="120" w:afterLines="50"/>
        <w:ind w:firstLine="600"/>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分包人主要施工管理人员表</w:t>
      </w:r>
      <w:bookmarkStart w:id="541" w:name="_Toc1003"/>
      <w:bookmarkStart w:id="542" w:name="_Toc443898220"/>
    </w:p>
    <w:tbl>
      <w:tblPr>
        <w:tblStyle w:val="17"/>
        <w:tblpPr w:leftFromText="180" w:rightFromText="180" w:vertAnchor="text" w:horzAnchor="margin" w:tblpY="57"/>
        <w:tblOverlap w:val="never"/>
        <w:tblW w:w="980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3FD82E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tcBorders>
              <w:top w:val="single" w:color="auto" w:sz="12" w:space="0"/>
              <w:bottom w:val="double" w:color="auto" w:sz="6" w:space="0"/>
            </w:tcBorders>
            <w:noWrap w:val="0"/>
            <w:vAlign w:val="center"/>
          </w:tcPr>
          <w:p w14:paraId="3CF62FE7">
            <w:pPr>
              <w:pStyle w:val="10"/>
              <w:keepNext/>
              <w:spacing w:after="0" w:line="240" w:lineRule="auto"/>
              <w:ind w:left="71" w:leftChars="34" w:right="63"/>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名称</w:t>
            </w:r>
          </w:p>
        </w:tc>
        <w:tc>
          <w:tcPr>
            <w:tcW w:w="1418" w:type="dxa"/>
            <w:tcBorders>
              <w:top w:val="single" w:color="auto" w:sz="12" w:space="0"/>
              <w:bottom w:val="double" w:color="auto" w:sz="6" w:space="0"/>
            </w:tcBorders>
            <w:noWrap w:val="0"/>
            <w:vAlign w:val="center"/>
          </w:tcPr>
          <w:p w14:paraId="0AB8EEFC">
            <w:pPr>
              <w:pStyle w:val="10"/>
              <w:keepNext/>
              <w:spacing w:after="0" w:line="240" w:lineRule="auto"/>
              <w:ind w:left="71" w:leftChars="34" w:right="63"/>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姓名</w:t>
            </w:r>
          </w:p>
        </w:tc>
        <w:tc>
          <w:tcPr>
            <w:tcW w:w="1134" w:type="dxa"/>
            <w:tcBorders>
              <w:top w:val="single" w:color="auto" w:sz="12" w:space="0"/>
              <w:bottom w:val="double" w:color="auto" w:sz="6" w:space="0"/>
            </w:tcBorders>
            <w:noWrap w:val="0"/>
            <w:vAlign w:val="center"/>
          </w:tcPr>
          <w:p w14:paraId="5EE5E6F1">
            <w:pPr>
              <w:pStyle w:val="10"/>
              <w:keepNext/>
              <w:spacing w:after="0" w:line="240" w:lineRule="auto"/>
              <w:ind w:left="63" w:right="63"/>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职务</w:t>
            </w:r>
          </w:p>
        </w:tc>
        <w:tc>
          <w:tcPr>
            <w:tcW w:w="1134" w:type="dxa"/>
            <w:tcBorders>
              <w:top w:val="single" w:color="auto" w:sz="12" w:space="0"/>
              <w:bottom w:val="double" w:color="auto" w:sz="6" w:space="0"/>
            </w:tcBorders>
            <w:noWrap w:val="0"/>
            <w:vAlign w:val="center"/>
          </w:tcPr>
          <w:p w14:paraId="20009381">
            <w:pPr>
              <w:pStyle w:val="10"/>
              <w:keepNext/>
              <w:spacing w:after="0" w:line="240" w:lineRule="auto"/>
              <w:ind w:left="63" w:right="63"/>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职称</w:t>
            </w:r>
          </w:p>
        </w:tc>
        <w:tc>
          <w:tcPr>
            <w:tcW w:w="4252" w:type="dxa"/>
            <w:tcBorders>
              <w:top w:val="single" w:color="auto" w:sz="12" w:space="0"/>
              <w:bottom w:val="double" w:color="auto" w:sz="6" w:space="0"/>
            </w:tcBorders>
            <w:noWrap w:val="0"/>
            <w:vAlign w:val="center"/>
          </w:tcPr>
          <w:p w14:paraId="70BF605C">
            <w:pPr>
              <w:pStyle w:val="10"/>
              <w:keepNext/>
              <w:spacing w:after="0" w:line="240" w:lineRule="auto"/>
              <w:ind w:left="63" w:right="63"/>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主要资历、经验及承担过的项目</w:t>
            </w:r>
          </w:p>
        </w:tc>
      </w:tr>
      <w:tr w14:paraId="621427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809" w:type="dxa"/>
            <w:gridSpan w:val="5"/>
            <w:tcBorders>
              <w:top w:val="double" w:color="auto" w:sz="6" w:space="0"/>
              <w:bottom w:val="single" w:color="auto" w:sz="6" w:space="0"/>
            </w:tcBorders>
            <w:noWrap w:val="0"/>
            <w:vAlign w:val="center"/>
          </w:tcPr>
          <w:p w14:paraId="1A06B9D7">
            <w:pPr>
              <w:pStyle w:val="10"/>
              <w:keepNext/>
              <w:spacing w:after="0" w:line="240" w:lineRule="auto"/>
              <w:ind w:left="63" w:right="63" w:firstLine="560"/>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一、总部人员</w:t>
            </w:r>
          </w:p>
        </w:tc>
      </w:tr>
      <w:tr w14:paraId="0B100B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tcBorders>
              <w:top w:val="nil"/>
              <w:bottom w:val="nil"/>
            </w:tcBorders>
            <w:noWrap w:val="0"/>
            <w:vAlign w:val="center"/>
          </w:tcPr>
          <w:p w14:paraId="3FF6C860">
            <w:pPr>
              <w:pStyle w:val="10"/>
              <w:keepNext/>
              <w:spacing w:after="0" w:line="240" w:lineRule="auto"/>
              <w:ind w:left="0" w:leftChars="0" w:right="63"/>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项目主管</w:t>
            </w:r>
          </w:p>
        </w:tc>
        <w:tc>
          <w:tcPr>
            <w:tcW w:w="1418" w:type="dxa"/>
            <w:tcBorders>
              <w:top w:val="nil"/>
            </w:tcBorders>
            <w:noWrap w:val="0"/>
            <w:vAlign w:val="center"/>
          </w:tcPr>
          <w:p w14:paraId="7DA2A925">
            <w:pPr>
              <w:pStyle w:val="10"/>
              <w:keepNext/>
              <w:spacing w:after="0" w:line="240" w:lineRule="auto"/>
              <w:ind w:left="0" w:leftChars="0" w:right="63"/>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无</w:t>
            </w:r>
          </w:p>
        </w:tc>
        <w:tc>
          <w:tcPr>
            <w:tcW w:w="1134" w:type="dxa"/>
            <w:tcBorders>
              <w:top w:val="nil"/>
            </w:tcBorders>
            <w:noWrap w:val="0"/>
            <w:vAlign w:val="center"/>
          </w:tcPr>
          <w:p w14:paraId="237745C8">
            <w:pPr>
              <w:pStyle w:val="10"/>
              <w:keepNext/>
              <w:spacing w:after="0" w:line="240" w:lineRule="auto"/>
              <w:ind w:left="0" w:leftChars="0" w:right="63"/>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无</w:t>
            </w:r>
          </w:p>
        </w:tc>
        <w:tc>
          <w:tcPr>
            <w:tcW w:w="1134" w:type="dxa"/>
            <w:tcBorders>
              <w:top w:val="nil"/>
            </w:tcBorders>
            <w:noWrap w:val="0"/>
            <w:vAlign w:val="center"/>
          </w:tcPr>
          <w:p w14:paraId="4606FB96">
            <w:pPr>
              <w:pStyle w:val="10"/>
              <w:keepNext/>
              <w:spacing w:after="0" w:line="240" w:lineRule="auto"/>
              <w:ind w:left="0" w:leftChars="0" w:right="63"/>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无</w:t>
            </w:r>
          </w:p>
        </w:tc>
        <w:tc>
          <w:tcPr>
            <w:tcW w:w="4252" w:type="dxa"/>
            <w:tcBorders>
              <w:top w:val="nil"/>
            </w:tcBorders>
            <w:noWrap w:val="0"/>
            <w:vAlign w:val="center"/>
          </w:tcPr>
          <w:p w14:paraId="0B372FC3">
            <w:pPr>
              <w:pStyle w:val="10"/>
              <w:keepNext/>
              <w:spacing w:after="0" w:line="240" w:lineRule="auto"/>
              <w:ind w:left="0" w:leftChars="0" w:right="63"/>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无</w:t>
            </w:r>
          </w:p>
        </w:tc>
      </w:tr>
      <w:tr w14:paraId="508174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tcBorders>
              <w:top w:val="single" w:color="auto" w:sz="6" w:space="0"/>
              <w:bottom w:val="nil"/>
            </w:tcBorders>
            <w:noWrap w:val="0"/>
            <w:vAlign w:val="center"/>
          </w:tcPr>
          <w:p w14:paraId="14AF6029">
            <w:pPr>
              <w:pStyle w:val="10"/>
              <w:keepNext/>
              <w:spacing w:after="0" w:line="240" w:lineRule="auto"/>
              <w:ind w:left="63" w:right="63" w:firstLine="560"/>
              <w:rPr>
                <w:rFonts w:hint="eastAsia" w:ascii="宋体" w:hAnsi="宋体" w:eastAsia="宋体" w:cs="宋体"/>
                <w:b/>
                <w:bCs/>
                <w:color w:val="000000"/>
                <w:kern w:val="2"/>
                <w:sz w:val="24"/>
                <w:szCs w:val="24"/>
              </w:rPr>
            </w:pPr>
          </w:p>
        </w:tc>
        <w:tc>
          <w:tcPr>
            <w:tcW w:w="1418" w:type="dxa"/>
            <w:noWrap w:val="0"/>
            <w:vAlign w:val="center"/>
          </w:tcPr>
          <w:p w14:paraId="60305DE0">
            <w:pPr>
              <w:pStyle w:val="10"/>
              <w:keepNext/>
              <w:spacing w:after="0" w:line="240" w:lineRule="auto"/>
              <w:ind w:left="63" w:right="63" w:firstLine="560"/>
              <w:rPr>
                <w:rFonts w:hint="eastAsia" w:ascii="宋体" w:hAnsi="宋体" w:eastAsia="宋体" w:cs="宋体"/>
                <w:color w:val="000000"/>
                <w:kern w:val="2"/>
                <w:sz w:val="24"/>
                <w:szCs w:val="24"/>
              </w:rPr>
            </w:pPr>
          </w:p>
        </w:tc>
        <w:tc>
          <w:tcPr>
            <w:tcW w:w="1134" w:type="dxa"/>
            <w:noWrap w:val="0"/>
            <w:vAlign w:val="center"/>
          </w:tcPr>
          <w:p w14:paraId="5C40B855">
            <w:pPr>
              <w:pStyle w:val="10"/>
              <w:keepNext/>
              <w:spacing w:after="0" w:line="240" w:lineRule="auto"/>
              <w:ind w:left="63" w:right="63" w:firstLine="600"/>
              <w:rPr>
                <w:rFonts w:hint="eastAsia" w:ascii="宋体" w:hAnsi="宋体" w:eastAsia="宋体" w:cs="宋体"/>
                <w:color w:val="000000"/>
                <w:kern w:val="2"/>
                <w:sz w:val="24"/>
                <w:szCs w:val="24"/>
              </w:rPr>
            </w:pPr>
          </w:p>
        </w:tc>
        <w:tc>
          <w:tcPr>
            <w:tcW w:w="1134" w:type="dxa"/>
            <w:noWrap w:val="0"/>
            <w:vAlign w:val="center"/>
          </w:tcPr>
          <w:p w14:paraId="078BD7BA">
            <w:pPr>
              <w:pStyle w:val="10"/>
              <w:keepNext/>
              <w:spacing w:after="0" w:line="240" w:lineRule="auto"/>
              <w:ind w:left="63" w:right="63" w:firstLine="600"/>
              <w:rPr>
                <w:rFonts w:hint="eastAsia" w:ascii="宋体" w:hAnsi="宋体" w:eastAsia="宋体" w:cs="宋体"/>
                <w:color w:val="000000"/>
                <w:kern w:val="2"/>
                <w:sz w:val="24"/>
                <w:szCs w:val="24"/>
              </w:rPr>
            </w:pPr>
          </w:p>
        </w:tc>
        <w:tc>
          <w:tcPr>
            <w:tcW w:w="4252" w:type="dxa"/>
            <w:noWrap w:val="0"/>
            <w:vAlign w:val="center"/>
          </w:tcPr>
          <w:p w14:paraId="466A6E6F">
            <w:pPr>
              <w:pStyle w:val="10"/>
              <w:keepNext/>
              <w:spacing w:after="0" w:line="240" w:lineRule="auto"/>
              <w:ind w:left="63" w:right="63" w:firstLine="600"/>
              <w:rPr>
                <w:rFonts w:hint="eastAsia" w:ascii="宋体" w:hAnsi="宋体" w:eastAsia="宋体" w:cs="宋体"/>
                <w:color w:val="000000"/>
                <w:kern w:val="2"/>
                <w:sz w:val="24"/>
                <w:szCs w:val="24"/>
              </w:rPr>
            </w:pPr>
          </w:p>
        </w:tc>
      </w:tr>
      <w:tr w14:paraId="76CE1B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tcBorders>
              <w:top w:val="nil"/>
              <w:bottom w:val="nil"/>
            </w:tcBorders>
            <w:noWrap w:val="0"/>
            <w:vAlign w:val="center"/>
          </w:tcPr>
          <w:p w14:paraId="10818FA7">
            <w:pPr>
              <w:pStyle w:val="10"/>
              <w:keepNext/>
              <w:spacing w:after="0" w:line="240" w:lineRule="auto"/>
              <w:ind w:left="71" w:leftChars="34" w:right="63"/>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其他人员</w:t>
            </w:r>
          </w:p>
        </w:tc>
        <w:tc>
          <w:tcPr>
            <w:tcW w:w="1418" w:type="dxa"/>
            <w:noWrap w:val="0"/>
            <w:vAlign w:val="center"/>
          </w:tcPr>
          <w:p w14:paraId="13E9F56D">
            <w:pPr>
              <w:pStyle w:val="10"/>
              <w:keepNext/>
              <w:spacing w:after="0" w:line="240" w:lineRule="auto"/>
              <w:ind w:left="63" w:right="63" w:firstLine="560"/>
              <w:rPr>
                <w:rFonts w:hint="eastAsia" w:ascii="宋体" w:hAnsi="宋体" w:eastAsia="宋体" w:cs="宋体"/>
                <w:color w:val="000000"/>
                <w:kern w:val="2"/>
                <w:sz w:val="24"/>
                <w:szCs w:val="24"/>
              </w:rPr>
            </w:pPr>
          </w:p>
        </w:tc>
        <w:tc>
          <w:tcPr>
            <w:tcW w:w="1134" w:type="dxa"/>
            <w:noWrap w:val="0"/>
            <w:vAlign w:val="center"/>
          </w:tcPr>
          <w:p w14:paraId="73C5BECE">
            <w:pPr>
              <w:pStyle w:val="10"/>
              <w:keepNext/>
              <w:spacing w:after="0" w:line="240" w:lineRule="auto"/>
              <w:ind w:left="63" w:right="63" w:firstLine="600"/>
              <w:rPr>
                <w:rFonts w:hint="eastAsia" w:ascii="宋体" w:hAnsi="宋体" w:eastAsia="宋体" w:cs="宋体"/>
                <w:color w:val="000000"/>
                <w:kern w:val="2"/>
                <w:sz w:val="24"/>
                <w:szCs w:val="24"/>
              </w:rPr>
            </w:pPr>
          </w:p>
        </w:tc>
        <w:tc>
          <w:tcPr>
            <w:tcW w:w="1134" w:type="dxa"/>
            <w:noWrap w:val="0"/>
            <w:vAlign w:val="center"/>
          </w:tcPr>
          <w:p w14:paraId="2C7D40CE">
            <w:pPr>
              <w:pStyle w:val="10"/>
              <w:keepNext/>
              <w:spacing w:after="0" w:line="240" w:lineRule="auto"/>
              <w:ind w:left="63" w:right="63" w:firstLine="600"/>
              <w:rPr>
                <w:rFonts w:hint="eastAsia" w:ascii="宋体" w:hAnsi="宋体" w:eastAsia="宋体" w:cs="宋体"/>
                <w:color w:val="000000"/>
                <w:kern w:val="2"/>
                <w:sz w:val="24"/>
                <w:szCs w:val="24"/>
              </w:rPr>
            </w:pPr>
          </w:p>
        </w:tc>
        <w:tc>
          <w:tcPr>
            <w:tcW w:w="4252" w:type="dxa"/>
            <w:noWrap w:val="0"/>
            <w:vAlign w:val="center"/>
          </w:tcPr>
          <w:p w14:paraId="33EFAC4D">
            <w:pPr>
              <w:pStyle w:val="10"/>
              <w:keepNext/>
              <w:spacing w:after="0" w:line="240" w:lineRule="auto"/>
              <w:ind w:left="63" w:right="63" w:firstLine="600"/>
              <w:rPr>
                <w:rFonts w:hint="eastAsia" w:ascii="宋体" w:hAnsi="宋体" w:eastAsia="宋体" w:cs="宋体"/>
                <w:color w:val="000000"/>
                <w:kern w:val="2"/>
                <w:sz w:val="24"/>
                <w:szCs w:val="24"/>
              </w:rPr>
            </w:pPr>
          </w:p>
        </w:tc>
      </w:tr>
      <w:tr w14:paraId="4ECE29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tcBorders>
              <w:top w:val="nil"/>
              <w:bottom w:val="nil"/>
            </w:tcBorders>
            <w:noWrap w:val="0"/>
            <w:vAlign w:val="center"/>
          </w:tcPr>
          <w:p w14:paraId="49B17890">
            <w:pPr>
              <w:pStyle w:val="10"/>
              <w:keepNext/>
              <w:spacing w:after="0" w:line="240" w:lineRule="auto"/>
              <w:ind w:left="63" w:right="63" w:firstLine="560"/>
              <w:rPr>
                <w:rFonts w:hint="eastAsia" w:ascii="宋体" w:hAnsi="宋体" w:eastAsia="宋体" w:cs="宋体"/>
                <w:b/>
                <w:bCs/>
                <w:color w:val="000000"/>
                <w:kern w:val="2"/>
                <w:sz w:val="24"/>
                <w:szCs w:val="24"/>
              </w:rPr>
            </w:pPr>
          </w:p>
        </w:tc>
        <w:tc>
          <w:tcPr>
            <w:tcW w:w="1418" w:type="dxa"/>
            <w:noWrap w:val="0"/>
            <w:vAlign w:val="center"/>
          </w:tcPr>
          <w:p w14:paraId="5F0FF3C6">
            <w:pPr>
              <w:pStyle w:val="10"/>
              <w:keepNext/>
              <w:spacing w:after="0" w:line="240" w:lineRule="auto"/>
              <w:ind w:left="63" w:right="63" w:firstLine="560"/>
              <w:rPr>
                <w:rFonts w:hint="eastAsia" w:ascii="宋体" w:hAnsi="宋体" w:eastAsia="宋体" w:cs="宋体"/>
                <w:color w:val="000000"/>
                <w:kern w:val="2"/>
                <w:sz w:val="24"/>
                <w:szCs w:val="24"/>
              </w:rPr>
            </w:pPr>
          </w:p>
        </w:tc>
        <w:tc>
          <w:tcPr>
            <w:tcW w:w="1134" w:type="dxa"/>
            <w:noWrap w:val="0"/>
            <w:vAlign w:val="center"/>
          </w:tcPr>
          <w:p w14:paraId="3EA0BDD7">
            <w:pPr>
              <w:pStyle w:val="10"/>
              <w:keepNext/>
              <w:spacing w:after="0" w:line="240" w:lineRule="auto"/>
              <w:ind w:left="63" w:right="63" w:firstLine="600"/>
              <w:rPr>
                <w:rFonts w:hint="eastAsia" w:ascii="宋体" w:hAnsi="宋体" w:eastAsia="宋体" w:cs="宋体"/>
                <w:color w:val="000000"/>
                <w:kern w:val="2"/>
                <w:sz w:val="24"/>
                <w:szCs w:val="24"/>
              </w:rPr>
            </w:pPr>
          </w:p>
        </w:tc>
        <w:tc>
          <w:tcPr>
            <w:tcW w:w="1134" w:type="dxa"/>
            <w:noWrap w:val="0"/>
            <w:vAlign w:val="center"/>
          </w:tcPr>
          <w:p w14:paraId="082CFB35">
            <w:pPr>
              <w:pStyle w:val="10"/>
              <w:keepNext/>
              <w:spacing w:after="0" w:line="240" w:lineRule="auto"/>
              <w:ind w:left="63" w:right="63" w:firstLine="600"/>
              <w:rPr>
                <w:rFonts w:hint="eastAsia" w:ascii="宋体" w:hAnsi="宋体" w:eastAsia="宋体" w:cs="宋体"/>
                <w:color w:val="000000"/>
                <w:kern w:val="2"/>
                <w:sz w:val="24"/>
                <w:szCs w:val="24"/>
              </w:rPr>
            </w:pPr>
          </w:p>
        </w:tc>
        <w:tc>
          <w:tcPr>
            <w:tcW w:w="4252" w:type="dxa"/>
            <w:noWrap w:val="0"/>
            <w:vAlign w:val="center"/>
          </w:tcPr>
          <w:p w14:paraId="514FB9A6">
            <w:pPr>
              <w:pStyle w:val="10"/>
              <w:keepNext/>
              <w:spacing w:after="0" w:line="240" w:lineRule="auto"/>
              <w:ind w:left="63" w:right="63" w:firstLine="600"/>
              <w:rPr>
                <w:rFonts w:hint="eastAsia" w:ascii="宋体" w:hAnsi="宋体" w:eastAsia="宋体" w:cs="宋体"/>
                <w:color w:val="000000"/>
                <w:kern w:val="2"/>
                <w:sz w:val="24"/>
                <w:szCs w:val="24"/>
              </w:rPr>
            </w:pPr>
          </w:p>
        </w:tc>
      </w:tr>
      <w:tr w14:paraId="103C99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809" w:type="dxa"/>
            <w:gridSpan w:val="5"/>
            <w:tcBorders>
              <w:top w:val="single" w:color="auto" w:sz="6" w:space="0"/>
              <w:bottom w:val="single" w:color="auto" w:sz="6" w:space="0"/>
            </w:tcBorders>
            <w:noWrap w:val="0"/>
            <w:vAlign w:val="center"/>
          </w:tcPr>
          <w:p w14:paraId="041539EB">
            <w:pPr>
              <w:pStyle w:val="10"/>
              <w:keepNext/>
              <w:spacing w:after="0" w:line="240" w:lineRule="auto"/>
              <w:ind w:left="63" w:right="63" w:firstLine="560"/>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二、现场人员</w:t>
            </w:r>
          </w:p>
        </w:tc>
      </w:tr>
      <w:tr w14:paraId="76A639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tcBorders>
              <w:top w:val="single" w:color="auto" w:sz="6" w:space="0"/>
              <w:bottom w:val="single" w:color="auto" w:sz="6" w:space="0"/>
            </w:tcBorders>
            <w:noWrap w:val="0"/>
            <w:vAlign w:val="center"/>
          </w:tcPr>
          <w:p w14:paraId="718BE600">
            <w:pPr>
              <w:pStyle w:val="10"/>
              <w:keepNext/>
              <w:spacing w:after="0" w:line="240" w:lineRule="auto"/>
              <w:ind w:left="71" w:leftChars="34" w:right="63"/>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项目经理</w:t>
            </w:r>
          </w:p>
        </w:tc>
        <w:tc>
          <w:tcPr>
            <w:tcW w:w="1418" w:type="dxa"/>
            <w:noWrap w:val="0"/>
            <w:vAlign w:val="center"/>
          </w:tcPr>
          <w:p w14:paraId="5973CC60">
            <w:pPr>
              <w:pStyle w:val="10"/>
              <w:keepNext/>
              <w:spacing w:after="0" w:line="240" w:lineRule="auto"/>
              <w:ind w:left="0" w:leftChars="0" w:right="63"/>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无</w:t>
            </w:r>
          </w:p>
        </w:tc>
        <w:tc>
          <w:tcPr>
            <w:tcW w:w="1134" w:type="dxa"/>
            <w:noWrap w:val="0"/>
            <w:vAlign w:val="center"/>
          </w:tcPr>
          <w:p w14:paraId="6B122A95">
            <w:pPr>
              <w:pStyle w:val="10"/>
              <w:keepNext/>
              <w:spacing w:after="0" w:line="240" w:lineRule="auto"/>
              <w:ind w:left="0" w:leftChars="0" w:right="63"/>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无</w:t>
            </w:r>
          </w:p>
        </w:tc>
        <w:tc>
          <w:tcPr>
            <w:tcW w:w="1134" w:type="dxa"/>
            <w:noWrap w:val="0"/>
            <w:vAlign w:val="center"/>
          </w:tcPr>
          <w:p w14:paraId="6B0FF0AD">
            <w:pPr>
              <w:pStyle w:val="10"/>
              <w:keepNext/>
              <w:spacing w:after="0" w:line="240" w:lineRule="auto"/>
              <w:ind w:left="0" w:leftChars="0" w:right="63"/>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无</w:t>
            </w:r>
          </w:p>
        </w:tc>
        <w:tc>
          <w:tcPr>
            <w:tcW w:w="4252" w:type="dxa"/>
            <w:noWrap w:val="0"/>
            <w:vAlign w:val="center"/>
          </w:tcPr>
          <w:p w14:paraId="461A760B">
            <w:pPr>
              <w:pStyle w:val="10"/>
              <w:keepNext/>
              <w:spacing w:after="0" w:line="240" w:lineRule="auto"/>
              <w:ind w:left="0" w:leftChars="0" w:right="63"/>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无</w:t>
            </w:r>
          </w:p>
        </w:tc>
      </w:tr>
      <w:tr w14:paraId="65B0A9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tcBorders>
              <w:top w:val="single" w:color="auto" w:sz="6" w:space="0"/>
              <w:bottom w:val="single" w:color="auto" w:sz="6" w:space="0"/>
            </w:tcBorders>
            <w:noWrap w:val="0"/>
            <w:vAlign w:val="center"/>
          </w:tcPr>
          <w:p w14:paraId="05F4AE0E">
            <w:pPr>
              <w:pStyle w:val="10"/>
              <w:keepNext/>
              <w:spacing w:after="0" w:line="240" w:lineRule="auto"/>
              <w:ind w:left="63" w:right="63"/>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项目副经理</w:t>
            </w:r>
          </w:p>
        </w:tc>
        <w:tc>
          <w:tcPr>
            <w:tcW w:w="1418" w:type="dxa"/>
            <w:noWrap w:val="0"/>
            <w:vAlign w:val="center"/>
          </w:tcPr>
          <w:p w14:paraId="163F3DC5">
            <w:pPr>
              <w:pStyle w:val="10"/>
              <w:keepNext/>
              <w:spacing w:after="0" w:line="240" w:lineRule="auto"/>
              <w:ind w:left="63" w:right="63" w:firstLine="560"/>
              <w:rPr>
                <w:rFonts w:hint="eastAsia" w:ascii="宋体" w:hAnsi="宋体" w:eastAsia="宋体" w:cs="宋体"/>
                <w:b/>
                <w:bCs/>
                <w:color w:val="000000"/>
                <w:kern w:val="2"/>
                <w:sz w:val="24"/>
                <w:szCs w:val="24"/>
              </w:rPr>
            </w:pPr>
          </w:p>
        </w:tc>
        <w:tc>
          <w:tcPr>
            <w:tcW w:w="1134" w:type="dxa"/>
            <w:noWrap w:val="0"/>
            <w:vAlign w:val="center"/>
          </w:tcPr>
          <w:p w14:paraId="5916FCB1">
            <w:pPr>
              <w:pStyle w:val="10"/>
              <w:keepNext/>
              <w:spacing w:after="0" w:line="240" w:lineRule="auto"/>
              <w:ind w:left="63" w:right="63" w:firstLine="600"/>
              <w:rPr>
                <w:rFonts w:hint="eastAsia" w:ascii="宋体" w:hAnsi="宋体" w:eastAsia="宋体" w:cs="宋体"/>
                <w:b/>
                <w:bCs/>
                <w:color w:val="000000"/>
                <w:kern w:val="2"/>
                <w:sz w:val="24"/>
                <w:szCs w:val="24"/>
              </w:rPr>
            </w:pPr>
          </w:p>
        </w:tc>
        <w:tc>
          <w:tcPr>
            <w:tcW w:w="1134" w:type="dxa"/>
            <w:noWrap w:val="0"/>
            <w:vAlign w:val="center"/>
          </w:tcPr>
          <w:p w14:paraId="1B943CDF">
            <w:pPr>
              <w:pStyle w:val="10"/>
              <w:keepNext/>
              <w:spacing w:after="0" w:line="240" w:lineRule="auto"/>
              <w:ind w:left="63" w:right="63" w:firstLine="600"/>
              <w:rPr>
                <w:rFonts w:hint="eastAsia" w:ascii="宋体" w:hAnsi="宋体" w:eastAsia="宋体" w:cs="宋体"/>
                <w:b/>
                <w:bCs/>
                <w:color w:val="000000"/>
                <w:kern w:val="2"/>
                <w:sz w:val="24"/>
                <w:szCs w:val="24"/>
              </w:rPr>
            </w:pPr>
          </w:p>
        </w:tc>
        <w:tc>
          <w:tcPr>
            <w:tcW w:w="4252" w:type="dxa"/>
            <w:noWrap w:val="0"/>
            <w:vAlign w:val="center"/>
          </w:tcPr>
          <w:p w14:paraId="7F897E0D">
            <w:pPr>
              <w:pStyle w:val="10"/>
              <w:keepNext/>
              <w:spacing w:after="0" w:line="240" w:lineRule="auto"/>
              <w:ind w:left="63" w:right="63" w:firstLine="600"/>
              <w:rPr>
                <w:rFonts w:hint="eastAsia" w:ascii="宋体" w:hAnsi="宋体" w:eastAsia="宋体" w:cs="宋体"/>
                <w:b/>
                <w:bCs/>
                <w:color w:val="000000"/>
                <w:kern w:val="2"/>
                <w:sz w:val="24"/>
                <w:szCs w:val="24"/>
              </w:rPr>
            </w:pPr>
          </w:p>
        </w:tc>
      </w:tr>
      <w:tr w14:paraId="1D2915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tcBorders>
              <w:top w:val="single" w:color="auto" w:sz="6" w:space="0"/>
              <w:bottom w:val="single" w:color="auto" w:sz="6" w:space="0"/>
            </w:tcBorders>
            <w:noWrap w:val="0"/>
            <w:vAlign w:val="center"/>
          </w:tcPr>
          <w:p w14:paraId="2CA756F8">
            <w:pPr>
              <w:pStyle w:val="10"/>
              <w:keepNext/>
              <w:spacing w:after="0" w:line="240" w:lineRule="auto"/>
              <w:ind w:left="63" w:right="63"/>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技术负责人</w:t>
            </w:r>
          </w:p>
        </w:tc>
        <w:tc>
          <w:tcPr>
            <w:tcW w:w="1418" w:type="dxa"/>
            <w:noWrap w:val="0"/>
            <w:vAlign w:val="center"/>
          </w:tcPr>
          <w:p w14:paraId="75E22CF3">
            <w:pPr>
              <w:pStyle w:val="10"/>
              <w:keepNext/>
              <w:spacing w:after="0" w:line="240" w:lineRule="auto"/>
              <w:ind w:left="63" w:right="63" w:firstLine="560"/>
              <w:rPr>
                <w:rFonts w:hint="eastAsia" w:ascii="宋体" w:hAnsi="宋体" w:eastAsia="宋体" w:cs="宋体"/>
                <w:b/>
                <w:bCs/>
                <w:color w:val="000000"/>
                <w:kern w:val="2"/>
                <w:sz w:val="24"/>
                <w:szCs w:val="24"/>
              </w:rPr>
            </w:pPr>
          </w:p>
        </w:tc>
        <w:tc>
          <w:tcPr>
            <w:tcW w:w="1134" w:type="dxa"/>
            <w:noWrap w:val="0"/>
            <w:vAlign w:val="center"/>
          </w:tcPr>
          <w:p w14:paraId="13253447">
            <w:pPr>
              <w:pStyle w:val="10"/>
              <w:keepNext/>
              <w:spacing w:after="0" w:line="240" w:lineRule="auto"/>
              <w:ind w:left="63" w:right="63" w:firstLine="600"/>
              <w:rPr>
                <w:rFonts w:hint="eastAsia" w:ascii="宋体" w:hAnsi="宋体" w:eastAsia="宋体" w:cs="宋体"/>
                <w:b/>
                <w:bCs/>
                <w:color w:val="000000"/>
                <w:kern w:val="2"/>
                <w:sz w:val="24"/>
                <w:szCs w:val="24"/>
              </w:rPr>
            </w:pPr>
          </w:p>
        </w:tc>
        <w:tc>
          <w:tcPr>
            <w:tcW w:w="1134" w:type="dxa"/>
            <w:noWrap w:val="0"/>
            <w:vAlign w:val="center"/>
          </w:tcPr>
          <w:p w14:paraId="2E986693">
            <w:pPr>
              <w:pStyle w:val="10"/>
              <w:keepNext/>
              <w:spacing w:after="0" w:line="240" w:lineRule="auto"/>
              <w:ind w:left="63" w:right="63" w:firstLine="600"/>
              <w:rPr>
                <w:rFonts w:hint="eastAsia" w:ascii="宋体" w:hAnsi="宋体" w:eastAsia="宋体" w:cs="宋体"/>
                <w:b/>
                <w:bCs/>
                <w:color w:val="000000"/>
                <w:kern w:val="2"/>
                <w:sz w:val="24"/>
                <w:szCs w:val="24"/>
              </w:rPr>
            </w:pPr>
          </w:p>
        </w:tc>
        <w:tc>
          <w:tcPr>
            <w:tcW w:w="4252" w:type="dxa"/>
            <w:noWrap w:val="0"/>
            <w:vAlign w:val="center"/>
          </w:tcPr>
          <w:p w14:paraId="07C68B2D">
            <w:pPr>
              <w:pStyle w:val="10"/>
              <w:keepNext/>
              <w:spacing w:after="0" w:line="240" w:lineRule="auto"/>
              <w:ind w:left="63" w:right="63" w:firstLine="600"/>
              <w:rPr>
                <w:rFonts w:hint="eastAsia" w:ascii="宋体" w:hAnsi="宋体" w:eastAsia="宋体" w:cs="宋体"/>
                <w:b/>
                <w:bCs/>
                <w:color w:val="000000"/>
                <w:kern w:val="2"/>
                <w:sz w:val="24"/>
                <w:szCs w:val="24"/>
              </w:rPr>
            </w:pPr>
          </w:p>
        </w:tc>
      </w:tr>
      <w:tr w14:paraId="221B92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tcBorders>
              <w:top w:val="single" w:color="auto" w:sz="6" w:space="0"/>
              <w:bottom w:val="single" w:color="auto" w:sz="6" w:space="0"/>
            </w:tcBorders>
            <w:noWrap w:val="0"/>
            <w:vAlign w:val="center"/>
          </w:tcPr>
          <w:p w14:paraId="4B45C588">
            <w:pPr>
              <w:pStyle w:val="10"/>
              <w:keepNext/>
              <w:spacing w:after="0" w:line="240" w:lineRule="auto"/>
              <w:ind w:left="71" w:leftChars="34" w:right="63"/>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造价管理</w:t>
            </w:r>
          </w:p>
        </w:tc>
        <w:tc>
          <w:tcPr>
            <w:tcW w:w="1418" w:type="dxa"/>
            <w:noWrap w:val="0"/>
            <w:vAlign w:val="center"/>
          </w:tcPr>
          <w:p w14:paraId="29A0E9E5">
            <w:pPr>
              <w:pStyle w:val="10"/>
              <w:keepNext/>
              <w:spacing w:after="0" w:line="240" w:lineRule="auto"/>
              <w:ind w:left="63" w:right="63" w:firstLine="560"/>
              <w:rPr>
                <w:rFonts w:hint="eastAsia" w:ascii="宋体" w:hAnsi="宋体" w:eastAsia="宋体" w:cs="宋体"/>
                <w:b/>
                <w:bCs/>
                <w:color w:val="000000"/>
                <w:kern w:val="2"/>
                <w:sz w:val="24"/>
                <w:szCs w:val="24"/>
              </w:rPr>
            </w:pPr>
          </w:p>
        </w:tc>
        <w:tc>
          <w:tcPr>
            <w:tcW w:w="1134" w:type="dxa"/>
            <w:noWrap w:val="0"/>
            <w:vAlign w:val="center"/>
          </w:tcPr>
          <w:p w14:paraId="5C6C9AC4">
            <w:pPr>
              <w:pStyle w:val="10"/>
              <w:keepNext/>
              <w:spacing w:after="0" w:line="240" w:lineRule="auto"/>
              <w:ind w:left="63" w:right="63" w:firstLine="600"/>
              <w:rPr>
                <w:rFonts w:hint="eastAsia" w:ascii="宋体" w:hAnsi="宋体" w:eastAsia="宋体" w:cs="宋体"/>
                <w:b/>
                <w:bCs/>
                <w:color w:val="000000"/>
                <w:kern w:val="2"/>
                <w:sz w:val="24"/>
                <w:szCs w:val="24"/>
              </w:rPr>
            </w:pPr>
          </w:p>
        </w:tc>
        <w:tc>
          <w:tcPr>
            <w:tcW w:w="1134" w:type="dxa"/>
            <w:noWrap w:val="0"/>
            <w:vAlign w:val="center"/>
          </w:tcPr>
          <w:p w14:paraId="154738F2">
            <w:pPr>
              <w:pStyle w:val="10"/>
              <w:keepNext/>
              <w:spacing w:after="0" w:line="240" w:lineRule="auto"/>
              <w:ind w:left="63" w:right="63" w:firstLine="600"/>
              <w:rPr>
                <w:rFonts w:hint="eastAsia" w:ascii="宋体" w:hAnsi="宋体" w:eastAsia="宋体" w:cs="宋体"/>
                <w:b/>
                <w:bCs/>
                <w:color w:val="000000"/>
                <w:kern w:val="2"/>
                <w:sz w:val="24"/>
                <w:szCs w:val="24"/>
              </w:rPr>
            </w:pPr>
          </w:p>
        </w:tc>
        <w:tc>
          <w:tcPr>
            <w:tcW w:w="4252" w:type="dxa"/>
            <w:noWrap w:val="0"/>
            <w:vAlign w:val="center"/>
          </w:tcPr>
          <w:p w14:paraId="19D28361">
            <w:pPr>
              <w:pStyle w:val="10"/>
              <w:keepNext/>
              <w:spacing w:after="0" w:line="240" w:lineRule="auto"/>
              <w:ind w:left="63" w:right="63" w:firstLine="600"/>
              <w:rPr>
                <w:rFonts w:hint="eastAsia" w:ascii="宋体" w:hAnsi="宋体" w:eastAsia="宋体" w:cs="宋体"/>
                <w:b/>
                <w:bCs/>
                <w:color w:val="000000"/>
                <w:kern w:val="2"/>
                <w:sz w:val="24"/>
                <w:szCs w:val="24"/>
              </w:rPr>
            </w:pPr>
          </w:p>
        </w:tc>
      </w:tr>
      <w:tr w14:paraId="7EC0E9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tcBorders>
              <w:top w:val="single" w:color="auto" w:sz="6" w:space="0"/>
              <w:bottom w:val="single" w:color="auto" w:sz="6" w:space="0"/>
            </w:tcBorders>
            <w:noWrap w:val="0"/>
            <w:vAlign w:val="center"/>
          </w:tcPr>
          <w:p w14:paraId="1496976B">
            <w:pPr>
              <w:pStyle w:val="10"/>
              <w:keepNext/>
              <w:spacing w:after="0" w:line="240" w:lineRule="auto"/>
              <w:ind w:left="71" w:leftChars="34" w:right="63"/>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质量管理</w:t>
            </w:r>
          </w:p>
        </w:tc>
        <w:tc>
          <w:tcPr>
            <w:tcW w:w="1418" w:type="dxa"/>
            <w:noWrap w:val="0"/>
            <w:vAlign w:val="center"/>
          </w:tcPr>
          <w:p w14:paraId="3832EDBF">
            <w:pPr>
              <w:pStyle w:val="10"/>
              <w:keepNext/>
              <w:spacing w:after="0" w:line="240" w:lineRule="auto"/>
              <w:ind w:left="63" w:right="63" w:firstLine="560"/>
              <w:rPr>
                <w:rFonts w:hint="eastAsia" w:ascii="宋体" w:hAnsi="宋体" w:eastAsia="宋体" w:cs="宋体"/>
                <w:b/>
                <w:bCs/>
                <w:color w:val="000000"/>
                <w:kern w:val="2"/>
                <w:sz w:val="24"/>
                <w:szCs w:val="24"/>
              </w:rPr>
            </w:pPr>
          </w:p>
        </w:tc>
        <w:tc>
          <w:tcPr>
            <w:tcW w:w="1134" w:type="dxa"/>
            <w:noWrap w:val="0"/>
            <w:vAlign w:val="center"/>
          </w:tcPr>
          <w:p w14:paraId="5808372D">
            <w:pPr>
              <w:pStyle w:val="10"/>
              <w:keepNext/>
              <w:spacing w:after="0" w:line="240" w:lineRule="auto"/>
              <w:ind w:left="63" w:right="63" w:firstLine="600"/>
              <w:rPr>
                <w:rFonts w:hint="eastAsia" w:ascii="宋体" w:hAnsi="宋体" w:eastAsia="宋体" w:cs="宋体"/>
                <w:b/>
                <w:bCs/>
                <w:color w:val="000000"/>
                <w:kern w:val="2"/>
                <w:sz w:val="24"/>
                <w:szCs w:val="24"/>
              </w:rPr>
            </w:pPr>
          </w:p>
        </w:tc>
        <w:tc>
          <w:tcPr>
            <w:tcW w:w="1134" w:type="dxa"/>
            <w:noWrap w:val="0"/>
            <w:vAlign w:val="center"/>
          </w:tcPr>
          <w:p w14:paraId="219CFEF3">
            <w:pPr>
              <w:pStyle w:val="10"/>
              <w:keepNext/>
              <w:spacing w:after="0" w:line="240" w:lineRule="auto"/>
              <w:ind w:left="63" w:right="63" w:firstLine="600"/>
              <w:rPr>
                <w:rFonts w:hint="eastAsia" w:ascii="宋体" w:hAnsi="宋体" w:eastAsia="宋体" w:cs="宋体"/>
                <w:b/>
                <w:bCs/>
                <w:color w:val="000000"/>
                <w:kern w:val="2"/>
                <w:sz w:val="24"/>
                <w:szCs w:val="24"/>
              </w:rPr>
            </w:pPr>
          </w:p>
        </w:tc>
        <w:tc>
          <w:tcPr>
            <w:tcW w:w="4252" w:type="dxa"/>
            <w:noWrap w:val="0"/>
            <w:vAlign w:val="center"/>
          </w:tcPr>
          <w:p w14:paraId="4256964B">
            <w:pPr>
              <w:pStyle w:val="10"/>
              <w:keepNext/>
              <w:spacing w:after="0" w:line="240" w:lineRule="auto"/>
              <w:ind w:left="63" w:right="63" w:firstLine="600"/>
              <w:rPr>
                <w:rFonts w:hint="eastAsia" w:ascii="宋体" w:hAnsi="宋体" w:eastAsia="宋体" w:cs="宋体"/>
                <w:b/>
                <w:bCs/>
                <w:color w:val="000000"/>
                <w:kern w:val="2"/>
                <w:sz w:val="24"/>
                <w:szCs w:val="24"/>
              </w:rPr>
            </w:pPr>
          </w:p>
        </w:tc>
      </w:tr>
      <w:tr w14:paraId="328269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tcBorders>
              <w:top w:val="single" w:color="auto" w:sz="6" w:space="0"/>
              <w:bottom w:val="single" w:color="auto" w:sz="6" w:space="0"/>
            </w:tcBorders>
            <w:noWrap w:val="0"/>
            <w:vAlign w:val="center"/>
          </w:tcPr>
          <w:p w14:paraId="0BB60DB6">
            <w:pPr>
              <w:pStyle w:val="10"/>
              <w:keepNext/>
              <w:spacing w:after="0" w:line="240" w:lineRule="auto"/>
              <w:ind w:left="71" w:leftChars="34" w:right="63"/>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材料管理</w:t>
            </w:r>
          </w:p>
        </w:tc>
        <w:tc>
          <w:tcPr>
            <w:tcW w:w="1418" w:type="dxa"/>
            <w:noWrap w:val="0"/>
            <w:vAlign w:val="center"/>
          </w:tcPr>
          <w:p w14:paraId="61A507F9">
            <w:pPr>
              <w:pStyle w:val="10"/>
              <w:keepNext/>
              <w:spacing w:after="0" w:line="240" w:lineRule="auto"/>
              <w:ind w:left="63" w:right="63" w:firstLine="560"/>
              <w:rPr>
                <w:rFonts w:hint="eastAsia" w:ascii="宋体" w:hAnsi="宋体" w:eastAsia="宋体" w:cs="宋体"/>
                <w:b/>
                <w:bCs/>
                <w:color w:val="000000"/>
                <w:kern w:val="2"/>
                <w:sz w:val="24"/>
                <w:szCs w:val="24"/>
              </w:rPr>
            </w:pPr>
          </w:p>
        </w:tc>
        <w:tc>
          <w:tcPr>
            <w:tcW w:w="1134" w:type="dxa"/>
            <w:noWrap w:val="0"/>
            <w:vAlign w:val="center"/>
          </w:tcPr>
          <w:p w14:paraId="40BBDCB5">
            <w:pPr>
              <w:pStyle w:val="10"/>
              <w:keepNext/>
              <w:spacing w:after="0" w:line="240" w:lineRule="auto"/>
              <w:ind w:left="63" w:right="63" w:firstLine="600"/>
              <w:rPr>
                <w:rFonts w:hint="eastAsia" w:ascii="宋体" w:hAnsi="宋体" w:eastAsia="宋体" w:cs="宋体"/>
                <w:b/>
                <w:bCs/>
                <w:color w:val="000000"/>
                <w:kern w:val="2"/>
                <w:sz w:val="24"/>
                <w:szCs w:val="24"/>
              </w:rPr>
            </w:pPr>
          </w:p>
        </w:tc>
        <w:tc>
          <w:tcPr>
            <w:tcW w:w="1134" w:type="dxa"/>
            <w:noWrap w:val="0"/>
            <w:vAlign w:val="center"/>
          </w:tcPr>
          <w:p w14:paraId="162ED027">
            <w:pPr>
              <w:pStyle w:val="10"/>
              <w:keepNext/>
              <w:spacing w:after="0" w:line="240" w:lineRule="auto"/>
              <w:ind w:left="63" w:right="63" w:firstLine="600"/>
              <w:rPr>
                <w:rFonts w:hint="eastAsia" w:ascii="宋体" w:hAnsi="宋体" w:eastAsia="宋体" w:cs="宋体"/>
                <w:b/>
                <w:bCs/>
                <w:color w:val="000000"/>
                <w:kern w:val="2"/>
                <w:sz w:val="24"/>
                <w:szCs w:val="24"/>
              </w:rPr>
            </w:pPr>
          </w:p>
        </w:tc>
        <w:tc>
          <w:tcPr>
            <w:tcW w:w="4252" w:type="dxa"/>
            <w:noWrap w:val="0"/>
            <w:vAlign w:val="center"/>
          </w:tcPr>
          <w:p w14:paraId="221251AA">
            <w:pPr>
              <w:pStyle w:val="10"/>
              <w:keepNext/>
              <w:spacing w:after="0" w:line="240" w:lineRule="auto"/>
              <w:ind w:left="63" w:right="63" w:firstLine="600"/>
              <w:rPr>
                <w:rFonts w:hint="eastAsia" w:ascii="宋体" w:hAnsi="宋体" w:eastAsia="宋体" w:cs="宋体"/>
                <w:b/>
                <w:bCs/>
                <w:color w:val="000000"/>
                <w:kern w:val="2"/>
                <w:sz w:val="24"/>
                <w:szCs w:val="24"/>
              </w:rPr>
            </w:pPr>
          </w:p>
        </w:tc>
      </w:tr>
      <w:tr w14:paraId="5A4E31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tcBorders>
              <w:top w:val="single" w:color="auto" w:sz="6" w:space="0"/>
              <w:bottom w:val="single" w:color="auto" w:sz="6" w:space="0"/>
            </w:tcBorders>
            <w:noWrap w:val="0"/>
            <w:vAlign w:val="center"/>
          </w:tcPr>
          <w:p w14:paraId="38AEE19B">
            <w:pPr>
              <w:pStyle w:val="10"/>
              <w:keepNext/>
              <w:spacing w:after="0" w:line="240" w:lineRule="auto"/>
              <w:ind w:left="71" w:leftChars="34" w:right="63"/>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计划管理</w:t>
            </w:r>
          </w:p>
        </w:tc>
        <w:tc>
          <w:tcPr>
            <w:tcW w:w="1418" w:type="dxa"/>
            <w:noWrap w:val="0"/>
            <w:vAlign w:val="center"/>
          </w:tcPr>
          <w:p w14:paraId="34D6425F">
            <w:pPr>
              <w:pStyle w:val="10"/>
              <w:keepNext/>
              <w:spacing w:after="0" w:line="240" w:lineRule="auto"/>
              <w:ind w:left="63" w:right="63" w:firstLine="560"/>
              <w:rPr>
                <w:rFonts w:hint="eastAsia" w:ascii="宋体" w:hAnsi="宋体" w:eastAsia="宋体" w:cs="宋体"/>
                <w:b/>
                <w:bCs/>
                <w:color w:val="000000"/>
                <w:kern w:val="2"/>
                <w:sz w:val="24"/>
                <w:szCs w:val="24"/>
              </w:rPr>
            </w:pPr>
          </w:p>
        </w:tc>
        <w:tc>
          <w:tcPr>
            <w:tcW w:w="1134" w:type="dxa"/>
            <w:noWrap w:val="0"/>
            <w:vAlign w:val="center"/>
          </w:tcPr>
          <w:p w14:paraId="4724FE0C">
            <w:pPr>
              <w:pStyle w:val="10"/>
              <w:keepNext/>
              <w:spacing w:after="0" w:line="240" w:lineRule="auto"/>
              <w:ind w:left="63" w:right="63" w:firstLine="600"/>
              <w:rPr>
                <w:rFonts w:hint="eastAsia" w:ascii="宋体" w:hAnsi="宋体" w:eastAsia="宋体" w:cs="宋体"/>
                <w:b/>
                <w:bCs/>
                <w:color w:val="000000"/>
                <w:kern w:val="2"/>
                <w:sz w:val="24"/>
                <w:szCs w:val="24"/>
              </w:rPr>
            </w:pPr>
          </w:p>
        </w:tc>
        <w:tc>
          <w:tcPr>
            <w:tcW w:w="1134" w:type="dxa"/>
            <w:noWrap w:val="0"/>
            <w:vAlign w:val="center"/>
          </w:tcPr>
          <w:p w14:paraId="5B952B80">
            <w:pPr>
              <w:pStyle w:val="10"/>
              <w:keepNext/>
              <w:spacing w:after="0" w:line="240" w:lineRule="auto"/>
              <w:ind w:left="63" w:right="63" w:firstLine="600"/>
              <w:rPr>
                <w:rFonts w:hint="eastAsia" w:ascii="宋体" w:hAnsi="宋体" w:eastAsia="宋体" w:cs="宋体"/>
                <w:b/>
                <w:bCs/>
                <w:color w:val="000000"/>
                <w:kern w:val="2"/>
                <w:sz w:val="24"/>
                <w:szCs w:val="24"/>
              </w:rPr>
            </w:pPr>
          </w:p>
        </w:tc>
        <w:tc>
          <w:tcPr>
            <w:tcW w:w="4252" w:type="dxa"/>
            <w:noWrap w:val="0"/>
            <w:vAlign w:val="center"/>
          </w:tcPr>
          <w:p w14:paraId="2B175E1F">
            <w:pPr>
              <w:pStyle w:val="10"/>
              <w:keepNext/>
              <w:spacing w:after="0" w:line="240" w:lineRule="auto"/>
              <w:ind w:left="63" w:right="63" w:firstLine="600"/>
              <w:rPr>
                <w:rFonts w:hint="eastAsia" w:ascii="宋体" w:hAnsi="宋体" w:eastAsia="宋体" w:cs="宋体"/>
                <w:b/>
                <w:bCs/>
                <w:color w:val="000000"/>
                <w:kern w:val="2"/>
                <w:sz w:val="24"/>
                <w:szCs w:val="24"/>
              </w:rPr>
            </w:pPr>
          </w:p>
        </w:tc>
      </w:tr>
      <w:tr w14:paraId="0AF719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tcBorders>
              <w:top w:val="single" w:color="auto" w:sz="6" w:space="0"/>
              <w:bottom w:val="single" w:color="auto" w:sz="6" w:space="0"/>
            </w:tcBorders>
            <w:noWrap w:val="0"/>
            <w:vAlign w:val="center"/>
          </w:tcPr>
          <w:p w14:paraId="50E42EF0">
            <w:pPr>
              <w:pStyle w:val="10"/>
              <w:keepNext/>
              <w:spacing w:after="0" w:line="240" w:lineRule="auto"/>
              <w:ind w:left="71" w:leftChars="34" w:right="63"/>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安全管理</w:t>
            </w:r>
          </w:p>
        </w:tc>
        <w:tc>
          <w:tcPr>
            <w:tcW w:w="1418" w:type="dxa"/>
            <w:noWrap w:val="0"/>
            <w:vAlign w:val="center"/>
          </w:tcPr>
          <w:p w14:paraId="42601382">
            <w:pPr>
              <w:pStyle w:val="10"/>
              <w:keepNext/>
              <w:spacing w:after="0" w:line="240" w:lineRule="auto"/>
              <w:ind w:left="63" w:right="63" w:firstLine="560"/>
              <w:rPr>
                <w:rFonts w:hint="eastAsia" w:ascii="宋体" w:hAnsi="宋体" w:eastAsia="宋体" w:cs="宋体"/>
                <w:b/>
                <w:bCs/>
                <w:color w:val="000000"/>
                <w:kern w:val="2"/>
                <w:sz w:val="24"/>
                <w:szCs w:val="24"/>
              </w:rPr>
            </w:pPr>
          </w:p>
        </w:tc>
        <w:tc>
          <w:tcPr>
            <w:tcW w:w="1134" w:type="dxa"/>
            <w:noWrap w:val="0"/>
            <w:vAlign w:val="center"/>
          </w:tcPr>
          <w:p w14:paraId="15B56754">
            <w:pPr>
              <w:pStyle w:val="10"/>
              <w:keepNext/>
              <w:spacing w:after="0" w:line="240" w:lineRule="auto"/>
              <w:ind w:left="63" w:right="63" w:firstLine="600"/>
              <w:rPr>
                <w:rFonts w:hint="eastAsia" w:ascii="宋体" w:hAnsi="宋体" w:eastAsia="宋体" w:cs="宋体"/>
                <w:b/>
                <w:bCs/>
                <w:color w:val="000000"/>
                <w:kern w:val="2"/>
                <w:sz w:val="24"/>
                <w:szCs w:val="24"/>
              </w:rPr>
            </w:pPr>
          </w:p>
        </w:tc>
        <w:tc>
          <w:tcPr>
            <w:tcW w:w="1134" w:type="dxa"/>
            <w:noWrap w:val="0"/>
            <w:vAlign w:val="center"/>
          </w:tcPr>
          <w:p w14:paraId="3B83ECF5">
            <w:pPr>
              <w:pStyle w:val="10"/>
              <w:keepNext/>
              <w:spacing w:after="0" w:line="240" w:lineRule="auto"/>
              <w:ind w:left="63" w:right="63" w:firstLine="600"/>
              <w:rPr>
                <w:rFonts w:hint="eastAsia" w:ascii="宋体" w:hAnsi="宋体" w:eastAsia="宋体" w:cs="宋体"/>
                <w:b/>
                <w:bCs/>
                <w:color w:val="000000"/>
                <w:kern w:val="2"/>
                <w:sz w:val="24"/>
                <w:szCs w:val="24"/>
              </w:rPr>
            </w:pPr>
          </w:p>
        </w:tc>
        <w:tc>
          <w:tcPr>
            <w:tcW w:w="4252" w:type="dxa"/>
            <w:noWrap w:val="0"/>
            <w:vAlign w:val="center"/>
          </w:tcPr>
          <w:p w14:paraId="3B14BE8A">
            <w:pPr>
              <w:pStyle w:val="10"/>
              <w:keepNext/>
              <w:spacing w:after="0" w:line="240" w:lineRule="auto"/>
              <w:ind w:left="63" w:right="63" w:firstLine="600"/>
              <w:rPr>
                <w:rFonts w:hint="eastAsia" w:ascii="宋体" w:hAnsi="宋体" w:eastAsia="宋体" w:cs="宋体"/>
                <w:b/>
                <w:bCs/>
                <w:color w:val="000000"/>
                <w:kern w:val="2"/>
                <w:sz w:val="24"/>
                <w:szCs w:val="24"/>
              </w:rPr>
            </w:pPr>
          </w:p>
        </w:tc>
      </w:tr>
      <w:tr w14:paraId="2BC1BD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vMerge w:val="restart"/>
            <w:tcBorders>
              <w:top w:val="single" w:color="auto" w:sz="6" w:space="0"/>
            </w:tcBorders>
            <w:noWrap w:val="0"/>
            <w:vAlign w:val="center"/>
          </w:tcPr>
          <w:p w14:paraId="745E6CF5">
            <w:pPr>
              <w:pStyle w:val="10"/>
              <w:keepNext/>
              <w:spacing w:after="0" w:line="240" w:lineRule="auto"/>
              <w:ind w:left="71" w:leftChars="34" w:right="63"/>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其他人员</w:t>
            </w:r>
          </w:p>
        </w:tc>
        <w:tc>
          <w:tcPr>
            <w:tcW w:w="1418" w:type="dxa"/>
            <w:noWrap w:val="0"/>
            <w:vAlign w:val="center"/>
          </w:tcPr>
          <w:p w14:paraId="09847F83">
            <w:pPr>
              <w:pStyle w:val="10"/>
              <w:keepNext/>
              <w:spacing w:after="0" w:line="240" w:lineRule="auto"/>
              <w:ind w:left="63" w:right="63" w:firstLine="560"/>
              <w:rPr>
                <w:rFonts w:hint="eastAsia" w:ascii="宋体" w:hAnsi="宋体" w:eastAsia="宋体" w:cs="宋体"/>
                <w:b/>
                <w:bCs/>
                <w:color w:val="000000"/>
                <w:kern w:val="2"/>
                <w:sz w:val="24"/>
                <w:szCs w:val="24"/>
              </w:rPr>
            </w:pPr>
          </w:p>
        </w:tc>
        <w:tc>
          <w:tcPr>
            <w:tcW w:w="1134" w:type="dxa"/>
            <w:noWrap w:val="0"/>
            <w:vAlign w:val="center"/>
          </w:tcPr>
          <w:p w14:paraId="3150E2F2">
            <w:pPr>
              <w:pStyle w:val="10"/>
              <w:keepNext/>
              <w:spacing w:after="0" w:line="240" w:lineRule="auto"/>
              <w:ind w:left="63" w:right="63" w:firstLine="600"/>
              <w:rPr>
                <w:rFonts w:hint="eastAsia" w:ascii="宋体" w:hAnsi="宋体" w:eastAsia="宋体" w:cs="宋体"/>
                <w:b/>
                <w:bCs/>
                <w:color w:val="000000"/>
                <w:kern w:val="2"/>
                <w:sz w:val="24"/>
                <w:szCs w:val="24"/>
              </w:rPr>
            </w:pPr>
          </w:p>
        </w:tc>
        <w:tc>
          <w:tcPr>
            <w:tcW w:w="1134" w:type="dxa"/>
            <w:noWrap w:val="0"/>
            <w:vAlign w:val="center"/>
          </w:tcPr>
          <w:p w14:paraId="3DE32D1A">
            <w:pPr>
              <w:pStyle w:val="10"/>
              <w:keepNext/>
              <w:spacing w:after="0" w:line="240" w:lineRule="auto"/>
              <w:ind w:left="63" w:right="63" w:firstLine="600"/>
              <w:rPr>
                <w:rFonts w:hint="eastAsia" w:ascii="宋体" w:hAnsi="宋体" w:eastAsia="宋体" w:cs="宋体"/>
                <w:b/>
                <w:bCs/>
                <w:color w:val="000000"/>
                <w:kern w:val="2"/>
                <w:sz w:val="24"/>
                <w:szCs w:val="24"/>
              </w:rPr>
            </w:pPr>
          </w:p>
        </w:tc>
        <w:tc>
          <w:tcPr>
            <w:tcW w:w="4252" w:type="dxa"/>
            <w:noWrap w:val="0"/>
            <w:vAlign w:val="center"/>
          </w:tcPr>
          <w:p w14:paraId="39030E68">
            <w:pPr>
              <w:pStyle w:val="10"/>
              <w:keepNext/>
              <w:spacing w:after="0" w:line="240" w:lineRule="auto"/>
              <w:ind w:left="63" w:right="63" w:firstLine="600"/>
              <w:rPr>
                <w:rFonts w:hint="eastAsia" w:ascii="宋体" w:hAnsi="宋体" w:eastAsia="宋体" w:cs="宋体"/>
                <w:b/>
                <w:bCs/>
                <w:color w:val="000000"/>
                <w:kern w:val="2"/>
                <w:sz w:val="24"/>
                <w:szCs w:val="24"/>
              </w:rPr>
            </w:pPr>
          </w:p>
        </w:tc>
      </w:tr>
      <w:tr w14:paraId="6FF62E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vMerge w:val="continue"/>
            <w:noWrap w:val="0"/>
            <w:vAlign w:val="center"/>
          </w:tcPr>
          <w:p w14:paraId="03C8B86D">
            <w:pPr>
              <w:pStyle w:val="10"/>
              <w:keepNext/>
              <w:spacing w:after="0" w:line="240" w:lineRule="auto"/>
              <w:ind w:left="63" w:right="63" w:firstLine="560"/>
              <w:rPr>
                <w:rFonts w:hint="eastAsia" w:ascii="宋体" w:hAnsi="宋体" w:eastAsia="宋体" w:cs="宋体"/>
                <w:b/>
                <w:bCs/>
                <w:color w:val="000000"/>
                <w:kern w:val="2"/>
                <w:sz w:val="24"/>
                <w:szCs w:val="24"/>
              </w:rPr>
            </w:pPr>
          </w:p>
        </w:tc>
        <w:tc>
          <w:tcPr>
            <w:tcW w:w="1418" w:type="dxa"/>
            <w:tcBorders>
              <w:bottom w:val="nil"/>
            </w:tcBorders>
            <w:noWrap w:val="0"/>
            <w:vAlign w:val="center"/>
          </w:tcPr>
          <w:p w14:paraId="1E266465">
            <w:pPr>
              <w:pStyle w:val="10"/>
              <w:keepNext/>
              <w:spacing w:after="0" w:line="240" w:lineRule="auto"/>
              <w:ind w:left="63" w:right="63" w:firstLine="560"/>
              <w:rPr>
                <w:rFonts w:hint="eastAsia" w:ascii="宋体" w:hAnsi="宋体" w:eastAsia="宋体" w:cs="宋体"/>
                <w:b/>
                <w:bCs/>
                <w:color w:val="000000"/>
                <w:kern w:val="2"/>
                <w:sz w:val="24"/>
                <w:szCs w:val="24"/>
              </w:rPr>
            </w:pPr>
          </w:p>
        </w:tc>
        <w:tc>
          <w:tcPr>
            <w:tcW w:w="1134" w:type="dxa"/>
            <w:tcBorders>
              <w:bottom w:val="nil"/>
            </w:tcBorders>
            <w:noWrap w:val="0"/>
            <w:vAlign w:val="center"/>
          </w:tcPr>
          <w:p w14:paraId="4A0871F0">
            <w:pPr>
              <w:pStyle w:val="10"/>
              <w:keepNext/>
              <w:spacing w:after="0" w:line="240" w:lineRule="auto"/>
              <w:ind w:left="63" w:right="63" w:firstLine="600"/>
              <w:rPr>
                <w:rFonts w:hint="eastAsia" w:ascii="宋体" w:hAnsi="宋体" w:eastAsia="宋体" w:cs="宋体"/>
                <w:b/>
                <w:bCs/>
                <w:color w:val="000000"/>
                <w:kern w:val="2"/>
                <w:sz w:val="24"/>
                <w:szCs w:val="24"/>
              </w:rPr>
            </w:pPr>
          </w:p>
        </w:tc>
        <w:tc>
          <w:tcPr>
            <w:tcW w:w="1134" w:type="dxa"/>
            <w:tcBorders>
              <w:bottom w:val="nil"/>
            </w:tcBorders>
            <w:noWrap w:val="0"/>
            <w:vAlign w:val="center"/>
          </w:tcPr>
          <w:p w14:paraId="337C764C">
            <w:pPr>
              <w:pStyle w:val="10"/>
              <w:keepNext/>
              <w:spacing w:after="0" w:line="240" w:lineRule="auto"/>
              <w:ind w:left="63" w:right="63" w:firstLine="600"/>
              <w:rPr>
                <w:rFonts w:hint="eastAsia" w:ascii="宋体" w:hAnsi="宋体" w:eastAsia="宋体" w:cs="宋体"/>
                <w:b/>
                <w:bCs/>
                <w:color w:val="000000"/>
                <w:kern w:val="2"/>
                <w:sz w:val="24"/>
                <w:szCs w:val="24"/>
              </w:rPr>
            </w:pPr>
          </w:p>
        </w:tc>
        <w:tc>
          <w:tcPr>
            <w:tcW w:w="4252" w:type="dxa"/>
            <w:tcBorders>
              <w:bottom w:val="nil"/>
            </w:tcBorders>
            <w:noWrap w:val="0"/>
            <w:vAlign w:val="center"/>
          </w:tcPr>
          <w:p w14:paraId="11D4356E">
            <w:pPr>
              <w:pStyle w:val="10"/>
              <w:keepNext/>
              <w:spacing w:after="0" w:line="240" w:lineRule="auto"/>
              <w:ind w:left="63" w:right="63" w:firstLine="600"/>
              <w:rPr>
                <w:rFonts w:hint="eastAsia" w:ascii="宋体" w:hAnsi="宋体" w:eastAsia="宋体" w:cs="宋体"/>
                <w:b/>
                <w:bCs/>
                <w:color w:val="000000"/>
                <w:kern w:val="2"/>
                <w:sz w:val="24"/>
                <w:szCs w:val="24"/>
              </w:rPr>
            </w:pPr>
          </w:p>
        </w:tc>
      </w:tr>
      <w:tr w14:paraId="4DA006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vMerge w:val="continue"/>
            <w:noWrap w:val="0"/>
            <w:vAlign w:val="center"/>
          </w:tcPr>
          <w:p w14:paraId="4EFB7452">
            <w:pPr>
              <w:pStyle w:val="10"/>
              <w:keepNext/>
              <w:spacing w:after="0" w:line="240" w:lineRule="auto"/>
              <w:ind w:left="63" w:right="63" w:firstLine="560"/>
              <w:rPr>
                <w:rFonts w:hint="eastAsia" w:ascii="宋体" w:hAnsi="宋体" w:eastAsia="宋体" w:cs="宋体"/>
                <w:b/>
                <w:bCs/>
                <w:color w:val="000000"/>
                <w:kern w:val="2"/>
                <w:sz w:val="24"/>
                <w:szCs w:val="24"/>
              </w:rPr>
            </w:pPr>
          </w:p>
        </w:tc>
        <w:tc>
          <w:tcPr>
            <w:tcW w:w="1418" w:type="dxa"/>
            <w:noWrap w:val="0"/>
            <w:vAlign w:val="center"/>
          </w:tcPr>
          <w:p w14:paraId="795C8509">
            <w:pPr>
              <w:pStyle w:val="10"/>
              <w:keepNext/>
              <w:spacing w:after="0" w:line="240" w:lineRule="auto"/>
              <w:ind w:left="63" w:right="63" w:firstLine="560"/>
              <w:rPr>
                <w:rFonts w:hint="eastAsia" w:ascii="宋体" w:hAnsi="宋体" w:eastAsia="宋体" w:cs="宋体"/>
                <w:b/>
                <w:bCs/>
                <w:color w:val="000000"/>
                <w:kern w:val="2"/>
                <w:sz w:val="24"/>
                <w:szCs w:val="24"/>
              </w:rPr>
            </w:pPr>
          </w:p>
        </w:tc>
        <w:tc>
          <w:tcPr>
            <w:tcW w:w="1134" w:type="dxa"/>
            <w:noWrap w:val="0"/>
            <w:vAlign w:val="center"/>
          </w:tcPr>
          <w:p w14:paraId="513E4FA8">
            <w:pPr>
              <w:pStyle w:val="10"/>
              <w:keepNext/>
              <w:spacing w:after="0" w:line="240" w:lineRule="auto"/>
              <w:ind w:left="63" w:right="63" w:firstLine="600"/>
              <w:rPr>
                <w:rFonts w:hint="eastAsia" w:ascii="宋体" w:hAnsi="宋体" w:eastAsia="宋体" w:cs="宋体"/>
                <w:b/>
                <w:bCs/>
                <w:color w:val="000000"/>
                <w:kern w:val="2"/>
                <w:sz w:val="24"/>
                <w:szCs w:val="24"/>
              </w:rPr>
            </w:pPr>
          </w:p>
        </w:tc>
        <w:tc>
          <w:tcPr>
            <w:tcW w:w="1134" w:type="dxa"/>
            <w:noWrap w:val="0"/>
            <w:vAlign w:val="center"/>
          </w:tcPr>
          <w:p w14:paraId="18282459">
            <w:pPr>
              <w:pStyle w:val="10"/>
              <w:keepNext/>
              <w:spacing w:after="0" w:line="240" w:lineRule="auto"/>
              <w:ind w:left="63" w:right="63" w:firstLine="600"/>
              <w:rPr>
                <w:rFonts w:hint="eastAsia" w:ascii="宋体" w:hAnsi="宋体" w:eastAsia="宋体" w:cs="宋体"/>
                <w:b/>
                <w:bCs/>
                <w:color w:val="000000"/>
                <w:kern w:val="2"/>
                <w:sz w:val="24"/>
                <w:szCs w:val="24"/>
              </w:rPr>
            </w:pPr>
          </w:p>
        </w:tc>
        <w:tc>
          <w:tcPr>
            <w:tcW w:w="4252" w:type="dxa"/>
            <w:noWrap w:val="0"/>
            <w:vAlign w:val="center"/>
          </w:tcPr>
          <w:p w14:paraId="6B6E6A14">
            <w:pPr>
              <w:pStyle w:val="10"/>
              <w:keepNext/>
              <w:spacing w:after="0" w:line="240" w:lineRule="auto"/>
              <w:ind w:left="63" w:right="63" w:firstLine="600"/>
              <w:rPr>
                <w:rFonts w:hint="eastAsia" w:ascii="宋体" w:hAnsi="宋体" w:eastAsia="宋体" w:cs="宋体"/>
                <w:b/>
                <w:bCs/>
                <w:color w:val="000000"/>
                <w:kern w:val="2"/>
                <w:sz w:val="24"/>
                <w:szCs w:val="24"/>
              </w:rPr>
            </w:pPr>
          </w:p>
        </w:tc>
      </w:tr>
      <w:tr w14:paraId="417DB9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vMerge w:val="continue"/>
            <w:noWrap w:val="0"/>
            <w:vAlign w:val="center"/>
          </w:tcPr>
          <w:p w14:paraId="2D0694FB">
            <w:pPr>
              <w:pStyle w:val="10"/>
              <w:keepNext/>
              <w:spacing w:after="0" w:line="240" w:lineRule="auto"/>
              <w:ind w:left="63" w:right="63" w:firstLine="560"/>
              <w:rPr>
                <w:rFonts w:hint="eastAsia" w:ascii="宋体" w:hAnsi="宋体" w:eastAsia="宋体" w:cs="宋体"/>
                <w:b/>
                <w:bCs/>
                <w:color w:val="000000"/>
                <w:kern w:val="2"/>
                <w:sz w:val="24"/>
                <w:szCs w:val="24"/>
              </w:rPr>
            </w:pPr>
          </w:p>
        </w:tc>
        <w:tc>
          <w:tcPr>
            <w:tcW w:w="1418" w:type="dxa"/>
            <w:noWrap w:val="0"/>
            <w:vAlign w:val="center"/>
          </w:tcPr>
          <w:p w14:paraId="36F5A146">
            <w:pPr>
              <w:pStyle w:val="10"/>
              <w:keepNext/>
              <w:spacing w:after="0" w:line="240" w:lineRule="auto"/>
              <w:ind w:left="63" w:right="63" w:firstLine="560"/>
              <w:rPr>
                <w:rFonts w:hint="eastAsia" w:ascii="宋体" w:hAnsi="宋体" w:eastAsia="宋体" w:cs="宋体"/>
                <w:b/>
                <w:bCs/>
                <w:color w:val="000000"/>
                <w:kern w:val="2"/>
                <w:sz w:val="24"/>
                <w:szCs w:val="24"/>
              </w:rPr>
            </w:pPr>
          </w:p>
        </w:tc>
        <w:tc>
          <w:tcPr>
            <w:tcW w:w="1134" w:type="dxa"/>
            <w:noWrap w:val="0"/>
            <w:vAlign w:val="center"/>
          </w:tcPr>
          <w:p w14:paraId="619737B9">
            <w:pPr>
              <w:pStyle w:val="10"/>
              <w:keepNext/>
              <w:spacing w:after="0" w:line="240" w:lineRule="auto"/>
              <w:ind w:left="63" w:right="63" w:firstLine="600"/>
              <w:rPr>
                <w:rFonts w:hint="eastAsia" w:ascii="宋体" w:hAnsi="宋体" w:eastAsia="宋体" w:cs="宋体"/>
                <w:b/>
                <w:bCs/>
                <w:color w:val="000000"/>
                <w:kern w:val="2"/>
                <w:sz w:val="24"/>
                <w:szCs w:val="24"/>
              </w:rPr>
            </w:pPr>
          </w:p>
        </w:tc>
        <w:tc>
          <w:tcPr>
            <w:tcW w:w="1134" w:type="dxa"/>
            <w:noWrap w:val="0"/>
            <w:vAlign w:val="center"/>
          </w:tcPr>
          <w:p w14:paraId="6D410097">
            <w:pPr>
              <w:pStyle w:val="10"/>
              <w:keepNext/>
              <w:spacing w:after="0" w:line="240" w:lineRule="auto"/>
              <w:ind w:left="63" w:right="63" w:firstLine="600"/>
              <w:rPr>
                <w:rFonts w:hint="eastAsia" w:ascii="宋体" w:hAnsi="宋体" w:eastAsia="宋体" w:cs="宋体"/>
                <w:b/>
                <w:bCs/>
                <w:color w:val="000000"/>
                <w:kern w:val="2"/>
                <w:sz w:val="24"/>
                <w:szCs w:val="24"/>
              </w:rPr>
            </w:pPr>
          </w:p>
        </w:tc>
        <w:tc>
          <w:tcPr>
            <w:tcW w:w="4252" w:type="dxa"/>
            <w:noWrap w:val="0"/>
            <w:vAlign w:val="center"/>
          </w:tcPr>
          <w:p w14:paraId="4452E4C9">
            <w:pPr>
              <w:pStyle w:val="10"/>
              <w:keepNext/>
              <w:spacing w:after="0" w:line="240" w:lineRule="auto"/>
              <w:ind w:left="63" w:right="63" w:firstLine="600"/>
              <w:rPr>
                <w:rFonts w:hint="eastAsia" w:ascii="宋体" w:hAnsi="宋体" w:eastAsia="宋体" w:cs="宋体"/>
                <w:b/>
                <w:bCs/>
                <w:color w:val="000000"/>
                <w:kern w:val="2"/>
                <w:sz w:val="24"/>
                <w:szCs w:val="24"/>
              </w:rPr>
            </w:pPr>
          </w:p>
        </w:tc>
      </w:tr>
      <w:tr w14:paraId="6B6756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vMerge w:val="continue"/>
            <w:noWrap w:val="0"/>
            <w:vAlign w:val="center"/>
          </w:tcPr>
          <w:p w14:paraId="52B88E07">
            <w:pPr>
              <w:pStyle w:val="10"/>
              <w:keepNext/>
              <w:spacing w:after="0" w:line="240" w:lineRule="auto"/>
              <w:ind w:left="63" w:right="63" w:firstLine="560"/>
              <w:rPr>
                <w:rFonts w:hint="eastAsia" w:ascii="宋体" w:hAnsi="宋体" w:eastAsia="宋体" w:cs="宋体"/>
                <w:b/>
                <w:bCs/>
                <w:color w:val="000000"/>
                <w:kern w:val="2"/>
                <w:sz w:val="24"/>
                <w:szCs w:val="24"/>
              </w:rPr>
            </w:pPr>
          </w:p>
        </w:tc>
        <w:tc>
          <w:tcPr>
            <w:tcW w:w="1418" w:type="dxa"/>
            <w:noWrap w:val="0"/>
            <w:vAlign w:val="center"/>
          </w:tcPr>
          <w:p w14:paraId="47C08557">
            <w:pPr>
              <w:pStyle w:val="10"/>
              <w:keepNext/>
              <w:spacing w:after="0" w:line="240" w:lineRule="auto"/>
              <w:ind w:left="63" w:right="63" w:firstLine="560"/>
              <w:rPr>
                <w:rFonts w:hint="eastAsia" w:ascii="宋体" w:hAnsi="宋体" w:eastAsia="宋体" w:cs="宋体"/>
                <w:b/>
                <w:bCs/>
                <w:color w:val="000000"/>
                <w:kern w:val="2"/>
                <w:sz w:val="24"/>
                <w:szCs w:val="24"/>
              </w:rPr>
            </w:pPr>
          </w:p>
        </w:tc>
        <w:tc>
          <w:tcPr>
            <w:tcW w:w="1134" w:type="dxa"/>
            <w:noWrap w:val="0"/>
            <w:vAlign w:val="center"/>
          </w:tcPr>
          <w:p w14:paraId="0F64A729">
            <w:pPr>
              <w:pStyle w:val="10"/>
              <w:keepNext/>
              <w:spacing w:after="0" w:line="240" w:lineRule="auto"/>
              <w:ind w:left="63" w:right="63" w:firstLine="600"/>
              <w:rPr>
                <w:rFonts w:hint="eastAsia" w:ascii="宋体" w:hAnsi="宋体" w:eastAsia="宋体" w:cs="宋体"/>
                <w:b/>
                <w:bCs/>
                <w:color w:val="000000"/>
                <w:kern w:val="2"/>
                <w:sz w:val="24"/>
                <w:szCs w:val="24"/>
              </w:rPr>
            </w:pPr>
          </w:p>
        </w:tc>
        <w:tc>
          <w:tcPr>
            <w:tcW w:w="1134" w:type="dxa"/>
            <w:noWrap w:val="0"/>
            <w:vAlign w:val="center"/>
          </w:tcPr>
          <w:p w14:paraId="41239917">
            <w:pPr>
              <w:pStyle w:val="10"/>
              <w:keepNext/>
              <w:spacing w:after="0" w:line="240" w:lineRule="auto"/>
              <w:ind w:left="63" w:right="63" w:firstLine="600"/>
              <w:rPr>
                <w:rFonts w:hint="eastAsia" w:ascii="宋体" w:hAnsi="宋体" w:eastAsia="宋体" w:cs="宋体"/>
                <w:b/>
                <w:bCs/>
                <w:color w:val="000000"/>
                <w:kern w:val="2"/>
                <w:sz w:val="24"/>
                <w:szCs w:val="24"/>
              </w:rPr>
            </w:pPr>
          </w:p>
        </w:tc>
        <w:tc>
          <w:tcPr>
            <w:tcW w:w="4252" w:type="dxa"/>
            <w:noWrap w:val="0"/>
            <w:vAlign w:val="center"/>
          </w:tcPr>
          <w:p w14:paraId="5BE09550">
            <w:pPr>
              <w:pStyle w:val="10"/>
              <w:keepNext/>
              <w:spacing w:after="0" w:line="240" w:lineRule="auto"/>
              <w:ind w:left="63" w:right="63" w:firstLine="600"/>
              <w:rPr>
                <w:rFonts w:hint="eastAsia" w:ascii="宋体" w:hAnsi="宋体" w:eastAsia="宋体" w:cs="宋体"/>
                <w:b/>
                <w:bCs/>
                <w:color w:val="000000"/>
                <w:kern w:val="2"/>
                <w:sz w:val="24"/>
                <w:szCs w:val="24"/>
              </w:rPr>
            </w:pPr>
          </w:p>
        </w:tc>
      </w:tr>
    </w:tbl>
    <w:p w14:paraId="256B791F">
      <w:pPr>
        <w:spacing w:before="120" w:beforeLines="50" w:after="120" w:afterLines="50"/>
        <w:ind w:firstLine="600"/>
        <w:jc w:val="center"/>
        <w:rPr>
          <w:rFonts w:hint="eastAsia" w:ascii="宋体" w:hAnsi="宋体" w:eastAsia="宋体" w:cs="宋体"/>
          <w:color w:val="000000"/>
          <w:sz w:val="30"/>
          <w:szCs w:val="30"/>
        </w:rPr>
      </w:pPr>
    </w:p>
    <w:p w14:paraId="526C4DE3">
      <w:pPr>
        <w:spacing w:before="120" w:beforeLines="50" w:after="120" w:afterLines="50"/>
        <w:ind w:firstLine="600"/>
        <w:jc w:val="center"/>
        <w:rPr>
          <w:rFonts w:hint="eastAsia" w:ascii="宋体" w:hAnsi="宋体" w:eastAsia="宋体" w:cs="宋体"/>
          <w:color w:val="000000"/>
          <w:sz w:val="30"/>
          <w:szCs w:val="30"/>
        </w:rPr>
      </w:pPr>
    </w:p>
    <w:p w14:paraId="10FA6B84">
      <w:pPr>
        <w:spacing w:before="120" w:beforeLines="50" w:after="120" w:afterLines="50"/>
        <w:ind w:firstLine="600"/>
        <w:jc w:val="center"/>
        <w:rPr>
          <w:rFonts w:hint="eastAsia" w:ascii="宋体" w:hAnsi="宋体" w:eastAsia="宋体" w:cs="宋体"/>
          <w:color w:val="000000"/>
          <w:sz w:val="30"/>
          <w:szCs w:val="30"/>
        </w:rPr>
      </w:pPr>
    </w:p>
    <w:p w14:paraId="3B7BEDE3">
      <w:pPr>
        <w:pStyle w:val="16"/>
        <w:rPr>
          <w:rFonts w:hint="eastAsia" w:ascii="宋体" w:hAnsi="宋体" w:eastAsia="宋体" w:cs="宋体"/>
        </w:rPr>
      </w:pPr>
    </w:p>
    <w:p w14:paraId="512A875E">
      <w:pPr>
        <w:spacing w:before="120" w:beforeLines="50" w:after="120" w:afterLines="50"/>
        <w:rPr>
          <w:rFonts w:hint="eastAsia" w:ascii="宋体" w:hAnsi="宋体" w:eastAsia="宋体" w:cs="宋体"/>
          <w:color w:val="000000"/>
          <w:sz w:val="24"/>
          <w:szCs w:val="24"/>
        </w:rPr>
      </w:pPr>
    </w:p>
    <w:p w14:paraId="0789A5DF">
      <w:pPr>
        <w:spacing w:before="120" w:beforeLines="50" w:after="120" w:afterLines="50"/>
        <w:rPr>
          <w:rFonts w:hint="eastAsia" w:ascii="宋体" w:hAnsi="宋体" w:eastAsia="宋体" w:cs="宋体"/>
          <w:color w:val="000000"/>
          <w:sz w:val="24"/>
          <w:szCs w:val="24"/>
        </w:rPr>
      </w:pPr>
    </w:p>
    <w:p w14:paraId="68FECB87">
      <w:pPr>
        <w:spacing w:before="120" w:beforeLines="50" w:after="120" w:afterLines="50"/>
        <w:rPr>
          <w:rFonts w:hint="eastAsia" w:ascii="宋体" w:hAnsi="宋体" w:eastAsia="宋体" w:cs="宋体"/>
          <w:color w:val="000000"/>
          <w:sz w:val="24"/>
          <w:szCs w:val="24"/>
        </w:rPr>
      </w:pPr>
    </w:p>
    <w:p w14:paraId="4179E13E">
      <w:pPr>
        <w:spacing w:before="120" w:beforeLines="50" w:after="120" w:afterLines="50"/>
        <w:rPr>
          <w:rFonts w:hint="eastAsia" w:ascii="宋体" w:hAnsi="宋体" w:eastAsia="宋体" w:cs="宋体"/>
          <w:color w:val="000000"/>
          <w:sz w:val="24"/>
          <w:szCs w:val="24"/>
        </w:rPr>
      </w:pPr>
    </w:p>
    <w:p w14:paraId="26A5E9F6">
      <w:pPr>
        <w:spacing w:before="120" w:beforeLines="50" w:after="120" w:afterLines="50"/>
        <w:rPr>
          <w:rFonts w:hint="eastAsia" w:ascii="宋体" w:hAnsi="宋体" w:eastAsia="宋体" w:cs="宋体"/>
          <w:color w:val="000000"/>
          <w:sz w:val="24"/>
          <w:szCs w:val="24"/>
        </w:rPr>
      </w:pPr>
    </w:p>
    <w:p w14:paraId="206E6963">
      <w:pPr>
        <w:spacing w:before="120" w:beforeLines="50" w:after="120" w:afterLines="50"/>
        <w:rPr>
          <w:rFonts w:hint="eastAsia" w:ascii="宋体" w:hAnsi="宋体" w:eastAsia="宋体" w:cs="宋体"/>
          <w:color w:val="000000"/>
          <w:sz w:val="24"/>
          <w:szCs w:val="24"/>
        </w:rPr>
      </w:pPr>
    </w:p>
    <w:p w14:paraId="648C4E73">
      <w:pPr>
        <w:spacing w:before="120" w:beforeLines="50" w:after="120" w:afterLines="50"/>
        <w:rPr>
          <w:rFonts w:hint="eastAsia" w:ascii="宋体" w:hAnsi="宋体" w:eastAsia="宋体" w:cs="宋体"/>
          <w:color w:val="000000"/>
          <w:sz w:val="24"/>
          <w:szCs w:val="24"/>
        </w:rPr>
      </w:pPr>
    </w:p>
    <w:p w14:paraId="7925CE3F">
      <w:pPr>
        <w:spacing w:before="120" w:beforeLines="50" w:after="120" w:afterLines="50"/>
        <w:rPr>
          <w:rFonts w:hint="eastAsia" w:ascii="宋体" w:hAnsi="宋体" w:eastAsia="宋体" w:cs="宋体"/>
          <w:color w:val="000000"/>
          <w:sz w:val="24"/>
          <w:szCs w:val="24"/>
        </w:rPr>
      </w:pPr>
    </w:p>
    <w:p w14:paraId="1519ABAC">
      <w:pPr>
        <w:spacing w:before="120" w:beforeLines="50" w:after="120" w:afterLines="50"/>
        <w:rPr>
          <w:rFonts w:hint="eastAsia" w:ascii="宋体" w:hAnsi="宋体" w:eastAsia="宋体" w:cs="宋体"/>
          <w:color w:val="000000"/>
          <w:sz w:val="24"/>
          <w:szCs w:val="24"/>
        </w:rPr>
      </w:pPr>
    </w:p>
    <w:p w14:paraId="04C1D0DB">
      <w:pPr>
        <w:spacing w:before="120" w:beforeLines="50" w:after="120" w:afterLines="50"/>
        <w:rPr>
          <w:rFonts w:hint="eastAsia" w:ascii="宋体" w:hAnsi="宋体" w:eastAsia="宋体" w:cs="宋体"/>
          <w:color w:val="000000"/>
          <w:sz w:val="24"/>
          <w:szCs w:val="24"/>
        </w:rPr>
      </w:pPr>
    </w:p>
    <w:p w14:paraId="0E4CAF3A">
      <w:pPr>
        <w:spacing w:before="120" w:beforeLines="50" w:after="120" w:afterLines="50"/>
        <w:rPr>
          <w:rFonts w:hint="eastAsia" w:ascii="宋体" w:hAnsi="宋体" w:eastAsia="宋体" w:cs="宋体"/>
          <w:color w:val="000000"/>
          <w:sz w:val="24"/>
          <w:szCs w:val="24"/>
        </w:rPr>
      </w:pPr>
    </w:p>
    <w:p w14:paraId="781B52C2">
      <w:pPr>
        <w:spacing w:before="0" w:beforeLines="0" w:after="0" w:afterLines="0"/>
        <w:jc w:val="left"/>
        <w:outlineLvl w:val="0"/>
        <w:rPr>
          <w:rFonts w:hint="eastAsia" w:ascii="宋体" w:hAnsi="宋体" w:eastAsia="宋体" w:cs="宋体"/>
          <w:color w:val="000000"/>
          <w:sz w:val="28"/>
          <w:szCs w:val="28"/>
        </w:rPr>
      </w:pPr>
      <w:bookmarkStart w:id="543" w:name="_Toc16369"/>
      <w:bookmarkStart w:id="544" w:name="_Toc20018"/>
      <w:bookmarkStart w:id="545" w:name="_Toc20839"/>
      <w:bookmarkStart w:id="546" w:name="_Toc15376"/>
      <w:bookmarkStart w:id="547" w:name="_Toc32527"/>
      <w:bookmarkStart w:id="548" w:name="_Toc9953"/>
      <w:bookmarkStart w:id="549" w:name="_Toc28279"/>
      <w:bookmarkStart w:id="550" w:name="_Toc29106"/>
      <w:r>
        <w:rPr>
          <w:rFonts w:hint="eastAsia" w:ascii="宋体" w:hAnsi="宋体" w:eastAsia="宋体" w:cs="宋体"/>
          <w:color w:val="000000"/>
          <w:sz w:val="28"/>
          <w:szCs w:val="28"/>
        </w:rPr>
        <w:t>附件8：银行履约保函</w:t>
      </w:r>
      <w:bookmarkEnd w:id="541"/>
      <w:bookmarkEnd w:id="542"/>
      <w:bookmarkEnd w:id="543"/>
      <w:bookmarkEnd w:id="544"/>
      <w:bookmarkEnd w:id="545"/>
      <w:bookmarkEnd w:id="546"/>
      <w:bookmarkEnd w:id="547"/>
      <w:bookmarkEnd w:id="548"/>
      <w:bookmarkEnd w:id="549"/>
      <w:bookmarkEnd w:id="550"/>
    </w:p>
    <w:p w14:paraId="7A5C0E92">
      <w:pPr>
        <w:tabs>
          <w:tab w:val="left" w:pos="824"/>
          <w:tab w:val="left" w:pos="1830"/>
          <w:tab w:val="left" w:pos="3330"/>
          <w:tab w:val="left" w:pos="4530"/>
          <w:tab w:val="left" w:pos="5530"/>
          <w:tab w:val="left" w:pos="6530"/>
          <w:tab w:val="left" w:pos="7930"/>
          <w:tab w:val="left" w:pos="8697"/>
          <w:tab w:val="left" w:pos="9330"/>
        </w:tabs>
        <w:autoSpaceDE w:val="0"/>
        <w:autoSpaceDN w:val="0"/>
        <w:adjustRightInd w:val="0"/>
        <w:jc w:val="center"/>
        <w:rPr>
          <w:rFonts w:hint="eastAsia" w:ascii="宋体" w:hAnsi="宋体" w:eastAsia="宋体" w:cs="宋体"/>
          <w:b/>
          <w:sz w:val="36"/>
          <w:szCs w:val="36"/>
        </w:rPr>
      </w:pPr>
      <w:r>
        <w:rPr>
          <w:rFonts w:hint="eastAsia" w:ascii="宋体" w:hAnsi="宋体" w:eastAsia="宋体" w:cs="宋体"/>
          <w:b/>
          <w:sz w:val="36"/>
          <w:szCs w:val="36"/>
        </w:rPr>
        <w:t>银行履约保函</w:t>
      </w:r>
    </w:p>
    <w:p w14:paraId="272209D0">
      <w:pPr>
        <w:spacing w:line="288" w:lineRule="auto"/>
        <w:ind w:firstLine="0" w:firstLineChars="0"/>
        <w:jc w:val="left"/>
        <w:rPr>
          <w:rFonts w:hint="eastAsia" w:ascii="宋体" w:hAnsi="宋体" w:eastAsia="宋体" w:cs="宋体"/>
          <w:sz w:val="24"/>
          <w:szCs w:val="24"/>
          <w:u w:val="single"/>
        </w:rPr>
      </w:pPr>
      <w:r>
        <w:rPr>
          <w:rFonts w:hint="eastAsia" w:ascii="宋体" w:hAnsi="宋体" w:eastAsia="宋体" w:cs="宋体"/>
          <w:sz w:val="24"/>
          <w:szCs w:val="24"/>
        </w:rPr>
        <w:t>开具日期：</w:t>
      </w:r>
    </w:p>
    <w:p w14:paraId="424D5A95">
      <w:pPr>
        <w:spacing w:line="288" w:lineRule="auto"/>
        <w:ind w:firstLine="0" w:firstLineChars="0"/>
        <w:rPr>
          <w:rFonts w:hint="eastAsia" w:ascii="宋体" w:hAnsi="宋体" w:eastAsia="宋体" w:cs="宋体"/>
          <w:sz w:val="24"/>
          <w:szCs w:val="24"/>
        </w:rPr>
      </w:pPr>
      <w:r>
        <w:rPr>
          <w:rFonts w:hint="eastAsia" w:ascii="宋体" w:hAnsi="宋体" w:eastAsia="宋体" w:cs="宋体"/>
          <w:sz w:val="24"/>
          <w:szCs w:val="24"/>
        </w:rPr>
        <w:t>保函编号：</w:t>
      </w:r>
    </w:p>
    <w:p w14:paraId="79A082BC">
      <w:pPr>
        <w:spacing w:line="288" w:lineRule="auto"/>
        <w:rPr>
          <w:rFonts w:hint="eastAsia" w:ascii="宋体" w:hAnsi="宋体" w:eastAsia="宋体" w:cs="宋体"/>
          <w:sz w:val="24"/>
          <w:szCs w:val="24"/>
        </w:rPr>
      </w:pPr>
      <w:r>
        <w:rPr>
          <w:rFonts w:hint="eastAsia" w:ascii="宋体" w:hAnsi="宋体" w:eastAsia="宋体" w:cs="宋体"/>
          <w:sz w:val="24"/>
          <w:szCs w:val="24"/>
        </w:rPr>
        <w:t>致：       （招标人/发包人名称，以下简称贵方）</w:t>
      </w:r>
    </w:p>
    <w:p w14:paraId="7CB4F9DB">
      <w:pPr>
        <w:spacing w:line="288"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本保函作为贵方与</w:t>
      </w:r>
      <w:r>
        <w:rPr>
          <w:rFonts w:hint="eastAsia" w:ascii="宋体" w:hAnsi="宋体" w:eastAsia="宋体" w:cs="宋体"/>
          <w:sz w:val="24"/>
          <w:szCs w:val="24"/>
          <w:u w:val="single"/>
        </w:rPr>
        <w:t xml:space="preserve">          </w:t>
      </w:r>
      <w:r>
        <w:rPr>
          <w:rFonts w:hint="eastAsia" w:ascii="宋体" w:hAnsi="宋体" w:eastAsia="宋体" w:cs="宋体"/>
          <w:sz w:val="24"/>
          <w:szCs w:val="24"/>
        </w:rPr>
        <w:t>（中标人/承包人名称）于年月日就</w:t>
      </w:r>
      <w:r>
        <w:rPr>
          <w:rFonts w:hint="eastAsia" w:ascii="宋体" w:hAnsi="宋体" w:eastAsia="宋体" w:cs="宋体"/>
          <w:sz w:val="24"/>
          <w:szCs w:val="24"/>
          <w:u w:val="single"/>
        </w:rPr>
        <w:t xml:space="preserve">         </w:t>
      </w:r>
      <w:r>
        <w:rPr>
          <w:rFonts w:hint="eastAsia" w:ascii="宋体" w:hAnsi="宋体" w:eastAsia="宋体" w:cs="宋体"/>
          <w:sz w:val="24"/>
          <w:szCs w:val="24"/>
        </w:rPr>
        <w:t>项目（以下简称项目），签订的</w:t>
      </w:r>
      <w:r>
        <w:rPr>
          <w:rFonts w:hint="eastAsia" w:ascii="宋体" w:hAnsi="宋体" w:eastAsia="宋体" w:cs="宋体"/>
          <w:sz w:val="24"/>
          <w:szCs w:val="24"/>
          <w:u w:val="single"/>
        </w:rPr>
        <w:t xml:space="preserve">          </w:t>
      </w:r>
      <w:r>
        <w:rPr>
          <w:rFonts w:hint="eastAsia" w:ascii="宋体" w:hAnsi="宋体" w:eastAsia="宋体" w:cs="宋体"/>
          <w:sz w:val="24"/>
          <w:szCs w:val="24"/>
        </w:rPr>
        <w:t>合同（合同编号：）的履约保函。</w:t>
      </w:r>
    </w:p>
    <w:p w14:paraId="278AAD1F">
      <w:pPr>
        <w:spacing w:line="288" w:lineRule="auto"/>
        <w:ind w:firstLine="480" w:firstLineChars="200"/>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银行（以下简称本行）无条件地、不可撤销地保证本行及其继承者和受托者无追索地向贵方支付履约保证金人民币</w:t>
      </w:r>
      <w:r>
        <w:rPr>
          <w:rFonts w:hint="eastAsia" w:ascii="宋体" w:hAnsi="宋体" w:eastAsia="宋体" w:cs="宋体"/>
          <w:sz w:val="24"/>
          <w:szCs w:val="24"/>
          <w:u w:val="single"/>
        </w:rPr>
        <w:t>（大写）      ¥</w:t>
      </w:r>
      <w:r>
        <w:rPr>
          <w:rFonts w:hint="eastAsia" w:ascii="宋体" w:hAnsi="宋体" w:eastAsia="宋体" w:cs="宋体"/>
          <w:color w:val="000000"/>
          <w:sz w:val="24"/>
          <w:szCs w:val="24"/>
          <w:u w:val="single"/>
        </w:rPr>
        <w:t xml:space="preserve">     </w:t>
      </w:r>
      <w:r>
        <w:rPr>
          <w:rFonts w:hint="eastAsia" w:ascii="宋体" w:hAnsi="宋体" w:eastAsia="宋体" w:cs="宋体"/>
          <w:sz w:val="24"/>
          <w:szCs w:val="24"/>
          <w:u w:val="single"/>
        </w:rPr>
        <w:t xml:space="preserve"> 元</w:t>
      </w:r>
      <w:r>
        <w:rPr>
          <w:rFonts w:hint="eastAsia" w:ascii="宋体" w:hAnsi="宋体" w:eastAsia="宋体" w:cs="宋体"/>
          <w:sz w:val="24"/>
          <w:szCs w:val="24"/>
        </w:rPr>
        <w:t>（金额大小写），并以此约定如下：</w:t>
      </w:r>
    </w:p>
    <w:p w14:paraId="7EE93AC5">
      <w:pPr>
        <w:numPr>
          <w:ilvl w:val="0"/>
          <w:numId w:val="3"/>
        </w:numPr>
        <w:spacing w:line="288" w:lineRule="auto"/>
        <w:ind w:firstLine="480" w:firstLineChars="200"/>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中标人/承包人名称）未能忠实地履行所有合同文件的规定和双方此后一致同意修改、补充等协议（以下简称违约），只要贵方确定，无论</w:t>
      </w:r>
      <w:r>
        <w:rPr>
          <w:rFonts w:hint="eastAsia" w:ascii="宋体" w:hAnsi="宋体" w:eastAsia="宋体" w:cs="宋体"/>
          <w:sz w:val="24"/>
          <w:szCs w:val="24"/>
          <w:u w:val="single"/>
        </w:rPr>
        <w:t xml:space="preserve">      </w:t>
      </w:r>
      <w:r>
        <w:rPr>
          <w:rFonts w:hint="eastAsia" w:ascii="宋体" w:hAnsi="宋体" w:eastAsia="宋体" w:cs="宋体"/>
          <w:sz w:val="24"/>
          <w:szCs w:val="24"/>
        </w:rPr>
        <w:t>（中标人/承包人名称）有任何反对，本行保证本行及其继承者和受托者在收到贵方第一次的表明</w:t>
      </w:r>
      <w:r>
        <w:rPr>
          <w:rFonts w:hint="eastAsia" w:ascii="宋体" w:hAnsi="宋体" w:eastAsia="宋体" w:cs="宋体"/>
          <w:sz w:val="24"/>
          <w:szCs w:val="24"/>
          <w:u w:val="single"/>
        </w:rPr>
        <w:t xml:space="preserve">           </w:t>
      </w:r>
      <w:r>
        <w:rPr>
          <w:rFonts w:hint="eastAsia" w:ascii="宋体" w:hAnsi="宋体" w:eastAsia="宋体" w:cs="宋体"/>
          <w:sz w:val="24"/>
          <w:szCs w:val="24"/>
        </w:rPr>
        <w:t>（中标人/承包人名称）违约的书面通知后7日内，按贵方提出的上述金额和按该通知中规定的方式付给贵方。</w:t>
      </w:r>
    </w:p>
    <w:p w14:paraId="39F68820">
      <w:pPr>
        <w:spacing w:line="288"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（2）本保函任何支付应为免税，无论任何人以何种理由提出扣减现有或未来的税费、其它费用或扣款，均不能从本保函中扣除。</w:t>
      </w:r>
    </w:p>
    <w:p w14:paraId="66665C7A">
      <w:pPr>
        <w:spacing w:line="288"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本保函的规定构成本行无条件的、不可撤销的直接义务。今后任何对合同条款的修改、贵方在时间上的通融、其它宽容、让步或由贵方采取的除了本款以外都适用的可能免除本行责任的任何删除或其它行为，均不能解除或免除本行在本保函的责任，但本行的担保责任以本保函的担保金额及担保期限为限。</w:t>
      </w:r>
    </w:p>
    <w:p w14:paraId="68BA9DF8">
      <w:pPr>
        <w:spacing w:line="288"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（4）本保函开具生效，直至该工程移交工程证书发出前一直有效，但本保函的有效期最晚不超过年月日。</w:t>
      </w:r>
    </w:p>
    <w:p w14:paraId="16D44CB7">
      <w:pPr>
        <w:spacing w:line="288"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（5）本保函未经本行同意不得转让。</w:t>
      </w:r>
    </w:p>
    <w:p w14:paraId="5AF0E834">
      <w:pPr>
        <w:spacing w:line="288"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（6）本保函适用中华人民共和国法律，并按中华人民共和国法律解释。</w:t>
      </w:r>
    </w:p>
    <w:p w14:paraId="0E6EE689">
      <w:pPr>
        <w:spacing w:line="288"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（7）本保函的通知行为</w:t>
      </w:r>
      <w:r>
        <w:rPr>
          <w:rFonts w:hint="eastAsia" w:ascii="宋体" w:hAnsi="宋体" w:eastAsia="宋体" w:cs="宋体"/>
          <w:sz w:val="24"/>
          <w:szCs w:val="24"/>
          <w:u w:val="single"/>
        </w:rPr>
        <w:t xml:space="preserve">                      </w:t>
      </w:r>
      <w:r>
        <w:rPr>
          <w:rFonts w:hint="eastAsia" w:ascii="宋体" w:hAnsi="宋体" w:eastAsia="宋体" w:cs="宋体"/>
          <w:sz w:val="24"/>
          <w:szCs w:val="24"/>
        </w:rPr>
        <w:t>。（斜体字处根据实际业务情况填写）</w:t>
      </w:r>
    </w:p>
    <w:p w14:paraId="2E3F442B">
      <w:pPr>
        <w:spacing w:line="288" w:lineRule="auto"/>
        <w:ind w:firstLine="5520" w:firstLineChars="2300"/>
        <w:rPr>
          <w:rFonts w:hint="eastAsia" w:ascii="宋体" w:hAnsi="宋体" w:eastAsia="宋体" w:cs="宋体"/>
          <w:sz w:val="24"/>
          <w:szCs w:val="24"/>
        </w:rPr>
      </w:pPr>
    </w:p>
    <w:p w14:paraId="69C004E2">
      <w:pPr>
        <w:spacing w:line="288" w:lineRule="auto"/>
        <w:ind w:firstLine="5520" w:firstLineChars="2300"/>
        <w:rPr>
          <w:rFonts w:hint="eastAsia" w:ascii="宋体" w:hAnsi="宋体" w:eastAsia="宋体" w:cs="宋体"/>
          <w:sz w:val="24"/>
          <w:szCs w:val="24"/>
          <w:u w:val="single"/>
        </w:rPr>
      </w:pPr>
      <w:r>
        <w:rPr>
          <w:rFonts w:hint="eastAsia" w:ascii="宋体" w:hAnsi="宋体" w:eastAsia="宋体" w:cs="宋体"/>
          <w:sz w:val="24"/>
          <w:szCs w:val="24"/>
        </w:rPr>
        <w:t>出证行名称：</w:t>
      </w:r>
    </w:p>
    <w:p w14:paraId="078F9198">
      <w:pPr>
        <w:spacing w:line="288" w:lineRule="auto"/>
        <w:ind w:firstLine="5520" w:firstLineChars="2300"/>
        <w:rPr>
          <w:rFonts w:hint="eastAsia" w:ascii="宋体" w:hAnsi="宋体" w:eastAsia="宋体" w:cs="宋体"/>
          <w:sz w:val="24"/>
          <w:szCs w:val="24"/>
        </w:rPr>
      </w:pPr>
      <w:r>
        <w:rPr>
          <w:rFonts w:hint="eastAsia" w:ascii="宋体" w:hAnsi="宋体" w:eastAsia="宋体" w:cs="宋体"/>
          <w:sz w:val="24"/>
          <w:szCs w:val="24"/>
        </w:rPr>
        <w:t>签名（或签章）：</w:t>
      </w:r>
    </w:p>
    <w:p w14:paraId="231F8C2D">
      <w:pPr>
        <w:spacing w:line="288" w:lineRule="auto"/>
        <w:ind w:firstLine="5520" w:firstLineChars="2300"/>
        <w:rPr>
          <w:rFonts w:hint="eastAsia" w:ascii="宋体" w:hAnsi="宋体" w:eastAsia="宋体" w:cs="宋体"/>
          <w:sz w:val="24"/>
          <w:szCs w:val="24"/>
        </w:rPr>
      </w:pPr>
      <w:r>
        <w:rPr>
          <w:rFonts w:hint="eastAsia" w:ascii="宋体" w:hAnsi="宋体" w:eastAsia="宋体" w:cs="宋体"/>
          <w:sz w:val="24"/>
          <w:szCs w:val="24"/>
        </w:rPr>
        <w:t>（印刷姓名和职务）</w:t>
      </w:r>
    </w:p>
    <w:p w14:paraId="690C7A38">
      <w:pPr>
        <w:spacing w:line="288" w:lineRule="auto"/>
        <w:ind w:firstLine="5640" w:firstLineChars="2350"/>
        <w:rPr>
          <w:rFonts w:hint="eastAsia" w:ascii="宋体" w:hAnsi="宋体" w:eastAsia="宋体" w:cs="宋体"/>
          <w:sz w:val="24"/>
          <w:szCs w:val="24"/>
          <w:u w:val="single"/>
        </w:rPr>
      </w:pPr>
      <w:r>
        <w:rPr>
          <w:rFonts w:hint="eastAsia" w:ascii="宋体" w:hAnsi="宋体" w:eastAsia="宋体" w:cs="宋体"/>
          <w:sz w:val="24"/>
          <w:szCs w:val="24"/>
        </w:rPr>
        <w:t>公章：</w:t>
      </w:r>
    </w:p>
    <w:p w14:paraId="722A476E">
      <w:pPr>
        <w:spacing w:line="288" w:lineRule="auto"/>
        <w:ind w:firstLine="5640" w:firstLineChars="2350"/>
        <w:rPr>
          <w:rFonts w:hint="eastAsia" w:ascii="宋体" w:hAnsi="宋体" w:eastAsia="宋体" w:cs="宋体"/>
          <w:sz w:val="24"/>
          <w:szCs w:val="24"/>
          <w:u w:val="single"/>
        </w:rPr>
      </w:pPr>
      <w:r>
        <w:rPr>
          <w:rFonts w:hint="eastAsia" w:ascii="宋体" w:hAnsi="宋体" w:eastAsia="宋体" w:cs="宋体"/>
          <w:sz w:val="24"/>
          <w:szCs w:val="24"/>
        </w:rPr>
        <w:t>地址：</w:t>
      </w:r>
    </w:p>
    <w:p w14:paraId="5EF49066">
      <w:pPr>
        <w:spacing w:line="288" w:lineRule="auto"/>
        <w:ind w:firstLine="5640" w:firstLineChars="2350"/>
        <w:rPr>
          <w:rFonts w:hint="eastAsia" w:ascii="宋体" w:hAnsi="宋体" w:eastAsia="宋体" w:cs="宋体"/>
          <w:sz w:val="24"/>
          <w:szCs w:val="24"/>
          <w:u w:val="single"/>
        </w:rPr>
      </w:pPr>
      <w:r>
        <w:rPr>
          <w:rFonts w:hint="eastAsia" w:ascii="宋体" w:hAnsi="宋体" w:eastAsia="宋体" w:cs="宋体"/>
          <w:sz w:val="24"/>
          <w:szCs w:val="24"/>
        </w:rPr>
        <w:t>邮政编码：</w:t>
      </w:r>
    </w:p>
    <w:p w14:paraId="7EA80C77">
      <w:pPr>
        <w:spacing w:line="288" w:lineRule="auto"/>
        <w:ind w:firstLine="5640" w:firstLineChars="2350"/>
        <w:rPr>
          <w:rFonts w:hint="eastAsia" w:ascii="宋体" w:hAnsi="宋体" w:eastAsia="宋体" w:cs="宋体"/>
          <w:color w:val="000000"/>
          <w:sz w:val="24"/>
          <w:szCs w:val="24"/>
        </w:rPr>
      </w:pPr>
      <w:r>
        <w:rPr>
          <w:rFonts w:hint="eastAsia" w:ascii="宋体" w:hAnsi="宋体" w:eastAsia="宋体" w:cs="宋体"/>
          <w:sz w:val="24"/>
          <w:szCs w:val="24"/>
        </w:rPr>
        <w:t>电话：</w:t>
      </w:r>
    </w:p>
    <w:p w14:paraId="6844A467">
      <w:pPr>
        <w:jc w:val="left"/>
        <w:rPr>
          <w:rFonts w:hint="eastAsia" w:ascii="宋体" w:hAnsi="宋体" w:eastAsia="宋体" w:cs="宋体"/>
          <w:color w:val="000000"/>
          <w:sz w:val="28"/>
          <w:szCs w:val="28"/>
        </w:rPr>
      </w:pPr>
    </w:p>
    <w:p w14:paraId="1A09B489">
      <w:pPr>
        <w:pStyle w:val="16"/>
        <w:rPr>
          <w:rFonts w:hint="eastAsia" w:ascii="宋体" w:hAnsi="宋体" w:eastAsia="宋体" w:cs="宋体"/>
          <w:color w:val="000000"/>
          <w:sz w:val="28"/>
          <w:szCs w:val="28"/>
        </w:rPr>
      </w:pPr>
    </w:p>
    <w:p w14:paraId="350444F7">
      <w:pPr>
        <w:jc w:val="left"/>
        <w:outlineLvl w:val="9"/>
        <w:rPr>
          <w:rFonts w:hint="eastAsia" w:ascii="宋体" w:hAnsi="宋体" w:eastAsia="宋体" w:cs="宋体"/>
          <w:color w:val="000000"/>
          <w:sz w:val="28"/>
          <w:szCs w:val="28"/>
        </w:rPr>
      </w:pPr>
      <w:bookmarkStart w:id="551" w:name="_Toc32417"/>
      <w:bookmarkStart w:id="552" w:name="_Toc19162"/>
      <w:bookmarkStart w:id="553" w:name="_Toc18326"/>
      <w:bookmarkStart w:id="554" w:name="_Toc21990"/>
      <w:bookmarkStart w:id="555" w:name="_Toc25258"/>
      <w:bookmarkStart w:id="556" w:name="_Toc19714"/>
      <w:bookmarkStart w:id="557" w:name="_Toc9181"/>
      <w:bookmarkStart w:id="558" w:name="_Toc4363"/>
      <w:bookmarkStart w:id="559" w:name="_Toc17512"/>
      <w:bookmarkStart w:id="560" w:name="_Toc443898221"/>
      <w:bookmarkStart w:id="561" w:name="_Toc14015"/>
      <w:bookmarkStart w:id="562" w:name="_Toc31415"/>
      <w:bookmarkStart w:id="563" w:name="_Toc31623"/>
      <w:bookmarkStart w:id="564" w:name="_Toc6491"/>
    </w:p>
    <w:p w14:paraId="7C88AC27">
      <w:pPr>
        <w:jc w:val="left"/>
        <w:outlineLvl w:val="9"/>
        <w:rPr>
          <w:rFonts w:hint="eastAsia" w:ascii="宋体" w:hAnsi="宋体" w:eastAsia="宋体" w:cs="宋体"/>
          <w:color w:val="000000"/>
          <w:sz w:val="28"/>
          <w:szCs w:val="28"/>
        </w:rPr>
      </w:pPr>
    </w:p>
    <w:p w14:paraId="0EABBCA7">
      <w:pPr>
        <w:jc w:val="left"/>
        <w:outlineLvl w:val="0"/>
        <w:rPr>
          <w:rFonts w:hint="eastAsia" w:ascii="宋体" w:hAnsi="宋体" w:eastAsia="宋体" w:cs="宋体"/>
          <w:color w:val="000000"/>
          <w:sz w:val="28"/>
          <w:szCs w:val="28"/>
        </w:rPr>
      </w:pPr>
      <w:bookmarkStart w:id="565" w:name="_Toc5307"/>
      <w:r>
        <w:rPr>
          <w:rFonts w:hint="eastAsia" w:ascii="宋体" w:hAnsi="宋体" w:eastAsia="宋体" w:cs="宋体"/>
          <w:color w:val="000000"/>
          <w:sz w:val="28"/>
          <w:szCs w:val="28"/>
        </w:rPr>
        <w:t>附件9：预付款银行保函</w:t>
      </w:r>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p>
    <w:p w14:paraId="57452CC3">
      <w:pPr>
        <w:jc w:val="center"/>
        <w:outlineLvl w:val="9"/>
        <w:rPr>
          <w:rFonts w:hint="eastAsia" w:ascii="宋体" w:hAnsi="宋体" w:eastAsia="宋体" w:cs="宋体"/>
          <w:b/>
          <w:sz w:val="36"/>
          <w:szCs w:val="36"/>
        </w:rPr>
      </w:pPr>
      <w:bookmarkStart w:id="566" w:name="_Toc25802"/>
      <w:bookmarkStart w:id="567" w:name="_Toc1947"/>
      <w:bookmarkStart w:id="568" w:name="_Toc7865"/>
      <w:bookmarkStart w:id="569" w:name="_Toc443898222"/>
      <w:bookmarkStart w:id="570" w:name="_Toc26055"/>
      <w:bookmarkStart w:id="571" w:name="_Toc23725"/>
      <w:bookmarkStart w:id="572" w:name="_Toc26653"/>
      <w:bookmarkStart w:id="573" w:name="_Toc6978"/>
    </w:p>
    <w:p w14:paraId="4BB32589">
      <w:pPr>
        <w:spacing w:line="288" w:lineRule="auto"/>
        <w:jc w:val="center"/>
        <w:outlineLvl w:val="9"/>
        <w:rPr>
          <w:rFonts w:hint="eastAsia" w:ascii="宋体" w:hAnsi="宋体" w:eastAsia="宋体" w:cs="宋体"/>
          <w:b/>
          <w:bCs/>
          <w:sz w:val="36"/>
          <w:szCs w:val="36"/>
        </w:rPr>
      </w:pPr>
      <w:r>
        <w:rPr>
          <w:rFonts w:hint="eastAsia" w:ascii="宋体" w:hAnsi="宋体" w:eastAsia="宋体" w:cs="宋体"/>
          <w:b/>
          <w:bCs/>
          <w:sz w:val="36"/>
          <w:szCs w:val="36"/>
        </w:rPr>
        <w:t>预付款</w:t>
      </w:r>
      <w:bookmarkStart w:id="574" w:name="_Toc440472904"/>
      <w:r>
        <w:rPr>
          <w:rFonts w:hint="eastAsia" w:ascii="宋体" w:hAnsi="宋体" w:eastAsia="宋体" w:cs="宋体"/>
          <w:b/>
          <w:bCs/>
          <w:sz w:val="36"/>
          <w:szCs w:val="36"/>
        </w:rPr>
        <w:t>银行保函</w:t>
      </w:r>
      <w:bookmarkEnd w:id="566"/>
      <w:bookmarkEnd w:id="567"/>
      <w:bookmarkEnd w:id="568"/>
      <w:bookmarkEnd w:id="569"/>
      <w:bookmarkEnd w:id="570"/>
      <w:bookmarkEnd w:id="571"/>
      <w:bookmarkEnd w:id="572"/>
      <w:bookmarkEnd w:id="573"/>
    </w:p>
    <w:bookmarkEnd w:id="574"/>
    <w:p w14:paraId="62E82E8F">
      <w:pPr>
        <w:spacing w:line="288" w:lineRule="auto"/>
        <w:rPr>
          <w:rFonts w:hint="eastAsia" w:ascii="宋体" w:hAnsi="宋体" w:eastAsia="宋体" w:cs="宋体"/>
          <w:sz w:val="24"/>
          <w:szCs w:val="24"/>
          <w:u w:val="single"/>
        </w:rPr>
      </w:pPr>
      <w:r>
        <w:rPr>
          <w:rFonts w:hint="eastAsia" w:ascii="宋体" w:hAnsi="宋体" w:eastAsia="宋体" w:cs="宋体"/>
          <w:sz w:val="24"/>
          <w:szCs w:val="24"/>
        </w:rPr>
        <w:t>开具日期：</w:t>
      </w:r>
    </w:p>
    <w:p w14:paraId="2CFA8C28">
      <w:pPr>
        <w:spacing w:line="288" w:lineRule="auto"/>
        <w:rPr>
          <w:rFonts w:hint="eastAsia" w:ascii="宋体" w:hAnsi="宋体" w:eastAsia="宋体" w:cs="宋体"/>
          <w:sz w:val="24"/>
          <w:szCs w:val="24"/>
          <w:u w:val="single"/>
        </w:rPr>
      </w:pPr>
      <w:r>
        <w:rPr>
          <w:rFonts w:hint="eastAsia" w:ascii="宋体" w:hAnsi="宋体" w:eastAsia="宋体" w:cs="宋体"/>
          <w:sz w:val="24"/>
          <w:szCs w:val="24"/>
        </w:rPr>
        <w:t>保函编号：</w:t>
      </w:r>
    </w:p>
    <w:p w14:paraId="318B8297">
      <w:pPr>
        <w:spacing w:line="288" w:lineRule="auto"/>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招标人/发包人名称，以下简称贵方） </w:t>
      </w:r>
    </w:p>
    <w:p w14:paraId="72AE8292">
      <w:pPr>
        <w:spacing w:line="288" w:lineRule="auto"/>
        <w:rPr>
          <w:rFonts w:hint="eastAsia" w:ascii="宋体" w:hAnsi="宋体" w:eastAsia="宋体" w:cs="宋体"/>
          <w:sz w:val="24"/>
          <w:szCs w:val="24"/>
        </w:rPr>
      </w:pPr>
      <w:r>
        <w:rPr>
          <w:rFonts w:hint="eastAsia" w:ascii="宋体" w:hAnsi="宋体" w:eastAsia="宋体" w:cs="宋体"/>
          <w:sz w:val="24"/>
          <w:szCs w:val="24"/>
        </w:rPr>
        <w:t>(合同名称及合同编号）</w:t>
      </w:r>
    </w:p>
    <w:p w14:paraId="3BD84C33">
      <w:pPr>
        <w:spacing w:line="288" w:lineRule="auto"/>
        <w:ind w:firstLine="616" w:firstLineChars="257"/>
        <w:jc w:val="left"/>
        <w:rPr>
          <w:rFonts w:hint="eastAsia" w:ascii="宋体" w:hAnsi="宋体" w:eastAsia="宋体" w:cs="宋体"/>
          <w:sz w:val="24"/>
          <w:szCs w:val="24"/>
        </w:rPr>
      </w:pPr>
      <w:r>
        <w:rPr>
          <w:rFonts w:hint="eastAsia" w:ascii="宋体" w:hAnsi="宋体" w:eastAsia="宋体" w:cs="宋体"/>
          <w:sz w:val="24"/>
          <w:szCs w:val="24"/>
        </w:rPr>
        <w:t>本保函作为贵方与</w:t>
      </w:r>
      <w:r>
        <w:rPr>
          <w:rFonts w:hint="eastAsia" w:ascii="宋体" w:hAnsi="宋体" w:eastAsia="宋体" w:cs="宋体"/>
          <w:sz w:val="24"/>
          <w:szCs w:val="24"/>
          <w:u w:val="single"/>
        </w:rPr>
        <w:t xml:space="preserve">             </w:t>
      </w:r>
      <w:r>
        <w:rPr>
          <w:rFonts w:hint="eastAsia" w:ascii="宋体" w:hAnsi="宋体" w:eastAsia="宋体" w:cs="宋体"/>
          <w:sz w:val="24"/>
          <w:szCs w:val="24"/>
        </w:rPr>
        <w:t>（中标人/承包人名称）在年月日签订的号合同的预付款保函。</w:t>
      </w:r>
    </w:p>
    <w:p w14:paraId="269E0FD4">
      <w:pPr>
        <w:spacing w:line="288" w:lineRule="auto"/>
        <w:ind w:firstLine="616" w:firstLineChars="257"/>
        <w:jc w:val="left"/>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u w:val="single"/>
        </w:rPr>
        <w:t xml:space="preserve">          </w:t>
      </w:r>
      <w:r>
        <w:rPr>
          <w:rFonts w:hint="eastAsia" w:ascii="宋体" w:hAnsi="宋体" w:eastAsia="宋体" w:cs="宋体"/>
          <w:sz w:val="24"/>
          <w:szCs w:val="24"/>
        </w:rPr>
        <w:t>（银行名称，以下简称本行）向贵方保证本行及其继承者和受托者在收到贵方第一次的表明</w:t>
      </w:r>
      <w:r>
        <w:rPr>
          <w:rFonts w:hint="eastAsia" w:ascii="宋体" w:hAnsi="宋体" w:eastAsia="宋体" w:cs="宋体"/>
          <w:sz w:val="24"/>
          <w:szCs w:val="24"/>
          <w:u w:val="single"/>
        </w:rPr>
        <w:t xml:space="preserve">       </w:t>
      </w:r>
      <w:r>
        <w:rPr>
          <w:rFonts w:hint="eastAsia" w:ascii="宋体" w:hAnsi="宋体" w:eastAsia="宋体" w:cs="宋体"/>
          <w:sz w:val="24"/>
          <w:szCs w:val="24"/>
        </w:rPr>
        <w:t>（中标人/承包人名称）违约的书面通知7日内，无论</w:t>
      </w:r>
      <w:r>
        <w:rPr>
          <w:rFonts w:hint="eastAsia" w:ascii="宋体" w:hAnsi="宋体" w:eastAsia="宋体" w:cs="宋体"/>
          <w:sz w:val="24"/>
          <w:szCs w:val="24"/>
          <w:u w:val="single"/>
        </w:rPr>
        <w:t xml:space="preserve">        </w:t>
      </w:r>
      <w:r>
        <w:rPr>
          <w:rFonts w:hint="eastAsia" w:ascii="宋体" w:hAnsi="宋体" w:eastAsia="宋体" w:cs="宋体"/>
          <w:sz w:val="24"/>
          <w:szCs w:val="24"/>
        </w:rPr>
        <w:t>（中标人/承包人名称）有何反对，无条件地、不可撤消地以该通知中规定的方式，按贵方提出预付款人民币（大写）</w:t>
      </w:r>
      <w:r>
        <w:rPr>
          <w:rFonts w:hint="eastAsia" w:ascii="宋体" w:hAnsi="宋体" w:eastAsia="宋体" w:cs="宋体"/>
          <w:sz w:val="24"/>
          <w:szCs w:val="24"/>
          <w:u w:val="single"/>
        </w:rPr>
        <w:t xml:space="preserve">          ¥           ￥      </w:t>
      </w:r>
      <w:r>
        <w:rPr>
          <w:rFonts w:hint="eastAsia" w:ascii="宋体" w:hAnsi="宋体" w:eastAsia="宋体" w:cs="宋体"/>
          <w:sz w:val="24"/>
          <w:szCs w:val="24"/>
        </w:rPr>
        <w:t xml:space="preserve"> 元（金额大小写）和贵方支付预付款之日起到本行实际返还日期止的利息，利息按年利率7%计算支付给贵方，但本保函最高支付人民币    元（金额大小写）。[注释：按单利计算利息]</w:t>
      </w:r>
    </w:p>
    <w:p w14:paraId="64278BAE">
      <w:pPr>
        <w:spacing w:line="288" w:lineRule="auto"/>
        <w:ind w:firstLine="616" w:firstLineChars="257"/>
        <w:jc w:val="left"/>
        <w:rPr>
          <w:rFonts w:hint="eastAsia" w:ascii="宋体" w:hAnsi="宋体" w:eastAsia="宋体" w:cs="宋体"/>
          <w:sz w:val="24"/>
          <w:szCs w:val="24"/>
        </w:rPr>
      </w:pPr>
      <w:r>
        <w:rPr>
          <w:rFonts w:hint="eastAsia" w:ascii="宋体" w:hAnsi="宋体" w:eastAsia="宋体" w:cs="宋体"/>
          <w:sz w:val="24"/>
          <w:szCs w:val="24"/>
        </w:rPr>
        <w:t>（2）本行同意，要履行的合同条款或贵方与</w:t>
      </w:r>
      <w:r>
        <w:rPr>
          <w:rFonts w:hint="eastAsia" w:ascii="宋体" w:hAnsi="宋体" w:eastAsia="宋体" w:cs="宋体"/>
          <w:sz w:val="24"/>
          <w:szCs w:val="24"/>
          <w:u w:val="single"/>
        </w:rPr>
        <w:t xml:space="preserve">           （</w:t>
      </w:r>
      <w:r>
        <w:rPr>
          <w:rFonts w:hint="eastAsia" w:ascii="宋体" w:hAnsi="宋体" w:eastAsia="宋体" w:cs="宋体"/>
          <w:sz w:val="24"/>
          <w:szCs w:val="24"/>
        </w:rPr>
        <w:t>中标人/承包人名称）签署的其它合同文件的改变、增加或修改，无论如何均不能免除本行在本保函下任何责任。本行在此表示不要求接到上述改变、增加或修改的通知，但本行的担保责任以本保函的担保金额及担保期限为限。</w:t>
      </w:r>
    </w:p>
    <w:p w14:paraId="536489DC">
      <w:pPr>
        <w:spacing w:line="288" w:lineRule="auto"/>
        <w:ind w:firstLine="616" w:firstLineChars="257"/>
        <w:jc w:val="left"/>
        <w:rPr>
          <w:rFonts w:hint="eastAsia" w:ascii="宋体" w:hAnsi="宋体" w:eastAsia="宋体" w:cs="宋体"/>
          <w:sz w:val="24"/>
          <w:szCs w:val="24"/>
        </w:rPr>
      </w:pPr>
      <w:r>
        <w:rPr>
          <w:rFonts w:hint="eastAsia" w:ascii="宋体" w:hAnsi="宋体" w:eastAsia="宋体" w:cs="宋体"/>
          <w:sz w:val="24"/>
          <w:szCs w:val="24"/>
        </w:rPr>
        <w:t>（3）本保函金额将按贵方确认已扣回预付款递减。</w:t>
      </w:r>
    </w:p>
    <w:p w14:paraId="1A600B31">
      <w:pPr>
        <w:spacing w:line="288" w:lineRule="auto"/>
        <w:ind w:firstLine="616" w:firstLineChars="257"/>
        <w:jc w:val="left"/>
        <w:rPr>
          <w:rFonts w:hint="eastAsia" w:ascii="宋体" w:hAnsi="宋体" w:eastAsia="宋体" w:cs="宋体"/>
          <w:sz w:val="24"/>
          <w:szCs w:val="24"/>
        </w:rPr>
      </w:pPr>
      <w:r>
        <w:rPr>
          <w:rFonts w:hint="eastAsia" w:ascii="宋体" w:hAnsi="宋体" w:eastAsia="宋体" w:cs="宋体"/>
          <w:sz w:val="24"/>
          <w:szCs w:val="24"/>
        </w:rPr>
        <w:t>（4）本保函开具生效，直至该工程移交工程证书发出前一直有效，但本保函的有效期最晚不超过年月日。</w:t>
      </w:r>
    </w:p>
    <w:p w14:paraId="7B2943DE">
      <w:pPr>
        <w:spacing w:line="288" w:lineRule="auto"/>
        <w:ind w:firstLine="600" w:firstLineChars="250"/>
        <w:jc w:val="left"/>
        <w:rPr>
          <w:rFonts w:hint="eastAsia" w:ascii="宋体" w:hAnsi="宋体" w:eastAsia="宋体" w:cs="宋体"/>
          <w:sz w:val="24"/>
          <w:szCs w:val="24"/>
        </w:rPr>
      </w:pPr>
      <w:r>
        <w:rPr>
          <w:rFonts w:hint="eastAsia" w:ascii="宋体" w:hAnsi="宋体" w:eastAsia="宋体" w:cs="宋体"/>
          <w:sz w:val="24"/>
          <w:szCs w:val="24"/>
        </w:rPr>
        <w:t>（5）本保函未经本行同意不得转让。</w:t>
      </w:r>
    </w:p>
    <w:p w14:paraId="2571AAB2">
      <w:pPr>
        <w:spacing w:line="288" w:lineRule="auto"/>
        <w:ind w:firstLine="616" w:firstLineChars="257"/>
        <w:jc w:val="left"/>
        <w:rPr>
          <w:rFonts w:hint="eastAsia" w:ascii="宋体" w:hAnsi="宋体" w:eastAsia="宋体" w:cs="宋体"/>
          <w:sz w:val="24"/>
          <w:szCs w:val="24"/>
        </w:rPr>
      </w:pPr>
      <w:r>
        <w:rPr>
          <w:rFonts w:hint="eastAsia" w:ascii="宋体" w:hAnsi="宋体" w:eastAsia="宋体" w:cs="宋体"/>
          <w:sz w:val="24"/>
          <w:szCs w:val="24"/>
        </w:rPr>
        <w:t>（6）本保函适用中华人民共和国法律，并按中华人民共和国法律解释。</w:t>
      </w:r>
    </w:p>
    <w:p w14:paraId="738A7718">
      <w:pPr>
        <w:spacing w:line="288" w:lineRule="auto"/>
        <w:ind w:firstLine="600" w:firstLineChars="250"/>
        <w:jc w:val="left"/>
        <w:rPr>
          <w:rFonts w:hint="eastAsia" w:ascii="宋体" w:hAnsi="宋体" w:eastAsia="宋体" w:cs="宋体"/>
          <w:sz w:val="24"/>
          <w:szCs w:val="24"/>
        </w:rPr>
      </w:pPr>
      <w:r>
        <w:rPr>
          <w:rFonts w:hint="eastAsia" w:ascii="宋体" w:hAnsi="宋体" w:eastAsia="宋体" w:cs="宋体"/>
          <w:sz w:val="24"/>
          <w:szCs w:val="24"/>
        </w:rPr>
        <w:t>（7）本保函的通知行为</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1D835F48">
      <w:pPr>
        <w:spacing w:line="288" w:lineRule="auto"/>
        <w:ind w:firstLine="1080" w:firstLineChars="450"/>
        <w:rPr>
          <w:rFonts w:hint="eastAsia" w:ascii="宋体" w:hAnsi="宋体" w:eastAsia="宋体" w:cs="宋体"/>
          <w:sz w:val="24"/>
          <w:szCs w:val="24"/>
        </w:rPr>
      </w:pPr>
      <w:r>
        <w:rPr>
          <w:rFonts w:hint="eastAsia" w:ascii="宋体" w:hAnsi="宋体" w:eastAsia="宋体" w:cs="宋体"/>
          <w:sz w:val="24"/>
          <w:szCs w:val="24"/>
        </w:rPr>
        <w:t>（斜体字处根据实际业务情况填写）</w:t>
      </w:r>
    </w:p>
    <w:p w14:paraId="78CE4B4A">
      <w:pPr>
        <w:spacing w:line="288" w:lineRule="auto"/>
        <w:ind w:firstLine="616" w:firstLineChars="257"/>
        <w:rPr>
          <w:rFonts w:hint="eastAsia" w:ascii="宋体" w:hAnsi="宋体" w:eastAsia="宋体" w:cs="宋体"/>
          <w:sz w:val="24"/>
          <w:szCs w:val="24"/>
        </w:rPr>
      </w:pPr>
    </w:p>
    <w:p w14:paraId="27439B60">
      <w:pPr>
        <w:spacing w:line="288" w:lineRule="auto"/>
        <w:ind w:firstLine="4560" w:firstLineChars="1900"/>
        <w:rPr>
          <w:rFonts w:hint="eastAsia" w:ascii="宋体" w:hAnsi="宋体" w:eastAsia="宋体" w:cs="宋体"/>
          <w:sz w:val="24"/>
          <w:szCs w:val="24"/>
          <w:u w:val="single"/>
        </w:rPr>
      </w:pPr>
      <w:r>
        <w:rPr>
          <w:rFonts w:hint="eastAsia" w:ascii="宋体" w:hAnsi="宋体" w:eastAsia="宋体" w:cs="宋体"/>
          <w:sz w:val="24"/>
          <w:szCs w:val="24"/>
        </w:rPr>
        <w:t>出证行名称：</w:t>
      </w:r>
    </w:p>
    <w:p w14:paraId="380BC7FF">
      <w:pPr>
        <w:spacing w:line="288" w:lineRule="auto"/>
        <w:ind w:firstLine="4560" w:firstLineChars="1900"/>
        <w:rPr>
          <w:rFonts w:hint="eastAsia" w:ascii="宋体" w:hAnsi="宋体" w:eastAsia="宋体" w:cs="宋体"/>
          <w:sz w:val="24"/>
          <w:szCs w:val="24"/>
        </w:rPr>
      </w:pPr>
      <w:r>
        <w:rPr>
          <w:rFonts w:hint="eastAsia" w:ascii="宋体" w:hAnsi="宋体" w:eastAsia="宋体" w:cs="宋体"/>
          <w:sz w:val="24"/>
          <w:szCs w:val="24"/>
        </w:rPr>
        <w:t>签名（或签章）：</w:t>
      </w:r>
    </w:p>
    <w:p w14:paraId="51288E87">
      <w:pPr>
        <w:spacing w:line="288" w:lineRule="auto"/>
        <w:ind w:firstLine="4440" w:firstLineChars="1850"/>
        <w:rPr>
          <w:rFonts w:hint="eastAsia" w:ascii="宋体" w:hAnsi="宋体" w:eastAsia="宋体" w:cs="宋体"/>
          <w:sz w:val="24"/>
          <w:szCs w:val="24"/>
        </w:rPr>
      </w:pPr>
      <w:r>
        <w:rPr>
          <w:rFonts w:hint="eastAsia" w:ascii="宋体" w:hAnsi="宋体" w:eastAsia="宋体" w:cs="宋体"/>
          <w:sz w:val="24"/>
          <w:szCs w:val="24"/>
        </w:rPr>
        <w:t>（印刷姓名和职务）</w:t>
      </w:r>
    </w:p>
    <w:p w14:paraId="0EA36330">
      <w:pPr>
        <w:spacing w:line="288" w:lineRule="auto"/>
        <w:ind w:firstLine="4560" w:firstLineChars="1900"/>
        <w:rPr>
          <w:rFonts w:hint="eastAsia" w:ascii="宋体" w:hAnsi="宋体" w:eastAsia="宋体" w:cs="宋体"/>
          <w:sz w:val="24"/>
          <w:szCs w:val="24"/>
          <w:u w:val="single"/>
        </w:rPr>
      </w:pPr>
      <w:r>
        <w:rPr>
          <w:rFonts w:hint="eastAsia" w:ascii="宋体" w:hAnsi="宋体" w:eastAsia="宋体" w:cs="宋体"/>
          <w:sz w:val="24"/>
          <w:szCs w:val="24"/>
        </w:rPr>
        <w:t>公章：</w:t>
      </w:r>
    </w:p>
    <w:p w14:paraId="333496E0">
      <w:pPr>
        <w:spacing w:line="288" w:lineRule="auto"/>
        <w:ind w:firstLine="4560" w:firstLineChars="1900"/>
        <w:rPr>
          <w:rFonts w:hint="eastAsia" w:ascii="宋体" w:hAnsi="宋体" w:eastAsia="宋体" w:cs="宋体"/>
          <w:sz w:val="24"/>
          <w:szCs w:val="24"/>
          <w:u w:val="single"/>
        </w:rPr>
      </w:pPr>
      <w:r>
        <w:rPr>
          <w:rFonts w:hint="eastAsia" w:ascii="宋体" w:hAnsi="宋体" w:eastAsia="宋体" w:cs="宋体"/>
          <w:sz w:val="24"/>
          <w:szCs w:val="24"/>
        </w:rPr>
        <w:t>地址：</w:t>
      </w:r>
    </w:p>
    <w:p w14:paraId="07C61159">
      <w:pPr>
        <w:spacing w:line="288" w:lineRule="auto"/>
        <w:ind w:firstLine="4560" w:firstLineChars="1900"/>
        <w:rPr>
          <w:rFonts w:hint="eastAsia" w:ascii="宋体" w:hAnsi="宋体" w:eastAsia="宋体" w:cs="宋体"/>
          <w:sz w:val="24"/>
          <w:szCs w:val="24"/>
          <w:u w:val="single"/>
        </w:rPr>
      </w:pPr>
      <w:r>
        <w:rPr>
          <w:rFonts w:hint="eastAsia" w:ascii="宋体" w:hAnsi="宋体" w:eastAsia="宋体" w:cs="宋体"/>
          <w:sz w:val="24"/>
          <w:szCs w:val="24"/>
        </w:rPr>
        <w:t>邮政编码：</w:t>
      </w:r>
    </w:p>
    <w:p w14:paraId="26591245">
      <w:pPr>
        <w:spacing w:line="288" w:lineRule="auto"/>
        <w:ind w:firstLine="4560" w:firstLineChars="1900"/>
        <w:rPr>
          <w:rFonts w:hint="eastAsia" w:ascii="宋体" w:hAnsi="宋体" w:eastAsia="宋体" w:cs="宋体"/>
          <w:sz w:val="24"/>
          <w:szCs w:val="24"/>
          <w:u w:val="single"/>
        </w:rPr>
      </w:pPr>
      <w:r>
        <w:rPr>
          <w:rFonts w:hint="eastAsia" w:ascii="宋体" w:hAnsi="宋体" w:eastAsia="宋体" w:cs="宋体"/>
          <w:sz w:val="24"/>
          <w:szCs w:val="24"/>
        </w:rPr>
        <w:t>电话：</w:t>
      </w:r>
    </w:p>
    <w:p w14:paraId="254677C4">
      <w:pPr>
        <w:spacing w:line="288" w:lineRule="auto"/>
        <w:ind w:firstLine="4560" w:firstLineChars="1900"/>
        <w:rPr>
          <w:rFonts w:hint="eastAsia" w:ascii="宋体" w:hAnsi="宋体" w:eastAsia="宋体" w:cs="宋体"/>
          <w:sz w:val="24"/>
          <w:szCs w:val="24"/>
          <w:u w:val="single"/>
        </w:rPr>
      </w:pPr>
    </w:p>
    <w:p w14:paraId="7F137E72">
      <w:pPr>
        <w:jc w:val="left"/>
        <w:rPr>
          <w:rFonts w:hint="eastAsia" w:ascii="宋体" w:hAnsi="宋体" w:eastAsia="宋体" w:cs="宋体"/>
          <w:color w:val="000000"/>
          <w:sz w:val="24"/>
          <w:szCs w:val="24"/>
        </w:rPr>
      </w:pPr>
    </w:p>
    <w:p w14:paraId="5ABEAC2C">
      <w:pPr>
        <w:jc w:val="left"/>
        <w:outlineLvl w:val="9"/>
        <w:rPr>
          <w:rFonts w:hint="eastAsia" w:ascii="宋体" w:hAnsi="宋体" w:eastAsia="宋体" w:cs="宋体"/>
          <w:color w:val="000000"/>
          <w:sz w:val="28"/>
          <w:szCs w:val="28"/>
        </w:rPr>
      </w:pPr>
      <w:bookmarkStart w:id="575" w:name="_Toc12401"/>
      <w:bookmarkStart w:id="576" w:name="_Toc10406"/>
      <w:bookmarkStart w:id="577" w:name="_Toc26106"/>
      <w:bookmarkStart w:id="578" w:name="_Toc15246"/>
      <w:bookmarkStart w:id="579" w:name="_Toc443898223"/>
      <w:bookmarkStart w:id="580" w:name="_Toc29783"/>
      <w:bookmarkStart w:id="581" w:name="_Toc3257"/>
      <w:bookmarkStart w:id="582" w:name="_Toc14857"/>
      <w:bookmarkStart w:id="583" w:name="_Toc6459"/>
      <w:bookmarkStart w:id="584" w:name="_Toc405"/>
      <w:bookmarkStart w:id="585" w:name="_Toc29754"/>
      <w:bookmarkStart w:id="586" w:name="_Toc30489"/>
      <w:bookmarkStart w:id="587" w:name="_Toc3529"/>
      <w:bookmarkStart w:id="588" w:name="_Toc5232"/>
    </w:p>
    <w:p w14:paraId="29A40311">
      <w:pPr>
        <w:jc w:val="left"/>
        <w:outlineLvl w:val="9"/>
        <w:rPr>
          <w:rFonts w:hint="eastAsia" w:ascii="宋体" w:hAnsi="宋体" w:eastAsia="宋体" w:cs="宋体"/>
          <w:color w:val="000000"/>
          <w:sz w:val="28"/>
          <w:szCs w:val="28"/>
        </w:rPr>
      </w:pPr>
    </w:p>
    <w:p w14:paraId="39119392">
      <w:pPr>
        <w:jc w:val="left"/>
        <w:outlineLvl w:val="0"/>
        <w:rPr>
          <w:rFonts w:hint="eastAsia" w:ascii="宋体" w:hAnsi="宋体" w:eastAsia="宋体" w:cs="宋体"/>
          <w:color w:val="000000"/>
          <w:sz w:val="28"/>
          <w:szCs w:val="28"/>
        </w:rPr>
      </w:pPr>
      <w:bookmarkStart w:id="589" w:name="_Toc8133"/>
      <w:r>
        <w:rPr>
          <w:rFonts w:hint="eastAsia" w:ascii="宋体" w:hAnsi="宋体" w:eastAsia="宋体" w:cs="宋体"/>
          <w:color w:val="000000"/>
          <w:sz w:val="28"/>
          <w:szCs w:val="28"/>
        </w:rPr>
        <w:t>附件10：保函延期承诺书</w:t>
      </w:r>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p>
    <w:p w14:paraId="64B49F04">
      <w:pPr>
        <w:jc w:val="center"/>
        <w:rPr>
          <w:rFonts w:hint="eastAsia" w:ascii="宋体" w:hAnsi="宋体" w:eastAsia="宋体" w:cs="宋体"/>
          <w:b/>
          <w:sz w:val="32"/>
          <w:szCs w:val="32"/>
        </w:rPr>
      </w:pPr>
    </w:p>
    <w:p w14:paraId="27D32454">
      <w:pPr>
        <w:jc w:val="center"/>
        <w:rPr>
          <w:rFonts w:hint="eastAsia" w:ascii="宋体" w:hAnsi="宋体" w:eastAsia="宋体" w:cs="宋体"/>
          <w:b/>
          <w:sz w:val="32"/>
          <w:szCs w:val="32"/>
        </w:rPr>
      </w:pPr>
      <w:r>
        <w:rPr>
          <w:rFonts w:hint="eastAsia" w:ascii="宋体" w:hAnsi="宋体" w:eastAsia="宋体" w:cs="宋体"/>
          <w:b/>
          <w:sz w:val="32"/>
          <w:szCs w:val="32"/>
        </w:rPr>
        <w:t>保函延期承诺书</w:t>
      </w:r>
    </w:p>
    <w:p w14:paraId="1BB12998">
      <w:pPr>
        <w:jc w:val="center"/>
        <w:rPr>
          <w:rFonts w:hint="eastAsia" w:ascii="宋体" w:hAnsi="宋体" w:eastAsia="宋体" w:cs="宋体"/>
          <w:b/>
          <w:sz w:val="32"/>
          <w:szCs w:val="32"/>
        </w:rPr>
      </w:pPr>
      <w:r>
        <w:rPr>
          <w:rFonts w:hint="eastAsia" w:ascii="宋体" w:hAnsi="宋体" w:eastAsia="宋体" w:cs="宋体"/>
          <w:b/>
          <w:sz w:val="32"/>
          <w:szCs w:val="32"/>
        </w:rPr>
        <w:t>——关于项目的保函</w:t>
      </w:r>
    </w:p>
    <w:p w14:paraId="09D966E1">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广州地铁工程咨询有限公司：</w:t>
      </w:r>
    </w:p>
    <w:p w14:paraId="3D7C379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就《合同》（以下简称：合同），我司委托的担保银行于年月日，出具银行履约保函（/预付款保函）（编号：）。</w:t>
      </w:r>
    </w:p>
    <w:p w14:paraId="648A32F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我司在此承诺：在银行履约保函（/预付款保函）</w:t>
      </w:r>
      <w:r>
        <w:rPr>
          <w:rFonts w:hint="eastAsia" w:ascii="宋体" w:hAnsi="宋体" w:eastAsia="宋体" w:cs="宋体"/>
          <w:sz w:val="24"/>
          <w:szCs w:val="24"/>
          <w:u w:val="single"/>
        </w:rPr>
        <w:t xml:space="preserve"> （保函编号：）</w:t>
      </w:r>
      <w:r>
        <w:rPr>
          <w:rFonts w:hint="eastAsia" w:ascii="宋体" w:hAnsi="宋体" w:eastAsia="宋体" w:cs="宋体"/>
          <w:sz w:val="24"/>
          <w:szCs w:val="24"/>
        </w:rPr>
        <w:t>的到期日前1个月内，如合同约定的担保义务尚未执行完毕，我司必须重新自行办理续保手续，并出具有效的银行履约保函（/预付款保函）。或者，在保函到期日前1个月内，向贵司支付相当于保证金额的担保金（即：人民币 元整，￥元）。</w:t>
      </w:r>
    </w:p>
    <w:p w14:paraId="61EE6975">
      <w:pPr>
        <w:spacing w:line="360" w:lineRule="auto"/>
        <w:ind w:firstLine="570"/>
        <w:rPr>
          <w:rFonts w:hint="eastAsia" w:ascii="宋体" w:hAnsi="宋体" w:eastAsia="宋体" w:cs="宋体"/>
          <w:sz w:val="24"/>
          <w:szCs w:val="24"/>
        </w:rPr>
      </w:pPr>
      <w:r>
        <w:rPr>
          <w:rFonts w:hint="eastAsia" w:ascii="宋体" w:hAnsi="宋体" w:eastAsia="宋体" w:cs="宋体"/>
          <w:sz w:val="24"/>
          <w:szCs w:val="24"/>
        </w:rPr>
        <w:t xml:space="preserve">否则，贵司有权自保函到期之日起，从我司合同最近一笔进度支付款中开始扣除相当于保证金额的担保金。当次进度款不足以扣除的，延续到下一次的进度支付中扣除，直至扣足为止。同时，担保金的有效期，直到合同规定的履约担保义务完成为止。贵司在《     合同》所规定的履约担保义务到期日后30个工作日内，无息退回担保金（扣除应由我司承担的费用）。（此处根据实际业务情况填写） </w:t>
      </w:r>
    </w:p>
    <w:p w14:paraId="151BAF03">
      <w:pPr>
        <w:spacing w:line="360" w:lineRule="auto"/>
        <w:ind w:firstLine="3840" w:firstLineChars="1600"/>
        <w:rPr>
          <w:rFonts w:hint="eastAsia" w:ascii="宋体" w:hAnsi="宋体" w:eastAsia="宋体" w:cs="宋体"/>
          <w:sz w:val="24"/>
          <w:szCs w:val="24"/>
        </w:rPr>
      </w:pPr>
    </w:p>
    <w:p w14:paraId="56FFC35B">
      <w:pPr>
        <w:spacing w:line="360" w:lineRule="auto"/>
        <w:ind w:firstLine="3840" w:firstLineChars="1600"/>
        <w:rPr>
          <w:rFonts w:hint="eastAsia" w:ascii="宋体" w:hAnsi="宋体" w:eastAsia="宋体" w:cs="宋体"/>
          <w:sz w:val="24"/>
          <w:szCs w:val="24"/>
        </w:rPr>
      </w:pPr>
      <w:r>
        <w:rPr>
          <w:rFonts w:hint="eastAsia" w:ascii="宋体" w:hAnsi="宋体" w:eastAsia="宋体" w:cs="宋体"/>
          <w:sz w:val="24"/>
          <w:szCs w:val="24"/>
        </w:rPr>
        <w:t>法定代表人签字：</w:t>
      </w:r>
    </w:p>
    <w:p w14:paraId="31D929A4">
      <w:pPr>
        <w:spacing w:line="360" w:lineRule="auto"/>
        <w:jc w:val="right"/>
        <w:rPr>
          <w:rFonts w:hint="eastAsia" w:ascii="宋体" w:hAnsi="宋体" w:eastAsia="宋体" w:cs="宋体"/>
          <w:sz w:val="24"/>
          <w:szCs w:val="24"/>
        </w:rPr>
      </w:pPr>
      <w:r>
        <w:rPr>
          <w:rFonts w:hint="eastAsia" w:ascii="宋体" w:hAnsi="宋体" w:eastAsia="宋体" w:cs="宋体"/>
          <w:sz w:val="24"/>
          <w:szCs w:val="24"/>
        </w:rPr>
        <w:t>公司名称：                  （盖章）</w:t>
      </w:r>
    </w:p>
    <w:p w14:paraId="6595A5B1">
      <w:pPr>
        <w:spacing w:line="360" w:lineRule="auto"/>
        <w:ind w:firstLine="2400" w:firstLineChars="1000"/>
        <w:jc w:val="left"/>
        <w:rPr>
          <w:rFonts w:hint="eastAsia" w:ascii="宋体" w:hAnsi="宋体" w:eastAsia="宋体" w:cs="宋体"/>
          <w:sz w:val="24"/>
          <w:szCs w:val="24"/>
        </w:rPr>
      </w:pPr>
      <w:r>
        <w:rPr>
          <w:rFonts w:hint="eastAsia" w:ascii="宋体" w:hAnsi="宋体" w:eastAsia="宋体" w:cs="宋体"/>
          <w:sz w:val="24"/>
          <w:szCs w:val="24"/>
        </w:rPr>
        <w:t xml:space="preserve">                      日期：</w:t>
      </w:r>
    </w:p>
    <w:p w14:paraId="56E0F16E">
      <w:pPr>
        <w:spacing w:line="360" w:lineRule="auto"/>
        <w:rPr>
          <w:rFonts w:hint="eastAsia" w:ascii="宋体" w:hAnsi="宋体" w:eastAsia="宋体" w:cs="宋体"/>
          <w:sz w:val="24"/>
          <w:szCs w:val="24"/>
        </w:rPr>
      </w:pPr>
    </w:p>
    <w:p w14:paraId="12FFC49E">
      <w:pPr>
        <w:pStyle w:val="16"/>
        <w:rPr>
          <w:rFonts w:hint="eastAsia" w:ascii="宋体" w:hAnsi="宋体" w:eastAsia="宋体" w:cs="宋体"/>
        </w:rPr>
      </w:pPr>
    </w:p>
    <w:p w14:paraId="6C9B5C9F">
      <w:pPr>
        <w:pStyle w:val="16"/>
        <w:rPr>
          <w:rFonts w:hint="eastAsia" w:ascii="宋体" w:hAnsi="宋体" w:eastAsia="宋体" w:cs="宋体"/>
        </w:rPr>
      </w:pPr>
    </w:p>
    <w:p w14:paraId="264C38EE">
      <w:pPr>
        <w:pStyle w:val="16"/>
        <w:rPr>
          <w:rFonts w:hint="eastAsia" w:ascii="宋体" w:hAnsi="宋体" w:eastAsia="宋体" w:cs="宋体"/>
        </w:rPr>
      </w:pPr>
    </w:p>
    <w:p w14:paraId="7C553825">
      <w:pPr>
        <w:pStyle w:val="16"/>
        <w:rPr>
          <w:rFonts w:hint="eastAsia" w:ascii="宋体" w:hAnsi="宋体" w:eastAsia="宋体" w:cs="宋体"/>
        </w:rPr>
      </w:pPr>
    </w:p>
    <w:p w14:paraId="55BAD584">
      <w:pPr>
        <w:pStyle w:val="16"/>
        <w:rPr>
          <w:rFonts w:hint="eastAsia" w:ascii="宋体" w:hAnsi="宋体" w:eastAsia="宋体" w:cs="宋体"/>
        </w:rPr>
      </w:pPr>
    </w:p>
    <w:p w14:paraId="2E41334C">
      <w:pPr>
        <w:pStyle w:val="16"/>
        <w:rPr>
          <w:rFonts w:hint="eastAsia" w:ascii="宋体" w:hAnsi="宋体" w:eastAsia="宋体" w:cs="宋体"/>
        </w:rPr>
      </w:pPr>
    </w:p>
    <w:p w14:paraId="2C354C96">
      <w:pPr>
        <w:pStyle w:val="16"/>
        <w:rPr>
          <w:rFonts w:hint="eastAsia" w:ascii="宋体" w:hAnsi="宋体" w:eastAsia="宋体" w:cs="宋体"/>
        </w:rPr>
      </w:pPr>
    </w:p>
    <w:p w14:paraId="62779FD2">
      <w:pPr>
        <w:pStyle w:val="16"/>
        <w:rPr>
          <w:rFonts w:hint="eastAsia" w:ascii="宋体" w:hAnsi="宋体" w:eastAsia="宋体" w:cs="宋体"/>
        </w:rPr>
      </w:pPr>
    </w:p>
    <w:p w14:paraId="377B9D9F">
      <w:pPr>
        <w:pStyle w:val="16"/>
        <w:rPr>
          <w:rFonts w:hint="eastAsia" w:ascii="宋体" w:hAnsi="宋体" w:eastAsia="宋体" w:cs="宋体"/>
        </w:rPr>
      </w:pPr>
    </w:p>
    <w:p w14:paraId="0C0DED1E">
      <w:pPr>
        <w:pStyle w:val="16"/>
        <w:rPr>
          <w:rFonts w:hint="eastAsia" w:ascii="宋体" w:hAnsi="宋体" w:eastAsia="宋体" w:cs="宋体"/>
        </w:rPr>
      </w:pPr>
    </w:p>
    <w:p w14:paraId="3EFBF359">
      <w:pPr>
        <w:pStyle w:val="16"/>
        <w:rPr>
          <w:rFonts w:hint="eastAsia" w:ascii="宋体" w:hAnsi="宋体" w:eastAsia="宋体" w:cs="宋体"/>
        </w:rPr>
      </w:pPr>
    </w:p>
    <w:p w14:paraId="119C9AF0">
      <w:pPr>
        <w:pStyle w:val="16"/>
        <w:rPr>
          <w:rFonts w:hint="eastAsia" w:ascii="宋体" w:hAnsi="宋体" w:eastAsia="宋体" w:cs="宋体"/>
        </w:rPr>
      </w:pPr>
    </w:p>
    <w:p w14:paraId="614DF31E">
      <w:pPr>
        <w:jc w:val="left"/>
        <w:outlineLvl w:val="0"/>
        <w:rPr>
          <w:rFonts w:hint="eastAsia" w:ascii="宋体" w:hAnsi="宋体" w:eastAsia="宋体" w:cs="宋体"/>
          <w:color w:val="000000"/>
          <w:sz w:val="28"/>
          <w:szCs w:val="28"/>
        </w:rPr>
      </w:pPr>
      <w:bookmarkStart w:id="590" w:name="_Toc750"/>
      <w:bookmarkStart w:id="591" w:name="_Toc4522"/>
      <w:bookmarkStart w:id="592" w:name="_Toc2533"/>
      <w:bookmarkStart w:id="593" w:name="_Toc28066"/>
      <w:bookmarkStart w:id="594" w:name="_Toc16917"/>
      <w:bookmarkStart w:id="595" w:name="_Toc16268"/>
      <w:bookmarkStart w:id="596" w:name="_Toc12384"/>
      <w:bookmarkStart w:id="597" w:name="_Toc16335"/>
      <w:bookmarkStart w:id="598" w:name="_Toc27520"/>
      <w:bookmarkStart w:id="599" w:name="_Toc17053"/>
      <w:bookmarkStart w:id="600" w:name="_Toc708"/>
      <w:bookmarkStart w:id="601" w:name="_Toc20706"/>
      <w:bookmarkStart w:id="602" w:name="_Toc18282"/>
      <w:bookmarkStart w:id="603" w:name="_Toc17151"/>
      <w:r>
        <w:rPr>
          <w:rFonts w:hint="eastAsia" w:ascii="宋体" w:hAnsi="宋体" w:eastAsia="宋体" w:cs="宋体"/>
          <w:color w:val="000000"/>
          <w:sz w:val="28"/>
          <w:szCs w:val="28"/>
        </w:rPr>
        <w:t>附件11</w:t>
      </w:r>
      <w:bookmarkEnd w:id="590"/>
      <w:bookmarkEnd w:id="591"/>
      <w:r>
        <w:rPr>
          <w:rFonts w:hint="eastAsia" w:ascii="宋体" w:hAnsi="宋体" w:eastAsia="宋体" w:cs="宋体"/>
          <w:color w:val="000000"/>
          <w:sz w:val="28"/>
          <w:szCs w:val="28"/>
        </w:rPr>
        <w:t>：暂估价一览表</w:t>
      </w:r>
      <w:bookmarkEnd w:id="592"/>
      <w:bookmarkEnd w:id="593"/>
      <w:bookmarkEnd w:id="594"/>
      <w:bookmarkEnd w:id="595"/>
      <w:bookmarkEnd w:id="596"/>
      <w:bookmarkEnd w:id="597"/>
      <w:bookmarkEnd w:id="598"/>
      <w:bookmarkEnd w:id="599"/>
      <w:bookmarkEnd w:id="600"/>
      <w:bookmarkEnd w:id="601"/>
      <w:bookmarkEnd w:id="602"/>
      <w:bookmarkEnd w:id="603"/>
    </w:p>
    <w:p w14:paraId="4EE8E62F">
      <w:pPr>
        <w:rPr>
          <w:rFonts w:hint="eastAsia" w:ascii="宋体" w:hAnsi="宋体" w:eastAsia="宋体" w:cs="宋体"/>
          <w:color w:val="000000"/>
          <w:sz w:val="32"/>
          <w:szCs w:val="32"/>
        </w:rPr>
      </w:pPr>
      <w:r>
        <w:rPr>
          <w:rFonts w:hint="eastAsia" w:ascii="宋体" w:hAnsi="宋体" w:eastAsia="宋体" w:cs="宋体"/>
          <w:color w:val="000000"/>
          <w:sz w:val="32"/>
          <w:szCs w:val="32"/>
        </w:rPr>
        <w:t>11-1：材料暂估价表</w:t>
      </w:r>
    </w:p>
    <w:tbl>
      <w:tblPr>
        <w:tblStyle w:val="17"/>
        <w:tblpPr w:leftFromText="180" w:rightFromText="180" w:vertAnchor="text" w:horzAnchor="margin" w:tblpXSpec="center" w:tblpY="76"/>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729"/>
        <w:gridCol w:w="1504"/>
        <w:gridCol w:w="851"/>
        <w:gridCol w:w="774"/>
        <w:gridCol w:w="1352"/>
        <w:gridCol w:w="1418"/>
        <w:gridCol w:w="1701"/>
      </w:tblGrid>
      <w:tr w14:paraId="08F7D1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729" w:type="dxa"/>
            <w:tcBorders>
              <w:top w:val="single" w:color="auto" w:sz="12" w:space="0"/>
              <w:bottom w:val="double" w:color="auto" w:sz="6" w:space="0"/>
            </w:tcBorders>
            <w:noWrap w:val="0"/>
            <w:vAlign w:val="top"/>
          </w:tcPr>
          <w:p w14:paraId="371366E6">
            <w:pPr>
              <w:pStyle w:val="10"/>
              <w:keepNext/>
              <w:spacing w:after="0" w:line="240" w:lineRule="auto"/>
              <w:ind w:left="63" w:right="63"/>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序号</w:t>
            </w:r>
          </w:p>
        </w:tc>
        <w:tc>
          <w:tcPr>
            <w:tcW w:w="1504" w:type="dxa"/>
            <w:tcBorders>
              <w:top w:val="single" w:color="auto" w:sz="12" w:space="0"/>
              <w:bottom w:val="double" w:color="auto" w:sz="6" w:space="0"/>
            </w:tcBorders>
            <w:noWrap w:val="0"/>
            <w:vAlign w:val="top"/>
          </w:tcPr>
          <w:p w14:paraId="0FC2E25F">
            <w:pPr>
              <w:pStyle w:val="10"/>
              <w:keepNext/>
              <w:spacing w:after="0" w:line="240" w:lineRule="auto"/>
              <w:ind w:left="71" w:leftChars="34" w:right="63"/>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名称</w:t>
            </w:r>
          </w:p>
        </w:tc>
        <w:tc>
          <w:tcPr>
            <w:tcW w:w="851" w:type="dxa"/>
            <w:tcBorders>
              <w:top w:val="single" w:color="auto" w:sz="12" w:space="0"/>
              <w:bottom w:val="double" w:color="auto" w:sz="6" w:space="0"/>
            </w:tcBorders>
            <w:noWrap w:val="0"/>
            <w:vAlign w:val="top"/>
          </w:tcPr>
          <w:p w14:paraId="6B575220">
            <w:pPr>
              <w:pStyle w:val="10"/>
              <w:keepNext/>
              <w:spacing w:after="0" w:line="240" w:lineRule="auto"/>
              <w:ind w:left="63" w:right="63"/>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单位</w:t>
            </w:r>
          </w:p>
        </w:tc>
        <w:tc>
          <w:tcPr>
            <w:tcW w:w="774" w:type="dxa"/>
            <w:tcBorders>
              <w:top w:val="single" w:color="auto" w:sz="12" w:space="0"/>
              <w:bottom w:val="double" w:color="auto" w:sz="6" w:space="0"/>
            </w:tcBorders>
            <w:noWrap w:val="0"/>
            <w:vAlign w:val="top"/>
          </w:tcPr>
          <w:p w14:paraId="1215959C">
            <w:pPr>
              <w:pStyle w:val="10"/>
              <w:keepNext/>
              <w:spacing w:after="0" w:line="240" w:lineRule="auto"/>
              <w:ind w:left="63" w:right="63"/>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数量</w:t>
            </w:r>
          </w:p>
        </w:tc>
        <w:tc>
          <w:tcPr>
            <w:tcW w:w="1352" w:type="dxa"/>
            <w:tcBorders>
              <w:top w:val="single" w:color="auto" w:sz="12" w:space="0"/>
              <w:bottom w:val="double" w:color="auto" w:sz="6" w:space="0"/>
            </w:tcBorders>
            <w:noWrap w:val="0"/>
            <w:vAlign w:val="top"/>
          </w:tcPr>
          <w:p w14:paraId="5C228D3B">
            <w:pPr>
              <w:pStyle w:val="10"/>
              <w:keepNext/>
              <w:spacing w:after="0" w:line="240" w:lineRule="auto"/>
              <w:ind w:left="63" w:right="63"/>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单价（元）</w:t>
            </w:r>
          </w:p>
        </w:tc>
        <w:tc>
          <w:tcPr>
            <w:tcW w:w="1418" w:type="dxa"/>
            <w:tcBorders>
              <w:top w:val="single" w:color="auto" w:sz="12" w:space="0"/>
              <w:bottom w:val="double" w:color="auto" w:sz="6" w:space="0"/>
            </w:tcBorders>
            <w:noWrap w:val="0"/>
            <w:vAlign w:val="top"/>
          </w:tcPr>
          <w:p w14:paraId="3FE42FA6">
            <w:pPr>
              <w:pStyle w:val="10"/>
              <w:keepNext/>
              <w:spacing w:after="0" w:line="240" w:lineRule="auto"/>
              <w:ind w:left="63" w:right="63"/>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合价（元）</w:t>
            </w:r>
          </w:p>
        </w:tc>
        <w:tc>
          <w:tcPr>
            <w:tcW w:w="1701" w:type="dxa"/>
            <w:tcBorders>
              <w:top w:val="single" w:color="auto" w:sz="12" w:space="0"/>
              <w:bottom w:val="double" w:color="auto" w:sz="6" w:space="0"/>
            </w:tcBorders>
            <w:noWrap w:val="0"/>
            <w:vAlign w:val="top"/>
          </w:tcPr>
          <w:p w14:paraId="351D8285">
            <w:pPr>
              <w:pStyle w:val="10"/>
              <w:keepNext/>
              <w:spacing w:after="0" w:line="240" w:lineRule="auto"/>
              <w:ind w:left="71" w:leftChars="34" w:right="63"/>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备注</w:t>
            </w:r>
          </w:p>
        </w:tc>
      </w:tr>
      <w:tr w14:paraId="37C705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729" w:type="dxa"/>
            <w:tcBorders>
              <w:top w:val="double" w:color="auto" w:sz="6" w:space="0"/>
              <w:bottom w:val="single" w:color="auto" w:sz="6" w:space="0"/>
            </w:tcBorders>
            <w:noWrap w:val="0"/>
            <w:vAlign w:val="top"/>
          </w:tcPr>
          <w:p w14:paraId="1E838E95">
            <w:pPr>
              <w:pStyle w:val="10"/>
              <w:keepNext/>
              <w:spacing w:after="0" w:line="240" w:lineRule="auto"/>
              <w:ind w:left="71" w:leftChars="34" w:right="63"/>
              <w:rPr>
                <w:rFonts w:hint="eastAsia" w:ascii="宋体" w:hAnsi="宋体" w:eastAsia="宋体" w:cs="宋体"/>
                <w:bCs/>
                <w:color w:val="000000"/>
                <w:kern w:val="2"/>
                <w:sz w:val="24"/>
                <w:szCs w:val="24"/>
              </w:rPr>
            </w:pPr>
            <w:r>
              <w:rPr>
                <w:rFonts w:hint="eastAsia" w:ascii="宋体" w:hAnsi="宋体" w:eastAsia="宋体" w:cs="宋体"/>
                <w:bCs/>
                <w:color w:val="000000"/>
                <w:kern w:val="2"/>
                <w:sz w:val="24"/>
                <w:szCs w:val="24"/>
              </w:rPr>
              <w:t>无</w:t>
            </w:r>
          </w:p>
        </w:tc>
        <w:tc>
          <w:tcPr>
            <w:tcW w:w="1504" w:type="dxa"/>
            <w:tcBorders>
              <w:top w:val="double" w:color="auto" w:sz="6" w:space="0"/>
              <w:bottom w:val="single" w:color="auto" w:sz="6" w:space="0"/>
            </w:tcBorders>
            <w:noWrap w:val="0"/>
            <w:vAlign w:val="top"/>
          </w:tcPr>
          <w:p w14:paraId="1D870808">
            <w:pPr>
              <w:pStyle w:val="10"/>
              <w:keepNext/>
              <w:spacing w:after="0" w:line="240" w:lineRule="auto"/>
              <w:ind w:left="71" w:leftChars="34" w:right="63"/>
              <w:rPr>
                <w:rFonts w:hint="eastAsia" w:ascii="宋体" w:hAnsi="宋体" w:eastAsia="宋体" w:cs="宋体"/>
                <w:bCs/>
                <w:color w:val="000000"/>
                <w:kern w:val="2"/>
                <w:sz w:val="24"/>
                <w:szCs w:val="24"/>
              </w:rPr>
            </w:pPr>
            <w:r>
              <w:rPr>
                <w:rFonts w:hint="eastAsia" w:ascii="宋体" w:hAnsi="宋体" w:eastAsia="宋体" w:cs="宋体"/>
                <w:bCs/>
                <w:color w:val="000000"/>
                <w:kern w:val="2"/>
                <w:sz w:val="24"/>
                <w:szCs w:val="24"/>
              </w:rPr>
              <w:t>无</w:t>
            </w:r>
          </w:p>
        </w:tc>
        <w:tc>
          <w:tcPr>
            <w:tcW w:w="851" w:type="dxa"/>
            <w:tcBorders>
              <w:top w:val="double" w:color="auto" w:sz="6" w:space="0"/>
              <w:bottom w:val="single" w:color="auto" w:sz="6" w:space="0"/>
            </w:tcBorders>
            <w:noWrap w:val="0"/>
            <w:vAlign w:val="top"/>
          </w:tcPr>
          <w:p w14:paraId="06C1D99A">
            <w:pPr>
              <w:pStyle w:val="10"/>
              <w:keepNext/>
              <w:spacing w:after="0" w:line="240" w:lineRule="auto"/>
              <w:ind w:left="71" w:leftChars="34" w:right="63"/>
              <w:rPr>
                <w:rFonts w:hint="eastAsia" w:ascii="宋体" w:hAnsi="宋体" w:eastAsia="宋体" w:cs="宋体"/>
                <w:bCs/>
                <w:color w:val="000000"/>
                <w:kern w:val="2"/>
                <w:sz w:val="24"/>
                <w:szCs w:val="24"/>
              </w:rPr>
            </w:pPr>
            <w:r>
              <w:rPr>
                <w:rFonts w:hint="eastAsia" w:ascii="宋体" w:hAnsi="宋体" w:eastAsia="宋体" w:cs="宋体"/>
                <w:bCs/>
                <w:color w:val="000000"/>
                <w:kern w:val="2"/>
                <w:sz w:val="24"/>
                <w:szCs w:val="24"/>
              </w:rPr>
              <w:t>无</w:t>
            </w:r>
          </w:p>
        </w:tc>
        <w:tc>
          <w:tcPr>
            <w:tcW w:w="774" w:type="dxa"/>
            <w:tcBorders>
              <w:top w:val="double" w:color="auto" w:sz="6" w:space="0"/>
              <w:bottom w:val="single" w:color="auto" w:sz="6" w:space="0"/>
            </w:tcBorders>
            <w:noWrap w:val="0"/>
            <w:vAlign w:val="top"/>
          </w:tcPr>
          <w:p w14:paraId="668AF988">
            <w:pPr>
              <w:pStyle w:val="10"/>
              <w:keepNext/>
              <w:spacing w:after="0" w:line="240" w:lineRule="auto"/>
              <w:ind w:left="71" w:leftChars="34" w:right="63"/>
              <w:rPr>
                <w:rFonts w:hint="eastAsia" w:ascii="宋体" w:hAnsi="宋体" w:eastAsia="宋体" w:cs="宋体"/>
                <w:bCs/>
                <w:color w:val="000000"/>
                <w:kern w:val="2"/>
                <w:sz w:val="24"/>
                <w:szCs w:val="24"/>
              </w:rPr>
            </w:pPr>
            <w:r>
              <w:rPr>
                <w:rFonts w:hint="eastAsia" w:ascii="宋体" w:hAnsi="宋体" w:eastAsia="宋体" w:cs="宋体"/>
                <w:bCs/>
                <w:color w:val="000000"/>
                <w:kern w:val="2"/>
                <w:sz w:val="24"/>
                <w:szCs w:val="24"/>
              </w:rPr>
              <w:t>无</w:t>
            </w:r>
          </w:p>
        </w:tc>
        <w:tc>
          <w:tcPr>
            <w:tcW w:w="1352" w:type="dxa"/>
            <w:tcBorders>
              <w:top w:val="double" w:color="auto" w:sz="6" w:space="0"/>
              <w:bottom w:val="single" w:color="auto" w:sz="6" w:space="0"/>
            </w:tcBorders>
            <w:noWrap w:val="0"/>
            <w:vAlign w:val="top"/>
          </w:tcPr>
          <w:p w14:paraId="1E877469">
            <w:pPr>
              <w:pStyle w:val="10"/>
              <w:keepNext/>
              <w:spacing w:after="0" w:line="240" w:lineRule="auto"/>
              <w:ind w:left="71" w:leftChars="34" w:right="63"/>
              <w:rPr>
                <w:rFonts w:hint="eastAsia" w:ascii="宋体" w:hAnsi="宋体" w:eastAsia="宋体" w:cs="宋体"/>
                <w:bCs/>
                <w:color w:val="000000"/>
                <w:kern w:val="2"/>
                <w:sz w:val="24"/>
                <w:szCs w:val="24"/>
              </w:rPr>
            </w:pPr>
            <w:r>
              <w:rPr>
                <w:rFonts w:hint="eastAsia" w:ascii="宋体" w:hAnsi="宋体" w:eastAsia="宋体" w:cs="宋体"/>
                <w:bCs/>
                <w:color w:val="000000"/>
                <w:kern w:val="2"/>
                <w:sz w:val="24"/>
                <w:szCs w:val="24"/>
              </w:rPr>
              <w:t>无</w:t>
            </w:r>
          </w:p>
        </w:tc>
        <w:tc>
          <w:tcPr>
            <w:tcW w:w="1418" w:type="dxa"/>
            <w:tcBorders>
              <w:top w:val="double" w:color="auto" w:sz="6" w:space="0"/>
              <w:bottom w:val="single" w:color="auto" w:sz="6" w:space="0"/>
            </w:tcBorders>
            <w:noWrap w:val="0"/>
            <w:vAlign w:val="top"/>
          </w:tcPr>
          <w:p w14:paraId="28C4526D">
            <w:pPr>
              <w:pStyle w:val="10"/>
              <w:keepNext/>
              <w:spacing w:after="0" w:line="240" w:lineRule="auto"/>
              <w:ind w:left="71" w:leftChars="34" w:right="63"/>
              <w:rPr>
                <w:rFonts w:hint="eastAsia" w:ascii="宋体" w:hAnsi="宋体" w:eastAsia="宋体" w:cs="宋体"/>
                <w:bCs/>
                <w:color w:val="000000"/>
                <w:kern w:val="2"/>
                <w:sz w:val="24"/>
                <w:szCs w:val="24"/>
              </w:rPr>
            </w:pPr>
            <w:r>
              <w:rPr>
                <w:rFonts w:hint="eastAsia" w:ascii="宋体" w:hAnsi="宋体" w:eastAsia="宋体" w:cs="宋体"/>
                <w:bCs/>
                <w:color w:val="000000"/>
                <w:kern w:val="2"/>
                <w:sz w:val="24"/>
                <w:szCs w:val="24"/>
              </w:rPr>
              <w:t>无</w:t>
            </w:r>
          </w:p>
        </w:tc>
        <w:tc>
          <w:tcPr>
            <w:tcW w:w="1701" w:type="dxa"/>
            <w:tcBorders>
              <w:top w:val="double" w:color="auto" w:sz="6" w:space="0"/>
              <w:bottom w:val="single" w:color="auto" w:sz="6" w:space="0"/>
            </w:tcBorders>
            <w:noWrap w:val="0"/>
            <w:vAlign w:val="top"/>
          </w:tcPr>
          <w:p w14:paraId="18AA5AA1">
            <w:pPr>
              <w:pStyle w:val="10"/>
              <w:keepNext/>
              <w:spacing w:after="0" w:line="240" w:lineRule="auto"/>
              <w:ind w:left="71" w:leftChars="34" w:right="63"/>
              <w:rPr>
                <w:rFonts w:hint="eastAsia" w:ascii="宋体" w:hAnsi="宋体" w:eastAsia="宋体" w:cs="宋体"/>
                <w:bCs/>
                <w:color w:val="000000"/>
                <w:kern w:val="2"/>
                <w:sz w:val="24"/>
                <w:szCs w:val="24"/>
              </w:rPr>
            </w:pPr>
            <w:r>
              <w:rPr>
                <w:rFonts w:hint="eastAsia" w:ascii="宋体" w:hAnsi="宋体" w:eastAsia="宋体" w:cs="宋体"/>
                <w:bCs/>
                <w:color w:val="000000"/>
                <w:kern w:val="2"/>
                <w:sz w:val="24"/>
                <w:szCs w:val="24"/>
              </w:rPr>
              <w:t>无</w:t>
            </w:r>
          </w:p>
        </w:tc>
      </w:tr>
      <w:tr w14:paraId="7C11FD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729" w:type="dxa"/>
            <w:tcBorders>
              <w:top w:val="nil"/>
            </w:tcBorders>
            <w:noWrap w:val="0"/>
            <w:vAlign w:val="top"/>
          </w:tcPr>
          <w:p w14:paraId="3BCF6BC1">
            <w:pPr>
              <w:pStyle w:val="10"/>
              <w:keepNext/>
              <w:spacing w:after="0" w:line="240" w:lineRule="auto"/>
              <w:ind w:left="63" w:right="63" w:firstLine="560"/>
              <w:rPr>
                <w:rFonts w:hint="eastAsia" w:ascii="宋体" w:hAnsi="宋体" w:eastAsia="宋体" w:cs="宋体"/>
                <w:b/>
                <w:bCs/>
                <w:color w:val="000000"/>
                <w:kern w:val="2"/>
                <w:sz w:val="24"/>
                <w:szCs w:val="24"/>
              </w:rPr>
            </w:pPr>
          </w:p>
        </w:tc>
        <w:tc>
          <w:tcPr>
            <w:tcW w:w="1504" w:type="dxa"/>
            <w:tcBorders>
              <w:top w:val="nil"/>
            </w:tcBorders>
            <w:noWrap w:val="0"/>
            <w:vAlign w:val="top"/>
          </w:tcPr>
          <w:p w14:paraId="76DE8ACB">
            <w:pPr>
              <w:pStyle w:val="10"/>
              <w:keepNext/>
              <w:spacing w:after="0" w:line="240" w:lineRule="auto"/>
              <w:ind w:left="63" w:right="63" w:firstLine="560"/>
              <w:rPr>
                <w:rFonts w:hint="eastAsia" w:ascii="宋体" w:hAnsi="宋体" w:eastAsia="宋体" w:cs="宋体"/>
                <w:b/>
                <w:bCs/>
                <w:color w:val="000000"/>
                <w:kern w:val="2"/>
                <w:sz w:val="24"/>
                <w:szCs w:val="24"/>
              </w:rPr>
            </w:pPr>
          </w:p>
        </w:tc>
        <w:tc>
          <w:tcPr>
            <w:tcW w:w="851" w:type="dxa"/>
            <w:tcBorders>
              <w:top w:val="nil"/>
            </w:tcBorders>
            <w:noWrap w:val="0"/>
            <w:vAlign w:val="top"/>
          </w:tcPr>
          <w:p w14:paraId="72BFBCCF">
            <w:pPr>
              <w:pStyle w:val="10"/>
              <w:keepNext/>
              <w:spacing w:after="0" w:line="240" w:lineRule="auto"/>
              <w:ind w:left="63" w:right="63" w:firstLine="560"/>
              <w:rPr>
                <w:rFonts w:hint="eastAsia" w:ascii="宋体" w:hAnsi="宋体" w:eastAsia="宋体" w:cs="宋体"/>
                <w:b/>
                <w:bCs/>
                <w:color w:val="000000"/>
                <w:kern w:val="2"/>
                <w:sz w:val="24"/>
                <w:szCs w:val="24"/>
              </w:rPr>
            </w:pPr>
          </w:p>
        </w:tc>
        <w:tc>
          <w:tcPr>
            <w:tcW w:w="774" w:type="dxa"/>
            <w:tcBorders>
              <w:top w:val="nil"/>
            </w:tcBorders>
            <w:noWrap w:val="0"/>
            <w:vAlign w:val="top"/>
          </w:tcPr>
          <w:p w14:paraId="1C3191C4">
            <w:pPr>
              <w:pStyle w:val="10"/>
              <w:keepNext/>
              <w:spacing w:after="0" w:line="240" w:lineRule="auto"/>
              <w:ind w:left="63" w:right="63" w:firstLine="560"/>
              <w:rPr>
                <w:rFonts w:hint="eastAsia" w:ascii="宋体" w:hAnsi="宋体" w:eastAsia="宋体" w:cs="宋体"/>
                <w:b/>
                <w:bCs/>
                <w:color w:val="000000"/>
                <w:kern w:val="2"/>
                <w:sz w:val="24"/>
                <w:szCs w:val="24"/>
              </w:rPr>
            </w:pPr>
          </w:p>
        </w:tc>
        <w:tc>
          <w:tcPr>
            <w:tcW w:w="1352" w:type="dxa"/>
            <w:tcBorders>
              <w:top w:val="nil"/>
            </w:tcBorders>
            <w:noWrap w:val="0"/>
            <w:vAlign w:val="top"/>
          </w:tcPr>
          <w:p w14:paraId="0CF674DE">
            <w:pPr>
              <w:pStyle w:val="10"/>
              <w:keepNext/>
              <w:spacing w:after="0" w:line="240" w:lineRule="auto"/>
              <w:ind w:left="63" w:right="63" w:firstLine="560"/>
              <w:rPr>
                <w:rFonts w:hint="eastAsia" w:ascii="宋体" w:hAnsi="宋体" w:eastAsia="宋体" w:cs="宋体"/>
                <w:b/>
                <w:bCs/>
                <w:color w:val="000000"/>
                <w:kern w:val="2"/>
                <w:sz w:val="24"/>
                <w:szCs w:val="24"/>
              </w:rPr>
            </w:pPr>
          </w:p>
        </w:tc>
        <w:tc>
          <w:tcPr>
            <w:tcW w:w="1418" w:type="dxa"/>
            <w:tcBorders>
              <w:top w:val="nil"/>
            </w:tcBorders>
            <w:noWrap w:val="0"/>
            <w:vAlign w:val="top"/>
          </w:tcPr>
          <w:p w14:paraId="6300A66D">
            <w:pPr>
              <w:pStyle w:val="10"/>
              <w:keepNext/>
              <w:spacing w:after="0" w:line="240" w:lineRule="auto"/>
              <w:ind w:left="63" w:right="63" w:firstLine="560"/>
              <w:rPr>
                <w:rFonts w:hint="eastAsia" w:ascii="宋体" w:hAnsi="宋体" w:eastAsia="宋体" w:cs="宋体"/>
                <w:b/>
                <w:bCs/>
                <w:color w:val="000000"/>
                <w:kern w:val="2"/>
                <w:sz w:val="24"/>
                <w:szCs w:val="24"/>
              </w:rPr>
            </w:pPr>
          </w:p>
        </w:tc>
        <w:tc>
          <w:tcPr>
            <w:tcW w:w="1701" w:type="dxa"/>
            <w:tcBorders>
              <w:top w:val="nil"/>
            </w:tcBorders>
            <w:noWrap w:val="0"/>
            <w:vAlign w:val="top"/>
          </w:tcPr>
          <w:p w14:paraId="094CFE1B">
            <w:pPr>
              <w:pStyle w:val="10"/>
              <w:keepNext/>
              <w:spacing w:after="0" w:line="240" w:lineRule="auto"/>
              <w:ind w:left="63" w:right="63" w:firstLine="560"/>
              <w:rPr>
                <w:rFonts w:hint="eastAsia" w:ascii="宋体" w:hAnsi="宋体" w:eastAsia="宋体" w:cs="宋体"/>
                <w:b/>
                <w:bCs/>
                <w:color w:val="000000"/>
                <w:kern w:val="2"/>
                <w:sz w:val="24"/>
                <w:szCs w:val="24"/>
              </w:rPr>
            </w:pPr>
          </w:p>
        </w:tc>
      </w:tr>
      <w:tr w14:paraId="0C1A4F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729" w:type="dxa"/>
            <w:noWrap w:val="0"/>
            <w:vAlign w:val="top"/>
          </w:tcPr>
          <w:p w14:paraId="3940E5DA">
            <w:pPr>
              <w:pStyle w:val="10"/>
              <w:keepNext/>
              <w:spacing w:after="0" w:line="240" w:lineRule="auto"/>
              <w:ind w:left="63" w:right="63" w:firstLine="560"/>
              <w:rPr>
                <w:rFonts w:hint="eastAsia" w:ascii="宋体" w:hAnsi="宋体" w:eastAsia="宋体" w:cs="宋体"/>
                <w:b/>
                <w:bCs/>
                <w:color w:val="000000"/>
                <w:kern w:val="2"/>
                <w:sz w:val="24"/>
                <w:szCs w:val="24"/>
              </w:rPr>
            </w:pPr>
          </w:p>
        </w:tc>
        <w:tc>
          <w:tcPr>
            <w:tcW w:w="1504" w:type="dxa"/>
            <w:noWrap w:val="0"/>
            <w:vAlign w:val="top"/>
          </w:tcPr>
          <w:p w14:paraId="0D962558">
            <w:pPr>
              <w:pStyle w:val="10"/>
              <w:keepNext/>
              <w:spacing w:after="0" w:line="240" w:lineRule="auto"/>
              <w:ind w:left="63" w:right="63" w:firstLine="560"/>
              <w:rPr>
                <w:rFonts w:hint="eastAsia" w:ascii="宋体" w:hAnsi="宋体" w:eastAsia="宋体" w:cs="宋体"/>
                <w:b/>
                <w:bCs/>
                <w:color w:val="000000"/>
                <w:kern w:val="2"/>
                <w:sz w:val="24"/>
                <w:szCs w:val="24"/>
              </w:rPr>
            </w:pPr>
          </w:p>
        </w:tc>
        <w:tc>
          <w:tcPr>
            <w:tcW w:w="851" w:type="dxa"/>
            <w:noWrap w:val="0"/>
            <w:vAlign w:val="top"/>
          </w:tcPr>
          <w:p w14:paraId="63282FC0">
            <w:pPr>
              <w:pStyle w:val="10"/>
              <w:keepNext/>
              <w:spacing w:after="0" w:line="240" w:lineRule="auto"/>
              <w:ind w:left="63" w:right="63" w:firstLine="560"/>
              <w:rPr>
                <w:rFonts w:hint="eastAsia" w:ascii="宋体" w:hAnsi="宋体" w:eastAsia="宋体" w:cs="宋体"/>
                <w:b/>
                <w:bCs/>
                <w:color w:val="000000"/>
                <w:kern w:val="2"/>
                <w:sz w:val="24"/>
                <w:szCs w:val="24"/>
              </w:rPr>
            </w:pPr>
          </w:p>
        </w:tc>
        <w:tc>
          <w:tcPr>
            <w:tcW w:w="774" w:type="dxa"/>
            <w:noWrap w:val="0"/>
            <w:vAlign w:val="top"/>
          </w:tcPr>
          <w:p w14:paraId="6A813997">
            <w:pPr>
              <w:pStyle w:val="10"/>
              <w:keepNext/>
              <w:spacing w:after="0" w:line="240" w:lineRule="auto"/>
              <w:ind w:left="63" w:right="63" w:firstLine="560"/>
              <w:rPr>
                <w:rFonts w:hint="eastAsia" w:ascii="宋体" w:hAnsi="宋体" w:eastAsia="宋体" w:cs="宋体"/>
                <w:b/>
                <w:bCs/>
                <w:color w:val="000000"/>
                <w:kern w:val="2"/>
                <w:sz w:val="24"/>
                <w:szCs w:val="24"/>
              </w:rPr>
            </w:pPr>
          </w:p>
        </w:tc>
        <w:tc>
          <w:tcPr>
            <w:tcW w:w="1352" w:type="dxa"/>
            <w:noWrap w:val="0"/>
            <w:vAlign w:val="top"/>
          </w:tcPr>
          <w:p w14:paraId="400A76C4">
            <w:pPr>
              <w:pStyle w:val="10"/>
              <w:keepNext/>
              <w:spacing w:after="0" w:line="240" w:lineRule="auto"/>
              <w:ind w:left="63" w:right="63" w:firstLine="560"/>
              <w:rPr>
                <w:rFonts w:hint="eastAsia" w:ascii="宋体" w:hAnsi="宋体" w:eastAsia="宋体" w:cs="宋体"/>
                <w:b/>
                <w:bCs/>
                <w:color w:val="000000"/>
                <w:kern w:val="2"/>
                <w:sz w:val="24"/>
                <w:szCs w:val="24"/>
              </w:rPr>
            </w:pPr>
          </w:p>
        </w:tc>
        <w:tc>
          <w:tcPr>
            <w:tcW w:w="1418" w:type="dxa"/>
            <w:noWrap w:val="0"/>
            <w:vAlign w:val="top"/>
          </w:tcPr>
          <w:p w14:paraId="031904A2">
            <w:pPr>
              <w:pStyle w:val="10"/>
              <w:keepNext/>
              <w:spacing w:after="0" w:line="240" w:lineRule="auto"/>
              <w:ind w:left="63" w:right="63" w:firstLine="560"/>
              <w:rPr>
                <w:rFonts w:hint="eastAsia" w:ascii="宋体" w:hAnsi="宋体" w:eastAsia="宋体" w:cs="宋体"/>
                <w:b/>
                <w:bCs/>
                <w:color w:val="000000"/>
                <w:kern w:val="2"/>
                <w:sz w:val="24"/>
                <w:szCs w:val="24"/>
              </w:rPr>
            </w:pPr>
          </w:p>
        </w:tc>
        <w:tc>
          <w:tcPr>
            <w:tcW w:w="1701" w:type="dxa"/>
            <w:noWrap w:val="0"/>
            <w:vAlign w:val="top"/>
          </w:tcPr>
          <w:p w14:paraId="769143F6">
            <w:pPr>
              <w:pStyle w:val="10"/>
              <w:keepNext/>
              <w:spacing w:after="0" w:line="240" w:lineRule="auto"/>
              <w:ind w:left="63" w:right="63" w:firstLine="560"/>
              <w:rPr>
                <w:rFonts w:hint="eastAsia" w:ascii="宋体" w:hAnsi="宋体" w:eastAsia="宋体" w:cs="宋体"/>
                <w:b/>
                <w:bCs/>
                <w:color w:val="000000"/>
                <w:kern w:val="2"/>
                <w:sz w:val="24"/>
                <w:szCs w:val="24"/>
              </w:rPr>
            </w:pPr>
          </w:p>
        </w:tc>
      </w:tr>
      <w:tr w14:paraId="7633FF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729" w:type="dxa"/>
            <w:noWrap w:val="0"/>
            <w:vAlign w:val="top"/>
          </w:tcPr>
          <w:p w14:paraId="1E029D17">
            <w:pPr>
              <w:pStyle w:val="10"/>
              <w:keepNext/>
              <w:spacing w:after="0" w:line="240" w:lineRule="auto"/>
              <w:ind w:left="63" w:right="63" w:firstLine="560"/>
              <w:rPr>
                <w:rFonts w:hint="eastAsia" w:ascii="宋体" w:hAnsi="宋体" w:eastAsia="宋体" w:cs="宋体"/>
                <w:b/>
                <w:bCs/>
                <w:color w:val="000000"/>
                <w:kern w:val="2"/>
                <w:sz w:val="24"/>
                <w:szCs w:val="24"/>
              </w:rPr>
            </w:pPr>
          </w:p>
        </w:tc>
        <w:tc>
          <w:tcPr>
            <w:tcW w:w="1504" w:type="dxa"/>
            <w:noWrap w:val="0"/>
            <w:vAlign w:val="top"/>
          </w:tcPr>
          <w:p w14:paraId="20860C31">
            <w:pPr>
              <w:pStyle w:val="10"/>
              <w:keepNext/>
              <w:spacing w:after="0" w:line="240" w:lineRule="auto"/>
              <w:ind w:left="63" w:right="63" w:firstLine="560"/>
              <w:rPr>
                <w:rFonts w:hint="eastAsia" w:ascii="宋体" w:hAnsi="宋体" w:eastAsia="宋体" w:cs="宋体"/>
                <w:b/>
                <w:bCs/>
                <w:color w:val="000000"/>
                <w:kern w:val="2"/>
                <w:sz w:val="24"/>
                <w:szCs w:val="24"/>
              </w:rPr>
            </w:pPr>
          </w:p>
        </w:tc>
        <w:tc>
          <w:tcPr>
            <w:tcW w:w="851" w:type="dxa"/>
            <w:noWrap w:val="0"/>
            <w:vAlign w:val="top"/>
          </w:tcPr>
          <w:p w14:paraId="0146F96B">
            <w:pPr>
              <w:pStyle w:val="10"/>
              <w:keepNext/>
              <w:spacing w:after="0" w:line="240" w:lineRule="auto"/>
              <w:ind w:left="63" w:right="63" w:firstLine="560"/>
              <w:rPr>
                <w:rFonts w:hint="eastAsia" w:ascii="宋体" w:hAnsi="宋体" w:eastAsia="宋体" w:cs="宋体"/>
                <w:b/>
                <w:bCs/>
                <w:color w:val="000000"/>
                <w:kern w:val="2"/>
                <w:sz w:val="24"/>
                <w:szCs w:val="24"/>
              </w:rPr>
            </w:pPr>
          </w:p>
        </w:tc>
        <w:tc>
          <w:tcPr>
            <w:tcW w:w="774" w:type="dxa"/>
            <w:noWrap w:val="0"/>
            <w:vAlign w:val="top"/>
          </w:tcPr>
          <w:p w14:paraId="702A026A">
            <w:pPr>
              <w:pStyle w:val="10"/>
              <w:keepNext/>
              <w:spacing w:after="0" w:line="240" w:lineRule="auto"/>
              <w:ind w:left="63" w:right="63" w:firstLine="560"/>
              <w:rPr>
                <w:rFonts w:hint="eastAsia" w:ascii="宋体" w:hAnsi="宋体" w:eastAsia="宋体" w:cs="宋体"/>
                <w:b/>
                <w:bCs/>
                <w:color w:val="000000"/>
                <w:kern w:val="2"/>
                <w:sz w:val="24"/>
                <w:szCs w:val="24"/>
              </w:rPr>
            </w:pPr>
          </w:p>
        </w:tc>
        <w:tc>
          <w:tcPr>
            <w:tcW w:w="1352" w:type="dxa"/>
            <w:noWrap w:val="0"/>
            <w:vAlign w:val="top"/>
          </w:tcPr>
          <w:p w14:paraId="6F9D228D">
            <w:pPr>
              <w:pStyle w:val="10"/>
              <w:keepNext/>
              <w:spacing w:after="0" w:line="240" w:lineRule="auto"/>
              <w:ind w:left="63" w:right="63" w:firstLine="560"/>
              <w:rPr>
                <w:rFonts w:hint="eastAsia" w:ascii="宋体" w:hAnsi="宋体" w:eastAsia="宋体" w:cs="宋体"/>
                <w:b/>
                <w:bCs/>
                <w:color w:val="000000"/>
                <w:kern w:val="2"/>
                <w:sz w:val="24"/>
                <w:szCs w:val="24"/>
              </w:rPr>
            </w:pPr>
          </w:p>
        </w:tc>
        <w:tc>
          <w:tcPr>
            <w:tcW w:w="1418" w:type="dxa"/>
            <w:noWrap w:val="0"/>
            <w:vAlign w:val="top"/>
          </w:tcPr>
          <w:p w14:paraId="41B593C7">
            <w:pPr>
              <w:pStyle w:val="10"/>
              <w:keepNext/>
              <w:spacing w:after="0" w:line="240" w:lineRule="auto"/>
              <w:ind w:left="63" w:right="63" w:firstLine="560"/>
              <w:rPr>
                <w:rFonts w:hint="eastAsia" w:ascii="宋体" w:hAnsi="宋体" w:eastAsia="宋体" w:cs="宋体"/>
                <w:b/>
                <w:bCs/>
                <w:color w:val="000000"/>
                <w:kern w:val="2"/>
                <w:sz w:val="24"/>
                <w:szCs w:val="24"/>
              </w:rPr>
            </w:pPr>
          </w:p>
        </w:tc>
        <w:tc>
          <w:tcPr>
            <w:tcW w:w="1701" w:type="dxa"/>
            <w:noWrap w:val="0"/>
            <w:vAlign w:val="top"/>
          </w:tcPr>
          <w:p w14:paraId="63B1870B">
            <w:pPr>
              <w:pStyle w:val="10"/>
              <w:keepNext/>
              <w:spacing w:after="0" w:line="240" w:lineRule="auto"/>
              <w:ind w:left="63" w:right="63" w:firstLine="560"/>
              <w:rPr>
                <w:rFonts w:hint="eastAsia" w:ascii="宋体" w:hAnsi="宋体" w:eastAsia="宋体" w:cs="宋体"/>
                <w:b/>
                <w:bCs/>
                <w:color w:val="000000"/>
                <w:kern w:val="2"/>
                <w:sz w:val="24"/>
                <w:szCs w:val="24"/>
              </w:rPr>
            </w:pPr>
          </w:p>
        </w:tc>
      </w:tr>
      <w:tr w14:paraId="10CE29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729" w:type="dxa"/>
            <w:noWrap w:val="0"/>
            <w:vAlign w:val="top"/>
          </w:tcPr>
          <w:p w14:paraId="642489E2">
            <w:pPr>
              <w:pStyle w:val="10"/>
              <w:keepNext/>
              <w:spacing w:after="0" w:line="240" w:lineRule="auto"/>
              <w:ind w:left="63" w:right="63" w:firstLine="560"/>
              <w:rPr>
                <w:rFonts w:hint="eastAsia" w:ascii="宋体" w:hAnsi="宋体" w:eastAsia="宋体" w:cs="宋体"/>
                <w:b/>
                <w:bCs/>
                <w:color w:val="000000"/>
                <w:kern w:val="2"/>
                <w:sz w:val="24"/>
                <w:szCs w:val="24"/>
              </w:rPr>
            </w:pPr>
          </w:p>
        </w:tc>
        <w:tc>
          <w:tcPr>
            <w:tcW w:w="1504" w:type="dxa"/>
            <w:noWrap w:val="0"/>
            <w:vAlign w:val="top"/>
          </w:tcPr>
          <w:p w14:paraId="78D663CF">
            <w:pPr>
              <w:pStyle w:val="10"/>
              <w:keepNext/>
              <w:spacing w:after="0" w:line="240" w:lineRule="auto"/>
              <w:ind w:left="63" w:right="63" w:firstLine="560"/>
              <w:rPr>
                <w:rFonts w:hint="eastAsia" w:ascii="宋体" w:hAnsi="宋体" w:eastAsia="宋体" w:cs="宋体"/>
                <w:b/>
                <w:bCs/>
                <w:color w:val="000000"/>
                <w:kern w:val="2"/>
                <w:sz w:val="24"/>
                <w:szCs w:val="24"/>
              </w:rPr>
            </w:pPr>
          </w:p>
        </w:tc>
        <w:tc>
          <w:tcPr>
            <w:tcW w:w="851" w:type="dxa"/>
            <w:noWrap w:val="0"/>
            <w:vAlign w:val="top"/>
          </w:tcPr>
          <w:p w14:paraId="07A6FFFD">
            <w:pPr>
              <w:pStyle w:val="10"/>
              <w:keepNext/>
              <w:spacing w:after="0" w:line="240" w:lineRule="auto"/>
              <w:ind w:left="63" w:right="63" w:firstLine="560"/>
              <w:rPr>
                <w:rFonts w:hint="eastAsia" w:ascii="宋体" w:hAnsi="宋体" w:eastAsia="宋体" w:cs="宋体"/>
                <w:b/>
                <w:bCs/>
                <w:color w:val="000000"/>
                <w:kern w:val="2"/>
                <w:sz w:val="24"/>
                <w:szCs w:val="24"/>
              </w:rPr>
            </w:pPr>
          </w:p>
        </w:tc>
        <w:tc>
          <w:tcPr>
            <w:tcW w:w="774" w:type="dxa"/>
            <w:noWrap w:val="0"/>
            <w:vAlign w:val="top"/>
          </w:tcPr>
          <w:p w14:paraId="3E1CED29">
            <w:pPr>
              <w:pStyle w:val="10"/>
              <w:keepNext/>
              <w:spacing w:after="0" w:line="240" w:lineRule="auto"/>
              <w:ind w:left="63" w:right="63" w:firstLine="560"/>
              <w:rPr>
                <w:rFonts w:hint="eastAsia" w:ascii="宋体" w:hAnsi="宋体" w:eastAsia="宋体" w:cs="宋体"/>
                <w:b/>
                <w:bCs/>
                <w:color w:val="000000"/>
                <w:kern w:val="2"/>
                <w:sz w:val="24"/>
                <w:szCs w:val="24"/>
              </w:rPr>
            </w:pPr>
          </w:p>
        </w:tc>
        <w:tc>
          <w:tcPr>
            <w:tcW w:w="1352" w:type="dxa"/>
            <w:noWrap w:val="0"/>
            <w:vAlign w:val="top"/>
          </w:tcPr>
          <w:p w14:paraId="54B696FE">
            <w:pPr>
              <w:pStyle w:val="10"/>
              <w:keepNext/>
              <w:spacing w:after="0" w:line="240" w:lineRule="auto"/>
              <w:ind w:left="63" w:right="63" w:firstLine="560"/>
              <w:rPr>
                <w:rFonts w:hint="eastAsia" w:ascii="宋体" w:hAnsi="宋体" w:eastAsia="宋体" w:cs="宋体"/>
                <w:b/>
                <w:bCs/>
                <w:color w:val="000000"/>
                <w:kern w:val="2"/>
                <w:sz w:val="24"/>
                <w:szCs w:val="24"/>
              </w:rPr>
            </w:pPr>
          </w:p>
        </w:tc>
        <w:tc>
          <w:tcPr>
            <w:tcW w:w="1418" w:type="dxa"/>
            <w:noWrap w:val="0"/>
            <w:vAlign w:val="top"/>
          </w:tcPr>
          <w:p w14:paraId="18E43A70">
            <w:pPr>
              <w:pStyle w:val="10"/>
              <w:keepNext/>
              <w:spacing w:after="0" w:line="240" w:lineRule="auto"/>
              <w:ind w:left="63" w:right="63" w:firstLine="560"/>
              <w:rPr>
                <w:rFonts w:hint="eastAsia" w:ascii="宋体" w:hAnsi="宋体" w:eastAsia="宋体" w:cs="宋体"/>
                <w:b/>
                <w:bCs/>
                <w:color w:val="000000"/>
                <w:kern w:val="2"/>
                <w:sz w:val="24"/>
                <w:szCs w:val="24"/>
              </w:rPr>
            </w:pPr>
          </w:p>
        </w:tc>
        <w:tc>
          <w:tcPr>
            <w:tcW w:w="1701" w:type="dxa"/>
            <w:noWrap w:val="0"/>
            <w:vAlign w:val="top"/>
          </w:tcPr>
          <w:p w14:paraId="18C36B4A">
            <w:pPr>
              <w:pStyle w:val="10"/>
              <w:keepNext/>
              <w:spacing w:after="0" w:line="240" w:lineRule="auto"/>
              <w:ind w:left="63" w:right="63" w:firstLine="560"/>
              <w:rPr>
                <w:rFonts w:hint="eastAsia" w:ascii="宋体" w:hAnsi="宋体" w:eastAsia="宋体" w:cs="宋体"/>
                <w:b/>
                <w:bCs/>
                <w:color w:val="000000"/>
                <w:kern w:val="2"/>
                <w:sz w:val="24"/>
                <w:szCs w:val="24"/>
              </w:rPr>
            </w:pPr>
          </w:p>
        </w:tc>
      </w:tr>
      <w:tr w14:paraId="0402F5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729" w:type="dxa"/>
            <w:noWrap w:val="0"/>
            <w:vAlign w:val="top"/>
          </w:tcPr>
          <w:p w14:paraId="2BF0819B">
            <w:pPr>
              <w:pStyle w:val="10"/>
              <w:keepNext/>
              <w:spacing w:after="0" w:line="240" w:lineRule="auto"/>
              <w:ind w:left="63" w:right="63" w:firstLine="560"/>
              <w:rPr>
                <w:rFonts w:hint="eastAsia" w:ascii="宋体" w:hAnsi="宋体" w:eastAsia="宋体" w:cs="宋体"/>
                <w:b/>
                <w:bCs/>
                <w:color w:val="000000"/>
                <w:kern w:val="2"/>
                <w:sz w:val="24"/>
                <w:szCs w:val="24"/>
              </w:rPr>
            </w:pPr>
          </w:p>
        </w:tc>
        <w:tc>
          <w:tcPr>
            <w:tcW w:w="1504" w:type="dxa"/>
            <w:noWrap w:val="0"/>
            <w:vAlign w:val="top"/>
          </w:tcPr>
          <w:p w14:paraId="37C85164">
            <w:pPr>
              <w:pStyle w:val="10"/>
              <w:keepNext/>
              <w:spacing w:after="0" w:line="240" w:lineRule="auto"/>
              <w:ind w:left="63" w:right="63" w:firstLine="560"/>
              <w:rPr>
                <w:rFonts w:hint="eastAsia" w:ascii="宋体" w:hAnsi="宋体" w:eastAsia="宋体" w:cs="宋体"/>
                <w:b/>
                <w:bCs/>
                <w:color w:val="000000"/>
                <w:kern w:val="2"/>
                <w:sz w:val="24"/>
                <w:szCs w:val="24"/>
              </w:rPr>
            </w:pPr>
          </w:p>
        </w:tc>
        <w:tc>
          <w:tcPr>
            <w:tcW w:w="851" w:type="dxa"/>
            <w:noWrap w:val="0"/>
            <w:vAlign w:val="top"/>
          </w:tcPr>
          <w:p w14:paraId="26FA3D48">
            <w:pPr>
              <w:pStyle w:val="10"/>
              <w:keepNext/>
              <w:spacing w:after="0" w:line="240" w:lineRule="auto"/>
              <w:ind w:left="63" w:right="63" w:firstLine="560"/>
              <w:rPr>
                <w:rFonts w:hint="eastAsia" w:ascii="宋体" w:hAnsi="宋体" w:eastAsia="宋体" w:cs="宋体"/>
                <w:b/>
                <w:bCs/>
                <w:color w:val="000000"/>
                <w:kern w:val="2"/>
                <w:sz w:val="24"/>
                <w:szCs w:val="24"/>
              </w:rPr>
            </w:pPr>
          </w:p>
        </w:tc>
        <w:tc>
          <w:tcPr>
            <w:tcW w:w="774" w:type="dxa"/>
            <w:noWrap w:val="0"/>
            <w:vAlign w:val="top"/>
          </w:tcPr>
          <w:p w14:paraId="702DF639">
            <w:pPr>
              <w:pStyle w:val="10"/>
              <w:keepNext/>
              <w:spacing w:after="0" w:line="240" w:lineRule="auto"/>
              <w:ind w:left="63" w:right="63" w:firstLine="560"/>
              <w:rPr>
                <w:rFonts w:hint="eastAsia" w:ascii="宋体" w:hAnsi="宋体" w:eastAsia="宋体" w:cs="宋体"/>
                <w:b/>
                <w:bCs/>
                <w:color w:val="000000"/>
                <w:kern w:val="2"/>
                <w:sz w:val="24"/>
                <w:szCs w:val="24"/>
              </w:rPr>
            </w:pPr>
          </w:p>
        </w:tc>
        <w:tc>
          <w:tcPr>
            <w:tcW w:w="1352" w:type="dxa"/>
            <w:noWrap w:val="0"/>
            <w:vAlign w:val="top"/>
          </w:tcPr>
          <w:p w14:paraId="44FA59AE">
            <w:pPr>
              <w:pStyle w:val="10"/>
              <w:keepNext/>
              <w:spacing w:after="0" w:line="240" w:lineRule="auto"/>
              <w:ind w:left="63" w:right="63" w:firstLine="560"/>
              <w:rPr>
                <w:rFonts w:hint="eastAsia" w:ascii="宋体" w:hAnsi="宋体" w:eastAsia="宋体" w:cs="宋体"/>
                <w:b/>
                <w:bCs/>
                <w:color w:val="000000"/>
                <w:kern w:val="2"/>
                <w:sz w:val="24"/>
                <w:szCs w:val="24"/>
              </w:rPr>
            </w:pPr>
          </w:p>
        </w:tc>
        <w:tc>
          <w:tcPr>
            <w:tcW w:w="1418" w:type="dxa"/>
            <w:noWrap w:val="0"/>
            <w:vAlign w:val="top"/>
          </w:tcPr>
          <w:p w14:paraId="66F390E3">
            <w:pPr>
              <w:pStyle w:val="10"/>
              <w:keepNext/>
              <w:spacing w:after="0" w:line="240" w:lineRule="auto"/>
              <w:ind w:left="63" w:right="63" w:firstLine="560"/>
              <w:rPr>
                <w:rFonts w:hint="eastAsia" w:ascii="宋体" w:hAnsi="宋体" w:eastAsia="宋体" w:cs="宋体"/>
                <w:b/>
                <w:bCs/>
                <w:color w:val="000000"/>
                <w:kern w:val="2"/>
                <w:sz w:val="24"/>
                <w:szCs w:val="24"/>
              </w:rPr>
            </w:pPr>
          </w:p>
        </w:tc>
        <w:tc>
          <w:tcPr>
            <w:tcW w:w="1701" w:type="dxa"/>
            <w:noWrap w:val="0"/>
            <w:vAlign w:val="top"/>
          </w:tcPr>
          <w:p w14:paraId="1789B75C">
            <w:pPr>
              <w:pStyle w:val="10"/>
              <w:keepNext/>
              <w:spacing w:after="0" w:line="240" w:lineRule="auto"/>
              <w:ind w:left="63" w:right="63" w:firstLine="560"/>
              <w:rPr>
                <w:rFonts w:hint="eastAsia" w:ascii="宋体" w:hAnsi="宋体" w:eastAsia="宋体" w:cs="宋体"/>
                <w:b/>
                <w:bCs/>
                <w:color w:val="000000"/>
                <w:kern w:val="2"/>
                <w:sz w:val="24"/>
                <w:szCs w:val="24"/>
              </w:rPr>
            </w:pPr>
          </w:p>
        </w:tc>
      </w:tr>
      <w:tr w14:paraId="6D1BC6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729" w:type="dxa"/>
            <w:noWrap w:val="0"/>
            <w:vAlign w:val="top"/>
          </w:tcPr>
          <w:p w14:paraId="7487D44A">
            <w:pPr>
              <w:pStyle w:val="10"/>
              <w:keepNext/>
              <w:spacing w:after="0" w:line="240" w:lineRule="auto"/>
              <w:ind w:left="63" w:right="63" w:firstLine="560"/>
              <w:rPr>
                <w:rFonts w:hint="eastAsia" w:ascii="宋体" w:hAnsi="宋体" w:eastAsia="宋体" w:cs="宋体"/>
                <w:b/>
                <w:bCs/>
                <w:color w:val="000000"/>
                <w:kern w:val="2"/>
                <w:sz w:val="24"/>
                <w:szCs w:val="24"/>
              </w:rPr>
            </w:pPr>
          </w:p>
        </w:tc>
        <w:tc>
          <w:tcPr>
            <w:tcW w:w="1504" w:type="dxa"/>
            <w:noWrap w:val="0"/>
            <w:vAlign w:val="top"/>
          </w:tcPr>
          <w:p w14:paraId="52C5959B">
            <w:pPr>
              <w:pStyle w:val="10"/>
              <w:keepNext/>
              <w:spacing w:after="0" w:line="240" w:lineRule="auto"/>
              <w:ind w:left="63" w:right="63" w:firstLine="560"/>
              <w:rPr>
                <w:rFonts w:hint="eastAsia" w:ascii="宋体" w:hAnsi="宋体" w:eastAsia="宋体" w:cs="宋体"/>
                <w:b/>
                <w:bCs/>
                <w:color w:val="000000"/>
                <w:kern w:val="2"/>
                <w:sz w:val="24"/>
                <w:szCs w:val="24"/>
              </w:rPr>
            </w:pPr>
          </w:p>
        </w:tc>
        <w:tc>
          <w:tcPr>
            <w:tcW w:w="851" w:type="dxa"/>
            <w:noWrap w:val="0"/>
            <w:vAlign w:val="top"/>
          </w:tcPr>
          <w:p w14:paraId="638FB68C">
            <w:pPr>
              <w:pStyle w:val="10"/>
              <w:keepNext/>
              <w:spacing w:after="0" w:line="240" w:lineRule="auto"/>
              <w:ind w:left="63" w:right="63" w:firstLine="560"/>
              <w:rPr>
                <w:rFonts w:hint="eastAsia" w:ascii="宋体" w:hAnsi="宋体" w:eastAsia="宋体" w:cs="宋体"/>
                <w:b/>
                <w:bCs/>
                <w:color w:val="000000"/>
                <w:kern w:val="2"/>
                <w:sz w:val="24"/>
                <w:szCs w:val="24"/>
              </w:rPr>
            </w:pPr>
          </w:p>
        </w:tc>
        <w:tc>
          <w:tcPr>
            <w:tcW w:w="774" w:type="dxa"/>
            <w:noWrap w:val="0"/>
            <w:vAlign w:val="top"/>
          </w:tcPr>
          <w:p w14:paraId="36AF1313">
            <w:pPr>
              <w:pStyle w:val="10"/>
              <w:keepNext/>
              <w:spacing w:after="0" w:line="240" w:lineRule="auto"/>
              <w:ind w:left="63" w:right="63" w:firstLine="560"/>
              <w:rPr>
                <w:rFonts w:hint="eastAsia" w:ascii="宋体" w:hAnsi="宋体" w:eastAsia="宋体" w:cs="宋体"/>
                <w:b/>
                <w:bCs/>
                <w:color w:val="000000"/>
                <w:kern w:val="2"/>
                <w:sz w:val="24"/>
                <w:szCs w:val="24"/>
              </w:rPr>
            </w:pPr>
          </w:p>
        </w:tc>
        <w:tc>
          <w:tcPr>
            <w:tcW w:w="1352" w:type="dxa"/>
            <w:noWrap w:val="0"/>
            <w:vAlign w:val="top"/>
          </w:tcPr>
          <w:p w14:paraId="1DDD4C0A">
            <w:pPr>
              <w:pStyle w:val="10"/>
              <w:keepNext/>
              <w:spacing w:after="0" w:line="240" w:lineRule="auto"/>
              <w:ind w:left="63" w:right="63" w:firstLine="560"/>
              <w:rPr>
                <w:rFonts w:hint="eastAsia" w:ascii="宋体" w:hAnsi="宋体" w:eastAsia="宋体" w:cs="宋体"/>
                <w:b/>
                <w:bCs/>
                <w:color w:val="000000"/>
                <w:kern w:val="2"/>
                <w:sz w:val="24"/>
                <w:szCs w:val="24"/>
              </w:rPr>
            </w:pPr>
          </w:p>
        </w:tc>
        <w:tc>
          <w:tcPr>
            <w:tcW w:w="1418" w:type="dxa"/>
            <w:noWrap w:val="0"/>
            <w:vAlign w:val="top"/>
          </w:tcPr>
          <w:p w14:paraId="37DD9B73">
            <w:pPr>
              <w:pStyle w:val="10"/>
              <w:keepNext/>
              <w:spacing w:after="0" w:line="240" w:lineRule="auto"/>
              <w:ind w:left="63" w:right="63" w:firstLine="560"/>
              <w:rPr>
                <w:rFonts w:hint="eastAsia" w:ascii="宋体" w:hAnsi="宋体" w:eastAsia="宋体" w:cs="宋体"/>
                <w:b/>
                <w:bCs/>
                <w:color w:val="000000"/>
                <w:kern w:val="2"/>
                <w:sz w:val="24"/>
                <w:szCs w:val="24"/>
              </w:rPr>
            </w:pPr>
          </w:p>
        </w:tc>
        <w:tc>
          <w:tcPr>
            <w:tcW w:w="1701" w:type="dxa"/>
            <w:noWrap w:val="0"/>
            <w:vAlign w:val="top"/>
          </w:tcPr>
          <w:p w14:paraId="56F2B8C5">
            <w:pPr>
              <w:pStyle w:val="10"/>
              <w:keepNext/>
              <w:spacing w:after="0" w:line="240" w:lineRule="auto"/>
              <w:ind w:left="63" w:right="63" w:firstLine="560"/>
              <w:rPr>
                <w:rFonts w:hint="eastAsia" w:ascii="宋体" w:hAnsi="宋体" w:eastAsia="宋体" w:cs="宋体"/>
                <w:b/>
                <w:bCs/>
                <w:color w:val="000000"/>
                <w:kern w:val="2"/>
                <w:sz w:val="24"/>
                <w:szCs w:val="24"/>
              </w:rPr>
            </w:pPr>
          </w:p>
        </w:tc>
      </w:tr>
      <w:tr w14:paraId="4892E0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729" w:type="dxa"/>
            <w:noWrap w:val="0"/>
            <w:vAlign w:val="top"/>
          </w:tcPr>
          <w:p w14:paraId="191EC5C4">
            <w:pPr>
              <w:pStyle w:val="10"/>
              <w:keepNext/>
              <w:spacing w:after="0" w:line="240" w:lineRule="auto"/>
              <w:ind w:left="63" w:right="63" w:firstLine="560"/>
              <w:rPr>
                <w:rFonts w:hint="eastAsia" w:ascii="宋体" w:hAnsi="宋体" w:eastAsia="宋体" w:cs="宋体"/>
                <w:b/>
                <w:bCs/>
                <w:color w:val="000000"/>
                <w:kern w:val="2"/>
                <w:sz w:val="24"/>
                <w:szCs w:val="24"/>
              </w:rPr>
            </w:pPr>
          </w:p>
        </w:tc>
        <w:tc>
          <w:tcPr>
            <w:tcW w:w="1504" w:type="dxa"/>
            <w:noWrap w:val="0"/>
            <w:vAlign w:val="top"/>
          </w:tcPr>
          <w:p w14:paraId="2299F1F2">
            <w:pPr>
              <w:pStyle w:val="10"/>
              <w:keepNext/>
              <w:spacing w:after="0" w:line="240" w:lineRule="auto"/>
              <w:ind w:left="63" w:right="63" w:firstLine="560"/>
              <w:rPr>
                <w:rFonts w:hint="eastAsia" w:ascii="宋体" w:hAnsi="宋体" w:eastAsia="宋体" w:cs="宋体"/>
                <w:b/>
                <w:bCs/>
                <w:color w:val="000000"/>
                <w:kern w:val="2"/>
                <w:sz w:val="24"/>
                <w:szCs w:val="24"/>
              </w:rPr>
            </w:pPr>
          </w:p>
        </w:tc>
        <w:tc>
          <w:tcPr>
            <w:tcW w:w="851" w:type="dxa"/>
            <w:noWrap w:val="0"/>
            <w:vAlign w:val="top"/>
          </w:tcPr>
          <w:p w14:paraId="2DF1D527">
            <w:pPr>
              <w:pStyle w:val="10"/>
              <w:keepNext/>
              <w:spacing w:after="0" w:line="240" w:lineRule="auto"/>
              <w:ind w:left="63" w:right="63" w:firstLine="560"/>
              <w:rPr>
                <w:rFonts w:hint="eastAsia" w:ascii="宋体" w:hAnsi="宋体" w:eastAsia="宋体" w:cs="宋体"/>
                <w:b/>
                <w:bCs/>
                <w:color w:val="000000"/>
                <w:kern w:val="2"/>
                <w:sz w:val="24"/>
                <w:szCs w:val="24"/>
              </w:rPr>
            </w:pPr>
          </w:p>
        </w:tc>
        <w:tc>
          <w:tcPr>
            <w:tcW w:w="774" w:type="dxa"/>
            <w:noWrap w:val="0"/>
            <w:vAlign w:val="top"/>
          </w:tcPr>
          <w:p w14:paraId="0AE7F96C">
            <w:pPr>
              <w:pStyle w:val="10"/>
              <w:keepNext/>
              <w:spacing w:after="0" w:line="240" w:lineRule="auto"/>
              <w:ind w:left="63" w:right="63" w:firstLine="560"/>
              <w:rPr>
                <w:rFonts w:hint="eastAsia" w:ascii="宋体" w:hAnsi="宋体" w:eastAsia="宋体" w:cs="宋体"/>
                <w:b/>
                <w:bCs/>
                <w:color w:val="000000"/>
                <w:kern w:val="2"/>
                <w:sz w:val="24"/>
                <w:szCs w:val="24"/>
              </w:rPr>
            </w:pPr>
          </w:p>
        </w:tc>
        <w:tc>
          <w:tcPr>
            <w:tcW w:w="1352" w:type="dxa"/>
            <w:noWrap w:val="0"/>
            <w:vAlign w:val="top"/>
          </w:tcPr>
          <w:p w14:paraId="6B097577">
            <w:pPr>
              <w:pStyle w:val="10"/>
              <w:keepNext/>
              <w:spacing w:after="0" w:line="240" w:lineRule="auto"/>
              <w:ind w:left="63" w:right="63" w:firstLine="560"/>
              <w:rPr>
                <w:rFonts w:hint="eastAsia" w:ascii="宋体" w:hAnsi="宋体" w:eastAsia="宋体" w:cs="宋体"/>
                <w:b/>
                <w:bCs/>
                <w:color w:val="000000"/>
                <w:kern w:val="2"/>
                <w:sz w:val="24"/>
                <w:szCs w:val="24"/>
              </w:rPr>
            </w:pPr>
          </w:p>
        </w:tc>
        <w:tc>
          <w:tcPr>
            <w:tcW w:w="1418" w:type="dxa"/>
            <w:noWrap w:val="0"/>
            <w:vAlign w:val="top"/>
          </w:tcPr>
          <w:p w14:paraId="29465A3E">
            <w:pPr>
              <w:pStyle w:val="10"/>
              <w:keepNext/>
              <w:spacing w:after="0" w:line="240" w:lineRule="auto"/>
              <w:ind w:left="63" w:right="63" w:firstLine="560"/>
              <w:rPr>
                <w:rFonts w:hint="eastAsia" w:ascii="宋体" w:hAnsi="宋体" w:eastAsia="宋体" w:cs="宋体"/>
                <w:b/>
                <w:bCs/>
                <w:color w:val="000000"/>
                <w:kern w:val="2"/>
                <w:sz w:val="24"/>
                <w:szCs w:val="24"/>
              </w:rPr>
            </w:pPr>
          </w:p>
        </w:tc>
        <w:tc>
          <w:tcPr>
            <w:tcW w:w="1701" w:type="dxa"/>
            <w:noWrap w:val="0"/>
            <w:vAlign w:val="top"/>
          </w:tcPr>
          <w:p w14:paraId="3AD649D2">
            <w:pPr>
              <w:pStyle w:val="10"/>
              <w:keepNext/>
              <w:spacing w:after="0" w:line="240" w:lineRule="auto"/>
              <w:ind w:left="63" w:right="63" w:firstLine="560"/>
              <w:rPr>
                <w:rFonts w:hint="eastAsia" w:ascii="宋体" w:hAnsi="宋体" w:eastAsia="宋体" w:cs="宋体"/>
                <w:b/>
                <w:bCs/>
                <w:color w:val="000000"/>
                <w:kern w:val="2"/>
                <w:sz w:val="24"/>
                <w:szCs w:val="24"/>
              </w:rPr>
            </w:pPr>
          </w:p>
        </w:tc>
      </w:tr>
      <w:tr w14:paraId="4F98FA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729" w:type="dxa"/>
            <w:noWrap w:val="0"/>
            <w:vAlign w:val="top"/>
          </w:tcPr>
          <w:p w14:paraId="061ABFEC">
            <w:pPr>
              <w:pStyle w:val="10"/>
              <w:keepNext/>
              <w:spacing w:after="0" w:line="240" w:lineRule="auto"/>
              <w:ind w:left="63" w:right="63" w:firstLine="560"/>
              <w:rPr>
                <w:rFonts w:hint="eastAsia" w:ascii="宋体" w:hAnsi="宋体" w:eastAsia="宋体" w:cs="宋体"/>
                <w:b/>
                <w:bCs/>
                <w:color w:val="000000"/>
                <w:kern w:val="2"/>
                <w:sz w:val="24"/>
                <w:szCs w:val="24"/>
              </w:rPr>
            </w:pPr>
          </w:p>
        </w:tc>
        <w:tc>
          <w:tcPr>
            <w:tcW w:w="1504" w:type="dxa"/>
            <w:noWrap w:val="0"/>
            <w:vAlign w:val="top"/>
          </w:tcPr>
          <w:p w14:paraId="0CBABFBE">
            <w:pPr>
              <w:pStyle w:val="10"/>
              <w:keepNext/>
              <w:spacing w:after="0" w:line="240" w:lineRule="auto"/>
              <w:ind w:left="63" w:right="63" w:firstLine="560"/>
              <w:rPr>
                <w:rFonts w:hint="eastAsia" w:ascii="宋体" w:hAnsi="宋体" w:eastAsia="宋体" w:cs="宋体"/>
                <w:b/>
                <w:bCs/>
                <w:color w:val="000000"/>
                <w:kern w:val="2"/>
                <w:sz w:val="24"/>
                <w:szCs w:val="24"/>
              </w:rPr>
            </w:pPr>
          </w:p>
        </w:tc>
        <w:tc>
          <w:tcPr>
            <w:tcW w:w="851" w:type="dxa"/>
            <w:noWrap w:val="0"/>
            <w:vAlign w:val="top"/>
          </w:tcPr>
          <w:p w14:paraId="0873FD7F">
            <w:pPr>
              <w:pStyle w:val="10"/>
              <w:keepNext/>
              <w:spacing w:after="0" w:line="240" w:lineRule="auto"/>
              <w:ind w:left="63" w:right="63" w:firstLine="560"/>
              <w:rPr>
                <w:rFonts w:hint="eastAsia" w:ascii="宋体" w:hAnsi="宋体" w:eastAsia="宋体" w:cs="宋体"/>
                <w:b/>
                <w:bCs/>
                <w:color w:val="000000"/>
                <w:kern w:val="2"/>
                <w:sz w:val="24"/>
                <w:szCs w:val="24"/>
              </w:rPr>
            </w:pPr>
          </w:p>
        </w:tc>
        <w:tc>
          <w:tcPr>
            <w:tcW w:w="774" w:type="dxa"/>
            <w:noWrap w:val="0"/>
            <w:vAlign w:val="top"/>
          </w:tcPr>
          <w:p w14:paraId="228E521B">
            <w:pPr>
              <w:pStyle w:val="10"/>
              <w:keepNext/>
              <w:spacing w:after="0" w:line="240" w:lineRule="auto"/>
              <w:ind w:left="63" w:right="63" w:firstLine="560"/>
              <w:rPr>
                <w:rFonts w:hint="eastAsia" w:ascii="宋体" w:hAnsi="宋体" w:eastAsia="宋体" w:cs="宋体"/>
                <w:b/>
                <w:bCs/>
                <w:color w:val="000000"/>
                <w:kern w:val="2"/>
                <w:sz w:val="24"/>
                <w:szCs w:val="24"/>
              </w:rPr>
            </w:pPr>
          </w:p>
        </w:tc>
        <w:tc>
          <w:tcPr>
            <w:tcW w:w="1352" w:type="dxa"/>
            <w:noWrap w:val="0"/>
            <w:vAlign w:val="top"/>
          </w:tcPr>
          <w:p w14:paraId="0CB183C6">
            <w:pPr>
              <w:pStyle w:val="10"/>
              <w:keepNext/>
              <w:spacing w:after="0" w:line="240" w:lineRule="auto"/>
              <w:ind w:left="63" w:right="63" w:firstLine="560"/>
              <w:rPr>
                <w:rFonts w:hint="eastAsia" w:ascii="宋体" w:hAnsi="宋体" w:eastAsia="宋体" w:cs="宋体"/>
                <w:color w:val="000000"/>
                <w:kern w:val="2"/>
                <w:sz w:val="24"/>
                <w:szCs w:val="24"/>
              </w:rPr>
            </w:pPr>
          </w:p>
        </w:tc>
        <w:tc>
          <w:tcPr>
            <w:tcW w:w="1418" w:type="dxa"/>
            <w:noWrap w:val="0"/>
            <w:vAlign w:val="top"/>
          </w:tcPr>
          <w:p w14:paraId="3D6DF98F">
            <w:pPr>
              <w:pStyle w:val="10"/>
              <w:keepNext/>
              <w:spacing w:after="0" w:line="240" w:lineRule="auto"/>
              <w:ind w:left="63" w:right="63" w:firstLine="560"/>
              <w:rPr>
                <w:rFonts w:hint="eastAsia" w:ascii="宋体" w:hAnsi="宋体" w:eastAsia="宋体" w:cs="宋体"/>
                <w:color w:val="000000"/>
                <w:kern w:val="2"/>
                <w:sz w:val="24"/>
                <w:szCs w:val="24"/>
              </w:rPr>
            </w:pPr>
          </w:p>
        </w:tc>
        <w:tc>
          <w:tcPr>
            <w:tcW w:w="1701" w:type="dxa"/>
            <w:noWrap w:val="0"/>
            <w:vAlign w:val="top"/>
          </w:tcPr>
          <w:p w14:paraId="6C957938">
            <w:pPr>
              <w:pStyle w:val="10"/>
              <w:keepNext/>
              <w:spacing w:after="0" w:line="240" w:lineRule="auto"/>
              <w:ind w:left="63" w:right="63" w:firstLine="560"/>
              <w:rPr>
                <w:rFonts w:hint="eastAsia" w:ascii="宋体" w:hAnsi="宋体" w:eastAsia="宋体" w:cs="宋体"/>
                <w:color w:val="000000"/>
                <w:kern w:val="2"/>
                <w:sz w:val="24"/>
                <w:szCs w:val="24"/>
              </w:rPr>
            </w:pPr>
          </w:p>
        </w:tc>
      </w:tr>
      <w:tr w14:paraId="7BCBE6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729" w:type="dxa"/>
            <w:noWrap w:val="0"/>
            <w:vAlign w:val="top"/>
          </w:tcPr>
          <w:p w14:paraId="46C07FE4">
            <w:pPr>
              <w:pStyle w:val="10"/>
              <w:keepNext/>
              <w:spacing w:after="0" w:line="240" w:lineRule="auto"/>
              <w:ind w:left="63" w:right="63" w:firstLine="560"/>
              <w:rPr>
                <w:rFonts w:hint="eastAsia" w:ascii="宋体" w:hAnsi="宋体" w:eastAsia="宋体" w:cs="宋体"/>
                <w:color w:val="000000"/>
                <w:kern w:val="2"/>
                <w:sz w:val="24"/>
                <w:szCs w:val="24"/>
              </w:rPr>
            </w:pPr>
          </w:p>
        </w:tc>
        <w:tc>
          <w:tcPr>
            <w:tcW w:w="1504" w:type="dxa"/>
            <w:noWrap w:val="0"/>
            <w:vAlign w:val="top"/>
          </w:tcPr>
          <w:p w14:paraId="4E343AFE">
            <w:pPr>
              <w:pStyle w:val="10"/>
              <w:keepNext/>
              <w:spacing w:after="0" w:line="240" w:lineRule="auto"/>
              <w:ind w:left="63" w:right="63" w:firstLine="560"/>
              <w:rPr>
                <w:rFonts w:hint="eastAsia" w:ascii="宋体" w:hAnsi="宋体" w:eastAsia="宋体" w:cs="宋体"/>
                <w:color w:val="000000"/>
                <w:kern w:val="2"/>
                <w:sz w:val="24"/>
                <w:szCs w:val="24"/>
              </w:rPr>
            </w:pPr>
          </w:p>
        </w:tc>
        <w:tc>
          <w:tcPr>
            <w:tcW w:w="851" w:type="dxa"/>
            <w:noWrap w:val="0"/>
            <w:vAlign w:val="top"/>
          </w:tcPr>
          <w:p w14:paraId="69AF1C41">
            <w:pPr>
              <w:pStyle w:val="10"/>
              <w:keepNext/>
              <w:spacing w:after="0" w:line="240" w:lineRule="auto"/>
              <w:ind w:left="63" w:right="63" w:firstLine="560"/>
              <w:rPr>
                <w:rFonts w:hint="eastAsia" w:ascii="宋体" w:hAnsi="宋体" w:eastAsia="宋体" w:cs="宋体"/>
                <w:color w:val="000000"/>
                <w:kern w:val="2"/>
                <w:sz w:val="24"/>
                <w:szCs w:val="24"/>
              </w:rPr>
            </w:pPr>
          </w:p>
        </w:tc>
        <w:tc>
          <w:tcPr>
            <w:tcW w:w="774" w:type="dxa"/>
            <w:noWrap w:val="0"/>
            <w:vAlign w:val="top"/>
          </w:tcPr>
          <w:p w14:paraId="12E5CD66">
            <w:pPr>
              <w:pStyle w:val="10"/>
              <w:keepNext/>
              <w:spacing w:after="0" w:line="240" w:lineRule="auto"/>
              <w:ind w:left="63" w:right="63" w:firstLine="560"/>
              <w:rPr>
                <w:rFonts w:hint="eastAsia" w:ascii="宋体" w:hAnsi="宋体" w:eastAsia="宋体" w:cs="宋体"/>
                <w:color w:val="000000"/>
                <w:kern w:val="2"/>
                <w:sz w:val="24"/>
                <w:szCs w:val="24"/>
              </w:rPr>
            </w:pPr>
          </w:p>
        </w:tc>
        <w:tc>
          <w:tcPr>
            <w:tcW w:w="1352" w:type="dxa"/>
            <w:noWrap w:val="0"/>
            <w:vAlign w:val="top"/>
          </w:tcPr>
          <w:p w14:paraId="600D9481">
            <w:pPr>
              <w:pStyle w:val="10"/>
              <w:keepNext/>
              <w:spacing w:after="0" w:line="240" w:lineRule="auto"/>
              <w:ind w:left="63" w:right="63" w:firstLine="560"/>
              <w:rPr>
                <w:rFonts w:hint="eastAsia" w:ascii="宋体" w:hAnsi="宋体" w:eastAsia="宋体" w:cs="宋体"/>
                <w:color w:val="000000"/>
                <w:kern w:val="2"/>
                <w:sz w:val="24"/>
                <w:szCs w:val="24"/>
              </w:rPr>
            </w:pPr>
          </w:p>
        </w:tc>
        <w:tc>
          <w:tcPr>
            <w:tcW w:w="1418" w:type="dxa"/>
            <w:noWrap w:val="0"/>
            <w:vAlign w:val="top"/>
          </w:tcPr>
          <w:p w14:paraId="119D63B6">
            <w:pPr>
              <w:pStyle w:val="10"/>
              <w:keepNext/>
              <w:spacing w:after="0" w:line="240" w:lineRule="auto"/>
              <w:ind w:left="63" w:right="63" w:firstLine="560"/>
              <w:rPr>
                <w:rFonts w:hint="eastAsia" w:ascii="宋体" w:hAnsi="宋体" w:eastAsia="宋体" w:cs="宋体"/>
                <w:color w:val="000000"/>
                <w:kern w:val="2"/>
                <w:sz w:val="24"/>
                <w:szCs w:val="24"/>
              </w:rPr>
            </w:pPr>
          </w:p>
        </w:tc>
        <w:tc>
          <w:tcPr>
            <w:tcW w:w="1701" w:type="dxa"/>
            <w:noWrap w:val="0"/>
            <w:vAlign w:val="top"/>
          </w:tcPr>
          <w:p w14:paraId="7F089CD3">
            <w:pPr>
              <w:pStyle w:val="10"/>
              <w:keepNext/>
              <w:spacing w:after="0" w:line="240" w:lineRule="auto"/>
              <w:ind w:left="63" w:right="63" w:firstLine="560"/>
              <w:rPr>
                <w:rFonts w:hint="eastAsia" w:ascii="宋体" w:hAnsi="宋体" w:eastAsia="宋体" w:cs="宋体"/>
                <w:color w:val="000000"/>
                <w:kern w:val="2"/>
                <w:sz w:val="24"/>
                <w:szCs w:val="24"/>
              </w:rPr>
            </w:pPr>
          </w:p>
        </w:tc>
      </w:tr>
      <w:tr w14:paraId="5F536D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729" w:type="dxa"/>
            <w:noWrap w:val="0"/>
            <w:vAlign w:val="top"/>
          </w:tcPr>
          <w:p w14:paraId="5EE16701">
            <w:pPr>
              <w:pStyle w:val="10"/>
              <w:keepNext/>
              <w:spacing w:after="0" w:line="240" w:lineRule="auto"/>
              <w:ind w:left="63" w:right="63" w:firstLine="560"/>
              <w:rPr>
                <w:rFonts w:hint="eastAsia" w:ascii="宋体" w:hAnsi="宋体" w:eastAsia="宋体" w:cs="宋体"/>
                <w:color w:val="000000"/>
                <w:kern w:val="2"/>
                <w:sz w:val="24"/>
                <w:szCs w:val="24"/>
              </w:rPr>
            </w:pPr>
          </w:p>
        </w:tc>
        <w:tc>
          <w:tcPr>
            <w:tcW w:w="1504" w:type="dxa"/>
            <w:noWrap w:val="0"/>
            <w:vAlign w:val="top"/>
          </w:tcPr>
          <w:p w14:paraId="4D064B64">
            <w:pPr>
              <w:pStyle w:val="10"/>
              <w:keepNext/>
              <w:spacing w:after="0" w:line="240" w:lineRule="auto"/>
              <w:ind w:left="63" w:right="63" w:firstLine="560"/>
              <w:rPr>
                <w:rFonts w:hint="eastAsia" w:ascii="宋体" w:hAnsi="宋体" w:eastAsia="宋体" w:cs="宋体"/>
                <w:color w:val="000000"/>
                <w:kern w:val="2"/>
                <w:sz w:val="24"/>
                <w:szCs w:val="24"/>
              </w:rPr>
            </w:pPr>
          </w:p>
        </w:tc>
        <w:tc>
          <w:tcPr>
            <w:tcW w:w="851" w:type="dxa"/>
            <w:noWrap w:val="0"/>
            <w:vAlign w:val="top"/>
          </w:tcPr>
          <w:p w14:paraId="122DBDA7">
            <w:pPr>
              <w:pStyle w:val="10"/>
              <w:keepNext/>
              <w:spacing w:after="0" w:line="240" w:lineRule="auto"/>
              <w:ind w:left="63" w:right="63" w:firstLine="560"/>
              <w:rPr>
                <w:rFonts w:hint="eastAsia" w:ascii="宋体" w:hAnsi="宋体" w:eastAsia="宋体" w:cs="宋体"/>
                <w:color w:val="000000"/>
                <w:kern w:val="2"/>
                <w:sz w:val="24"/>
                <w:szCs w:val="24"/>
              </w:rPr>
            </w:pPr>
          </w:p>
        </w:tc>
        <w:tc>
          <w:tcPr>
            <w:tcW w:w="774" w:type="dxa"/>
            <w:noWrap w:val="0"/>
            <w:vAlign w:val="top"/>
          </w:tcPr>
          <w:p w14:paraId="3CFF9931">
            <w:pPr>
              <w:pStyle w:val="10"/>
              <w:keepNext/>
              <w:spacing w:after="0" w:line="240" w:lineRule="auto"/>
              <w:ind w:left="63" w:right="63" w:firstLine="560"/>
              <w:rPr>
                <w:rFonts w:hint="eastAsia" w:ascii="宋体" w:hAnsi="宋体" w:eastAsia="宋体" w:cs="宋体"/>
                <w:color w:val="000000"/>
                <w:kern w:val="2"/>
                <w:sz w:val="24"/>
                <w:szCs w:val="24"/>
              </w:rPr>
            </w:pPr>
          </w:p>
        </w:tc>
        <w:tc>
          <w:tcPr>
            <w:tcW w:w="1352" w:type="dxa"/>
            <w:noWrap w:val="0"/>
            <w:vAlign w:val="top"/>
          </w:tcPr>
          <w:p w14:paraId="6FD0ADA0">
            <w:pPr>
              <w:pStyle w:val="10"/>
              <w:keepNext/>
              <w:spacing w:after="0" w:line="240" w:lineRule="auto"/>
              <w:ind w:left="63" w:right="63" w:firstLine="560"/>
              <w:rPr>
                <w:rFonts w:hint="eastAsia" w:ascii="宋体" w:hAnsi="宋体" w:eastAsia="宋体" w:cs="宋体"/>
                <w:color w:val="000000"/>
                <w:kern w:val="2"/>
                <w:sz w:val="24"/>
                <w:szCs w:val="24"/>
              </w:rPr>
            </w:pPr>
          </w:p>
        </w:tc>
        <w:tc>
          <w:tcPr>
            <w:tcW w:w="1418" w:type="dxa"/>
            <w:noWrap w:val="0"/>
            <w:vAlign w:val="top"/>
          </w:tcPr>
          <w:p w14:paraId="0E28E9DB">
            <w:pPr>
              <w:pStyle w:val="10"/>
              <w:keepNext/>
              <w:spacing w:after="0" w:line="240" w:lineRule="auto"/>
              <w:ind w:left="63" w:right="63" w:firstLine="560"/>
              <w:rPr>
                <w:rFonts w:hint="eastAsia" w:ascii="宋体" w:hAnsi="宋体" w:eastAsia="宋体" w:cs="宋体"/>
                <w:color w:val="000000"/>
                <w:kern w:val="2"/>
                <w:sz w:val="24"/>
                <w:szCs w:val="24"/>
              </w:rPr>
            </w:pPr>
          </w:p>
        </w:tc>
        <w:tc>
          <w:tcPr>
            <w:tcW w:w="1701" w:type="dxa"/>
            <w:noWrap w:val="0"/>
            <w:vAlign w:val="top"/>
          </w:tcPr>
          <w:p w14:paraId="7A445C1C">
            <w:pPr>
              <w:pStyle w:val="10"/>
              <w:keepNext/>
              <w:spacing w:after="0" w:line="240" w:lineRule="auto"/>
              <w:ind w:left="63" w:right="63" w:firstLine="560"/>
              <w:rPr>
                <w:rFonts w:hint="eastAsia" w:ascii="宋体" w:hAnsi="宋体" w:eastAsia="宋体" w:cs="宋体"/>
                <w:color w:val="000000"/>
                <w:kern w:val="2"/>
                <w:sz w:val="24"/>
                <w:szCs w:val="24"/>
              </w:rPr>
            </w:pPr>
          </w:p>
        </w:tc>
      </w:tr>
      <w:tr w14:paraId="69EE04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729" w:type="dxa"/>
            <w:noWrap w:val="0"/>
            <w:vAlign w:val="top"/>
          </w:tcPr>
          <w:p w14:paraId="26A57D93">
            <w:pPr>
              <w:pStyle w:val="10"/>
              <w:keepNext/>
              <w:spacing w:after="0" w:line="240" w:lineRule="auto"/>
              <w:ind w:left="63" w:right="63" w:firstLine="560"/>
              <w:rPr>
                <w:rFonts w:hint="eastAsia" w:ascii="宋体" w:hAnsi="宋体" w:eastAsia="宋体" w:cs="宋体"/>
                <w:color w:val="000000"/>
                <w:kern w:val="2"/>
                <w:sz w:val="24"/>
                <w:szCs w:val="24"/>
              </w:rPr>
            </w:pPr>
          </w:p>
        </w:tc>
        <w:tc>
          <w:tcPr>
            <w:tcW w:w="1504" w:type="dxa"/>
            <w:noWrap w:val="0"/>
            <w:vAlign w:val="top"/>
          </w:tcPr>
          <w:p w14:paraId="571DEE9D">
            <w:pPr>
              <w:pStyle w:val="10"/>
              <w:keepNext/>
              <w:spacing w:after="0" w:line="240" w:lineRule="auto"/>
              <w:ind w:left="63" w:right="63" w:firstLine="560"/>
              <w:rPr>
                <w:rFonts w:hint="eastAsia" w:ascii="宋体" w:hAnsi="宋体" w:eastAsia="宋体" w:cs="宋体"/>
                <w:color w:val="000000"/>
                <w:kern w:val="2"/>
                <w:sz w:val="24"/>
                <w:szCs w:val="24"/>
              </w:rPr>
            </w:pPr>
          </w:p>
        </w:tc>
        <w:tc>
          <w:tcPr>
            <w:tcW w:w="851" w:type="dxa"/>
            <w:noWrap w:val="0"/>
            <w:vAlign w:val="top"/>
          </w:tcPr>
          <w:p w14:paraId="63E98EB0">
            <w:pPr>
              <w:pStyle w:val="10"/>
              <w:keepNext/>
              <w:spacing w:after="0" w:line="240" w:lineRule="auto"/>
              <w:ind w:left="63" w:right="63" w:firstLine="560"/>
              <w:rPr>
                <w:rFonts w:hint="eastAsia" w:ascii="宋体" w:hAnsi="宋体" w:eastAsia="宋体" w:cs="宋体"/>
                <w:color w:val="000000"/>
                <w:kern w:val="2"/>
                <w:sz w:val="24"/>
                <w:szCs w:val="24"/>
              </w:rPr>
            </w:pPr>
          </w:p>
        </w:tc>
        <w:tc>
          <w:tcPr>
            <w:tcW w:w="774" w:type="dxa"/>
            <w:noWrap w:val="0"/>
            <w:vAlign w:val="top"/>
          </w:tcPr>
          <w:p w14:paraId="7DF07B64">
            <w:pPr>
              <w:pStyle w:val="10"/>
              <w:keepNext/>
              <w:spacing w:after="0" w:line="240" w:lineRule="auto"/>
              <w:ind w:left="63" w:right="63" w:firstLine="560"/>
              <w:rPr>
                <w:rFonts w:hint="eastAsia" w:ascii="宋体" w:hAnsi="宋体" w:eastAsia="宋体" w:cs="宋体"/>
                <w:color w:val="000000"/>
                <w:kern w:val="2"/>
                <w:sz w:val="24"/>
                <w:szCs w:val="24"/>
              </w:rPr>
            </w:pPr>
          </w:p>
        </w:tc>
        <w:tc>
          <w:tcPr>
            <w:tcW w:w="1352" w:type="dxa"/>
            <w:noWrap w:val="0"/>
            <w:vAlign w:val="top"/>
          </w:tcPr>
          <w:p w14:paraId="1521617F">
            <w:pPr>
              <w:pStyle w:val="10"/>
              <w:keepNext/>
              <w:spacing w:after="0" w:line="240" w:lineRule="auto"/>
              <w:ind w:left="63" w:right="63" w:firstLine="560"/>
              <w:rPr>
                <w:rFonts w:hint="eastAsia" w:ascii="宋体" w:hAnsi="宋体" w:eastAsia="宋体" w:cs="宋体"/>
                <w:color w:val="000000"/>
                <w:kern w:val="2"/>
                <w:sz w:val="24"/>
                <w:szCs w:val="24"/>
              </w:rPr>
            </w:pPr>
          </w:p>
        </w:tc>
        <w:tc>
          <w:tcPr>
            <w:tcW w:w="1418" w:type="dxa"/>
            <w:noWrap w:val="0"/>
            <w:vAlign w:val="top"/>
          </w:tcPr>
          <w:p w14:paraId="56731828">
            <w:pPr>
              <w:pStyle w:val="10"/>
              <w:keepNext/>
              <w:spacing w:after="0" w:line="240" w:lineRule="auto"/>
              <w:ind w:left="63" w:right="63" w:firstLine="560"/>
              <w:rPr>
                <w:rFonts w:hint="eastAsia" w:ascii="宋体" w:hAnsi="宋体" w:eastAsia="宋体" w:cs="宋体"/>
                <w:color w:val="000000"/>
                <w:kern w:val="2"/>
                <w:sz w:val="24"/>
                <w:szCs w:val="24"/>
              </w:rPr>
            </w:pPr>
          </w:p>
        </w:tc>
        <w:tc>
          <w:tcPr>
            <w:tcW w:w="1701" w:type="dxa"/>
            <w:noWrap w:val="0"/>
            <w:vAlign w:val="top"/>
          </w:tcPr>
          <w:p w14:paraId="7F6698C8">
            <w:pPr>
              <w:pStyle w:val="10"/>
              <w:keepNext/>
              <w:spacing w:after="0" w:line="240" w:lineRule="auto"/>
              <w:ind w:left="63" w:right="63" w:firstLine="560"/>
              <w:rPr>
                <w:rFonts w:hint="eastAsia" w:ascii="宋体" w:hAnsi="宋体" w:eastAsia="宋体" w:cs="宋体"/>
                <w:color w:val="000000"/>
                <w:kern w:val="2"/>
                <w:sz w:val="24"/>
                <w:szCs w:val="24"/>
              </w:rPr>
            </w:pPr>
          </w:p>
        </w:tc>
      </w:tr>
      <w:tr w14:paraId="7EEF51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729" w:type="dxa"/>
            <w:noWrap w:val="0"/>
            <w:vAlign w:val="top"/>
          </w:tcPr>
          <w:p w14:paraId="1385FD10">
            <w:pPr>
              <w:pStyle w:val="10"/>
              <w:keepNext/>
              <w:spacing w:after="0" w:line="240" w:lineRule="auto"/>
              <w:ind w:left="63" w:right="63" w:firstLine="560"/>
              <w:rPr>
                <w:rFonts w:hint="eastAsia" w:ascii="宋体" w:hAnsi="宋体" w:eastAsia="宋体" w:cs="宋体"/>
                <w:color w:val="000000"/>
                <w:kern w:val="2"/>
                <w:sz w:val="24"/>
                <w:szCs w:val="24"/>
              </w:rPr>
            </w:pPr>
          </w:p>
        </w:tc>
        <w:tc>
          <w:tcPr>
            <w:tcW w:w="1504" w:type="dxa"/>
            <w:noWrap w:val="0"/>
            <w:vAlign w:val="top"/>
          </w:tcPr>
          <w:p w14:paraId="676B610C">
            <w:pPr>
              <w:pStyle w:val="10"/>
              <w:keepNext/>
              <w:spacing w:after="0" w:line="240" w:lineRule="auto"/>
              <w:ind w:left="63" w:right="63" w:firstLine="560"/>
              <w:rPr>
                <w:rFonts w:hint="eastAsia" w:ascii="宋体" w:hAnsi="宋体" w:eastAsia="宋体" w:cs="宋体"/>
                <w:color w:val="000000"/>
                <w:kern w:val="2"/>
                <w:sz w:val="24"/>
                <w:szCs w:val="24"/>
              </w:rPr>
            </w:pPr>
          </w:p>
        </w:tc>
        <w:tc>
          <w:tcPr>
            <w:tcW w:w="851" w:type="dxa"/>
            <w:noWrap w:val="0"/>
            <w:vAlign w:val="top"/>
          </w:tcPr>
          <w:p w14:paraId="439BC35A">
            <w:pPr>
              <w:pStyle w:val="10"/>
              <w:keepNext/>
              <w:spacing w:after="0" w:line="240" w:lineRule="auto"/>
              <w:ind w:left="63" w:right="63" w:firstLine="560"/>
              <w:rPr>
                <w:rFonts w:hint="eastAsia" w:ascii="宋体" w:hAnsi="宋体" w:eastAsia="宋体" w:cs="宋体"/>
                <w:color w:val="000000"/>
                <w:kern w:val="2"/>
                <w:sz w:val="24"/>
                <w:szCs w:val="24"/>
              </w:rPr>
            </w:pPr>
          </w:p>
        </w:tc>
        <w:tc>
          <w:tcPr>
            <w:tcW w:w="774" w:type="dxa"/>
            <w:noWrap w:val="0"/>
            <w:vAlign w:val="top"/>
          </w:tcPr>
          <w:p w14:paraId="0B37C9C8">
            <w:pPr>
              <w:pStyle w:val="10"/>
              <w:keepNext/>
              <w:spacing w:after="0" w:line="240" w:lineRule="auto"/>
              <w:ind w:left="63" w:right="63" w:firstLine="560"/>
              <w:rPr>
                <w:rFonts w:hint="eastAsia" w:ascii="宋体" w:hAnsi="宋体" w:eastAsia="宋体" w:cs="宋体"/>
                <w:color w:val="000000"/>
                <w:kern w:val="2"/>
                <w:sz w:val="24"/>
                <w:szCs w:val="24"/>
              </w:rPr>
            </w:pPr>
          </w:p>
        </w:tc>
        <w:tc>
          <w:tcPr>
            <w:tcW w:w="1352" w:type="dxa"/>
            <w:noWrap w:val="0"/>
            <w:vAlign w:val="top"/>
          </w:tcPr>
          <w:p w14:paraId="38115CEA">
            <w:pPr>
              <w:pStyle w:val="10"/>
              <w:keepNext/>
              <w:spacing w:after="0" w:line="240" w:lineRule="auto"/>
              <w:ind w:left="63" w:right="63" w:firstLine="560"/>
              <w:rPr>
                <w:rFonts w:hint="eastAsia" w:ascii="宋体" w:hAnsi="宋体" w:eastAsia="宋体" w:cs="宋体"/>
                <w:color w:val="000000"/>
                <w:kern w:val="2"/>
                <w:sz w:val="24"/>
                <w:szCs w:val="24"/>
              </w:rPr>
            </w:pPr>
          </w:p>
        </w:tc>
        <w:tc>
          <w:tcPr>
            <w:tcW w:w="1418" w:type="dxa"/>
            <w:noWrap w:val="0"/>
            <w:vAlign w:val="top"/>
          </w:tcPr>
          <w:p w14:paraId="4DD95242">
            <w:pPr>
              <w:pStyle w:val="10"/>
              <w:keepNext/>
              <w:spacing w:after="0" w:line="240" w:lineRule="auto"/>
              <w:ind w:left="63" w:right="63" w:firstLine="560"/>
              <w:rPr>
                <w:rFonts w:hint="eastAsia" w:ascii="宋体" w:hAnsi="宋体" w:eastAsia="宋体" w:cs="宋体"/>
                <w:color w:val="000000"/>
                <w:kern w:val="2"/>
                <w:sz w:val="24"/>
                <w:szCs w:val="24"/>
              </w:rPr>
            </w:pPr>
          </w:p>
        </w:tc>
        <w:tc>
          <w:tcPr>
            <w:tcW w:w="1701" w:type="dxa"/>
            <w:noWrap w:val="0"/>
            <w:vAlign w:val="top"/>
          </w:tcPr>
          <w:p w14:paraId="34412053">
            <w:pPr>
              <w:pStyle w:val="10"/>
              <w:keepNext/>
              <w:spacing w:after="0" w:line="240" w:lineRule="auto"/>
              <w:ind w:left="63" w:right="63" w:firstLine="560"/>
              <w:rPr>
                <w:rFonts w:hint="eastAsia" w:ascii="宋体" w:hAnsi="宋体" w:eastAsia="宋体" w:cs="宋体"/>
                <w:color w:val="000000"/>
                <w:kern w:val="2"/>
                <w:sz w:val="24"/>
                <w:szCs w:val="24"/>
              </w:rPr>
            </w:pPr>
          </w:p>
        </w:tc>
      </w:tr>
      <w:tr w14:paraId="13E72B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729" w:type="dxa"/>
            <w:noWrap w:val="0"/>
            <w:vAlign w:val="top"/>
          </w:tcPr>
          <w:p w14:paraId="703A778C">
            <w:pPr>
              <w:pStyle w:val="10"/>
              <w:keepNext/>
              <w:spacing w:after="0" w:line="240" w:lineRule="auto"/>
              <w:ind w:left="63" w:right="63" w:firstLine="560"/>
              <w:rPr>
                <w:rFonts w:hint="eastAsia" w:ascii="宋体" w:hAnsi="宋体" w:eastAsia="宋体" w:cs="宋体"/>
                <w:color w:val="000000"/>
                <w:kern w:val="2"/>
                <w:sz w:val="24"/>
                <w:szCs w:val="24"/>
              </w:rPr>
            </w:pPr>
          </w:p>
        </w:tc>
        <w:tc>
          <w:tcPr>
            <w:tcW w:w="1504" w:type="dxa"/>
            <w:noWrap w:val="0"/>
            <w:vAlign w:val="top"/>
          </w:tcPr>
          <w:p w14:paraId="0A64CF04">
            <w:pPr>
              <w:pStyle w:val="10"/>
              <w:keepNext/>
              <w:spacing w:after="0" w:line="240" w:lineRule="auto"/>
              <w:ind w:left="63" w:right="63" w:firstLine="560"/>
              <w:rPr>
                <w:rFonts w:hint="eastAsia" w:ascii="宋体" w:hAnsi="宋体" w:eastAsia="宋体" w:cs="宋体"/>
                <w:color w:val="000000"/>
                <w:kern w:val="2"/>
                <w:sz w:val="24"/>
                <w:szCs w:val="24"/>
              </w:rPr>
            </w:pPr>
          </w:p>
        </w:tc>
        <w:tc>
          <w:tcPr>
            <w:tcW w:w="851" w:type="dxa"/>
            <w:noWrap w:val="0"/>
            <w:vAlign w:val="top"/>
          </w:tcPr>
          <w:p w14:paraId="0965EE7F">
            <w:pPr>
              <w:pStyle w:val="10"/>
              <w:keepNext/>
              <w:spacing w:after="0" w:line="240" w:lineRule="auto"/>
              <w:ind w:left="63" w:right="63" w:firstLine="560"/>
              <w:rPr>
                <w:rFonts w:hint="eastAsia" w:ascii="宋体" w:hAnsi="宋体" w:eastAsia="宋体" w:cs="宋体"/>
                <w:color w:val="000000"/>
                <w:kern w:val="2"/>
                <w:sz w:val="24"/>
                <w:szCs w:val="24"/>
              </w:rPr>
            </w:pPr>
          </w:p>
        </w:tc>
        <w:tc>
          <w:tcPr>
            <w:tcW w:w="774" w:type="dxa"/>
            <w:noWrap w:val="0"/>
            <w:vAlign w:val="top"/>
          </w:tcPr>
          <w:p w14:paraId="4A8B0100">
            <w:pPr>
              <w:pStyle w:val="10"/>
              <w:keepNext/>
              <w:spacing w:after="0" w:line="240" w:lineRule="auto"/>
              <w:ind w:left="63" w:right="63" w:firstLine="560"/>
              <w:rPr>
                <w:rFonts w:hint="eastAsia" w:ascii="宋体" w:hAnsi="宋体" w:eastAsia="宋体" w:cs="宋体"/>
                <w:color w:val="000000"/>
                <w:kern w:val="2"/>
                <w:sz w:val="24"/>
                <w:szCs w:val="24"/>
              </w:rPr>
            </w:pPr>
          </w:p>
        </w:tc>
        <w:tc>
          <w:tcPr>
            <w:tcW w:w="1352" w:type="dxa"/>
            <w:noWrap w:val="0"/>
            <w:vAlign w:val="top"/>
          </w:tcPr>
          <w:p w14:paraId="298F58B4">
            <w:pPr>
              <w:pStyle w:val="10"/>
              <w:keepNext/>
              <w:spacing w:after="0" w:line="240" w:lineRule="auto"/>
              <w:ind w:left="63" w:right="63" w:firstLine="560"/>
              <w:rPr>
                <w:rFonts w:hint="eastAsia" w:ascii="宋体" w:hAnsi="宋体" w:eastAsia="宋体" w:cs="宋体"/>
                <w:color w:val="000000"/>
                <w:kern w:val="2"/>
                <w:sz w:val="24"/>
                <w:szCs w:val="24"/>
              </w:rPr>
            </w:pPr>
          </w:p>
        </w:tc>
        <w:tc>
          <w:tcPr>
            <w:tcW w:w="1418" w:type="dxa"/>
            <w:noWrap w:val="0"/>
            <w:vAlign w:val="top"/>
          </w:tcPr>
          <w:p w14:paraId="69FF4053">
            <w:pPr>
              <w:pStyle w:val="10"/>
              <w:keepNext/>
              <w:spacing w:after="0" w:line="240" w:lineRule="auto"/>
              <w:ind w:left="63" w:right="63" w:firstLine="560"/>
              <w:rPr>
                <w:rFonts w:hint="eastAsia" w:ascii="宋体" w:hAnsi="宋体" w:eastAsia="宋体" w:cs="宋体"/>
                <w:color w:val="000000"/>
                <w:kern w:val="2"/>
                <w:sz w:val="24"/>
                <w:szCs w:val="24"/>
              </w:rPr>
            </w:pPr>
          </w:p>
        </w:tc>
        <w:tc>
          <w:tcPr>
            <w:tcW w:w="1701" w:type="dxa"/>
            <w:noWrap w:val="0"/>
            <w:vAlign w:val="top"/>
          </w:tcPr>
          <w:p w14:paraId="7F43827E">
            <w:pPr>
              <w:pStyle w:val="10"/>
              <w:keepNext/>
              <w:spacing w:after="0" w:line="240" w:lineRule="auto"/>
              <w:ind w:left="63" w:right="63" w:firstLine="560"/>
              <w:rPr>
                <w:rFonts w:hint="eastAsia" w:ascii="宋体" w:hAnsi="宋体" w:eastAsia="宋体" w:cs="宋体"/>
                <w:color w:val="000000"/>
                <w:kern w:val="2"/>
                <w:sz w:val="24"/>
                <w:szCs w:val="24"/>
              </w:rPr>
            </w:pPr>
          </w:p>
        </w:tc>
      </w:tr>
      <w:tr w14:paraId="1E5D63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729" w:type="dxa"/>
            <w:noWrap w:val="0"/>
            <w:vAlign w:val="top"/>
          </w:tcPr>
          <w:p w14:paraId="660B63FC">
            <w:pPr>
              <w:pStyle w:val="10"/>
              <w:keepNext/>
              <w:spacing w:after="0" w:line="240" w:lineRule="auto"/>
              <w:ind w:left="63" w:right="63" w:firstLine="560"/>
              <w:rPr>
                <w:rFonts w:hint="eastAsia" w:ascii="宋体" w:hAnsi="宋体" w:eastAsia="宋体" w:cs="宋体"/>
                <w:color w:val="000000"/>
                <w:kern w:val="2"/>
                <w:sz w:val="24"/>
                <w:szCs w:val="24"/>
              </w:rPr>
            </w:pPr>
          </w:p>
        </w:tc>
        <w:tc>
          <w:tcPr>
            <w:tcW w:w="1504" w:type="dxa"/>
            <w:noWrap w:val="0"/>
            <w:vAlign w:val="top"/>
          </w:tcPr>
          <w:p w14:paraId="42D48CAF">
            <w:pPr>
              <w:pStyle w:val="10"/>
              <w:keepNext/>
              <w:spacing w:after="0" w:line="240" w:lineRule="auto"/>
              <w:ind w:left="63" w:right="63" w:firstLine="560"/>
              <w:rPr>
                <w:rFonts w:hint="eastAsia" w:ascii="宋体" w:hAnsi="宋体" w:eastAsia="宋体" w:cs="宋体"/>
                <w:color w:val="000000"/>
                <w:kern w:val="2"/>
                <w:sz w:val="24"/>
                <w:szCs w:val="24"/>
              </w:rPr>
            </w:pPr>
          </w:p>
        </w:tc>
        <w:tc>
          <w:tcPr>
            <w:tcW w:w="851" w:type="dxa"/>
            <w:noWrap w:val="0"/>
            <w:vAlign w:val="top"/>
          </w:tcPr>
          <w:p w14:paraId="4E319B7A">
            <w:pPr>
              <w:pStyle w:val="10"/>
              <w:keepNext/>
              <w:spacing w:after="0" w:line="240" w:lineRule="auto"/>
              <w:ind w:left="63" w:right="63" w:firstLine="560"/>
              <w:rPr>
                <w:rFonts w:hint="eastAsia" w:ascii="宋体" w:hAnsi="宋体" w:eastAsia="宋体" w:cs="宋体"/>
                <w:color w:val="000000"/>
                <w:kern w:val="2"/>
                <w:sz w:val="24"/>
                <w:szCs w:val="24"/>
              </w:rPr>
            </w:pPr>
          </w:p>
        </w:tc>
        <w:tc>
          <w:tcPr>
            <w:tcW w:w="774" w:type="dxa"/>
            <w:noWrap w:val="0"/>
            <w:vAlign w:val="top"/>
          </w:tcPr>
          <w:p w14:paraId="23DCDCE4">
            <w:pPr>
              <w:pStyle w:val="10"/>
              <w:keepNext/>
              <w:spacing w:after="0" w:line="240" w:lineRule="auto"/>
              <w:ind w:left="63" w:right="63" w:firstLine="560"/>
              <w:rPr>
                <w:rFonts w:hint="eastAsia" w:ascii="宋体" w:hAnsi="宋体" w:eastAsia="宋体" w:cs="宋体"/>
                <w:color w:val="000000"/>
                <w:kern w:val="2"/>
                <w:sz w:val="24"/>
                <w:szCs w:val="24"/>
              </w:rPr>
            </w:pPr>
          </w:p>
        </w:tc>
        <w:tc>
          <w:tcPr>
            <w:tcW w:w="1352" w:type="dxa"/>
            <w:noWrap w:val="0"/>
            <w:vAlign w:val="top"/>
          </w:tcPr>
          <w:p w14:paraId="6935C21C">
            <w:pPr>
              <w:pStyle w:val="10"/>
              <w:keepNext/>
              <w:spacing w:after="0" w:line="240" w:lineRule="auto"/>
              <w:ind w:left="63" w:right="63" w:firstLine="560"/>
              <w:rPr>
                <w:rFonts w:hint="eastAsia" w:ascii="宋体" w:hAnsi="宋体" w:eastAsia="宋体" w:cs="宋体"/>
                <w:color w:val="000000"/>
                <w:kern w:val="2"/>
                <w:sz w:val="24"/>
                <w:szCs w:val="24"/>
              </w:rPr>
            </w:pPr>
          </w:p>
        </w:tc>
        <w:tc>
          <w:tcPr>
            <w:tcW w:w="1418" w:type="dxa"/>
            <w:noWrap w:val="0"/>
            <w:vAlign w:val="top"/>
          </w:tcPr>
          <w:p w14:paraId="62B09645">
            <w:pPr>
              <w:pStyle w:val="10"/>
              <w:keepNext/>
              <w:spacing w:after="0" w:line="240" w:lineRule="auto"/>
              <w:ind w:left="63" w:right="63" w:firstLine="560"/>
              <w:rPr>
                <w:rFonts w:hint="eastAsia" w:ascii="宋体" w:hAnsi="宋体" w:eastAsia="宋体" w:cs="宋体"/>
                <w:color w:val="000000"/>
                <w:kern w:val="2"/>
                <w:sz w:val="24"/>
                <w:szCs w:val="24"/>
              </w:rPr>
            </w:pPr>
          </w:p>
        </w:tc>
        <w:tc>
          <w:tcPr>
            <w:tcW w:w="1701" w:type="dxa"/>
            <w:noWrap w:val="0"/>
            <w:vAlign w:val="top"/>
          </w:tcPr>
          <w:p w14:paraId="77F5EAE9">
            <w:pPr>
              <w:pStyle w:val="10"/>
              <w:keepNext/>
              <w:spacing w:after="0" w:line="240" w:lineRule="auto"/>
              <w:ind w:left="63" w:right="63" w:firstLine="560"/>
              <w:rPr>
                <w:rFonts w:hint="eastAsia" w:ascii="宋体" w:hAnsi="宋体" w:eastAsia="宋体" w:cs="宋体"/>
                <w:color w:val="000000"/>
                <w:kern w:val="2"/>
                <w:sz w:val="24"/>
                <w:szCs w:val="24"/>
              </w:rPr>
            </w:pPr>
          </w:p>
        </w:tc>
      </w:tr>
      <w:tr w14:paraId="492858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729" w:type="dxa"/>
            <w:noWrap w:val="0"/>
            <w:vAlign w:val="top"/>
          </w:tcPr>
          <w:p w14:paraId="5B80C5DB">
            <w:pPr>
              <w:pStyle w:val="10"/>
              <w:keepNext/>
              <w:spacing w:after="0" w:line="240" w:lineRule="auto"/>
              <w:ind w:left="63" w:right="63" w:firstLine="560"/>
              <w:rPr>
                <w:rFonts w:hint="eastAsia" w:ascii="宋体" w:hAnsi="宋体" w:eastAsia="宋体" w:cs="宋体"/>
                <w:color w:val="000000"/>
                <w:kern w:val="2"/>
                <w:sz w:val="24"/>
                <w:szCs w:val="24"/>
              </w:rPr>
            </w:pPr>
          </w:p>
        </w:tc>
        <w:tc>
          <w:tcPr>
            <w:tcW w:w="1504" w:type="dxa"/>
            <w:noWrap w:val="0"/>
            <w:vAlign w:val="top"/>
          </w:tcPr>
          <w:p w14:paraId="0C0ABCA3">
            <w:pPr>
              <w:pStyle w:val="10"/>
              <w:keepNext/>
              <w:spacing w:after="0" w:line="240" w:lineRule="auto"/>
              <w:ind w:left="63" w:right="63" w:firstLine="560"/>
              <w:rPr>
                <w:rFonts w:hint="eastAsia" w:ascii="宋体" w:hAnsi="宋体" w:eastAsia="宋体" w:cs="宋体"/>
                <w:color w:val="000000"/>
                <w:kern w:val="2"/>
                <w:sz w:val="24"/>
                <w:szCs w:val="24"/>
              </w:rPr>
            </w:pPr>
          </w:p>
        </w:tc>
        <w:tc>
          <w:tcPr>
            <w:tcW w:w="851" w:type="dxa"/>
            <w:noWrap w:val="0"/>
            <w:vAlign w:val="top"/>
          </w:tcPr>
          <w:p w14:paraId="49E9F775">
            <w:pPr>
              <w:pStyle w:val="10"/>
              <w:keepNext/>
              <w:spacing w:after="0" w:line="240" w:lineRule="auto"/>
              <w:ind w:left="63" w:right="63" w:firstLine="560"/>
              <w:rPr>
                <w:rFonts w:hint="eastAsia" w:ascii="宋体" w:hAnsi="宋体" w:eastAsia="宋体" w:cs="宋体"/>
                <w:color w:val="000000"/>
                <w:kern w:val="2"/>
                <w:sz w:val="24"/>
                <w:szCs w:val="24"/>
              </w:rPr>
            </w:pPr>
          </w:p>
        </w:tc>
        <w:tc>
          <w:tcPr>
            <w:tcW w:w="774" w:type="dxa"/>
            <w:noWrap w:val="0"/>
            <w:vAlign w:val="top"/>
          </w:tcPr>
          <w:p w14:paraId="6F7FF872">
            <w:pPr>
              <w:pStyle w:val="10"/>
              <w:keepNext/>
              <w:spacing w:after="0" w:line="240" w:lineRule="auto"/>
              <w:ind w:left="63" w:right="63" w:firstLine="560"/>
              <w:rPr>
                <w:rFonts w:hint="eastAsia" w:ascii="宋体" w:hAnsi="宋体" w:eastAsia="宋体" w:cs="宋体"/>
                <w:color w:val="000000"/>
                <w:kern w:val="2"/>
                <w:sz w:val="24"/>
                <w:szCs w:val="24"/>
              </w:rPr>
            </w:pPr>
          </w:p>
        </w:tc>
        <w:tc>
          <w:tcPr>
            <w:tcW w:w="1352" w:type="dxa"/>
            <w:noWrap w:val="0"/>
            <w:vAlign w:val="top"/>
          </w:tcPr>
          <w:p w14:paraId="0125C7B0">
            <w:pPr>
              <w:pStyle w:val="10"/>
              <w:keepNext/>
              <w:spacing w:after="0" w:line="240" w:lineRule="auto"/>
              <w:ind w:left="63" w:right="63" w:firstLine="560"/>
              <w:rPr>
                <w:rFonts w:hint="eastAsia" w:ascii="宋体" w:hAnsi="宋体" w:eastAsia="宋体" w:cs="宋体"/>
                <w:color w:val="000000"/>
                <w:kern w:val="2"/>
                <w:sz w:val="24"/>
                <w:szCs w:val="24"/>
              </w:rPr>
            </w:pPr>
          </w:p>
        </w:tc>
        <w:tc>
          <w:tcPr>
            <w:tcW w:w="1418" w:type="dxa"/>
            <w:noWrap w:val="0"/>
            <w:vAlign w:val="top"/>
          </w:tcPr>
          <w:p w14:paraId="6E7C597B">
            <w:pPr>
              <w:pStyle w:val="10"/>
              <w:keepNext/>
              <w:spacing w:after="0" w:line="240" w:lineRule="auto"/>
              <w:ind w:left="63" w:right="63" w:firstLine="560"/>
              <w:rPr>
                <w:rFonts w:hint="eastAsia" w:ascii="宋体" w:hAnsi="宋体" w:eastAsia="宋体" w:cs="宋体"/>
                <w:color w:val="000000"/>
                <w:kern w:val="2"/>
                <w:sz w:val="24"/>
                <w:szCs w:val="24"/>
              </w:rPr>
            </w:pPr>
          </w:p>
        </w:tc>
        <w:tc>
          <w:tcPr>
            <w:tcW w:w="1701" w:type="dxa"/>
            <w:noWrap w:val="0"/>
            <w:vAlign w:val="top"/>
          </w:tcPr>
          <w:p w14:paraId="0EDF6EB6">
            <w:pPr>
              <w:pStyle w:val="10"/>
              <w:keepNext/>
              <w:spacing w:after="0" w:line="240" w:lineRule="auto"/>
              <w:ind w:left="63" w:right="63" w:firstLine="560"/>
              <w:rPr>
                <w:rFonts w:hint="eastAsia" w:ascii="宋体" w:hAnsi="宋体" w:eastAsia="宋体" w:cs="宋体"/>
                <w:color w:val="000000"/>
                <w:kern w:val="2"/>
                <w:sz w:val="24"/>
                <w:szCs w:val="24"/>
              </w:rPr>
            </w:pPr>
          </w:p>
        </w:tc>
      </w:tr>
      <w:tr w14:paraId="4CF12C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729" w:type="dxa"/>
            <w:noWrap w:val="0"/>
            <w:vAlign w:val="top"/>
          </w:tcPr>
          <w:p w14:paraId="2331E5E2">
            <w:pPr>
              <w:pStyle w:val="10"/>
              <w:keepNext/>
              <w:spacing w:after="0" w:line="240" w:lineRule="auto"/>
              <w:ind w:left="63" w:right="63" w:firstLine="560"/>
              <w:rPr>
                <w:rFonts w:hint="eastAsia" w:ascii="宋体" w:hAnsi="宋体" w:eastAsia="宋体" w:cs="宋体"/>
                <w:color w:val="000000"/>
                <w:kern w:val="2"/>
                <w:sz w:val="24"/>
                <w:szCs w:val="24"/>
              </w:rPr>
            </w:pPr>
          </w:p>
        </w:tc>
        <w:tc>
          <w:tcPr>
            <w:tcW w:w="1504" w:type="dxa"/>
            <w:noWrap w:val="0"/>
            <w:vAlign w:val="top"/>
          </w:tcPr>
          <w:p w14:paraId="617CC45E">
            <w:pPr>
              <w:pStyle w:val="10"/>
              <w:keepNext/>
              <w:spacing w:after="0" w:line="240" w:lineRule="auto"/>
              <w:ind w:left="63" w:right="63" w:firstLine="560"/>
              <w:rPr>
                <w:rFonts w:hint="eastAsia" w:ascii="宋体" w:hAnsi="宋体" w:eastAsia="宋体" w:cs="宋体"/>
                <w:color w:val="000000"/>
                <w:kern w:val="2"/>
                <w:sz w:val="24"/>
                <w:szCs w:val="24"/>
              </w:rPr>
            </w:pPr>
          </w:p>
        </w:tc>
        <w:tc>
          <w:tcPr>
            <w:tcW w:w="851" w:type="dxa"/>
            <w:noWrap w:val="0"/>
            <w:vAlign w:val="top"/>
          </w:tcPr>
          <w:p w14:paraId="1371C285">
            <w:pPr>
              <w:pStyle w:val="10"/>
              <w:keepNext/>
              <w:spacing w:after="0" w:line="240" w:lineRule="auto"/>
              <w:ind w:left="63" w:right="63" w:firstLine="560"/>
              <w:rPr>
                <w:rFonts w:hint="eastAsia" w:ascii="宋体" w:hAnsi="宋体" w:eastAsia="宋体" w:cs="宋体"/>
                <w:color w:val="000000"/>
                <w:kern w:val="2"/>
                <w:sz w:val="24"/>
                <w:szCs w:val="24"/>
              </w:rPr>
            </w:pPr>
          </w:p>
        </w:tc>
        <w:tc>
          <w:tcPr>
            <w:tcW w:w="774" w:type="dxa"/>
            <w:noWrap w:val="0"/>
            <w:vAlign w:val="top"/>
          </w:tcPr>
          <w:p w14:paraId="02429B35">
            <w:pPr>
              <w:pStyle w:val="10"/>
              <w:keepNext/>
              <w:spacing w:after="0" w:line="240" w:lineRule="auto"/>
              <w:ind w:left="63" w:right="63" w:firstLine="560"/>
              <w:rPr>
                <w:rFonts w:hint="eastAsia" w:ascii="宋体" w:hAnsi="宋体" w:eastAsia="宋体" w:cs="宋体"/>
                <w:color w:val="000000"/>
                <w:kern w:val="2"/>
                <w:sz w:val="24"/>
                <w:szCs w:val="24"/>
              </w:rPr>
            </w:pPr>
          </w:p>
        </w:tc>
        <w:tc>
          <w:tcPr>
            <w:tcW w:w="1352" w:type="dxa"/>
            <w:noWrap w:val="0"/>
            <w:vAlign w:val="top"/>
          </w:tcPr>
          <w:p w14:paraId="0A3EEEB5">
            <w:pPr>
              <w:pStyle w:val="10"/>
              <w:keepNext/>
              <w:spacing w:after="0" w:line="240" w:lineRule="auto"/>
              <w:ind w:left="63" w:right="63" w:firstLine="560"/>
              <w:rPr>
                <w:rFonts w:hint="eastAsia" w:ascii="宋体" w:hAnsi="宋体" w:eastAsia="宋体" w:cs="宋体"/>
                <w:color w:val="000000"/>
                <w:kern w:val="2"/>
                <w:sz w:val="24"/>
                <w:szCs w:val="24"/>
              </w:rPr>
            </w:pPr>
          </w:p>
        </w:tc>
        <w:tc>
          <w:tcPr>
            <w:tcW w:w="1418" w:type="dxa"/>
            <w:noWrap w:val="0"/>
            <w:vAlign w:val="top"/>
          </w:tcPr>
          <w:p w14:paraId="0FE92220">
            <w:pPr>
              <w:pStyle w:val="10"/>
              <w:keepNext/>
              <w:spacing w:after="0" w:line="240" w:lineRule="auto"/>
              <w:ind w:left="63" w:right="63" w:firstLine="560"/>
              <w:rPr>
                <w:rFonts w:hint="eastAsia" w:ascii="宋体" w:hAnsi="宋体" w:eastAsia="宋体" w:cs="宋体"/>
                <w:color w:val="000000"/>
                <w:kern w:val="2"/>
                <w:sz w:val="24"/>
                <w:szCs w:val="24"/>
              </w:rPr>
            </w:pPr>
          </w:p>
        </w:tc>
        <w:tc>
          <w:tcPr>
            <w:tcW w:w="1701" w:type="dxa"/>
            <w:noWrap w:val="0"/>
            <w:vAlign w:val="top"/>
          </w:tcPr>
          <w:p w14:paraId="6A70D873">
            <w:pPr>
              <w:pStyle w:val="10"/>
              <w:keepNext/>
              <w:spacing w:after="0" w:line="240" w:lineRule="auto"/>
              <w:ind w:left="63" w:right="63" w:firstLine="560"/>
              <w:rPr>
                <w:rFonts w:hint="eastAsia" w:ascii="宋体" w:hAnsi="宋体" w:eastAsia="宋体" w:cs="宋体"/>
                <w:color w:val="000000"/>
                <w:kern w:val="2"/>
                <w:sz w:val="24"/>
                <w:szCs w:val="24"/>
              </w:rPr>
            </w:pPr>
          </w:p>
        </w:tc>
      </w:tr>
      <w:tr w14:paraId="60263D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729" w:type="dxa"/>
            <w:noWrap w:val="0"/>
            <w:vAlign w:val="top"/>
          </w:tcPr>
          <w:p w14:paraId="3D11AB45">
            <w:pPr>
              <w:pStyle w:val="10"/>
              <w:keepNext/>
              <w:spacing w:after="0" w:line="240" w:lineRule="auto"/>
              <w:ind w:left="63" w:right="63" w:firstLine="560"/>
              <w:rPr>
                <w:rFonts w:hint="eastAsia" w:ascii="宋体" w:hAnsi="宋体" w:eastAsia="宋体" w:cs="宋体"/>
                <w:color w:val="000000"/>
                <w:kern w:val="2"/>
                <w:sz w:val="24"/>
                <w:szCs w:val="24"/>
              </w:rPr>
            </w:pPr>
          </w:p>
        </w:tc>
        <w:tc>
          <w:tcPr>
            <w:tcW w:w="1504" w:type="dxa"/>
            <w:noWrap w:val="0"/>
            <w:vAlign w:val="top"/>
          </w:tcPr>
          <w:p w14:paraId="18A18EAF">
            <w:pPr>
              <w:pStyle w:val="10"/>
              <w:keepNext/>
              <w:spacing w:after="0" w:line="240" w:lineRule="auto"/>
              <w:ind w:left="63" w:right="63" w:firstLine="560"/>
              <w:rPr>
                <w:rFonts w:hint="eastAsia" w:ascii="宋体" w:hAnsi="宋体" w:eastAsia="宋体" w:cs="宋体"/>
                <w:color w:val="000000"/>
                <w:kern w:val="2"/>
                <w:sz w:val="24"/>
                <w:szCs w:val="24"/>
              </w:rPr>
            </w:pPr>
          </w:p>
        </w:tc>
        <w:tc>
          <w:tcPr>
            <w:tcW w:w="851" w:type="dxa"/>
            <w:noWrap w:val="0"/>
            <w:vAlign w:val="top"/>
          </w:tcPr>
          <w:p w14:paraId="65AB23A2">
            <w:pPr>
              <w:pStyle w:val="10"/>
              <w:keepNext/>
              <w:spacing w:after="0" w:line="240" w:lineRule="auto"/>
              <w:ind w:left="63" w:right="63" w:firstLine="560"/>
              <w:rPr>
                <w:rFonts w:hint="eastAsia" w:ascii="宋体" w:hAnsi="宋体" w:eastAsia="宋体" w:cs="宋体"/>
                <w:color w:val="000000"/>
                <w:kern w:val="2"/>
                <w:sz w:val="24"/>
                <w:szCs w:val="24"/>
              </w:rPr>
            </w:pPr>
          </w:p>
        </w:tc>
        <w:tc>
          <w:tcPr>
            <w:tcW w:w="774" w:type="dxa"/>
            <w:noWrap w:val="0"/>
            <w:vAlign w:val="top"/>
          </w:tcPr>
          <w:p w14:paraId="4A83F60D">
            <w:pPr>
              <w:pStyle w:val="10"/>
              <w:keepNext/>
              <w:spacing w:after="0" w:line="240" w:lineRule="auto"/>
              <w:ind w:left="63" w:right="63" w:firstLine="560"/>
              <w:rPr>
                <w:rFonts w:hint="eastAsia" w:ascii="宋体" w:hAnsi="宋体" w:eastAsia="宋体" w:cs="宋体"/>
                <w:color w:val="000000"/>
                <w:kern w:val="2"/>
                <w:sz w:val="24"/>
                <w:szCs w:val="24"/>
              </w:rPr>
            </w:pPr>
          </w:p>
        </w:tc>
        <w:tc>
          <w:tcPr>
            <w:tcW w:w="1352" w:type="dxa"/>
            <w:noWrap w:val="0"/>
            <w:vAlign w:val="top"/>
          </w:tcPr>
          <w:p w14:paraId="740B06D5">
            <w:pPr>
              <w:pStyle w:val="10"/>
              <w:keepNext/>
              <w:spacing w:after="0" w:line="240" w:lineRule="auto"/>
              <w:ind w:left="63" w:right="63" w:firstLine="560"/>
              <w:rPr>
                <w:rFonts w:hint="eastAsia" w:ascii="宋体" w:hAnsi="宋体" w:eastAsia="宋体" w:cs="宋体"/>
                <w:color w:val="000000"/>
                <w:kern w:val="2"/>
                <w:sz w:val="24"/>
                <w:szCs w:val="24"/>
              </w:rPr>
            </w:pPr>
          </w:p>
        </w:tc>
        <w:tc>
          <w:tcPr>
            <w:tcW w:w="1418" w:type="dxa"/>
            <w:noWrap w:val="0"/>
            <w:vAlign w:val="top"/>
          </w:tcPr>
          <w:p w14:paraId="0B78BD35">
            <w:pPr>
              <w:pStyle w:val="10"/>
              <w:keepNext/>
              <w:spacing w:after="0" w:line="240" w:lineRule="auto"/>
              <w:ind w:left="63" w:right="63" w:firstLine="560"/>
              <w:rPr>
                <w:rFonts w:hint="eastAsia" w:ascii="宋体" w:hAnsi="宋体" w:eastAsia="宋体" w:cs="宋体"/>
                <w:color w:val="000000"/>
                <w:kern w:val="2"/>
                <w:sz w:val="24"/>
                <w:szCs w:val="24"/>
              </w:rPr>
            </w:pPr>
          </w:p>
        </w:tc>
        <w:tc>
          <w:tcPr>
            <w:tcW w:w="1701" w:type="dxa"/>
            <w:noWrap w:val="0"/>
            <w:vAlign w:val="top"/>
          </w:tcPr>
          <w:p w14:paraId="0A932017">
            <w:pPr>
              <w:pStyle w:val="10"/>
              <w:keepNext/>
              <w:spacing w:after="0" w:line="240" w:lineRule="auto"/>
              <w:ind w:left="63" w:right="63" w:firstLine="560"/>
              <w:rPr>
                <w:rFonts w:hint="eastAsia" w:ascii="宋体" w:hAnsi="宋体" w:eastAsia="宋体" w:cs="宋体"/>
                <w:color w:val="000000"/>
                <w:kern w:val="2"/>
                <w:sz w:val="24"/>
                <w:szCs w:val="24"/>
              </w:rPr>
            </w:pPr>
          </w:p>
        </w:tc>
      </w:tr>
    </w:tbl>
    <w:p w14:paraId="0FFFF484">
      <w:pPr>
        <w:spacing w:before="120" w:beforeLines="50" w:after="120" w:afterLines="50"/>
        <w:ind w:firstLine="150" w:firstLineChars="50"/>
        <w:rPr>
          <w:rFonts w:hint="eastAsia" w:ascii="宋体" w:hAnsi="宋体" w:eastAsia="宋体" w:cs="宋体"/>
          <w:color w:val="000000"/>
          <w:sz w:val="30"/>
          <w:szCs w:val="30"/>
        </w:rPr>
      </w:pPr>
      <w:r>
        <w:rPr>
          <w:rFonts w:hint="eastAsia" w:ascii="宋体" w:hAnsi="宋体" w:eastAsia="宋体" w:cs="宋体"/>
          <w:color w:val="000000"/>
          <w:sz w:val="30"/>
          <w:szCs w:val="30"/>
        </w:rPr>
        <w:t>11-2：工程设备暂估价表</w:t>
      </w:r>
    </w:p>
    <w:tbl>
      <w:tblPr>
        <w:tblStyle w:val="17"/>
        <w:tblW w:w="0" w:type="auto"/>
        <w:tblInd w:w="17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09"/>
        <w:gridCol w:w="1984"/>
        <w:gridCol w:w="851"/>
        <w:gridCol w:w="774"/>
        <w:gridCol w:w="1352"/>
        <w:gridCol w:w="1418"/>
        <w:gridCol w:w="2268"/>
      </w:tblGrid>
      <w:tr w14:paraId="46DF7B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709" w:type="dxa"/>
            <w:tcBorders>
              <w:top w:val="single" w:color="auto" w:sz="12" w:space="0"/>
              <w:bottom w:val="double" w:color="auto" w:sz="6" w:space="0"/>
            </w:tcBorders>
            <w:noWrap w:val="0"/>
            <w:vAlign w:val="center"/>
          </w:tcPr>
          <w:p w14:paraId="59B4D1DC">
            <w:pPr>
              <w:jc w:val="center"/>
              <w:rPr>
                <w:rFonts w:hint="eastAsia" w:ascii="宋体" w:hAnsi="宋体" w:eastAsia="宋体" w:cs="宋体"/>
                <w:sz w:val="24"/>
                <w:szCs w:val="24"/>
              </w:rPr>
            </w:pPr>
            <w:r>
              <w:rPr>
                <w:rFonts w:hint="eastAsia" w:ascii="宋体" w:hAnsi="宋体" w:eastAsia="宋体" w:cs="宋体"/>
                <w:sz w:val="24"/>
                <w:szCs w:val="24"/>
              </w:rPr>
              <w:t>序号</w:t>
            </w:r>
          </w:p>
        </w:tc>
        <w:tc>
          <w:tcPr>
            <w:tcW w:w="1984" w:type="dxa"/>
            <w:tcBorders>
              <w:top w:val="single" w:color="auto" w:sz="12" w:space="0"/>
              <w:bottom w:val="double" w:color="auto" w:sz="6" w:space="0"/>
            </w:tcBorders>
            <w:noWrap w:val="0"/>
            <w:vAlign w:val="center"/>
          </w:tcPr>
          <w:p w14:paraId="6ED3DD83">
            <w:pPr>
              <w:jc w:val="center"/>
              <w:rPr>
                <w:rFonts w:hint="eastAsia" w:ascii="宋体" w:hAnsi="宋体" w:eastAsia="宋体" w:cs="宋体"/>
                <w:sz w:val="24"/>
                <w:szCs w:val="24"/>
              </w:rPr>
            </w:pPr>
            <w:r>
              <w:rPr>
                <w:rFonts w:hint="eastAsia" w:ascii="宋体" w:hAnsi="宋体" w:eastAsia="宋体" w:cs="宋体"/>
                <w:sz w:val="24"/>
                <w:szCs w:val="24"/>
              </w:rPr>
              <w:t>名称</w:t>
            </w:r>
          </w:p>
        </w:tc>
        <w:tc>
          <w:tcPr>
            <w:tcW w:w="851" w:type="dxa"/>
            <w:tcBorders>
              <w:top w:val="single" w:color="auto" w:sz="12" w:space="0"/>
              <w:bottom w:val="double" w:color="auto" w:sz="6" w:space="0"/>
            </w:tcBorders>
            <w:noWrap w:val="0"/>
            <w:vAlign w:val="center"/>
          </w:tcPr>
          <w:p w14:paraId="188D294D">
            <w:pPr>
              <w:jc w:val="center"/>
              <w:rPr>
                <w:rFonts w:hint="eastAsia" w:ascii="宋体" w:hAnsi="宋体" w:eastAsia="宋体" w:cs="宋体"/>
                <w:sz w:val="24"/>
                <w:szCs w:val="24"/>
              </w:rPr>
            </w:pPr>
            <w:r>
              <w:rPr>
                <w:rFonts w:hint="eastAsia" w:ascii="宋体" w:hAnsi="宋体" w:eastAsia="宋体" w:cs="宋体"/>
                <w:sz w:val="24"/>
                <w:szCs w:val="24"/>
              </w:rPr>
              <w:t>单位</w:t>
            </w:r>
          </w:p>
        </w:tc>
        <w:tc>
          <w:tcPr>
            <w:tcW w:w="774" w:type="dxa"/>
            <w:tcBorders>
              <w:top w:val="single" w:color="auto" w:sz="12" w:space="0"/>
              <w:bottom w:val="double" w:color="auto" w:sz="6" w:space="0"/>
            </w:tcBorders>
            <w:noWrap w:val="0"/>
            <w:vAlign w:val="center"/>
          </w:tcPr>
          <w:p w14:paraId="221C2770">
            <w:pPr>
              <w:jc w:val="center"/>
              <w:rPr>
                <w:rFonts w:hint="eastAsia" w:ascii="宋体" w:hAnsi="宋体" w:eastAsia="宋体" w:cs="宋体"/>
                <w:sz w:val="24"/>
                <w:szCs w:val="24"/>
              </w:rPr>
            </w:pPr>
            <w:r>
              <w:rPr>
                <w:rFonts w:hint="eastAsia" w:ascii="宋体" w:hAnsi="宋体" w:eastAsia="宋体" w:cs="宋体"/>
                <w:sz w:val="24"/>
                <w:szCs w:val="24"/>
              </w:rPr>
              <w:t>数量</w:t>
            </w:r>
          </w:p>
        </w:tc>
        <w:tc>
          <w:tcPr>
            <w:tcW w:w="1352" w:type="dxa"/>
            <w:tcBorders>
              <w:top w:val="single" w:color="auto" w:sz="12" w:space="0"/>
              <w:bottom w:val="double" w:color="auto" w:sz="6" w:space="0"/>
            </w:tcBorders>
            <w:noWrap w:val="0"/>
            <w:vAlign w:val="center"/>
          </w:tcPr>
          <w:p w14:paraId="1F03FE1A">
            <w:pPr>
              <w:jc w:val="center"/>
              <w:rPr>
                <w:rFonts w:hint="eastAsia" w:ascii="宋体" w:hAnsi="宋体" w:eastAsia="宋体" w:cs="宋体"/>
                <w:sz w:val="24"/>
                <w:szCs w:val="24"/>
              </w:rPr>
            </w:pPr>
            <w:r>
              <w:rPr>
                <w:rFonts w:hint="eastAsia" w:ascii="宋体" w:hAnsi="宋体" w:eastAsia="宋体" w:cs="宋体"/>
                <w:sz w:val="24"/>
                <w:szCs w:val="24"/>
              </w:rPr>
              <w:t>单价（元）</w:t>
            </w:r>
          </w:p>
        </w:tc>
        <w:tc>
          <w:tcPr>
            <w:tcW w:w="1418" w:type="dxa"/>
            <w:tcBorders>
              <w:top w:val="single" w:color="auto" w:sz="12" w:space="0"/>
              <w:bottom w:val="double" w:color="auto" w:sz="6" w:space="0"/>
            </w:tcBorders>
            <w:noWrap w:val="0"/>
            <w:vAlign w:val="center"/>
          </w:tcPr>
          <w:p w14:paraId="2A7BF5B5">
            <w:pPr>
              <w:jc w:val="center"/>
              <w:rPr>
                <w:rFonts w:hint="eastAsia" w:ascii="宋体" w:hAnsi="宋体" w:eastAsia="宋体" w:cs="宋体"/>
                <w:sz w:val="24"/>
                <w:szCs w:val="24"/>
              </w:rPr>
            </w:pPr>
            <w:r>
              <w:rPr>
                <w:rFonts w:hint="eastAsia" w:ascii="宋体" w:hAnsi="宋体" w:eastAsia="宋体" w:cs="宋体"/>
                <w:sz w:val="24"/>
                <w:szCs w:val="24"/>
              </w:rPr>
              <w:t>合价（元）</w:t>
            </w:r>
          </w:p>
        </w:tc>
        <w:tc>
          <w:tcPr>
            <w:tcW w:w="2268" w:type="dxa"/>
            <w:tcBorders>
              <w:top w:val="single" w:color="auto" w:sz="12" w:space="0"/>
              <w:bottom w:val="double" w:color="auto" w:sz="6" w:space="0"/>
            </w:tcBorders>
            <w:noWrap w:val="0"/>
            <w:vAlign w:val="center"/>
          </w:tcPr>
          <w:p w14:paraId="02CDE4B9">
            <w:pPr>
              <w:jc w:val="center"/>
              <w:rPr>
                <w:rFonts w:hint="eastAsia" w:ascii="宋体" w:hAnsi="宋体" w:eastAsia="宋体" w:cs="宋体"/>
                <w:sz w:val="24"/>
                <w:szCs w:val="24"/>
              </w:rPr>
            </w:pPr>
            <w:r>
              <w:rPr>
                <w:rFonts w:hint="eastAsia" w:ascii="宋体" w:hAnsi="宋体" w:eastAsia="宋体" w:cs="宋体"/>
                <w:sz w:val="24"/>
                <w:szCs w:val="24"/>
              </w:rPr>
              <w:t>备注</w:t>
            </w:r>
          </w:p>
        </w:tc>
      </w:tr>
      <w:tr w14:paraId="6A93C7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709" w:type="dxa"/>
            <w:tcBorders>
              <w:top w:val="double" w:color="auto" w:sz="6" w:space="0"/>
              <w:bottom w:val="single" w:color="auto" w:sz="6" w:space="0"/>
            </w:tcBorders>
            <w:noWrap w:val="0"/>
            <w:vAlign w:val="center"/>
          </w:tcPr>
          <w:p w14:paraId="106F7B65">
            <w:pPr>
              <w:jc w:val="center"/>
              <w:rPr>
                <w:rFonts w:hint="eastAsia" w:ascii="宋体" w:hAnsi="宋体" w:eastAsia="宋体" w:cs="宋体"/>
                <w:sz w:val="24"/>
                <w:szCs w:val="24"/>
              </w:rPr>
            </w:pPr>
            <w:r>
              <w:rPr>
                <w:rFonts w:hint="eastAsia" w:ascii="宋体" w:hAnsi="宋体" w:eastAsia="宋体" w:cs="宋体"/>
                <w:sz w:val="24"/>
                <w:szCs w:val="24"/>
              </w:rPr>
              <w:t>无</w:t>
            </w:r>
          </w:p>
        </w:tc>
        <w:tc>
          <w:tcPr>
            <w:tcW w:w="1984" w:type="dxa"/>
            <w:tcBorders>
              <w:top w:val="double" w:color="auto" w:sz="6" w:space="0"/>
              <w:bottom w:val="single" w:color="auto" w:sz="6" w:space="0"/>
            </w:tcBorders>
            <w:noWrap w:val="0"/>
            <w:vAlign w:val="center"/>
          </w:tcPr>
          <w:p w14:paraId="3269EF50">
            <w:pPr>
              <w:jc w:val="center"/>
              <w:rPr>
                <w:rFonts w:hint="eastAsia" w:ascii="宋体" w:hAnsi="宋体" w:eastAsia="宋体" w:cs="宋体"/>
                <w:sz w:val="24"/>
                <w:szCs w:val="24"/>
              </w:rPr>
            </w:pPr>
            <w:r>
              <w:rPr>
                <w:rFonts w:hint="eastAsia" w:ascii="宋体" w:hAnsi="宋体" w:eastAsia="宋体" w:cs="宋体"/>
                <w:sz w:val="24"/>
                <w:szCs w:val="24"/>
              </w:rPr>
              <w:t>无</w:t>
            </w:r>
          </w:p>
        </w:tc>
        <w:tc>
          <w:tcPr>
            <w:tcW w:w="851" w:type="dxa"/>
            <w:tcBorders>
              <w:top w:val="double" w:color="auto" w:sz="6" w:space="0"/>
              <w:bottom w:val="single" w:color="auto" w:sz="6" w:space="0"/>
            </w:tcBorders>
            <w:noWrap w:val="0"/>
            <w:vAlign w:val="center"/>
          </w:tcPr>
          <w:p w14:paraId="28088ECC">
            <w:pPr>
              <w:jc w:val="center"/>
              <w:rPr>
                <w:rFonts w:hint="eastAsia" w:ascii="宋体" w:hAnsi="宋体" w:eastAsia="宋体" w:cs="宋体"/>
                <w:sz w:val="24"/>
                <w:szCs w:val="24"/>
              </w:rPr>
            </w:pPr>
            <w:r>
              <w:rPr>
                <w:rFonts w:hint="eastAsia" w:ascii="宋体" w:hAnsi="宋体" w:eastAsia="宋体" w:cs="宋体"/>
                <w:sz w:val="24"/>
                <w:szCs w:val="24"/>
              </w:rPr>
              <w:t>无</w:t>
            </w:r>
          </w:p>
        </w:tc>
        <w:tc>
          <w:tcPr>
            <w:tcW w:w="774" w:type="dxa"/>
            <w:tcBorders>
              <w:top w:val="double" w:color="auto" w:sz="6" w:space="0"/>
              <w:bottom w:val="single" w:color="auto" w:sz="6" w:space="0"/>
            </w:tcBorders>
            <w:noWrap w:val="0"/>
            <w:vAlign w:val="center"/>
          </w:tcPr>
          <w:p w14:paraId="56B79CAF">
            <w:pPr>
              <w:jc w:val="center"/>
              <w:rPr>
                <w:rFonts w:hint="eastAsia" w:ascii="宋体" w:hAnsi="宋体" w:eastAsia="宋体" w:cs="宋体"/>
                <w:sz w:val="24"/>
                <w:szCs w:val="24"/>
              </w:rPr>
            </w:pPr>
            <w:r>
              <w:rPr>
                <w:rFonts w:hint="eastAsia" w:ascii="宋体" w:hAnsi="宋体" w:eastAsia="宋体" w:cs="宋体"/>
                <w:sz w:val="24"/>
                <w:szCs w:val="24"/>
              </w:rPr>
              <w:t>无</w:t>
            </w:r>
          </w:p>
        </w:tc>
        <w:tc>
          <w:tcPr>
            <w:tcW w:w="1352" w:type="dxa"/>
            <w:tcBorders>
              <w:top w:val="double" w:color="auto" w:sz="6" w:space="0"/>
              <w:bottom w:val="single" w:color="auto" w:sz="6" w:space="0"/>
            </w:tcBorders>
            <w:noWrap w:val="0"/>
            <w:vAlign w:val="center"/>
          </w:tcPr>
          <w:p w14:paraId="1A46510B">
            <w:pPr>
              <w:jc w:val="center"/>
              <w:rPr>
                <w:rFonts w:hint="eastAsia" w:ascii="宋体" w:hAnsi="宋体" w:eastAsia="宋体" w:cs="宋体"/>
                <w:sz w:val="24"/>
                <w:szCs w:val="24"/>
              </w:rPr>
            </w:pPr>
            <w:r>
              <w:rPr>
                <w:rFonts w:hint="eastAsia" w:ascii="宋体" w:hAnsi="宋体" w:eastAsia="宋体" w:cs="宋体"/>
                <w:sz w:val="24"/>
                <w:szCs w:val="24"/>
              </w:rPr>
              <w:t>无</w:t>
            </w:r>
          </w:p>
        </w:tc>
        <w:tc>
          <w:tcPr>
            <w:tcW w:w="1418" w:type="dxa"/>
            <w:tcBorders>
              <w:top w:val="double" w:color="auto" w:sz="6" w:space="0"/>
              <w:bottom w:val="single" w:color="auto" w:sz="6" w:space="0"/>
            </w:tcBorders>
            <w:noWrap w:val="0"/>
            <w:vAlign w:val="center"/>
          </w:tcPr>
          <w:p w14:paraId="51CCCC1C">
            <w:pPr>
              <w:jc w:val="center"/>
              <w:rPr>
                <w:rFonts w:hint="eastAsia" w:ascii="宋体" w:hAnsi="宋体" w:eastAsia="宋体" w:cs="宋体"/>
                <w:sz w:val="24"/>
                <w:szCs w:val="24"/>
              </w:rPr>
            </w:pPr>
            <w:r>
              <w:rPr>
                <w:rFonts w:hint="eastAsia" w:ascii="宋体" w:hAnsi="宋体" w:eastAsia="宋体" w:cs="宋体"/>
                <w:sz w:val="24"/>
                <w:szCs w:val="24"/>
              </w:rPr>
              <w:t>无</w:t>
            </w:r>
          </w:p>
        </w:tc>
        <w:tc>
          <w:tcPr>
            <w:tcW w:w="2268" w:type="dxa"/>
            <w:tcBorders>
              <w:top w:val="double" w:color="auto" w:sz="6" w:space="0"/>
              <w:bottom w:val="single" w:color="auto" w:sz="6" w:space="0"/>
            </w:tcBorders>
            <w:noWrap w:val="0"/>
            <w:vAlign w:val="center"/>
          </w:tcPr>
          <w:p w14:paraId="1405648E">
            <w:pPr>
              <w:jc w:val="center"/>
              <w:rPr>
                <w:rFonts w:hint="eastAsia" w:ascii="宋体" w:hAnsi="宋体" w:eastAsia="宋体" w:cs="宋体"/>
                <w:sz w:val="24"/>
                <w:szCs w:val="24"/>
              </w:rPr>
            </w:pPr>
            <w:r>
              <w:rPr>
                <w:rFonts w:hint="eastAsia" w:ascii="宋体" w:hAnsi="宋体" w:eastAsia="宋体" w:cs="宋体"/>
                <w:sz w:val="24"/>
                <w:szCs w:val="24"/>
              </w:rPr>
              <w:t>无</w:t>
            </w:r>
          </w:p>
        </w:tc>
      </w:tr>
      <w:tr w14:paraId="049CAD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709" w:type="dxa"/>
            <w:tcBorders>
              <w:top w:val="nil"/>
            </w:tcBorders>
            <w:noWrap w:val="0"/>
            <w:vAlign w:val="center"/>
          </w:tcPr>
          <w:p w14:paraId="55698E97">
            <w:pPr>
              <w:jc w:val="center"/>
              <w:rPr>
                <w:rFonts w:hint="eastAsia" w:ascii="宋体" w:hAnsi="宋体" w:eastAsia="宋体" w:cs="宋体"/>
                <w:sz w:val="24"/>
                <w:szCs w:val="24"/>
              </w:rPr>
            </w:pPr>
          </w:p>
        </w:tc>
        <w:tc>
          <w:tcPr>
            <w:tcW w:w="1984" w:type="dxa"/>
            <w:tcBorders>
              <w:top w:val="nil"/>
            </w:tcBorders>
            <w:noWrap w:val="0"/>
            <w:vAlign w:val="center"/>
          </w:tcPr>
          <w:p w14:paraId="6197601B">
            <w:pPr>
              <w:jc w:val="center"/>
              <w:rPr>
                <w:rFonts w:hint="eastAsia" w:ascii="宋体" w:hAnsi="宋体" w:eastAsia="宋体" w:cs="宋体"/>
                <w:sz w:val="24"/>
                <w:szCs w:val="24"/>
              </w:rPr>
            </w:pPr>
          </w:p>
        </w:tc>
        <w:tc>
          <w:tcPr>
            <w:tcW w:w="851" w:type="dxa"/>
            <w:tcBorders>
              <w:top w:val="nil"/>
            </w:tcBorders>
            <w:noWrap w:val="0"/>
            <w:vAlign w:val="center"/>
          </w:tcPr>
          <w:p w14:paraId="7B3B2F06">
            <w:pPr>
              <w:jc w:val="center"/>
              <w:rPr>
                <w:rFonts w:hint="eastAsia" w:ascii="宋体" w:hAnsi="宋体" w:eastAsia="宋体" w:cs="宋体"/>
                <w:sz w:val="24"/>
                <w:szCs w:val="24"/>
              </w:rPr>
            </w:pPr>
          </w:p>
        </w:tc>
        <w:tc>
          <w:tcPr>
            <w:tcW w:w="774" w:type="dxa"/>
            <w:tcBorders>
              <w:top w:val="nil"/>
            </w:tcBorders>
            <w:noWrap w:val="0"/>
            <w:vAlign w:val="center"/>
          </w:tcPr>
          <w:p w14:paraId="5BE20C1B">
            <w:pPr>
              <w:jc w:val="center"/>
              <w:rPr>
                <w:rFonts w:hint="eastAsia" w:ascii="宋体" w:hAnsi="宋体" w:eastAsia="宋体" w:cs="宋体"/>
                <w:sz w:val="24"/>
                <w:szCs w:val="24"/>
              </w:rPr>
            </w:pPr>
          </w:p>
        </w:tc>
        <w:tc>
          <w:tcPr>
            <w:tcW w:w="1352" w:type="dxa"/>
            <w:tcBorders>
              <w:top w:val="nil"/>
            </w:tcBorders>
            <w:noWrap w:val="0"/>
            <w:vAlign w:val="center"/>
          </w:tcPr>
          <w:p w14:paraId="23CF066B">
            <w:pPr>
              <w:jc w:val="center"/>
              <w:rPr>
                <w:rFonts w:hint="eastAsia" w:ascii="宋体" w:hAnsi="宋体" w:eastAsia="宋体" w:cs="宋体"/>
                <w:sz w:val="24"/>
                <w:szCs w:val="24"/>
              </w:rPr>
            </w:pPr>
          </w:p>
        </w:tc>
        <w:tc>
          <w:tcPr>
            <w:tcW w:w="1418" w:type="dxa"/>
            <w:tcBorders>
              <w:top w:val="nil"/>
            </w:tcBorders>
            <w:noWrap w:val="0"/>
            <w:vAlign w:val="center"/>
          </w:tcPr>
          <w:p w14:paraId="47F918BD">
            <w:pPr>
              <w:jc w:val="center"/>
              <w:rPr>
                <w:rFonts w:hint="eastAsia" w:ascii="宋体" w:hAnsi="宋体" w:eastAsia="宋体" w:cs="宋体"/>
                <w:sz w:val="24"/>
                <w:szCs w:val="24"/>
              </w:rPr>
            </w:pPr>
          </w:p>
        </w:tc>
        <w:tc>
          <w:tcPr>
            <w:tcW w:w="2268" w:type="dxa"/>
            <w:tcBorders>
              <w:top w:val="nil"/>
            </w:tcBorders>
            <w:noWrap w:val="0"/>
            <w:vAlign w:val="center"/>
          </w:tcPr>
          <w:p w14:paraId="4A52B1F1">
            <w:pPr>
              <w:jc w:val="center"/>
              <w:rPr>
                <w:rFonts w:hint="eastAsia" w:ascii="宋体" w:hAnsi="宋体" w:eastAsia="宋体" w:cs="宋体"/>
                <w:sz w:val="24"/>
                <w:szCs w:val="24"/>
              </w:rPr>
            </w:pPr>
          </w:p>
        </w:tc>
      </w:tr>
      <w:tr w14:paraId="1B6ACB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709" w:type="dxa"/>
            <w:noWrap w:val="0"/>
            <w:vAlign w:val="center"/>
          </w:tcPr>
          <w:p w14:paraId="7D0FDA38">
            <w:pPr>
              <w:jc w:val="center"/>
              <w:rPr>
                <w:rFonts w:hint="eastAsia" w:ascii="宋体" w:hAnsi="宋体" w:eastAsia="宋体" w:cs="宋体"/>
                <w:sz w:val="24"/>
                <w:szCs w:val="24"/>
              </w:rPr>
            </w:pPr>
          </w:p>
        </w:tc>
        <w:tc>
          <w:tcPr>
            <w:tcW w:w="1984" w:type="dxa"/>
            <w:noWrap w:val="0"/>
            <w:vAlign w:val="center"/>
          </w:tcPr>
          <w:p w14:paraId="078CC5C0">
            <w:pPr>
              <w:jc w:val="center"/>
              <w:rPr>
                <w:rFonts w:hint="eastAsia" w:ascii="宋体" w:hAnsi="宋体" w:eastAsia="宋体" w:cs="宋体"/>
                <w:sz w:val="24"/>
                <w:szCs w:val="24"/>
              </w:rPr>
            </w:pPr>
          </w:p>
        </w:tc>
        <w:tc>
          <w:tcPr>
            <w:tcW w:w="851" w:type="dxa"/>
            <w:noWrap w:val="0"/>
            <w:vAlign w:val="center"/>
          </w:tcPr>
          <w:p w14:paraId="030369CF">
            <w:pPr>
              <w:jc w:val="center"/>
              <w:rPr>
                <w:rFonts w:hint="eastAsia" w:ascii="宋体" w:hAnsi="宋体" w:eastAsia="宋体" w:cs="宋体"/>
                <w:sz w:val="24"/>
                <w:szCs w:val="24"/>
              </w:rPr>
            </w:pPr>
          </w:p>
        </w:tc>
        <w:tc>
          <w:tcPr>
            <w:tcW w:w="774" w:type="dxa"/>
            <w:noWrap w:val="0"/>
            <w:vAlign w:val="center"/>
          </w:tcPr>
          <w:p w14:paraId="1781F008">
            <w:pPr>
              <w:jc w:val="center"/>
              <w:rPr>
                <w:rFonts w:hint="eastAsia" w:ascii="宋体" w:hAnsi="宋体" w:eastAsia="宋体" w:cs="宋体"/>
                <w:sz w:val="24"/>
                <w:szCs w:val="24"/>
              </w:rPr>
            </w:pPr>
          </w:p>
        </w:tc>
        <w:tc>
          <w:tcPr>
            <w:tcW w:w="1352" w:type="dxa"/>
            <w:noWrap w:val="0"/>
            <w:vAlign w:val="center"/>
          </w:tcPr>
          <w:p w14:paraId="7D5A6523">
            <w:pPr>
              <w:jc w:val="center"/>
              <w:rPr>
                <w:rFonts w:hint="eastAsia" w:ascii="宋体" w:hAnsi="宋体" w:eastAsia="宋体" w:cs="宋体"/>
                <w:sz w:val="24"/>
                <w:szCs w:val="24"/>
              </w:rPr>
            </w:pPr>
          </w:p>
        </w:tc>
        <w:tc>
          <w:tcPr>
            <w:tcW w:w="1418" w:type="dxa"/>
            <w:noWrap w:val="0"/>
            <w:vAlign w:val="center"/>
          </w:tcPr>
          <w:p w14:paraId="04AA4FBA">
            <w:pPr>
              <w:jc w:val="center"/>
              <w:rPr>
                <w:rFonts w:hint="eastAsia" w:ascii="宋体" w:hAnsi="宋体" w:eastAsia="宋体" w:cs="宋体"/>
                <w:sz w:val="24"/>
                <w:szCs w:val="24"/>
              </w:rPr>
            </w:pPr>
          </w:p>
        </w:tc>
        <w:tc>
          <w:tcPr>
            <w:tcW w:w="2268" w:type="dxa"/>
            <w:noWrap w:val="0"/>
            <w:vAlign w:val="center"/>
          </w:tcPr>
          <w:p w14:paraId="1577487C">
            <w:pPr>
              <w:jc w:val="center"/>
              <w:rPr>
                <w:rFonts w:hint="eastAsia" w:ascii="宋体" w:hAnsi="宋体" w:eastAsia="宋体" w:cs="宋体"/>
                <w:sz w:val="24"/>
                <w:szCs w:val="24"/>
              </w:rPr>
            </w:pPr>
          </w:p>
        </w:tc>
      </w:tr>
      <w:tr w14:paraId="71ECD7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709" w:type="dxa"/>
            <w:noWrap w:val="0"/>
            <w:vAlign w:val="center"/>
          </w:tcPr>
          <w:p w14:paraId="51AACDD8">
            <w:pPr>
              <w:jc w:val="center"/>
              <w:rPr>
                <w:rFonts w:hint="eastAsia" w:ascii="宋体" w:hAnsi="宋体" w:eastAsia="宋体" w:cs="宋体"/>
                <w:sz w:val="24"/>
                <w:szCs w:val="24"/>
              </w:rPr>
            </w:pPr>
          </w:p>
        </w:tc>
        <w:tc>
          <w:tcPr>
            <w:tcW w:w="1984" w:type="dxa"/>
            <w:noWrap w:val="0"/>
            <w:vAlign w:val="center"/>
          </w:tcPr>
          <w:p w14:paraId="392333D8">
            <w:pPr>
              <w:jc w:val="center"/>
              <w:rPr>
                <w:rFonts w:hint="eastAsia" w:ascii="宋体" w:hAnsi="宋体" w:eastAsia="宋体" w:cs="宋体"/>
                <w:sz w:val="24"/>
                <w:szCs w:val="24"/>
              </w:rPr>
            </w:pPr>
          </w:p>
        </w:tc>
        <w:tc>
          <w:tcPr>
            <w:tcW w:w="851" w:type="dxa"/>
            <w:noWrap w:val="0"/>
            <w:vAlign w:val="center"/>
          </w:tcPr>
          <w:p w14:paraId="54863F81">
            <w:pPr>
              <w:jc w:val="center"/>
              <w:rPr>
                <w:rFonts w:hint="eastAsia" w:ascii="宋体" w:hAnsi="宋体" w:eastAsia="宋体" w:cs="宋体"/>
                <w:sz w:val="24"/>
                <w:szCs w:val="24"/>
              </w:rPr>
            </w:pPr>
          </w:p>
        </w:tc>
        <w:tc>
          <w:tcPr>
            <w:tcW w:w="774" w:type="dxa"/>
            <w:noWrap w:val="0"/>
            <w:vAlign w:val="center"/>
          </w:tcPr>
          <w:p w14:paraId="249EDBD8">
            <w:pPr>
              <w:jc w:val="center"/>
              <w:rPr>
                <w:rFonts w:hint="eastAsia" w:ascii="宋体" w:hAnsi="宋体" w:eastAsia="宋体" w:cs="宋体"/>
                <w:sz w:val="24"/>
                <w:szCs w:val="24"/>
              </w:rPr>
            </w:pPr>
          </w:p>
        </w:tc>
        <w:tc>
          <w:tcPr>
            <w:tcW w:w="1352" w:type="dxa"/>
            <w:noWrap w:val="0"/>
            <w:vAlign w:val="center"/>
          </w:tcPr>
          <w:p w14:paraId="6A470210">
            <w:pPr>
              <w:jc w:val="center"/>
              <w:rPr>
                <w:rFonts w:hint="eastAsia" w:ascii="宋体" w:hAnsi="宋体" w:eastAsia="宋体" w:cs="宋体"/>
                <w:sz w:val="24"/>
                <w:szCs w:val="24"/>
              </w:rPr>
            </w:pPr>
          </w:p>
        </w:tc>
        <w:tc>
          <w:tcPr>
            <w:tcW w:w="1418" w:type="dxa"/>
            <w:noWrap w:val="0"/>
            <w:vAlign w:val="center"/>
          </w:tcPr>
          <w:p w14:paraId="73906D1A">
            <w:pPr>
              <w:jc w:val="center"/>
              <w:rPr>
                <w:rFonts w:hint="eastAsia" w:ascii="宋体" w:hAnsi="宋体" w:eastAsia="宋体" w:cs="宋体"/>
                <w:sz w:val="24"/>
                <w:szCs w:val="24"/>
              </w:rPr>
            </w:pPr>
          </w:p>
        </w:tc>
        <w:tc>
          <w:tcPr>
            <w:tcW w:w="2268" w:type="dxa"/>
            <w:noWrap w:val="0"/>
            <w:vAlign w:val="center"/>
          </w:tcPr>
          <w:p w14:paraId="225C27CB">
            <w:pPr>
              <w:jc w:val="center"/>
              <w:rPr>
                <w:rFonts w:hint="eastAsia" w:ascii="宋体" w:hAnsi="宋体" w:eastAsia="宋体" w:cs="宋体"/>
                <w:sz w:val="24"/>
                <w:szCs w:val="24"/>
              </w:rPr>
            </w:pPr>
          </w:p>
        </w:tc>
      </w:tr>
      <w:tr w14:paraId="2C9244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709" w:type="dxa"/>
            <w:noWrap w:val="0"/>
            <w:vAlign w:val="center"/>
          </w:tcPr>
          <w:p w14:paraId="1BF76472">
            <w:pPr>
              <w:jc w:val="center"/>
              <w:rPr>
                <w:rFonts w:hint="eastAsia" w:ascii="宋体" w:hAnsi="宋体" w:eastAsia="宋体" w:cs="宋体"/>
                <w:sz w:val="24"/>
                <w:szCs w:val="24"/>
              </w:rPr>
            </w:pPr>
          </w:p>
        </w:tc>
        <w:tc>
          <w:tcPr>
            <w:tcW w:w="1984" w:type="dxa"/>
            <w:noWrap w:val="0"/>
            <w:vAlign w:val="center"/>
          </w:tcPr>
          <w:p w14:paraId="1143217B">
            <w:pPr>
              <w:jc w:val="center"/>
              <w:rPr>
                <w:rFonts w:hint="eastAsia" w:ascii="宋体" w:hAnsi="宋体" w:eastAsia="宋体" w:cs="宋体"/>
                <w:sz w:val="24"/>
                <w:szCs w:val="24"/>
              </w:rPr>
            </w:pPr>
          </w:p>
        </w:tc>
        <w:tc>
          <w:tcPr>
            <w:tcW w:w="851" w:type="dxa"/>
            <w:noWrap w:val="0"/>
            <w:vAlign w:val="center"/>
          </w:tcPr>
          <w:p w14:paraId="51C5C9C6">
            <w:pPr>
              <w:jc w:val="center"/>
              <w:rPr>
                <w:rFonts w:hint="eastAsia" w:ascii="宋体" w:hAnsi="宋体" w:eastAsia="宋体" w:cs="宋体"/>
                <w:sz w:val="24"/>
                <w:szCs w:val="24"/>
              </w:rPr>
            </w:pPr>
          </w:p>
        </w:tc>
        <w:tc>
          <w:tcPr>
            <w:tcW w:w="774" w:type="dxa"/>
            <w:noWrap w:val="0"/>
            <w:vAlign w:val="center"/>
          </w:tcPr>
          <w:p w14:paraId="5471E86E">
            <w:pPr>
              <w:jc w:val="center"/>
              <w:rPr>
                <w:rFonts w:hint="eastAsia" w:ascii="宋体" w:hAnsi="宋体" w:eastAsia="宋体" w:cs="宋体"/>
                <w:sz w:val="24"/>
                <w:szCs w:val="24"/>
              </w:rPr>
            </w:pPr>
          </w:p>
        </w:tc>
        <w:tc>
          <w:tcPr>
            <w:tcW w:w="1352" w:type="dxa"/>
            <w:noWrap w:val="0"/>
            <w:vAlign w:val="center"/>
          </w:tcPr>
          <w:p w14:paraId="67FDCCD5">
            <w:pPr>
              <w:jc w:val="center"/>
              <w:rPr>
                <w:rFonts w:hint="eastAsia" w:ascii="宋体" w:hAnsi="宋体" w:eastAsia="宋体" w:cs="宋体"/>
                <w:sz w:val="24"/>
                <w:szCs w:val="24"/>
              </w:rPr>
            </w:pPr>
          </w:p>
        </w:tc>
        <w:tc>
          <w:tcPr>
            <w:tcW w:w="1418" w:type="dxa"/>
            <w:noWrap w:val="0"/>
            <w:vAlign w:val="center"/>
          </w:tcPr>
          <w:p w14:paraId="7C9AE931">
            <w:pPr>
              <w:jc w:val="center"/>
              <w:rPr>
                <w:rFonts w:hint="eastAsia" w:ascii="宋体" w:hAnsi="宋体" w:eastAsia="宋体" w:cs="宋体"/>
                <w:sz w:val="24"/>
                <w:szCs w:val="24"/>
              </w:rPr>
            </w:pPr>
          </w:p>
        </w:tc>
        <w:tc>
          <w:tcPr>
            <w:tcW w:w="2268" w:type="dxa"/>
            <w:noWrap w:val="0"/>
            <w:vAlign w:val="center"/>
          </w:tcPr>
          <w:p w14:paraId="5F0B8F7E">
            <w:pPr>
              <w:jc w:val="center"/>
              <w:rPr>
                <w:rFonts w:hint="eastAsia" w:ascii="宋体" w:hAnsi="宋体" w:eastAsia="宋体" w:cs="宋体"/>
                <w:sz w:val="24"/>
                <w:szCs w:val="24"/>
              </w:rPr>
            </w:pPr>
          </w:p>
        </w:tc>
      </w:tr>
      <w:tr w14:paraId="1892BB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709" w:type="dxa"/>
            <w:noWrap w:val="0"/>
            <w:vAlign w:val="center"/>
          </w:tcPr>
          <w:p w14:paraId="744B76DF">
            <w:pPr>
              <w:jc w:val="center"/>
              <w:rPr>
                <w:rFonts w:hint="eastAsia" w:ascii="宋体" w:hAnsi="宋体" w:eastAsia="宋体" w:cs="宋体"/>
                <w:sz w:val="24"/>
                <w:szCs w:val="24"/>
              </w:rPr>
            </w:pPr>
          </w:p>
        </w:tc>
        <w:tc>
          <w:tcPr>
            <w:tcW w:w="1984" w:type="dxa"/>
            <w:noWrap w:val="0"/>
            <w:vAlign w:val="center"/>
          </w:tcPr>
          <w:p w14:paraId="001820B0">
            <w:pPr>
              <w:jc w:val="center"/>
              <w:rPr>
                <w:rFonts w:hint="eastAsia" w:ascii="宋体" w:hAnsi="宋体" w:eastAsia="宋体" w:cs="宋体"/>
                <w:sz w:val="24"/>
                <w:szCs w:val="24"/>
              </w:rPr>
            </w:pPr>
          </w:p>
        </w:tc>
        <w:tc>
          <w:tcPr>
            <w:tcW w:w="851" w:type="dxa"/>
            <w:noWrap w:val="0"/>
            <w:vAlign w:val="center"/>
          </w:tcPr>
          <w:p w14:paraId="59D00737">
            <w:pPr>
              <w:jc w:val="center"/>
              <w:rPr>
                <w:rFonts w:hint="eastAsia" w:ascii="宋体" w:hAnsi="宋体" w:eastAsia="宋体" w:cs="宋体"/>
                <w:sz w:val="24"/>
                <w:szCs w:val="24"/>
              </w:rPr>
            </w:pPr>
          </w:p>
        </w:tc>
        <w:tc>
          <w:tcPr>
            <w:tcW w:w="774" w:type="dxa"/>
            <w:noWrap w:val="0"/>
            <w:vAlign w:val="center"/>
          </w:tcPr>
          <w:p w14:paraId="190D1108">
            <w:pPr>
              <w:jc w:val="center"/>
              <w:rPr>
                <w:rFonts w:hint="eastAsia" w:ascii="宋体" w:hAnsi="宋体" w:eastAsia="宋体" w:cs="宋体"/>
                <w:sz w:val="24"/>
                <w:szCs w:val="24"/>
              </w:rPr>
            </w:pPr>
          </w:p>
        </w:tc>
        <w:tc>
          <w:tcPr>
            <w:tcW w:w="1352" w:type="dxa"/>
            <w:noWrap w:val="0"/>
            <w:vAlign w:val="center"/>
          </w:tcPr>
          <w:p w14:paraId="6C511933">
            <w:pPr>
              <w:jc w:val="center"/>
              <w:rPr>
                <w:rFonts w:hint="eastAsia" w:ascii="宋体" w:hAnsi="宋体" w:eastAsia="宋体" w:cs="宋体"/>
                <w:sz w:val="24"/>
                <w:szCs w:val="24"/>
              </w:rPr>
            </w:pPr>
          </w:p>
        </w:tc>
        <w:tc>
          <w:tcPr>
            <w:tcW w:w="1418" w:type="dxa"/>
            <w:noWrap w:val="0"/>
            <w:vAlign w:val="center"/>
          </w:tcPr>
          <w:p w14:paraId="43782310">
            <w:pPr>
              <w:jc w:val="center"/>
              <w:rPr>
                <w:rFonts w:hint="eastAsia" w:ascii="宋体" w:hAnsi="宋体" w:eastAsia="宋体" w:cs="宋体"/>
                <w:sz w:val="24"/>
                <w:szCs w:val="24"/>
              </w:rPr>
            </w:pPr>
          </w:p>
        </w:tc>
        <w:tc>
          <w:tcPr>
            <w:tcW w:w="2268" w:type="dxa"/>
            <w:noWrap w:val="0"/>
            <w:vAlign w:val="center"/>
          </w:tcPr>
          <w:p w14:paraId="2DAC927F">
            <w:pPr>
              <w:jc w:val="center"/>
              <w:rPr>
                <w:rFonts w:hint="eastAsia" w:ascii="宋体" w:hAnsi="宋体" w:eastAsia="宋体" w:cs="宋体"/>
                <w:sz w:val="24"/>
                <w:szCs w:val="24"/>
              </w:rPr>
            </w:pPr>
          </w:p>
        </w:tc>
      </w:tr>
      <w:tr w14:paraId="416D89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709" w:type="dxa"/>
            <w:noWrap w:val="0"/>
            <w:vAlign w:val="center"/>
          </w:tcPr>
          <w:p w14:paraId="512327E8">
            <w:pPr>
              <w:jc w:val="center"/>
              <w:rPr>
                <w:rFonts w:hint="eastAsia" w:ascii="宋体" w:hAnsi="宋体" w:eastAsia="宋体" w:cs="宋体"/>
                <w:sz w:val="24"/>
                <w:szCs w:val="24"/>
              </w:rPr>
            </w:pPr>
          </w:p>
        </w:tc>
        <w:tc>
          <w:tcPr>
            <w:tcW w:w="1984" w:type="dxa"/>
            <w:noWrap w:val="0"/>
            <w:vAlign w:val="center"/>
          </w:tcPr>
          <w:p w14:paraId="553C2601">
            <w:pPr>
              <w:jc w:val="center"/>
              <w:rPr>
                <w:rFonts w:hint="eastAsia" w:ascii="宋体" w:hAnsi="宋体" w:eastAsia="宋体" w:cs="宋体"/>
                <w:sz w:val="24"/>
                <w:szCs w:val="24"/>
              </w:rPr>
            </w:pPr>
          </w:p>
        </w:tc>
        <w:tc>
          <w:tcPr>
            <w:tcW w:w="851" w:type="dxa"/>
            <w:noWrap w:val="0"/>
            <w:vAlign w:val="center"/>
          </w:tcPr>
          <w:p w14:paraId="79537C66">
            <w:pPr>
              <w:jc w:val="center"/>
              <w:rPr>
                <w:rFonts w:hint="eastAsia" w:ascii="宋体" w:hAnsi="宋体" w:eastAsia="宋体" w:cs="宋体"/>
                <w:sz w:val="24"/>
                <w:szCs w:val="24"/>
              </w:rPr>
            </w:pPr>
          </w:p>
        </w:tc>
        <w:tc>
          <w:tcPr>
            <w:tcW w:w="774" w:type="dxa"/>
            <w:noWrap w:val="0"/>
            <w:vAlign w:val="center"/>
          </w:tcPr>
          <w:p w14:paraId="328A7849">
            <w:pPr>
              <w:jc w:val="center"/>
              <w:rPr>
                <w:rFonts w:hint="eastAsia" w:ascii="宋体" w:hAnsi="宋体" w:eastAsia="宋体" w:cs="宋体"/>
                <w:sz w:val="24"/>
                <w:szCs w:val="24"/>
              </w:rPr>
            </w:pPr>
          </w:p>
        </w:tc>
        <w:tc>
          <w:tcPr>
            <w:tcW w:w="1352" w:type="dxa"/>
            <w:noWrap w:val="0"/>
            <w:vAlign w:val="center"/>
          </w:tcPr>
          <w:p w14:paraId="5CD2B64B">
            <w:pPr>
              <w:jc w:val="center"/>
              <w:rPr>
                <w:rFonts w:hint="eastAsia" w:ascii="宋体" w:hAnsi="宋体" w:eastAsia="宋体" w:cs="宋体"/>
                <w:sz w:val="24"/>
                <w:szCs w:val="24"/>
              </w:rPr>
            </w:pPr>
          </w:p>
        </w:tc>
        <w:tc>
          <w:tcPr>
            <w:tcW w:w="1418" w:type="dxa"/>
            <w:noWrap w:val="0"/>
            <w:vAlign w:val="center"/>
          </w:tcPr>
          <w:p w14:paraId="2B4989C9">
            <w:pPr>
              <w:jc w:val="center"/>
              <w:rPr>
                <w:rFonts w:hint="eastAsia" w:ascii="宋体" w:hAnsi="宋体" w:eastAsia="宋体" w:cs="宋体"/>
                <w:sz w:val="24"/>
                <w:szCs w:val="24"/>
              </w:rPr>
            </w:pPr>
          </w:p>
        </w:tc>
        <w:tc>
          <w:tcPr>
            <w:tcW w:w="2268" w:type="dxa"/>
            <w:noWrap w:val="0"/>
            <w:vAlign w:val="center"/>
          </w:tcPr>
          <w:p w14:paraId="31655C04">
            <w:pPr>
              <w:jc w:val="center"/>
              <w:rPr>
                <w:rFonts w:hint="eastAsia" w:ascii="宋体" w:hAnsi="宋体" w:eastAsia="宋体" w:cs="宋体"/>
                <w:sz w:val="24"/>
                <w:szCs w:val="24"/>
              </w:rPr>
            </w:pPr>
          </w:p>
        </w:tc>
      </w:tr>
      <w:tr w14:paraId="4351F6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709" w:type="dxa"/>
            <w:noWrap w:val="0"/>
            <w:vAlign w:val="center"/>
          </w:tcPr>
          <w:p w14:paraId="14C1B447">
            <w:pPr>
              <w:jc w:val="center"/>
              <w:rPr>
                <w:rFonts w:hint="eastAsia" w:ascii="宋体" w:hAnsi="宋体" w:eastAsia="宋体" w:cs="宋体"/>
                <w:sz w:val="24"/>
                <w:szCs w:val="24"/>
              </w:rPr>
            </w:pPr>
          </w:p>
        </w:tc>
        <w:tc>
          <w:tcPr>
            <w:tcW w:w="1984" w:type="dxa"/>
            <w:noWrap w:val="0"/>
            <w:vAlign w:val="center"/>
          </w:tcPr>
          <w:p w14:paraId="6599ECFE">
            <w:pPr>
              <w:jc w:val="center"/>
              <w:rPr>
                <w:rFonts w:hint="eastAsia" w:ascii="宋体" w:hAnsi="宋体" w:eastAsia="宋体" w:cs="宋体"/>
                <w:sz w:val="24"/>
                <w:szCs w:val="24"/>
              </w:rPr>
            </w:pPr>
          </w:p>
        </w:tc>
        <w:tc>
          <w:tcPr>
            <w:tcW w:w="851" w:type="dxa"/>
            <w:noWrap w:val="0"/>
            <w:vAlign w:val="center"/>
          </w:tcPr>
          <w:p w14:paraId="26C6B74C">
            <w:pPr>
              <w:jc w:val="center"/>
              <w:rPr>
                <w:rFonts w:hint="eastAsia" w:ascii="宋体" w:hAnsi="宋体" w:eastAsia="宋体" w:cs="宋体"/>
                <w:sz w:val="24"/>
                <w:szCs w:val="24"/>
              </w:rPr>
            </w:pPr>
          </w:p>
        </w:tc>
        <w:tc>
          <w:tcPr>
            <w:tcW w:w="774" w:type="dxa"/>
            <w:noWrap w:val="0"/>
            <w:vAlign w:val="center"/>
          </w:tcPr>
          <w:p w14:paraId="331951BA">
            <w:pPr>
              <w:jc w:val="center"/>
              <w:rPr>
                <w:rFonts w:hint="eastAsia" w:ascii="宋体" w:hAnsi="宋体" w:eastAsia="宋体" w:cs="宋体"/>
                <w:sz w:val="24"/>
                <w:szCs w:val="24"/>
              </w:rPr>
            </w:pPr>
          </w:p>
        </w:tc>
        <w:tc>
          <w:tcPr>
            <w:tcW w:w="1352" w:type="dxa"/>
            <w:noWrap w:val="0"/>
            <w:vAlign w:val="center"/>
          </w:tcPr>
          <w:p w14:paraId="3CE7E3FA">
            <w:pPr>
              <w:jc w:val="center"/>
              <w:rPr>
                <w:rFonts w:hint="eastAsia" w:ascii="宋体" w:hAnsi="宋体" w:eastAsia="宋体" w:cs="宋体"/>
                <w:sz w:val="24"/>
                <w:szCs w:val="24"/>
              </w:rPr>
            </w:pPr>
          </w:p>
        </w:tc>
        <w:tc>
          <w:tcPr>
            <w:tcW w:w="1418" w:type="dxa"/>
            <w:noWrap w:val="0"/>
            <w:vAlign w:val="center"/>
          </w:tcPr>
          <w:p w14:paraId="1CF055F1">
            <w:pPr>
              <w:jc w:val="center"/>
              <w:rPr>
                <w:rFonts w:hint="eastAsia" w:ascii="宋体" w:hAnsi="宋体" w:eastAsia="宋体" w:cs="宋体"/>
                <w:sz w:val="24"/>
                <w:szCs w:val="24"/>
              </w:rPr>
            </w:pPr>
          </w:p>
        </w:tc>
        <w:tc>
          <w:tcPr>
            <w:tcW w:w="2268" w:type="dxa"/>
            <w:noWrap w:val="0"/>
            <w:vAlign w:val="center"/>
          </w:tcPr>
          <w:p w14:paraId="4A2EA847">
            <w:pPr>
              <w:jc w:val="center"/>
              <w:rPr>
                <w:rFonts w:hint="eastAsia" w:ascii="宋体" w:hAnsi="宋体" w:eastAsia="宋体" w:cs="宋体"/>
                <w:sz w:val="24"/>
                <w:szCs w:val="24"/>
              </w:rPr>
            </w:pPr>
          </w:p>
        </w:tc>
      </w:tr>
      <w:tr w14:paraId="723198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709" w:type="dxa"/>
            <w:noWrap w:val="0"/>
            <w:vAlign w:val="center"/>
          </w:tcPr>
          <w:p w14:paraId="37CF4EED">
            <w:pPr>
              <w:jc w:val="center"/>
              <w:rPr>
                <w:rFonts w:hint="eastAsia" w:ascii="宋体" w:hAnsi="宋体" w:eastAsia="宋体" w:cs="宋体"/>
                <w:sz w:val="24"/>
                <w:szCs w:val="24"/>
              </w:rPr>
            </w:pPr>
          </w:p>
        </w:tc>
        <w:tc>
          <w:tcPr>
            <w:tcW w:w="1984" w:type="dxa"/>
            <w:noWrap w:val="0"/>
            <w:vAlign w:val="center"/>
          </w:tcPr>
          <w:p w14:paraId="4A233674">
            <w:pPr>
              <w:jc w:val="center"/>
              <w:rPr>
                <w:rFonts w:hint="eastAsia" w:ascii="宋体" w:hAnsi="宋体" w:eastAsia="宋体" w:cs="宋体"/>
                <w:sz w:val="24"/>
                <w:szCs w:val="24"/>
              </w:rPr>
            </w:pPr>
          </w:p>
        </w:tc>
        <w:tc>
          <w:tcPr>
            <w:tcW w:w="851" w:type="dxa"/>
            <w:noWrap w:val="0"/>
            <w:vAlign w:val="center"/>
          </w:tcPr>
          <w:p w14:paraId="237AB03E">
            <w:pPr>
              <w:jc w:val="center"/>
              <w:rPr>
                <w:rFonts w:hint="eastAsia" w:ascii="宋体" w:hAnsi="宋体" w:eastAsia="宋体" w:cs="宋体"/>
                <w:sz w:val="24"/>
                <w:szCs w:val="24"/>
              </w:rPr>
            </w:pPr>
          </w:p>
        </w:tc>
        <w:tc>
          <w:tcPr>
            <w:tcW w:w="774" w:type="dxa"/>
            <w:noWrap w:val="0"/>
            <w:vAlign w:val="center"/>
          </w:tcPr>
          <w:p w14:paraId="1DA2324D">
            <w:pPr>
              <w:jc w:val="center"/>
              <w:rPr>
                <w:rFonts w:hint="eastAsia" w:ascii="宋体" w:hAnsi="宋体" w:eastAsia="宋体" w:cs="宋体"/>
                <w:sz w:val="24"/>
                <w:szCs w:val="24"/>
              </w:rPr>
            </w:pPr>
          </w:p>
        </w:tc>
        <w:tc>
          <w:tcPr>
            <w:tcW w:w="1352" w:type="dxa"/>
            <w:noWrap w:val="0"/>
            <w:vAlign w:val="center"/>
          </w:tcPr>
          <w:p w14:paraId="651613B1">
            <w:pPr>
              <w:jc w:val="center"/>
              <w:rPr>
                <w:rFonts w:hint="eastAsia" w:ascii="宋体" w:hAnsi="宋体" w:eastAsia="宋体" w:cs="宋体"/>
                <w:sz w:val="24"/>
                <w:szCs w:val="24"/>
              </w:rPr>
            </w:pPr>
          </w:p>
        </w:tc>
        <w:tc>
          <w:tcPr>
            <w:tcW w:w="1418" w:type="dxa"/>
            <w:noWrap w:val="0"/>
            <w:vAlign w:val="center"/>
          </w:tcPr>
          <w:p w14:paraId="5916DA2E">
            <w:pPr>
              <w:jc w:val="center"/>
              <w:rPr>
                <w:rFonts w:hint="eastAsia" w:ascii="宋体" w:hAnsi="宋体" w:eastAsia="宋体" w:cs="宋体"/>
                <w:sz w:val="24"/>
                <w:szCs w:val="24"/>
              </w:rPr>
            </w:pPr>
          </w:p>
        </w:tc>
        <w:tc>
          <w:tcPr>
            <w:tcW w:w="2268" w:type="dxa"/>
            <w:noWrap w:val="0"/>
            <w:vAlign w:val="center"/>
          </w:tcPr>
          <w:p w14:paraId="774A11FB">
            <w:pPr>
              <w:jc w:val="center"/>
              <w:rPr>
                <w:rFonts w:hint="eastAsia" w:ascii="宋体" w:hAnsi="宋体" w:eastAsia="宋体" w:cs="宋体"/>
                <w:sz w:val="24"/>
                <w:szCs w:val="24"/>
              </w:rPr>
            </w:pPr>
          </w:p>
        </w:tc>
      </w:tr>
      <w:tr w14:paraId="0E67DE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709" w:type="dxa"/>
            <w:noWrap w:val="0"/>
            <w:vAlign w:val="center"/>
          </w:tcPr>
          <w:p w14:paraId="0F0A6E2D">
            <w:pPr>
              <w:jc w:val="center"/>
              <w:rPr>
                <w:rFonts w:hint="eastAsia" w:ascii="宋体" w:hAnsi="宋体" w:eastAsia="宋体" w:cs="宋体"/>
                <w:sz w:val="24"/>
                <w:szCs w:val="24"/>
              </w:rPr>
            </w:pPr>
          </w:p>
        </w:tc>
        <w:tc>
          <w:tcPr>
            <w:tcW w:w="1984" w:type="dxa"/>
            <w:noWrap w:val="0"/>
            <w:vAlign w:val="center"/>
          </w:tcPr>
          <w:p w14:paraId="403A6F26">
            <w:pPr>
              <w:jc w:val="center"/>
              <w:rPr>
                <w:rFonts w:hint="eastAsia" w:ascii="宋体" w:hAnsi="宋体" w:eastAsia="宋体" w:cs="宋体"/>
                <w:sz w:val="24"/>
                <w:szCs w:val="24"/>
              </w:rPr>
            </w:pPr>
          </w:p>
        </w:tc>
        <w:tc>
          <w:tcPr>
            <w:tcW w:w="851" w:type="dxa"/>
            <w:noWrap w:val="0"/>
            <w:vAlign w:val="center"/>
          </w:tcPr>
          <w:p w14:paraId="01E60291">
            <w:pPr>
              <w:jc w:val="center"/>
              <w:rPr>
                <w:rFonts w:hint="eastAsia" w:ascii="宋体" w:hAnsi="宋体" w:eastAsia="宋体" w:cs="宋体"/>
                <w:sz w:val="24"/>
                <w:szCs w:val="24"/>
              </w:rPr>
            </w:pPr>
          </w:p>
        </w:tc>
        <w:tc>
          <w:tcPr>
            <w:tcW w:w="774" w:type="dxa"/>
            <w:noWrap w:val="0"/>
            <w:vAlign w:val="center"/>
          </w:tcPr>
          <w:p w14:paraId="2C5782C9">
            <w:pPr>
              <w:jc w:val="center"/>
              <w:rPr>
                <w:rFonts w:hint="eastAsia" w:ascii="宋体" w:hAnsi="宋体" w:eastAsia="宋体" w:cs="宋体"/>
                <w:sz w:val="24"/>
                <w:szCs w:val="24"/>
              </w:rPr>
            </w:pPr>
          </w:p>
        </w:tc>
        <w:tc>
          <w:tcPr>
            <w:tcW w:w="1352" w:type="dxa"/>
            <w:noWrap w:val="0"/>
            <w:vAlign w:val="center"/>
          </w:tcPr>
          <w:p w14:paraId="465B7239">
            <w:pPr>
              <w:jc w:val="center"/>
              <w:rPr>
                <w:rFonts w:hint="eastAsia" w:ascii="宋体" w:hAnsi="宋体" w:eastAsia="宋体" w:cs="宋体"/>
                <w:sz w:val="24"/>
                <w:szCs w:val="24"/>
              </w:rPr>
            </w:pPr>
          </w:p>
        </w:tc>
        <w:tc>
          <w:tcPr>
            <w:tcW w:w="1418" w:type="dxa"/>
            <w:noWrap w:val="0"/>
            <w:vAlign w:val="center"/>
          </w:tcPr>
          <w:p w14:paraId="2CFC1272">
            <w:pPr>
              <w:jc w:val="center"/>
              <w:rPr>
                <w:rFonts w:hint="eastAsia" w:ascii="宋体" w:hAnsi="宋体" w:eastAsia="宋体" w:cs="宋体"/>
                <w:sz w:val="24"/>
                <w:szCs w:val="24"/>
              </w:rPr>
            </w:pPr>
          </w:p>
        </w:tc>
        <w:tc>
          <w:tcPr>
            <w:tcW w:w="2268" w:type="dxa"/>
            <w:noWrap w:val="0"/>
            <w:vAlign w:val="center"/>
          </w:tcPr>
          <w:p w14:paraId="40CAE090">
            <w:pPr>
              <w:jc w:val="center"/>
              <w:rPr>
                <w:rFonts w:hint="eastAsia" w:ascii="宋体" w:hAnsi="宋体" w:eastAsia="宋体" w:cs="宋体"/>
                <w:sz w:val="24"/>
                <w:szCs w:val="24"/>
              </w:rPr>
            </w:pPr>
          </w:p>
        </w:tc>
      </w:tr>
      <w:tr w14:paraId="19F879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709" w:type="dxa"/>
            <w:noWrap w:val="0"/>
            <w:vAlign w:val="center"/>
          </w:tcPr>
          <w:p w14:paraId="2A0F9D66">
            <w:pPr>
              <w:jc w:val="center"/>
              <w:rPr>
                <w:rFonts w:hint="eastAsia" w:ascii="宋体" w:hAnsi="宋体" w:eastAsia="宋体" w:cs="宋体"/>
                <w:sz w:val="24"/>
                <w:szCs w:val="24"/>
              </w:rPr>
            </w:pPr>
          </w:p>
        </w:tc>
        <w:tc>
          <w:tcPr>
            <w:tcW w:w="1984" w:type="dxa"/>
            <w:noWrap w:val="0"/>
            <w:vAlign w:val="center"/>
          </w:tcPr>
          <w:p w14:paraId="79CF01F9">
            <w:pPr>
              <w:jc w:val="center"/>
              <w:rPr>
                <w:rFonts w:hint="eastAsia" w:ascii="宋体" w:hAnsi="宋体" w:eastAsia="宋体" w:cs="宋体"/>
                <w:sz w:val="24"/>
                <w:szCs w:val="24"/>
              </w:rPr>
            </w:pPr>
          </w:p>
        </w:tc>
        <w:tc>
          <w:tcPr>
            <w:tcW w:w="851" w:type="dxa"/>
            <w:noWrap w:val="0"/>
            <w:vAlign w:val="center"/>
          </w:tcPr>
          <w:p w14:paraId="5220E8C4">
            <w:pPr>
              <w:jc w:val="center"/>
              <w:rPr>
                <w:rFonts w:hint="eastAsia" w:ascii="宋体" w:hAnsi="宋体" w:eastAsia="宋体" w:cs="宋体"/>
                <w:sz w:val="24"/>
                <w:szCs w:val="24"/>
              </w:rPr>
            </w:pPr>
          </w:p>
        </w:tc>
        <w:tc>
          <w:tcPr>
            <w:tcW w:w="774" w:type="dxa"/>
            <w:noWrap w:val="0"/>
            <w:vAlign w:val="center"/>
          </w:tcPr>
          <w:p w14:paraId="0D040EED">
            <w:pPr>
              <w:jc w:val="center"/>
              <w:rPr>
                <w:rFonts w:hint="eastAsia" w:ascii="宋体" w:hAnsi="宋体" w:eastAsia="宋体" w:cs="宋体"/>
                <w:sz w:val="24"/>
                <w:szCs w:val="24"/>
              </w:rPr>
            </w:pPr>
          </w:p>
        </w:tc>
        <w:tc>
          <w:tcPr>
            <w:tcW w:w="1352" w:type="dxa"/>
            <w:noWrap w:val="0"/>
            <w:vAlign w:val="center"/>
          </w:tcPr>
          <w:p w14:paraId="61ADF6D8">
            <w:pPr>
              <w:jc w:val="center"/>
              <w:rPr>
                <w:rFonts w:hint="eastAsia" w:ascii="宋体" w:hAnsi="宋体" w:eastAsia="宋体" w:cs="宋体"/>
                <w:sz w:val="24"/>
                <w:szCs w:val="24"/>
              </w:rPr>
            </w:pPr>
          </w:p>
        </w:tc>
        <w:tc>
          <w:tcPr>
            <w:tcW w:w="1418" w:type="dxa"/>
            <w:noWrap w:val="0"/>
            <w:vAlign w:val="center"/>
          </w:tcPr>
          <w:p w14:paraId="2613503F">
            <w:pPr>
              <w:jc w:val="center"/>
              <w:rPr>
                <w:rFonts w:hint="eastAsia" w:ascii="宋体" w:hAnsi="宋体" w:eastAsia="宋体" w:cs="宋体"/>
                <w:sz w:val="24"/>
                <w:szCs w:val="24"/>
              </w:rPr>
            </w:pPr>
          </w:p>
        </w:tc>
        <w:tc>
          <w:tcPr>
            <w:tcW w:w="2268" w:type="dxa"/>
            <w:noWrap w:val="0"/>
            <w:vAlign w:val="center"/>
          </w:tcPr>
          <w:p w14:paraId="7939C542">
            <w:pPr>
              <w:jc w:val="center"/>
              <w:rPr>
                <w:rFonts w:hint="eastAsia" w:ascii="宋体" w:hAnsi="宋体" w:eastAsia="宋体" w:cs="宋体"/>
                <w:sz w:val="24"/>
                <w:szCs w:val="24"/>
              </w:rPr>
            </w:pPr>
          </w:p>
        </w:tc>
      </w:tr>
      <w:tr w14:paraId="69EA8A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709" w:type="dxa"/>
            <w:noWrap w:val="0"/>
            <w:vAlign w:val="center"/>
          </w:tcPr>
          <w:p w14:paraId="4F753402">
            <w:pPr>
              <w:jc w:val="center"/>
              <w:rPr>
                <w:rFonts w:hint="eastAsia" w:ascii="宋体" w:hAnsi="宋体" w:eastAsia="宋体" w:cs="宋体"/>
                <w:sz w:val="24"/>
                <w:szCs w:val="24"/>
              </w:rPr>
            </w:pPr>
          </w:p>
        </w:tc>
        <w:tc>
          <w:tcPr>
            <w:tcW w:w="1984" w:type="dxa"/>
            <w:noWrap w:val="0"/>
            <w:vAlign w:val="center"/>
          </w:tcPr>
          <w:p w14:paraId="00708139">
            <w:pPr>
              <w:jc w:val="center"/>
              <w:rPr>
                <w:rFonts w:hint="eastAsia" w:ascii="宋体" w:hAnsi="宋体" w:eastAsia="宋体" w:cs="宋体"/>
                <w:sz w:val="24"/>
                <w:szCs w:val="24"/>
              </w:rPr>
            </w:pPr>
          </w:p>
        </w:tc>
        <w:tc>
          <w:tcPr>
            <w:tcW w:w="851" w:type="dxa"/>
            <w:noWrap w:val="0"/>
            <w:vAlign w:val="center"/>
          </w:tcPr>
          <w:p w14:paraId="29DA5200">
            <w:pPr>
              <w:jc w:val="center"/>
              <w:rPr>
                <w:rFonts w:hint="eastAsia" w:ascii="宋体" w:hAnsi="宋体" w:eastAsia="宋体" w:cs="宋体"/>
                <w:sz w:val="24"/>
                <w:szCs w:val="24"/>
              </w:rPr>
            </w:pPr>
          </w:p>
        </w:tc>
        <w:tc>
          <w:tcPr>
            <w:tcW w:w="774" w:type="dxa"/>
            <w:noWrap w:val="0"/>
            <w:vAlign w:val="center"/>
          </w:tcPr>
          <w:p w14:paraId="169B9BA0">
            <w:pPr>
              <w:jc w:val="center"/>
              <w:rPr>
                <w:rFonts w:hint="eastAsia" w:ascii="宋体" w:hAnsi="宋体" w:eastAsia="宋体" w:cs="宋体"/>
                <w:sz w:val="24"/>
                <w:szCs w:val="24"/>
              </w:rPr>
            </w:pPr>
          </w:p>
        </w:tc>
        <w:tc>
          <w:tcPr>
            <w:tcW w:w="1352" w:type="dxa"/>
            <w:noWrap w:val="0"/>
            <w:vAlign w:val="center"/>
          </w:tcPr>
          <w:p w14:paraId="2232F809">
            <w:pPr>
              <w:jc w:val="center"/>
              <w:rPr>
                <w:rFonts w:hint="eastAsia" w:ascii="宋体" w:hAnsi="宋体" w:eastAsia="宋体" w:cs="宋体"/>
                <w:sz w:val="24"/>
                <w:szCs w:val="24"/>
              </w:rPr>
            </w:pPr>
          </w:p>
        </w:tc>
        <w:tc>
          <w:tcPr>
            <w:tcW w:w="1418" w:type="dxa"/>
            <w:noWrap w:val="0"/>
            <w:vAlign w:val="center"/>
          </w:tcPr>
          <w:p w14:paraId="2AAAAB7A">
            <w:pPr>
              <w:jc w:val="center"/>
              <w:rPr>
                <w:rFonts w:hint="eastAsia" w:ascii="宋体" w:hAnsi="宋体" w:eastAsia="宋体" w:cs="宋体"/>
                <w:sz w:val="24"/>
                <w:szCs w:val="24"/>
              </w:rPr>
            </w:pPr>
          </w:p>
        </w:tc>
        <w:tc>
          <w:tcPr>
            <w:tcW w:w="2268" w:type="dxa"/>
            <w:noWrap w:val="0"/>
            <w:vAlign w:val="center"/>
          </w:tcPr>
          <w:p w14:paraId="0C291479">
            <w:pPr>
              <w:jc w:val="center"/>
              <w:rPr>
                <w:rFonts w:hint="eastAsia" w:ascii="宋体" w:hAnsi="宋体" w:eastAsia="宋体" w:cs="宋体"/>
                <w:sz w:val="24"/>
                <w:szCs w:val="24"/>
              </w:rPr>
            </w:pPr>
          </w:p>
        </w:tc>
      </w:tr>
      <w:tr w14:paraId="62032D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709" w:type="dxa"/>
            <w:noWrap w:val="0"/>
            <w:vAlign w:val="center"/>
          </w:tcPr>
          <w:p w14:paraId="7358C04E">
            <w:pPr>
              <w:jc w:val="center"/>
              <w:rPr>
                <w:rFonts w:hint="eastAsia" w:ascii="宋体" w:hAnsi="宋体" w:eastAsia="宋体" w:cs="宋体"/>
                <w:sz w:val="24"/>
                <w:szCs w:val="24"/>
              </w:rPr>
            </w:pPr>
          </w:p>
        </w:tc>
        <w:tc>
          <w:tcPr>
            <w:tcW w:w="1984" w:type="dxa"/>
            <w:noWrap w:val="0"/>
            <w:vAlign w:val="center"/>
          </w:tcPr>
          <w:p w14:paraId="68A00501">
            <w:pPr>
              <w:jc w:val="center"/>
              <w:rPr>
                <w:rFonts w:hint="eastAsia" w:ascii="宋体" w:hAnsi="宋体" w:eastAsia="宋体" w:cs="宋体"/>
                <w:sz w:val="24"/>
                <w:szCs w:val="24"/>
              </w:rPr>
            </w:pPr>
          </w:p>
        </w:tc>
        <w:tc>
          <w:tcPr>
            <w:tcW w:w="851" w:type="dxa"/>
            <w:noWrap w:val="0"/>
            <w:vAlign w:val="center"/>
          </w:tcPr>
          <w:p w14:paraId="2E1088D0">
            <w:pPr>
              <w:jc w:val="center"/>
              <w:rPr>
                <w:rFonts w:hint="eastAsia" w:ascii="宋体" w:hAnsi="宋体" w:eastAsia="宋体" w:cs="宋体"/>
                <w:sz w:val="24"/>
                <w:szCs w:val="24"/>
              </w:rPr>
            </w:pPr>
          </w:p>
        </w:tc>
        <w:tc>
          <w:tcPr>
            <w:tcW w:w="774" w:type="dxa"/>
            <w:noWrap w:val="0"/>
            <w:vAlign w:val="center"/>
          </w:tcPr>
          <w:p w14:paraId="3DD470C5">
            <w:pPr>
              <w:jc w:val="center"/>
              <w:rPr>
                <w:rFonts w:hint="eastAsia" w:ascii="宋体" w:hAnsi="宋体" w:eastAsia="宋体" w:cs="宋体"/>
                <w:sz w:val="24"/>
                <w:szCs w:val="24"/>
              </w:rPr>
            </w:pPr>
          </w:p>
        </w:tc>
        <w:tc>
          <w:tcPr>
            <w:tcW w:w="1352" w:type="dxa"/>
            <w:noWrap w:val="0"/>
            <w:vAlign w:val="center"/>
          </w:tcPr>
          <w:p w14:paraId="0009E49D">
            <w:pPr>
              <w:jc w:val="center"/>
              <w:rPr>
                <w:rFonts w:hint="eastAsia" w:ascii="宋体" w:hAnsi="宋体" w:eastAsia="宋体" w:cs="宋体"/>
                <w:sz w:val="24"/>
                <w:szCs w:val="24"/>
              </w:rPr>
            </w:pPr>
          </w:p>
        </w:tc>
        <w:tc>
          <w:tcPr>
            <w:tcW w:w="1418" w:type="dxa"/>
            <w:noWrap w:val="0"/>
            <w:vAlign w:val="center"/>
          </w:tcPr>
          <w:p w14:paraId="7A9776C3">
            <w:pPr>
              <w:jc w:val="center"/>
              <w:rPr>
                <w:rFonts w:hint="eastAsia" w:ascii="宋体" w:hAnsi="宋体" w:eastAsia="宋体" w:cs="宋体"/>
                <w:sz w:val="24"/>
                <w:szCs w:val="24"/>
              </w:rPr>
            </w:pPr>
          </w:p>
        </w:tc>
        <w:tc>
          <w:tcPr>
            <w:tcW w:w="2268" w:type="dxa"/>
            <w:noWrap w:val="0"/>
            <w:vAlign w:val="center"/>
          </w:tcPr>
          <w:p w14:paraId="358F0ECE">
            <w:pPr>
              <w:jc w:val="center"/>
              <w:rPr>
                <w:rFonts w:hint="eastAsia" w:ascii="宋体" w:hAnsi="宋体" w:eastAsia="宋体" w:cs="宋体"/>
                <w:sz w:val="24"/>
                <w:szCs w:val="24"/>
              </w:rPr>
            </w:pPr>
          </w:p>
        </w:tc>
      </w:tr>
      <w:tr w14:paraId="13228C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709" w:type="dxa"/>
            <w:noWrap w:val="0"/>
            <w:vAlign w:val="center"/>
          </w:tcPr>
          <w:p w14:paraId="38F8DFC4">
            <w:pPr>
              <w:jc w:val="center"/>
              <w:rPr>
                <w:rFonts w:hint="eastAsia" w:ascii="宋体" w:hAnsi="宋体" w:eastAsia="宋体" w:cs="宋体"/>
                <w:sz w:val="24"/>
                <w:szCs w:val="24"/>
              </w:rPr>
            </w:pPr>
          </w:p>
        </w:tc>
        <w:tc>
          <w:tcPr>
            <w:tcW w:w="1984" w:type="dxa"/>
            <w:noWrap w:val="0"/>
            <w:vAlign w:val="center"/>
          </w:tcPr>
          <w:p w14:paraId="41E7563B">
            <w:pPr>
              <w:jc w:val="center"/>
              <w:rPr>
                <w:rFonts w:hint="eastAsia" w:ascii="宋体" w:hAnsi="宋体" w:eastAsia="宋体" w:cs="宋体"/>
                <w:sz w:val="24"/>
                <w:szCs w:val="24"/>
              </w:rPr>
            </w:pPr>
          </w:p>
        </w:tc>
        <w:tc>
          <w:tcPr>
            <w:tcW w:w="851" w:type="dxa"/>
            <w:noWrap w:val="0"/>
            <w:vAlign w:val="center"/>
          </w:tcPr>
          <w:p w14:paraId="3E914155">
            <w:pPr>
              <w:jc w:val="center"/>
              <w:rPr>
                <w:rFonts w:hint="eastAsia" w:ascii="宋体" w:hAnsi="宋体" w:eastAsia="宋体" w:cs="宋体"/>
                <w:sz w:val="24"/>
                <w:szCs w:val="24"/>
              </w:rPr>
            </w:pPr>
          </w:p>
        </w:tc>
        <w:tc>
          <w:tcPr>
            <w:tcW w:w="774" w:type="dxa"/>
            <w:noWrap w:val="0"/>
            <w:vAlign w:val="center"/>
          </w:tcPr>
          <w:p w14:paraId="3F01F5D7">
            <w:pPr>
              <w:jc w:val="center"/>
              <w:rPr>
                <w:rFonts w:hint="eastAsia" w:ascii="宋体" w:hAnsi="宋体" w:eastAsia="宋体" w:cs="宋体"/>
                <w:sz w:val="24"/>
                <w:szCs w:val="24"/>
              </w:rPr>
            </w:pPr>
          </w:p>
        </w:tc>
        <w:tc>
          <w:tcPr>
            <w:tcW w:w="1352" w:type="dxa"/>
            <w:noWrap w:val="0"/>
            <w:vAlign w:val="center"/>
          </w:tcPr>
          <w:p w14:paraId="2E6AD4BF">
            <w:pPr>
              <w:jc w:val="center"/>
              <w:rPr>
                <w:rFonts w:hint="eastAsia" w:ascii="宋体" w:hAnsi="宋体" w:eastAsia="宋体" w:cs="宋体"/>
                <w:sz w:val="24"/>
                <w:szCs w:val="24"/>
              </w:rPr>
            </w:pPr>
          </w:p>
        </w:tc>
        <w:tc>
          <w:tcPr>
            <w:tcW w:w="1418" w:type="dxa"/>
            <w:noWrap w:val="0"/>
            <w:vAlign w:val="center"/>
          </w:tcPr>
          <w:p w14:paraId="19F2BB04">
            <w:pPr>
              <w:jc w:val="center"/>
              <w:rPr>
                <w:rFonts w:hint="eastAsia" w:ascii="宋体" w:hAnsi="宋体" w:eastAsia="宋体" w:cs="宋体"/>
                <w:sz w:val="24"/>
                <w:szCs w:val="24"/>
              </w:rPr>
            </w:pPr>
          </w:p>
        </w:tc>
        <w:tc>
          <w:tcPr>
            <w:tcW w:w="2268" w:type="dxa"/>
            <w:noWrap w:val="0"/>
            <w:vAlign w:val="center"/>
          </w:tcPr>
          <w:p w14:paraId="385450B7">
            <w:pPr>
              <w:jc w:val="center"/>
              <w:rPr>
                <w:rFonts w:hint="eastAsia" w:ascii="宋体" w:hAnsi="宋体" w:eastAsia="宋体" w:cs="宋体"/>
                <w:sz w:val="24"/>
                <w:szCs w:val="24"/>
              </w:rPr>
            </w:pPr>
          </w:p>
        </w:tc>
      </w:tr>
      <w:tr w14:paraId="339CCB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709" w:type="dxa"/>
            <w:noWrap w:val="0"/>
            <w:vAlign w:val="center"/>
          </w:tcPr>
          <w:p w14:paraId="66C6B01E">
            <w:pPr>
              <w:jc w:val="center"/>
              <w:rPr>
                <w:rFonts w:hint="eastAsia" w:ascii="宋体" w:hAnsi="宋体" w:eastAsia="宋体" w:cs="宋体"/>
                <w:sz w:val="24"/>
                <w:szCs w:val="24"/>
              </w:rPr>
            </w:pPr>
          </w:p>
        </w:tc>
        <w:tc>
          <w:tcPr>
            <w:tcW w:w="1984" w:type="dxa"/>
            <w:noWrap w:val="0"/>
            <w:vAlign w:val="center"/>
          </w:tcPr>
          <w:p w14:paraId="0B7003C5">
            <w:pPr>
              <w:jc w:val="center"/>
              <w:rPr>
                <w:rFonts w:hint="eastAsia" w:ascii="宋体" w:hAnsi="宋体" w:eastAsia="宋体" w:cs="宋体"/>
                <w:sz w:val="24"/>
                <w:szCs w:val="24"/>
              </w:rPr>
            </w:pPr>
          </w:p>
        </w:tc>
        <w:tc>
          <w:tcPr>
            <w:tcW w:w="851" w:type="dxa"/>
            <w:noWrap w:val="0"/>
            <w:vAlign w:val="center"/>
          </w:tcPr>
          <w:p w14:paraId="487C5F58">
            <w:pPr>
              <w:jc w:val="center"/>
              <w:rPr>
                <w:rFonts w:hint="eastAsia" w:ascii="宋体" w:hAnsi="宋体" w:eastAsia="宋体" w:cs="宋体"/>
                <w:sz w:val="24"/>
                <w:szCs w:val="24"/>
              </w:rPr>
            </w:pPr>
          </w:p>
        </w:tc>
        <w:tc>
          <w:tcPr>
            <w:tcW w:w="774" w:type="dxa"/>
            <w:noWrap w:val="0"/>
            <w:vAlign w:val="center"/>
          </w:tcPr>
          <w:p w14:paraId="479EB391">
            <w:pPr>
              <w:jc w:val="center"/>
              <w:rPr>
                <w:rFonts w:hint="eastAsia" w:ascii="宋体" w:hAnsi="宋体" w:eastAsia="宋体" w:cs="宋体"/>
                <w:sz w:val="24"/>
                <w:szCs w:val="24"/>
              </w:rPr>
            </w:pPr>
          </w:p>
        </w:tc>
        <w:tc>
          <w:tcPr>
            <w:tcW w:w="1352" w:type="dxa"/>
            <w:noWrap w:val="0"/>
            <w:vAlign w:val="center"/>
          </w:tcPr>
          <w:p w14:paraId="21FE20A7">
            <w:pPr>
              <w:jc w:val="center"/>
              <w:rPr>
                <w:rFonts w:hint="eastAsia" w:ascii="宋体" w:hAnsi="宋体" w:eastAsia="宋体" w:cs="宋体"/>
                <w:sz w:val="24"/>
                <w:szCs w:val="24"/>
              </w:rPr>
            </w:pPr>
          </w:p>
        </w:tc>
        <w:tc>
          <w:tcPr>
            <w:tcW w:w="1418" w:type="dxa"/>
            <w:noWrap w:val="0"/>
            <w:vAlign w:val="center"/>
          </w:tcPr>
          <w:p w14:paraId="76490D7B">
            <w:pPr>
              <w:jc w:val="center"/>
              <w:rPr>
                <w:rFonts w:hint="eastAsia" w:ascii="宋体" w:hAnsi="宋体" w:eastAsia="宋体" w:cs="宋体"/>
                <w:sz w:val="24"/>
                <w:szCs w:val="24"/>
              </w:rPr>
            </w:pPr>
          </w:p>
        </w:tc>
        <w:tc>
          <w:tcPr>
            <w:tcW w:w="2268" w:type="dxa"/>
            <w:noWrap w:val="0"/>
            <w:vAlign w:val="center"/>
          </w:tcPr>
          <w:p w14:paraId="133D72DD">
            <w:pPr>
              <w:jc w:val="center"/>
              <w:rPr>
                <w:rFonts w:hint="eastAsia" w:ascii="宋体" w:hAnsi="宋体" w:eastAsia="宋体" w:cs="宋体"/>
                <w:sz w:val="24"/>
                <w:szCs w:val="24"/>
              </w:rPr>
            </w:pPr>
          </w:p>
        </w:tc>
      </w:tr>
      <w:tr w14:paraId="3561D5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709" w:type="dxa"/>
            <w:noWrap w:val="0"/>
            <w:vAlign w:val="center"/>
          </w:tcPr>
          <w:p w14:paraId="123C128A">
            <w:pPr>
              <w:jc w:val="center"/>
              <w:rPr>
                <w:rFonts w:hint="eastAsia" w:ascii="宋体" w:hAnsi="宋体" w:eastAsia="宋体" w:cs="宋体"/>
                <w:sz w:val="24"/>
                <w:szCs w:val="24"/>
              </w:rPr>
            </w:pPr>
          </w:p>
        </w:tc>
        <w:tc>
          <w:tcPr>
            <w:tcW w:w="1984" w:type="dxa"/>
            <w:noWrap w:val="0"/>
            <w:vAlign w:val="center"/>
          </w:tcPr>
          <w:p w14:paraId="4B080ED4">
            <w:pPr>
              <w:jc w:val="center"/>
              <w:rPr>
                <w:rFonts w:hint="eastAsia" w:ascii="宋体" w:hAnsi="宋体" w:eastAsia="宋体" w:cs="宋体"/>
                <w:sz w:val="24"/>
                <w:szCs w:val="24"/>
              </w:rPr>
            </w:pPr>
          </w:p>
        </w:tc>
        <w:tc>
          <w:tcPr>
            <w:tcW w:w="851" w:type="dxa"/>
            <w:noWrap w:val="0"/>
            <w:vAlign w:val="center"/>
          </w:tcPr>
          <w:p w14:paraId="3FC90B65">
            <w:pPr>
              <w:jc w:val="center"/>
              <w:rPr>
                <w:rFonts w:hint="eastAsia" w:ascii="宋体" w:hAnsi="宋体" w:eastAsia="宋体" w:cs="宋体"/>
                <w:sz w:val="24"/>
                <w:szCs w:val="24"/>
              </w:rPr>
            </w:pPr>
          </w:p>
        </w:tc>
        <w:tc>
          <w:tcPr>
            <w:tcW w:w="774" w:type="dxa"/>
            <w:noWrap w:val="0"/>
            <w:vAlign w:val="center"/>
          </w:tcPr>
          <w:p w14:paraId="130BF99B">
            <w:pPr>
              <w:jc w:val="center"/>
              <w:rPr>
                <w:rFonts w:hint="eastAsia" w:ascii="宋体" w:hAnsi="宋体" w:eastAsia="宋体" w:cs="宋体"/>
                <w:sz w:val="24"/>
                <w:szCs w:val="24"/>
              </w:rPr>
            </w:pPr>
          </w:p>
        </w:tc>
        <w:tc>
          <w:tcPr>
            <w:tcW w:w="1352" w:type="dxa"/>
            <w:noWrap w:val="0"/>
            <w:vAlign w:val="center"/>
          </w:tcPr>
          <w:p w14:paraId="34ABBBE0">
            <w:pPr>
              <w:jc w:val="center"/>
              <w:rPr>
                <w:rFonts w:hint="eastAsia" w:ascii="宋体" w:hAnsi="宋体" w:eastAsia="宋体" w:cs="宋体"/>
                <w:sz w:val="24"/>
                <w:szCs w:val="24"/>
              </w:rPr>
            </w:pPr>
          </w:p>
        </w:tc>
        <w:tc>
          <w:tcPr>
            <w:tcW w:w="1418" w:type="dxa"/>
            <w:noWrap w:val="0"/>
            <w:vAlign w:val="center"/>
          </w:tcPr>
          <w:p w14:paraId="42ACF482">
            <w:pPr>
              <w:jc w:val="center"/>
              <w:rPr>
                <w:rFonts w:hint="eastAsia" w:ascii="宋体" w:hAnsi="宋体" w:eastAsia="宋体" w:cs="宋体"/>
                <w:sz w:val="24"/>
                <w:szCs w:val="24"/>
              </w:rPr>
            </w:pPr>
          </w:p>
        </w:tc>
        <w:tc>
          <w:tcPr>
            <w:tcW w:w="2268" w:type="dxa"/>
            <w:noWrap w:val="0"/>
            <w:vAlign w:val="center"/>
          </w:tcPr>
          <w:p w14:paraId="44948D61">
            <w:pPr>
              <w:jc w:val="center"/>
              <w:rPr>
                <w:rFonts w:hint="eastAsia" w:ascii="宋体" w:hAnsi="宋体" w:eastAsia="宋体" w:cs="宋体"/>
                <w:sz w:val="24"/>
                <w:szCs w:val="24"/>
              </w:rPr>
            </w:pPr>
          </w:p>
        </w:tc>
      </w:tr>
      <w:tr w14:paraId="7496A0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709" w:type="dxa"/>
            <w:noWrap w:val="0"/>
            <w:vAlign w:val="center"/>
          </w:tcPr>
          <w:p w14:paraId="18D520FB">
            <w:pPr>
              <w:jc w:val="center"/>
              <w:rPr>
                <w:rFonts w:hint="eastAsia" w:ascii="宋体" w:hAnsi="宋体" w:eastAsia="宋体" w:cs="宋体"/>
                <w:sz w:val="24"/>
                <w:szCs w:val="24"/>
              </w:rPr>
            </w:pPr>
          </w:p>
        </w:tc>
        <w:tc>
          <w:tcPr>
            <w:tcW w:w="1984" w:type="dxa"/>
            <w:noWrap w:val="0"/>
            <w:vAlign w:val="center"/>
          </w:tcPr>
          <w:p w14:paraId="2D0BDE0E">
            <w:pPr>
              <w:jc w:val="center"/>
              <w:rPr>
                <w:rFonts w:hint="eastAsia" w:ascii="宋体" w:hAnsi="宋体" w:eastAsia="宋体" w:cs="宋体"/>
                <w:sz w:val="24"/>
                <w:szCs w:val="24"/>
              </w:rPr>
            </w:pPr>
          </w:p>
        </w:tc>
        <w:tc>
          <w:tcPr>
            <w:tcW w:w="851" w:type="dxa"/>
            <w:noWrap w:val="0"/>
            <w:vAlign w:val="center"/>
          </w:tcPr>
          <w:p w14:paraId="676FEBF3">
            <w:pPr>
              <w:jc w:val="center"/>
              <w:rPr>
                <w:rFonts w:hint="eastAsia" w:ascii="宋体" w:hAnsi="宋体" w:eastAsia="宋体" w:cs="宋体"/>
                <w:sz w:val="24"/>
                <w:szCs w:val="24"/>
              </w:rPr>
            </w:pPr>
          </w:p>
        </w:tc>
        <w:tc>
          <w:tcPr>
            <w:tcW w:w="774" w:type="dxa"/>
            <w:noWrap w:val="0"/>
            <w:vAlign w:val="center"/>
          </w:tcPr>
          <w:p w14:paraId="4895F67D">
            <w:pPr>
              <w:jc w:val="center"/>
              <w:rPr>
                <w:rFonts w:hint="eastAsia" w:ascii="宋体" w:hAnsi="宋体" w:eastAsia="宋体" w:cs="宋体"/>
                <w:sz w:val="24"/>
                <w:szCs w:val="24"/>
              </w:rPr>
            </w:pPr>
          </w:p>
        </w:tc>
        <w:tc>
          <w:tcPr>
            <w:tcW w:w="1352" w:type="dxa"/>
            <w:noWrap w:val="0"/>
            <w:vAlign w:val="center"/>
          </w:tcPr>
          <w:p w14:paraId="7990D18E">
            <w:pPr>
              <w:jc w:val="center"/>
              <w:rPr>
                <w:rFonts w:hint="eastAsia" w:ascii="宋体" w:hAnsi="宋体" w:eastAsia="宋体" w:cs="宋体"/>
                <w:sz w:val="24"/>
                <w:szCs w:val="24"/>
              </w:rPr>
            </w:pPr>
          </w:p>
        </w:tc>
        <w:tc>
          <w:tcPr>
            <w:tcW w:w="1418" w:type="dxa"/>
            <w:noWrap w:val="0"/>
            <w:vAlign w:val="center"/>
          </w:tcPr>
          <w:p w14:paraId="061620E6">
            <w:pPr>
              <w:jc w:val="center"/>
              <w:rPr>
                <w:rFonts w:hint="eastAsia" w:ascii="宋体" w:hAnsi="宋体" w:eastAsia="宋体" w:cs="宋体"/>
                <w:sz w:val="24"/>
                <w:szCs w:val="24"/>
              </w:rPr>
            </w:pPr>
          </w:p>
        </w:tc>
        <w:tc>
          <w:tcPr>
            <w:tcW w:w="2268" w:type="dxa"/>
            <w:noWrap w:val="0"/>
            <w:vAlign w:val="center"/>
          </w:tcPr>
          <w:p w14:paraId="5C7DB3EF">
            <w:pPr>
              <w:jc w:val="center"/>
              <w:rPr>
                <w:rFonts w:hint="eastAsia" w:ascii="宋体" w:hAnsi="宋体" w:eastAsia="宋体" w:cs="宋体"/>
                <w:sz w:val="24"/>
                <w:szCs w:val="24"/>
              </w:rPr>
            </w:pPr>
          </w:p>
        </w:tc>
      </w:tr>
      <w:tr w14:paraId="590FCF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709" w:type="dxa"/>
            <w:noWrap w:val="0"/>
            <w:vAlign w:val="center"/>
          </w:tcPr>
          <w:p w14:paraId="379F4CE8">
            <w:pPr>
              <w:jc w:val="center"/>
              <w:rPr>
                <w:rFonts w:hint="eastAsia" w:ascii="宋体" w:hAnsi="宋体" w:eastAsia="宋体" w:cs="宋体"/>
                <w:sz w:val="24"/>
                <w:szCs w:val="24"/>
              </w:rPr>
            </w:pPr>
          </w:p>
        </w:tc>
        <w:tc>
          <w:tcPr>
            <w:tcW w:w="1984" w:type="dxa"/>
            <w:noWrap w:val="0"/>
            <w:vAlign w:val="center"/>
          </w:tcPr>
          <w:p w14:paraId="7C958F85">
            <w:pPr>
              <w:jc w:val="center"/>
              <w:rPr>
                <w:rFonts w:hint="eastAsia" w:ascii="宋体" w:hAnsi="宋体" w:eastAsia="宋体" w:cs="宋体"/>
                <w:sz w:val="24"/>
                <w:szCs w:val="24"/>
              </w:rPr>
            </w:pPr>
          </w:p>
        </w:tc>
        <w:tc>
          <w:tcPr>
            <w:tcW w:w="851" w:type="dxa"/>
            <w:noWrap w:val="0"/>
            <w:vAlign w:val="center"/>
          </w:tcPr>
          <w:p w14:paraId="685878E7">
            <w:pPr>
              <w:jc w:val="center"/>
              <w:rPr>
                <w:rFonts w:hint="eastAsia" w:ascii="宋体" w:hAnsi="宋体" w:eastAsia="宋体" w:cs="宋体"/>
                <w:sz w:val="24"/>
                <w:szCs w:val="24"/>
              </w:rPr>
            </w:pPr>
          </w:p>
        </w:tc>
        <w:tc>
          <w:tcPr>
            <w:tcW w:w="774" w:type="dxa"/>
            <w:noWrap w:val="0"/>
            <w:vAlign w:val="center"/>
          </w:tcPr>
          <w:p w14:paraId="2D3C01F4">
            <w:pPr>
              <w:jc w:val="center"/>
              <w:rPr>
                <w:rFonts w:hint="eastAsia" w:ascii="宋体" w:hAnsi="宋体" w:eastAsia="宋体" w:cs="宋体"/>
                <w:sz w:val="24"/>
                <w:szCs w:val="24"/>
              </w:rPr>
            </w:pPr>
          </w:p>
        </w:tc>
        <w:tc>
          <w:tcPr>
            <w:tcW w:w="1352" w:type="dxa"/>
            <w:noWrap w:val="0"/>
            <w:vAlign w:val="center"/>
          </w:tcPr>
          <w:p w14:paraId="559706BD">
            <w:pPr>
              <w:jc w:val="center"/>
              <w:rPr>
                <w:rFonts w:hint="eastAsia" w:ascii="宋体" w:hAnsi="宋体" w:eastAsia="宋体" w:cs="宋体"/>
                <w:sz w:val="24"/>
                <w:szCs w:val="24"/>
              </w:rPr>
            </w:pPr>
          </w:p>
        </w:tc>
        <w:tc>
          <w:tcPr>
            <w:tcW w:w="1418" w:type="dxa"/>
            <w:noWrap w:val="0"/>
            <w:vAlign w:val="center"/>
          </w:tcPr>
          <w:p w14:paraId="6F6564E3">
            <w:pPr>
              <w:jc w:val="center"/>
              <w:rPr>
                <w:rFonts w:hint="eastAsia" w:ascii="宋体" w:hAnsi="宋体" w:eastAsia="宋体" w:cs="宋体"/>
                <w:sz w:val="24"/>
                <w:szCs w:val="24"/>
              </w:rPr>
            </w:pPr>
          </w:p>
        </w:tc>
        <w:tc>
          <w:tcPr>
            <w:tcW w:w="2268" w:type="dxa"/>
            <w:noWrap w:val="0"/>
            <w:vAlign w:val="center"/>
          </w:tcPr>
          <w:p w14:paraId="1F96C192">
            <w:pPr>
              <w:jc w:val="center"/>
              <w:rPr>
                <w:rFonts w:hint="eastAsia" w:ascii="宋体" w:hAnsi="宋体" w:eastAsia="宋体" w:cs="宋体"/>
                <w:sz w:val="24"/>
                <w:szCs w:val="24"/>
              </w:rPr>
            </w:pPr>
          </w:p>
        </w:tc>
      </w:tr>
    </w:tbl>
    <w:p w14:paraId="534CA603">
      <w:pPr>
        <w:ind w:firstLine="600"/>
        <w:rPr>
          <w:rFonts w:hint="eastAsia" w:ascii="宋体" w:hAnsi="宋体" w:eastAsia="宋体" w:cs="宋体"/>
          <w:color w:val="000000"/>
          <w:sz w:val="30"/>
          <w:szCs w:val="30"/>
        </w:rPr>
      </w:pPr>
    </w:p>
    <w:p w14:paraId="2AD9650A">
      <w:pPr>
        <w:spacing w:before="120" w:beforeLines="50" w:after="120" w:afterLines="50"/>
        <w:rPr>
          <w:rFonts w:hint="eastAsia" w:ascii="宋体" w:hAnsi="宋体" w:eastAsia="宋体" w:cs="宋体"/>
          <w:color w:val="000000"/>
          <w:sz w:val="30"/>
          <w:szCs w:val="30"/>
        </w:rPr>
      </w:pPr>
      <w:r>
        <w:rPr>
          <w:rFonts w:hint="eastAsia" w:ascii="宋体" w:hAnsi="宋体" w:eastAsia="宋体" w:cs="宋体"/>
          <w:color w:val="000000"/>
          <w:sz w:val="30"/>
          <w:szCs w:val="30"/>
        </w:rPr>
        <w:br w:type="page"/>
      </w:r>
      <w:r>
        <w:rPr>
          <w:rFonts w:hint="eastAsia" w:ascii="宋体" w:hAnsi="宋体" w:eastAsia="宋体" w:cs="宋体"/>
          <w:color w:val="000000"/>
          <w:sz w:val="30"/>
          <w:szCs w:val="30"/>
        </w:rPr>
        <w:t>11-3：专业工程暂估价表</w:t>
      </w:r>
    </w:p>
    <w:tbl>
      <w:tblPr>
        <w:tblStyle w:val="17"/>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2409"/>
      </w:tblGrid>
      <w:tr w14:paraId="4AE4ED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14:paraId="7B7C7AF3">
            <w:pPr>
              <w:pStyle w:val="10"/>
              <w:keepNext/>
              <w:spacing w:after="0" w:line="240" w:lineRule="auto"/>
              <w:ind w:left="63" w:right="63"/>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序号</w:t>
            </w:r>
          </w:p>
        </w:tc>
        <w:tc>
          <w:tcPr>
            <w:tcW w:w="1984" w:type="dxa"/>
            <w:tcBorders>
              <w:top w:val="single" w:color="auto" w:sz="12" w:space="0"/>
              <w:bottom w:val="double" w:color="auto" w:sz="6" w:space="0"/>
            </w:tcBorders>
            <w:noWrap w:val="0"/>
            <w:vAlign w:val="top"/>
          </w:tcPr>
          <w:p w14:paraId="0D3EA54E">
            <w:pPr>
              <w:pStyle w:val="10"/>
              <w:keepNext/>
              <w:spacing w:after="0" w:line="240" w:lineRule="auto"/>
              <w:ind w:left="71" w:leftChars="34" w:right="63"/>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名称</w:t>
            </w:r>
          </w:p>
        </w:tc>
        <w:tc>
          <w:tcPr>
            <w:tcW w:w="851" w:type="dxa"/>
            <w:tcBorders>
              <w:top w:val="single" w:color="auto" w:sz="12" w:space="0"/>
              <w:bottom w:val="double" w:color="auto" w:sz="6" w:space="0"/>
            </w:tcBorders>
            <w:noWrap w:val="0"/>
            <w:vAlign w:val="top"/>
          </w:tcPr>
          <w:p w14:paraId="35559364">
            <w:pPr>
              <w:pStyle w:val="10"/>
              <w:keepNext/>
              <w:spacing w:after="0" w:line="240" w:lineRule="auto"/>
              <w:ind w:left="63" w:right="63"/>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单位</w:t>
            </w:r>
          </w:p>
        </w:tc>
        <w:tc>
          <w:tcPr>
            <w:tcW w:w="774" w:type="dxa"/>
            <w:tcBorders>
              <w:top w:val="single" w:color="auto" w:sz="12" w:space="0"/>
              <w:bottom w:val="double" w:color="auto" w:sz="6" w:space="0"/>
            </w:tcBorders>
            <w:noWrap w:val="0"/>
            <w:vAlign w:val="top"/>
          </w:tcPr>
          <w:p w14:paraId="746CAF9B">
            <w:pPr>
              <w:pStyle w:val="10"/>
              <w:keepNext/>
              <w:spacing w:after="0" w:line="240" w:lineRule="auto"/>
              <w:ind w:left="63" w:right="63"/>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数量</w:t>
            </w:r>
          </w:p>
        </w:tc>
        <w:tc>
          <w:tcPr>
            <w:tcW w:w="1352" w:type="dxa"/>
            <w:tcBorders>
              <w:top w:val="single" w:color="auto" w:sz="12" w:space="0"/>
              <w:bottom w:val="double" w:color="auto" w:sz="6" w:space="0"/>
            </w:tcBorders>
            <w:noWrap w:val="0"/>
            <w:vAlign w:val="top"/>
          </w:tcPr>
          <w:p w14:paraId="1740F836">
            <w:pPr>
              <w:pStyle w:val="10"/>
              <w:keepNext/>
              <w:spacing w:after="0" w:line="240" w:lineRule="auto"/>
              <w:ind w:left="63" w:right="63"/>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单价（元）</w:t>
            </w:r>
          </w:p>
        </w:tc>
        <w:tc>
          <w:tcPr>
            <w:tcW w:w="1418" w:type="dxa"/>
            <w:tcBorders>
              <w:top w:val="single" w:color="auto" w:sz="12" w:space="0"/>
              <w:bottom w:val="double" w:color="auto" w:sz="6" w:space="0"/>
            </w:tcBorders>
            <w:noWrap w:val="0"/>
            <w:vAlign w:val="top"/>
          </w:tcPr>
          <w:p w14:paraId="276F904F">
            <w:pPr>
              <w:pStyle w:val="10"/>
              <w:keepNext/>
              <w:spacing w:after="0" w:line="240" w:lineRule="auto"/>
              <w:ind w:left="63" w:right="63"/>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合价（元）</w:t>
            </w:r>
          </w:p>
        </w:tc>
        <w:tc>
          <w:tcPr>
            <w:tcW w:w="2409" w:type="dxa"/>
            <w:tcBorders>
              <w:top w:val="single" w:color="auto" w:sz="12" w:space="0"/>
              <w:bottom w:val="double" w:color="auto" w:sz="6" w:space="0"/>
            </w:tcBorders>
            <w:noWrap w:val="0"/>
            <w:vAlign w:val="top"/>
          </w:tcPr>
          <w:p w14:paraId="4CC1FD94">
            <w:pPr>
              <w:pStyle w:val="10"/>
              <w:keepNext/>
              <w:spacing w:after="0" w:line="240" w:lineRule="auto"/>
              <w:ind w:left="71" w:leftChars="34" w:right="63"/>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备注</w:t>
            </w:r>
          </w:p>
        </w:tc>
      </w:tr>
      <w:tr w14:paraId="5E27E6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noWrap w:val="0"/>
            <w:vAlign w:val="center"/>
          </w:tcPr>
          <w:p w14:paraId="6A881528">
            <w:pPr>
              <w:pStyle w:val="10"/>
              <w:keepNext/>
              <w:spacing w:after="0" w:line="240" w:lineRule="auto"/>
              <w:ind w:left="0" w:leftChars="0" w:right="63"/>
              <w:rPr>
                <w:rFonts w:hint="eastAsia" w:ascii="宋体" w:hAnsi="宋体" w:eastAsia="宋体" w:cs="宋体"/>
                <w:b/>
                <w:bCs/>
                <w:color w:val="000000"/>
                <w:kern w:val="2"/>
                <w:sz w:val="24"/>
                <w:szCs w:val="24"/>
              </w:rPr>
            </w:pPr>
            <w:r>
              <w:rPr>
                <w:rFonts w:hint="eastAsia" w:ascii="宋体" w:hAnsi="宋体" w:eastAsia="宋体" w:cs="宋体"/>
                <w:sz w:val="24"/>
                <w:szCs w:val="24"/>
              </w:rPr>
              <w:t>无</w:t>
            </w:r>
          </w:p>
        </w:tc>
        <w:tc>
          <w:tcPr>
            <w:tcW w:w="1984" w:type="dxa"/>
            <w:tcBorders>
              <w:top w:val="double" w:color="auto" w:sz="6" w:space="0"/>
              <w:bottom w:val="single" w:color="auto" w:sz="6" w:space="0"/>
            </w:tcBorders>
            <w:noWrap w:val="0"/>
            <w:vAlign w:val="center"/>
          </w:tcPr>
          <w:p w14:paraId="66FA20C5">
            <w:pPr>
              <w:pStyle w:val="10"/>
              <w:keepNext/>
              <w:spacing w:after="0" w:line="240" w:lineRule="auto"/>
              <w:ind w:left="0" w:leftChars="0" w:right="63"/>
              <w:rPr>
                <w:rFonts w:hint="eastAsia" w:ascii="宋体" w:hAnsi="宋体" w:eastAsia="宋体" w:cs="宋体"/>
                <w:b/>
                <w:bCs/>
                <w:color w:val="000000"/>
                <w:kern w:val="2"/>
                <w:sz w:val="24"/>
                <w:szCs w:val="24"/>
              </w:rPr>
            </w:pPr>
            <w:r>
              <w:rPr>
                <w:rFonts w:hint="eastAsia" w:ascii="宋体" w:hAnsi="宋体" w:eastAsia="宋体" w:cs="宋体"/>
                <w:sz w:val="24"/>
                <w:szCs w:val="24"/>
              </w:rPr>
              <w:t>无</w:t>
            </w:r>
          </w:p>
        </w:tc>
        <w:tc>
          <w:tcPr>
            <w:tcW w:w="851" w:type="dxa"/>
            <w:tcBorders>
              <w:top w:val="double" w:color="auto" w:sz="6" w:space="0"/>
              <w:bottom w:val="single" w:color="auto" w:sz="6" w:space="0"/>
            </w:tcBorders>
            <w:noWrap w:val="0"/>
            <w:vAlign w:val="center"/>
          </w:tcPr>
          <w:p w14:paraId="22451B4E">
            <w:pPr>
              <w:pStyle w:val="10"/>
              <w:keepNext/>
              <w:spacing w:after="0" w:line="240" w:lineRule="auto"/>
              <w:ind w:left="0" w:leftChars="0" w:right="63"/>
              <w:rPr>
                <w:rFonts w:hint="eastAsia" w:ascii="宋体" w:hAnsi="宋体" w:eastAsia="宋体" w:cs="宋体"/>
                <w:b/>
                <w:bCs/>
                <w:color w:val="000000"/>
                <w:kern w:val="2"/>
                <w:sz w:val="24"/>
                <w:szCs w:val="24"/>
              </w:rPr>
            </w:pPr>
            <w:r>
              <w:rPr>
                <w:rFonts w:hint="eastAsia" w:ascii="宋体" w:hAnsi="宋体" w:eastAsia="宋体" w:cs="宋体"/>
                <w:sz w:val="24"/>
                <w:szCs w:val="24"/>
              </w:rPr>
              <w:t>无</w:t>
            </w:r>
          </w:p>
        </w:tc>
        <w:tc>
          <w:tcPr>
            <w:tcW w:w="774" w:type="dxa"/>
            <w:tcBorders>
              <w:top w:val="double" w:color="auto" w:sz="6" w:space="0"/>
              <w:bottom w:val="single" w:color="auto" w:sz="6" w:space="0"/>
            </w:tcBorders>
            <w:noWrap w:val="0"/>
            <w:vAlign w:val="center"/>
          </w:tcPr>
          <w:p w14:paraId="7E7811B3">
            <w:pPr>
              <w:pStyle w:val="10"/>
              <w:keepNext/>
              <w:spacing w:after="0" w:line="240" w:lineRule="auto"/>
              <w:ind w:left="0" w:leftChars="0" w:right="63"/>
              <w:rPr>
                <w:rFonts w:hint="eastAsia" w:ascii="宋体" w:hAnsi="宋体" w:eastAsia="宋体" w:cs="宋体"/>
                <w:b/>
                <w:bCs/>
                <w:color w:val="000000"/>
                <w:kern w:val="2"/>
                <w:sz w:val="24"/>
                <w:szCs w:val="24"/>
              </w:rPr>
            </w:pPr>
            <w:r>
              <w:rPr>
                <w:rFonts w:hint="eastAsia" w:ascii="宋体" w:hAnsi="宋体" w:eastAsia="宋体" w:cs="宋体"/>
                <w:sz w:val="24"/>
                <w:szCs w:val="24"/>
              </w:rPr>
              <w:t>无</w:t>
            </w:r>
          </w:p>
        </w:tc>
        <w:tc>
          <w:tcPr>
            <w:tcW w:w="1352" w:type="dxa"/>
            <w:tcBorders>
              <w:top w:val="double" w:color="auto" w:sz="6" w:space="0"/>
              <w:bottom w:val="single" w:color="auto" w:sz="6" w:space="0"/>
            </w:tcBorders>
            <w:noWrap w:val="0"/>
            <w:vAlign w:val="center"/>
          </w:tcPr>
          <w:p w14:paraId="624CFCF4">
            <w:pPr>
              <w:pStyle w:val="10"/>
              <w:keepNext/>
              <w:spacing w:after="0" w:line="240" w:lineRule="auto"/>
              <w:ind w:left="0" w:leftChars="0" w:right="63"/>
              <w:rPr>
                <w:rFonts w:hint="eastAsia" w:ascii="宋体" w:hAnsi="宋体" w:eastAsia="宋体" w:cs="宋体"/>
                <w:color w:val="000000"/>
                <w:sz w:val="24"/>
                <w:szCs w:val="24"/>
              </w:rPr>
            </w:pPr>
            <w:r>
              <w:rPr>
                <w:rFonts w:hint="eastAsia" w:ascii="宋体" w:hAnsi="宋体" w:eastAsia="宋体" w:cs="宋体"/>
                <w:sz w:val="24"/>
                <w:szCs w:val="24"/>
              </w:rPr>
              <w:t>无</w:t>
            </w:r>
          </w:p>
        </w:tc>
        <w:tc>
          <w:tcPr>
            <w:tcW w:w="1418" w:type="dxa"/>
            <w:tcBorders>
              <w:top w:val="double" w:color="auto" w:sz="6" w:space="0"/>
              <w:bottom w:val="single" w:color="auto" w:sz="6" w:space="0"/>
            </w:tcBorders>
            <w:noWrap w:val="0"/>
            <w:vAlign w:val="center"/>
          </w:tcPr>
          <w:p w14:paraId="06D75054">
            <w:pPr>
              <w:pStyle w:val="10"/>
              <w:keepNext/>
              <w:spacing w:after="0" w:line="240" w:lineRule="auto"/>
              <w:ind w:left="0" w:leftChars="0" w:right="63"/>
              <w:rPr>
                <w:rFonts w:hint="eastAsia" w:ascii="宋体" w:hAnsi="宋体" w:eastAsia="宋体" w:cs="宋体"/>
                <w:color w:val="000000"/>
                <w:sz w:val="24"/>
                <w:szCs w:val="24"/>
              </w:rPr>
            </w:pPr>
            <w:r>
              <w:rPr>
                <w:rFonts w:hint="eastAsia" w:ascii="宋体" w:hAnsi="宋体" w:eastAsia="宋体" w:cs="宋体"/>
                <w:color w:val="000000"/>
                <w:sz w:val="24"/>
                <w:szCs w:val="24"/>
              </w:rPr>
              <w:t>无</w:t>
            </w:r>
          </w:p>
        </w:tc>
        <w:tc>
          <w:tcPr>
            <w:tcW w:w="2409" w:type="dxa"/>
            <w:tcBorders>
              <w:top w:val="double" w:color="auto" w:sz="6" w:space="0"/>
              <w:bottom w:val="single" w:color="auto" w:sz="6" w:space="0"/>
            </w:tcBorders>
            <w:noWrap w:val="0"/>
            <w:vAlign w:val="center"/>
          </w:tcPr>
          <w:p w14:paraId="0212CB68">
            <w:pPr>
              <w:pStyle w:val="10"/>
              <w:keepNext/>
              <w:spacing w:after="0" w:line="240" w:lineRule="auto"/>
              <w:ind w:left="0" w:leftChars="0" w:right="63"/>
              <w:rPr>
                <w:rFonts w:hint="eastAsia" w:ascii="宋体" w:hAnsi="宋体" w:eastAsia="宋体" w:cs="宋体"/>
                <w:color w:val="000000"/>
                <w:sz w:val="24"/>
                <w:szCs w:val="24"/>
              </w:rPr>
            </w:pPr>
            <w:r>
              <w:rPr>
                <w:rFonts w:hint="eastAsia" w:ascii="宋体" w:hAnsi="宋体" w:eastAsia="宋体" w:cs="宋体"/>
                <w:sz w:val="24"/>
                <w:szCs w:val="24"/>
              </w:rPr>
              <w:t>无</w:t>
            </w:r>
          </w:p>
        </w:tc>
      </w:tr>
      <w:tr w14:paraId="70C4A7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14:paraId="29DF9F46">
            <w:pPr>
              <w:pStyle w:val="10"/>
              <w:keepNext/>
              <w:spacing w:after="0" w:line="240" w:lineRule="auto"/>
              <w:ind w:left="63" w:right="63" w:firstLine="560"/>
              <w:rPr>
                <w:rFonts w:hint="eastAsia" w:ascii="宋体" w:hAnsi="宋体" w:eastAsia="宋体" w:cs="宋体"/>
                <w:b/>
                <w:bCs/>
                <w:color w:val="000000"/>
                <w:kern w:val="2"/>
                <w:sz w:val="24"/>
                <w:szCs w:val="24"/>
              </w:rPr>
            </w:pPr>
          </w:p>
        </w:tc>
        <w:tc>
          <w:tcPr>
            <w:tcW w:w="1984" w:type="dxa"/>
            <w:tcBorders>
              <w:top w:val="nil"/>
            </w:tcBorders>
            <w:noWrap w:val="0"/>
            <w:vAlign w:val="top"/>
          </w:tcPr>
          <w:p w14:paraId="77C72BE6">
            <w:pPr>
              <w:pStyle w:val="10"/>
              <w:keepNext/>
              <w:spacing w:after="0" w:line="240" w:lineRule="auto"/>
              <w:ind w:left="63" w:right="63" w:firstLine="560"/>
              <w:rPr>
                <w:rFonts w:hint="eastAsia" w:ascii="宋体" w:hAnsi="宋体" w:eastAsia="宋体" w:cs="宋体"/>
                <w:b/>
                <w:bCs/>
                <w:color w:val="000000"/>
                <w:kern w:val="2"/>
                <w:sz w:val="24"/>
                <w:szCs w:val="24"/>
              </w:rPr>
            </w:pPr>
          </w:p>
        </w:tc>
        <w:tc>
          <w:tcPr>
            <w:tcW w:w="851" w:type="dxa"/>
            <w:tcBorders>
              <w:top w:val="nil"/>
            </w:tcBorders>
            <w:noWrap w:val="0"/>
            <w:vAlign w:val="top"/>
          </w:tcPr>
          <w:p w14:paraId="4716C100">
            <w:pPr>
              <w:pStyle w:val="10"/>
              <w:keepNext/>
              <w:spacing w:after="0" w:line="240" w:lineRule="auto"/>
              <w:ind w:left="63" w:right="63" w:firstLine="560"/>
              <w:rPr>
                <w:rFonts w:hint="eastAsia" w:ascii="宋体" w:hAnsi="宋体" w:eastAsia="宋体" w:cs="宋体"/>
                <w:b/>
                <w:bCs/>
                <w:color w:val="000000"/>
                <w:kern w:val="2"/>
                <w:sz w:val="24"/>
                <w:szCs w:val="24"/>
              </w:rPr>
            </w:pPr>
          </w:p>
        </w:tc>
        <w:tc>
          <w:tcPr>
            <w:tcW w:w="774" w:type="dxa"/>
            <w:tcBorders>
              <w:top w:val="nil"/>
            </w:tcBorders>
            <w:noWrap w:val="0"/>
            <w:vAlign w:val="top"/>
          </w:tcPr>
          <w:p w14:paraId="6D1A1F29">
            <w:pPr>
              <w:pStyle w:val="10"/>
              <w:keepNext/>
              <w:spacing w:after="0" w:line="240" w:lineRule="auto"/>
              <w:ind w:left="63" w:right="63" w:firstLine="560"/>
              <w:rPr>
                <w:rFonts w:hint="eastAsia" w:ascii="宋体" w:hAnsi="宋体" w:eastAsia="宋体" w:cs="宋体"/>
                <w:b/>
                <w:bCs/>
                <w:color w:val="000000"/>
                <w:kern w:val="2"/>
                <w:sz w:val="24"/>
                <w:szCs w:val="24"/>
              </w:rPr>
            </w:pPr>
          </w:p>
        </w:tc>
        <w:tc>
          <w:tcPr>
            <w:tcW w:w="1352" w:type="dxa"/>
            <w:tcBorders>
              <w:top w:val="nil"/>
            </w:tcBorders>
            <w:noWrap w:val="0"/>
            <w:vAlign w:val="top"/>
          </w:tcPr>
          <w:p w14:paraId="7B510EE8">
            <w:pPr>
              <w:pStyle w:val="10"/>
              <w:keepNext/>
              <w:spacing w:after="0" w:line="240" w:lineRule="auto"/>
              <w:ind w:left="63" w:right="63" w:firstLine="560"/>
              <w:rPr>
                <w:rFonts w:hint="eastAsia" w:ascii="宋体" w:hAnsi="宋体" w:eastAsia="宋体" w:cs="宋体"/>
                <w:b/>
                <w:bCs/>
                <w:color w:val="000000"/>
                <w:kern w:val="2"/>
                <w:sz w:val="24"/>
                <w:szCs w:val="24"/>
              </w:rPr>
            </w:pPr>
          </w:p>
        </w:tc>
        <w:tc>
          <w:tcPr>
            <w:tcW w:w="1418" w:type="dxa"/>
            <w:tcBorders>
              <w:top w:val="nil"/>
            </w:tcBorders>
            <w:noWrap w:val="0"/>
            <w:vAlign w:val="top"/>
          </w:tcPr>
          <w:p w14:paraId="4C0E8919">
            <w:pPr>
              <w:pStyle w:val="10"/>
              <w:keepNext/>
              <w:spacing w:after="0" w:line="240" w:lineRule="auto"/>
              <w:ind w:left="63" w:right="63" w:firstLine="560"/>
              <w:rPr>
                <w:rFonts w:hint="eastAsia" w:ascii="宋体" w:hAnsi="宋体" w:eastAsia="宋体" w:cs="宋体"/>
                <w:b/>
                <w:bCs/>
                <w:color w:val="000000"/>
                <w:kern w:val="2"/>
                <w:sz w:val="24"/>
                <w:szCs w:val="24"/>
              </w:rPr>
            </w:pPr>
          </w:p>
        </w:tc>
        <w:tc>
          <w:tcPr>
            <w:tcW w:w="2409" w:type="dxa"/>
            <w:tcBorders>
              <w:top w:val="nil"/>
            </w:tcBorders>
            <w:noWrap w:val="0"/>
            <w:vAlign w:val="top"/>
          </w:tcPr>
          <w:p w14:paraId="15F8A0E7">
            <w:pPr>
              <w:pStyle w:val="10"/>
              <w:keepNext/>
              <w:spacing w:after="0" w:line="240" w:lineRule="auto"/>
              <w:ind w:left="63" w:right="63" w:firstLine="560"/>
              <w:rPr>
                <w:rFonts w:hint="eastAsia" w:ascii="宋体" w:hAnsi="宋体" w:eastAsia="宋体" w:cs="宋体"/>
                <w:b/>
                <w:bCs/>
                <w:color w:val="000000"/>
                <w:kern w:val="2"/>
                <w:sz w:val="24"/>
                <w:szCs w:val="24"/>
              </w:rPr>
            </w:pPr>
          </w:p>
        </w:tc>
      </w:tr>
      <w:tr w14:paraId="032664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375EF79">
            <w:pPr>
              <w:pStyle w:val="10"/>
              <w:keepNext/>
              <w:spacing w:after="0" w:line="240" w:lineRule="auto"/>
              <w:ind w:left="63" w:right="63" w:firstLine="560"/>
              <w:rPr>
                <w:rFonts w:hint="eastAsia" w:ascii="宋体" w:hAnsi="宋体" w:eastAsia="宋体" w:cs="宋体"/>
                <w:b/>
                <w:bCs/>
                <w:color w:val="000000"/>
                <w:kern w:val="2"/>
                <w:sz w:val="24"/>
                <w:szCs w:val="24"/>
              </w:rPr>
            </w:pPr>
          </w:p>
        </w:tc>
        <w:tc>
          <w:tcPr>
            <w:tcW w:w="1984" w:type="dxa"/>
            <w:noWrap w:val="0"/>
            <w:vAlign w:val="top"/>
          </w:tcPr>
          <w:p w14:paraId="78AB4192">
            <w:pPr>
              <w:pStyle w:val="10"/>
              <w:keepNext/>
              <w:spacing w:after="0" w:line="240" w:lineRule="auto"/>
              <w:ind w:left="63" w:right="63" w:firstLine="560"/>
              <w:rPr>
                <w:rFonts w:hint="eastAsia" w:ascii="宋体" w:hAnsi="宋体" w:eastAsia="宋体" w:cs="宋体"/>
                <w:b/>
                <w:bCs/>
                <w:color w:val="000000"/>
                <w:kern w:val="2"/>
                <w:sz w:val="24"/>
                <w:szCs w:val="24"/>
              </w:rPr>
            </w:pPr>
          </w:p>
        </w:tc>
        <w:tc>
          <w:tcPr>
            <w:tcW w:w="851" w:type="dxa"/>
            <w:noWrap w:val="0"/>
            <w:vAlign w:val="top"/>
          </w:tcPr>
          <w:p w14:paraId="6DDE4373">
            <w:pPr>
              <w:pStyle w:val="10"/>
              <w:keepNext/>
              <w:spacing w:after="0" w:line="240" w:lineRule="auto"/>
              <w:ind w:left="63" w:right="63" w:firstLine="560"/>
              <w:rPr>
                <w:rFonts w:hint="eastAsia" w:ascii="宋体" w:hAnsi="宋体" w:eastAsia="宋体" w:cs="宋体"/>
                <w:b/>
                <w:bCs/>
                <w:color w:val="000000"/>
                <w:kern w:val="2"/>
                <w:sz w:val="24"/>
                <w:szCs w:val="24"/>
              </w:rPr>
            </w:pPr>
          </w:p>
        </w:tc>
        <w:tc>
          <w:tcPr>
            <w:tcW w:w="774" w:type="dxa"/>
            <w:noWrap w:val="0"/>
            <w:vAlign w:val="top"/>
          </w:tcPr>
          <w:p w14:paraId="7027266A">
            <w:pPr>
              <w:pStyle w:val="10"/>
              <w:keepNext/>
              <w:spacing w:after="0" w:line="240" w:lineRule="auto"/>
              <w:ind w:left="63" w:right="63" w:firstLine="560"/>
              <w:rPr>
                <w:rFonts w:hint="eastAsia" w:ascii="宋体" w:hAnsi="宋体" w:eastAsia="宋体" w:cs="宋体"/>
                <w:b/>
                <w:bCs/>
                <w:color w:val="000000"/>
                <w:kern w:val="2"/>
                <w:sz w:val="24"/>
                <w:szCs w:val="24"/>
              </w:rPr>
            </w:pPr>
          </w:p>
        </w:tc>
        <w:tc>
          <w:tcPr>
            <w:tcW w:w="1352" w:type="dxa"/>
            <w:noWrap w:val="0"/>
            <w:vAlign w:val="top"/>
          </w:tcPr>
          <w:p w14:paraId="7F9A0374">
            <w:pPr>
              <w:pStyle w:val="10"/>
              <w:keepNext/>
              <w:spacing w:after="0" w:line="240" w:lineRule="auto"/>
              <w:ind w:left="63" w:right="63" w:firstLine="560"/>
              <w:rPr>
                <w:rFonts w:hint="eastAsia" w:ascii="宋体" w:hAnsi="宋体" w:eastAsia="宋体" w:cs="宋体"/>
                <w:b/>
                <w:bCs/>
                <w:color w:val="000000"/>
                <w:kern w:val="2"/>
                <w:sz w:val="24"/>
                <w:szCs w:val="24"/>
              </w:rPr>
            </w:pPr>
          </w:p>
        </w:tc>
        <w:tc>
          <w:tcPr>
            <w:tcW w:w="1418" w:type="dxa"/>
            <w:noWrap w:val="0"/>
            <w:vAlign w:val="top"/>
          </w:tcPr>
          <w:p w14:paraId="26604C39">
            <w:pPr>
              <w:pStyle w:val="10"/>
              <w:keepNext/>
              <w:spacing w:after="0" w:line="240" w:lineRule="auto"/>
              <w:ind w:left="63" w:right="63" w:firstLine="560"/>
              <w:rPr>
                <w:rFonts w:hint="eastAsia" w:ascii="宋体" w:hAnsi="宋体" w:eastAsia="宋体" w:cs="宋体"/>
                <w:b/>
                <w:bCs/>
                <w:color w:val="000000"/>
                <w:kern w:val="2"/>
                <w:sz w:val="24"/>
                <w:szCs w:val="24"/>
              </w:rPr>
            </w:pPr>
          </w:p>
        </w:tc>
        <w:tc>
          <w:tcPr>
            <w:tcW w:w="2409" w:type="dxa"/>
            <w:noWrap w:val="0"/>
            <w:vAlign w:val="top"/>
          </w:tcPr>
          <w:p w14:paraId="65BB7CE1">
            <w:pPr>
              <w:pStyle w:val="10"/>
              <w:keepNext/>
              <w:spacing w:after="0" w:line="240" w:lineRule="auto"/>
              <w:ind w:left="63" w:right="63" w:firstLine="560"/>
              <w:rPr>
                <w:rFonts w:hint="eastAsia" w:ascii="宋体" w:hAnsi="宋体" w:eastAsia="宋体" w:cs="宋体"/>
                <w:b/>
                <w:bCs/>
                <w:color w:val="000000"/>
                <w:kern w:val="2"/>
                <w:sz w:val="24"/>
                <w:szCs w:val="24"/>
              </w:rPr>
            </w:pPr>
          </w:p>
        </w:tc>
      </w:tr>
      <w:tr w14:paraId="4A668C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8011FAB">
            <w:pPr>
              <w:pStyle w:val="10"/>
              <w:keepNext/>
              <w:spacing w:after="0" w:line="240" w:lineRule="auto"/>
              <w:ind w:left="63" w:right="63" w:firstLine="560"/>
              <w:rPr>
                <w:rFonts w:hint="eastAsia" w:ascii="宋体" w:hAnsi="宋体" w:eastAsia="宋体" w:cs="宋体"/>
                <w:b/>
                <w:bCs/>
                <w:color w:val="000000"/>
                <w:kern w:val="2"/>
                <w:sz w:val="24"/>
                <w:szCs w:val="24"/>
              </w:rPr>
            </w:pPr>
          </w:p>
        </w:tc>
        <w:tc>
          <w:tcPr>
            <w:tcW w:w="1984" w:type="dxa"/>
            <w:noWrap w:val="0"/>
            <w:vAlign w:val="top"/>
          </w:tcPr>
          <w:p w14:paraId="2AB130E2">
            <w:pPr>
              <w:pStyle w:val="10"/>
              <w:keepNext/>
              <w:spacing w:after="0" w:line="240" w:lineRule="auto"/>
              <w:ind w:left="63" w:right="63" w:firstLine="560"/>
              <w:rPr>
                <w:rFonts w:hint="eastAsia" w:ascii="宋体" w:hAnsi="宋体" w:eastAsia="宋体" w:cs="宋体"/>
                <w:b/>
                <w:bCs/>
                <w:color w:val="000000"/>
                <w:kern w:val="2"/>
                <w:sz w:val="24"/>
                <w:szCs w:val="24"/>
              </w:rPr>
            </w:pPr>
          </w:p>
        </w:tc>
        <w:tc>
          <w:tcPr>
            <w:tcW w:w="851" w:type="dxa"/>
            <w:noWrap w:val="0"/>
            <w:vAlign w:val="top"/>
          </w:tcPr>
          <w:p w14:paraId="1A0B4857">
            <w:pPr>
              <w:pStyle w:val="10"/>
              <w:keepNext/>
              <w:spacing w:after="0" w:line="240" w:lineRule="auto"/>
              <w:ind w:left="63" w:right="63" w:firstLine="560"/>
              <w:rPr>
                <w:rFonts w:hint="eastAsia" w:ascii="宋体" w:hAnsi="宋体" w:eastAsia="宋体" w:cs="宋体"/>
                <w:b/>
                <w:bCs/>
                <w:color w:val="000000"/>
                <w:kern w:val="2"/>
                <w:sz w:val="24"/>
                <w:szCs w:val="24"/>
              </w:rPr>
            </w:pPr>
          </w:p>
        </w:tc>
        <w:tc>
          <w:tcPr>
            <w:tcW w:w="774" w:type="dxa"/>
            <w:noWrap w:val="0"/>
            <w:vAlign w:val="top"/>
          </w:tcPr>
          <w:p w14:paraId="0EBC0442">
            <w:pPr>
              <w:pStyle w:val="10"/>
              <w:keepNext/>
              <w:spacing w:after="0" w:line="240" w:lineRule="auto"/>
              <w:ind w:left="63" w:right="63" w:firstLine="560"/>
              <w:rPr>
                <w:rFonts w:hint="eastAsia" w:ascii="宋体" w:hAnsi="宋体" w:eastAsia="宋体" w:cs="宋体"/>
                <w:b/>
                <w:bCs/>
                <w:color w:val="000000"/>
                <w:kern w:val="2"/>
                <w:sz w:val="24"/>
                <w:szCs w:val="24"/>
              </w:rPr>
            </w:pPr>
          </w:p>
        </w:tc>
        <w:tc>
          <w:tcPr>
            <w:tcW w:w="1352" w:type="dxa"/>
            <w:noWrap w:val="0"/>
            <w:vAlign w:val="top"/>
          </w:tcPr>
          <w:p w14:paraId="0BBC1936">
            <w:pPr>
              <w:pStyle w:val="10"/>
              <w:keepNext/>
              <w:spacing w:after="0" w:line="240" w:lineRule="auto"/>
              <w:ind w:left="63" w:right="63" w:firstLine="560"/>
              <w:rPr>
                <w:rFonts w:hint="eastAsia" w:ascii="宋体" w:hAnsi="宋体" w:eastAsia="宋体" w:cs="宋体"/>
                <w:b/>
                <w:bCs/>
                <w:color w:val="000000"/>
                <w:kern w:val="2"/>
                <w:sz w:val="24"/>
                <w:szCs w:val="24"/>
              </w:rPr>
            </w:pPr>
          </w:p>
        </w:tc>
        <w:tc>
          <w:tcPr>
            <w:tcW w:w="1418" w:type="dxa"/>
            <w:noWrap w:val="0"/>
            <w:vAlign w:val="top"/>
          </w:tcPr>
          <w:p w14:paraId="05971B77">
            <w:pPr>
              <w:pStyle w:val="10"/>
              <w:keepNext/>
              <w:spacing w:after="0" w:line="240" w:lineRule="auto"/>
              <w:ind w:left="63" w:right="63" w:firstLine="560"/>
              <w:rPr>
                <w:rFonts w:hint="eastAsia" w:ascii="宋体" w:hAnsi="宋体" w:eastAsia="宋体" w:cs="宋体"/>
                <w:b/>
                <w:bCs/>
                <w:color w:val="000000"/>
                <w:kern w:val="2"/>
                <w:sz w:val="24"/>
                <w:szCs w:val="24"/>
              </w:rPr>
            </w:pPr>
          </w:p>
        </w:tc>
        <w:tc>
          <w:tcPr>
            <w:tcW w:w="2409" w:type="dxa"/>
            <w:noWrap w:val="0"/>
            <w:vAlign w:val="top"/>
          </w:tcPr>
          <w:p w14:paraId="0A34BC6A">
            <w:pPr>
              <w:pStyle w:val="10"/>
              <w:keepNext/>
              <w:spacing w:after="0" w:line="240" w:lineRule="auto"/>
              <w:ind w:left="63" w:right="63" w:firstLine="560"/>
              <w:rPr>
                <w:rFonts w:hint="eastAsia" w:ascii="宋体" w:hAnsi="宋体" w:eastAsia="宋体" w:cs="宋体"/>
                <w:b/>
                <w:bCs/>
                <w:color w:val="000000"/>
                <w:kern w:val="2"/>
                <w:sz w:val="24"/>
                <w:szCs w:val="24"/>
              </w:rPr>
            </w:pPr>
          </w:p>
        </w:tc>
      </w:tr>
      <w:tr w14:paraId="5CAE01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7EF23AB">
            <w:pPr>
              <w:pStyle w:val="10"/>
              <w:keepNext/>
              <w:spacing w:after="0" w:line="240" w:lineRule="auto"/>
              <w:ind w:left="63" w:right="63" w:firstLine="560"/>
              <w:rPr>
                <w:rFonts w:hint="eastAsia" w:ascii="宋体" w:hAnsi="宋体" w:eastAsia="宋体" w:cs="宋体"/>
                <w:b/>
                <w:bCs/>
                <w:color w:val="000000"/>
                <w:kern w:val="2"/>
                <w:sz w:val="24"/>
                <w:szCs w:val="24"/>
              </w:rPr>
            </w:pPr>
          </w:p>
        </w:tc>
        <w:tc>
          <w:tcPr>
            <w:tcW w:w="1984" w:type="dxa"/>
            <w:noWrap w:val="0"/>
            <w:vAlign w:val="top"/>
          </w:tcPr>
          <w:p w14:paraId="018B8AAE">
            <w:pPr>
              <w:pStyle w:val="10"/>
              <w:keepNext/>
              <w:spacing w:after="0" w:line="240" w:lineRule="auto"/>
              <w:ind w:left="63" w:right="63" w:firstLine="560"/>
              <w:rPr>
                <w:rFonts w:hint="eastAsia" w:ascii="宋体" w:hAnsi="宋体" w:eastAsia="宋体" w:cs="宋体"/>
                <w:b/>
                <w:bCs/>
                <w:color w:val="000000"/>
                <w:kern w:val="2"/>
                <w:sz w:val="24"/>
                <w:szCs w:val="24"/>
              </w:rPr>
            </w:pPr>
          </w:p>
        </w:tc>
        <w:tc>
          <w:tcPr>
            <w:tcW w:w="851" w:type="dxa"/>
            <w:noWrap w:val="0"/>
            <w:vAlign w:val="top"/>
          </w:tcPr>
          <w:p w14:paraId="5521B747">
            <w:pPr>
              <w:pStyle w:val="10"/>
              <w:keepNext/>
              <w:spacing w:after="0" w:line="240" w:lineRule="auto"/>
              <w:ind w:left="63" w:right="63" w:firstLine="560"/>
              <w:rPr>
                <w:rFonts w:hint="eastAsia" w:ascii="宋体" w:hAnsi="宋体" w:eastAsia="宋体" w:cs="宋体"/>
                <w:b/>
                <w:bCs/>
                <w:color w:val="000000"/>
                <w:kern w:val="2"/>
                <w:sz w:val="24"/>
                <w:szCs w:val="24"/>
              </w:rPr>
            </w:pPr>
          </w:p>
        </w:tc>
        <w:tc>
          <w:tcPr>
            <w:tcW w:w="774" w:type="dxa"/>
            <w:noWrap w:val="0"/>
            <w:vAlign w:val="top"/>
          </w:tcPr>
          <w:p w14:paraId="7241AF61">
            <w:pPr>
              <w:pStyle w:val="10"/>
              <w:keepNext/>
              <w:spacing w:after="0" w:line="240" w:lineRule="auto"/>
              <w:ind w:left="63" w:right="63" w:firstLine="560"/>
              <w:rPr>
                <w:rFonts w:hint="eastAsia" w:ascii="宋体" w:hAnsi="宋体" w:eastAsia="宋体" w:cs="宋体"/>
                <w:b/>
                <w:bCs/>
                <w:color w:val="000000"/>
                <w:kern w:val="2"/>
                <w:sz w:val="24"/>
                <w:szCs w:val="24"/>
              </w:rPr>
            </w:pPr>
          </w:p>
        </w:tc>
        <w:tc>
          <w:tcPr>
            <w:tcW w:w="1352" w:type="dxa"/>
            <w:noWrap w:val="0"/>
            <w:vAlign w:val="top"/>
          </w:tcPr>
          <w:p w14:paraId="5B7AF209">
            <w:pPr>
              <w:pStyle w:val="10"/>
              <w:keepNext/>
              <w:spacing w:after="0" w:line="240" w:lineRule="auto"/>
              <w:ind w:left="63" w:right="63" w:firstLine="560"/>
              <w:rPr>
                <w:rFonts w:hint="eastAsia" w:ascii="宋体" w:hAnsi="宋体" w:eastAsia="宋体" w:cs="宋体"/>
                <w:b/>
                <w:bCs/>
                <w:color w:val="000000"/>
                <w:kern w:val="2"/>
                <w:sz w:val="24"/>
                <w:szCs w:val="24"/>
              </w:rPr>
            </w:pPr>
          </w:p>
        </w:tc>
        <w:tc>
          <w:tcPr>
            <w:tcW w:w="1418" w:type="dxa"/>
            <w:noWrap w:val="0"/>
            <w:vAlign w:val="top"/>
          </w:tcPr>
          <w:p w14:paraId="2D3D7730">
            <w:pPr>
              <w:pStyle w:val="10"/>
              <w:keepNext/>
              <w:spacing w:after="0" w:line="240" w:lineRule="auto"/>
              <w:ind w:left="63" w:right="63" w:firstLine="560"/>
              <w:rPr>
                <w:rFonts w:hint="eastAsia" w:ascii="宋体" w:hAnsi="宋体" w:eastAsia="宋体" w:cs="宋体"/>
                <w:b/>
                <w:bCs/>
                <w:color w:val="000000"/>
                <w:kern w:val="2"/>
                <w:sz w:val="24"/>
                <w:szCs w:val="24"/>
              </w:rPr>
            </w:pPr>
          </w:p>
        </w:tc>
        <w:tc>
          <w:tcPr>
            <w:tcW w:w="2409" w:type="dxa"/>
            <w:noWrap w:val="0"/>
            <w:vAlign w:val="top"/>
          </w:tcPr>
          <w:p w14:paraId="404CF4EC">
            <w:pPr>
              <w:pStyle w:val="10"/>
              <w:keepNext/>
              <w:spacing w:after="0" w:line="240" w:lineRule="auto"/>
              <w:ind w:left="63" w:right="63" w:firstLine="560"/>
              <w:rPr>
                <w:rFonts w:hint="eastAsia" w:ascii="宋体" w:hAnsi="宋体" w:eastAsia="宋体" w:cs="宋体"/>
                <w:b/>
                <w:bCs/>
                <w:color w:val="000000"/>
                <w:kern w:val="2"/>
                <w:sz w:val="24"/>
                <w:szCs w:val="24"/>
              </w:rPr>
            </w:pPr>
          </w:p>
        </w:tc>
      </w:tr>
      <w:tr w14:paraId="7551B0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992681B">
            <w:pPr>
              <w:pStyle w:val="10"/>
              <w:keepNext/>
              <w:spacing w:after="0" w:line="240" w:lineRule="auto"/>
              <w:ind w:left="63" w:right="63" w:firstLine="560"/>
              <w:rPr>
                <w:rFonts w:hint="eastAsia" w:ascii="宋体" w:hAnsi="宋体" w:eastAsia="宋体" w:cs="宋体"/>
                <w:b/>
                <w:bCs/>
                <w:color w:val="000000"/>
                <w:kern w:val="2"/>
                <w:sz w:val="24"/>
                <w:szCs w:val="24"/>
              </w:rPr>
            </w:pPr>
          </w:p>
        </w:tc>
        <w:tc>
          <w:tcPr>
            <w:tcW w:w="1984" w:type="dxa"/>
            <w:noWrap w:val="0"/>
            <w:vAlign w:val="top"/>
          </w:tcPr>
          <w:p w14:paraId="441DBEA0">
            <w:pPr>
              <w:pStyle w:val="10"/>
              <w:keepNext/>
              <w:spacing w:after="0" w:line="240" w:lineRule="auto"/>
              <w:ind w:left="63" w:right="63" w:firstLine="560"/>
              <w:rPr>
                <w:rFonts w:hint="eastAsia" w:ascii="宋体" w:hAnsi="宋体" w:eastAsia="宋体" w:cs="宋体"/>
                <w:b/>
                <w:bCs/>
                <w:color w:val="000000"/>
                <w:kern w:val="2"/>
                <w:sz w:val="24"/>
                <w:szCs w:val="24"/>
              </w:rPr>
            </w:pPr>
          </w:p>
        </w:tc>
        <w:tc>
          <w:tcPr>
            <w:tcW w:w="851" w:type="dxa"/>
            <w:noWrap w:val="0"/>
            <w:vAlign w:val="top"/>
          </w:tcPr>
          <w:p w14:paraId="1DE17615">
            <w:pPr>
              <w:pStyle w:val="10"/>
              <w:keepNext/>
              <w:spacing w:after="0" w:line="240" w:lineRule="auto"/>
              <w:ind w:left="63" w:right="63" w:firstLine="560"/>
              <w:rPr>
                <w:rFonts w:hint="eastAsia" w:ascii="宋体" w:hAnsi="宋体" w:eastAsia="宋体" w:cs="宋体"/>
                <w:b/>
                <w:bCs/>
                <w:color w:val="000000"/>
                <w:kern w:val="2"/>
                <w:sz w:val="24"/>
                <w:szCs w:val="24"/>
              </w:rPr>
            </w:pPr>
          </w:p>
        </w:tc>
        <w:tc>
          <w:tcPr>
            <w:tcW w:w="774" w:type="dxa"/>
            <w:noWrap w:val="0"/>
            <w:vAlign w:val="top"/>
          </w:tcPr>
          <w:p w14:paraId="05515429">
            <w:pPr>
              <w:pStyle w:val="10"/>
              <w:keepNext/>
              <w:spacing w:after="0" w:line="240" w:lineRule="auto"/>
              <w:ind w:left="63" w:right="63" w:firstLine="560"/>
              <w:rPr>
                <w:rFonts w:hint="eastAsia" w:ascii="宋体" w:hAnsi="宋体" w:eastAsia="宋体" w:cs="宋体"/>
                <w:b/>
                <w:bCs/>
                <w:color w:val="000000"/>
                <w:kern w:val="2"/>
                <w:sz w:val="24"/>
                <w:szCs w:val="24"/>
              </w:rPr>
            </w:pPr>
          </w:p>
        </w:tc>
        <w:tc>
          <w:tcPr>
            <w:tcW w:w="1352" w:type="dxa"/>
            <w:noWrap w:val="0"/>
            <w:vAlign w:val="top"/>
          </w:tcPr>
          <w:p w14:paraId="3AF2A585">
            <w:pPr>
              <w:pStyle w:val="10"/>
              <w:keepNext/>
              <w:spacing w:after="0" w:line="240" w:lineRule="auto"/>
              <w:ind w:left="63" w:right="63" w:firstLine="560"/>
              <w:rPr>
                <w:rFonts w:hint="eastAsia" w:ascii="宋体" w:hAnsi="宋体" w:eastAsia="宋体" w:cs="宋体"/>
                <w:b/>
                <w:bCs/>
                <w:color w:val="000000"/>
                <w:kern w:val="2"/>
                <w:sz w:val="24"/>
                <w:szCs w:val="24"/>
              </w:rPr>
            </w:pPr>
          </w:p>
        </w:tc>
        <w:tc>
          <w:tcPr>
            <w:tcW w:w="1418" w:type="dxa"/>
            <w:noWrap w:val="0"/>
            <w:vAlign w:val="top"/>
          </w:tcPr>
          <w:p w14:paraId="7ECEBE05">
            <w:pPr>
              <w:pStyle w:val="10"/>
              <w:keepNext/>
              <w:spacing w:after="0" w:line="240" w:lineRule="auto"/>
              <w:ind w:left="63" w:right="63" w:firstLine="560"/>
              <w:rPr>
                <w:rFonts w:hint="eastAsia" w:ascii="宋体" w:hAnsi="宋体" w:eastAsia="宋体" w:cs="宋体"/>
                <w:b/>
                <w:bCs/>
                <w:color w:val="000000"/>
                <w:kern w:val="2"/>
                <w:sz w:val="24"/>
                <w:szCs w:val="24"/>
              </w:rPr>
            </w:pPr>
          </w:p>
        </w:tc>
        <w:tc>
          <w:tcPr>
            <w:tcW w:w="2409" w:type="dxa"/>
            <w:noWrap w:val="0"/>
            <w:vAlign w:val="top"/>
          </w:tcPr>
          <w:p w14:paraId="0CE2FF52">
            <w:pPr>
              <w:pStyle w:val="10"/>
              <w:keepNext/>
              <w:spacing w:after="0" w:line="240" w:lineRule="auto"/>
              <w:ind w:left="63" w:right="63" w:firstLine="560"/>
              <w:rPr>
                <w:rFonts w:hint="eastAsia" w:ascii="宋体" w:hAnsi="宋体" w:eastAsia="宋体" w:cs="宋体"/>
                <w:b/>
                <w:bCs/>
                <w:color w:val="000000"/>
                <w:kern w:val="2"/>
                <w:sz w:val="24"/>
                <w:szCs w:val="24"/>
              </w:rPr>
            </w:pPr>
          </w:p>
        </w:tc>
      </w:tr>
      <w:tr w14:paraId="1F04EC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4043484">
            <w:pPr>
              <w:pStyle w:val="10"/>
              <w:keepNext/>
              <w:spacing w:after="0" w:line="240" w:lineRule="auto"/>
              <w:ind w:left="63" w:right="63" w:firstLine="560"/>
              <w:rPr>
                <w:rFonts w:hint="eastAsia" w:ascii="宋体" w:hAnsi="宋体" w:eastAsia="宋体" w:cs="宋体"/>
                <w:b/>
                <w:bCs/>
                <w:color w:val="000000"/>
                <w:kern w:val="2"/>
                <w:sz w:val="24"/>
                <w:szCs w:val="24"/>
              </w:rPr>
            </w:pPr>
          </w:p>
        </w:tc>
        <w:tc>
          <w:tcPr>
            <w:tcW w:w="1984" w:type="dxa"/>
            <w:noWrap w:val="0"/>
            <w:vAlign w:val="top"/>
          </w:tcPr>
          <w:p w14:paraId="43FFE72E">
            <w:pPr>
              <w:pStyle w:val="10"/>
              <w:keepNext/>
              <w:spacing w:after="0" w:line="240" w:lineRule="auto"/>
              <w:ind w:left="63" w:right="63" w:firstLine="560"/>
              <w:rPr>
                <w:rFonts w:hint="eastAsia" w:ascii="宋体" w:hAnsi="宋体" w:eastAsia="宋体" w:cs="宋体"/>
                <w:b/>
                <w:bCs/>
                <w:color w:val="000000"/>
                <w:kern w:val="2"/>
                <w:sz w:val="24"/>
                <w:szCs w:val="24"/>
              </w:rPr>
            </w:pPr>
          </w:p>
        </w:tc>
        <w:tc>
          <w:tcPr>
            <w:tcW w:w="851" w:type="dxa"/>
            <w:noWrap w:val="0"/>
            <w:vAlign w:val="top"/>
          </w:tcPr>
          <w:p w14:paraId="6AA91006">
            <w:pPr>
              <w:pStyle w:val="10"/>
              <w:keepNext/>
              <w:spacing w:after="0" w:line="240" w:lineRule="auto"/>
              <w:ind w:left="63" w:right="63" w:firstLine="560"/>
              <w:rPr>
                <w:rFonts w:hint="eastAsia" w:ascii="宋体" w:hAnsi="宋体" w:eastAsia="宋体" w:cs="宋体"/>
                <w:b/>
                <w:bCs/>
                <w:color w:val="000000"/>
                <w:kern w:val="2"/>
                <w:sz w:val="24"/>
                <w:szCs w:val="24"/>
              </w:rPr>
            </w:pPr>
          </w:p>
        </w:tc>
        <w:tc>
          <w:tcPr>
            <w:tcW w:w="774" w:type="dxa"/>
            <w:noWrap w:val="0"/>
            <w:vAlign w:val="top"/>
          </w:tcPr>
          <w:p w14:paraId="56968334">
            <w:pPr>
              <w:pStyle w:val="10"/>
              <w:keepNext/>
              <w:spacing w:after="0" w:line="240" w:lineRule="auto"/>
              <w:ind w:left="63" w:right="63" w:firstLine="560"/>
              <w:rPr>
                <w:rFonts w:hint="eastAsia" w:ascii="宋体" w:hAnsi="宋体" w:eastAsia="宋体" w:cs="宋体"/>
                <w:b/>
                <w:bCs/>
                <w:color w:val="000000"/>
                <w:kern w:val="2"/>
                <w:sz w:val="24"/>
                <w:szCs w:val="24"/>
              </w:rPr>
            </w:pPr>
          </w:p>
        </w:tc>
        <w:tc>
          <w:tcPr>
            <w:tcW w:w="1352" w:type="dxa"/>
            <w:noWrap w:val="0"/>
            <w:vAlign w:val="top"/>
          </w:tcPr>
          <w:p w14:paraId="3EEB4525">
            <w:pPr>
              <w:pStyle w:val="10"/>
              <w:keepNext/>
              <w:spacing w:after="0" w:line="240" w:lineRule="auto"/>
              <w:ind w:left="63" w:right="63" w:firstLine="560"/>
              <w:rPr>
                <w:rFonts w:hint="eastAsia" w:ascii="宋体" w:hAnsi="宋体" w:eastAsia="宋体" w:cs="宋体"/>
                <w:b/>
                <w:bCs/>
                <w:color w:val="000000"/>
                <w:kern w:val="2"/>
                <w:sz w:val="24"/>
                <w:szCs w:val="24"/>
              </w:rPr>
            </w:pPr>
          </w:p>
        </w:tc>
        <w:tc>
          <w:tcPr>
            <w:tcW w:w="1418" w:type="dxa"/>
            <w:noWrap w:val="0"/>
            <w:vAlign w:val="top"/>
          </w:tcPr>
          <w:p w14:paraId="288B9DA4">
            <w:pPr>
              <w:pStyle w:val="10"/>
              <w:keepNext/>
              <w:spacing w:after="0" w:line="240" w:lineRule="auto"/>
              <w:ind w:left="63" w:right="63" w:firstLine="560"/>
              <w:rPr>
                <w:rFonts w:hint="eastAsia" w:ascii="宋体" w:hAnsi="宋体" w:eastAsia="宋体" w:cs="宋体"/>
                <w:b/>
                <w:bCs/>
                <w:color w:val="000000"/>
                <w:kern w:val="2"/>
                <w:sz w:val="24"/>
                <w:szCs w:val="24"/>
              </w:rPr>
            </w:pPr>
          </w:p>
        </w:tc>
        <w:tc>
          <w:tcPr>
            <w:tcW w:w="2409" w:type="dxa"/>
            <w:noWrap w:val="0"/>
            <w:vAlign w:val="top"/>
          </w:tcPr>
          <w:p w14:paraId="37440CFA">
            <w:pPr>
              <w:pStyle w:val="10"/>
              <w:keepNext/>
              <w:spacing w:after="0" w:line="240" w:lineRule="auto"/>
              <w:ind w:left="63" w:right="63" w:firstLine="560"/>
              <w:rPr>
                <w:rFonts w:hint="eastAsia" w:ascii="宋体" w:hAnsi="宋体" w:eastAsia="宋体" w:cs="宋体"/>
                <w:b/>
                <w:bCs/>
                <w:color w:val="000000"/>
                <w:kern w:val="2"/>
                <w:sz w:val="24"/>
                <w:szCs w:val="24"/>
              </w:rPr>
            </w:pPr>
          </w:p>
        </w:tc>
      </w:tr>
      <w:tr w14:paraId="7D7994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B033314">
            <w:pPr>
              <w:pStyle w:val="10"/>
              <w:keepNext/>
              <w:spacing w:after="0" w:line="240" w:lineRule="auto"/>
              <w:ind w:left="63" w:right="63" w:firstLine="560"/>
              <w:rPr>
                <w:rFonts w:hint="eastAsia" w:ascii="宋体" w:hAnsi="宋体" w:eastAsia="宋体" w:cs="宋体"/>
                <w:b/>
                <w:bCs/>
                <w:color w:val="000000"/>
                <w:kern w:val="2"/>
                <w:sz w:val="24"/>
                <w:szCs w:val="24"/>
              </w:rPr>
            </w:pPr>
          </w:p>
        </w:tc>
        <w:tc>
          <w:tcPr>
            <w:tcW w:w="1984" w:type="dxa"/>
            <w:noWrap w:val="0"/>
            <w:vAlign w:val="top"/>
          </w:tcPr>
          <w:p w14:paraId="47A37769">
            <w:pPr>
              <w:pStyle w:val="10"/>
              <w:keepNext/>
              <w:spacing w:after="0" w:line="240" w:lineRule="auto"/>
              <w:ind w:left="63" w:right="63" w:firstLine="560"/>
              <w:rPr>
                <w:rFonts w:hint="eastAsia" w:ascii="宋体" w:hAnsi="宋体" w:eastAsia="宋体" w:cs="宋体"/>
                <w:b/>
                <w:bCs/>
                <w:color w:val="000000"/>
                <w:kern w:val="2"/>
                <w:sz w:val="24"/>
                <w:szCs w:val="24"/>
              </w:rPr>
            </w:pPr>
          </w:p>
        </w:tc>
        <w:tc>
          <w:tcPr>
            <w:tcW w:w="851" w:type="dxa"/>
            <w:noWrap w:val="0"/>
            <w:vAlign w:val="top"/>
          </w:tcPr>
          <w:p w14:paraId="25AF367D">
            <w:pPr>
              <w:pStyle w:val="10"/>
              <w:keepNext/>
              <w:spacing w:after="0" w:line="240" w:lineRule="auto"/>
              <w:ind w:left="63" w:right="63" w:firstLine="560"/>
              <w:rPr>
                <w:rFonts w:hint="eastAsia" w:ascii="宋体" w:hAnsi="宋体" w:eastAsia="宋体" w:cs="宋体"/>
                <w:b/>
                <w:bCs/>
                <w:color w:val="000000"/>
                <w:kern w:val="2"/>
                <w:sz w:val="24"/>
                <w:szCs w:val="24"/>
              </w:rPr>
            </w:pPr>
          </w:p>
        </w:tc>
        <w:tc>
          <w:tcPr>
            <w:tcW w:w="774" w:type="dxa"/>
            <w:noWrap w:val="0"/>
            <w:vAlign w:val="top"/>
          </w:tcPr>
          <w:p w14:paraId="56C66A12">
            <w:pPr>
              <w:pStyle w:val="10"/>
              <w:keepNext/>
              <w:spacing w:after="0" w:line="240" w:lineRule="auto"/>
              <w:ind w:left="63" w:right="63" w:firstLine="560"/>
              <w:rPr>
                <w:rFonts w:hint="eastAsia" w:ascii="宋体" w:hAnsi="宋体" w:eastAsia="宋体" w:cs="宋体"/>
                <w:b/>
                <w:bCs/>
                <w:color w:val="000000"/>
                <w:kern w:val="2"/>
                <w:sz w:val="24"/>
                <w:szCs w:val="24"/>
              </w:rPr>
            </w:pPr>
          </w:p>
        </w:tc>
        <w:tc>
          <w:tcPr>
            <w:tcW w:w="1352" w:type="dxa"/>
            <w:noWrap w:val="0"/>
            <w:vAlign w:val="top"/>
          </w:tcPr>
          <w:p w14:paraId="637C5DAF">
            <w:pPr>
              <w:pStyle w:val="10"/>
              <w:keepNext/>
              <w:spacing w:after="0" w:line="240" w:lineRule="auto"/>
              <w:ind w:left="63" w:right="63" w:firstLine="560"/>
              <w:rPr>
                <w:rFonts w:hint="eastAsia" w:ascii="宋体" w:hAnsi="宋体" w:eastAsia="宋体" w:cs="宋体"/>
                <w:b/>
                <w:bCs/>
                <w:color w:val="000000"/>
                <w:kern w:val="2"/>
                <w:sz w:val="24"/>
                <w:szCs w:val="24"/>
              </w:rPr>
            </w:pPr>
          </w:p>
        </w:tc>
        <w:tc>
          <w:tcPr>
            <w:tcW w:w="1418" w:type="dxa"/>
            <w:noWrap w:val="0"/>
            <w:vAlign w:val="top"/>
          </w:tcPr>
          <w:p w14:paraId="39A704F4">
            <w:pPr>
              <w:pStyle w:val="10"/>
              <w:keepNext/>
              <w:spacing w:after="0" w:line="240" w:lineRule="auto"/>
              <w:ind w:left="63" w:right="63" w:firstLine="560"/>
              <w:rPr>
                <w:rFonts w:hint="eastAsia" w:ascii="宋体" w:hAnsi="宋体" w:eastAsia="宋体" w:cs="宋体"/>
                <w:b/>
                <w:bCs/>
                <w:color w:val="000000"/>
                <w:kern w:val="2"/>
                <w:sz w:val="24"/>
                <w:szCs w:val="24"/>
              </w:rPr>
            </w:pPr>
          </w:p>
        </w:tc>
        <w:tc>
          <w:tcPr>
            <w:tcW w:w="2409" w:type="dxa"/>
            <w:noWrap w:val="0"/>
            <w:vAlign w:val="top"/>
          </w:tcPr>
          <w:p w14:paraId="485BAF7D">
            <w:pPr>
              <w:pStyle w:val="10"/>
              <w:keepNext/>
              <w:spacing w:after="0" w:line="240" w:lineRule="auto"/>
              <w:ind w:left="63" w:right="63" w:firstLine="560"/>
              <w:rPr>
                <w:rFonts w:hint="eastAsia" w:ascii="宋体" w:hAnsi="宋体" w:eastAsia="宋体" w:cs="宋体"/>
                <w:b/>
                <w:bCs/>
                <w:color w:val="000000"/>
                <w:kern w:val="2"/>
                <w:sz w:val="24"/>
                <w:szCs w:val="24"/>
              </w:rPr>
            </w:pPr>
          </w:p>
        </w:tc>
      </w:tr>
      <w:tr w14:paraId="7E982F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10A65FE">
            <w:pPr>
              <w:pStyle w:val="10"/>
              <w:keepNext/>
              <w:spacing w:after="0" w:line="240" w:lineRule="auto"/>
              <w:ind w:left="63" w:right="63" w:firstLine="560"/>
              <w:rPr>
                <w:rFonts w:hint="eastAsia" w:ascii="宋体" w:hAnsi="宋体" w:eastAsia="宋体" w:cs="宋体"/>
                <w:b/>
                <w:bCs/>
                <w:color w:val="000000"/>
                <w:kern w:val="2"/>
                <w:sz w:val="24"/>
                <w:szCs w:val="24"/>
              </w:rPr>
            </w:pPr>
          </w:p>
        </w:tc>
        <w:tc>
          <w:tcPr>
            <w:tcW w:w="1984" w:type="dxa"/>
            <w:noWrap w:val="0"/>
            <w:vAlign w:val="top"/>
          </w:tcPr>
          <w:p w14:paraId="66CEE592">
            <w:pPr>
              <w:pStyle w:val="10"/>
              <w:keepNext/>
              <w:spacing w:after="0" w:line="240" w:lineRule="auto"/>
              <w:ind w:left="63" w:right="63" w:firstLine="560"/>
              <w:rPr>
                <w:rFonts w:hint="eastAsia" w:ascii="宋体" w:hAnsi="宋体" w:eastAsia="宋体" w:cs="宋体"/>
                <w:b/>
                <w:bCs/>
                <w:color w:val="000000"/>
                <w:kern w:val="2"/>
                <w:sz w:val="24"/>
                <w:szCs w:val="24"/>
              </w:rPr>
            </w:pPr>
          </w:p>
        </w:tc>
        <w:tc>
          <w:tcPr>
            <w:tcW w:w="851" w:type="dxa"/>
            <w:noWrap w:val="0"/>
            <w:vAlign w:val="top"/>
          </w:tcPr>
          <w:p w14:paraId="13EF4031">
            <w:pPr>
              <w:pStyle w:val="10"/>
              <w:keepNext/>
              <w:spacing w:after="0" w:line="240" w:lineRule="auto"/>
              <w:ind w:left="63" w:right="63" w:firstLine="560"/>
              <w:rPr>
                <w:rFonts w:hint="eastAsia" w:ascii="宋体" w:hAnsi="宋体" w:eastAsia="宋体" w:cs="宋体"/>
                <w:b/>
                <w:bCs/>
                <w:color w:val="000000"/>
                <w:kern w:val="2"/>
                <w:sz w:val="24"/>
                <w:szCs w:val="24"/>
              </w:rPr>
            </w:pPr>
          </w:p>
        </w:tc>
        <w:tc>
          <w:tcPr>
            <w:tcW w:w="774" w:type="dxa"/>
            <w:noWrap w:val="0"/>
            <w:vAlign w:val="top"/>
          </w:tcPr>
          <w:p w14:paraId="4F7973A8">
            <w:pPr>
              <w:pStyle w:val="10"/>
              <w:keepNext/>
              <w:spacing w:after="0" w:line="240" w:lineRule="auto"/>
              <w:ind w:left="63" w:right="63" w:firstLine="560"/>
              <w:rPr>
                <w:rFonts w:hint="eastAsia" w:ascii="宋体" w:hAnsi="宋体" w:eastAsia="宋体" w:cs="宋体"/>
                <w:b/>
                <w:bCs/>
                <w:color w:val="000000"/>
                <w:kern w:val="2"/>
                <w:sz w:val="24"/>
                <w:szCs w:val="24"/>
              </w:rPr>
            </w:pPr>
          </w:p>
        </w:tc>
        <w:tc>
          <w:tcPr>
            <w:tcW w:w="1352" w:type="dxa"/>
            <w:noWrap w:val="0"/>
            <w:vAlign w:val="top"/>
          </w:tcPr>
          <w:p w14:paraId="0554D66F">
            <w:pPr>
              <w:pStyle w:val="10"/>
              <w:keepNext/>
              <w:spacing w:after="0" w:line="240" w:lineRule="auto"/>
              <w:ind w:left="63" w:right="63" w:firstLine="560"/>
              <w:rPr>
                <w:rFonts w:hint="eastAsia" w:ascii="宋体" w:hAnsi="宋体" w:eastAsia="宋体" w:cs="宋体"/>
                <w:b/>
                <w:bCs/>
                <w:color w:val="000000"/>
                <w:kern w:val="2"/>
                <w:sz w:val="24"/>
                <w:szCs w:val="24"/>
              </w:rPr>
            </w:pPr>
          </w:p>
        </w:tc>
        <w:tc>
          <w:tcPr>
            <w:tcW w:w="1418" w:type="dxa"/>
            <w:noWrap w:val="0"/>
            <w:vAlign w:val="top"/>
          </w:tcPr>
          <w:p w14:paraId="46D95ADF">
            <w:pPr>
              <w:pStyle w:val="10"/>
              <w:keepNext/>
              <w:spacing w:after="0" w:line="240" w:lineRule="auto"/>
              <w:ind w:left="63" w:right="63" w:firstLine="560"/>
              <w:rPr>
                <w:rFonts w:hint="eastAsia" w:ascii="宋体" w:hAnsi="宋体" w:eastAsia="宋体" w:cs="宋体"/>
                <w:b/>
                <w:bCs/>
                <w:color w:val="000000"/>
                <w:kern w:val="2"/>
                <w:sz w:val="24"/>
                <w:szCs w:val="24"/>
              </w:rPr>
            </w:pPr>
          </w:p>
        </w:tc>
        <w:tc>
          <w:tcPr>
            <w:tcW w:w="2409" w:type="dxa"/>
            <w:noWrap w:val="0"/>
            <w:vAlign w:val="top"/>
          </w:tcPr>
          <w:p w14:paraId="0FD5A44A">
            <w:pPr>
              <w:pStyle w:val="10"/>
              <w:keepNext/>
              <w:spacing w:after="0" w:line="240" w:lineRule="auto"/>
              <w:ind w:left="63" w:right="63" w:firstLine="560"/>
              <w:rPr>
                <w:rFonts w:hint="eastAsia" w:ascii="宋体" w:hAnsi="宋体" w:eastAsia="宋体" w:cs="宋体"/>
                <w:b/>
                <w:bCs/>
                <w:color w:val="000000"/>
                <w:kern w:val="2"/>
                <w:sz w:val="24"/>
                <w:szCs w:val="24"/>
              </w:rPr>
            </w:pPr>
          </w:p>
        </w:tc>
      </w:tr>
      <w:tr w14:paraId="686429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A27DCB4">
            <w:pPr>
              <w:pStyle w:val="10"/>
              <w:keepNext/>
              <w:spacing w:after="0" w:line="240" w:lineRule="auto"/>
              <w:ind w:left="63" w:right="63" w:firstLine="560"/>
              <w:rPr>
                <w:rFonts w:hint="eastAsia" w:ascii="宋体" w:hAnsi="宋体" w:eastAsia="宋体" w:cs="宋体"/>
                <w:b/>
                <w:bCs/>
                <w:color w:val="000000"/>
                <w:kern w:val="2"/>
                <w:sz w:val="24"/>
                <w:szCs w:val="24"/>
              </w:rPr>
            </w:pPr>
          </w:p>
        </w:tc>
        <w:tc>
          <w:tcPr>
            <w:tcW w:w="1984" w:type="dxa"/>
            <w:noWrap w:val="0"/>
            <w:vAlign w:val="top"/>
          </w:tcPr>
          <w:p w14:paraId="42BDF704">
            <w:pPr>
              <w:pStyle w:val="10"/>
              <w:keepNext/>
              <w:spacing w:after="0" w:line="240" w:lineRule="auto"/>
              <w:ind w:left="63" w:right="63" w:firstLine="560"/>
              <w:rPr>
                <w:rFonts w:hint="eastAsia" w:ascii="宋体" w:hAnsi="宋体" w:eastAsia="宋体" w:cs="宋体"/>
                <w:b/>
                <w:bCs/>
                <w:color w:val="000000"/>
                <w:kern w:val="2"/>
                <w:sz w:val="24"/>
                <w:szCs w:val="24"/>
              </w:rPr>
            </w:pPr>
          </w:p>
        </w:tc>
        <w:tc>
          <w:tcPr>
            <w:tcW w:w="851" w:type="dxa"/>
            <w:noWrap w:val="0"/>
            <w:vAlign w:val="top"/>
          </w:tcPr>
          <w:p w14:paraId="4576EA61">
            <w:pPr>
              <w:pStyle w:val="10"/>
              <w:keepNext/>
              <w:spacing w:after="0" w:line="240" w:lineRule="auto"/>
              <w:ind w:left="63" w:right="63" w:firstLine="560"/>
              <w:rPr>
                <w:rFonts w:hint="eastAsia" w:ascii="宋体" w:hAnsi="宋体" w:eastAsia="宋体" w:cs="宋体"/>
                <w:b/>
                <w:bCs/>
                <w:color w:val="000000"/>
                <w:kern w:val="2"/>
                <w:sz w:val="24"/>
                <w:szCs w:val="24"/>
              </w:rPr>
            </w:pPr>
          </w:p>
        </w:tc>
        <w:tc>
          <w:tcPr>
            <w:tcW w:w="774" w:type="dxa"/>
            <w:noWrap w:val="0"/>
            <w:vAlign w:val="top"/>
          </w:tcPr>
          <w:p w14:paraId="37F47D53">
            <w:pPr>
              <w:pStyle w:val="10"/>
              <w:keepNext/>
              <w:spacing w:after="0" w:line="240" w:lineRule="auto"/>
              <w:ind w:left="63" w:right="63" w:firstLine="560"/>
              <w:rPr>
                <w:rFonts w:hint="eastAsia" w:ascii="宋体" w:hAnsi="宋体" w:eastAsia="宋体" w:cs="宋体"/>
                <w:b/>
                <w:bCs/>
                <w:color w:val="000000"/>
                <w:kern w:val="2"/>
                <w:sz w:val="24"/>
                <w:szCs w:val="24"/>
              </w:rPr>
            </w:pPr>
          </w:p>
        </w:tc>
        <w:tc>
          <w:tcPr>
            <w:tcW w:w="1352" w:type="dxa"/>
            <w:noWrap w:val="0"/>
            <w:vAlign w:val="top"/>
          </w:tcPr>
          <w:p w14:paraId="14AFC499">
            <w:pPr>
              <w:pStyle w:val="10"/>
              <w:keepNext/>
              <w:spacing w:after="0" w:line="240" w:lineRule="auto"/>
              <w:ind w:left="63" w:right="63" w:firstLine="560"/>
              <w:rPr>
                <w:rFonts w:hint="eastAsia" w:ascii="宋体" w:hAnsi="宋体" w:eastAsia="宋体" w:cs="宋体"/>
                <w:b/>
                <w:bCs/>
                <w:color w:val="000000"/>
                <w:kern w:val="2"/>
                <w:sz w:val="24"/>
                <w:szCs w:val="24"/>
              </w:rPr>
            </w:pPr>
          </w:p>
        </w:tc>
        <w:tc>
          <w:tcPr>
            <w:tcW w:w="1418" w:type="dxa"/>
            <w:noWrap w:val="0"/>
            <w:vAlign w:val="top"/>
          </w:tcPr>
          <w:p w14:paraId="2153065B">
            <w:pPr>
              <w:pStyle w:val="10"/>
              <w:keepNext/>
              <w:spacing w:after="0" w:line="240" w:lineRule="auto"/>
              <w:ind w:left="63" w:right="63" w:firstLine="560"/>
              <w:rPr>
                <w:rFonts w:hint="eastAsia" w:ascii="宋体" w:hAnsi="宋体" w:eastAsia="宋体" w:cs="宋体"/>
                <w:b/>
                <w:bCs/>
                <w:color w:val="000000"/>
                <w:kern w:val="2"/>
                <w:sz w:val="24"/>
                <w:szCs w:val="24"/>
              </w:rPr>
            </w:pPr>
          </w:p>
        </w:tc>
        <w:tc>
          <w:tcPr>
            <w:tcW w:w="2409" w:type="dxa"/>
            <w:noWrap w:val="0"/>
            <w:vAlign w:val="top"/>
          </w:tcPr>
          <w:p w14:paraId="174FABFE">
            <w:pPr>
              <w:pStyle w:val="10"/>
              <w:keepNext/>
              <w:spacing w:after="0" w:line="240" w:lineRule="auto"/>
              <w:ind w:left="63" w:right="63" w:firstLine="560"/>
              <w:rPr>
                <w:rFonts w:hint="eastAsia" w:ascii="宋体" w:hAnsi="宋体" w:eastAsia="宋体" w:cs="宋体"/>
                <w:b/>
                <w:bCs/>
                <w:color w:val="000000"/>
                <w:kern w:val="2"/>
                <w:sz w:val="24"/>
                <w:szCs w:val="24"/>
              </w:rPr>
            </w:pPr>
          </w:p>
        </w:tc>
      </w:tr>
      <w:tr w14:paraId="7C7475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EC0F08C">
            <w:pPr>
              <w:pStyle w:val="10"/>
              <w:keepNext/>
              <w:spacing w:after="0" w:line="240" w:lineRule="auto"/>
              <w:ind w:left="63" w:right="63" w:firstLine="560"/>
              <w:rPr>
                <w:rFonts w:hint="eastAsia" w:ascii="宋体" w:hAnsi="宋体" w:eastAsia="宋体" w:cs="宋体"/>
                <w:b/>
                <w:bCs/>
                <w:color w:val="000000"/>
                <w:kern w:val="2"/>
                <w:sz w:val="24"/>
                <w:szCs w:val="24"/>
              </w:rPr>
            </w:pPr>
          </w:p>
        </w:tc>
        <w:tc>
          <w:tcPr>
            <w:tcW w:w="1984" w:type="dxa"/>
            <w:noWrap w:val="0"/>
            <w:vAlign w:val="top"/>
          </w:tcPr>
          <w:p w14:paraId="17B2EE64">
            <w:pPr>
              <w:pStyle w:val="10"/>
              <w:keepNext/>
              <w:spacing w:after="0" w:line="240" w:lineRule="auto"/>
              <w:ind w:left="63" w:right="63" w:firstLine="560"/>
              <w:rPr>
                <w:rFonts w:hint="eastAsia" w:ascii="宋体" w:hAnsi="宋体" w:eastAsia="宋体" w:cs="宋体"/>
                <w:b/>
                <w:bCs/>
                <w:color w:val="000000"/>
                <w:kern w:val="2"/>
                <w:sz w:val="24"/>
                <w:szCs w:val="24"/>
              </w:rPr>
            </w:pPr>
          </w:p>
        </w:tc>
        <w:tc>
          <w:tcPr>
            <w:tcW w:w="851" w:type="dxa"/>
            <w:noWrap w:val="0"/>
            <w:vAlign w:val="top"/>
          </w:tcPr>
          <w:p w14:paraId="0CE1D87C">
            <w:pPr>
              <w:pStyle w:val="10"/>
              <w:keepNext/>
              <w:spacing w:after="0" w:line="240" w:lineRule="auto"/>
              <w:ind w:left="63" w:right="63" w:firstLine="560"/>
              <w:rPr>
                <w:rFonts w:hint="eastAsia" w:ascii="宋体" w:hAnsi="宋体" w:eastAsia="宋体" w:cs="宋体"/>
                <w:b/>
                <w:bCs/>
                <w:color w:val="000000"/>
                <w:kern w:val="2"/>
                <w:sz w:val="24"/>
                <w:szCs w:val="24"/>
              </w:rPr>
            </w:pPr>
          </w:p>
        </w:tc>
        <w:tc>
          <w:tcPr>
            <w:tcW w:w="774" w:type="dxa"/>
            <w:noWrap w:val="0"/>
            <w:vAlign w:val="top"/>
          </w:tcPr>
          <w:p w14:paraId="71B917DF">
            <w:pPr>
              <w:pStyle w:val="10"/>
              <w:keepNext/>
              <w:spacing w:after="0" w:line="240" w:lineRule="auto"/>
              <w:ind w:left="63" w:right="63" w:firstLine="560"/>
              <w:rPr>
                <w:rFonts w:hint="eastAsia" w:ascii="宋体" w:hAnsi="宋体" w:eastAsia="宋体" w:cs="宋体"/>
                <w:b/>
                <w:bCs/>
                <w:color w:val="000000"/>
                <w:kern w:val="2"/>
                <w:sz w:val="24"/>
                <w:szCs w:val="24"/>
              </w:rPr>
            </w:pPr>
          </w:p>
        </w:tc>
        <w:tc>
          <w:tcPr>
            <w:tcW w:w="1352" w:type="dxa"/>
            <w:noWrap w:val="0"/>
            <w:vAlign w:val="top"/>
          </w:tcPr>
          <w:p w14:paraId="7781B55D">
            <w:pPr>
              <w:pStyle w:val="10"/>
              <w:keepNext/>
              <w:spacing w:after="0" w:line="240" w:lineRule="auto"/>
              <w:ind w:left="63" w:right="63" w:firstLine="560"/>
              <w:rPr>
                <w:rFonts w:hint="eastAsia" w:ascii="宋体" w:hAnsi="宋体" w:eastAsia="宋体" w:cs="宋体"/>
                <w:b/>
                <w:bCs/>
                <w:color w:val="000000"/>
                <w:kern w:val="2"/>
                <w:sz w:val="24"/>
                <w:szCs w:val="24"/>
              </w:rPr>
            </w:pPr>
          </w:p>
        </w:tc>
        <w:tc>
          <w:tcPr>
            <w:tcW w:w="1418" w:type="dxa"/>
            <w:noWrap w:val="0"/>
            <w:vAlign w:val="top"/>
          </w:tcPr>
          <w:p w14:paraId="37112C91">
            <w:pPr>
              <w:pStyle w:val="10"/>
              <w:keepNext/>
              <w:spacing w:after="0" w:line="240" w:lineRule="auto"/>
              <w:ind w:left="63" w:right="63" w:firstLine="560"/>
              <w:rPr>
                <w:rFonts w:hint="eastAsia" w:ascii="宋体" w:hAnsi="宋体" w:eastAsia="宋体" w:cs="宋体"/>
                <w:b/>
                <w:bCs/>
                <w:color w:val="000000"/>
                <w:kern w:val="2"/>
                <w:sz w:val="24"/>
                <w:szCs w:val="24"/>
              </w:rPr>
            </w:pPr>
          </w:p>
        </w:tc>
        <w:tc>
          <w:tcPr>
            <w:tcW w:w="2409" w:type="dxa"/>
            <w:noWrap w:val="0"/>
            <w:vAlign w:val="top"/>
          </w:tcPr>
          <w:p w14:paraId="431A2819">
            <w:pPr>
              <w:pStyle w:val="10"/>
              <w:keepNext/>
              <w:spacing w:after="0" w:line="240" w:lineRule="auto"/>
              <w:ind w:left="63" w:right="63" w:firstLine="560"/>
              <w:rPr>
                <w:rFonts w:hint="eastAsia" w:ascii="宋体" w:hAnsi="宋体" w:eastAsia="宋体" w:cs="宋体"/>
                <w:b/>
                <w:bCs/>
                <w:color w:val="000000"/>
                <w:kern w:val="2"/>
                <w:sz w:val="24"/>
                <w:szCs w:val="24"/>
              </w:rPr>
            </w:pPr>
          </w:p>
        </w:tc>
      </w:tr>
      <w:tr w14:paraId="1F3D04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5060344">
            <w:pPr>
              <w:pStyle w:val="10"/>
              <w:keepNext/>
              <w:spacing w:after="0" w:line="240" w:lineRule="auto"/>
              <w:ind w:left="63" w:right="63" w:firstLine="560"/>
              <w:rPr>
                <w:rFonts w:hint="eastAsia" w:ascii="宋体" w:hAnsi="宋体" w:eastAsia="宋体" w:cs="宋体"/>
                <w:b/>
                <w:bCs/>
                <w:color w:val="000000"/>
                <w:kern w:val="2"/>
                <w:sz w:val="24"/>
                <w:szCs w:val="24"/>
              </w:rPr>
            </w:pPr>
          </w:p>
        </w:tc>
        <w:tc>
          <w:tcPr>
            <w:tcW w:w="1984" w:type="dxa"/>
            <w:noWrap w:val="0"/>
            <w:vAlign w:val="top"/>
          </w:tcPr>
          <w:p w14:paraId="6A83C0AF">
            <w:pPr>
              <w:pStyle w:val="10"/>
              <w:keepNext/>
              <w:spacing w:after="0" w:line="240" w:lineRule="auto"/>
              <w:ind w:left="63" w:right="63" w:firstLine="560"/>
              <w:rPr>
                <w:rFonts w:hint="eastAsia" w:ascii="宋体" w:hAnsi="宋体" w:eastAsia="宋体" w:cs="宋体"/>
                <w:b/>
                <w:bCs/>
                <w:color w:val="000000"/>
                <w:kern w:val="2"/>
                <w:sz w:val="24"/>
                <w:szCs w:val="24"/>
              </w:rPr>
            </w:pPr>
          </w:p>
        </w:tc>
        <w:tc>
          <w:tcPr>
            <w:tcW w:w="851" w:type="dxa"/>
            <w:noWrap w:val="0"/>
            <w:vAlign w:val="top"/>
          </w:tcPr>
          <w:p w14:paraId="29F43693">
            <w:pPr>
              <w:pStyle w:val="10"/>
              <w:keepNext/>
              <w:spacing w:after="0" w:line="240" w:lineRule="auto"/>
              <w:ind w:left="63" w:right="63" w:firstLine="560"/>
              <w:rPr>
                <w:rFonts w:hint="eastAsia" w:ascii="宋体" w:hAnsi="宋体" w:eastAsia="宋体" w:cs="宋体"/>
                <w:b/>
                <w:bCs/>
                <w:color w:val="000000"/>
                <w:kern w:val="2"/>
                <w:sz w:val="24"/>
                <w:szCs w:val="24"/>
              </w:rPr>
            </w:pPr>
          </w:p>
        </w:tc>
        <w:tc>
          <w:tcPr>
            <w:tcW w:w="774" w:type="dxa"/>
            <w:noWrap w:val="0"/>
            <w:vAlign w:val="top"/>
          </w:tcPr>
          <w:p w14:paraId="73FAD6F6">
            <w:pPr>
              <w:pStyle w:val="10"/>
              <w:keepNext/>
              <w:spacing w:after="0" w:line="240" w:lineRule="auto"/>
              <w:ind w:left="63" w:right="63" w:firstLine="560"/>
              <w:rPr>
                <w:rFonts w:hint="eastAsia" w:ascii="宋体" w:hAnsi="宋体" w:eastAsia="宋体" w:cs="宋体"/>
                <w:b/>
                <w:bCs/>
                <w:color w:val="000000"/>
                <w:kern w:val="2"/>
                <w:sz w:val="24"/>
                <w:szCs w:val="24"/>
              </w:rPr>
            </w:pPr>
          </w:p>
        </w:tc>
        <w:tc>
          <w:tcPr>
            <w:tcW w:w="1352" w:type="dxa"/>
            <w:noWrap w:val="0"/>
            <w:vAlign w:val="top"/>
          </w:tcPr>
          <w:p w14:paraId="070FA708">
            <w:pPr>
              <w:pStyle w:val="10"/>
              <w:keepNext/>
              <w:spacing w:after="0" w:line="240" w:lineRule="auto"/>
              <w:ind w:left="63" w:right="63" w:firstLine="560"/>
              <w:rPr>
                <w:rFonts w:hint="eastAsia" w:ascii="宋体" w:hAnsi="宋体" w:eastAsia="宋体" w:cs="宋体"/>
                <w:b/>
                <w:bCs/>
                <w:color w:val="000000"/>
                <w:kern w:val="2"/>
                <w:sz w:val="24"/>
                <w:szCs w:val="24"/>
              </w:rPr>
            </w:pPr>
          </w:p>
        </w:tc>
        <w:tc>
          <w:tcPr>
            <w:tcW w:w="1418" w:type="dxa"/>
            <w:noWrap w:val="0"/>
            <w:vAlign w:val="top"/>
          </w:tcPr>
          <w:p w14:paraId="42B31D22">
            <w:pPr>
              <w:pStyle w:val="10"/>
              <w:keepNext/>
              <w:spacing w:after="0" w:line="240" w:lineRule="auto"/>
              <w:ind w:left="63" w:right="63" w:firstLine="560"/>
              <w:rPr>
                <w:rFonts w:hint="eastAsia" w:ascii="宋体" w:hAnsi="宋体" w:eastAsia="宋体" w:cs="宋体"/>
                <w:b/>
                <w:bCs/>
                <w:color w:val="000000"/>
                <w:kern w:val="2"/>
                <w:sz w:val="24"/>
                <w:szCs w:val="24"/>
              </w:rPr>
            </w:pPr>
          </w:p>
        </w:tc>
        <w:tc>
          <w:tcPr>
            <w:tcW w:w="2409" w:type="dxa"/>
            <w:noWrap w:val="0"/>
            <w:vAlign w:val="top"/>
          </w:tcPr>
          <w:p w14:paraId="05A361E9">
            <w:pPr>
              <w:pStyle w:val="10"/>
              <w:keepNext/>
              <w:spacing w:after="0" w:line="240" w:lineRule="auto"/>
              <w:ind w:left="63" w:right="63" w:firstLine="560"/>
              <w:rPr>
                <w:rFonts w:hint="eastAsia" w:ascii="宋体" w:hAnsi="宋体" w:eastAsia="宋体" w:cs="宋体"/>
                <w:b/>
                <w:bCs/>
                <w:color w:val="000000"/>
                <w:kern w:val="2"/>
                <w:sz w:val="24"/>
                <w:szCs w:val="24"/>
              </w:rPr>
            </w:pPr>
          </w:p>
        </w:tc>
      </w:tr>
      <w:tr w14:paraId="5AF84D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FE99E88">
            <w:pPr>
              <w:pStyle w:val="10"/>
              <w:keepNext/>
              <w:spacing w:after="0" w:line="240" w:lineRule="auto"/>
              <w:ind w:left="63" w:right="63" w:firstLine="560"/>
              <w:rPr>
                <w:rFonts w:hint="eastAsia" w:ascii="宋体" w:hAnsi="宋体" w:eastAsia="宋体" w:cs="宋体"/>
                <w:b/>
                <w:bCs/>
                <w:color w:val="000000"/>
                <w:kern w:val="2"/>
                <w:sz w:val="24"/>
                <w:szCs w:val="24"/>
              </w:rPr>
            </w:pPr>
          </w:p>
        </w:tc>
        <w:tc>
          <w:tcPr>
            <w:tcW w:w="1984" w:type="dxa"/>
            <w:noWrap w:val="0"/>
            <w:vAlign w:val="top"/>
          </w:tcPr>
          <w:p w14:paraId="69F5AAE7">
            <w:pPr>
              <w:pStyle w:val="10"/>
              <w:keepNext/>
              <w:spacing w:after="0" w:line="240" w:lineRule="auto"/>
              <w:ind w:left="63" w:right="63" w:firstLine="560"/>
              <w:rPr>
                <w:rFonts w:hint="eastAsia" w:ascii="宋体" w:hAnsi="宋体" w:eastAsia="宋体" w:cs="宋体"/>
                <w:b/>
                <w:bCs/>
                <w:color w:val="000000"/>
                <w:kern w:val="2"/>
                <w:sz w:val="24"/>
                <w:szCs w:val="24"/>
              </w:rPr>
            </w:pPr>
          </w:p>
        </w:tc>
        <w:tc>
          <w:tcPr>
            <w:tcW w:w="851" w:type="dxa"/>
            <w:noWrap w:val="0"/>
            <w:vAlign w:val="top"/>
          </w:tcPr>
          <w:p w14:paraId="77779462">
            <w:pPr>
              <w:pStyle w:val="10"/>
              <w:keepNext/>
              <w:spacing w:after="0" w:line="240" w:lineRule="auto"/>
              <w:ind w:left="63" w:right="63" w:firstLine="560"/>
              <w:rPr>
                <w:rFonts w:hint="eastAsia" w:ascii="宋体" w:hAnsi="宋体" w:eastAsia="宋体" w:cs="宋体"/>
                <w:b/>
                <w:bCs/>
                <w:color w:val="000000"/>
                <w:kern w:val="2"/>
                <w:sz w:val="24"/>
                <w:szCs w:val="24"/>
              </w:rPr>
            </w:pPr>
          </w:p>
        </w:tc>
        <w:tc>
          <w:tcPr>
            <w:tcW w:w="774" w:type="dxa"/>
            <w:noWrap w:val="0"/>
            <w:vAlign w:val="top"/>
          </w:tcPr>
          <w:p w14:paraId="1C4B5692">
            <w:pPr>
              <w:pStyle w:val="10"/>
              <w:keepNext/>
              <w:spacing w:after="0" w:line="240" w:lineRule="auto"/>
              <w:ind w:left="63" w:right="63" w:firstLine="560"/>
              <w:rPr>
                <w:rFonts w:hint="eastAsia" w:ascii="宋体" w:hAnsi="宋体" w:eastAsia="宋体" w:cs="宋体"/>
                <w:b/>
                <w:bCs/>
                <w:color w:val="000000"/>
                <w:kern w:val="2"/>
                <w:sz w:val="24"/>
                <w:szCs w:val="24"/>
              </w:rPr>
            </w:pPr>
          </w:p>
        </w:tc>
        <w:tc>
          <w:tcPr>
            <w:tcW w:w="1352" w:type="dxa"/>
            <w:noWrap w:val="0"/>
            <w:vAlign w:val="top"/>
          </w:tcPr>
          <w:p w14:paraId="648763C0">
            <w:pPr>
              <w:pStyle w:val="10"/>
              <w:keepNext/>
              <w:spacing w:after="0" w:line="240" w:lineRule="auto"/>
              <w:ind w:left="63" w:right="63" w:firstLine="560"/>
              <w:rPr>
                <w:rFonts w:hint="eastAsia" w:ascii="宋体" w:hAnsi="宋体" w:eastAsia="宋体" w:cs="宋体"/>
                <w:b/>
                <w:bCs/>
                <w:color w:val="000000"/>
                <w:kern w:val="2"/>
                <w:sz w:val="24"/>
                <w:szCs w:val="24"/>
              </w:rPr>
            </w:pPr>
          </w:p>
        </w:tc>
        <w:tc>
          <w:tcPr>
            <w:tcW w:w="1418" w:type="dxa"/>
            <w:noWrap w:val="0"/>
            <w:vAlign w:val="top"/>
          </w:tcPr>
          <w:p w14:paraId="6BB512C5">
            <w:pPr>
              <w:pStyle w:val="10"/>
              <w:keepNext/>
              <w:spacing w:after="0" w:line="240" w:lineRule="auto"/>
              <w:ind w:left="63" w:right="63" w:firstLine="560"/>
              <w:rPr>
                <w:rFonts w:hint="eastAsia" w:ascii="宋体" w:hAnsi="宋体" w:eastAsia="宋体" w:cs="宋体"/>
                <w:b/>
                <w:bCs/>
                <w:color w:val="000000"/>
                <w:kern w:val="2"/>
                <w:sz w:val="24"/>
                <w:szCs w:val="24"/>
              </w:rPr>
            </w:pPr>
          </w:p>
        </w:tc>
        <w:tc>
          <w:tcPr>
            <w:tcW w:w="2409" w:type="dxa"/>
            <w:noWrap w:val="0"/>
            <w:vAlign w:val="top"/>
          </w:tcPr>
          <w:p w14:paraId="06A879AE">
            <w:pPr>
              <w:pStyle w:val="10"/>
              <w:keepNext/>
              <w:spacing w:after="0" w:line="240" w:lineRule="auto"/>
              <w:ind w:left="63" w:right="63" w:firstLine="560"/>
              <w:rPr>
                <w:rFonts w:hint="eastAsia" w:ascii="宋体" w:hAnsi="宋体" w:eastAsia="宋体" w:cs="宋体"/>
                <w:b/>
                <w:bCs/>
                <w:color w:val="000000"/>
                <w:kern w:val="2"/>
                <w:sz w:val="24"/>
                <w:szCs w:val="24"/>
              </w:rPr>
            </w:pPr>
          </w:p>
        </w:tc>
      </w:tr>
      <w:tr w14:paraId="409D4C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F84579B">
            <w:pPr>
              <w:pStyle w:val="10"/>
              <w:keepNext/>
              <w:spacing w:after="0" w:line="240" w:lineRule="auto"/>
              <w:ind w:left="63" w:right="63" w:firstLine="560"/>
              <w:rPr>
                <w:rFonts w:hint="eastAsia" w:ascii="宋体" w:hAnsi="宋体" w:eastAsia="宋体" w:cs="宋体"/>
                <w:b/>
                <w:bCs/>
                <w:color w:val="000000"/>
                <w:kern w:val="2"/>
                <w:sz w:val="24"/>
                <w:szCs w:val="24"/>
              </w:rPr>
            </w:pPr>
          </w:p>
        </w:tc>
        <w:tc>
          <w:tcPr>
            <w:tcW w:w="1984" w:type="dxa"/>
            <w:noWrap w:val="0"/>
            <w:vAlign w:val="top"/>
          </w:tcPr>
          <w:p w14:paraId="37ACADA2">
            <w:pPr>
              <w:pStyle w:val="10"/>
              <w:keepNext/>
              <w:spacing w:after="0" w:line="240" w:lineRule="auto"/>
              <w:ind w:left="63" w:right="63" w:firstLine="560"/>
              <w:rPr>
                <w:rFonts w:hint="eastAsia" w:ascii="宋体" w:hAnsi="宋体" w:eastAsia="宋体" w:cs="宋体"/>
                <w:b/>
                <w:bCs/>
                <w:color w:val="000000"/>
                <w:kern w:val="2"/>
                <w:sz w:val="24"/>
                <w:szCs w:val="24"/>
              </w:rPr>
            </w:pPr>
          </w:p>
        </w:tc>
        <w:tc>
          <w:tcPr>
            <w:tcW w:w="851" w:type="dxa"/>
            <w:noWrap w:val="0"/>
            <w:vAlign w:val="top"/>
          </w:tcPr>
          <w:p w14:paraId="488A6D26">
            <w:pPr>
              <w:pStyle w:val="10"/>
              <w:keepNext/>
              <w:spacing w:after="0" w:line="240" w:lineRule="auto"/>
              <w:ind w:left="63" w:right="63" w:firstLine="560"/>
              <w:rPr>
                <w:rFonts w:hint="eastAsia" w:ascii="宋体" w:hAnsi="宋体" w:eastAsia="宋体" w:cs="宋体"/>
                <w:b/>
                <w:bCs/>
                <w:color w:val="000000"/>
                <w:kern w:val="2"/>
                <w:sz w:val="24"/>
                <w:szCs w:val="24"/>
              </w:rPr>
            </w:pPr>
          </w:p>
        </w:tc>
        <w:tc>
          <w:tcPr>
            <w:tcW w:w="774" w:type="dxa"/>
            <w:noWrap w:val="0"/>
            <w:vAlign w:val="top"/>
          </w:tcPr>
          <w:p w14:paraId="763C19F2">
            <w:pPr>
              <w:pStyle w:val="10"/>
              <w:keepNext/>
              <w:spacing w:after="0" w:line="240" w:lineRule="auto"/>
              <w:ind w:left="63" w:right="63" w:firstLine="560"/>
              <w:rPr>
                <w:rFonts w:hint="eastAsia" w:ascii="宋体" w:hAnsi="宋体" w:eastAsia="宋体" w:cs="宋体"/>
                <w:b/>
                <w:bCs/>
                <w:color w:val="000000"/>
                <w:kern w:val="2"/>
                <w:sz w:val="24"/>
                <w:szCs w:val="24"/>
              </w:rPr>
            </w:pPr>
          </w:p>
        </w:tc>
        <w:tc>
          <w:tcPr>
            <w:tcW w:w="1352" w:type="dxa"/>
            <w:noWrap w:val="0"/>
            <w:vAlign w:val="top"/>
          </w:tcPr>
          <w:p w14:paraId="78D261D5">
            <w:pPr>
              <w:pStyle w:val="10"/>
              <w:keepNext/>
              <w:spacing w:after="0" w:line="240" w:lineRule="auto"/>
              <w:ind w:left="63" w:right="63" w:firstLine="560"/>
              <w:rPr>
                <w:rFonts w:hint="eastAsia" w:ascii="宋体" w:hAnsi="宋体" w:eastAsia="宋体" w:cs="宋体"/>
                <w:b/>
                <w:bCs/>
                <w:color w:val="000000"/>
                <w:kern w:val="2"/>
                <w:sz w:val="24"/>
                <w:szCs w:val="24"/>
              </w:rPr>
            </w:pPr>
          </w:p>
        </w:tc>
        <w:tc>
          <w:tcPr>
            <w:tcW w:w="1418" w:type="dxa"/>
            <w:noWrap w:val="0"/>
            <w:vAlign w:val="top"/>
          </w:tcPr>
          <w:p w14:paraId="72B00512">
            <w:pPr>
              <w:pStyle w:val="10"/>
              <w:keepNext/>
              <w:spacing w:after="0" w:line="240" w:lineRule="auto"/>
              <w:ind w:left="63" w:right="63" w:firstLine="560"/>
              <w:rPr>
                <w:rFonts w:hint="eastAsia" w:ascii="宋体" w:hAnsi="宋体" w:eastAsia="宋体" w:cs="宋体"/>
                <w:b/>
                <w:bCs/>
                <w:color w:val="000000"/>
                <w:kern w:val="2"/>
                <w:sz w:val="24"/>
                <w:szCs w:val="24"/>
              </w:rPr>
            </w:pPr>
          </w:p>
        </w:tc>
        <w:tc>
          <w:tcPr>
            <w:tcW w:w="2409" w:type="dxa"/>
            <w:noWrap w:val="0"/>
            <w:vAlign w:val="top"/>
          </w:tcPr>
          <w:p w14:paraId="3BEF04D7">
            <w:pPr>
              <w:pStyle w:val="10"/>
              <w:keepNext/>
              <w:spacing w:after="0" w:line="240" w:lineRule="auto"/>
              <w:ind w:left="63" w:right="63" w:firstLine="560"/>
              <w:rPr>
                <w:rFonts w:hint="eastAsia" w:ascii="宋体" w:hAnsi="宋体" w:eastAsia="宋体" w:cs="宋体"/>
                <w:b/>
                <w:bCs/>
                <w:color w:val="000000"/>
                <w:kern w:val="2"/>
                <w:sz w:val="24"/>
                <w:szCs w:val="24"/>
              </w:rPr>
            </w:pPr>
          </w:p>
        </w:tc>
      </w:tr>
      <w:tr w14:paraId="1B9FDD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1FC6437">
            <w:pPr>
              <w:pStyle w:val="10"/>
              <w:keepNext/>
              <w:spacing w:after="0" w:line="240" w:lineRule="auto"/>
              <w:ind w:left="63" w:right="63" w:firstLine="560"/>
              <w:rPr>
                <w:rFonts w:hint="eastAsia" w:ascii="宋体" w:hAnsi="宋体" w:eastAsia="宋体" w:cs="宋体"/>
                <w:b/>
                <w:bCs/>
                <w:color w:val="000000"/>
                <w:kern w:val="2"/>
                <w:sz w:val="24"/>
                <w:szCs w:val="24"/>
              </w:rPr>
            </w:pPr>
          </w:p>
        </w:tc>
        <w:tc>
          <w:tcPr>
            <w:tcW w:w="1984" w:type="dxa"/>
            <w:noWrap w:val="0"/>
            <w:vAlign w:val="top"/>
          </w:tcPr>
          <w:p w14:paraId="5B71D150">
            <w:pPr>
              <w:pStyle w:val="10"/>
              <w:keepNext/>
              <w:spacing w:after="0" w:line="240" w:lineRule="auto"/>
              <w:ind w:left="63" w:right="63" w:firstLine="560"/>
              <w:rPr>
                <w:rFonts w:hint="eastAsia" w:ascii="宋体" w:hAnsi="宋体" w:eastAsia="宋体" w:cs="宋体"/>
                <w:b/>
                <w:bCs/>
                <w:color w:val="000000"/>
                <w:kern w:val="2"/>
                <w:sz w:val="24"/>
                <w:szCs w:val="24"/>
              </w:rPr>
            </w:pPr>
          </w:p>
        </w:tc>
        <w:tc>
          <w:tcPr>
            <w:tcW w:w="851" w:type="dxa"/>
            <w:noWrap w:val="0"/>
            <w:vAlign w:val="top"/>
          </w:tcPr>
          <w:p w14:paraId="303B45CA">
            <w:pPr>
              <w:pStyle w:val="10"/>
              <w:keepNext/>
              <w:spacing w:after="0" w:line="240" w:lineRule="auto"/>
              <w:ind w:left="63" w:right="63" w:firstLine="560"/>
              <w:rPr>
                <w:rFonts w:hint="eastAsia" w:ascii="宋体" w:hAnsi="宋体" w:eastAsia="宋体" w:cs="宋体"/>
                <w:b/>
                <w:bCs/>
                <w:color w:val="000000"/>
                <w:kern w:val="2"/>
                <w:sz w:val="24"/>
                <w:szCs w:val="24"/>
              </w:rPr>
            </w:pPr>
          </w:p>
        </w:tc>
        <w:tc>
          <w:tcPr>
            <w:tcW w:w="774" w:type="dxa"/>
            <w:noWrap w:val="0"/>
            <w:vAlign w:val="top"/>
          </w:tcPr>
          <w:p w14:paraId="00F064EC">
            <w:pPr>
              <w:pStyle w:val="10"/>
              <w:keepNext/>
              <w:spacing w:after="0" w:line="240" w:lineRule="auto"/>
              <w:ind w:left="63" w:right="63" w:firstLine="560"/>
              <w:rPr>
                <w:rFonts w:hint="eastAsia" w:ascii="宋体" w:hAnsi="宋体" w:eastAsia="宋体" w:cs="宋体"/>
                <w:b/>
                <w:bCs/>
                <w:color w:val="000000"/>
                <w:kern w:val="2"/>
                <w:sz w:val="24"/>
                <w:szCs w:val="24"/>
              </w:rPr>
            </w:pPr>
          </w:p>
        </w:tc>
        <w:tc>
          <w:tcPr>
            <w:tcW w:w="1352" w:type="dxa"/>
            <w:noWrap w:val="0"/>
            <w:vAlign w:val="top"/>
          </w:tcPr>
          <w:p w14:paraId="0CA001FB">
            <w:pPr>
              <w:pStyle w:val="10"/>
              <w:keepNext/>
              <w:spacing w:after="0" w:line="240" w:lineRule="auto"/>
              <w:ind w:left="63" w:right="63" w:firstLine="560"/>
              <w:rPr>
                <w:rFonts w:hint="eastAsia" w:ascii="宋体" w:hAnsi="宋体" w:eastAsia="宋体" w:cs="宋体"/>
                <w:b/>
                <w:bCs/>
                <w:color w:val="000000"/>
                <w:kern w:val="2"/>
                <w:sz w:val="24"/>
                <w:szCs w:val="24"/>
              </w:rPr>
            </w:pPr>
          </w:p>
        </w:tc>
        <w:tc>
          <w:tcPr>
            <w:tcW w:w="1418" w:type="dxa"/>
            <w:noWrap w:val="0"/>
            <w:vAlign w:val="top"/>
          </w:tcPr>
          <w:p w14:paraId="0E4C2F9B">
            <w:pPr>
              <w:pStyle w:val="10"/>
              <w:keepNext/>
              <w:spacing w:after="0" w:line="240" w:lineRule="auto"/>
              <w:ind w:left="63" w:right="63" w:firstLine="560"/>
              <w:rPr>
                <w:rFonts w:hint="eastAsia" w:ascii="宋体" w:hAnsi="宋体" w:eastAsia="宋体" w:cs="宋体"/>
                <w:b/>
                <w:bCs/>
                <w:color w:val="000000"/>
                <w:kern w:val="2"/>
                <w:sz w:val="24"/>
                <w:szCs w:val="24"/>
              </w:rPr>
            </w:pPr>
          </w:p>
        </w:tc>
        <w:tc>
          <w:tcPr>
            <w:tcW w:w="2409" w:type="dxa"/>
            <w:noWrap w:val="0"/>
            <w:vAlign w:val="top"/>
          </w:tcPr>
          <w:p w14:paraId="0AB9E8D0">
            <w:pPr>
              <w:pStyle w:val="10"/>
              <w:keepNext/>
              <w:spacing w:after="0" w:line="240" w:lineRule="auto"/>
              <w:ind w:left="63" w:right="63" w:firstLine="560"/>
              <w:rPr>
                <w:rFonts w:hint="eastAsia" w:ascii="宋体" w:hAnsi="宋体" w:eastAsia="宋体" w:cs="宋体"/>
                <w:b/>
                <w:bCs/>
                <w:color w:val="000000"/>
                <w:kern w:val="2"/>
                <w:sz w:val="24"/>
                <w:szCs w:val="24"/>
              </w:rPr>
            </w:pPr>
          </w:p>
        </w:tc>
      </w:tr>
      <w:tr w14:paraId="71EB21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1B542F0">
            <w:pPr>
              <w:pStyle w:val="10"/>
              <w:keepNext/>
              <w:spacing w:after="0" w:line="240" w:lineRule="auto"/>
              <w:ind w:left="63" w:right="63" w:firstLine="560"/>
              <w:rPr>
                <w:rFonts w:hint="eastAsia" w:ascii="宋体" w:hAnsi="宋体" w:eastAsia="宋体" w:cs="宋体"/>
                <w:b/>
                <w:bCs/>
                <w:color w:val="000000"/>
                <w:kern w:val="2"/>
                <w:sz w:val="24"/>
                <w:szCs w:val="24"/>
              </w:rPr>
            </w:pPr>
          </w:p>
        </w:tc>
        <w:tc>
          <w:tcPr>
            <w:tcW w:w="1984" w:type="dxa"/>
            <w:noWrap w:val="0"/>
            <w:vAlign w:val="top"/>
          </w:tcPr>
          <w:p w14:paraId="0DB86A5E">
            <w:pPr>
              <w:pStyle w:val="10"/>
              <w:keepNext/>
              <w:spacing w:after="0" w:line="240" w:lineRule="auto"/>
              <w:ind w:left="63" w:right="63" w:firstLine="560"/>
              <w:rPr>
                <w:rFonts w:hint="eastAsia" w:ascii="宋体" w:hAnsi="宋体" w:eastAsia="宋体" w:cs="宋体"/>
                <w:b/>
                <w:bCs/>
                <w:color w:val="000000"/>
                <w:kern w:val="2"/>
                <w:sz w:val="24"/>
                <w:szCs w:val="24"/>
              </w:rPr>
            </w:pPr>
          </w:p>
        </w:tc>
        <w:tc>
          <w:tcPr>
            <w:tcW w:w="851" w:type="dxa"/>
            <w:noWrap w:val="0"/>
            <w:vAlign w:val="top"/>
          </w:tcPr>
          <w:p w14:paraId="31B4088C">
            <w:pPr>
              <w:pStyle w:val="10"/>
              <w:keepNext/>
              <w:spacing w:after="0" w:line="240" w:lineRule="auto"/>
              <w:ind w:left="63" w:right="63" w:firstLine="560"/>
              <w:rPr>
                <w:rFonts w:hint="eastAsia" w:ascii="宋体" w:hAnsi="宋体" w:eastAsia="宋体" w:cs="宋体"/>
                <w:b/>
                <w:bCs/>
                <w:color w:val="000000"/>
                <w:kern w:val="2"/>
                <w:sz w:val="24"/>
                <w:szCs w:val="24"/>
              </w:rPr>
            </w:pPr>
          </w:p>
        </w:tc>
        <w:tc>
          <w:tcPr>
            <w:tcW w:w="774" w:type="dxa"/>
            <w:noWrap w:val="0"/>
            <w:vAlign w:val="top"/>
          </w:tcPr>
          <w:p w14:paraId="4613B3F2">
            <w:pPr>
              <w:pStyle w:val="10"/>
              <w:keepNext/>
              <w:spacing w:after="0" w:line="240" w:lineRule="auto"/>
              <w:ind w:left="63" w:right="63" w:firstLine="560"/>
              <w:rPr>
                <w:rFonts w:hint="eastAsia" w:ascii="宋体" w:hAnsi="宋体" w:eastAsia="宋体" w:cs="宋体"/>
                <w:b/>
                <w:bCs/>
                <w:color w:val="000000"/>
                <w:kern w:val="2"/>
                <w:sz w:val="24"/>
                <w:szCs w:val="24"/>
              </w:rPr>
            </w:pPr>
          </w:p>
        </w:tc>
        <w:tc>
          <w:tcPr>
            <w:tcW w:w="1352" w:type="dxa"/>
            <w:noWrap w:val="0"/>
            <w:vAlign w:val="top"/>
          </w:tcPr>
          <w:p w14:paraId="59E8B361">
            <w:pPr>
              <w:pStyle w:val="10"/>
              <w:keepNext/>
              <w:spacing w:after="0" w:line="240" w:lineRule="auto"/>
              <w:ind w:left="63" w:right="63" w:firstLine="560"/>
              <w:rPr>
                <w:rFonts w:hint="eastAsia" w:ascii="宋体" w:hAnsi="宋体" w:eastAsia="宋体" w:cs="宋体"/>
                <w:b/>
                <w:bCs/>
                <w:color w:val="000000"/>
                <w:kern w:val="2"/>
                <w:sz w:val="24"/>
                <w:szCs w:val="24"/>
              </w:rPr>
            </w:pPr>
          </w:p>
        </w:tc>
        <w:tc>
          <w:tcPr>
            <w:tcW w:w="1418" w:type="dxa"/>
            <w:noWrap w:val="0"/>
            <w:vAlign w:val="top"/>
          </w:tcPr>
          <w:p w14:paraId="280C2F95">
            <w:pPr>
              <w:pStyle w:val="10"/>
              <w:keepNext/>
              <w:spacing w:after="0" w:line="240" w:lineRule="auto"/>
              <w:ind w:left="63" w:right="63" w:firstLine="560"/>
              <w:rPr>
                <w:rFonts w:hint="eastAsia" w:ascii="宋体" w:hAnsi="宋体" w:eastAsia="宋体" w:cs="宋体"/>
                <w:b/>
                <w:bCs/>
                <w:color w:val="000000"/>
                <w:kern w:val="2"/>
                <w:sz w:val="24"/>
                <w:szCs w:val="24"/>
              </w:rPr>
            </w:pPr>
          </w:p>
        </w:tc>
        <w:tc>
          <w:tcPr>
            <w:tcW w:w="2409" w:type="dxa"/>
            <w:noWrap w:val="0"/>
            <w:vAlign w:val="top"/>
          </w:tcPr>
          <w:p w14:paraId="727876D5">
            <w:pPr>
              <w:pStyle w:val="10"/>
              <w:keepNext/>
              <w:spacing w:after="0" w:line="240" w:lineRule="auto"/>
              <w:ind w:left="63" w:right="63" w:firstLine="560"/>
              <w:rPr>
                <w:rFonts w:hint="eastAsia" w:ascii="宋体" w:hAnsi="宋体" w:eastAsia="宋体" w:cs="宋体"/>
                <w:b/>
                <w:bCs/>
                <w:color w:val="000000"/>
                <w:kern w:val="2"/>
                <w:sz w:val="24"/>
                <w:szCs w:val="24"/>
              </w:rPr>
            </w:pPr>
          </w:p>
        </w:tc>
      </w:tr>
      <w:tr w14:paraId="57FA2E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C2F8221">
            <w:pPr>
              <w:pStyle w:val="10"/>
              <w:keepNext/>
              <w:spacing w:after="0" w:line="240" w:lineRule="auto"/>
              <w:ind w:left="63" w:right="63" w:firstLine="560"/>
              <w:rPr>
                <w:rFonts w:hint="eastAsia" w:ascii="宋体" w:hAnsi="宋体" w:eastAsia="宋体" w:cs="宋体"/>
                <w:b/>
                <w:bCs/>
                <w:color w:val="000000"/>
                <w:kern w:val="2"/>
                <w:sz w:val="24"/>
                <w:szCs w:val="24"/>
              </w:rPr>
            </w:pPr>
          </w:p>
        </w:tc>
        <w:tc>
          <w:tcPr>
            <w:tcW w:w="1984" w:type="dxa"/>
            <w:noWrap w:val="0"/>
            <w:vAlign w:val="top"/>
          </w:tcPr>
          <w:p w14:paraId="4A3C0D28">
            <w:pPr>
              <w:pStyle w:val="10"/>
              <w:keepNext/>
              <w:spacing w:after="0" w:line="240" w:lineRule="auto"/>
              <w:ind w:left="63" w:right="63" w:firstLine="560"/>
              <w:rPr>
                <w:rFonts w:hint="eastAsia" w:ascii="宋体" w:hAnsi="宋体" w:eastAsia="宋体" w:cs="宋体"/>
                <w:b/>
                <w:bCs/>
                <w:color w:val="000000"/>
                <w:kern w:val="2"/>
                <w:sz w:val="24"/>
                <w:szCs w:val="24"/>
              </w:rPr>
            </w:pPr>
          </w:p>
        </w:tc>
        <w:tc>
          <w:tcPr>
            <w:tcW w:w="851" w:type="dxa"/>
            <w:noWrap w:val="0"/>
            <w:vAlign w:val="top"/>
          </w:tcPr>
          <w:p w14:paraId="740F25FE">
            <w:pPr>
              <w:pStyle w:val="10"/>
              <w:keepNext/>
              <w:spacing w:after="0" w:line="240" w:lineRule="auto"/>
              <w:ind w:left="63" w:right="63" w:firstLine="560"/>
              <w:rPr>
                <w:rFonts w:hint="eastAsia" w:ascii="宋体" w:hAnsi="宋体" w:eastAsia="宋体" w:cs="宋体"/>
                <w:b/>
                <w:bCs/>
                <w:color w:val="000000"/>
                <w:kern w:val="2"/>
                <w:sz w:val="24"/>
                <w:szCs w:val="24"/>
              </w:rPr>
            </w:pPr>
          </w:p>
        </w:tc>
        <w:tc>
          <w:tcPr>
            <w:tcW w:w="774" w:type="dxa"/>
            <w:noWrap w:val="0"/>
            <w:vAlign w:val="top"/>
          </w:tcPr>
          <w:p w14:paraId="4EC6B613">
            <w:pPr>
              <w:pStyle w:val="10"/>
              <w:keepNext/>
              <w:spacing w:after="0" w:line="240" w:lineRule="auto"/>
              <w:ind w:left="63" w:right="63" w:firstLine="560"/>
              <w:rPr>
                <w:rFonts w:hint="eastAsia" w:ascii="宋体" w:hAnsi="宋体" w:eastAsia="宋体" w:cs="宋体"/>
                <w:b/>
                <w:bCs/>
                <w:color w:val="000000"/>
                <w:kern w:val="2"/>
                <w:sz w:val="24"/>
                <w:szCs w:val="24"/>
              </w:rPr>
            </w:pPr>
          </w:p>
        </w:tc>
        <w:tc>
          <w:tcPr>
            <w:tcW w:w="1352" w:type="dxa"/>
            <w:noWrap w:val="0"/>
            <w:vAlign w:val="top"/>
          </w:tcPr>
          <w:p w14:paraId="063A011E">
            <w:pPr>
              <w:pStyle w:val="10"/>
              <w:keepNext/>
              <w:spacing w:after="0" w:line="240" w:lineRule="auto"/>
              <w:ind w:left="63" w:right="63" w:firstLine="560"/>
              <w:rPr>
                <w:rFonts w:hint="eastAsia" w:ascii="宋体" w:hAnsi="宋体" w:eastAsia="宋体" w:cs="宋体"/>
                <w:b/>
                <w:bCs/>
                <w:color w:val="000000"/>
                <w:kern w:val="2"/>
                <w:sz w:val="24"/>
                <w:szCs w:val="24"/>
              </w:rPr>
            </w:pPr>
          </w:p>
        </w:tc>
        <w:tc>
          <w:tcPr>
            <w:tcW w:w="1418" w:type="dxa"/>
            <w:noWrap w:val="0"/>
            <w:vAlign w:val="top"/>
          </w:tcPr>
          <w:p w14:paraId="1AA6EA6C">
            <w:pPr>
              <w:pStyle w:val="10"/>
              <w:keepNext/>
              <w:spacing w:after="0" w:line="240" w:lineRule="auto"/>
              <w:ind w:left="63" w:right="63" w:firstLine="560"/>
              <w:rPr>
                <w:rFonts w:hint="eastAsia" w:ascii="宋体" w:hAnsi="宋体" w:eastAsia="宋体" w:cs="宋体"/>
                <w:b/>
                <w:bCs/>
                <w:color w:val="000000"/>
                <w:kern w:val="2"/>
                <w:sz w:val="24"/>
                <w:szCs w:val="24"/>
              </w:rPr>
            </w:pPr>
          </w:p>
        </w:tc>
        <w:tc>
          <w:tcPr>
            <w:tcW w:w="2409" w:type="dxa"/>
            <w:noWrap w:val="0"/>
            <w:vAlign w:val="top"/>
          </w:tcPr>
          <w:p w14:paraId="06A039A4">
            <w:pPr>
              <w:pStyle w:val="10"/>
              <w:keepNext/>
              <w:spacing w:after="0" w:line="240" w:lineRule="auto"/>
              <w:ind w:left="63" w:right="63" w:firstLine="560"/>
              <w:rPr>
                <w:rFonts w:hint="eastAsia" w:ascii="宋体" w:hAnsi="宋体" w:eastAsia="宋体" w:cs="宋体"/>
                <w:b/>
                <w:bCs/>
                <w:color w:val="000000"/>
                <w:kern w:val="2"/>
                <w:sz w:val="24"/>
                <w:szCs w:val="24"/>
              </w:rPr>
            </w:pPr>
          </w:p>
        </w:tc>
      </w:tr>
      <w:tr w14:paraId="133B6A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9EBFAD6">
            <w:pPr>
              <w:pStyle w:val="10"/>
              <w:keepNext/>
              <w:spacing w:after="0" w:line="240" w:lineRule="auto"/>
              <w:ind w:left="63" w:right="63" w:firstLine="560"/>
              <w:rPr>
                <w:rFonts w:hint="eastAsia" w:ascii="宋体" w:hAnsi="宋体" w:eastAsia="宋体" w:cs="宋体"/>
                <w:b/>
                <w:bCs/>
                <w:color w:val="000000"/>
                <w:kern w:val="2"/>
                <w:sz w:val="24"/>
                <w:szCs w:val="24"/>
              </w:rPr>
            </w:pPr>
          </w:p>
        </w:tc>
        <w:tc>
          <w:tcPr>
            <w:tcW w:w="1984" w:type="dxa"/>
            <w:noWrap w:val="0"/>
            <w:vAlign w:val="top"/>
          </w:tcPr>
          <w:p w14:paraId="47CADEFF">
            <w:pPr>
              <w:pStyle w:val="10"/>
              <w:keepNext/>
              <w:spacing w:after="0" w:line="240" w:lineRule="auto"/>
              <w:ind w:left="63" w:right="63" w:firstLine="560"/>
              <w:rPr>
                <w:rFonts w:hint="eastAsia" w:ascii="宋体" w:hAnsi="宋体" w:eastAsia="宋体" w:cs="宋体"/>
                <w:b/>
                <w:bCs/>
                <w:color w:val="000000"/>
                <w:kern w:val="2"/>
                <w:sz w:val="24"/>
                <w:szCs w:val="24"/>
              </w:rPr>
            </w:pPr>
          </w:p>
        </w:tc>
        <w:tc>
          <w:tcPr>
            <w:tcW w:w="851" w:type="dxa"/>
            <w:noWrap w:val="0"/>
            <w:vAlign w:val="top"/>
          </w:tcPr>
          <w:p w14:paraId="6CC662D3">
            <w:pPr>
              <w:pStyle w:val="10"/>
              <w:keepNext/>
              <w:spacing w:after="0" w:line="240" w:lineRule="auto"/>
              <w:ind w:left="63" w:right="63" w:firstLine="560"/>
              <w:rPr>
                <w:rFonts w:hint="eastAsia" w:ascii="宋体" w:hAnsi="宋体" w:eastAsia="宋体" w:cs="宋体"/>
                <w:b/>
                <w:bCs/>
                <w:color w:val="000000"/>
                <w:kern w:val="2"/>
                <w:sz w:val="24"/>
                <w:szCs w:val="24"/>
              </w:rPr>
            </w:pPr>
          </w:p>
        </w:tc>
        <w:tc>
          <w:tcPr>
            <w:tcW w:w="774" w:type="dxa"/>
            <w:noWrap w:val="0"/>
            <w:vAlign w:val="top"/>
          </w:tcPr>
          <w:p w14:paraId="384406E7">
            <w:pPr>
              <w:pStyle w:val="10"/>
              <w:keepNext/>
              <w:spacing w:after="0" w:line="240" w:lineRule="auto"/>
              <w:ind w:left="63" w:right="63" w:firstLine="560"/>
              <w:rPr>
                <w:rFonts w:hint="eastAsia" w:ascii="宋体" w:hAnsi="宋体" w:eastAsia="宋体" w:cs="宋体"/>
                <w:b/>
                <w:bCs/>
                <w:color w:val="000000"/>
                <w:kern w:val="2"/>
                <w:sz w:val="24"/>
                <w:szCs w:val="24"/>
              </w:rPr>
            </w:pPr>
          </w:p>
        </w:tc>
        <w:tc>
          <w:tcPr>
            <w:tcW w:w="1352" w:type="dxa"/>
            <w:noWrap w:val="0"/>
            <w:vAlign w:val="top"/>
          </w:tcPr>
          <w:p w14:paraId="49FAE2BD">
            <w:pPr>
              <w:pStyle w:val="10"/>
              <w:keepNext/>
              <w:spacing w:after="0" w:line="240" w:lineRule="auto"/>
              <w:ind w:left="63" w:right="63" w:firstLine="560"/>
              <w:rPr>
                <w:rFonts w:hint="eastAsia" w:ascii="宋体" w:hAnsi="宋体" w:eastAsia="宋体" w:cs="宋体"/>
                <w:b/>
                <w:bCs/>
                <w:color w:val="000000"/>
                <w:kern w:val="2"/>
                <w:sz w:val="24"/>
                <w:szCs w:val="24"/>
              </w:rPr>
            </w:pPr>
          </w:p>
        </w:tc>
        <w:tc>
          <w:tcPr>
            <w:tcW w:w="1418" w:type="dxa"/>
            <w:noWrap w:val="0"/>
            <w:vAlign w:val="top"/>
          </w:tcPr>
          <w:p w14:paraId="3404C41F">
            <w:pPr>
              <w:pStyle w:val="10"/>
              <w:keepNext/>
              <w:spacing w:after="0" w:line="240" w:lineRule="auto"/>
              <w:ind w:left="63" w:right="63" w:firstLine="560"/>
              <w:rPr>
                <w:rFonts w:hint="eastAsia" w:ascii="宋体" w:hAnsi="宋体" w:eastAsia="宋体" w:cs="宋体"/>
                <w:b/>
                <w:bCs/>
                <w:color w:val="000000"/>
                <w:kern w:val="2"/>
                <w:sz w:val="24"/>
                <w:szCs w:val="24"/>
              </w:rPr>
            </w:pPr>
          </w:p>
        </w:tc>
        <w:tc>
          <w:tcPr>
            <w:tcW w:w="2409" w:type="dxa"/>
            <w:noWrap w:val="0"/>
            <w:vAlign w:val="top"/>
          </w:tcPr>
          <w:p w14:paraId="1E767DB0">
            <w:pPr>
              <w:pStyle w:val="10"/>
              <w:keepNext/>
              <w:spacing w:after="0" w:line="240" w:lineRule="auto"/>
              <w:ind w:left="63" w:right="63" w:firstLine="560"/>
              <w:rPr>
                <w:rFonts w:hint="eastAsia" w:ascii="宋体" w:hAnsi="宋体" w:eastAsia="宋体" w:cs="宋体"/>
                <w:b/>
                <w:bCs/>
                <w:color w:val="000000"/>
                <w:kern w:val="2"/>
                <w:sz w:val="24"/>
                <w:szCs w:val="24"/>
              </w:rPr>
            </w:pPr>
          </w:p>
        </w:tc>
      </w:tr>
    </w:tbl>
    <w:p w14:paraId="13F39D64">
      <w:pPr>
        <w:rPr>
          <w:rFonts w:hint="eastAsia" w:ascii="宋体" w:hAnsi="宋体" w:eastAsia="宋体" w:cs="宋体"/>
        </w:rPr>
      </w:pPr>
    </w:p>
    <w:p w14:paraId="1C1DC0F8">
      <w:pPr>
        <w:pStyle w:val="16"/>
        <w:rPr>
          <w:rFonts w:hint="eastAsia" w:ascii="宋体" w:hAnsi="宋体" w:eastAsia="宋体" w:cs="宋体"/>
        </w:rPr>
      </w:pPr>
    </w:p>
    <w:p w14:paraId="5CF76A10">
      <w:pPr>
        <w:pStyle w:val="16"/>
        <w:rPr>
          <w:rFonts w:hint="eastAsia" w:ascii="宋体" w:hAnsi="宋体" w:eastAsia="宋体" w:cs="宋体"/>
        </w:rPr>
      </w:pPr>
    </w:p>
    <w:p w14:paraId="66E1B1DF">
      <w:pPr>
        <w:pStyle w:val="16"/>
        <w:rPr>
          <w:rFonts w:hint="eastAsia" w:ascii="宋体" w:hAnsi="宋体" w:eastAsia="宋体" w:cs="宋体"/>
        </w:rPr>
      </w:pPr>
    </w:p>
    <w:p w14:paraId="51813714">
      <w:pPr>
        <w:pStyle w:val="16"/>
        <w:rPr>
          <w:rFonts w:hint="eastAsia" w:ascii="宋体" w:hAnsi="宋体" w:eastAsia="宋体" w:cs="宋体"/>
        </w:rPr>
      </w:pPr>
    </w:p>
    <w:p w14:paraId="7EE937D8">
      <w:pPr>
        <w:pStyle w:val="16"/>
        <w:rPr>
          <w:rFonts w:hint="eastAsia" w:ascii="宋体" w:hAnsi="宋体" w:eastAsia="宋体" w:cs="宋体"/>
        </w:rPr>
      </w:pPr>
    </w:p>
    <w:p w14:paraId="5D8BB828">
      <w:pPr>
        <w:pStyle w:val="16"/>
        <w:rPr>
          <w:rFonts w:hint="eastAsia" w:ascii="宋体" w:hAnsi="宋体" w:eastAsia="宋体" w:cs="宋体"/>
        </w:rPr>
      </w:pPr>
    </w:p>
    <w:p w14:paraId="3F6A7D1B">
      <w:pPr>
        <w:pStyle w:val="16"/>
        <w:rPr>
          <w:rFonts w:hint="eastAsia" w:ascii="宋体" w:hAnsi="宋体" w:eastAsia="宋体" w:cs="宋体"/>
        </w:rPr>
      </w:pPr>
    </w:p>
    <w:p w14:paraId="4015398C">
      <w:pPr>
        <w:pStyle w:val="16"/>
        <w:rPr>
          <w:rFonts w:hint="eastAsia" w:ascii="宋体" w:hAnsi="宋体" w:eastAsia="宋体" w:cs="宋体"/>
        </w:rPr>
      </w:pPr>
    </w:p>
    <w:p w14:paraId="3F36C3EB">
      <w:pPr>
        <w:pStyle w:val="16"/>
        <w:rPr>
          <w:rFonts w:hint="eastAsia" w:ascii="宋体" w:hAnsi="宋体" w:eastAsia="宋体" w:cs="宋体"/>
        </w:rPr>
      </w:pPr>
    </w:p>
    <w:p w14:paraId="6B0876FB">
      <w:pPr>
        <w:pStyle w:val="16"/>
        <w:rPr>
          <w:rFonts w:hint="eastAsia" w:ascii="宋体" w:hAnsi="宋体" w:eastAsia="宋体" w:cs="宋体"/>
        </w:rPr>
      </w:pPr>
    </w:p>
    <w:p w14:paraId="14CC7FA2">
      <w:pPr>
        <w:pStyle w:val="16"/>
        <w:rPr>
          <w:rFonts w:hint="eastAsia" w:ascii="宋体" w:hAnsi="宋体" w:eastAsia="宋体" w:cs="宋体"/>
        </w:rPr>
      </w:pPr>
    </w:p>
    <w:p w14:paraId="003A1332">
      <w:pPr>
        <w:pStyle w:val="16"/>
        <w:rPr>
          <w:rFonts w:hint="eastAsia" w:ascii="宋体" w:hAnsi="宋体" w:eastAsia="宋体" w:cs="宋体"/>
        </w:rPr>
      </w:pPr>
    </w:p>
    <w:p w14:paraId="02244F12">
      <w:pPr>
        <w:pStyle w:val="16"/>
        <w:rPr>
          <w:rFonts w:hint="eastAsia" w:ascii="宋体" w:hAnsi="宋体" w:eastAsia="宋体" w:cs="宋体"/>
        </w:rPr>
      </w:pPr>
    </w:p>
    <w:p w14:paraId="2693BC06">
      <w:pPr>
        <w:pStyle w:val="16"/>
        <w:rPr>
          <w:rFonts w:hint="eastAsia" w:ascii="宋体" w:hAnsi="宋体" w:eastAsia="宋体" w:cs="宋体"/>
        </w:rPr>
      </w:pPr>
    </w:p>
    <w:p w14:paraId="02B49D9C">
      <w:pPr>
        <w:pStyle w:val="16"/>
        <w:rPr>
          <w:rFonts w:hint="eastAsia" w:ascii="宋体" w:hAnsi="宋体" w:eastAsia="宋体" w:cs="宋体"/>
        </w:rPr>
      </w:pPr>
    </w:p>
    <w:p w14:paraId="65F8DC6C">
      <w:pPr>
        <w:pStyle w:val="16"/>
        <w:rPr>
          <w:rFonts w:hint="eastAsia" w:ascii="宋体" w:hAnsi="宋体" w:eastAsia="宋体" w:cs="宋体"/>
        </w:rPr>
      </w:pPr>
    </w:p>
    <w:p w14:paraId="0C3F7E03">
      <w:pPr>
        <w:pStyle w:val="16"/>
        <w:rPr>
          <w:rFonts w:hint="eastAsia" w:ascii="宋体" w:hAnsi="宋体" w:eastAsia="宋体" w:cs="宋体"/>
        </w:rPr>
      </w:pPr>
    </w:p>
    <w:p w14:paraId="37C70685">
      <w:pPr>
        <w:pStyle w:val="8"/>
        <w:rPr>
          <w:rFonts w:hint="eastAsia" w:ascii="宋体" w:hAnsi="宋体" w:eastAsia="宋体" w:cs="宋体"/>
        </w:rPr>
      </w:pPr>
    </w:p>
    <w:p w14:paraId="7A788CD5">
      <w:pPr>
        <w:jc w:val="left"/>
        <w:outlineLvl w:val="0"/>
        <w:rPr>
          <w:rFonts w:hint="eastAsia" w:ascii="宋体" w:hAnsi="宋体" w:eastAsia="宋体" w:cs="宋体"/>
          <w:color w:val="000000"/>
          <w:sz w:val="28"/>
          <w:szCs w:val="28"/>
        </w:rPr>
      </w:pPr>
      <w:bookmarkStart w:id="604" w:name="_Toc23545"/>
      <w:bookmarkStart w:id="605" w:name="_Toc1553"/>
      <w:bookmarkStart w:id="606" w:name="_Toc32764"/>
      <w:bookmarkStart w:id="607" w:name="_Toc4349"/>
      <w:bookmarkStart w:id="608" w:name="_Toc25103"/>
      <w:bookmarkStart w:id="609" w:name="_Toc27216"/>
      <w:bookmarkStart w:id="610" w:name="_Toc19632"/>
      <w:bookmarkStart w:id="611" w:name="_Toc580"/>
      <w:bookmarkStart w:id="612" w:name="_Toc24190"/>
      <w:bookmarkStart w:id="613" w:name="_Toc25257"/>
      <w:bookmarkStart w:id="614" w:name="_Toc22475"/>
      <w:bookmarkStart w:id="615" w:name="_Toc14129"/>
      <w:bookmarkStart w:id="616" w:name="_Toc21740"/>
      <w:bookmarkStart w:id="617" w:name="_Toc998"/>
      <w:bookmarkStart w:id="618" w:name="_Toc443898229"/>
      <w:r>
        <w:rPr>
          <w:rFonts w:hint="eastAsia" w:ascii="宋体" w:hAnsi="宋体" w:eastAsia="宋体" w:cs="宋体"/>
          <w:color w:val="000000"/>
          <w:sz w:val="28"/>
          <w:szCs w:val="28"/>
        </w:rPr>
        <w:t>附件12：工程量清单</w:t>
      </w:r>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p>
    <w:p w14:paraId="5FF1A139">
      <w:pPr>
        <w:jc w:val="center"/>
        <w:rPr>
          <w:rFonts w:hint="eastAsia" w:ascii="宋体" w:hAnsi="宋体" w:eastAsia="宋体" w:cs="宋体"/>
          <w:b/>
          <w:bCs/>
          <w:sz w:val="44"/>
        </w:rPr>
      </w:pPr>
      <w:r>
        <w:rPr>
          <w:rFonts w:hint="eastAsia" w:ascii="宋体" w:hAnsi="宋体" w:eastAsia="宋体" w:cs="宋体"/>
          <w:b/>
          <w:bCs/>
          <w:sz w:val="44"/>
        </w:rPr>
        <w:t>工　程　量　清　单</w:t>
      </w:r>
    </w:p>
    <w:p w14:paraId="7E040BF4">
      <w:pPr>
        <w:ind w:firstLine="480" w:firstLineChars="200"/>
        <w:contextualSpacing/>
        <w:rPr>
          <w:rFonts w:hint="eastAsia" w:ascii="宋体" w:hAnsi="宋体" w:eastAsia="宋体" w:cs="宋体"/>
          <w:sz w:val="24"/>
          <w:szCs w:val="24"/>
        </w:rPr>
      </w:pPr>
      <w:bookmarkStart w:id="619" w:name="_Toc7973"/>
      <w:bookmarkStart w:id="620" w:name="_Toc443898230"/>
      <w:bookmarkStart w:id="621" w:name="_Toc5324"/>
      <w:bookmarkStart w:id="622" w:name="_Toc18113"/>
      <w:bookmarkStart w:id="623" w:name="_Toc12054"/>
      <w:r>
        <w:rPr>
          <w:rFonts w:hint="eastAsia" w:ascii="宋体" w:hAnsi="宋体" w:eastAsia="宋体" w:cs="宋体"/>
          <w:sz w:val="24"/>
          <w:szCs w:val="24"/>
        </w:rPr>
        <w:t xml:space="preserve">1. </w:t>
      </w:r>
      <w:bookmarkStart w:id="624" w:name="_Toc169406151"/>
      <w:bookmarkStart w:id="625" w:name="_Toc181150877"/>
      <w:bookmarkStart w:id="626" w:name="_Toc179968427"/>
      <w:bookmarkStart w:id="627" w:name="_Toc176919299"/>
      <w:bookmarkStart w:id="628" w:name="_Toc180897313"/>
      <w:bookmarkStart w:id="629" w:name="_Toc180897409"/>
      <w:bookmarkStart w:id="630" w:name="_Toc179968712"/>
      <w:bookmarkStart w:id="631" w:name="_Toc180896981"/>
      <w:bookmarkStart w:id="632" w:name="_Toc169406299"/>
      <w:bookmarkStart w:id="633" w:name="_Toc169406002"/>
      <w:bookmarkStart w:id="634" w:name="_Toc180897169"/>
      <w:r>
        <w:rPr>
          <w:rFonts w:hint="eastAsia" w:ascii="宋体" w:hAnsi="宋体" w:eastAsia="宋体" w:cs="宋体"/>
          <w:sz w:val="24"/>
          <w:szCs w:val="24"/>
        </w:rPr>
        <w:t>工程量清单总说明</w:t>
      </w:r>
      <w:bookmarkEnd w:id="619"/>
      <w:bookmarkEnd w:id="620"/>
      <w:bookmarkEnd w:id="621"/>
      <w:bookmarkEnd w:id="622"/>
      <w:bookmarkEnd w:id="623"/>
    </w:p>
    <w:p w14:paraId="690DC438">
      <w:pPr>
        <w:numPr>
          <w:ilvl w:val="0"/>
          <w:numId w:val="0"/>
        </w:numPr>
        <w:ind w:left="0" w:firstLine="480" w:firstLineChars="200"/>
        <w:contextualSpacing/>
        <w:rPr>
          <w:rFonts w:hint="eastAsia" w:ascii="宋体" w:hAnsi="宋体" w:eastAsia="宋体" w:cs="宋体"/>
          <w:sz w:val="24"/>
          <w:szCs w:val="24"/>
        </w:rPr>
      </w:pPr>
      <w:r>
        <w:rPr>
          <w:rFonts w:hint="eastAsia" w:ascii="宋体" w:hAnsi="宋体" w:eastAsia="宋体" w:cs="宋体"/>
          <w:sz w:val="24"/>
          <w:szCs w:val="24"/>
        </w:rPr>
        <w:t>按照</w:t>
      </w:r>
      <w:bookmarkEnd w:id="624"/>
      <w:bookmarkEnd w:id="625"/>
      <w:bookmarkEnd w:id="626"/>
      <w:bookmarkEnd w:id="627"/>
      <w:bookmarkEnd w:id="628"/>
      <w:bookmarkEnd w:id="629"/>
      <w:bookmarkEnd w:id="630"/>
      <w:bookmarkEnd w:id="631"/>
      <w:bookmarkEnd w:id="632"/>
      <w:bookmarkEnd w:id="633"/>
      <w:bookmarkEnd w:id="634"/>
      <w:r>
        <w:rPr>
          <w:rFonts w:hint="eastAsia" w:ascii="宋体" w:hAnsi="宋体" w:eastAsia="宋体" w:cs="宋体"/>
          <w:sz w:val="24"/>
          <w:szCs w:val="24"/>
        </w:rPr>
        <w:t>本清单计量的所有工程项目，均按中华人民共和国法定计量单位（即国际单位制）计量。工程量计算按本规则执行，没有说明的，按《建设工程工程量清单计价规范》（GB50500-2013）及2018年《</w:t>
      </w:r>
      <w:r>
        <w:rPr>
          <w:rFonts w:hint="eastAsia" w:ascii="宋体" w:hAnsi="宋体" w:eastAsia="宋体" w:cs="宋体"/>
          <w:sz w:val="24"/>
          <w:szCs w:val="24"/>
          <w:lang w:eastAsia="zh-CN"/>
        </w:rPr>
        <w:t>广东省建设工程计价依据</w:t>
      </w:r>
      <w:r>
        <w:rPr>
          <w:rFonts w:hint="eastAsia" w:ascii="宋体" w:hAnsi="宋体" w:eastAsia="宋体" w:cs="宋体"/>
          <w:sz w:val="24"/>
          <w:szCs w:val="24"/>
        </w:rPr>
        <w:t>》执行。本部分计量及计算规则与清单中的项目特征和工作内容，均不代表完整的说明，投标人（若已签订本合同，则为“承包人”，下同）必须按设计要求、施工规范和竣工验收规范、材料表手册以及实际已完成情况等结合起来阅读、理解和解释，并对每一清单项目必须包含的工序和内容完整考虑并报价。</w:t>
      </w:r>
    </w:p>
    <w:p w14:paraId="55FAFCCE">
      <w:pPr>
        <w:numPr>
          <w:ilvl w:val="0"/>
          <w:numId w:val="0"/>
        </w:numPr>
        <w:ind w:left="0" w:firstLine="480" w:firstLineChars="200"/>
        <w:contextualSpacing/>
        <w:rPr>
          <w:rFonts w:hint="eastAsia" w:ascii="宋体" w:hAnsi="宋体" w:eastAsia="宋体" w:cs="宋体"/>
          <w:sz w:val="24"/>
          <w:szCs w:val="24"/>
        </w:rPr>
      </w:pPr>
      <w:r>
        <w:rPr>
          <w:rFonts w:hint="eastAsia" w:ascii="宋体" w:hAnsi="宋体" w:eastAsia="宋体" w:cs="宋体"/>
          <w:sz w:val="24"/>
          <w:szCs w:val="24"/>
        </w:rPr>
        <w:t>投标人在编制投标文件时不得改动本工程量清单的原状格式，即项目名称、单位、项目的数量、备注及表格形式等。</w:t>
      </w:r>
    </w:p>
    <w:p w14:paraId="0DD641B2">
      <w:pPr>
        <w:numPr>
          <w:ilvl w:val="0"/>
          <w:numId w:val="0"/>
        </w:numPr>
        <w:ind w:left="0" w:firstLine="480" w:firstLineChars="200"/>
        <w:contextualSpacing/>
        <w:rPr>
          <w:rFonts w:hint="eastAsia" w:ascii="宋体" w:hAnsi="宋体" w:eastAsia="宋体" w:cs="宋体"/>
          <w:sz w:val="24"/>
          <w:szCs w:val="24"/>
        </w:rPr>
      </w:pPr>
      <w:r>
        <w:rPr>
          <w:rFonts w:hint="eastAsia" w:ascii="宋体" w:hAnsi="宋体" w:eastAsia="宋体" w:cs="宋体"/>
          <w:sz w:val="24"/>
          <w:szCs w:val="24"/>
        </w:rPr>
        <w:t>投标人报价时同一型号、规格材料应统一单价。发包人审核新增项目单价时，只采用中标人报价中同一型号、规格材料的最低价格。</w:t>
      </w:r>
    </w:p>
    <w:p w14:paraId="75AE018E">
      <w:pPr>
        <w:numPr>
          <w:ilvl w:val="0"/>
          <w:numId w:val="0"/>
        </w:numPr>
        <w:ind w:left="0" w:firstLine="480" w:firstLineChars="200"/>
        <w:contextualSpacing/>
        <w:rPr>
          <w:rFonts w:hint="eastAsia" w:ascii="宋体" w:hAnsi="宋体" w:eastAsia="宋体" w:cs="宋体"/>
          <w:sz w:val="24"/>
          <w:szCs w:val="24"/>
        </w:rPr>
      </w:pPr>
      <w:r>
        <w:rPr>
          <w:rFonts w:hint="eastAsia" w:ascii="宋体" w:hAnsi="宋体" w:eastAsia="宋体" w:cs="宋体"/>
          <w:sz w:val="24"/>
          <w:szCs w:val="24"/>
        </w:rPr>
        <w:t>合价包干部分在合同执行期间不予调整。</w:t>
      </w:r>
    </w:p>
    <w:p w14:paraId="4D108A35">
      <w:pPr>
        <w:numPr>
          <w:ilvl w:val="0"/>
          <w:numId w:val="0"/>
        </w:numPr>
        <w:ind w:left="0" w:firstLine="480" w:firstLineChars="200"/>
        <w:contextualSpacing/>
        <w:rPr>
          <w:rFonts w:hint="eastAsia" w:ascii="宋体" w:hAnsi="宋体" w:eastAsia="宋体" w:cs="宋体"/>
          <w:sz w:val="24"/>
          <w:szCs w:val="24"/>
        </w:rPr>
      </w:pPr>
      <w:r>
        <w:rPr>
          <w:rFonts w:hint="eastAsia" w:ascii="宋体" w:hAnsi="宋体" w:eastAsia="宋体" w:cs="宋体"/>
          <w:sz w:val="24"/>
          <w:szCs w:val="24"/>
        </w:rPr>
        <w:t>发包人修正计算中的算术错误的原则如下：</w:t>
      </w:r>
    </w:p>
    <w:p w14:paraId="33F8081C">
      <w:pPr>
        <w:numPr>
          <w:ilvl w:val="0"/>
          <w:numId w:val="0"/>
        </w:numPr>
        <w:ind w:left="0" w:firstLine="480" w:firstLineChars="200"/>
        <w:contextualSpacing/>
        <w:jc w:val="left"/>
        <w:rPr>
          <w:rFonts w:hint="eastAsia" w:ascii="宋体" w:hAnsi="宋体" w:eastAsia="宋体" w:cs="宋体"/>
          <w:sz w:val="24"/>
          <w:szCs w:val="24"/>
        </w:rPr>
      </w:pPr>
      <w:r>
        <w:rPr>
          <w:rFonts w:hint="eastAsia" w:ascii="宋体" w:hAnsi="宋体" w:eastAsia="宋体" w:cs="宋体"/>
          <w:sz w:val="24"/>
          <w:szCs w:val="24"/>
        </w:rPr>
        <w:t>如用数字表示的数额与用文字表示的数额不一致，以文字表示的数额为准。</w:t>
      </w:r>
    </w:p>
    <w:p w14:paraId="45CF6FBD">
      <w:pPr>
        <w:numPr>
          <w:ilvl w:val="0"/>
          <w:numId w:val="0"/>
        </w:numPr>
        <w:ind w:left="0" w:firstLine="480" w:firstLineChars="200"/>
        <w:contextualSpacing/>
        <w:jc w:val="left"/>
        <w:rPr>
          <w:rFonts w:hint="eastAsia" w:ascii="宋体" w:hAnsi="宋体" w:eastAsia="宋体" w:cs="宋体"/>
          <w:sz w:val="24"/>
          <w:szCs w:val="24"/>
        </w:rPr>
      </w:pPr>
      <w:r>
        <w:rPr>
          <w:rFonts w:hint="eastAsia" w:ascii="宋体" w:hAnsi="宋体" w:eastAsia="宋体" w:cs="宋体"/>
          <w:sz w:val="24"/>
          <w:szCs w:val="24"/>
        </w:rPr>
        <w:t>对合价包干项目：当单价与工程量的乘积与投标报价中的合价不一致时，如果乘积大于投标报价中的合价，则以投标工程量为准，调整单价，投标报价中的合价不变；如果乘积小于投标报价中的合价，以单价为准，调整投标的工程量，投标报价中的合价不变。</w:t>
      </w:r>
    </w:p>
    <w:p w14:paraId="1F72935C">
      <w:pPr>
        <w:numPr>
          <w:ilvl w:val="0"/>
          <w:numId w:val="0"/>
        </w:numPr>
        <w:ind w:left="0" w:firstLine="480" w:firstLineChars="200"/>
        <w:contextualSpacing/>
        <w:jc w:val="left"/>
        <w:rPr>
          <w:rFonts w:hint="eastAsia" w:ascii="宋体" w:hAnsi="宋体" w:eastAsia="宋体" w:cs="宋体"/>
          <w:sz w:val="24"/>
          <w:szCs w:val="24"/>
        </w:rPr>
      </w:pPr>
      <w:r>
        <w:rPr>
          <w:rFonts w:hint="eastAsia" w:ascii="宋体" w:hAnsi="宋体" w:eastAsia="宋体" w:cs="宋体"/>
          <w:sz w:val="24"/>
          <w:szCs w:val="24"/>
        </w:rPr>
        <w:t>对综合单价包干项目： 如单价与工程量的乘积与投标报价中的合价不一致，则以所报单价为准，除非在发包人看来单价中有明显的小数点错误，在这种情况下则以所报的合价为准，并修改单价。</w:t>
      </w:r>
    </w:p>
    <w:p w14:paraId="7D5A735C">
      <w:pPr>
        <w:numPr>
          <w:ilvl w:val="0"/>
          <w:numId w:val="0"/>
        </w:numPr>
        <w:ind w:left="0" w:firstLine="480" w:firstLineChars="200"/>
        <w:contextualSpacing/>
        <w:rPr>
          <w:rFonts w:hint="eastAsia" w:ascii="宋体" w:hAnsi="宋体" w:eastAsia="宋体" w:cs="宋体"/>
          <w:sz w:val="24"/>
          <w:szCs w:val="24"/>
        </w:rPr>
      </w:pPr>
      <w:r>
        <w:rPr>
          <w:rFonts w:hint="eastAsia" w:ascii="宋体" w:hAnsi="宋体" w:eastAsia="宋体" w:cs="宋体"/>
          <w:sz w:val="24"/>
          <w:szCs w:val="24"/>
        </w:rPr>
        <w:t>工程量清单中的单价保留小数点后2位，合价以元为单位保留小数点后2位。</w:t>
      </w:r>
    </w:p>
    <w:p w14:paraId="46B0E6AB">
      <w:pPr>
        <w:ind w:firstLine="480" w:firstLineChars="200"/>
        <w:contextualSpacing/>
        <w:rPr>
          <w:rFonts w:hint="eastAsia" w:ascii="宋体" w:hAnsi="宋体" w:eastAsia="宋体" w:cs="宋体"/>
          <w:sz w:val="24"/>
          <w:szCs w:val="24"/>
        </w:rPr>
      </w:pPr>
      <w:bookmarkStart w:id="635" w:name="_Toc17347"/>
      <w:bookmarkStart w:id="636" w:name="_Toc443898231"/>
      <w:bookmarkStart w:id="637" w:name="_Toc6630"/>
      <w:bookmarkStart w:id="638" w:name="_Toc2571"/>
      <w:bookmarkStart w:id="639" w:name="_Toc1101"/>
      <w:r>
        <w:rPr>
          <w:rFonts w:hint="eastAsia" w:ascii="宋体" w:hAnsi="宋体" w:eastAsia="宋体" w:cs="宋体"/>
          <w:sz w:val="24"/>
          <w:szCs w:val="24"/>
        </w:rPr>
        <w:t xml:space="preserve">2. </w:t>
      </w:r>
      <w:bookmarkStart w:id="640" w:name="_Toc179968428"/>
      <w:bookmarkStart w:id="641" w:name="_Toc180896982"/>
      <w:bookmarkStart w:id="642" w:name="_Toc169406300"/>
      <w:bookmarkStart w:id="643" w:name="_Toc181150878"/>
      <w:bookmarkStart w:id="644" w:name="_Toc179968713"/>
      <w:bookmarkStart w:id="645" w:name="_Toc180897410"/>
      <w:bookmarkStart w:id="646" w:name="_Toc169406152"/>
      <w:bookmarkStart w:id="647" w:name="_Toc169406003"/>
      <w:bookmarkStart w:id="648" w:name="_Toc180897170"/>
      <w:bookmarkStart w:id="649" w:name="_Toc180897314"/>
      <w:bookmarkStart w:id="650" w:name="_Toc176919300"/>
      <w:r>
        <w:rPr>
          <w:rFonts w:hint="eastAsia" w:ascii="宋体" w:hAnsi="宋体" w:eastAsia="宋体" w:cs="宋体"/>
          <w:sz w:val="24"/>
          <w:szCs w:val="24"/>
        </w:rPr>
        <w:t>工程量清单费用组成</w:t>
      </w:r>
      <w:bookmarkEnd w:id="635"/>
      <w:bookmarkEnd w:id="636"/>
      <w:bookmarkEnd w:id="637"/>
      <w:bookmarkEnd w:id="638"/>
      <w:bookmarkEnd w:id="639"/>
    </w:p>
    <w:p w14:paraId="32809EB6">
      <w:pPr>
        <w:numPr>
          <w:ilvl w:val="0"/>
          <w:numId w:val="0"/>
        </w:numPr>
        <w:ind w:left="0" w:firstLine="480" w:firstLineChars="200"/>
        <w:contextualSpacing/>
        <w:rPr>
          <w:rFonts w:hint="eastAsia" w:ascii="宋体" w:hAnsi="宋体" w:eastAsia="宋体" w:cs="宋体"/>
          <w:sz w:val="24"/>
          <w:szCs w:val="24"/>
        </w:rPr>
      </w:pPr>
      <w:r>
        <w:rPr>
          <w:rFonts w:hint="eastAsia" w:ascii="宋体" w:hAnsi="宋体" w:eastAsia="宋体" w:cs="宋体"/>
          <w:sz w:val="24"/>
          <w:szCs w:val="24"/>
        </w:rPr>
        <w:t>合同</w:t>
      </w:r>
      <w:bookmarkEnd w:id="640"/>
      <w:bookmarkEnd w:id="641"/>
      <w:bookmarkEnd w:id="642"/>
      <w:bookmarkEnd w:id="643"/>
      <w:bookmarkEnd w:id="644"/>
      <w:bookmarkEnd w:id="645"/>
      <w:bookmarkEnd w:id="646"/>
      <w:bookmarkEnd w:id="647"/>
      <w:bookmarkEnd w:id="648"/>
      <w:bookmarkEnd w:id="649"/>
      <w:bookmarkEnd w:id="650"/>
      <w:r>
        <w:rPr>
          <w:rFonts w:hint="eastAsia" w:ascii="宋体" w:hAnsi="宋体" w:eastAsia="宋体" w:cs="宋体"/>
          <w:sz w:val="24"/>
          <w:szCs w:val="24"/>
        </w:rPr>
        <w:t>执行过程的计量与支付按工程量清单、施工设计图和合同原则，工程进度付款由承包人计量、监理工程师核实的实际完成的工程量，按合同文件工程量清单中所确定的单价和合价确定其金额。</w:t>
      </w:r>
    </w:p>
    <w:p w14:paraId="67A4AF50">
      <w:pPr>
        <w:numPr>
          <w:ilvl w:val="0"/>
          <w:numId w:val="0"/>
        </w:numPr>
        <w:ind w:left="0" w:firstLine="480" w:firstLineChars="200"/>
        <w:contextualSpacing/>
        <w:rPr>
          <w:rFonts w:hint="eastAsia" w:ascii="宋体" w:hAnsi="宋体" w:eastAsia="宋体" w:cs="宋体"/>
          <w:sz w:val="24"/>
          <w:szCs w:val="24"/>
        </w:rPr>
      </w:pPr>
      <w:r>
        <w:rPr>
          <w:rFonts w:hint="eastAsia" w:ascii="宋体" w:hAnsi="宋体" w:eastAsia="宋体" w:cs="宋体"/>
          <w:sz w:val="24"/>
          <w:szCs w:val="24"/>
        </w:rPr>
        <w:t>除非合同另有规定，具有标价的工程量清单中所报的单价和合价应包括劳务、施工设备、材料、制造、运输、安装、试验、调试、测试、维护、管理、降效、利润及合同包含的所有风险、责任等所应有的费用。</w:t>
      </w:r>
    </w:p>
    <w:p w14:paraId="541B31CA">
      <w:pPr>
        <w:numPr>
          <w:ilvl w:val="0"/>
          <w:numId w:val="0"/>
        </w:numPr>
        <w:ind w:left="0" w:firstLine="480" w:firstLineChars="200"/>
        <w:contextualSpacing/>
        <w:rPr>
          <w:rFonts w:hint="eastAsia" w:ascii="宋体" w:hAnsi="宋体" w:eastAsia="宋体" w:cs="宋体"/>
          <w:sz w:val="24"/>
          <w:szCs w:val="24"/>
        </w:rPr>
      </w:pPr>
      <w:r>
        <w:rPr>
          <w:rFonts w:hint="eastAsia" w:ascii="宋体" w:hAnsi="宋体" w:eastAsia="宋体" w:cs="宋体"/>
          <w:sz w:val="24"/>
          <w:szCs w:val="24"/>
        </w:rPr>
        <w:t>除非合同另有规定，工程量清单的费用适用于招标（合同）文件中规定或包括的任何项目的任何实施方法，承包人不得因施工方法不同而提出任何追加费用的要求，实施该方法的费用应包括在工程量清单项目的报价内。</w:t>
      </w:r>
    </w:p>
    <w:p w14:paraId="03177761">
      <w:pPr>
        <w:numPr>
          <w:ilvl w:val="0"/>
          <w:numId w:val="0"/>
        </w:numPr>
        <w:ind w:left="0" w:firstLine="480" w:firstLineChars="200"/>
        <w:contextualSpacing/>
        <w:rPr>
          <w:rFonts w:hint="eastAsia" w:ascii="宋体" w:hAnsi="宋体" w:eastAsia="宋体" w:cs="宋体"/>
          <w:sz w:val="24"/>
          <w:szCs w:val="24"/>
        </w:rPr>
      </w:pPr>
      <w:r>
        <w:rPr>
          <w:rFonts w:hint="eastAsia" w:ascii="宋体" w:hAnsi="宋体" w:eastAsia="宋体" w:cs="宋体"/>
          <w:sz w:val="24"/>
          <w:szCs w:val="24"/>
        </w:rPr>
        <w:t>无论工程量是否列明，具有标价的工程量清单中的每一单项均需填写单价或合价，对投标人没有填写单价或合价的项目的费用，应视为已包含在工程量清单的其他单价或合价之中。投标书内不允许有选择性报价。</w:t>
      </w:r>
    </w:p>
    <w:p w14:paraId="46801B66">
      <w:pPr>
        <w:numPr>
          <w:ilvl w:val="0"/>
          <w:numId w:val="0"/>
        </w:numPr>
        <w:ind w:left="0" w:firstLine="480" w:firstLineChars="200"/>
        <w:contextualSpacing/>
        <w:rPr>
          <w:rFonts w:hint="eastAsia" w:ascii="宋体" w:hAnsi="宋体" w:eastAsia="宋体" w:cs="宋体"/>
          <w:sz w:val="24"/>
          <w:szCs w:val="24"/>
        </w:rPr>
      </w:pPr>
      <w:r>
        <w:rPr>
          <w:rFonts w:hint="eastAsia" w:ascii="宋体" w:hAnsi="宋体" w:eastAsia="宋体" w:cs="宋体"/>
          <w:sz w:val="24"/>
          <w:szCs w:val="24"/>
        </w:rPr>
        <w:t>各投标人应在现有的招标条件下充分理解本工程情况。本合同项下的全部费用都应包含在具有标价的工程量清单的各个单项中，没有列出的项目的费用应视为已分配到有关项目的单价和合价中。</w:t>
      </w:r>
    </w:p>
    <w:p w14:paraId="789A3700">
      <w:pPr>
        <w:numPr>
          <w:ilvl w:val="0"/>
          <w:numId w:val="0"/>
        </w:numPr>
        <w:ind w:left="0" w:firstLine="480" w:firstLineChars="200"/>
        <w:contextualSpacing/>
        <w:rPr>
          <w:rFonts w:hint="eastAsia" w:ascii="宋体" w:hAnsi="宋体" w:eastAsia="宋体" w:cs="宋体"/>
          <w:sz w:val="24"/>
          <w:szCs w:val="24"/>
        </w:rPr>
      </w:pPr>
      <w:r>
        <w:rPr>
          <w:rFonts w:hint="eastAsia" w:ascii="宋体" w:hAnsi="宋体" w:eastAsia="宋体" w:cs="宋体"/>
          <w:sz w:val="24"/>
          <w:szCs w:val="24"/>
        </w:rPr>
        <w:t>工程量清单不再重复或概列工程及材料的一般说明，在填写工程量清单的每一项的单价和合价时应认真阅读理解本招标文件的有关章节规定。要充分考虑与其他工程的接口及交叉施工等不可预见因素。</w:t>
      </w:r>
    </w:p>
    <w:p w14:paraId="15FCC8EE">
      <w:pPr>
        <w:ind w:firstLine="480" w:firstLineChars="200"/>
        <w:contextualSpacing/>
        <w:rPr>
          <w:rFonts w:hint="eastAsia" w:ascii="宋体" w:hAnsi="宋体" w:eastAsia="宋体" w:cs="宋体"/>
          <w:sz w:val="24"/>
          <w:szCs w:val="24"/>
        </w:rPr>
      </w:pPr>
      <w:bookmarkStart w:id="651" w:name="_Toc30589"/>
      <w:bookmarkStart w:id="652" w:name="_Toc443898232"/>
      <w:bookmarkStart w:id="653" w:name="_Toc1862"/>
      <w:bookmarkStart w:id="654" w:name="_Toc31000"/>
      <w:bookmarkStart w:id="655" w:name="_Toc32000"/>
      <w:r>
        <w:rPr>
          <w:rFonts w:hint="eastAsia" w:ascii="宋体" w:hAnsi="宋体" w:eastAsia="宋体" w:cs="宋体"/>
          <w:sz w:val="24"/>
          <w:szCs w:val="24"/>
        </w:rPr>
        <w:t>3.工</w:t>
      </w:r>
      <w:bookmarkStart w:id="656" w:name="_Toc176919301"/>
      <w:bookmarkStart w:id="657" w:name="_Toc179968714"/>
      <w:bookmarkStart w:id="658" w:name="_Toc180896983"/>
      <w:bookmarkStart w:id="659" w:name="_Toc180897315"/>
      <w:bookmarkStart w:id="660" w:name="_Toc181150879"/>
      <w:bookmarkStart w:id="661" w:name="_Toc180897171"/>
      <w:bookmarkStart w:id="662" w:name="_Toc180897411"/>
      <w:bookmarkStart w:id="663" w:name="_Toc179968429"/>
      <w:bookmarkStart w:id="664" w:name="_Toc169406153"/>
      <w:bookmarkStart w:id="665" w:name="_Toc169406301"/>
      <w:r>
        <w:rPr>
          <w:rFonts w:hint="eastAsia" w:ascii="宋体" w:hAnsi="宋体" w:eastAsia="宋体" w:cs="宋体"/>
          <w:sz w:val="24"/>
          <w:szCs w:val="24"/>
        </w:rPr>
        <w:t>程量清单</w:t>
      </w:r>
      <w:bookmarkEnd w:id="651"/>
      <w:bookmarkEnd w:id="652"/>
      <w:bookmarkEnd w:id="653"/>
      <w:bookmarkEnd w:id="654"/>
      <w:bookmarkEnd w:id="655"/>
    </w:p>
    <w:p w14:paraId="4C022E3D">
      <w:pPr>
        <w:numPr>
          <w:ilvl w:val="0"/>
          <w:numId w:val="0"/>
        </w:numPr>
        <w:tabs>
          <w:tab w:val="left" w:pos="425"/>
        </w:tabs>
        <w:ind w:left="0" w:firstLine="480" w:firstLineChars="200"/>
        <w:contextualSpacing/>
        <w:rPr>
          <w:rFonts w:hint="eastAsia" w:ascii="宋体" w:hAnsi="宋体" w:eastAsia="宋体" w:cs="宋体"/>
          <w:sz w:val="24"/>
          <w:szCs w:val="24"/>
        </w:rPr>
      </w:pPr>
      <w:r>
        <w:rPr>
          <w:rFonts w:hint="eastAsia" w:ascii="宋体" w:hAnsi="宋体" w:eastAsia="宋体" w:cs="宋体"/>
          <w:sz w:val="24"/>
          <w:szCs w:val="24"/>
        </w:rPr>
        <w:t>本招</w:t>
      </w:r>
      <w:bookmarkEnd w:id="656"/>
      <w:bookmarkEnd w:id="657"/>
      <w:bookmarkEnd w:id="658"/>
      <w:bookmarkEnd w:id="659"/>
      <w:bookmarkEnd w:id="660"/>
      <w:bookmarkEnd w:id="661"/>
      <w:bookmarkEnd w:id="662"/>
      <w:bookmarkEnd w:id="663"/>
      <w:bookmarkEnd w:id="664"/>
      <w:bookmarkEnd w:id="665"/>
      <w:r>
        <w:rPr>
          <w:rFonts w:hint="eastAsia" w:ascii="宋体" w:hAnsi="宋体" w:eastAsia="宋体" w:cs="宋体"/>
          <w:sz w:val="24"/>
          <w:szCs w:val="24"/>
        </w:rPr>
        <w:t>标文件工程量清单列出的工程项目及其相应的工程量，只是为了使投标人能够利用发包人现有的资料，发包人对投标人由此而做出的推论、解释和结论概不负责。投标人应谨慎使用本招标文件提供的工程量清单，采用招标文件提供的工程量清单进行报价所产生的一切风险由投标人自担。</w:t>
      </w:r>
    </w:p>
    <w:p w14:paraId="3E12B234">
      <w:pPr>
        <w:numPr>
          <w:ilvl w:val="0"/>
          <w:numId w:val="0"/>
        </w:numPr>
        <w:tabs>
          <w:tab w:val="left" w:pos="425"/>
        </w:tabs>
        <w:ind w:left="0" w:firstLine="480" w:firstLineChars="200"/>
        <w:contextualSpacing/>
        <w:rPr>
          <w:rFonts w:hint="eastAsia" w:ascii="宋体" w:hAnsi="宋体" w:eastAsia="宋体" w:cs="宋体"/>
          <w:b w:val="0"/>
          <w:bCs w:val="0"/>
          <w:sz w:val="24"/>
          <w:szCs w:val="24"/>
        </w:rPr>
      </w:pPr>
      <w:r>
        <w:rPr>
          <w:rFonts w:hint="eastAsia" w:ascii="宋体" w:hAnsi="宋体" w:eastAsia="宋体" w:cs="宋体"/>
          <w:sz w:val="24"/>
          <w:szCs w:val="24"/>
        </w:rPr>
        <w:t>投标人应认真阅读理解本招标文件的有关章节规定及图纸，应根据招标文件和对工程本身的研究和了解，对工程量清单列出的合价包干项目和综合单价包干项目按规定在工程量清单中进行报价。对工程量清单中列出的综合单价包干项目的名称及工程量不得进行修改。对于合价包干项目，投标人可根据招标文件、招标图纸和工程地质勘查资料、现场勘察所得到的工程数量进行报价，投标人如有补充项目可在相应部分按序号顺延（需明确标示及告知招标人）。</w:t>
      </w:r>
    </w:p>
    <w:p w14:paraId="6963E18B">
      <w:pPr>
        <w:numPr>
          <w:ilvl w:val="0"/>
          <w:numId w:val="0"/>
        </w:numPr>
        <w:tabs>
          <w:tab w:val="left" w:pos="425"/>
        </w:tabs>
        <w:ind w:left="0" w:firstLine="480" w:firstLineChars="200"/>
        <w:contextualSpacing/>
        <w:rPr>
          <w:rFonts w:hint="eastAsia" w:ascii="宋体" w:hAnsi="宋体" w:eastAsia="宋体" w:cs="宋体"/>
          <w:sz w:val="24"/>
          <w:szCs w:val="24"/>
        </w:rPr>
      </w:pPr>
      <w:r>
        <w:rPr>
          <w:rFonts w:hint="eastAsia" w:ascii="宋体" w:hAnsi="宋体" w:eastAsia="宋体" w:cs="宋体"/>
          <w:sz w:val="24"/>
          <w:szCs w:val="24"/>
        </w:rPr>
        <w:t>《分部分项工程量清单》中的项目编码仅供投标人参考，但投标人在编制投标文件时不得对该编码的数字进行修改。分部分项清单项目信息见图纸、招标文件（施工范围）、清单特征、工作内容及现场实际施工情况。措施项目、其他项目及工程质量、材料、施工等的特殊要求详见招标文件。措施项目、其他项目除招标人列出的项目外其余由投标人视工程的实际情况、施工组织设计及企业自身实力开列报价。</w:t>
      </w:r>
    </w:p>
    <w:p w14:paraId="5ACF2E46">
      <w:pPr>
        <w:numPr>
          <w:ilvl w:val="0"/>
          <w:numId w:val="0"/>
        </w:numPr>
        <w:tabs>
          <w:tab w:val="left" w:pos="425"/>
        </w:tabs>
        <w:ind w:left="0" w:firstLine="480" w:firstLineChars="200"/>
        <w:contextualSpacing/>
        <w:rPr>
          <w:rFonts w:hint="eastAsia" w:ascii="宋体" w:hAnsi="宋体" w:eastAsia="宋体" w:cs="宋体"/>
          <w:sz w:val="24"/>
          <w:szCs w:val="24"/>
        </w:rPr>
      </w:pPr>
      <w:r>
        <w:rPr>
          <w:rFonts w:hint="eastAsia" w:ascii="宋体" w:hAnsi="宋体" w:eastAsia="宋体" w:cs="宋体"/>
          <w:sz w:val="24"/>
          <w:szCs w:val="24"/>
        </w:rPr>
        <w:t>所有项目中的每一个清单项目做《综合单价分析表》。单位、价格构成及单价一致的清单项目可只做一张《综合单价分析表》，将相应的一个或几个清单序号在《分部分项工程量清单计价表》的备注栏作必要说明。</w:t>
      </w:r>
    </w:p>
    <w:p w14:paraId="1689A839">
      <w:pPr>
        <w:numPr>
          <w:ilvl w:val="0"/>
          <w:numId w:val="0"/>
        </w:numPr>
        <w:tabs>
          <w:tab w:val="left" w:pos="425"/>
        </w:tabs>
        <w:ind w:left="0" w:firstLine="480" w:firstLineChars="200"/>
        <w:contextualSpacing/>
        <w:rPr>
          <w:rFonts w:hint="eastAsia" w:ascii="宋体" w:hAnsi="宋体" w:eastAsia="宋体" w:cs="宋体"/>
          <w:sz w:val="24"/>
          <w:szCs w:val="24"/>
        </w:rPr>
      </w:pPr>
      <w:r>
        <w:rPr>
          <w:rFonts w:hint="eastAsia" w:ascii="宋体" w:hAnsi="宋体" w:eastAsia="宋体" w:cs="宋体"/>
          <w:sz w:val="24"/>
          <w:szCs w:val="24"/>
        </w:rPr>
        <w:t>招标人不限定投标人选用何种定额报价，但投标人须认真阅读理解招标文件及图纸，特别是有关责任权利规定、计量计价规定，按照招标文件的要求进行报价。</w:t>
      </w:r>
    </w:p>
    <w:p w14:paraId="0A76627A">
      <w:pPr>
        <w:numPr>
          <w:ilvl w:val="0"/>
          <w:numId w:val="0"/>
        </w:numPr>
        <w:tabs>
          <w:tab w:val="left" w:pos="425"/>
        </w:tabs>
        <w:ind w:left="0" w:firstLine="480" w:firstLineChars="200"/>
        <w:contextualSpacing/>
        <w:rPr>
          <w:rFonts w:hint="eastAsia" w:ascii="宋体" w:hAnsi="宋体" w:eastAsia="宋体" w:cs="宋体"/>
          <w:sz w:val="24"/>
          <w:szCs w:val="24"/>
        </w:rPr>
      </w:pPr>
      <w:r>
        <w:rPr>
          <w:rFonts w:hint="eastAsia" w:ascii="宋体" w:hAnsi="宋体" w:eastAsia="宋体" w:cs="宋体"/>
          <w:sz w:val="24"/>
          <w:szCs w:val="24"/>
        </w:rPr>
        <w:t xml:space="preserve">措施项目费、其他项目费的结算原则参考合同条款。其中的安全防护、文明施工措施费须按发包人公布的该项金额计取，投标人应在投标书的投标总价和单位工程费汇总表中单列安全防护、文明施工措施费。 </w:t>
      </w:r>
    </w:p>
    <w:p w14:paraId="6C7EA16D">
      <w:pPr>
        <w:ind w:firstLine="480" w:firstLineChars="200"/>
        <w:contextualSpacing/>
        <w:rPr>
          <w:rFonts w:hint="eastAsia" w:ascii="宋体" w:hAnsi="宋体" w:eastAsia="宋体" w:cs="宋体"/>
          <w:sz w:val="24"/>
          <w:szCs w:val="24"/>
        </w:rPr>
      </w:pPr>
      <w:bookmarkStart w:id="666" w:name="_Toc31447"/>
      <w:bookmarkStart w:id="667" w:name="_Toc13098"/>
      <w:bookmarkStart w:id="668" w:name="_Toc19781"/>
      <w:bookmarkStart w:id="669" w:name="_Toc443898233"/>
      <w:bookmarkStart w:id="670" w:name="_Toc30204"/>
      <w:r>
        <w:rPr>
          <w:rFonts w:hint="eastAsia" w:ascii="宋体" w:hAnsi="宋体" w:eastAsia="宋体" w:cs="宋体"/>
          <w:sz w:val="24"/>
          <w:szCs w:val="24"/>
        </w:rPr>
        <w:t xml:space="preserve">4. </w:t>
      </w:r>
      <w:bookmarkStart w:id="671" w:name="_Toc169406154"/>
      <w:bookmarkStart w:id="672" w:name="_Toc176919302"/>
      <w:bookmarkStart w:id="673" w:name="_Toc180897316"/>
      <w:bookmarkStart w:id="674" w:name="_Toc181150880"/>
      <w:bookmarkStart w:id="675" w:name="_Toc169406302"/>
      <w:bookmarkStart w:id="676" w:name="_Toc180897412"/>
      <w:bookmarkStart w:id="677" w:name="_Toc179968430"/>
      <w:bookmarkStart w:id="678" w:name="_Toc180896984"/>
      <w:bookmarkStart w:id="679" w:name="_Toc179968715"/>
      <w:bookmarkStart w:id="680" w:name="_Toc180897172"/>
      <w:bookmarkStart w:id="681" w:name="_Toc169406004"/>
      <w:r>
        <w:rPr>
          <w:rFonts w:hint="eastAsia" w:ascii="宋体" w:hAnsi="宋体" w:eastAsia="宋体" w:cs="宋体"/>
          <w:sz w:val="24"/>
          <w:szCs w:val="24"/>
        </w:rPr>
        <w:t>工程量清单附件说明</w:t>
      </w:r>
      <w:bookmarkEnd w:id="666"/>
      <w:bookmarkEnd w:id="667"/>
      <w:bookmarkEnd w:id="668"/>
      <w:bookmarkEnd w:id="669"/>
      <w:bookmarkEnd w:id="670"/>
    </w:p>
    <w:bookmarkEnd w:id="671"/>
    <w:bookmarkEnd w:id="672"/>
    <w:bookmarkEnd w:id="673"/>
    <w:bookmarkEnd w:id="674"/>
    <w:bookmarkEnd w:id="675"/>
    <w:bookmarkEnd w:id="676"/>
    <w:bookmarkEnd w:id="677"/>
    <w:bookmarkEnd w:id="678"/>
    <w:bookmarkEnd w:id="679"/>
    <w:bookmarkEnd w:id="680"/>
    <w:bookmarkEnd w:id="681"/>
    <w:p w14:paraId="444436E1">
      <w:pPr>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 xml:space="preserve"> 投标人应编写以下各项资料作为工程量清单的附件：</w:t>
      </w:r>
    </w:p>
    <w:p w14:paraId="375C0C52">
      <w:pPr>
        <w:ind w:left="0" w:firstLine="480" w:firstLineChars="200"/>
        <w:contextualSpacing/>
        <w:rPr>
          <w:rFonts w:hint="eastAsia" w:ascii="宋体" w:hAnsi="宋体" w:eastAsia="宋体" w:cs="宋体"/>
          <w:sz w:val="24"/>
          <w:szCs w:val="24"/>
        </w:rPr>
      </w:pPr>
      <w:r>
        <w:rPr>
          <w:rFonts w:hint="eastAsia" w:ascii="宋体" w:hAnsi="宋体" w:eastAsia="宋体" w:cs="宋体"/>
          <w:sz w:val="24"/>
          <w:szCs w:val="24"/>
        </w:rPr>
        <w:t>4.1工程量清单中所有工程项目（以“项”为单位的工程项目除外）的综合单价分析表（附件一），其单价应与工程量清单中该项工程的单价一致。“采用定额号”栏应注明什么定额什么编号，单价含几个定额号的亦注明几个编号。</w:t>
      </w:r>
    </w:p>
    <w:p w14:paraId="0AD5D03B">
      <w:pPr>
        <w:ind w:left="0" w:firstLine="480" w:firstLineChars="200"/>
        <w:contextualSpacing/>
        <w:rPr>
          <w:rFonts w:hint="eastAsia" w:ascii="宋体" w:hAnsi="宋体" w:eastAsia="宋体" w:cs="宋体"/>
          <w:sz w:val="24"/>
          <w:szCs w:val="24"/>
        </w:rPr>
      </w:pPr>
      <w:r>
        <w:rPr>
          <w:rFonts w:hint="eastAsia" w:ascii="宋体" w:hAnsi="宋体" w:eastAsia="宋体" w:cs="宋体"/>
          <w:sz w:val="24"/>
          <w:szCs w:val="24"/>
        </w:rPr>
        <w:t>4.2以“项”为单位的工程项目报价的计算格式（附件二）。应有分项工程的数量和单价计算合价，汇总成为该项工程的合价。难以计算工程数量和单价的，应有费用构成因素或取费标准。</w:t>
      </w:r>
    </w:p>
    <w:p w14:paraId="78209685">
      <w:pPr>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4.3新增项目计费程序表（附件三），该表应列明各专业工程计费程序，并应与单价分析表一致。</w:t>
      </w:r>
    </w:p>
    <w:p w14:paraId="238FF757">
      <w:pPr>
        <w:ind w:firstLine="480" w:firstLineChars="200"/>
        <w:contextualSpacing/>
        <w:rPr>
          <w:rFonts w:hint="eastAsia" w:ascii="宋体" w:hAnsi="宋体" w:eastAsia="宋体" w:cs="宋体"/>
          <w:b w:val="0"/>
          <w:bCs w:val="0"/>
          <w:sz w:val="24"/>
          <w:szCs w:val="24"/>
        </w:rPr>
      </w:pPr>
      <w:r>
        <w:rPr>
          <w:rFonts w:hint="eastAsia" w:ascii="宋体" w:hAnsi="宋体" w:eastAsia="宋体" w:cs="宋体"/>
          <w:b w:val="0"/>
          <w:bCs w:val="0"/>
          <w:sz w:val="24"/>
          <w:szCs w:val="24"/>
        </w:rPr>
        <w:t>5.</w:t>
      </w:r>
      <w:bookmarkStart w:id="682" w:name="_Toc388551877"/>
      <w:bookmarkStart w:id="683" w:name="_Toc180897413"/>
      <w:bookmarkStart w:id="684" w:name="_Toc388456821"/>
      <w:bookmarkStart w:id="685" w:name="_Toc169406303"/>
      <w:bookmarkStart w:id="686" w:name="_Toc179968431"/>
      <w:bookmarkStart w:id="687" w:name="_Toc169406005"/>
      <w:bookmarkStart w:id="688" w:name="_Toc181150881"/>
      <w:bookmarkStart w:id="689" w:name="_Toc179968716"/>
      <w:bookmarkStart w:id="690" w:name="_Toc169406155"/>
      <w:bookmarkStart w:id="691" w:name="_Toc388850387"/>
      <w:bookmarkStart w:id="692" w:name="_Toc416494995"/>
      <w:bookmarkStart w:id="693" w:name="_Toc176919303"/>
      <w:bookmarkStart w:id="694" w:name="_Toc388456986"/>
      <w:bookmarkStart w:id="695" w:name="_Toc435933523"/>
      <w:bookmarkStart w:id="696" w:name="_Toc417065432"/>
      <w:bookmarkStart w:id="697" w:name="_Toc417065333"/>
      <w:bookmarkStart w:id="698" w:name="_Toc19528634"/>
      <w:bookmarkStart w:id="699" w:name="_Toc416495144"/>
      <w:bookmarkStart w:id="700" w:name="_Toc416882337"/>
      <w:r>
        <w:rPr>
          <w:rFonts w:hint="eastAsia" w:ascii="宋体" w:hAnsi="宋体" w:eastAsia="宋体" w:cs="宋体"/>
          <w:b w:val="0"/>
          <w:bCs w:val="0"/>
          <w:sz w:val="24"/>
          <w:szCs w:val="24"/>
        </w:rPr>
        <w:t xml:space="preserve"> 工程量清单附件</w:t>
      </w:r>
    </w:p>
    <w:p w14:paraId="33237F66">
      <w:pPr>
        <w:ind w:firstLine="480" w:firstLineChars="200"/>
        <w:contextualSpacing/>
        <w:rPr>
          <w:rFonts w:hint="eastAsia" w:ascii="宋体" w:hAnsi="宋体" w:eastAsia="宋体" w:cs="宋体"/>
          <w:sz w:val="24"/>
          <w:szCs w:val="24"/>
        </w:rPr>
      </w:pPr>
      <w:bookmarkStart w:id="701" w:name="_Toc6696"/>
      <w:bookmarkStart w:id="702" w:name="_Toc443898234"/>
      <w:bookmarkStart w:id="703" w:name="_Toc21846"/>
      <w:r>
        <w:rPr>
          <w:rFonts w:hint="eastAsia" w:ascii="宋体" w:hAnsi="宋体" w:eastAsia="宋体" w:cs="宋体"/>
          <w:sz w:val="24"/>
          <w:szCs w:val="24"/>
        </w:rPr>
        <w:t>5.</w:t>
      </w:r>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r>
        <w:rPr>
          <w:rFonts w:hint="eastAsia" w:ascii="宋体" w:hAnsi="宋体" w:eastAsia="宋体" w:cs="宋体"/>
          <w:sz w:val="24"/>
          <w:szCs w:val="24"/>
        </w:rPr>
        <w:t>1</w:t>
      </w:r>
      <w:bookmarkStart w:id="704" w:name="_Toc180897317"/>
      <w:bookmarkStart w:id="705" w:name="_Toc417065334"/>
      <w:bookmarkStart w:id="706" w:name="_Toc416495145"/>
      <w:bookmarkStart w:id="707" w:name="_Toc176919304"/>
      <w:bookmarkStart w:id="708" w:name="_Toc416882338"/>
      <w:bookmarkStart w:id="709" w:name="_Toc179968717"/>
      <w:bookmarkStart w:id="710" w:name="_Toc180896985"/>
      <w:bookmarkStart w:id="711" w:name="_Toc180897173"/>
      <w:bookmarkStart w:id="712" w:name="_Toc388456987"/>
      <w:bookmarkStart w:id="713" w:name="_Toc19528635"/>
      <w:bookmarkStart w:id="714" w:name="_Toc416494996"/>
      <w:bookmarkStart w:id="715" w:name="_Toc417065433"/>
      <w:bookmarkStart w:id="716" w:name="_Toc169406156"/>
      <w:bookmarkStart w:id="717" w:name="_Toc388456822"/>
      <w:bookmarkStart w:id="718" w:name="_Toc388551878"/>
      <w:bookmarkStart w:id="719" w:name="_Toc435933524"/>
      <w:bookmarkStart w:id="720" w:name="_Toc180897414"/>
      <w:bookmarkStart w:id="721" w:name="_Toc181150882"/>
      <w:bookmarkStart w:id="722" w:name="_Toc169406304"/>
      <w:bookmarkStart w:id="723" w:name="_Toc179968432"/>
      <w:bookmarkStart w:id="724" w:name="_Toc440472915"/>
      <w:bookmarkStart w:id="725" w:name="_Toc388850388"/>
      <w:bookmarkStart w:id="726" w:name="_Toc169406006"/>
      <w:r>
        <w:rPr>
          <w:rFonts w:hint="eastAsia" w:ascii="宋体" w:hAnsi="宋体" w:eastAsia="宋体" w:cs="宋体"/>
          <w:sz w:val="24"/>
          <w:szCs w:val="24"/>
        </w:rPr>
        <w:t xml:space="preserve">  综合单价分析表（附件一）</w:t>
      </w:r>
      <w:bookmarkEnd w:id="701"/>
      <w:bookmarkEnd w:id="702"/>
      <w:bookmarkEnd w:id="703"/>
    </w:p>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p w14:paraId="39FD01B3">
      <w:pPr>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 xml:space="preserve"> 投标者填入工程量清单中的所有工程单价，均应按下列表格形式编制综合单价分析表，该表的“序号”及“项目编号”必须与工程量清单中的“序号”及“项目编号”一致。</w:t>
      </w:r>
    </w:p>
    <w:p w14:paraId="31935B5A">
      <w:pPr>
        <w:jc w:val="center"/>
        <w:rPr>
          <w:rFonts w:hint="eastAsia" w:ascii="宋体" w:hAnsi="宋体" w:eastAsia="宋体" w:cs="宋体"/>
          <w:b/>
          <w:sz w:val="24"/>
          <w:szCs w:val="24"/>
        </w:rPr>
      </w:pPr>
      <w:r>
        <w:rPr>
          <w:rFonts w:hint="eastAsia" w:ascii="宋体" w:hAnsi="宋体" w:eastAsia="宋体" w:cs="宋体"/>
          <w:b/>
          <w:sz w:val="24"/>
          <w:szCs w:val="24"/>
        </w:rPr>
        <w:t>工程量清单综合单价分析表</w:t>
      </w:r>
    </w:p>
    <w:p w14:paraId="11B6DB8F">
      <w:pPr>
        <w:rPr>
          <w:rFonts w:hint="eastAsia" w:ascii="宋体" w:hAnsi="宋体" w:eastAsia="宋体" w:cs="宋体"/>
          <w:sz w:val="24"/>
          <w:szCs w:val="24"/>
        </w:rPr>
      </w:pPr>
    </w:p>
    <w:p w14:paraId="716CC85C">
      <w:pPr>
        <w:ind w:firstLine="240" w:firstLineChars="100"/>
        <w:rPr>
          <w:rFonts w:hint="eastAsia" w:ascii="宋体" w:hAnsi="宋体" w:eastAsia="宋体" w:cs="宋体"/>
          <w:sz w:val="24"/>
          <w:szCs w:val="24"/>
        </w:rPr>
      </w:pPr>
      <w:r>
        <w:rPr>
          <w:rFonts w:hint="eastAsia" w:ascii="宋体" w:hAnsi="宋体" w:eastAsia="宋体" w:cs="宋体"/>
          <w:sz w:val="24"/>
          <w:szCs w:val="24"/>
        </w:rPr>
        <w:t>工程名称：                     标段：             第  页 共 页</w:t>
      </w:r>
    </w:p>
    <w:tbl>
      <w:tblPr>
        <w:tblStyle w:val="17"/>
        <w:tblW w:w="97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585"/>
        <w:gridCol w:w="256"/>
        <w:gridCol w:w="590"/>
        <w:gridCol w:w="501"/>
        <w:gridCol w:w="138"/>
        <w:gridCol w:w="547"/>
        <w:gridCol w:w="271"/>
        <w:gridCol w:w="206"/>
        <w:gridCol w:w="85"/>
        <w:gridCol w:w="419"/>
        <w:gridCol w:w="117"/>
        <w:gridCol w:w="943"/>
        <w:gridCol w:w="584"/>
        <w:gridCol w:w="408"/>
        <w:gridCol w:w="528"/>
        <w:gridCol w:w="203"/>
        <w:gridCol w:w="120"/>
        <w:gridCol w:w="613"/>
        <w:gridCol w:w="379"/>
        <w:gridCol w:w="851"/>
        <w:gridCol w:w="850"/>
      </w:tblGrid>
      <w:tr w14:paraId="1C68C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72" w:type="dxa"/>
            <w:gridSpan w:val="2"/>
            <w:noWrap w:val="0"/>
            <w:vAlign w:val="center"/>
          </w:tcPr>
          <w:p w14:paraId="10167CB1">
            <w:pPr>
              <w:jc w:val="center"/>
              <w:rPr>
                <w:rFonts w:hint="eastAsia" w:ascii="宋体" w:hAnsi="宋体" w:eastAsia="宋体" w:cs="宋体"/>
                <w:sz w:val="24"/>
                <w:szCs w:val="24"/>
              </w:rPr>
            </w:pPr>
            <w:r>
              <w:rPr>
                <w:rFonts w:hint="eastAsia" w:ascii="宋体" w:hAnsi="宋体" w:eastAsia="宋体" w:cs="宋体"/>
                <w:sz w:val="24"/>
                <w:szCs w:val="24"/>
              </w:rPr>
              <w:t>项目编码</w:t>
            </w:r>
          </w:p>
        </w:tc>
        <w:tc>
          <w:tcPr>
            <w:tcW w:w="1347" w:type="dxa"/>
            <w:gridSpan w:val="3"/>
            <w:noWrap w:val="0"/>
            <w:vAlign w:val="center"/>
          </w:tcPr>
          <w:p w14:paraId="7EF0F830">
            <w:pPr>
              <w:jc w:val="center"/>
              <w:rPr>
                <w:rFonts w:hint="eastAsia" w:ascii="宋体" w:hAnsi="宋体" w:eastAsia="宋体" w:cs="宋体"/>
                <w:sz w:val="24"/>
                <w:szCs w:val="24"/>
              </w:rPr>
            </w:pPr>
          </w:p>
        </w:tc>
        <w:tc>
          <w:tcPr>
            <w:tcW w:w="1162" w:type="dxa"/>
            <w:gridSpan w:val="4"/>
            <w:noWrap w:val="0"/>
            <w:vAlign w:val="center"/>
          </w:tcPr>
          <w:p w14:paraId="0124C935">
            <w:pPr>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1564" w:type="dxa"/>
            <w:gridSpan w:val="4"/>
            <w:noWrap w:val="0"/>
            <w:vAlign w:val="center"/>
          </w:tcPr>
          <w:p w14:paraId="2F2B3156">
            <w:pPr>
              <w:jc w:val="center"/>
              <w:rPr>
                <w:rFonts w:hint="eastAsia" w:ascii="宋体" w:hAnsi="宋体" w:eastAsia="宋体" w:cs="宋体"/>
                <w:sz w:val="24"/>
                <w:szCs w:val="24"/>
              </w:rPr>
            </w:pPr>
          </w:p>
        </w:tc>
        <w:tc>
          <w:tcPr>
            <w:tcW w:w="1723" w:type="dxa"/>
            <w:gridSpan w:val="4"/>
            <w:tcBorders>
              <w:bottom w:val="single" w:color="auto" w:sz="4" w:space="0"/>
            </w:tcBorders>
            <w:noWrap w:val="0"/>
            <w:vAlign w:val="center"/>
          </w:tcPr>
          <w:p w14:paraId="537ECC92">
            <w:pPr>
              <w:jc w:val="center"/>
              <w:rPr>
                <w:rFonts w:hint="eastAsia" w:ascii="宋体" w:hAnsi="宋体" w:eastAsia="宋体" w:cs="宋体"/>
                <w:sz w:val="24"/>
                <w:szCs w:val="24"/>
              </w:rPr>
            </w:pPr>
            <w:r>
              <w:rPr>
                <w:rFonts w:hint="eastAsia" w:ascii="宋体" w:hAnsi="宋体" w:eastAsia="宋体" w:cs="宋体"/>
                <w:sz w:val="24"/>
                <w:szCs w:val="24"/>
              </w:rPr>
              <w:t>计量单位</w:t>
            </w:r>
          </w:p>
        </w:tc>
        <w:tc>
          <w:tcPr>
            <w:tcW w:w="2813" w:type="dxa"/>
            <w:gridSpan w:val="5"/>
            <w:tcBorders>
              <w:bottom w:val="single" w:color="auto" w:sz="4" w:space="0"/>
            </w:tcBorders>
            <w:noWrap w:val="0"/>
            <w:vAlign w:val="center"/>
          </w:tcPr>
          <w:p w14:paraId="635437F1">
            <w:pPr>
              <w:jc w:val="center"/>
              <w:rPr>
                <w:rFonts w:hint="eastAsia" w:ascii="宋体" w:hAnsi="宋体" w:eastAsia="宋体" w:cs="宋体"/>
                <w:sz w:val="24"/>
                <w:szCs w:val="24"/>
              </w:rPr>
            </w:pPr>
          </w:p>
        </w:tc>
      </w:tr>
      <w:tr w14:paraId="35830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9781" w:type="dxa"/>
            <w:gridSpan w:val="22"/>
            <w:noWrap w:val="0"/>
            <w:vAlign w:val="center"/>
          </w:tcPr>
          <w:p w14:paraId="7282578D">
            <w:pPr>
              <w:jc w:val="center"/>
              <w:rPr>
                <w:rFonts w:hint="eastAsia" w:ascii="宋体" w:hAnsi="宋体" w:eastAsia="宋体" w:cs="宋体"/>
                <w:sz w:val="24"/>
                <w:szCs w:val="24"/>
              </w:rPr>
            </w:pPr>
            <w:r>
              <w:rPr>
                <w:rFonts w:hint="eastAsia" w:ascii="宋体" w:hAnsi="宋体" w:eastAsia="宋体" w:cs="宋体"/>
                <w:sz w:val="24"/>
                <w:szCs w:val="24"/>
              </w:rPr>
              <w:t>清单综合单价组成明细</w:t>
            </w:r>
          </w:p>
        </w:tc>
      </w:tr>
      <w:tr w14:paraId="693AE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587" w:type="dxa"/>
            <w:vMerge w:val="restart"/>
            <w:noWrap w:val="0"/>
            <w:vAlign w:val="center"/>
          </w:tcPr>
          <w:p w14:paraId="0AAB4366">
            <w:pPr>
              <w:jc w:val="center"/>
              <w:rPr>
                <w:rFonts w:hint="eastAsia" w:ascii="宋体" w:hAnsi="宋体" w:eastAsia="宋体" w:cs="宋体"/>
                <w:color w:val="FFFFFF"/>
                <w:sz w:val="24"/>
                <w:szCs w:val="24"/>
              </w:rPr>
            </w:pPr>
            <w:r>
              <w:rPr>
                <w:rFonts w:hint="eastAsia" w:ascii="宋体" w:hAnsi="宋体" w:eastAsia="宋体" w:cs="宋体"/>
                <w:sz w:val="24"/>
                <w:szCs w:val="24"/>
              </w:rPr>
              <w:t>定额编号</w:t>
            </w:r>
          </w:p>
        </w:tc>
        <w:tc>
          <w:tcPr>
            <w:tcW w:w="841" w:type="dxa"/>
            <w:gridSpan w:val="2"/>
            <w:vMerge w:val="restart"/>
            <w:noWrap w:val="0"/>
            <w:vAlign w:val="center"/>
          </w:tcPr>
          <w:p w14:paraId="27FF1F47">
            <w:pPr>
              <w:jc w:val="center"/>
              <w:rPr>
                <w:rFonts w:hint="eastAsia" w:ascii="宋体" w:hAnsi="宋体" w:eastAsia="宋体" w:cs="宋体"/>
                <w:color w:val="FFFFFF"/>
                <w:sz w:val="24"/>
                <w:szCs w:val="24"/>
              </w:rPr>
            </w:pPr>
            <w:r>
              <w:rPr>
                <w:rFonts w:hint="eastAsia" w:ascii="宋体" w:hAnsi="宋体" w:eastAsia="宋体" w:cs="宋体"/>
                <w:sz w:val="24"/>
                <w:szCs w:val="24"/>
              </w:rPr>
              <w:t>定额名称</w:t>
            </w:r>
          </w:p>
        </w:tc>
        <w:tc>
          <w:tcPr>
            <w:tcW w:w="590" w:type="dxa"/>
            <w:vMerge w:val="restart"/>
            <w:noWrap w:val="0"/>
            <w:vAlign w:val="center"/>
          </w:tcPr>
          <w:p w14:paraId="36F161F7">
            <w:pPr>
              <w:jc w:val="center"/>
              <w:rPr>
                <w:rFonts w:hint="eastAsia" w:ascii="宋体" w:hAnsi="宋体" w:eastAsia="宋体" w:cs="宋体"/>
                <w:color w:val="FFFFFF"/>
                <w:sz w:val="24"/>
                <w:szCs w:val="24"/>
              </w:rPr>
            </w:pPr>
            <w:r>
              <w:rPr>
                <w:rFonts w:hint="eastAsia" w:ascii="宋体" w:hAnsi="宋体" w:eastAsia="宋体" w:cs="宋体"/>
                <w:sz w:val="24"/>
                <w:szCs w:val="24"/>
              </w:rPr>
              <w:t>定额</w:t>
            </w:r>
          </w:p>
          <w:p w14:paraId="5860336E">
            <w:pPr>
              <w:jc w:val="center"/>
              <w:rPr>
                <w:rFonts w:hint="eastAsia" w:ascii="宋体" w:hAnsi="宋体" w:eastAsia="宋体" w:cs="宋体"/>
                <w:color w:val="FFFFFF"/>
                <w:sz w:val="24"/>
                <w:szCs w:val="24"/>
              </w:rPr>
            </w:pPr>
            <w:r>
              <w:rPr>
                <w:rFonts w:hint="eastAsia" w:ascii="宋体" w:hAnsi="宋体" w:eastAsia="宋体" w:cs="宋体"/>
                <w:sz w:val="24"/>
                <w:szCs w:val="24"/>
              </w:rPr>
              <w:t>单位</w:t>
            </w:r>
          </w:p>
        </w:tc>
        <w:tc>
          <w:tcPr>
            <w:tcW w:w="639" w:type="dxa"/>
            <w:gridSpan w:val="2"/>
            <w:vMerge w:val="restart"/>
            <w:noWrap w:val="0"/>
            <w:vAlign w:val="center"/>
          </w:tcPr>
          <w:p w14:paraId="2A0B9CB3">
            <w:pPr>
              <w:jc w:val="center"/>
              <w:rPr>
                <w:rFonts w:hint="eastAsia" w:ascii="宋体" w:hAnsi="宋体" w:eastAsia="宋体" w:cs="宋体"/>
                <w:color w:val="FFFFFF"/>
                <w:sz w:val="24"/>
                <w:szCs w:val="24"/>
              </w:rPr>
            </w:pPr>
            <w:r>
              <w:rPr>
                <w:rFonts w:hint="eastAsia" w:ascii="宋体" w:hAnsi="宋体" w:eastAsia="宋体" w:cs="宋体"/>
                <w:sz w:val="24"/>
                <w:szCs w:val="24"/>
              </w:rPr>
              <w:t>数量</w:t>
            </w:r>
          </w:p>
        </w:tc>
        <w:tc>
          <w:tcPr>
            <w:tcW w:w="2588" w:type="dxa"/>
            <w:gridSpan w:val="7"/>
            <w:noWrap w:val="0"/>
            <w:vAlign w:val="center"/>
          </w:tcPr>
          <w:p w14:paraId="2E105D99">
            <w:pPr>
              <w:jc w:val="center"/>
              <w:rPr>
                <w:rFonts w:hint="eastAsia" w:ascii="宋体" w:hAnsi="宋体" w:eastAsia="宋体" w:cs="宋体"/>
                <w:color w:val="FFFFFF"/>
                <w:sz w:val="24"/>
                <w:szCs w:val="24"/>
              </w:rPr>
            </w:pPr>
            <w:r>
              <w:rPr>
                <w:rFonts w:hint="eastAsia" w:ascii="宋体" w:hAnsi="宋体" w:eastAsia="宋体" w:cs="宋体"/>
                <w:sz w:val="24"/>
                <w:szCs w:val="24"/>
              </w:rPr>
              <w:t>单    价</w:t>
            </w:r>
          </w:p>
        </w:tc>
        <w:tc>
          <w:tcPr>
            <w:tcW w:w="4536" w:type="dxa"/>
            <w:gridSpan w:val="9"/>
            <w:noWrap w:val="0"/>
            <w:vAlign w:val="center"/>
          </w:tcPr>
          <w:p w14:paraId="6187D1D9">
            <w:pPr>
              <w:jc w:val="center"/>
              <w:rPr>
                <w:rFonts w:hint="eastAsia" w:ascii="宋体" w:hAnsi="宋体" w:eastAsia="宋体" w:cs="宋体"/>
                <w:color w:val="FFFFFF"/>
                <w:sz w:val="24"/>
                <w:szCs w:val="24"/>
              </w:rPr>
            </w:pPr>
            <w:r>
              <w:rPr>
                <w:rFonts w:hint="eastAsia" w:ascii="宋体" w:hAnsi="宋体" w:eastAsia="宋体" w:cs="宋体"/>
                <w:sz w:val="24"/>
                <w:szCs w:val="24"/>
              </w:rPr>
              <w:t>合    价</w:t>
            </w:r>
          </w:p>
        </w:tc>
      </w:tr>
      <w:tr w14:paraId="79799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587" w:type="dxa"/>
            <w:vMerge w:val="continue"/>
            <w:noWrap w:val="0"/>
            <w:vAlign w:val="center"/>
          </w:tcPr>
          <w:p w14:paraId="284B6C89">
            <w:pPr>
              <w:jc w:val="center"/>
              <w:rPr>
                <w:rFonts w:hint="eastAsia" w:ascii="宋体" w:hAnsi="宋体" w:eastAsia="宋体" w:cs="宋体"/>
                <w:sz w:val="24"/>
                <w:szCs w:val="24"/>
              </w:rPr>
            </w:pPr>
          </w:p>
        </w:tc>
        <w:tc>
          <w:tcPr>
            <w:tcW w:w="841" w:type="dxa"/>
            <w:gridSpan w:val="2"/>
            <w:vMerge w:val="continue"/>
            <w:noWrap w:val="0"/>
            <w:vAlign w:val="center"/>
          </w:tcPr>
          <w:p w14:paraId="0928CCE2">
            <w:pPr>
              <w:rPr>
                <w:rFonts w:hint="eastAsia" w:ascii="宋体" w:hAnsi="宋体" w:eastAsia="宋体" w:cs="宋体"/>
                <w:sz w:val="24"/>
                <w:szCs w:val="24"/>
              </w:rPr>
            </w:pPr>
          </w:p>
        </w:tc>
        <w:tc>
          <w:tcPr>
            <w:tcW w:w="590" w:type="dxa"/>
            <w:vMerge w:val="continue"/>
            <w:noWrap w:val="0"/>
            <w:vAlign w:val="center"/>
          </w:tcPr>
          <w:p w14:paraId="0AEB7A73">
            <w:pPr>
              <w:rPr>
                <w:rFonts w:hint="eastAsia" w:ascii="宋体" w:hAnsi="宋体" w:eastAsia="宋体" w:cs="宋体"/>
                <w:sz w:val="24"/>
                <w:szCs w:val="24"/>
              </w:rPr>
            </w:pPr>
          </w:p>
        </w:tc>
        <w:tc>
          <w:tcPr>
            <w:tcW w:w="639" w:type="dxa"/>
            <w:gridSpan w:val="2"/>
            <w:vMerge w:val="continue"/>
            <w:noWrap w:val="0"/>
            <w:vAlign w:val="center"/>
          </w:tcPr>
          <w:p w14:paraId="2D31F5A3">
            <w:pPr>
              <w:rPr>
                <w:rFonts w:hint="eastAsia" w:ascii="宋体" w:hAnsi="宋体" w:eastAsia="宋体" w:cs="宋体"/>
                <w:sz w:val="24"/>
                <w:szCs w:val="24"/>
              </w:rPr>
            </w:pPr>
          </w:p>
        </w:tc>
        <w:tc>
          <w:tcPr>
            <w:tcW w:w="547" w:type="dxa"/>
            <w:noWrap w:val="0"/>
            <w:vAlign w:val="center"/>
          </w:tcPr>
          <w:p w14:paraId="7317268C">
            <w:pPr>
              <w:jc w:val="center"/>
              <w:rPr>
                <w:rFonts w:hint="eastAsia" w:ascii="宋体" w:hAnsi="宋体" w:eastAsia="宋体" w:cs="宋体"/>
                <w:color w:val="FFFFFF"/>
                <w:sz w:val="24"/>
                <w:szCs w:val="24"/>
              </w:rPr>
            </w:pPr>
            <w:r>
              <w:rPr>
                <w:rFonts w:hint="eastAsia" w:ascii="宋体" w:hAnsi="宋体" w:eastAsia="宋体" w:cs="宋体"/>
                <w:sz w:val="24"/>
                <w:szCs w:val="24"/>
              </w:rPr>
              <w:t>人工费</w:t>
            </w:r>
          </w:p>
        </w:tc>
        <w:tc>
          <w:tcPr>
            <w:tcW w:w="562" w:type="dxa"/>
            <w:gridSpan w:val="3"/>
            <w:noWrap w:val="0"/>
            <w:vAlign w:val="center"/>
          </w:tcPr>
          <w:p w14:paraId="41F29A5A">
            <w:pPr>
              <w:jc w:val="center"/>
              <w:rPr>
                <w:rFonts w:hint="eastAsia" w:ascii="宋体" w:hAnsi="宋体" w:eastAsia="宋体" w:cs="宋体"/>
                <w:color w:val="FFFFFF"/>
                <w:sz w:val="24"/>
                <w:szCs w:val="24"/>
              </w:rPr>
            </w:pPr>
            <w:r>
              <w:rPr>
                <w:rFonts w:hint="eastAsia" w:ascii="宋体" w:hAnsi="宋体" w:eastAsia="宋体" w:cs="宋体"/>
                <w:sz w:val="24"/>
                <w:szCs w:val="24"/>
              </w:rPr>
              <w:t>材料费</w:t>
            </w:r>
          </w:p>
        </w:tc>
        <w:tc>
          <w:tcPr>
            <w:tcW w:w="536" w:type="dxa"/>
            <w:gridSpan w:val="2"/>
            <w:noWrap w:val="0"/>
            <w:vAlign w:val="center"/>
          </w:tcPr>
          <w:p w14:paraId="514244E3">
            <w:pPr>
              <w:jc w:val="center"/>
              <w:rPr>
                <w:rFonts w:hint="eastAsia" w:ascii="宋体" w:hAnsi="宋体" w:eastAsia="宋体" w:cs="宋体"/>
                <w:color w:val="FFFFFF"/>
                <w:sz w:val="24"/>
                <w:szCs w:val="24"/>
              </w:rPr>
            </w:pPr>
            <w:r>
              <w:rPr>
                <w:rFonts w:hint="eastAsia" w:ascii="宋体" w:hAnsi="宋体" w:eastAsia="宋体" w:cs="宋体"/>
                <w:sz w:val="24"/>
                <w:szCs w:val="24"/>
              </w:rPr>
              <w:t>机械费</w:t>
            </w:r>
          </w:p>
        </w:tc>
        <w:tc>
          <w:tcPr>
            <w:tcW w:w="943" w:type="dxa"/>
            <w:noWrap w:val="0"/>
            <w:vAlign w:val="top"/>
          </w:tcPr>
          <w:p w14:paraId="243E54A8">
            <w:pPr>
              <w:jc w:val="center"/>
              <w:rPr>
                <w:rFonts w:hint="eastAsia" w:ascii="宋体" w:hAnsi="宋体" w:eastAsia="宋体" w:cs="宋体"/>
                <w:sz w:val="24"/>
                <w:szCs w:val="24"/>
              </w:rPr>
            </w:pPr>
            <w:r>
              <w:rPr>
                <w:rFonts w:hint="eastAsia" w:ascii="宋体" w:hAnsi="宋体" w:eastAsia="宋体" w:cs="宋体"/>
                <w:sz w:val="24"/>
                <w:szCs w:val="24"/>
              </w:rPr>
              <w:t>管理费和利润</w:t>
            </w:r>
          </w:p>
        </w:tc>
        <w:tc>
          <w:tcPr>
            <w:tcW w:w="992" w:type="dxa"/>
            <w:gridSpan w:val="2"/>
            <w:noWrap w:val="0"/>
            <w:vAlign w:val="center"/>
          </w:tcPr>
          <w:p w14:paraId="599DC8E3">
            <w:pPr>
              <w:jc w:val="center"/>
              <w:rPr>
                <w:rFonts w:hint="eastAsia" w:ascii="宋体" w:hAnsi="宋体" w:eastAsia="宋体" w:cs="宋体"/>
                <w:sz w:val="24"/>
                <w:szCs w:val="24"/>
              </w:rPr>
            </w:pPr>
            <w:r>
              <w:rPr>
                <w:rFonts w:hint="eastAsia" w:ascii="宋体" w:hAnsi="宋体" w:eastAsia="宋体" w:cs="宋体"/>
                <w:sz w:val="24"/>
                <w:szCs w:val="24"/>
              </w:rPr>
              <w:t>人工费</w:t>
            </w:r>
          </w:p>
        </w:tc>
        <w:tc>
          <w:tcPr>
            <w:tcW w:w="851" w:type="dxa"/>
            <w:gridSpan w:val="3"/>
            <w:noWrap w:val="0"/>
            <w:vAlign w:val="center"/>
          </w:tcPr>
          <w:p w14:paraId="0E2BD1EA">
            <w:pPr>
              <w:jc w:val="center"/>
              <w:rPr>
                <w:rFonts w:hint="eastAsia" w:ascii="宋体" w:hAnsi="宋体" w:eastAsia="宋体" w:cs="宋体"/>
                <w:sz w:val="24"/>
                <w:szCs w:val="24"/>
              </w:rPr>
            </w:pPr>
            <w:r>
              <w:rPr>
                <w:rFonts w:hint="eastAsia" w:ascii="宋体" w:hAnsi="宋体" w:eastAsia="宋体" w:cs="宋体"/>
                <w:sz w:val="24"/>
                <w:szCs w:val="24"/>
              </w:rPr>
              <w:t>材料费</w:t>
            </w:r>
          </w:p>
        </w:tc>
        <w:tc>
          <w:tcPr>
            <w:tcW w:w="992" w:type="dxa"/>
            <w:gridSpan w:val="2"/>
            <w:noWrap w:val="0"/>
            <w:vAlign w:val="center"/>
          </w:tcPr>
          <w:p w14:paraId="4B8D84E8">
            <w:pPr>
              <w:jc w:val="center"/>
              <w:rPr>
                <w:rFonts w:hint="eastAsia" w:ascii="宋体" w:hAnsi="宋体" w:eastAsia="宋体" w:cs="宋体"/>
                <w:sz w:val="24"/>
                <w:szCs w:val="24"/>
              </w:rPr>
            </w:pPr>
            <w:r>
              <w:rPr>
                <w:rFonts w:hint="eastAsia" w:ascii="宋体" w:hAnsi="宋体" w:eastAsia="宋体" w:cs="宋体"/>
                <w:sz w:val="24"/>
                <w:szCs w:val="24"/>
              </w:rPr>
              <w:t>机械费</w:t>
            </w:r>
          </w:p>
        </w:tc>
        <w:tc>
          <w:tcPr>
            <w:tcW w:w="851" w:type="dxa"/>
            <w:noWrap w:val="0"/>
            <w:vAlign w:val="top"/>
          </w:tcPr>
          <w:p w14:paraId="451120C4">
            <w:pPr>
              <w:jc w:val="center"/>
              <w:rPr>
                <w:rFonts w:hint="eastAsia" w:ascii="宋体" w:hAnsi="宋体" w:eastAsia="宋体" w:cs="宋体"/>
                <w:sz w:val="24"/>
                <w:szCs w:val="24"/>
              </w:rPr>
            </w:pPr>
            <w:r>
              <w:rPr>
                <w:rFonts w:hint="eastAsia" w:ascii="宋体" w:hAnsi="宋体" w:eastAsia="宋体" w:cs="宋体"/>
                <w:sz w:val="24"/>
                <w:szCs w:val="24"/>
              </w:rPr>
              <w:t>管理费</w:t>
            </w:r>
          </w:p>
        </w:tc>
        <w:tc>
          <w:tcPr>
            <w:tcW w:w="850" w:type="dxa"/>
            <w:noWrap w:val="0"/>
            <w:vAlign w:val="top"/>
          </w:tcPr>
          <w:p w14:paraId="68377876">
            <w:pPr>
              <w:jc w:val="center"/>
              <w:rPr>
                <w:rFonts w:hint="eastAsia" w:ascii="宋体" w:hAnsi="宋体" w:eastAsia="宋体" w:cs="宋体"/>
                <w:sz w:val="24"/>
                <w:szCs w:val="24"/>
              </w:rPr>
            </w:pPr>
            <w:r>
              <w:rPr>
                <w:rFonts w:hint="eastAsia" w:ascii="宋体" w:hAnsi="宋体" w:eastAsia="宋体" w:cs="宋体"/>
                <w:sz w:val="24"/>
                <w:szCs w:val="24"/>
              </w:rPr>
              <w:t>利润</w:t>
            </w:r>
          </w:p>
        </w:tc>
      </w:tr>
      <w:tr w14:paraId="510B3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587" w:type="dxa"/>
            <w:noWrap w:val="0"/>
            <w:vAlign w:val="center"/>
          </w:tcPr>
          <w:p w14:paraId="4FF04A4B">
            <w:pPr>
              <w:jc w:val="center"/>
              <w:rPr>
                <w:rFonts w:hint="eastAsia" w:ascii="宋体" w:hAnsi="宋体" w:eastAsia="宋体" w:cs="宋体"/>
                <w:sz w:val="24"/>
                <w:szCs w:val="24"/>
              </w:rPr>
            </w:pPr>
          </w:p>
        </w:tc>
        <w:tc>
          <w:tcPr>
            <w:tcW w:w="841" w:type="dxa"/>
            <w:gridSpan w:val="2"/>
            <w:noWrap w:val="0"/>
            <w:vAlign w:val="center"/>
          </w:tcPr>
          <w:p w14:paraId="7A313119">
            <w:pPr>
              <w:rPr>
                <w:rFonts w:hint="eastAsia" w:ascii="宋体" w:hAnsi="宋体" w:eastAsia="宋体" w:cs="宋体"/>
                <w:sz w:val="24"/>
                <w:szCs w:val="24"/>
              </w:rPr>
            </w:pPr>
          </w:p>
        </w:tc>
        <w:tc>
          <w:tcPr>
            <w:tcW w:w="590" w:type="dxa"/>
            <w:noWrap w:val="0"/>
            <w:vAlign w:val="center"/>
          </w:tcPr>
          <w:p w14:paraId="7D23AA29">
            <w:pPr>
              <w:rPr>
                <w:rFonts w:hint="eastAsia" w:ascii="宋体" w:hAnsi="宋体" w:eastAsia="宋体" w:cs="宋体"/>
                <w:sz w:val="24"/>
                <w:szCs w:val="24"/>
              </w:rPr>
            </w:pPr>
          </w:p>
        </w:tc>
        <w:tc>
          <w:tcPr>
            <w:tcW w:w="639" w:type="dxa"/>
            <w:gridSpan w:val="2"/>
            <w:noWrap w:val="0"/>
            <w:vAlign w:val="center"/>
          </w:tcPr>
          <w:p w14:paraId="73532EFB">
            <w:pPr>
              <w:rPr>
                <w:rFonts w:hint="eastAsia" w:ascii="宋体" w:hAnsi="宋体" w:eastAsia="宋体" w:cs="宋体"/>
                <w:sz w:val="24"/>
                <w:szCs w:val="24"/>
              </w:rPr>
            </w:pPr>
          </w:p>
        </w:tc>
        <w:tc>
          <w:tcPr>
            <w:tcW w:w="547" w:type="dxa"/>
            <w:noWrap w:val="0"/>
            <w:vAlign w:val="center"/>
          </w:tcPr>
          <w:p w14:paraId="170A620A">
            <w:pPr>
              <w:rPr>
                <w:rFonts w:hint="eastAsia" w:ascii="宋体" w:hAnsi="宋体" w:eastAsia="宋体" w:cs="宋体"/>
                <w:sz w:val="24"/>
                <w:szCs w:val="24"/>
              </w:rPr>
            </w:pPr>
          </w:p>
        </w:tc>
        <w:tc>
          <w:tcPr>
            <w:tcW w:w="562" w:type="dxa"/>
            <w:gridSpan w:val="3"/>
            <w:noWrap w:val="0"/>
            <w:vAlign w:val="center"/>
          </w:tcPr>
          <w:p w14:paraId="5A62E1E2">
            <w:pPr>
              <w:rPr>
                <w:rFonts w:hint="eastAsia" w:ascii="宋体" w:hAnsi="宋体" w:eastAsia="宋体" w:cs="宋体"/>
                <w:sz w:val="24"/>
                <w:szCs w:val="24"/>
              </w:rPr>
            </w:pPr>
          </w:p>
        </w:tc>
        <w:tc>
          <w:tcPr>
            <w:tcW w:w="536" w:type="dxa"/>
            <w:gridSpan w:val="2"/>
            <w:noWrap w:val="0"/>
            <w:vAlign w:val="center"/>
          </w:tcPr>
          <w:p w14:paraId="427F98EB">
            <w:pPr>
              <w:rPr>
                <w:rFonts w:hint="eastAsia" w:ascii="宋体" w:hAnsi="宋体" w:eastAsia="宋体" w:cs="宋体"/>
                <w:sz w:val="24"/>
                <w:szCs w:val="24"/>
              </w:rPr>
            </w:pPr>
          </w:p>
        </w:tc>
        <w:tc>
          <w:tcPr>
            <w:tcW w:w="943" w:type="dxa"/>
            <w:noWrap w:val="0"/>
            <w:vAlign w:val="top"/>
          </w:tcPr>
          <w:p w14:paraId="70A6C697">
            <w:pPr>
              <w:jc w:val="center"/>
              <w:rPr>
                <w:rFonts w:hint="eastAsia" w:ascii="宋体" w:hAnsi="宋体" w:eastAsia="宋体" w:cs="宋体"/>
                <w:sz w:val="24"/>
                <w:szCs w:val="24"/>
              </w:rPr>
            </w:pPr>
          </w:p>
        </w:tc>
        <w:tc>
          <w:tcPr>
            <w:tcW w:w="992" w:type="dxa"/>
            <w:gridSpan w:val="2"/>
            <w:noWrap w:val="0"/>
            <w:vAlign w:val="top"/>
          </w:tcPr>
          <w:p w14:paraId="67A088CC">
            <w:pPr>
              <w:jc w:val="center"/>
              <w:rPr>
                <w:rFonts w:hint="eastAsia" w:ascii="宋体" w:hAnsi="宋体" w:eastAsia="宋体" w:cs="宋体"/>
                <w:sz w:val="24"/>
                <w:szCs w:val="24"/>
              </w:rPr>
            </w:pPr>
          </w:p>
        </w:tc>
        <w:tc>
          <w:tcPr>
            <w:tcW w:w="851" w:type="dxa"/>
            <w:gridSpan w:val="3"/>
            <w:noWrap w:val="0"/>
            <w:vAlign w:val="top"/>
          </w:tcPr>
          <w:p w14:paraId="180FB12C">
            <w:pPr>
              <w:jc w:val="center"/>
              <w:rPr>
                <w:rFonts w:hint="eastAsia" w:ascii="宋体" w:hAnsi="宋体" w:eastAsia="宋体" w:cs="宋体"/>
                <w:sz w:val="24"/>
                <w:szCs w:val="24"/>
              </w:rPr>
            </w:pPr>
          </w:p>
        </w:tc>
        <w:tc>
          <w:tcPr>
            <w:tcW w:w="992" w:type="dxa"/>
            <w:gridSpan w:val="2"/>
            <w:noWrap w:val="0"/>
            <w:vAlign w:val="top"/>
          </w:tcPr>
          <w:p w14:paraId="2E4D1E9B">
            <w:pPr>
              <w:jc w:val="center"/>
              <w:rPr>
                <w:rFonts w:hint="eastAsia" w:ascii="宋体" w:hAnsi="宋体" w:eastAsia="宋体" w:cs="宋体"/>
                <w:sz w:val="24"/>
                <w:szCs w:val="24"/>
              </w:rPr>
            </w:pPr>
          </w:p>
        </w:tc>
        <w:tc>
          <w:tcPr>
            <w:tcW w:w="851" w:type="dxa"/>
            <w:noWrap w:val="0"/>
            <w:vAlign w:val="top"/>
          </w:tcPr>
          <w:p w14:paraId="18746130">
            <w:pPr>
              <w:jc w:val="center"/>
              <w:rPr>
                <w:rFonts w:hint="eastAsia" w:ascii="宋体" w:hAnsi="宋体" w:eastAsia="宋体" w:cs="宋体"/>
                <w:sz w:val="24"/>
                <w:szCs w:val="24"/>
              </w:rPr>
            </w:pPr>
          </w:p>
        </w:tc>
        <w:tc>
          <w:tcPr>
            <w:tcW w:w="850" w:type="dxa"/>
            <w:noWrap w:val="0"/>
            <w:vAlign w:val="top"/>
          </w:tcPr>
          <w:p w14:paraId="037E78B1">
            <w:pPr>
              <w:jc w:val="center"/>
              <w:rPr>
                <w:rFonts w:hint="eastAsia" w:ascii="宋体" w:hAnsi="宋体" w:eastAsia="宋体" w:cs="宋体"/>
                <w:sz w:val="24"/>
                <w:szCs w:val="24"/>
              </w:rPr>
            </w:pPr>
          </w:p>
        </w:tc>
      </w:tr>
      <w:tr w14:paraId="35753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587" w:type="dxa"/>
            <w:noWrap w:val="0"/>
            <w:vAlign w:val="center"/>
          </w:tcPr>
          <w:p w14:paraId="3257AD54">
            <w:pPr>
              <w:jc w:val="center"/>
              <w:rPr>
                <w:rFonts w:hint="eastAsia" w:ascii="宋体" w:hAnsi="宋体" w:eastAsia="宋体" w:cs="宋体"/>
                <w:sz w:val="24"/>
                <w:szCs w:val="24"/>
              </w:rPr>
            </w:pPr>
          </w:p>
        </w:tc>
        <w:tc>
          <w:tcPr>
            <w:tcW w:w="841" w:type="dxa"/>
            <w:gridSpan w:val="2"/>
            <w:noWrap w:val="0"/>
            <w:vAlign w:val="center"/>
          </w:tcPr>
          <w:p w14:paraId="1FE9B0DE">
            <w:pPr>
              <w:jc w:val="center"/>
              <w:rPr>
                <w:rFonts w:hint="eastAsia" w:ascii="宋体" w:hAnsi="宋体" w:eastAsia="宋体" w:cs="宋体"/>
                <w:sz w:val="24"/>
                <w:szCs w:val="24"/>
              </w:rPr>
            </w:pPr>
          </w:p>
        </w:tc>
        <w:tc>
          <w:tcPr>
            <w:tcW w:w="590" w:type="dxa"/>
            <w:noWrap w:val="0"/>
            <w:vAlign w:val="center"/>
          </w:tcPr>
          <w:p w14:paraId="6EDF3B15">
            <w:pPr>
              <w:jc w:val="center"/>
              <w:rPr>
                <w:rFonts w:hint="eastAsia" w:ascii="宋体" w:hAnsi="宋体" w:eastAsia="宋体" w:cs="宋体"/>
                <w:sz w:val="24"/>
                <w:szCs w:val="24"/>
              </w:rPr>
            </w:pPr>
          </w:p>
        </w:tc>
        <w:tc>
          <w:tcPr>
            <w:tcW w:w="639" w:type="dxa"/>
            <w:gridSpan w:val="2"/>
            <w:noWrap w:val="0"/>
            <w:vAlign w:val="center"/>
          </w:tcPr>
          <w:p w14:paraId="71F989A6">
            <w:pPr>
              <w:jc w:val="center"/>
              <w:rPr>
                <w:rFonts w:hint="eastAsia" w:ascii="宋体" w:hAnsi="宋体" w:eastAsia="宋体" w:cs="宋体"/>
                <w:sz w:val="24"/>
                <w:szCs w:val="24"/>
              </w:rPr>
            </w:pPr>
          </w:p>
        </w:tc>
        <w:tc>
          <w:tcPr>
            <w:tcW w:w="547" w:type="dxa"/>
            <w:noWrap w:val="0"/>
            <w:vAlign w:val="center"/>
          </w:tcPr>
          <w:p w14:paraId="3C68C553">
            <w:pPr>
              <w:jc w:val="center"/>
              <w:rPr>
                <w:rFonts w:hint="eastAsia" w:ascii="宋体" w:hAnsi="宋体" w:eastAsia="宋体" w:cs="宋体"/>
                <w:sz w:val="24"/>
                <w:szCs w:val="24"/>
              </w:rPr>
            </w:pPr>
          </w:p>
        </w:tc>
        <w:tc>
          <w:tcPr>
            <w:tcW w:w="562" w:type="dxa"/>
            <w:gridSpan w:val="3"/>
            <w:noWrap w:val="0"/>
            <w:vAlign w:val="center"/>
          </w:tcPr>
          <w:p w14:paraId="17ED8136">
            <w:pPr>
              <w:jc w:val="center"/>
              <w:rPr>
                <w:rFonts w:hint="eastAsia" w:ascii="宋体" w:hAnsi="宋体" w:eastAsia="宋体" w:cs="宋体"/>
                <w:sz w:val="24"/>
                <w:szCs w:val="24"/>
              </w:rPr>
            </w:pPr>
          </w:p>
        </w:tc>
        <w:tc>
          <w:tcPr>
            <w:tcW w:w="536" w:type="dxa"/>
            <w:gridSpan w:val="2"/>
            <w:noWrap w:val="0"/>
            <w:vAlign w:val="center"/>
          </w:tcPr>
          <w:p w14:paraId="7A3A2B72">
            <w:pPr>
              <w:jc w:val="center"/>
              <w:rPr>
                <w:rFonts w:hint="eastAsia" w:ascii="宋体" w:hAnsi="宋体" w:eastAsia="宋体" w:cs="宋体"/>
                <w:sz w:val="24"/>
                <w:szCs w:val="24"/>
              </w:rPr>
            </w:pPr>
          </w:p>
        </w:tc>
        <w:tc>
          <w:tcPr>
            <w:tcW w:w="943" w:type="dxa"/>
            <w:noWrap w:val="0"/>
            <w:vAlign w:val="center"/>
          </w:tcPr>
          <w:p w14:paraId="462FD963">
            <w:pPr>
              <w:jc w:val="center"/>
              <w:rPr>
                <w:rFonts w:hint="eastAsia" w:ascii="宋体" w:hAnsi="宋体" w:eastAsia="宋体" w:cs="宋体"/>
                <w:sz w:val="24"/>
                <w:szCs w:val="24"/>
              </w:rPr>
            </w:pPr>
          </w:p>
        </w:tc>
        <w:tc>
          <w:tcPr>
            <w:tcW w:w="992" w:type="dxa"/>
            <w:gridSpan w:val="2"/>
            <w:noWrap w:val="0"/>
            <w:vAlign w:val="center"/>
          </w:tcPr>
          <w:p w14:paraId="2C9FCCFF">
            <w:pPr>
              <w:jc w:val="center"/>
              <w:rPr>
                <w:rFonts w:hint="eastAsia" w:ascii="宋体" w:hAnsi="宋体" w:eastAsia="宋体" w:cs="宋体"/>
                <w:sz w:val="24"/>
                <w:szCs w:val="24"/>
              </w:rPr>
            </w:pPr>
          </w:p>
        </w:tc>
        <w:tc>
          <w:tcPr>
            <w:tcW w:w="851" w:type="dxa"/>
            <w:gridSpan w:val="3"/>
            <w:noWrap w:val="0"/>
            <w:vAlign w:val="center"/>
          </w:tcPr>
          <w:p w14:paraId="2795A17A">
            <w:pPr>
              <w:jc w:val="center"/>
              <w:rPr>
                <w:rFonts w:hint="eastAsia" w:ascii="宋体" w:hAnsi="宋体" w:eastAsia="宋体" w:cs="宋体"/>
                <w:sz w:val="24"/>
                <w:szCs w:val="24"/>
              </w:rPr>
            </w:pPr>
          </w:p>
        </w:tc>
        <w:tc>
          <w:tcPr>
            <w:tcW w:w="992" w:type="dxa"/>
            <w:gridSpan w:val="2"/>
            <w:noWrap w:val="0"/>
            <w:vAlign w:val="center"/>
          </w:tcPr>
          <w:p w14:paraId="5ACE375A">
            <w:pPr>
              <w:jc w:val="center"/>
              <w:rPr>
                <w:rFonts w:hint="eastAsia" w:ascii="宋体" w:hAnsi="宋体" w:eastAsia="宋体" w:cs="宋体"/>
                <w:sz w:val="24"/>
                <w:szCs w:val="24"/>
              </w:rPr>
            </w:pPr>
          </w:p>
        </w:tc>
        <w:tc>
          <w:tcPr>
            <w:tcW w:w="851" w:type="dxa"/>
            <w:noWrap w:val="0"/>
            <w:vAlign w:val="center"/>
          </w:tcPr>
          <w:p w14:paraId="41E3D97E">
            <w:pPr>
              <w:jc w:val="center"/>
              <w:rPr>
                <w:rFonts w:hint="eastAsia" w:ascii="宋体" w:hAnsi="宋体" w:eastAsia="宋体" w:cs="宋体"/>
                <w:sz w:val="24"/>
                <w:szCs w:val="24"/>
              </w:rPr>
            </w:pPr>
          </w:p>
        </w:tc>
        <w:tc>
          <w:tcPr>
            <w:tcW w:w="850" w:type="dxa"/>
            <w:noWrap w:val="0"/>
            <w:vAlign w:val="center"/>
          </w:tcPr>
          <w:p w14:paraId="2B6C823E">
            <w:pPr>
              <w:jc w:val="center"/>
              <w:rPr>
                <w:rFonts w:hint="eastAsia" w:ascii="宋体" w:hAnsi="宋体" w:eastAsia="宋体" w:cs="宋体"/>
                <w:sz w:val="24"/>
                <w:szCs w:val="24"/>
              </w:rPr>
            </w:pPr>
          </w:p>
        </w:tc>
      </w:tr>
      <w:tr w14:paraId="01727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587" w:type="dxa"/>
            <w:noWrap w:val="0"/>
            <w:vAlign w:val="center"/>
          </w:tcPr>
          <w:p w14:paraId="1C40F1D4">
            <w:pPr>
              <w:jc w:val="center"/>
              <w:rPr>
                <w:rFonts w:hint="eastAsia" w:ascii="宋体" w:hAnsi="宋体" w:eastAsia="宋体" w:cs="宋体"/>
                <w:sz w:val="24"/>
                <w:szCs w:val="24"/>
              </w:rPr>
            </w:pPr>
          </w:p>
        </w:tc>
        <w:tc>
          <w:tcPr>
            <w:tcW w:w="841" w:type="dxa"/>
            <w:gridSpan w:val="2"/>
            <w:noWrap w:val="0"/>
            <w:vAlign w:val="center"/>
          </w:tcPr>
          <w:p w14:paraId="299F9DC5">
            <w:pPr>
              <w:jc w:val="center"/>
              <w:rPr>
                <w:rFonts w:hint="eastAsia" w:ascii="宋体" w:hAnsi="宋体" w:eastAsia="宋体" w:cs="宋体"/>
                <w:sz w:val="24"/>
                <w:szCs w:val="24"/>
              </w:rPr>
            </w:pPr>
          </w:p>
        </w:tc>
        <w:tc>
          <w:tcPr>
            <w:tcW w:w="590" w:type="dxa"/>
            <w:noWrap w:val="0"/>
            <w:vAlign w:val="center"/>
          </w:tcPr>
          <w:p w14:paraId="6BE760CC">
            <w:pPr>
              <w:jc w:val="center"/>
              <w:rPr>
                <w:rFonts w:hint="eastAsia" w:ascii="宋体" w:hAnsi="宋体" w:eastAsia="宋体" w:cs="宋体"/>
                <w:sz w:val="24"/>
                <w:szCs w:val="24"/>
              </w:rPr>
            </w:pPr>
          </w:p>
        </w:tc>
        <w:tc>
          <w:tcPr>
            <w:tcW w:w="639" w:type="dxa"/>
            <w:gridSpan w:val="2"/>
            <w:noWrap w:val="0"/>
            <w:vAlign w:val="center"/>
          </w:tcPr>
          <w:p w14:paraId="1B23997E">
            <w:pPr>
              <w:jc w:val="center"/>
              <w:rPr>
                <w:rFonts w:hint="eastAsia" w:ascii="宋体" w:hAnsi="宋体" w:eastAsia="宋体" w:cs="宋体"/>
                <w:sz w:val="24"/>
                <w:szCs w:val="24"/>
              </w:rPr>
            </w:pPr>
          </w:p>
        </w:tc>
        <w:tc>
          <w:tcPr>
            <w:tcW w:w="547" w:type="dxa"/>
            <w:noWrap w:val="0"/>
            <w:vAlign w:val="center"/>
          </w:tcPr>
          <w:p w14:paraId="4C14B974">
            <w:pPr>
              <w:jc w:val="center"/>
              <w:rPr>
                <w:rFonts w:hint="eastAsia" w:ascii="宋体" w:hAnsi="宋体" w:eastAsia="宋体" w:cs="宋体"/>
                <w:sz w:val="24"/>
                <w:szCs w:val="24"/>
              </w:rPr>
            </w:pPr>
          </w:p>
        </w:tc>
        <w:tc>
          <w:tcPr>
            <w:tcW w:w="562" w:type="dxa"/>
            <w:gridSpan w:val="3"/>
            <w:noWrap w:val="0"/>
            <w:vAlign w:val="center"/>
          </w:tcPr>
          <w:p w14:paraId="343F7C05">
            <w:pPr>
              <w:jc w:val="center"/>
              <w:rPr>
                <w:rFonts w:hint="eastAsia" w:ascii="宋体" w:hAnsi="宋体" w:eastAsia="宋体" w:cs="宋体"/>
                <w:sz w:val="24"/>
                <w:szCs w:val="24"/>
              </w:rPr>
            </w:pPr>
          </w:p>
        </w:tc>
        <w:tc>
          <w:tcPr>
            <w:tcW w:w="536" w:type="dxa"/>
            <w:gridSpan w:val="2"/>
            <w:noWrap w:val="0"/>
            <w:vAlign w:val="center"/>
          </w:tcPr>
          <w:p w14:paraId="6C5D04D3">
            <w:pPr>
              <w:jc w:val="center"/>
              <w:rPr>
                <w:rFonts w:hint="eastAsia" w:ascii="宋体" w:hAnsi="宋体" w:eastAsia="宋体" w:cs="宋体"/>
                <w:sz w:val="24"/>
                <w:szCs w:val="24"/>
              </w:rPr>
            </w:pPr>
          </w:p>
        </w:tc>
        <w:tc>
          <w:tcPr>
            <w:tcW w:w="943" w:type="dxa"/>
            <w:noWrap w:val="0"/>
            <w:vAlign w:val="center"/>
          </w:tcPr>
          <w:p w14:paraId="612F29FB">
            <w:pPr>
              <w:jc w:val="center"/>
              <w:rPr>
                <w:rFonts w:hint="eastAsia" w:ascii="宋体" w:hAnsi="宋体" w:eastAsia="宋体" w:cs="宋体"/>
                <w:sz w:val="24"/>
                <w:szCs w:val="24"/>
              </w:rPr>
            </w:pPr>
          </w:p>
        </w:tc>
        <w:tc>
          <w:tcPr>
            <w:tcW w:w="992" w:type="dxa"/>
            <w:gridSpan w:val="2"/>
            <w:noWrap w:val="0"/>
            <w:vAlign w:val="center"/>
          </w:tcPr>
          <w:p w14:paraId="74B79E8D">
            <w:pPr>
              <w:jc w:val="center"/>
              <w:rPr>
                <w:rFonts w:hint="eastAsia" w:ascii="宋体" w:hAnsi="宋体" w:eastAsia="宋体" w:cs="宋体"/>
                <w:sz w:val="24"/>
                <w:szCs w:val="24"/>
              </w:rPr>
            </w:pPr>
          </w:p>
        </w:tc>
        <w:tc>
          <w:tcPr>
            <w:tcW w:w="851" w:type="dxa"/>
            <w:gridSpan w:val="3"/>
            <w:noWrap w:val="0"/>
            <w:vAlign w:val="center"/>
          </w:tcPr>
          <w:p w14:paraId="5CD537E0">
            <w:pPr>
              <w:jc w:val="center"/>
              <w:rPr>
                <w:rFonts w:hint="eastAsia" w:ascii="宋体" w:hAnsi="宋体" w:eastAsia="宋体" w:cs="宋体"/>
                <w:sz w:val="24"/>
                <w:szCs w:val="24"/>
              </w:rPr>
            </w:pPr>
          </w:p>
        </w:tc>
        <w:tc>
          <w:tcPr>
            <w:tcW w:w="992" w:type="dxa"/>
            <w:gridSpan w:val="2"/>
            <w:noWrap w:val="0"/>
            <w:vAlign w:val="center"/>
          </w:tcPr>
          <w:p w14:paraId="34DEA7E1">
            <w:pPr>
              <w:jc w:val="center"/>
              <w:rPr>
                <w:rFonts w:hint="eastAsia" w:ascii="宋体" w:hAnsi="宋体" w:eastAsia="宋体" w:cs="宋体"/>
                <w:sz w:val="24"/>
                <w:szCs w:val="24"/>
              </w:rPr>
            </w:pPr>
          </w:p>
        </w:tc>
        <w:tc>
          <w:tcPr>
            <w:tcW w:w="851" w:type="dxa"/>
            <w:noWrap w:val="0"/>
            <w:vAlign w:val="center"/>
          </w:tcPr>
          <w:p w14:paraId="38EB532C">
            <w:pPr>
              <w:jc w:val="center"/>
              <w:rPr>
                <w:rFonts w:hint="eastAsia" w:ascii="宋体" w:hAnsi="宋体" w:eastAsia="宋体" w:cs="宋体"/>
                <w:sz w:val="24"/>
                <w:szCs w:val="24"/>
              </w:rPr>
            </w:pPr>
          </w:p>
        </w:tc>
        <w:tc>
          <w:tcPr>
            <w:tcW w:w="850" w:type="dxa"/>
            <w:noWrap w:val="0"/>
            <w:vAlign w:val="center"/>
          </w:tcPr>
          <w:p w14:paraId="50F26A0D">
            <w:pPr>
              <w:jc w:val="center"/>
              <w:rPr>
                <w:rFonts w:hint="eastAsia" w:ascii="宋体" w:hAnsi="宋体" w:eastAsia="宋体" w:cs="宋体"/>
                <w:sz w:val="24"/>
                <w:szCs w:val="24"/>
              </w:rPr>
            </w:pPr>
          </w:p>
        </w:tc>
      </w:tr>
      <w:tr w14:paraId="4BFD5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428" w:type="dxa"/>
            <w:gridSpan w:val="3"/>
            <w:noWrap w:val="0"/>
            <w:vAlign w:val="center"/>
          </w:tcPr>
          <w:p w14:paraId="4B18CA23">
            <w:pPr>
              <w:jc w:val="center"/>
              <w:rPr>
                <w:rFonts w:hint="eastAsia" w:ascii="宋体" w:hAnsi="宋体" w:eastAsia="宋体" w:cs="宋体"/>
                <w:color w:val="FFFFFF"/>
                <w:sz w:val="24"/>
                <w:szCs w:val="24"/>
              </w:rPr>
            </w:pPr>
            <w:r>
              <w:rPr>
                <w:rFonts w:hint="eastAsia" w:ascii="宋体" w:hAnsi="宋体" w:eastAsia="宋体" w:cs="宋体"/>
                <w:sz w:val="24"/>
                <w:szCs w:val="24"/>
              </w:rPr>
              <w:t>人工单价</w:t>
            </w:r>
          </w:p>
        </w:tc>
        <w:tc>
          <w:tcPr>
            <w:tcW w:w="3817" w:type="dxa"/>
            <w:gridSpan w:val="10"/>
            <w:noWrap w:val="0"/>
            <w:vAlign w:val="center"/>
          </w:tcPr>
          <w:p w14:paraId="2334F51F">
            <w:pPr>
              <w:jc w:val="center"/>
              <w:rPr>
                <w:rFonts w:hint="eastAsia" w:ascii="宋体" w:hAnsi="宋体" w:eastAsia="宋体" w:cs="宋体"/>
                <w:color w:val="FFFFFF"/>
                <w:sz w:val="24"/>
                <w:szCs w:val="24"/>
              </w:rPr>
            </w:pPr>
            <w:r>
              <w:rPr>
                <w:rFonts w:hint="eastAsia" w:ascii="宋体" w:hAnsi="宋体" w:eastAsia="宋体" w:cs="宋体"/>
                <w:sz w:val="24"/>
                <w:szCs w:val="24"/>
              </w:rPr>
              <w:t>小      计</w:t>
            </w:r>
          </w:p>
        </w:tc>
        <w:tc>
          <w:tcPr>
            <w:tcW w:w="992" w:type="dxa"/>
            <w:gridSpan w:val="2"/>
            <w:noWrap w:val="0"/>
            <w:vAlign w:val="center"/>
          </w:tcPr>
          <w:p w14:paraId="03AE8D1B">
            <w:pPr>
              <w:jc w:val="center"/>
              <w:rPr>
                <w:rFonts w:hint="eastAsia" w:ascii="宋体" w:hAnsi="宋体" w:eastAsia="宋体" w:cs="宋体"/>
                <w:sz w:val="24"/>
                <w:szCs w:val="24"/>
              </w:rPr>
            </w:pPr>
          </w:p>
        </w:tc>
        <w:tc>
          <w:tcPr>
            <w:tcW w:w="851" w:type="dxa"/>
            <w:gridSpan w:val="3"/>
            <w:noWrap w:val="0"/>
            <w:vAlign w:val="center"/>
          </w:tcPr>
          <w:p w14:paraId="6C26AF64">
            <w:pPr>
              <w:jc w:val="center"/>
              <w:rPr>
                <w:rFonts w:hint="eastAsia" w:ascii="宋体" w:hAnsi="宋体" w:eastAsia="宋体" w:cs="宋体"/>
                <w:sz w:val="24"/>
                <w:szCs w:val="24"/>
              </w:rPr>
            </w:pPr>
          </w:p>
        </w:tc>
        <w:tc>
          <w:tcPr>
            <w:tcW w:w="992" w:type="dxa"/>
            <w:gridSpan w:val="2"/>
            <w:noWrap w:val="0"/>
            <w:vAlign w:val="center"/>
          </w:tcPr>
          <w:p w14:paraId="1DE60861">
            <w:pPr>
              <w:jc w:val="center"/>
              <w:rPr>
                <w:rFonts w:hint="eastAsia" w:ascii="宋体" w:hAnsi="宋体" w:eastAsia="宋体" w:cs="宋体"/>
                <w:sz w:val="24"/>
                <w:szCs w:val="24"/>
              </w:rPr>
            </w:pPr>
          </w:p>
        </w:tc>
        <w:tc>
          <w:tcPr>
            <w:tcW w:w="851" w:type="dxa"/>
            <w:noWrap w:val="0"/>
            <w:vAlign w:val="center"/>
          </w:tcPr>
          <w:p w14:paraId="387BA61E">
            <w:pPr>
              <w:jc w:val="center"/>
              <w:rPr>
                <w:rFonts w:hint="eastAsia" w:ascii="宋体" w:hAnsi="宋体" w:eastAsia="宋体" w:cs="宋体"/>
                <w:sz w:val="24"/>
                <w:szCs w:val="24"/>
              </w:rPr>
            </w:pPr>
          </w:p>
        </w:tc>
        <w:tc>
          <w:tcPr>
            <w:tcW w:w="850" w:type="dxa"/>
            <w:noWrap w:val="0"/>
            <w:vAlign w:val="center"/>
          </w:tcPr>
          <w:p w14:paraId="72F0C5FE">
            <w:pPr>
              <w:jc w:val="center"/>
              <w:rPr>
                <w:rFonts w:hint="eastAsia" w:ascii="宋体" w:hAnsi="宋体" w:eastAsia="宋体" w:cs="宋体"/>
                <w:sz w:val="24"/>
                <w:szCs w:val="24"/>
              </w:rPr>
            </w:pPr>
          </w:p>
        </w:tc>
      </w:tr>
      <w:tr w14:paraId="36A98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428" w:type="dxa"/>
            <w:gridSpan w:val="3"/>
            <w:noWrap w:val="0"/>
            <w:vAlign w:val="center"/>
          </w:tcPr>
          <w:p w14:paraId="2EED8068">
            <w:pPr>
              <w:jc w:val="right"/>
              <w:rPr>
                <w:rFonts w:hint="eastAsia" w:ascii="宋体" w:hAnsi="宋体" w:eastAsia="宋体" w:cs="宋体"/>
                <w:color w:val="FFFFFF"/>
                <w:sz w:val="24"/>
                <w:szCs w:val="24"/>
              </w:rPr>
            </w:pPr>
            <w:r>
              <w:rPr>
                <w:rFonts w:hint="eastAsia" w:ascii="宋体" w:hAnsi="宋体" w:eastAsia="宋体" w:cs="宋体"/>
                <w:sz w:val="24"/>
                <w:szCs w:val="24"/>
              </w:rPr>
              <w:t>元/工日</w:t>
            </w:r>
          </w:p>
        </w:tc>
        <w:tc>
          <w:tcPr>
            <w:tcW w:w="3817" w:type="dxa"/>
            <w:gridSpan w:val="10"/>
            <w:noWrap w:val="0"/>
            <w:vAlign w:val="center"/>
          </w:tcPr>
          <w:p w14:paraId="3D889D9A">
            <w:pPr>
              <w:jc w:val="center"/>
              <w:rPr>
                <w:rFonts w:hint="eastAsia" w:ascii="宋体" w:hAnsi="宋体" w:eastAsia="宋体" w:cs="宋体"/>
                <w:color w:val="FFFFFF"/>
                <w:sz w:val="24"/>
                <w:szCs w:val="24"/>
              </w:rPr>
            </w:pPr>
            <w:r>
              <w:rPr>
                <w:rFonts w:hint="eastAsia" w:ascii="宋体" w:hAnsi="宋体" w:eastAsia="宋体" w:cs="宋体"/>
                <w:sz w:val="24"/>
                <w:szCs w:val="24"/>
              </w:rPr>
              <w:t>未 计 价 材 料 费</w:t>
            </w:r>
          </w:p>
        </w:tc>
        <w:tc>
          <w:tcPr>
            <w:tcW w:w="4536" w:type="dxa"/>
            <w:gridSpan w:val="9"/>
            <w:noWrap w:val="0"/>
            <w:vAlign w:val="center"/>
          </w:tcPr>
          <w:p w14:paraId="032FF915">
            <w:pPr>
              <w:jc w:val="center"/>
              <w:rPr>
                <w:rFonts w:hint="eastAsia" w:ascii="宋体" w:hAnsi="宋体" w:eastAsia="宋体" w:cs="宋体"/>
                <w:sz w:val="24"/>
                <w:szCs w:val="24"/>
              </w:rPr>
            </w:pPr>
          </w:p>
        </w:tc>
      </w:tr>
      <w:tr w14:paraId="041FA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5245" w:type="dxa"/>
            <w:gridSpan w:val="13"/>
            <w:noWrap w:val="0"/>
            <w:vAlign w:val="center"/>
          </w:tcPr>
          <w:p w14:paraId="0DAFC7E0">
            <w:pPr>
              <w:jc w:val="center"/>
              <w:rPr>
                <w:rFonts w:hint="eastAsia" w:ascii="宋体" w:hAnsi="宋体" w:eastAsia="宋体" w:cs="宋体"/>
                <w:color w:val="FFFFFF"/>
                <w:sz w:val="24"/>
                <w:szCs w:val="24"/>
              </w:rPr>
            </w:pPr>
            <w:r>
              <w:rPr>
                <w:rFonts w:hint="eastAsia" w:ascii="宋体" w:hAnsi="宋体" w:eastAsia="宋体" w:cs="宋体"/>
                <w:sz w:val="24"/>
                <w:szCs w:val="24"/>
              </w:rPr>
              <w:t>清单项目综合单价</w:t>
            </w:r>
          </w:p>
        </w:tc>
        <w:tc>
          <w:tcPr>
            <w:tcW w:w="4536" w:type="dxa"/>
            <w:gridSpan w:val="9"/>
            <w:noWrap w:val="0"/>
            <w:vAlign w:val="center"/>
          </w:tcPr>
          <w:p w14:paraId="68D5B219">
            <w:pPr>
              <w:jc w:val="center"/>
              <w:rPr>
                <w:rFonts w:hint="eastAsia" w:ascii="宋体" w:hAnsi="宋体" w:eastAsia="宋体" w:cs="宋体"/>
                <w:sz w:val="24"/>
                <w:szCs w:val="24"/>
              </w:rPr>
            </w:pPr>
          </w:p>
        </w:tc>
      </w:tr>
      <w:tr w14:paraId="74487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587" w:type="dxa"/>
            <w:vMerge w:val="restart"/>
            <w:noWrap w:val="0"/>
            <w:vAlign w:val="center"/>
          </w:tcPr>
          <w:p w14:paraId="4FFE1DA8">
            <w:pPr>
              <w:jc w:val="center"/>
              <w:rPr>
                <w:rFonts w:hint="eastAsia" w:ascii="宋体" w:hAnsi="宋体" w:eastAsia="宋体" w:cs="宋体"/>
                <w:color w:val="FFFFFF"/>
                <w:sz w:val="24"/>
                <w:szCs w:val="24"/>
              </w:rPr>
            </w:pPr>
            <w:r>
              <w:rPr>
                <w:rFonts w:hint="eastAsia" w:ascii="宋体" w:hAnsi="宋体" w:eastAsia="宋体" w:cs="宋体"/>
                <w:sz w:val="24"/>
                <w:szCs w:val="24"/>
              </w:rPr>
              <w:t>材</w:t>
            </w:r>
          </w:p>
          <w:p w14:paraId="0DD19E72">
            <w:pPr>
              <w:jc w:val="center"/>
              <w:rPr>
                <w:rFonts w:hint="eastAsia" w:ascii="宋体" w:hAnsi="宋体" w:eastAsia="宋体" w:cs="宋体"/>
                <w:color w:val="FFFFFF"/>
                <w:sz w:val="24"/>
                <w:szCs w:val="24"/>
              </w:rPr>
            </w:pPr>
            <w:r>
              <w:rPr>
                <w:rFonts w:hint="eastAsia" w:ascii="宋体" w:hAnsi="宋体" w:eastAsia="宋体" w:cs="宋体"/>
                <w:sz w:val="24"/>
                <w:szCs w:val="24"/>
              </w:rPr>
              <w:t>料</w:t>
            </w:r>
          </w:p>
          <w:p w14:paraId="2748E287">
            <w:pPr>
              <w:jc w:val="center"/>
              <w:rPr>
                <w:rFonts w:hint="eastAsia" w:ascii="宋体" w:hAnsi="宋体" w:eastAsia="宋体" w:cs="宋体"/>
                <w:color w:val="FFFFFF"/>
                <w:sz w:val="24"/>
                <w:szCs w:val="24"/>
              </w:rPr>
            </w:pPr>
            <w:r>
              <w:rPr>
                <w:rFonts w:hint="eastAsia" w:ascii="宋体" w:hAnsi="宋体" w:eastAsia="宋体" w:cs="宋体"/>
                <w:sz w:val="24"/>
                <w:szCs w:val="24"/>
              </w:rPr>
              <w:t>费</w:t>
            </w:r>
          </w:p>
          <w:p w14:paraId="2B6F0A6A">
            <w:pPr>
              <w:jc w:val="center"/>
              <w:rPr>
                <w:rFonts w:hint="eastAsia" w:ascii="宋体" w:hAnsi="宋体" w:eastAsia="宋体" w:cs="宋体"/>
                <w:color w:val="FFFFFF"/>
                <w:sz w:val="24"/>
                <w:szCs w:val="24"/>
              </w:rPr>
            </w:pPr>
            <w:r>
              <w:rPr>
                <w:rFonts w:hint="eastAsia" w:ascii="宋体" w:hAnsi="宋体" w:eastAsia="宋体" w:cs="宋体"/>
                <w:sz w:val="24"/>
                <w:szCs w:val="24"/>
              </w:rPr>
              <w:t>明</w:t>
            </w:r>
          </w:p>
          <w:p w14:paraId="7C7F33C1">
            <w:pPr>
              <w:jc w:val="center"/>
              <w:rPr>
                <w:rFonts w:hint="eastAsia" w:ascii="宋体" w:hAnsi="宋体" w:eastAsia="宋体" w:cs="宋体"/>
                <w:color w:val="FFFFFF"/>
                <w:sz w:val="24"/>
                <w:szCs w:val="24"/>
              </w:rPr>
            </w:pPr>
            <w:r>
              <w:rPr>
                <w:rFonts w:hint="eastAsia" w:ascii="宋体" w:hAnsi="宋体" w:eastAsia="宋体" w:cs="宋体"/>
                <w:sz w:val="24"/>
                <w:szCs w:val="24"/>
              </w:rPr>
              <w:t>细</w:t>
            </w:r>
          </w:p>
        </w:tc>
        <w:tc>
          <w:tcPr>
            <w:tcW w:w="2888" w:type="dxa"/>
            <w:gridSpan w:val="7"/>
            <w:noWrap w:val="0"/>
            <w:vAlign w:val="center"/>
          </w:tcPr>
          <w:p w14:paraId="6BEE8439">
            <w:pPr>
              <w:jc w:val="center"/>
              <w:rPr>
                <w:rFonts w:hint="eastAsia" w:ascii="宋体" w:hAnsi="宋体" w:eastAsia="宋体" w:cs="宋体"/>
                <w:color w:val="FFFFFF"/>
                <w:sz w:val="24"/>
                <w:szCs w:val="24"/>
              </w:rPr>
            </w:pPr>
            <w:r>
              <w:rPr>
                <w:rFonts w:hint="eastAsia" w:ascii="宋体" w:hAnsi="宋体" w:eastAsia="宋体" w:cs="宋体"/>
                <w:sz w:val="24"/>
                <w:szCs w:val="24"/>
              </w:rPr>
              <w:t>主要材料名称、规格、型号</w:t>
            </w:r>
          </w:p>
        </w:tc>
        <w:tc>
          <w:tcPr>
            <w:tcW w:w="710" w:type="dxa"/>
            <w:gridSpan w:val="3"/>
            <w:noWrap w:val="0"/>
            <w:vAlign w:val="center"/>
          </w:tcPr>
          <w:p w14:paraId="4F069D0A">
            <w:pPr>
              <w:jc w:val="center"/>
              <w:rPr>
                <w:rFonts w:hint="eastAsia" w:ascii="宋体" w:hAnsi="宋体" w:eastAsia="宋体" w:cs="宋体"/>
                <w:color w:val="FFFFFF"/>
                <w:sz w:val="24"/>
                <w:szCs w:val="24"/>
              </w:rPr>
            </w:pPr>
            <w:r>
              <w:rPr>
                <w:rFonts w:hint="eastAsia" w:ascii="宋体" w:hAnsi="宋体" w:eastAsia="宋体" w:cs="宋体"/>
                <w:sz w:val="24"/>
                <w:szCs w:val="24"/>
              </w:rPr>
              <w:t>单位</w:t>
            </w:r>
          </w:p>
        </w:tc>
        <w:tc>
          <w:tcPr>
            <w:tcW w:w="1060" w:type="dxa"/>
            <w:gridSpan w:val="2"/>
            <w:noWrap w:val="0"/>
            <w:vAlign w:val="center"/>
          </w:tcPr>
          <w:p w14:paraId="0AEBAC28">
            <w:pPr>
              <w:jc w:val="center"/>
              <w:rPr>
                <w:rFonts w:hint="eastAsia" w:ascii="宋体" w:hAnsi="宋体" w:eastAsia="宋体" w:cs="宋体"/>
                <w:color w:val="FFFFFF"/>
                <w:sz w:val="24"/>
                <w:szCs w:val="24"/>
              </w:rPr>
            </w:pPr>
            <w:r>
              <w:rPr>
                <w:rFonts w:hint="eastAsia" w:ascii="宋体" w:hAnsi="宋体" w:eastAsia="宋体" w:cs="宋体"/>
                <w:sz w:val="24"/>
                <w:szCs w:val="24"/>
              </w:rPr>
              <w:t>数量</w:t>
            </w:r>
          </w:p>
        </w:tc>
        <w:tc>
          <w:tcPr>
            <w:tcW w:w="584" w:type="dxa"/>
            <w:noWrap w:val="0"/>
            <w:vAlign w:val="center"/>
          </w:tcPr>
          <w:p w14:paraId="13E53FD0">
            <w:pPr>
              <w:jc w:val="center"/>
              <w:rPr>
                <w:rFonts w:hint="eastAsia" w:ascii="宋体" w:hAnsi="宋体" w:eastAsia="宋体" w:cs="宋体"/>
                <w:color w:val="FFFFFF"/>
                <w:sz w:val="24"/>
                <w:szCs w:val="24"/>
              </w:rPr>
            </w:pPr>
            <w:r>
              <w:rPr>
                <w:rFonts w:hint="eastAsia" w:ascii="宋体" w:hAnsi="宋体" w:eastAsia="宋体" w:cs="宋体"/>
                <w:sz w:val="24"/>
                <w:szCs w:val="24"/>
              </w:rPr>
              <w:t>单价</w:t>
            </w:r>
          </w:p>
          <w:p w14:paraId="1F8F2761">
            <w:pPr>
              <w:jc w:val="center"/>
              <w:rPr>
                <w:rFonts w:hint="eastAsia" w:ascii="宋体" w:hAnsi="宋体" w:eastAsia="宋体" w:cs="宋体"/>
                <w:color w:val="FFFFFF"/>
                <w:sz w:val="24"/>
                <w:szCs w:val="24"/>
              </w:rPr>
            </w:pPr>
            <w:r>
              <w:rPr>
                <w:rFonts w:hint="eastAsia" w:ascii="宋体" w:hAnsi="宋体" w:eastAsia="宋体" w:cs="宋体"/>
                <w:sz w:val="24"/>
                <w:szCs w:val="24"/>
              </w:rPr>
              <w:t>（元）</w:t>
            </w:r>
          </w:p>
        </w:tc>
        <w:tc>
          <w:tcPr>
            <w:tcW w:w="936" w:type="dxa"/>
            <w:gridSpan w:val="2"/>
            <w:noWrap w:val="0"/>
            <w:vAlign w:val="center"/>
          </w:tcPr>
          <w:p w14:paraId="76460D52">
            <w:pPr>
              <w:jc w:val="center"/>
              <w:rPr>
                <w:rFonts w:hint="eastAsia" w:ascii="宋体" w:hAnsi="宋体" w:eastAsia="宋体" w:cs="宋体"/>
                <w:color w:val="FFFFFF"/>
                <w:sz w:val="24"/>
                <w:szCs w:val="24"/>
              </w:rPr>
            </w:pPr>
            <w:r>
              <w:rPr>
                <w:rFonts w:hint="eastAsia" w:ascii="宋体" w:hAnsi="宋体" w:eastAsia="宋体" w:cs="宋体"/>
                <w:sz w:val="24"/>
                <w:szCs w:val="24"/>
              </w:rPr>
              <w:t>合价</w:t>
            </w:r>
          </w:p>
          <w:p w14:paraId="60C75D81">
            <w:pPr>
              <w:jc w:val="center"/>
              <w:rPr>
                <w:rFonts w:hint="eastAsia" w:ascii="宋体" w:hAnsi="宋体" w:eastAsia="宋体" w:cs="宋体"/>
                <w:color w:val="FFFFFF"/>
                <w:sz w:val="24"/>
                <w:szCs w:val="24"/>
              </w:rPr>
            </w:pPr>
            <w:r>
              <w:rPr>
                <w:rFonts w:hint="eastAsia" w:ascii="宋体" w:hAnsi="宋体" w:eastAsia="宋体" w:cs="宋体"/>
                <w:sz w:val="24"/>
                <w:szCs w:val="24"/>
              </w:rPr>
              <w:t>（元）</w:t>
            </w:r>
          </w:p>
        </w:tc>
        <w:tc>
          <w:tcPr>
            <w:tcW w:w="936" w:type="dxa"/>
            <w:gridSpan w:val="3"/>
            <w:noWrap w:val="0"/>
            <w:vAlign w:val="center"/>
          </w:tcPr>
          <w:p w14:paraId="5275474A">
            <w:pPr>
              <w:jc w:val="center"/>
              <w:rPr>
                <w:rFonts w:hint="eastAsia" w:ascii="宋体" w:hAnsi="宋体" w:eastAsia="宋体" w:cs="宋体"/>
                <w:color w:val="FFFFFF"/>
                <w:sz w:val="24"/>
                <w:szCs w:val="24"/>
              </w:rPr>
            </w:pPr>
            <w:r>
              <w:rPr>
                <w:rFonts w:hint="eastAsia" w:ascii="宋体" w:hAnsi="宋体" w:eastAsia="宋体" w:cs="宋体"/>
                <w:sz w:val="24"/>
                <w:szCs w:val="24"/>
              </w:rPr>
              <w:t>暂估</w:t>
            </w:r>
          </w:p>
          <w:p w14:paraId="0A0CB9E3">
            <w:pPr>
              <w:jc w:val="center"/>
              <w:rPr>
                <w:rFonts w:hint="eastAsia" w:ascii="宋体" w:hAnsi="宋体" w:eastAsia="宋体" w:cs="宋体"/>
                <w:color w:val="FFFFFF"/>
                <w:sz w:val="24"/>
                <w:szCs w:val="24"/>
              </w:rPr>
            </w:pPr>
            <w:r>
              <w:rPr>
                <w:rFonts w:hint="eastAsia" w:ascii="宋体" w:hAnsi="宋体" w:eastAsia="宋体" w:cs="宋体"/>
                <w:sz w:val="24"/>
                <w:szCs w:val="24"/>
              </w:rPr>
              <w:t>单价（元）</w:t>
            </w:r>
          </w:p>
        </w:tc>
        <w:tc>
          <w:tcPr>
            <w:tcW w:w="2080" w:type="dxa"/>
            <w:gridSpan w:val="3"/>
            <w:noWrap w:val="0"/>
            <w:vAlign w:val="center"/>
          </w:tcPr>
          <w:p w14:paraId="3776D0F9">
            <w:pPr>
              <w:jc w:val="center"/>
              <w:rPr>
                <w:rFonts w:hint="eastAsia" w:ascii="宋体" w:hAnsi="宋体" w:eastAsia="宋体" w:cs="宋体"/>
                <w:color w:val="FFFFFF"/>
                <w:sz w:val="24"/>
                <w:szCs w:val="24"/>
              </w:rPr>
            </w:pPr>
            <w:r>
              <w:rPr>
                <w:rFonts w:hint="eastAsia" w:ascii="宋体" w:hAnsi="宋体" w:eastAsia="宋体" w:cs="宋体"/>
                <w:sz w:val="24"/>
                <w:szCs w:val="24"/>
              </w:rPr>
              <w:t>暂估</w:t>
            </w:r>
          </w:p>
          <w:p w14:paraId="005EA9D2">
            <w:pPr>
              <w:jc w:val="center"/>
              <w:rPr>
                <w:rFonts w:hint="eastAsia" w:ascii="宋体" w:hAnsi="宋体" w:eastAsia="宋体" w:cs="宋体"/>
                <w:color w:val="FFFFFF"/>
                <w:sz w:val="24"/>
                <w:szCs w:val="24"/>
              </w:rPr>
            </w:pPr>
            <w:r>
              <w:rPr>
                <w:rFonts w:hint="eastAsia" w:ascii="宋体" w:hAnsi="宋体" w:eastAsia="宋体" w:cs="宋体"/>
                <w:sz w:val="24"/>
                <w:szCs w:val="24"/>
              </w:rPr>
              <w:t>合价（元）</w:t>
            </w:r>
          </w:p>
        </w:tc>
      </w:tr>
      <w:tr w14:paraId="0A3F9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587" w:type="dxa"/>
            <w:vMerge w:val="continue"/>
            <w:noWrap w:val="0"/>
            <w:vAlign w:val="center"/>
          </w:tcPr>
          <w:p w14:paraId="5F8162D2">
            <w:pPr>
              <w:jc w:val="center"/>
              <w:rPr>
                <w:rFonts w:hint="eastAsia" w:ascii="宋体" w:hAnsi="宋体" w:eastAsia="宋体" w:cs="宋体"/>
                <w:sz w:val="24"/>
                <w:szCs w:val="24"/>
              </w:rPr>
            </w:pPr>
          </w:p>
        </w:tc>
        <w:tc>
          <w:tcPr>
            <w:tcW w:w="2888" w:type="dxa"/>
            <w:gridSpan w:val="7"/>
            <w:noWrap w:val="0"/>
            <w:vAlign w:val="center"/>
          </w:tcPr>
          <w:p w14:paraId="3D19EA86">
            <w:pPr>
              <w:jc w:val="center"/>
              <w:rPr>
                <w:rFonts w:hint="eastAsia" w:ascii="宋体" w:hAnsi="宋体" w:eastAsia="宋体" w:cs="宋体"/>
                <w:sz w:val="24"/>
                <w:szCs w:val="24"/>
              </w:rPr>
            </w:pPr>
          </w:p>
        </w:tc>
        <w:tc>
          <w:tcPr>
            <w:tcW w:w="710" w:type="dxa"/>
            <w:gridSpan w:val="3"/>
            <w:noWrap w:val="0"/>
            <w:vAlign w:val="center"/>
          </w:tcPr>
          <w:p w14:paraId="479A46B6">
            <w:pPr>
              <w:jc w:val="center"/>
              <w:rPr>
                <w:rFonts w:hint="eastAsia" w:ascii="宋体" w:hAnsi="宋体" w:eastAsia="宋体" w:cs="宋体"/>
                <w:sz w:val="24"/>
                <w:szCs w:val="24"/>
              </w:rPr>
            </w:pPr>
          </w:p>
        </w:tc>
        <w:tc>
          <w:tcPr>
            <w:tcW w:w="1060" w:type="dxa"/>
            <w:gridSpan w:val="2"/>
            <w:noWrap w:val="0"/>
            <w:vAlign w:val="center"/>
          </w:tcPr>
          <w:p w14:paraId="07521130">
            <w:pPr>
              <w:jc w:val="center"/>
              <w:rPr>
                <w:rFonts w:hint="eastAsia" w:ascii="宋体" w:hAnsi="宋体" w:eastAsia="宋体" w:cs="宋体"/>
                <w:sz w:val="24"/>
                <w:szCs w:val="24"/>
              </w:rPr>
            </w:pPr>
          </w:p>
        </w:tc>
        <w:tc>
          <w:tcPr>
            <w:tcW w:w="584" w:type="dxa"/>
            <w:noWrap w:val="0"/>
            <w:vAlign w:val="center"/>
          </w:tcPr>
          <w:p w14:paraId="6C2B9B1B">
            <w:pPr>
              <w:jc w:val="center"/>
              <w:rPr>
                <w:rFonts w:hint="eastAsia" w:ascii="宋体" w:hAnsi="宋体" w:eastAsia="宋体" w:cs="宋体"/>
                <w:sz w:val="24"/>
                <w:szCs w:val="24"/>
              </w:rPr>
            </w:pPr>
          </w:p>
        </w:tc>
        <w:tc>
          <w:tcPr>
            <w:tcW w:w="936" w:type="dxa"/>
            <w:gridSpan w:val="2"/>
            <w:noWrap w:val="0"/>
            <w:vAlign w:val="center"/>
          </w:tcPr>
          <w:p w14:paraId="6B3B78EA">
            <w:pPr>
              <w:jc w:val="center"/>
              <w:rPr>
                <w:rFonts w:hint="eastAsia" w:ascii="宋体" w:hAnsi="宋体" w:eastAsia="宋体" w:cs="宋体"/>
                <w:sz w:val="24"/>
                <w:szCs w:val="24"/>
              </w:rPr>
            </w:pPr>
          </w:p>
        </w:tc>
        <w:tc>
          <w:tcPr>
            <w:tcW w:w="936" w:type="dxa"/>
            <w:gridSpan w:val="3"/>
            <w:noWrap w:val="0"/>
            <w:vAlign w:val="center"/>
          </w:tcPr>
          <w:p w14:paraId="27E806C7">
            <w:pPr>
              <w:jc w:val="center"/>
              <w:rPr>
                <w:rFonts w:hint="eastAsia" w:ascii="宋体" w:hAnsi="宋体" w:eastAsia="宋体" w:cs="宋体"/>
                <w:sz w:val="24"/>
                <w:szCs w:val="24"/>
              </w:rPr>
            </w:pPr>
          </w:p>
        </w:tc>
        <w:tc>
          <w:tcPr>
            <w:tcW w:w="2080" w:type="dxa"/>
            <w:gridSpan w:val="3"/>
            <w:noWrap w:val="0"/>
            <w:vAlign w:val="center"/>
          </w:tcPr>
          <w:p w14:paraId="024C0B47">
            <w:pPr>
              <w:jc w:val="center"/>
              <w:rPr>
                <w:rFonts w:hint="eastAsia" w:ascii="宋体" w:hAnsi="宋体" w:eastAsia="宋体" w:cs="宋体"/>
                <w:sz w:val="24"/>
                <w:szCs w:val="24"/>
              </w:rPr>
            </w:pPr>
          </w:p>
        </w:tc>
      </w:tr>
      <w:tr w14:paraId="47124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587" w:type="dxa"/>
            <w:vMerge w:val="continue"/>
            <w:noWrap w:val="0"/>
            <w:vAlign w:val="center"/>
          </w:tcPr>
          <w:p w14:paraId="04B15D2E">
            <w:pPr>
              <w:jc w:val="center"/>
              <w:rPr>
                <w:rFonts w:hint="eastAsia" w:ascii="宋体" w:hAnsi="宋体" w:eastAsia="宋体" w:cs="宋体"/>
                <w:sz w:val="24"/>
                <w:szCs w:val="24"/>
              </w:rPr>
            </w:pPr>
          </w:p>
        </w:tc>
        <w:tc>
          <w:tcPr>
            <w:tcW w:w="2888" w:type="dxa"/>
            <w:gridSpan w:val="7"/>
            <w:noWrap w:val="0"/>
            <w:vAlign w:val="center"/>
          </w:tcPr>
          <w:p w14:paraId="619E15F7">
            <w:pPr>
              <w:ind w:firstLine="355" w:firstLineChars="148"/>
              <w:jc w:val="center"/>
              <w:rPr>
                <w:rFonts w:hint="eastAsia" w:ascii="宋体" w:hAnsi="宋体" w:eastAsia="宋体" w:cs="宋体"/>
                <w:sz w:val="24"/>
                <w:szCs w:val="24"/>
              </w:rPr>
            </w:pPr>
          </w:p>
        </w:tc>
        <w:tc>
          <w:tcPr>
            <w:tcW w:w="710" w:type="dxa"/>
            <w:gridSpan w:val="3"/>
            <w:noWrap w:val="0"/>
            <w:vAlign w:val="center"/>
          </w:tcPr>
          <w:p w14:paraId="1500E6EA">
            <w:pPr>
              <w:ind w:firstLine="355" w:firstLineChars="148"/>
              <w:jc w:val="center"/>
              <w:rPr>
                <w:rFonts w:hint="eastAsia" w:ascii="宋体" w:hAnsi="宋体" w:eastAsia="宋体" w:cs="宋体"/>
                <w:sz w:val="24"/>
                <w:szCs w:val="24"/>
              </w:rPr>
            </w:pPr>
          </w:p>
        </w:tc>
        <w:tc>
          <w:tcPr>
            <w:tcW w:w="1060" w:type="dxa"/>
            <w:gridSpan w:val="2"/>
            <w:noWrap w:val="0"/>
            <w:vAlign w:val="center"/>
          </w:tcPr>
          <w:p w14:paraId="3C359324">
            <w:pPr>
              <w:jc w:val="center"/>
              <w:rPr>
                <w:rFonts w:hint="eastAsia" w:ascii="宋体" w:hAnsi="宋体" w:eastAsia="宋体" w:cs="宋体"/>
                <w:sz w:val="24"/>
                <w:szCs w:val="24"/>
              </w:rPr>
            </w:pPr>
          </w:p>
        </w:tc>
        <w:tc>
          <w:tcPr>
            <w:tcW w:w="584" w:type="dxa"/>
            <w:noWrap w:val="0"/>
            <w:vAlign w:val="center"/>
          </w:tcPr>
          <w:p w14:paraId="7E90144A">
            <w:pPr>
              <w:jc w:val="center"/>
              <w:rPr>
                <w:rFonts w:hint="eastAsia" w:ascii="宋体" w:hAnsi="宋体" w:eastAsia="宋体" w:cs="宋体"/>
                <w:sz w:val="24"/>
                <w:szCs w:val="24"/>
              </w:rPr>
            </w:pPr>
          </w:p>
        </w:tc>
        <w:tc>
          <w:tcPr>
            <w:tcW w:w="936" w:type="dxa"/>
            <w:gridSpan w:val="2"/>
            <w:noWrap w:val="0"/>
            <w:vAlign w:val="center"/>
          </w:tcPr>
          <w:p w14:paraId="40EC7E87">
            <w:pPr>
              <w:jc w:val="center"/>
              <w:rPr>
                <w:rFonts w:hint="eastAsia" w:ascii="宋体" w:hAnsi="宋体" w:eastAsia="宋体" w:cs="宋体"/>
                <w:sz w:val="24"/>
                <w:szCs w:val="24"/>
              </w:rPr>
            </w:pPr>
          </w:p>
        </w:tc>
        <w:tc>
          <w:tcPr>
            <w:tcW w:w="936" w:type="dxa"/>
            <w:gridSpan w:val="3"/>
            <w:noWrap w:val="0"/>
            <w:vAlign w:val="center"/>
          </w:tcPr>
          <w:p w14:paraId="09F7D6A2">
            <w:pPr>
              <w:jc w:val="center"/>
              <w:rPr>
                <w:rFonts w:hint="eastAsia" w:ascii="宋体" w:hAnsi="宋体" w:eastAsia="宋体" w:cs="宋体"/>
                <w:sz w:val="24"/>
                <w:szCs w:val="24"/>
              </w:rPr>
            </w:pPr>
          </w:p>
        </w:tc>
        <w:tc>
          <w:tcPr>
            <w:tcW w:w="2080" w:type="dxa"/>
            <w:gridSpan w:val="3"/>
            <w:noWrap w:val="0"/>
            <w:vAlign w:val="center"/>
          </w:tcPr>
          <w:p w14:paraId="1A7630F7">
            <w:pPr>
              <w:jc w:val="center"/>
              <w:rPr>
                <w:rFonts w:hint="eastAsia" w:ascii="宋体" w:hAnsi="宋体" w:eastAsia="宋体" w:cs="宋体"/>
                <w:sz w:val="24"/>
                <w:szCs w:val="24"/>
              </w:rPr>
            </w:pPr>
          </w:p>
        </w:tc>
      </w:tr>
      <w:tr w14:paraId="4DC24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587" w:type="dxa"/>
            <w:vMerge w:val="continue"/>
            <w:noWrap w:val="0"/>
            <w:vAlign w:val="center"/>
          </w:tcPr>
          <w:p w14:paraId="7DA879E8">
            <w:pPr>
              <w:jc w:val="center"/>
              <w:rPr>
                <w:rFonts w:hint="eastAsia" w:ascii="宋体" w:hAnsi="宋体" w:eastAsia="宋体" w:cs="宋体"/>
                <w:sz w:val="24"/>
                <w:szCs w:val="24"/>
              </w:rPr>
            </w:pPr>
          </w:p>
        </w:tc>
        <w:tc>
          <w:tcPr>
            <w:tcW w:w="2888" w:type="dxa"/>
            <w:gridSpan w:val="7"/>
            <w:noWrap w:val="0"/>
            <w:vAlign w:val="center"/>
          </w:tcPr>
          <w:p w14:paraId="460436F1">
            <w:pPr>
              <w:ind w:firstLine="355" w:firstLineChars="148"/>
              <w:jc w:val="center"/>
              <w:rPr>
                <w:rFonts w:hint="eastAsia" w:ascii="宋体" w:hAnsi="宋体" w:eastAsia="宋体" w:cs="宋体"/>
                <w:sz w:val="24"/>
                <w:szCs w:val="24"/>
              </w:rPr>
            </w:pPr>
          </w:p>
        </w:tc>
        <w:tc>
          <w:tcPr>
            <w:tcW w:w="710" w:type="dxa"/>
            <w:gridSpan w:val="3"/>
            <w:noWrap w:val="0"/>
            <w:vAlign w:val="center"/>
          </w:tcPr>
          <w:p w14:paraId="7DB29C88">
            <w:pPr>
              <w:ind w:firstLine="355" w:firstLineChars="148"/>
              <w:jc w:val="center"/>
              <w:rPr>
                <w:rFonts w:hint="eastAsia" w:ascii="宋体" w:hAnsi="宋体" w:eastAsia="宋体" w:cs="宋体"/>
                <w:sz w:val="24"/>
                <w:szCs w:val="24"/>
              </w:rPr>
            </w:pPr>
          </w:p>
        </w:tc>
        <w:tc>
          <w:tcPr>
            <w:tcW w:w="1060" w:type="dxa"/>
            <w:gridSpan w:val="2"/>
            <w:noWrap w:val="0"/>
            <w:vAlign w:val="center"/>
          </w:tcPr>
          <w:p w14:paraId="7A439F0B">
            <w:pPr>
              <w:jc w:val="center"/>
              <w:rPr>
                <w:rFonts w:hint="eastAsia" w:ascii="宋体" w:hAnsi="宋体" w:eastAsia="宋体" w:cs="宋体"/>
                <w:sz w:val="24"/>
                <w:szCs w:val="24"/>
              </w:rPr>
            </w:pPr>
          </w:p>
        </w:tc>
        <w:tc>
          <w:tcPr>
            <w:tcW w:w="584" w:type="dxa"/>
            <w:noWrap w:val="0"/>
            <w:vAlign w:val="center"/>
          </w:tcPr>
          <w:p w14:paraId="214060C0">
            <w:pPr>
              <w:jc w:val="center"/>
              <w:rPr>
                <w:rFonts w:hint="eastAsia" w:ascii="宋体" w:hAnsi="宋体" w:eastAsia="宋体" w:cs="宋体"/>
                <w:sz w:val="24"/>
                <w:szCs w:val="24"/>
              </w:rPr>
            </w:pPr>
          </w:p>
        </w:tc>
        <w:tc>
          <w:tcPr>
            <w:tcW w:w="936" w:type="dxa"/>
            <w:gridSpan w:val="2"/>
            <w:noWrap w:val="0"/>
            <w:vAlign w:val="center"/>
          </w:tcPr>
          <w:p w14:paraId="38EAF0D1">
            <w:pPr>
              <w:jc w:val="center"/>
              <w:rPr>
                <w:rFonts w:hint="eastAsia" w:ascii="宋体" w:hAnsi="宋体" w:eastAsia="宋体" w:cs="宋体"/>
                <w:sz w:val="24"/>
                <w:szCs w:val="24"/>
              </w:rPr>
            </w:pPr>
          </w:p>
        </w:tc>
        <w:tc>
          <w:tcPr>
            <w:tcW w:w="936" w:type="dxa"/>
            <w:gridSpan w:val="3"/>
            <w:noWrap w:val="0"/>
            <w:vAlign w:val="center"/>
          </w:tcPr>
          <w:p w14:paraId="3C27B1CA">
            <w:pPr>
              <w:jc w:val="center"/>
              <w:rPr>
                <w:rFonts w:hint="eastAsia" w:ascii="宋体" w:hAnsi="宋体" w:eastAsia="宋体" w:cs="宋体"/>
                <w:sz w:val="24"/>
                <w:szCs w:val="24"/>
              </w:rPr>
            </w:pPr>
          </w:p>
        </w:tc>
        <w:tc>
          <w:tcPr>
            <w:tcW w:w="2080" w:type="dxa"/>
            <w:gridSpan w:val="3"/>
            <w:noWrap w:val="0"/>
            <w:vAlign w:val="center"/>
          </w:tcPr>
          <w:p w14:paraId="2AEB94DA">
            <w:pPr>
              <w:jc w:val="center"/>
              <w:rPr>
                <w:rFonts w:hint="eastAsia" w:ascii="宋体" w:hAnsi="宋体" w:eastAsia="宋体" w:cs="宋体"/>
                <w:sz w:val="24"/>
                <w:szCs w:val="24"/>
              </w:rPr>
            </w:pPr>
          </w:p>
        </w:tc>
      </w:tr>
      <w:tr w14:paraId="35B79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587" w:type="dxa"/>
            <w:vMerge w:val="continue"/>
            <w:noWrap w:val="0"/>
            <w:vAlign w:val="center"/>
          </w:tcPr>
          <w:p w14:paraId="468D4F49">
            <w:pPr>
              <w:jc w:val="center"/>
              <w:rPr>
                <w:rFonts w:hint="eastAsia" w:ascii="宋体" w:hAnsi="宋体" w:eastAsia="宋体" w:cs="宋体"/>
                <w:sz w:val="24"/>
                <w:szCs w:val="24"/>
              </w:rPr>
            </w:pPr>
          </w:p>
        </w:tc>
        <w:tc>
          <w:tcPr>
            <w:tcW w:w="2888" w:type="dxa"/>
            <w:gridSpan w:val="7"/>
            <w:noWrap w:val="0"/>
            <w:vAlign w:val="center"/>
          </w:tcPr>
          <w:p w14:paraId="41802BE9">
            <w:pPr>
              <w:ind w:firstLine="355" w:firstLineChars="148"/>
              <w:jc w:val="center"/>
              <w:rPr>
                <w:rFonts w:hint="eastAsia" w:ascii="宋体" w:hAnsi="宋体" w:eastAsia="宋体" w:cs="宋体"/>
                <w:sz w:val="24"/>
                <w:szCs w:val="24"/>
              </w:rPr>
            </w:pPr>
          </w:p>
        </w:tc>
        <w:tc>
          <w:tcPr>
            <w:tcW w:w="710" w:type="dxa"/>
            <w:gridSpan w:val="3"/>
            <w:noWrap w:val="0"/>
            <w:vAlign w:val="center"/>
          </w:tcPr>
          <w:p w14:paraId="6904E57D">
            <w:pPr>
              <w:ind w:firstLine="355" w:firstLineChars="148"/>
              <w:jc w:val="center"/>
              <w:rPr>
                <w:rFonts w:hint="eastAsia" w:ascii="宋体" w:hAnsi="宋体" w:eastAsia="宋体" w:cs="宋体"/>
                <w:sz w:val="24"/>
                <w:szCs w:val="24"/>
              </w:rPr>
            </w:pPr>
          </w:p>
        </w:tc>
        <w:tc>
          <w:tcPr>
            <w:tcW w:w="1060" w:type="dxa"/>
            <w:gridSpan w:val="2"/>
            <w:noWrap w:val="0"/>
            <w:vAlign w:val="center"/>
          </w:tcPr>
          <w:p w14:paraId="2BE779FF">
            <w:pPr>
              <w:jc w:val="center"/>
              <w:rPr>
                <w:rFonts w:hint="eastAsia" w:ascii="宋体" w:hAnsi="宋体" w:eastAsia="宋体" w:cs="宋体"/>
                <w:sz w:val="24"/>
                <w:szCs w:val="24"/>
              </w:rPr>
            </w:pPr>
          </w:p>
        </w:tc>
        <w:tc>
          <w:tcPr>
            <w:tcW w:w="584" w:type="dxa"/>
            <w:noWrap w:val="0"/>
            <w:vAlign w:val="center"/>
          </w:tcPr>
          <w:p w14:paraId="70852D7F">
            <w:pPr>
              <w:jc w:val="center"/>
              <w:rPr>
                <w:rFonts w:hint="eastAsia" w:ascii="宋体" w:hAnsi="宋体" w:eastAsia="宋体" w:cs="宋体"/>
                <w:sz w:val="24"/>
                <w:szCs w:val="24"/>
              </w:rPr>
            </w:pPr>
          </w:p>
        </w:tc>
        <w:tc>
          <w:tcPr>
            <w:tcW w:w="936" w:type="dxa"/>
            <w:gridSpan w:val="2"/>
            <w:noWrap w:val="0"/>
            <w:vAlign w:val="center"/>
          </w:tcPr>
          <w:p w14:paraId="40A761D7">
            <w:pPr>
              <w:jc w:val="center"/>
              <w:rPr>
                <w:rFonts w:hint="eastAsia" w:ascii="宋体" w:hAnsi="宋体" w:eastAsia="宋体" w:cs="宋体"/>
                <w:sz w:val="24"/>
                <w:szCs w:val="24"/>
              </w:rPr>
            </w:pPr>
          </w:p>
        </w:tc>
        <w:tc>
          <w:tcPr>
            <w:tcW w:w="936" w:type="dxa"/>
            <w:gridSpan w:val="3"/>
            <w:noWrap w:val="0"/>
            <w:vAlign w:val="center"/>
          </w:tcPr>
          <w:p w14:paraId="7F943257">
            <w:pPr>
              <w:jc w:val="center"/>
              <w:rPr>
                <w:rFonts w:hint="eastAsia" w:ascii="宋体" w:hAnsi="宋体" w:eastAsia="宋体" w:cs="宋体"/>
                <w:sz w:val="24"/>
                <w:szCs w:val="24"/>
              </w:rPr>
            </w:pPr>
          </w:p>
        </w:tc>
        <w:tc>
          <w:tcPr>
            <w:tcW w:w="2080" w:type="dxa"/>
            <w:gridSpan w:val="3"/>
            <w:noWrap w:val="0"/>
            <w:vAlign w:val="center"/>
          </w:tcPr>
          <w:p w14:paraId="04EC2053">
            <w:pPr>
              <w:jc w:val="center"/>
              <w:rPr>
                <w:rFonts w:hint="eastAsia" w:ascii="宋体" w:hAnsi="宋体" w:eastAsia="宋体" w:cs="宋体"/>
                <w:sz w:val="24"/>
                <w:szCs w:val="24"/>
              </w:rPr>
            </w:pPr>
          </w:p>
        </w:tc>
      </w:tr>
      <w:tr w14:paraId="3C4A7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587" w:type="dxa"/>
            <w:vMerge w:val="continue"/>
            <w:noWrap w:val="0"/>
            <w:vAlign w:val="center"/>
          </w:tcPr>
          <w:p w14:paraId="5857F2A6">
            <w:pPr>
              <w:jc w:val="center"/>
              <w:rPr>
                <w:rFonts w:hint="eastAsia" w:ascii="宋体" w:hAnsi="宋体" w:eastAsia="宋体" w:cs="宋体"/>
                <w:sz w:val="24"/>
                <w:szCs w:val="24"/>
              </w:rPr>
            </w:pPr>
          </w:p>
        </w:tc>
        <w:tc>
          <w:tcPr>
            <w:tcW w:w="2888" w:type="dxa"/>
            <w:gridSpan w:val="7"/>
            <w:noWrap w:val="0"/>
            <w:vAlign w:val="center"/>
          </w:tcPr>
          <w:p w14:paraId="0D2C7AA7">
            <w:pPr>
              <w:jc w:val="center"/>
              <w:rPr>
                <w:rFonts w:hint="eastAsia" w:ascii="宋体" w:hAnsi="宋体" w:eastAsia="宋体" w:cs="宋体"/>
                <w:sz w:val="24"/>
                <w:szCs w:val="24"/>
              </w:rPr>
            </w:pPr>
          </w:p>
        </w:tc>
        <w:tc>
          <w:tcPr>
            <w:tcW w:w="710" w:type="dxa"/>
            <w:gridSpan w:val="3"/>
            <w:noWrap w:val="0"/>
            <w:vAlign w:val="center"/>
          </w:tcPr>
          <w:p w14:paraId="02EEAF54">
            <w:pPr>
              <w:jc w:val="center"/>
              <w:rPr>
                <w:rFonts w:hint="eastAsia" w:ascii="宋体" w:hAnsi="宋体" w:eastAsia="宋体" w:cs="宋体"/>
                <w:sz w:val="24"/>
                <w:szCs w:val="24"/>
              </w:rPr>
            </w:pPr>
          </w:p>
        </w:tc>
        <w:tc>
          <w:tcPr>
            <w:tcW w:w="1060" w:type="dxa"/>
            <w:gridSpan w:val="2"/>
            <w:noWrap w:val="0"/>
            <w:vAlign w:val="center"/>
          </w:tcPr>
          <w:p w14:paraId="5E59755C">
            <w:pPr>
              <w:jc w:val="center"/>
              <w:rPr>
                <w:rFonts w:hint="eastAsia" w:ascii="宋体" w:hAnsi="宋体" w:eastAsia="宋体" w:cs="宋体"/>
                <w:sz w:val="24"/>
                <w:szCs w:val="24"/>
              </w:rPr>
            </w:pPr>
          </w:p>
        </w:tc>
        <w:tc>
          <w:tcPr>
            <w:tcW w:w="584" w:type="dxa"/>
            <w:noWrap w:val="0"/>
            <w:vAlign w:val="center"/>
          </w:tcPr>
          <w:p w14:paraId="4961551C">
            <w:pPr>
              <w:jc w:val="center"/>
              <w:rPr>
                <w:rFonts w:hint="eastAsia" w:ascii="宋体" w:hAnsi="宋体" w:eastAsia="宋体" w:cs="宋体"/>
                <w:sz w:val="24"/>
                <w:szCs w:val="24"/>
              </w:rPr>
            </w:pPr>
          </w:p>
        </w:tc>
        <w:tc>
          <w:tcPr>
            <w:tcW w:w="936" w:type="dxa"/>
            <w:gridSpan w:val="2"/>
            <w:noWrap w:val="0"/>
            <w:vAlign w:val="center"/>
          </w:tcPr>
          <w:p w14:paraId="5231274A">
            <w:pPr>
              <w:jc w:val="center"/>
              <w:rPr>
                <w:rFonts w:hint="eastAsia" w:ascii="宋体" w:hAnsi="宋体" w:eastAsia="宋体" w:cs="宋体"/>
                <w:sz w:val="24"/>
                <w:szCs w:val="24"/>
              </w:rPr>
            </w:pPr>
          </w:p>
        </w:tc>
        <w:tc>
          <w:tcPr>
            <w:tcW w:w="936" w:type="dxa"/>
            <w:gridSpan w:val="3"/>
            <w:noWrap w:val="0"/>
            <w:vAlign w:val="center"/>
          </w:tcPr>
          <w:p w14:paraId="05D05DA2">
            <w:pPr>
              <w:jc w:val="center"/>
              <w:rPr>
                <w:rFonts w:hint="eastAsia" w:ascii="宋体" w:hAnsi="宋体" w:eastAsia="宋体" w:cs="宋体"/>
                <w:sz w:val="24"/>
                <w:szCs w:val="24"/>
              </w:rPr>
            </w:pPr>
          </w:p>
        </w:tc>
        <w:tc>
          <w:tcPr>
            <w:tcW w:w="2080" w:type="dxa"/>
            <w:gridSpan w:val="3"/>
            <w:noWrap w:val="0"/>
            <w:vAlign w:val="center"/>
          </w:tcPr>
          <w:p w14:paraId="690ACF20">
            <w:pPr>
              <w:jc w:val="center"/>
              <w:rPr>
                <w:rFonts w:hint="eastAsia" w:ascii="宋体" w:hAnsi="宋体" w:eastAsia="宋体" w:cs="宋体"/>
                <w:sz w:val="24"/>
                <w:szCs w:val="24"/>
              </w:rPr>
            </w:pPr>
          </w:p>
        </w:tc>
      </w:tr>
      <w:tr w14:paraId="52541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587" w:type="dxa"/>
            <w:vMerge w:val="continue"/>
            <w:noWrap w:val="0"/>
            <w:vAlign w:val="center"/>
          </w:tcPr>
          <w:p w14:paraId="3933CDDF">
            <w:pPr>
              <w:jc w:val="center"/>
              <w:rPr>
                <w:rFonts w:hint="eastAsia" w:ascii="宋体" w:hAnsi="宋体" w:eastAsia="宋体" w:cs="宋体"/>
                <w:sz w:val="24"/>
                <w:szCs w:val="24"/>
              </w:rPr>
            </w:pPr>
          </w:p>
        </w:tc>
        <w:tc>
          <w:tcPr>
            <w:tcW w:w="4658" w:type="dxa"/>
            <w:gridSpan w:val="12"/>
            <w:noWrap w:val="0"/>
            <w:vAlign w:val="center"/>
          </w:tcPr>
          <w:p w14:paraId="67435E12">
            <w:pPr>
              <w:jc w:val="center"/>
              <w:rPr>
                <w:rFonts w:hint="eastAsia" w:ascii="宋体" w:hAnsi="宋体" w:eastAsia="宋体" w:cs="宋体"/>
                <w:color w:val="FFFFFF"/>
                <w:sz w:val="24"/>
                <w:szCs w:val="24"/>
              </w:rPr>
            </w:pPr>
            <w:r>
              <w:rPr>
                <w:rFonts w:hint="eastAsia" w:ascii="宋体" w:hAnsi="宋体" w:eastAsia="宋体" w:cs="宋体"/>
                <w:sz w:val="24"/>
                <w:szCs w:val="24"/>
              </w:rPr>
              <w:t>其它材料费</w:t>
            </w:r>
          </w:p>
        </w:tc>
        <w:tc>
          <w:tcPr>
            <w:tcW w:w="584" w:type="dxa"/>
            <w:noWrap w:val="0"/>
            <w:vAlign w:val="center"/>
          </w:tcPr>
          <w:p w14:paraId="56A52379">
            <w:pPr>
              <w:jc w:val="center"/>
              <w:rPr>
                <w:rFonts w:hint="eastAsia" w:ascii="宋体" w:hAnsi="宋体" w:eastAsia="宋体" w:cs="宋体"/>
                <w:color w:val="FFFFFF"/>
                <w:sz w:val="24"/>
                <w:szCs w:val="24"/>
              </w:rPr>
            </w:pPr>
            <w:r>
              <w:rPr>
                <w:rFonts w:hint="eastAsia" w:ascii="宋体" w:hAnsi="宋体" w:eastAsia="宋体" w:cs="宋体"/>
                <w:sz w:val="24"/>
                <w:szCs w:val="24"/>
              </w:rPr>
              <w:t>—</w:t>
            </w:r>
          </w:p>
        </w:tc>
        <w:tc>
          <w:tcPr>
            <w:tcW w:w="936" w:type="dxa"/>
            <w:gridSpan w:val="2"/>
            <w:noWrap w:val="0"/>
            <w:vAlign w:val="center"/>
          </w:tcPr>
          <w:p w14:paraId="4DA52405">
            <w:pPr>
              <w:jc w:val="center"/>
              <w:rPr>
                <w:rFonts w:hint="eastAsia" w:ascii="宋体" w:hAnsi="宋体" w:eastAsia="宋体" w:cs="宋体"/>
                <w:sz w:val="24"/>
                <w:szCs w:val="24"/>
              </w:rPr>
            </w:pPr>
          </w:p>
        </w:tc>
        <w:tc>
          <w:tcPr>
            <w:tcW w:w="936" w:type="dxa"/>
            <w:gridSpan w:val="3"/>
            <w:noWrap w:val="0"/>
            <w:vAlign w:val="center"/>
          </w:tcPr>
          <w:p w14:paraId="4604E9A2">
            <w:pPr>
              <w:jc w:val="center"/>
              <w:rPr>
                <w:rFonts w:hint="eastAsia" w:ascii="宋体" w:hAnsi="宋体" w:eastAsia="宋体" w:cs="宋体"/>
                <w:color w:val="FFFFFF"/>
                <w:sz w:val="24"/>
                <w:szCs w:val="24"/>
              </w:rPr>
            </w:pPr>
            <w:r>
              <w:rPr>
                <w:rFonts w:hint="eastAsia" w:ascii="宋体" w:hAnsi="宋体" w:eastAsia="宋体" w:cs="宋体"/>
                <w:sz w:val="24"/>
                <w:szCs w:val="24"/>
              </w:rPr>
              <w:t>—</w:t>
            </w:r>
          </w:p>
        </w:tc>
        <w:tc>
          <w:tcPr>
            <w:tcW w:w="2080" w:type="dxa"/>
            <w:gridSpan w:val="3"/>
            <w:noWrap w:val="0"/>
            <w:vAlign w:val="center"/>
          </w:tcPr>
          <w:p w14:paraId="2C7B28A5">
            <w:pPr>
              <w:jc w:val="center"/>
              <w:rPr>
                <w:rFonts w:hint="eastAsia" w:ascii="宋体" w:hAnsi="宋体" w:eastAsia="宋体" w:cs="宋体"/>
                <w:sz w:val="24"/>
                <w:szCs w:val="24"/>
              </w:rPr>
            </w:pPr>
          </w:p>
        </w:tc>
      </w:tr>
      <w:tr w14:paraId="0F124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587" w:type="dxa"/>
            <w:vMerge w:val="continue"/>
            <w:noWrap w:val="0"/>
            <w:vAlign w:val="center"/>
          </w:tcPr>
          <w:p w14:paraId="34E3D49E">
            <w:pPr>
              <w:jc w:val="center"/>
              <w:rPr>
                <w:rFonts w:hint="eastAsia" w:ascii="宋体" w:hAnsi="宋体" w:eastAsia="宋体" w:cs="宋体"/>
                <w:sz w:val="24"/>
                <w:szCs w:val="24"/>
              </w:rPr>
            </w:pPr>
          </w:p>
        </w:tc>
        <w:tc>
          <w:tcPr>
            <w:tcW w:w="4658" w:type="dxa"/>
            <w:gridSpan w:val="12"/>
            <w:noWrap w:val="0"/>
            <w:vAlign w:val="center"/>
          </w:tcPr>
          <w:p w14:paraId="544F0722">
            <w:pPr>
              <w:jc w:val="center"/>
              <w:rPr>
                <w:rFonts w:hint="eastAsia" w:ascii="宋体" w:hAnsi="宋体" w:eastAsia="宋体" w:cs="宋体"/>
                <w:color w:val="FFFFFF"/>
                <w:sz w:val="24"/>
                <w:szCs w:val="24"/>
              </w:rPr>
            </w:pPr>
            <w:r>
              <w:rPr>
                <w:rFonts w:hint="eastAsia" w:ascii="宋体" w:hAnsi="宋体" w:eastAsia="宋体" w:cs="宋体"/>
                <w:sz w:val="24"/>
                <w:szCs w:val="24"/>
              </w:rPr>
              <w:t>材料费小计</w:t>
            </w:r>
          </w:p>
        </w:tc>
        <w:tc>
          <w:tcPr>
            <w:tcW w:w="584" w:type="dxa"/>
            <w:noWrap w:val="0"/>
            <w:vAlign w:val="center"/>
          </w:tcPr>
          <w:p w14:paraId="09B9556B">
            <w:pPr>
              <w:jc w:val="center"/>
              <w:rPr>
                <w:rFonts w:hint="eastAsia" w:ascii="宋体" w:hAnsi="宋体" w:eastAsia="宋体" w:cs="宋体"/>
                <w:color w:val="FFFFFF"/>
                <w:sz w:val="24"/>
                <w:szCs w:val="24"/>
              </w:rPr>
            </w:pPr>
            <w:r>
              <w:rPr>
                <w:rFonts w:hint="eastAsia" w:ascii="宋体" w:hAnsi="宋体" w:eastAsia="宋体" w:cs="宋体"/>
                <w:sz w:val="24"/>
                <w:szCs w:val="24"/>
              </w:rPr>
              <w:t>—</w:t>
            </w:r>
          </w:p>
        </w:tc>
        <w:tc>
          <w:tcPr>
            <w:tcW w:w="936" w:type="dxa"/>
            <w:gridSpan w:val="2"/>
            <w:noWrap w:val="0"/>
            <w:vAlign w:val="center"/>
          </w:tcPr>
          <w:p w14:paraId="1173A95B">
            <w:pPr>
              <w:jc w:val="center"/>
              <w:rPr>
                <w:rFonts w:hint="eastAsia" w:ascii="宋体" w:hAnsi="宋体" w:eastAsia="宋体" w:cs="宋体"/>
                <w:sz w:val="24"/>
                <w:szCs w:val="24"/>
              </w:rPr>
            </w:pPr>
          </w:p>
        </w:tc>
        <w:tc>
          <w:tcPr>
            <w:tcW w:w="936" w:type="dxa"/>
            <w:gridSpan w:val="3"/>
            <w:noWrap w:val="0"/>
            <w:vAlign w:val="center"/>
          </w:tcPr>
          <w:p w14:paraId="7DE4B653">
            <w:pPr>
              <w:jc w:val="center"/>
              <w:rPr>
                <w:rFonts w:hint="eastAsia" w:ascii="宋体" w:hAnsi="宋体" w:eastAsia="宋体" w:cs="宋体"/>
                <w:color w:val="FFFFFF"/>
                <w:sz w:val="24"/>
                <w:szCs w:val="24"/>
              </w:rPr>
            </w:pPr>
            <w:r>
              <w:rPr>
                <w:rFonts w:hint="eastAsia" w:ascii="宋体" w:hAnsi="宋体" w:eastAsia="宋体" w:cs="宋体"/>
                <w:sz w:val="24"/>
                <w:szCs w:val="24"/>
              </w:rPr>
              <w:t>—</w:t>
            </w:r>
          </w:p>
        </w:tc>
        <w:tc>
          <w:tcPr>
            <w:tcW w:w="2080" w:type="dxa"/>
            <w:gridSpan w:val="3"/>
            <w:noWrap w:val="0"/>
            <w:vAlign w:val="center"/>
          </w:tcPr>
          <w:p w14:paraId="4E320DF4">
            <w:pPr>
              <w:jc w:val="center"/>
              <w:rPr>
                <w:rFonts w:hint="eastAsia" w:ascii="宋体" w:hAnsi="宋体" w:eastAsia="宋体" w:cs="宋体"/>
                <w:sz w:val="24"/>
                <w:szCs w:val="24"/>
              </w:rPr>
            </w:pPr>
          </w:p>
        </w:tc>
      </w:tr>
    </w:tbl>
    <w:p w14:paraId="73846538">
      <w:pPr>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注：1.招标文件提供了暂估单价的材料，按暂估的单价填入表内“暂估单价”栏及“暂估合价”栏。</w:t>
      </w:r>
    </w:p>
    <w:p w14:paraId="616F2922">
      <w:pPr>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2. 材料费、机械使用费项下应列明主要材料（需同时包含辅材及主材等）、机械的名称、规格数量、单价。若项目不够，投标人可自行补充栏目。但计费程序必须清晰。</w:t>
      </w:r>
    </w:p>
    <w:p w14:paraId="7BE23769">
      <w:pPr>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3. 工作内容应按本项目单价包含的所有工作内容填写。</w:t>
      </w:r>
    </w:p>
    <w:p w14:paraId="69464185">
      <w:pPr>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4. 采用定额号，指本项目单价计量单位工作内容包含几个定额号的应在栏内列明。</w:t>
      </w:r>
    </w:p>
    <w:p w14:paraId="56BE008E">
      <w:pPr>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 xml:space="preserve">5. </w:t>
      </w:r>
      <w:bookmarkStart w:id="727" w:name="_Toc181150883"/>
      <w:r>
        <w:rPr>
          <w:rFonts w:hint="eastAsia" w:ascii="宋体" w:hAnsi="宋体" w:eastAsia="宋体" w:cs="宋体"/>
          <w:sz w:val="24"/>
          <w:szCs w:val="24"/>
        </w:rPr>
        <w:t>本表可根据不同预算软件的格式自行调整，但必须包含（但不限于）本表格的内容。</w:t>
      </w:r>
    </w:p>
    <w:p w14:paraId="28D9D851">
      <w:pPr>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5</w:t>
      </w:r>
      <w:bookmarkStart w:id="728" w:name="_Toc181150884"/>
      <w:bookmarkStart w:id="729" w:name="_Toc176919305"/>
      <w:bookmarkStart w:id="730" w:name="_Toc169406305"/>
      <w:bookmarkStart w:id="731" w:name="_Toc179968718"/>
      <w:bookmarkStart w:id="732" w:name="_Toc133813141"/>
      <w:bookmarkStart w:id="733" w:name="_Toc169406007"/>
      <w:bookmarkStart w:id="734" w:name="_Toc169406157"/>
      <w:bookmarkStart w:id="735" w:name="_Toc179968433"/>
      <w:r>
        <w:rPr>
          <w:rFonts w:hint="eastAsia" w:ascii="宋体" w:hAnsi="宋体" w:eastAsia="宋体" w:cs="宋体"/>
          <w:sz w:val="24"/>
          <w:szCs w:val="24"/>
        </w:rPr>
        <w:t>.2  以“项”为单位的项目报价计算表（附件二）</w:t>
      </w:r>
      <w:bookmarkEnd w:id="727"/>
      <w:bookmarkEnd w:id="728"/>
      <w:bookmarkEnd w:id="729"/>
      <w:bookmarkEnd w:id="730"/>
      <w:bookmarkEnd w:id="731"/>
      <w:bookmarkEnd w:id="732"/>
      <w:bookmarkEnd w:id="733"/>
      <w:bookmarkEnd w:id="734"/>
      <w:bookmarkEnd w:id="735"/>
    </w:p>
    <w:tbl>
      <w:tblPr>
        <w:tblStyle w:val="17"/>
        <w:tblW w:w="0" w:type="auto"/>
        <w:tblInd w:w="2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95"/>
        <w:gridCol w:w="2632"/>
        <w:gridCol w:w="1035"/>
        <w:gridCol w:w="1155"/>
        <w:gridCol w:w="1680"/>
        <w:gridCol w:w="1701"/>
      </w:tblGrid>
      <w:tr w14:paraId="52FCE3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295" w:type="dxa"/>
            <w:noWrap w:val="0"/>
            <w:vAlign w:val="top"/>
          </w:tcPr>
          <w:p w14:paraId="11A2D74F">
            <w:pPr>
              <w:jc w:val="center"/>
              <w:rPr>
                <w:rFonts w:hint="eastAsia" w:ascii="宋体" w:hAnsi="宋体" w:eastAsia="宋体" w:cs="宋体"/>
                <w:sz w:val="24"/>
                <w:szCs w:val="24"/>
              </w:rPr>
            </w:pPr>
            <w:r>
              <w:rPr>
                <w:rFonts w:hint="eastAsia" w:ascii="宋体" w:hAnsi="宋体" w:eastAsia="宋体" w:cs="宋体"/>
                <w:sz w:val="24"/>
                <w:szCs w:val="24"/>
              </w:rPr>
              <w:t>序号</w:t>
            </w:r>
          </w:p>
        </w:tc>
        <w:tc>
          <w:tcPr>
            <w:tcW w:w="2632" w:type="dxa"/>
            <w:noWrap w:val="0"/>
            <w:vAlign w:val="top"/>
          </w:tcPr>
          <w:p w14:paraId="27882576">
            <w:pPr>
              <w:jc w:val="center"/>
              <w:rPr>
                <w:rFonts w:hint="eastAsia" w:ascii="宋体" w:hAnsi="宋体" w:eastAsia="宋体" w:cs="宋体"/>
                <w:sz w:val="24"/>
                <w:szCs w:val="24"/>
              </w:rPr>
            </w:pPr>
            <w:r>
              <w:rPr>
                <w:rFonts w:hint="eastAsia" w:ascii="宋体" w:hAnsi="宋体" w:eastAsia="宋体" w:cs="宋体"/>
                <w:sz w:val="24"/>
                <w:szCs w:val="24"/>
              </w:rPr>
              <w:t>工程项目或费用名称</w:t>
            </w:r>
          </w:p>
        </w:tc>
        <w:tc>
          <w:tcPr>
            <w:tcW w:w="1035" w:type="dxa"/>
            <w:noWrap w:val="0"/>
            <w:vAlign w:val="top"/>
          </w:tcPr>
          <w:p w14:paraId="358337CC">
            <w:pPr>
              <w:jc w:val="center"/>
              <w:rPr>
                <w:rFonts w:hint="eastAsia" w:ascii="宋体" w:hAnsi="宋体" w:eastAsia="宋体" w:cs="宋体"/>
                <w:sz w:val="24"/>
                <w:szCs w:val="24"/>
              </w:rPr>
            </w:pPr>
            <w:r>
              <w:rPr>
                <w:rFonts w:hint="eastAsia" w:ascii="宋体" w:hAnsi="宋体" w:eastAsia="宋体" w:cs="宋体"/>
                <w:sz w:val="24"/>
                <w:szCs w:val="24"/>
              </w:rPr>
              <w:t>单  位</w:t>
            </w:r>
          </w:p>
        </w:tc>
        <w:tc>
          <w:tcPr>
            <w:tcW w:w="1155" w:type="dxa"/>
            <w:noWrap w:val="0"/>
            <w:vAlign w:val="top"/>
          </w:tcPr>
          <w:p w14:paraId="23F76A8E">
            <w:pPr>
              <w:jc w:val="center"/>
              <w:rPr>
                <w:rFonts w:hint="eastAsia" w:ascii="宋体" w:hAnsi="宋体" w:eastAsia="宋体" w:cs="宋体"/>
                <w:sz w:val="24"/>
                <w:szCs w:val="24"/>
              </w:rPr>
            </w:pPr>
            <w:r>
              <w:rPr>
                <w:rFonts w:hint="eastAsia" w:ascii="宋体" w:hAnsi="宋体" w:eastAsia="宋体" w:cs="宋体"/>
                <w:sz w:val="24"/>
                <w:szCs w:val="24"/>
              </w:rPr>
              <w:t>数  量</w:t>
            </w:r>
          </w:p>
        </w:tc>
        <w:tc>
          <w:tcPr>
            <w:tcW w:w="1680" w:type="dxa"/>
            <w:noWrap w:val="0"/>
            <w:vAlign w:val="top"/>
          </w:tcPr>
          <w:p w14:paraId="1D491213">
            <w:pPr>
              <w:jc w:val="center"/>
              <w:rPr>
                <w:rFonts w:hint="eastAsia" w:ascii="宋体" w:hAnsi="宋体" w:eastAsia="宋体" w:cs="宋体"/>
                <w:sz w:val="24"/>
                <w:szCs w:val="24"/>
              </w:rPr>
            </w:pPr>
            <w:r>
              <w:rPr>
                <w:rFonts w:hint="eastAsia" w:ascii="宋体" w:hAnsi="宋体" w:eastAsia="宋体" w:cs="宋体"/>
                <w:sz w:val="24"/>
                <w:szCs w:val="24"/>
              </w:rPr>
              <w:t>单价（元）</w:t>
            </w:r>
          </w:p>
        </w:tc>
        <w:tc>
          <w:tcPr>
            <w:tcW w:w="1701" w:type="dxa"/>
            <w:noWrap w:val="0"/>
            <w:vAlign w:val="top"/>
          </w:tcPr>
          <w:p w14:paraId="15879542">
            <w:pPr>
              <w:jc w:val="center"/>
              <w:rPr>
                <w:rFonts w:hint="eastAsia" w:ascii="宋体" w:hAnsi="宋体" w:eastAsia="宋体" w:cs="宋体"/>
                <w:sz w:val="24"/>
                <w:szCs w:val="24"/>
              </w:rPr>
            </w:pPr>
            <w:r>
              <w:rPr>
                <w:rFonts w:hint="eastAsia" w:ascii="宋体" w:hAnsi="宋体" w:eastAsia="宋体" w:cs="宋体"/>
                <w:sz w:val="24"/>
                <w:szCs w:val="24"/>
              </w:rPr>
              <w:t>合价（元）</w:t>
            </w:r>
          </w:p>
        </w:tc>
      </w:tr>
      <w:tr w14:paraId="5F7E4C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9" w:hRule="atLeast"/>
        </w:trPr>
        <w:tc>
          <w:tcPr>
            <w:tcW w:w="1295" w:type="dxa"/>
            <w:noWrap w:val="0"/>
            <w:vAlign w:val="top"/>
          </w:tcPr>
          <w:p w14:paraId="4688B3D6">
            <w:pPr>
              <w:rPr>
                <w:rFonts w:hint="eastAsia" w:ascii="宋体" w:hAnsi="宋体" w:eastAsia="宋体" w:cs="宋体"/>
                <w:b/>
                <w:bCs/>
                <w:sz w:val="24"/>
                <w:szCs w:val="24"/>
              </w:rPr>
            </w:pPr>
          </w:p>
        </w:tc>
        <w:tc>
          <w:tcPr>
            <w:tcW w:w="2632" w:type="dxa"/>
            <w:noWrap w:val="0"/>
            <w:vAlign w:val="top"/>
          </w:tcPr>
          <w:p w14:paraId="0E8B708A">
            <w:pPr>
              <w:rPr>
                <w:rFonts w:hint="eastAsia" w:ascii="宋体" w:hAnsi="宋体" w:eastAsia="宋体" w:cs="宋体"/>
                <w:b/>
                <w:bCs/>
                <w:sz w:val="24"/>
                <w:szCs w:val="24"/>
              </w:rPr>
            </w:pPr>
          </w:p>
        </w:tc>
        <w:tc>
          <w:tcPr>
            <w:tcW w:w="1035" w:type="dxa"/>
            <w:noWrap w:val="0"/>
            <w:vAlign w:val="top"/>
          </w:tcPr>
          <w:p w14:paraId="1799A095">
            <w:pPr>
              <w:rPr>
                <w:rFonts w:hint="eastAsia" w:ascii="宋体" w:hAnsi="宋体" w:eastAsia="宋体" w:cs="宋体"/>
                <w:b/>
                <w:bCs/>
                <w:sz w:val="24"/>
                <w:szCs w:val="24"/>
              </w:rPr>
            </w:pPr>
          </w:p>
        </w:tc>
        <w:tc>
          <w:tcPr>
            <w:tcW w:w="1155" w:type="dxa"/>
            <w:noWrap w:val="0"/>
            <w:vAlign w:val="top"/>
          </w:tcPr>
          <w:p w14:paraId="715D04B6">
            <w:pPr>
              <w:rPr>
                <w:rFonts w:hint="eastAsia" w:ascii="宋体" w:hAnsi="宋体" w:eastAsia="宋体" w:cs="宋体"/>
                <w:b/>
                <w:bCs/>
                <w:sz w:val="24"/>
                <w:szCs w:val="24"/>
              </w:rPr>
            </w:pPr>
          </w:p>
        </w:tc>
        <w:tc>
          <w:tcPr>
            <w:tcW w:w="1680" w:type="dxa"/>
            <w:noWrap w:val="0"/>
            <w:vAlign w:val="top"/>
          </w:tcPr>
          <w:p w14:paraId="12E23A13">
            <w:pPr>
              <w:rPr>
                <w:rFonts w:hint="eastAsia" w:ascii="宋体" w:hAnsi="宋体" w:eastAsia="宋体" w:cs="宋体"/>
                <w:b/>
                <w:bCs/>
                <w:sz w:val="24"/>
                <w:szCs w:val="24"/>
              </w:rPr>
            </w:pPr>
          </w:p>
        </w:tc>
        <w:tc>
          <w:tcPr>
            <w:tcW w:w="1701" w:type="dxa"/>
            <w:noWrap w:val="0"/>
            <w:vAlign w:val="top"/>
          </w:tcPr>
          <w:p w14:paraId="599B6C35">
            <w:pPr>
              <w:rPr>
                <w:rFonts w:hint="eastAsia" w:ascii="宋体" w:hAnsi="宋体" w:eastAsia="宋体" w:cs="宋体"/>
                <w:b/>
                <w:bCs/>
                <w:sz w:val="24"/>
                <w:szCs w:val="24"/>
              </w:rPr>
            </w:pPr>
          </w:p>
        </w:tc>
      </w:tr>
      <w:tr w14:paraId="757F6E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1" w:hRule="atLeast"/>
        </w:trPr>
        <w:tc>
          <w:tcPr>
            <w:tcW w:w="1295" w:type="dxa"/>
            <w:noWrap w:val="0"/>
            <w:vAlign w:val="top"/>
          </w:tcPr>
          <w:p w14:paraId="39FD0A8E">
            <w:pPr>
              <w:rPr>
                <w:rFonts w:hint="eastAsia" w:ascii="宋体" w:hAnsi="宋体" w:eastAsia="宋体" w:cs="宋体"/>
                <w:b/>
                <w:bCs/>
                <w:sz w:val="24"/>
                <w:szCs w:val="24"/>
              </w:rPr>
            </w:pPr>
          </w:p>
        </w:tc>
        <w:tc>
          <w:tcPr>
            <w:tcW w:w="2632" w:type="dxa"/>
            <w:noWrap w:val="0"/>
            <w:vAlign w:val="top"/>
          </w:tcPr>
          <w:p w14:paraId="625916EA">
            <w:pPr>
              <w:rPr>
                <w:rFonts w:hint="eastAsia" w:ascii="宋体" w:hAnsi="宋体" w:eastAsia="宋体" w:cs="宋体"/>
                <w:b/>
                <w:bCs/>
                <w:sz w:val="24"/>
                <w:szCs w:val="24"/>
              </w:rPr>
            </w:pPr>
          </w:p>
        </w:tc>
        <w:tc>
          <w:tcPr>
            <w:tcW w:w="1035" w:type="dxa"/>
            <w:noWrap w:val="0"/>
            <w:vAlign w:val="top"/>
          </w:tcPr>
          <w:p w14:paraId="72A2947F">
            <w:pPr>
              <w:rPr>
                <w:rFonts w:hint="eastAsia" w:ascii="宋体" w:hAnsi="宋体" w:eastAsia="宋体" w:cs="宋体"/>
                <w:b/>
                <w:bCs/>
                <w:sz w:val="24"/>
                <w:szCs w:val="24"/>
              </w:rPr>
            </w:pPr>
          </w:p>
        </w:tc>
        <w:tc>
          <w:tcPr>
            <w:tcW w:w="1155" w:type="dxa"/>
            <w:noWrap w:val="0"/>
            <w:vAlign w:val="top"/>
          </w:tcPr>
          <w:p w14:paraId="1F01EACA">
            <w:pPr>
              <w:rPr>
                <w:rFonts w:hint="eastAsia" w:ascii="宋体" w:hAnsi="宋体" w:eastAsia="宋体" w:cs="宋体"/>
                <w:b/>
                <w:bCs/>
                <w:sz w:val="24"/>
                <w:szCs w:val="24"/>
              </w:rPr>
            </w:pPr>
          </w:p>
        </w:tc>
        <w:tc>
          <w:tcPr>
            <w:tcW w:w="1680" w:type="dxa"/>
            <w:noWrap w:val="0"/>
            <w:vAlign w:val="top"/>
          </w:tcPr>
          <w:p w14:paraId="681F17F6">
            <w:pPr>
              <w:rPr>
                <w:rFonts w:hint="eastAsia" w:ascii="宋体" w:hAnsi="宋体" w:eastAsia="宋体" w:cs="宋体"/>
                <w:b/>
                <w:bCs/>
                <w:sz w:val="24"/>
                <w:szCs w:val="24"/>
              </w:rPr>
            </w:pPr>
          </w:p>
        </w:tc>
        <w:tc>
          <w:tcPr>
            <w:tcW w:w="1701" w:type="dxa"/>
            <w:noWrap w:val="0"/>
            <w:vAlign w:val="top"/>
          </w:tcPr>
          <w:p w14:paraId="6C5FD545">
            <w:pPr>
              <w:rPr>
                <w:rFonts w:hint="eastAsia" w:ascii="宋体" w:hAnsi="宋体" w:eastAsia="宋体" w:cs="宋体"/>
                <w:b/>
                <w:bCs/>
                <w:sz w:val="24"/>
                <w:szCs w:val="24"/>
              </w:rPr>
            </w:pPr>
          </w:p>
        </w:tc>
      </w:tr>
      <w:tr w14:paraId="614DB9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295" w:type="dxa"/>
            <w:noWrap w:val="0"/>
            <w:vAlign w:val="top"/>
          </w:tcPr>
          <w:p w14:paraId="3C99FD51">
            <w:pPr>
              <w:rPr>
                <w:rFonts w:hint="eastAsia" w:ascii="宋体" w:hAnsi="宋体" w:eastAsia="宋体" w:cs="宋体"/>
                <w:b/>
                <w:bCs/>
                <w:sz w:val="24"/>
                <w:szCs w:val="24"/>
              </w:rPr>
            </w:pPr>
          </w:p>
        </w:tc>
        <w:tc>
          <w:tcPr>
            <w:tcW w:w="2632" w:type="dxa"/>
            <w:noWrap w:val="0"/>
            <w:vAlign w:val="top"/>
          </w:tcPr>
          <w:p w14:paraId="5F3369AE">
            <w:pPr>
              <w:rPr>
                <w:rFonts w:hint="eastAsia" w:ascii="宋体" w:hAnsi="宋体" w:eastAsia="宋体" w:cs="宋体"/>
                <w:b/>
                <w:bCs/>
                <w:sz w:val="24"/>
                <w:szCs w:val="24"/>
              </w:rPr>
            </w:pPr>
          </w:p>
        </w:tc>
        <w:tc>
          <w:tcPr>
            <w:tcW w:w="1035" w:type="dxa"/>
            <w:noWrap w:val="0"/>
            <w:vAlign w:val="top"/>
          </w:tcPr>
          <w:p w14:paraId="112A2F21">
            <w:pPr>
              <w:rPr>
                <w:rFonts w:hint="eastAsia" w:ascii="宋体" w:hAnsi="宋体" w:eastAsia="宋体" w:cs="宋体"/>
                <w:b/>
                <w:bCs/>
                <w:sz w:val="24"/>
                <w:szCs w:val="24"/>
              </w:rPr>
            </w:pPr>
          </w:p>
        </w:tc>
        <w:tc>
          <w:tcPr>
            <w:tcW w:w="1155" w:type="dxa"/>
            <w:noWrap w:val="0"/>
            <w:vAlign w:val="top"/>
          </w:tcPr>
          <w:p w14:paraId="3B6D1983">
            <w:pPr>
              <w:rPr>
                <w:rFonts w:hint="eastAsia" w:ascii="宋体" w:hAnsi="宋体" w:eastAsia="宋体" w:cs="宋体"/>
                <w:b/>
                <w:bCs/>
                <w:sz w:val="24"/>
                <w:szCs w:val="24"/>
              </w:rPr>
            </w:pPr>
          </w:p>
        </w:tc>
        <w:tc>
          <w:tcPr>
            <w:tcW w:w="1680" w:type="dxa"/>
            <w:noWrap w:val="0"/>
            <w:vAlign w:val="top"/>
          </w:tcPr>
          <w:p w14:paraId="6E7943BE">
            <w:pPr>
              <w:rPr>
                <w:rFonts w:hint="eastAsia" w:ascii="宋体" w:hAnsi="宋体" w:eastAsia="宋体" w:cs="宋体"/>
                <w:b/>
                <w:bCs/>
                <w:sz w:val="24"/>
                <w:szCs w:val="24"/>
              </w:rPr>
            </w:pPr>
          </w:p>
        </w:tc>
        <w:tc>
          <w:tcPr>
            <w:tcW w:w="1701" w:type="dxa"/>
            <w:noWrap w:val="0"/>
            <w:vAlign w:val="top"/>
          </w:tcPr>
          <w:p w14:paraId="703B7B76">
            <w:pPr>
              <w:rPr>
                <w:rFonts w:hint="eastAsia" w:ascii="宋体" w:hAnsi="宋体" w:eastAsia="宋体" w:cs="宋体"/>
                <w:b/>
                <w:bCs/>
                <w:sz w:val="24"/>
                <w:szCs w:val="24"/>
              </w:rPr>
            </w:pPr>
          </w:p>
        </w:tc>
      </w:tr>
      <w:tr w14:paraId="052A4F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295" w:type="dxa"/>
            <w:noWrap w:val="0"/>
            <w:vAlign w:val="top"/>
          </w:tcPr>
          <w:p w14:paraId="711D1353">
            <w:pPr>
              <w:rPr>
                <w:rFonts w:hint="eastAsia" w:ascii="宋体" w:hAnsi="宋体" w:eastAsia="宋体" w:cs="宋体"/>
                <w:b/>
                <w:bCs/>
                <w:sz w:val="24"/>
                <w:szCs w:val="24"/>
              </w:rPr>
            </w:pPr>
          </w:p>
        </w:tc>
        <w:tc>
          <w:tcPr>
            <w:tcW w:w="2632" w:type="dxa"/>
            <w:noWrap w:val="0"/>
            <w:vAlign w:val="top"/>
          </w:tcPr>
          <w:p w14:paraId="3E7B8566">
            <w:pPr>
              <w:rPr>
                <w:rFonts w:hint="eastAsia" w:ascii="宋体" w:hAnsi="宋体" w:eastAsia="宋体" w:cs="宋体"/>
                <w:b/>
                <w:bCs/>
                <w:sz w:val="24"/>
                <w:szCs w:val="24"/>
              </w:rPr>
            </w:pPr>
          </w:p>
        </w:tc>
        <w:tc>
          <w:tcPr>
            <w:tcW w:w="1035" w:type="dxa"/>
            <w:noWrap w:val="0"/>
            <w:vAlign w:val="top"/>
          </w:tcPr>
          <w:p w14:paraId="5FE55A77">
            <w:pPr>
              <w:rPr>
                <w:rFonts w:hint="eastAsia" w:ascii="宋体" w:hAnsi="宋体" w:eastAsia="宋体" w:cs="宋体"/>
                <w:b/>
                <w:bCs/>
                <w:sz w:val="24"/>
                <w:szCs w:val="24"/>
              </w:rPr>
            </w:pPr>
          </w:p>
        </w:tc>
        <w:tc>
          <w:tcPr>
            <w:tcW w:w="1155" w:type="dxa"/>
            <w:noWrap w:val="0"/>
            <w:vAlign w:val="top"/>
          </w:tcPr>
          <w:p w14:paraId="1BCCD3D5">
            <w:pPr>
              <w:rPr>
                <w:rFonts w:hint="eastAsia" w:ascii="宋体" w:hAnsi="宋体" w:eastAsia="宋体" w:cs="宋体"/>
                <w:b/>
                <w:bCs/>
                <w:sz w:val="24"/>
                <w:szCs w:val="24"/>
              </w:rPr>
            </w:pPr>
          </w:p>
        </w:tc>
        <w:tc>
          <w:tcPr>
            <w:tcW w:w="1680" w:type="dxa"/>
            <w:noWrap w:val="0"/>
            <w:vAlign w:val="top"/>
          </w:tcPr>
          <w:p w14:paraId="03C48949">
            <w:pPr>
              <w:rPr>
                <w:rFonts w:hint="eastAsia" w:ascii="宋体" w:hAnsi="宋体" w:eastAsia="宋体" w:cs="宋体"/>
                <w:b/>
                <w:bCs/>
                <w:sz w:val="24"/>
                <w:szCs w:val="24"/>
              </w:rPr>
            </w:pPr>
          </w:p>
        </w:tc>
        <w:tc>
          <w:tcPr>
            <w:tcW w:w="1701" w:type="dxa"/>
            <w:noWrap w:val="0"/>
            <w:vAlign w:val="top"/>
          </w:tcPr>
          <w:p w14:paraId="5B54C46C">
            <w:pPr>
              <w:rPr>
                <w:rFonts w:hint="eastAsia" w:ascii="宋体" w:hAnsi="宋体" w:eastAsia="宋体" w:cs="宋体"/>
                <w:b/>
                <w:bCs/>
                <w:sz w:val="24"/>
                <w:szCs w:val="24"/>
              </w:rPr>
            </w:pPr>
          </w:p>
        </w:tc>
      </w:tr>
      <w:tr w14:paraId="23A9B2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295" w:type="dxa"/>
            <w:noWrap w:val="0"/>
            <w:vAlign w:val="top"/>
          </w:tcPr>
          <w:p w14:paraId="561D46C3">
            <w:pPr>
              <w:rPr>
                <w:rFonts w:hint="eastAsia" w:ascii="宋体" w:hAnsi="宋体" w:eastAsia="宋体" w:cs="宋体"/>
                <w:b/>
                <w:bCs/>
                <w:sz w:val="24"/>
                <w:szCs w:val="24"/>
              </w:rPr>
            </w:pPr>
          </w:p>
        </w:tc>
        <w:tc>
          <w:tcPr>
            <w:tcW w:w="2632" w:type="dxa"/>
            <w:noWrap w:val="0"/>
            <w:vAlign w:val="top"/>
          </w:tcPr>
          <w:p w14:paraId="6BF2B5BB">
            <w:pPr>
              <w:rPr>
                <w:rFonts w:hint="eastAsia" w:ascii="宋体" w:hAnsi="宋体" w:eastAsia="宋体" w:cs="宋体"/>
                <w:b/>
                <w:bCs/>
                <w:sz w:val="24"/>
                <w:szCs w:val="24"/>
              </w:rPr>
            </w:pPr>
          </w:p>
        </w:tc>
        <w:tc>
          <w:tcPr>
            <w:tcW w:w="1035" w:type="dxa"/>
            <w:noWrap w:val="0"/>
            <w:vAlign w:val="top"/>
          </w:tcPr>
          <w:p w14:paraId="63FE041F">
            <w:pPr>
              <w:rPr>
                <w:rFonts w:hint="eastAsia" w:ascii="宋体" w:hAnsi="宋体" w:eastAsia="宋体" w:cs="宋体"/>
                <w:b/>
                <w:bCs/>
                <w:sz w:val="24"/>
                <w:szCs w:val="24"/>
              </w:rPr>
            </w:pPr>
          </w:p>
        </w:tc>
        <w:tc>
          <w:tcPr>
            <w:tcW w:w="1155" w:type="dxa"/>
            <w:noWrap w:val="0"/>
            <w:vAlign w:val="top"/>
          </w:tcPr>
          <w:p w14:paraId="683CD2AB">
            <w:pPr>
              <w:rPr>
                <w:rFonts w:hint="eastAsia" w:ascii="宋体" w:hAnsi="宋体" w:eastAsia="宋体" w:cs="宋体"/>
                <w:b/>
                <w:bCs/>
                <w:sz w:val="24"/>
                <w:szCs w:val="24"/>
              </w:rPr>
            </w:pPr>
          </w:p>
        </w:tc>
        <w:tc>
          <w:tcPr>
            <w:tcW w:w="1680" w:type="dxa"/>
            <w:noWrap w:val="0"/>
            <w:vAlign w:val="top"/>
          </w:tcPr>
          <w:p w14:paraId="7FEAED32">
            <w:pPr>
              <w:rPr>
                <w:rFonts w:hint="eastAsia" w:ascii="宋体" w:hAnsi="宋体" w:eastAsia="宋体" w:cs="宋体"/>
                <w:b/>
                <w:bCs/>
                <w:sz w:val="24"/>
                <w:szCs w:val="24"/>
              </w:rPr>
            </w:pPr>
          </w:p>
        </w:tc>
        <w:tc>
          <w:tcPr>
            <w:tcW w:w="1701" w:type="dxa"/>
            <w:noWrap w:val="0"/>
            <w:vAlign w:val="top"/>
          </w:tcPr>
          <w:p w14:paraId="37A459AA">
            <w:pPr>
              <w:rPr>
                <w:rFonts w:hint="eastAsia" w:ascii="宋体" w:hAnsi="宋体" w:eastAsia="宋体" w:cs="宋体"/>
                <w:b/>
                <w:bCs/>
                <w:sz w:val="24"/>
                <w:szCs w:val="24"/>
              </w:rPr>
            </w:pPr>
          </w:p>
        </w:tc>
      </w:tr>
      <w:tr w14:paraId="2121E3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295" w:type="dxa"/>
            <w:noWrap w:val="0"/>
            <w:vAlign w:val="top"/>
          </w:tcPr>
          <w:p w14:paraId="233FE469">
            <w:pPr>
              <w:rPr>
                <w:rFonts w:hint="eastAsia" w:ascii="宋体" w:hAnsi="宋体" w:eastAsia="宋体" w:cs="宋体"/>
                <w:b/>
                <w:bCs/>
                <w:sz w:val="24"/>
                <w:szCs w:val="24"/>
              </w:rPr>
            </w:pPr>
          </w:p>
        </w:tc>
        <w:tc>
          <w:tcPr>
            <w:tcW w:w="2632" w:type="dxa"/>
            <w:noWrap w:val="0"/>
            <w:vAlign w:val="top"/>
          </w:tcPr>
          <w:p w14:paraId="4B477DDE">
            <w:pPr>
              <w:rPr>
                <w:rFonts w:hint="eastAsia" w:ascii="宋体" w:hAnsi="宋体" w:eastAsia="宋体" w:cs="宋体"/>
                <w:b/>
                <w:bCs/>
                <w:sz w:val="24"/>
                <w:szCs w:val="24"/>
              </w:rPr>
            </w:pPr>
          </w:p>
        </w:tc>
        <w:tc>
          <w:tcPr>
            <w:tcW w:w="1035" w:type="dxa"/>
            <w:noWrap w:val="0"/>
            <w:vAlign w:val="top"/>
          </w:tcPr>
          <w:p w14:paraId="31E261F4">
            <w:pPr>
              <w:rPr>
                <w:rFonts w:hint="eastAsia" w:ascii="宋体" w:hAnsi="宋体" w:eastAsia="宋体" w:cs="宋体"/>
                <w:b/>
                <w:bCs/>
                <w:sz w:val="24"/>
                <w:szCs w:val="24"/>
              </w:rPr>
            </w:pPr>
          </w:p>
        </w:tc>
        <w:tc>
          <w:tcPr>
            <w:tcW w:w="1155" w:type="dxa"/>
            <w:noWrap w:val="0"/>
            <w:vAlign w:val="top"/>
          </w:tcPr>
          <w:p w14:paraId="061785FF">
            <w:pPr>
              <w:rPr>
                <w:rFonts w:hint="eastAsia" w:ascii="宋体" w:hAnsi="宋体" w:eastAsia="宋体" w:cs="宋体"/>
                <w:b/>
                <w:bCs/>
                <w:sz w:val="24"/>
                <w:szCs w:val="24"/>
              </w:rPr>
            </w:pPr>
          </w:p>
        </w:tc>
        <w:tc>
          <w:tcPr>
            <w:tcW w:w="1680" w:type="dxa"/>
            <w:noWrap w:val="0"/>
            <w:vAlign w:val="top"/>
          </w:tcPr>
          <w:p w14:paraId="3E30999C">
            <w:pPr>
              <w:rPr>
                <w:rFonts w:hint="eastAsia" w:ascii="宋体" w:hAnsi="宋体" w:eastAsia="宋体" w:cs="宋体"/>
                <w:b/>
                <w:bCs/>
                <w:sz w:val="24"/>
                <w:szCs w:val="24"/>
              </w:rPr>
            </w:pPr>
          </w:p>
        </w:tc>
        <w:tc>
          <w:tcPr>
            <w:tcW w:w="1701" w:type="dxa"/>
            <w:noWrap w:val="0"/>
            <w:vAlign w:val="top"/>
          </w:tcPr>
          <w:p w14:paraId="619AABBC">
            <w:pPr>
              <w:rPr>
                <w:rFonts w:hint="eastAsia" w:ascii="宋体" w:hAnsi="宋体" w:eastAsia="宋体" w:cs="宋体"/>
                <w:b/>
                <w:bCs/>
                <w:sz w:val="24"/>
                <w:szCs w:val="24"/>
              </w:rPr>
            </w:pPr>
          </w:p>
        </w:tc>
      </w:tr>
      <w:tr w14:paraId="0B6F8B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295" w:type="dxa"/>
            <w:noWrap w:val="0"/>
            <w:vAlign w:val="top"/>
          </w:tcPr>
          <w:p w14:paraId="2DBA3DB2">
            <w:pPr>
              <w:rPr>
                <w:rFonts w:hint="eastAsia" w:ascii="宋体" w:hAnsi="宋体" w:eastAsia="宋体" w:cs="宋体"/>
                <w:b/>
                <w:bCs/>
                <w:sz w:val="24"/>
                <w:szCs w:val="24"/>
              </w:rPr>
            </w:pPr>
          </w:p>
        </w:tc>
        <w:tc>
          <w:tcPr>
            <w:tcW w:w="2632" w:type="dxa"/>
            <w:noWrap w:val="0"/>
            <w:vAlign w:val="top"/>
          </w:tcPr>
          <w:p w14:paraId="37699127">
            <w:pPr>
              <w:rPr>
                <w:rFonts w:hint="eastAsia" w:ascii="宋体" w:hAnsi="宋体" w:eastAsia="宋体" w:cs="宋体"/>
                <w:b/>
                <w:bCs/>
                <w:sz w:val="24"/>
                <w:szCs w:val="24"/>
              </w:rPr>
            </w:pPr>
          </w:p>
        </w:tc>
        <w:tc>
          <w:tcPr>
            <w:tcW w:w="1035" w:type="dxa"/>
            <w:noWrap w:val="0"/>
            <w:vAlign w:val="top"/>
          </w:tcPr>
          <w:p w14:paraId="158D0013">
            <w:pPr>
              <w:rPr>
                <w:rFonts w:hint="eastAsia" w:ascii="宋体" w:hAnsi="宋体" w:eastAsia="宋体" w:cs="宋体"/>
                <w:b/>
                <w:bCs/>
                <w:sz w:val="24"/>
                <w:szCs w:val="24"/>
              </w:rPr>
            </w:pPr>
          </w:p>
        </w:tc>
        <w:tc>
          <w:tcPr>
            <w:tcW w:w="1155" w:type="dxa"/>
            <w:noWrap w:val="0"/>
            <w:vAlign w:val="top"/>
          </w:tcPr>
          <w:p w14:paraId="6CC4B72F">
            <w:pPr>
              <w:rPr>
                <w:rFonts w:hint="eastAsia" w:ascii="宋体" w:hAnsi="宋体" w:eastAsia="宋体" w:cs="宋体"/>
                <w:b/>
                <w:bCs/>
                <w:sz w:val="24"/>
                <w:szCs w:val="24"/>
              </w:rPr>
            </w:pPr>
          </w:p>
        </w:tc>
        <w:tc>
          <w:tcPr>
            <w:tcW w:w="1680" w:type="dxa"/>
            <w:noWrap w:val="0"/>
            <w:vAlign w:val="top"/>
          </w:tcPr>
          <w:p w14:paraId="6F303556">
            <w:pPr>
              <w:rPr>
                <w:rFonts w:hint="eastAsia" w:ascii="宋体" w:hAnsi="宋体" w:eastAsia="宋体" w:cs="宋体"/>
                <w:b/>
                <w:bCs/>
                <w:sz w:val="24"/>
                <w:szCs w:val="24"/>
              </w:rPr>
            </w:pPr>
          </w:p>
        </w:tc>
        <w:tc>
          <w:tcPr>
            <w:tcW w:w="1701" w:type="dxa"/>
            <w:noWrap w:val="0"/>
            <w:vAlign w:val="top"/>
          </w:tcPr>
          <w:p w14:paraId="2E81311B">
            <w:pPr>
              <w:rPr>
                <w:rFonts w:hint="eastAsia" w:ascii="宋体" w:hAnsi="宋体" w:eastAsia="宋体" w:cs="宋体"/>
                <w:b/>
                <w:bCs/>
                <w:sz w:val="24"/>
                <w:szCs w:val="24"/>
              </w:rPr>
            </w:pPr>
          </w:p>
        </w:tc>
      </w:tr>
      <w:tr w14:paraId="5E736D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295" w:type="dxa"/>
            <w:noWrap w:val="0"/>
            <w:vAlign w:val="top"/>
          </w:tcPr>
          <w:p w14:paraId="6A6E454D">
            <w:pPr>
              <w:rPr>
                <w:rFonts w:hint="eastAsia" w:ascii="宋体" w:hAnsi="宋体" w:eastAsia="宋体" w:cs="宋体"/>
                <w:b/>
                <w:bCs/>
                <w:sz w:val="24"/>
                <w:szCs w:val="24"/>
              </w:rPr>
            </w:pPr>
          </w:p>
        </w:tc>
        <w:tc>
          <w:tcPr>
            <w:tcW w:w="2632" w:type="dxa"/>
            <w:noWrap w:val="0"/>
            <w:vAlign w:val="top"/>
          </w:tcPr>
          <w:p w14:paraId="4679ADE8">
            <w:pPr>
              <w:rPr>
                <w:rFonts w:hint="eastAsia" w:ascii="宋体" w:hAnsi="宋体" w:eastAsia="宋体" w:cs="宋体"/>
                <w:b/>
                <w:bCs/>
                <w:sz w:val="24"/>
                <w:szCs w:val="24"/>
              </w:rPr>
            </w:pPr>
          </w:p>
        </w:tc>
        <w:tc>
          <w:tcPr>
            <w:tcW w:w="1035" w:type="dxa"/>
            <w:noWrap w:val="0"/>
            <w:vAlign w:val="top"/>
          </w:tcPr>
          <w:p w14:paraId="07D206CE">
            <w:pPr>
              <w:rPr>
                <w:rFonts w:hint="eastAsia" w:ascii="宋体" w:hAnsi="宋体" w:eastAsia="宋体" w:cs="宋体"/>
                <w:b/>
                <w:bCs/>
                <w:sz w:val="24"/>
                <w:szCs w:val="24"/>
              </w:rPr>
            </w:pPr>
          </w:p>
        </w:tc>
        <w:tc>
          <w:tcPr>
            <w:tcW w:w="1155" w:type="dxa"/>
            <w:noWrap w:val="0"/>
            <w:vAlign w:val="top"/>
          </w:tcPr>
          <w:p w14:paraId="3B6A2B14">
            <w:pPr>
              <w:rPr>
                <w:rFonts w:hint="eastAsia" w:ascii="宋体" w:hAnsi="宋体" w:eastAsia="宋体" w:cs="宋体"/>
                <w:b/>
                <w:bCs/>
                <w:sz w:val="24"/>
                <w:szCs w:val="24"/>
              </w:rPr>
            </w:pPr>
          </w:p>
        </w:tc>
        <w:tc>
          <w:tcPr>
            <w:tcW w:w="1680" w:type="dxa"/>
            <w:noWrap w:val="0"/>
            <w:vAlign w:val="top"/>
          </w:tcPr>
          <w:p w14:paraId="6714B2B9">
            <w:pPr>
              <w:rPr>
                <w:rFonts w:hint="eastAsia" w:ascii="宋体" w:hAnsi="宋体" w:eastAsia="宋体" w:cs="宋体"/>
                <w:b/>
                <w:bCs/>
                <w:sz w:val="24"/>
                <w:szCs w:val="24"/>
              </w:rPr>
            </w:pPr>
          </w:p>
        </w:tc>
        <w:tc>
          <w:tcPr>
            <w:tcW w:w="1701" w:type="dxa"/>
            <w:noWrap w:val="0"/>
            <w:vAlign w:val="top"/>
          </w:tcPr>
          <w:p w14:paraId="0B7FC912">
            <w:pPr>
              <w:rPr>
                <w:rFonts w:hint="eastAsia" w:ascii="宋体" w:hAnsi="宋体" w:eastAsia="宋体" w:cs="宋体"/>
                <w:b/>
                <w:bCs/>
                <w:sz w:val="24"/>
                <w:szCs w:val="24"/>
              </w:rPr>
            </w:pPr>
          </w:p>
        </w:tc>
      </w:tr>
      <w:tr w14:paraId="5A1891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295" w:type="dxa"/>
            <w:noWrap w:val="0"/>
            <w:vAlign w:val="top"/>
          </w:tcPr>
          <w:p w14:paraId="1A11E4E6">
            <w:pPr>
              <w:rPr>
                <w:rFonts w:hint="eastAsia" w:ascii="宋体" w:hAnsi="宋体" w:eastAsia="宋体" w:cs="宋体"/>
                <w:b/>
                <w:bCs/>
                <w:sz w:val="24"/>
                <w:szCs w:val="24"/>
              </w:rPr>
            </w:pPr>
          </w:p>
        </w:tc>
        <w:tc>
          <w:tcPr>
            <w:tcW w:w="2632" w:type="dxa"/>
            <w:noWrap w:val="0"/>
            <w:vAlign w:val="top"/>
          </w:tcPr>
          <w:p w14:paraId="3D915532">
            <w:pPr>
              <w:rPr>
                <w:rFonts w:hint="eastAsia" w:ascii="宋体" w:hAnsi="宋体" w:eastAsia="宋体" w:cs="宋体"/>
                <w:b/>
                <w:bCs/>
                <w:sz w:val="24"/>
                <w:szCs w:val="24"/>
              </w:rPr>
            </w:pPr>
          </w:p>
        </w:tc>
        <w:tc>
          <w:tcPr>
            <w:tcW w:w="1035" w:type="dxa"/>
            <w:noWrap w:val="0"/>
            <w:vAlign w:val="top"/>
          </w:tcPr>
          <w:p w14:paraId="77F8A2E8">
            <w:pPr>
              <w:rPr>
                <w:rFonts w:hint="eastAsia" w:ascii="宋体" w:hAnsi="宋体" w:eastAsia="宋体" w:cs="宋体"/>
                <w:b/>
                <w:bCs/>
                <w:sz w:val="24"/>
                <w:szCs w:val="24"/>
              </w:rPr>
            </w:pPr>
          </w:p>
        </w:tc>
        <w:tc>
          <w:tcPr>
            <w:tcW w:w="1155" w:type="dxa"/>
            <w:noWrap w:val="0"/>
            <w:vAlign w:val="top"/>
          </w:tcPr>
          <w:p w14:paraId="045DDEC6">
            <w:pPr>
              <w:rPr>
                <w:rFonts w:hint="eastAsia" w:ascii="宋体" w:hAnsi="宋体" w:eastAsia="宋体" w:cs="宋体"/>
                <w:b/>
                <w:bCs/>
                <w:sz w:val="24"/>
                <w:szCs w:val="24"/>
              </w:rPr>
            </w:pPr>
          </w:p>
        </w:tc>
        <w:tc>
          <w:tcPr>
            <w:tcW w:w="1680" w:type="dxa"/>
            <w:noWrap w:val="0"/>
            <w:vAlign w:val="top"/>
          </w:tcPr>
          <w:p w14:paraId="067F1D63">
            <w:pPr>
              <w:rPr>
                <w:rFonts w:hint="eastAsia" w:ascii="宋体" w:hAnsi="宋体" w:eastAsia="宋体" w:cs="宋体"/>
                <w:b/>
                <w:bCs/>
                <w:sz w:val="24"/>
                <w:szCs w:val="24"/>
              </w:rPr>
            </w:pPr>
          </w:p>
        </w:tc>
        <w:tc>
          <w:tcPr>
            <w:tcW w:w="1701" w:type="dxa"/>
            <w:noWrap w:val="0"/>
            <w:vAlign w:val="top"/>
          </w:tcPr>
          <w:p w14:paraId="0FF16039">
            <w:pPr>
              <w:rPr>
                <w:rFonts w:hint="eastAsia" w:ascii="宋体" w:hAnsi="宋体" w:eastAsia="宋体" w:cs="宋体"/>
                <w:b/>
                <w:bCs/>
                <w:sz w:val="24"/>
                <w:szCs w:val="24"/>
              </w:rPr>
            </w:pPr>
          </w:p>
        </w:tc>
      </w:tr>
      <w:tr w14:paraId="56B583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295" w:type="dxa"/>
            <w:noWrap w:val="0"/>
            <w:vAlign w:val="top"/>
          </w:tcPr>
          <w:p w14:paraId="3FE7ECC9">
            <w:pPr>
              <w:rPr>
                <w:rFonts w:hint="eastAsia" w:ascii="宋体" w:hAnsi="宋体" w:eastAsia="宋体" w:cs="宋体"/>
                <w:b/>
                <w:bCs/>
                <w:sz w:val="24"/>
                <w:szCs w:val="24"/>
              </w:rPr>
            </w:pPr>
          </w:p>
        </w:tc>
        <w:tc>
          <w:tcPr>
            <w:tcW w:w="2632" w:type="dxa"/>
            <w:noWrap w:val="0"/>
            <w:vAlign w:val="top"/>
          </w:tcPr>
          <w:p w14:paraId="261737F3">
            <w:pPr>
              <w:rPr>
                <w:rFonts w:hint="eastAsia" w:ascii="宋体" w:hAnsi="宋体" w:eastAsia="宋体" w:cs="宋体"/>
                <w:b/>
                <w:bCs/>
                <w:sz w:val="24"/>
                <w:szCs w:val="24"/>
              </w:rPr>
            </w:pPr>
          </w:p>
        </w:tc>
        <w:tc>
          <w:tcPr>
            <w:tcW w:w="1035" w:type="dxa"/>
            <w:noWrap w:val="0"/>
            <w:vAlign w:val="top"/>
          </w:tcPr>
          <w:p w14:paraId="71D28691">
            <w:pPr>
              <w:rPr>
                <w:rFonts w:hint="eastAsia" w:ascii="宋体" w:hAnsi="宋体" w:eastAsia="宋体" w:cs="宋体"/>
                <w:b/>
                <w:bCs/>
                <w:sz w:val="24"/>
                <w:szCs w:val="24"/>
              </w:rPr>
            </w:pPr>
          </w:p>
        </w:tc>
        <w:tc>
          <w:tcPr>
            <w:tcW w:w="1155" w:type="dxa"/>
            <w:noWrap w:val="0"/>
            <w:vAlign w:val="top"/>
          </w:tcPr>
          <w:p w14:paraId="547BF75C">
            <w:pPr>
              <w:rPr>
                <w:rFonts w:hint="eastAsia" w:ascii="宋体" w:hAnsi="宋体" w:eastAsia="宋体" w:cs="宋体"/>
                <w:b/>
                <w:bCs/>
                <w:sz w:val="24"/>
                <w:szCs w:val="24"/>
              </w:rPr>
            </w:pPr>
          </w:p>
        </w:tc>
        <w:tc>
          <w:tcPr>
            <w:tcW w:w="1680" w:type="dxa"/>
            <w:noWrap w:val="0"/>
            <w:vAlign w:val="top"/>
          </w:tcPr>
          <w:p w14:paraId="17FC8E1B">
            <w:pPr>
              <w:rPr>
                <w:rFonts w:hint="eastAsia" w:ascii="宋体" w:hAnsi="宋体" w:eastAsia="宋体" w:cs="宋体"/>
                <w:b/>
                <w:bCs/>
                <w:sz w:val="24"/>
                <w:szCs w:val="24"/>
              </w:rPr>
            </w:pPr>
          </w:p>
        </w:tc>
        <w:tc>
          <w:tcPr>
            <w:tcW w:w="1701" w:type="dxa"/>
            <w:noWrap w:val="0"/>
            <w:vAlign w:val="top"/>
          </w:tcPr>
          <w:p w14:paraId="3E21D1A6">
            <w:pPr>
              <w:rPr>
                <w:rFonts w:hint="eastAsia" w:ascii="宋体" w:hAnsi="宋体" w:eastAsia="宋体" w:cs="宋体"/>
                <w:b/>
                <w:bCs/>
                <w:sz w:val="24"/>
                <w:szCs w:val="24"/>
              </w:rPr>
            </w:pPr>
          </w:p>
        </w:tc>
      </w:tr>
    </w:tbl>
    <w:p w14:paraId="66EBFAB1">
      <w:pPr>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5</w:t>
      </w:r>
      <w:bookmarkStart w:id="736" w:name="_Toc180897174"/>
      <w:bookmarkStart w:id="737" w:name="_Toc169406008"/>
      <w:bookmarkStart w:id="738" w:name="_Toc169406306"/>
      <w:bookmarkStart w:id="739" w:name="_Toc181150885"/>
      <w:bookmarkStart w:id="740" w:name="_Toc181150886"/>
      <w:bookmarkStart w:id="741" w:name="_Toc180897175"/>
      <w:bookmarkStart w:id="742" w:name="_Toc169406158"/>
      <w:bookmarkStart w:id="743" w:name="_Toc179968722"/>
      <w:bookmarkStart w:id="744" w:name="_Toc180897415"/>
      <w:bookmarkStart w:id="745" w:name="_Toc133813142"/>
      <w:bookmarkStart w:id="746" w:name="_Toc180897319"/>
      <w:bookmarkStart w:id="747" w:name="_Toc179968437"/>
      <w:bookmarkStart w:id="748" w:name="_Toc180897416"/>
      <w:bookmarkStart w:id="749" w:name="_Toc176919306"/>
      <w:bookmarkStart w:id="750" w:name="_Toc180897318"/>
      <w:r>
        <w:rPr>
          <w:rFonts w:hint="eastAsia" w:ascii="宋体" w:hAnsi="宋体" w:eastAsia="宋体" w:cs="宋体"/>
          <w:sz w:val="24"/>
          <w:szCs w:val="24"/>
        </w:rPr>
        <w:t>.3  新增项目计费程序（附件三）</w:t>
      </w:r>
    </w:p>
    <w:p w14:paraId="5130D470">
      <w:pPr>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新增</w:t>
      </w:r>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r>
        <w:rPr>
          <w:rFonts w:hint="eastAsia" w:ascii="宋体" w:hAnsi="宋体" w:eastAsia="宋体" w:cs="宋体"/>
          <w:sz w:val="24"/>
          <w:szCs w:val="24"/>
        </w:rPr>
        <w:t>计费程序参考采用投标清单的分部分项表、措施项目表、其他项目表以及综合单价分析表（附件一）和以“项”为单位的项目报价计算表（附件二）等表格按《建设工程工程量清单计价规范》（GB50500-2013）及20</w:t>
      </w:r>
      <w:r>
        <w:rPr>
          <w:rFonts w:hint="eastAsia" w:ascii="宋体" w:hAnsi="宋体" w:eastAsia="宋体" w:cs="宋体"/>
          <w:sz w:val="24"/>
          <w:szCs w:val="24"/>
          <w:lang w:eastAsia="zh-CN"/>
        </w:rPr>
        <w:t>1</w:t>
      </w:r>
      <w:r>
        <w:rPr>
          <w:rFonts w:hint="eastAsia" w:ascii="宋体" w:hAnsi="宋体" w:eastAsia="宋体" w:cs="宋体"/>
          <w:sz w:val="24"/>
          <w:szCs w:val="24"/>
          <w:lang w:val="en-US" w:eastAsia="zh-CN"/>
        </w:rPr>
        <w:t>8</w:t>
      </w:r>
      <w:r>
        <w:rPr>
          <w:rFonts w:hint="eastAsia" w:ascii="宋体" w:hAnsi="宋体" w:eastAsia="宋体" w:cs="宋体"/>
          <w:sz w:val="24"/>
          <w:szCs w:val="24"/>
        </w:rPr>
        <w:t>年《</w:t>
      </w:r>
      <w:r>
        <w:rPr>
          <w:rFonts w:hint="eastAsia" w:ascii="宋体" w:hAnsi="宋体" w:eastAsia="宋体" w:cs="宋体"/>
          <w:sz w:val="24"/>
          <w:szCs w:val="24"/>
          <w:lang w:eastAsia="zh-CN"/>
        </w:rPr>
        <w:t>广东省建设工程计价依据</w:t>
      </w:r>
      <w:r>
        <w:rPr>
          <w:rFonts w:hint="eastAsia" w:ascii="宋体" w:hAnsi="宋体" w:eastAsia="宋体" w:cs="宋体"/>
          <w:sz w:val="24"/>
          <w:szCs w:val="24"/>
        </w:rPr>
        <w:t>》执行。</w:t>
      </w:r>
    </w:p>
    <w:p w14:paraId="7B4683CF">
      <w:pPr>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（1）管理费和利润的费率与投标单价分析表中费率一致。</w:t>
      </w:r>
    </w:p>
    <w:p w14:paraId="37B7E707">
      <w:pPr>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（2）如投标书中工、料消耗量低于定额中工、料消耗量，则新增项目的消耗量将参照类似项目的消耗量与定额消耗量的比例进行调整。 如投标书中工、料消耗量大于定额消耗量，则回归定额消耗水平。</w:t>
      </w:r>
    </w:p>
    <w:p w14:paraId="4D380584">
      <w:pPr>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（3）新增项目的材料价格沿用投标价格，如同一种材料在不同清单项中有不同价格，则采用最低价；如没有，按照合同约定确定材料单价。</w:t>
      </w:r>
    </w:p>
    <w:p w14:paraId="1EF4A680">
      <w:pPr>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（4）新增项目的机械台班单价及消耗量沿用定额，如没有，双方另行协商确定。</w:t>
      </w:r>
    </w:p>
    <w:p w14:paraId="534CE601">
      <w:pPr>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（5）人工单价维持投标水平不变，如在不同清单项中有不同价格，则采用最低价。</w:t>
      </w:r>
    </w:p>
    <w:p w14:paraId="1ABBB899">
      <w:pPr>
        <w:ind w:firstLine="480" w:firstLineChars="200"/>
        <w:contextualSpacing/>
        <w:rPr>
          <w:rFonts w:hint="eastAsia" w:ascii="宋体" w:hAnsi="宋体" w:eastAsia="宋体" w:cs="宋体"/>
          <w:sz w:val="24"/>
          <w:szCs w:val="24"/>
        </w:rPr>
      </w:pPr>
      <w:bookmarkStart w:id="751" w:name="_Toc28455"/>
      <w:bookmarkStart w:id="752" w:name="_Toc8338"/>
      <w:bookmarkStart w:id="753" w:name="_Toc443898235"/>
      <w:bookmarkStart w:id="754" w:name="_Toc5788"/>
      <w:bookmarkStart w:id="755" w:name="_Toc4381"/>
      <w:r>
        <w:rPr>
          <w:rFonts w:hint="eastAsia" w:ascii="宋体" w:hAnsi="宋体" w:eastAsia="宋体" w:cs="宋体"/>
          <w:sz w:val="24"/>
          <w:szCs w:val="24"/>
        </w:rPr>
        <w:t xml:space="preserve">6. </w:t>
      </w:r>
      <w:bookmarkStart w:id="756" w:name="_Toc180897176"/>
      <w:bookmarkStart w:id="757" w:name="_Toc169406159"/>
      <w:bookmarkStart w:id="758" w:name="_Toc176919307"/>
      <w:bookmarkStart w:id="759" w:name="_Toc181150887"/>
      <w:bookmarkStart w:id="760" w:name="_Toc169406009"/>
      <w:bookmarkStart w:id="761" w:name="_Toc180896986"/>
      <w:bookmarkStart w:id="762" w:name="_Toc179968723"/>
      <w:bookmarkStart w:id="763" w:name="_Toc180897417"/>
      <w:bookmarkStart w:id="764" w:name="_Toc180897320"/>
      <w:bookmarkStart w:id="765" w:name="_Toc179968438"/>
      <w:bookmarkStart w:id="766" w:name="_Toc169406307"/>
      <w:r>
        <w:rPr>
          <w:rFonts w:hint="eastAsia" w:ascii="宋体" w:hAnsi="宋体" w:eastAsia="宋体" w:cs="宋体"/>
          <w:sz w:val="24"/>
          <w:szCs w:val="24"/>
        </w:rPr>
        <w:t>工程计</w:t>
      </w:r>
      <w:bookmarkStart w:id="767" w:name="_Toc413837640"/>
      <w:bookmarkStart w:id="768" w:name="_Toc388805249"/>
      <w:bookmarkStart w:id="769" w:name="_Toc415999538"/>
      <w:bookmarkStart w:id="770" w:name="_Toc417303883"/>
      <w:bookmarkStart w:id="771" w:name="_Toc417020061"/>
      <w:bookmarkStart w:id="772" w:name="_Toc413810502"/>
      <w:bookmarkStart w:id="773" w:name="_Toc388382713"/>
      <w:bookmarkStart w:id="774" w:name="_Toc427657966"/>
      <w:bookmarkStart w:id="775" w:name="_Toc11045243"/>
      <w:bookmarkStart w:id="776" w:name="_Toc417020279"/>
      <w:bookmarkStart w:id="777" w:name="_Toc388626344"/>
      <w:bookmarkStart w:id="778" w:name="_Toc525619413"/>
      <w:bookmarkStart w:id="779" w:name="_Toc465501650"/>
      <w:bookmarkStart w:id="780" w:name="_Toc388625942"/>
      <w:r>
        <w:rPr>
          <w:rFonts w:hint="eastAsia" w:ascii="宋体" w:hAnsi="宋体" w:eastAsia="宋体" w:cs="宋体"/>
          <w:sz w:val="24"/>
          <w:szCs w:val="24"/>
        </w:rPr>
        <w:t>量规定</w:t>
      </w:r>
      <w:bookmarkEnd w:id="751"/>
      <w:bookmarkEnd w:id="752"/>
      <w:bookmarkEnd w:id="753"/>
      <w:bookmarkEnd w:id="754"/>
      <w:bookmarkEnd w:id="755"/>
    </w:p>
    <w:p w14:paraId="03BA38EA">
      <w:pPr>
        <w:ind w:firstLine="480" w:firstLineChars="200"/>
        <w:contextualSpacing/>
        <w:rPr>
          <w:rFonts w:hint="eastAsia" w:ascii="宋体" w:hAnsi="宋体" w:eastAsia="宋体" w:cs="宋体"/>
          <w:bCs w:val="0"/>
          <w:sz w:val="24"/>
          <w:szCs w:val="24"/>
        </w:rPr>
      </w:pPr>
      <w:r>
        <w:rPr>
          <w:rFonts w:hint="eastAsia" w:ascii="宋体" w:hAnsi="宋体" w:eastAsia="宋体" w:cs="宋体"/>
          <w:sz w:val="24"/>
          <w:szCs w:val="24"/>
        </w:rPr>
        <w:t>6.</w:t>
      </w:r>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r>
        <w:rPr>
          <w:rFonts w:hint="eastAsia" w:ascii="宋体" w:hAnsi="宋体" w:eastAsia="宋体" w:cs="宋体"/>
          <w:sz w:val="24"/>
          <w:szCs w:val="24"/>
        </w:rPr>
        <w:t>1</w:t>
      </w:r>
      <w:bookmarkStart w:id="781" w:name="_Toc169406309"/>
      <w:bookmarkStart w:id="782" w:name="_Toc525619415"/>
      <w:bookmarkStart w:id="783" w:name="_Toc417020281"/>
      <w:bookmarkStart w:id="784" w:name="_Toc427657968"/>
      <w:bookmarkStart w:id="785" w:name="_Toc417020063"/>
      <w:bookmarkStart w:id="786" w:name="_Toc417303885"/>
      <w:bookmarkStart w:id="787" w:name="_Toc169406161"/>
      <w:bookmarkStart w:id="788" w:name="_Toc415999540"/>
      <w:bookmarkStart w:id="789" w:name="_Toc465501652"/>
      <w:bookmarkStart w:id="790" w:name="_Toc11045245"/>
      <w:r>
        <w:rPr>
          <w:rFonts w:hint="eastAsia" w:ascii="宋体" w:hAnsi="宋体" w:eastAsia="宋体" w:cs="宋体"/>
          <w:sz w:val="24"/>
          <w:szCs w:val="24"/>
        </w:rPr>
        <w:t xml:space="preserve"> 总则</w:t>
      </w:r>
    </w:p>
    <w:p w14:paraId="6B2AB27C">
      <w:pPr>
        <w:ind w:firstLine="480" w:firstLineChars="200"/>
        <w:contextualSpacing/>
        <w:rPr>
          <w:rFonts w:hint="eastAsia" w:ascii="宋体" w:hAnsi="宋体" w:eastAsia="宋体" w:cs="宋体"/>
          <w:bCs w:val="0"/>
          <w:sz w:val="24"/>
          <w:szCs w:val="24"/>
        </w:rPr>
      </w:pPr>
      <w:r>
        <w:rPr>
          <w:rFonts w:hint="eastAsia" w:ascii="宋体" w:hAnsi="宋体" w:eastAsia="宋体" w:cs="宋体"/>
          <w:sz w:val="24"/>
          <w:szCs w:val="24"/>
        </w:rPr>
        <w:t>6.1.1本规定作为计算工程量的统一依据，在执行本规定时，为了说明工作的确切性和工作条件，尚须根据施工设计图纸的要求和合同规定配套使用。</w:t>
      </w:r>
    </w:p>
    <w:p w14:paraId="4CCD441B">
      <w:pPr>
        <w:ind w:firstLine="480" w:firstLineChars="200"/>
        <w:contextualSpacing/>
        <w:rPr>
          <w:rFonts w:hint="eastAsia" w:ascii="宋体" w:hAnsi="宋体" w:eastAsia="宋体" w:cs="宋体"/>
          <w:bCs w:val="0"/>
          <w:sz w:val="24"/>
          <w:szCs w:val="24"/>
        </w:rPr>
      </w:pPr>
      <w:r>
        <w:rPr>
          <w:rFonts w:hint="eastAsia" w:ascii="宋体" w:hAnsi="宋体" w:eastAsia="宋体" w:cs="宋体"/>
          <w:sz w:val="24"/>
          <w:szCs w:val="24"/>
        </w:rPr>
        <w:t>6.1.2本规定未包括的工程，可制订补充规定，并作为合同附件。</w:t>
      </w:r>
    </w:p>
    <w:p w14:paraId="260E2CB5">
      <w:pPr>
        <w:ind w:firstLine="480" w:firstLineChars="200"/>
        <w:contextualSpacing/>
        <w:rPr>
          <w:rFonts w:hint="eastAsia" w:ascii="宋体" w:hAnsi="宋体" w:eastAsia="宋体" w:cs="宋体"/>
          <w:bCs w:val="0"/>
          <w:sz w:val="24"/>
          <w:szCs w:val="24"/>
        </w:rPr>
      </w:pPr>
      <w:r>
        <w:rPr>
          <w:rFonts w:hint="eastAsia" w:ascii="宋体" w:hAnsi="宋体" w:eastAsia="宋体" w:cs="宋体"/>
          <w:sz w:val="24"/>
          <w:szCs w:val="24"/>
        </w:rPr>
        <w:t>6.1.3工程项目的计量，均以招标文件工程量清单的计量单位为准。</w:t>
      </w:r>
    </w:p>
    <w:p w14:paraId="0461B28A">
      <w:pPr>
        <w:ind w:firstLine="480" w:firstLineChars="200"/>
        <w:contextualSpacing/>
        <w:rPr>
          <w:rFonts w:hint="eastAsia" w:ascii="宋体" w:hAnsi="宋体" w:eastAsia="宋体" w:cs="宋体"/>
          <w:bCs w:val="0"/>
          <w:sz w:val="24"/>
          <w:szCs w:val="24"/>
        </w:rPr>
      </w:pPr>
      <w:r>
        <w:rPr>
          <w:rFonts w:hint="eastAsia" w:ascii="宋体" w:hAnsi="宋体" w:eastAsia="宋体" w:cs="宋体"/>
          <w:sz w:val="24"/>
          <w:szCs w:val="24"/>
        </w:rPr>
        <w:t>6.1.4任何工程项目的计量，都应是根据经发包人批准的图纸所规定的工程项目已完成工程量的计量。</w:t>
      </w:r>
    </w:p>
    <w:p w14:paraId="6A990FC7">
      <w:pPr>
        <w:ind w:firstLine="480" w:firstLineChars="200"/>
        <w:contextualSpacing/>
        <w:rPr>
          <w:rFonts w:hint="eastAsia" w:ascii="宋体" w:hAnsi="宋体" w:eastAsia="宋体" w:cs="宋体"/>
          <w:bCs w:val="0"/>
          <w:sz w:val="24"/>
          <w:szCs w:val="24"/>
        </w:rPr>
      </w:pPr>
      <w:r>
        <w:rPr>
          <w:rFonts w:hint="eastAsia" w:ascii="宋体" w:hAnsi="宋体" w:eastAsia="宋体" w:cs="宋体"/>
          <w:sz w:val="24"/>
          <w:szCs w:val="24"/>
        </w:rPr>
        <w:t>6.1.5计量与支付应与技术规范、合同条款、工程量清单（合同签订时双方同意的工程量清单，以下简称：工程量清单）、以及图纸同时使用。</w:t>
      </w:r>
    </w:p>
    <w:p w14:paraId="574C5A86">
      <w:pPr>
        <w:ind w:firstLine="480" w:firstLineChars="200"/>
        <w:contextualSpacing/>
        <w:rPr>
          <w:rFonts w:hint="eastAsia" w:ascii="宋体" w:hAnsi="宋体" w:eastAsia="宋体" w:cs="宋体"/>
          <w:bCs w:val="0"/>
          <w:sz w:val="24"/>
          <w:szCs w:val="24"/>
        </w:rPr>
      </w:pPr>
      <w:r>
        <w:rPr>
          <w:rFonts w:hint="eastAsia" w:ascii="宋体" w:hAnsi="宋体" w:eastAsia="宋体" w:cs="宋体"/>
          <w:sz w:val="24"/>
          <w:szCs w:val="24"/>
        </w:rPr>
        <w:t>6.1.6凡超过图纸所示的任何长度、面积或体积都不予计量与支付。</w:t>
      </w:r>
    </w:p>
    <w:p w14:paraId="68522A7B">
      <w:pPr>
        <w:ind w:firstLine="480" w:firstLineChars="200"/>
        <w:contextualSpacing/>
        <w:rPr>
          <w:rFonts w:hint="eastAsia" w:ascii="宋体" w:hAnsi="宋体" w:eastAsia="宋体" w:cs="宋体"/>
          <w:bCs w:val="0"/>
          <w:sz w:val="24"/>
          <w:szCs w:val="24"/>
        </w:rPr>
      </w:pPr>
      <w:r>
        <w:rPr>
          <w:rFonts w:hint="eastAsia" w:ascii="宋体" w:hAnsi="宋体" w:eastAsia="宋体" w:cs="宋体"/>
          <w:sz w:val="24"/>
          <w:szCs w:val="24"/>
        </w:rPr>
        <w:t>6.1.7有关技术规范允许的施工误差值，由投标人在投标报价时综合考虑，施工过程中对此不</w:t>
      </w:r>
      <w:r>
        <w:rPr>
          <w:rFonts w:hint="eastAsia" w:ascii="宋体" w:hAnsi="宋体" w:eastAsia="宋体" w:cs="宋体"/>
          <w:bCs w:val="0"/>
          <w:strike w:val="0"/>
          <w:sz w:val="24"/>
          <w:szCs w:val="24"/>
        </w:rPr>
        <w:t>再</w:t>
      </w:r>
      <w:r>
        <w:rPr>
          <w:rFonts w:hint="eastAsia" w:ascii="宋体" w:hAnsi="宋体" w:eastAsia="宋体" w:cs="宋体"/>
          <w:sz w:val="24"/>
          <w:szCs w:val="24"/>
        </w:rPr>
        <w:t>予计量。</w:t>
      </w:r>
    </w:p>
    <w:p w14:paraId="5B512183">
      <w:pPr>
        <w:ind w:firstLine="480" w:firstLineChars="200"/>
        <w:contextualSpacing/>
        <w:rPr>
          <w:rFonts w:hint="eastAsia" w:ascii="宋体" w:hAnsi="宋体" w:eastAsia="宋体" w:cs="宋体"/>
          <w:bCs w:val="0"/>
          <w:sz w:val="24"/>
          <w:szCs w:val="24"/>
        </w:rPr>
      </w:pPr>
      <w:r>
        <w:rPr>
          <w:rFonts w:hint="eastAsia" w:ascii="宋体" w:hAnsi="宋体" w:eastAsia="宋体" w:cs="宋体"/>
          <w:sz w:val="24"/>
          <w:szCs w:val="24"/>
        </w:rPr>
        <w:t>6.2 计量</w:t>
      </w:r>
    </w:p>
    <w:p w14:paraId="7900340B">
      <w:pPr>
        <w:ind w:firstLine="480" w:firstLineChars="200"/>
        <w:contextualSpacing/>
        <w:rPr>
          <w:rFonts w:hint="eastAsia" w:ascii="宋体" w:hAnsi="宋体" w:eastAsia="宋体" w:cs="宋体"/>
          <w:bCs w:val="0"/>
          <w:sz w:val="24"/>
          <w:szCs w:val="24"/>
        </w:rPr>
      </w:pPr>
      <w:r>
        <w:rPr>
          <w:rFonts w:hint="eastAsia" w:ascii="宋体" w:hAnsi="宋体" w:eastAsia="宋体" w:cs="宋体"/>
          <w:sz w:val="24"/>
          <w:szCs w:val="24"/>
        </w:rPr>
        <w:t>6.2.1 分部分项工程以工程量清单及施工图纸为基础，参照《建设工程工程量清单计价规范》（GB50500-2013）和2018年《</w:t>
      </w:r>
      <w:r>
        <w:rPr>
          <w:rFonts w:hint="eastAsia" w:ascii="宋体" w:hAnsi="宋体" w:eastAsia="宋体" w:cs="宋体"/>
          <w:sz w:val="24"/>
          <w:szCs w:val="24"/>
          <w:lang w:eastAsia="zh-CN"/>
        </w:rPr>
        <w:t>广东省建设工程计价依据</w:t>
      </w:r>
      <w:r>
        <w:rPr>
          <w:rFonts w:hint="eastAsia" w:ascii="宋体" w:hAnsi="宋体" w:eastAsia="宋体" w:cs="宋体"/>
          <w:sz w:val="24"/>
          <w:szCs w:val="24"/>
        </w:rPr>
        <w:t>》。</w:t>
      </w:r>
    </w:p>
    <w:p w14:paraId="3A1A46F2">
      <w:pPr>
        <w:ind w:firstLine="480" w:firstLineChars="200"/>
        <w:contextualSpacing/>
        <w:rPr>
          <w:rFonts w:hint="eastAsia" w:ascii="宋体" w:hAnsi="宋体" w:eastAsia="宋体" w:cs="宋体"/>
          <w:bCs w:val="0"/>
          <w:sz w:val="24"/>
          <w:szCs w:val="24"/>
        </w:rPr>
      </w:pPr>
      <w:r>
        <w:rPr>
          <w:rFonts w:hint="eastAsia" w:ascii="宋体" w:hAnsi="宋体" w:eastAsia="宋体" w:cs="宋体"/>
          <w:sz w:val="24"/>
          <w:szCs w:val="24"/>
        </w:rPr>
        <w:t>6.2.2 措施项目工程</w:t>
      </w:r>
    </w:p>
    <w:p w14:paraId="6937A4A2">
      <w:pPr>
        <w:ind w:firstLine="480" w:firstLineChars="200"/>
        <w:contextualSpacing/>
        <w:rPr>
          <w:rFonts w:hint="eastAsia" w:ascii="宋体" w:hAnsi="宋体" w:eastAsia="宋体" w:cs="宋体"/>
          <w:bCs w:val="0"/>
          <w:sz w:val="24"/>
          <w:szCs w:val="24"/>
        </w:rPr>
      </w:pPr>
      <w:r>
        <w:rPr>
          <w:rFonts w:hint="eastAsia" w:ascii="宋体" w:hAnsi="宋体" w:eastAsia="宋体" w:cs="宋体"/>
          <w:sz w:val="24"/>
          <w:szCs w:val="24"/>
        </w:rPr>
        <w:t>参照2018年《</w:t>
      </w:r>
      <w:r>
        <w:rPr>
          <w:rFonts w:hint="eastAsia" w:ascii="宋体" w:hAnsi="宋体" w:eastAsia="宋体" w:cs="宋体"/>
          <w:sz w:val="24"/>
          <w:szCs w:val="24"/>
          <w:lang w:eastAsia="zh-CN"/>
        </w:rPr>
        <w:t>广东省建设工程计价依据</w:t>
      </w:r>
      <w:r>
        <w:rPr>
          <w:rFonts w:hint="eastAsia" w:ascii="宋体" w:hAnsi="宋体" w:eastAsia="宋体" w:cs="宋体"/>
          <w:sz w:val="24"/>
          <w:szCs w:val="24"/>
        </w:rPr>
        <w:t>》，结合工程合同、招标文件、施工图纸和施工现场的具体情况。</w:t>
      </w:r>
    </w:p>
    <w:p w14:paraId="40774EF5">
      <w:pPr>
        <w:ind w:firstLine="480" w:firstLineChars="200"/>
        <w:contextualSpacing/>
        <w:rPr>
          <w:rFonts w:hint="eastAsia" w:ascii="宋体" w:hAnsi="宋体" w:eastAsia="宋体" w:cs="宋体"/>
          <w:bCs w:val="0"/>
          <w:sz w:val="24"/>
          <w:szCs w:val="24"/>
        </w:rPr>
      </w:pPr>
      <w:r>
        <w:rPr>
          <w:rFonts w:hint="eastAsia" w:ascii="宋体" w:hAnsi="宋体" w:eastAsia="宋体" w:cs="宋体"/>
          <w:sz w:val="24"/>
          <w:szCs w:val="24"/>
        </w:rPr>
        <w:t>6.2.3其他项目工程</w:t>
      </w:r>
    </w:p>
    <w:p w14:paraId="32549F88">
      <w:pPr>
        <w:ind w:firstLine="480" w:firstLineChars="200"/>
        <w:contextualSpacing/>
        <w:rPr>
          <w:rFonts w:hint="eastAsia" w:ascii="宋体" w:hAnsi="宋体" w:eastAsia="宋体" w:cs="宋体"/>
          <w:bCs w:val="0"/>
          <w:sz w:val="24"/>
          <w:szCs w:val="24"/>
        </w:rPr>
      </w:pPr>
      <w:r>
        <w:rPr>
          <w:rFonts w:hint="eastAsia" w:ascii="宋体" w:hAnsi="宋体" w:eastAsia="宋体" w:cs="宋体"/>
          <w:sz w:val="24"/>
          <w:szCs w:val="24"/>
        </w:rPr>
        <w:t>参照2</w:t>
      </w:r>
      <w:bookmarkEnd w:id="781"/>
      <w:bookmarkEnd w:id="782"/>
      <w:bookmarkEnd w:id="783"/>
      <w:bookmarkEnd w:id="784"/>
      <w:bookmarkEnd w:id="785"/>
      <w:bookmarkEnd w:id="786"/>
      <w:bookmarkEnd w:id="787"/>
      <w:bookmarkEnd w:id="788"/>
      <w:bookmarkEnd w:id="789"/>
      <w:bookmarkEnd w:id="790"/>
      <w:r>
        <w:rPr>
          <w:rFonts w:hint="eastAsia" w:ascii="宋体" w:hAnsi="宋体" w:eastAsia="宋体" w:cs="宋体"/>
          <w:sz w:val="24"/>
          <w:szCs w:val="24"/>
        </w:rPr>
        <w:t>018年《</w:t>
      </w:r>
      <w:r>
        <w:rPr>
          <w:rFonts w:hint="eastAsia" w:ascii="宋体" w:hAnsi="宋体" w:eastAsia="宋体" w:cs="宋体"/>
          <w:sz w:val="24"/>
          <w:szCs w:val="24"/>
          <w:lang w:eastAsia="zh-CN"/>
        </w:rPr>
        <w:t>广东省建设工程计价依据</w:t>
      </w:r>
      <w:r>
        <w:rPr>
          <w:rFonts w:hint="eastAsia" w:ascii="宋体" w:hAnsi="宋体" w:eastAsia="宋体" w:cs="宋体"/>
          <w:sz w:val="24"/>
          <w:szCs w:val="24"/>
        </w:rPr>
        <w:t>》，结合工程合同、招标文件、施工图纸和施工现场的具体情况。</w:t>
      </w:r>
    </w:p>
    <w:p w14:paraId="5AFFD4B1">
      <w:pPr>
        <w:ind w:firstLine="480" w:firstLineChars="200"/>
        <w:contextualSpacing/>
        <w:rPr>
          <w:rFonts w:hint="eastAsia" w:ascii="宋体" w:hAnsi="宋体" w:eastAsia="宋体" w:cs="宋体"/>
          <w:bCs w:val="0"/>
          <w:sz w:val="24"/>
          <w:szCs w:val="24"/>
        </w:rPr>
      </w:pPr>
      <w:r>
        <w:rPr>
          <w:rFonts w:hint="eastAsia" w:ascii="宋体" w:hAnsi="宋体" w:eastAsia="宋体" w:cs="宋体"/>
          <w:sz w:val="24"/>
          <w:szCs w:val="24"/>
        </w:rPr>
        <w:t>6.2.4 其他说明</w:t>
      </w:r>
    </w:p>
    <w:p w14:paraId="5241DE96">
      <w:pPr>
        <w:ind w:firstLine="480" w:firstLineChars="200"/>
        <w:contextualSpacing/>
        <w:rPr>
          <w:rFonts w:hint="eastAsia" w:ascii="宋体" w:hAnsi="宋体" w:eastAsia="宋体" w:cs="宋体"/>
          <w:bCs w:val="0"/>
          <w:sz w:val="24"/>
          <w:szCs w:val="24"/>
        </w:rPr>
      </w:pPr>
      <w:r>
        <w:rPr>
          <w:rFonts w:hint="eastAsia" w:ascii="宋体" w:hAnsi="宋体" w:eastAsia="宋体" w:cs="宋体"/>
          <w:sz w:val="24"/>
          <w:szCs w:val="24"/>
        </w:rPr>
        <w:t>本清单除以上说明外，其他参照广东省建设工程造价管理总站发布的相关工程量计算规范。</w:t>
      </w:r>
    </w:p>
    <w:p w14:paraId="7713577D">
      <w:pPr>
        <w:ind w:firstLine="560" w:firstLineChars="200"/>
        <w:rPr>
          <w:rFonts w:hint="eastAsia" w:ascii="宋体" w:hAnsi="宋体" w:eastAsia="宋体" w:cs="宋体"/>
          <w:bCs/>
          <w:sz w:val="28"/>
          <w:szCs w:val="28"/>
        </w:rPr>
      </w:pPr>
    </w:p>
    <w:p w14:paraId="7FE6D13F">
      <w:pPr>
        <w:ind w:firstLine="240"/>
        <w:jc w:val="left"/>
        <w:outlineLvl w:val="9"/>
        <w:rPr>
          <w:rFonts w:hint="eastAsia" w:ascii="宋体" w:hAnsi="宋体" w:eastAsia="宋体" w:cs="宋体"/>
          <w:color w:val="000000"/>
          <w:sz w:val="24"/>
          <w:szCs w:val="24"/>
        </w:rPr>
      </w:pPr>
      <w:bookmarkStart w:id="791" w:name="_Toc16555"/>
      <w:bookmarkStart w:id="792" w:name="_Toc443898236"/>
    </w:p>
    <w:p w14:paraId="38A27E04">
      <w:pPr>
        <w:ind w:firstLine="240"/>
        <w:jc w:val="left"/>
        <w:outlineLvl w:val="9"/>
        <w:rPr>
          <w:rFonts w:hint="eastAsia" w:ascii="宋体" w:hAnsi="宋体" w:eastAsia="宋体" w:cs="宋体"/>
          <w:color w:val="000000"/>
          <w:sz w:val="24"/>
          <w:szCs w:val="24"/>
        </w:rPr>
      </w:pPr>
    </w:p>
    <w:p w14:paraId="1D1275C4">
      <w:pPr>
        <w:ind w:firstLine="240"/>
        <w:jc w:val="left"/>
        <w:outlineLvl w:val="9"/>
        <w:rPr>
          <w:rFonts w:hint="eastAsia" w:ascii="宋体" w:hAnsi="宋体" w:eastAsia="宋体" w:cs="宋体"/>
          <w:color w:val="000000"/>
          <w:sz w:val="24"/>
          <w:szCs w:val="24"/>
        </w:rPr>
      </w:pPr>
    </w:p>
    <w:p w14:paraId="726E3552">
      <w:pPr>
        <w:ind w:firstLine="240"/>
        <w:jc w:val="left"/>
        <w:outlineLvl w:val="9"/>
        <w:rPr>
          <w:rFonts w:hint="eastAsia" w:ascii="宋体" w:hAnsi="宋体" w:eastAsia="宋体" w:cs="宋体"/>
          <w:color w:val="000000"/>
          <w:sz w:val="24"/>
          <w:szCs w:val="24"/>
        </w:rPr>
      </w:pPr>
    </w:p>
    <w:p w14:paraId="4AAC2BBE">
      <w:pPr>
        <w:ind w:firstLine="240"/>
        <w:jc w:val="left"/>
        <w:outlineLvl w:val="9"/>
        <w:rPr>
          <w:rFonts w:hint="eastAsia" w:ascii="宋体" w:hAnsi="宋体" w:eastAsia="宋体" w:cs="宋体"/>
          <w:color w:val="000000"/>
          <w:sz w:val="24"/>
          <w:szCs w:val="24"/>
        </w:rPr>
      </w:pPr>
    </w:p>
    <w:p w14:paraId="07C47CC0">
      <w:pPr>
        <w:ind w:firstLine="240"/>
        <w:jc w:val="left"/>
        <w:outlineLvl w:val="9"/>
        <w:rPr>
          <w:rFonts w:hint="eastAsia" w:ascii="宋体" w:hAnsi="宋体" w:eastAsia="宋体" w:cs="宋体"/>
          <w:color w:val="000000"/>
          <w:sz w:val="24"/>
          <w:szCs w:val="24"/>
        </w:rPr>
      </w:pPr>
    </w:p>
    <w:p w14:paraId="034EFE9D">
      <w:pPr>
        <w:ind w:firstLine="240"/>
        <w:jc w:val="left"/>
        <w:outlineLvl w:val="9"/>
        <w:rPr>
          <w:rFonts w:hint="eastAsia" w:ascii="宋体" w:hAnsi="宋体" w:eastAsia="宋体" w:cs="宋体"/>
          <w:color w:val="000000"/>
          <w:sz w:val="24"/>
          <w:szCs w:val="24"/>
        </w:rPr>
      </w:pPr>
    </w:p>
    <w:p w14:paraId="54A7376C">
      <w:pPr>
        <w:ind w:firstLine="240"/>
        <w:jc w:val="left"/>
        <w:outlineLvl w:val="9"/>
        <w:rPr>
          <w:rFonts w:hint="eastAsia" w:ascii="宋体" w:hAnsi="宋体" w:eastAsia="宋体" w:cs="宋体"/>
          <w:color w:val="000000"/>
          <w:sz w:val="24"/>
          <w:szCs w:val="24"/>
        </w:rPr>
      </w:pPr>
    </w:p>
    <w:p w14:paraId="7EFBDFD0">
      <w:pPr>
        <w:ind w:firstLine="240"/>
        <w:jc w:val="left"/>
        <w:outlineLvl w:val="9"/>
        <w:rPr>
          <w:rFonts w:hint="eastAsia" w:ascii="宋体" w:hAnsi="宋体" w:eastAsia="宋体" w:cs="宋体"/>
          <w:color w:val="000000"/>
          <w:sz w:val="24"/>
          <w:szCs w:val="24"/>
        </w:rPr>
      </w:pPr>
    </w:p>
    <w:p w14:paraId="7E1F0C52">
      <w:pPr>
        <w:ind w:firstLine="240"/>
        <w:jc w:val="left"/>
        <w:outlineLvl w:val="9"/>
        <w:rPr>
          <w:rFonts w:hint="eastAsia" w:ascii="宋体" w:hAnsi="宋体" w:eastAsia="宋体" w:cs="宋体"/>
          <w:color w:val="000000"/>
          <w:sz w:val="24"/>
          <w:szCs w:val="24"/>
        </w:rPr>
      </w:pPr>
    </w:p>
    <w:p w14:paraId="4D0F267A">
      <w:pPr>
        <w:ind w:firstLine="240"/>
        <w:jc w:val="left"/>
        <w:outlineLvl w:val="9"/>
        <w:rPr>
          <w:rFonts w:hint="eastAsia" w:ascii="宋体" w:hAnsi="宋体" w:eastAsia="宋体" w:cs="宋体"/>
          <w:color w:val="000000"/>
          <w:sz w:val="24"/>
          <w:szCs w:val="24"/>
        </w:rPr>
      </w:pPr>
    </w:p>
    <w:p w14:paraId="3BD22EB9">
      <w:pPr>
        <w:ind w:firstLine="240"/>
        <w:jc w:val="left"/>
        <w:outlineLvl w:val="9"/>
        <w:rPr>
          <w:rFonts w:hint="eastAsia" w:ascii="宋体" w:hAnsi="宋体" w:eastAsia="宋体" w:cs="宋体"/>
          <w:color w:val="000000"/>
          <w:sz w:val="24"/>
          <w:szCs w:val="24"/>
        </w:rPr>
      </w:pPr>
    </w:p>
    <w:p w14:paraId="210A6F1B">
      <w:pPr>
        <w:ind w:firstLine="240"/>
        <w:jc w:val="left"/>
        <w:outlineLvl w:val="9"/>
        <w:rPr>
          <w:rFonts w:hint="eastAsia" w:ascii="宋体" w:hAnsi="宋体" w:eastAsia="宋体" w:cs="宋体"/>
          <w:color w:val="000000"/>
          <w:sz w:val="24"/>
          <w:szCs w:val="24"/>
        </w:rPr>
      </w:pPr>
    </w:p>
    <w:p w14:paraId="2AA2D059">
      <w:pPr>
        <w:jc w:val="left"/>
        <w:outlineLvl w:val="9"/>
        <w:rPr>
          <w:rFonts w:hint="eastAsia" w:ascii="宋体" w:hAnsi="宋体" w:eastAsia="宋体" w:cs="宋体"/>
          <w:color w:val="000000"/>
          <w:sz w:val="24"/>
          <w:szCs w:val="24"/>
        </w:rPr>
      </w:pPr>
    </w:p>
    <w:p w14:paraId="23D341BD">
      <w:pPr>
        <w:jc w:val="left"/>
        <w:outlineLvl w:val="9"/>
        <w:rPr>
          <w:rFonts w:hint="eastAsia" w:ascii="宋体" w:hAnsi="宋体" w:eastAsia="宋体" w:cs="宋体"/>
          <w:color w:val="000000"/>
          <w:sz w:val="24"/>
          <w:szCs w:val="24"/>
        </w:rPr>
      </w:pPr>
    </w:p>
    <w:p w14:paraId="24A82B67">
      <w:pPr>
        <w:ind w:firstLine="240"/>
        <w:jc w:val="left"/>
        <w:outlineLvl w:val="0"/>
        <w:rPr>
          <w:rFonts w:hint="eastAsia" w:ascii="宋体" w:hAnsi="宋体" w:eastAsia="宋体" w:cs="宋体"/>
          <w:b/>
          <w:sz w:val="28"/>
          <w:szCs w:val="28"/>
        </w:rPr>
      </w:pPr>
      <w:bookmarkStart w:id="793" w:name="_Toc3144"/>
      <w:bookmarkStart w:id="794" w:name="_Toc7891"/>
      <w:bookmarkStart w:id="795" w:name="_Toc4011"/>
      <w:bookmarkStart w:id="796" w:name="_Toc30496"/>
      <w:bookmarkStart w:id="797" w:name="_Toc12265"/>
      <w:bookmarkStart w:id="798" w:name="_Toc17549"/>
      <w:bookmarkStart w:id="799" w:name="_Toc12425"/>
      <w:bookmarkStart w:id="800" w:name="_Toc564"/>
      <w:bookmarkStart w:id="801" w:name="_Toc3143"/>
      <w:bookmarkStart w:id="802" w:name="_Toc18069"/>
      <w:bookmarkStart w:id="803" w:name="_Toc9371"/>
      <w:bookmarkStart w:id="804" w:name="_Toc1253"/>
      <w:bookmarkStart w:id="805" w:name="_Toc11710"/>
      <w:r>
        <w:rPr>
          <w:rFonts w:hint="eastAsia" w:ascii="宋体" w:hAnsi="宋体" w:eastAsia="宋体" w:cs="宋体"/>
          <w:color w:val="000000"/>
          <w:sz w:val="28"/>
          <w:szCs w:val="28"/>
        </w:rPr>
        <w:t>附件13：不平衡报价的调整单价确认表</w:t>
      </w:r>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p>
    <w:p w14:paraId="49CE3EF0">
      <w:pPr>
        <w:ind w:left="560"/>
        <w:jc w:val="center"/>
        <w:rPr>
          <w:rFonts w:hint="eastAsia" w:ascii="宋体" w:hAnsi="宋体" w:eastAsia="宋体" w:cs="宋体"/>
          <w:b/>
          <w:sz w:val="36"/>
          <w:szCs w:val="36"/>
        </w:rPr>
      </w:pPr>
      <w:r>
        <w:rPr>
          <w:rFonts w:hint="eastAsia" w:ascii="宋体" w:hAnsi="宋体" w:eastAsia="宋体" w:cs="宋体"/>
          <w:b/>
          <w:sz w:val="36"/>
          <w:szCs w:val="36"/>
        </w:rPr>
        <w:t>不平衡报价的调整单价确认表</w:t>
      </w:r>
    </w:p>
    <w:tbl>
      <w:tblPr>
        <w:tblStyle w:val="17"/>
        <w:tblpPr w:leftFromText="180" w:rightFromText="180" w:vertAnchor="text" w:horzAnchor="margin" w:tblpXSpec="center" w:tblpY="8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6"/>
        <w:gridCol w:w="1862"/>
        <w:gridCol w:w="1857"/>
        <w:gridCol w:w="1857"/>
        <w:gridCol w:w="1859"/>
        <w:gridCol w:w="1104"/>
      </w:tblGrid>
      <w:tr w14:paraId="0BF5F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316" w:type="dxa"/>
            <w:tcBorders>
              <w:top w:val="single" w:color="auto" w:sz="4" w:space="0"/>
              <w:left w:val="single" w:color="auto" w:sz="4" w:space="0"/>
              <w:bottom w:val="single" w:color="auto" w:sz="4" w:space="0"/>
              <w:right w:val="single" w:color="auto" w:sz="4" w:space="0"/>
            </w:tcBorders>
            <w:noWrap w:val="0"/>
            <w:vAlign w:val="center"/>
          </w:tcPr>
          <w:p w14:paraId="6E7E46E6">
            <w:pPr>
              <w:pStyle w:val="7"/>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清单序号</w:t>
            </w:r>
          </w:p>
        </w:tc>
        <w:tc>
          <w:tcPr>
            <w:tcW w:w="1862" w:type="dxa"/>
            <w:tcBorders>
              <w:top w:val="single" w:color="auto" w:sz="4" w:space="0"/>
              <w:left w:val="single" w:color="auto" w:sz="4" w:space="0"/>
              <w:bottom w:val="single" w:color="auto" w:sz="4" w:space="0"/>
              <w:right w:val="single" w:color="auto" w:sz="4" w:space="0"/>
            </w:tcBorders>
            <w:noWrap w:val="0"/>
            <w:vAlign w:val="center"/>
          </w:tcPr>
          <w:p w14:paraId="682B4721">
            <w:pPr>
              <w:pStyle w:val="7"/>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主要单价项目名称</w:t>
            </w:r>
          </w:p>
        </w:tc>
        <w:tc>
          <w:tcPr>
            <w:tcW w:w="1857" w:type="dxa"/>
            <w:tcBorders>
              <w:top w:val="single" w:color="auto" w:sz="4" w:space="0"/>
              <w:left w:val="single" w:color="auto" w:sz="4" w:space="0"/>
              <w:bottom w:val="single" w:color="auto" w:sz="4" w:space="0"/>
              <w:right w:val="single" w:color="auto" w:sz="4" w:space="0"/>
            </w:tcBorders>
            <w:noWrap w:val="0"/>
            <w:vAlign w:val="center"/>
          </w:tcPr>
          <w:p w14:paraId="1ABBB6E2">
            <w:pPr>
              <w:pStyle w:val="7"/>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单价基准值</w:t>
            </w:r>
          </w:p>
        </w:tc>
        <w:tc>
          <w:tcPr>
            <w:tcW w:w="1857" w:type="dxa"/>
            <w:tcBorders>
              <w:top w:val="single" w:color="auto" w:sz="4" w:space="0"/>
              <w:left w:val="single" w:color="auto" w:sz="4" w:space="0"/>
              <w:bottom w:val="single" w:color="auto" w:sz="4" w:space="0"/>
              <w:right w:val="single" w:color="auto" w:sz="4" w:space="0"/>
            </w:tcBorders>
            <w:noWrap w:val="0"/>
            <w:vAlign w:val="center"/>
          </w:tcPr>
          <w:p w14:paraId="5A4A91A6">
            <w:pPr>
              <w:pStyle w:val="7"/>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投标单价</w:t>
            </w:r>
          </w:p>
        </w:tc>
        <w:tc>
          <w:tcPr>
            <w:tcW w:w="1859" w:type="dxa"/>
            <w:tcBorders>
              <w:top w:val="single" w:color="auto" w:sz="4" w:space="0"/>
              <w:left w:val="single" w:color="auto" w:sz="4" w:space="0"/>
              <w:bottom w:val="single" w:color="auto" w:sz="4" w:space="0"/>
              <w:right w:val="single" w:color="auto" w:sz="4" w:space="0"/>
            </w:tcBorders>
            <w:noWrap w:val="0"/>
            <w:vAlign w:val="center"/>
          </w:tcPr>
          <w:p w14:paraId="223CD1C7">
            <w:pPr>
              <w:pStyle w:val="7"/>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不平衡报价的调整单价</w:t>
            </w:r>
          </w:p>
        </w:tc>
        <w:tc>
          <w:tcPr>
            <w:tcW w:w="1104" w:type="dxa"/>
            <w:tcBorders>
              <w:top w:val="single" w:color="auto" w:sz="4" w:space="0"/>
              <w:left w:val="single" w:color="auto" w:sz="4" w:space="0"/>
              <w:bottom w:val="single" w:color="auto" w:sz="4" w:space="0"/>
              <w:right w:val="single" w:color="auto" w:sz="4" w:space="0"/>
            </w:tcBorders>
            <w:noWrap w:val="0"/>
            <w:vAlign w:val="center"/>
          </w:tcPr>
          <w:p w14:paraId="60D50694">
            <w:pPr>
              <w:pStyle w:val="7"/>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备注</w:t>
            </w:r>
          </w:p>
        </w:tc>
      </w:tr>
      <w:tr w14:paraId="5C9AE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316" w:type="dxa"/>
            <w:tcBorders>
              <w:top w:val="single" w:color="auto" w:sz="4" w:space="0"/>
              <w:left w:val="single" w:color="auto" w:sz="4" w:space="0"/>
              <w:bottom w:val="single" w:color="auto" w:sz="4" w:space="0"/>
              <w:right w:val="single" w:color="auto" w:sz="4" w:space="0"/>
            </w:tcBorders>
            <w:noWrap w:val="0"/>
            <w:vAlign w:val="center"/>
          </w:tcPr>
          <w:p w14:paraId="3F01ECE5">
            <w:pPr>
              <w:pStyle w:val="7"/>
              <w:spacing w:line="240" w:lineRule="auto"/>
              <w:ind w:left="560" w:firstLine="0"/>
              <w:rPr>
                <w:rFonts w:hint="eastAsia" w:ascii="宋体" w:hAnsi="宋体" w:eastAsia="宋体" w:cs="宋体"/>
                <w:sz w:val="24"/>
                <w:szCs w:val="24"/>
              </w:rPr>
            </w:pPr>
          </w:p>
        </w:tc>
        <w:tc>
          <w:tcPr>
            <w:tcW w:w="1862" w:type="dxa"/>
            <w:tcBorders>
              <w:top w:val="single" w:color="auto" w:sz="4" w:space="0"/>
              <w:left w:val="single" w:color="auto" w:sz="4" w:space="0"/>
              <w:bottom w:val="single" w:color="auto" w:sz="4" w:space="0"/>
              <w:right w:val="single" w:color="auto" w:sz="4" w:space="0"/>
            </w:tcBorders>
            <w:noWrap w:val="0"/>
            <w:vAlign w:val="center"/>
          </w:tcPr>
          <w:p w14:paraId="300AF5BB">
            <w:pPr>
              <w:pStyle w:val="7"/>
              <w:spacing w:line="240" w:lineRule="auto"/>
              <w:rPr>
                <w:rFonts w:hint="default" w:ascii="宋体" w:hAnsi="宋体" w:eastAsia="宋体" w:cs="宋体"/>
                <w:sz w:val="24"/>
                <w:szCs w:val="24"/>
                <w:lang w:val="en-US" w:eastAsia="zh-CN"/>
              </w:rPr>
            </w:pPr>
            <w:r>
              <w:rPr>
                <w:rFonts w:hint="eastAsia" w:ascii="宋体" w:hAnsi="宋体" w:cs="宋体"/>
                <w:sz w:val="24"/>
                <w:szCs w:val="24"/>
                <w:lang w:val="en-US" w:eastAsia="zh-CN"/>
              </w:rPr>
              <w:t>无</w:t>
            </w:r>
          </w:p>
        </w:tc>
        <w:tc>
          <w:tcPr>
            <w:tcW w:w="1857" w:type="dxa"/>
            <w:tcBorders>
              <w:top w:val="single" w:color="auto" w:sz="4" w:space="0"/>
              <w:left w:val="single" w:color="auto" w:sz="4" w:space="0"/>
              <w:bottom w:val="single" w:color="auto" w:sz="4" w:space="0"/>
              <w:right w:val="single" w:color="auto" w:sz="4" w:space="0"/>
            </w:tcBorders>
            <w:noWrap w:val="0"/>
            <w:vAlign w:val="center"/>
          </w:tcPr>
          <w:p w14:paraId="7566E47F">
            <w:pPr>
              <w:pStyle w:val="7"/>
              <w:spacing w:line="240" w:lineRule="auto"/>
              <w:ind w:left="560" w:firstLine="0"/>
              <w:rPr>
                <w:rFonts w:hint="eastAsia" w:ascii="宋体" w:hAnsi="宋体" w:eastAsia="宋体" w:cs="宋体"/>
                <w:sz w:val="24"/>
                <w:szCs w:val="24"/>
              </w:rPr>
            </w:pPr>
          </w:p>
        </w:tc>
        <w:tc>
          <w:tcPr>
            <w:tcW w:w="1857" w:type="dxa"/>
            <w:tcBorders>
              <w:top w:val="single" w:color="auto" w:sz="4" w:space="0"/>
              <w:left w:val="single" w:color="auto" w:sz="4" w:space="0"/>
              <w:bottom w:val="single" w:color="auto" w:sz="4" w:space="0"/>
              <w:right w:val="single" w:color="auto" w:sz="4" w:space="0"/>
            </w:tcBorders>
            <w:noWrap w:val="0"/>
            <w:vAlign w:val="center"/>
          </w:tcPr>
          <w:p w14:paraId="05CCA16A">
            <w:pPr>
              <w:pStyle w:val="7"/>
              <w:spacing w:line="240" w:lineRule="auto"/>
              <w:ind w:left="560" w:firstLine="0"/>
              <w:rPr>
                <w:rFonts w:hint="eastAsia" w:ascii="宋体" w:hAnsi="宋体" w:eastAsia="宋体" w:cs="宋体"/>
                <w:sz w:val="24"/>
                <w:szCs w:val="24"/>
              </w:rPr>
            </w:pPr>
          </w:p>
        </w:tc>
        <w:tc>
          <w:tcPr>
            <w:tcW w:w="1859" w:type="dxa"/>
            <w:tcBorders>
              <w:top w:val="single" w:color="auto" w:sz="4" w:space="0"/>
              <w:left w:val="single" w:color="auto" w:sz="4" w:space="0"/>
              <w:bottom w:val="single" w:color="auto" w:sz="4" w:space="0"/>
              <w:right w:val="single" w:color="auto" w:sz="4" w:space="0"/>
            </w:tcBorders>
            <w:noWrap w:val="0"/>
            <w:vAlign w:val="center"/>
          </w:tcPr>
          <w:p w14:paraId="4D8BBA55">
            <w:pPr>
              <w:pStyle w:val="7"/>
              <w:spacing w:line="240" w:lineRule="auto"/>
              <w:ind w:left="560" w:firstLine="0"/>
              <w:rPr>
                <w:rFonts w:hint="eastAsia" w:ascii="宋体" w:hAnsi="宋体" w:eastAsia="宋体" w:cs="宋体"/>
                <w:sz w:val="24"/>
                <w:szCs w:val="24"/>
              </w:rPr>
            </w:pPr>
          </w:p>
        </w:tc>
        <w:tc>
          <w:tcPr>
            <w:tcW w:w="1104" w:type="dxa"/>
            <w:tcBorders>
              <w:top w:val="single" w:color="auto" w:sz="4" w:space="0"/>
              <w:left w:val="single" w:color="auto" w:sz="4" w:space="0"/>
              <w:bottom w:val="single" w:color="auto" w:sz="4" w:space="0"/>
              <w:right w:val="single" w:color="auto" w:sz="4" w:space="0"/>
            </w:tcBorders>
            <w:noWrap w:val="0"/>
            <w:vAlign w:val="center"/>
          </w:tcPr>
          <w:p w14:paraId="334C6474">
            <w:pPr>
              <w:pStyle w:val="7"/>
              <w:spacing w:line="240" w:lineRule="auto"/>
              <w:ind w:left="560" w:firstLine="0"/>
              <w:rPr>
                <w:rFonts w:hint="eastAsia" w:ascii="宋体" w:hAnsi="宋体" w:eastAsia="宋体" w:cs="宋体"/>
                <w:sz w:val="24"/>
                <w:szCs w:val="24"/>
              </w:rPr>
            </w:pPr>
          </w:p>
        </w:tc>
      </w:tr>
      <w:tr w14:paraId="06B0E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316" w:type="dxa"/>
            <w:tcBorders>
              <w:top w:val="single" w:color="auto" w:sz="4" w:space="0"/>
              <w:left w:val="single" w:color="auto" w:sz="4" w:space="0"/>
              <w:bottom w:val="single" w:color="auto" w:sz="4" w:space="0"/>
              <w:right w:val="single" w:color="auto" w:sz="4" w:space="0"/>
            </w:tcBorders>
            <w:noWrap w:val="0"/>
            <w:vAlign w:val="center"/>
          </w:tcPr>
          <w:p w14:paraId="6BF34DE3">
            <w:pPr>
              <w:pStyle w:val="7"/>
              <w:spacing w:line="240" w:lineRule="auto"/>
              <w:ind w:left="560" w:firstLine="0"/>
              <w:rPr>
                <w:rFonts w:hint="eastAsia" w:ascii="宋体" w:hAnsi="宋体" w:eastAsia="宋体" w:cs="宋体"/>
                <w:sz w:val="24"/>
                <w:szCs w:val="24"/>
              </w:rPr>
            </w:pPr>
          </w:p>
        </w:tc>
        <w:tc>
          <w:tcPr>
            <w:tcW w:w="1862" w:type="dxa"/>
            <w:tcBorders>
              <w:top w:val="single" w:color="auto" w:sz="4" w:space="0"/>
              <w:left w:val="single" w:color="auto" w:sz="4" w:space="0"/>
              <w:bottom w:val="single" w:color="auto" w:sz="4" w:space="0"/>
              <w:right w:val="single" w:color="auto" w:sz="4" w:space="0"/>
            </w:tcBorders>
            <w:noWrap w:val="0"/>
            <w:vAlign w:val="center"/>
          </w:tcPr>
          <w:p w14:paraId="19B2B925">
            <w:pPr>
              <w:pStyle w:val="7"/>
              <w:spacing w:line="240" w:lineRule="auto"/>
              <w:ind w:left="560" w:firstLine="0"/>
              <w:rPr>
                <w:rFonts w:hint="eastAsia" w:ascii="宋体" w:hAnsi="宋体" w:eastAsia="宋体" w:cs="宋体"/>
                <w:sz w:val="24"/>
                <w:szCs w:val="24"/>
              </w:rPr>
            </w:pPr>
          </w:p>
        </w:tc>
        <w:tc>
          <w:tcPr>
            <w:tcW w:w="1857" w:type="dxa"/>
            <w:tcBorders>
              <w:top w:val="single" w:color="auto" w:sz="4" w:space="0"/>
              <w:left w:val="single" w:color="auto" w:sz="4" w:space="0"/>
              <w:bottom w:val="single" w:color="auto" w:sz="4" w:space="0"/>
              <w:right w:val="single" w:color="auto" w:sz="4" w:space="0"/>
            </w:tcBorders>
            <w:noWrap w:val="0"/>
            <w:vAlign w:val="center"/>
          </w:tcPr>
          <w:p w14:paraId="20683081">
            <w:pPr>
              <w:pStyle w:val="7"/>
              <w:spacing w:line="240" w:lineRule="auto"/>
              <w:ind w:left="560" w:firstLine="0"/>
              <w:rPr>
                <w:rFonts w:hint="eastAsia" w:ascii="宋体" w:hAnsi="宋体" w:eastAsia="宋体" w:cs="宋体"/>
                <w:sz w:val="24"/>
                <w:szCs w:val="24"/>
              </w:rPr>
            </w:pPr>
          </w:p>
        </w:tc>
        <w:tc>
          <w:tcPr>
            <w:tcW w:w="1857" w:type="dxa"/>
            <w:tcBorders>
              <w:top w:val="single" w:color="auto" w:sz="4" w:space="0"/>
              <w:left w:val="single" w:color="auto" w:sz="4" w:space="0"/>
              <w:bottom w:val="single" w:color="auto" w:sz="4" w:space="0"/>
              <w:right w:val="single" w:color="auto" w:sz="4" w:space="0"/>
            </w:tcBorders>
            <w:noWrap w:val="0"/>
            <w:vAlign w:val="center"/>
          </w:tcPr>
          <w:p w14:paraId="5BCF6918">
            <w:pPr>
              <w:pStyle w:val="7"/>
              <w:spacing w:line="240" w:lineRule="auto"/>
              <w:ind w:left="560" w:firstLine="0"/>
              <w:rPr>
                <w:rFonts w:hint="eastAsia" w:ascii="宋体" w:hAnsi="宋体" w:eastAsia="宋体" w:cs="宋体"/>
                <w:sz w:val="24"/>
                <w:szCs w:val="24"/>
              </w:rPr>
            </w:pPr>
          </w:p>
        </w:tc>
        <w:tc>
          <w:tcPr>
            <w:tcW w:w="1859" w:type="dxa"/>
            <w:tcBorders>
              <w:top w:val="single" w:color="auto" w:sz="4" w:space="0"/>
              <w:left w:val="single" w:color="auto" w:sz="4" w:space="0"/>
              <w:bottom w:val="single" w:color="auto" w:sz="4" w:space="0"/>
              <w:right w:val="single" w:color="auto" w:sz="4" w:space="0"/>
            </w:tcBorders>
            <w:noWrap w:val="0"/>
            <w:vAlign w:val="center"/>
          </w:tcPr>
          <w:p w14:paraId="600ED025">
            <w:pPr>
              <w:pStyle w:val="7"/>
              <w:spacing w:line="240" w:lineRule="auto"/>
              <w:ind w:left="560" w:firstLine="0"/>
              <w:rPr>
                <w:rFonts w:hint="eastAsia" w:ascii="宋体" w:hAnsi="宋体" w:eastAsia="宋体" w:cs="宋体"/>
                <w:sz w:val="24"/>
                <w:szCs w:val="24"/>
              </w:rPr>
            </w:pPr>
          </w:p>
        </w:tc>
        <w:tc>
          <w:tcPr>
            <w:tcW w:w="1104" w:type="dxa"/>
            <w:tcBorders>
              <w:top w:val="single" w:color="auto" w:sz="4" w:space="0"/>
              <w:left w:val="single" w:color="auto" w:sz="4" w:space="0"/>
              <w:bottom w:val="single" w:color="auto" w:sz="4" w:space="0"/>
              <w:right w:val="single" w:color="auto" w:sz="4" w:space="0"/>
            </w:tcBorders>
            <w:noWrap w:val="0"/>
            <w:vAlign w:val="center"/>
          </w:tcPr>
          <w:p w14:paraId="6D02588A">
            <w:pPr>
              <w:pStyle w:val="7"/>
              <w:spacing w:line="240" w:lineRule="auto"/>
              <w:ind w:left="560" w:firstLine="0"/>
              <w:rPr>
                <w:rFonts w:hint="eastAsia" w:ascii="宋体" w:hAnsi="宋体" w:eastAsia="宋体" w:cs="宋体"/>
                <w:sz w:val="24"/>
                <w:szCs w:val="24"/>
              </w:rPr>
            </w:pPr>
          </w:p>
        </w:tc>
      </w:tr>
      <w:tr w14:paraId="3C95B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316" w:type="dxa"/>
            <w:tcBorders>
              <w:top w:val="single" w:color="auto" w:sz="4" w:space="0"/>
              <w:left w:val="single" w:color="auto" w:sz="4" w:space="0"/>
              <w:bottom w:val="single" w:color="auto" w:sz="4" w:space="0"/>
              <w:right w:val="single" w:color="auto" w:sz="4" w:space="0"/>
            </w:tcBorders>
            <w:noWrap w:val="0"/>
            <w:vAlign w:val="center"/>
          </w:tcPr>
          <w:p w14:paraId="719356A2">
            <w:pPr>
              <w:pStyle w:val="7"/>
              <w:spacing w:line="240" w:lineRule="auto"/>
              <w:ind w:left="560" w:firstLine="0"/>
              <w:rPr>
                <w:rFonts w:hint="eastAsia" w:ascii="宋体" w:hAnsi="宋体" w:eastAsia="宋体" w:cs="宋体"/>
                <w:sz w:val="24"/>
                <w:szCs w:val="24"/>
              </w:rPr>
            </w:pPr>
          </w:p>
        </w:tc>
        <w:tc>
          <w:tcPr>
            <w:tcW w:w="1862" w:type="dxa"/>
            <w:tcBorders>
              <w:top w:val="single" w:color="auto" w:sz="4" w:space="0"/>
              <w:left w:val="single" w:color="auto" w:sz="4" w:space="0"/>
              <w:bottom w:val="single" w:color="auto" w:sz="4" w:space="0"/>
              <w:right w:val="single" w:color="auto" w:sz="4" w:space="0"/>
            </w:tcBorders>
            <w:noWrap w:val="0"/>
            <w:vAlign w:val="center"/>
          </w:tcPr>
          <w:p w14:paraId="4382A3C9">
            <w:pPr>
              <w:pStyle w:val="7"/>
              <w:spacing w:line="240" w:lineRule="auto"/>
              <w:ind w:left="560" w:firstLine="0"/>
              <w:rPr>
                <w:rFonts w:hint="eastAsia" w:ascii="宋体" w:hAnsi="宋体" w:eastAsia="宋体" w:cs="宋体"/>
                <w:sz w:val="24"/>
                <w:szCs w:val="24"/>
              </w:rPr>
            </w:pPr>
          </w:p>
        </w:tc>
        <w:tc>
          <w:tcPr>
            <w:tcW w:w="1857" w:type="dxa"/>
            <w:tcBorders>
              <w:top w:val="single" w:color="auto" w:sz="4" w:space="0"/>
              <w:left w:val="single" w:color="auto" w:sz="4" w:space="0"/>
              <w:bottom w:val="single" w:color="auto" w:sz="4" w:space="0"/>
              <w:right w:val="single" w:color="auto" w:sz="4" w:space="0"/>
            </w:tcBorders>
            <w:noWrap w:val="0"/>
            <w:vAlign w:val="center"/>
          </w:tcPr>
          <w:p w14:paraId="2F332C24">
            <w:pPr>
              <w:pStyle w:val="7"/>
              <w:spacing w:line="240" w:lineRule="auto"/>
              <w:ind w:left="560" w:firstLine="0"/>
              <w:rPr>
                <w:rFonts w:hint="eastAsia" w:ascii="宋体" w:hAnsi="宋体" w:eastAsia="宋体" w:cs="宋体"/>
                <w:sz w:val="24"/>
                <w:szCs w:val="24"/>
              </w:rPr>
            </w:pPr>
          </w:p>
        </w:tc>
        <w:tc>
          <w:tcPr>
            <w:tcW w:w="1857" w:type="dxa"/>
            <w:tcBorders>
              <w:top w:val="single" w:color="auto" w:sz="4" w:space="0"/>
              <w:left w:val="single" w:color="auto" w:sz="4" w:space="0"/>
              <w:bottom w:val="single" w:color="auto" w:sz="4" w:space="0"/>
              <w:right w:val="single" w:color="auto" w:sz="4" w:space="0"/>
            </w:tcBorders>
            <w:noWrap w:val="0"/>
            <w:vAlign w:val="center"/>
          </w:tcPr>
          <w:p w14:paraId="4215143C">
            <w:pPr>
              <w:pStyle w:val="7"/>
              <w:spacing w:line="240" w:lineRule="auto"/>
              <w:ind w:left="560" w:firstLine="0"/>
              <w:rPr>
                <w:rFonts w:hint="eastAsia" w:ascii="宋体" w:hAnsi="宋体" w:eastAsia="宋体" w:cs="宋体"/>
                <w:sz w:val="24"/>
                <w:szCs w:val="24"/>
              </w:rPr>
            </w:pPr>
          </w:p>
        </w:tc>
        <w:tc>
          <w:tcPr>
            <w:tcW w:w="1859" w:type="dxa"/>
            <w:tcBorders>
              <w:top w:val="single" w:color="auto" w:sz="4" w:space="0"/>
              <w:left w:val="single" w:color="auto" w:sz="4" w:space="0"/>
              <w:bottom w:val="single" w:color="auto" w:sz="4" w:space="0"/>
              <w:right w:val="single" w:color="auto" w:sz="4" w:space="0"/>
            </w:tcBorders>
            <w:noWrap w:val="0"/>
            <w:vAlign w:val="center"/>
          </w:tcPr>
          <w:p w14:paraId="354984D4">
            <w:pPr>
              <w:pStyle w:val="7"/>
              <w:spacing w:line="240" w:lineRule="auto"/>
              <w:ind w:left="560" w:firstLine="0"/>
              <w:rPr>
                <w:rFonts w:hint="eastAsia" w:ascii="宋体" w:hAnsi="宋体" w:eastAsia="宋体" w:cs="宋体"/>
                <w:sz w:val="24"/>
                <w:szCs w:val="24"/>
              </w:rPr>
            </w:pPr>
          </w:p>
        </w:tc>
        <w:tc>
          <w:tcPr>
            <w:tcW w:w="1104" w:type="dxa"/>
            <w:tcBorders>
              <w:top w:val="single" w:color="auto" w:sz="4" w:space="0"/>
              <w:left w:val="single" w:color="auto" w:sz="4" w:space="0"/>
              <w:bottom w:val="single" w:color="auto" w:sz="4" w:space="0"/>
              <w:right w:val="single" w:color="auto" w:sz="4" w:space="0"/>
            </w:tcBorders>
            <w:noWrap w:val="0"/>
            <w:vAlign w:val="center"/>
          </w:tcPr>
          <w:p w14:paraId="6487E64A">
            <w:pPr>
              <w:pStyle w:val="7"/>
              <w:spacing w:line="240" w:lineRule="auto"/>
              <w:ind w:left="560" w:firstLine="0"/>
              <w:rPr>
                <w:rFonts w:hint="eastAsia" w:ascii="宋体" w:hAnsi="宋体" w:eastAsia="宋体" w:cs="宋体"/>
                <w:sz w:val="24"/>
                <w:szCs w:val="24"/>
              </w:rPr>
            </w:pPr>
          </w:p>
        </w:tc>
      </w:tr>
      <w:tr w14:paraId="270E7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316" w:type="dxa"/>
            <w:tcBorders>
              <w:top w:val="single" w:color="auto" w:sz="4" w:space="0"/>
              <w:left w:val="single" w:color="auto" w:sz="4" w:space="0"/>
              <w:bottom w:val="single" w:color="auto" w:sz="4" w:space="0"/>
              <w:right w:val="single" w:color="auto" w:sz="4" w:space="0"/>
            </w:tcBorders>
            <w:noWrap w:val="0"/>
            <w:vAlign w:val="center"/>
          </w:tcPr>
          <w:p w14:paraId="452ADDEF">
            <w:pPr>
              <w:pStyle w:val="7"/>
              <w:spacing w:line="240" w:lineRule="auto"/>
              <w:ind w:left="560" w:firstLine="0"/>
              <w:rPr>
                <w:rFonts w:hint="eastAsia" w:ascii="宋体" w:hAnsi="宋体" w:eastAsia="宋体" w:cs="宋体"/>
                <w:sz w:val="24"/>
                <w:szCs w:val="24"/>
              </w:rPr>
            </w:pPr>
          </w:p>
        </w:tc>
        <w:tc>
          <w:tcPr>
            <w:tcW w:w="1862" w:type="dxa"/>
            <w:tcBorders>
              <w:top w:val="single" w:color="auto" w:sz="4" w:space="0"/>
              <w:left w:val="single" w:color="auto" w:sz="4" w:space="0"/>
              <w:bottom w:val="single" w:color="auto" w:sz="4" w:space="0"/>
              <w:right w:val="single" w:color="auto" w:sz="4" w:space="0"/>
            </w:tcBorders>
            <w:noWrap w:val="0"/>
            <w:vAlign w:val="center"/>
          </w:tcPr>
          <w:p w14:paraId="6D422672">
            <w:pPr>
              <w:pStyle w:val="7"/>
              <w:spacing w:line="240" w:lineRule="auto"/>
              <w:ind w:left="560" w:firstLine="0"/>
              <w:rPr>
                <w:rFonts w:hint="eastAsia" w:ascii="宋体" w:hAnsi="宋体" w:eastAsia="宋体" w:cs="宋体"/>
                <w:sz w:val="24"/>
                <w:szCs w:val="24"/>
              </w:rPr>
            </w:pPr>
          </w:p>
        </w:tc>
        <w:tc>
          <w:tcPr>
            <w:tcW w:w="1857" w:type="dxa"/>
            <w:tcBorders>
              <w:top w:val="single" w:color="auto" w:sz="4" w:space="0"/>
              <w:left w:val="single" w:color="auto" w:sz="4" w:space="0"/>
              <w:bottom w:val="single" w:color="auto" w:sz="4" w:space="0"/>
              <w:right w:val="single" w:color="auto" w:sz="4" w:space="0"/>
            </w:tcBorders>
            <w:noWrap w:val="0"/>
            <w:vAlign w:val="center"/>
          </w:tcPr>
          <w:p w14:paraId="180CAAD7">
            <w:pPr>
              <w:pStyle w:val="7"/>
              <w:spacing w:line="240" w:lineRule="auto"/>
              <w:ind w:left="560" w:firstLine="0"/>
              <w:rPr>
                <w:rFonts w:hint="eastAsia" w:ascii="宋体" w:hAnsi="宋体" w:eastAsia="宋体" w:cs="宋体"/>
                <w:sz w:val="24"/>
                <w:szCs w:val="24"/>
              </w:rPr>
            </w:pPr>
          </w:p>
        </w:tc>
        <w:tc>
          <w:tcPr>
            <w:tcW w:w="1857" w:type="dxa"/>
            <w:tcBorders>
              <w:top w:val="single" w:color="auto" w:sz="4" w:space="0"/>
              <w:left w:val="single" w:color="auto" w:sz="4" w:space="0"/>
              <w:bottom w:val="single" w:color="auto" w:sz="4" w:space="0"/>
              <w:right w:val="single" w:color="auto" w:sz="4" w:space="0"/>
            </w:tcBorders>
            <w:noWrap w:val="0"/>
            <w:vAlign w:val="center"/>
          </w:tcPr>
          <w:p w14:paraId="2F8EB137">
            <w:pPr>
              <w:pStyle w:val="7"/>
              <w:spacing w:line="240" w:lineRule="auto"/>
              <w:ind w:left="560" w:firstLine="0"/>
              <w:rPr>
                <w:rFonts w:hint="eastAsia" w:ascii="宋体" w:hAnsi="宋体" w:eastAsia="宋体" w:cs="宋体"/>
                <w:sz w:val="24"/>
                <w:szCs w:val="24"/>
              </w:rPr>
            </w:pPr>
          </w:p>
        </w:tc>
        <w:tc>
          <w:tcPr>
            <w:tcW w:w="1859" w:type="dxa"/>
            <w:tcBorders>
              <w:top w:val="single" w:color="auto" w:sz="4" w:space="0"/>
              <w:left w:val="single" w:color="auto" w:sz="4" w:space="0"/>
              <w:bottom w:val="single" w:color="auto" w:sz="4" w:space="0"/>
              <w:right w:val="single" w:color="auto" w:sz="4" w:space="0"/>
            </w:tcBorders>
            <w:noWrap w:val="0"/>
            <w:vAlign w:val="center"/>
          </w:tcPr>
          <w:p w14:paraId="02C0FA2A">
            <w:pPr>
              <w:pStyle w:val="7"/>
              <w:spacing w:line="240" w:lineRule="auto"/>
              <w:ind w:left="560" w:firstLine="0"/>
              <w:rPr>
                <w:rFonts w:hint="eastAsia" w:ascii="宋体" w:hAnsi="宋体" w:eastAsia="宋体" w:cs="宋体"/>
                <w:sz w:val="24"/>
                <w:szCs w:val="24"/>
              </w:rPr>
            </w:pPr>
          </w:p>
        </w:tc>
        <w:tc>
          <w:tcPr>
            <w:tcW w:w="1104" w:type="dxa"/>
            <w:tcBorders>
              <w:top w:val="single" w:color="auto" w:sz="4" w:space="0"/>
              <w:left w:val="single" w:color="auto" w:sz="4" w:space="0"/>
              <w:bottom w:val="single" w:color="auto" w:sz="4" w:space="0"/>
              <w:right w:val="single" w:color="auto" w:sz="4" w:space="0"/>
            </w:tcBorders>
            <w:noWrap w:val="0"/>
            <w:vAlign w:val="center"/>
          </w:tcPr>
          <w:p w14:paraId="28B5FCCD">
            <w:pPr>
              <w:pStyle w:val="7"/>
              <w:spacing w:line="240" w:lineRule="auto"/>
              <w:ind w:left="560" w:firstLine="0"/>
              <w:rPr>
                <w:rFonts w:hint="eastAsia" w:ascii="宋体" w:hAnsi="宋体" w:eastAsia="宋体" w:cs="宋体"/>
                <w:sz w:val="24"/>
                <w:szCs w:val="24"/>
              </w:rPr>
            </w:pPr>
          </w:p>
        </w:tc>
      </w:tr>
      <w:tr w14:paraId="00C2C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316" w:type="dxa"/>
            <w:tcBorders>
              <w:top w:val="single" w:color="auto" w:sz="4" w:space="0"/>
              <w:left w:val="single" w:color="auto" w:sz="4" w:space="0"/>
              <w:bottom w:val="single" w:color="auto" w:sz="4" w:space="0"/>
              <w:right w:val="single" w:color="auto" w:sz="4" w:space="0"/>
            </w:tcBorders>
            <w:noWrap w:val="0"/>
            <w:vAlign w:val="center"/>
          </w:tcPr>
          <w:p w14:paraId="305BD61F">
            <w:pPr>
              <w:pStyle w:val="7"/>
              <w:spacing w:line="240" w:lineRule="auto"/>
              <w:ind w:left="560" w:firstLine="0"/>
              <w:rPr>
                <w:rFonts w:hint="eastAsia" w:ascii="宋体" w:hAnsi="宋体" w:eastAsia="宋体" w:cs="宋体"/>
                <w:sz w:val="24"/>
                <w:szCs w:val="24"/>
              </w:rPr>
            </w:pPr>
          </w:p>
        </w:tc>
        <w:tc>
          <w:tcPr>
            <w:tcW w:w="1862" w:type="dxa"/>
            <w:tcBorders>
              <w:top w:val="single" w:color="auto" w:sz="4" w:space="0"/>
              <w:left w:val="single" w:color="auto" w:sz="4" w:space="0"/>
              <w:bottom w:val="single" w:color="auto" w:sz="4" w:space="0"/>
              <w:right w:val="single" w:color="auto" w:sz="4" w:space="0"/>
            </w:tcBorders>
            <w:noWrap w:val="0"/>
            <w:vAlign w:val="center"/>
          </w:tcPr>
          <w:p w14:paraId="36DE96D3">
            <w:pPr>
              <w:pStyle w:val="7"/>
              <w:spacing w:line="240" w:lineRule="auto"/>
              <w:ind w:left="560" w:firstLine="0"/>
              <w:rPr>
                <w:rFonts w:hint="eastAsia" w:ascii="宋体" w:hAnsi="宋体" w:eastAsia="宋体" w:cs="宋体"/>
                <w:sz w:val="24"/>
                <w:szCs w:val="24"/>
              </w:rPr>
            </w:pPr>
          </w:p>
        </w:tc>
        <w:tc>
          <w:tcPr>
            <w:tcW w:w="1857" w:type="dxa"/>
            <w:tcBorders>
              <w:top w:val="single" w:color="auto" w:sz="4" w:space="0"/>
              <w:left w:val="single" w:color="auto" w:sz="4" w:space="0"/>
              <w:bottom w:val="single" w:color="auto" w:sz="4" w:space="0"/>
              <w:right w:val="single" w:color="auto" w:sz="4" w:space="0"/>
            </w:tcBorders>
            <w:noWrap w:val="0"/>
            <w:vAlign w:val="center"/>
          </w:tcPr>
          <w:p w14:paraId="66DC9C3B">
            <w:pPr>
              <w:pStyle w:val="7"/>
              <w:spacing w:line="240" w:lineRule="auto"/>
              <w:ind w:left="560" w:firstLine="0"/>
              <w:rPr>
                <w:rFonts w:hint="eastAsia" w:ascii="宋体" w:hAnsi="宋体" w:eastAsia="宋体" w:cs="宋体"/>
                <w:sz w:val="24"/>
                <w:szCs w:val="24"/>
              </w:rPr>
            </w:pPr>
          </w:p>
        </w:tc>
        <w:tc>
          <w:tcPr>
            <w:tcW w:w="1857" w:type="dxa"/>
            <w:tcBorders>
              <w:top w:val="single" w:color="auto" w:sz="4" w:space="0"/>
              <w:left w:val="single" w:color="auto" w:sz="4" w:space="0"/>
              <w:bottom w:val="single" w:color="auto" w:sz="4" w:space="0"/>
              <w:right w:val="single" w:color="auto" w:sz="4" w:space="0"/>
            </w:tcBorders>
            <w:noWrap w:val="0"/>
            <w:vAlign w:val="center"/>
          </w:tcPr>
          <w:p w14:paraId="7056DD8E">
            <w:pPr>
              <w:pStyle w:val="7"/>
              <w:spacing w:line="240" w:lineRule="auto"/>
              <w:ind w:left="560" w:firstLine="0"/>
              <w:rPr>
                <w:rFonts w:hint="eastAsia" w:ascii="宋体" w:hAnsi="宋体" w:eastAsia="宋体" w:cs="宋体"/>
                <w:sz w:val="24"/>
                <w:szCs w:val="24"/>
              </w:rPr>
            </w:pPr>
          </w:p>
        </w:tc>
        <w:tc>
          <w:tcPr>
            <w:tcW w:w="1859" w:type="dxa"/>
            <w:tcBorders>
              <w:top w:val="single" w:color="auto" w:sz="4" w:space="0"/>
              <w:left w:val="single" w:color="auto" w:sz="4" w:space="0"/>
              <w:bottom w:val="single" w:color="auto" w:sz="4" w:space="0"/>
              <w:right w:val="single" w:color="auto" w:sz="4" w:space="0"/>
            </w:tcBorders>
            <w:noWrap w:val="0"/>
            <w:vAlign w:val="center"/>
          </w:tcPr>
          <w:p w14:paraId="5FD3733B">
            <w:pPr>
              <w:pStyle w:val="7"/>
              <w:spacing w:line="240" w:lineRule="auto"/>
              <w:ind w:left="560" w:firstLine="0"/>
              <w:rPr>
                <w:rFonts w:hint="eastAsia" w:ascii="宋体" w:hAnsi="宋体" w:eastAsia="宋体" w:cs="宋体"/>
                <w:sz w:val="24"/>
                <w:szCs w:val="24"/>
              </w:rPr>
            </w:pPr>
          </w:p>
        </w:tc>
        <w:tc>
          <w:tcPr>
            <w:tcW w:w="1104" w:type="dxa"/>
            <w:tcBorders>
              <w:top w:val="single" w:color="auto" w:sz="4" w:space="0"/>
              <w:left w:val="single" w:color="auto" w:sz="4" w:space="0"/>
              <w:bottom w:val="single" w:color="auto" w:sz="4" w:space="0"/>
              <w:right w:val="single" w:color="auto" w:sz="4" w:space="0"/>
            </w:tcBorders>
            <w:noWrap w:val="0"/>
            <w:vAlign w:val="center"/>
          </w:tcPr>
          <w:p w14:paraId="3A1E41BF">
            <w:pPr>
              <w:pStyle w:val="7"/>
              <w:spacing w:line="240" w:lineRule="auto"/>
              <w:ind w:left="560" w:firstLine="0"/>
              <w:rPr>
                <w:rFonts w:hint="eastAsia" w:ascii="宋体" w:hAnsi="宋体" w:eastAsia="宋体" w:cs="宋体"/>
                <w:sz w:val="24"/>
                <w:szCs w:val="24"/>
              </w:rPr>
            </w:pPr>
          </w:p>
        </w:tc>
      </w:tr>
    </w:tbl>
    <w:p w14:paraId="453D5D47">
      <w:pPr>
        <w:ind w:left="560"/>
        <w:rPr>
          <w:rFonts w:hint="eastAsia" w:ascii="宋体" w:hAnsi="宋体" w:eastAsia="宋体" w:cs="宋体"/>
          <w:b/>
          <w:sz w:val="30"/>
          <w:szCs w:val="30"/>
        </w:rPr>
      </w:pPr>
    </w:p>
    <w:p w14:paraId="4AC8DEA5">
      <w:pPr>
        <w:ind w:firstLine="2249" w:firstLineChars="800"/>
        <w:rPr>
          <w:rFonts w:hint="eastAsia" w:ascii="宋体" w:hAnsi="宋体" w:eastAsia="宋体" w:cs="宋体"/>
          <w:b/>
          <w:sz w:val="28"/>
          <w:szCs w:val="28"/>
        </w:rPr>
      </w:pPr>
      <w:r>
        <w:rPr>
          <w:rFonts w:hint="eastAsia" w:ascii="宋体" w:hAnsi="宋体" w:eastAsia="宋体" w:cs="宋体"/>
          <w:b/>
          <w:sz w:val="28"/>
          <w:szCs w:val="28"/>
        </w:rPr>
        <w:t xml:space="preserve">承包人（公章）：               </w:t>
      </w:r>
    </w:p>
    <w:p w14:paraId="38A43973">
      <w:pPr>
        <w:ind w:firstLine="2249" w:firstLineChars="800"/>
        <w:rPr>
          <w:rFonts w:hint="eastAsia" w:ascii="宋体" w:hAnsi="宋体" w:eastAsia="宋体" w:cs="宋体"/>
          <w:b/>
          <w:sz w:val="28"/>
          <w:szCs w:val="28"/>
        </w:rPr>
      </w:pPr>
    </w:p>
    <w:p w14:paraId="353E006F">
      <w:pPr>
        <w:ind w:firstLine="2249" w:firstLineChars="800"/>
        <w:rPr>
          <w:rFonts w:hint="eastAsia" w:ascii="宋体" w:hAnsi="宋体" w:eastAsia="宋体" w:cs="宋体"/>
          <w:b/>
          <w:sz w:val="28"/>
          <w:szCs w:val="28"/>
        </w:rPr>
      </w:pPr>
    </w:p>
    <w:p w14:paraId="54CFE831">
      <w:pPr>
        <w:ind w:firstLine="2249" w:firstLineChars="800"/>
        <w:rPr>
          <w:rFonts w:hint="eastAsia" w:ascii="宋体" w:hAnsi="宋体" w:eastAsia="宋体" w:cs="宋体"/>
          <w:b/>
          <w:sz w:val="28"/>
          <w:szCs w:val="28"/>
        </w:rPr>
      </w:pPr>
      <w:r>
        <w:rPr>
          <w:rFonts w:hint="eastAsia" w:ascii="宋体" w:hAnsi="宋体" w:eastAsia="宋体" w:cs="宋体"/>
          <w:b/>
          <w:sz w:val="28"/>
          <w:szCs w:val="28"/>
        </w:rPr>
        <w:t>投标人授权代表（签字）：</w:t>
      </w:r>
    </w:p>
    <w:p w14:paraId="496219E6">
      <w:pPr>
        <w:ind w:firstLine="2249" w:firstLineChars="800"/>
        <w:rPr>
          <w:rFonts w:hint="eastAsia" w:ascii="宋体" w:hAnsi="宋体" w:eastAsia="宋体" w:cs="宋体"/>
          <w:b/>
          <w:sz w:val="28"/>
          <w:szCs w:val="28"/>
        </w:rPr>
      </w:pPr>
    </w:p>
    <w:p w14:paraId="01001316">
      <w:pPr>
        <w:ind w:firstLine="2249" w:firstLineChars="800"/>
        <w:rPr>
          <w:rFonts w:hint="eastAsia" w:ascii="宋体" w:hAnsi="宋体" w:eastAsia="宋体" w:cs="宋体"/>
          <w:b/>
          <w:sz w:val="28"/>
          <w:szCs w:val="28"/>
        </w:rPr>
      </w:pPr>
    </w:p>
    <w:p w14:paraId="29352621">
      <w:pPr>
        <w:ind w:firstLine="2249" w:firstLineChars="800"/>
        <w:rPr>
          <w:rFonts w:hint="eastAsia" w:ascii="宋体" w:hAnsi="宋体" w:eastAsia="宋体" w:cs="宋体"/>
          <w:b/>
          <w:sz w:val="28"/>
          <w:szCs w:val="28"/>
        </w:rPr>
      </w:pPr>
      <w:r>
        <w:rPr>
          <w:rFonts w:hint="eastAsia" w:ascii="宋体" w:hAnsi="宋体" w:eastAsia="宋体" w:cs="宋体"/>
          <w:b/>
          <w:sz w:val="28"/>
          <w:szCs w:val="28"/>
        </w:rPr>
        <w:t>日期：年月日</w:t>
      </w:r>
    </w:p>
    <w:p w14:paraId="4EB0D7D1">
      <w:pPr>
        <w:ind w:firstLine="2249" w:firstLineChars="800"/>
        <w:rPr>
          <w:rFonts w:hint="eastAsia" w:ascii="宋体" w:hAnsi="宋体" w:eastAsia="宋体" w:cs="宋体"/>
          <w:b/>
          <w:sz w:val="28"/>
          <w:szCs w:val="28"/>
        </w:rPr>
      </w:pPr>
    </w:p>
    <w:p w14:paraId="70D4FF26">
      <w:pPr>
        <w:autoSpaceDN w:val="0"/>
        <w:adjustRightInd w:val="0"/>
        <w:snapToGrid w:val="0"/>
        <w:jc w:val="left"/>
        <w:rPr>
          <w:rFonts w:hint="eastAsia" w:ascii="宋体" w:hAnsi="宋体" w:eastAsia="宋体" w:cs="宋体"/>
          <w:strike/>
          <w:sz w:val="28"/>
          <w:szCs w:val="28"/>
        </w:rPr>
      </w:pPr>
      <w:r>
        <w:rPr>
          <w:rFonts w:hint="eastAsia" w:ascii="宋体" w:hAnsi="宋体" w:eastAsia="宋体" w:cs="宋体"/>
          <w:b/>
          <w:sz w:val="28"/>
          <w:szCs w:val="28"/>
        </w:rPr>
        <w:t>（备注：此表在合同澄清阶段由承包人确认后作为合同附件，在合同实施阶段按照作为专用合同条款11.3执行依据。）</w:t>
      </w:r>
    </w:p>
    <w:p w14:paraId="3905A322">
      <w:pPr>
        <w:autoSpaceDN w:val="0"/>
        <w:adjustRightInd w:val="0"/>
        <w:snapToGrid w:val="0"/>
        <w:ind w:left="1200" w:hanging="1200" w:hangingChars="400"/>
        <w:jc w:val="left"/>
        <w:rPr>
          <w:rFonts w:hint="eastAsia" w:ascii="宋体" w:hAnsi="宋体" w:eastAsia="宋体" w:cs="宋体"/>
          <w:strike/>
          <w:sz w:val="30"/>
          <w:szCs w:val="30"/>
        </w:rPr>
      </w:pPr>
    </w:p>
    <w:p w14:paraId="0500F567">
      <w:pPr>
        <w:pStyle w:val="16"/>
        <w:rPr>
          <w:rFonts w:hint="eastAsia" w:ascii="宋体" w:hAnsi="宋体" w:eastAsia="宋体" w:cs="宋体"/>
        </w:rPr>
      </w:pPr>
    </w:p>
    <w:p w14:paraId="03DE3D12">
      <w:pPr>
        <w:pStyle w:val="16"/>
        <w:rPr>
          <w:rFonts w:hint="eastAsia" w:ascii="宋体" w:hAnsi="宋体" w:eastAsia="宋体" w:cs="宋体"/>
        </w:rPr>
      </w:pPr>
    </w:p>
    <w:p w14:paraId="7426C206">
      <w:pPr>
        <w:pStyle w:val="16"/>
        <w:rPr>
          <w:rFonts w:hint="eastAsia" w:ascii="宋体" w:hAnsi="宋体" w:eastAsia="宋体" w:cs="宋体"/>
        </w:rPr>
      </w:pPr>
    </w:p>
    <w:p w14:paraId="6CD4DA6E">
      <w:pPr>
        <w:pStyle w:val="16"/>
        <w:rPr>
          <w:rFonts w:hint="eastAsia" w:ascii="宋体" w:hAnsi="宋体" w:eastAsia="宋体" w:cs="宋体"/>
        </w:rPr>
      </w:pPr>
    </w:p>
    <w:p w14:paraId="24ADACFE">
      <w:pPr>
        <w:pStyle w:val="16"/>
        <w:rPr>
          <w:rFonts w:hint="eastAsia" w:ascii="宋体" w:hAnsi="宋体" w:eastAsia="宋体" w:cs="宋体"/>
        </w:rPr>
      </w:pPr>
    </w:p>
    <w:p w14:paraId="33CCB567">
      <w:pPr>
        <w:pStyle w:val="16"/>
        <w:rPr>
          <w:rFonts w:hint="eastAsia" w:ascii="宋体" w:hAnsi="宋体" w:eastAsia="宋体" w:cs="宋体"/>
        </w:rPr>
      </w:pPr>
    </w:p>
    <w:p w14:paraId="36AA3F9B">
      <w:pPr>
        <w:pStyle w:val="16"/>
        <w:rPr>
          <w:rFonts w:hint="eastAsia" w:ascii="宋体" w:hAnsi="宋体" w:eastAsia="宋体" w:cs="宋体"/>
        </w:rPr>
      </w:pPr>
    </w:p>
    <w:p w14:paraId="5A4E3747">
      <w:pPr>
        <w:pStyle w:val="16"/>
        <w:rPr>
          <w:rFonts w:hint="eastAsia" w:ascii="宋体" w:hAnsi="宋体" w:eastAsia="宋体" w:cs="宋体"/>
        </w:rPr>
      </w:pPr>
    </w:p>
    <w:p w14:paraId="32283E0E">
      <w:pPr>
        <w:pStyle w:val="16"/>
        <w:rPr>
          <w:rFonts w:hint="eastAsia" w:ascii="宋体" w:hAnsi="宋体" w:eastAsia="宋体" w:cs="宋体"/>
        </w:rPr>
      </w:pPr>
    </w:p>
    <w:p w14:paraId="3AB93E0A">
      <w:pPr>
        <w:autoSpaceDN w:val="0"/>
        <w:adjustRightInd w:val="0"/>
        <w:snapToGrid w:val="0"/>
        <w:jc w:val="left"/>
        <w:outlineLvl w:val="0"/>
        <w:rPr>
          <w:rFonts w:hint="eastAsia" w:ascii="宋体" w:hAnsi="宋体" w:eastAsia="宋体" w:cs="宋体"/>
          <w:sz w:val="28"/>
          <w:szCs w:val="28"/>
        </w:rPr>
      </w:pPr>
      <w:bookmarkStart w:id="806" w:name="_Toc32411"/>
      <w:bookmarkStart w:id="807" w:name="_Toc20068"/>
      <w:bookmarkStart w:id="808" w:name="_Toc7943"/>
      <w:bookmarkStart w:id="809" w:name="_Toc19480"/>
      <w:bookmarkStart w:id="810" w:name="_Toc7910"/>
      <w:bookmarkStart w:id="811" w:name="_Toc16877"/>
      <w:bookmarkStart w:id="812" w:name="_Toc19582"/>
      <w:bookmarkStart w:id="813" w:name="_Toc23849"/>
      <w:bookmarkStart w:id="814" w:name="_Toc30649"/>
      <w:bookmarkStart w:id="815" w:name="_Toc10394"/>
      <w:r>
        <w:rPr>
          <w:rFonts w:hint="eastAsia" w:ascii="宋体" w:hAnsi="宋体" w:eastAsia="宋体" w:cs="宋体"/>
          <w:sz w:val="28"/>
          <w:szCs w:val="28"/>
        </w:rPr>
        <w:br w:type="page"/>
      </w:r>
      <w:bookmarkStart w:id="816" w:name="_Toc23814"/>
      <w:bookmarkStart w:id="817" w:name="_Toc2158"/>
      <w:bookmarkStart w:id="818" w:name="_Toc8589"/>
      <w:bookmarkStart w:id="819" w:name="_Toc13808"/>
      <w:r>
        <w:rPr>
          <w:rFonts w:hint="eastAsia" w:ascii="宋体" w:hAnsi="宋体" w:eastAsia="宋体" w:cs="宋体"/>
          <w:sz w:val="28"/>
          <w:szCs w:val="28"/>
        </w:rPr>
        <w:t>附件14：安全责任书</w:t>
      </w:r>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p>
    <w:p w14:paraId="60D6132B">
      <w:pPr>
        <w:spacing w:line="360" w:lineRule="auto"/>
        <w:jc w:val="center"/>
        <w:rPr>
          <w:rFonts w:hint="eastAsia" w:ascii="宋体" w:hAnsi="宋体" w:eastAsia="宋体" w:cs="宋体"/>
          <w:b/>
          <w:sz w:val="36"/>
          <w:szCs w:val="36"/>
        </w:rPr>
      </w:pPr>
      <w:bookmarkStart w:id="820" w:name="_Toc138748610"/>
      <w:bookmarkStart w:id="821" w:name="_Toc115711033"/>
      <w:bookmarkStart w:id="822" w:name="_Toc138748109"/>
      <w:r>
        <w:rPr>
          <w:rFonts w:hint="eastAsia" w:ascii="宋体" w:hAnsi="宋体" w:eastAsia="宋体" w:cs="宋体"/>
          <w:b/>
          <w:snapToGrid w:val="0"/>
          <w:spacing w:val="4"/>
          <w:kern w:val="0"/>
          <w:sz w:val="36"/>
          <w:szCs w:val="36"/>
        </w:rPr>
        <w:t>安全</w:t>
      </w:r>
      <w:bookmarkEnd w:id="820"/>
      <w:bookmarkEnd w:id="821"/>
      <w:bookmarkEnd w:id="822"/>
      <w:r>
        <w:rPr>
          <w:rFonts w:hint="eastAsia" w:ascii="宋体" w:hAnsi="宋体" w:eastAsia="宋体" w:cs="宋体"/>
          <w:b/>
          <w:snapToGrid w:val="0"/>
          <w:spacing w:val="4"/>
          <w:kern w:val="0"/>
          <w:sz w:val="36"/>
          <w:szCs w:val="36"/>
        </w:rPr>
        <w:t>责任书</w:t>
      </w:r>
    </w:p>
    <w:p w14:paraId="2897D4A1">
      <w:pPr>
        <w:rPr>
          <w:rFonts w:hint="eastAsia" w:ascii="宋体" w:hAnsi="宋体" w:eastAsia="宋体" w:cs="宋体"/>
          <w:sz w:val="24"/>
          <w:szCs w:val="24"/>
          <w:u w:val="single"/>
        </w:rPr>
      </w:pPr>
      <w:r>
        <w:rPr>
          <w:rFonts w:hint="eastAsia" w:ascii="宋体" w:hAnsi="宋体" w:eastAsia="宋体" w:cs="宋体"/>
          <w:sz w:val="24"/>
          <w:szCs w:val="24"/>
        </w:rPr>
        <w:t xml:space="preserve">发包人（全称）：广州地铁工程咨询有限公司 </w:t>
      </w:r>
    </w:p>
    <w:p w14:paraId="6B1D758E">
      <w:pPr>
        <w:rPr>
          <w:rFonts w:hint="eastAsia" w:ascii="宋体" w:hAnsi="宋体" w:eastAsia="宋体" w:cs="宋体"/>
          <w:sz w:val="24"/>
          <w:szCs w:val="24"/>
        </w:rPr>
      </w:pPr>
      <w:r>
        <w:rPr>
          <w:rFonts w:hint="eastAsia" w:ascii="宋体" w:hAnsi="宋体" w:eastAsia="宋体" w:cs="宋体"/>
          <w:sz w:val="24"/>
          <w:szCs w:val="24"/>
        </w:rPr>
        <w:t>承包人（全称）：</w:t>
      </w:r>
    </w:p>
    <w:p w14:paraId="30790742">
      <w:pPr>
        <w:rPr>
          <w:rFonts w:hint="eastAsia" w:ascii="宋体" w:hAnsi="宋体" w:eastAsia="宋体" w:cs="宋体"/>
          <w:sz w:val="24"/>
        </w:rPr>
      </w:pPr>
      <w:r>
        <w:rPr>
          <w:rFonts w:hint="eastAsia" w:ascii="宋体" w:hAnsi="宋体" w:eastAsia="宋体" w:cs="宋体"/>
          <w:sz w:val="24"/>
          <w:szCs w:val="24"/>
        </w:rPr>
        <w:t xml:space="preserve">             </w:t>
      </w:r>
    </w:p>
    <w:p w14:paraId="6400C79F">
      <w:pPr>
        <w:snapToGrid w:val="0"/>
        <w:ind w:firstLine="480" w:firstLineChars="200"/>
        <w:rPr>
          <w:rFonts w:hint="eastAsia" w:ascii="宋体" w:hAnsi="宋体" w:eastAsia="宋体" w:cs="宋体"/>
          <w:sz w:val="24"/>
          <w:szCs w:val="24"/>
        </w:rPr>
      </w:pPr>
      <w:r>
        <w:rPr>
          <w:rFonts w:hint="eastAsia" w:ascii="宋体" w:hAnsi="宋体" w:eastAsia="宋体" w:cs="宋体"/>
          <w:sz w:val="24"/>
          <w:szCs w:val="24"/>
        </w:rPr>
        <w:t>为在合同的实施过程中创造安全、高效的施工环境，切实搞好本项目的安全管理工作，本项目发包人与承包人特此签订安全生产合同：</w:t>
      </w:r>
    </w:p>
    <w:p w14:paraId="1C3E6031">
      <w:pPr>
        <w:snapToGrid w:val="0"/>
        <w:ind w:firstLine="480" w:firstLineChars="200"/>
        <w:rPr>
          <w:rFonts w:hint="eastAsia" w:ascii="宋体" w:hAnsi="宋体" w:eastAsia="宋体" w:cs="宋体"/>
          <w:sz w:val="24"/>
          <w:szCs w:val="24"/>
        </w:rPr>
      </w:pPr>
      <w:r>
        <w:rPr>
          <w:rFonts w:hint="eastAsia" w:ascii="宋体" w:hAnsi="宋体" w:eastAsia="宋体" w:cs="宋体"/>
          <w:sz w:val="24"/>
          <w:szCs w:val="24"/>
        </w:rPr>
        <w:t>一、发包人职责</w:t>
      </w:r>
    </w:p>
    <w:p w14:paraId="2DF5817F">
      <w:pPr>
        <w:snapToGrid w:val="0"/>
        <w:ind w:firstLine="480" w:firstLineChars="200"/>
        <w:rPr>
          <w:rFonts w:hint="eastAsia" w:ascii="宋体" w:hAnsi="宋体" w:eastAsia="宋体" w:cs="宋体"/>
          <w:sz w:val="24"/>
          <w:szCs w:val="24"/>
        </w:rPr>
      </w:pPr>
      <w:r>
        <w:rPr>
          <w:rFonts w:hint="eastAsia" w:ascii="宋体" w:hAnsi="宋体" w:eastAsia="宋体" w:cs="宋体"/>
          <w:sz w:val="24"/>
          <w:szCs w:val="24"/>
        </w:rPr>
        <w:t>1、严格遵守国家有关安全生产的法律法规，认真执行工程承包合同中的有关安全要求。</w:t>
      </w:r>
    </w:p>
    <w:p w14:paraId="79A8E9EE">
      <w:pPr>
        <w:snapToGrid w:val="0"/>
        <w:ind w:firstLine="480" w:firstLineChars="200"/>
        <w:rPr>
          <w:rFonts w:hint="eastAsia" w:ascii="宋体" w:hAnsi="宋体" w:eastAsia="宋体" w:cs="宋体"/>
          <w:sz w:val="24"/>
          <w:szCs w:val="24"/>
        </w:rPr>
      </w:pPr>
      <w:r>
        <w:rPr>
          <w:rFonts w:hint="eastAsia" w:ascii="宋体" w:hAnsi="宋体" w:eastAsia="宋体" w:cs="宋体"/>
          <w:sz w:val="24"/>
          <w:szCs w:val="24"/>
        </w:rPr>
        <w:t>2、按照“安全第一、预防为主”和坚持“管生产必须管安全”的原则进行安全生产管理，做到生产和安全工作同时计划、布置、检查、总结和评比。</w:t>
      </w:r>
    </w:p>
    <w:p w14:paraId="55BBB982">
      <w:pPr>
        <w:snapToGrid w:val="0"/>
        <w:ind w:firstLine="480" w:firstLineChars="200"/>
        <w:rPr>
          <w:rFonts w:hint="eastAsia" w:ascii="宋体" w:hAnsi="宋体" w:eastAsia="宋体" w:cs="宋体"/>
          <w:sz w:val="24"/>
          <w:szCs w:val="24"/>
        </w:rPr>
      </w:pPr>
      <w:r>
        <w:rPr>
          <w:rFonts w:hint="eastAsia" w:ascii="宋体" w:hAnsi="宋体" w:eastAsia="宋体" w:cs="宋体"/>
          <w:sz w:val="24"/>
          <w:szCs w:val="24"/>
        </w:rPr>
        <w:t>3、重要的安全设施必须坚持与主体工程“三同时”的原则，即：同时设计、审批；同时施工；同时验收，投入使用。</w:t>
      </w:r>
    </w:p>
    <w:p w14:paraId="21489AD7">
      <w:pPr>
        <w:snapToGrid w:val="0"/>
        <w:ind w:firstLine="480" w:firstLineChars="200"/>
        <w:rPr>
          <w:rFonts w:hint="eastAsia" w:ascii="宋体" w:hAnsi="宋体" w:eastAsia="宋体" w:cs="宋体"/>
          <w:sz w:val="24"/>
          <w:szCs w:val="24"/>
        </w:rPr>
      </w:pPr>
      <w:r>
        <w:rPr>
          <w:rFonts w:hint="eastAsia" w:ascii="宋体" w:hAnsi="宋体" w:eastAsia="宋体" w:cs="宋体"/>
          <w:sz w:val="24"/>
          <w:szCs w:val="24"/>
        </w:rPr>
        <w:t>4、定期召开安全生产调度会，及时转达中央及地方有关安全生产的精神。</w:t>
      </w:r>
    </w:p>
    <w:p w14:paraId="77386185">
      <w:pPr>
        <w:snapToGrid w:val="0"/>
        <w:ind w:firstLine="480" w:firstLineChars="200"/>
        <w:rPr>
          <w:rFonts w:hint="eastAsia" w:ascii="宋体" w:hAnsi="宋体" w:eastAsia="宋体" w:cs="宋体"/>
          <w:sz w:val="24"/>
          <w:szCs w:val="24"/>
        </w:rPr>
      </w:pPr>
      <w:r>
        <w:rPr>
          <w:rFonts w:hint="eastAsia" w:ascii="宋体" w:hAnsi="宋体" w:eastAsia="宋体" w:cs="宋体"/>
          <w:sz w:val="24"/>
          <w:szCs w:val="24"/>
        </w:rPr>
        <w:t>5、组织对承包人施工现场安全生产检查，监督承包人及时处理发现的各种安全隐患。</w:t>
      </w:r>
    </w:p>
    <w:p w14:paraId="32C8A7BC">
      <w:pPr>
        <w:snapToGrid w:val="0"/>
        <w:ind w:firstLine="480" w:firstLineChars="200"/>
        <w:rPr>
          <w:rFonts w:hint="eastAsia" w:ascii="宋体" w:hAnsi="宋体" w:eastAsia="宋体" w:cs="宋体"/>
          <w:sz w:val="24"/>
          <w:szCs w:val="24"/>
        </w:rPr>
      </w:pPr>
      <w:r>
        <w:rPr>
          <w:rFonts w:hint="eastAsia" w:ascii="宋体" w:hAnsi="宋体" w:eastAsia="宋体" w:cs="宋体"/>
          <w:sz w:val="24"/>
          <w:szCs w:val="24"/>
        </w:rPr>
        <w:t>二、承包人职责</w:t>
      </w:r>
    </w:p>
    <w:p w14:paraId="541C1806">
      <w:pPr>
        <w:snapToGrid w:val="0"/>
        <w:ind w:firstLine="480" w:firstLineChars="200"/>
        <w:rPr>
          <w:rFonts w:hint="eastAsia" w:ascii="宋体" w:hAnsi="宋体" w:eastAsia="宋体" w:cs="宋体"/>
          <w:sz w:val="24"/>
          <w:szCs w:val="24"/>
        </w:rPr>
      </w:pPr>
      <w:r>
        <w:rPr>
          <w:rFonts w:hint="eastAsia" w:ascii="宋体" w:hAnsi="宋体" w:eastAsia="宋体" w:cs="宋体"/>
          <w:sz w:val="24"/>
          <w:szCs w:val="24"/>
        </w:rPr>
        <w:t>1、严格遵守国家有关安全生产的法律法规，认真执行工程承包合同中的有关安全要求。</w:t>
      </w:r>
    </w:p>
    <w:p w14:paraId="1326981D">
      <w:pPr>
        <w:snapToGrid w:val="0"/>
        <w:ind w:firstLine="480" w:firstLineChars="200"/>
        <w:rPr>
          <w:rFonts w:hint="eastAsia" w:ascii="宋体" w:hAnsi="宋体" w:eastAsia="宋体" w:cs="宋体"/>
          <w:sz w:val="24"/>
          <w:szCs w:val="24"/>
        </w:rPr>
      </w:pPr>
      <w:r>
        <w:rPr>
          <w:rFonts w:hint="eastAsia" w:ascii="宋体" w:hAnsi="宋体" w:eastAsia="宋体" w:cs="宋体"/>
          <w:sz w:val="24"/>
          <w:szCs w:val="24"/>
        </w:rPr>
        <w:t>2、坚持“安全第一、预防为主”和“管生产必须管安全”的原则，加强安全生产宣传教育，增强全员安全生产意识，建立健全各项安全生产的管理规则和安全生产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14:paraId="62A1A1CA">
      <w:pPr>
        <w:snapToGrid w:val="0"/>
        <w:ind w:firstLine="480" w:firstLineChars="200"/>
        <w:rPr>
          <w:rFonts w:hint="eastAsia" w:ascii="宋体" w:hAnsi="宋体" w:eastAsia="宋体" w:cs="宋体"/>
          <w:sz w:val="24"/>
          <w:szCs w:val="24"/>
        </w:rPr>
      </w:pPr>
      <w:r>
        <w:rPr>
          <w:rFonts w:hint="eastAsia" w:ascii="宋体" w:hAnsi="宋体" w:eastAsia="宋体" w:cs="宋体"/>
          <w:sz w:val="24"/>
          <w:szCs w:val="24"/>
        </w:rPr>
        <w:t>3、建立健全安全生产责任制，从派住项目实施的项目经理（项目负责人）到生产工人（包括临时雇请的民工）的安全生产管理系统必须做到纵向到底，一环不漏；各职能部门、人员的安全生产责任制做到横向到位，人人有责，项目经理（项目负责人）是安全生产的第一责任人。现场设置的安全机构：应按施工人员的1%-3%配备安全员，专职负责所有的安全和治安保卫工作及预防事故的发生。安全机构人员，有权按有关规定发布指令，并采取保护性措施防止事故发生。</w:t>
      </w:r>
    </w:p>
    <w:p w14:paraId="632A8AF8">
      <w:pPr>
        <w:snapToGrid w:val="0"/>
        <w:ind w:firstLine="480" w:firstLineChars="200"/>
        <w:rPr>
          <w:rFonts w:hint="eastAsia" w:ascii="宋体" w:hAnsi="宋体" w:eastAsia="宋体" w:cs="宋体"/>
          <w:sz w:val="24"/>
          <w:szCs w:val="24"/>
        </w:rPr>
      </w:pPr>
      <w:r>
        <w:rPr>
          <w:rFonts w:hint="eastAsia" w:ascii="宋体" w:hAnsi="宋体" w:eastAsia="宋体" w:cs="宋体"/>
          <w:sz w:val="24"/>
          <w:szCs w:val="24"/>
        </w:rPr>
        <w:t>4、承包人在任何时候都应采取各种合理的预防措施，防止其员工发生各种违法、违禁、暴力或妨碍治安的行为。</w:t>
      </w:r>
    </w:p>
    <w:p w14:paraId="2A47B739">
      <w:pPr>
        <w:snapToGrid w:val="0"/>
        <w:ind w:firstLine="480" w:firstLineChars="200"/>
        <w:rPr>
          <w:rFonts w:hint="eastAsia" w:ascii="宋体" w:hAnsi="宋体" w:eastAsia="宋体" w:cs="宋体"/>
          <w:sz w:val="24"/>
          <w:szCs w:val="24"/>
        </w:rPr>
      </w:pPr>
      <w:r>
        <w:rPr>
          <w:rFonts w:hint="eastAsia" w:ascii="宋体" w:hAnsi="宋体" w:eastAsia="宋体" w:cs="宋体"/>
          <w:sz w:val="24"/>
          <w:szCs w:val="24"/>
        </w:rPr>
        <w:t>5、承包人必须具有劳动安全管理部门颁发的安全生产证书，参加施工的人员，必须接受安全技术教育，熟知和遵守本工种的各项安全技术操作规程，定期进行安全技术考核，合格后方准上岗操作。对于从事电气、起重、建筑登高架设作业、锅炉、压力容器、焊接、机动车船艇驾驶、爆破、潜水、瓦斯检验等特殊工种的人员、经过专业培训，获得《安全操作合格证》后，方准持证上岗。施工现场如出现特种行业无证操作现象时，项目经理（项目负责人）必须承担管理责任。</w:t>
      </w:r>
    </w:p>
    <w:p w14:paraId="04B056BA">
      <w:pPr>
        <w:snapToGrid w:val="0"/>
        <w:ind w:firstLine="480" w:firstLineChars="200"/>
        <w:rPr>
          <w:rFonts w:hint="eastAsia" w:ascii="宋体" w:hAnsi="宋体" w:eastAsia="宋体" w:cs="宋体"/>
          <w:sz w:val="24"/>
          <w:szCs w:val="24"/>
        </w:rPr>
      </w:pPr>
      <w:r>
        <w:rPr>
          <w:rFonts w:hint="eastAsia" w:ascii="宋体" w:hAnsi="宋体" w:eastAsia="宋体" w:cs="宋体"/>
          <w:sz w:val="24"/>
          <w:szCs w:val="24"/>
        </w:rPr>
        <w:t>6、对于易燃易爆的材料除应专门妥善保管之外，还应配备足够的消防设施，所有施工人员都应熟悉消防设备的性能和使用方法；承包人不能将任何种类的爆炸物给予、易货以其他方式转让给任何其他人，或允许、容忍上述同样行为。</w:t>
      </w:r>
    </w:p>
    <w:p w14:paraId="53F7C694">
      <w:pPr>
        <w:snapToGrid w:val="0"/>
        <w:ind w:firstLine="480" w:firstLineChars="200"/>
        <w:rPr>
          <w:rFonts w:hint="eastAsia" w:ascii="宋体" w:hAnsi="宋体" w:eastAsia="宋体" w:cs="宋体"/>
          <w:sz w:val="24"/>
          <w:szCs w:val="24"/>
        </w:rPr>
      </w:pPr>
      <w:r>
        <w:rPr>
          <w:rFonts w:hint="eastAsia" w:ascii="宋体" w:hAnsi="宋体" w:eastAsia="宋体" w:cs="宋体"/>
          <w:sz w:val="24"/>
          <w:szCs w:val="24"/>
        </w:rPr>
        <w:t>7、操作人员上岗，必须按规定穿戴防护用品。施工负责人和安全检查员应随时检查劳动防护用品的穿戴情况，不按规定穿戴防护用品的人员不得上岗。</w:t>
      </w:r>
    </w:p>
    <w:p w14:paraId="1C955108">
      <w:pPr>
        <w:snapToGrid w:val="0"/>
        <w:ind w:firstLine="480" w:firstLineChars="200"/>
        <w:rPr>
          <w:rFonts w:hint="eastAsia" w:ascii="宋体" w:hAnsi="宋体" w:eastAsia="宋体" w:cs="宋体"/>
          <w:sz w:val="24"/>
          <w:szCs w:val="24"/>
        </w:rPr>
      </w:pPr>
      <w:r>
        <w:rPr>
          <w:rFonts w:hint="eastAsia" w:ascii="宋体" w:hAnsi="宋体" w:eastAsia="宋体" w:cs="宋体"/>
          <w:sz w:val="24"/>
          <w:szCs w:val="24"/>
        </w:rPr>
        <w:t>8、所有施工机具设备和高空作业的设备均应定期检查，并有安全员的签名记录，保证其经常处于完好状态，不合格的机具、设备和劳动保护用品严禁使用。</w:t>
      </w:r>
    </w:p>
    <w:p w14:paraId="3026B141">
      <w:pPr>
        <w:snapToGrid w:val="0"/>
        <w:ind w:firstLine="480" w:firstLineChars="200"/>
        <w:rPr>
          <w:rFonts w:hint="eastAsia" w:ascii="宋体" w:hAnsi="宋体" w:eastAsia="宋体" w:cs="宋体"/>
          <w:sz w:val="24"/>
          <w:szCs w:val="24"/>
        </w:rPr>
      </w:pPr>
      <w:r>
        <w:rPr>
          <w:rFonts w:hint="eastAsia" w:ascii="宋体" w:hAnsi="宋体" w:eastAsia="宋体" w:cs="宋体"/>
          <w:sz w:val="24"/>
          <w:szCs w:val="24"/>
        </w:rPr>
        <w:t>9、施工中采用新技术、新工艺、新设备、新材料进，必须制定相应的安全技术措施，施工现场必须具有相关的安全标志牌。</w:t>
      </w:r>
    </w:p>
    <w:p w14:paraId="0B157C3E">
      <w:pPr>
        <w:snapToGrid w:val="0"/>
        <w:ind w:firstLine="480" w:firstLineChars="200"/>
        <w:rPr>
          <w:rFonts w:hint="eastAsia" w:ascii="宋体" w:hAnsi="宋体" w:eastAsia="宋体" w:cs="宋体"/>
          <w:sz w:val="24"/>
          <w:szCs w:val="24"/>
        </w:rPr>
      </w:pPr>
      <w:r>
        <w:rPr>
          <w:rFonts w:hint="eastAsia" w:ascii="宋体" w:hAnsi="宋体" w:eastAsia="宋体" w:cs="宋体"/>
          <w:sz w:val="24"/>
          <w:szCs w:val="24"/>
        </w:rPr>
        <w:t>10、承包人必须按照本工程项目特点，组织制定本工程实施中的生产安全事故应急求援预案；如果发生安全事故，即按照《国务院关于特大安全事故行政责任追究的规定》以及其它有关规定，及进上报有关部门，并坚持“三不放过”的原则，严格处理相关责任人。</w:t>
      </w:r>
    </w:p>
    <w:p w14:paraId="7087DDCD">
      <w:pPr>
        <w:snapToGrid w:val="0"/>
        <w:ind w:firstLine="480" w:firstLineChars="200"/>
        <w:rPr>
          <w:rFonts w:hint="eastAsia" w:ascii="宋体" w:hAnsi="宋体" w:eastAsia="宋体" w:cs="宋体"/>
          <w:sz w:val="24"/>
          <w:szCs w:val="24"/>
        </w:rPr>
      </w:pPr>
      <w:r>
        <w:rPr>
          <w:rFonts w:hint="eastAsia" w:ascii="宋体" w:hAnsi="宋体" w:eastAsia="宋体" w:cs="宋体"/>
          <w:sz w:val="24"/>
          <w:szCs w:val="24"/>
        </w:rPr>
        <w:t>三、违约责任</w:t>
      </w:r>
    </w:p>
    <w:p w14:paraId="1F4EB432">
      <w:pPr>
        <w:snapToGrid w:val="0"/>
        <w:ind w:firstLine="480" w:firstLineChars="200"/>
        <w:rPr>
          <w:rFonts w:hint="eastAsia" w:ascii="宋体" w:hAnsi="宋体" w:eastAsia="宋体" w:cs="宋体"/>
          <w:sz w:val="24"/>
          <w:szCs w:val="24"/>
        </w:rPr>
      </w:pPr>
      <w:r>
        <w:rPr>
          <w:rFonts w:hint="eastAsia" w:ascii="宋体" w:hAnsi="宋体" w:eastAsia="宋体" w:cs="宋体"/>
          <w:sz w:val="24"/>
          <w:szCs w:val="24"/>
        </w:rPr>
        <w:t>如因发包人或承包人违约造成安全事故，将依法追究责任。</w:t>
      </w:r>
    </w:p>
    <w:p w14:paraId="1ED370BF">
      <w:pPr>
        <w:snapToGrid w:val="0"/>
        <w:ind w:firstLine="480" w:firstLineChars="200"/>
        <w:rPr>
          <w:rFonts w:hint="eastAsia" w:ascii="宋体" w:hAnsi="宋体" w:eastAsia="宋体" w:cs="宋体"/>
          <w:sz w:val="24"/>
          <w:szCs w:val="24"/>
        </w:rPr>
      </w:pPr>
      <w:r>
        <w:rPr>
          <w:rFonts w:hint="eastAsia" w:ascii="宋体" w:hAnsi="宋体" w:eastAsia="宋体" w:cs="宋体"/>
          <w:sz w:val="24"/>
          <w:szCs w:val="24"/>
        </w:rPr>
        <w:t>本责任书正本一式二份，双方各执一份；副本一式十二份，双方各执六份。本责任书由双方法定代表或授权代表签署加盖公章后生效，全部工程竣工验收合格后失效。</w:t>
      </w:r>
    </w:p>
    <w:p w14:paraId="797294EA">
      <w:pPr>
        <w:spacing w:line="400" w:lineRule="exact"/>
        <w:rPr>
          <w:rFonts w:hint="eastAsia" w:ascii="宋体" w:hAnsi="宋体" w:eastAsia="宋体" w:cs="宋体"/>
          <w:sz w:val="24"/>
          <w:szCs w:val="24"/>
        </w:rPr>
      </w:pPr>
    </w:p>
    <w:p w14:paraId="2CA68CC8">
      <w:pPr>
        <w:autoSpaceDE w:val="0"/>
        <w:autoSpaceDN w:val="0"/>
        <w:adjustRightIn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发包人：        </w:t>
      </w:r>
      <w:r>
        <w:rPr>
          <w:rFonts w:hint="eastAsia" w:ascii="宋体" w:hAnsi="宋体" w:cs="宋体"/>
          <w:sz w:val="24"/>
          <w:szCs w:val="24"/>
          <w:lang w:val="en-US" w:eastAsia="zh-CN"/>
        </w:rPr>
        <w:t xml:space="preserve">                          </w:t>
      </w:r>
      <w:r>
        <w:rPr>
          <w:rFonts w:hint="eastAsia" w:ascii="宋体" w:hAnsi="宋体" w:eastAsia="宋体" w:cs="宋体"/>
          <w:sz w:val="24"/>
          <w:szCs w:val="24"/>
        </w:rPr>
        <w:t xml:space="preserve">  承包人：</w:t>
      </w:r>
    </w:p>
    <w:p w14:paraId="3C89FE4E">
      <w:pPr>
        <w:autoSpaceDE w:val="0"/>
        <w:autoSpaceDN w:val="0"/>
        <w:adjustRightInd w:val="0"/>
        <w:spacing w:line="360" w:lineRule="auto"/>
        <w:rPr>
          <w:rFonts w:hint="eastAsia" w:ascii="宋体" w:hAnsi="宋体" w:eastAsia="宋体" w:cs="宋体"/>
          <w:sz w:val="24"/>
          <w:szCs w:val="24"/>
        </w:rPr>
      </w:pPr>
      <w:r>
        <w:rPr>
          <w:rFonts w:hint="eastAsia" w:ascii="宋体" w:hAnsi="宋体" w:cs="宋体"/>
          <w:sz w:val="24"/>
          <w:szCs w:val="24"/>
          <w:lang w:val="en-US" w:eastAsia="zh-CN"/>
        </w:rPr>
        <w:t xml:space="preserve">                                                     </w:t>
      </w:r>
      <w:r>
        <w:rPr>
          <w:rFonts w:hint="eastAsia" w:ascii="宋体" w:hAnsi="宋体" w:eastAsia="宋体" w:cs="宋体"/>
          <w:sz w:val="24"/>
          <w:szCs w:val="24"/>
        </w:rPr>
        <w:t xml:space="preserve">         </w:t>
      </w:r>
    </w:p>
    <w:p w14:paraId="7011EA06">
      <w:pPr>
        <w:autoSpaceDE w:val="0"/>
        <w:autoSpaceDN w:val="0"/>
        <w:adjustRightInd w:val="0"/>
        <w:spacing w:line="360" w:lineRule="auto"/>
        <w:ind w:firstLine="960" w:firstLineChars="400"/>
        <w:rPr>
          <w:rFonts w:hint="eastAsia" w:ascii="宋体" w:hAnsi="宋体" w:eastAsia="宋体" w:cs="宋体"/>
          <w:b/>
          <w:bCs/>
          <w:sz w:val="24"/>
          <w:szCs w:val="24"/>
        </w:rPr>
      </w:pPr>
      <w:r>
        <w:rPr>
          <w:rFonts w:hint="eastAsia" w:ascii="宋体" w:hAnsi="宋体" w:eastAsia="宋体" w:cs="宋体"/>
          <w:sz w:val="24"/>
          <w:szCs w:val="24"/>
        </w:rPr>
        <w:t xml:space="preserve">（公章）                         </w:t>
      </w:r>
      <w:r>
        <w:rPr>
          <w:rFonts w:hint="eastAsia" w:ascii="宋体" w:hAnsi="宋体" w:cs="宋体"/>
          <w:sz w:val="24"/>
          <w:szCs w:val="24"/>
          <w:lang w:val="en-US" w:eastAsia="zh-CN"/>
        </w:rPr>
        <w:t xml:space="preserve">    </w:t>
      </w:r>
      <w:r>
        <w:rPr>
          <w:rFonts w:hint="eastAsia" w:ascii="宋体" w:hAnsi="宋体" w:eastAsia="宋体" w:cs="宋体"/>
          <w:sz w:val="24"/>
          <w:szCs w:val="24"/>
        </w:rPr>
        <w:t xml:space="preserve"> （公章） </w:t>
      </w:r>
    </w:p>
    <w:p w14:paraId="54A9D32B">
      <w:pPr>
        <w:autoSpaceDE w:val="0"/>
        <w:autoSpaceDN w:val="0"/>
        <w:adjustRightInd w:val="0"/>
        <w:spacing w:line="360" w:lineRule="auto"/>
        <w:jc w:val="left"/>
        <w:rPr>
          <w:rFonts w:hint="eastAsia" w:ascii="宋体" w:hAnsi="宋体" w:eastAsia="宋体" w:cs="宋体"/>
          <w:sz w:val="24"/>
          <w:szCs w:val="24"/>
        </w:rPr>
      </w:pPr>
      <w:r>
        <w:rPr>
          <w:rFonts w:hint="eastAsia" w:ascii="宋体" w:hAnsi="宋体" w:eastAsia="宋体" w:cs="宋体"/>
          <w:sz w:val="24"/>
          <w:szCs w:val="24"/>
        </w:rPr>
        <w:t>法定代表</w:t>
      </w:r>
      <w:r>
        <w:rPr>
          <w:rFonts w:hint="eastAsia" w:ascii="宋体" w:hAnsi="宋体" w:eastAsia="宋体" w:cs="宋体"/>
          <w:kern w:val="0"/>
          <w:sz w:val="24"/>
          <w:szCs w:val="24"/>
        </w:rPr>
        <w:t>或授权代表</w:t>
      </w:r>
      <w:r>
        <w:rPr>
          <w:rFonts w:hint="eastAsia" w:ascii="宋体" w:hAnsi="宋体" w:eastAsia="宋体" w:cs="宋体"/>
          <w:sz w:val="24"/>
          <w:szCs w:val="24"/>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rPr>
        <w:t xml:space="preserve"> 法定代表</w:t>
      </w:r>
      <w:r>
        <w:rPr>
          <w:rFonts w:hint="eastAsia" w:ascii="宋体" w:hAnsi="宋体" w:eastAsia="宋体" w:cs="宋体"/>
          <w:kern w:val="0"/>
          <w:sz w:val="24"/>
          <w:szCs w:val="24"/>
        </w:rPr>
        <w:t>或授权代表</w:t>
      </w:r>
      <w:r>
        <w:rPr>
          <w:rFonts w:hint="eastAsia" w:ascii="宋体" w:hAnsi="宋体" w:eastAsia="宋体" w:cs="宋体"/>
          <w:sz w:val="24"/>
          <w:szCs w:val="24"/>
        </w:rPr>
        <w:t>：</w:t>
      </w:r>
    </w:p>
    <w:p w14:paraId="17C45AEF">
      <w:pPr>
        <w:autoSpaceDE w:val="0"/>
        <w:autoSpaceDN w:val="0"/>
        <w:adjustRightInd w:val="0"/>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联系电话：                        </w:t>
      </w:r>
      <w:r>
        <w:rPr>
          <w:rFonts w:hint="eastAsia" w:ascii="宋体" w:hAnsi="宋体" w:cs="宋体"/>
          <w:sz w:val="24"/>
          <w:szCs w:val="24"/>
          <w:lang w:val="en-US" w:eastAsia="zh-CN"/>
        </w:rPr>
        <w:t xml:space="preserve">        </w:t>
      </w:r>
      <w:r>
        <w:rPr>
          <w:rFonts w:hint="eastAsia" w:ascii="宋体" w:hAnsi="宋体" w:eastAsia="宋体" w:cs="宋体"/>
          <w:sz w:val="24"/>
          <w:szCs w:val="24"/>
        </w:rPr>
        <w:t xml:space="preserve"> </w:t>
      </w:r>
    </w:p>
    <w:p w14:paraId="090A3881">
      <w:pPr>
        <w:autoSpaceDE w:val="0"/>
        <w:autoSpaceDN w:val="0"/>
        <w:adjustRightInd w:val="0"/>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年   月   日                   </w:t>
      </w:r>
      <w:r>
        <w:rPr>
          <w:rFonts w:hint="eastAsia" w:ascii="宋体" w:hAnsi="宋体" w:cs="宋体"/>
          <w:sz w:val="24"/>
          <w:szCs w:val="24"/>
          <w:lang w:val="en-US" w:eastAsia="zh-CN"/>
        </w:rPr>
        <w:t xml:space="preserve">          </w:t>
      </w:r>
      <w:r>
        <w:rPr>
          <w:rFonts w:hint="eastAsia" w:ascii="宋体" w:hAnsi="宋体" w:eastAsia="宋体" w:cs="宋体"/>
          <w:sz w:val="24"/>
          <w:szCs w:val="24"/>
        </w:rPr>
        <w:t xml:space="preserve">   年   月   日</w:t>
      </w:r>
    </w:p>
    <w:p w14:paraId="1E353567">
      <w:pPr>
        <w:rPr>
          <w:rFonts w:hint="eastAsia" w:ascii="宋体" w:hAnsi="宋体" w:eastAsia="宋体" w:cs="宋体"/>
          <w:b/>
          <w:sz w:val="24"/>
          <w:szCs w:val="24"/>
        </w:rPr>
        <w:sectPr>
          <w:pgSz w:w="11907" w:h="16840"/>
          <w:pgMar w:top="1134" w:right="1134" w:bottom="1134" w:left="1134" w:header="851" w:footer="992" w:gutter="0"/>
          <w:cols w:space="720" w:num="1"/>
          <w:docGrid w:linePitch="312" w:charSpace="0"/>
        </w:sectPr>
      </w:pPr>
    </w:p>
    <w:p w14:paraId="2AA8212A">
      <w:pPr>
        <w:autoSpaceDN w:val="0"/>
        <w:adjustRightInd w:val="0"/>
        <w:snapToGrid w:val="0"/>
        <w:jc w:val="left"/>
        <w:outlineLvl w:val="0"/>
        <w:rPr>
          <w:rFonts w:hint="eastAsia" w:ascii="宋体" w:hAnsi="宋体" w:eastAsia="宋体" w:cs="宋体"/>
          <w:sz w:val="28"/>
          <w:szCs w:val="28"/>
        </w:rPr>
      </w:pPr>
      <w:bookmarkStart w:id="823" w:name="_Toc4062"/>
      <w:bookmarkStart w:id="824" w:name="_Toc23594"/>
      <w:bookmarkStart w:id="825" w:name="_Toc5733"/>
      <w:bookmarkStart w:id="826" w:name="_Toc30635"/>
      <w:bookmarkStart w:id="827" w:name="_Toc25910"/>
      <w:bookmarkStart w:id="828" w:name="_Toc2931"/>
      <w:bookmarkStart w:id="829" w:name="_Toc19864"/>
      <w:bookmarkStart w:id="830" w:name="_Toc16306"/>
      <w:bookmarkStart w:id="831" w:name="_Toc29723"/>
      <w:bookmarkStart w:id="832" w:name="_Toc28210"/>
      <w:bookmarkStart w:id="833" w:name="_Toc16909"/>
      <w:bookmarkStart w:id="834" w:name="_Toc6197"/>
      <w:bookmarkStart w:id="835" w:name="_Toc21248"/>
      <w:bookmarkStart w:id="836" w:name="_Toc1357"/>
      <w:r>
        <w:rPr>
          <w:rFonts w:hint="eastAsia" w:ascii="宋体" w:hAnsi="宋体" w:eastAsia="宋体" w:cs="宋体"/>
          <w:sz w:val="28"/>
          <w:szCs w:val="28"/>
        </w:rPr>
        <w:t>附件15：廉洁协议</w:t>
      </w:r>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p>
    <w:bookmarkEnd w:id="2"/>
    <w:p w14:paraId="4E5E2338">
      <w:pPr>
        <w:spacing w:line="360" w:lineRule="auto"/>
        <w:jc w:val="center"/>
        <w:rPr>
          <w:rFonts w:hint="eastAsia" w:ascii="宋体" w:hAnsi="宋体" w:eastAsia="宋体" w:cs="宋体"/>
          <w:b/>
          <w:sz w:val="28"/>
          <w:szCs w:val="28"/>
          <w:highlight w:val="none"/>
        </w:rPr>
      </w:pPr>
      <w:bookmarkStart w:id="837" w:name="_Hlt10530625"/>
      <w:bookmarkEnd w:id="837"/>
      <w:r>
        <w:rPr>
          <w:rFonts w:hint="eastAsia" w:ascii="宋体" w:hAnsi="宋体" w:eastAsia="宋体" w:cs="宋体"/>
          <w:b/>
          <w:sz w:val="28"/>
          <w:szCs w:val="28"/>
          <w:highlight w:val="none"/>
        </w:rPr>
        <w:t>廉 洁 协 议</w:t>
      </w:r>
    </w:p>
    <w:p w14:paraId="6FBDADED">
      <w:pPr>
        <w:widowControl/>
        <w:spacing w:line="360" w:lineRule="auto"/>
        <w:ind w:firstLine="480" w:firstLineChars="200"/>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为促进双方诚信经营、廉洁从业，防范商业贿赂，保护国家、集体和当事人的合法权益，根据国家有关法律法规和广东省、广州市廉政建设的规定，</w:t>
      </w:r>
      <w:r>
        <w:rPr>
          <w:rFonts w:hint="eastAsia" w:ascii="宋体" w:hAnsi="宋体" w:eastAsia="宋体" w:cs="宋体"/>
          <w:color w:val="000000"/>
          <w:kern w:val="0"/>
          <w:sz w:val="24"/>
          <w:szCs w:val="24"/>
          <w:u w:val="single"/>
          <w:lang w:bidi="ar"/>
        </w:rPr>
        <w:t xml:space="preserve"> </w:t>
      </w:r>
      <w:r>
        <w:rPr>
          <w:rFonts w:hint="eastAsia" w:ascii="宋体" w:hAnsi="宋体" w:cs="宋体"/>
          <w:color w:val="000000"/>
          <w:kern w:val="0"/>
          <w:sz w:val="24"/>
          <w:szCs w:val="24"/>
          <w:u w:val="single"/>
          <w:lang w:val="en-US" w:eastAsia="zh-CN" w:bidi="ar"/>
        </w:rPr>
        <w:t>广州地铁工程咨询有限公司</w:t>
      </w:r>
      <w:r>
        <w:rPr>
          <w:rFonts w:hint="eastAsia" w:ascii="宋体" w:hAnsi="宋体" w:eastAsia="宋体" w:cs="宋体"/>
          <w:color w:val="000000"/>
          <w:kern w:val="0"/>
          <w:sz w:val="24"/>
          <w:szCs w:val="24"/>
          <w:lang w:bidi="ar"/>
        </w:rPr>
        <w:t>(以下称甲方)与</w:t>
      </w:r>
      <w:r>
        <w:rPr>
          <w:rFonts w:hint="eastAsia" w:ascii="宋体" w:hAnsi="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bidi="ar"/>
        </w:rPr>
        <w:t>(以下称乙方)，特此订立本协议，并共同遵照执行。</w:t>
      </w:r>
    </w:p>
    <w:p w14:paraId="7223FF97">
      <w:pPr>
        <w:widowControl/>
        <w:spacing w:line="360" w:lineRule="auto"/>
        <w:ind w:firstLine="480" w:firstLineChars="200"/>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第一条 甲乙双方的权利和义务</w:t>
      </w:r>
    </w:p>
    <w:p w14:paraId="3F8C390C">
      <w:pPr>
        <w:widowControl/>
        <w:spacing w:line="360" w:lineRule="auto"/>
        <w:ind w:firstLine="480" w:firstLineChars="200"/>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一）甲乙双方应自觉遵守《中华人民共和国反不正当竞争法》、《关于禁止商业贿赂行为的暂行规定》、《最高人民法院、最高人民检察院关于办理受贿刑事案件适用法律若干问题的意见》等相关法律、法规，廉洁自律、纪律处分等相关规定，及《广州地铁集团有限公司合作企业、分包商和个人不诚信行为管理办法》等。</w:t>
      </w:r>
    </w:p>
    <w:p w14:paraId="0C97C84B">
      <w:pPr>
        <w:widowControl/>
        <w:spacing w:line="360" w:lineRule="auto"/>
        <w:ind w:firstLine="480" w:firstLineChars="200"/>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（二）甲乙双方应严格执行</w:t>
      </w:r>
      <w:r>
        <w:rPr>
          <w:rFonts w:hint="eastAsia" w:ascii="宋体" w:hAnsi="宋体" w:eastAsia="宋体" w:cs="宋体"/>
          <w:color w:val="000000"/>
          <w:kern w:val="0"/>
          <w:sz w:val="24"/>
          <w:szCs w:val="24"/>
          <w:u w:val="single"/>
          <w:lang w:bidi="ar"/>
        </w:rPr>
        <w:t>广佛肇工业园站周边片区开发项目一坑田站至瑞浦地块 110KV 电力迁改工程  (涉铁部分)施</w:t>
      </w:r>
      <w:r>
        <w:rPr>
          <w:rFonts w:hint="eastAsia" w:ascii="宋体" w:hAnsi="宋体" w:eastAsia="宋体" w:cs="宋体"/>
          <w:color w:val="000000"/>
          <w:kern w:val="0"/>
          <w:sz w:val="24"/>
          <w:szCs w:val="24"/>
          <w:u w:val="single"/>
          <w:lang w:bidi="ar"/>
        </w:rPr>
        <w:t>工总承包</w:t>
      </w:r>
      <w:r>
        <w:rPr>
          <w:rFonts w:hint="eastAsia" w:ascii="宋体" w:hAnsi="宋体" w:eastAsia="宋体" w:cs="宋体"/>
          <w:color w:val="000000"/>
          <w:kern w:val="0"/>
          <w:sz w:val="24"/>
          <w:szCs w:val="24"/>
          <w:lang w:bidi="ar"/>
        </w:rPr>
        <w:t>合同（以下简称“主合同”），自觉履行合同约定的相关义务，在合同的订立、履行过程中廉洁自律。</w:t>
      </w:r>
    </w:p>
    <w:p w14:paraId="74131683">
      <w:pPr>
        <w:widowControl/>
        <w:spacing w:line="360" w:lineRule="auto"/>
        <w:ind w:firstLine="480" w:firstLineChars="200"/>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（三）甲乙双方在业务活动中坚持公开、公正、诚信、透明的原则，不得损害国家、集体利益。</w:t>
      </w:r>
    </w:p>
    <w:p w14:paraId="68D895B5">
      <w:pPr>
        <w:widowControl/>
        <w:spacing w:line="360" w:lineRule="auto"/>
        <w:ind w:firstLine="480" w:firstLineChars="200"/>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（四）甲乙双方应建立健全廉洁制度，开展廉洁教育，公布受理举报方式，监督并认真查处违法违纪违规行为。</w:t>
      </w:r>
    </w:p>
    <w:p w14:paraId="4D608446">
      <w:pPr>
        <w:widowControl/>
        <w:spacing w:line="360" w:lineRule="auto"/>
        <w:ind w:firstLine="480" w:firstLineChars="200"/>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五）甲乙双方中的任何一方发现另一方在业务活动中有违反廉洁规定的行为，应及时提醒另一方纠正。情节严重的，应向其上级有关部门举报，建议给予处理，并有权要求告知处理结果。但任意一方不得无事实依据投诉。</w:t>
      </w:r>
    </w:p>
    <w:p w14:paraId="66D6A880">
      <w:pPr>
        <w:widowControl/>
        <w:spacing w:line="360" w:lineRule="auto"/>
        <w:ind w:firstLine="480" w:firstLineChars="200"/>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第二条 甲方的义务</w:t>
      </w:r>
    </w:p>
    <w:p w14:paraId="3177AA7D">
      <w:pPr>
        <w:widowControl/>
        <w:spacing w:line="360" w:lineRule="auto"/>
        <w:ind w:firstLine="480" w:firstLineChars="200"/>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一）甲方工作人员及其亲属（包括但不限于父母、配偶、子女、兄弟姐妹和姻亲，下同）、身边工作人员和其他特定关系人不得索要或收受乙方（含乙方工作人员，下同）的礼品、礼金、消费卡和有价证券、股权、其他金融产品等财物，不得在乙方报销任何应由甲方或个人支付的费用等。</w:t>
      </w:r>
    </w:p>
    <w:p w14:paraId="038C8495">
      <w:pPr>
        <w:widowControl/>
        <w:spacing w:line="360" w:lineRule="auto"/>
        <w:ind w:firstLine="480" w:firstLineChars="200"/>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（二）甲方工作人员不得接受乙方安排的可能影响公正执行公务的宴请或者旅游、健身、娱乐等活动；不得接受乙方提供的通讯工具、交通工具等。</w:t>
      </w:r>
    </w:p>
    <w:p w14:paraId="2F8B9707">
      <w:pPr>
        <w:widowControl/>
        <w:spacing w:line="360" w:lineRule="auto"/>
        <w:ind w:firstLine="480" w:firstLineChars="200"/>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（三）甲方工作人员不得要求或者接受乙方为其住房装修、婚丧喜庆活动、亲属、身边工作人员和其他特定关系人工作安排以及出国出境、旅游等提供方便等。</w:t>
      </w:r>
    </w:p>
    <w:p w14:paraId="651A8BFA">
      <w:pPr>
        <w:widowControl/>
        <w:spacing w:line="360" w:lineRule="auto"/>
        <w:ind w:firstLine="480" w:firstLineChars="200"/>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（四）甲方工作人员不得在乙方或与乙方有股权关联的企业兼职，不得向乙方介绍其亲属、身边工作人员和其他特定关系人从事与甲方业务有关的经济活动。</w:t>
      </w:r>
    </w:p>
    <w:p w14:paraId="46B973BA">
      <w:pPr>
        <w:widowControl/>
        <w:spacing w:line="360" w:lineRule="auto"/>
        <w:ind w:firstLine="480" w:firstLineChars="200"/>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五）甲方工作人员不得以明显低于市场的价格向乙方购买住房、车辆等物品；不得以明显高于市场的价格向乙方出售住房、车辆等物品；不得借用乙方的钱款、住房、车辆等财物；不得以其他交易形式非法收受乙方或关联方的财物。</w:t>
      </w:r>
    </w:p>
    <w:p w14:paraId="3BFDEE8F">
      <w:pPr>
        <w:widowControl/>
        <w:spacing w:line="360" w:lineRule="auto"/>
        <w:ind w:firstLine="480" w:firstLineChars="200"/>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（六）甲方工作人员不得利用职务之便收受乙方以回扣、手续费、加班费、咨询费、劳务费、协调费、辛苦费等各种名义给予或赠送的财物。</w:t>
      </w:r>
    </w:p>
    <w:p w14:paraId="34C1E54D">
      <w:pPr>
        <w:widowControl/>
        <w:spacing w:line="360" w:lineRule="auto"/>
        <w:ind w:firstLine="480" w:firstLineChars="200"/>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（七）甲方工作人员不得有法律法规、甲方相关规定的其他不廉洁行为。</w:t>
      </w:r>
    </w:p>
    <w:p w14:paraId="023BA1A4">
      <w:pPr>
        <w:widowControl/>
        <w:spacing w:line="360" w:lineRule="auto"/>
        <w:ind w:firstLine="480" w:firstLineChars="200"/>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第三条 乙方的义务</w:t>
      </w:r>
    </w:p>
    <w:p w14:paraId="5130203A">
      <w:pPr>
        <w:widowControl/>
        <w:spacing w:line="360" w:lineRule="auto"/>
        <w:ind w:firstLine="480" w:firstLineChars="200"/>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（一）乙方不得以任何理由向甲方工作人员及其亲属、身边工作人员和其他特定关系人行贿或赠送礼品、礼金、消费卡和有价证券、股权、其他金融产品等财物。</w:t>
      </w:r>
    </w:p>
    <w:p w14:paraId="0538CA9A">
      <w:pPr>
        <w:widowControl/>
        <w:spacing w:line="360" w:lineRule="auto"/>
        <w:ind w:firstLine="480" w:firstLineChars="200"/>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（二)乙方不得以任何名义为甲方工作人员报销应由甲方单位或个人支付的任何费用。</w:t>
      </w:r>
    </w:p>
    <w:p w14:paraId="6935606D">
      <w:pPr>
        <w:widowControl/>
        <w:spacing w:line="360" w:lineRule="auto"/>
        <w:ind w:firstLine="480" w:firstLineChars="200"/>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（三）乙方不得以任何理由安排甲方工作人员参加可能影响公正执行公务的宴请或者旅游、健身、娱乐等活动。</w:t>
      </w:r>
    </w:p>
    <w:p w14:paraId="6130F686">
      <w:pPr>
        <w:widowControl/>
        <w:spacing w:line="360" w:lineRule="auto"/>
        <w:ind w:firstLine="480" w:firstLineChars="200"/>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（四）乙方不得安排甲方工作人员在乙方或与乙方有股权关联的企业兼职，乙方不得接受甲方工作人员介绍，安排甲方工作人员亲属、身边工作人员和其他特定关系人从事与甲方业务有关的经济活动。</w:t>
      </w:r>
    </w:p>
    <w:p w14:paraId="6FAC36B9">
      <w:pPr>
        <w:widowControl/>
        <w:spacing w:line="360" w:lineRule="auto"/>
        <w:ind w:firstLine="480" w:firstLineChars="200"/>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五）乙方不得以明显低于市场的价格向甲方工作人员出售住房、车辆等物品；不得以明显高于市场的价格向甲方工作人员买受住房、车辆等物品；不得向甲方工作人员出借钱款、住房、车辆等；乙方或关联方不得以其他交易形式非法向甲方工作人员提供财物。</w:t>
      </w:r>
    </w:p>
    <w:p w14:paraId="3EDEE69F">
      <w:pPr>
        <w:widowControl/>
        <w:spacing w:line="360" w:lineRule="auto"/>
        <w:ind w:firstLine="480" w:firstLineChars="200"/>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（六）乙方不得为甲方工作人员购置或提供通讯工具、交通工具等物品。</w:t>
      </w:r>
    </w:p>
    <w:p w14:paraId="1171516A">
      <w:pPr>
        <w:widowControl/>
        <w:spacing w:line="360" w:lineRule="auto"/>
        <w:ind w:firstLine="480" w:firstLineChars="200"/>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（七）乙方不得为谋取利益擅自与甲方工作人员就合同中的质量、数量、价格、工程量、验收等条款进行私下商谈或者达成默契。</w:t>
      </w:r>
    </w:p>
    <w:p w14:paraId="563795CE">
      <w:pPr>
        <w:widowControl/>
        <w:spacing w:line="360" w:lineRule="auto"/>
        <w:ind w:firstLine="480" w:firstLineChars="200"/>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（八）乙方不得以回扣、手续费、加班费、咨询费、劳务费、协调费、辛苦费等各种名义向甲方工作人员给予或赠送财物。</w:t>
      </w:r>
    </w:p>
    <w:p w14:paraId="2189E982">
      <w:pPr>
        <w:widowControl/>
        <w:spacing w:line="360" w:lineRule="auto"/>
        <w:ind w:firstLine="480" w:firstLineChars="200"/>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（九）乙方不得有法律法规等相关规定的其他不廉洁行为。</w:t>
      </w:r>
    </w:p>
    <w:p w14:paraId="35607247">
      <w:pPr>
        <w:widowControl/>
        <w:spacing w:line="360" w:lineRule="auto"/>
        <w:ind w:firstLine="480" w:firstLineChars="200"/>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第四条 违约责任</w:t>
      </w:r>
    </w:p>
    <w:p w14:paraId="7CC7F812">
      <w:pPr>
        <w:widowControl/>
        <w:spacing w:line="360" w:lineRule="auto"/>
        <w:ind w:firstLine="480" w:firstLineChars="200"/>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（一）甲方及其工作人员违反本协议第一、二条。甲方按管理权限，依据有关规定对相关责任人给予党纪、政务处分、组织处理等；涉嫌犯罪的，移交司法机关追究刑事责任。</w:t>
      </w:r>
    </w:p>
    <w:p w14:paraId="7558D965">
      <w:pPr>
        <w:widowControl/>
        <w:spacing w:line="360" w:lineRule="auto"/>
        <w:ind w:firstLine="480" w:firstLineChars="200"/>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 xml:space="preserve">甲方举报投诉受理部门：广州地铁工程咨询有限公司纪委办公室；举报电话：83064204；投诉受理邮箱： </w:t>
      </w:r>
      <w:r>
        <w:rPr>
          <w:rFonts w:hint="eastAsia" w:ascii="宋体" w:hAnsi="宋体" w:cs="宋体"/>
          <w:color w:val="000000"/>
          <w:kern w:val="0"/>
          <w:sz w:val="24"/>
          <w:szCs w:val="24"/>
          <w:lang w:val="en-US" w:eastAsia="zh-CN" w:bidi="ar"/>
        </w:rPr>
        <w:t>zixun</w:t>
      </w:r>
      <w:r>
        <w:rPr>
          <w:rFonts w:hint="eastAsia" w:ascii="宋体" w:hAnsi="宋体" w:eastAsia="宋体" w:cs="宋体"/>
          <w:color w:val="000000"/>
          <w:kern w:val="0"/>
          <w:sz w:val="24"/>
          <w:szCs w:val="24"/>
          <w:lang w:bidi="ar"/>
        </w:rPr>
        <w:t>jiweiban@gzmtr.com；举报地址：广州市越秀区环市西路204号大院自编4号楼3楼。</w:t>
      </w:r>
    </w:p>
    <w:p w14:paraId="0D3B639F">
      <w:pPr>
        <w:widowControl/>
        <w:spacing w:line="360" w:lineRule="auto"/>
        <w:ind w:firstLine="480" w:firstLineChars="200"/>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二）乙方及其工作人员违反本协议第一、三条。乙方应按管理权限，对相关责任人依据有关规定给予党纪、政务处分、组织处理等；涉嫌犯罪的，移交司法机关追究刑事责任；给甲方单位造成经济损失的，应予以赔偿。根据具体情节和造成的后果，甲方有权对乙方采取以下一种或多种处理办法：</w:t>
      </w:r>
    </w:p>
    <w:p w14:paraId="508EAF75">
      <w:pPr>
        <w:widowControl/>
        <w:spacing w:line="360" w:lineRule="auto"/>
        <w:ind w:firstLine="480" w:firstLineChars="200"/>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1.对乙方工作人员处理：</w:t>
      </w:r>
    </w:p>
    <w:p w14:paraId="294325C0">
      <w:pPr>
        <w:widowControl/>
        <w:spacing w:line="360" w:lineRule="auto"/>
        <w:ind w:firstLine="480" w:firstLineChars="200"/>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（1）由甲方对乙方法定代表人或其法定代表授权人、监督部门负责人或项目负责人进行约谈。</w:t>
      </w:r>
    </w:p>
    <w:p w14:paraId="72F6680D">
      <w:pPr>
        <w:widowControl/>
        <w:spacing w:line="360" w:lineRule="auto"/>
        <w:ind w:firstLine="480" w:firstLineChars="200"/>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（2）要求乙方对相关工作人员进行相应党纪、政务处分、组织处理等，该工作人员 2年内不得继续从事甲方管辖项目工作。</w:t>
      </w:r>
    </w:p>
    <w:p w14:paraId="5E8A6997">
      <w:pPr>
        <w:widowControl/>
        <w:spacing w:line="360" w:lineRule="auto"/>
        <w:ind w:firstLine="480" w:firstLineChars="200"/>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（3）要求乙方更换项目负责人，该项目负责人2年内不得参与甲方管辖项目的管理。</w:t>
      </w:r>
    </w:p>
    <w:p w14:paraId="4869DF86">
      <w:pPr>
        <w:widowControl/>
        <w:spacing w:line="360" w:lineRule="auto"/>
        <w:ind w:firstLine="480" w:firstLineChars="200"/>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2.依据《广州地铁集团有限公司合作企业、分包商和个人不诚信行为管理办法》等，限制投标（含比选、招商、直接谈判等）6个月至2年（具体由甲方视情节严重程度确定）。</w:t>
      </w:r>
    </w:p>
    <w:p w14:paraId="7DC37011">
      <w:pPr>
        <w:widowControl/>
        <w:spacing w:line="360" w:lineRule="auto"/>
        <w:ind w:firstLine="480" w:firstLineChars="200"/>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3.乙方或乙方工作人员拒不纠正违反协议约定行为的，或不配合处理的，或在甲方采取处理后，再次出现违反协议约定行为的，应当从重、加重处理。乙方积极配合可从轻处理。</w:t>
      </w:r>
    </w:p>
    <w:p w14:paraId="28B09728">
      <w:pPr>
        <w:widowControl/>
        <w:spacing w:line="360" w:lineRule="auto"/>
        <w:ind w:firstLine="480" w:firstLineChars="200"/>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4.要求乙方对相关事项进行通报。</w:t>
      </w:r>
    </w:p>
    <w:p w14:paraId="3E21F972">
      <w:pPr>
        <w:widowControl/>
        <w:spacing w:line="360" w:lineRule="auto"/>
        <w:ind w:firstLine="480" w:firstLineChars="200"/>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5.单方解除合同而无须承担任何违约责任。</w:t>
      </w:r>
    </w:p>
    <w:p w14:paraId="0CC08BA5">
      <w:pPr>
        <w:widowControl/>
        <w:spacing w:line="360" w:lineRule="auto"/>
        <w:ind w:firstLine="480" w:firstLineChars="200"/>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6.追究乙方主合同其他违约责任。</w:t>
      </w:r>
    </w:p>
    <w:p w14:paraId="1CC8BCC9">
      <w:pPr>
        <w:widowControl/>
        <w:spacing w:line="360" w:lineRule="auto"/>
        <w:ind w:firstLine="480" w:firstLineChars="200"/>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7.乙方无条件接受甲方处理意见并承担给甲方造成的损失，并承担相应的法律责任。</w:t>
      </w:r>
    </w:p>
    <w:p w14:paraId="1C3A7E57">
      <w:pPr>
        <w:widowControl/>
        <w:spacing w:line="360" w:lineRule="auto"/>
        <w:ind w:firstLine="480" w:firstLineChars="200"/>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本违约条款仅适用于违反本协议的情形，如乙方出现其他违约行为则按主合同的违约条款执行。</w:t>
      </w:r>
    </w:p>
    <w:p w14:paraId="1472E67C">
      <w:pPr>
        <w:widowControl/>
        <w:spacing w:line="360" w:lineRule="auto"/>
        <w:ind w:firstLine="480" w:firstLineChars="200"/>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第五条 本协议由双方或双方上级单位（若有）负责监督。可由甲方或甲方上级单位的纪检监察部门约请乙方或乙方上级单位的相关部门对本协议履行情况进行检查。</w:t>
      </w:r>
    </w:p>
    <w:p w14:paraId="6A2E3A13">
      <w:pPr>
        <w:widowControl/>
        <w:spacing w:line="360" w:lineRule="auto"/>
        <w:ind w:firstLine="480" w:firstLineChars="200"/>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第六条 本协议有效期为甲乙双方签署之日起至主合同终止之日止。主合同执行过程中及主合同终止后，若发现及查实发生在主合同签订前或合同期内的不廉洁行为，甲乙双方可追溯相关责任。</w:t>
      </w:r>
    </w:p>
    <w:p w14:paraId="3EB44F7D">
      <w:pPr>
        <w:widowControl/>
        <w:spacing w:line="360" w:lineRule="auto"/>
        <w:ind w:firstLine="480" w:firstLineChars="200"/>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第七条 本协议作为主合同的附件，与其具有同等的法律效力。</w:t>
      </w:r>
    </w:p>
    <w:p w14:paraId="39DC4F7D">
      <w:pPr>
        <w:widowControl/>
        <w:spacing w:line="360" w:lineRule="auto"/>
        <w:ind w:firstLine="480" w:firstLineChars="200"/>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第八条 本协议一式两份，双方各执一份。</w:t>
      </w:r>
    </w:p>
    <w:p w14:paraId="295D92C1">
      <w:pPr>
        <w:pStyle w:val="8"/>
        <w:rPr>
          <w:rFonts w:hint="eastAsia" w:hAnsi="宋体" w:cs="宋体"/>
        </w:rPr>
      </w:pPr>
    </w:p>
    <w:tbl>
      <w:tblPr>
        <w:tblStyle w:val="17"/>
        <w:tblW w:w="91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911"/>
      </w:tblGrid>
      <w:tr w14:paraId="4B35E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noWrap w:val="0"/>
            <w:vAlign w:val="top"/>
          </w:tcPr>
          <w:p w14:paraId="6F74898B">
            <w:pPr>
              <w:widowControl/>
              <w:spacing w:line="360" w:lineRule="auto"/>
              <w:jc w:val="left"/>
              <w:rPr>
                <w:rFonts w:hint="eastAsia" w:ascii="宋体" w:hAnsi="宋体" w:eastAsia="宋体" w:cs="宋体"/>
                <w:color w:val="000000"/>
                <w:kern w:val="0"/>
                <w:sz w:val="24"/>
                <w:szCs w:val="24"/>
                <w:lang w:bidi="ar"/>
              </w:rPr>
            </w:pPr>
            <w:bookmarkStart w:id="844" w:name="_GoBack" w:colFirst="0" w:colLast="0"/>
            <w:r>
              <w:rPr>
                <w:rFonts w:hint="eastAsia" w:ascii="宋体" w:hAnsi="宋体" w:eastAsia="宋体" w:cs="宋体"/>
                <w:color w:val="000000"/>
                <w:kern w:val="0"/>
                <w:sz w:val="24"/>
                <w:szCs w:val="24"/>
                <w:lang w:bidi="ar"/>
              </w:rPr>
              <w:t>甲方（盖章）：</w:t>
            </w:r>
          </w:p>
        </w:tc>
        <w:tc>
          <w:tcPr>
            <w:tcW w:w="4911" w:type="dxa"/>
            <w:tcBorders>
              <w:top w:val="nil"/>
              <w:left w:val="nil"/>
              <w:bottom w:val="nil"/>
              <w:right w:val="nil"/>
            </w:tcBorders>
            <w:noWrap w:val="0"/>
            <w:vAlign w:val="top"/>
          </w:tcPr>
          <w:p w14:paraId="4F2E0D0B">
            <w:pPr>
              <w:widowControl/>
              <w:spacing w:line="360" w:lineRule="auto"/>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乙方（盖章）：</w:t>
            </w:r>
            <w:r>
              <w:rPr>
                <w:rFonts w:hint="eastAsia" w:ascii="宋体" w:hAnsi="宋体" w:cs="宋体"/>
                <w:color w:val="000000"/>
                <w:kern w:val="0"/>
                <w:sz w:val="24"/>
                <w:szCs w:val="24"/>
                <w:lang w:val="en-US" w:eastAsia="zh-CN" w:bidi="ar"/>
              </w:rPr>
              <w:t xml:space="preserve"> </w:t>
            </w:r>
          </w:p>
        </w:tc>
      </w:tr>
      <w:tr w14:paraId="0328A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noWrap w:val="0"/>
            <w:vAlign w:val="top"/>
          </w:tcPr>
          <w:p w14:paraId="3FD96B1B">
            <w:pPr>
              <w:widowControl/>
              <w:spacing w:line="360" w:lineRule="auto"/>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授权代表（签字）：</w:t>
            </w:r>
          </w:p>
        </w:tc>
        <w:tc>
          <w:tcPr>
            <w:tcW w:w="4911" w:type="dxa"/>
            <w:tcBorders>
              <w:top w:val="nil"/>
              <w:left w:val="nil"/>
              <w:bottom w:val="nil"/>
              <w:right w:val="nil"/>
            </w:tcBorders>
            <w:noWrap w:val="0"/>
            <w:vAlign w:val="top"/>
          </w:tcPr>
          <w:p w14:paraId="3AD4297A">
            <w:pPr>
              <w:widowControl/>
              <w:spacing w:line="360" w:lineRule="auto"/>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授权代表（签字）：</w:t>
            </w:r>
          </w:p>
        </w:tc>
      </w:tr>
      <w:bookmarkEnd w:id="844"/>
    </w:tbl>
    <w:p w14:paraId="74CB17C1">
      <w:pPr>
        <w:widowControl/>
        <w:spacing w:line="360" w:lineRule="auto"/>
        <w:jc w:val="left"/>
        <w:rPr>
          <w:rFonts w:hint="eastAsia" w:ascii="宋体" w:hAnsi="宋体" w:eastAsia="宋体" w:cs="宋体"/>
          <w:color w:val="000000"/>
          <w:kern w:val="0"/>
          <w:sz w:val="24"/>
          <w:szCs w:val="24"/>
          <w:lang w:bidi="ar"/>
        </w:rPr>
      </w:pPr>
    </w:p>
    <w:p w14:paraId="22E0DFC8">
      <w:pPr>
        <w:pStyle w:val="8"/>
        <w:rPr>
          <w:rFonts w:hint="eastAsia" w:hAnsi="宋体" w:cs="宋体"/>
          <w:lang w:bidi="ar"/>
        </w:rPr>
      </w:pPr>
    </w:p>
    <w:p w14:paraId="1A413386">
      <w:pPr>
        <w:autoSpaceDN w:val="0"/>
        <w:adjustRightInd w:val="0"/>
        <w:snapToGrid w:val="0"/>
        <w:jc w:val="left"/>
        <w:outlineLvl w:val="0"/>
        <w:rPr>
          <w:rFonts w:hint="eastAsia" w:ascii="宋体" w:hAnsi="宋体" w:eastAsia="宋体" w:cs="宋体"/>
          <w:sz w:val="28"/>
          <w:szCs w:val="28"/>
        </w:rPr>
      </w:pPr>
      <w:bookmarkStart w:id="838" w:name="_Toc26769"/>
      <w:r>
        <w:rPr>
          <w:rFonts w:hint="eastAsia" w:ascii="宋体" w:hAnsi="宋体" w:eastAsia="宋体" w:cs="宋体"/>
          <w:sz w:val="28"/>
          <w:szCs w:val="28"/>
        </w:rPr>
        <w:br w:type="page"/>
      </w:r>
      <w:bookmarkStart w:id="839" w:name="_Toc11167"/>
      <w:bookmarkStart w:id="840" w:name="_Toc9123"/>
      <w:bookmarkStart w:id="841" w:name="_Toc24942"/>
      <w:bookmarkStart w:id="842" w:name="_Toc28712"/>
      <w:r>
        <w:rPr>
          <w:rFonts w:hint="eastAsia" w:ascii="宋体" w:hAnsi="宋体" w:eastAsia="宋体" w:cs="宋体"/>
          <w:sz w:val="28"/>
          <w:szCs w:val="28"/>
        </w:rPr>
        <w:t>附件16：承包人违约情况一览表</w:t>
      </w:r>
      <w:bookmarkEnd w:id="838"/>
      <w:bookmarkEnd w:id="839"/>
      <w:bookmarkEnd w:id="840"/>
      <w:bookmarkEnd w:id="841"/>
      <w:bookmarkEnd w:id="842"/>
    </w:p>
    <w:p w14:paraId="674C4156">
      <w:pPr>
        <w:pStyle w:val="25"/>
        <w:snapToGrid w:val="0"/>
        <w:spacing w:line="360" w:lineRule="auto"/>
        <w:jc w:val="center"/>
        <w:outlineLvl w:val="9"/>
        <w:rPr>
          <w:rStyle w:val="29"/>
          <w:rFonts w:hint="eastAsia" w:ascii="宋体" w:hAnsi="宋体" w:eastAsia="宋体" w:cs="宋体"/>
          <w:b/>
          <w:color w:val="auto"/>
          <w:kern w:val="28"/>
          <w:sz w:val="28"/>
          <w:szCs w:val="28"/>
          <w:u w:val="none"/>
        </w:rPr>
      </w:pPr>
    </w:p>
    <w:p w14:paraId="56C65F38">
      <w:pPr>
        <w:pStyle w:val="25"/>
        <w:snapToGrid w:val="0"/>
        <w:spacing w:line="360" w:lineRule="auto"/>
        <w:jc w:val="center"/>
        <w:outlineLvl w:val="9"/>
        <w:rPr>
          <w:rStyle w:val="29"/>
          <w:rFonts w:hint="eastAsia" w:ascii="宋体" w:hAnsi="宋体" w:eastAsia="宋体" w:cs="宋体"/>
          <w:b/>
          <w:color w:val="auto"/>
          <w:kern w:val="28"/>
          <w:sz w:val="28"/>
          <w:szCs w:val="28"/>
          <w:u w:val="none"/>
        </w:rPr>
      </w:pPr>
      <w:bookmarkStart w:id="843" w:name="_Toc6290"/>
      <w:r>
        <w:rPr>
          <w:rStyle w:val="29"/>
          <w:rFonts w:hint="eastAsia" w:ascii="宋体" w:hAnsi="宋体" w:eastAsia="宋体" w:cs="宋体"/>
          <w:b/>
          <w:color w:val="auto"/>
          <w:kern w:val="28"/>
          <w:sz w:val="28"/>
          <w:szCs w:val="28"/>
          <w:u w:val="none"/>
        </w:rPr>
        <w:t>承包人违约情况一览表</w:t>
      </w:r>
      <w:bookmarkEnd w:id="843"/>
    </w:p>
    <w:tbl>
      <w:tblPr>
        <w:tblStyle w:val="17"/>
        <w:tblW w:w="5751"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15" w:type="dxa"/>
          <w:left w:w="15" w:type="dxa"/>
          <w:bottom w:w="15" w:type="dxa"/>
          <w:right w:w="15" w:type="dxa"/>
        </w:tblCellMar>
      </w:tblPr>
      <w:tblGrid>
        <w:gridCol w:w="421"/>
        <w:gridCol w:w="421"/>
        <w:gridCol w:w="2647"/>
        <w:gridCol w:w="2287"/>
        <w:gridCol w:w="4019"/>
      </w:tblGrid>
      <w:tr w14:paraId="34FCB2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jc w:val="center"/>
        </w:trPr>
        <w:tc>
          <w:tcPr>
            <w:tcW w:w="214" w:type="pct"/>
            <w:noWrap w:val="0"/>
            <w:tcMar>
              <w:top w:w="75" w:type="dxa"/>
              <w:left w:w="105" w:type="dxa"/>
              <w:bottom w:w="75" w:type="dxa"/>
              <w:right w:w="105" w:type="dxa"/>
            </w:tcMar>
            <w:vAlign w:val="center"/>
          </w:tcPr>
          <w:p w14:paraId="0A26A84D">
            <w:pPr>
              <w:pStyle w:val="15"/>
              <w:spacing w:line="360" w:lineRule="exact"/>
              <w:jc w:val="center"/>
              <w:rPr>
                <w:rFonts w:hint="eastAsia" w:eastAsia="宋体" w:cs="宋体"/>
                <w:b/>
                <w:bCs/>
                <w:sz w:val="21"/>
                <w:szCs w:val="21"/>
              </w:rPr>
            </w:pPr>
            <w:r>
              <w:rPr>
                <w:rFonts w:hint="eastAsia" w:eastAsia="宋体" w:cs="宋体"/>
                <w:b/>
                <w:bCs/>
                <w:sz w:val="21"/>
                <w:szCs w:val="21"/>
              </w:rPr>
              <w:t>类型</w:t>
            </w:r>
          </w:p>
        </w:tc>
        <w:tc>
          <w:tcPr>
            <w:tcW w:w="214" w:type="pct"/>
            <w:noWrap w:val="0"/>
            <w:tcMar>
              <w:top w:w="75" w:type="dxa"/>
              <w:left w:w="105" w:type="dxa"/>
              <w:bottom w:w="75" w:type="dxa"/>
              <w:right w:w="105" w:type="dxa"/>
            </w:tcMar>
            <w:vAlign w:val="center"/>
          </w:tcPr>
          <w:p w14:paraId="4CCD889E">
            <w:pPr>
              <w:pStyle w:val="15"/>
              <w:spacing w:line="360" w:lineRule="exact"/>
              <w:jc w:val="center"/>
              <w:rPr>
                <w:rFonts w:hint="eastAsia" w:eastAsia="宋体" w:cs="宋体"/>
                <w:b/>
                <w:bCs/>
                <w:sz w:val="21"/>
                <w:szCs w:val="21"/>
              </w:rPr>
            </w:pPr>
            <w:r>
              <w:rPr>
                <w:rFonts w:hint="eastAsia" w:eastAsia="宋体" w:cs="宋体"/>
                <w:b/>
                <w:bCs/>
                <w:sz w:val="21"/>
                <w:szCs w:val="21"/>
              </w:rPr>
              <w:t>序号</w:t>
            </w:r>
          </w:p>
        </w:tc>
        <w:tc>
          <w:tcPr>
            <w:tcW w:w="1352" w:type="pct"/>
            <w:noWrap w:val="0"/>
            <w:tcMar>
              <w:top w:w="75" w:type="dxa"/>
              <w:left w:w="105" w:type="dxa"/>
              <w:bottom w:w="75" w:type="dxa"/>
              <w:right w:w="105" w:type="dxa"/>
            </w:tcMar>
            <w:vAlign w:val="center"/>
          </w:tcPr>
          <w:p w14:paraId="1297157A">
            <w:pPr>
              <w:pStyle w:val="15"/>
              <w:spacing w:line="360" w:lineRule="exact"/>
              <w:jc w:val="center"/>
              <w:rPr>
                <w:rFonts w:hint="eastAsia" w:eastAsia="宋体" w:cs="宋体"/>
                <w:b/>
                <w:bCs/>
                <w:sz w:val="21"/>
                <w:szCs w:val="21"/>
              </w:rPr>
            </w:pPr>
            <w:r>
              <w:rPr>
                <w:rFonts w:hint="eastAsia" w:eastAsia="宋体" w:cs="宋体"/>
                <w:b/>
                <w:bCs/>
                <w:sz w:val="21"/>
                <w:szCs w:val="21"/>
              </w:rPr>
              <w:t>承包人应履行的义务</w:t>
            </w:r>
          </w:p>
        </w:tc>
        <w:tc>
          <w:tcPr>
            <w:tcW w:w="1168" w:type="pct"/>
            <w:noWrap w:val="0"/>
            <w:tcMar>
              <w:top w:w="75" w:type="dxa"/>
              <w:left w:w="105" w:type="dxa"/>
              <w:bottom w:w="75" w:type="dxa"/>
              <w:right w:w="105" w:type="dxa"/>
            </w:tcMar>
            <w:vAlign w:val="center"/>
          </w:tcPr>
          <w:p w14:paraId="2203CC03">
            <w:pPr>
              <w:pStyle w:val="15"/>
              <w:spacing w:line="360" w:lineRule="exact"/>
              <w:jc w:val="center"/>
              <w:rPr>
                <w:rFonts w:hint="eastAsia" w:eastAsia="宋体" w:cs="宋体"/>
                <w:b/>
                <w:bCs/>
                <w:sz w:val="21"/>
                <w:szCs w:val="21"/>
              </w:rPr>
            </w:pPr>
            <w:r>
              <w:rPr>
                <w:rFonts w:hint="eastAsia" w:eastAsia="宋体" w:cs="宋体"/>
                <w:b/>
                <w:bCs/>
                <w:sz w:val="21"/>
                <w:szCs w:val="21"/>
              </w:rPr>
              <w:t>承包人的违约行为</w:t>
            </w:r>
          </w:p>
        </w:tc>
        <w:tc>
          <w:tcPr>
            <w:tcW w:w="2049" w:type="pct"/>
            <w:noWrap w:val="0"/>
            <w:tcMar>
              <w:top w:w="75" w:type="dxa"/>
              <w:left w:w="105" w:type="dxa"/>
              <w:bottom w:w="75" w:type="dxa"/>
              <w:right w:w="105" w:type="dxa"/>
            </w:tcMar>
            <w:vAlign w:val="center"/>
          </w:tcPr>
          <w:p w14:paraId="0F643573">
            <w:pPr>
              <w:pStyle w:val="15"/>
              <w:spacing w:line="360" w:lineRule="exact"/>
              <w:jc w:val="center"/>
              <w:rPr>
                <w:rFonts w:hint="eastAsia" w:eastAsia="宋体" w:cs="宋体"/>
                <w:b/>
                <w:bCs/>
                <w:sz w:val="21"/>
                <w:szCs w:val="21"/>
              </w:rPr>
            </w:pPr>
            <w:r>
              <w:rPr>
                <w:rFonts w:hint="eastAsia" w:eastAsia="宋体" w:cs="宋体"/>
                <w:b/>
                <w:bCs/>
                <w:sz w:val="21"/>
                <w:szCs w:val="21"/>
              </w:rPr>
              <w:t>承包人应承担的违约责任</w:t>
            </w:r>
          </w:p>
        </w:tc>
      </w:tr>
      <w:tr w14:paraId="57D1D5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jc w:val="center"/>
        </w:trPr>
        <w:tc>
          <w:tcPr>
            <w:tcW w:w="214" w:type="pct"/>
            <w:vMerge w:val="restart"/>
            <w:noWrap w:val="0"/>
            <w:tcMar>
              <w:top w:w="75" w:type="dxa"/>
              <w:left w:w="105" w:type="dxa"/>
              <w:bottom w:w="75" w:type="dxa"/>
              <w:right w:w="105" w:type="dxa"/>
            </w:tcMar>
            <w:vAlign w:val="center"/>
          </w:tcPr>
          <w:p w14:paraId="0631B970">
            <w:pPr>
              <w:pStyle w:val="15"/>
              <w:spacing w:line="360" w:lineRule="exact"/>
              <w:rPr>
                <w:rStyle w:val="19"/>
                <w:rFonts w:hint="eastAsia" w:ascii="宋体" w:hAnsi="宋体" w:cs="宋体"/>
                <w:sz w:val="21"/>
                <w:szCs w:val="21"/>
              </w:rPr>
            </w:pPr>
            <w:r>
              <w:rPr>
                <w:rStyle w:val="19"/>
                <w:rFonts w:hint="eastAsia" w:ascii="宋体" w:hAnsi="宋体" w:cs="宋体"/>
                <w:sz w:val="21"/>
                <w:szCs w:val="21"/>
              </w:rPr>
              <w:t>合同管理</w:t>
            </w:r>
          </w:p>
          <w:p w14:paraId="0717A948">
            <w:pPr>
              <w:pStyle w:val="15"/>
              <w:spacing w:line="360" w:lineRule="exact"/>
              <w:rPr>
                <w:rFonts w:hint="eastAsia" w:eastAsia="宋体" w:cs="宋体"/>
                <w:sz w:val="21"/>
                <w:szCs w:val="21"/>
              </w:rPr>
            </w:pPr>
            <w:r>
              <w:rPr>
                <w:rFonts w:hint="eastAsia" w:eastAsia="宋体" w:cs="宋体"/>
                <w:sz w:val="21"/>
                <w:szCs w:val="21"/>
              </w:rPr>
              <w:t>、</w:t>
            </w:r>
          </w:p>
        </w:tc>
        <w:tc>
          <w:tcPr>
            <w:tcW w:w="214" w:type="pct"/>
            <w:noWrap w:val="0"/>
            <w:tcMar>
              <w:top w:w="75" w:type="dxa"/>
              <w:left w:w="105" w:type="dxa"/>
              <w:bottom w:w="75" w:type="dxa"/>
              <w:right w:w="105" w:type="dxa"/>
            </w:tcMar>
            <w:vAlign w:val="center"/>
          </w:tcPr>
          <w:p w14:paraId="35072B01">
            <w:pPr>
              <w:pStyle w:val="15"/>
              <w:numPr>
                <w:ilvl w:val="0"/>
                <w:numId w:val="4"/>
              </w:numPr>
              <w:spacing w:line="360" w:lineRule="exact"/>
              <w:ind w:left="0" w:firstLine="0"/>
              <w:jc w:val="center"/>
              <w:rPr>
                <w:rFonts w:hint="eastAsia" w:eastAsia="宋体" w:cs="宋体"/>
                <w:sz w:val="21"/>
                <w:szCs w:val="21"/>
              </w:rPr>
            </w:pPr>
          </w:p>
        </w:tc>
        <w:tc>
          <w:tcPr>
            <w:tcW w:w="1352" w:type="pct"/>
            <w:noWrap w:val="0"/>
            <w:tcMar>
              <w:top w:w="75" w:type="dxa"/>
              <w:left w:w="105" w:type="dxa"/>
              <w:bottom w:w="75" w:type="dxa"/>
              <w:right w:w="105" w:type="dxa"/>
            </w:tcMar>
            <w:vAlign w:val="center"/>
          </w:tcPr>
          <w:p w14:paraId="36BCB430">
            <w:pPr>
              <w:pStyle w:val="15"/>
              <w:spacing w:line="360" w:lineRule="exact"/>
              <w:rPr>
                <w:rFonts w:hint="eastAsia" w:eastAsia="宋体" w:cs="宋体"/>
                <w:sz w:val="21"/>
                <w:szCs w:val="21"/>
              </w:rPr>
            </w:pPr>
            <w:r>
              <w:rPr>
                <w:rFonts w:hint="eastAsia" w:eastAsia="宋体" w:cs="宋体"/>
                <w:sz w:val="21"/>
                <w:szCs w:val="21"/>
              </w:rPr>
              <w:t>经批准的设计文件，任何单位或个人不得随意改变。承包人应按经批准的设计文件施工，不得随意调整变更设计文件，不得擅自对设计文件的任何部分进行修改</w:t>
            </w:r>
          </w:p>
        </w:tc>
        <w:tc>
          <w:tcPr>
            <w:tcW w:w="1168" w:type="pct"/>
            <w:noWrap w:val="0"/>
            <w:tcMar>
              <w:top w:w="75" w:type="dxa"/>
              <w:left w:w="105" w:type="dxa"/>
              <w:bottom w:w="75" w:type="dxa"/>
              <w:right w:w="105" w:type="dxa"/>
            </w:tcMar>
            <w:vAlign w:val="center"/>
          </w:tcPr>
          <w:p w14:paraId="46FBE27B">
            <w:pPr>
              <w:pStyle w:val="15"/>
              <w:spacing w:line="360" w:lineRule="exact"/>
              <w:rPr>
                <w:rFonts w:hint="eastAsia" w:eastAsia="宋体" w:cs="宋体"/>
                <w:sz w:val="21"/>
                <w:szCs w:val="21"/>
              </w:rPr>
            </w:pPr>
            <w:r>
              <w:rPr>
                <w:rFonts w:hint="eastAsia" w:eastAsia="宋体" w:cs="宋体"/>
                <w:sz w:val="21"/>
                <w:szCs w:val="21"/>
              </w:rPr>
              <w:t>未经批准，承包人擅自对设计文件的任何部分进行修改</w:t>
            </w:r>
          </w:p>
        </w:tc>
        <w:tc>
          <w:tcPr>
            <w:tcW w:w="2049" w:type="pct"/>
            <w:noWrap w:val="0"/>
            <w:tcMar>
              <w:top w:w="75" w:type="dxa"/>
              <w:left w:w="105" w:type="dxa"/>
              <w:bottom w:w="75" w:type="dxa"/>
              <w:right w:w="105" w:type="dxa"/>
            </w:tcMar>
            <w:vAlign w:val="center"/>
          </w:tcPr>
          <w:p w14:paraId="339ED68A">
            <w:pPr>
              <w:pStyle w:val="15"/>
              <w:spacing w:line="360" w:lineRule="exact"/>
              <w:rPr>
                <w:rFonts w:hint="eastAsia" w:eastAsia="宋体" w:cs="宋体"/>
                <w:sz w:val="21"/>
                <w:szCs w:val="21"/>
              </w:rPr>
            </w:pPr>
            <w:r>
              <w:rPr>
                <w:rFonts w:hint="eastAsia" w:eastAsia="宋体" w:cs="宋体"/>
                <w:sz w:val="21"/>
                <w:szCs w:val="21"/>
              </w:rPr>
              <w:t>发包人或监理人要求承包人限期进行整改，若承包人逾期未改正，承包人须按工程合同价款0.2‰/天的标准向发包人支付违约金；造成被责令停工导致合同延误的，还应承担工期延误的违约责任；造成重大质量或安全事故的，承包人除应承担法律法规规定的责任外，还须向发包人另外按工程合同价款1％的标准支付违约金，并赔偿发包人的全部损失</w:t>
            </w:r>
          </w:p>
        </w:tc>
      </w:tr>
      <w:tr w14:paraId="327908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jc w:val="center"/>
        </w:trPr>
        <w:tc>
          <w:tcPr>
            <w:tcW w:w="214" w:type="pct"/>
            <w:vMerge w:val="continue"/>
            <w:noWrap w:val="0"/>
            <w:tcMar>
              <w:top w:w="75" w:type="dxa"/>
              <w:left w:w="105" w:type="dxa"/>
              <w:bottom w:w="75" w:type="dxa"/>
              <w:right w:w="105" w:type="dxa"/>
            </w:tcMar>
            <w:vAlign w:val="center"/>
          </w:tcPr>
          <w:p w14:paraId="71252653">
            <w:pPr>
              <w:pStyle w:val="15"/>
              <w:spacing w:line="360" w:lineRule="exact"/>
              <w:rPr>
                <w:rStyle w:val="19"/>
                <w:rFonts w:hint="eastAsia" w:ascii="宋体" w:hAnsi="宋体" w:cs="宋体"/>
                <w:sz w:val="21"/>
                <w:szCs w:val="21"/>
              </w:rPr>
            </w:pPr>
          </w:p>
        </w:tc>
        <w:tc>
          <w:tcPr>
            <w:tcW w:w="214" w:type="pct"/>
            <w:noWrap w:val="0"/>
            <w:tcMar>
              <w:top w:w="75" w:type="dxa"/>
              <w:left w:w="105" w:type="dxa"/>
              <w:bottom w:w="75" w:type="dxa"/>
              <w:right w:w="105" w:type="dxa"/>
            </w:tcMar>
            <w:vAlign w:val="center"/>
          </w:tcPr>
          <w:p w14:paraId="59EA7B03">
            <w:pPr>
              <w:pStyle w:val="15"/>
              <w:numPr>
                <w:ilvl w:val="0"/>
                <w:numId w:val="4"/>
              </w:numPr>
              <w:spacing w:line="360" w:lineRule="exact"/>
              <w:jc w:val="center"/>
              <w:rPr>
                <w:rFonts w:hint="eastAsia" w:eastAsia="宋体" w:cs="宋体"/>
                <w:sz w:val="21"/>
                <w:szCs w:val="21"/>
              </w:rPr>
            </w:pPr>
          </w:p>
        </w:tc>
        <w:tc>
          <w:tcPr>
            <w:tcW w:w="1352" w:type="pct"/>
            <w:noWrap w:val="0"/>
            <w:tcMar>
              <w:top w:w="75" w:type="dxa"/>
              <w:left w:w="105" w:type="dxa"/>
              <w:bottom w:w="75" w:type="dxa"/>
              <w:right w:w="105" w:type="dxa"/>
            </w:tcMar>
            <w:vAlign w:val="center"/>
          </w:tcPr>
          <w:p w14:paraId="64C79EFD">
            <w:pPr>
              <w:pStyle w:val="15"/>
              <w:spacing w:line="360" w:lineRule="exact"/>
              <w:rPr>
                <w:rFonts w:hint="eastAsia" w:eastAsia="宋体" w:cs="宋体"/>
                <w:sz w:val="21"/>
                <w:szCs w:val="21"/>
              </w:rPr>
            </w:pPr>
            <w:r>
              <w:rPr>
                <w:rFonts w:hint="eastAsia" w:eastAsia="宋体" w:cs="宋体"/>
                <w:sz w:val="21"/>
                <w:szCs w:val="21"/>
              </w:rPr>
              <w:t>承包人应按有关部门及发包人要求移交本工程相关技术档案和竣（交）工资料，配合办理工程竣（交）工验收，及时办理工程结算相关手续</w:t>
            </w:r>
          </w:p>
        </w:tc>
        <w:tc>
          <w:tcPr>
            <w:tcW w:w="1168" w:type="pct"/>
            <w:noWrap w:val="0"/>
            <w:tcMar>
              <w:top w:w="75" w:type="dxa"/>
              <w:left w:w="105" w:type="dxa"/>
              <w:bottom w:w="75" w:type="dxa"/>
              <w:right w:w="105" w:type="dxa"/>
            </w:tcMar>
            <w:vAlign w:val="center"/>
          </w:tcPr>
          <w:p w14:paraId="5343F4FA">
            <w:pPr>
              <w:pStyle w:val="15"/>
              <w:spacing w:line="360" w:lineRule="exact"/>
              <w:rPr>
                <w:rFonts w:hint="eastAsia" w:eastAsia="宋体" w:cs="宋体"/>
                <w:sz w:val="21"/>
                <w:szCs w:val="21"/>
              </w:rPr>
            </w:pPr>
            <w:r>
              <w:rPr>
                <w:rFonts w:hint="eastAsia" w:eastAsia="宋体" w:cs="宋体"/>
                <w:sz w:val="21"/>
                <w:szCs w:val="21"/>
              </w:rPr>
              <w:t>承包人无正当理由不配合发包人办理竣（交）工验收、不提供相关资料的、不及时办理工程结算相关手续</w:t>
            </w:r>
          </w:p>
        </w:tc>
        <w:tc>
          <w:tcPr>
            <w:tcW w:w="2049" w:type="pct"/>
            <w:noWrap w:val="0"/>
            <w:tcMar>
              <w:top w:w="75" w:type="dxa"/>
              <w:left w:w="105" w:type="dxa"/>
              <w:bottom w:w="75" w:type="dxa"/>
              <w:right w:w="105" w:type="dxa"/>
            </w:tcMar>
            <w:vAlign w:val="center"/>
          </w:tcPr>
          <w:p w14:paraId="2AB0C1BD">
            <w:pPr>
              <w:pStyle w:val="15"/>
              <w:spacing w:line="360" w:lineRule="exact"/>
              <w:rPr>
                <w:rFonts w:hint="eastAsia" w:eastAsia="宋体" w:cs="宋体"/>
                <w:sz w:val="21"/>
                <w:szCs w:val="21"/>
              </w:rPr>
            </w:pPr>
            <w:r>
              <w:rPr>
                <w:rFonts w:hint="eastAsia" w:eastAsia="宋体" w:cs="宋体"/>
                <w:sz w:val="21"/>
                <w:szCs w:val="21"/>
              </w:rPr>
              <w:t>发包人要求承包人限期提交需要移交的工程竣（交）工资料，逾期不提交的，承包人须按工程合同价款0.2‰/天的标准向发包人支付违约金</w:t>
            </w:r>
          </w:p>
        </w:tc>
      </w:tr>
      <w:tr w14:paraId="7B13E8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jc w:val="center"/>
        </w:trPr>
        <w:tc>
          <w:tcPr>
            <w:tcW w:w="214" w:type="pct"/>
            <w:vMerge w:val="continue"/>
            <w:noWrap w:val="0"/>
            <w:tcMar>
              <w:top w:w="75" w:type="dxa"/>
              <w:left w:w="105" w:type="dxa"/>
              <w:bottom w:w="75" w:type="dxa"/>
              <w:right w:w="105" w:type="dxa"/>
            </w:tcMar>
            <w:vAlign w:val="center"/>
          </w:tcPr>
          <w:p w14:paraId="6B650973">
            <w:pPr>
              <w:pStyle w:val="15"/>
              <w:spacing w:line="360" w:lineRule="exact"/>
              <w:rPr>
                <w:rFonts w:hint="eastAsia" w:eastAsia="宋体" w:cs="宋体"/>
                <w:sz w:val="21"/>
                <w:szCs w:val="21"/>
              </w:rPr>
            </w:pPr>
          </w:p>
        </w:tc>
        <w:tc>
          <w:tcPr>
            <w:tcW w:w="214" w:type="pct"/>
            <w:noWrap w:val="0"/>
            <w:tcMar>
              <w:top w:w="75" w:type="dxa"/>
              <w:left w:w="105" w:type="dxa"/>
              <w:bottom w:w="75" w:type="dxa"/>
              <w:right w:w="105" w:type="dxa"/>
            </w:tcMar>
            <w:vAlign w:val="center"/>
          </w:tcPr>
          <w:p w14:paraId="4A104305">
            <w:pPr>
              <w:pStyle w:val="15"/>
              <w:numPr>
                <w:ilvl w:val="0"/>
                <w:numId w:val="4"/>
              </w:numPr>
              <w:spacing w:line="360" w:lineRule="exact"/>
              <w:jc w:val="center"/>
              <w:rPr>
                <w:rFonts w:hint="eastAsia" w:eastAsia="宋体" w:cs="宋体"/>
                <w:sz w:val="21"/>
                <w:szCs w:val="21"/>
              </w:rPr>
            </w:pPr>
          </w:p>
        </w:tc>
        <w:tc>
          <w:tcPr>
            <w:tcW w:w="1352" w:type="pct"/>
            <w:noWrap w:val="0"/>
            <w:tcMar>
              <w:top w:w="75" w:type="dxa"/>
              <w:left w:w="105" w:type="dxa"/>
              <w:bottom w:w="75" w:type="dxa"/>
              <w:right w:w="105" w:type="dxa"/>
            </w:tcMar>
            <w:vAlign w:val="center"/>
          </w:tcPr>
          <w:p w14:paraId="628CABD4">
            <w:pPr>
              <w:pStyle w:val="15"/>
              <w:spacing w:line="360" w:lineRule="exact"/>
              <w:rPr>
                <w:rFonts w:hint="eastAsia" w:eastAsia="宋体" w:cs="宋体"/>
                <w:sz w:val="21"/>
                <w:szCs w:val="21"/>
              </w:rPr>
            </w:pPr>
            <w:r>
              <w:rPr>
                <w:rFonts w:hint="eastAsia" w:eastAsia="宋体" w:cs="宋体"/>
                <w:sz w:val="21"/>
                <w:szCs w:val="21"/>
              </w:rPr>
              <w:t>承包人应做好劳动用工实名制管理</w:t>
            </w:r>
          </w:p>
        </w:tc>
        <w:tc>
          <w:tcPr>
            <w:tcW w:w="1168" w:type="pct"/>
            <w:noWrap w:val="0"/>
            <w:tcMar>
              <w:top w:w="75" w:type="dxa"/>
              <w:left w:w="105" w:type="dxa"/>
              <w:bottom w:w="75" w:type="dxa"/>
              <w:right w:w="105" w:type="dxa"/>
            </w:tcMar>
            <w:vAlign w:val="center"/>
          </w:tcPr>
          <w:p w14:paraId="5C52BD8E">
            <w:pPr>
              <w:pStyle w:val="15"/>
              <w:spacing w:line="360" w:lineRule="exact"/>
              <w:rPr>
                <w:rFonts w:hint="eastAsia" w:eastAsia="宋体" w:cs="宋体"/>
                <w:sz w:val="21"/>
                <w:szCs w:val="21"/>
              </w:rPr>
            </w:pPr>
            <w:r>
              <w:rPr>
                <w:rFonts w:hint="eastAsia" w:eastAsia="宋体" w:cs="宋体"/>
                <w:sz w:val="21"/>
                <w:szCs w:val="21"/>
              </w:rPr>
              <w:t>承包人未实行劳动用工实名制管理，或者抽查检查发现未落实实名制管理的</w:t>
            </w:r>
          </w:p>
        </w:tc>
        <w:tc>
          <w:tcPr>
            <w:tcW w:w="2049" w:type="pct"/>
            <w:noWrap w:val="0"/>
            <w:tcMar>
              <w:top w:w="75" w:type="dxa"/>
              <w:left w:w="105" w:type="dxa"/>
              <w:bottom w:w="75" w:type="dxa"/>
              <w:right w:w="105" w:type="dxa"/>
            </w:tcMar>
            <w:vAlign w:val="center"/>
          </w:tcPr>
          <w:p w14:paraId="76F667F2">
            <w:pPr>
              <w:pStyle w:val="15"/>
              <w:spacing w:line="360" w:lineRule="exact"/>
              <w:rPr>
                <w:rFonts w:hint="eastAsia" w:eastAsia="宋体" w:cs="宋体"/>
                <w:sz w:val="21"/>
                <w:szCs w:val="21"/>
              </w:rPr>
            </w:pPr>
            <w:r>
              <w:rPr>
                <w:rFonts w:hint="eastAsia" w:eastAsia="宋体" w:cs="宋体"/>
                <w:sz w:val="21"/>
                <w:szCs w:val="21"/>
              </w:rPr>
              <w:t>发包人要求承包人立即改正，逾期未改正的，承包人应向发包人支付2万元/次的违约金</w:t>
            </w:r>
          </w:p>
        </w:tc>
      </w:tr>
      <w:tr w14:paraId="7A54D0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jc w:val="center"/>
        </w:trPr>
        <w:tc>
          <w:tcPr>
            <w:tcW w:w="214" w:type="pct"/>
            <w:vMerge w:val="continue"/>
            <w:noWrap w:val="0"/>
            <w:tcMar>
              <w:top w:w="75" w:type="dxa"/>
              <w:left w:w="105" w:type="dxa"/>
              <w:bottom w:w="75" w:type="dxa"/>
              <w:right w:w="105" w:type="dxa"/>
            </w:tcMar>
            <w:vAlign w:val="center"/>
          </w:tcPr>
          <w:p w14:paraId="1CB62348">
            <w:pPr>
              <w:widowControl/>
              <w:spacing w:line="360" w:lineRule="exact"/>
              <w:rPr>
                <w:rFonts w:hint="eastAsia" w:ascii="宋体" w:hAnsi="宋体" w:eastAsia="宋体" w:cs="宋体"/>
                <w:szCs w:val="21"/>
              </w:rPr>
            </w:pPr>
          </w:p>
        </w:tc>
        <w:tc>
          <w:tcPr>
            <w:tcW w:w="214" w:type="pct"/>
            <w:noWrap w:val="0"/>
            <w:tcMar>
              <w:top w:w="75" w:type="dxa"/>
              <w:left w:w="105" w:type="dxa"/>
              <w:bottom w:w="75" w:type="dxa"/>
              <w:right w:w="105" w:type="dxa"/>
            </w:tcMar>
            <w:vAlign w:val="center"/>
          </w:tcPr>
          <w:p w14:paraId="443CD17C">
            <w:pPr>
              <w:pStyle w:val="15"/>
              <w:numPr>
                <w:ilvl w:val="0"/>
                <w:numId w:val="4"/>
              </w:numPr>
              <w:spacing w:line="360" w:lineRule="exact"/>
              <w:jc w:val="center"/>
              <w:rPr>
                <w:rFonts w:hint="eastAsia" w:eastAsia="宋体" w:cs="宋体"/>
                <w:sz w:val="21"/>
                <w:szCs w:val="21"/>
              </w:rPr>
            </w:pPr>
          </w:p>
        </w:tc>
        <w:tc>
          <w:tcPr>
            <w:tcW w:w="1352" w:type="pct"/>
            <w:noWrap w:val="0"/>
            <w:tcMar>
              <w:top w:w="75" w:type="dxa"/>
              <w:left w:w="105" w:type="dxa"/>
              <w:bottom w:w="75" w:type="dxa"/>
              <w:right w:w="105" w:type="dxa"/>
            </w:tcMar>
            <w:vAlign w:val="center"/>
          </w:tcPr>
          <w:p w14:paraId="3F0E4DA5">
            <w:pPr>
              <w:pStyle w:val="15"/>
              <w:spacing w:line="360" w:lineRule="exact"/>
              <w:rPr>
                <w:rFonts w:hint="eastAsia" w:eastAsia="宋体" w:cs="宋体"/>
                <w:sz w:val="21"/>
                <w:szCs w:val="21"/>
              </w:rPr>
            </w:pPr>
            <w:r>
              <w:rPr>
                <w:rFonts w:hint="eastAsia" w:eastAsia="宋体" w:cs="宋体"/>
                <w:sz w:val="21"/>
                <w:szCs w:val="21"/>
              </w:rPr>
              <w:t>承包人如以联合体形式参与投标并成功中标的，应按共同投标协议约定的各方应承担的工作分工和责任进行施工作业</w:t>
            </w:r>
          </w:p>
        </w:tc>
        <w:tc>
          <w:tcPr>
            <w:tcW w:w="1168" w:type="pct"/>
            <w:noWrap w:val="0"/>
            <w:tcMar>
              <w:top w:w="75" w:type="dxa"/>
              <w:left w:w="105" w:type="dxa"/>
              <w:bottom w:w="75" w:type="dxa"/>
              <w:right w:w="105" w:type="dxa"/>
            </w:tcMar>
            <w:vAlign w:val="center"/>
          </w:tcPr>
          <w:p w14:paraId="3765C771">
            <w:pPr>
              <w:pStyle w:val="15"/>
              <w:spacing w:line="360" w:lineRule="exact"/>
              <w:rPr>
                <w:rFonts w:hint="eastAsia" w:eastAsia="宋体" w:cs="宋体"/>
                <w:sz w:val="21"/>
                <w:szCs w:val="21"/>
              </w:rPr>
            </w:pPr>
            <w:r>
              <w:rPr>
                <w:rFonts w:hint="eastAsia" w:eastAsia="宋体" w:cs="宋体"/>
                <w:sz w:val="21"/>
                <w:szCs w:val="21"/>
              </w:rPr>
              <w:t>联合体成员中标后不履行共同投标协议中的分工约定</w:t>
            </w:r>
          </w:p>
        </w:tc>
        <w:tc>
          <w:tcPr>
            <w:tcW w:w="2049" w:type="pct"/>
            <w:noWrap w:val="0"/>
            <w:tcMar>
              <w:top w:w="75" w:type="dxa"/>
              <w:left w:w="105" w:type="dxa"/>
              <w:bottom w:w="75" w:type="dxa"/>
              <w:right w:w="105" w:type="dxa"/>
            </w:tcMar>
            <w:vAlign w:val="center"/>
          </w:tcPr>
          <w:p w14:paraId="6D299D0F">
            <w:pPr>
              <w:pStyle w:val="15"/>
              <w:spacing w:line="360" w:lineRule="exact"/>
              <w:rPr>
                <w:rFonts w:hint="eastAsia" w:eastAsia="宋体" w:cs="宋体"/>
                <w:sz w:val="21"/>
                <w:szCs w:val="21"/>
              </w:rPr>
            </w:pPr>
            <w:r>
              <w:rPr>
                <w:rFonts w:hint="eastAsia" w:eastAsia="宋体" w:cs="宋体"/>
                <w:sz w:val="21"/>
                <w:szCs w:val="21"/>
              </w:rPr>
              <w:t>发包人要求联合体成员立即改正该行为，按共同投标协议约定的各方应承担的工作分工和责任进行施工作业，且应向发包人支付超出联合体协议约定分工以外的工程合同价款0.5％的违约金；被认定为转包或违法分包的，联合体成员还应承担对应的违约责任</w:t>
            </w:r>
          </w:p>
        </w:tc>
      </w:tr>
      <w:tr w14:paraId="24245A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jc w:val="center"/>
        </w:trPr>
        <w:tc>
          <w:tcPr>
            <w:tcW w:w="214" w:type="pct"/>
            <w:vMerge w:val="restart"/>
            <w:noWrap w:val="0"/>
            <w:tcMar>
              <w:top w:w="75" w:type="dxa"/>
              <w:left w:w="105" w:type="dxa"/>
              <w:bottom w:w="75" w:type="dxa"/>
              <w:right w:w="105" w:type="dxa"/>
            </w:tcMar>
            <w:vAlign w:val="center"/>
          </w:tcPr>
          <w:p w14:paraId="5C976E96">
            <w:pPr>
              <w:pStyle w:val="15"/>
              <w:spacing w:line="360" w:lineRule="exact"/>
              <w:rPr>
                <w:rFonts w:hint="eastAsia" w:eastAsia="宋体" w:cs="宋体"/>
                <w:sz w:val="21"/>
                <w:szCs w:val="21"/>
              </w:rPr>
            </w:pPr>
            <w:r>
              <w:rPr>
                <w:rStyle w:val="19"/>
                <w:rFonts w:hint="eastAsia" w:ascii="宋体" w:hAnsi="宋体" w:cs="宋体"/>
                <w:sz w:val="21"/>
                <w:szCs w:val="21"/>
              </w:rPr>
              <w:t>施工现场关键岗位人员</w:t>
            </w:r>
          </w:p>
        </w:tc>
        <w:tc>
          <w:tcPr>
            <w:tcW w:w="214" w:type="pct"/>
            <w:noWrap w:val="0"/>
            <w:tcMar>
              <w:top w:w="75" w:type="dxa"/>
              <w:left w:w="105" w:type="dxa"/>
              <w:bottom w:w="75" w:type="dxa"/>
              <w:right w:w="105" w:type="dxa"/>
            </w:tcMar>
            <w:vAlign w:val="center"/>
          </w:tcPr>
          <w:p w14:paraId="378B4E02">
            <w:pPr>
              <w:pStyle w:val="15"/>
              <w:numPr>
                <w:ilvl w:val="0"/>
                <w:numId w:val="4"/>
              </w:numPr>
              <w:spacing w:line="360" w:lineRule="exact"/>
              <w:jc w:val="center"/>
              <w:rPr>
                <w:rFonts w:hint="eastAsia" w:eastAsia="宋体" w:cs="宋体"/>
                <w:sz w:val="21"/>
                <w:szCs w:val="21"/>
              </w:rPr>
            </w:pPr>
          </w:p>
        </w:tc>
        <w:tc>
          <w:tcPr>
            <w:tcW w:w="1352" w:type="pct"/>
            <w:noWrap w:val="0"/>
            <w:tcMar>
              <w:top w:w="75" w:type="dxa"/>
              <w:left w:w="105" w:type="dxa"/>
              <w:bottom w:w="75" w:type="dxa"/>
              <w:right w:w="105" w:type="dxa"/>
            </w:tcMar>
            <w:vAlign w:val="center"/>
          </w:tcPr>
          <w:p w14:paraId="42F145BC">
            <w:pPr>
              <w:pStyle w:val="15"/>
              <w:spacing w:line="360" w:lineRule="exact"/>
              <w:rPr>
                <w:rFonts w:hint="eastAsia" w:eastAsia="宋体" w:cs="宋体"/>
                <w:sz w:val="21"/>
                <w:szCs w:val="21"/>
              </w:rPr>
            </w:pPr>
            <w:r>
              <w:rPr>
                <w:rFonts w:hint="eastAsia" w:eastAsia="宋体" w:cs="宋体"/>
                <w:sz w:val="21"/>
                <w:szCs w:val="21"/>
              </w:rPr>
              <w:t>承包人应按合同约定的时间及时安排本单位相关人员进场</w:t>
            </w:r>
          </w:p>
        </w:tc>
        <w:tc>
          <w:tcPr>
            <w:tcW w:w="1168" w:type="pct"/>
            <w:noWrap w:val="0"/>
            <w:tcMar>
              <w:top w:w="75" w:type="dxa"/>
              <w:left w:w="105" w:type="dxa"/>
              <w:bottom w:w="75" w:type="dxa"/>
              <w:right w:w="105" w:type="dxa"/>
            </w:tcMar>
            <w:vAlign w:val="center"/>
          </w:tcPr>
          <w:p w14:paraId="765D9341">
            <w:pPr>
              <w:pStyle w:val="15"/>
              <w:spacing w:line="360" w:lineRule="exact"/>
              <w:rPr>
                <w:rFonts w:hint="eastAsia" w:eastAsia="宋体" w:cs="宋体"/>
                <w:sz w:val="21"/>
                <w:szCs w:val="21"/>
              </w:rPr>
            </w:pPr>
            <w:r>
              <w:rPr>
                <w:rFonts w:hint="eastAsia" w:eastAsia="宋体" w:cs="宋体"/>
                <w:sz w:val="21"/>
                <w:szCs w:val="21"/>
              </w:rPr>
              <w:t>承包人不按合同约定的时间（如开工通知规定的时间）安排本单位相关人员进场，或未全部进场的</w:t>
            </w:r>
          </w:p>
        </w:tc>
        <w:tc>
          <w:tcPr>
            <w:tcW w:w="2049" w:type="pct"/>
            <w:noWrap w:val="0"/>
            <w:tcMar>
              <w:top w:w="75" w:type="dxa"/>
              <w:left w:w="105" w:type="dxa"/>
              <w:bottom w:w="75" w:type="dxa"/>
              <w:right w:w="105" w:type="dxa"/>
            </w:tcMar>
            <w:vAlign w:val="center"/>
          </w:tcPr>
          <w:p w14:paraId="222B16B2">
            <w:pPr>
              <w:pStyle w:val="15"/>
              <w:spacing w:line="360" w:lineRule="exact"/>
              <w:rPr>
                <w:rFonts w:hint="eastAsia" w:eastAsia="宋体" w:cs="宋体"/>
                <w:sz w:val="21"/>
                <w:szCs w:val="21"/>
              </w:rPr>
            </w:pPr>
            <w:r>
              <w:rPr>
                <w:rFonts w:hint="eastAsia" w:eastAsia="宋体" w:cs="宋体"/>
                <w:sz w:val="21"/>
                <w:szCs w:val="21"/>
              </w:rPr>
              <w:t>承包人应按人员类型，从约定时间届满的次日起，向发包人支付违约金。其中施工项目负责人、技术负责人，每人每日支付工程合同价款0.5‰且不低于2万元的违约金；其他人员，每人每日支付工程合同价款0.3‰且不低于1万元的违约金，直至承包人全部人员到岗为止</w:t>
            </w:r>
          </w:p>
        </w:tc>
      </w:tr>
      <w:tr w14:paraId="394D15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jc w:val="center"/>
        </w:trPr>
        <w:tc>
          <w:tcPr>
            <w:tcW w:w="214" w:type="pct"/>
            <w:vMerge w:val="continue"/>
            <w:noWrap w:val="0"/>
            <w:tcMar>
              <w:top w:w="75" w:type="dxa"/>
              <w:left w:w="105" w:type="dxa"/>
              <w:bottom w:w="75" w:type="dxa"/>
              <w:right w:w="105" w:type="dxa"/>
            </w:tcMar>
            <w:vAlign w:val="center"/>
          </w:tcPr>
          <w:p w14:paraId="40E14ED0">
            <w:pPr>
              <w:widowControl/>
              <w:spacing w:line="360" w:lineRule="exact"/>
              <w:rPr>
                <w:rFonts w:hint="eastAsia" w:ascii="宋体" w:hAnsi="宋体" w:eastAsia="宋体" w:cs="宋体"/>
                <w:szCs w:val="21"/>
              </w:rPr>
            </w:pPr>
          </w:p>
        </w:tc>
        <w:tc>
          <w:tcPr>
            <w:tcW w:w="214" w:type="pct"/>
            <w:noWrap w:val="0"/>
            <w:tcMar>
              <w:top w:w="75" w:type="dxa"/>
              <w:left w:w="105" w:type="dxa"/>
              <w:bottom w:w="75" w:type="dxa"/>
              <w:right w:w="105" w:type="dxa"/>
            </w:tcMar>
            <w:vAlign w:val="center"/>
          </w:tcPr>
          <w:p w14:paraId="3ECB9262">
            <w:pPr>
              <w:pStyle w:val="15"/>
              <w:numPr>
                <w:ilvl w:val="0"/>
                <w:numId w:val="4"/>
              </w:numPr>
              <w:spacing w:line="360" w:lineRule="exact"/>
              <w:jc w:val="center"/>
              <w:rPr>
                <w:rFonts w:hint="eastAsia" w:eastAsia="宋体" w:cs="宋体"/>
                <w:sz w:val="21"/>
                <w:szCs w:val="21"/>
              </w:rPr>
            </w:pPr>
          </w:p>
        </w:tc>
        <w:tc>
          <w:tcPr>
            <w:tcW w:w="1352" w:type="pct"/>
            <w:noWrap w:val="0"/>
            <w:tcMar>
              <w:top w:w="75" w:type="dxa"/>
              <w:left w:w="105" w:type="dxa"/>
              <w:bottom w:w="75" w:type="dxa"/>
              <w:right w:w="105" w:type="dxa"/>
            </w:tcMar>
            <w:vAlign w:val="center"/>
          </w:tcPr>
          <w:p w14:paraId="5C00364F">
            <w:pPr>
              <w:pStyle w:val="15"/>
              <w:spacing w:line="360" w:lineRule="exact"/>
              <w:rPr>
                <w:rFonts w:hint="eastAsia" w:eastAsia="宋体" w:cs="宋体"/>
                <w:sz w:val="21"/>
                <w:szCs w:val="21"/>
              </w:rPr>
            </w:pPr>
            <w:r>
              <w:rPr>
                <w:rFonts w:hint="eastAsia" w:eastAsia="宋体" w:cs="宋体"/>
                <w:sz w:val="21"/>
                <w:szCs w:val="21"/>
              </w:rPr>
              <w:t>承包人应当按照合同承诺，组织满足招标文件、投标承诺资格条件的本单位相关人员到岗履约，否则属于单方面更换人员或擅自更换人员</w:t>
            </w:r>
          </w:p>
        </w:tc>
        <w:tc>
          <w:tcPr>
            <w:tcW w:w="1168" w:type="pct"/>
            <w:noWrap w:val="0"/>
            <w:tcMar>
              <w:top w:w="75" w:type="dxa"/>
              <w:left w:w="105" w:type="dxa"/>
              <w:bottom w:w="75" w:type="dxa"/>
              <w:right w:w="105" w:type="dxa"/>
            </w:tcMar>
            <w:vAlign w:val="center"/>
          </w:tcPr>
          <w:p w14:paraId="62F3528A">
            <w:pPr>
              <w:pStyle w:val="15"/>
              <w:spacing w:line="360" w:lineRule="exact"/>
              <w:rPr>
                <w:rFonts w:hint="eastAsia" w:eastAsia="宋体" w:cs="宋体"/>
                <w:sz w:val="21"/>
                <w:szCs w:val="21"/>
              </w:rPr>
            </w:pPr>
            <w:r>
              <w:rPr>
                <w:rFonts w:hint="eastAsia" w:eastAsia="宋体" w:cs="宋体"/>
                <w:sz w:val="21"/>
                <w:szCs w:val="21"/>
              </w:rPr>
              <w:t>承包人擅自更换人员或单方面作出实质性更换行为的</w:t>
            </w:r>
          </w:p>
        </w:tc>
        <w:tc>
          <w:tcPr>
            <w:tcW w:w="2049" w:type="pct"/>
            <w:noWrap w:val="0"/>
            <w:tcMar>
              <w:top w:w="75" w:type="dxa"/>
              <w:left w:w="105" w:type="dxa"/>
              <w:bottom w:w="75" w:type="dxa"/>
              <w:right w:w="105" w:type="dxa"/>
            </w:tcMar>
            <w:vAlign w:val="center"/>
          </w:tcPr>
          <w:p w14:paraId="652E4EF6">
            <w:pPr>
              <w:pStyle w:val="15"/>
              <w:spacing w:line="360" w:lineRule="exact"/>
              <w:rPr>
                <w:rFonts w:hint="eastAsia" w:eastAsia="宋体" w:cs="宋体"/>
                <w:sz w:val="21"/>
                <w:szCs w:val="21"/>
              </w:rPr>
            </w:pPr>
            <w:r>
              <w:rPr>
                <w:rFonts w:hint="eastAsia" w:eastAsia="宋体" w:cs="宋体"/>
                <w:sz w:val="21"/>
                <w:szCs w:val="21"/>
              </w:rPr>
              <w:t>承包人应根据合同标的额并按人员类型向发包人支付相应违约金。合同金额低于5000万元的项目，施工项目负责人每人每次按30万元的标准，项目技术负责人每人每次按10万元的标准；合同金额5000万元以上（含5000万元）的项目，施工项目负责人每人每次按50万元的标准，项目技术负责人每人每次按20万元的标准，其他人员，每人每次均按2万元的标准。发包人保留要求承包人按照招标文件、投标文件及合同约定组织本单位人员到岗履约的权利</w:t>
            </w:r>
          </w:p>
        </w:tc>
      </w:tr>
      <w:tr w14:paraId="038769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jc w:val="center"/>
        </w:trPr>
        <w:tc>
          <w:tcPr>
            <w:tcW w:w="214" w:type="pct"/>
            <w:vMerge w:val="continue"/>
            <w:noWrap w:val="0"/>
            <w:tcMar>
              <w:top w:w="75" w:type="dxa"/>
              <w:left w:w="105" w:type="dxa"/>
              <w:bottom w:w="75" w:type="dxa"/>
              <w:right w:w="105" w:type="dxa"/>
            </w:tcMar>
            <w:vAlign w:val="center"/>
          </w:tcPr>
          <w:p w14:paraId="4927499F">
            <w:pPr>
              <w:pStyle w:val="15"/>
              <w:spacing w:line="360" w:lineRule="exact"/>
              <w:rPr>
                <w:rFonts w:hint="eastAsia" w:eastAsia="宋体" w:cs="宋体"/>
                <w:sz w:val="21"/>
                <w:szCs w:val="21"/>
              </w:rPr>
            </w:pPr>
          </w:p>
        </w:tc>
        <w:tc>
          <w:tcPr>
            <w:tcW w:w="214" w:type="pct"/>
            <w:noWrap w:val="0"/>
            <w:tcMar>
              <w:top w:w="75" w:type="dxa"/>
              <w:left w:w="105" w:type="dxa"/>
              <w:bottom w:w="75" w:type="dxa"/>
              <w:right w:w="105" w:type="dxa"/>
            </w:tcMar>
            <w:vAlign w:val="center"/>
          </w:tcPr>
          <w:p w14:paraId="708053EE">
            <w:pPr>
              <w:pStyle w:val="15"/>
              <w:numPr>
                <w:ilvl w:val="0"/>
                <w:numId w:val="4"/>
              </w:numPr>
              <w:spacing w:line="360" w:lineRule="exact"/>
              <w:jc w:val="center"/>
              <w:rPr>
                <w:rFonts w:hint="eastAsia" w:eastAsia="宋体" w:cs="宋体"/>
                <w:sz w:val="21"/>
                <w:szCs w:val="21"/>
              </w:rPr>
            </w:pPr>
          </w:p>
        </w:tc>
        <w:tc>
          <w:tcPr>
            <w:tcW w:w="1352" w:type="pct"/>
            <w:noWrap w:val="0"/>
            <w:tcMar>
              <w:top w:w="75" w:type="dxa"/>
              <w:left w:w="105" w:type="dxa"/>
              <w:bottom w:w="75" w:type="dxa"/>
              <w:right w:w="105" w:type="dxa"/>
            </w:tcMar>
            <w:vAlign w:val="center"/>
          </w:tcPr>
          <w:p w14:paraId="5D5F9D25">
            <w:pPr>
              <w:pStyle w:val="15"/>
              <w:spacing w:line="360" w:lineRule="exact"/>
              <w:rPr>
                <w:rFonts w:hint="eastAsia" w:eastAsia="宋体" w:cs="宋体"/>
                <w:sz w:val="21"/>
                <w:szCs w:val="21"/>
              </w:rPr>
            </w:pPr>
            <w:r>
              <w:rPr>
                <w:rFonts w:hint="eastAsia" w:eastAsia="宋体" w:cs="宋体"/>
                <w:sz w:val="21"/>
                <w:szCs w:val="21"/>
              </w:rPr>
              <w:t>在合同履行期内，施工现场关键岗位人员，除下列特殊情形外原则上不得更换：（一）在项目实施期间退休或者辞职，且未被项目参建单位以及其上级（下属）单位留用的；（二）死亡的；（三）因怀孕、产假、重病或者重伤两个月以上不能履行职责的；（四）因违法被责令停止执业；（五）无法正常履行合同约定的责任和义务，经项目建设单位“三重一大”会议集体决策认为不称职需要更换的；（六）因涉嫌犯罪被羁押或者被采取留置措施的；（七）因犯罪被判刑的。</w:t>
            </w:r>
          </w:p>
          <w:p w14:paraId="3CC66F06">
            <w:pPr>
              <w:pStyle w:val="15"/>
              <w:spacing w:line="360" w:lineRule="exact"/>
              <w:rPr>
                <w:rFonts w:hint="eastAsia" w:eastAsia="宋体" w:cs="宋体"/>
                <w:sz w:val="21"/>
                <w:szCs w:val="21"/>
              </w:rPr>
            </w:pPr>
            <w:r>
              <w:rPr>
                <w:rFonts w:hint="eastAsia" w:eastAsia="宋体" w:cs="宋体"/>
                <w:sz w:val="21"/>
                <w:szCs w:val="21"/>
              </w:rPr>
              <w:t>出现特殊情形（四）至（七）项时，发包人应当要求承包人更换人员</w:t>
            </w:r>
          </w:p>
        </w:tc>
        <w:tc>
          <w:tcPr>
            <w:tcW w:w="1168" w:type="pct"/>
            <w:noWrap w:val="0"/>
            <w:tcMar>
              <w:top w:w="75" w:type="dxa"/>
              <w:left w:w="105" w:type="dxa"/>
              <w:bottom w:w="75" w:type="dxa"/>
              <w:right w:w="105" w:type="dxa"/>
            </w:tcMar>
            <w:vAlign w:val="center"/>
          </w:tcPr>
          <w:p w14:paraId="483BB482">
            <w:pPr>
              <w:pStyle w:val="15"/>
              <w:spacing w:line="360" w:lineRule="exact"/>
              <w:rPr>
                <w:rFonts w:hint="eastAsia" w:eastAsia="宋体" w:cs="宋体"/>
                <w:sz w:val="21"/>
                <w:szCs w:val="21"/>
              </w:rPr>
            </w:pPr>
            <w:r>
              <w:rPr>
                <w:rFonts w:hint="eastAsia" w:eastAsia="宋体" w:cs="宋体"/>
                <w:sz w:val="21"/>
                <w:szCs w:val="21"/>
              </w:rPr>
              <w:t>承包人擅自更换人员或单方面作出实质性更换行为的</w:t>
            </w:r>
          </w:p>
        </w:tc>
        <w:tc>
          <w:tcPr>
            <w:tcW w:w="2049" w:type="pct"/>
            <w:noWrap w:val="0"/>
            <w:tcMar>
              <w:top w:w="75" w:type="dxa"/>
              <w:left w:w="105" w:type="dxa"/>
              <w:bottom w:w="75" w:type="dxa"/>
              <w:right w:w="105" w:type="dxa"/>
            </w:tcMar>
            <w:vAlign w:val="center"/>
          </w:tcPr>
          <w:p w14:paraId="052610E0">
            <w:pPr>
              <w:pStyle w:val="15"/>
              <w:spacing w:line="360" w:lineRule="exact"/>
              <w:rPr>
                <w:rFonts w:hint="eastAsia" w:eastAsia="宋体" w:cs="宋体"/>
                <w:sz w:val="21"/>
                <w:szCs w:val="21"/>
              </w:rPr>
            </w:pPr>
            <w:r>
              <w:rPr>
                <w:rFonts w:hint="eastAsia" w:eastAsia="宋体" w:cs="宋体"/>
                <w:sz w:val="21"/>
                <w:szCs w:val="21"/>
              </w:rPr>
              <w:t>承包人应根据合同标的额并按人员类型向发包人支付相应违约金。合同金额低于5000万元的项目，施工项目负责人每人每次按30万元的标准，项目技术负责人每人每次按10万元的标准；合同金额5000万元以上（含5000万元）的项目，施工项目负责人每人每次按50万元的标准，项目技术负责人每人每次按20万元的标准；其他人员，每人每次均按2万元的标准</w:t>
            </w:r>
          </w:p>
        </w:tc>
      </w:tr>
      <w:tr w14:paraId="386444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jc w:val="center"/>
        </w:trPr>
        <w:tc>
          <w:tcPr>
            <w:tcW w:w="214" w:type="pct"/>
            <w:vMerge w:val="restart"/>
            <w:noWrap w:val="0"/>
            <w:tcMar>
              <w:top w:w="75" w:type="dxa"/>
              <w:left w:w="105" w:type="dxa"/>
              <w:bottom w:w="75" w:type="dxa"/>
              <w:right w:w="105" w:type="dxa"/>
            </w:tcMar>
            <w:vAlign w:val="center"/>
          </w:tcPr>
          <w:p w14:paraId="621F7FA4">
            <w:pPr>
              <w:pStyle w:val="15"/>
              <w:spacing w:line="360" w:lineRule="exact"/>
              <w:rPr>
                <w:rFonts w:hint="eastAsia" w:eastAsia="宋体" w:cs="宋体"/>
                <w:sz w:val="21"/>
                <w:szCs w:val="21"/>
              </w:rPr>
            </w:pPr>
            <w:r>
              <w:rPr>
                <w:rStyle w:val="19"/>
                <w:rFonts w:hint="eastAsia" w:ascii="宋体" w:hAnsi="宋体" w:cs="宋体"/>
                <w:sz w:val="21"/>
                <w:szCs w:val="21"/>
              </w:rPr>
              <w:t>施工现场关键岗位人员</w:t>
            </w:r>
          </w:p>
        </w:tc>
        <w:tc>
          <w:tcPr>
            <w:tcW w:w="214" w:type="pct"/>
            <w:noWrap w:val="0"/>
            <w:tcMar>
              <w:top w:w="75" w:type="dxa"/>
              <w:left w:w="105" w:type="dxa"/>
              <w:bottom w:w="75" w:type="dxa"/>
              <w:right w:w="105" w:type="dxa"/>
            </w:tcMar>
            <w:vAlign w:val="center"/>
          </w:tcPr>
          <w:p w14:paraId="3E099CC4">
            <w:pPr>
              <w:pStyle w:val="15"/>
              <w:numPr>
                <w:ilvl w:val="0"/>
                <w:numId w:val="4"/>
              </w:numPr>
              <w:spacing w:line="360" w:lineRule="exact"/>
              <w:jc w:val="center"/>
              <w:rPr>
                <w:rFonts w:hint="eastAsia" w:eastAsia="宋体" w:cs="宋体"/>
                <w:sz w:val="21"/>
                <w:szCs w:val="21"/>
              </w:rPr>
            </w:pPr>
          </w:p>
        </w:tc>
        <w:tc>
          <w:tcPr>
            <w:tcW w:w="1352" w:type="pct"/>
            <w:noWrap w:val="0"/>
            <w:tcMar>
              <w:top w:w="75" w:type="dxa"/>
              <w:left w:w="105" w:type="dxa"/>
              <w:bottom w:w="75" w:type="dxa"/>
              <w:right w:w="105" w:type="dxa"/>
            </w:tcMar>
            <w:vAlign w:val="center"/>
          </w:tcPr>
          <w:p w14:paraId="085905FE">
            <w:pPr>
              <w:pStyle w:val="15"/>
              <w:spacing w:line="360" w:lineRule="exact"/>
              <w:rPr>
                <w:rFonts w:hint="eastAsia" w:eastAsia="宋体" w:cs="宋体"/>
                <w:sz w:val="21"/>
                <w:szCs w:val="21"/>
              </w:rPr>
            </w:pPr>
            <w:r>
              <w:rPr>
                <w:rFonts w:hint="eastAsia" w:eastAsia="宋体" w:cs="宋体"/>
                <w:sz w:val="21"/>
                <w:szCs w:val="21"/>
              </w:rPr>
              <w:t>出现承包人需要更换施工现场关键岗位人员的特殊情形时，发包人应当要求承包人在一定期限内（期限根据项目实际而定）更换人员</w:t>
            </w:r>
          </w:p>
        </w:tc>
        <w:tc>
          <w:tcPr>
            <w:tcW w:w="1168" w:type="pct"/>
            <w:noWrap w:val="0"/>
            <w:tcMar>
              <w:top w:w="75" w:type="dxa"/>
              <w:left w:w="105" w:type="dxa"/>
              <w:bottom w:w="75" w:type="dxa"/>
              <w:right w:w="105" w:type="dxa"/>
            </w:tcMar>
            <w:vAlign w:val="center"/>
          </w:tcPr>
          <w:p w14:paraId="3CB7AED3">
            <w:pPr>
              <w:pStyle w:val="15"/>
              <w:spacing w:line="360" w:lineRule="exact"/>
              <w:rPr>
                <w:rFonts w:hint="eastAsia" w:eastAsia="宋体" w:cs="宋体"/>
                <w:sz w:val="21"/>
                <w:szCs w:val="21"/>
              </w:rPr>
            </w:pPr>
            <w:r>
              <w:rPr>
                <w:rFonts w:hint="eastAsia" w:eastAsia="宋体" w:cs="宋体"/>
                <w:sz w:val="21"/>
                <w:szCs w:val="21"/>
              </w:rPr>
              <w:t>承包人超过限期仍不更换的</w:t>
            </w:r>
          </w:p>
        </w:tc>
        <w:tc>
          <w:tcPr>
            <w:tcW w:w="2049" w:type="pct"/>
            <w:noWrap w:val="0"/>
            <w:tcMar>
              <w:top w:w="75" w:type="dxa"/>
              <w:left w:w="105" w:type="dxa"/>
              <w:bottom w:w="75" w:type="dxa"/>
              <w:right w:w="105" w:type="dxa"/>
            </w:tcMar>
            <w:vAlign w:val="center"/>
          </w:tcPr>
          <w:p w14:paraId="17F37422">
            <w:pPr>
              <w:pStyle w:val="15"/>
              <w:spacing w:line="360" w:lineRule="exact"/>
              <w:rPr>
                <w:rFonts w:hint="eastAsia" w:eastAsia="宋体" w:cs="宋体"/>
                <w:sz w:val="21"/>
                <w:szCs w:val="21"/>
              </w:rPr>
            </w:pPr>
            <w:r>
              <w:rPr>
                <w:rFonts w:hint="eastAsia" w:eastAsia="宋体" w:cs="宋体"/>
                <w:sz w:val="21"/>
                <w:szCs w:val="21"/>
              </w:rPr>
              <w:t>承包人应根据合同标的额并按人员类型，从约定时间届满的次日起，向发包人支付违约金。其中合同金额低于5000万元的项目，施工项目负责人、技术负责人每人每日3万元的标准；合同金额5000万元以上（含5000万元）的项目，施工项目负责人、技术负责人每人每日5万元的标准；其他施工现场关键岗位人员，每人每日按1万元的标准</w:t>
            </w:r>
          </w:p>
        </w:tc>
      </w:tr>
      <w:tr w14:paraId="2E596C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jc w:val="center"/>
        </w:trPr>
        <w:tc>
          <w:tcPr>
            <w:tcW w:w="214" w:type="pct"/>
            <w:vMerge w:val="continue"/>
            <w:noWrap w:val="0"/>
            <w:tcMar>
              <w:top w:w="75" w:type="dxa"/>
              <w:left w:w="105" w:type="dxa"/>
              <w:bottom w:w="75" w:type="dxa"/>
              <w:right w:w="105" w:type="dxa"/>
            </w:tcMar>
            <w:vAlign w:val="center"/>
          </w:tcPr>
          <w:p w14:paraId="7B4D968D">
            <w:pPr>
              <w:widowControl/>
              <w:spacing w:line="360" w:lineRule="exact"/>
              <w:rPr>
                <w:rFonts w:hint="eastAsia" w:ascii="宋体" w:hAnsi="宋体" w:eastAsia="宋体" w:cs="宋体"/>
                <w:szCs w:val="21"/>
              </w:rPr>
            </w:pPr>
          </w:p>
        </w:tc>
        <w:tc>
          <w:tcPr>
            <w:tcW w:w="214" w:type="pct"/>
            <w:noWrap w:val="0"/>
            <w:tcMar>
              <w:top w:w="75" w:type="dxa"/>
              <w:left w:w="105" w:type="dxa"/>
              <w:bottom w:w="75" w:type="dxa"/>
              <w:right w:w="105" w:type="dxa"/>
            </w:tcMar>
            <w:vAlign w:val="center"/>
          </w:tcPr>
          <w:p w14:paraId="626B6D8E">
            <w:pPr>
              <w:pStyle w:val="15"/>
              <w:numPr>
                <w:ilvl w:val="0"/>
                <w:numId w:val="4"/>
              </w:numPr>
              <w:spacing w:line="360" w:lineRule="exact"/>
              <w:jc w:val="center"/>
              <w:rPr>
                <w:rFonts w:hint="eastAsia" w:eastAsia="宋体" w:cs="宋体"/>
                <w:sz w:val="21"/>
                <w:szCs w:val="21"/>
              </w:rPr>
            </w:pPr>
          </w:p>
        </w:tc>
        <w:tc>
          <w:tcPr>
            <w:tcW w:w="1352" w:type="pct"/>
            <w:noWrap w:val="0"/>
            <w:tcMar>
              <w:top w:w="75" w:type="dxa"/>
              <w:left w:w="105" w:type="dxa"/>
              <w:bottom w:w="75" w:type="dxa"/>
              <w:right w:w="105" w:type="dxa"/>
            </w:tcMar>
            <w:vAlign w:val="center"/>
          </w:tcPr>
          <w:p w14:paraId="751C820F">
            <w:pPr>
              <w:pStyle w:val="15"/>
              <w:spacing w:line="360" w:lineRule="exact"/>
              <w:rPr>
                <w:rFonts w:hint="eastAsia" w:eastAsia="宋体" w:cs="宋体"/>
                <w:sz w:val="21"/>
                <w:szCs w:val="21"/>
              </w:rPr>
            </w:pPr>
            <w:r>
              <w:rPr>
                <w:rFonts w:hint="eastAsia" w:eastAsia="宋体" w:cs="宋体"/>
                <w:sz w:val="21"/>
                <w:szCs w:val="21"/>
              </w:rPr>
              <w:t>承包人在人员更换过程中不得有弄虚作假行为</w:t>
            </w:r>
          </w:p>
        </w:tc>
        <w:tc>
          <w:tcPr>
            <w:tcW w:w="1168" w:type="pct"/>
            <w:noWrap w:val="0"/>
            <w:tcMar>
              <w:top w:w="75" w:type="dxa"/>
              <w:left w:w="105" w:type="dxa"/>
              <w:bottom w:w="75" w:type="dxa"/>
              <w:right w:w="105" w:type="dxa"/>
            </w:tcMar>
            <w:vAlign w:val="center"/>
          </w:tcPr>
          <w:p w14:paraId="4EA931E7">
            <w:pPr>
              <w:pStyle w:val="15"/>
              <w:spacing w:line="360" w:lineRule="exact"/>
              <w:rPr>
                <w:rFonts w:hint="eastAsia" w:eastAsia="宋体" w:cs="宋体"/>
                <w:sz w:val="21"/>
                <w:szCs w:val="21"/>
              </w:rPr>
            </w:pPr>
            <w:r>
              <w:rPr>
                <w:rFonts w:hint="eastAsia" w:eastAsia="宋体" w:cs="宋体"/>
                <w:sz w:val="21"/>
                <w:szCs w:val="21"/>
              </w:rPr>
              <w:t>承包人在人员更换过程中弄虚作假的</w:t>
            </w:r>
          </w:p>
        </w:tc>
        <w:tc>
          <w:tcPr>
            <w:tcW w:w="2049" w:type="pct"/>
            <w:noWrap w:val="0"/>
            <w:tcMar>
              <w:top w:w="75" w:type="dxa"/>
              <w:left w:w="105" w:type="dxa"/>
              <w:bottom w:w="75" w:type="dxa"/>
              <w:right w:w="105" w:type="dxa"/>
            </w:tcMar>
            <w:vAlign w:val="center"/>
          </w:tcPr>
          <w:p w14:paraId="1B21892C">
            <w:pPr>
              <w:pStyle w:val="15"/>
              <w:spacing w:line="360" w:lineRule="exact"/>
              <w:rPr>
                <w:rFonts w:hint="eastAsia" w:eastAsia="宋体" w:cs="宋体"/>
                <w:sz w:val="21"/>
                <w:szCs w:val="21"/>
              </w:rPr>
            </w:pPr>
            <w:r>
              <w:rPr>
                <w:rFonts w:hint="eastAsia" w:eastAsia="宋体" w:cs="宋体"/>
                <w:sz w:val="21"/>
                <w:szCs w:val="21"/>
              </w:rPr>
              <w:t>承包人应按人员类型向发包人支付相应违约金。其中施工项目负责人，每人每次按100万元的标准；项目技术负责人，每人每次按20万元的标准；其他人员，每人每次按2万元的标准</w:t>
            </w:r>
          </w:p>
        </w:tc>
      </w:tr>
      <w:tr w14:paraId="5C820E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jc w:val="center"/>
        </w:trPr>
        <w:tc>
          <w:tcPr>
            <w:tcW w:w="214" w:type="pct"/>
            <w:vMerge w:val="continue"/>
            <w:noWrap w:val="0"/>
            <w:tcMar>
              <w:top w:w="75" w:type="dxa"/>
              <w:left w:w="105" w:type="dxa"/>
              <w:bottom w:w="75" w:type="dxa"/>
              <w:right w:w="105" w:type="dxa"/>
            </w:tcMar>
            <w:vAlign w:val="center"/>
          </w:tcPr>
          <w:p w14:paraId="1EF0CE07">
            <w:pPr>
              <w:pStyle w:val="15"/>
              <w:spacing w:line="360" w:lineRule="exact"/>
              <w:rPr>
                <w:rFonts w:hint="eastAsia" w:eastAsia="宋体" w:cs="宋体"/>
                <w:sz w:val="21"/>
                <w:szCs w:val="21"/>
              </w:rPr>
            </w:pPr>
          </w:p>
        </w:tc>
        <w:tc>
          <w:tcPr>
            <w:tcW w:w="214" w:type="pct"/>
            <w:noWrap w:val="0"/>
            <w:tcMar>
              <w:top w:w="75" w:type="dxa"/>
              <w:left w:w="105" w:type="dxa"/>
              <w:bottom w:w="75" w:type="dxa"/>
              <w:right w:w="105" w:type="dxa"/>
            </w:tcMar>
            <w:vAlign w:val="center"/>
          </w:tcPr>
          <w:p w14:paraId="180EF0D9">
            <w:pPr>
              <w:pStyle w:val="15"/>
              <w:numPr>
                <w:ilvl w:val="0"/>
                <w:numId w:val="4"/>
              </w:numPr>
              <w:spacing w:line="360" w:lineRule="exact"/>
              <w:jc w:val="center"/>
              <w:rPr>
                <w:rFonts w:hint="eastAsia" w:eastAsia="宋体" w:cs="宋体"/>
                <w:sz w:val="21"/>
                <w:szCs w:val="21"/>
              </w:rPr>
            </w:pPr>
          </w:p>
        </w:tc>
        <w:tc>
          <w:tcPr>
            <w:tcW w:w="1352" w:type="pct"/>
            <w:noWrap w:val="0"/>
            <w:tcMar>
              <w:top w:w="75" w:type="dxa"/>
              <w:left w:w="105" w:type="dxa"/>
              <w:bottom w:w="75" w:type="dxa"/>
              <w:right w:w="105" w:type="dxa"/>
            </w:tcMar>
            <w:vAlign w:val="center"/>
          </w:tcPr>
          <w:p w14:paraId="68EE9E35">
            <w:pPr>
              <w:pStyle w:val="15"/>
              <w:spacing w:line="360" w:lineRule="exact"/>
              <w:rPr>
                <w:rFonts w:hint="eastAsia" w:eastAsia="宋体" w:cs="宋体"/>
                <w:sz w:val="21"/>
                <w:szCs w:val="21"/>
              </w:rPr>
            </w:pPr>
            <w:r>
              <w:rPr>
                <w:rFonts w:hint="eastAsia" w:eastAsia="宋体" w:cs="宋体"/>
                <w:sz w:val="21"/>
                <w:szCs w:val="21"/>
              </w:rPr>
              <w:t>承包人须按合同约定对工程现场相关人员实行人脸识别电子化考勤</w:t>
            </w:r>
          </w:p>
        </w:tc>
        <w:tc>
          <w:tcPr>
            <w:tcW w:w="1168" w:type="pct"/>
            <w:noWrap w:val="0"/>
            <w:tcMar>
              <w:top w:w="75" w:type="dxa"/>
              <w:left w:w="105" w:type="dxa"/>
              <w:bottom w:w="75" w:type="dxa"/>
              <w:right w:w="105" w:type="dxa"/>
            </w:tcMar>
            <w:vAlign w:val="center"/>
          </w:tcPr>
          <w:p w14:paraId="56845403">
            <w:pPr>
              <w:pStyle w:val="15"/>
              <w:spacing w:line="360" w:lineRule="exact"/>
              <w:rPr>
                <w:rFonts w:hint="eastAsia" w:eastAsia="宋体" w:cs="宋体"/>
                <w:sz w:val="21"/>
                <w:szCs w:val="21"/>
              </w:rPr>
            </w:pPr>
            <w:r>
              <w:rPr>
                <w:rFonts w:hint="eastAsia" w:eastAsia="宋体" w:cs="宋体"/>
                <w:sz w:val="21"/>
                <w:szCs w:val="21"/>
              </w:rPr>
              <w:t>承包人对施工现场的人脸识别考勤制度未执行到位，不按发包人指令配合录入个人信息的、录入人员数量有缺失或提供虚假资料的</w:t>
            </w:r>
          </w:p>
        </w:tc>
        <w:tc>
          <w:tcPr>
            <w:tcW w:w="2049" w:type="pct"/>
            <w:noWrap w:val="0"/>
            <w:tcMar>
              <w:top w:w="75" w:type="dxa"/>
              <w:left w:w="105" w:type="dxa"/>
              <w:bottom w:w="75" w:type="dxa"/>
              <w:right w:w="105" w:type="dxa"/>
            </w:tcMar>
            <w:vAlign w:val="center"/>
          </w:tcPr>
          <w:p w14:paraId="1C5485FB">
            <w:pPr>
              <w:pStyle w:val="15"/>
              <w:spacing w:line="360" w:lineRule="exact"/>
              <w:rPr>
                <w:rFonts w:hint="eastAsia" w:eastAsia="宋体" w:cs="宋体"/>
                <w:sz w:val="21"/>
                <w:szCs w:val="21"/>
              </w:rPr>
            </w:pPr>
            <w:r>
              <w:rPr>
                <w:rFonts w:hint="eastAsia" w:eastAsia="宋体" w:cs="宋体"/>
                <w:sz w:val="21"/>
                <w:szCs w:val="21"/>
              </w:rPr>
              <w:t>发包人或监理人要求承包人限期进行整改，逾期不改正的，承包人按1万/人/次的标准向发包人支付违约金</w:t>
            </w:r>
          </w:p>
        </w:tc>
      </w:tr>
      <w:tr w14:paraId="54C149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jc w:val="center"/>
        </w:trPr>
        <w:tc>
          <w:tcPr>
            <w:tcW w:w="214" w:type="pct"/>
            <w:vMerge w:val="continue"/>
            <w:noWrap w:val="0"/>
            <w:tcMar>
              <w:top w:w="75" w:type="dxa"/>
              <w:left w:w="105" w:type="dxa"/>
              <w:bottom w:w="75" w:type="dxa"/>
              <w:right w:w="105" w:type="dxa"/>
            </w:tcMar>
            <w:vAlign w:val="center"/>
          </w:tcPr>
          <w:p w14:paraId="461B1E0F">
            <w:pPr>
              <w:widowControl/>
              <w:spacing w:line="360" w:lineRule="exact"/>
              <w:rPr>
                <w:rFonts w:hint="eastAsia" w:ascii="宋体" w:hAnsi="宋体" w:eastAsia="宋体" w:cs="宋体"/>
                <w:szCs w:val="21"/>
              </w:rPr>
            </w:pPr>
          </w:p>
        </w:tc>
        <w:tc>
          <w:tcPr>
            <w:tcW w:w="214" w:type="pct"/>
            <w:noWrap w:val="0"/>
            <w:tcMar>
              <w:top w:w="75" w:type="dxa"/>
              <w:left w:w="105" w:type="dxa"/>
              <w:bottom w:w="75" w:type="dxa"/>
              <w:right w:w="105" w:type="dxa"/>
            </w:tcMar>
            <w:vAlign w:val="center"/>
          </w:tcPr>
          <w:p w14:paraId="22F9DB66">
            <w:pPr>
              <w:pStyle w:val="15"/>
              <w:numPr>
                <w:ilvl w:val="0"/>
                <w:numId w:val="4"/>
              </w:numPr>
              <w:spacing w:line="360" w:lineRule="exact"/>
              <w:jc w:val="center"/>
              <w:rPr>
                <w:rFonts w:hint="eastAsia" w:eastAsia="宋体" w:cs="宋体"/>
                <w:sz w:val="21"/>
                <w:szCs w:val="21"/>
              </w:rPr>
            </w:pPr>
          </w:p>
        </w:tc>
        <w:tc>
          <w:tcPr>
            <w:tcW w:w="1352" w:type="pct"/>
            <w:noWrap w:val="0"/>
            <w:tcMar>
              <w:top w:w="75" w:type="dxa"/>
              <w:left w:w="105" w:type="dxa"/>
              <w:bottom w:w="75" w:type="dxa"/>
              <w:right w:w="105" w:type="dxa"/>
            </w:tcMar>
            <w:vAlign w:val="center"/>
          </w:tcPr>
          <w:p w14:paraId="7DC3F6FA">
            <w:pPr>
              <w:pStyle w:val="15"/>
              <w:spacing w:line="360" w:lineRule="exact"/>
              <w:rPr>
                <w:rFonts w:hint="eastAsia" w:eastAsia="宋体" w:cs="宋体"/>
                <w:sz w:val="21"/>
                <w:szCs w:val="21"/>
              </w:rPr>
            </w:pPr>
            <w:r>
              <w:rPr>
                <w:rFonts w:hint="eastAsia" w:eastAsia="宋体" w:cs="宋体"/>
                <w:sz w:val="21"/>
                <w:szCs w:val="21"/>
              </w:rPr>
              <w:t>承包人须按要求对被考勤人员进行人脸识别电子化考勤，被考勤人员的出勤率和日出勤时间至少应当满足专用合同条款约定要求，否则视同缺岗。</w:t>
            </w:r>
          </w:p>
        </w:tc>
        <w:tc>
          <w:tcPr>
            <w:tcW w:w="1168" w:type="pct"/>
            <w:noWrap w:val="0"/>
            <w:tcMar>
              <w:top w:w="75" w:type="dxa"/>
              <w:left w:w="105" w:type="dxa"/>
              <w:bottom w:w="75" w:type="dxa"/>
              <w:right w:w="105" w:type="dxa"/>
            </w:tcMar>
            <w:vAlign w:val="center"/>
          </w:tcPr>
          <w:p w14:paraId="0EC5F69C">
            <w:pPr>
              <w:pStyle w:val="15"/>
              <w:spacing w:line="360" w:lineRule="exact"/>
              <w:rPr>
                <w:rFonts w:hint="eastAsia" w:eastAsia="宋体" w:cs="宋体"/>
                <w:sz w:val="21"/>
                <w:szCs w:val="21"/>
              </w:rPr>
            </w:pPr>
            <w:r>
              <w:rPr>
                <w:rFonts w:hint="eastAsia" w:eastAsia="宋体" w:cs="宋体"/>
                <w:sz w:val="21"/>
                <w:szCs w:val="21"/>
              </w:rPr>
              <w:t>应进行人脸识别电子化考勤的人员考勤时间不达要求的</w:t>
            </w:r>
          </w:p>
        </w:tc>
        <w:tc>
          <w:tcPr>
            <w:tcW w:w="2049" w:type="pct"/>
            <w:noWrap w:val="0"/>
            <w:tcMar>
              <w:top w:w="75" w:type="dxa"/>
              <w:left w:w="105" w:type="dxa"/>
              <w:bottom w:w="75" w:type="dxa"/>
              <w:right w:w="105" w:type="dxa"/>
            </w:tcMar>
            <w:vAlign w:val="center"/>
          </w:tcPr>
          <w:p w14:paraId="2DD04CB0">
            <w:pPr>
              <w:pStyle w:val="15"/>
              <w:spacing w:line="360" w:lineRule="exact"/>
              <w:rPr>
                <w:rFonts w:hint="eastAsia" w:eastAsia="宋体" w:cs="宋体"/>
                <w:sz w:val="21"/>
                <w:szCs w:val="21"/>
              </w:rPr>
            </w:pPr>
            <w:r>
              <w:rPr>
                <w:rFonts w:hint="eastAsia" w:eastAsia="宋体" w:cs="宋体"/>
                <w:sz w:val="21"/>
                <w:szCs w:val="21"/>
              </w:rPr>
              <w:t>承包人应按人员类型向发包人支付相应违约金。其中施工项目负责人，每人每日2万元的标准；项目技术负责人，每人每日按1万元的标准；其他考勤人员，每人每日按5000元/天的标准。若人员累计缺岗达5次，发包人有权认为该人员无法正常履行合同约定的责任和义务，要求更换人员，并要求承包人按约定承担对应的违约责任</w:t>
            </w:r>
          </w:p>
        </w:tc>
      </w:tr>
      <w:tr w14:paraId="1EB61B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jc w:val="center"/>
        </w:trPr>
        <w:tc>
          <w:tcPr>
            <w:tcW w:w="214" w:type="pct"/>
            <w:vMerge w:val="restart"/>
            <w:noWrap w:val="0"/>
            <w:tcMar>
              <w:top w:w="75" w:type="dxa"/>
              <w:left w:w="105" w:type="dxa"/>
              <w:bottom w:w="75" w:type="dxa"/>
              <w:right w:w="105" w:type="dxa"/>
            </w:tcMar>
            <w:vAlign w:val="center"/>
          </w:tcPr>
          <w:p w14:paraId="38170AD4">
            <w:pPr>
              <w:pStyle w:val="15"/>
              <w:spacing w:line="360" w:lineRule="exact"/>
              <w:rPr>
                <w:rFonts w:hint="eastAsia" w:eastAsia="宋体" w:cs="宋体"/>
                <w:sz w:val="21"/>
                <w:szCs w:val="21"/>
              </w:rPr>
            </w:pPr>
            <w:r>
              <w:rPr>
                <w:rStyle w:val="19"/>
                <w:rFonts w:hint="eastAsia" w:ascii="宋体" w:hAnsi="宋体" w:cs="宋体"/>
                <w:sz w:val="21"/>
                <w:szCs w:val="21"/>
              </w:rPr>
              <w:t>施工现场关键岗位人员</w:t>
            </w:r>
          </w:p>
        </w:tc>
        <w:tc>
          <w:tcPr>
            <w:tcW w:w="214" w:type="pct"/>
            <w:noWrap w:val="0"/>
            <w:tcMar>
              <w:top w:w="75" w:type="dxa"/>
              <w:left w:w="105" w:type="dxa"/>
              <w:bottom w:w="75" w:type="dxa"/>
              <w:right w:w="105" w:type="dxa"/>
            </w:tcMar>
            <w:vAlign w:val="center"/>
          </w:tcPr>
          <w:p w14:paraId="171E984B">
            <w:pPr>
              <w:pStyle w:val="15"/>
              <w:numPr>
                <w:ilvl w:val="0"/>
                <w:numId w:val="4"/>
              </w:numPr>
              <w:spacing w:line="360" w:lineRule="exact"/>
              <w:jc w:val="center"/>
              <w:rPr>
                <w:rFonts w:hint="eastAsia" w:eastAsia="宋体" w:cs="宋体"/>
                <w:sz w:val="21"/>
                <w:szCs w:val="21"/>
              </w:rPr>
            </w:pPr>
          </w:p>
        </w:tc>
        <w:tc>
          <w:tcPr>
            <w:tcW w:w="1352" w:type="pct"/>
            <w:noWrap w:val="0"/>
            <w:tcMar>
              <w:top w:w="75" w:type="dxa"/>
              <w:left w:w="105" w:type="dxa"/>
              <w:bottom w:w="75" w:type="dxa"/>
              <w:right w:w="105" w:type="dxa"/>
            </w:tcMar>
            <w:vAlign w:val="center"/>
          </w:tcPr>
          <w:p w14:paraId="54DFE255">
            <w:pPr>
              <w:pStyle w:val="15"/>
              <w:spacing w:line="360" w:lineRule="exact"/>
              <w:rPr>
                <w:rFonts w:hint="eastAsia" w:eastAsia="宋体" w:cs="宋体"/>
                <w:sz w:val="21"/>
                <w:szCs w:val="21"/>
              </w:rPr>
            </w:pPr>
            <w:r>
              <w:rPr>
                <w:rFonts w:hint="eastAsia" w:eastAsia="宋体" w:cs="宋体"/>
                <w:sz w:val="21"/>
                <w:szCs w:val="21"/>
              </w:rPr>
              <w:t>承包人须进行人脸识别电子化考勤的人员必须在施工现场的人脸识别电子化考勤系统上进行电子化考勤</w:t>
            </w:r>
          </w:p>
        </w:tc>
        <w:tc>
          <w:tcPr>
            <w:tcW w:w="1168" w:type="pct"/>
            <w:noWrap w:val="0"/>
            <w:tcMar>
              <w:top w:w="75" w:type="dxa"/>
              <w:left w:w="105" w:type="dxa"/>
              <w:bottom w:w="75" w:type="dxa"/>
              <w:right w:w="105" w:type="dxa"/>
            </w:tcMar>
            <w:vAlign w:val="center"/>
          </w:tcPr>
          <w:p w14:paraId="7F2B1358">
            <w:pPr>
              <w:pStyle w:val="15"/>
              <w:spacing w:line="360" w:lineRule="exact"/>
              <w:rPr>
                <w:rFonts w:hint="eastAsia" w:eastAsia="宋体" w:cs="宋体"/>
                <w:sz w:val="21"/>
                <w:szCs w:val="21"/>
              </w:rPr>
            </w:pPr>
            <w:r>
              <w:rPr>
                <w:rFonts w:hint="eastAsia" w:eastAsia="宋体" w:cs="宋体"/>
                <w:sz w:val="21"/>
                <w:szCs w:val="21"/>
              </w:rPr>
              <w:t>考勤人员不在施工现场进行电子化考勤，或存在照片打卡、远程打卡或修改打卡数据等其他弄虚作假行为的</w:t>
            </w:r>
          </w:p>
        </w:tc>
        <w:tc>
          <w:tcPr>
            <w:tcW w:w="2049" w:type="pct"/>
            <w:noWrap w:val="0"/>
            <w:tcMar>
              <w:top w:w="75" w:type="dxa"/>
              <w:left w:w="105" w:type="dxa"/>
              <w:bottom w:w="75" w:type="dxa"/>
              <w:right w:w="105" w:type="dxa"/>
            </w:tcMar>
            <w:vAlign w:val="center"/>
          </w:tcPr>
          <w:p w14:paraId="24268285">
            <w:pPr>
              <w:pStyle w:val="15"/>
              <w:spacing w:line="360" w:lineRule="exact"/>
              <w:rPr>
                <w:rFonts w:hint="eastAsia" w:eastAsia="宋体" w:cs="宋体"/>
                <w:sz w:val="21"/>
                <w:szCs w:val="21"/>
              </w:rPr>
            </w:pPr>
            <w:r>
              <w:rPr>
                <w:rFonts w:hint="eastAsia" w:eastAsia="宋体" w:cs="宋体"/>
                <w:sz w:val="21"/>
                <w:szCs w:val="21"/>
              </w:rPr>
              <w:t>承包人应按人员类型向发包人支付相应违约金。其中项目负责人按2万元/次的标准、项目技术负责人按1万元/次的标准，其他施工现场关键岗位人员按5000元/次的标准</w:t>
            </w:r>
          </w:p>
        </w:tc>
      </w:tr>
      <w:tr w14:paraId="5C90C0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jc w:val="center"/>
        </w:trPr>
        <w:tc>
          <w:tcPr>
            <w:tcW w:w="214" w:type="pct"/>
            <w:vMerge w:val="continue"/>
            <w:noWrap w:val="0"/>
            <w:tcMar>
              <w:top w:w="75" w:type="dxa"/>
              <w:left w:w="105" w:type="dxa"/>
              <w:bottom w:w="75" w:type="dxa"/>
              <w:right w:w="105" w:type="dxa"/>
            </w:tcMar>
            <w:vAlign w:val="center"/>
          </w:tcPr>
          <w:p w14:paraId="4958278C">
            <w:pPr>
              <w:widowControl/>
              <w:spacing w:line="360" w:lineRule="exact"/>
              <w:rPr>
                <w:rFonts w:hint="eastAsia" w:ascii="宋体" w:hAnsi="宋体" w:eastAsia="宋体" w:cs="宋体"/>
                <w:szCs w:val="21"/>
              </w:rPr>
            </w:pPr>
          </w:p>
        </w:tc>
        <w:tc>
          <w:tcPr>
            <w:tcW w:w="214" w:type="pct"/>
            <w:noWrap w:val="0"/>
            <w:tcMar>
              <w:top w:w="75" w:type="dxa"/>
              <w:left w:w="105" w:type="dxa"/>
              <w:bottom w:w="75" w:type="dxa"/>
              <w:right w:w="105" w:type="dxa"/>
            </w:tcMar>
            <w:vAlign w:val="center"/>
          </w:tcPr>
          <w:p w14:paraId="77DAB264">
            <w:pPr>
              <w:pStyle w:val="15"/>
              <w:numPr>
                <w:ilvl w:val="0"/>
                <w:numId w:val="4"/>
              </w:numPr>
              <w:spacing w:line="360" w:lineRule="exact"/>
              <w:jc w:val="center"/>
              <w:rPr>
                <w:rFonts w:hint="eastAsia" w:eastAsia="宋体" w:cs="宋体"/>
                <w:sz w:val="21"/>
                <w:szCs w:val="21"/>
              </w:rPr>
            </w:pPr>
          </w:p>
        </w:tc>
        <w:tc>
          <w:tcPr>
            <w:tcW w:w="1352" w:type="pct"/>
            <w:noWrap w:val="0"/>
            <w:tcMar>
              <w:top w:w="75" w:type="dxa"/>
              <w:left w:w="105" w:type="dxa"/>
              <w:bottom w:w="75" w:type="dxa"/>
              <w:right w:w="105" w:type="dxa"/>
            </w:tcMar>
            <w:vAlign w:val="center"/>
          </w:tcPr>
          <w:p w14:paraId="2C68CDC3">
            <w:pPr>
              <w:pStyle w:val="15"/>
              <w:spacing w:line="360" w:lineRule="exact"/>
              <w:rPr>
                <w:rFonts w:hint="eastAsia" w:eastAsia="宋体" w:cs="宋体"/>
                <w:sz w:val="21"/>
                <w:szCs w:val="21"/>
              </w:rPr>
            </w:pPr>
            <w:r>
              <w:rPr>
                <w:rFonts w:hint="eastAsia" w:eastAsia="宋体" w:cs="宋体"/>
                <w:sz w:val="21"/>
                <w:szCs w:val="21"/>
              </w:rPr>
              <w:t>承包人应列入考勤的人员在施工工地开工期间如因休假、患病或者外出参加政府部门、发包人或本单位本部有关会议等原因不能在岗的，应当事前告知发包人并在考勤系统上进行请假报备。根据请假报备情况，结合会议通知、签到表等佐证材料核对请假时间，将佐证材料上传至考勤系统。</w:t>
            </w:r>
          </w:p>
        </w:tc>
        <w:tc>
          <w:tcPr>
            <w:tcW w:w="1168" w:type="pct"/>
            <w:noWrap w:val="0"/>
            <w:tcMar>
              <w:top w:w="75" w:type="dxa"/>
              <w:left w:w="105" w:type="dxa"/>
              <w:bottom w:w="75" w:type="dxa"/>
              <w:right w:w="105" w:type="dxa"/>
            </w:tcMar>
            <w:vAlign w:val="center"/>
          </w:tcPr>
          <w:p w14:paraId="5EDAB71C">
            <w:pPr>
              <w:pStyle w:val="15"/>
              <w:spacing w:line="360" w:lineRule="exact"/>
              <w:rPr>
                <w:rFonts w:hint="eastAsia" w:eastAsia="宋体" w:cs="宋体"/>
                <w:sz w:val="21"/>
                <w:szCs w:val="21"/>
              </w:rPr>
            </w:pPr>
            <w:r>
              <w:rPr>
                <w:rFonts w:hint="eastAsia" w:eastAsia="宋体" w:cs="宋体"/>
                <w:sz w:val="21"/>
                <w:szCs w:val="21"/>
              </w:rPr>
              <w:t>承包人被考勤人员未经事先报备擅自离开施工现场</w:t>
            </w:r>
          </w:p>
        </w:tc>
        <w:tc>
          <w:tcPr>
            <w:tcW w:w="2049" w:type="pct"/>
            <w:noWrap w:val="0"/>
            <w:tcMar>
              <w:top w:w="75" w:type="dxa"/>
              <w:left w:w="105" w:type="dxa"/>
              <w:bottom w:w="75" w:type="dxa"/>
              <w:right w:w="105" w:type="dxa"/>
            </w:tcMar>
            <w:vAlign w:val="center"/>
          </w:tcPr>
          <w:p w14:paraId="5361D9FD">
            <w:pPr>
              <w:pStyle w:val="15"/>
              <w:spacing w:line="360" w:lineRule="exact"/>
              <w:rPr>
                <w:rFonts w:hint="eastAsia" w:eastAsia="宋体" w:cs="宋体"/>
                <w:sz w:val="21"/>
                <w:szCs w:val="21"/>
              </w:rPr>
            </w:pPr>
            <w:r>
              <w:rPr>
                <w:rFonts w:hint="eastAsia" w:eastAsia="宋体" w:cs="宋体"/>
                <w:sz w:val="21"/>
                <w:szCs w:val="21"/>
              </w:rPr>
              <w:t>一经发现应列入考勤的人员未经事先报备擅自离开施工现场或不到岗的，承包人应按人员类型向发包人支付相应违约金。其中施工项目负责人，每人每日按2万元的标准；项目技术负责人，每人每日按1万元的标准；其他考勤人员，每人每日按5000元的标准。若人员累计缺岗达5次，发包人有权认为该人员无法正常履行合同约定的责任和义务，要求更换人员，并要求承包人按约定承担对应的违约责任</w:t>
            </w:r>
          </w:p>
        </w:tc>
      </w:tr>
      <w:tr w14:paraId="20B241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jc w:val="center"/>
        </w:trPr>
        <w:tc>
          <w:tcPr>
            <w:tcW w:w="214" w:type="pct"/>
            <w:vMerge w:val="continue"/>
            <w:noWrap w:val="0"/>
            <w:tcMar>
              <w:top w:w="75" w:type="dxa"/>
              <w:left w:w="105" w:type="dxa"/>
              <w:bottom w:w="75" w:type="dxa"/>
              <w:right w:w="105" w:type="dxa"/>
            </w:tcMar>
            <w:vAlign w:val="center"/>
          </w:tcPr>
          <w:p w14:paraId="67120BF2">
            <w:pPr>
              <w:pStyle w:val="15"/>
              <w:spacing w:line="360" w:lineRule="exact"/>
              <w:rPr>
                <w:rFonts w:hint="eastAsia" w:eastAsia="宋体" w:cs="宋体"/>
                <w:sz w:val="21"/>
                <w:szCs w:val="21"/>
              </w:rPr>
            </w:pPr>
          </w:p>
        </w:tc>
        <w:tc>
          <w:tcPr>
            <w:tcW w:w="214" w:type="pct"/>
            <w:noWrap w:val="0"/>
            <w:tcMar>
              <w:top w:w="75" w:type="dxa"/>
              <w:left w:w="105" w:type="dxa"/>
              <w:bottom w:w="75" w:type="dxa"/>
              <w:right w:w="105" w:type="dxa"/>
            </w:tcMar>
            <w:vAlign w:val="center"/>
          </w:tcPr>
          <w:p w14:paraId="7C8D05B3">
            <w:pPr>
              <w:pStyle w:val="15"/>
              <w:numPr>
                <w:ilvl w:val="0"/>
                <w:numId w:val="4"/>
              </w:numPr>
              <w:spacing w:line="360" w:lineRule="exact"/>
              <w:jc w:val="center"/>
              <w:rPr>
                <w:rFonts w:hint="eastAsia" w:eastAsia="宋体" w:cs="宋体"/>
                <w:sz w:val="21"/>
                <w:szCs w:val="21"/>
              </w:rPr>
            </w:pPr>
          </w:p>
        </w:tc>
        <w:tc>
          <w:tcPr>
            <w:tcW w:w="1352" w:type="pct"/>
            <w:noWrap w:val="0"/>
            <w:tcMar>
              <w:top w:w="75" w:type="dxa"/>
              <w:left w:w="105" w:type="dxa"/>
              <w:bottom w:w="75" w:type="dxa"/>
              <w:right w:w="105" w:type="dxa"/>
            </w:tcMar>
            <w:vAlign w:val="center"/>
          </w:tcPr>
          <w:p w14:paraId="1E3CBB49">
            <w:pPr>
              <w:pStyle w:val="15"/>
              <w:spacing w:line="360" w:lineRule="exact"/>
              <w:rPr>
                <w:rFonts w:hint="eastAsia" w:eastAsia="宋体" w:cs="宋体"/>
                <w:sz w:val="21"/>
                <w:szCs w:val="21"/>
              </w:rPr>
            </w:pPr>
            <w:r>
              <w:rPr>
                <w:rFonts w:hint="eastAsia" w:eastAsia="宋体" w:cs="宋体"/>
                <w:sz w:val="21"/>
                <w:szCs w:val="21"/>
              </w:rPr>
              <w:t>施工现场关键岗位人员被锁定后，锁定期间不得再参与佛山市内、佛山市外建设项目投标，也不得到其他建设项目新任职</w:t>
            </w:r>
          </w:p>
        </w:tc>
        <w:tc>
          <w:tcPr>
            <w:tcW w:w="1168" w:type="pct"/>
            <w:noWrap w:val="0"/>
            <w:tcMar>
              <w:top w:w="75" w:type="dxa"/>
              <w:left w:w="105" w:type="dxa"/>
              <w:bottom w:w="75" w:type="dxa"/>
              <w:right w:w="105" w:type="dxa"/>
            </w:tcMar>
            <w:vAlign w:val="center"/>
          </w:tcPr>
          <w:p w14:paraId="052CB727">
            <w:pPr>
              <w:pStyle w:val="15"/>
              <w:spacing w:line="360" w:lineRule="exact"/>
              <w:rPr>
                <w:rFonts w:hint="eastAsia" w:eastAsia="宋体" w:cs="宋体"/>
                <w:sz w:val="21"/>
                <w:szCs w:val="21"/>
              </w:rPr>
            </w:pPr>
            <w:r>
              <w:rPr>
                <w:rFonts w:hint="eastAsia" w:eastAsia="宋体" w:cs="宋体"/>
                <w:sz w:val="21"/>
                <w:szCs w:val="21"/>
              </w:rPr>
              <w:t>人员被锁定后，锁定期间仍参与佛山市内、佛山市外建设项目投标，或到其他建设项目新任职的</w:t>
            </w:r>
          </w:p>
        </w:tc>
        <w:tc>
          <w:tcPr>
            <w:tcW w:w="2049" w:type="pct"/>
            <w:noWrap w:val="0"/>
            <w:tcMar>
              <w:top w:w="75" w:type="dxa"/>
              <w:left w:w="105" w:type="dxa"/>
              <w:bottom w:w="75" w:type="dxa"/>
              <w:right w:w="105" w:type="dxa"/>
            </w:tcMar>
            <w:vAlign w:val="center"/>
          </w:tcPr>
          <w:p w14:paraId="737A3BCE">
            <w:pPr>
              <w:pStyle w:val="15"/>
              <w:spacing w:line="360" w:lineRule="exact"/>
              <w:rPr>
                <w:rFonts w:hint="eastAsia" w:eastAsia="宋体" w:cs="宋体"/>
                <w:sz w:val="21"/>
                <w:szCs w:val="21"/>
              </w:rPr>
            </w:pPr>
            <w:r>
              <w:rPr>
                <w:rFonts w:hint="eastAsia" w:eastAsia="宋体" w:cs="宋体"/>
                <w:sz w:val="21"/>
                <w:szCs w:val="21"/>
              </w:rPr>
              <w:t>承包人应根据合同标的额并按人员类型向发包人支付相应违约金。合同金额低于5000万元的项目，施工项目负责人每人每次按30万元的标准，项目技术负责人每人每次按10万元的标准；合同金额5000万元以上（含5000万元）的项目，施工项目负责人每人每次按50万元的标准，项目技术负责人每人每次按20万元的标准；其他人员，每人每次均按2万元的标准</w:t>
            </w:r>
          </w:p>
        </w:tc>
      </w:tr>
      <w:tr w14:paraId="7B6641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jc w:val="center"/>
        </w:trPr>
        <w:tc>
          <w:tcPr>
            <w:tcW w:w="214" w:type="pct"/>
            <w:vMerge w:val="restart"/>
            <w:noWrap w:val="0"/>
            <w:tcMar>
              <w:top w:w="75" w:type="dxa"/>
              <w:left w:w="105" w:type="dxa"/>
              <w:bottom w:w="75" w:type="dxa"/>
              <w:right w:w="105" w:type="dxa"/>
            </w:tcMar>
            <w:vAlign w:val="center"/>
          </w:tcPr>
          <w:p w14:paraId="55AE1B5D">
            <w:pPr>
              <w:pStyle w:val="15"/>
              <w:spacing w:line="360" w:lineRule="exact"/>
              <w:rPr>
                <w:rFonts w:hint="eastAsia" w:eastAsia="宋体" w:cs="宋体"/>
                <w:sz w:val="21"/>
                <w:szCs w:val="21"/>
              </w:rPr>
            </w:pPr>
            <w:r>
              <w:rPr>
                <w:rStyle w:val="19"/>
                <w:rFonts w:hint="eastAsia" w:ascii="宋体" w:hAnsi="宋体" w:cs="宋体"/>
                <w:sz w:val="21"/>
                <w:szCs w:val="21"/>
              </w:rPr>
              <w:t>施工分包</w:t>
            </w:r>
          </w:p>
        </w:tc>
        <w:tc>
          <w:tcPr>
            <w:tcW w:w="214" w:type="pct"/>
            <w:noWrap w:val="0"/>
            <w:tcMar>
              <w:top w:w="75" w:type="dxa"/>
              <w:left w:w="105" w:type="dxa"/>
              <w:bottom w:w="75" w:type="dxa"/>
              <w:right w:w="105" w:type="dxa"/>
            </w:tcMar>
            <w:vAlign w:val="center"/>
          </w:tcPr>
          <w:p w14:paraId="4724662B">
            <w:pPr>
              <w:pStyle w:val="15"/>
              <w:numPr>
                <w:ilvl w:val="0"/>
                <w:numId w:val="4"/>
              </w:numPr>
              <w:spacing w:line="360" w:lineRule="exact"/>
              <w:jc w:val="center"/>
              <w:rPr>
                <w:rFonts w:hint="eastAsia" w:eastAsia="宋体" w:cs="宋体"/>
                <w:sz w:val="21"/>
                <w:szCs w:val="21"/>
              </w:rPr>
            </w:pPr>
          </w:p>
        </w:tc>
        <w:tc>
          <w:tcPr>
            <w:tcW w:w="1352" w:type="pct"/>
            <w:noWrap w:val="0"/>
            <w:tcMar>
              <w:top w:w="75" w:type="dxa"/>
              <w:left w:w="105" w:type="dxa"/>
              <w:bottom w:w="75" w:type="dxa"/>
              <w:right w:w="105" w:type="dxa"/>
            </w:tcMar>
            <w:vAlign w:val="center"/>
          </w:tcPr>
          <w:p w14:paraId="109EA5AB">
            <w:pPr>
              <w:pStyle w:val="15"/>
              <w:spacing w:line="360" w:lineRule="exact"/>
              <w:rPr>
                <w:rFonts w:hint="eastAsia" w:eastAsia="宋体" w:cs="宋体"/>
                <w:sz w:val="21"/>
                <w:szCs w:val="21"/>
              </w:rPr>
            </w:pPr>
            <w:r>
              <w:rPr>
                <w:rFonts w:hint="eastAsia" w:eastAsia="宋体" w:cs="宋体"/>
                <w:sz w:val="21"/>
                <w:szCs w:val="21"/>
              </w:rPr>
              <w:t>承包人列入投标文件分包计划或者合同明确了允许分包的非主体、非关键性专业工程，允许分包</w:t>
            </w:r>
          </w:p>
        </w:tc>
        <w:tc>
          <w:tcPr>
            <w:tcW w:w="1168" w:type="pct"/>
            <w:noWrap w:val="0"/>
            <w:tcMar>
              <w:top w:w="75" w:type="dxa"/>
              <w:left w:w="105" w:type="dxa"/>
              <w:bottom w:w="75" w:type="dxa"/>
              <w:right w:w="105" w:type="dxa"/>
            </w:tcMar>
            <w:vAlign w:val="center"/>
          </w:tcPr>
          <w:p w14:paraId="34D413E2">
            <w:pPr>
              <w:pStyle w:val="15"/>
              <w:spacing w:line="360" w:lineRule="exact"/>
              <w:rPr>
                <w:rFonts w:hint="eastAsia" w:eastAsia="宋体" w:cs="宋体"/>
                <w:sz w:val="21"/>
                <w:szCs w:val="21"/>
              </w:rPr>
            </w:pPr>
            <w:r>
              <w:rPr>
                <w:rFonts w:hint="eastAsia" w:eastAsia="宋体" w:cs="宋体"/>
                <w:sz w:val="21"/>
                <w:szCs w:val="21"/>
              </w:rPr>
              <w:t>承包人超出合同约定对本工程部分非主体、非关键性专业工程进行专业分包的</w:t>
            </w:r>
          </w:p>
        </w:tc>
        <w:tc>
          <w:tcPr>
            <w:tcW w:w="2049" w:type="pct"/>
            <w:noWrap w:val="0"/>
            <w:tcMar>
              <w:top w:w="75" w:type="dxa"/>
              <w:left w:w="105" w:type="dxa"/>
              <w:bottom w:w="75" w:type="dxa"/>
              <w:right w:w="105" w:type="dxa"/>
            </w:tcMar>
            <w:vAlign w:val="center"/>
          </w:tcPr>
          <w:p w14:paraId="61277BD6">
            <w:pPr>
              <w:pStyle w:val="15"/>
              <w:spacing w:line="360" w:lineRule="exact"/>
              <w:rPr>
                <w:rFonts w:hint="eastAsia" w:eastAsia="宋体" w:cs="宋体"/>
                <w:sz w:val="21"/>
                <w:szCs w:val="21"/>
              </w:rPr>
            </w:pPr>
            <w:r>
              <w:rPr>
                <w:rFonts w:hint="eastAsia" w:eastAsia="宋体" w:cs="宋体"/>
                <w:sz w:val="21"/>
                <w:szCs w:val="21"/>
              </w:rPr>
              <w:t>承包人将本工程转包的，或违法分包的，或被认定为转包、违法分包的，每次按分包工程合同价款0.5％的标准向发包人支付违约金。同时，发包人应将线索移交项目所属的行政主管部门。若给发包人造成损失的，应赔偿发包人的损失。</w:t>
            </w:r>
          </w:p>
        </w:tc>
      </w:tr>
      <w:tr w14:paraId="73B981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jc w:val="center"/>
        </w:trPr>
        <w:tc>
          <w:tcPr>
            <w:tcW w:w="214" w:type="pct"/>
            <w:vMerge w:val="continue"/>
            <w:noWrap w:val="0"/>
            <w:tcMar>
              <w:top w:w="75" w:type="dxa"/>
              <w:left w:w="105" w:type="dxa"/>
              <w:bottom w:w="75" w:type="dxa"/>
              <w:right w:w="105" w:type="dxa"/>
            </w:tcMar>
            <w:vAlign w:val="center"/>
          </w:tcPr>
          <w:p w14:paraId="249C6233">
            <w:pPr>
              <w:pStyle w:val="15"/>
              <w:spacing w:line="360" w:lineRule="exact"/>
              <w:rPr>
                <w:rStyle w:val="19"/>
                <w:rFonts w:hint="eastAsia" w:ascii="宋体" w:hAnsi="宋体" w:cs="宋体"/>
                <w:sz w:val="21"/>
                <w:szCs w:val="21"/>
              </w:rPr>
            </w:pPr>
          </w:p>
        </w:tc>
        <w:tc>
          <w:tcPr>
            <w:tcW w:w="214" w:type="pct"/>
            <w:noWrap w:val="0"/>
            <w:tcMar>
              <w:top w:w="75" w:type="dxa"/>
              <w:left w:w="105" w:type="dxa"/>
              <w:bottom w:w="75" w:type="dxa"/>
              <w:right w:w="105" w:type="dxa"/>
            </w:tcMar>
            <w:vAlign w:val="center"/>
          </w:tcPr>
          <w:p w14:paraId="7A626598">
            <w:pPr>
              <w:pStyle w:val="15"/>
              <w:numPr>
                <w:ilvl w:val="0"/>
                <w:numId w:val="4"/>
              </w:numPr>
              <w:spacing w:line="360" w:lineRule="exact"/>
              <w:jc w:val="center"/>
              <w:rPr>
                <w:rFonts w:hint="eastAsia" w:eastAsia="宋体" w:cs="宋体"/>
                <w:sz w:val="21"/>
                <w:szCs w:val="21"/>
              </w:rPr>
            </w:pPr>
          </w:p>
        </w:tc>
        <w:tc>
          <w:tcPr>
            <w:tcW w:w="1352" w:type="pct"/>
            <w:noWrap w:val="0"/>
            <w:tcMar>
              <w:top w:w="75" w:type="dxa"/>
              <w:left w:w="105" w:type="dxa"/>
              <w:bottom w:w="75" w:type="dxa"/>
              <w:right w:w="105" w:type="dxa"/>
            </w:tcMar>
            <w:vAlign w:val="center"/>
          </w:tcPr>
          <w:p w14:paraId="4B47B9FD">
            <w:pPr>
              <w:pStyle w:val="15"/>
              <w:spacing w:line="360" w:lineRule="exact"/>
              <w:rPr>
                <w:rFonts w:hint="eastAsia" w:eastAsia="宋体" w:cs="宋体"/>
                <w:sz w:val="21"/>
                <w:szCs w:val="21"/>
              </w:rPr>
            </w:pPr>
            <w:r>
              <w:rPr>
                <w:rFonts w:hint="eastAsia" w:eastAsia="宋体" w:cs="宋体"/>
                <w:sz w:val="21"/>
                <w:szCs w:val="21"/>
              </w:rPr>
              <w:t>可以分包的专项工程，承包人应确保分包人具有相应的资质和能力。承包人不得将工程分包给个人或不具备相应资质条件的单位。工程分包不减轻或免除承包人的责任和义务。</w:t>
            </w:r>
          </w:p>
        </w:tc>
        <w:tc>
          <w:tcPr>
            <w:tcW w:w="1168" w:type="pct"/>
            <w:noWrap w:val="0"/>
            <w:tcMar>
              <w:top w:w="75" w:type="dxa"/>
              <w:left w:w="105" w:type="dxa"/>
              <w:bottom w:w="75" w:type="dxa"/>
              <w:right w:w="105" w:type="dxa"/>
            </w:tcMar>
            <w:vAlign w:val="center"/>
          </w:tcPr>
          <w:p w14:paraId="78601D7E">
            <w:pPr>
              <w:pStyle w:val="15"/>
              <w:spacing w:line="360" w:lineRule="exact"/>
              <w:rPr>
                <w:rFonts w:hint="eastAsia" w:eastAsia="宋体" w:cs="宋体"/>
                <w:sz w:val="21"/>
                <w:szCs w:val="21"/>
              </w:rPr>
            </w:pPr>
            <w:r>
              <w:rPr>
                <w:rFonts w:hint="eastAsia" w:eastAsia="宋体" w:cs="宋体"/>
                <w:sz w:val="21"/>
                <w:szCs w:val="21"/>
              </w:rPr>
              <w:t>承包人将专项工程分包给个人或不具备相应资质条件的单位</w:t>
            </w:r>
          </w:p>
        </w:tc>
        <w:tc>
          <w:tcPr>
            <w:tcW w:w="2049" w:type="pct"/>
            <w:noWrap w:val="0"/>
            <w:tcMar>
              <w:top w:w="75" w:type="dxa"/>
              <w:left w:w="105" w:type="dxa"/>
              <w:bottom w:w="75" w:type="dxa"/>
              <w:right w:w="105" w:type="dxa"/>
            </w:tcMar>
            <w:vAlign w:val="center"/>
          </w:tcPr>
          <w:p w14:paraId="2B1E7B26">
            <w:pPr>
              <w:pStyle w:val="15"/>
              <w:spacing w:line="360" w:lineRule="exact"/>
              <w:rPr>
                <w:rFonts w:hint="eastAsia" w:eastAsia="宋体" w:cs="宋体"/>
                <w:sz w:val="21"/>
                <w:szCs w:val="21"/>
              </w:rPr>
            </w:pPr>
            <w:r>
              <w:rPr>
                <w:rFonts w:hint="eastAsia" w:eastAsia="宋体" w:cs="宋体"/>
                <w:sz w:val="21"/>
                <w:szCs w:val="21"/>
              </w:rPr>
              <w:t>承包人将承包的工程转包的、违法分包的，或被认定为转包、违法分包的，每次按分包工程合同价款1％的标准向发包人支付违约金。若给发包人造成损失的，应赔偿发包人的损失。</w:t>
            </w:r>
          </w:p>
        </w:tc>
      </w:tr>
      <w:tr w14:paraId="67C4D7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jc w:val="center"/>
        </w:trPr>
        <w:tc>
          <w:tcPr>
            <w:tcW w:w="214" w:type="pct"/>
            <w:vMerge w:val="continue"/>
            <w:noWrap w:val="0"/>
            <w:tcMar>
              <w:top w:w="75" w:type="dxa"/>
              <w:left w:w="105" w:type="dxa"/>
              <w:bottom w:w="75" w:type="dxa"/>
              <w:right w:w="105" w:type="dxa"/>
            </w:tcMar>
            <w:vAlign w:val="center"/>
          </w:tcPr>
          <w:p w14:paraId="2BE9D349">
            <w:pPr>
              <w:widowControl/>
              <w:spacing w:line="360" w:lineRule="exact"/>
              <w:rPr>
                <w:rFonts w:hint="eastAsia" w:ascii="宋体" w:hAnsi="宋体" w:eastAsia="宋体" w:cs="宋体"/>
                <w:szCs w:val="21"/>
              </w:rPr>
            </w:pPr>
          </w:p>
        </w:tc>
        <w:tc>
          <w:tcPr>
            <w:tcW w:w="214" w:type="pct"/>
            <w:noWrap w:val="0"/>
            <w:tcMar>
              <w:top w:w="75" w:type="dxa"/>
              <w:left w:w="105" w:type="dxa"/>
              <w:bottom w:w="75" w:type="dxa"/>
              <w:right w:w="105" w:type="dxa"/>
            </w:tcMar>
            <w:vAlign w:val="center"/>
          </w:tcPr>
          <w:p w14:paraId="199D367D">
            <w:pPr>
              <w:pStyle w:val="15"/>
              <w:numPr>
                <w:ilvl w:val="0"/>
                <w:numId w:val="4"/>
              </w:numPr>
              <w:spacing w:line="360" w:lineRule="exact"/>
              <w:jc w:val="center"/>
              <w:rPr>
                <w:rFonts w:hint="eastAsia" w:eastAsia="宋体" w:cs="宋体"/>
                <w:sz w:val="21"/>
                <w:szCs w:val="21"/>
              </w:rPr>
            </w:pPr>
          </w:p>
        </w:tc>
        <w:tc>
          <w:tcPr>
            <w:tcW w:w="1352" w:type="pct"/>
            <w:noWrap w:val="0"/>
            <w:tcMar>
              <w:top w:w="75" w:type="dxa"/>
              <w:left w:w="105" w:type="dxa"/>
              <w:bottom w:w="75" w:type="dxa"/>
              <w:right w:w="105" w:type="dxa"/>
            </w:tcMar>
            <w:vAlign w:val="center"/>
          </w:tcPr>
          <w:p w14:paraId="188CC0D2">
            <w:pPr>
              <w:pStyle w:val="15"/>
              <w:spacing w:line="360" w:lineRule="exact"/>
              <w:rPr>
                <w:rFonts w:hint="eastAsia" w:eastAsia="宋体" w:cs="宋体"/>
                <w:sz w:val="21"/>
                <w:szCs w:val="21"/>
              </w:rPr>
            </w:pPr>
            <w:r>
              <w:rPr>
                <w:rFonts w:hint="eastAsia" w:eastAsia="宋体" w:cs="宋体"/>
                <w:sz w:val="21"/>
                <w:szCs w:val="21"/>
              </w:rPr>
              <w:t>非主体、非关键性专业工程，因工程变更等原因，增加有特殊性技术要求、特殊工艺或者涉及专利保护等的专项工程，且按照规定无须再进行招标的，或在工程实施中承包人和发包人认为对专项工程实行专项分包，有利于项目工程进度、质量和安全管理的，由承包人提出分包书面申请，将拟签订的分包合同及拟分包人的资质、业绩，拟派驻的主要技术、经济管理人员情况等资料报发包人审查，经发包人书面同意后方可实施分包</w:t>
            </w:r>
          </w:p>
        </w:tc>
        <w:tc>
          <w:tcPr>
            <w:tcW w:w="1168" w:type="pct"/>
            <w:noWrap w:val="0"/>
            <w:tcMar>
              <w:top w:w="75" w:type="dxa"/>
              <w:left w:w="105" w:type="dxa"/>
              <w:bottom w:w="75" w:type="dxa"/>
              <w:right w:w="105" w:type="dxa"/>
            </w:tcMar>
            <w:vAlign w:val="center"/>
          </w:tcPr>
          <w:p w14:paraId="6A964F31">
            <w:pPr>
              <w:pStyle w:val="15"/>
              <w:spacing w:line="360" w:lineRule="exact"/>
              <w:rPr>
                <w:rFonts w:hint="eastAsia" w:eastAsia="宋体" w:cs="宋体"/>
                <w:sz w:val="21"/>
                <w:szCs w:val="21"/>
              </w:rPr>
            </w:pPr>
            <w:r>
              <w:rPr>
                <w:rFonts w:hint="eastAsia" w:eastAsia="宋体" w:cs="宋体"/>
                <w:sz w:val="21"/>
                <w:szCs w:val="21"/>
              </w:rPr>
              <w:t>承包人未履行分包审查程序或未经发包人审查同意，私自进行分包的</w:t>
            </w:r>
          </w:p>
        </w:tc>
        <w:tc>
          <w:tcPr>
            <w:tcW w:w="2049" w:type="pct"/>
            <w:noWrap w:val="0"/>
            <w:tcMar>
              <w:top w:w="75" w:type="dxa"/>
              <w:left w:w="105" w:type="dxa"/>
              <w:bottom w:w="75" w:type="dxa"/>
              <w:right w:w="105" w:type="dxa"/>
            </w:tcMar>
            <w:vAlign w:val="center"/>
          </w:tcPr>
          <w:p w14:paraId="388BCB25">
            <w:pPr>
              <w:pStyle w:val="15"/>
              <w:spacing w:line="360" w:lineRule="exact"/>
              <w:rPr>
                <w:rFonts w:hint="eastAsia" w:eastAsia="宋体" w:cs="宋体"/>
                <w:sz w:val="21"/>
                <w:szCs w:val="21"/>
              </w:rPr>
            </w:pPr>
            <w:r>
              <w:rPr>
                <w:rFonts w:hint="eastAsia" w:eastAsia="宋体" w:cs="宋体"/>
                <w:sz w:val="21"/>
                <w:szCs w:val="21"/>
              </w:rPr>
              <w:t>承包人应根据发包人的要求限期整改，并按分包工程合同价款5‰的标准向发包人支付违约金</w:t>
            </w:r>
          </w:p>
        </w:tc>
      </w:tr>
      <w:tr w14:paraId="1EF318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jc w:val="center"/>
        </w:trPr>
        <w:tc>
          <w:tcPr>
            <w:tcW w:w="214" w:type="pct"/>
            <w:noWrap w:val="0"/>
            <w:tcMar>
              <w:top w:w="75" w:type="dxa"/>
              <w:left w:w="105" w:type="dxa"/>
              <w:bottom w:w="75" w:type="dxa"/>
              <w:right w:w="105" w:type="dxa"/>
            </w:tcMar>
            <w:vAlign w:val="center"/>
          </w:tcPr>
          <w:p w14:paraId="3D7F4FED">
            <w:pPr>
              <w:pStyle w:val="15"/>
              <w:spacing w:line="360" w:lineRule="exact"/>
              <w:rPr>
                <w:rFonts w:hint="eastAsia" w:eastAsia="宋体" w:cs="宋体"/>
                <w:sz w:val="21"/>
                <w:szCs w:val="21"/>
              </w:rPr>
            </w:pPr>
            <w:r>
              <w:rPr>
                <w:rStyle w:val="19"/>
                <w:rFonts w:hint="eastAsia" w:ascii="宋体" w:hAnsi="宋体" w:cs="宋体"/>
                <w:sz w:val="21"/>
                <w:szCs w:val="21"/>
              </w:rPr>
              <w:t>施工分包</w:t>
            </w:r>
          </w:p>
        </w:tc>
        <w:tc>
          <w:tcPr>
            <w:tcW w:w="214" w:type="pct"/>
            <w:noWrap w:val="0"/>
            <w:tcMar>
              <w:top w:w="75" w:type="dxa"/>
              <w:left w:w="105" w:type="dxa"/>
              <w:bottom w:w="75" w:type="dxa"/>
              <w:right w:w="105" w:type="dxa"/>
            </w:tcMar>
            <w:vAlign w:val="center"/>
          </w:tcPr>
          <w:p w14:paraId="0EBD2E84">
            <w:pPr>
              <w:pStyle w:val="15"/>
              <w:numPr>
                <w:ilvl w:val="0"/>
                <w:numId w:val="4"/>
              </w:numPr>
              <w:spacing w:line="360" w:lineRule="exact"/>
              <w:jc w:val="center"/>
              <w:rPr>
                <w:rFonts w:hint="eastAsia" w:eastAsia="宋体" w:cs="宋体"/>
                <w:sz w:val="21"/>
                <w:szCs w:val="21"/>
              </w:rPr>
            </w:pPr>
          </w:p>
        </w:tc>
        <w:tc>
          <w:tcPr>
            <w:tcW w:w="1352" w:type="pct"/>
            <w:noWrap w:val="0"/>
            <w:tcMar>
              <w:top w:w="75" w:type="dxa"/>
              <w:left w:w="105" w:type="dxa"/>
              <w:bottom w:w="75" w:type="dxa"/>
              <w:right w:w="105" w:type="dxa"/>
            </w:tcMar>
            <w:vAlign w:val="center"/>
          </w:tcPr>
          <w:p w14:paraId="3B80F017">
            <w:pPr>
              <w:pStyle w:val="15"/>
              <w:spacing w:before="0" w:beforeAutospacing="0" w:after="0" w:afterAutospacing="0" w:line="320" w:lineRule="exact"/>
              <w:rPr>
                <w:rFonts w:hint="eastAsia" w:eastAsia="宋体" w:cs="宋体"/>
                <w:sz w:val="21"/>
                <w:szCs w:val="21"/>
              </w:rPr>
            </w:pPr>
            <w:r>
              <w:rPr>
                <w:rFonts w:hint="eastAsia" w:eastAsia="宋体" w:cs="宋体"/>
                <w:sz w:val="21"/>
                <w:szCs w:val="21"/>
              </w:rPr>
              <w:t>承包人不得将中标项目进行转包或者违法分包</w:t>
            </w:r>
          </w:p>
        </w:tc>
        <w:tc>
          <w:tcPr>
            <w:tcW w:w="1168" w:type="pct"/>
            <w:noWrap w:val="0"/>
            <w:tcMar>
              <w:top w:w="75" w:type="dxa"/>
              <w:left w:w="105" w:type="dxa"/>
              <w:bottom w:w="75" w:type="dxa"/>
              <w:right w:w="105" w:type="dxa"/>
            </w:tcMar>
            <w:vAlign w:val="center"/>
          </w:tcPr>
          <w:p w14:paraId="6AFC8B36">
            <w:pPr>
              <w:pStyle w:val="15"/>
              <w:spacing w:line="360" w:lineRule="exact"/>
              <w:rPr>
                <w:rFonts w:hint="eastAsia" w:eastAsia="宋体" w:cs="宋体"/>
                <w:sz w:val="21"/>
                <w:szCs w:val="21"/>
              </w:rPr>
            </w:pPr>
            <w:r>
              <w:rPr>
                <w:rFonts w:hint="eastAsia" w:eastAsia="宋体" w:cs="宋体"/>
                <w:sz w:val="21"/>
                <w:szCs w:val="21"/>
              </w:rPr>
              <w:t>承包人被行业主管部门认定为存在转包、违法分包行为</w:t>
            </w:r>
          </w:p>
        </w:tc>
        <w:tc>
          <w:tcPr>
            <w:tcW w:w="2049" w:type="pct"/>
            <w:noWrap w:val="0"/>
            <w:tcMar>
              <w:top w:w="75" w:type="dxa"/>
              <w:left w:w="105" w:type="dxa"/>
              <w:bottom w:w="75" w:type="dxa"/>
              <w:right w:w="105" w:type="dxa"/>
            </w:tcMar>
            <w:vAlign w:val="center"/>
          </w:tcPr>
          <w:p w14:paraId="11CA0538">
            <w:pPr>
              <w:pStyle w:val="15"/>
              <w:spacing w:line="360" w:lineRule="exact"/>
              <w:rPr>
                <w:rFonts w:hint="eastAsia" w:eastAsia="宋体" w:cs="宋体"/>
                <w:sz w:val="21"/>
                <w:szCs w:val="21"/>
              </w:rPr>
            </w:pPr>
            <w:r>
              <w:rPr>
                <w:rFonts w:hint="eastAsia" w:eastAsia="宋体" w:cs="宋体"/>
                <w:sz w:val="21"/>
                <w:szCs w:val="21"/>
              </w:rPr>
              <w:t>每次按分包工程合同价款1％的标准向发包人支付违约金。若给发包人造成损失的，应赔偿发包人的损失。</w:t>
            </w:r>
          </w:p>
        </w:tc>
      </w:tr>
      <w:tr w14:paraId="107A7C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jc w:val="center"/>
        </w:trPr>
        <w:tc>
          <w:tcPr>
            <w:tcW w:w="214" w:type="pct"/>
            <w:vMerge w:val="restart"/>
            <w:noWrap w:val="0"/>
            <w:tcMar>
              <w:top w:w="75" w:type="dxa"/>
              <w:left w:w="105" w:type="dxa"/>
              <w:bottom w:w="75" w:type="dxa"/>
              <w:right w:w="105" w:type="dxa"/>
            </w:tcMar>
            <w:vAlign w:val="center"/>
          </w:tcPr>
          <w:p w14:paraId="05D0CF94">
            <w:pPr>
              <w:pStyle w:val="15"/>
              <w:spacing w:line="360" w:lineRule="exact"/>
              <w:rPr>
                <w:rFonts w:hint="eastAsia" w:eastAsia="宋体" w:cs="宋体"/>
                <w:sz w:val="21"/>
                <w:szCs w:val="21"/>
              </w:rPr>
            </w:pPr>
            <w:r>
              <w:rPr>
                <w:rStyle w:val="19"/>
                <w:rFonts w:hint="eastAsia" w:ascii="宋体" w:hAnsi="宋体" w:cs="宋体"/>
                <w:sz w:val="21"/>
                <w:szCs w:val="21"/>
              </w:rPr>
              <w:t>资金使用</w:t>
            </w:r>
          </w:p>
        </w:tc>
        <w:tc>
          <w:tcPr>
            <w:tcW w:w="214" w:type="pct"/>
            <w:noWrap w:val="0"/>
            <w:tcMar>
              <w:top w:w="75" w:type="dxa"/>
              <w:left w:w="105" w:type="dxa"/>
              <w:bottom w:w="75" w:type="dxa"/>
              <w:right w:w="105" w:type="dxa"/>
            </w:tcMar>
            <w:vAlign w:val="center"/>
          </w:tcPr>
          <w:p w14:paraId="13AFE4B0">
            <w:pPr>
              <w:pStyle w:val="15"/>
              <w:numPr>
                <w:ilvl w:val="0"/>
                <w:numId w:val="4"/>
              </w:numPr>
              <w:spacing w:line="360" w:lineRule="exact"/>
              <w:jc w:val="center"/>
              <w:rPr>
                <w:rFonts w:hint="eastAsia" w:eastAsia="宋体" w:cs="宋体"/>
                <w:sz w:val="21"/>
                <w:szCs w:val="21"/>
              </w:rPr>
            </w:pPr>
          </w:p>
        </w:tc>
        <w:tc>
          <w:tcPr>
            <w:tcW w:w="1352" w:type="pct"/>
            <w:noWrap w:val="0"/>
            <w:tcMar>
              <w:top w:w="75" w:type="dxa"/>
              <w:left w:w="105" w:type="dxa"/>
              <w:bottom w:w="75" w:type="dxa"/>
              <w:right w:w="105" w:type="dxa"/>
            </w:tcMar>
            <w:vAlign w:val="center"/>
          </w:tcPr>
          <w:p w14:paraId="64B93714">
            <w:pPr>
              <w:pStyle w:val="15"/>
              <w:spacing w:line="360" w:lineRule="exact"/>
              <w:rPr>
                <w:rFonts w:hint="eastAsia" w:eastAsia="宋体" w:cs="宋体"/>
                <w:sz w:val="21"/>
                <w:szCs w:val="21"/>
              </w:rPr>
            </w:pPr>
            <w:r>
              <w:rPr>
                <w:rFonts w:hint="eastAsia" w:eastAsia="宋体" w:cs="宋体"/>
                <w:sz w:val="21"/>
                <w:szCs w:val="21"/>
              </w:rPr>
              <w:t>承包人须遵守本工程资金监管和共管约定的相关要求</w:t>
            </w:r>
          </w:p>
        </w:tc>
        <w:tc>
          <w:tcPr>
            <w:tcW w:w="1168" w:type="pct"/>
            <w:noWrap w:val="0"/>
            <w:tcMar>
              <w:top w:w="75" w:type="dxa"/>
              <w:left w:w="105" w:type="dxa"/>
              <w:bottom w:w="75" w:type="dxa"/>
              <w:right w:w="105" w:type="dxa"/>
            </w:tcMar>
            <w:vAlign w:val="center"/>
          </w:tcPr>
          <w:p w14:paraId="08423699">
            <w:pPr>
              <w:pStyle w:val="15"/>
              <w:spacing w:line="360" w:lineRule="exact"/>
              <w:rPr>
                <w:rFonts w:hint="eastAsia" w:eastAsia="宋体" w:cs="宋体"/>
                <w:sz w:val="21"/>
                <w:szCs w:val="21"/>
              </w:rPr>
            </w:pPr>
            <w:r>
              <w:rPr>
                <w:rFonts w:hint="eastAsia" w:eastAsia="宋体" w:cs="宋体"/>
                <w:sz w:val="21"/>
                <w:szCs w:val="21"/>
              </w:rPr>
              <w:t>未遵守资金监管和共管的相关要求及程序，或者虚构工程款支出，或者挪用工程款，或者在项目通过竣（交）工验收前以任何名义将工程款挪作他用</w:t>
            </w:r>
          </w:p>
        </w:tc>
        <w:tc>
          <w:tcPr>
            <w:tcW w:w="2049" w:type="pct"/>
            <w:noWrap w:val="0"/>
            <w:tcMar>
              <w:top w:w="75" w:type="dxa"/>
              <w:left w:w="105" w:type="dxa"/>
              <w:bottom w:w="75" w:type="dxa"/>
              <w:right w:w="105" w:type="dxa"/>
            </w:tcMar>
            <w:vAlign w:val="center"/>
          </w:tcPr>
          <w:p w14:paraId="3BCE7AE3">
            <w:pPr>
              <w:pStyle w:val="15"/>
              <w:spacing w:line="360" w:lineRule="exact"/>
              <w:rPr>
                <w:rFonts w:hint="eastAsia" w:eastAsia="宋体" w:cs="宋体"/>
                <w:sz w:val="21"/>
                <w:szCs w:val="21"/>
              </w:rPr>
            </w:pPr>
            <w:r>
              <w:rPr>
                <w:rFonts w:hint="eastAsia" w:eastAsia="宋体" w:cs="宋体"/>
                <w:sz w:val="21"/>
                <w:szCs w:val="21"/>
              </w:rPr>
              <w:t>发包人要求承包人立即改正，在改正前，发包人可中止工程款支付，且承包人须按工程合同价款1％的标准向发包人支付违约金</w:t>
            </w:r>
          </w:p>
        </w:tc>
      </w:tr>
      <w:tr w14:paraId="791C1D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jc w:val="center"/>
        </w:trPr>
        <w:tc>
          <w:tcPr>
            <w:tcW w:w="214" w:type="pct"/>
            <w:vMerge w:val="continue"/>
            <w:noWrap w:val="0"/>
            <w:tcMar>
              <w:top w:w="75" w:type="dxa"/>
              <w:left w:w="105" w:type="dxa"/>
              <w:bottom w:w="75" w:type="dxa"/>
              <w:right w:w="105" w:type="dxa"/>
            </w:tcMar>
            <w:vAlign w:val="center"/>
          </w:tcPr>
          <w:p w14:paraId="295E74B9">
            <w:pPr>
              <w:widowControl/>
              <w:spacing w:line="360" w:lineRule="exact"/>
              <w:rPr>
                <w:rFonts w:hint="eastAsia" w:ascii="宋体" w:hAnsi="宋体" w:eastAsia="宋体" w:cs="宋体"/>
                <w:szCs w:val="21"/>
              </w:rPr>
            </w:pPr>
          </w:p>
        </w:tc>
        <w:tc>
          <w:tcPr>
            <w:tcW w:w="214" w:type="pct"/>
            <w:noWrap w:val="0"/>
            <w:tcMar>
              <w:top w:w="75" w:type="dxa"/>
              <w:left w:w="105" w:type="dxa"/>
              <w:bottom w:w="75" w:type="dxa"/>
              <w:right w:w="105" w:type="dxa"/>
            </w:tcMar>
            <w:vAlign w:val="center"/>
          </w:tcPr>
          <w:p w14:paraId="3090DCBD">
            <w:pPr>
              <w:pStyle w:val="15"/>
              <w:numPr>
                <w:ilvl w:val="0"/>
                <w:numId w:val="4"/>
              </w:numPr>
              <w:spacing w:line="360" w:lineRule="exact"/>
              <w:jc w:val="center"/>
              <w:rPr>
                <w:rFonts w:hint="eastAsia" w:eastAsia="宋体" w:cs="宋体"/>
                <w:sz w:val="21"/>
                <w:szCs w:val="21"/>
              </w:rPr>
            </w:pPr>
          </w:p>
        </w:tc>
        <w:tc>
          <w:tcPr>
            <w:tcW w:w="1352" w:type="pct"/>
            <w:noWrap w:val="0"/>
            <w:tcMar>
              <w:top w:w="75" w:type="dxa"/>
              <w:left w:w="105" w:type="dxa"/>
              <w:bottom w:w="75" w:type="dxa"/>
              <w:right w:w="105" w:type="dxa"/>
            </w:tcMar>
            <w:vAlign w:val="center"/>
          </w:tcPr>
          <w:p w14:paraId="7B924CBA">
            <w:pPr>
              <w:pStyle w:val="15"/>
              <w:spacing w:line="360" w:lineRule="exact"/>
              <w:rPr>
                <w:rFonts w:hint="eastAsia" w:eastAsia="宋体" w:cs="宋体"/>
                <w:sz w:val="21"/>
                <w:szCs w:val="21"/>
              </w:rPr>
            </w:pPr>
            <w:r>
              <w:rPr>
                <w:rFonts w:hint="eastAsia" w:eastAsia="宋体" w:cs="宋体"/>
                <w:sz w:val="21"/>
                <w:szCs w:val="21"/>
              </w:rPr>
              <w:t>承包人须对其专业分包或劳务分包人工资支付情况进行监督，督促其依法支付工人工资。承包人须严格执行合同（包括分包合同）条款，不得拖欠工人工资，承包人应实行分包人农民工工资委托施工总承包单位代发制度</w:t>
            </w:r>
          </w:p>
        </w:tc>
        <w:tc>
          <w:tcPr>
            <w:tcW w:w="1168" w:type="pct"/>
            <w:noWrap w:val="0"/>
            <w:tcMar>
              <w:top w:w="75" w:type="dxa"/>
              <w:left w:w="105" w:type="dxa"/>
              <w:bottom w:w="75" w:type="dxa"/>
              <w:right w:w="105" w:type="dxa"/>
            </w:tcMar>
            <w:vAlign w:val="center"/>
          </w:tcPr>
          <w:p w14:paraId="4D340F7C">
            <w:pPr>
              <w:pStyle w:val="15"/>
              <w:spacing w:line="360" w:lineRule="exact"/>
              <w:rPr>
                <w:rFonts w:hint="eastAsia" w:eastAsia="宋体" w:cs="宋体"/>
                <w:sz w:val="21"/>
                <w:szCs w:val="21"/>
              </w:rPr>
            </w:pPr>
            <w:r>
              <w:rPr>
                <w:rFonts w:hint="eastAsia" w:eastAsia="宋体" w:cs="宋体"/>
                <w:sz w:val="21"/>
                <w:szCs w:val="21"/>
              </w:rPr>
              <w:t>承包人拖欠、克扣工人工资的或未实行分包人农民工工资委托施工总承包单位代发制度</w:t>
            </w:r>
          </w:p>
        </w:tc>
        <w:tc>
          <w:tcPr>
            <w:tcW w:w="2049" w:type="pct"/>
            <w:noWrap w:val="0"/>
            <w:tcMar>
              <w:top w:w="75" w:type="dxa"/>
              <w:left w:w="105" w:type="dxa"/>
              <w:bottom w:w="75" w:type="dxa"/>
              <w:right w:w="105" w:type="dxa"/>
            </w:tcMar>
            <w:vAlign w:val="center"/>
          </w:tcPr>
          <w:p w14:paraId="369AECF8">
            <w:pPr>
              <w:pStyle w:val="15"/>
              <w:spacing w:line="360" w:lineRule="exact"/>
              <w:rPr>
                <w:rFonts w:hint="eastAsia" w:eastAsia="宋体" w:cs="宋体"/>
                <w:sz w:val="21"/>
                <w:szCs w:val="21"/>
              </w:rPr>
            </w:pPr>
            <w:r>
              <w:rPr>
                <w:rFonts w:hint="eastAsia" w:eastAsia="宋体" w:cs="宋体"/>
                <w:sz w:val="21"/>
                <w:szCs w:val="21"/>
              </w:rPr>
              <w:t>发包人如发现或接到投诉，经核实，因承包人原因导致的，发包人有权直接向工人支付承包人拖欠的款项，该笔款项由发包人从承包人应收工程款中如数扣回，承包人不得有异议。每发现或接到投诉一次，承包人应按3万元/次的标准向发包人支付违约金。如承包人或其分包人拖欠、克扣本工程工人工资，给发包人造成影响的，发包人有权保留向承包人索偿的权利。若给发包人造成损失的，承包人还应赔偿发包人的全部损失</w:t>
            </w:r>
          </w:p>
        </w:tc>
      </w:tr>
      <w:tr w14:paraId="4E13B6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jc w:val="center"/>
        </w:trPr>
        <w:tc>
          <w:tcPr>
            <w:tcW w:w="214" w:type="pct"/>
            <w:vMerge w:val="continue"/>
            <w:noWrap w:val="0"/>
            <w:tcMar>
              <w:top w:w="75" w:type="dxa"/>
              <w:left w:w="105" w:type="dxa"/>
              <w:bottom w:w="75" w:type="dxa"/>
              <w:right w:w="105" w:type="dxa"/>
            </w:tcMar>
            <w:vAlign w:val="center"/>
          </w:tcPr>
          <w:p w14:paraId="75FAFF74">
            <w:pPr>
              <w:widowControl/>
              <w:spacing w:line="360" w:lineRule="exact"/>
              <w:rPr>
                <w:rFonts w:hint="eastAsia" w:ascii="宋体" w:hAnsi="宋体" w:eastAsia="宋体" w:cs="宋体"/>
                <w:szCs w:val="21"/>
              </w:rPr>
            </w:pPr>
          </w:p>
        </w:tc>
        <w:tc>
          <w:tcPr>
            <w:tcW w:w="214" w:type="pct"/>
            <w:noWrap w:val="0"/>
            <w:tcMar>
              <w:top w:w="75" w:type="dxa"/>
              <w:left w:w="105" w:type="dxa"/>
              <w:bottom w:w="75" w:type="dxa"/>
              <w:right w:w="105" w:type="dxa"/>
            </w:tcMar>
            <w:vAlign w:val="center"/>
          </w:tcPr>
          <w:p w14:paraId="1B73E621">
            <w:pPr>
              <w:pStyle w:val="15"/>
              <w:numPr>
                <w:ilvl w:val="0"/>
                <w:numId w:val="4"/>
              </w:numPr>
              <w:spacing w:line="360" w:lineRule="exact"/>
              <w:jc w:val="center"/>
              <w:rPr>
                <w:rFonts w:hint="eastAsia" w:eastAsia="宋体" w:cs="宋体"/>
                <w:sz w:val="21"/>
                <w:szCs w:val="21"/>
              </w:rPr>
            </w:pPr>
          </w:p>
        </w:tc>
        <w:tc>
          <w:tcPr>
            <w:tcW w:w="1352" w:type="pct"/>
            <w:noWrap w:val="0"/>
            <w:tcMar>
              <w:top w:w="75" w:type="dxa"/>
              <w:left w:w="105" w:type="dxa"/>
              <w:bottom w:w="75" w:type="dxa"/>
              <w:right w:w="105" w:type="dxa"/>
            </w:tcMar>
            <w:vAlign w:val="center"/>
          </w:tcPr>
          <w:p w14:paraId="51B3765F">
            <w:pPr>
              <w:pStyle w:val="15"/>
              <w:spacing w:line="360" w:lineRule="exact"/>
              <w:rPr>
                <w:rFonts w:hint="eastAsia" w:eastAsia="宋体" w:cs="宋体"/>
                <w:sz w:val="21"/>
                <w:szCs w:val="21"/>
              </w:rPr>
            </w:pPr>
            <w:r>
              <w:rPr>
                <w:rFonts w:hint="eastAsia" w:eastAsia="宋体" w:cs="宋体"/>
                <w:sz w:val="21"/>
                <w:szCs w:val="21"/>
              </w:rPr>
              <w:t>承包人采用保函（保单）形式递交履约保证金、工人工资保证金、低价风险保证金（如有）的，须保证保函（保单）在本工程完工期前处于有效期内</w:t>
            </w:r>
          </w:p>
        </w:tc>
        <w:tc>
          <w:tcPr>
            <w:tcW w:w="1168" w:type="pct"/>
            <w:noWrap w:val="0"/>
            <w:tcMar>
              <w:top w:w="75" w:type="dxa"/>
              <w:left w:w="105" w:type="dxa"/>
              <w:bottom w:w="75" w:type="dxa"/>
              <w:right w:w="105" w:type="dxa"/>
            </w:tcMar>
            <w:vAlign w:val="center"/>
          </w:tcPr>
          <w:p w14:paraId="243A9BCF">
            <w:pPr>
              <w:pStyle w:val="15"/>
              <w:spacing w:line="360" w:lineRule="exact"/>
              <w:rPr>
                <w:rFonts w:hint="eastAsia" w:eastAsia="宋体" w:cs="宋体"/>
                <w:sz w:val="21"/>
                <w:szCs w:val="21"/>
              </w:rPr>
            </w:pPr>
            <w:r>
              <w:rPr>
                <w:rFonts w:hint="eastAsia" w:eastAsia="宋体" w:cs="宋体"/>
                <w:sz w:val="21"/>
                <w:szCs w:val="21"/>
              </w:rPr>
              <w:t>保函（保单）过期后承包人不及时续保的</w:t>
            </w:r>
          </w:p>
        </w:tc>
        <w:tc>
          <w:tcPr>
            <w:tcW w:w="2049" w:type="pct"/>
            <w:noWrap w:val="0"/>
            <w:tcMar>
              <w:top w:w="75" w:type="dxa"/>
              <w:left w:w="105" w:type="dxa"/>
              <w:bottom w:w="75" w:type="dxa"/>
              <w:right w:w="105" w:type="dxa"/>
            </w:tcMar>
            <w:vAlign w:val="center"/>
          </w:tcPr>
          <w:p w14:paraId="189DE580">
            <w:pPr>
              <w:pStyle w:val="15"/>
              <w:spacing w:line="360" w:lineRule="exact"/>
              <w:rPr>
                <w:rFonts w:hint="eastAsia" w:eastAsia="宋体" w:cs="宋体"/>
                <w:sz w:val="21"/>
                <w:szCs w:val="21"/>
              </w:rPr>
            </w:pPr>
            <w:r>
              <w:rPr>
                <w:rFonts w:hint="eastAsia" w:eastAsia="宋体" w:cs="宋体"/>
                <w:sz w:val="21"/>
                <w:szCs w:val="21"/>
              </w:rPr>
              <w:t>承包人应主动履行续保义务，并按保函（保单）担保金额的5％的标准向发包人支付违约金</w:t>
            </w:r>
          </w:p>
        </w:tc>
      </w:tr>
      <w:tr w14:paraId="28A0C3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jc w:val="center"/>
        </w:trPr>
        <w:tc>
          <w:tcPr>
            <w:tcW w:w="5000" w:type="pct"/>
            <w:gridSpan w:val="5"/>
            <w:noWrap w:val="0"/>
            <w:tcMar>
              <w:top w:w="75" w:type="dxa"/>
              <w:left w:w="105" w:type="dxa"/>
              <w:bottom w:w="75" w:type="dxa"/>
              <w:right w:w="105" w:type="dxa"/>
            </w:tcMar>
            <w:vAlign w:val="center"/>
          </w:tcPr>
          <w:p w14:paraId="233D4518">
            <w:pPr>
              <w:pStyle w:val="15"/>
              <w:spacing w:before="0" w:beforeAutospacing="0" w:after="0" w:afterAutospacing="0" w:line="400" w:lineRule="exact"/>
              <w:rPr>
                <w:rFonts w:hint="eastAsia" w:eastAsia="宋体" w:cs="宋体"/>
                <w:sz w:val="21"/>
                <w:szCs w:val="21"/>
              </w:rPr>
            </w:pPr>
            <w:r>
              <w:rPr>
                <w:rStyle w:val="19"/>
                <w:rFonts w:hint="eastAsia" w:ascii="宋体" w:hAnsi="宋体" w:cs="宋体"/>
                <w:sz w:val="21"/>
                <w:szCs w:val="21"/>
              </w:rPr>
              <w:t>说明：</w:t>
            </w:r>
          </w:p>
          <w:p w14:paraId="444B8333">
            <w:pPr>
              <w:pStyle w:val="15"/>
              <w:spacing w:before="0" w:beforeAutospacing="0" w:after="0" w:afterAutospacing="0" w:line="400" w:lineRule="exact"/>
              <w:rPr>
                <w:rFonts w:hint="eastAsia" w:eastAsia="宋体" w:cs="宋体"/>
                <w:sz w:val="21"/>
                <w:szCs w:val="21"/>
              </w:rPr>
            </w:pPr>
            <w:r>
              <w:rPr>
                <w:rStyle w:val="19"/>
                <w:rFonts w:hint="eastAsia" w:ascii="宋体" w:hAnsi="宋体" w:cs="宋体"/>
                <w:sz w:val="21"/>
                <w:szCs w:val="21"/>
              </w:rPr>
              <w:t>1.承包人发生违约行为而产生违约金时，监理人或发包人到现场做好取证工作，告知其违反的合同条款、时间、金额，监理人或发包人将向承包人发出《</w:t>
            </w:r>
            <w:r>
              <w:rPr>
                <w:rStyle w:val="29"/>
                <w:rFonts w:hint="eastAsia" w:ascii="宋体" w:hAnsi="宋体" w:eastAsia="宋体" w:cs="宋体"/>
                <w:b/>
                <w:color w:val="auto"/>
                <w:kern w:val="28"/>
                <w:sz w:val="21"/>
                <w:szCs w:val="21"/>
                <w:u w:val="none"/>
              </w:rPr>
              <w:t>违约通知书</w:t>
            </w:r>
            <w:r>
              <w:rPr>
                <w:rStyle w:val="19"/>
                <w:rFonts w:hint="eastAsia" w:ascii="宋体" w:hAnsi="宋体" w:cs="宋体"/>
                <w:sz w:val="21"/>
                <w:szCs w:val="21"/>
              </w:rPr>
              <w:t>》，违约金从当期工程款进度款或结算款中扣除，不足部分从履约保证金中扣除，再不足部分由发包人向承包人索赔。</w:t>
            </w:r>
          </w:p>
          <w:p w14:paraId="17EA32CE">
            <w:pPr>
              <w:pStyle w:val="15"/>
              <w:spacing w:before="0" w:beforeAutospacing="0" w:after="0" w:afterAutospacing="0" w:line="400" w:lineRule="exact"/>
              <w:rPr>
                <w:rStyle w:val="19"/>
                <w:rFonts w:hint="eastAsia" w:ascii="宋体" w:hAnsi="宋体" w:cs="宋体"/>
                <w:sz w:val="21"/>
                <w:szCs w:val="21"/>
              </w:rPr>
            </w:pPr>
            <w:r>
              <w:rPr>
                <w:rStyle w:val="19"/>
                <w:rFonts w:hint="eastAsia" w:ascii="宋体" w:hAnsi="宋体" w:cs="宋体"/>
                <w:sz w:val="21"/>
                <w:szCs w:val="21"/>
              </w:rPr>
              <w:t>2.施工现场关键岗位人员包括：</w:t>
            </w:r>
          </w:p>
          <w:p w14:paraId="68B5D08B">
            <w:pPr>
              <w:pStyle w:val="15"/>
              <w:spacing w:before="0" w:beforeAutospacing="0" w:after="0" w:afterAutospacing="0" w:line="400" w:lineRule="exact"/>
              <w:rPr>
                <w:rStyle w:val="19"/>
                <w:rFonts w:hint="eastAsia" w:ascii="宋体" w:hAnsi="宋体" w:cs="宋体"/>
                <w:sz w:val="21"/>
                <w:szCs w:val="21"/>
              </w:rPr>
            </w:pPr>
            <w:r>
              <w:rPr>
                <w:rStyle w:val="19"/>
                <w:rFonts w:hint="eastAsia" w:ascii="宋体" w:hAnsi="宋体" w:cs="宋体"/>
                <w:sz w:val="21"/>
                <w:szCs w:val="21"/>
              </w:rPr>
              <w:t>（1）施工项目负责人、技术负责人；</w:t>
            </w:r>
          </w:p>
          <w:p w14:paraId="3529C2AF">
            <w:pPr>
              <w:pStyle w:val="15"/>
              <w:spacing w:before="0" w:beforeAutospacing="0" w:after="0" w:afterAutospacing="0" w:line="400" w:lineRule="exact"/>
              <w:rPr>
                <w:rFonts w:hint="eastAsia" w:eastAsia="宋体" w:cs="宋体"/>
                <w:sz w:val="21"/>
                <w:szCs w:val="21"/>
              </w:rPr>
            </w:pPr>
            <w:r>
              <w:rPr>
                <w:rStyle w:val="19"/>
                <w:rFonts w:hint="eastAsia" w:ascii="宋体" w:hAnsi="宋体" w:cs="宋体"/>
                <w:sz w:val="21"/>
                <w:szCs w:val="21"/>
              </w:rPr>
              <w:t>（2）承包人的投标文件响应了招标文件评审因素的人员。</w:t>
            </w:r>
          </w:p>
          <w:p w14:paraId="280071F7">
            <w:pPr>
              <w:pStyle w:val="15"/>
              <w:spacing w:before="0" w:beforeAutospacing="0" w:after="0" w:afterAutospacing="0" w:line="400" w:lineRule="exact"/>
              <w:rPr>
                <w:rFonts w:hint="eastAsia" w:eastAsia="宋体" w:cs="宋体"/>
                <w:sz w:val="21"/>
                <w:szCs w:val="21"/>
              </w:rPr>
            </w:pPr>
            <w:r>
              <w:rPr>
                <w:rStyle w:val="19"/>
                <w:rFonts w:hint="eastAsia" w:ascii="宋体" w:hAnsi="宋体" w:cs="宋体"/>
                <w:sz w:val="21"/>
                <w:szCs w:val="21"/>
              </w:rPr>
              <w:t>3.每月现场施工日，是指当月除因政府指令、恶劣天气、节假日等原因引发停工的实际施工天数。</w:t>
            </w:r>
          </w:p>
          <w:p w14:paraId="00CA8C9B">
            <w:pPr>
              <w:pStyle w:val="15"/>
              <w:spacing w:before="0" w:beforeAutospacing="0" w:after="0" w:afterAutospacing="0" w:line="400" w:lineRule="exact"/>
              <w:rPr>
                <w:rStyle w:val="19"/>
                <w:rFonts w:hint="eastAsia" w:ascii="宋体" w:hAnsi="宋体" w:cs="宋体"/>
                <w:sz w:val="21"/>
                <w:szCs w:val="21"/>
              </w:rPr>
            </w:pPr>
            <w:r>
              <w:rPr>
                <w:rStyle w:val="19"/>
                <w:rFonts w:hint="eastAsia" w:ascii="宋体" w:hAnsi="宋体" w:cs="宋体"/>
                <w:sz w:val="21"/>
                <w:szCs w:val="21"/>
              </w:rPr>
              <w:t>4.本单位人员，是指与本单位订立了合法的劳动合同，本单位为其办理了人事、工资以及社会保险关系的人员，或者达到法定退休年龄或依法提前退休并与本单位订立聘用合同、在本单位实际工作的人员。</w:t>
            </w:r>
          </w:p>
          <w:p w14:paraId="13784B0D">
            <w:pPr>
              <w:pStyle w:val="15"/>
              <w:spacing w:before="0" w:beforeAutospacing="0" w:after="0" w:afterAutospacing="0" w:line="400" w:lineRule="exact"/>
              <w:rPr>
                <w:rStyle w:val="19"/>
                <w:rFonts w:hint="eastAsia" w:ascii="宋体" w:hAnsi="宋体" w:cs="宋体"/>
                <w:sz w:val="21"/>
                <w:szCs w:val="21"/>
              </w:rPr>
            </w:pPr>
            <w:r>
              <w:rPr>
                <w:rStyle w:val="19"/>
                <w:rFonts w:hint="eastAsia" w:ascii="宋体" w:hAnsi="宋体" w:cs="宋体"/>
                <w:sz w:val="21"/>
                <w:szCs w:val="21"/>
              </w:rPr>
              <w:t>5.专用合同条款中有关违约责任与本表存在冲突的，以本表为准（若除本表规定的违约责任外，专用合同条款还规定了其他违约责任，则两者同时适用）；本表未涉及的违约责任按专用合同条款或由发包人与承包人另行协商。</w:t>
            </w:r>
          </w:p>
          <w:p w14:paraId="00C180DB">
            <w:pPr>
              <w:pStyle w:val="15"/>
              <w:spacing w:before="0" w:beforeAutospacing="0" w:after="0" w:afterAutospacing="0" w:line="400" w:lineRule="exact"/>
              <w:rPr>
                <w:rFonts w:hint="eastAsia" w:eastAsia="宋体" w:cs="宋体"/>
                <w:sz w:val="21"/>
                <w:szCs w:val="21"/>
              </w:rPr>
            </w:pPr>
            <w:r>
              <w:rPr>
                <w:rStyle w:val="19"/>
                <w:rFonts w:hint="eastAsia" w:ascii="宋体" w:hAnsi="宋体" w:cs="宋体"/>
                <w:sz w:val="21"/>
                <w:szCs w:val="21"/>
              </w:rPr>
              <w:t>6.合同履约期间，发包人有权根据最新实施的有关文件调整相关违约金额度。</w:t>
            </w:r>
          </w:p>
        </w:tc>
      </w:tr>
    </w:tbl>
    <w:p w14:paraId="39ACA7EA">
      <w:pPr>
        <w:pStyle w:val="8"/>
        <w:rPr>
          <w:rFonts w:hint="eastAsia" w:hAnsi="宋体" w:cs="宋体"/>
        </w:rPr>
      </w:pPr>
    </w:p>
    <w:p w14:paraId="55BE44F8">
      <w:pPr>
        <w:pStyle w:val="2"/>
        <w:spacing w:before="0" w:after="0" w:line="240" w:lineRule="auto"/>
        <w:outlineLvl w:val="9"/>
        <w:rPr>
          <w:rFonts w:hint="eastAsia" w:ascii="宋体" w:hAnsi="宋体" w:eastAsia="宋体" w:cs="宋体"/>
          <w:sz w:val="28"/>
          <w:szCs w:val="28"/>
        </w:rPr>
      </w:pPr>
    </w:p>
    <w:p w14:paraId="74F6B0F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25C81">
    <w:pPr>
      <w:pStyle w:val="11"/>
      <w:jc w:val="center"/>
      <w:rPr>
        <w:sz w:val="20"/>
        <w:szCs w:val="20"/>
      </w:rPr>
    </w:pPr>
    <w:r>
      <w:fldChar w:fldCharType="begin"/>
    </w:r>
    <w:r>
      <w:instrText xml:space="preserve">PAGE   \* MERGEFORMAT</w:instrText>
    </w:r>
    <w:r>
      <w:fldChar w:fldCharType="separate"/>
    </w:r>
    <w:r>
      <w:rPr>
        <w:lang w:val="zh-CN"/>
      </w:rPr>
      <w:t>96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960BD5">
    <w:pPr>
      <w:pStyle w:val="11"/>
      <w:jc w:val="center"/>
      <w:rPr>
        <w:sz w:val="20"/>
        <w:szCs w:val="20"/>
      </w:rPr>
    </w:pPr>
    <w:r>
      <w:fldChar w:fldCharType="begin"/>
    </w:r>
    <w:r>
      <w:instrText xml:space="preserve">PAGE   \* MERGEFORMAT</w:instrText>
    </w:r>
    <w:r>
      <w:fldChar w:fldCharType="separate"/>
    </w:r>
    <w:r>
      <w:rPr>
        <w:lang w:val="zh-CN"/>
      </w:rPr>
      <w:t>96</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3B5FD7"/>
    <w:multiLevelType w:val="singleLevel"/>
    <w:tmpl w:val="953B5FD7"/>
    <w:lvl w:ilvl="0" w:tentative="0">
      <w:start w:val="11"/>
      <w:numFmt w:val="decimal"/>
      <w:suff w:val="space"/>
      <w:lvlText w:val="%1."/>
      <w:lvlJc w:val="left"/>
    </w:lvl>
  </w:abstractNum>
  <w:abstractNum w:abstractNumId="1">
    <w:nsid w:val="BA8D550B"/>
    <w:multiLevelType w:val="singleLevel"/>
    <w:tmpl w:val="BA8D550B"/>
    <w:lvl w:ilvl="0" w:tentative="0">
      <w:start w:val="1"/>
      <w:numFmt w:val="decimal"/>
      <w:suff w:val="space"/>
      <w:lvlText w:val="（%1）"/>
      <w:lvlJc w:val="left"/>
    </w:lvl>
  </w:abstractNum>
  <w:abstractNum w:abstractNumId="2">
    <w:nsid w:val="00000006"/>
    <w:multiLevelType w:val="singleLevel"/>
    <w:tmpl w:val="00000006"/>
    <w:lvl w:ilvl="0" w:tentative="0">
      <w:start w:val="1"/>
      <w:numFmt w:val="decimal"/>
      <w:suff w:val="nothing"/>
      <w:lvlText w:val="（%1）"/>
      <w:lvlJc w:val="left"/>
      <w:pPr>
        <w:ind w:left="0" w:firstLine="0"/>
      </w:pPr>
    </w:lvl>
  </w:abstractNum>
  <w:abstractNum w:abstractNumId="3">
    <w:nsid w:val="592B6DE9"/>
    <w:multiLevelType w:val="singleLevel"/>
    <w:tmpl w:val="592B6DE9"/>
    <w:lvl w:ilvl="0" w:tentative="0">
      <w:start w:val="1"/>
      <w:numFmt w:val="decimal"/>
      <w:lvlText w:val="%1"/>
      <w:lvlJc w:val="left"/>
      <w:pPr>
        <w:tabs>
          <w:tab w:val="left" w:pos="420"/>
        </w:tabs>
        <w:ind w:left="425" w:hanging="425"/>
      </w:pPr>
      <w:rPr>
        <w:rFont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TRlMTg2MjU2MzI4YjViODk3MGM4ZDM5NTY0MmUifQ=="/>
  </w:docVars>
  <w:rsids>
    <w:rsidRoot w:val="5F143CC2"/>
    <w:rsid w:val="00C23986"/>
    <w:rsid w:val="04EB6681"/>
    <w:rsid w:val="08A85041"/>
    <w:rsid w:val="08B66FA6"/>
    <w:rsid w:val="128B3251"/>
    <w:rsid w:val="133A3BA6"/>
    <w:rsid w:val="152F4368"/>
    <w:rsid w:val="16D36F75"/>
    <w:rsid w:val="193E7563"/>
    <w:rsid w:val="1B8D1DE8"/>
    <w:rsid w:val="1C0A3439"/>
    <w:rsid w:val="1CA62A01"/>
    <w:rsid w:val="231A06FF"/>
    <w:rsid w:val="25E44CFA"/>
    <w:rsid w:val="2EE87609"/>
    <w:rsid w:val="328E3341"/>
    <w:rsid w:val="335F3C12"/>
    <w:rsid w:val="34EF065D"/>
    <w:rsid w:val="3A52627F"/>
    <w:rsid w:val="3E182314"/>
    <w:rsid w:val="3F0B1678"/>
    <w:rsid w:val="42611E30"/>
    <w:rsid w:val="44B42556"/>
    <w:rsid w:val="47633879"/>
    <w:rsid w:val="49750401"/>
    <w:rsid w:val="4A121587"/>
    <w:rsid w:val="4B241572"/>
    <w:rsid w:val="4C545E87"/>
    <w:rsid w:val="51F96496"/>
    <w:rsid w:val="576C0E4E"/>
    <w:rsid w:val="5967369D"/>
    <w:rsid w:val="596A197E"/>
    <w:rsid w:val="59C664AA"/>
    <w:rsid w:val="5F143CC2"/>
    <w:rsid w:val="60190B19"/>
    <w:rsid w:val="62D52D32"/>
    <w:rsid w:val="63424833"/>
    <w:rsid w:val="63612F0B"/>
    <w:rsid w:val="66FF2149"/>
    <w:rsid w:val="680D6B72"/>
    <w:rsid w:val="6A883CBC"/>
    <w:rsid w:val="6D871B5D"/>
    <w:rsid w:val="79EB13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line="578" w:lineRule="auto"/>
      <w:jc w:val="center"/>
      <w:outlineLvl w:val="0"/>
    </w:pPr>
    <w:rPr>
      <w:rFonts w:ascii="Times New Roman" w:hAnsi="Times New Roman" w:eastAsia="黑体"/>
      <w:b/>
      <w:bCs/>
      <w:kern w:val="32"/>
      <w:sz w:val="28"/>
      <w:szCs w:val="44"/>
    </w:rPr>
  </w:style>
  <w:style w:type="paragraph" w:styleId="3">
    <w:name w:val="heading 2"/>
    <w:basedOn w:val="1"/>
    <w:next w:val="1"/>
    <w:qFormat/>
    <w:uiPriority w:val="0"/>
    <w:pPr>
      <w:keepNext/>
      <w:keepLines/>
      <w:spacing w:line="416" w:lineRule="auto"/>
      <w:outlineLvl w:val="1"/>
    </w:pPr>
    <w:rPr>
      <w:rFonts w:ascii="Cambria" w:hAnsi="Cambria" w:eastAsia="宋体" w:cs="Times New Roman"/>
      <w:b/>
      <w:bCs/>
      <w:kern w:val="2"/>
      <w:sz w:val="32"/>
      <w:szCs w:val="32"/>
    </w:rPr>
  </w:style>
  <w:style w:type="paragraph" w:styleId="4">
    <w:name w:val="heading 3"/>
    <w:basedOn w:val="1"/>
    <w:next w:val="1"/>
    <w:qFormat/>
    <w:uiPriority w:val="0"/>
    <w:pPr>
      <w:keepNext/>
      <w:keepLines/>
      <w:spacing w:line="416" w:lineRule="auto"/>
      <w:outlineLvl w:val="2"/>
    </w:pPr>
    <w:rPr>
      <w:b/>
      <w:bCs/>
      <w:kern w:val="2"/>
      <w:sz w:val="32"/>
      <w:szCs w:val="32"/>
    </w:rPr>
  </w:style>
  <w:style w:type="paragraph" w:styleId="5">
    <w:name w:val="heading 4"/>
    <w:basedOn w:val="1"/>
    <w:next w:val="1"/>
    <w:qFormat/>
    <w:uiPriority w:val="0"/>
    <w:pPr>
      <w:keepNext/>
      <w:keepLines/>
      <w:spacing w:line="376" w:lineRule="auto"/>
      <w:outlineLvl w:val="3"/>
    </w:pPr>
    <w:rPr>
      <w:rFonts w:ascii="Cambria" w:hAnsi="Cambria" w:eastAsia="宋体" w:cs="Times New Roman"/>
      <w:b/>
      <w:bCs/>
      <w:kern w:val="2"/>
      <w:sz w:val="28"/>
      <w:szCs w:val="28"/>
    </w:rPr>
  </w:style>
  <w:style w:type="paragraph" w:styleId="6">
    <w:name w:val="heading 5"/>
    <w:basedOn w:val="1"/>
    <w:next w:val="1"/>
    <w:qFormat/>
    <w:uiPriority w:val="0"/>
    <w:pPr>
      <w:keepNext/>
      <w:keepLines/>
      <w:spacing w:line="372" w:lineRule="auto"/>
      <w:outlineLvl w:val="4"/>
    </w:pPr>
    <w:rPr>
      <w:b/>
      <w:bCs/>
      <w:kern w:val="2"/>
      <w:sz w:val="28"/>
      <w:szCs w:val="28"/>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7">
    <w:name w:val="Normal Indent"/>
    <w:basedOn w:val="1"/>
    <w:qFormat/>
    <w:uiPriority w:val="0"/>
    <w:pPr>
      <w:ind w:firstLine="420" w:firstLineChars="200"/>
    </w:pPr>
  </w:style>
  <w:style w:type="paragraph" w:styleId="8">
    <w:name w:val="annotation text"/>
    <w:basedOn w:val="1"/>
    <w:next w:val="9"/>
    <w:qFormat/>
    <w:uiPriority w:val="0"/>
    <w:pPr>
      <w:jc w:val="left"/>
    </w:pPr>
    <w:rPr>
      <w:rFonts w:ascii="宋体" w:hAnsi="Times New Roman" w:eastAsia="宋体" w:cs="Times New Roman"/>
      <w:sz w:val="28"/>
      <w:szCs w:val="20"/>
    </w:rPr>
  </w:style>
  <w:style w:type="paragraph" w:styleId="9">
    <w:name w:val="Balloon Text"/>
    <w:basedOn w:val="1"/>
    <w:qFormat/>
    <w:uiPriority w:val="0"/>
    <w:rPr>
      <w:rFonts w:ascii="宋体" w:hAnsi="Times New Roman"/>
      <w:sz w:val="18"/>
      <w:szCs w:val="18"/>
    </w:rPr>
  </w:style>
  <w:style w:type="paragraph" w:styleId="10">
    <w:name w:val="Body Text"/>
    <w:basedOn w:val="1"/>
    <w:qFormat/>
    <w:uiPriority w:val="0"/>
    <w:pPr>
      <w:spacing w:after="120" w:afterLines="0"/>
    </w:pPr>
    <w:rPr>
      <w:rFonts w:ascii="Times New Roman" w:hAnsi="Times New Roman"/>
    </w:rPr>
  </w:style>
  <w:style w:type="paragraph" w:styleId="11">
    <w:name w:val="footer"/>
    <w:basedOn w:val="1"/>
    <w:qFormat/>
    <w:uiPriority w:val="0"/>
    <w:pPr>
      <w:tabs>
        <w:tab w:val="center" w:pos="4153"/>
        <w:tab w:val="right" w:pos="8306"/>
      </w:tabs>
      <w:snapToGrid w:val="0"/>
      <w:jc w:val="left"/>
    </w:pPr>
    <w:rPr>
      <w:kern w:val="2"/>
      <w:sz w:val="18"/>
      <w:szCs w:val="18"/>
    </w:rPr>
  </w:style>
  <w:style w:type="paragraph" w:styleId="12">
    <w:name w:val="toc 1"/>
    <w:basedOn w:val="1"/>
    <w:next w:val="1"/>
    <w:uiPriority w:val="0"/>
  </w:style>
  <w:style w:type="paragraph" w:styleId="13">
    <w:name w:val="toc 2"/>
    <w:basedOn w:val="1"/>
    <w:next w:val="1"/>
    <w:qFormat/>
    <w:uiPriority w:val="0"/>
    <w:pPr>
      <w:spacing w:beforeLines="0" w:afterLines="0"/>
    </w:pPr>
    <w:rPr>
      <w:rFonts w:hint="default"/>
      <w:sz w:val="21"/>
    </w:rPr>
  </w:style>
  <w:style w:type="paragraph" w:styleId="14">
    <w:name w:val="Body Text 2"/>
    <w:basedOn w:val="1"/>
    <w:unhideWhenUsed/>
    <w:qFormat/>
    <w:uiPriority w:val="0"/>
    <w:pPr>
      <w:spacing w:after="120" w:line="480" w:lineRule="auto"/>
    </w:pPr>
  </w:style>
  <w:style w:type="paragraph" w:styleId="15">
    <w:name w:val="Normal (Web)"/>
    <w:basedOn w:val="1"/>
    <w:qFormat/>
    <w:uiPriority w:val="0"/>
    <w:pPr>
      <w:widowControl/>
      <w:spacing w:before="100" w:beforeLines="0" w:beforeAutospacing="1" w:after="100" w:afterLines="0" w:afterAutospacing="1" w:line="283" w:lineRule="atLeast"/>
      <w:jc w:val="left"/>
    </w:pPr>
    <w:rPr>
      <w:rFonts w:ascii="宋体" w:hAnsi="宋体"/>
      <w:color w:val="000000"/>
      <w:kern w:val="0"/>
      <w:sz w:val="19"/>
      <w:szCs w:val="20"/>
    </w:rPr>
  </w:style>
  <w:style w:type="paragraph" w:styleId="16">
    <w:name w:val="Body Text First Indent"/>
    <w:basedOn w:val="10"/>
    <w:qFormat/>
    <w:uiPriority w:val="0"/>
    <w:pPr>
      <w:ind w:firstLine="420" w:firstLineChars="100"/>
    </w:pPr>
  </w:style>
  <w:style w:type="character" w:styleId="19">
    <w:name w:val="Strong"/>
    <w:basedOn w:val="18"/>
    <w:qFormat/>
    <w:uiPriority w:val="0"/>
    <w:rPr>
      <w:rFonts w:ascii="Tahoma" w:hAnsi="Tahoma" w:eastAsia="宋体"/>
      <w:b/>
      <w:bCs/>
      <w:kern w:val="2"/>
      <w:sz w:val="24"/>
      <w:szCs w:val="24"/>
      <w:lang w:val="en-US" w:eastAsia="zh-CN" w:bidi="ar-SA"/>
    </w:rPr>
  </w:style>
  <w:style w:type="character" w:customStyle="1" w:styleId="20">
    <w:name w:val="NormalCharacter"/>
    <w:qFormat/>
    <w:uiPriority w:val="0"/>
  </w:style>
  <w:style w:type="character" w:customStyle="1" w:styleId="21">
    <w:name w:val="16"/>
    <w:qFormat/>
    <w:uiPriority w:val="0"/>
    <w:rPr>
      <w:rFonts w:hint="default" w:ascii="Times New Roman" w:hAnsi="Times New Roman" w:cs="Times New Roman"/>
    </w:rPr>
  </w:style>
  <w:style w:type="paragraph" w:styleId="22">
    <w:name w:val="List Paragraph"/>
    <w:basedOn w:val="1"/>
    <w:qFormat/>
    <w:uiPriority w:val="0"/>
    <w:pPr>
      <w:ind w:firstLine="420" w:firstLineChars="200"/>
    </w:pPr>
    <w:rPr>
      <w:rFonts w:ascii="Calibri" w:hAnsi="Calibri"/>
      <w:szCs w:val="22"/>
    </w:rPr>
  </w:style>
  <w:style w:type="paragraph" w:styleId="23">
    <w:name w:val="No Spacing"/>
    <w:qFormat/>
    <w:uiPriority w:val="0"/>
    <w:pPr>
      <w:widowControl w:val="0"/>
      <w:jc w:val="both"/>
    </w:pPr>
    <w:rPr>
      <w:rFonts w:ascii="Calibri" w:hAnsi="Calibri" w:eastAsia="宋体" w:cs="Times New Roman"/>
      <w:kern w:val="2"/>
      <w:sz w:val="21"/>
      <w:szCs w:val="22"/>
      <w:lang w:val="en-US" w:eastAsia="zh-CN" w:bidi="ar-SA"/>
    </w:rPr>
  </w:style>
  <w:style w:type="character" w:customStyle="1" w:styleId="24">
    <w:name w:val="正文文本缩进 3 Char1"/>
    <w:semiHidden/>
    <w:qFormat/>
    <w:uiPriority w:val="99"/>
    <w:rPr>
      <w:kern w:val="2"/>
      <w:sz w:val="16"/>
      <w:szCs w:val="16"/>
    </w:rPr>
  </w:style>
  <w:style w:type="paragraph" w:customStyle="1" w:styleId="25">
    <w:name w:val="UserStyle_433"/>
    <w:basedOn w:val="26"/>
    <w:qFormat/>
    <w:uiPriority w:val="0"/>
    <w:pPr>
      <w:widowControl/>
      <w:textAlignment w:val="baseline"/>
    </w:pPr>
    <w:rPr>
      <w:rFonts w:ascii="等线" w:hAnsi="等线" w:eastAsia="等线"/>
      <w:szCs w:val="21"/>
    </w:rPr>
  </w:style>
  <w:style w:type="paragraph" w:customStyle="1" w:styleId="26">
    <w:name w:val="正文_0"/>
    <w:next w:val="2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
    <w:name w:val="标题 3_0"/>
    <w:basedOn w:val="28"/>
    <w:next w:val="26"/>
    <w:unhideWhenUsed/>
    <w:qFormat/>
    <w:uiPriority w:val="9"/>
    <w:pPr>
      <w:keepNext/>
      <w:keepLines/>
      <w:spacing w:before="260" w:after="260" w:line="416" w:lineRule="auto"/>
      <w:outlineLvl w:val="2"/>
    </w:pPr>
    <w:rPr>
      <w:b/>
      <w:bCs/>
      <w:sz w:val="32"/>
      <w:szCs w:val="32"/>
    </w:rPr>
  </w:style>
  <w:style w:type="paragraph" w:customStyle="1" w:styleId="28">
    <w:name w:val="正文_2"/>
    <w:next w:val="27"/>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9">
    <w:name w:val="15_0"/>
    <w:qFormat/>
    <w:uiPriority w:val="0"/>
    <w:rPr>
      <w:rFonts w:hint="default" w:ascii="Times New Roman" w:hAnsi="Times New Roman" w:eastAsia="等线" w:cs="Times New Roman"/>
      <w:color w:val="0000FF"/>
      <w:sz w:val="20"/>
      <w:szCs w:val="20"/>
      <w:u w:val="single"/>
    </w:rPr>
  </w:style>
  <w:style w:type="paragraph" w:customStyle="1" w:styleId="30">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oleObject" Target="embeddings/oleObject2.bin"/><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5.wmf"/><Relationship Id="rId14" Type="http://schemas.openxmlformats.org/officeDocument/2006/relationships/oleObject" Target="embeddings/oleObject5.bin"/><Relationship Id="rId13" Type="http://schemas.openxmlformats.org/officeDocument/2006/relationships/image" Target="media/image4.wmf"/><Relationship Id="rId12" Type="http://schemas.openxmlformats.org/officeDocument/2006/relationships/oleObject" Target="embeddings/oleObject4.bin"/><Relationship Id="rId11" Type="http://schemas.openxmlformats.org/officeDocument/2006/relationships/image" Target="media/image3.w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107</Pages>
  <Words>60002</Words>
  <Characters>62611</Characters>
  <Lines>0</Lines>
  <Paragraphs>0</Paragraphs>
  <TotalTime>0</TotalTime>
  <ScaleCrop>false</ScaleCrop>
  <LinksUpToDate>false</LinksUpToDate>
  <CharactersWithSpaces>63557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2025-05-27T09:56:00Z</dcterms:created>
  <dc:creator>L-丹雪</dc:creator>
  <cp:lastModifiedBy>宁静以致远</cp:lastModifiedBy>
  <dcterms:modified xsi:type="dcterms:W3CDTF">2025-12-16T02:29:56Z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07C2E9234E244E44A0D1533E947AB8B5_13</vt:lpwstr>
  </property>
  <property fmtid="{D5CDD505-2E9C-101B-9397-08002B2CF9AE}" pid="4" name="KSOTemplateDocerSaveRecord">
    <vt:lpwstr>eyJoZGlkIjoiMThjNGZjYjYyMjU0YTAzNzA1ZmJkZThjNjYxOTU4NzAiLCJ1c2VySWQiOiIzNTU4MzUxMDUifQ==</vt:lpwstr>
  </property>
</Properties>
</file>