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86C25">
      <w:pPr>
        <w:rPr>
          <w:rFonts w:hint="eastAsia" w:ascii="宋体" w:hAnsi="宋体" w:eastAsia="宋体" w:cs="宋体"/>
          <w:color w:val="auto"/>
          <w:sz w:val="28"/>
          <w:szCs w:val="28"/>
          <w:highlight w:val="none"/>
        </w:rPr>
      </w:pPr>
    </w:p>
    <w:p w14:paraId="1D414406">
      <w:pPr>
        <w:jc w:val="center"/>
        <w:rPr>
          <w:rFonts w:hint="eastAsia" w:ascii="宋体" w:hAnsi="宋体" w:eastAsia="宋体" w:cs="宋体"/>
          <w:color w:val="auto"/>
          <w:sz w:val="28"/>
          <w:szCs w:val="28"/>
          <w:highlight w:val="none"/>
          <w:lang w:eastAsia="zh-CN"/>
        </w:rPr>
      </w:pPr>
      <w:r>
        <w:rPr>
          <w:rFonts w:hint="eastAsia" w:ascii="宋体" w:hAnsi="宋体" w:cs="宋体"/>
          <w:color w:val="auto"/>
          <w:sz w:val="44"/>
          <w:szCs w:val="44"/>
          <w:highlight w:val="none"/>
          <w:lang w:eastAsia="zh-CN"/>
        </w:rPr>
        <w:t>广州珠江电厂2×600MW级煤电环保替代项目施工监理</w:t>
      </w:r>
    </w:p>
    <w:p w14:paraId="6DB4F206">
      <w:pPr>
        <w:rPr>
          <w:rFonts w:hint="eastAsia" w:ascii="宋体" w:hAnsi="宋体" w:eastAsia="宋体" w:cs="宋体"/>
          <w:color w:val="auto"/>
          <w:sz w:val="28"/>
          <w:szCs w:val="28"/>
          <w:highlight w:val="none"/>
        </w:rPr>
      </w:pPr>
    </w:p>
    <w:p w14:paraId="7CCCEEEB">
      <w:pPr>
        <w:rPr>
          <w:rFonts w:hint="eastAsia" w:ascii="宋体" w:hAnsi="宋体" w:eastAsia="宋体" w:cs="宋体"/>
          <w:color w:val="auto"/>
          <w:sz w:val="28"/>
          <w:szCs w:val="28"/>
          <w:highlight w:val="none"/>
        </w:rPr>
      </w:pPr>
    </w:p>
    <w:p w14:paraId="2CA9590C">
      <w:pPr>
        <w:jc w:val="center"/>
        <w:rPr>
          <w:rFonts w:hint="eastAsia" w:ascii="宋体" w:hAnsi="宋体" w:eastAsia="宋体" w:cs="宋体"/>
          <w:color w:val="auto"/>
          <w:sz w:val="44"/>
          <w:szCs w:val="44"/>
          <w:highlight w:val="none"/>
        </w:rPr>
      </w:pPr>
    </w:p>
    <w:p w14:paraId="74C174C1">
      <w:pPr>
        <w:jc w:val="center"/>
        <w:rPr>
          <w:rFonts w:hint="eastAsia" w:ascii="宋体" w:hAnsi="宋体" w:eastAsia="宋体" w:cs="宋体"/>
          <w:color w:val="auto"/>
          <w:sz w:val="44"/>
          <w:szCs w:val="44"/>
          <w:highlight w:val="none"/>
        </w:rPr>
      </w:pPr>
    </w:p>
    <w:p w14:paraId="549F26D0">
      <w:pPr>
        <w:jc w:val="center"/>
        <w:rPr>
          <w:rFonts w:hint="eastAsia" w:ascii="宋体" w:hAnsi="宋体" w:eastAsia="宋体" w:cs="宋体"/>
          <w:color w:val="auto"/>
          <w:sz w:val="44"/>
          <w:szCs w:val="44"/>
          <w:highlight w:val="none"/>
        </w:rPr>
      </w:pPr>
    </w:p>
    <w:p w14:paraId="7B62502B">
      <w:pPr>
        <w:jc w:val="center"/>
        <w:rPr>
          <w:rFonts w:hint="eastAsia" w:ascii="宋体" w:hAnsi="宋体" w:eastAsia="宋体" w:cs="宋体"/>
          <w:color w:val="auto"/>
          <w:sz w:val="44"/>
          <w:szCs w:val="44"/>
          <w:highlight w:val="none"/>
          <w:lang w:eastAsia="zh-CN"/>
        </w:rPr>
      </w:pPr>
      <w:r>
        <w:rPr>
          <w:rFonts w:hint="eastAsia" w:ascii="宋体" w:hAnsi="宋体" w:eastAsia="宋体" w:cs="宋体"/>
          <w:b/>
          <w:bCs/>
          <w:color w:val="auto"/>
          <w:sz w:val="96"/>
          <w:szCs w:val="96"/>
          <w:highlight w:val="none"/>
        </w:rPr>
        <w:t>招标</w:t>
      </w:r>
      <w:r>
        <w:rPr>
          <w:rFonts w:hint="eastAsia" w:ascii="宋体" w:hAnsi="宋体" w:cs="宋体"/>
          <w:b/>
          <w:bCs/>
          <w:color w:val="auto"/>
          <w:sz w:val="96"/>
          <w:szCs w:val="96"/>
          <w:highlight w:val="none"/>
          <w:lang w:val="en-US" w:eastAsia="zh-CN"/>
        </w:rPr>
        <w:t>公告</w:t>
      </w:r>
    </w:p>
    <w:p w14:paraId="493D6E7D">
      <w:pPr>
        <w:spacing w:line="400" w:lineRule="exact"/>
        <w:rPr>
          <w:rFonts w:hint="eastAsia" w:ascii="宋体" w:hAnsi="宋体" w:eastAsia="宋体" w:cs="宋体"/>
          <w:color w:val="auto"/>
          <w:highlight w:val="none"/>
        </w:rPr>
      </w:pPr>
    </w:p>
    <w:p w14:paraId="4C591F49">
      <w:pPr>
        <w:spacing w:line="400" w:lineRule="exact"/>
        <w:rPr>
          <w:rFonts w:hint="eastAsia" w:ascii="宋体" w:hAnsi="宋体" w:eastAsia="宋体" w:cs="宋体"/>
          <w:color w:val="auto"/>
          <w:highlight w:val="none"/>
        </w:rPr>
      </w:pPr>
    </w:p>
    <w:p w14:paraId="0F191C91">
      <w:pPr>
        <w:spacing w:line="400" w:lineRule="exact"/>
        <w:rPr>
          <w:rFonts w:hint="eastAsia" w:ascii="宋体" w:hAnsi="宋体" w:eastAsia="宋体" w:cs="宋体"/>
          <w:color w:val="auto"/>
          <w:highlight w:val="none"/>
        </w:rPr>
      </w:pPr>
    </w:p>
    <w:p w14:paraId="47063734">
      <w:pPr>
        <w:spacing w:line="400" w:lineRule="exact"/>
        <w:rPr>
          <w:rFonts w:hint="eastAsia" w:ascii="宋体" w:hAnsi="宋体" w:eastAsia="宋体" w:cs="宋体"/>
          <w:color w:val="auto"/>
          <w:highlight w:val="none"/>
        </w:rPr>
      </w:pPr>
    </w:p>
    <w:p w14:paraId="0ABEF6D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0E843CF">
      <w:pPr>
        <w:spacing w:line="400" w:lineRule="exact"/>
        <w:rPr>
          <w:rFonts w:hint="eastAsia" w:ascii="宋体" w:hAnsi="宋体" w:eastAsia="宋体" w:cs="宋体"/>
          <w:color w:val="auto"/>
          <w:highlight w:val="none"/>
        </w:rPr>
      </w:pPr>
    </w:p>
    <w:p w14:paraId="1C992075">
      <w:pPr>
        <w:spacing w:line="400" w:lineRule="exact"/>
        <w:rPr>
          <w:rFonts w:hint="eastAsia" w:ascii="宋体" w:hAnsi="宋体" w:eastAsia="宋体" w:cs="宋体"/>
          <w:color w:val="auto"/>
          <w:highlight w:val="none"/>
        </w:rPr>
      </w:pPr>
    </w:p>
    <w:p w14:paraId="54C99D52">
      <w:pPr>
        <w:spacing w:line="400" w:lineRule="exact"/>
        <w:rPr>
          <w:rFonts w:hint="eastAsia" w:ascii="宋体" w:hAnsi="宋体" w:eastAsia="宋体" w:cs="宋体"/>
          <w:color w:val="auto"/>
          <w:highlight w:val="none"/>
        </w:rPr>
      </w:pPr>
    </w:p>
    <w:p w14:paraId="5AC7A78F">
      <w:pPr>
        <w:spacing w:line="360" w:lineRule="auto"/>
        <w:ind w:firstLine="1960" w:firstLineChars="700"/>
        <w:jc w:val="both"/>
        <w:rPr>
          <w:rFonts w:hint="eastAsia" w:ascii="宋体" w:hAnsi="宋体" w:eastAsia="宋体" w:cs="宋体"/>
          <w:color w:val="auto"/>
          <w:sz w:val="28"/>
          <w:szCs w:val="28"/>
          <w:highlight w:val="none"/>
        </w:rPr>
      </w:pPr>
    </w:p>
    <w:p w14:paraId="0E8B8703">
      <w:pPr>
        <w:spacing w:line="360" w:lineRule="auto"/>
        <w:ind w:firstLine="1960" w:firstLineChars="7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cs="宋体"/>
          <w:color w:val="auto"/>
          <w:sz w:val="28"/>
          <w:szCs w:val="28"/>
          <w:highlight w:val="none"/>
          <w:lang w:eastAsia="zh-CN"/>
        </w:rPr>
        <w:t>广州珠江电力有限公司</w:t>
      </w:r>
    </w:p>
    <w:p w14:paraId="65023E88">
      <w:pPr>
        <w:spacing w:line="360" w:lineRule="auto"/>
        <w:ind w:firstLine="1960" w:firstLineChars="7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r>
        <w:rPr>
          <w:rFonts w:hint="eastAsia" w:ascii="宋体" w:hAnsi="宋体" w:cs="宋体"/>
          <w:color w:val="auto"/>
          <w:sz w:val="28"/>
          <w:szCs w:val="28"/>
          <w:highlight w:val="none"/>
          <w:lang w:val="en-US" w:eastAsia="zh-CN"/>
        </w:rPr>
        <w:t>北京中交建设工程咨询有限公司</w:t>
      </w:r>
      <w:r>
        <w:rPr>
          <w:rFonts w:hint="eastAsia" w:ascii="宋体" w:hAnsi="宋体" w:eastAsia="宋体" w:cs="宋体"/>
          <w:color w:val="auto"/>
          <w:sz w:val="28"/>
          <w:szCs w:val="28"/>
          <w:highlight w:val="none"/>
        </w:rPr>
        <w:t xml:space="preserve">            </w:t>
      </w:r>
    </w:p>
    <w:p w14:paraId="454F4318">
      <w:pPr>
        <w:spacing w:line="360" w:lineRule="auto"/>
        <w:ind w:firstLine="1960" w:firstLineChars="7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招标监督单位：广州发展集团股份有限公司</w:t>
      </w:r>
    </w:p>
    <w:p w14:paraId="3E727B78">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shd w:val="clear" w:color="auto" w:fill="FFFFFF"/>
        </w:rPr>
        <w:t>（招标机构签章位置）</w:t>
      </w:r>
    </w:p>
    <w:p w14:paraId="61DC2D8A">
      <w:pPr>
        <w:pStyle w:val="5"/>
        <w:spacing w:beforeLines="0" w:afterLines="0" w:line="360" w:lineRule="auto"/>
        <w:ind w:firstLine="1960" w:firstLineChars="700"/>
        <w:jc w:val="both"/>
        <w:rPr>
          <w:rFonts w:hint="eastAsia" w:ascii="宋体" w:hAnsi="宋体" w:eastAsia="宋体" w:cs="宋体"/>
          <w:b w:val="0"/>
          <w:bCs w:val="0"/>
          <w:color w:val="auto"/>
          <w:sz w:val="28"/>
          <w:szCs w:val="28"/>
          <w:highlight w:val="none"/>
        </w:rPr>
      </w:pPr>
    </w:p>
    <w:p w14:paraId="1B161679">
      <w:pPr>
        <w:jc w:val="center"/>
        <w:rPr>
          <w:rFonts w:hint="eastAsia" w:ascii="宋体" w:hAnsi="宋体" w:eastAsia="宋体" w:cs="宋体"/>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794" w:footer="794" w:gutter="0"/>
          <w:pgNumType w:fmt="decimal" w:start="1"/>
          <w:cols w:space="720" w:num="1"/>
          <w:rtlGutter w:val="0"/>
          <w:docGrid w:linePitch="312" w:charSpace="0"/>
        </w:sectPr>
      </w:pP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rPr>
        <w:t>日</w:t>
      </w:r>
    </w:p>
    <w:p w14:paraId="404C2529">
      <w:pPr>
        <w:adjustRightInd w:val="0"/>
        <w:snapToGrid w:val="0"/>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广州珠江电厂2×600MW级煤电环保替代项目施工监理</w:t>
      </w:r>
    </w:p>
    <w:p w14:paraId="00BF6F2B">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招标公告</w:t>
      </w:r>
    </w:p>
    <w:p w14:paraId="75DF5DA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广州珠江电力有限公司</w:t>
      </w:r>
      <w:r>
        <w:rPr>
          <w:rFonts w:hint="eastAsia" w:ascii="宋体" w:hAnsi="宋体" w:eastAsia="宋体" w:cs="宋体"/>
          <w:color w:val="auto"/>
          <w:szCs w:val="21"/>
          <w:highlight w:val="none"/>
        </w:rPr>
        <w:t>现委托</w:t>
      </w:r>
      <w:r>
        <w:rPr>
          <w:rFonts w:hint="eastAsia" w:ascii="宋体" w:hAnsi="宋体" w:cs="宋体"/>
          <w:color w:val="auto"/>
          <w:szCs w:val="21"/>
          <w:highlight w:val="none"/>
          <w:lang w:val="en-US" w:eastAsia="zh-CN"/>
        </w:rPr>
        <w:t>北京中交建设工程咨询有限公司</w:t>
      </w:r>
      <w:r>
        <w:rPr>
          <w:rFonts w:hint="eastAsia" w:ascii="宋体" w:hAnsi="宋体" w:eastAsia="宋体" w:cs="宋体"/>
          <w:color w:val="auto"/>
          <w:szCs w:val="21"/>
          <w:highlight w:val="none"/>
        </w:rPr>
        <w:t>就</w:t>
      </w:r>
      <w:r>
        <w:rPr>
          <w:rFonts w:hint="eastAsia" w:ascii="宋体" w:hAnsi="宋体" w:cs="宋体"/>
          <w:color w:val="auto"/>
          <w:szCs w:val="21"/>
          <w:highlight w:val="none"/>
          <w:lang w:eastAsia="zh-CN"/>
        </w:rPr>
        <w:t>广州珠江电厂2×600MW级煤电环保替代项目施工监理</w:t>
      </w:r>
      <w:r>
        <w:rPr>
          <w:rFonts w:hint="eastAsia" w:ascii="宋体" w:hAnsi="宋体" w:eastAsia="宋体" w:cs="宋体"/>
          <w:color w:val="auto"/>
          <w:szCs w:val="21"/>
          <w:highlight w:val="none"/>
        </w:rPr>
        <w:t>项目进行国内公开招标，选定承包人。本项目已落实资金来源。</w:t>
      </w:r>
    </w:p>
    <w:p w14:paraId="63D09B3B">
      <w:pPr>
        <w:adjustRightInd w:val="0"/>
        <w:snapToGrid w:val="0"/>
        <w:spacing w:line="360" w:lineRule="auto"/>
        <w:ind w:firstLine="420" w:firstLineChars="200"/>
        <w:outlineLvl w:val="0"/>
        <w:rPr>
          <w:rFonts w:hint="eastAsia" w:ascii="宋体" w:hAnsi="宋体" w:cs="宋体"/>
          <w:color w:val="auto"/>
          <w:szCs w:val="21"/>
          <w:highlight w:val="none"/>
          <w:lang w:eastAsia="zh-CN"/>
        </w:rPr>
      </w:pPr>
      <w:bookmarkStart w:id="0" w:name="_Toc15215"/>
      <w:bookmarkStart w:id="1" w:name="_Toc26568"/>
      <w:r>
        <w:rPr>
          <w:rFonts w:hint="eastAsia" w:ascii="宋体" w:hAnsi="宋体" w:eastAsia="宋体" w:cs="宋体"/>
          <w:color w:val="auto"/>
          <w:szCs w:val="21"/>
          <w:highlight w:val="none"/>
        </w:rPr>
        <w:t>一、项目名称：</w:t>
      </w:r>
      <w:r>
        <w:rPr>
          <w:rFonts w:hint="eastAsia" w:ascii="宋体" w:hAnsi="宋体" w:cs="宋体"/>
          <w:color w:val="auto"/>
          <w:szCs w:val="21"/>
          <w:highlight w:val="none"/>
          <w:lang w:eastAsia="zh-CN"/>
        </w:rPr>
        <w:t>广州珠江电厂2×600MW级煤电环保替代项目施工监理</w:t>
      </w:r>
      <w:bookmarkEnd w:id="0"/>
      <w:bookmarkEnd w:id="1"/>
    </w:p>
    <w:p w14:paraId="3BD9762B">
      <w:pPr>
        <w:pStyle w:val="6"/>
        <w:rPr>
          <w:rFonts w:hint="default"/>
          <w:color w:val="auto"/>
          <w:highlight w:val="none"/>
          <w:lang w:val="en-US" w:eastAsia="zh-CN"/>
        </w:rPr>
      </w:pPr>
      <w:r>
        <w:rPr>
          <w:rFonts w:hint="eastAsia"/>
          <w:color w:val="auto"/>
          <w:highlight w:val="none"/>
          <w:lang w:val="en-US" w:eastAsia="zh-CN"/>
        </w:rPr>
        <w:t xml:space="preserve">        投资项目代码：2208-440115-04-01-357966</w:t>
      </w:r>
    </w:p>
    <w:p w14:paraId="762EC638">
      <w:pPr>
        <w:adjustRightInd w:val="0"/>
        <w:snapToGrid w:val="0"/>
        <w:spacing w:line="360" w:lineRule="auto"/>
        <w:ind w:firstLine="420" w:firstLineChars="200"/>
        <w:outlineLvl w:val="0"/>
        <w:rPr>
          <w:rFonts w:hint="eastAsia" w:ascii="宋体" w:hAnsi="宋体" w:eastAsia="宋体" w:cs="宋体"/>
          <w:color w:val="auto"/>
          <w:szCs w:val="21"/>
          <w:highlight w:val="none"/>
          <w:lang w:eastAsia="zh-CN"/>
        </w:rPr>
      </w:pPr>
      <w:bookmarkStart w:id="2" w:name="_Toc2260"/>
      <w:bookmarkStart w:id="3" w:name="_Toc25061"/>
      <w:r>
        <w:rPr>
          <w:rFonts w:hint="eastAsia" w:ascii="宋体" w:hAnsi="宋体" w:eastAsia="宋体" w:cs="宋体"/>
          <w:color w:val="auto"/>
          <w:szCs w:val="21"/>
          <w:highlight w:val="none"/>
        </w:rPr>
        <w:t>二、招标单位：</w:t>
      </w:r>
      <w:r>
        <w:rPr>
          <w:rFonts w:hint="eastAsia" w:ascii="宋体" w:hAnsi="宋体" w:cs="宋体"/>
          <w:color w:val="auto"/>
          <w:szCs w:val="21"/>
          <w:highlight w:val="none"/>
          <w:lang w:eastAsia="zh-CN"/>
        </w:rPr>
        <w:t>广州珠江电力有限公司</w:t>
      </w:r>
      <w:bookmarkEnd w:id="2"/>
      <w:bookmarkEnd w:id="3"/>
    </w:p>
    <w:p w14:paraId="5D6E285C">
      <w:pPr>
        <w:adjustRightInd w:val="0"/>
        <w:snapToGrid w:val="0"/>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val="en-US" w:eastAsia="zh-CN"/>
        </w:rPr>
        <w:t xml:space="preserve">杨工 </w:t>
      </w:r>
      <w:r>
        <w:rPr>
          <w:rFonts w:hint="eastAsia" w:ascii="宋体" w:hAnsi="宋体" w:eastAsia="宋体" w:cs="宋体"/>
          <w:color w:val="auto"/>
          <w:szCs w:val="21"/>
          <w:highlight w:val="none"/>
        </w:rPr>
        <w:t xml:space="preserve">              联系电话：</w:t>
      </w:r>
      <w:r>
        <w:rPr>
          <w:rFonts w:hint="eastAsia" w:ascii="宋体" w:hAnsi="宋体" w:cs="宋体"/>
          <w:color w:val="auto"/>
          <w:szCs w:val="21"/>
          <w:highlight w:val="none"/>
          <w:lang w:val="en-US" w:eastAsia="zh-CN"/>
        </w:rPr>
        <w:t xml:space="preserve">020-39001567 </w:t>
      </w:r>
    </w:p>
    <w:p w14:paraId="2DC78E32">
      <w:pPr>
        <w:adjustRightInd w:val="0"/>
        <w:snapToGrid w:val="0"/>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招标代理机构：北京中交建设工程咨询有限公司</w:t>
      </w:r>
      <w:r>
        <w:rPr>
          <w:rFonts w:hint="eastAsia" w:ascii="宋体" w:hAnsi="宋体" w:cs="宋体"/>
          <w:color w:val="auto"/>
          <w:szCs w:val="21"/>
          <w:highlight w:val="none"/>
          <w:lang w:val="en-US" w:eastAsia="zh-CN"/>
        </w:rPr>
        <w:t xml:space="preserve"> </w:t>
      </w:r>
    </w:p>
    <w:p w14:paraId="3CBB9B7B">
      <w:pPr>
        <w:adjustRightInd w:val="0"/>
        <w:snapToGrid w:val="0"/>
        <w:spacing w:line="360" w:lineRule="auto"/>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电子邮箱：bjzj_gz@163.com</w:t>
      </w:r>
      <w:r>
        <w:rPr>
          <w:rFonts w:hint="eastAsia" w:ascii="宋体" w:hAnsi="宋体" w:cs="宋体"/>
          <w:color w:val="auto"/>
          <w:szCs w:val="21"/>
          <w:highlight w:val="none"/>
          <w:lang w:val="en-US" w:eastAsia="zh-CN"/>
        </w:rPr>
        <w:t xml:space="preserve"> </w:t>
      </w:r>
    </w:p>
    <w:p w14:paraId="284621D5">
      <w:pPr>
        <w:adjustRightInd w:val="0"/>
        <w:snapToGrid w:val="0"/>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联系人：方工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联系电话：020-87575800-838</w:t>
      </w:r>
      <w:r>
        <w:rPr>
          <w:rFonts w:hint="eastAsia" w:ascii="宋体" w:hAnsi="宋体" w:cs="宋体"/>
          <w:color w:val="auto"/>
          <w:szCs w:val="21"/>
          <w:highlight w:val="none"/>
          <w:lang w:val="en-US" w:eastAsia="zh-CN"/>
        </w:rPr>
        <w:t xml:space="preserve"> </w:t>
      </w:r>
    </w:p>
    <w:p w14:paraId="206AF8E2">
      <w:pPr>
        <w:adjustRightInd w:val="0"/>
        <w:snapToGrid w:val="0"/>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szCs w:val="21"/>
          <w:highlight w:val="none"/>
        </w:rPr>
        <w:t>招标监督机构：广州发展集团股份有限公司招标管理部</w:t>
      </w:r>
    </w:p>
    <w:p w14:paraId="4A227D65">
      <w:pPr>
        <w:adjustRightInd w:val="0"/>
        <w:snapToGri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监督电话：020-37850849</w:t>
      </w:r>
    </w:p>
    <w:p w14:paraId="4C8F2870">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4" w:name="_Toc6163"/>
      <w:bookmarkStart w:id="5" w:name="_Toc31240"/>
      <w:r>
        <w:rPr>
          <w:rFonts w:hint="eastAsia" w:ascii="宋体" w:hAnsi="宋体" w:eastAsia="宋体" w:cs="宋体"/>
          <w:color w:val="auto"/>
          <w:szCs w:val="21"/>
          <w:highlight w:val="none"/>
        </w:rPr>
        <w:t>三、建设地点：广州市南沙区环市大道北23号珠江电厂内。</w:t>
      </w:r>
      <w:bookmarkEnd w:id="4"/>
      <w:bookmarkEnd w:id="5"/>
    </w:p>
    <w:p w14:paraId="3B7C2055">
      <w:pPr>
        <w:adjustRightInd w:val="0"/>
        <w:snapToGrid w:val="0"/>
        <w:spacing w:line="360" w:lineRule="auto"/>
        <w:ind w:firstLine="420" w:firstLineChars="200"/>
        <w:outlineLvl w:val="9"/>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四、项目概况：广州珠江电厂煤电环保替代项目拟建设2×600MW级超超临界二次再热燃煤发电机组，同步建设高效烟气脱硫、脱硝及除尘装置，循环冷却水采用一次循环海水冷却，利用原有机组的取排水管线。两台新机组在拆除原有的4×320MW原址上建设，#1新机组桩基工程计划于2026年</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月开工，主体工程计划202</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年1月浇筑第一罐混凝土，2029年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月底投产（具体工期以实际批复文件为准）。#2新机组在202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年底</w:t>
      </w:r>
      <w:r>
        <w:rPr>
          <w:rFonts w:hint="eastAsia" w:ascii="宋体" w:hAnsi="宋体" w:eastAsia="宋体" w:cs="宋体"/>
          <w:color w:val="auto"/>
          <w:szCs w:val="21"/>
          <w:highlight w:val="none"/>
        </w:rPr>
        <w:t>原#3、#4机组服役期满开始拆除后进行，计划新#2机组203</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月底投产。</w:t>
      </w:r>
    </w:p>
    <w:p w14:paraId="012D6081">
      <w:pPr>
        <w:adjustRightInd w:val="0"/>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五、标段划分及各标段招标范围、规模：</w:t>
      </w:r>
    </w:p>
    <w:p w14:paraId="4D13BC2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标段划分：本次招标设一个标段。</w:t>
      </w:r>
    </w:p>
    <w:p w14:paraId="0C88596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5.2 建设规模：广州珠江电厂煤电环保替代项目拟建设2×600MW级</w:t>
      </w:r>
      <w:r>
        <w:rPr>
          <w:rFonts w:hint="eastAsia" w:ascii="宋体" w:hAnsi="宋体" w:cs="宋体"/>
          <w:color w:val="auto"/>
          <w:szCs w:val="21"/>
          <w:highlight w:val="none"/>
          <w:lang w:eastAsia="zh-CN"/>
        </w:rPr>
        <w:t>超超临界</w:t>
      </w:r>
      <w:r>
        <w:rPr>
          <w:rFonts w:hint="eastAsia" w:ascii="宋体" w:hAnsi="宋体" w:eastAsia="宋体" w:cs="宋体"/>
          <w:color w:val="auto"/>
          <w:szCs w:val="21"/>
          <w:highlight w:val="none"/>
        </w:rPr>
        <w:t>二次再热燃煤发电机组，同步建设高效烟气脱硫、脱硝及除尘装置，循环冷却水采用一次循环海水冷却，利用原有机组的取排水管线</w:t>
      </w:r>
      <w:r>
        <w:rPr>
          <w:rFonts w:hint="eastAsia" w:ascii="宋体" w:hAnsi="宋体" w:cs="宋体"/>
          <w:color w:val="auto"/>
          <w:szCs w:val="21"/>
          <w:highlight w:val="none"/>
          <w:lang w:val="en-US" w:eastAsia="zh-CN"/>
        </w:rPr>
        <w:t>。</w:t>
      </w:r>
    </w:p>
    <w:p w14:paraId="64FD36D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招标范围：</w:t>
      </w:r>
    </w:p>
    <w:p w14:paraId="60C9B2FB">
      <w:pPr>
        <w:numPr>
          <w:ilvl w:val="-1"/>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本次监理招标范围</w:t>
      </w:r>
      <w:r>
        <w:rPr>
          <w:rFonts w:hint="eastAsia" w:ascii="宋体" w:hAnsi="宋体" w:eastAsia="宋体" w:cs="宋体"/>
          <w:color w:val="auto"/>
          <w:szCs w:val="21"/>
          <w:highlight w:val="none"/>
          <w:lang w:val="zh-CN"/>
        </w:rPr>
        <w:t>包括（但不限于）：</w:t>
      </w:r>
      <w:r>
        <w:rPr>
          <w:rFonts w:hint="eastAsia"/>
          <w:color w:val="auto"/>
          <w:highlight w:val="none"/>
          <w:lang w:val="en-US" w:eastAsia="zh-CN"/>
        </w:rPr>
        <w:t>珠江电厂</w:t>
      </w:r>
      <w:r>
        <w:rPr>
          <w:rFonts w:hint="eastAsia"/>
          <w:color w:val="auto"/>
          <w:highlight w:val="none"/>
        </w:rPr>
        <w:t>2×600MW级</w:t>
      </w:r>
      <w:r>
        <w:rPr>
          <w:rFonts w:hint="eastAsia"/>
          <w:color w:val="auto"/>
          <w:highlight w:val="none"/>
          <w:lang w:val="en-US" w:eastAsia="zh-CN"/>
        </w:rPr>
        <w:t>煤电环保替代</w:t>
      </w:r>
      <w:r>
        <w:rPr>
          <w:color w:val="auto"/>
          <w:highlight w:val="none"/>
        </w:rPr>
        <w:t>项目涉及的所有建筑、安装工程，包括施工准备（五通一平）、工程地基处理、建筑、安装、</w:t>
      </w:r>
      <w:r>
        <w:rPr>
          <w:rFonts w:hint="eastAsia"/>
          <w:color w:val="auto"/>
          <w:highlight w:val="none"/>
          <w:lang w:val="en-US" w:eastAsia="zh-CN"/>
        </w:rPr>
        <w:t>部分设施利旧改造、</w:t>
      </w:r>
      <w:r>
        <w:rPr>
          <w:color w:val="auto"/>
          <w:highlight w:val="none"/>
        </w:rPr>
        <w:t>分部试运、整体调试等，整套工程均通过168小时试运移交生产，并通过竣工验收等全部工程</w:t>
      </w:r>
      <w:r>
        <w:rPr>
          <w:rFonts w:hint="default"/>
          <w:color w:val="auto"/>
          <w:highlight w:val="none"/>
          <w:lang w:val="en-US" w:eastAsia="zh-CN"/>
        </w:rPr>
        <w:t>及</w:t>
      </w:r>
      <w:r>
        <w:rPr>
          <w:rFonts w:hint="default" w:ascii="Times New Roman" w:hAnsi="Times New Roman" w:eastAsia="宋体" w:cs="Times New Roman"/>
          <w:i w:val="0"/>
          <w:iCs w:val="0"/>
          <w:color w:val="auto"/>
          <w:sz w:val="21"/>
          <w:szCs w:val="20"/>
          <w:highlight w:val="none"/>
        </w:rPr>
        <w:t>广州珠江电厂</w:t>
      </w:r>
      <w:r>
        <w:rPr>
          <w:rFonts w:hint="eastAsia" w:cs="Times New Roman"/>
          <w:i w:val="0"/>
          <w:iCs w:val="0"/>
          <w:color w:val="auto"/>
          <w:sz w:val="21"/>
          <w:szCs w:val="20"/>
          <w:highlight w:val="none"/>
          <w:lang w:eastAsia="zh-CN"/>
        </w:rPr>
        <w:t>原</w:t>
      </w:r>
      <w:r>
        <w:rPr>
          <w:rFonts w:hint="default" w:ascii="Times New Roman" w:hAnsi="Times New Roman" w:eastAsia="宋体" w:cs="Times New Roman"/>
          <w:i w:val="0"/>
          <w:iCs w:val="0"/>
          <w:color w:val="auto"/>
          <w:sz w:val="21"/>
          <w:szCs w:val="20"/>
          <w:highlight w:val="none"/>
          <w:lang w:eastAsia="zh-CN"/>
        </w:rPr>
        <w:t>二期</w:t>
      </w:r>
      <w:r>
        <w:rPr>
          <w:rFonts w:hint="default" w:ascii="Times New Roman" w:hAnsi="Times New Roman" w:eastAsia="宋体" w:cs="Times New Roman"/>
          <w:b w:val="0"/>
          <w:bCs w:val="0"/>
          <w:i w:val="0"/>
          <w:color w:val="auto"/>
          <w:kern w:val="0"/>
          <w:sz w:val="21"/>
          <w:szCs w:val="20"/>
          <w:highlight w:val="none"/>
          <w:lang w:eastAsia="zh"/>
        </w:rPr>
        <w:t>机组</w:t>
      </w:r>
      <w:r>
        <w:rPr>
          <w:rFonts w:hint="eastAsia" w:cs="Times New Roman"/>
          <w:b w:val="0"/>
          <w:bCs w:val="0"/>
          <w:i w:val="0"/>
          <w:color w:val="auto"/>
          <w:kern w:val="0"/>
          <w:sz w:val="21"/>
          <w:szCs w:val="20"/>
          <w:highlight w:val="none"/>
          <w:lang w:eastAsia="zh-CN"/>
        </w:rPr>
        <w:t>（原</w:t>
      </w:r>
      <w:r>
        <w:rPr>
          <w:rFonts w:hint="eastAsia" w:cs="Times New Roman"/>
          <w:b w:val="0"/>
          <w:bCs w:val="0"/>
          <w:i w:val="0"/>
          <w:color w:val="auto"/>
          <w:kern w:val="0"/>
          <w:sz w:val="21"/>
          <w:szCs w:val="20"/>
          <w:highlight w:val="none"/>
          <w:lang w:val="en-US" w:eastAsia="zh-CN"/>
        </w:rPr>
        <w:t>#3#4机组</w:t>
      </w:r>
      <w:r>
        <w:rPr>
          <w:rFonts w:hint="eastAsia" w:cs="Times New Roman"/>
          <w:b w:val="0"/>
          <w:bCs w:val="0"/>
          <w:i w:val="0"/>
          <w:color w:val="auto"/>
          <w:kern w:val="0"/>
          <w:sz w:val="21"/>
          <w:szCs w:val="20"/>
          <w:highlight w:val="none"/>
          <w:lang w:eastAsia="zh-CN"/>
        </w:rPr>
        <w:t>）</w:t>
      </w:r>
      <w:r>
        <w:rPr>
          <w:rFonts w:hint="default" w:ascii="Times New Roman" w:hAnsi="Times New Roman" w:eastAsia="宋体" w:cs="Times New Roman"/>
          <w:b w:val="0"/>
          <w:bCs w:val="0"/>
          <w:i w:val="0"/>
          <w:color w:val="auto"/>
          <w:kern w:val="0"/>
          <w:sz w:val="21"/>
          <w:szCs w:val="20"/>
          <w:highlight w:val="none"/>
          <w:lang w:eastAsia="zh-CN"/>
        </w:rPr>
        <w:t>设备、建构筑物拆除项目</w:t>
      </w:r>
      <w:r>
        <w:rPr>
          <w:color w:val="auto"/>
          <w:highlight w:val="none"/>
        </w:rPr>
        <w:t>的监理工作。对</w:t>
      </w:r>
      <w:r>
        <w:rPr>
          <w:rFonts w:hint="eastAsia"/>
          <w:color w:val="auto"/>
          <w:highlight w:val="none"/>
          <w:lang w:val="en-US" w:eastAsia="zh-CN"/>
        </w:rPr>
        <w:t>上述</w:t>
      </w:r>
      <w:r>
        <w:rPr>
          <w:color w:val="auto"/>
          <w:highlight w:val="none"/>
        </w:rPr>
        <w:t>工程的施工</w:t>
      </w:r>
      <w:r>
        <w:rPr>
          <w:rFonts w:hint="eastAsia"/>
          <w:color w:val="auto"/>
          <w:highlight w:val="none"/>
          <w:lang w:eastAsia="zh"/>
        </w:rPr>
        <w:t>安全、</w:t>
      </w:r>
      <w:r>
        <w:rPr>
          <w:color w:val="auto"/>
          <w:highlight w:val="none"/>
        </w:rPr>
        <w:t>质量、进度、造价进行全方位、全过程控制，负责组织协调、合同管理、信息管理以及文明施工管理的监理，定期对承包人的各项工作进行检查，配合达标投产、</w:t>
      </w:r>
      <w:r>
        <w:rPr>
          <w:rFonts w:hint="eastAsia"/>
          <w:color w:val="auto"/>
          <w:highlight w:val="none"/>
          <w:lang w:eastAsia="zh-CN"/>
        </w:rPr>
        <w:t>相关责任部门检查、</w:t>
      </w:r>
      <w:r>
        <w:rPr>
          <w:color w:val="auto"/>
          <w:highlight w:val="none"/>
        </w:rPr>
        <w:t>项目审计、专项验收、竣工验收等相关工作</w:t>
      </w:r>
      <w:r>
        <w:rPr>
          <w:color w:val="auto"/>
          <w:szCs w:val="21"/>
          <w:highlight w:val="none"/>
        </w:rPr>
        <w:t>。</w:t>
      </w:r>
      <w:r>
        <w:rPr>
          <w:color w:val="auto"/>
          <w:highlight w:val="none"/>
        </w:rPr>
        <w:t>监理服务包括但不限于对上述项目范围内的所有生产系统和附属项目的监理，因本项目建设需要，</w:t>
      </w:r>
      <w:r>
        <w:rPr>
          <w:rFonts w:hint="eastAsia"/>
          <w:color w:val="auto"/>
          <w:highlight w:val="none"/>
          <w:lang w:val="en-US" w:eastAsia="zh-CN"/>
        </w:rPr>
        <w:t>地下设施和基础的拆除</w:t>
      </w:r>
      <w:r>
        <w:rPr>
          <w:color w:val="auto"/>
          <w:highlight w:val="none"/>
        </w:rPr>
        <w:t>、施工场地下方各种不确定因素引起施工变更的监理工作均包含在内。投标人参加工程策划、设计优化，组织设计交底和图纸会审，参加</w:t>
      </w:r>
      <w:r>
        <w:rPr>
          <w:rFonts w:hint="eastAsia"/>
          <w:color w:val="auto"/>
          <w:highlight w:val="none"/>
          <w:lang w:val="en-US" w:eastAsia="zh-CN"/>
        </w:rPr>
        <w:t>EPC总包、</w:t>
      </w:r>
      <w:r>
        <w:rPr>
          <w:color w:val="auto"/>
          <w:highlight w:val="none"/>
        </w:rPr>
        <w:t>主辅设备、主要材料招标，参加招标人组织的主要设备和材料的厂家验收等全过程监理工作</w:t>
      </w:r>
      <w:r>
        <w:rPr>
          <w:rFonts w:hint="eastAsia" w:ascii="宋体" w:hAnsi="宋体" w:eastAsia="宋体" w:cs="宋体"/>
          <w:color w:val="auto"/>
          <w:szCs w:val="21"/>
          <w:highlight w:val="none"/>
          <w:lang w:val="zh-CN"/>
        </w:rPr>
        <w:t>。</w:t>
      </w:r>
      <w:r>
        <w:rPr>
          <w:rFonts w:hint="eastAsia" w:ascii="宋体" w:hAnsi="宋体" w:cs="宋体"/>
          <w:color w:val="auto"/>
          <w:szCs w:val="21"/>
          <w:highlight w:val="none"/>
          <w:lang w:val="en-US" w:eastAsia="zh-CN"/>
        </w:rPr>
        <w:t>具体要求详见技术规范书。</w:t>
      </w:r>
    </w:p>
    <w:p w14:paraId="3D57E63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监理服务期限：</w:t>
      </w:r>
    </w:p>
    <w:p w14:paraId="10B11D3F">
      <w:pPr>
        <w:adjustRightInd w:val="0"/>
        <w:snapToGrid w:val="0"/>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新建项目：</w:t>
      </w:r>
      <w:r>
        <w:rPr>
          <w:color w:val="auto"/>
          <w:highlight w:val="none"/>
        </w:rPr>
        <w:t>自工程施工准备（以进场通知为准）至</w:t>
      </w:r>
      <w:r>
        <w:rPr>
          <w:rFonts w:hint="eastAsia"/>
          <w:color w:val="auto"/>
          <w:highlight w:val="none"/>
          <w:lang w:val="en-US" w:eastAsia="zh-CN"/>
        </w:rPr>
        <w:t>两台</w:t>
      </w:r>
      <w:r>
        <w:rPr>
          <w:color w:val="auto"/>
          <w:highlight w:val="none"/>
        </w:rPr>
        <w:t>机组完成168小时满负荷运行移交生产及后续验收工作（包括不限于参与达标验收、缺陷处理、工程竣工</w:t>
      </w:r>
      <w:r>
        <w:rPr>
          <w:rFonts w:hint="eastAsia"/>
          <w:color w:val="auto"/>
          <w:highlight w:val="none"/>
          <w:lang w:val="en-US" w:eastAsia="zh-CN"/>
        </w:rPr>
        <w:t>结算及</w:t>
      </w:r>
      <w:r>
        <w:rPr>
          <w:color w:val="auto"/>
          <w:highlight w:val="none"/>
        </w:rPr>
        <w:t>决算、工程竣工验收、项目总体验收等工作），提交完整归档资料，经验收合格。各阶段的进场、退场具体时间及现场监理人员以招标人通知为准</w:t>
      </w:r>
      <w:r>
        <w:rPr>
          <w:rFonts w:hint="eastAsia" w:ascii="宋体" w:hAnsi="宋体" w:eastAsia="宋体" w:cs="宋体"/>
          <w:color w:val="auto"/>
          <w:szCs w:val="21"/>
          <w:highlight w:val="none"/>
        </w:rPr>
        <w:t>。</w:t>
      </w:r>
    </w:p>
    <w:p w14:paraId="75F1F724">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）珠江电厂原二期（</w:t>
      </w:r>
      <w:r>
        <w:rPr>
          <w:rFonts w:hint="eastAsia" w:ascii="宋体" w:hAnsi="宋体" w:cs="宋体"/>
          <w:color w:val="auto"/>
          <w:szCs w:val="21"/>
          <w:highlight w:val="none"/>
          <w:lang w:val="en-US" w:eastAsia="zh-CN"/>
        </w:rPr>
        <w:t>#3#4机组</w:t>
      </w:r>
      <w:r>
        <w:rPr>
          <w:rFonts w:hint="eastAsia" w:ascii="宋体" w:hAnsi="宋体" w:cs="宋体"/>
          <w:color w:val="auto"/>
          <w:szCs w:val="21"/>
          <w:highlight w:val="none"/>
          <w:lang w:eastAsia="zh-CN"/>
        </w:rPr>
        <w:t>）拆除项目：本工程施工工期约11个月（330天），以招标人通知进场起计，本项目监理服务期限自监理合同签订之日起至珠江电厂原二期拆除项目完成正式移交为止。</w:t>
      </w:r>
    </w:p>
    <w:p w14:paraId="62D744B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投标人必须对所有招标内容进行投标，不允许只对部分内容投标</w:t>
      </w:r>
      <w:r>
        <w:rPr>
          <w:rFonts w:hint="eastAsia" w:ascii="宋体" w:hAnsi="宋体" w:eastAsia="宋体" w:cs="宋体"/>
          <w:color w:val="auto"/>
          <w:kern w:val="2"/>
          <w:szCs w:val="21"/>
          <w:highlight w:val="none"/>
        </w:rPr>
        <w:t>。</w:t>
      </w:r>
    </w:p>
    <w:p w14:paraId="2CB8456E">
      <w:pPr>
        <w:tabs>
          <w:tab w:val="center" w:pos="5054"/>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六、资金来源：自筹资金。</w:t>
      </w:r>
      <w:r>
        <w:rPr>
          <w:rFonts w:hint="eastAsia" w:ascii="宋体" w:hAnsi="宋体" w:eastAsia="宋体" w:cs="宋体"/>
          <w:color w:val="auto"/>
          <w:szCs w:val="21"/>
          <w:highlight w:val="none"/>
        </w:rPr>
        <w:tab/>
      </w:r>
    </w:p>
    <w:p w14:paraId="04537908">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6" w:name="_Toc2154"/>
      <w:bookmarkStart w:id="7" w:name="_Toc26864"/>
      <w:r>
        <w:rPr>
          <w:rFonts w:hint="eastAsia" w:ascii="宋体" w:hAnsi="宋体" w:eastAsia="宋体" w:cs="宋体"/>
          <w:color w:val="auto"/>
          <w:szCs w:val="21"/>
          <w:highlight w:val="none"/>
        </w:rPr>
        <w:t>七、合格投标人资格条件：</w:t>
      </w:r>
      <w:bookmarkEnd w:id="6"/>
      <w:bookmarkEnd w:id="7"/>
    </w:p>
    <w:p w14:paraId="7F6AE67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资质要求</w:t>
      </w:r>
    </w:p>
    <w:p w14:paraId="0274256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必须是在中华人民共和国范围内注册的独立法人或其他组织。企业法人应持有工商行政（或市场监督）管理部门核发的有效营业执照，事业法人应持有事业单位法人证书。单位负责人为同一人或者存在控股、管理关系的不同单位，不得同时参加本招标项目投标，否则相关投标均无效。</w:t>
      </w:r>
    </w:p>
    <w:p w14:paraId="520505D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(2)投标人具有中华人民共和国住房和城乡建设部颁发的</w:t>
      </w:r>
      <w:r>
        <w:rPr>
          <w:rFonts w:hint="eastAsia" w:ascii="宋体" w:hAnsi="宋体" w:cs="宋体"/>
          <w:color w:val="auto"/>
          <w:szCs w:val="21"/>
          <w:highlight w:val="none"/>
          <w:lang w:val="en-US" w:eastAsia="zh-CN"/>
        </w:rPr>
        <w:t>以下</w:t>
      </w:r>
      <w:r>
        <w:rPr>
          <w:rFonts w:hint="eastAsia" w:ascii="宋体" w:hAnsi="宋体" w:eastAsia="宋体" w:cs="宋体"/>
          <w:color w:val="auto"/>
          <w:szCs w:val="21"/>
          <w:highlight w:val="none"/>
        </w:rPr>
        <w:t>资质证书之一：</w:t>
      </w:r>
    </w:p>
    <w:p w14:paraId="14C297A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①工程监理综合资质证书；【需提供有效证书</w:t>
      </w:r>
      <w:r>
        <w:rPr>
          <w:rFonts w:hint="eastAsia" w:ascii="宋体" w:hAnsi="宋体" w:cs="宋体"/>
          <w:color w:val="auto"/>
          <w:szCs w:val="21"/>
          <w:highlight w:val="none"/>
          <w:lang w:val="en-US" w:eastAsia="zh-CN"/>
        </w:rPr>
        <w:t>扫描件</w:t>
      </w:r>
      <w:r>
        <w:rPr>
          <w:rFonts w:hint="eastAsia" w:ascii="宋体" w:hAnsi="宋体" w:eastAsia="宋体" w:cs="宋体"/>
          <w:color w:val="auto"/>
          <w:szCs w:val="21"/>
          <w:highlight w:val="none"/>
        </w:rPr>
        <w:t>】</w:t>
      </w:r>
    </w:p>
    <w:p w14:paraId="0F073B6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②电力工程监理甲级资质证书。【需提供有效证书</w:t>
      </w:r>
      <w:r>
        <w:rPr>
          <w:rFonts w:hint="eastAsia" w:ascii="宋体" w:hAnsi="宋体" w:cs="宋体"/>
          <w:color w:val="auto"/>
          <w:szCs w:val="21"/>
          <w:highlight w:val="none"/>
          <w:lang w:val="en-US" w:eastAsia="zh-CN"/>
        </w:rPr>
        <w:t>扫描件</w:t>
      </w:r>
      <w:r>
        <w:rPr>
          <w:rFonts w:hint="eastAsia" w:ascii="宋体" w:hAnsi="宋体" w:eastAsia="宋体" w:cs="宋体"/>
          <w:color w:val="auto"/>
          <w:szCs w:val="21"/>
          <w:highlight w:val="none"/>
        </w:rPr>
        <w:t>】</w:t>
      </w:r>
    </w:p>
    <w:p w14:paraId="3E784F0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投标人业绩要求</w:t>
      </w:r>
    </w:p>
    <w:p w14:paraId="7DF0AD52">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年1月1日至投标截止时间（以项目投运时间为准），投标人具有以下监理服务业绩：完成过</w:t>
      </w:r>
      <w:r>
        <w:rPr>
          <w:rFonts w:hint="eastAsia" w:ascii="宋体" w:hAnsi="宋体" w:cs="宋体"/>
          <w:color w:val="auto"/>
          <w:szCs w:val="21"/>
          <w:highlight w:val="none"/>
          <w:lang w:val="en-US" w:eastAsia="zh-CN"/>
        </w:rPr>
        <w:t>1个</w:t>
      </w:r>
      <w:r>
        <w:rPr>
          <w:rFonts w:hint="eastAsia" w:ascii="宋体" w:hAnsi="宋体" w:eastAsia="宋体" w:cs="宋体"/>
          <w:color w:val="auto"/>
          <w:szCs w:val="21"/>
          <w:highlight w:val="none"/>
        </w:rPr>
        <w:t>已投运</w:t>
      </w:r>
      <w:r>
        <w:rPr>
          <w:rFonts w:hint="eastAsia" w:ascii="宋体" w:hAnsi="宋体" w:cs="宋体"/>
          <w:color w:val="auto"/>
          <w:szCs w:val="21"/>
          <w:highlight w:val="none"/>
          <w:lang w:val="en-US" w:eastAsia="zh-CN"/>
        </w:rPr>
        <w:t>单机容量</w:t>
      </w:r>
      <w:r>
        <w:rPr>
          <w:rFonts w:hint="eastAsia" w:ascii="宋体" w:hAnsi="宋体" w:eastAsia="宋体" w:cs="宋体"/>
          <w:color w:val="auto"/>
          <w:szCs w:val="21"/>
          <w:highlight w:val="none"/>
        </w:rPr>
        <w:t>600MW及以上煤</w:t>
      </w:r>
      <w:r>
        <w:rPr>
          <w:rFonts w:hint="eastAsia" w:ascii="宋体" w:hAnsi="宋体" w:cs="宋体"/>
          <w:color w:val="auto"/>
          <w:szCs w:val="21"/>
          <w:highlight w:val="none"/>
          <w:lang w:val="en-US" w:eastAsia="zh-CN"/>
        </w:rPr>
        <w:t>电</w:t>
      </w:r>
      <w:r>
        <w:rPr>
          <w:rFonts w:hint="eastAsia" w:ascii="宋体" w:hAnsi="宋体" w:eastAsia="宋体" w:cs="宋体"/>
          <w:color w:val="auto"/>
          <w:szCs w:val="21"/>
          <w:highlight w:val="none"/>
        </w:rPr>
        <w:t>机组</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主体工程</w:t>
      </w:r>
      <w:r>
        <w:rPr>
          <w:rFonts w:hint="eastAsia" w:ascii="宋体" w:hAnsi="宋体" w:cs="宋体"/>
          <w:color w:val="auto"/>
          <w:szCs w:val="21"/>
          <w:highlight w:val="none"/>
          <w:lang w:val="en-US" w:eastAsia="zh-CN"/>
        </w:rPr>
        <w:t>施工</w:t>
      </w:r>
      <w:r>
        <w:rPr>
          <w:rFonts w:hint="eastAsia" w:ascii="宋体" w:hAnsi="宋体" w:eastAsia="宋体" w:cs="宋体"/>
          <w:color w:val="auto"/>
          <w:szCs w:val="21"/>
          <w:highlight w:val="none"/>
        </w:rPr>
        <w:t>监理业绩。【每个项目业绩需同时提供以下证明材料并加盖公章：①监理合同关键页</w:t>
      </w:r>
      <w:r>
        <w:rPr>
          <w:rFonts w:hint="eastAsia" w:ascii="宋体" w:hAnsi="宋体" w:cs="宋体"/>
          <w:color w:val="auto"/>
          <w:szCs w:val="21"/>
          <w:highlight w:val="none"/>
          <w:lang w:val="en-US" w:eastAsia="zh-CN"/>
        </w:rPr>
        <w:t>扫描</w:t>
      </w:r>
      <w:r>
        <w:rPr>
          <w:rFonts w:hint="eastAsia" w:ascii="宋体" w:hAnsi="宋体" w:eastAsia="宋体" w:cs="宋体"/>
          <w:color w:val="auto"/>
          <w:szCs w:val="21"/>
          <w:highlight w:val="none"/>
        </w:rPr>
        <w:t>件（包含</w:t>
      </w:r>
      <w:r>
        <w:rPr>
          <w:rFonts w:hint="eastAsia" w:ascii="宋体" w:hAnsi="宋体" w:cs="宋体"/>
          <w:color w:val="auto"/>
          <w:szCs w:val="21"/>
          <w:highlight w:val="none"/>
        </w:rPr>
        <w:t>合同首页、</w:t>
      </w:r>
      <w:r>
        <w:rPr>
          <w:rFonts w:hint="eastAsia" w:ascii="宋体" w:hAnsi="宋体" w:eastAsia="宋体" w:cs="宋体"/>
          <w:color w:val="auto"/>
          <w:szCs w:val="21"/>
          <w:highlight w:val="none"/>
        </w:rPr>
        <w:t>签字盖章页、</w:t>
      </w:r>
      <w:r>
        <w:rPr>
          <w:rFonts w:hint="eastAsia" w:ascii="宋体" w:hAnsi="宋体" w:cs="宋体"/>
          <w:color w:val="auto"/>
          <w:szCs w:val="21"/>
          <w:highlight w:val="none"/>
        </w:rPr>
        <w:t>合同签订时间</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体现工程监理范围以及项目概括的关键页）；②投运证明材料（证明材料指：用户提供的投运证明或安全稳定运行证明，或第三方出具的性能试验报告或质量验收报告等。证明材料需用户单位或第三方单位盖章，且以上证明材料均需能证明项目投运时间。）】</w:t>
      </w:r>
    </w:p>
    <w:p w14:paraId="54037EC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投标人拟委派总监理工程师资格要求</w:t>
      </w:r>
    </w:p>
    <w:p w14:paraId="7FEAFD2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具有建设部2006年4月1日后颁发的中华人民共和国注册监理工程师注册执业证书，且其注册证书专业为电力工程专业</w:t>
      </w:r>
      <w:r>
        <w:rPr>
          <w:rFonts w:hint="eastAsia" w:ascii="宋体" w:hAnsi="宋体" w:eastAsia="宋体" w:cs="宋体"/>
          <w:color w:val="auto"/>
          <w:szCs w:val="21"/>
          <w:highlight w:val="none"/>
        </w:rPr>
        <w:t>（注册单位为投标单位）：【需提供有效证书</w:t>
      </w:r>
      <w:r>
        <w:rPr>
          <w:rFonts w:hint="eastAsia" w:ascii="宋体" w:hAnsi="宋体" w:cs="宋体"/>
          <w:color w:val="auto"/>
          <w:szCs w:val="21"/>
          <w:highlight w:val="none"/>
          <w:lang w:val="en-US" w:eastAsia="zh-CN"/>
        </w:rPr>
        <w:t>扫描件</w:t>
      </w:r>
      <w:r>
        <w:rPr>
          <w:rFonts w:hint="eastAsia" w:ascii="宋体" w:hAnsi="宋体" w:eastAsia="宋体" w:cs="宋体"/>
          <w:color w:val="auto"/>
          <w:szCs w:val="21"/>
          <w:highlight w:val="none"/>
        </w:rPr>
        <w:t>】</w:t>
      </w:r>
    </w:p>
    <w:p w14:paraId="310AEC2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②20</w:t>
      </w: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年1月1日至今至少担任过</w:t>
      </w:r>
      <w:r>
        <w:rPr>
          <w:rFonts w:hint="eastAsia" w:ascii="宋体" w:hAnsi="宋体" w:cs="宋体"/>
          <w:color w:val="auto"/>
          <w:szCs w:val="21"/>
          <w:highlight w:val="none"/>
          <w:lang w:val="en-US" w:eastAsia="zh-CN"/>
        </w:rPr>
        <w:t>1个</w:t>
      </w:r>
      <w:r>
        <w:rPr>
          <w:rFonts w:hint="eastAsia" w:ascii="宋体" w:hAnsi="宋体" w:eastAsia="宋体" w:cs="宋体"/>
          <w:color w:val="auto"/>
          <w:szCs w:val="21"/>
          <w:highlight w:val="none"/>
        </w:rPr>
        <w:t>已投运的</w:t>
      </w:r>
      <w:r>
        <w:rPr>
          <w:rFonts w:hint="eastAsia" w:ascii="宋体" w:hAnsi="宋体" w:cs="宋体"/>
          <w:color w:val="auto"/>
          <w:szCs w:val="21"/>
          <w:highlight w:val="none"/>
          <w:lang w:val="en-US" w:eastAsia="zh-CN"/>
        </w:rPr>
        <w:t>单机容量</w:t>
      </w:r>
      <w:r>
        <w:rPr>
          <w:rFonts w:hint="eastAsia" w:ascii="宋体" w:hAnsi="宋体" w:eastAsia="宋体" w:cs="宋体"/>
          <w:color w:val="auto"/>
          <w:szCs w:val="21"/>
          <w:highlight w:val="none"/>
        </w:rPr>
        <w:t>600MW及以上等级煤电机组</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全过程总监理工程师工作（该项目应为已投运状态）：</w:t>
      </w:r>
    </w:p>
    <w:p w14:paraId="65896119">
      <w:pPr>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须同时提供以下3项证明材料（证明材料（1）或（2）需显示总监理工程师姓名，否则按无效业绩处理）：（1）合同关键页扫描件，合同关键页包括合同首页、签字盖章页、合同签订时间和业绩要求中的关键信息页，业绩时间以投运时间为准，否则按无效业绩处理。（2）项目投产证明或用户证明文件（至少满足其中之一项：①性能试验报告；②竣工验收报告；③业主盖章的正常投运证明等可认定投运的材料）及总监理工程师任命文件等其他证明文件</w:t>
      </w:r>
      <w:r>
        <w:rPr>
          <w:rFonts w:hint="eastAsia" w:ascii="宋体" w:hAnsi="宋体" w:cs="宋体"/>
          <w:color w:val="auto"/>
          <w:szCs w:val="21"/>
          <w:highlight w:val="none"/>
          <w:lang w:val="en-US" w:eastAsia="zh-CN"/>
        </w:rPr>
        <w:t>扫描</w:t>
      </w:r>
      <w:r>
        <w:rPr>
          <w:rFonts w:hint="eastAsia" w:ascii="宋体" w:hAnsi="宋体" w:eastAsia="宋体" w:cs="宋体"/>
          <w:color w:val="auto"/>
          <w:szCs w:val="21"/>
          <w:highlight w:val="none"/>
        </w:rPr>
        <w:t>件。需提供上述业绩证明材料并加盖公章（证明材料需体现总监姓名、提供投运证明）。（3）总监理工程师</w:t>
      </w:r>
      <w:r>
        <w:rPr>
          <w:rFonts w:hint="eastAsia" w:ascii="宋体" w:hAnsi="宋体" w:cs="宋体"/>
          <w:color w:val="auto"/>
          <w:sz w:val="21"/>
          <w:szCs w:val="21"/>
          <w:highlight w:val="none"/>
          <w:lang w:val="en-US" w:eastAsia="zh-CN"/>
        </w:rPr>
        <w:t>投标截止时间前在本单位</w:t>
      </w:r>
      <w:r>
        <w:rPr>
          <w:rFonts w:hint="eastAsia" w:ascii="宋体" w:hAnsi="宋体" w:cs="宋体"/>
          <w:color w:val="auto"/>
          <w:sz w:val="21"/>
          <w:szCs w:val="21"/>
          <w:highlight w:val="none"/>
        </w:rPr>
        <w:t>连续6个月的社保证明文件</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w:t>
      </w:r>
    </w:p>
    <w:p w14:paraId="5519A13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4</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投标人已按照招标公告附件一的内容和格式签署盖章的投标人声明。</w:t>
      </w:r>
    </w:p>
    <w:p w14:paraId="7B94D79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本次招标不接受联合体投标。</w:t>
      </w:r>
      <w:r>
        <w:rPr>
          <w:rFonts w:hint="eastAsia" w:ascii="宋体" w:hAnsi="宋体" w:eastAsia="宋体" w:cs="宋体"/>
          <w:color w:val="auto"/>
          <w:szCs w:val="21"/>
          <w:highlight w:val="none"/>
        </w:rPr>
        <w:tab/>
      </w:r>
    </w:p>
    <w:p w14:paraId="17CC0CEC">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公告发布日期、领取招标文件事宜、递交投标文件时间与开标时间：</w:t>
      </w:r>
    </w:p>
    <w:p w14:paraId="1CE9A505">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1发布招标公告开始日期（含本日）为：202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分。</w:t>
      </w:r>
    </w:p>
    <w:p w14:paraId="7B80AEBB">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招标公告截止日期（含本日）为：202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分。</w:t>
      </w:r>
    </w:p>
    <w:p w14:paraId="2F795A7D">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45F6D171">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投标登记及领取招标文件方式：</w:t>
      </w:r>
    </w:p>
    <w:p w14:paraId="43F77FAA">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在广州公共资源交易中心业务系统完成了线上投标登记的投标人须在202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分至202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日17时30分联系招标代理机构（联系人：</w:t>
      </w:r>
      <w:r>
        <w:rPr>
          <w:rFonts w:hint="eastAsia" w:ascii="宋体" w:hAnsi="宋体" w:cs="宋体"/>
          <w:color w:val="auto"/>
          <w:szCs w:val="21"/>
          <w:highlight w:val="none"/>
          <w:lang w:val="en-US" w:eastAsia="zh-CN"/>
        </w:rPr>
        <w:t>唐</w:t>
      </w:r>
      <w:r>
        <w:rPr>
          <w:rFonts w:hint="eastAsia" w:ascii="宋体" w:hAnsi="宋体" w:eastAsia="宋体" w:cs="宋体"/>
          <w:color w:val="auto"/>
          <w:szCs w:val="21"/>
          <w:highlight w:val="none"/>
        </w:rPr>
        <w:t>工，电话：020-87575800-83</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办理招标文件购买，招标文件每套售价500元，（售后不退）（收款账户名称：北京中交建设工程咨询有限公司广州分公司；开户行：中国建设银行股份有限公司广州育蕾支行；收款账号：44001609710059000077），招标代理机构只开具对应金额电子增值税普通发票，投标登记时间结束后统一发至所留邮箱，请自行下载。</w:t>
      </w:r>
    </w:p>
    <w:p w14:paraId="577D38A2">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注：上述费用在获取招标文件后不予退还。</w:t>
      </w:r>
    </w:p>
    <w:p w14:paraId="057FCFB3">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8.3 </w:t>
      </w:r>
      <w:r>
        <w:rPr>
          <w:rFonts w:hint="eastAsia" w:ascii="宋体" w:hAnsi="宋体" w:eastAsia="宋体" w:cs="宋体"/>
          <w:color w:val="auto"/>
          <w:szCs w:val="21"/>
          <w:highlight w:val="none"/>
        </w:rPr>
        <w:t>递交投标文件起始时间：202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分；截止时间：202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分。</w:t>
      </w:r>
    </w:p>
    <w:p w14:paraId="6572A3E4">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8.4 </w:t>
      </w:r>
      <w:r>
        <w:rPr>
          <w:rFonts w:hint="eastAsia" w:ascii="宋体" w:hAnsi="宋体" w:eastAsia="宋体" w:cs="宋体"/>
          <w:color w:val="auto"/>
          <w:szCs w:val="21"/>
          <w:highlight w:val="none"/>
        </w:rPr>
        <w:t>投标人通过广州公共资源交易中心交易平台递交电子投标文件。投标人应在递交电子投标文件截止时间前，登陆广州公共资源交易中心交易平台网站办理网上投标登记手续。按照交易平台关于全流程电子化项目的相关指南进行操作。详见广州公共资源交易中心交易网站（网址：http://www.gzggzy.cn）。</w:t>
      </w:r>
    </w:p>
    <w:p w14:paraId="5EFEA21D">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8.5 </w:t>
      </w:r>
      <w:r>
        <w:rPr>
          <w:rFonts w:hint="eastAsia" w:ascii="宋体" w:hAnsi="宋体" w:eastAsia="宋体" w:cs="宋体"/>
          <w:color w:val="auto"/>
          <w:szCs w:val="21"/>
          <w:highlight w:val="none"/>
        </w:rPr>
        <w:t>递交电子投标文件备用光盘或U盘时间：202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分至202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分，递交地点：广州公共资源交易中心（广州市天河区天润路333号）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14:paraId="132CDD08">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开标开始时间：202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分，地点：本项目具体的招投标活动日程安排及场地安排以广州公共资源交易中心网站中“建设工程”→“项目查询（日程安排、答疑纪要）”公布的为准。</w:t>
      </w:r>
    </w:p>
    <w:p w14:paraId="6613647C">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4C188F23">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8</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逾期送达的投标文件，电子招标投标交易平台将予以拒收。</w:t>
      </w:r>
    </w:p>
    <w:p w14:paraId="3C52D4EA">
      <w:pPr>
        <w:adjustRightInd w:val="0"/>
        <w:snapToGrid w:val="0"/>
        <w:spacing w:line="360" w:lineRule="auto"/>
        <w:ind w:firstLine="420" w:firstLineChars="200"/>
        <w:outlineLvl w:val="0"/>
        <w:rPr>
          <w:rFonts w:hint="eastAsia" w:ascii="宋体" w:hAnsi="宋体" w:eastAsia="宋体" w:cs="宋体"/>
          <w:color w:val="auto"/>
          <w:szCs w:val="21"/>
          <w:highlight w:val="none"/>
        </w:rPr>
      </w:pPr>
      <w:bookmarkStart w:id="8" w:name="_Toc10395"/>
      <w:bookmarkStart w:id="9" w:name="_Toc15732"/>
      <w:r>
        <w:rPr>
          <w:rFonts w:hint="eastAsia" w:ascii="宋体" w:hAnsi="宋体" w:cs="宋体"/>
          <w:color w:val="auto"/>
          <w:szCs w:val="21"/>
          <w:highlight w:val="none"/>
          <w:lang w:val="en-US" w:eastAsia="zh-CN"/>
        </w:rPr>
        <w:t>九</w:t>
      </w:r>
      <w:r>
        <w:rPr>
          <w:rFonts w:hint="eastAsia" w:ascii="宋体" w:hAnsi="宋体" w:eastAsia="宋体" w:cs="宋体"/>
          <w:color w:val="auto"/>
          <w:szCs w:val="21"/>
          <w:highlight w:val="none"/>
        </w:rPr>
        <w:t>、资格审查方式</w:t>
      </w:r>
      <w:bookmarkEnd w:id="8"/>
      <w:bookmarkEnd w:id="9"/>
    </w:p>
    <w:p w14:paraId="61E71DBF">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.1 本次招标采用资格后审。</w:t>
      </w:r>
    </w:p>
    <w:p w14:paraId="203D09A0">
      <w:pPr>
        <w:adjustRightInd w:val="0"/>
        <w:snapToGri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 xml:space="preserve">.2 </w:t>
      </w:r>
      <w:r>
        <w:rPr>
          <w:rFonts w:hint="eastAsia" w:ascii="宋体" w:hAnsi="宋体" w:cs="宋体"/>
          <w:color w:val="auto"/>
          <w:sz w:val="21"/>
          <w:szCs w:val="21"/>
          <w:highlight w:val="none"/>
          <w:u w:val="none"/>
        </w:rPr>
        <w:t>若出现以下情况时，本次招标失败：①投标截止时间止，投标人少于3个的；②经评标委员会评审后否决所有投标人的。招标人分析招标失败原因，修正招标方案，</w:t>
      </w:r>
      <w:r>
        <w:rPr>
          <w:rFonts w:hint="eastAsia" w:ascii="宋体" w:hAnsi="宋体" w:eastAsia="宋体" w:cs="宋体"/>
          <w:color w:val="auto"/>
          <w:sz w:val="21"/>
          <w:szCs w:val="21"/>
          <w:highlight w:val="none"/>
          <w:u w:val="none"/>
          <w:lang w:eastAsia="zh-CN"/>
        </w:rPr>
        <w:t>按相关规定</w:t>
      </w:r>
      <w:r>
        <w:rPr>
          <w:rFonts w:hint="eastAsia" w:ascii="宋体" w:hAnsi="宋体" w:cs="宋体"/>
          <w:color w:val="auto"/>
          <w:sz w:val="21"/>
          <w:szCs w:val="21"/>
          <w:highlight w:val="none"/>
          <w:u w:val="none"/>
        </w:rPr>
        <w:t>重新组织招标。</w:t>
      </w:r>
    </w:p>
    <w:p w14:paraId="5E17752E">
      <w:pPr>
        <w:adjustRightInd w:val="0"/>
        <w:snapToGrid w:val="0"/>
        <w:spacing w:line="36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十、潜在投标人或投标人或利害关系人对本招标公告及招标文件内容有异议的，应在投标截止时间10天前书面形式（</w:t>
      </w:r>
      <w:r>
        <w:rPr>
          <w:rFonts w:hint="eastAsia" w:ascii="宋体" w:hAnsi="宋体" w:eastAsia="宋体" w:cs="宋体"/>
          <w:b/>
          <w:bCs/>
          <w:color w:val="auto"/>
          <w:szCs w:val="21"/>
          <w:highlight w:val="none"/>
        </w:rPr>
        <w:t>异议函须加盖公章并经法定代表人签署，格式详见招标公告附件四）</w:t>
      </w:r>
      <w:r>
        <w:rPr>
          <w:rFonts w:hint="eastAsia" w:ascii="宋体" w:hAnsi="宋体" w:eastAsia="宋体" w:cs="宋体"/>
          <w:color w:val="auto"/>
          <w:szCs w:val="21"/>
          <w:highlight w:val="none"/>
        </w:rPr>
        <w:t>向招标人或招标代理机构书面提出。招标人在收到异议之日起3日内作出答复。有下列情形之一的，招标人可以不予受理：</w:t>
      </w:r>
    </w:p>
    <w:p w14:paraId="1FCD3B64">
      <w:pPr>
        <w:numPr>
          <w:ilvl w:val="0"/>
          <w:numId w:val="0"/>
        </w:numPr>
        <w:spacing w:line="360" w:lineRule="auto"/>
        <w:ind w:firstLine="226" w:firstLineChars="108"/>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（1）</w:t>
      </w:r>
      <w:r>
        <w:rPr>
          <w:rFonts w:hint="eastAsia" w:ascii="宋体" w:hAnsi="宋体" w:eastAsia="宋体" w:cs="宋体"/>
          <w:color w:val="auto"/>
          <w:szCs w:val="21"/>
          <w:highlight w:val="none"/>
        </w:rPr>
        <w:t>异议提起人不是投标人、潜在投标人或者其他利害关系人；</w:t>
      </w:r>
    </w:p>
    <w:p w14:paraId="0CFA233D">
      <w:pPr>
        <w:numPr>
          <w:ilvl w:val="0"/>
          <w:numId w:val="0"/>
        </w:numPr>
        <w:spacing w:line="360" w:lineRule="auto"/>
        <w:ind w:firstLine="226" w:firstLineChars="108"/>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（2）</w:t>
      </w:r>
      <w:r>
        <w:rPr>
          <w:rFonts w:hint="eastAsia" w:ascii="宋体" w:hAnsi="宋体" w:eastAsia="宋体" w:cs="宋体"/>
          <w:color w:val="auto"/>
          <w:szCs w:val="21"/>
          <w:highlight w:val="none"/>
        </w:rPr>
        <w:t>未在法定的异议期限内提出；</w:t>
      </w:r>
    </w:p>
    <w:p w14:paraId="4DA9C85B">
      <w:pPr>
        <w:numPr>
          <w:ilvl w:val="0"/>
          <w:numId w:val="0"/>
        </w:numPr>
        <w:spacing w:line="360" w:lineRule="auto"/>
        <w:ind w:firstLine="226" w:firstLineChars="108"/>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（3）</w:t>
      </w:r>
      <w:r>
        <w:rPr>
          <w:rFonts w:hint="eastAsia" w:ascii="宋体" w:hAnsi="宋体" w:eastAsia="宋体" w:cs="宋体"/>
          <w:color w:val="auto"/>
          <w:szCs w:val="21"/>
          <w:highlight w:val="none"/>
        </w:rPr>
        <w:t>本招标文件规定应当以书面形式提出但未以书面形式提出的；</w:t>
      </w:r>
    </w:p>
    <w:p w14:paraId="0AA1B840">
      <w:pPr>
        <w:numPr>
          <w:ilvl w:val="0"/>
          <w:numId w:val="0"/>
        </w:numPr>
        <w:spacing w:line="360" w:lineRule="auto"/>
        <w:ind w:firstLine="226" w:firstLineChars="108"/>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（4）</w:t>
      </w:r>
      <w:r>
        <w:rPr>
          <w:rFonts w:hint="eastAsia" w:ascii="宋体" w:hAnsi="宋体" w:eastAsia="宋体" w:cs="宋体"/>
          <w:color w:val="auto"/>
          <w:szCs w:val="21"/>
          <w:highlight w:val="none"/>
        </w:rPr>
        <w:t>异议函未按照要求签字盖章的；</w:t>
      </w:r>
    </w:p>
    <w:p w14:paraId="0D036AF0">
      <w:pPr>
        <w:numPr>
          <w:ilvl w:val="0"/>
          <w:numId w:val="0"/>
        </w:numPr>
        <w:spacing w:line="360" w:lineRule="auto"/>
        <w:ind w:firstLine="226" w:firstLineChars="108"/>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（5）</w:t>
      </w:r>
      <w:r>
        <w:rPr>
          <w:rFonts w:hint="eastAsia" w:ascii="宋体" w:hAnsi="宋体" w:eastAsia="宋体" w:cs="宋体"/>
          <w:color w:val="auto"/>
          <w:szCs w:val="21"/>
          <w:highlight w:val="none"/>
        </w:rPr>
        <w:t>异议函未提供有效联系人和联系方式的；</w:t>
      </w:r>
    </w:p>
    <w:p w14:paraId="2BE8E5B8">
      <w:pPr>
        <w:numPr>
          <w:ilvl w:val="0"/>
          <w:numId w:val="0"/>
        </w:numPr>
        <w:spacing w:line="360" w:lineRule="auto"/>
        <w:ind w:firstLine="226" w:firstLineChars="108"/>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（6）</w:t>
      </w:r>
      <w:r>
        <w:rPr>
          <w:rFonts w:hint="eastAsia" w:ascii="宋体" w:hAnsi="宋体" w:eastAsia="宋体" w:cs="宋体"/>
          <w:color w:val="auto"/>
          <w:szCs w:val="21"/>
          <w:highlight w:val="none"/>
        </w:rPr>
        <w:t>开标现场已经投标人确认的事项，开标后投标人又该事项提出异议的；</w:t>
      </w:r>
    </w:p>
    <w:p w14:paraId="627A6F3C">
      <w:pPr>
        <w:numPr>
          <w:ilvl w:val="0"/>
          <w:numId w:val="0"/>
        </w:numPr>
        <w:spacing w:line="360" w:lineRule="auto"/>
        <w:ind w:firstLine="226" w:firstLineChars="108"/>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（7）</w:t>
      </w:r>
      <w:r>
        <w:rPr>
          <w:rFonts w:hint="eastAsia" w:ascii="宋体" w:hAnsi="宋体" w:eastAsia="宋体" w:cs="宋体"/>
          <w:color w:val="auto"/>
          <w:szCs w:val="21"/>
          <w:highlight w:val="none"/>
        </w:rPr>
        <w:t>异议提起人对已经撤回的异议，以同一理由提出的；</w:t>
      </w:r>
    </w:p>
    <w:p w14:paraId="04C7B9FF">
      <w:pPr>
        <w:numPr>
          <w:ilvl w:val="0"/>
          <w:numId w:val="0"/>
        </w:numPr>
        <w:spacing w:line="360" w:lineRule="auto"/>
        <w:ind w:firstLine="226" w:firstLineChars="108"/>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color w:val="auto"/>
          <w:szCs w:val="21"/>
          <w:highlight w:val="none"/>
        </w:rPr>
        <w:t>招标人已经作出明确答复，无新的事实证据，又就同一问题提出异议的。</w:t>
      </w:r>
    </w:p>
    <w:p w14:paraId="22AB3AC2">
      <w:pPr>
        <w:numPr>
          <w:ilvl w:val="0"/>
          <w:numId w:val="0"/>
        </w:numPr>
        <w:adjustRightInd/>
        <w:snapToGrid/>
        <w:spacing w:line="360" w:lineRule="auto"/>
        <w:ind w:firstLine="226" w:firstLineChars="108"/>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1"/>
          <w:szCs w:val="21"/>
          <w:highlight w:val="none"/>
          <w:lang w:val="en-US" w:eastAsia="zh-CN" w:bidi="ar-SA"/>
        </w:rPr>
        <w:t>（9）</w:t>
      </w:r>
      <w:r>
        <w:rPr>
          <w:rFonts w:hint="eastAsia" w:ascii="宋体" w:hAnsi="宋体" w:eastAsia="宋体" w:cs="宋体"/>
          <w:b w:val="0"/>
          <w:bCs w:val="0"/>
          <w:color w:val="auto"/>
          <w:szCs w:val="21"/>
          <w:highlight w:val="none"/>
        </w:rPr>
        <w:t>异议事项不清晰不具体，或无事实依据，或相关证据证明材料不足的，或无有效证据证明的；</w:t>
      </w:r>
    </w:p>
    <w:p w14:paraId="043C0272">
      <w:pPr>
        <w:numPr>
          <w:ilvl w:val="0"/>
          <w:numId w:val="0"/>
        </w:numPr>
        <w:adjustRightInd/>
        <w:snapToGrid/>
        <w:spacing w:line="360" w:lineRule="auto"/>
        <w:ind w:firstLine="226" w:firstLineChars="108"/>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1"/>
          <w:szCs w:val="21"/>
          <w:highlight w:val="none"/>
          <w:lang w:val="en-US" w:eastAsia="zh-CN" w:bidi="ar-SA"/>
        </w:rPr>
        <w:t>（10）</w:t>
      </w:r>
      <w:r>
        <w:rPr>
          <w:rFonts w:hint="eastAsia" w:ascii="宋体" w:hAnsi="宋体" w:eastAsia="宋体" w:cs="宋体"/>
          <w:b w:val="0"/>
          <w:bCs w:val="0"/>
          <w:color w:val="auto"/>
          <w:szCs w:val="21"/>
          <w:highlight w:val="none"/>
        </w:rPr>
        <w:t>异议事项已进入投诉、行政复议或行政诉讼程序的；</w:t>
      </w:r>
    </w:p>
    <w:p w14:paraId="58F00344">
      <w:pPr>
        <w:numPr>
          <w:ilvl w:val="0"/>
          <w:numId w:val="0"/>
        </w:numPr>
        <w:adjustRightInd/>
        <w:snapToGrid/>
        <w:spacing w:line="360" w:lineRule="auto"/>
        <w:ind w:firstLine="226" w:firstLineChars="108"/>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1"/>
          <w:szCs w:val="21"/>
          <w:highlight w:val="none"/>
          <w:lang w:val="en-US" w:eastAsia="zh-CN" w:bidi="ar-SA"/>
        </w:rPr>
        <w:t>（11）</w:t>
      </w:r>
      <w:r>
        <w:rPr>
          <w:rFonts w:hint="eastAsia" w:ascii="宋体" w:hAnsi="宋体" w:eastAsia="宋体" w:cs="宋体"/>
          <w:b w:val="0"/>
          <w:bCs w:val="0"/>
          <w:color w:val="auto"/>
          <w:szCs w:val="21"/>
          <w:highlight w:val="none"/>
        </w:rPr>
        <w:t>其他属于法律法规规定的异议无效情形的。</w:t>
      </w:r>
    </w:p>
    <w:p w14:paraId="27DDB1AB">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异议人不得以异议为名排挤竞争对手，不得捏造事实或者提供虚假材料进行虚假、恶意异议，阻碍招标采购活动的正常进行。对于虚假、恶意或通过非法途径获取证明材料的，招标人将按有关规定严肃处理，列入招标人及其上级单位不良供应商名单，取消一定期限内参与招标人及其关联企业投标。</w:t>
      </w:r>
    </w:p>
    <w:p w14:paraId="095F92DE">
      <w:pPr>
        <w:adjustRightInd w:val="0"/>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 标 人：</w:t>
      </w:r>
      <w:r>
        <w:rPr>
          <w:rFonts w:hint="eastAsia" w:ascii="宋体" w:hAnsi="宋体" w:cs="宋体"/>
          <w:color w:val="auto"/>
          <w:szCs w:val="21"/>
          <w:highlight w:val="none"/>
          <w:lang w:eastAsia="zh-CN"/>
        </w:rPr>
        <w:t>广州珠江电力有限公司</w:t>
      </w:r>
    </w:p>
    <w:p w14:paraId="5D50EBF6">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址：广州市南沙区环市大道北23号</w:t>
      </w:r>
    </w:p>
    <w:p w14:paraId="15A7BDC2">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编：511457</w:t>
      </w:r>
    </w:p>
    <w:p w14:paraId="3882289A">
      <w:pPr>
        <w:adjustRightInd w:val="0"/>
        <w:snapToGrid w:val="0"/>
        <w:spacing w:line="360" w:lineRule="auto"/>
        <w:ind w:firstLine="42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 xml:space="preserve"> 020-39001567</w:t>
      </w:r>
    </w:p>
    <w:p w14:paraId="5B00D291">
      <w:pPr>
        <w:adjustRightInd w:val="0"/>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    真：</w:t>
      </w:r>
      <w:r>
        <w:rPr>
          <w:rFonts w:hint="eastAsia" w:ascii="宋体" w:hAnsi="宋体" w:cs="宋体"/>
          <w:color w:val="auto"/>
          <w:szCs w:val="21"/>
          <w:highlight w:val="none"/>
          <w:lang w:val="en-US" w:eastAsia="zh-CN"/>
        </w:rPr>
        <w:t xml:space="preserve">/ </w:t>
      </w:r>
    </w:p>
    <w:p w14:paraId="529338E8">
      <w:pPr>
        <w:adjustRightInd w:val="0"/>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 系 人：</w:t>
      </w:r>
      <w:r>
        <w:rPr>
          <w:rFonts w:hint="eastAsia" w:ascii="宋体" w:hAnsi="宋体" w:cs="宋体"/>
          <w:color w:val="auto"/>
          <w:szCs w:val="21"/>
          <w:highlight w:val="none"/>
          <w:lang w:val="en-US" w:eastAsia="zh-CN"/>
        </w:rPr>
        <w:t xml:space="preserve">杨工 </w:t>
      </w:r>
    </w:p>
    <w:p w14:paraId="4D3C2A9C">
      <w:pPr>
        <w:adjustRightInd w:val="0"/>
        <w:snapToGrid w:val="0"/>
        <w:spacing w:line="360" w:lineRule="auto"/>
        <w:ind w:firstLine="42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招标代理机构：</w:t>
      </w:r>
      <w:r>
        <w:rPr>
          <w:rFonts w:hint="eastAsia" w:ascii="宋体" w:hAnsi="宋体" w:cs="宋体"/>
          <w:color w:val="auto"/>
          <w:szCs w:val="21"/>
          <w:highlight w:val="none"/>
          <w:lang w:val="en-US" w:eastAsia="zh-CN"/>
        </w:rPr>
        <w:t>北京中交建设工程咨询有限公司</w:t>
      </w:r>
    </w:p>
    <w:p w14:paraId="3A6DB126">
      <w:pPr>
        <w:adjustRightInd w:val="0"/>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地    址: </w:t>
      </w:r>
      <w:r>
        <w:rPr>
          <w:rFonts w:hint="eastAsia" w:ascii="宋体" w:hAnsi="宋体" w:cs="宋体"/>
          <w:color w:val="auto"/>
          <w:szCs w:val="21"/>
          <w:highlight w:val="none"/>
          <w:lang w:val="en-US" w:eastAsia="zh-CN"/>
        </w:rPr>
        <w:t xml:space="preserve">广州市天河区黄埔大道西159号富星商贸大厦西塔7楼 </w:t>
      </w:r>
    </w:p>
    <w:p w14:paraId="0F54A675">
      <w:pPr>
        <w:adjustRightInd w:val="0"/>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    编：</w:t>
      </w:r>
      <w:r>
        <w:rPr>
          <w:rFonts w:hint="eastAsia" w:ascii="宋体" w:hAnsi="宋体" w:cs="宋体"/>
          <w:color w:val="auto"/>
          <w:szCs w:val="21"/>
          <w:highlight w:val="none"/>
          <w:lang w:val="en-US" w:eastAsia="zh-CN"/>
        </w:rPr>
        <w:t xml:space="preserve">510620 </w:t>
      </w:r>
    </w:p>
    <w:p w14:paraId="1C71EF5C">
      <w:pPr>
        <w:adjustRightInd w:val="0"/>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 xml:space="preserve">020-87575800-838 </w:t>
      </w:r>
    </w:p>
    <w:p w14:paraId="0CF0BC6B">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cs="宋体"/>
          <w:color w:val="auto"/>
          <w:szCs w:val="21"/>
          <w:highlight w:val="none"/>
          <w:lang w:val="en-US" w:eastAsia="zh-CN"/>
        </w:rPr>
        <w:t xml:space="preserve">020-87575800-823 </w:t>
      </w:r>
      <w:r>
        <w:rPr>
          <w:rFonts w:hint="eastAsia" w:ascii="宋体" w:hAnsi="宋体" w:eastAsia="宋体" w:cs="宋体"/>
          <w:color w:val="auto"/>
          <w:szCs w:val="21"/>
          <w:highlight w:val="none"/>
        </w:rPr>
        <w:t xml:space="preserve"> </w:t>
      </w:r>
    </w:p>
    <w:p w14:paraId="5EDE6C10">
      <w:pPr>
        <w:adjustRightInd w:val="0"/>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 系 人：</w:t>
      </w:r>
      <w:r>
        <w:rPr>
          <w:rFonts w:hint="eastAsia" w:ascii="宋体" w:hAnsi="宋体" w:cs="宋体"/>
          <w:color w:val="auto"/>
          <w:szCs w:val="21"/>
          <w:highlight w:val="none"/>
          <w:lang w:val="en-US" w:eastAsia="zh-CN"/>
        </w:rPr>
        <w:t xml:space="preserve">方工 </w:t>
      </w:r>
    </w:p>
    <w:p w14:paraId="67FBCC84">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投标人对招标人或招标代理机构的答复不满意或他们未在规定时间内给予答复的，提出异议的投标人可以在答复期满后10日内，向招标监督管理机构投诉。</w:t>
      </w:r>
    </w:p>
    <w:p w14:paraId="2DCEFB02">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招标监督管理机构：广州发展集团股份有限公司招标管理部</w:t>
      </w:r>
    </w:p>
    <w:p w14:paraId="285D41D8">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地址：广州市天河区珠江新城临江大道3号发展中心31、32楼</w:t>
      </w:r>
    </w:p>
    <w:p w14:paraId="63922605">
      <w:pPr>
        <w:adjustRightInd w:val="0"/>
        <w:snapToGrid w:val="0"/>
        <w:spacing w:line="360" w:lineRule="auto"/>
        <w:ind w:firstLine="42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电话：020-37850</w:t>
      </w:r>
      <w:r>
        <w:rPr>
          <w:rFonts w:hint="eastAsia" w:ascii="宋体" w:hAnsi="宋体" w:cs="宋体"/>
          <w:color w:val="auto"/>
          <w:szCs w:val="21"/>
          <w:highlight w:val="none"/>
          <w:lang w:val="en-US" w:eastAsia="zh-CN"/>
        </w:rPr>
        <w:t>849</w:t>
      </w:r>
    </w:p>
    <w:p w14:paraId="55C74F8E">
      <w:pPr>
        <w:wordWrap w:val="0"/>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rPr>
        <w:t>、本公告在广州公共资源交易中心网站（http://www.gzggzy.cn/ ）、广东省招标投标监管网（https://www.gdzwfw.gov.cn/ztbjg-portal/#/index）、中国招标投标公共服务平台（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http://www.cebpubservice.com/</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）、广州发展电子采购平台(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"http://eps.gdg.com.cn/"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https://eps.gdg.com.cn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及广州国企阳光采购信息发布平台（网址：http://ygcg.gzggzy.cn）发布，本公告的修改、补充，在广州公共资源交易网发布。本公告在各媒体发布的文本如有不同之处，以在广州公共资源交易中心网站发布的文本为准。</w:t>
      </w:r>
    </w:p>
    <w:p w14:paraId="52E8231F">
      <w:pPr>
        <w:adjustRightInd w:val="0"/>
        <w:snapToGrid w:val="0"/>
        <w:spacing w:line="360" w:lineRule="auto"/>
        <w:ind w:firstLine="470" w:firstLineChars="224"/>
        <w:rPr>
          <w:rFonts w:hint="eastAsia" w:ascii="宋体" w:hAnsi="宋体" w:eastAsia="宋体" w:cs="宋体"/>
          <w:color w:val="auto"/>
          <w:szCs w:val="21"/>
          <w:highlight w:val="none"/>
        </w:rPr>
      </w:pPr>
    </w:p>
    <w:p w14:paraId="6664BFB8">
      <w:pPr>
        <w:adjustRightInd w:val="0"/>
        <w:snapToGrid w:val="0"/>
        <w:spacing w:line="360" w:lineRule="auto"/>
        <w:ind w:firstLine="470" w:firstLineChars="224"/>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w:t>
      </w:r>
      <w:r>
        <w:rPr>
          <w:rFonts w:hint="eastAsia" w:ascii="宋体" w:hAnsi="宋体" w:cs="宋体"/>
          <w:color w:val="auto"/>
          <w:szCs w:val="21"/>
          <w:highlight w:val="none"/>
          <w:lang w:eastAsia="zh-CN"/>
        </w:rPr>
        <w:t>广州珠江电力有限公司</w:t>
      </w:r>
    </w:p>
    <w:p w14:paraId="1FE4D310">
      <w:pPr>
        <w:adjustRightInd w:val="0"/>
        <w:snapToGrid w:val="0"/>
        <w:spacing w:line="360" w:lineRule="auto"/>
        <w:ind w:firstLine="470" w:firstLineChars="224"/>
        <w:jc w:val="righ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招标代理机构：</w:t>
      </w:r>
      <w:r>
        <w:rPr>
          <w:rFonts w:hint="eastAsia" w:ascii="宋体" w:hAnsi="宋体" w:cs="宋体"/>
          <w:color w:val="auto"/>
          <w:szCs w:val="21"/>
          <w:highlight w:val="none"/>
          <w:lang w:val="en-US" w:eastAsia="zh-CN"/>
        </w:rPr>
        <w:t>北京中交建设工程咨询有限公司</w:t>
      </w:r>
    </w:p>
    <w:p w14:paraId="2E24907F">
      <w:pPr>
        <w:adjustRightInd w:val="0"/>
        <w:snapToGrid w:val="0"/>
        <w:spacing w:line="360" w:lineRule="auto"/>
        <w:ind w:firstLine="470" w:firstLineChars="224"/>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日</w:t>
      </w:r>
    </w:p>
    <w:p w14:paraId="4727DBB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1DCA89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附件一</w:t>
      </w:r>
    </w:p>
    <w:p w14:paraId="195FCB2C">
      <w:pPr>
        <w:tabs>
          <w:tab w:val="left" w:pos="72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投标人声明</w:t>
      </w:r>
      <w:bookmarkStart w:id="10" w:name="_GoBack"/>
      <w:bookmarkEnd w:id="10"/>
    </w:p>
    <w:p w14:paraId="2E49228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本招标项目招标人及招标监督机构：</w:t>
      </w:r>
    </w:p>
    <w:p w14:paraId="015BC38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本公司就参加投标工作，作出郑重声明：</w:t>
      </w:r>
    </w:p>
    <w:p w14:paraId="0349950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一、本公司保证投标登记材料及其后提供的一切材料都是真实的。</w:t>
      </w:r>
    </w:p>
    <w:p w14:paraId="08DB462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二、本公司保证不与其他单位围标、串标，不出让投标资格，不向招标人或评标委员会成员行贿。</w:t>
      </w:r>
    </w:p>
    <w:p w14:paraId="37F315E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r>
        <w:rPr>
          <w:rFonts w:hint="eastAsia" w:ascii="宋体" w:hAnsi="宋体" w:eastAsia="宋体"/>
          <w:color w:val="auto"/>
          <w:sz w:val="21"/>
          <w:szCs w:val="21"/>
          <w:highlight w:val="none"/>
        </w:rPr>
        <w:t>本公司没有处于被责令停业的状态；没有处于被行政主管部门取消投标资格的处罚期内；没有处于财产被接管、冻结、破产的状态；在投标截止日期前两年内没有行政主管部门已书面认定的重大质量问题；本公司及项目负责人承诺在投标截止时间前三年内没有被人民法院判决犯有行贿罪的记录，没有被人民法院列入失信被执行人名单；在投标截止日期前三年内本公司没有弄虚作假骗取中标、围标串标行为（以行政主管部门或法院或检察院书面认定为准）</w:t>
      </w:r>
      <w:r>
        <w:rPr>
          <w:rFonts w:hint="eastAsia" w:ascii="宋体" w:hAnsi="宋体" w:eastAsia="宋体" w:cs="宋体"/>
          <w:color w:val="auto"/>
          <w:szCs w:val="21"/>
          <w:highlight w:val="none"/>
        </w:rPr>
        <w:t>。</w:t>
      </w:r>
    </w:p>
    <w:p w14:paraId="36065143">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四、本公司承诺，与招标人不存在利害关系，与本公司法定代表人（或单位负责人）为同一人或者本公司存在控股、管理关系的其他单位未参与投标，且中标后不转包或违法分包。</w:t>
      </w:r>
    </w:p>
    <w:p w14:paraId="2D02B50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五、本公司没有被招标人或关联公司列入“不良供应商名单”并处于处罚期内。</w:t>
      </w:r>
    </w:p>
    <w:p w14:paraId="36C590B1">
      <w:pPr>
        <w:adjustRightInd w:val="0"/>
        <w:snapToGrid w:val="0"/>
        <w:spacing w:line="360" w:lineRule="auto"/>
        <w:ind w:firstLine="420" w:firstLineChars="200"/>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六、20</w:t>
      </w:r>
      <w:r>
        <w:rPr>
          <w:rFonts w:hint="eastAsia" w:ascii="宋体" w:hAnsi="宋体" w:cs="宋体"/>
          <w:color w:val="auto"/>
          <w:szCs w:val="21"/>
          <w:highlight w:val="none"/>
          <w:lang w:val="en-US" w:eastAsia="zh-CN"/>
        </w:rPr>
        <w:t>23</w:t>
      </w:r>
      <w:r>
        <w:rPr>
          <w:rFonts w:hint="default" w:ascii="宋体" w:hAnsi="宋体" w:eastAsia="宋体" w:cs="宋体"/>
          <w:color w:val="auto"/>
          <w:szCs w:val="21"/>
          <w:highlight w:val="none"/>
          <w:lang w:val="en-US"/>
        </w:rPr>
        <w:t>年1月1日至投标截止日期止，本公司不曾在招标人及其关联公司招标中存在弃标或违约行为。</w:t>
      </w:r>
    </w:p>
    <w:p w14:paraId="669BF6B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strike w:val="0"/>
          <w:color w:val="auto"/>
          <w:szCs w:val="21"/>
          <w:highlight w:val="none"/>
          <w:lang w:val="en-US" w:eastAsia="zh-CN"/>
        </w:rPr>
        <w:t>七</w:t>
      </w:r>
      <w:r>
        <w:rPr>
          <w:rFonts w:hint="eastAsia" w:ascii="宋体" w:hAnsi="宋体" w:eastAsia="宋体" w:cs="宋体"/>
          <w:color w:val="auto"/>
          <w:szCs w:val="21"/>
          <w:highlight w:val="none"/>
        </w:rPr>
        <w:t>、本公司</w:t>
      </w:r>
      <w:r>
        <w:rPr>
          <w:rFonts w:hint="eastAsia" w:ascii="宋体" w:hAnsi="宋体" w:eastAsia="宋体" w:cs="宋体"/>
          <w:color w:val="auto"/>
          <w:sz w:val="21"/>
          <w:szCs w:val="21"/>
          <w:highlight w:val="none"/>
        </w:rPr>
        <w:t>承诺本</w:t>
      </w:r>
      <w:r>
        <w:rPr>
          <w:rFonts w:hint="eastAsia" w:ascii="宋体" w:hAnsi="宋体" w:eastAsia="宋体" w:cs="宋体"/>
          <w:color w:val="auto"/>
          <w:szCs w:val="21"/>
          <w:highlight w:val="none"/>
        </w:rPr>
        <w:t>公司</w:t>
      </w:r>
      <w:r>
        <w:rPr>
          <w:rFonts w:hint="eastAsia" w:ascii="宋体" w:hAnsi="宋体" w:eastAsia="宋体" w:cs="宋体"/>
          <w:color w:val="auto"/>
          <w:sz w:val="21"/>
          <w:szCs w:val="21"/>
          <w:highlight w:val="none"/>
        </w:rPr>
        <w:t>不存在下列情形：</w:t>
      </w:r>
    </w:p>
    <w:p w14:paraId="5476C4EB">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pacing w:val="-3"/>
          <w:szCs w:val="21"/>
          <w:highlight w:val="none"/>
        </w:rPr>
        <w:t>）为招标人不具有独立法人资格的附属机构（单位）；</w:t>
      </w:r>
    </w:p>
    <w:p w14:paraId="5254E851">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14:paraId="438E290B">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（3）与本招标项目的其他投标人为同一个单位负责人；</w:t>
      </w:r>
    </w:p>
    <w:p w14:paraId="3AAFB063">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（4）与本招标项目的其他投标人存在控股、管理关系；</w:t>
      </w:r>
    </w:p>
    <w:p w14:paraId="48BC4035">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（5）为本招标项目的代建人；</w:t>
      </w:r>
    </w:p>
    <w:p w14:paraId="7B3EDCF3">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（6）为本招标项目的招标代理机构；</w:t>
      </w:r>
    </w:p>
    <w:p w14:paraId="1F9D1290">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（7）与本招标项目的代建人或招标代理机构同为一个法定代表人；</w:t>
      </w:r>
    </w:p>
    <w:p w14:paraId="3235A011">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（8）与本招标项目的代建人或招标代理机构存在控股或参股关系；</w:t>
      </w:r>
    </w:p>
    <w:p w14:paraId="14E5DC86">
      <w:pPr>
        <w:adjustRightInd w:val="0"/>
        <w:snapToGrid w:val="0"/>
        <w:spacing w:before="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pacing w:val="0"/>
          <w:szCs w:val="21"/>
          <w:highlight w:val="none"/>
        </w:rPr>
        <w:t>）与本招标项目的设计、施工承包人以及建筑材料、建筑构配件和设备供应商有隶属关系或者其他利害关系</w:t>
      </w:r>
      <w:r>
        <w:rPr>
          <w:rFonts w:hint="eastAsia" w:ascii="宋体" w:hAnsi="宋体" w:eastAsia="宋体" w:cs="宋体"/>
          <w:color w:val="auto"/>
          <w:spacing w:val="0"/>
          <w:szCs w:val="21"/>
          <w:highlight w:val="none"/>
          <w:lang w:eastAsia="zh-CN"/>
        </w:rPr>
        <w:t>；</w:t>
      </w:r>
    </w:p>
    <w:p w14:paraId="0552ED07">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（10）被依法暂停或者取消投标资格；</w:t>
      </w:r>
    </w:p>
    <w:p w14:paraId="5BC06C27">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（11）被责令停产停业、暂扣或者吊销许可证、暂扣或者吊销执照；</w:t>
      </w:r>
    </w:p>
    <w:p w14:paraId="450CC837">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（12）进入清算程序，或被宣告破产，或其他丧失履约能力的情形；</w:t>
      </w:r>
    </w:p>
    <w:p w14:paraId="19D78117">
      <w:pPr>
        <w:adjustRightInd w:val="0"/>
        <w:snapToGrid w:val="0"/>
        <w:spacing w:before="0"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（13）在最近三年内发生重大监理质量问题（以相关行业主管部门的行政处罚决定或司法机关出具的有关法律文书为准）。</w:t>
      </w:r>
    </w:p>
    <w:p w14:paraId="644F616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本公司违反上述保证，或本声明陈述与事实不符，经查实，本公司愿意接受公开通报，承担由此带来的法律后果，并自愿停止参加招标人的招标投标活动二年。</w:t>
      </w:r>
    </w:p>
    <w:p w14:paraId="4229E18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14:paraId="714F17F1">
      <w:pPr>
        <w:pStyle w:val="15"/>
        <w:adjustRightInd w:val="0"/>
        <w:snapToGrid w:val="0"/>
        <w:ind w:left="0" w:right="0"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声明企业：(企业公章)</w:t>
      </w:r>
    </w:p>
    <w:p w14:paraId="640E6FB6">
      <w:pPr>
        <w:pStyle w:val="15"/>
        <w:adjustRightInd w:val="0"/>
        <w:snapToGrid w:val="0"/>
        <w:ind w:left="0" w:right="0"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总监理工程师</w:t>
      </w:r>
      <w:r>
        <w:rPr>
          <w:rFonts w:hint="eastAsia" w:ascii="宋体" w:hAnsi="宋体" w:eastAsia="宋体" w:cs="宋体"/>
          <w:color w:val="auto"/>
          <w:sz w:val="21"/>
          <w:szCs w:val="21"/>
          <w:highlight w:val="none"/>
        </w:rPr>
        <w:t>签字：</w:t>
      </w:r>
    </w:p>
    <w:p w14:paraId="1F57FE56">
      <w:pPr>
        <w:adjustRightInd w:val="0"/>
        <w:snapToGrid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06DF516E">
      <w:pPr>
        <w:pStyle w:val="15"/>
        <w:adjustRightInd w:val="0"/>
        <w:snapToGrid w:val="0"/>
        <w:ind w:left="0" w:right="0" w:firstLine="1890" w:firstLineChars="900"/>
        <w:jc w:val="right"/>
        <w:rPr>
          <w:rFonts w:hint="eastAsia" w:ascii="宋体" w:hAnsi="宋体" w:eastAsia="宋体" w:cs="宋体"/>
          <w:color w:val="auto"/>
          <w:sz w:val="21"/>
          <w:szCs w:val="21"/>
          <w:highlight w:val="none"/>
        </w:rPr>
      </w:pPr>
    </w:p>
    <w:p w14:paraId="33BBC98D">
      <w:pPr>
        <w:pStyle w:val="15"/>
        <w:adjustRightInd w:val="0"/>
        <w:snapToGrid w:val="0"/>
        <w:ind w:left="0" w:right="0"/>
        <w:jc w:val="both"/>
        <w:rPr>
          <w:rFonts w:hint="eastAsia" w:ascii="宋体" w:hAnsi="宋体" w:eastAsia="宋体" w:cs="宋体"/>
          <w:color w:val="auto"/>
          <w:sz w:val="21"/>
          <w:szCs w:val="21"/>
          <w:highlight w:val="none"/>
        </w:rPr>
      </w:pPr>
    </w:p>
    <w:p w14:paraId="329F751D">
      <w:pPr>
        <w:adjustRightInd w:val="0"/>
        <w:snapToGrid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576EC6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BD78C9F">
      <w:pPr>
        <w:adjustRightInd w:val="0"/>
        <w:snapToGrid w:val="0"/>
        <w:rPr>
          <w:rFonts w:hint="eastAsia" w:ascii="宋体" w:hAnsi="宋体" w:eastAsia="宋体" w:cs="宋体"/>
          <w:color w:val="auto"/>
          <w:szCs w:val="21"/>
          <w:highlight w:val="none"/>
        </w:rPr>
      </w:pPr>
    </w:p>
    <w:p w14:paraId="2AC23051">
      <w:pPr>
        <w:adjustRightInd w:val="0"/>
        <w:snapToGrid w:val="0"/>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附件二</w:t>
      </w:r>
    </w:p>
    <w:p w14:paraId="453F2D0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异议函</w:t>
      </w:r>
    </w:p>
    <w:p w14:paraId="190755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异议提出日期： 年 月 日</w:t>
      </w:r>
    </w:p>
    <w:p w14:paraId="79A47AA8">
      <w:pPr>
        <w:pStyle w:val="2"/>
        <w:rPr>
          <w:rFonts w:hint="eastAsia" w:ascii="宋体" w:hAnsi="宋体" w:cs="宋体"/>
          <w:color w:val="auto"/>
          <w:szCs w:val="21"/>
          <w:highlight w:val="none"/>
        </w:rPr>
      </w:pPr>
    </w:p>
    <w:tbl>
      <w:tblPr>
        <w:tblStyle w:val="1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997"/>
        <w:gridCol w:w="2384"/>
        <w:gridCol w:w="2222"/>
      </w:tblGrid>
      <w:tr w14:paraId="50F7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926" w:type="dxa"/>
            <w:noWrap w:val="0"/>
            <w:vAlign w:val="center"/>
          </w:tcPr>
          <w:p w14:paraId="1934D30A">
            <w:pPr>
              <w:spacing w:after="2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异议人名称</w:t>
            </w:r>
          </w:p>
        </w:tc>
        <w:tc>
          <w:tcPr>
            <w:tcW w:w="1997" w:type="dxa"/>
            <w:noWrap w:val="0"/>
            <w:vAlign w:val="center"/>
          </w:tcPr>
          <w:p w14:paraId="5C02974F">
            <w:pPr>
              <w:spacing w:after="200" w:line="360" w:lineRule="auto"/>
              <w:jc w:val="center"/>
              <w:rPr>
                <w:rFonts w:hint="eastAsia" w:ascii="宋体" w:hAnsi="宋体" w:eastAsia="宋体" w:cs="宋体"/>
                <w:color w:val="auto"/>
                <w:szCs w:val="21"/>
                <w:highlight w:val="none"/>
              </w:rPr>
            </w:pPr>
          </w:p>
        </w:tc>
        <w:tc>
          <w:tcPr>
            <w:tcW w:w="2384" w:type="dxa"/>
            <w:noWrap w:val="0"/>
            <w:vAlign w:val="center"/>
          </w:tcPr>
          <w:p w14:paraId="6CA66EE0">
            <w:pPr>
              <w:spacing w:after="2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1B0B801E">
            <w:pPr>
              <w:spacing w:after="2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（签字并加盖公章）</w:t>
            </w:r>
          </w:p>
        </w:tc>
        <w:tc>
          <w:tcPr>
            <w:tcW w:w="2222" w:type="dxa"/>
            <w:noWrap w:val="0"/>
            <w:vAlign w:val="center"/>
          </w:tcPr>
          <w:p w14:paraId="7D0E5795">
            <w:pPr>
              <w:spacing w:after="200" w:line="360" w:lineRule="auto"/>
              <w:jc w:val="center"/>
              <w:rPr>
                <w:rFonts w:hint="eastAsia" w:ascii="宋体" w:hAnsi="宋体" w:eastAsia="宋体" w:cs="宋体"/>
                <w:color w:val="auto"/>
                <w:szCs w:val="21"/>
                <w:highlight w:val="none"/>
              </w:rPr>
            </w:pPr>
          </w:p>
        </w:tc>
      </w:tr>
      <w:tr w14:paraId="7CC4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6" w:type="dxa"/>
            <w:noWrap w:val="0"/>
            <w:vAlign w:val="center"/>
          </w:tcPr>
          <w:p w14:paraId="0C1F00C4">
            <w:pPr>
              <w:spacing w:after="2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联系邮箱</w:t>
            </w:r>
          </w:p>
        </w:tc>
        <w:tc>
          <w:tcPr>
            <w:tcW w:w="1997" w:type="dxa"/>
            <w:noWrap w:val="0"/>
            <w:vAlign w:val="center"/>
          </w:tcPr>
          <w:p w14:paraId="65B00FDA">
            <w:pPr>
              <w:spacing w:after="200" w:line="360" w:lineRule="auto"/>
              <w:jc w:val="center"/>
              <w:rPr>
                <w:rFonts w:hint="eastAsia" w:ascii="宋体" w:hAnsi="宋体" w:eastAsia="宋体" w:cs="宋体"/>
                <w:color w:val="auto"/>
                <w:szCs w:val="21"/>
                <w:highlight w:val="none"/>
              </w:rPr>
            </w:pPr>
          </w:p>
        </w:tc>
        <w:tc>
          <w:tcPr>
            <w:tcW w:w="2384" w:type="dxa"/>
            <w:noWrap w:val="0"/>
            <w:vAlign w:val="center"/>
          </w:tcPr>
          <w:p w14:paraId="384BE53D">
            <w:pPr>
              <w:spacing w:after="2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222" w:type="dxa"/>
            <w:noWrap w:val="0"/>
            <w:vAlign w:val="center"/>
          </w:tcPr>
          <w:p w14:paraId="1851A168">
            <w:pPr>
              <w:spacing w:after="200" w:line="360" w:lineRule="auto"/>
              <w:jc w:val="center"/>
              <w:rPr>
                <w:rFonts w:hint="eastAsia" w:ascii="宋体" w:hAnsi="宋体" w:eastAsia="宋体" w:cs="宋体"/>
                <w:color w:val="auto"/>
                <w:szCs w:val="21"/>
                <w:highlight w:val="none"/>
              </w:rPr>
            </w:pPr>
          </w:p>
        </w:tc>
      </w:tr>
      <w:tr w14:paraId="3963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26" w:type="dxa"/>
            <w:noWrap w:val="0"/>
            <w:vAlign w:val="center"/>
          </w:tcPr>
          <w:p w14:paraId="1B1DB3ED">
            <w:pPr>
              <w:spacing w:after="2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异议的对象</w:t>
            </w:r>
          </w:p>
        </w:tc>
        <w:tc>
          <w:tcPr>
            <w:tcW w:w="6603" w:type="dxa"/>
            <w:gridSpan w:val="3"/>
            <w:noWrap w:val="0"/>
            <w:vAlign w:val="center"/>
          </w:tcPr>
          <w:p w14:paraId="254D4A64">
            <w:pPr>
              <w:spacing w:after="200" w:line="360" w:lineRule="auto"/>
              <w:jc w:val="center"/>
              <w:rPr>
                <w:rFonts w:hint="eastAsia" w:ascii="宋体" w:hAnsi="宋体" w:eastAsia="宋体" w:cs="宋体"/>
                <w:color w:val="auto"/>
                <w:szCs w:val="21"/>
                <w:highlight w:val="none"/>
              </w:rPr>
            </w:pPr>
          </w:p>
        </w:tc>
      </w:tr>
      <w:tr w14:paraId="5C20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8" w:hRule="atLeast"/>
          <w:jc w:val="center"/>
        </w:trPr>
        <w:tc>
          <w:tcPr>
            <w:tcW w:w="1926" w:type="dxa"/>
            <w:noWrap w:val="0"/>
            <w:textDirection w:val="tbRlV"/>
            <w:vAlign w:val="center"/>
          </w:tcPr>
          <w:p w14:paraId="68B620E2">
            <w:pPr>
              <w:spacing w:after="200" w:line="360" w:lineRule="auto"/>
              <w:ind w:left="113"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提出异议的基本事实</w:t>
            </w:r>
          </w:p>
          <w:p w14:paraId="0F1B66C7">
            <w:pPr>
              <w:spacing w:after="200" w:line="360" w:lineRule="auto"/>
              <w:ind w:left="113"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(法律依据)</w:t>
            </w:r>
          </w:p>
        </w:tc>
        <w:tc>
          <w:tcPr>
            <w:tcW w:w="6603" w:type="dxa"/>
            <w:gridSpan w:val="3"/>
            <w:noWrap w:val="0"/>
            <w:vAlign w:val="center"/>
          </w:tcPr>
          <w:p w14:paraId="5E1E0CAF">
            <w:pPr>
              <w:adjustRightInd w:val="0"/>
              <w:snapToGrid w:val="0"/>
              <w:spacing w:after="200" w:line="360" w:lineRule="auto"/>
              <w:jc w:val="center"/>
              <w:rPr>
                <w:rFonts w:hint="eastAsia" w:ascii="宋体" w:hAnsi="宋体" w:eastAsia="宋体" w:cs="宋体"/>
                <w:color w:val="auto"/>
                <w:szCs w:val="21"/>
                <w:highlight w:val="none"/>
              </w:rPr>
            </w:pPr>
          </w:p>
        </w:tc>
      </w:tr>
      <w:tr w14:paraId="6186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1926" w:type="dxa"/>
            <w:noWrap w:val="0"/>
            <w:textDirection w:val="tbRlV"/>
            <w:vAlign w:val="center"/>
          </w:tcPr>
          <w:p w14:paraId="2B0E2BB0">
            <w:pPr>
              <w:spacing w:after="200" w:line="360" w:lineRule="auto"/>
              <w:ind w:left="113"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相关请求</w:t>
            </w:r>
          </w:p>
        </w:tc>
        <w:tc>
          <w:tcPr>
            <w:tcW w:w="6603" w:type="dxa"/>
            <w:gridSpan w:val="3"/>
            <w:noWrap w:val="0"/>
            <w:vAlign w:val="center"/>
          </w:tcPr>
          <w:p w14:paraId="14E0A0D1">
            <w:pPr>
              <w:spacing w:after="200" w:line="360" w:lineRule="auto"/>
              <w:jc w:val="center"/>
              <w:rPr>
                <w:rFonts w:hint="eastAsia" w:ascii="宋体" w:hAnsi="宋体" w:eastAsia="宋体" w:cs="宋体"/>
                <w:color w:val="auto"/>
                <w:szCs w:val="21"/>
                <w:highlight w:val="none"/>
              </w:rPr>
            </w:pPr>
          </w:p>
        </w:tc>
      </w:tr>
      <w:tr w14:paraId="700B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3" w:hRule="atLeast"/>
          <w:jc w:val="center"/>
        </w:trPr>
        <w:tc>
          <w:tcPr>
            <w:tcW w:w="1926" w:type="dxa"/>
            <w:noWrap w:val="0"/>
            <w:textDirection w:val="tbRlV"/>
            <w:vAlign w:val="center"/>
          </w:tcPr>
          <w:p w14:paraId="1B7B380E">
            <w:pPr>
              <w:spacing w:after="200" w:line="360" w:lineRule="auto"/>
              <w:ind w:left="113"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相关证明材料</w:t>
            </w:r>
          </w:p>
          <w:p w14:paraId="79288FC0">
            <w:pPr>
              <w:spacing w:after="200" w:line="360" w:lineRule="auto"/>
              <w:ind w:left="113" w:right="1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有效线索和</w:t>
            </w:r>
          </w:p>
        </w:tc>
        <w:tc>
          <w:tcPr>
            <w:tcW w:w="6603" w:type="dxa"/>
            <w:gridSpan w:val="3"/>
            <w:noWrap w:val="0"/>
            <w:vAlign w:val="center"/>
          </w:tcPr>
          <w:p w14:paraId="6C9F06AC">
            <w:pPr>
              <w:spacing w:after="20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（可以以附件形式提供）</w:t>
            </w:r>
          </w:p>
        </w:tc>
      </w:tr>
    </w:tbl>
    <w:p w14:paraId="2D739FB2"/>
    <w:sectPr>
      <w:pgSz w:w="11906" w:h="16838"/>
      <w:pgMar w:top="1440" w:right="1440" w:bottom="1440" w:left="144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A12B">
    <w:pPr>
      <w:pStyle w:val="7"/>
      <w:jc w:val="center"/>
    </w:pPr>
  </w:p>
  <w:p w14:paraId="2CD92438">
    <w:pPr>
      <w:pStyle w:val="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E464">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53BC0898">
    <w:pPr>
      <w:pStyle w:val="7"/>
      <w:ind w:right="360" w:firstLine="360"/>
      <w:jc w:val="center"/>
    </w:pPr>
    <w:r>
      <w:rP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0A7">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F680">
    <w:pPr>
      <w:pStyle w:val="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C9C49">
    <w:pPr>
      <w:pStyle w:val="8"/>
    </w:pPr>
    <w:r>
      <w:rPr>
        <w:lang w:val="zh-CN"/>
      </w:rPr>
      <w:t>[键入文字]</w:t>
    </w:r>
    <w:r>
      <w:tab/>
    </w:r>
    <w:r>
      <w:rPr>
        <w:lang w:val="zh-CN"/>
      </w:rPr>
      <w:t>[键入文字]</w:t>
    </w:r>
    <w:r>
      <w:tab/>
    </w:r>
    <w:r>
      <w:rPr>
        <w:lang w:val="zh-CN"/>
      </w:rPr>
      <w:t>[键入文字]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D945">
    <w:pPr>
      <w:pStyle w:val="8"/>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D0CE8"/>
    <w:rsid w:val="0828199A"/>
    <w:rsid w:val="1A3D0CE8"/>
    <w:rsid w:val="35BF2CC0"/>
    <w:rsid w:val="42161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240" w:line="360" w:lineRule="auto"/>
      <w:outlineLvl w:val="0"/>
    </w:pPr>
    <w:rPr>
      <w:rFonts w:ascii="宋体" w:hAnsi="宋体"/>
      <w:b/>
      <w:kern w:val="44"/>
      <w:sz w:val="24"/>
      <w:szCs w:val="24"/>
    </w:rPr>
  </w:style>
  <w:style w:type="paragraph" w:styleId="5">
    <w:name w:val="heading 2"/>
    <w:basedOn w:val="1"/>
    <w:next w:val="1"/>
    <w:qFormat/>
    <w:uiPriority w:val="0"/>
    <w:pPr>
      <w:keepLines/>
      <w:widowControl w:val="0"/>
      <w:spacing w:beforeLines="50" w:afterLines="50" w:line="400" w:lineRule="exact"/>
      <w:jc w:val="center"/>
      <w:outlineLvl w:val="1"/>
    </w:pPr>
    <w:rPr>
      <w:rFonts w:ascii="宋体" w:hAnsi="Arial"/>
      <w:b/>
      <w:bCs/>
      <w:sz w:val="36"/>
      <w:szCs w:val="3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rPr>
      <w:rFonts w:ascii="Calibri" w:hAnsi="Calibri" w:eastAsia="宋体" w:cs="Times New Roman"/>
      <w:kern w:val="2"/>
      <w:szCs w:val="22"/>
    </w:rPr>
  </w:style>
  <w:style w:type="paragraph" w:styleId="6">
    <w:name w:val="Body Text"/>
    <w:basedOn w:val="1"/>
    <w:next w:val="1"/>
    <w:unhideWhenUsed/>
    <w:qFormat/>
    <w:uiPriority w:val="0"/>
    <w:pPr>
      <w:spacing w:after="120"/>
    </w:pPr>
  </w:style>
  <w:style w:type="paragraph" w:styleId="7">
    <w:name w:val="footer"/>
    <w:basedOn w:val="1"/>
    <w:qFormat/>
    <w:uiPriority w:val="99"/>
    <w:pPr>
      <w:tabs>
        <w:tab w:val="center" w:pos="4153"/>
        <w:tab w:val="right" w:pos="8306"/>
      </w:tabs>
      <w:snapToGrid w:val="0"/>
    </w:pPr>
    <w:rPr>
      <w:rFonts w:ascii="Calibri" w:hAnsi="Calibri" w:cs="Times New Roman"/>
      <w:kern w:val="2"/>
      <w:sz w:val="18"/>
      <w:szCs w:val="22"/>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cs="Times New Roman"/>
      <w:kern w:val="2"/>
      <w:sz w:val="18"/>
      <w:szCs w:val="22"/>
    </w:rPr>
  </w:style>
  <w:style w:type="paragraph" w:styleId="9">
    <w:name w:val="toc 1"/>
    <w:basedOn w:val="1"/>
    <w:next w:val="1"/>
    <w:qFormat/>
    <w:uiPriority w:val="39"/>
    <w:pPr>
      <w:spacing w:before="120" w:after="120"/>
      <w:jc w:val="center"/>
    </w:pPr>
    <w:rPr>
      <w:b/>
      <w:bCs/>
      <w:caps/>
      <w:sz w:val="20"/>
    </w:rPr>
  </w:style>
  <w:style w:type="paragraph" w:styleId="10">
    <w:name w:val="Body Text First Indent"/>
    <w:basedOn w:val="6"/>
    <w:qFormat/>
    <w:uiPriority w:val="0"/>
    <w:pPr>
      <w:ind w:firstLine="420" w:firstLineChars="100"/>
    </w:pPr>
  </w:style>
  <w:style w:type="character" w:styleId="13">
    <w:name w:val="page number"/>
    <w:basedOn w:val="12"/>
    <w:qFormat/>
    <w:uiPriority w:val="0"/>
  </w:style>
  <w:style w:type="paragraph" w:customStyle="1" w:styleId="14">
    <w:name w:val="_Style 345"/>
    <w:basedOn w:val="4"/>
    <w:next w:val="1"/>
    <w:qFormat/>
    <w:uiPriority w:val="39"/>
    <w:pPr>
      <w:keepLines w:val="0"/>
      <w:tabs>
        <w:tab w:val="left" w:pos="432"/>
      </w:tabs>
      <w:topLinePunct/>
      <w:adjustRightInd w:val="0"/>
      <w:snapToGrid w:val="0"/>
      <w:spacing w:after="60" w:line="240" w:lineRule="auto"/>
      <w:ind w:left="432" w:firstLine="93"/>
      <w:textAlignment w:val="center"/>
      <w:outlineLvl w:val="9"/>
    </w:pPr>
    <w:rPr>
      <w:rFonts w:ascii="Cambria" w:hAnsi="Cambria"/>
      <w:bCs/>
      <w:kern w:val="32"/>
      <w:sz w:val="32"/>
      <w:szCs w:val="32"/>
      <w:lang w:eastAsia="en-US" w:bidi="en-US"/>
    </w:rPr>
  </w:style>
  <w:style w:type="paragraph" w:customStyle="1" w:styleId="15">
    <w:name w:val="发文落款"/>
    <w:basedOn w:val="16"/>
    <w:qFormat/>
    <w:uiPriority w:val="0"/>
    <w:pPr>
      <w:ind w:left="4094" w:right="607" w:firstLine="0"/>
      <w:jc w:val="center"/>
    </w:p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5485</Words>
  <Characters>5989</Characters>
  <Lines>0</Lines>
  <Paragraphs>0</Paragraphs>
  <TotalTime>1</TotalTime>
  <ScaleCrop>false</ScaleCrop>
  <LinksUpToDate>false</LinksUpToDate>
  <CharactersWithSpaces>6229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2026-01-08T07:46:00Z</dcterms:created>
  <dc:creator>唐何靖</dc:creator>
  <cp:lastModifiedBy>方思全</cp:lastModifiedBy>
  <cp:lastPrinted>2026-01-08T07:47:00Z</cp:lastPrinted>
  <dcterms:modified xsi:type="dcterms:W3CDTF">2026-01-09T01:07:38Z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2CC204904FAC4A12A0B67E0BE6B1E21A_11</vt:lpwstr>
  </property>
  <property fmtid="{D5CDD505-2E9C-101B-9397-08002B2CF9AE}" pid="4" name="KSOTemplateDocerSaveRecord">
    <vt:lpwstr>eyJoZGlkIjoiMzkyNjlhY2U2MTdmNTZjYzc0N2ZlN2JlNDdlZmMxMmEiLCJ1c2VySWQiOiIxNjAxMjI1NDI1In0=</vt:lpwstr>
  </property>
</Properties>
</file>