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beforeLines="50" w:after="156" w:line="240" w:lineRule="auto"/>
        <w:rPr>
          <w:rFonts w:ascii="宋体" w:hAnsi="宋体" w:eastAsia="宋体" w:cs="宋体"/>
          <w:sz w:val="32"/>
          <w:szCs w:val="32"/>
        </w:rPr>
      </w:pPr>
      <w:r>
        <w:rPr>
          <w:rFonts w:hint="eastAsia" w:ascii="宋体" w:hAnsi="宋体" w:eastAsia="宋体" w:cs="宋体"/>
          <w:sz w:val="32"/>
          <w:szCs w:val="32"/>
        </w:rPr>
        <w:t>危险性较大的分部分项工程清单及</w:t>
      </w:r>
    </w:p>
    <w:p>
      <w:pPr>
        <w:pStyle w:val="6"/>
        <w:spacing w:before="156" w:beforeLines="50" w:after="156" w:line="240" w:lineRule="auto"/>
        <w:rPr>
          <w:rFonts w:ascii="宋体" w:hAnsi="宋体" w:eastAsia="宋体" w:cs="宋体"/>
          <w:sz w:val="32"/>
          <w:szCs w:val="32"/>
        </w:rPr>
      </w:pPr>
      <w:r>
        <w:rPr>
          <w:rFonts w:hint="eastAsia" w:ascii="宋体" w:hAnsi="宋体" w:eastAsia="宋体" w:cs="宋体"/>
          <w:sz w:val="32"/>
          <w:szCs w:val="32"/>
        </w:rPr>
        <w:t>超过一定规模的危险性较大的分部分项工程清单</w:t>
      </w:r>
    </w:p>
    <w:p>
      <w:pPr>
        <w:pStyle w:val="5"/>
        <w:numPr>
          <w:ilvl w:val="0"/>
          <w:numId w:val="1"/>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pPr>
        <w:pStyle w:val="5"/>
        <w:numPr>
          <w:ilvl w:val="0"/>
          <w:numId w:val="1"/>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招标人根据设计文件的要求及37号文的规定列出“危险性较大的分部分项工程清单及超过一定规模的危险性较大的分部分项工程清单”中与本招标项目相关的清单项，具体详第5点“打√”标识。</w:t>
      </w:r>
    </w:p>
    <w:p>
      <w:pPr>
        <w:pStyle w:val="5"/>
        <w:numPr>
          <w:ilvl w:val="0"/>
          <w:numId w:val="2"/>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投标单位同意建设单位在清单中标识的该项请在对应项打“√”标识，并与投标文件中提供相应的安全管理措施。</w:t>
      </w:r>
    </w:p>
    <w:p>
      <w:pPr>
        <w:pStyle w:val="5"/>
        <w:numPr>
          <w:ilvl w:val="0"/>
          <w:numId w:val="2"/>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投标单位对清单中认为需要补充的该项请在对应项打“√”标识，并与投标文件中提供相应的安全管理措施。</w:t>
      </w:r>
    </w:p>
    <w:p>
      <w:pPr>
        <w:pStyle w:val="5"/>
        <w:numPr>
          <w:ilvl w:val="0"/>
          <w:numId w:val="2"/>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投标单位不同意建设单位在清单中标识的该项请在对应项打“×”标识，并在备注栏填上相关说明。</w:t>
      </w:r>
    </w:p>
    <w:p>
      <w:pPr>
        <w:pStyle w:val="5"/>
        <w:numPr>
          <w:ilvl w:val="0"/>
          <w:numId w:val="1"/>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投标单位应当在投标时根据招标人提供的下述第5点清单，在投标施工组织中编制专项施工方案。</w:t>
      </w:r>
    </w:p>
    <w:p>
      <w:pPr>
        <w:pStyle w:val="5"/>
        <w:numPr>
          <w:ilvl w:val="0"/>
          <w:numId w:val="1"/>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5"/>
        <w:numPr>
          <w:ilvl w:val="0"/>
          <w:numId w:val="1"/>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危险性较大的分部分项工程清单及超过一定规模的危险性较大的分部分项工程清单：</w:t>
      </w:r>
    </w:p>
    <w:tbl>
      <w:tblPr>
        <w:tblStyle w:val="3"/>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5"/>
        <w:gridCol w:w="1038"/>
        <w:gridCol w:w="108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vAlign w:val="center"/>
          </w:tcPr>
          <w:p>
            <w:pPr>
              <w:spacing w:line="276" w:lineRule="auto"/>
              <w:jc w:val="center"/>
              <w:rPr>
                <w:rFonts w:hint="eastAsia" w:ascii="宋体" w:hAnsi="宋体" w:cs="宋体"/>
                <w:b/>
                <w:szCs w:val="21"/>
              </w:rPr>
            </w:pPr>
            <w:r>
              <w:rPr>
                <w:rFonts w:hint="eastAsia" w:ascii="宋体" w:hAnsi="宋体" w:cs="宋体"/>
                <w:b/>
                <w:szCs w:val="21"/>
              </w:rPr>
              <w:t>一、危险性较大的分部分项工程清单</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lang w:val="en-US" w:eastAsia="zh-CN"/>
              </w:rPr>
              <w:t>建设</w:t>
            </w:r>
            <w:r>
              <w:rPr>
                <w:rFonts w:hint="eastAsia" w:ascii="宋体" w:hAnsi="宋体" w:cs="宋体"/>
                <w:szCs w:val="21"/>
              </w:rPr>
              <w:t>单位</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投标单位</w:t>
            </w:r>
          </w:p>
        </w:tc>
        <w:tc>
          <w:tcPr>
            <w:tcW w:w="845" w:type="dxa"/>
            <w:vAlign w:val="center"/>
          </w:tcPr>
          <w:p>
            <w:pPr>
              <w:spacing w:line="276"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一、基坑支护</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（一）开挖深度超过3m（含3m）的基坑（槽）的土方开挖、支护、降水工程。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default"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二、模板工程及支撑体系</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（一）各类工具式模板工程：包括滑模、爬模、飞模、隧道模等工程。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default"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widowControl/>
              <w:spacing w:line="276" w:lineRule="auto"/>
              <w:jc w:val="left"/>
              <w:rPr>
                <w:rFonts w:hint="eastAsia" w:ascii="宋体" w:hAnsi="宋体" w:cs="宋体"/>
                <w:szCs w:val="21"/>
              </w:rPr>
            </w:pPr>
            <w:r>
              <w:rPr>
                <w:rFonts w:hint="eastAsia" w:ascii="宋体" w:hAnsi="宋体" w:cs="宋体"/>
                <w:szCs w:val="21"/>
              </w:rPr>
              <w:t>（三）承重支撑体系：用于钢结构安装等满堂支撑体系。</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widowControl/>
              <w:spacing w:line="276" w:lineRule="auto"/>
              <w:jc w:val="left"/>
              <w:rPr>
                <w:rFonts w:hint="eastAsia" w:ascii="宋体" w:hAnsi="宋体" w:cs="宋体"/>
                <w:szCs w:val="21"/>
              </w:rPr>
            </w:pPr>
            <w:r>
              <w:rPr>
                <w:rFonts w:hint="eastAsia" w:ascii="宋体" w:hAnsi="宋体" w:cs="宋体"/>
                <w:szCs w:val="21"/>
              </w:rPr>
              <w:t>　三、起重吊装及起重机械安装拆卸工程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widowControl/>
              <w:spacing w:line="276" w:lineRule="auto"/>
              <w:jc w:val="left"/>
              <w:rPr>
                <w:rFonts w:hint="eastAsia" w:ascii="宋体" w:hAnsi="宋体" w:cs="宋体"/>
                <w:szCs w:val="21"/>
              </w:rPr>
            </w:pPr>
            <w:r>
              <w:rPr>
                <w:rFonts w:hint="eastAsia" w:ascii="宋体" w:hAnsi="宋体" w:cs="宋体"/>
                <w:szCs w:val="21"/>
              </w:rPr>
              <w:t>（一）采用非常规起重设备、方法，且单件起吊重量在10kN及以上的起重吊装工程。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（二）采用起重机械进行安装的工程。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（三）起重机械安装和拆卸工程。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四、脚手架工程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（一）搭设高度24m及以上的落地式钢管脚手架工程（包括采光井、电梯井脚手架）。</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（二）附着式升降脚手架工程。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（三）悬挑式脚手架工程。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（四）高处作业吊篮。</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（五）卸料平台、操作平台工程。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（六）异型脚手架工程。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五、拆除工程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可能影响行人、交通、电力设施、通讯设施或其它建、构筑物安全的拆除工程。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　六、暗挖工程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采用矿山法、盾构法、顶管法施工的隧道、洞室工程。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七、其它</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（一）建筑幕墙安装工程。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（二）钢结构、网架和索膜结构安装工程。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（三）人工挖孔桩工程。</w:t>
            </w:r>
            <w:bookmarkStart w:id="0" w:name="_GoBack"/>
            <w:bookmarkEnd w:id="0"/>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（四）水下作业工程。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（五）装配式建筑混凝土预制构件安装工程。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vAlign w:val="center"/>
          </w:tcPr>
          <w:p>
            <w:pPr>
              <w:widowControl/>
              <w:spacing w:line="276" w:lineRule="auto"/>
              <w:rPr>
                <w:rFonts w:hint="eastAsia" w:ascii="宋体" w:hAnsi="宋体" w:cs="宋体"/>
                <w:b/>
                <w:szCs w:val="21"/>
              </w:rPr>
            </w:pPr>
            <w:r>
              <w:rPr>
                <w:rFonts w:hint="eastAsia" w:ascii="宋体" w:hAnsi="宋体" w:cs="宋体"/>
                <w:b/>
                <w:bCs/>
                <w:szCs w:val="21"/>
              </w:rPr>
              <w:t>二、超过一定规模的危险性较大的分部分项工程清单</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一、深基坑工程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35" w:type="dxa"/>
          </w:tcPr>
          <w:p>
            <w:pPr>
              <w:spacing w:line="276" w:lineRule="auto"/>
              <w:ind w:firstLine="480"/>
              <w:jc w:val="left"/>
              <w:rPr>
                <w:rFonts w:hint="eastAsia" w:ascii="宋体" w:hAnsi="宋体" w:cs="宋体"/>
                <w:szCs w:val="21"/>
              </w:rPr>
            </w:pPr>
            <w:r>
              <w:rPr>
                <w:rFonts w:hint="eastAsia" w:ascii="宋体" w:hAnsi="宋体" w:cs="宋体"/>
                <w:szCs w:val="21"/>
              </w:rPr>
              <w:t>开挖深度超过5m（含5m）的基坑（槽）的土方开挖、支护、降水工程。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二、模板工程及支撑体系</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（一）各类工具式模板工程：包括滑模、爬模、飞模、隧道模等工程。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（三）承重支撑体系：用于钢结构安装等满堂支撑体系，承受单点集中荷载7kN及以上。</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　三、起重吊装及起重机械安装拆卸工程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（一）采用非常规起重设备、方法，且单件起吊重量在100kN及以上的起重吊装工程。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四、脚手架工程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（一）搭设高度50m及以上的落地式钢管脚手架工程。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（二）提升高度在150m及以上的附着式升降脚手架工程或附着式升降操作平台工程。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（三）分段架体搭设高度20m及以上的悬挑式脚手架工程。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五、拆除工程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（二）文物保护建筑、优秀历史建筑或历史文化风貌区影响范围内的拆除工程。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六、暗挖工程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采用矿山法、盾构法、顶管法施工的隧道、洞室工程。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七、其它</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（一）施工高度50m及以上的建筑幕墙安装工程。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（二）跨度36m及以上的钢结构安装工程，或跨度60m及以上的网架和索膜结构安装工程。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（三）开挖深度16m及以上的人工挖孔桩工程。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（四）水下作业工程。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（五）重量1000kN及以上的大型结构整体顶升、平移、转体等施工工艺。</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pPr>
              <w:spacing w:line="276" w:lineRule="auto"/>
              <w:jc w:val="left"/>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038"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1087" w:type="dxa"/>
            <w:vAlign w:val="center"/>
          </w:tcPr>
          <w:p>
            <w:pPr>
              <w:spacing w:line="276" w:lineRule="auto"/>
              <w:jc w:val="center"/>
              <w:rPr>
                <w:rFonts w:hint="eastAsia" w:ascii="宋体" w:hAnsi="宋体" w:cs="宋体"/>
                <w:szCs w:val="21"/>
              </w:rPr>
            </w:pPr>
            <w:r>
              <w:rPr>
                <w:rFonts w:hint="eastAsia" w:ascii="宋体" w:hAnsi="宋体" w:cs="宋体"/>
                <w:szCs w:val="21"/>
              </w:rPr>
              <w:t>(    )</w:t>
            </w:r>
          </w:p>
        </w:tc>
        <w:tc>
          <w:tcPr>
            <w:tcW w:w="845" w:type="dxa"/>
            <w:vAlign w:val="center"/>
          </w:tcPr>
          <w:p>
            <w:pPr>
              <w:spacing w:line="276" w:lineRule="auto"/>
              <w:jc w:val="center"/>
              <w:rPr>
                <w:rFonts w:hint="eastAsia" w:ascii="宋体" w:hAnsi="宋体" w:cs="宋体"/>
                <w:szCs w:val="21"/>
              </w:rPr>
            </w:pPr>
          </w:p>
        </w:tc>
      </w:tr>
    </w:tbl>
    <w:p>
      <w:pPr>
        <w:spacing w:line="360" w:lineRule="auto"/>
        <w:jc w:val="center"/>
        <w:rPr>
          <w:rFonts w:hint="eastAsia" w:ascii="宋体" w:hAnsi="宋体" w:cs="宋体"/>
          <w:sz w:val="24"/>
          <w:szCs w:val="20"/>
          <w:u w:val="single"/>
        </w:rPr>
      </w:pPr>
      <w:r>
        <w:rPr>
          <w:rFonts w:hint="eastAsia" w:ascii="宋体" w:hAnsi="宋体" w:cs="宋体"/>
          <w:sz w:val="24"/>
          <w:szCs w:val="20"/>
        </w:rPr>
        <w:t xml:space="preserve">                     投标人名称（盖法人公章）：</w:t>
      </w:r>
    </w:p>
    <w:p>
      <w:pPr>
        <w:spacing w:line="360" w:lineRule="auto"/>
        <w:ind w:right="360"/>
        <w:jc w:val="right"/>
        <w:rPr>
          <w:rFonts w:hint="eastAsia" w:ascii="宋体" w:hAnsi="宋体" w:cs="宋体"/>
          <w:sz w:val="24"/>
          <w:szCs w:val="20"/>
          <w:u w:val="single"/>
        </w:rPr>
      </w:pPr>
      <w:r>
        <w:rPr>
          <w:rFonts w:hint="eastAsia" w:ascii="宋体" w:hAnsi="宋体" w:cs="宋体"/>
          <w:sz w:val="24"/>
          <w:szCs w:val="20"/>
        </w:rPr>
        <w:t>法定代表人或被授权人（签字或盖章）：</w:t>
      </w:r>
    </w:p>
    <w:p>
      <w:pPr>
        <w:spacing w:line="360" w:lineRule="auto"/>
        <w:ind w:right="360"/>
        <w:jc w:val="right"/>
        <w:rPr>
          <w:rFonts w:ascii="宋体" w:hAnsi="宋体" w:cs="宋体"/>
          <w:sz w:val="24"/>
          <w:szCs w:val="20"/>
        </w:rPr>
      </w:pPr>
      <w:r>
        <w:rPr>
          <w:rFonts w:hint="eastAsia" w:ascii="宋体" w:hAnsi="宋体" w:cs="宋体"/>
          <w:sz w:val="24"/>
          <w:szCs w:val="20"/>
        </w:rPr>
        <w:t xml:space="preserve">                    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TI1MmQ1ZmU2NzQ2ZmQ3ZmY0ODQ3YjY0YmQ2ODYifQ=="/>
  </w:docVars>
  <w:rsids>
    <w:rsidRoot w:val="00140215"/>
    <w:rsid w:val="00140215"/>
    <w:rsid w:val="0A020A4B"/>
    <w:rsid w:val="12D37F9B"/>
    <w:rsid w:val="3BC127E3"/>
    <w:rsid w:val="79582422"/>
    <w:rsid w:val="7EB8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szCs w:val="20"/>
    </w:rPr>
  </w:style>
  <w:style w:type="paragraph" w:customStyle="1" w:styleId="6">
    <w:name w:val="正题"/>
    <w:basedOn w:val="1"/>
    <w:next w:val="1"/>
    <w:qFormat/>
    <w:uiPriority w:val="0"/>
    <w:pPr>
      <w:topLinePunct/>
      <w:adjustRightInd w:val="0"/>
      <w:snapToGrid w:val="0"/>
      <w:spacing w:line="360" w:lineRule="auto"/>
      <w:jc w:val="center"/>
    </w:pPr>
    <w:rPr>
      <w:rFonts w:eastAsia="黑体"/>
      <w:b/>
      <w:spacing w:val="4"/>
      <w:kern w:val="0"/>
      <w:sz w:val="36"/>
      <w:szCs w:val="36"/>
    </w:rPr>
  </w:style>
  <w:style w:type="character" w:customStyle="1" w:styleId="7">
    <w:name w:val="页脚 字符"/>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2206</Words>
  <Characters>2283</Characters>
  <Lines>21</Lines>
  <Paragraphs>6</Paragraphs>
  <TotalTime>23</TotalTime>
  <ScaleCrop>false</ScaleCrop>
  <LinksUpToDate>false</LinksUpToDate>
  <CharactersWithSpaces>2753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2022-12-08T08:58:00Z</dcterms:created>
  <dc:creator>X</dc:creator>
  <cp:lastModifiedBy>corrinefeng</cp:lastModifiedBy>
  <dcterms:modified xsi:type="dcterms:W3CDTF">2023-01-04T03:47:42Z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E937154581E04C9380A0B651BAC53E9D</vt:lpwstr>
  </property>
</Properties>
</file>