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400"/>
        <w:rPr>
          <w:rFonts w:ascii="宋体" w:hAnsi="宋体" w:cs="宋体"/>
          <w:color w:val="auto"/>
          <w:sz w:val="20"/>
          <w:szCs w:val="20"/>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jc w:val="center"/>
        <w:rPr>
          <w:rFonts w:ascii="宋体" w:hAnsi="宋体" w:cs="宋体"/>
          <w:color w:val="auto"/>
          <w:sz w:val="40"/>
          <w:szCs w:val="40"/>
          <w:highlight w:val="none"/>
        </w:rPr>
      </w:pPr>
      <w:r>
        <w:rPr>
          <w:rFonts w:hint="eastAsia" w:ascii="宋体" w:hAnsi="宋体" w:cs="宋体"/>
          <w:color w:val="auto"/>
          <w:sz w:val="40"/>
          <w:szCs w:val="40"/>
          <w:highlight w:val="none"/>
          <w:u w:val="single"/>
        </w:rPr>
        <w:t>广州海格天腾产业发展有限公司新建海格天腾信息产业基地项目勘察设计施工总承包</w:t>
      </w:r>
    </w:p>
    <w:p>
      <w:pPr>
        <w:rPr>
          <w:rFonts w:ascii="宋体" w:hAnsi="宋体" w:cs="宋体"/>
          <w:color w:val="auto"/>
          <w:sz w:val="36"/>
          <w:szCs w:val="36"/>
          <w:highlight w:val="none"/>
        </w:rPr>
      </w:pPr>
    </w:p>
    <w:p>
      <w:pPr>
        <w:rPr>
          <w:rFonts w:ascii="宋体" w:hAnsi="宋体" w:cs="宋体"/>
          <w:color w:val="auto"/>
          <w:sz w:val="28"/>
          <w:szCs w:val="28"/>
          <w:highlight w:val="none"/>
        </w:rPr>
      </w:pPr>
    </w:p>
    <w:p>
      <w:pPr>
        <w:jc w:val="center"/>
        <w:rPr>
          <w:rFonts w:ascii="宋体" w:hAnsi="宋体" w:cs="宋体"/>
          <w:color w:val="auto"/>
          <w:sz w:val="96"/>
          <w:szCs w:val="96"/>
          <w:highlight w:val="none"/>
        </w:rPr>
      </w:pPr>
      <w:r>
        <w:rPr>
          <w:rFonts w:hint="eastAsia" w:ascii="宋体" w:hAnsi="宋体" w:cs="宋体"/>
          <w:color w:val="auto"/>
          <w:sz w:val="96"/>
          <w:szCs w:val="96"/>
          <w:highlight w:val="none"/>
        </w:rPr>
        <w:t>招标文件</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ind w:firstLine="840" w:firstLineChars="300"/>
        <w:jc w:val="left"/>
        <w:rPr>
          <w:rFonts w:ascii="宋体" w:hAnsi="宋体" w:cs="宋体"/>
          <w:color w:val="auto"/>
          <w:sz w:val="28"/>
          <w:szCs w:val="28"/>
          <w:highlight w:val="none"/>
        </w:rPr>
      </w:pPr>
      <w:r>
        <w:rPr>
          <w:rFonts w:hint="eastAsia" w:ascii="宋体" w:hAnsi="宋体" w:cs="宋体"/>
          <w:color w:val="auto"/>
          <w:sz w:val="28"/>
          <w:szCs w:val="28"/>
          <w:highlight w:val="none"/>
        </w:rPr>
        <w:t>招标人：</w:t>
      </w:r>
      <w:r>
        <w:rPr>
          <w:rFonts w:hint="eastAsia" w:ascii="宋体" w:hAnsi="宋体" w:cs="宋体"/>
          <w:color w:val="auto"/>
          <w:sz w:val="28"/>
          <w:szCs w:val="28"/>
          <w:highlight w:val="none"/>
          <w:u w:val="single"/>
        </w:rPr>
        <w:t>广州海格天腾产业发展有限公司</w:t>
      </w:r>
      <w:r>
        <w:rPr>
          <w:rFonts w:hint="eastAsia" w:ascii="宋体" w:hAnsi="宋体" w:cs="宋体"/>
          <w:color w:val="auto"/>
          <w:sz w:val="28"/>
          <w:szCs w:val="28"/>
          <w:highlight w:val="none"/>
        </w:rPr>
        <w:t>（盖单位章）</w:t>
      </w:r>
    </w:p>
    <w:p>
      <w:pPr>
        <w:ind w:firstLine="840" w:firstLineChars="300"/>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招标代理单位：</w:t>
      </w:r>
      <w:r>
        <w:rPr>
          <w:rFonts w:hint="eastAsia" w:ascii="宋体" w:hAnsi="宋体" w:cs="宋体"/>
          <w:color w:val="auto"/>
          <w:sz w:val="28"/>
          <w:szCs w:val="28"/>
          <w:highlight w:val="none"/>
          <w:u w:val="single"/>
        </w:rPr>
        <w:t>建成工程咨询股份有限公司</w:t>
      </w:r>
      <w:r>
        <w:rPr>
          <w:rFonts w:hint="eastAsia" w:ascii="宋体" w:hAnsi="宋体" w:cs="宋体"/>
          <w:color w:val="auto"/>
          <w:sz w:val="28"/>
          <w:szCs w:val="28"/>
          <w:highlight w:val="none"/>
        </w:rPr>
        <w:t>（盖单位章）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2023</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3</w:t>
      </w:r>
      <w:r>
        <w:rPr>
          <w:rFonts w:hint="eastAsia" w:ascii="宋体" w:hAnsi="宋体" w:cs="宋体"/>
          <w:color w:val="auto"/>
          <w:sz w:val="28"/>
          <w:szCs w:val="28"/>
          <w:highlight w:val="none"/>
        </w:rPr>
        <w:t>月</w:t>
      </w:r>
    </w:p>
    <w:p>
      <w:pPr>
        <w:spacing w:line="400" w:lineRule="exact"/>
        <w:rPr>
          <w:rFonts w:ascii="宋体" w:hAnsi="宋体" w:cs="宋体"/>
          <w:color w:val="auto"/>
          <w:highlight w:val="none"/>
        </w:rPr>
        <w:sectPr>
          <w:footerReference r:id="rId3" w:type="default"/>
          <w:pgSz w:w="11906" w:h="16838"/>
          <w:pgMar w:top="1440" w:right="1800" w:bottom="1440" w:left="1800" w:header="851" w:footer="992" w:gutter="0"/>
          <w:cols w:space="720" w:num="1"/>
          <w:docGrid w:type="lines" w:linePitch="312" w:charSpace="0"/>
        </w:sectPr>
      </w:pPr>
      <w:bookmarkStart w:id="0" w:name="_Toc144974478"/>
      <w:bookmarkStart w:id="1" w:name="_Toc152042286"/>
    </w:p>
    <w:p>
      <w:pPr>
        <w:jc w:val="center"/>
        <w:rPr>
          <w:b/>
          <w:bCs/>
          <w:color w:val="auto"/>
          <w:sz w:val="36"/>
          <w:szCs w:val="44"/>
          <w:highlight w:val="none"/>
        </w:rPr>
      </w:pPr>
      <w:bookmarkStart w:id="2" w:name="_Toc300834926"/>
      <w:bookmarkStart w:id="3" w:name="_Toc11895"/>
      <w:bookmarkStart w:id="4" w:name="_Toc247527532"/>
      <w:r>
        <w:rPr>
          <w:rFonts w:hint="eastAsia"/>
          <w:b/>
          <w:bCs/>
          <w:color w:val="auto"/>
          <w:sz w:val="36"/>
          <w:szCs w:val="44"/>
          <w:highlight w:val="none"/>
        </w:rPr>
        <w:t>目录</w:t>
      </w:r>
      <w:bookmarkEnd w:id="0"/>
      <w:bookmarkEnd w:id="1"/>
      <w:bookmarkEnd w:id="2"/>
      <w:bookmarkEnd w:id="3"/>
      <w:bookmarkEnd w:id="4"/>
    </w:p>
    <w:p>
      <w:pPr>
        <w:pStyle w:val="26"/>
        <w:tabs>
          <w:tab w:val="right" w:leader="dot" w:pos="9638"/>
        </w:tabs>
        <w:rPr>
          <w:color w:val="auto"/>
          <w:highlight w:val="none"/>
        </w:rPr>
      </w:pPr>
      <w:bookmarkStart w:id="5" w:name="_Toc247513932"/>
      <w:bookmarkStart w:id="6" w:name="_Toc247527533"/>
      <w:bookmarkStart w:id="7" w:name="_Toc152045511"/>
      <w:bookmarkStart w:id="8" w:name="_Toc144974479"/>
      <w:bookmarkStart w:id="9" w:name="_Toc152042287"/>
      <w:r>
        <w:rPr>
          <w:rFonts w:hint="eastAsia" w:ascii="宋体" w:hAnsi="宋体" w:cs="宋体"/>
          <w:caps w:val="0"/>
          <w:color w:val="auto"/>
          <w:highlight w:val="none"/>
        </w:rPr>
        <w:fldChar w:fldCharType="begin"/>
      </w:r>
      <w:r>
        <w:rPr>
          <w:rFonts w:hint="eastAsia" w:ascii="宋体" w:hAnsi="宋体" w:cs="宋体"/>
          <w:caps w:val="0"/>
          <w:color w:val="auto"/>
          <w:highlight w:val="none"/>
        </w:rPr>
        <w:instrText xml:space="preserve"> TOC \o "1-3" \h \z \u </w:instrText>
      </w:r>
      <w:r>
        <w:rPr>
          <w:rFonts w:hint="eastAsia" w:ascii="宋体" w:hAnsi="宋体" w:cs="宋体"/>
          <w:caps w:val="0"/>
          <w:color w:val="auto"/>
          <w:highlight w:val="none"/>
        </w:rPr>
        <w:fldChar w:fldCharType="separate"/>
      </w:r>
      <w:r>
        <w:rPr>
          <w:rFonts w:hint="eastAsia" w:ascii="宋体" w:hAnsi="宋体" w:cs="宋体"/>
          <w:caps w:val="0"/>
          <w:color w:val="auto"/>
          <w:highlight w:val="none"/>
        </w:rPr>
        <w:fldChar w:fldCharType="begin"/>
      </w:r>
      <w:r>
        <w:rPr>
          <w:rFonts w:hint="eastAsia" w:ascii="宋体" w:hAnsi="宋体" w:cs="宋体"/>
          <w:caps w:val="0"/>
          <w:color w:val="auto"/>
          <w:highlight w:val="none"/>
        </w:rPr>
        <w:instrText xml:space="preserve"> HYPERLINK \l _Toc174 </w:instrText>
      </w:r>
      <w:r>
        <w:rPr>
          <w:rFonts w:hint="eastAsia" w:ascii="宋体" w:hAnsi="宋体" w:cs="宋体"/>
          <w:caps w:val="0"/>
          <w:color w:val="auto"/>
          <w:highlight w:val="none"/>
        </w:rPr>
        <w:fldChar w:fldCharType="separate"/>
      </w:r>
      <w:r>
        <w:rPr>
          <w:rFonts w:hint="eastAsia" w:ascii="宋体" w:hAnsi="宋体" w:cs="宋体"/>
          <w:color w:val="auto"/>
          <w:highlight w:val="none"/>
        </w:rPr>
        <w:t>第一卷</w:t>
      </w:r>
      <w:r>
        <w:rPr>
          <w:color w:val="auto"/>
          <w:highlight w:val="none"/>
        </w:rPr>
        <w:tab/>
      </w:r>
      <w:r>
        <w:rPr>
          <w:color w:val="auto"/>
          <w:highlight w:val="none"/>
        </w:rPr>
        <w:fldChar w:fldCharType="begin"/>
      </w:r>
      <w:r>
        <w:rPr>
          <w:color w:val="auto"/>
          <w:highlight w:val="none"/>
        </w:rPr>
        <w:instrText xml:space="preserve"> PAGEREF _Toc174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aps w:val="0"/>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_Toc17287 </w:instrText>
      </w:r>
      <w:r>
        <w:rPr>
          <w:rFonts w:hint="eastAsia" w:ascii="宋体" w:hAnsi="宋体" w:cs="宋体"/>
          <w:color w:val="auto"/>
          <w:highlight w:val="none"/>
        </w:rPr>
        <w:fldChar w:fldCharType="separate"/>
      </w:r>
      <w:r>
        <w:rPr>
          <w:rFonts w:hint="eastAsia" w:ascii="宋体" w:hAnsi="宋体" w:cs="宋体"/>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_Toc17287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_Toc13683 </w:instrText>
      </w:r>
      <w:r>
        <w:rPr>
          <w:rFonts w:hint="eastAsia" w:ascii="宋体" w:hAnsi="宋体" w:cs="宋体"/>
          <w:color w:val="auto"/>
          <w:highlight w:val="none"/>
        </w:rPr>
        <w:fldChar w:fldCharType="separate"/>
      </w:r>
      <w:r>
        <w:rPr>
          <w:rFonts w:hint="eastAsia" w:ascii="宋体" w:hAnsi="宋体" w:cs="宋体"/>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_Toc13683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_Toc10331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_Toc10331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_Toc23108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_Toc23108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_Toc5397 </w:instrText>
      </w:r>
      <w:r>
        <w:rPr>
          <w:rFonts w:hint="eastAsia" w:ascii="宋体" w:hAnsi="宋体" w:cs="宋体"/>
          <w:color w:val="auto"/>
          <w:highlight w:val="none"/>
        </w:rPr>
        <w:fldChar w:fldCharType="separate"/>
      </w:r>
      <w:r>
        <w:rPr>
          <w:rFonts w:hint="eastAsia" w:ascii="宋体" w:eastAsia="宋体" w:cs="宋体"/>
          <w:color w:val="auto"/>
          <w:highlight w:val="none"/>
        </w:rPr>
        <w:t>1.1 项目概况</w:t>
      </w:r>
      <w:r>
        <w:rPr>
          <w:color w:val="auto"/>
          <w:highlight w:val="none"/>
        </w:rPr>
        <w:tab/>
      </w:r>
      <w:r>
        <w:rPr>
          <w:color w:val="auto"/>
          <w:highlight w:val="none"/>
        </w:rPr>
        <w:fldChar w:fldCharType="begin"/>
      </w:r>
      <w:r>
        <w:rPr>
          <w:color w:val="auto"/>
          <w:highlight w:val="none"/>
        </w:rPr>
        <w:instrText xml:space="preserve"> PAGEREF _Toc5397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_Toc25007 </w:instrText>
      </w:r>
      <w:r>
        <w:rPr>
          <w:rFonts w:hint="eastAsia" w:ascii="宋体" w:hAnsi="宋体" w:cs="宋体"/>
          <w:color w:val="auto"/>
          <w:highlight w:val="none"/>
        </w:rPr>
        <w:fldChar w:fldCharType="separate"/>
      </w:r>
      <w:r>
        <w:rPr>
          <w:rFonts w:hint="eastAsia" w:ascii="宋体" w:eastAsia="宋体" w:cs="宋体"/>
          <w:color w:val="auto"/>
          <w:highlight w:val="none"/>
        </w:rPr>
        <w:t>1.2 项目的资金来源和落实情况</w:t>
      </w:r>
      <w:r>
        <w:rPr>
          <w:color w:val="auto"/>
          <w:highlight w:val="none"/>
        </w:rPr>
        <w:tab/>
      </w:r>
      <w:r>
        <w:rPr>
          <w:color w:val="auto"/>
          <w:highlight w:val="none"/>
        </w:rPr>
        <w:fldChar w:fldCharType="begin"/>
      </w:r>
      <w:r>
        <w:rPr>
          <w:color w:val="auto"/>
          <w:highlight w:val="none"/>
        </w:rPr>
        <w:instrText xml:space="preserve"> PAGEREF _Toc25007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_Toc30894 </w:instrText>
      </w:r>
      <w:r>
        <w:rPr>
          <w:rFonts w:hint="eastAsia" w:ascii="宋体" w:hAnsi="宋体" w:cs="宋体"/>
          <w:color w:val="auto"/>
          <w:highlight w:val="none"/>
        </w:rPr>
        <w:fldChar w:fldCharType="separate"/>
      </w:r>
      <w:r>
        <w:rPr>
          <w:rFonts w:hint="eastAsia" w:ascii="宋体" w:eastAsia="宋体" w:cs="宋体"/>
          <w:color w:val="auto"/>
          <w:highlight w:val="none"/>
        </w:rPr>
        <w:t>1.3 招标范围、计划工期和质量标准</w:t>
      </w:r>
      <w:r>
        <w:rPr>
          <w:color w:val="auto"/>
          <w:highlight w:val="none"/>
        </w:rPr>
        <w:tab/>
      </w:r>
      <w:r>
        <w:rPr>
          <w:color w:val="auto"/>
          <w:highlight w:val="none"/>
        </w:rPr>
        <w:fldChar w:fldCharType="begin"/>
      </w:r>
      <w:r>
        <w:rPr>
          <w:color w:val="auto"/>
          <w:highlight w:val="none"/>
        </w:rPr>
        <w:instrText xml:space="preserve"> PAGEREF _Toc30894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_Toc8574 </w:instrText>
      </w:r>
      <w:r>
        <w:rPr>
          <w:rFonts w:hint="eastAsia" w:ascii="宋体" w:hAnsi="宋体" w:cs="宋体"/>
          <w:color w:val="auto"/>
          <w:highlight w:val="none"/>
        </w:rPr>
        <w:fldChar w:fldCharType="separate"/>
      </w:r>
      <w:r>
        <w:rPr>
          <w:rFonts w:hint="eastAsia" w:ascii="宋体" w:eastAsia="宋体" w:cs="宋体"/>
          <w:color w:val="auto"/>
          <w:highlight w:val="none"/>
        </w:rPr>
        <w:t>1.4 投标人资格要求</w:t>
      </w:r>
      <w:r>
        <w:rPr>
          <w:rFonts w:hint="eastAsia" w:ascii="新宋体" w:hAnsi="新宋体" w:eastAsia="新宋体" w:cs="新宋体"/>
          <w:color w:val="auto"/>
          <w:highlight w:val="none"/>
        </w:rPr>
        <w:t>（适用于未进行资格预审的）</w:t>
      </w:r>
      <w:r>
        <w:rPr>
          <w:color w:val="auto"/>
          <w:highlight w:val="none"/>
        </w:rPr>
        <w:tab/>
      </w:r>
      <w:r>
        <w:rPr>
          <w:color w:val="auto"/>
          <w:highlight w:val="none"/>
        </w:rPr>
        <w:fldChar w:fldCharType="begin"/>
      </w:r>
      <w:r>
        <w:rPr>
          <w:color w:val="auto"/>
          <w:highlight w:val="none"/>
        </w:rPr>
        <w:instrText xml:space="preserve"> PAGEREF _Toc8574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_Toc28949 </w:instrText>
      </w:r>
      <w:r>
        <w:rPr>
          <w:rFonts w:hint="eastAsia" w:ascii="宋体" w:hAnsi="宋体" w:cs="宋体"/>
          <w:color w:val="auto"/>
          <w:highlight w:val="none"/>
        </w:rPr>
        <w:fldChar w:fldCharType="separate"/>
      </w:r>
      <w:r>
        <w:rPr>
          <w:rFonts w:hint="eastAsia" w:ascii="宋体" w:eastAsia="宋体" w:cs="宋体"/>
          <w:color w:val="auto"/>
          <w:highlight w:val="none"/>
        </w:rPr>
        <w:t>1.5 费用承担和设计成果补偿</w:t>
      </w:r>
      <w:r>
        <w:rPr>
          <w:color w:val="auto"/>
          <w:highlight w:val="none"/>
        </w:rPr>
        <w:tab/>
      </w:r>
      <w:r>
        <w:rPr>
          <w:color w:val="auto"/>
          <w:highlight w:val="none"/>
        </w:rPr>
        <w:fldChar w:fldCharType="begin"/>
      </w:r>
      <w:r>
        <w:rPr>
          <w:color w:val="auto"/>
          <w:highlight w:val="none"/>
        </w:rPr>
        <w:instrText xml:space="preserve"> PAGEREF _Toc28949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_Toc10735 </w:instrText>
      </w:r>
      <w:r>
        <w:rPr>
          <w:rFonts w:hint="eastAsia" w:ascii="宋体" w:hAnsi="宋体" w:cs="宋体"/>
          <w:color w:val="auto"/>
          <w:highlight w:val="none"/>
        </w:rPr>
        <w:fldChar w:fldCharType="separate"/>
      </w:r>
      <w:r>
        <w:rPr>
          <w:rFonts w:hint="eastAsia" w:ascii="宋体" w:eastAsia="宋体" w:cs="宋体"/>
          <w:color w:val="auto"/>
          <w:highlight w:val="none"/>
        </w:rPr>
        <w:t>1.6 保密</w:t>
      </w:r>
      <w:r>
        <w:rPr>
          <w:color w:val="auto"/>
          <w:highlight w:val="none"/>
        </w:rPr>
        <w:tab/>
      </w:r>
      <w:r>
        <w:rPr>
          <w:color w:val="auto"/>
          <w:highlight w:val="none"/>
        </w:rPr>
        <w:fldChar w:fldCharType="begin"/>
      </w:r>
      <w:r>
        <w:rPr>
          <w:color w:val="auto"/>
          <w:highlight w:val="none"/>
        </w:rPr>
        <w:instrText xml:space="preserve"> PAGEREF _Toc10735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_Toc14196 </w:instrText>
      </w:r>
      <w:r>
        <w:rPr>
          <w:rFonts w:hint="eastAsia" w:ascii="宋体" w:hAnsi="宋体" w:cs="宋体"/>
          <w:color w:val="auto"/>
          <w:highlight w:val="none"/>
        </w:rPr>
        <w:fldChar w:fldCharType="separate"/>
      </w:r>
      <w:r>
        <w:rPr>
          <w:rFonts w:hint="eastAsia" w:ascii="宋体" w:eastAsia="宋体" w:cs="宋体"/>
          <w:color w:val="auto"/>
          <w:highlight w:val="none"/>
        </w:rPr>
        <w:t>1.7 语言文字</w:t>
      </w:r>
      <w:r>
        <w:rPr>
          <w:color w:val="auto"/>
          <w:highlight w:val="none"/>
        </w:rPr>
        <w:tab/>
      </w:r>
      <w:r>
        <w:rPr>
          <w:color w:val="auto"/>
          <w:highlight w:val="none"/>
        </w:rPr>
        <w:fldChar w:fldCharType="begin"/>
      </w:r>
      <w:r>
        <w:rPr>
          <w:color w:val="auto"/>
          <w:highlight w:val="none"/>
        </w:rPr>
        <w:instrText xml:space="preserve"> PAGEREF _Toc14196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_Toc6619 </w:instrText>
      </w:r>
      <w:r>
        <w:rPr>
          <w:rFonts w:hint="eastAsia" w:ascii="宋体" w:hAnsi="宋体" w:cs="宋体"/>
          <w:color w:val="auto"/>
          <w:highlight w:val="none"/>
        </w:rPr>
        <w:fldChar w:fldCharType="separate"/>
      </w:r>
      <w:r>
        <w:rPr>
          <w:rFonts w:hint="eastAsia" w:ascii="宋体" w:eastAsia="宋体" w:cs="宋体"/>
          <w:color w:val="auto"/>
          <w:highlight w:val="none"/>
        </w:rPr>
        <w:t>1.8 计量单位</w:t>
      </w:r>
      <w:r>
        <w:rPr>
          <w:color w:val="auto"/>
          <w:highlight w:val="none"/>
        </w:rPr>
        <w:tab/>
      </w:r>
      <w:r>
        <w:rPr>
          <w:color w:val="auto"/>
          <w:highlight w:val="none"/>
        </w:rPr>
        <w:fldChar w:fldCharType="begin"/>
      </w:r>
      <w:r>
        <w:rPr>
          <w:color w:val="auto"/>
          <w:highlight w:val="none"/>
        </w:rPr>
        <w:instrText xml:space="preserve"> PAGEREF _Toc6619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_Toc30769 </w:instrText>
      </w:r>
      <w:r>
        <w:rPr>
          <w:rFonts w:hint="eastAsia" w:ascii="宋体" w:hAnsi="宋体" w:cs="宋体"/>
          <w:color w:val="auto"/>
          <w:highlight w:val="none"/>
        </w:rPr>
        <w:fldChar w:fldCharType="separate"/>
      </w:r>
      <w:r>
        <w:rPr>
          <w:rFonts w:hint="eastAsia" w:ascii="宋体" w:eastAsia="宋体" w:cs="宋体"/>
          <w:color w:val="auto"/>
          <w:highlight w:val="none"/>
        </w:rPr>
        <w:t>1.9 踏勘现场</w:t>
      </w:r>
      <w:r>
        <w:rPr>
          <w:color w:val="auto"/>
          <w:highlight w:val="none"/>
        </w:rPr>
        <w:tab/>
      </w:r>
      <w:r>
        <w:rPr>
          <w:color w:val="auto"/>
          <w:highlight w:val="none"/>
        </w:rPr>
        <w:fldChar w:fldCharType="begin"/>
      </w:r>
      <w:r>
        <w:rPr>
          <w:color w:val="auto"/>
          <w:highlight w:val="none"/>
        </w:rPr>
        <w:instrText xml:space="preserve"> PAGEREF _Toc30769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_Toc6461 </w:instrText>
      </w:r>
      <w:r>
        <w:rPr>
          <w:rFonts w:hint="eastAsia" w:ascii="宋体" w:hAnsi="宋体" w:cs="宋体"/>
          <w:color w:val="auto"/>
          <w:highlight w:val="none"/>
        </w:rPr>
        <w:fldChar w:fldCharType="separate"/>
      </w:r>
      <w:r>
        <w:rPr>
          <w:rFonts w:hint="eastAsia" w:ascii="宋体" w:eastAsia="宋体" w:cs="宋体"/>
          <w:bCs w:val="0"/>
          <w:color w:val="auto"/>
          <w:highlight w:val="none"/>
        </w:rPr>
        <w:t>1.10 投标预备会</w:t>
      </w:r>
      <w:r>
        <w:rPr>
          <w:color w:val="auto"/>
          <w:highlight w:val="none"/>
        </w:rPr>
        <w:tab/>
      </w:r>
      <w:r>
        <w:rPr>
          <w:color w:val="auto"/>
          <w:highlight w:val="none"/>
        </w:rPr>
        <w:fldChar w:fldCharType="begin"/>
      </w:r>
      <w:r>
        <w:rPr>
          <w:color w:val="auto"/>
          <w:highlight w:val="none"/>
        </w:rPr>
        <w:instrText xml:space="preserve"> PAGEREF _Toc6461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_Toc23519 </w:instrText>
      </w:r>
      <w:r>
        <w:rPr>
          <w:rFonts w:hint="eastAsia" w:ascii="宋体" w:hAnsi="宋体" w:cs="宋体"/>
          <w:color w:val="auto"/>
          <w:highlight w:val="none"/>
        </w:rPr>
        <w:fldChar w:fldCharType="separate"/>
      </w:r>
      <w:r>
        <w:rPr>
          <w:rFonts w:hint="eastAsia" w:ascii="宋体" w:eastAsia="宋体" w:cs="宋体"/>
          <w:color w:val="auto"/>
          <w:highlight w:val="none"/>
        </w:rPr>
        <w:t>1.11 分包</w:t>
      </w:r>
      <w:r>
        <w:rPr>
          <w:color w:val="auto"/>
          <w:highlight w:val="none"/>
        </w:rPr>
        <w:tab/>
      </w:r>
      <w:r>
        <w:rPr>
          <w:color w:val="auto"/>
          <w:highlight w:val="none"/>
        </w:rPr>
        <w:fldChar w:fldCharType="begin"/>
      </w:r>
      <w:r>
        <w:rPr>
          <w:color w:val="auto"/>
          <w:highlight w:val="none"/>
        </w:rPr>
        <w:instrText xml:space="preserve"> PAGEREF _Toc23519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_Toc21717 </w:instrText>
      </w:r>
      <w:r>
        <w:rPr>
          <w:rFonts w:hint="eastAsia" w:ascii="宋体" w:hAnsi="宋体" w:cs="宋体"/>
          <w:color w:val="auto"/>
          <w:highlight w:val="none"/>
        </w:rPr>
        <w:fldChar w:fldCharType="separate"/>
      </w:r>
      <w:r>
        <w:rPr>
          <w:rFonts w:hint="eastAsia" w:ascii="宋体" w:eastAsia="宋体" w:cs="宋体"/>
          <w:color w:val="auto"/>
          <w:highlight w:val="none"/>
        </w:rPr>
        <w:t>1.12 偏离</w:t>
      </w:r>
      <w:r>
        <w:rPr>
          <w:color w:val="auto"/>
          <w:highlight w:val="none"/>
        </w:rPr>
        <w:tab/>
      </w:r>
      <w:r>
        <w:rPr>
          <w:color w:val="auto"/>
          <w:highlight w:val="none"/>
        </w:rPr>
        <w:fldChar w:fldCharType="begin"/>
      </w:r>
      <w:r>
        <w:rPr>
          <w:color w:val="auto"/>
          <w:highlight w:val="none"/>
        </w:rPr>
        <w:instrText xml:space="preserve"> PAGEREF _Toc21717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_Toc20689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_Toc20689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_Toc27638 </w:instrText>
      </w:r>
      <w:r>
        <w:rPr>
          <w:rFonts w:hint="eastAsia" w:ascii="宋体" w:hAnsi="宋体" w:cs="宋体"/>
          <w:color w:val="auto"/>
          <w:highlight w:val="none"/>
        </w:rPr>
        <w:fldChar w:fldCharType="separate"/>
      </w:r>
      <w:r>
        <w:rPr>
          <w:rFonts w:hint="eastAsia" w:ascii="宋体" w:eastAsia="宋体" w:cs="宋体"/>
          <w:color w:val="auto"/>
          <w:highlight w:val="none"/>
        </w:rPr>
        <w:t>2.1 招标文件的组成</w:t>
      </w:r>
      <w:r>
        <w:rPr>
          <w:color w:val="auto"/>
          <w:highlight w:val="none"/>
        </w:rPr>
        <w:tab/>
      </w:r>
      <w:r>
        <w:rPr>
          <w:color w:val="auto"/>
          <w:highlight w:val="none"/>
        </w:rPr>
        <w:fldChar w:fldCharType="begin"/>
      </w:r>
      <w:r>
        <w:rPr>
          <w:color w:val="auto"/>
          <w:highlight w:val="none"/>
        </w:rPr>
        <w:instrText xml:space="preserve"> PAGEREF _Toc27638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_Toc25132 </w:instrText>
      </w:r>
      <w:r>
        <w:rPr>
          <w:rFonts w:hint="eastAsia" w:ascii="宋体" w:hAnsi="宋体" w:cs="宋体"/>
          <w:color w:val="auto"/>
          <w:highlight w:val="none"/>
        </w:rPr>
        <w:fldChar w:fldCharType="separate"/>
      </w:r>
      <w:r>
        <w:rPr>
          <w:rFonts w:hint="eastAsia" w:ascii="宋体" w:eastAsia="宋体" w:cs="宋体"/>
          <w:color w:val="auto"/>
          <w:highlight w:val="none"/>
        </w:rPr>
        <w:t>2.2 招标文件的澄清</w:t>
      </w:r>
      <w:r>
        <w:rPr>
          <w:color w:val="auto"/>
          <w:highlight w:val="none"/>
        </w:rPr>
        <w:tab/>
      </w:r>
      <w:r>
        <w:rPr>
          <w:color w:val="auto"/>
          <w:highlight w:val="none"/>
        </w:rPr>
        <w:fldChar w:fldCharType="begin"/>
      </w:r>
      <w:r>
        <w:rPr>
          <w:color w:val="auto"/>
          <w:highlight w:val="none"/>
        </w:rPr>
        <w:instrText xml:space="preserve"> PAGEREF _Toc25132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_Toc2504 </w:instrText>
      </w:r>
      <w:r>
        <w:rPr>
          <w:rFonts w:hint="eastAsia" w:ascii="宋体" w:hAnsi="宋体" w:cs="宋体"/>
          <w:color w:val="auto"/>
          <w:highlight w:val="none"/>
        </w:rPr>
        <w:fldChar w:fldCharType="separate"/>
      </w:r>
      <w:r>
        <w:rPr>
          <w:rFonts w:hint="eastAsia" w:ascii="宋体" w:eastAsia="宋体" w:cs="宋体"/>
          <w:color w:val="auto"/>
          <w:highlight w:val="none"/>
        </w:rPr>
        <w:t>2.3 招标文件的修改</w:t>
      </w:r>
      <w:r>
        <w:rPr>
          <w:color w:val="auto"/>
          <w:highlight w:val="none"/>
        </w:rPr>
        <w:tab/>
      </w:r>
      <w:r>
        <w:rPr>
          <w:color w:val="auto"/>
          <w:highlight w:val="none"/>
        </w:rPr>
        <w:fldChar w:fldCharType="begin"/>
      </w:r>
      <w:r>
        <w:rPr>
          <w:color w:val="auto"/>
          <w:highlight w:val="none"/>
        </w:rPr>
        <w:instrText xml:space="preserve"> PAGEREF _Toc2504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_Toc4270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_Toc4270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_Toc28028 </w:instrText>
      </w:r>
      <w:r>
        <w:rPr>
          <w:rFonts w:hint="eastAsia" w:ascii="宋体" w:hAnsi="宋体" w:cs="宋体"/>
          <w:color w:val="auto"/>
          <w:highlight w:val="none"/>
        </w:rPr>
        <w:fldChar w:fldCharType="separate"/>
      </w:r>
      <w:r>
        <w:rPr>
          <w:rFonts w:hint="eastAsia" w:ascii="宋体" w:eastAsia="宋体" w:cs="宋体"/>
          <w:color w:val="auto"/>
          <w:szCs w:val="21"/>
          <w:highlight w:val="none"/>
        </w:rPr>
        <w:t>3.1 投标文件的组成</w:t>
      </w:r>
      <w:r>
        <w:rPr>
          <w:color w:val="auto"/>
          <w:highlight w:val="none"/>
        </w:rPr>
        <w:tab/>
      </w:r>
      <w:r>
        <w:rPr>
          <w:color w:val="auto"/>
          <w:highlight w:val="none"/>
        </w:rPr>
        <w:fldChar w:fldCharType="begin"/>
      </w:r>
      <w:r>
        <w:rPr>
          <w:color w:val="auto"/>
          <w:highlight w:val="none"/>
        </w:rPr>
        <w:instrText xml:space="preserve"> PAGEREF _Toc28028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_Toc642 </w:instrText>
      </w:r>
      <w:r>
        <w:rPr>
          <w:rFonts w:hint="eastAsia" w:ascii="宋体" w:hAnsi="宋体" w:cs="宋体"/>
          <w:color w:val="auto"/>
          <w:highlight w:val="none"/>
        </w:rPr>
        <w:fldChar w:fldCharType="separate"/>
      </w:r>
      <w:r>
        <w:rPr>
          <w:rFonts w:hint="eastAsia" w:ascii="宋体" w:eastAsia="宋体" w:cs="宋体"/>
          <w:color w:val="auto"/>
          <w:szCs w:val="21"/>
          <w:highlight w:val="none"/>
        </w:rPr>
        <w:t>3.2 投标报价</w:t>
      </w:r>
      <w:r>
        <w:rPr>
          <w:color w:val="auto"/>
          <w:highlight w:val="none"/>
        </w:rPr>
        <w:tab/>
      </w:r>
      <w:r>
        <w:rPr>
          <w:color w:val="auto"/>
          <w:highlight w:val="none"/>
        </w:rPr>
        <w:fldChar w:fldCharType="begin"/>
      </w:r>
      <w:r>
        <w:rPr>
          <w:color w:val="auto"/>
          <w:highlight w:val="none"/>
        </w:rPr>
        <w:instrText xml:space="preserve"> PAGEREF _Toc642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_Toc329 </w:instrText>
      </w:r>
      <w:r>
        <w:rPr>
          <w:rFonts w:hint="eastAsia" w:ascii="宋体" w:hAnsi="宋体" w:cs="宋体"/>
          <w:color w:val="auto"/>
          <w:highlight w:val="none"/>
        </w:rPr>
        <w:fldChar w:fldCharType="separate"/>
      </w:r>
      <w:r>
        <w:rPr>
          <w:rFonts w:hint="eastAsia" w:ascii="宋体" w:eastAsia="宋体" w:cs="宋体"/>
          <w:color w:val="auto"/>
          <w:szCs w:val="21"/>
          <w:highlight w:val="none"/>
        </w:rPr>
        <w:t>3.3 投标有效期</w:t>
      </w:r>
      <w:r>
        <w:rPr>
          <w:color w:val="auto"/>
          <w:highlight w:val="none"/>
        </w:rPr>
        <w:tab/>
      </w:r>
      <w:r>
        <w:rPr>
          <w:color w:val="auto"/>
          <w:highlight w:val="none"/>
        </w:rPr>
        <w:fldChar w:fldCharType="begin"/>
      </w:r>
      <w:r>
        <w:rPr>
          <w:color w:val="auto"/>
          <w:highlight w:val="none"/>
        </w:rPr>
        <w:instrText xml:space="preserve"> PAGEREF _Toc329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_Toc19161 </w:instrText>
      </w:r>
      <w:r>
        <w:rPr>
          <w:rFonts w:hint="eastAsia" w:ascii="宋体" w:hAnsi="宋体" w:cs="宋体"/>
          <w:color w:val="auto"/>
          <w:highlight w:val="none"/>
        </w:rPr>
        <w:fldChar w:fldCharType="separate"/>
      </w:r>
      <w:r>
        <w:rPr>
          <w:rFonts w:hint="eastAsia" w:ascii="宋体" w:eastAsia="宋体" w:cs="宋体"/>
          <w:color w:val="auto"/>
          <w:highlight w:val="none"/>
        </w:rPr>
        <w:t>3.4 投标保证金</w:t>
      </w:r>
      <w:r>
        <w:rPr>
          <w:color w:val="auto"/>
          <w:highlight w:val="none"/>
        </w:rPr>
        <w:tab/>
      </w:r>
      <w:r>
        <w:rPr>
          <w:color w:val="auto"/>
          <w:highlight w:val="none"/>
        </w:rPr>
        <w:fldChar w:fldCharType="begin"/>
      </w:r>
      <w:r>
        <w:rPr>
          <w:color w:val="auto"/>
          <w:highlight w:val="none"/>
        </w:rPr>
        <w:instrText xml:space="preserve"> PAGEREF _Toc19161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_Toc24108 </w:instrText>
      </w:r>
      <w:r>
        <w:rPr>
          <w:rFonts w:hint="eastAsia" w:ascii="宋体" w:hAnsi="宋体" w:cs="宋体"/>
          <w:color w:val="auto"/>
          <w:highlight w:val="none"/>
        </w:rPr>
        <w:fldChar w:fldCharType="separate"/>
      </w:r>
      <w:r>
        <w:rPr>
          <w:rFonts w:hint="eastAsia" w:ascii="宋体" w:eastAsia="宋体" w:cs="宋体"/>
          <w:color w:val="auto"/>
          <w:highlight w:val="none"/>
        </w:rPr>
        <w:t>3.5 资格审查资料（适用于未进行资格预审的）</w:t>
      </w:r>
      <w:r>
        <w:rPr>
          <w:color w:val="auto"/>
          <w:highlight w:val="none"/>
        </w:rPr>
        <w:tab/>
      </w:r>
      <w:r>
        <w:rPr>
          <w:color w:val="auto"/>
          <w:highlight w:val="none"/>
        </w:rPr>
        <w:fldChar w:fldCharType="begin"/>
      </w:r>
      <w:r>
        <w:rPr>
          <w:color w:val="auto"/>
          <w:highlight w:val="none"/>
        </w:rPr>
        <w:instrText xml:space="preserve"> PAGEREF _Toc24108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_Toc20254 </w:instrText>
      </w:r>
      <w:r>
        <w:rPr>
          <w:rFonts w:hint="eastAsia" w:ascii="宋体" w:hAnsi="宋体" w:cs="宋体"/>
          <w:color w:val="auto"/>
          <w:highlight w:val="none"/>
        </w:rPr>
        <w:fldChar w:fldCharType="separate"/>
      </w:r>
      <w:r>
        <w:rPr>
          <w:rFonts w:hint="eastAsia" w:ascii="宋体" w:eastAsia="宋体" w:cs="宋体"/>
          <w:color w:val="auto"/>
          <w:highlight w:val="none"/>
        </w:rPr>
        <w:t>3.6 备选投标方案</w:t>
      </w:r>
      <w:r>
        <w:rPr>
          <w:color w:val="auto"/>
          <w:highlight w:val="none"/>
        </w:rPr>
        <w:tab/>
      </w:r>
      <w:r>
        <w:rPr>
          <w:color w:val="auto"/>
          <w:highlight w:val="none"/>
        </w:rPr>
        <w:fldChar w:fldCharType="begin"/>
      </w:r>
      <w:r>
        <w:rPr>
          <w:color w:val="auto"/>
          <w:highlight w:val="none"/>
        </w:rPr>
        <w:instrText xml:space="preserve"> PAGEREF _Toc20254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_Toc19130 </w:instrText>
      </w:r>
      <w:r>
        <w:rPr>
          <w:rFonts w:hint="eastAsia" w:ascii="宋体" w:hAnsi="宋体" w:cs="宋体"/>
          <w:color w:val="auto"/>
          <w:highlight w:val="none"/>
        </w:rPr>
        <w:fldChar w:fldCharType="separate"/>
      </w:r>
      <w:r>
        <w:rPr>
          <w:rFonts w:hint="eastAsia" w:ascii="宋体" w:eastAsia="宋体" w:cs="宋体"/>
          <w:color w:val="auto"/>
          <w:highlight w:val="none"/>
        </w:rPr>
        <w:t>3.7 投标文件的编制</w:t>
      </w:r>
      <w:r>
        <w:rPr>
          <w:color w:val="auto"/>
          <w:highlight w:val="none"/>
        </w:rPr>
        <w:tab/>
      </w:r>
      <w:r>
        <w:rPr>
          <w:color w:val="auto"/>
          <w:highlight w:val="none"/>
        </w:rPr>
        <w:fldChar w:fldCharType="begin"/>
      </w:r>
      <w:r>
        <w:rPr>
          <w:color w:val="auto"/>
          <w:highlight w:val="none"/>
        </w:rPr>
        <w:instrText xml:space="preserve"> PAGEREF _Toc19130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_Toc16128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4. 投标</w:t>
      </w:r>
      <w:r>
        <w:rPr>
          <w:color w:val="auto"/>
          <w:highlight w:val="none"/>
        </w:rPr>
        <w:tab/>
      </w:r>
      <w:r>
        <w:rPr>
          <w:color w:val="auto"/>
          <w:highlight w:val="none"/>
        </w:rPr>
        <w:fldChar w:fldCharType="begin"/>
      </w:r>
      <w:r>
        <w:rPr>
          <w:color w:val="auto"/>
          <w:highlight w:val="none"/>
        </w:rPr>
        <w:instrText xml:space="preserve"> PAGEREF _Toc16128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_Toc30096 </w:instrText>
      </w:r>
      <w:r>
        <w:rPr>
          <w:rFonts w:hint="eastAsia" w:ascii="宋体" w:hAnsi="宋体" w:cs="宋体"/>
          <w:color w:val="auto"/>
          <w:highlight w:val="none"/>
        </w:rPr>
        <w:fldChar w:fldCharType="separate"/>
      </w:r>
      <w:r>
        <w:rPr>
          <w:rFonts w:hint="eastAsia" w:ascii="宋体" w:eastAsia="宋体" w:cs="宋体"/>
          <w:color w:val="auto"/>
          <w:highlight w:val="none"/>
        </w:rPr>
        <w:t>4.1 投标文件的加密</w:t>
      </w:r>
      <w:r>
        <w:rPr>
          <w:color w:val="auto"/>
          <w:highlight w:val="none"/>
        </w:rPr>
        <w:tab/>
      </w:r>
      <w:r>
        <w:rPr>
          <w:color w:val="auto"/>
          <w:highlight w:val="none"/>
        </w:rPr>
        <w:fldChar w:fldCharType="begin"/>
      </w:r>
      <w:r>
        <w:rPr>
          <w:color w:val="auto"/>
          <w:highlight w:val="none"/>
        </w:rPr>
        <w:instrText xml:space="preserve"> PAGEREF _Toc30096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_Toc32173 </w:instrText>
      </w:r>
      <w:r>
        <w:rPr>
          <w:rFonts w:hint="eastAsia" w:ascii="宋体" w:hAnsi="宋体" w:cs="宋体"/>
          <w:color w:val="auto"/>
          <w:highlight w:val="none"/>
        </w:rPr>
        <w:fldChar w:fldCharType="separate"/>
      </w:r>
      <w:r>
        <w:rPr>
          <w:rFonts w:hint="eastAsia" w:ascii="宋体" w:eastAsia="宋体" w:cs="宋体"/>
          <w:color w:val="auto"/>
          <w:highlight w:val="none"/>
        </w:rPr>
        <w:t>4.2 投标文件的递交</w:t>
      </w:r>
      <w:r>
        <w:rPr>
          <w:color w:val="auto"/>
          <w:highlight w:val="none"/>
        </w:rPr>
        <w:tab/>
      </w:r>
      <w:r>
        <w:rPr>
          <w:color w:val="auto"/>
          <w:highlight w:val="none"/>
        </w:rPr>
        <w:fldChar w:fldCharType="begin"/>
      </w:r>
      <w:r>
        <w:rPr>
          <w:color w:val="auto"/>
          <w:highlight w:val="none"/>
        </w:rPr>
        <w:instrText xml:space="preserve"> PAGEREF _Toc32173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_Toc28699 </w:instrText>
      </w:r>
      <w:r>
        <w:rPr>
          <w:rFonts w:hint="eastAsia" w:ascii="宋体" w:hAnsi="宋体" w:cs="宋体"/>
          <w:color w:val="auto"/>
          <w:highlight w:val="none"/>
        </w:rPr>
        <w:fldChar w:fldCharType="separate"/>
      </w:r>
      <w:r>
        <w:rPr>
          <w:rFonts w:hint="eastAsia" w:ascii="宋体" w:eastAsia="宋体" w:cs="宋体"/>
          <w:color w:val="auto"/>
          <w:highlight w:val="none"/>
        </w:rPr>
        <w:t>4.3 投标文件的修改与撤回</w:t>
      </w:r>
      <w:r>
        <w:rPr>
          <w:color w:val="auto"/>
          <w:highlight w:val="none"/>
        </w:rPr>
        <w:tab/>
      </w:r>
      <w:r>
        <w:rPr>
          <w:color w:val="auto"/>
          <w:highlight w:val="none"/>
        </w:rPr>
        <w:fldChar w:fldCharType="begin"/>
      </w:r>
      <w:r>
        <w:rPr>
          <w:color w:val="auto"/>
          <w:highlight w:val="none"/>
        </w:rPr>
        <w:instrText xml:space="preserve"> PAGEREF _Toc28699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_Toc3565 </w:instrText>
      </w:r>
      <w:r>
        <w:rPr>
          <w:rFonts w:hint="eastAsia" w:ascii="宋体" w:hAnsi="宋体" w:cs="宋体"/>
          <w:color w:val="auto"/>
          <w:highlight w:val="none"/>
        </w:rPr>
        <w:fldChar w:fldCharType="separate"/>
      </w:r>
      <w:r>
        <w:rPr>
          <w:rFonts w:hint="eastAsia" w:ascii="宋体" w:eastAsia="宋体" w:cs="宋体"/>
          <w:color w:val="auto"/>
          <w:highlight w:val="none"/>
          <w:lang w:val="zh-CN"/>
        </w:rPr>
        <w:t>4.5投标文件的解密</w:t>
      </w:r>
      <w:r>
        <w:rPr>
          <w:color w:val="auto"/>
          <w:highlight w:val="none"/>
        </w:rPr>
        <w:tab/>
      </w:r>
      <w:r>
        <w:rPr>
          <w:color w:val="auto"/>
          <w:highlight w:val="none"/>
        </w:rPr>
        <w:fldChar w:fldCharType="begin"/>
      </w:r>
      <w:r>
        <w:rPr>
          <w:color w:val="auto"/>
          <w:highlight w:val="none"/>
        </w:rPr>
        <w:instrText xml:space="preserve"> PAGEREF _Toc3565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_Toc24569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5. 开标</w:t>
      </w:r>
      <w:r>
        <w:rPr>
          <w:color w:val="auto"/>
          <w:highlight w:val="none"/>
        </w:rPr>
        <w:tab/>
      </w:r>
      <w:r>
        <w:rPr>
          <w:color w:val="auto"/>
          <w:highlight w:val="none"/>
        </w:rPr>
        <w:fldChar w:fldCharType="begin"/>
      </w:r>
      <w:r>
        <w:rPr>
          <w:color w:val="auto"/>
          <w:highlight w:val="none"/>
        </w:rPr>
        <w:instrText xml:space="preserve"> PAGEREF _Toc24569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_Toc7203 </w:instrText>
      </w:r>
      <w:r>
        <w:rPr>
          <w:rFonts w:hint="eastAsia" w:ascii="宋体" w:hAnsi="宋体" w:cs="宋体"/>
          <w:color w:val="auto"/>
          <w:highlight w:val="none"/>
        </w:rPr>
        <w:fldChar w:fldCharType="separate"/>
      </w:r>
      <w:r>
        <w:rPr>
          <w:rFonts w:hint="eastAsia" w:ascii="宋体" w:eastAsia="宋体" w:cs="宋体"/>
          <w:color w:val="auto"/>
          <w:highlight w:val="none"/>
        </w:rPr>
        <w:t>5.1 开标时间和地点</w:t>
      </w:r>
      <w:r>
        <w:rPr>
          <w:color w:val="auto"/>
          <w:highlight w:val="none"/>
        </w:rPr>
        <w:tab/>
      </w:r>
      <w:r>
        <w:rPr>
          <w:color w:val="auto"/>
          <w:highlight w:val="none"/>
        </w:rPr>
        <w:fldChar w:fldCharType="begin"/>
      </w:r>
      <w:r>
        <w:rPr>
          <w:color w:val="auto"/>
          <w:highlight w:val="none"/>
        </w:rPr>
        <w:instrText xml:space="preserve"> PAGEREF _Toc7203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_Toc5967 </w:instrText>
      </w:r>
      <w:r>
        <w:rPr>
          <w:rFonts w:hint="eastAsia" w:ascii="宋体" w:hAnsi="宋体" w:cs="宋体"/>
          <w:color w:val="auto"/>
          <w:highlight w:val="none"/>
        </w:rPr>
        <w:fldChar w:fldCharType="separate"/>
      </w:r>
      <w:r>
        <w:rPr>
          <w:rFonts w:hint="eastAsia" w:ascii="宋体" w:eastAsia="宋体" w:cs="宋体"/>
          <w:color w:val="auto"/>
          <w:highlight w:val="none"/>
        </w:rPr>
        <w:t>5.2 开标程序</w:t>
      </w:r>
      <w:r>
        <w:rPr>
          <w:color w:val="auto"/>
          <w:highlight w:val="none"/>
        </w:rPr>
        <w:tab/>
      </w:r>
      <w:r>
        <w:rPr>
          <w:color w:val="auto"/>
          <w:highlight w:val="none"/>
        </w:rPr>
        <w:fldChar w:fldCharType="begin"/>
      </w:r>
      <w:r>
        <w:rPr>
          <w:color w:val="auto"/>
          <w:highlight w:val="none"/>
        </w:rPr>
        <w:instrText xml:space="preserve"> PAGEREF _Toc5967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_Toc32127 </w:instrText>
      </w:r>
      <w:r>
        <w:rPr>
          <w:rFonts w:hint="eastAsia" w:ascii="宋体" w:hAnsi="宋体" w:cs="宋体"/>
          <w:color w:val="auto"/>
          <w:highlight w:val="none"/>
        </w:rPr>
        <w:fldChar w:fldCharType="separate"/>
      </w:r>
      <w:r>
        <w:rPr>
          <w:rFonts w:hint="eastAsia" w:ascii="宋体" w:eastAsia="宋体" w:cs="宋体"/>
          <w:color w:val="auto"/>
          <w:highlight w:val="none"/>
        </w:rPr>
        <w:t>5.3 开标异议</w:t>
      </w:r>
      <w:r>
        <w:rPr>
          <w:color w:val="auto"/>
          <w:highlight w:val="none"/>
        </w:rPr>
        <w:tab/>
      </w:r>
      <w:r>
        <w:rPr>
          <w:color w:val="auto"/>
          <w:highlight w:val="none"/>
        </w:rPr>
        <w:fldChar w:fldCharType="begin"/>
      </w:r>
      <w:r>
        <w:rPr>
          <w:color w:val="auto"/>
          <w:highlight w:val="none"/>
        </w:rPr>
        <w:instrText xml:space="preserve"> PAGEREF _Toc32127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_Toc20424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6.评标</w:t>
      </w:r>
      <w:r>
        <w:rPr>
          <w:color w:val="auto"/>
          <w:highlight w:val="none"/>
        </w:rPr>
        <w:tab/>
      </w:r>
      <w:r>
        <w:rPr>
          <w:color w:val="auto"/>
          <w:highlight w:val="none"/>
        </w:rPr>
        <w:fldChar w:fldCharType="begin"/>
      </w:r>
      <w:r>
        <w:rPr>
          <w:color w:val="auto"/>
          <w:highlight w:val="none"/>
        </w:rPr>
        <w:instrText xml:space="preserve"> PAGEREF _Toc20424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_Toc26256 </w:instrText>
      </w:r>
      <w:r>
        <w:rPr>
          <w:rFonts w:hint="eastAsia" w:ascii="宋体" w:hAnsi="宋体" w:cs="宋体"/>
          <w:color w:val="auto"/>
          <w:highlight w:val="none"/>
        </w:rPr>
        <w:fldChar w:fldCharType="separate"/>
      </w:r>
      <w:r>
        <w:rPr>
          <w:rFonts w:hint="eastAsia" w:ascii="宋体" w:eastAsia="宋体" w:cs="宋体"/>
          <w:color w:val="auto"/>
          <w:highlight w:val="none"/>
        </w:rPr>
        <w:t>6.1 评标委员会</w:t>
      </w:r>
      <w:r>
        <w:rPr>
          <w:color w:val="auto"/>
          <w:highlight w:val="none"/>
        </w:rPr>
        <w:tab/>
      </w:r>
      <w:r>
        <w:rPr>
          <w:color w:val="auto"/>
          <w:highlight w:val="none"/>
        </w:rPr>
        <w:fldChar w:fldCharType="begin"/>
      </w:r>
      <w:r>
        <w:rPr>
          <w:color w:val="auto"/>
          <w:highlight w:val="none"/>
        </w:rPr>
        <w:instrText xml:space="preserve"> PAGEREF _Toc26256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_Toc25789 </w:instrText>
      </w:r>
      <w:r>
        <w:rPr>
          <w:rFonts w:hint="eastAsia" w:ascii="宋体" w:hAnsi="宋体" w:cs="宋体"/>
          <w:color w:val="auto"/>
          <w:highlight w:val="none"/>
        </w:rPr>
        <w:fldChar w:fldCharType="separate"/>
      </w:r>
      <w:r>
        <w:rPr>
          <w:rFonts w:hint="eastAsia" w:ascii="宋体" w:eastAsia="宋体" w:cs="宋体"/>
          <w:color w:val="auto"/>
          <w:highlight w:val="none"/>
        </w:rPr>
        <w:t>6.2 评标原则</w:t>
      </w:r>
      <w:r>
        <w:rPr>
          <w:color w:val="auto"/>
          <w:highlight w:val="none"/>
        </w:rPr>
        <w:tab/>
      </w:r>
      <w:r>
        <w:rPr>
          <w:color w:val="auto"/>
          <w:highlight w:val="none"/>
        </w:rPr>
        <w:fldChar w:fldCharType="begin"/>
      </w:r>
      <w:r>
        <w:rPr>
          <w:color w:val="auto"/>
          <w:highlight w:val="none"/>
        </w:rPr>
        <w:instrText xml:space="preserve"> PAGEREF _Toc25789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_Toc8283 </w:instrText>
      </w:r>
      <w:r>
        <w:rPr>
          <w:rFonts w:hint="eastAsia" w:ascii="宋体" w:hAnsi="宋体" w:cs="宋体"/>
          <w:color w:val="auto"/>
          <w:highlight w:val="none"/>
        </w:rPr>
        <w:fldChar w:fldCharType="separate"/>
      </w:r>
      <w:r>
        <w:rPr>
          <w:rFonts w:hint="eastAsia" w:ascii="宋体" w:eastAsia="宋体" w:cs="宋体"/>
          <w:color w:val="auto"/>
          <w:highlight w:val="none"/>
        </w:rPr>
        <w:t>6.3 评标</w:t>
      </w:r>
      <w:r>
        <w:rPr>
          <w:color w:val="auto"/>
          <w:highlight w:val="none"/>
        </w:rPr>
        <w:tab/>
      </w:r>
      <w:r>
        <w:rPr>
          <w:color w:val="auto"/>
          <w:highlight w:val="none"/>
        </w:rPr>
        <w:fldChar w:fldCharType="begin"/>
      </w:r>
      <w:r>
        <w:rPr>
          <w:color w:val="auto"/>
          <w:highlight w:val="none"/>
        </w:rPr>
        <w:instrText xml:space="preserve"> PAGEREF _Toc8283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_Toc4609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7. 合同授予</w:t>
      </w:r>
      <w:r>
        <w:rPr>
          <w:color w:val="auto"/>
          <w:highlight w:val="none"/>
        </w:rPr>
        <w:tab/>
      </w:r>
      <w:r>
        <w:rPr>
          <w:color w:val="auto"/>
          <w:highlight w:val="none"/>
        </w:rPr>
        <w:fldChar w:fldCharType="begin"/>
      </w:r>
      <w:r>
        <w:rPr>
          <w:color w:val="auto"/>
          <w:highlight w:val="none"/>
        </w:rPr>
        <w:instrText xml:space="preserve"> PAGEREF _Toc4609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_Toc15035 </w:instrText>
      </w:r>
      <w:r>
        <w:rPr>
          <w:rFonts w:hint="eastAsia" w:ascii="宋体" w:hAnsi="宋体" w:cs="宋体"/>
          <w:color w:val="auto"/>
          <w:highlight w:val="none"/>
        </w:rPr>
        <w:fldChar w:fldCharType="separate"/>
      </w:r>
      <w:r>
        <w:rPr>
          <w:rFonts w:hint="eastAsia" w:ascii="宋体" w:eastAsia="宋体" w:cs="宋体"/>
          <w:color w:val="auto"/>
          <w:highlight w:val="none"/>
        </w:rPr>
        <w:t>7.1 定标方式</w:t>
      </w:r>
      <w:r>
        <w:rPr>
          <w:color w:val="auto"/>
          <w:highlight w:val="none"/>
        </w:rPr>
        <w:tab/>
      </w:r>
      <w:r>
        <w:rPr>
          <w:color w:val="auto"/>
          <w:highlight w:val="none"/>
        </w:rPr>
        <w:fldChar w:fldCharType="begin"/>
      </w:r>
      <w:r>
        <w:rPr>
          <w:color w:val="auto"/>
          <w:highlight w:val="none"/>
        </w:rPr>
        <w:instrText xml:space="preserve"> PAGEREF _Toc15035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_Toc17912 </w:instrText>
      </w:r>
      <w:r>
        <w:rPr>
          <w:rFonts w:hint="eastAsia" w:ascii="宋体" w:hAnsi="宋体" w:cs="宋体"/>
          <w:color w:val="auto"/>
          <w:highlight w:val="none"/>
        </w:rPr>
        <w:fldChar w:fldCharType="separate"/>
      </w:r>
      <w:r>
        <w:rPr>
          <w:rFonts w:hint="eastAsia" w:ascii="宋体" w:eastAsia="宋体" w:cs="宋体"/>
          <w:color w:val="auto"/>
          <w:highlight w:val="none"/>
        </w:rPr>
        <w:t>7.2 中标候选人公示</w:t>
      </w:r>
      <w:r>
        <w:rPr>
          <w:color w:val="auto"/>
          <w:highlight w:val="none"/>
        </w:rPr>
        <w:tab/>
      </w:r>
      <w:r>
        <w:rPr>
          <w:color w:val="auto"/>
          <w:highlight w:val="none"/>
        </w:rPr>
        <w:fldChar w:fldCharType="begin"/>
      </w:r>
      <w:r>
        <w:rPr>
          <w:color w:val="auto"/>
          <w:highlight w:val="none"/>
        </w:rPr>
        <w:instrText xml:space="preserve"> PAGEREF _Toc17912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_Toc22709 </w:instrText>
      </w:r>
      <w:r>
        <w:rPr>
          <w:rFonts w:hint="eastAsia" w:ascii="宋体" w:hAnsi="宋体" w:cs="宋体"/>
          <w:color w:val="auto"/>
          <w:highlight w:val="none"/>
        </w:rPr>
        <w:fldChar w:fldCharType="separate"/>
      </w:r>
      <w:r>
        <w:rPr>
          <w:rFonts w:hint="eastAsia" w:ascii="宋体" w:eastAsia="宋体" w:cs="宋体"/>
          <w:color w:val="auto"/>
          <w:highlight w:val="none"/>
        </w:rPr>
        <w:t>7.3 中标通知</w:t>
      </w:r>
      <w:r>
        <w:rPr>
          <w:color w:val="auto"/>
          <w:highlight w:val="none"/>
        </w:rPr>
        <w:tab/>
      </w:r>
      <w:r>
        <w:rPr>
          <w:color w:val="auto"/>
          <w:highlight w:val="none"/>
        </w:rPr>
        <w:fldChar w:fldCharType="begin"/>
      </w:r>
      <w:r>
        <w:rPr>
          <w:color w:val="auto"/>
          <w:highlight w:val="none"/>
        </w:rPr>
        <w:instrText xml:space="preserve"> PAGEREF _Toc22709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_Toc29969 </w:instrText>
      </w:r>
      <w:r>
        <w:rPr>
          <w:rFonts w:hint="eastAsia" w:ascii="宋体" w:hAnsi="宋体" w:cs="宋体"/>
          <w:color w:val="auto"/>
          <w:highlight w:val="none"/>
        </w:rPr>
        <w:fldChar w:fldCharType="separate"/>
      </w:r>
      <w:r>
        <w:rPr>
          <w:rFonts w:hint="eastAsia" w:ascii="宋体" w:eastAsia="宋体" w:cs="宋体"/>
          <w:color w:val="auto"/>
          <w:highlight w:val="none"/>
        </w:rPr>
        <w:t>7.4 履约担保</w:t>
      </w:r>
      <w:r>
        <w:rPr>
          <w:color w:val="auto"/>
          <w:highlight w:val="none"/>
        </w:rPr>
        <w:tab/>
      </w:r>
      <w:r>
        <w:rPr>
          <w:color w:val="auto"/>
          <w:highlight w:val="none"/>
        </w:rPr>
        <w:fldChar w:fldCharType="begin"/>
      </w:r>
      <w:r>
        <w:rPr>
          <w:color w:val="auto"/>
          <w:highlight w:val="none"/>
        </w:rPr>
        <w:instrText xml:space="preserve"> PAGEREF _Toc29969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_Toc3183 </w:instrText>
      </w:r>
      <w:r>
        <w:rPr>
          <w:rFonts w:hint="eastAsia" w:ascii="宋体" w:hAnsi="宋体" w:cs="宋体"/>
          <w:color w:val="auto"/>
          <w:highlight w:val="none"/>
        </w:rPr>
        <w:fldChar w:fldCharType="separate"/>
      </w:r>
      <w:r>
        <w:rPr>
          <w:rFonts w:hint="eastAsia" w:ascii="宋体" w:eastAsia="宋体" w:cs="宋体"/>
          <w:color w:val="auto"/>
          <w:highlight w:val="none"/>
        </w:rPr>
        <w:t>7.5 签订合同</w:t>
      </w:r>
      <w:r>
        <w:rPr>
          <w:color w:val="auto"/>
          <w:highlight w:val="none"/>
        </w:rPr>
        <w:tab/>
      </w:r>
      <w:r>
        <w:rPr>
          <w:color w:val="auto"/>
          <w:highlight w:val="none"/>
        </w:rPr>
        <w:fldChar w:fldCharType="begin"/>
      </w:r>
      <w:r>
        <w:rPr>
          <w:color w:val="auto"/>
          <w:highlight w:val="none"/>
        </w:rPr>
        <w:instrText xml:space="preserve"> PAGEREF _Toc3183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_Toc624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8. 纪律和监督</w:t>
      </w:r>
      <w:r>
        <w:rPr>
          <w:color w:val="auto"/>
          <w:highlight w:val="none"/>
        </w:rPr>
        <w:tab/>
      </w:r>
      <w:r>
        <w:rPr>
          <w:color w:val="auto"/>
          <w:highlight w:val="none"/>
        </w:rPr>
        <w:fldChar w:fldCharType="begin"/>
      </w:r>
      <w:r>
        <w:rPr>
          <w:color w:val="auto"/>
          <w:highlight w:val="none"/>
        </w:rPr>
        <w:instrText xml:space="preserve"> PAGEREF _Toc624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_Toc10188 </w:instrText>
      </w:r>
      <w:r>
        <w:rPr>
          <w:rFonts w:hint="eastAsia" w:ascii="宋体" w:hAnsi="宋体" w:cs="宋体"/>
          <w:color w:val="auto"/>
          <w:highlight w:val="none"/>
        </w:rPr>
        <w:fldChar w:fldCharType="separate"/>
      </w:r>
      <w:r>
        <w:rPr>
          <w:rFonts w:hint="eastAsia" w:ascii="宋体" w:eastAsia="宋体" w:cs="宋体"/>
          <w:color w:val="auto"/>
          <w:highlight w:val="none"/>
        </w:rPr>
        <w:t>8.1 对招标人的纪律要求</w:t>
      </w:r>
      <w:r>
        <w:rPr>
          <w:color w:val="auto"/>
          <w:highlight w:val="none"/>
        </w:rPr>
        <w:tab/>
      </w:r>
      <w:r>
        <w:rPr>
          <w:color w:val="auto"/>
          <w:highlight w:val="none"/>
        </w:rPr>
        <w:fldChar w:fldCharType="begin"/>
      </w:r>
      <w:r>
        <w:rPr>
          <w:color w:val="auto"/>
          <w:highlight w:val="none"/>
        </w:rPr>
        <w:instrText xml:space="preserve"> PAGEREF _Toc10188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_Toc11917 </w:instrText>
      </w:r>
      <w:r>
        <w:rPr>
          <w:rFonts w:hint="eastAsia" w:ascii="宋体" w:hAnsi="宋体" w:cs="宋体"/>
          <w:color w:val="auto"/>
          <w:highlight w:val="none"/>
        </w:rPr>
        <w:fldChar w:fldCharType="separate"/>
      </w:r>
      <w:r>
        <w:rPr>
          <w:rFonts w:hint="eastAsia" w:ascii="宋体" w:eastAsia="宋体" w:cs="宋体"/>
          <w:color w:val="auto"/>
          <w:highlight w:val="none"/>
        </w:rPr>
        <w:t>8.2 对投标人的纪律要求</w:t>
      </w:r>
      <w:r>
        <w:rPr>
          <w:color w:val="auto"/>
          <w:highlight w:val="none"/>
        </w:rPr>
        <w:tab/>
      </w:r>
      <w:r>
        <w:rPr>
          <w:color w:val="auto"/>
          <w:highlight w:val="none"/>
        </w:rPr>
        <w:fldChar w:fldCharType="begin"/>
      </w:r>
      <w:r>
        <w:rPr>
          <w:color w:val="auto"/>
          <w:highlight w:val="none"/>
        </w:rPr>
        <w:instrText xml:space="preserve"> PAGEREF _Toc11917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_Toc20219 </w:instrText>
      </w:r>
      <w:r>
        <w:rPr>
          <w:rFonts w:hint="eastAsia" w:ascii="宋体" w:hAnsi="宋体" w:cs="宋体"/>
          <w:color w:val="auto"/>
          <w:highlight w:val="none"/>
        </w:rPr>
        <w:fldChar w:fldCharType="separate"/>
      </w:r>
      <w:r>
        <w:rPr>
          <w:rFonts w:hint="eastAsia" w:ascii="宋体" w:eastAsia="宋体" w:cs="宋体"/>
          <w:color w:val="auto"/>
          <w:highlight w:val="none"/>
        </w:rPr>
        <w:t>8.3 对评标委员会成员的纪律要求</w:t>
      </w:r>
      <w:r>
        <w:rPr>
          <w:color w:val="auto"/>
          <w:highlight w:val="none"/>
        </w:rPr>
        <w:tab/>
      </w:r>
      <w:r>
        <w:rPr>
          <w:color w:val="auto"/>
          <w:highlight w:val="none"/>
        </w:rPr>
        <w:fldChar w:fldCharType="begin"/>
      </w:r>
      <w:r>
        <w:rPr>
          <w:color w:val="auto"/>
          <w:highlight w:val="none"/>
        </w:rPr>
        <w:instrText xml:space="preserve"> PAGEREF _Toc20219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_Toc17418 </w:instrText>
      </w:r>
      <w:r>
        <w:rPr>
          <w:rFonts w:hint="eastAsia" w:ascii="宋体" w:hAnsi="宋体" w:cs="宋体"/>
          <w:color w:val="auto"/>
          <w:highlight w:val="none"/>
        </w:rPr>
        <w:fldChar w:fldCharType="separate"/>
      </w:r>
      <w:r>
        <w:rPr>
          <w:rFonts w:hint="eastAsia" w:ascii="宋体" w:eastAsia="宋体" w:cs="宋体"/>
          <w:color w:val="auto"/>
          <w:highlight w:val="none"/>
        </w:rPr>
        <w:t>8.4 对与评标活动有关的工作人员的纪律要求</w:t>
      </w:r>
      <w:r>
        <w:rPr>
          <w:color w:val="auto"/>
          <w:highlight w:val="none"/>
        </w:rPr>
        <w:tab/>
      </w:r>
      <w:r>
        <w:rPr>
          <w:color w:val="auto"/>
          <w:highlight w:val="none"/>
        </w:rPr>
        <w:fldChar w:fldCharType="begin"/>
      </w:r>
      <w:r>
        <w:rPr>
          <w:color w:val="auto"/>
          <w:highlight w:val="none"/>
        </w:rPr>
        <w:instrText xml:space="preserve"> PAGEREF _Toc17418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_Toc17539 </w:instrText>
      </w:r>
      <w:r>
        <w:rPr>
          <w:rFonts w:hint="eastAsia" w:ascii="宋体" w:hAnsi="宋体" w:cs="宋体"/>
          <w:color w:val="auto"/>
          <w:highlight w:val="none"/>
        </w:rPr>
        <w:fldChar w:fldCharType="separate"/>
      </w:r>
      <w:r>
        <w:rPr>
          <w:rFonts w:hint="eastAsia" w:ascii="宋体" w:eastAsia="宋体" w:cs="宋体"/>
          <w:color w:val="auto"/>
          <w:highlight w:val="none"/>
        </w:rPr>
        <w:t>8.5 投诉</w:t>
      </w:r>
      <w:r>
        <w:rPr>
          <w:color w:val="auto"/>
          <w:highlight w:val="none"/>
        </w:rPr>
        <w:tab/>
      </w:r>
      <w:r>
        <w:rPr>
          <w:color w:val="auto"/>
          <w:highlight w:val="none"/>
        </w:rPr>
        <w:fldChar w:fldCharType="begin"/>
      </w:r>
      <w:r>
        <w:rPr>
          <w:color w:val="auto"/>
          <w:highlight w:val="none"/>
        </w:rPr>
        <w:instrText xml:space="preserve"> PAGEREF _Toc17539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_Toc15385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9. 需要补充的其他内容</w:t>
      </w:r>
      <w:r>
        <w:rPr>
          <w:color w:val="auto"/>
          <w:highlight w:val="none"/>
        </w:rPr>
        <w:tab/>
      </w:r>
      <w:r>
        <w:rPr>
          <w:color w:val="auto"/>
          <w:highlight w:val="none"/>
        </w:rPr>
        <w:fldChar w:fldCharType="begin"/>
      </w:r>
      <w:r>
        <w:rPr>
          <w:color w:val="auto"/>
          <w:highlight w:val="none"/>
        </w:rPr>
        <w:instrText xml:space="preserve"> PAGEREF _Toc15385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_Toc25222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10. 电子招标投标</w:t>
      </w:r>
      <w:r>
        <w:rPr>
          <w:color w:val="auto"/>
          <w:highlight w:val="none"/>
        </w:rPr>
        <w:tab/>
      </w:r>
      <w:r>
        <w:rPr>
          <w:color w:val="auto"/>
          <w:highlight w:val="none"/>
        </w:rPr>
        <w:fldChar w:fldCharType="begin"/>
      </w:r>
      <w:r>
        <w:rPr>
          <w:color w:val="auto"/>
          <w:highlight w:val="none"/>
        </w:rPr>
        <w:instrText xml:space="preserve"> PAGEREF _Toc25222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_Toc7969 </w:instrText>
      </w:r>
      <w:r>
        <w:rPr>
          <w:rFonts w:hint="eastAsia" w:ascii="宋体" w:hAnsi="宋体" w:cs="宋体"/>
          <w:color w:val="auto"/>
          <w:highlight w:val="none"/>
        </w:rPr>
        <w:fldChar w:fldCharType="separate"/>
      </w:r>
      <w:r>
        <w:rPr>
          <w:rFonts w:hint="eastAsia" w:ascii="宋体" w:eastAsia="宋体" w:cs="宋体"/>
          <w:color w:val="auto"/>
          <w:highlight w:val="none"/>
        </w:rPr>
        <w:t>附件二：问题澄清通知</w:t>
      </w:r>
      <w:r>
        <w:rPr>
          <w:color w:val="auto"/>
          <w:highlight w:val="none"/>
        </w:rPr>
        <w:tab/>
      </w:r>
      <w:r>
        <w:rPr>
          <w:color w:val="auto"/>
          <w:highlight w:val="none"/>
        </w:rPr>
        <w:fldChar w:fldCharType="begin"/>
      </w:r>
      <w:r>
        <w:rPr>
          <w:color w:val="auto"/>
          <w:highlight w:val="none"/>
        </w:rPr>
        <w:instrText xml:space="preserve"> PAGEREF _Toc7969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_Toc4953 </w:instrText>
      </w:r>
      <w:r>
        <w:rPr>
          <w:rFonts w:hint="eastAsia" w:ascii="宋体" w:hAnsi="宋体" w:cs="宋体"/>
          <w:color w:val="auto"/>
          <w:highlight w:val="none"/>
        </w:rPr>
        <w:fldChar w:fldCharType="separate"/>
      </w:r>
      <w:r>
        <w:rPr>
          <w:rFonts w:hint="eastAsia" w:ascii="宋体" w:eastAsia="宋体" w:cs="宋体"/>
          <w:color w:val="auto"/>
          <w:highlight w:val="none"/>
        </w:rPr>
        <w:t>附件三：问题的澄清</w:t>
      </w:r>
      <w:r>
        <w:rPr>
          <w:color w:val="auto"/>
          <w:highlight w:val="none"/>
        </w:rPr>
        <w:tab/>
      </w:r>
      <w:r>
        <w:rPr>
          <w:color w:val="auto"/>
          <w:highlight w:val="none"/>
        </w:rPr>
        <w:fldChar w:fldCharType="begin"/>
      </w:r>
      <w:r>
        <w:rPr>
          <w:color w:val="auto"/>
          <w:highlight w:val="none"/>
        </w:rPr>
        <w:instrText xml:space="preserve"> PAGEREF _Toc4953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_Toc19336 </w:instrText>
      </w:r>
      <w:r>
        <w:rPr>
          <w:rFonts w:hint="eastAsia" w:ascii="宋体" w:hAnsi="宋体" w:cs="宋体"/>
          <w:color w:val="auto"/>
          <w:highlight w:val="none"/>
        </w:rPr>
        <w:fldChar w:fldCharType="separate"/>
      </w:r>
      <w:r>
        <w:rPr>
          <w:rFonts w:hint="eastAsia" w:ascii="宋体" w:hAnsi="宋体" w:cs="宋体"/>
          <w:color w:val="auto"/>
          <w:highlight w:val="none"/>
        </w:rPr>
        <w:t>第三章 评标办法（综合评估法）</w:t>
      </w:r>
      <w:r>
        <w:rPr>
          <w:color w:val="auto"/>
          <w:highlight w:val="none"/>
        </w:rPr>
        <w:tab/>
      </w:r>
      <w:r>
        <w:rPr>
          <w:color w:val="auto"/>
          <w:highlight w:val="none"/>
        </w:rPr>
        <w:fldChar w:fldCharType="begin"/>
      </w:r>
      <w:r>
        <w:rPr>
          <w:color w:val="auto"/>
          <w:highlight w:val="none"/>
        </w:rPr>
        <w:instrText xml:space="preserve"> PAGEREF _Toc19336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_Toc27555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_Toc27555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_Toc23195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1. 评标方法</w:t>
      </w:r>
      <w:r>
        <w:rPr>
          <w:color w:val="auto"/>
          <w:highlight w:val="none"/>
        </w:rPr>
        <w:tab/>
      </w:r>
      <w:r>
        <w:rPr>
          <w:color w:val="auto"/>
          <w:highlight w:val="none"/>
        </w:rPr>
        <w:fldChar w:fldCharType="begin"/>
      </w:r>
      <w:r>
        <w:rPr>
          <w:color w:val="auto"/>
          <w:highlight w:val="none"/>
        </w:rPr>
        <w:instrText xml:space="preserve"> PAGEREF _Toc23195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_Toc28229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2. 评审标准</w:t>
      </w:r>
      <w:r>
        <w:rPr>
          <w:color w:val="auto"/>
          <w:highlight w:val="none"/>
        </w:rPr>
        <w:tab/>
      </w:r>
      <w:r>
        <w:rPr>
          <w:color w:val="auto"/>
          <w:highlight w:val="none"/>
        </w:rPr>
        <w:fldChar w:fldCharType="begin"/>
      </w:r>
      <w:r>
        <w:rPr>
          <w:color w:val="auto"/>
          <w:highlight w:val="none"/>
        </w:rPr>
        <w:instrText xml:space="preserve"> PAGEREF _Toc28229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_Toc18726 </w:instrText>
      </w:r>
      <w:r>
        <w:rPr>
          <w:rFonts w:hint="eastAsia" w:ascii="宋体" w:hAnsi="宋体" w:cs="宋体"/>
          <w:color w:val="auto"/>
          <w:highlight w:val="none"/>
        </w:rPr>
        <w:fldChar w:fldCharType="separate"/>
      </w:r>
      <w:r>
        <w:rPr>
          <w:rFonts w:hint="eastAsia" w:ascii="宋体" w:eastAsia="宋体" w:cs="宋体"/>
          <w:color w:val="auto"/>
          <w:highlight w:val="none"/>
        </w:rPr>
        <w:t>2.1 初步评审标准</w:t>
      </w:r>
      <w:r>
        <w:rPr>
          <w:color w:val="auto"/>
          <w:highlight w:val="none"/>
        </w:rPr>
        <w:tab/>
      </w:r>
      <w:r>
        <w:rPr>
          <w:color w:val="auto"/>
          <w:highlight w:val="none"/>
        </w:rPr>
        <w:fldChar w:fldCharType="begin"/>
      </w:r>
      <w:r>
        <w:rPr>
          <w:color w:val="auto"/>
          <w:highlight w:val="none"/>
        </w:rPr>
        <w:instrText xml:space="preserve"> PAGEREF _Toc18726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_Toc25693 </w:instrText>
      </w:r>
      <w:r>
        <w:rPr>
          <w:rFonts w:hint="eastAsia" w:ascii="宋体" w:hAnsi="宋体" w:cs="宋体"/>
          <w:color w:val="auto"/>
          <w:highlight w:val="none"/>
        </w:rPr>
        <w:fldChar w:fldCharType="separate"/>
      </w:r>
      <w:r>
        <w:rPr>
          <w:rFonts w:hint="eastAsia" w:ascii="宋体" w:eastAsia="宋体" w:cs="宋体"/>
          <w:color w:val="auto"/>
          <w:highlight w:val="none"/>
        </w:rPr>
        <w:t>2.2 分值构成与评分标准</w:t>
      </w:r>
      <w:r>
        <w:rPr>
          <w:color w:val="auto"/>
          <w:highlight w:val="none"/>
        </w:rPr>
        <w:tab/>
      </w:r>
      <w:r>
        <w:rPr>
          <w:color w:val="auto"/>
          <w:highlight w:val="none"/>
        </w:rPr>
        <w:fldChar w:fldCharType="begin"/>
      </w:r>
      <w:r>
        <w:rPr>
          <w:color w:val="auto"/>
          <w:highlight w:val="none"/>
        </w:rPr>
        <w:instrText xml:space="preserve"> PAGEREF _Toc25693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_Toc1753 </w:instrText>
      </w:r>
      <w:r>
        <w:rPr>
          <w:rFonts w:hint="eastAsia" w:ascii="宋体" w:hAnsi="宋体" w:cs="宋体"/>
          <w:color w:val="auto"/>
          <w:highlight w:val="none"/>
        </w:rPr>
        <w:fldChar w:fldCharType="separate"/>
      </w:r>
      <w:r>
        <w:rPr>
          <w:rFonts w:hint="eastAsia" w:ascii="宋体" w:hAnsi="宋体" w:eastAsia="宋体" w:cs="宋体"/>
          <w:color w:val="auto"/>
          <w:highlight w:val="none"/>
        </w:rPr>
        <w:t>3. 评标程序</w:t>
      </w:r>
      <w:r>
        <w:rPr>
          <w:color w:val="auto"/>
          <w:highlight w:val="none"/>
        </w:rPr>
        <w:tab/>
      </w:r>
      <w:r>
        <w:rPr>
          <w:color w:val="auto"/>
          <w:highlight w:val="none"/>
        </w:rPr>
        <w:fldChar w:fldCharType="begin"/>
      </w:r>
      <w:r>
        <w:rPr>
          <w:color w:val="auto"/>
          <w:highlight w:val="none"/>
        </w:rPr>
        <w:instrText xml:space="preserve"> PAGEREF _Toc1753 \h </w:instrText>
      </w:r>
      <w:r>
        <w:rPr>
          <w:color w:val="auto"/>
          <w:highlight w:val="none"/>
        </w:rPr>
        <w:fldChar w:fldCharType="separate"/>
      </w:r>
      <w:r>
        <w:rPr>
          <w:color w:val="auto"/>
          <w:highlight w:val="none"/>
        </w:rPr>
        <w:t>42</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_Toc7153 </w:instrText>
      </w:r>
      <w:r>
        <w:rPr>
          <w:rFonts w:hint="eastAsia" w:ascii="宋体" w:hAnsi="宋体" w:cs="宋体"/>
          <w:color w:val="auto"/>
          <w:highlight w:val="none"/>
        </w:rPr>
        <w:fldChar w:fldCharType="separate"/>
      </w:r>
      <w:r>
        <w:rPr>
          <w:rFonts w:hint="eastAsia" w:ascii="宋体" w:eastAsia="宋体" w:cs="宋体"/>
          <w:color w:val="auto"/>
          <w:highlight w:val="none"/>
        </w:rPr>
        <w:t>3</w:t>
      </w:r>
      <w:r>
        <w:rPr>
          <w:rFonts w:ascii="宋体" w:eastAsia="宋体" w:cs="宋体"/>
          <w:color w:val="auto"/>
          <w:highlight w:val="none"/>
        </w:rPr>
        <w:t>.</w:t>
      </w:r>
      <w:r>
        <w:rPr>
          <w:rFonts w:hint="eastAsia" w:ascii="宋体" w:eastAsia="宋体" w:cs="宋体"/>
          <w:color w:val="auto"/>
          <w:highlight w:val="none"/>
          <w:lang w:val="en-US" w:eastAsia="zh-CN"/>
        </w:rPr>
        <w:t>1</w:t>
      </w:r>
      <w:r>
        <w:rPr>
          <w:rFonts w:hint="eastAsia" w:ascii="宋体" w:eastAsia="宋体" w:cs="宋体"/>
          <w:color w:val="auto"/>
          <w:highlight w:val="none"/>
        </w:rPr>
        <w:t>设计方案评审（由设计评审组负责）</w:t>
      </w:r>
      <w:r>
        <w:rPr>
          <w:color w:val="auto"/>
          <w:highlight w:val="none"/>
        </w:rPr>
        <w:tab/>
      </w:r>
      <w:r>
        <w:rPr>
          <w:color w:val="auto"/>
          <w:highlight w:val="none"/>
        </w:rPr>
        <w:fldChar w:fldCharType="begin"/>
      </w:r>
      <w:r>
        <w:rPr>
          <w:color w:val="auto"/>
          <w:highlight w:val="none"/>
        </w:rPr>
        <w:instrText xml:space="preserve"> PAGEREF _Toc7153 \h </w:instrText>
      </w:r>
      <w:r>
        <w:rPr>
          <w:color w:val="auto"/>
          <w:highlight w:val="none"/>
        </w:rPr>
        <w:fldChar w:fldCharType="separate"/>
      </w:r>
      <w:r>
        <w:rPr>
          <w:color w:val="auto"/>
          <w:highlight w:val="none"/>
        </w:rPr>
        <w:t>42</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_Toc7221 </w:instrText>
      </w:r>
      <w:r>
        <w:rPr>
          <w:rFonts w:hint="eastAsia" w:ascii="宋体" w:hAnsi="宋体" w:cs="宋体"/>
          <w:color w:val="auto"/>
          <w:highlight w:val="none"/>
        </w:rPr>
        <w:fldChar w:fldCharType="separate"/>
      </w:r>
      <w:r>
        <w:rPr>
          <w:rFonts w:hint="eastAsia" w:ascii="宋体" w:eastAsia="宋体" w:cs="宋体"/>
          <w:color w:val="auto"/>
          <w:highlight w:val="none"/>
        </w:rPr>
        <w:t>3.</w:t>
      </w:r>
      <w:r>
        <w:rPr>
          <w:rFonts w:hint="eastAsia" w:ascii="宋体" w:eastAsia="宋体" w:cs="宋体"/>
          <w:color w:val="auto"/>
          <w:highlight w:val="none"/>
          <w:lang w:val="en-US" w:eastAsia="zh-CN"/>
        </w:rPr>
        <w:t>2</w:t>
      </w:r>
      <w:r>
        <w:rPr>
          <w:rFonts w:hint="eastAsia" w:ascii="宋体" w:eastAsia="宋体" w:cs="宋体"/>
          <w:color w:val="auto"/>
          <w:highlight w:val="none"/>
        </w:rPr>
        <w:t>形式审查及资格审查（由综合评审组负责）</w:t>
      </w:r>
      <w:r>
        <w:rPr>
          <w:color w:val="auto"/>
          <w:highlight w:val="none"/>
        </w:rPr>
        <w:tab/>
      </w:r>
      <w:r>
        <w:rPr>
          <w:color w:val="auto"/>
          <w:highlight w:val="none"/>
        </w:rPr>
        <w:fldChar w:fldCharType="begin"/>
      </w:r>
      <w:r>
        <w:rPr>
          <w:color w:val="auto"/>
          <w:highlight w:val="none"/>
        </w:rPr>
        <w:instrText xml:space="preserve"> PAGEREF _Toc7221 \h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_Toc32049 </w:instrText>
      </w:r>
      <w:r>
        <w:rPr>
          <w:rFonts w:hint="eastAsia" w:ascii="宋体" w:hAnsi="宋体" w:cs="宋体"/>
          <w:color w:val="auto"/>
          <w:highlight w:val="none"/>
        </w:rPr>
        <w:fldChar w:fldCharType="separate"/>
      </w:r>
      <w:r>
        <w:rPr>
          <w:rFonts w:hint="eastAsia" w:ascii="宋体" w:eastAsia="宋体" w:cs="宋体"/>
          <w:color w:val="auto"/>
          <w:highlight w:val="none"/>
        </w:rPr>
        <w:t>3.</w:t>
      </w:r>
      <w:r>
        <w:rPr>
          <w:rFonts w:ascii="宋体" w:eastAsia="宋体" w:cs="宋体"/>
          <w:color w:val="auto"/>
          <w:highlight w:val="none"/>
        </w:rPr>
        <w:t>3</w:t>
      </w:r>
      <w:r>
        <w:rPr>
          <w:rFonts w:hint="eastAsia" w:ascii="宋体" w:eastAsia="宋体" w:cs="宋体"/>
          <w:color w:val="auto"/>
          <w:highlight w:val="none"/>
        </w:rPr>
        <w:t>工程总承包实施方案评审（由综合评审组负责）</w:t>
      </w:r>
      <w:r>
        <w:rPr>
          <w:color w:val="auto"/>
          <w:highlight w:val="none"/>
        </w:rPr>
        <w:tab/>
      </w:r>
      <w:r>
        <w:rPr>
          <w:color w:val="auto"/>
          <w:highlight w:val="none"/>
        </w:rPr>
        <w:fldChar w:fldCharType="begin"/>
      </w:r>
      <w:r>
        <w:rPr>
          <w:color w:val="auto"/>
          <w:highlight w:val="none"/>
        </w:rPr>
        <w:instrText xml:space="preserve"> PAGEREF _Toc32049 \h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_Toc5014 </w:instrText>
      </w:r>
      <w:r>
        <w:rPr>
          <w:rFonts w:hint="eastAsia" w:ascii="宋体" w:hAnsi="宋体" w:cs="宋体"/>
          <w:color w:val="auto"/>
          <w:highlight w:val="none"/>
        </w:rPr>
        <w:fldChar w:fldCharType="separate"/>
      </w:r>
      <w:r>
        <w:rPr>
          <w:rFonts w:hint="eastAsia" w:ascii="宋体" w:eastAsia="宋体" w:cs="宋体"/>
          <w:color w:val="auto"/>
          <w:highlight w:val="none"/>
        </w:rPr>
        <w:t>3.</w:t>
      </w:r>
      <w:r>
        <w:rPr>
          <w:rFonts w:ascii="宋体" w:eastAsia="宋体" w:cs="宋体"/>
          <w:color w:val="auto"/>
          <w:highlight w:val="none"/>
        </w:rPr>
        <w:t>4</w:t>
      </w:r>
      <w:r>
        <w:rPr>
          <w:rFonts w:hint="eastAsia" w:ascii="宋体" w:eastAsia="宋体" w:cs="宋体"/>
          <w:color w:val="auto"/>
          <w:highlight w:val="none"/>
        </w:rPr>
        <w:t>投标报价得分（由综合评审组评委负责）</w:t>
      </w:r>
      <w:r>
        <w:rPr>
          <w:color w:val="auto"/>
          <w:highlight w:val="none"/>
        </w:rPr>
        <w:tab/>
      </w:r>
      <w:r>
        <w:rPr>
          <w:color w:val="auto"/>
          <w:highlight w:val="none"/>
        </w:rPr>
        <w:fldChar w:fldCharType="begin"/>
      </w:r>
      <w:r>
        <w:rPr>
          <w:color w:val="auto"/>
          <w:highlight w:val="none"/>
        </w:rPr>
        <w:instrText xml:space="preserve"> PAGEREF _Toc5014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_Toc18509 </w:instrText>
      </w:r>
      <w:r>
        <w:rPr>
          <w:rFonts w:hint="eastAsia" w:ascii="宋体" w:hAnsi="宋体" w:cs="宋体"/>
          <w:color w:val="auto"/>
          <w:highlight w:val="none"/>
        </w:rPr>
        <w:fldChar w:fldCharType="separate"/>
      </w:r>
      <w:r>
        <w:rPr>
          <w:rFonts w:hint="eastAsia" w:ascii="宋体" w:eastAsia="宋体" w:cs="宋体"/>
          <w:color w:val="auto"/>
          <w:highlight w:val="none"/>
        </w:rPr>
        <w:t>3.5评审汇总（由综合评审组评委负责）</w:t>
      </w:r>
      <w:r>
        <w:rPr>
          <w:color w:val="auto"/>
          <w:highlight w:val="none"/>
        </w:rPr>
        <w:tab/>
      </w:r>
      <w:r>
        <w:rPr>
          <w:color w:val="auto"/>
          <w:highlight w:val="none"/>
        </w:rPr>
        <w:fldChar w:fldCharType="begin"/>
      </w:r>
      <w:r>
        <w:rPr>
          <w:color w:val="auto"/>
          <w:highlight w:val="none"/>
        </w:rPr>
        <w:instrText xml:space="preserve"> PAGEREF _Toc18509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_Toc5794 </w:instrText>
      </w:r>
      <w:r>
        <w:rPr>
          <w:rFonts w:hint="eastAsia" w:ascii="宋体" w:hAnsi="宋体" w:cs="宋体"/>
          <w:color w:val="auto"/>
          <w:highlight w:val="none"/>
        </w:rPr>
        <w:fldChar w:fldCharType="separate"/>
      </w:r>
      <w:r>
        <w:rPr>
          <w:rFonts w:hint="eastAsia" w:ascii="宋体" w:eastAsia="宋体" w:cs="宋体"/>
          <w:color w:val="auto"/>
          <w:highlight w:val="none"/>
        </w:rPr>
        <w:t>3.6投标文件的澄清和补正</w:t>
      </w:r>
      <w:r>
        <w:rPr>
          <w:color w:val="auto"/>
          <w:highlight w:val="none"/>
        </w:rPr>
        <w:tab/>
      </w:r>
      <w:r>
        <w:rPr>
          <w:color w:val="auto"/>
          <w:highlight w:val="none"/>
        </w:rPr>
        <w:fldChar w:fldCharType="begin"/>
      </w:r>
      <w:r>
        <w:rPr>
          <w:color w:val="auto"/>
          <w:highlight w:val="none"/>
        </w:rPr>
        <w:instrText xml:space="preserve"> PAGEREF _Toc5794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cs="宋体"/>
          <w:color w:val="auto"/>
          <w:highlight w:val="none"/>
        </w:rPr>
        <w:fldChar w:fldCharType="end"/>
      </w:r>
    </w:p>
    <w:p>
      <w:pPr>
        <w:pStyle w:val="20"/>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_Toc10662 </w:instrText>
      </w:r>
      <w:r>
        <w:rPr>
          <w:rFonts w:hint="eastAsia" w:ascii="宋体" w:hAnsi="宋体" w:cs="宋体"/>
          <w:color w:val="auto"/>
          <w:highlight w:val="none"/>
        </w:rPr>
        <w:fldChar w:fldCharType="separate"/>
      </w:r>
      <w:r>
        <w:rPr>
          <w:rFonts w:hint="eastAsia" w:ascii="宋体" w:eastAsia="宋体" w:cs="宋体"/>
          <w:color w:val="auto"/>
          <w:highlight w:val="none"/>
        </w:rPr>
        <w:t>3.7评标结果</w:t>
      </w:r>
      <w:r>
        <w:rPr>
          <w:color w:val="auto"/>
          <w:highlight w:val="none"/>
        </w:rPr>
        <w:tab/>
      </w:r>
      <w:r>
        <w:rPr>
          <w:color w:val="auto"/>
          <w:highlight w:val="none"/>
        </w:rPr>
        <w:fldChar w:fldCharType="begin"/>
      </w:r>
      <w:r>
        <w:rPr>
          <w:color w:val="auto"/>
          <w:highlight w:val="none"/>
        </w:rPr>
        <w:instrText xml:space="preserve"> PAGEREF _Toc10662 \h </w:instrText>
      </w:r>
      <w:r>
        <w:rPr>
          <w:color w:val="auto"/>
          <w:highlight w:val="none"/>
        </w:rPr>
        <w:fldChar w:fldCharType="separate"/>
      </w:r>
      <w:r>
        <w:rPr>
          <w:color w:val="auto"/>
          <w:highlight w:val="none"/>
        </w:rPr>
        <w:t>46</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_Toc27715 </w:instrText>
      </w:r>
      <w:r>
        <w:rPr>
          <w:rFonts w:hint="eastAsia" w:ascii="宋体" w:hAnsi="宋体" w:cs="宋体"/>
          <w:color w:val="auto"/>
          <w:highlight w:val="none"/>
        </w:rPr>
        <w:fldChar w:fldCharType="separate"/>
      </w:r>
      <w:r>
        <w:rPr>
          <w:rFonts w:hint="eastAsia" w:ascii="宋体" w:hAnsi="宋体" w:cs="宋体"/>
          <w:color w:val="auto"/>
          <w:highlight w:val="none"/>
        </w:rPr>
        <w:t>第四章 合同条款及格式</w:t>
      </w:r>
      <w:r>
        <w:rPr>
          <w:color w:val="auto"/>
          <w:highlight w:val="none"/>
        </w:rPr>
        <w:tab/>
      </w:r>
      <w:r>
        <w:rPr>
          <w:color w:val="auto"/>
          <w:highlight w:val="none"/>
        </w:rPr>
        <w:fldChar w:fldCharType="begin"/>
      </w:r>
      <w:r>
        <w:rPr>
          <w:color w:val="auto"/>
          <w:highlight w:val="none"/>
        </w:rPr>
        <w:instrText xml:space="preserve"> PAGEREF _Toc27715 \h </w:instrText>
      </w:r>
      <w:r>
        <w:rPr>
          <w:color w:val="auto"/>
          <w:highlight w:val="none"/>
        </w:rPr>
        <w:fldChar w:fldCharType="separate"/>
      </w:r>
      <w:r>
        <w:rPr>
          <w:color w:val="auto"/>
          <w:highlight w:val="none"/>
        </w:rPr>
        <w:t>53</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_Toc4187 </w:instrText>
      </w:r>
      <w:r>
        <w:rPr>
          <w:rFonts w:hint="eastAsia" w:ascii="宋体" w:hAnsi="宋体" w:cs="宋体"/>
          <w:color w:val="auto"/>
          <w:highlight w:val="none"/>
        </w:rPr>
        <w:fldChar w:fldCharType="separate"/>
      </w:r>
      <w:r>
        <w:rPr>
          <w:rFonts w:hint="eastAsia" w:ascii="宋体" w:hAnsi="宋体" w:cs="宋体"/>
          <w:color w:val="auto"/>
          <w:highlight w:val="none"/>
        </w:rPr>
        <w:t>第二卷</w:t>
      </w:r>
      <w:r>
        <w:rPr>
          <w:color w:val="auto"/>
          <w:highlight w:val="none"/>
        </w:rPr>
        <w:tab/>
      </w:r>
      <w:r>
        <w:rPr>
          <w:color w:val="auto"/>
          <w:highlight w:val="none"/>
        </w:rPr>
        <w:fldChar w:fldCharType="begin"/>
      </w:r>
      <w:r>
        <w:rPr>
          <w:color w:val="auto"/>
          <w:highlight w:val="none"/>
        </w:rPr>
        <w:instrText xml:space="preserve"> PAGEREF _Toc4187 \h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_Toc888 </w:instrText>
      </w:r>
      <w:r>
        <w:rPr>
          <w:rFonts w:hint="eastAsia" w:ascii="宋体" w:hAnsi="宋体" w:cs="宋体"/>
          <w:color w:val="auto"/>
          <w:highlight w:val="none"/>
        </w:rPr>
        <w:fldChar w:fldCharType="separate"/>
      </w:r>
      <w:r>
        <w:rPr>
          <w:rFonts w:hint="eastAsia" w:ascii="宋体" w:hAnsi="宋体" w:cs="宋体"/>
          <w:color w:val="auto"/>
          <w:highlight w:val="none"/>
        </w:rPr>
        <w:t>第五章 发包人要求</w:t>
      </w:r>
      <w:r>
        <w:rPr>
          <w:color w:val="auto"/>
          <w:highlight w:val="none"/>
        </w:rPr>
        <w:tab/>
      </w:r>
      <w:r>
        <w:rPr>
          <w:color w:val="auto"/>
          <w:highlight w:val="none"/>
        </w:rPr>
        <w:fldChar w:fldCharType="begin"/>
      </w:r>
      <w:r>
        <w:rPr>
          <w:color w:val="auto"/>
          <w:highlight w:val="none"/>
        </w:rPr>
        <w:instrText xml:space="preserve"> PAGEREF _Toc888 \h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_Toc5433 </w:instrText>
      </w:r>
      <w:r>
        <w:rPr>
          <w:rFonts w:hint="eastAsia" w:ascii="宋体" w:hAnsi="宋体" w:cs="宋体"/>
          <w:color w:val="auto"/>
          <w:highlight w:val="none"/>
        </w:rPr>
        <w:fldChar w:fldCharType="separate"/>
      </w:r>
      <w:r>
        <w:rPr>
          <w:rFonts w:hint="eastAsia" w:ascii="宋体" w:hAnsi="宋体" w:cs="宋体"/>
          <w:color w:val="auto"/>
          <w:highlight w:val="none"/>
        </w:rPr>
        <w:t>第六章  招标人提供的资料</w:t>
      </w:r>
      <w:r>
        <w:rPr>
          <w:color w:val="auto"/>
          <w:highlight w:val="none"/>
        </w:rPr>
        <w:tab/>
      </w:r>
      <w:r>
        <w:rPr>
          <w:color w:val="auto"/>
          <w:highlight w:val="none"/>
        </w:rPr>
        <w:fldChar w:fldCharType="begin"/>
      </w:r>
      <w:r>
        <w:rPr>
          <w:color w:val="auto"/>
          <w:highlight w:val="none"/>
        </w:rPr>
        <w:instrText xml:space="preserve"> PAGEREF _Toc5433 \h </w:instrText>
      </w:r>
      <w:r>
        <w:rPr>
          <w:color w:val="auto"/>
          <w:highlight w:val="none"/>
        </w:rPr>
        <w:fldChar w:fldCharType="separate"/>
      </w:r>
      <w:r>
        <w:rPr>
          <w:color w:val="auto"/>
          <w:highlight w:val="none"/>
        </w:rPr>
        <w:t>72</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_Toc2572 </w:instrText>
      </w:r>
      <w:r>
        <w:rPr>
          <w:rFonts w:hint="eastAsia" w:ascii="宋体" w:hAnsi="宋体" w:cs="宋体"/>
          <w:color w:val="auto"/>
          <w:highlight w:val="none"/>
        </w:rPr>
        <w:fldChar w:fldCharType="separate"/>
      </w:r>
      <w:r>
        <w:rPr>
          <w:rFonts w:hint="eastAsia" w:ascii="宋体" w:hAnsi="宋体" w:cs="宋体"/>
          <w:color w:val="auto"/>
          <w:highlight w:val="none"/>
        </w:rPr>
        <w:t>第三卷</w:t>
      </w:r>
      <w:r>
        <w:rPr>
          <w:color w:val="auto"/>
          <w:highlight w:val="none"/>
        </w:rPr>
        <w:tab/>
      </w:r>
      <w:r>
        <w:rPr>
          <w:color w:val="auto"/>
          <w:highlight w:val="none"/>
        </w:rPr>
        <w:fldChar w:fldCharType="begin"/>
      </w:r>
      <w:r>
        <w:rPr>
          <w:color w:val="auto"/>
          <w:highlight w:val="none"/>
        </w:rPr>
        <w:instrText xml:space="preserve"> PAGEREF _Toc2572 \h </w:instrText>
      </w:r>
      <w:r>
        <w:rPr>
          <w:color w:val="auto"/>
          <w:highlight w:val="none"/>
        </w:rPr>
        <w:fldChar w:fldCharType="separate"/>
      </w:r>
      <w:r>
        <w:rPr>
          <w:color w:val="auto"/>
          <w:highlight w:val="none"/>
        </w:rPr>
        <w:t>73</w:t>
      </w:r>
      <w:r>
        <w:rPr>
          <w:color w:val="auto"/>
          <w:highlight w:val="none"/>
        </w:rPr>
        <w:fldChar w:fldCharType="end"/>
      </w:r>
      <w:r>
        <w:rPr>
          <w:rFonts w:hint="eastAsia" w:ascii="宋体" w:hAnsi="宋体" w:cs="宋体"/>
          <w:color w:val="auto"/>
          <w:highlight w:val="none"/>
        </w:rPr>
        <w:fldChar w:fldCharType="end"/>
      </w:r>
    </w:p>
    <w:p>
      <w:pPr>
        <w:pStyle w:val="26"/>
        <w:tabs>
          <w:tab w:val="right" w:leader="dot" w:pos="9638"/>
        </w:tabs>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_Toc1489 </w:instrText>
      </w:r>
      <w:r>
        <w:rPr>
          <w:rFonts w:hint="eastAsia" w:ascii="宋体" w:hAnsi="宋体" w:cs="宋体"/>
          <w:color w:val="auto"/>
          <w:highlight w:val="none"/>
        </w:rPr>
        <w:fldChar w:fldCharType="separate"/>
      </w:r>
      <w:r>
        <w:rPr>
          <w:rFonts w:hint="eastAsia" w:ascii="宋体" w:hAnsi="宋体" w:cs="宋体"/>
          <w:color w:val="auto"/>
          <w:highlight w:val="none"/>
        </w:rPr>
        <w:t>第七章  投标文件格式</w:t>
      </w:r>
      <w:r>
        <w:rPr>
          <w:color w:val="auto"/>
          <w:highlight w:val="none"/>
        </w:rPr>
        <w:tab/>
      </w:r>
      <w:r>
        <w:rPr>
          <w:color w:val="auto"/>
          <w:highlight w:val="none"/>
        </w:rPr>
        <w:fldChar w:fldCharType="begin"/>
      </w:r>
      <w:r>
        <w:rPr>
          <w:color w:val="auto"/>
          <w:highlight w:val="none"/>
        </w:rPr>
        <w:instrText xml:space="preserve"> PAGEREF _Toc1489 \h </w:instrText>
      </w:r>
      <w:r>
        <w:rPr>
          <w:color w:val="auto"/>
          <w:highlight w:val="none"/>
        </w:rPr>
        <w:fldChar w:fldCharType="separate"/>
      </w:r>
      <w:r>
        <w:rPr>
          <w:color w:val="auto"/>
          <w:highlight w:val="none"/>
        </w:rPr>
        <w:t>74</w:t>
      </w:r>
      <w:r>
        <w:rPr>
          <w:color w:val="auto"/>
          <w:highlight w:val="none"/>
        </w:rPr>
        <w:fldChar w:fldCharType="end"/>
      </w:r>
      <w:r>
        <w:rPr>
          <w:rFonts w:hint="eastAsia" w:ascii="宋体" w:hAnsi="宋体" w:cs="宋体"/>
          <w:color w:val="auto"/>
          <w:highlight w:val="none"/>
        </w:rPr>
        <w:fldChar w:fldCharType="end"/>
      </w:r>
    </w:p>
    <w:p>
      <w:pPr>
        <w:pStyle w:val="30"/>
        <w:tabs>
          <w:tab w:val="right" w:leader="dot" w:pos="9638"/>
        </w:tabs>
        <w:rPr>
          <w:color w:val="auto"/>
          <w:highlight w:val="none"/>
        </w:rPr>
      </w:pPr>
    </w:p>
    <w:p>
      <w:pPr>
        <w:pStyle w:val="3"/>
        <w:jc w:val="center"/>
        <w:rPr>
          <w:rFonts w:ascii="宋体" w:hAnsi="宋体" w:cs="宋体"/>
          <w:color w:val="auto"/>
          <w:highlight w:val="none"/>
        </w:rPr>
        <w:sectPr>
          <w:footerReference r:id="rId4" w:type="default"/>
          <w:pgSz w:w="11906" w:h="16838"/>
          <w:pgMar w:top="1418" w:right="1134" w:bottom="1418" w:left="1134" w:header="851" w:footer="992" w:gutter="0"/>
          <w:cols w:space="720" w:num="1"/>
          <w:docGrid w:type="lines" w:linePitch="312" w:charSpace="0"/>
        </w:sectPr>
      </w:pPr>
      <w:r>
        <w:rPr>
          <w:rFonts w:hint="eastAsia" w:ascii="宋体" w:hAnsi="宋体" w:cs="宋体"/>
          <w:color w:val="auto"/>
          <w:highlight w:val="none"/>
        </w:rPr>
        <w:fldChar w:fldCharType="end"/>
      </w:r>
    </w:p>
    <w:p>
      <w:pPr>
        <w:rPr>
          <w:color w:val="auto"/>
          <w:highlight w:val="none"/>
        </w:rPr>
      </w:pPr>
    </w:p>
    <w:p>
      <w:pPr>
        <w:pStyle w:val="3"/>
        <w:jc w:val="center"/>
        <w:rPr>
          <w:rFonts w:ascii="宋体" w:hAnsi="宋体" w:cs="宋体"/>
          <w:color w:val="auto"/>
          <w:highlight w:val="none"/>
        </w:rPr>
      </w:pPr>
      <w:bookmarkStart w:id="10" w:name="_Toc174"/>
      <w:bookmarkStart w:id="11" w:name="_Toc31879"/>
      <w:r>
        <w:rPr>
          <w:rFonts w:hint="eastAsia" w:ascii="宋体" w:hAnsi="宋体" w:cs="宋体"/>
          <w:color w:val="auto"/>
          <w:highlight w:val="none"/>
        </w:rPr>
        <w:t>第一卷</w:t>
      </w:r>
      <w:bookmarkEnd w:id="5"/>
      <w:bookmarkEnd w:id="6"/>
      <w:bookmarkEnd w:id="10"/>
      <w:bookmarkEnd w:id="11"/>
    </w:p>
    <w:p>
      <w:pPr>
        <w:rPr>
          <w:color w:val="auto"/>
          <w:highlight w:val="none"/>
        </w:rPr>
      </w:pPr>
      <w:r>
        <w:rPr>
          <w:rFonts w:hint="eastAsia"/>
          <w:color w:val="auto"/>
          <w:highlight w:val="none"/>
        </w:rPr>
        <w:br w:type="page"/>
      </w:r>
    </w:p>
    <w:p>
      <w:pPr>
        <w:pStyle w:val="3"/>
        <w:jc w:val="center"/>
        <w:rPr>
          <w:rFonts w:ascii="宋体" w:hAnsi="宋体" w:cs="宋体"/>
          <w:color w:val="auto"/>
          <w:highlight w:val="none"/>
        </w:rPr>
      </w:pPr>
      <w:bookmarkStart w:id="12" w:name="_Toc247513933"/>
      <w:bookmarkStart w:id="13" w:name="_Toc29409"/>
      <w:bookmarkStart w:id="14" w:name="_Toc17287"/>
      <w:bookmarkStart w:id="15" w:name="_Toc247527534"/>
      <w:r>
        <w:rPr>
          <w:rFonts w:hint="eastAsia" w:ascii="宋体" w:hAnsi="宋体" w:cs="宋体"/>
          <w:color w:val="auto"/>
          <w:highlight w:val="none"/>
        </w:rPr>
        <w:t>第一章 招标公告</w:t>
      </w:r>
      <w:bookmarkEnd w:id="7"/>
      <w:bookmarkEnd w:id="8"/>
      <w:bookmarkEnd w:id="9"/>
      <w:bookmarkEnd w:id="12"/>
      <w:bookmarkEnd w:id="13"/>
      <w:bookmarkEnd w:id="14"/>
      <w:bookmarkEnd w:id="15"/>
    </w:p>
    <w:p>
      <w:pPr>
        <w:pStyle w:val="3"/>
        <w:jc w:val="center"/>
        <w:rPr>
          <w:rFonts w:ascii="宋体" w:hAnsi="宋体" w:cs="宋体"/>
          <w:color w:val="auto"/>
          <w:highlight w:val="none"/>
        </w:rPr>
      </w:pPr>
      <w:bookmarkStart w:id="16" w:name="_Toc7260"/>
      <w:r>
        <w:rPr>
          <w:rFonts w:hint="eastAsia" w:ascii="宋体" w:hAnsi="宋体" w:cs="宋体"/>
          <w:color w:val="auto"/>
          <w:highlight w:val="none"/>
        </w:rPr>
        <w:t>（另册）</w:t>
      </w:r>
      <w:bookmarkEnd w:id="16"/>
    </w:p>
    <w:p>
      <w:pPr>
        <w:rPr>
          <w:rFonts w:ascii="宋体" w:hAnsi="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pStyle w:val="2"/>
        <w:rPr>
          <w:rFonts w:ascii="宋体" w:hAnsi="宋体" w:eastAsia="宋体" w:cs="宋体"/>
          <w:b/>
          <w:bCs/>
          <w:color w:val="auto"/>
          <w:highlight w:val="none"/>
        </w:rPr>
      </w:pPr>
    </w:p>
    <w:p>
      <w:pPr>
        <w:rPr>
          <w:rFonts w:ascii="宋体" w:hAnsi="宋体" w:cs="宋体"/>
          <w:color w:val="auto"/>
          <w:highlight w:val="none"/>
        </w:rPr>
      </w:pPr>
      <w:bookmarkStart w:id="17" w:name="_Toc28794"/>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bookmarkEnd w:id="17"/>
    <w:p>
      <w:pPr>
        <w:spacing w:line="400" w:lineRule="exact"/>
        <w:rPr>
          <w:rFonts w:ascii="宋体" w:hAnsi="宋体" w:cs="宋体"/>
          <w:color w:val="auto"/>
          <w:highlight w:val="none"/>
        </w:rPr>
      </w:pPr>
    </w:p>
    <w:p>
      <w:pPr>
        <w:pStyle w:val="3"/>
        <w:jc w:val="center"/>
        <w:rPr>
          <w:rFonts w:ascii="宋体" w:hAnsi="宋体" w:cs="宋体"/>
          <w:color w:val="auto"/>
          <w:highlight w:val="none"/>
        </w:rPr>
        <w:sectPr>
          <w:footerReference r:id="rId5" w:type="default"/>
          <w:pgSz w:w="11906" w:h="16838"/>
          <w:pgMar w:top="1440" w:right="1803" w:bottom="1440" w:left="1383" w:header="851" w:footer="992" w:gutter="0"/>
          <w:cols w:space="720" w:num="1"/>
          <w:docGrid w:type="lines" w:linePitch="319" w:charSpace="0"/>
        </w:sectPr>
      </w:pPr>
      <w:bookmarkStart w:id="18" w:name="_Toc16711"/>
      <w:bookmarkStart w:id="19" w:name="_Toc247513950"/>
      <w:bookmarkStart w:id="20" w:name="_Toc247527551"/>
      <w:bookmarkStart w:id="21" w:name="_Toc152042303"/>
      <w:bookmarkStart w:id="22" w:name="_Toc152045527"/>
      <w:bookmarkStart w:id="23" w:name="_Toc144974495"/>
    </w:p>
    <w:p>
      <w:pPr>
        <w:pStyle w:val="3"/>
        <w:jc w:val="center"/>
        <w:rPr>
          <w:rFonts w:ascii="宋体" w:hAnsi="宋体" w:cs="宋体"/>
          <w:color w:val="auto"/>
          <w:highlight w:val="none"/>
        </w:rPr>
      </w:pPr>
      <w:bookmarkStart w:id="24" w:name="_Toc13683"/>
      <w:r>
        <w:rPr>
          <w:rFonts w:hint="eastAsia" w:ascii="宋体" w:hAnsi="宋体" w:cs="宋体"/>
          <w:color w:val="auto"/>
          <w:highlight w:val="none"/>
        </w:rPr>
        <w:t>第二章 投标人须知</w:t>
      </w:r>
      <w:bookmarkEnd w:id="18"/>
      <w:bookmarkEnd w:id="19"/>
      <w:bookmarkEnd w:id="20"/>
      <w:bookmarkEnd w:id="21"/>
      <w:bookmarkEnd w:id="22"/>
      <w:bookmarkEnd w:id="23"/>
      <w:bookmarkEnd w:id="24"/>
    </w:p>
    <w:p>
      <w:pPr>
        <w:pStyle w:val="4"/>
        <w:jc w:val="center"/>
        <w:rPr>
          <w:rFonts w:ascii="宋体" w:hAnsi="宋体" w:eastAsia="宋体" w:cs="宋体"/>
          <w:color w:val="auto"/>
          <w:highlight w:val="none"/>
        </w:rPr>
      </w:pPr>
      <w:bookmarkStart w:id="25" w:name="_Toc247513951"/>
      <w:bookmarkStart w:id="26" w:name="_Toc152042304"/>
      <w:bookmarkStart w:id="27" w:name="_Toc152045528"/>
      <w:bookmarkStart w:id="28" w:name="_Toc9681"/>
      <w:bookmarkStart w:id="29" w:name="_Toc144974496"/>
      <w:bookmarkStart w:id="30" w:name="_Toc10331"/>
      <w:bookmarkStart w:id="31" w:name="_Toc247527552"/>
      <w:r>
        <w:rPr>
          <w:rFonts w:hint="eastAsia" w:ascii="宋体" w:hAnsi="宋体" w:eastAsia="宋体" w:cs="宋体"/>
          <w:color w:val="auto"/>
          <w:highlight w:val="none"/>
        </w:rPr>
        <w:t>投标人须知前附表</w:t>
      </w:r>
      <w:bookmarkEnd w:id="25"/>
      <w:bookmarkEnd w:id="26"/>
      <w:bookmarkEnd w:id="27"/>
      <w:bookmarkEnd w:id="28"/>
      <w:bookmarkEnd w:id="29"/>
      <w:bookmarkEnd w:id="30"/>
      <w:bookmarkEnd w:id="31"/>
    </w:p>
    <w:p>
      <w:pPr>
        <w:adjustRightInd w:val="0"/>
        <w:spacing w:line="440" w:lineRule="exact"/>
        <w:textAlignment w:val="baseline"/>
        <w:rPr>
          <w:rFonts w:ascii="宋体" w:hAnsi="宋体" w:cs="宋体"/>
          <w:color w:val="auto"/>
          <w:highlight w:val="none"/>
        </w:rPr>
      </w:pPr>
    </w:p>
    <w:tbl>
      <w:tblPr>
        <w:tblStyle w:val="38"/>
        <w:tblW w:w="9177" w:type="dxa"/>
        <w:tblInd w:w="0" w:type="dxa"/>
        <w:tblLayout w:type="fixed"/>
        <w:tblCellMar>
          <w:top w:w="0" w:type="dxa"/>
          <w:left w:w="108" w:type="dxa"/>
          <w:bottom w:w="0" w:type="dxa"/>
          <w:right w:w="108" w:type="dxa"/>
        </w:tblCellMar>
      </w:tblPr>
      <w:tblGrid>
        <w:gridCol w:w="1165"/>
        <w:gridCol w:w="2353"/>
        <w:gridCol w:w="5659"/>
      </w:tblGrid>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  款  名  称</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编  列  内  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highlight w:val="none"/>
              </w:rPr>
            </w:pPr>
            <w:r>
              <w:rPr>
                <w:rFonts w:ascii="宋体" w:hAnsi="宋体"/>
                <w:color w:val="auto"/>
                <w:highlight w:val="none"/>
              </w:rPr>
              <w:t>名称：</w:t>
            </w:r>
            <w:r>
              <w:rPr>
                <w:rFonts w:hint="eastAsia" w:ascii="宋体" w:hAnsi="宋体"/>
                <w:color w:val="auto"/>
                <w:highlight w:val="none"/>
                <w:u w:val="single"/>
              </w:rPr>
              <w:t>广州海格天腾产业发展有限公司</w:t>
            </w:r>
          </w:p>
          <w:p>
            <w:pPr>
              <w:spacing w:line="400" w:lineRule="exact"/>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s="宋体"/>
                <w:color w:val="auto"/>
                <w:szCs w:val="21"/>
                <w:highlight w:val="none"/>
                <w:u w:val="single"/>
              </w:rPr>
              <w:t xml:space="preserve"> 广州市黄埔区科学城海云路88号 </w:t>
            </w:r>
            <w:r>
              <w:rPr>
                <w:rFonts w:hint="eastAsia" w:ascii="宋体" w:hAnsi="宋体"/>
                <w:color w:val="auto"/>
                <w:highlight w:val="none"/>
                <w:u w:val="single"/>
              </w:rPr>
              <w:t xml:space="preserve"> </w:t>
            </w:r>
          </w:p>
          <w:p>
            <w:pPr>
              <w:spacing w:line="400" w:lineRule="exact"/>
              <w:rPr>
                <w:rFonts w:ascii="宋体" w:hAnsi="宋体"/>
                <w:color w:val="auto"/>
                <w:highlight w:val="none"/>
              </w:rPr>
            </w:pPr>
            <w:r>
              <w:rPr>
                <w:rFonts w:ascii="宋体" w:hAnsi="宋体"/>
                <w:color w:val="auto"/>
                <w:highlight w:val="none"/>
              </w:rPr>
              <w:t>联 系 人：</w:t>
            </w:r>
            <w:r>
              <w:rPr>
                <w:rFonts w:hint="eastAsia" w:ascii="宋体" w:hAnsi="宋体"/>
                <w:color w:val="auto"/>
                <w:highlight w:val="none"/>
                <w:u w:val="single"/>
              </w:rPr>
              <w:t xml:space="preserve"> </w:t>
            </w:r>
            <w:r>
              <w:rPr>
                <w:rFonts w:hint="eastAsia" w:ascii="宋体" w:hAnsi="宋体" w:cs="宋体"/>
                <w:color w:val="auto"/>
                <w:szCs w:val="21"/>
                <w:highlight w:val="none"/>
                <w:u w:val="single"/>
              </w:rPr>
              <w:t>吴小姐</w:t>
            </w:r>
            <w:r>
              <w:rPr>
                <w:rFonts w:hint="eastAsia" w:ascii="宋体" w:hAnsi="宋体"/>
                <w:color w:val="auto"/>
                <w:highlight w:val="none"/>
                <w:u w:val="single"/>
              </w:rPr>
              <w:t xml:space="preserve"> </w:t>
            </w:r>
          </w:p>
          <w:p>
            <w:pPr>
              <w:spacing w:line="440" w:lineRule="exact"/>
              <w:rPr>
                <w:rFonts w:ascii="宋体" w:hAnsi="宋体" w:cs="宋体"/>
                <w:color w:val="auto"/>
                <w:szCs w:val="21"/>
                <w:highlight w:val="none"/>
              </w:rPr>
            </w:pPr>
            <w:r>
              <w:rPr>
                <w:rFonts w:ascii="宋体" w:hAnsi="宋体"/>
                <w:color w:val="auto"/>
                <w:highlight w:val="none"/>
              </w:rPr>
              <w:t>联系电话：</w:t>
            </w:r>
            <w:r>
              <w:rPr>
                <w:rFonts w:ascii="宋体" w:hAnsi="宋体" w:cs="宋体"/>
                <w:color w:val="auto"/>
                <w:szCs w:val="21"/>
                <w:highlight w:val="none"/>
                <w:u w:val="single"/>
              </w:rPr>
              <w:t>020-</w:t>
            </w:r>
            <w:r>
              <w:rPr>
                <w:rFonts w:hint="eastAsia" w:ascii="宋体" w:hAnsi="宋体" w:cs="宋体"/>
                <w:color w:val="auto"/>
                <w:szCs w:val="21"/>
                <w:highlight w:val="none"/>
                <w:u w:val="single"/>
              </w:rPr>
              <w:t>82085377</w:t>
            </w:r>
            <w:r>
              <w:rPr>
                <w:rFonts w:hint="eastAsia" w:ascii="宋体" w:hAnsi="宋体"/>
                <w:color w:val="auto"/>
                <w:highlight w:val="none"/>
                <w:u w:val="single"/>
              </w:rPr>
              <w:t xml:space="preserve">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szCs w:val="21"/>
                <w:highlight w:val="none"/>
                <w:u w:val="single"/>
              </w:rPr>
              <w:t>建成工程咨询股份有限公司</w:t>
            </w:r>
          </w:p>
          <w:p>
            <w:pPr>
              <w:spacing w:line="400" w:lineRule="exact"/>
              <w:rPr>
                <w:rFonts w:ascii="宋体" w:hAnsi="宋体"/>
                <w:color w:val="auto"/>
                <w:highlight w:val="none"/>
              </w:rPr>
            </w:pPr>
            <w:r>
              <w:rPr>
                <w:rFonts w:hint="eastAsia" w:ascii="宋体" w:hAnsi="宋体"/>
                <w:color w:val="auto"/>
                <w:highlight w:val="none"/>
              </w:rPr>
              <w:t>地址：</w:t>
            </w:r>
            <w:r>
              <w:rPr>
                <w:rFonts w:hint="eastAsia" w:ascii="宋体" w:hAnsi="宋体"/>
                <w:color w:val="auto"/>
                <w:highlight w:val="none"/>
                <w:u w:val="single"/>
              </w:rPr>
              <w:t>广州市东风中路318号嘉业大厦22楼</w:t>
            </w:r>
          </w:p>
          <w:p>
            <w:pPr>
              <w:spacing w:line="400" w:lineRule="exact"/>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rPr>
              <w:t>伍工</w:t>
            </w:r>
          </w:p>
          <w:p>
            <w:pPr>
              <w:spacing w:line="440" w:lineRule="exact"/>
              <w:rPr>
                <w:rFonts w:ascii="宋体" w:hAnsi="宋体" w:cs="宋体"/>
                <w:color w:val="auto"/>
                <w:szCs w:val="21"/>
                <w:highlight w:val="none"/>
              </w:rPr>
            </w:pPr>
            <w:r>
              <w:rPr>
                <w:rFonts w:hint="eastAsia" w:ascii="宋体" w:hAnsi="宋体"/>
                <w:color w:val="auto"/>
                <w:highlight w:val="none"/>
              </w:rPr>
              <w:t>电话：</w:t>
            </w:r>
            <w:r>
              <w:rPr>
                <w:rFonts w:hint="eastAsia" w:ascii="宋体" w:hAnsi="宋体"/>
                <w:color w:val="auto"/>
                <w:highlight w:val="none"/>
                <w:u w:val="single"/>
              </w:rPr>
              <w:t>020-83293649 、18922132600</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1.1.4</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olor w:val="auto"/>
                <w:highlight w:val="none"/>
                <w:u w:val="single"/>
              </w:rPr>
              <w:t>广州海格天腾产业发展有限公司新建海格天腾信息产业基地项目勘察设计施工总承包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1.1.5</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建设地点</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详</w:t>
            </w:r>
            <w:r>
              <w:rPr>
                <w:rFonts w:hint="eastAsia" w:ascii="宋体" w:hAnsi="宋体" w:cs="宋体"/>
                <w:color w:val="auto"/>
                <w:kern w:val="0"/>
                <w:szCs w:val="21"/>
                <w:highlight w:val="none"/>
              </w:rPr>
              <w:t>见本项目招标公告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资金来源及比例</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详</w:t>
            </w:r>
            <w:r>
              <w:rPr>
                <w:rFonts w:hint="eastAsia" w:ascii="宋体" w:hAnsi="宋体" w:cs="宋体"/>
                <w:color w:val="auto"/>
                <w:kern w:val="0"/>
                <w:szCs w:val="21"/>
                <w:highlight w:val="none"/>
              </w:rPr>
              <w:t>见本项目招标公告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资金已落实</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详见本项目招标公告及合同约定条款</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计划工期</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详见本项目招标公告及合同约定条款</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详见本项目招标公告</w:t>
            </w:r>
          </w:p>
        </w:tc>
      </w:tr>
      <w:tr>
        <w:tblPrEx>
          <w:tblCellMar>
            <w:top w:w="0" w:type="dxa"/>
            <w:left w:w="108" w:type="dxa"/>
            <w:bottom w:w="0" w:type="dxa"/>
            <w:right w:w="108" w:type="dxa"/>
          </w:tblCellMar>
        </w:tblPrEx>
        <w:trPr>
          <w:trHeight w:val="150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1.4.1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投标人资质条件、能力和信誉</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资质条件：</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rPr>
              <w:t>财务要求：</w:t>
            </w:r>
            <w:r>
              <w:rPr>
                <w:rFonts w:hint="eastAsia" w:ascii="新宋体" w:hAnsi="新宋体" w:eastAsia="新宋体" w:cs="新宋体"/>
                <w:color w:val="auto"/>
                <w:highlight w:val="none"/>
                <w:u w:val="single"/>
              </w:rPr>
              <w:t>/。</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设计业绩要求：</w:t>
            </w:r>
            <w:r>
              <w:rPr>
                <w:rFonts w:hint="eastAsia" w:ascii="新宋体" w:hAnsi="新宋体" w:eastAsia="新宋体" w:cs="新宋体"/>
                <w:color w:val="auto"/>
                <w:highlight w:val="none"/>
                <w:u w:val="single"/>
              </w:rPr>
              <w:t>/。</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施工业绩要求：</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信誉要求：</w:t>
            </w:r>
            <w:r>
              <w:rPr>
                <w:rFonts w:hint="eastAsia" w:ascii="新宋体" w:hAnsi="新宋体" w:eastAsia="新宋体" w:cs="新宋体"/>
                <w:color w:val="auto"/>
                <w:highlight w:val="none"/>
                <w:u w:val="single"/>
              </w:rPr>
              <w:t>/。</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u w:val="single"/>
              </w:rPr>
              <w:t>项目负责人(兼施工负责人)的资格要求</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u w:val="single"/>
              </w:rPr>
              <w:t>设计负责人</w:t>
            </w:r>
            <w:r>
              <w:rPr>
                <w:rFonts w:hint="eastAsia" w:ascii="新宋体" w:hAnsi="新宋体" w:eastAsia="新宋体" w:cs="新宋体"/>
                <w:color w:val="auto"/>
                <w:szCs w:val="21"/>
                <w:highlight w:val="none"/>
              </w:rPr>
              <w:t>的资格要求：</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施工技术负责人资格要求 ：</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highlight w:val="none"/>
              </w:rPr>
            </w:pPr>
            <w:r>
              <w:rPr>
                <w:rFonts w:hint="eastAsia" w:ascii="新宋体" w:hAnsi="新宋体" w:eastAsia="新宋体" w:cs="新宋体"/>
                <w:color w:val="auto"/>
                <w:highlight w:val="none"/>
              </w:rPr>
              <w:t>专职安全员资格要求：</w:t>
            </w:r>
            <w:r>
              <w:rPr>
                <w:rFonts w:hint="eastAsia" w:ascii="新宋体" w:hAnsi="新宋体" w:eastAsia="新宋体" w:cs="新宋体"/>
                <w:color w:val="auto"/>
                <w:szCs w:val="21"/>
                <w:highlight w:val="none"/>
                <w:u w:val="single"/>
              </w:rPr>
              <w:t>见招标公告投标人资格要求。</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施工机械设备：</w:t>
            </w:r>
            <w:r>
              <w:rPr>
                <w:rFonts w:hint="eastAsia" w:ascii="新宋体" w:hAnsi="新宋体" w:eastAsia="新宋体" w:cs="新宋体"/>
                <w:color w:val="auto"/>
                <w:highlight w:val="none"/>
                <w:u w:val="single"/>
              </w:rPr>
              <w:t>/。</w:t>
            </w:r>
          </w:p>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项目管理机构及人员：</w:t>
            </w:r>
            <w:r>
              <w:rPr>
                <w:rFonts w:hint="eastAsia" w:ascii="新宋体" w:hAnsi="新宋体" w:eastAsia="新宋体" w:cs="新宋体"/>
                <w:color w:val="auto"/>
                <w:highlight w:val="none"/>
                <w:u w:val="single"/>
              </w:rPr>
              <w:t>/。</w:t>
            </w:r>
          </w:p>
          <w:p>
            <w:pPr>
              <w:spacing w:line="440" w:lineRule="exact"/>
              <w:rPr>
                <w:rFonts w:ascii="宋体" w:hAnsi="宋体" w:cs="宋体"/>
                <w:color w:val="auto"/>
                <w:szCs w:val="21"/>
                <w:highlight w:val="none"/>
              </w:rPr>
            </w:pPr>
            <w:r>
              <w:rPr>
                <w:rFonts w:hint="eastAsia" w:ascii="新宋体" w:hAnsi="新宋体" w:eastAsia="新宋体" w:cs="新宋体"/>
                <w:color w:val="auto"/>
                <w:szCs w:val="21"/>
                <w:highlight w:val="none"/>
              </w:rPr>
              <w:t>其他要求：</w:t>
            </w:r>
            <w:r>
              <w:rPr>
                <w:rFonts w:hint="eastAsia" w:ascii="新宋体" w:hAnsi="新宋体" w:eastAsia="新宋体" w:cs="新宋体"/>
                <w:color w:val="auto"/>
                <w:szCs w:val="21"/>
                <w:highlight w:val="none"/>
                <w:u w:val="single"/>
              </w:rPr>
              <w:t>见招标公告投标人资格要求。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1.4.2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是否接受联合体投标</w:t>
            </w:r>
          </w:p>
        </w:tc>
        <w:tc>
          <w:tcPr>
            <w:tcW w:w="5659" w:type="dxa"/>
            <w:tcBorders>
              <w:top w:val="single" w:color="auto" w:sz="4" w:space="0"/>
              <w:left w:val="single" w:color="auto" w:sz="4" w:space="0"/>
              <w:bottom w:val="single" w:color="auto" w:sz="4" w:space="0"/>
              <w:right w:val="single" w:color="auto" w:sz="4" w:space="0"/>
            </w:tcBorders>
            <w:vAlign w:val="center"/>
          </w:tcPr>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t>□</w:t>
            </w:r>
            <w:r>
              <w:rPr>
                <w:rFonts w:hint="eastAsia" w:hAnsi="宋体" w:cs="宋体"/>
                <w:color w:val="auto"/>
                <w:sz w:val="21"/>
                <w:szCs w:val="21"/>
                <w:highlight w:val="none"/>
              </w:rPr>
              <w:t>不接受</w:t>
            </w:r>
          </w:p>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接受，应满足下列要求：见本项目招标公告要求。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费用承担和设计成果补偿</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不补偿</w:t>
            </w:r>
          </w:p>
          <w:p>
            <w:pPr>
              <w:spacing w:line="440" w:lineRule="exact"/>
              <w:rPr>
                <w:rFonts w:ascii="宋体" w:hAnsi="宋体" w:cs="宋体"/>
                <w:color w:val="auto"/>
                <w:sz w:val="32"/>
                <w:szCs w:val="32"/>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补偿，补偿标准：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1.9.1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踏勘</w:t>
            </w:r>
          </w:p>
        </w:tc>
        <w:tc>
          <w:tcPr>
            <w:tcW w:w="5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highlight w:val="none"/>
              </w:rPr>
            </w:pPr>
            <w:r>
              <w:rPr>
                <w:rFonts w:hint="eastAsia" w:ascii="宋体" w:hAnsi="宋体" w:cs="宋体"/>
                <w:color w:val="auto"/>
                <w:highlight w:val="none"/>
                <w:u w:val="single"/>
              </w:rPr>
              <w:t>招标人不组织集中踏勘现场，投标人可自行前往现场踏勘。踏勘期间所发生一切费用或意外由投标人自行负责。</w:t>
            </w:r>
          </w:p>
        </w:tc>
      </w:tr>
      <w:tr>
        <w:tblPrEx>
          <w:tblCellMar>
            <w:top w:w="0" w:type="dxa"/>
            <w:left w:w="108" w:type="dxa"/>
            <w:bottom w:w="0" w:type="dxa"/>
            <w:right w:w="108" w:type="dxa"/>
          </w:tblCellMar>
        </w:tblPrEx>
        <w:trPr>
          <w:trHeight w:val="9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1.10.1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5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auto"/>
                <w:szCs w:val="21"/>
                <w:highlight w:val="none"/>
              </w:rPr>
            </w:pPr>
            <w:r>
              <w:rPr>
                <w:rFonts w:hint="eastAsia" w:ascii="宋体" w:hAnsi="宋体"/>
                <w:color w:val="auto"/>
                <w:sz w:val="32"/>
                <w:szCs w:val="32"/>
                <w:highlight w:val="none"/>
              </w:rPr>
              <w:t>■</w:t>
            </w:r>
            <w:r>
              <w:rPr>
                <w:rFonts w:hint="eastAsia" w:ascii="宋体" w:hAnsi="宋体"/>
                <w:color w:val="auto"/>
                <w:szCs w:val="21"/>
                <w:highlight w:val="none"/>
              </w:rPr>
              <w:t>不</w:t>
            </w:r>
            <w:r>
              <w:rPr>
                <w:rFonts w:ascii="宋体" w:hAnsi="宋体"/>
                <w:color w:val="auto"/>
                <w:szCs w:val="21"/>
                <w:highlight w:val="none"/>
              </w:rPr>
              <w:t>召开</w:t>
            </w:r>
          </w:p>
          <w:p>
            <w:pPr>
              <w:spacing w:line="440" w:lineRule="exact"/>
              <w:rPr>
                <w:rFonts w:ascii="宋体" w:hAnsi="宋体" w:cs="宋体"/>
                <w:color w:val="auto"/>
                <w:szCs w:val="21"/>
                <w:highlight w:val="none"/>
              </w:rPr>
            </w:pPr>
            <w:r>
              <w:rPr>
                <w:rFonts w:hint="eastAsia" w:ascii="宋体" w:hAnsi="宋体"/>
                <w:color w:val="auto"/>
                <w:kern w:val="0"/>
                <w:sz w:val="32"/>
                <w:szCs w:val="32"/>
                <w:highlight w:val="none"/>
              </w:rPr>
              <w:t>□</w:t>
            </w:r>
            <w:r>
              <w:rPr>
                <w:rFonts w:hint="eastAsia" w:ascii="宋体" w:hAnsi="宋体" w:cs="宋体"/>
                <w:color w:val="auto"/>
                <w:szCs w:val="21"/>
                <w:highlight w:val="none"/>
              </w:rPr>
              <w:t>召开，召开时间：</w:t>
            </w:r>
          </w:p>
          <w:p>
            <w:pPr>
              <w:spacing w:line="440" w:lineRule="exact"/>
              <w:ind w:firstLine="1050" w:firstLineChars="500"/>
              <w:rPr>
                <w:rFonts w:ascii="宋体" w:hAnsi="宋体" w:cs="宋体"/>
                <w:color w:val="auto"/>
                <w:szCs w:val="21"/>
                <w:highlight w:val="none"/>
              </w:rPr>
            </w:pPr>
            <w:r>
              <w:rPr>
                <w:rFonts w:hint="eastAsia" w:ascii="宋体" w:hAnsi="宋体" w:cs="宋体"/>
                <w:color w:val="auto"/>
                <w:szCs w:val="21"/>
                <w:highlight w:val="none"/>
              </w:rPr>
              <w:t>召开地点：</w:t>
            </w:r>
            <w:r>
              <w:rPr>
                <w:rFonts w:hint="eastAsia" w:ascii="宋体" w:hAnsi="宋体"/>
                <w:color w:val="auto"/>
                <w:kern w:val="0"/>
                <w:szCs w:val="21"/>
                <w:highlight w:val="none"/>
              </w:rPr>
              <w:t xml:space="preserve">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1.10.2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投标人提出问题的截止时间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highlight w:val="none"/>
              </w:rPr>
            </w:pPr>
            <w:r>
              <w:rPr>
                <w:rFonts w:hint="eastAsia" w:ascii="宋体" w:hAnsi="宋体" w:cs="宋体"/>
                <w:color w:val="auto"/>
                <w:highlight w:val="none"/>
              </w:rPr>
              <w:t>时间：在提交投标文件截止时间18天前提出。</w:t>
            </w:r>
          </w:p>
          <w:p>
            <w:pPr>
              <w:spacing w:line="440" w:lineRule="exact"/>
              <w:rPr>
                <w:rFonts w:ascii="宋体" w:hAnsi="宋体" w:cs="宋体"/>
                <w:color w:val="auto"/>
                <w:highlight w:val="none"/>
              </w:rPr>
            </w:pPr>
            <w:r>
              <w:rPr>
                <w:rFonts w:hint="eastAsia" w:ascii="宋体" w:hAnsi="宋体" w:cs="宋体"/>
                <w:color w:val="auto"/>
                <w:highlight w:val="none"/>
              </w:rPr>
              <w:t>形式：投标人疑问通过网上提交。具体操作方法详见《房屋建筑和市政基础设施工程全流程电子化项目专章》。</w:t>
            </w:r>
          </w:p>
          <w:p>
            <w:pPr>
              <w:spacing w:line="440" w:lineRule="exact"/>
              <w:rPr>
                <w:rFonts w:ascii="宋体" w:hAnsi="宋体" w:cs="宋体"/>
                <w:color w:val="auto"/>
                <w:highlight w:val="none"/>
              </w:rPr>
            </w:pPr>
            <w:r>
              <w:rPr>
                <w:rFonts w:hint="eastAsia" w:ascii="宋体" w:hAnsi="宋体" w:cs="宋体"/>
                <w:color w:val="auto"/>
                <w:highlight w:val="none"/>
              </w:rPr>
              <w:t>本项目日程安排及地点信息可在广州公共资源交易中心网站进行查询。</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1.10.3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招标人书面澄清的时间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highlight w:val="none"/>
              </w:rPr>
              <w:t>投标截止时间15日前</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1.11.1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招标人规定由分包人承担的工作</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1.11.2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投标人拟分包的工作</w:t>
            </w:r>
          </w:p>
        </w:tc>
        <w:tc>
          <w:tcPr>
            <w:tcW w:w="5659" w:type="dxa"/>
            <w:tcBorders>
              <w:top w:val="single" w:color="auto" w:sz="4" w:space="0"/>
              <w:left w:val="single" w:color="auto" w:sz="4" w:space="0"/>
              <w:bottom w:val="single" w:color="auto" w:sz="4" w:space="0"/>
              <w:right w:val="single" w:color="auto" w:sz="4" w:space="0"/>
            </w:tcBorders>
            <w:vAlign w:val="center"/>
          </w:tcPr>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sym w:font="Wingdings 2" w:char="00A3"/>
            </w:r>
            <w:r>
              <w:rPr>
                <w:rFonts w:hint="eastAsia" w:hAnsi="宋体" w:cs="宋体"/>
                <w:color w:val="auto"/>
                <w:sz w:val="21"/>
                <w:szCs w:val="21"/>
                <w:highlight w:val="none"/>
              </w:rPr>
              <w:t>不允许</w:t>
            </w:r>
          </w:p>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允许，分包内容要求：允许，对于非主体、非关键性工程，承包人不具备相应资质的，需经招标人审核批准后分包给具有相应资质和能力的专业单位实施，但不得再次分包。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偏离</w:t>
            </w:r>
          </w:p>
        </w:tc>
        <w:tc>
          <w:tcPr>
            <w:tcW w:w="5659" w:type="dxa"/>
            <w:tcBorders>
              <w:top w:val="single" w:color="auto" w:sz="4" w:space="0"/>
              <w:left w:val="single" w:color="auto" w:sz="4" w:space="0"/>
              <w:bottom w:val="single" w:color="auto" w:sz="4" w:space="0"/>
              <w:right w:val="single" w:color="auto" w:sz="4" w:space="0"/>
            </w:tcBorders>
            <w:vAlign w:val="center"/>
          </w:tcPr>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t>■</w:t>
            </w:r>
            <w:r>
              <w:rPr>
                <w:rFonts w:hint="eastAsia" w:hAnsi="宋体" w:cs="宋体"/>
                <w:color w:val="auto"/>
                <w:sz w:val="21"/>
                <w:szCs w:val="21"/>
                <w:highlight w:val="none"/>
              </w:rPr>
              <w:t>不允许</w:t>
            </w:r>
          </w:p>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sym w:font="Wingdings 2" w:char="00A3"/>
            </w:r>
            <w:r>
              <w:rPr>
                <w:rFonts w:hint="eastAsia" w:hAnsi="宋体" w:cs="宋体"/>
                <w:color w:val="auto"/>
                <w:sz w:val="21"/>
                <w:szCs w:val="21"/>
                <w:highlight w:val="none"/>
              </w:rPr>
              <w:t xml:space="preserve">允许，允许偏离的内容、偏离范围和幅度：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构成招标文件的其他资料</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olor w:val="auto"/>
                <w:szCs w:val="21"/>
                <w:highlight w:val="none"/>
              </w:rPr>
              <w:t>答疑纪要、澄清文件等（如有）。</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投标人要求澄清招标文件的截止时间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同投标人提出问题的截止时间。</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详</w:t>
            </w:r>
            <w:r>
              <w:rPr>
                <w:rFonts w:hint="eastAsia" w:ascii="宋体" w:hAnsi="宋体" w:cs="宋体"/>
                <w:color w:val="auto"/>
                <w:kern w:val="0"/>
                <w:szCs w:val="21"/>
                <w:highlight w:val="none"/>
              </w:rPr>
              <w:t>见本项目招标公告</w:t>
            </w:r>
          </w:p>
        </w:tc>
      </w:tr>
      <w:tr>
        <w:tblPrEx>
          <w:tblCellMar>
            <w:top w:w="0" w:type="dxa"/>
            <w:left w:w="108" w:type="dxa"/>
            <w:bottom w:w="0" w:type="dxa"/>
            <w:right w:w="108" w:type="dxa"/>
          </w:tblCellMar>
        </w:tblPrEx>
        <w:trPr>
          <w:trHeight w:val="2282"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投标人确认收到招标文件澄清的时间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招标文件澄清</w:t>
            </w:r>
            <w:r>
              <w:rPr>
                <w:rFonts w:hint="eastAsia" w:ascii="宋体" w:hAnsi="宋体"/>
                <w:color w:val="auto"/>
                <w:szCs w:val="21"/>
                <w:highlight w:val="none"/>
                <w:u w:val="single"/>
              </w:rPr>
              <w:t>或修改</w:t>
            </w:r>
            <w:r>
              <w:rPr>
                <w:rFonts w:hint="eastAsia" w:ascii="宋体" w:hAnsi="宋体" w:cs="宋体"/>
                <w:color w:val="auto"/>
                <w:szCs w:val="21"/>
                <w:highlight w:val="none"/>
              </w:rPr>
              <w:t>在交易平台网站通过项目答疑专区网上公开发布，发出即视作收到，以交易平台网站发布时间作为送达时间。无需投标人确认。投标人应自行关注，招标人不再一一通知。</w:t>
            </w:r>
            <w:r>
              <w:rPr>
                <w:rFonts w:hint="eastAsia" w:ascii="宋体" w:hAnsi="宋体"/>
                <w:color w:val="auto"/>
                <w:szCs w:val="21"/>
                <w:highlight w:val="none"/>
                <w:u w:val="single"/>
              </w:rPr>
              <w:t>招标文件的修改内容作为招标文件的组成部分，具有约束作用。</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2.3.2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投标人确认收到招标文件修改的时间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招标文件修改（或补充公告）一经在交易平台网站发布，视作已发放给所有投标人，以交易平台网站发布时间作为送达时间。无需投标人确认。投标人应自行关注，招标人不再一一通知。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构成投标文件的其他资料</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见第七章《投标文件格式》要求</w:t>
            </w:r>
          </w:p>
        </w:tc>
      </w:tr>
      <w:tr>
        <w:tblPrEx>
          <w:tblCellMar>
            <w:top w:w="0" w:type="dxa"/>
            <w:left w:w="108" w:type="dxa"/>
            <w:bottom w:w="0" w:type="dxa"/>
            <w:right w:w="108" w:type="dxa"/>
          </w:tblCellMar>
        </w:tblPrEx>
        <w:trPr>
          <w:trHeight w:val="1867"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highlight w:val="none"/>
              </w:rPr>
              <w:t>3.2.4</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最高投标限价或其计算方法</w:t>
            </w:r>
          </w:p>
        </w:tc>
        <w:tc>
          <w:tcPr>
            <w:tcW w:w="56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abs>
                <w:tab w:val="left" w:pos="2520"/>
              </w:tabs>
              <w:adjustRightInd w:val="0"/>
              <w:snapToGrid w:val="0"/>
              <w:spacing w:line="360" w:lineRule="auto"/>
              <w:jc w:val="left"/>
              <w:rPr>
                <w:color w:val="auto"/>
                <w:highlight w:val="none"/>
              </w:rPr>
            </w:pPr>
            <w:r>
              <w:rPr>
                <w:rFonts w:hint="eastAsia" w:ascii="宋体" w:hAnsi="宋体" w:eastAsia="宋体" w:cs="宋体"/>
                <w:color w:val="auto"/>
                <w:sz w:val="21"/>
                <w:szCs w:val="21"/>
                <w:highlight w:val="none"/>
              </w:rPr>
              <w:t>本次招标最高投标限价为</w:t>
            </w:r>
            <w:r>
              <w:rPr>
                <w:rFonts w:hint="eastAsia" w:ascii="宋体" w:hAnsi="宋体" w:eastAsia="宋体" w:cs="宋体"/>
                <w:color w:val="auto"/>
                <w:sz w:val="21"/>
                <w:szCs w:val="21"/>
                <w:highlight w:val="none"/>
                <w:u w:val="single"/>
                <w:lang w:val="en-US" w:eastAsia="zh-CN"/>
              </w:rPr>
              <w:t xml:space="preserve"> 148000</w:t>
            </w:r>
            <w:r>
              <w:rPr>
                <w:rFonts w:hint="eastAsia" w:ascii="宋体" w:hAnsi="宋体" w:eastAsia="宋体" w:cs="宋体"/>
                <w:color w:val="auto"/>
                <w:sz w:val="21"/>
                <w:szCs w:val="21"/>
                <w:highlight w:val="none"/>
                <w:u w:val="single"/>
              </w:rPr>
              <w:t>万</w:t>
            </w:r>
            <w:r>
              <w:rPr>
                <w:rFonts w:hint="eastAsia" w:ascii="宋体" w:hAnsi="宋体" w:eastAsia="宋体" w:cs="宋体"/>
                <w:color w:val="auto"/>
                <w:sz w:val="21"/>
                <w:szCs w:val="21"/>
                <w:highlight w:val="none"/>
              </w:rPr>
              <w:t>元，其中：</w:t>
            </w:r>
            <w:r>
              <w:rPr>
                <w:rFonts w:hint="eastAsia" w:ascii="宋体" w:hAnsi="宋体" w:eastAsia="宋体" w:cs="宋体"/>
                <w:color w:val="auto"/>
                <w:sz w:val="21"/>
                <w:szCs w:val="21"/>
                <w:highlight w:val="none"/>
                <w:lang w:eastAsia="zh-CN"/>
              </w:rPr>
              <w:t>工程</w:t>
            </w:r>
            <w:r>
              <w:rPr>
                <w:rFonts w:hint="eastAsia" w:ascii="宋体" w:hAnsi="宋体" w:eastAsia="宋体" w:cs="宋体"/>
                <w:color w:val="auto"/>
                <w:sz w:val="21"/>
                <w:szCs w:val="21"/>
                <w:highlight w:val="none"/>
              </w:rPr>
              <w:t>勘察费</w:t>
            </w:r>
            <w:r>
              <w:rPr>
                <w:rFonts w:hint="eastAsia" w:ascii="宋体" w:hAnsi="宋体" w:eastAsia="宋体" w:cs="宋体"/>
                <w:color w:val="auto"/>
                <w:sz w:val="21"/>
                <w:szCs w:val="21"/>
                <w:highlight w:val="none"/>
                <w:lang w:val="zh-CN" w:eastAsia="zh-CN"/>
              </w:rPr>
              <w:t>（含税）</w:t>
            </w:r>
            <w:r>
              <w:rPr>
                <w:rFonts w:hint="eastAsia" w:ascii="宋体" w:hAnsi="宋体" w:eastAsia="宋体" w:cs="宋体"/>
                <w:color w:val="auto"/>
                <w:sz w:val="21"/>
                <w:szCs w:val="21"/>
                <w:highlight w:val="none"/>
              </w:rPr>
              <w:t>最高投标限价为</w:t>
            </w:r>
            <w:r>
              <w:rPr>
                <w:rFonts w:hint="eastAsia" w:ascii="宋体" w:hAnsi="宋体" w:eastAsia="宋体" w:cs="宋体"/>
                <w:color w:val="auto"/>
                <w:sz w:val="21"/>
                <w:szCs w:val="21"/>
                <w:highlight w:val="none"/>
                <w:u w:val="single"/>
                <w:lang w:val="en-US" w:eastAsia="zh-CN"/>
              </w:rPr>
              <w:t xml:space="preserve">  110</w:t>
            </w:r>
            <w:r>
              <w:rPr>
                <w:rFonts w:hint="eastAsia" w:ascii="宋体" w:hAnsi="宋体" w:eastAsia="宋体" w:cs="宋体"/>
                <w:color w:val="auto"/>
                <w:sz w:val="21"/>
                <w:szCs w:val="21"/>
                <w:highlight w:val="none"/>
                <w:u w:val="single"/>
              </w:rPr>
              <w:t>万</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岩土工程勘察费</w:t>
            </w:r>
            <w:r>
              <w:rPr>
                <w:rFonts w:hint="eastAsia" w:ascii="宋体" w:hAnsi="宋体" w:eastAsia="宋体" w:cs="宋体"/>
                <w:color w:val="auto"/>
                <w:sz w:val="21"/>
                <w:szCs w:val="21"/>
                <w:highlight w:val="none"/>
              </w:rPr>
              <w:t>综合单价最高投标限价为</w:t>
            </w:r>
            <w:r>
              <w:rPr>
                <w:rFonts w:hint="eastAsia" w:ascii="宋体" w:hAnsi="宋体" w:eastAsia="宋体" w:cs="宋体"/>
                <w:color w:val="auto"/>
                <w:sz w:val="21"/>
                <w:szCs w:val="21"/>
                <w:highlight w:val="none"/>
                <w:u w:val="single"/>
                <w:lang w:val="en-US" w:eastAsia="zh-CN"/>
              </w:rPr>
              <w:t xml:space="preserve"> 120 </w:t>
            </w:r>
            <w:r>
              <w:rPr>
                <w:rFonts w:hint="eastAsia" w:ascii="宋体" w:hAnsi="宋体" w:eastAsia="宋体" w:cs="宋体"/>
                <w:color w:val="auto"/>
                <w:sz w:val="21"/>
                <w:szCs w:val="21"/>
                <w:highlight w:val="none"/>
              </w:rPr>
              <w:t>元/米）；</w:t>
            </w:r>
            <w:r>
              <w:rPr>
                <w:rFonts w:hint="eastAsia" w:ascii="宋体" w:hAnsi="宋体" w:eastAsia="宋体" w:cs="宋体"/>
                <w:color w:val="auto"/>
                <w:sz w:val="21"/>
                <w:szCs w:val="21"/>
                <w:highlight w:val="none"/>
                <w:lang w:eastAsia="zh-CN"/>
              </w:rPr>
              <w:t>工程</w:t>
            </w:r>
            <w:r>
              <w:rPr>
                <w:rFonts w:hint="eastAsia" w:ascii="宋体" w:hAnsi="宋体" w:eastAsia="宋体" w:cs="宋体"/>
                <w:color w:val="auto"/>
                <w:sz w:val="21"/>
                <w:szCs w:val="21"/>
                <w:highlight w:val="none"/>
              </w:rPr>
              <w:t>设计费</w:t>
            </w:r>
            <w:r>
              <w:rPr>
                <w:rFonts w:hint="eastAsia" w:ascii="宋体" w:hAnsi="宋体" w:eastAsia="宋体" w:cs="宋体"/>
                <w:color w:val="auto"/>
                <w:sz w:val="21"/>
                <w:szCs w:val="21"/>
                <w:highlight w:val="none"/>
                <w:lang w:val="zh-CN" w:eastAsia="zh-CN"/>
              </w:rPr>
              <w:t>（含税）</w:t>
            </w:r>
            <w:r>
              <w:rPr>
                <w:rFonts w:hint="eastAsia" w:ascii="宋体" w:hAnsi="宋体" w:eastAsia="宋体" w:cs="宋体"/>
                <w:color w:val="auto"/>
                <w:sz w:val="21"/>
                <w:szCs w:val="21"/>
                <w:highlight w:val="none"/>
              </w:rPr>
              <w:t>最高投标限价为</w:t>
            </w:r>
            <w:r>
              <w:rPr>
                <w:rFonts w:hint="eastAsia" w:ascii="宋体" w:hAnsi="宋体" w:eastAsia="宋体" w:cs="宋体"/>
                <w:color w:val="auto"/>
                <w:sz w:val="21"/>
                <w:szCs w:val="21"/>
                <w:highlight w:val="none"/>
                <w:u w:val="single"/>
                <w:lang w:val="en-US" w:eastAsia="zh-CN"/>
              </w:rPr>
              <w:t xml:space="preserve"> 1700</w:t>
            </w:r>
            <w:r>
              <w:rPr>
                <w:rFonts w:hint="eastAsia" w:ascii="宋体" w:hAnsi="宋体" w:eastAsia="宋体" w:cs="宋体"/>
                <w:color w:val="auto"/>
                <w:sz w:val="21"/>
                <w:szCs w:val="21"/>
                <w:highlight w:val="none"/>
                <w:u w:val="single"/>
              </w:rPr>
              <w:t>万</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zh-CN" w:eastAsia="zh-CN"/>
              </w:rPr>
              <w:t>建筑安装工程费（含税）</w:t>
            </w:r>
            <w:r>
              <w:rPr>
                <w:rFonts w:hint="eastAsia" w:ascii="宋体" w:hAnsi="宋体" w:eastAsia="宋体" w:cs="宋体"/>
                <w:color w:val="auto"/>
                <w:sz w:val="21"/>
                <w:szCs w:val="21"/>
                <w:highlight w:val="none"/>
              </w:rPr>
              <w:t>最高投标限价为</w:t>
            </w:r>
            <w:r>
              <w:rPr>
                <w:rFonts w:hint="eastAsia" w:ascii="宋体" w:hAnsi="宋体" w:eastAsia="宋体" w:cs="宋体"/>
                <w:color w:val="auto"/>
                <w:sz w:val="21"/>
                <w:szCs w:val="21"/>
                <w:highlight w:val="none"/>
                <w:u w:val="single"/>
                <w:lang w:val="en-US" w:eastAsia="zh-CN"/>
              </w:rPr>
              <w:t xml:space="preserve"> 146190</w:t>
            </w:r>
            <w:r>
              <w:rPr>
                <w:rFonts w:hint="eastAsia" w:ascii="宋体" w:hAnsi="宋体" w:eastAsia="宋体" w:cs="宋体"/>
                <w:color w:val="auto"/>
                <w:sz w:val="21"/>
                <w:szCs w:val="21"/>
                <w:highlight w:val="none"/>
                <w:u w:val="single"/>
              </w:rPr>
              <w:t>万</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含暂列金额</w:t>
            </w:r>
            <w:r>
              <w:rPr>
                <w:rFonts w:hint="eastAsia" w:ascii="宋体" w:hAnsi="宋体" w:eastAsia="宋体" w:cs="宋体"/>
                <w:color w:val="auto"/>
                <w:sz w:val="21"/>
                <w:szCs w:val="21"/>
                <w:highlight w:val="none"/>
                <w:u w:val="single"/>
                <w:lang w:val="en-US" w:eastAsia="zh-CN"/>
              </w:rPr>
              <w:t>10000万</w:t>
            </w:r>
            <w:r>
              <w:rPr>
                <w:rFonts w:hint="eastAsia" w:ascii="宋体" w:hAnsi="宋体" w:eastAsia="宋体" w:cs="宋体"/>
                <w:color w:val="auto"/>
                <w:sz w:val="21"/>
                <w:szCs w:val="21"/>
                <w:highlight w:val="none"/>
                <w:lang w:val="en-US" w:eastAsia="zh-CN"/>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。投标价超过任一最高投标限价的投标文件将会导致无效</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z w:val="21"/>
                <w:szCs w:val="21"/>
                <w:highlight w:val="none"/>
              </w:rPr>
              <w:t>标。</w:t>
            </w:r>
          </w:p>
        </w:tc>
      </w:tr>
      <w:tr>
        <w:tblPrEx>
          <w:tblCellMar>
            <w:top w:w="0" w:type="dxa"/>
            <w:left w:w="108" w:type="dxa"/>
            <w:bottom w:w="0" w:type="dxa"/>
            <w:right w:w="108" w:type="dxa"/>
          </w:tblCellMar>
        </w:tblPrEx>
        <w:trPr>
          <w:trHeight w:val="9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highlight w:val="none"/>
              </w:rPr>
            </w:pPr>
            <w:r>
              <w:rPr>
                <w:rFonts w:hint="eastAsia" w:ascii="宋体" w:hAnsi="宋体" w:cs="宋体"/>
                <w:color w:val="auto"/>
                <w:highlight w:val="none"/>
              </w:rPr>
              <w:t>3.2.5</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投标报价的其他要求</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投标人必须详细审阅全部招标文件,充分考虑职责和义务,全面地理解招标文件对投标报价的要求,并按招标人提出的条件及内容进行报价。</w:t>
            </w:r>
          </w:p>
          <w:p>
            <w:pPr>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（1）工程勘察费：投标报价不得高于工程勘察费</w:t>
            </w:r>
            <w:r>
              <w:rPr>
                <w:rFonts w:hint="eastAsia" w:ascii="宋体" w:hAnsi="宋体" w:eastAsia="宋体" w:cs="宋体"/>
                <w:color w:val="auto"/>
                <w:highlight w:val="none"/>
                <w:lang w:val="zh-CN"/>
              </w:rPr>
              <w:t>（含税）</w:t>
            </w:r>
            <w:r>
              <w:rPr>
                <w:rFonts w:hint="eastAsia" w:ascii="宋体" w:hAnsi="宋体" w:eastAsia="宋体" w:cs="宋体"/>
                <w:color w:val="auto"/>
                <w:highlight w:val="none"/>
              </w:rPr>
              <w:t>最高投标限价及岩土工程勘察费综合单价最高投标限价。由投标人根据招标人要求以及企业自身情况自行填报投标报价。结算方式按照合同相关约定执行。</w:t>
            </w:r>
          </w:p>
          <w:p>
            <w:pPr>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（2）工程设计费：投标报价不得高于 工程设计费</w:t>
            </w:r>
            <w:r>
              <w:rPr>
                <w:rFonts w:hint="eastAsia" w:ascii="宋体" w:hAnsi="宋体" w:eastAsia="宋体" w:cs="宋体"/>
                <w:color w:val="auto"/>
                <w:highlight w:val="none"/>
                <w:lang w:val="zh-CN"/>
              </w:rPr>
              <w:t>（含税）</w:t>
            </w:r>
            <w:r>
              <w:rPr>
                <w:rFonts w:hint="eastAsia" w:ascii="宋体" w:hAnsi="宋体" w:eastAsia="宋体" w:cs="宋体"/>
                <w:color w:val="auto"/>
                <w:highlight w:val="none"/>
              </w:rPr>
              <w:t>最高投标限价，由投标人根据招标文件要求以及企业自身情况填报投标报价。结算方式按照合同约定的相应条款执行。</w:t>
            </w:r>
          </w:p>
          <w:p>
            <w:pPr>
              <w:spacing w:line="360" w:lineRule="auto"/>
              <w:ind w:right="11" w:firstLine="495" w:firstLineChars="236"/>
              <w:rPr>
                <w:rFonts w:hint="eastAsia" w:eastAsia="宋体"/>
                <w:color w:val="auto"/>
                <w:highlight w:val="none"/>
                <w:lang w:val="en-US" w:eastAsia="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3</w:t>
            </w:r>
            <w:r>
              <w:rPr>
                <w:rFonts w:hint="eastAsia" w:ascii="宋体" w:hAnsi="宋体" w:eastAsia="宋体" w:cs="宋体"/>
                <w:color w:val="auto"/>
                <w:highlight w:val="none"/>
                <w:lang w:val="zh-CN"/>
              </w:rPr>
              <w:t>）建筑安装工程费</w:t>
            </w:r>
            <w:r>
              <w:rPr>
                <w:rFonts w:hint="eastAsia" w:ascii="宋体" w:hAnsi="宋体" w:eastAsia="宋体" w:cs="宋体"/>
                <w:color w:val="auto"/>
                <w:highlight w:val="none"/>
              </w:rPr>
              <w:t>：投标报价不得高于</w:t>
            </w:r>
            <w:r>
              <w:rPr>
                <w:rFonts w:hint="eastAsia" w:ascii="宋体" w:hAnsi="宋体" w:eastAsia="宋体" w:cs="宋体"/>
                <w:color w:val="auto"/>
                <w:highlight w:val="none"/>
                <w:lang w:val="zh-CN"/>
              </w:rPr>
              <w:t>建筑安装工程费（含税）</w:t>
            </w:r>
            <w:r>
              <w:rPr>
                <w:rFonts w:hint="eastAsia" w:ascii="宋体" w:hAnsi="宋体" w:eastAsia="宋体" w:cs="宋体"/>
                <w:color w:val="auto"/>
                <w:highlight w:val="none"/>
              </w:rPr>
              <w:t>最高投标限价。由投标人根据招标人要求以及企业自身情况自行填报投标报价和投标下浮率。</w:t>
            </w:r>
            <w:r>
              <w:rPr>
                <w:rFonts w:hint="eastAsia" w:ascii="宋体" w:hAnsi="宋体" w:eastAsia="宋体" w:cs="宋体"/>
                <w:b w:val="0"/>
                <w:bCs w:val="0"/>
                <w:color w:val="auto"/>
                <w:highlight w:val="none"/>
                <w:lang w:eastAsia="zh-CN"/>
              </w:rPr>
              <w:t>初步设计概算和施工图预算的控制要求、</w:t>
            </w:r>
            <w:r>
              <w:rPr>
                <w:rFonts w:hint="eastAsia" w:ascii="宋体" w:hAnsi="宋体" w:eastAsia="宋体" w:cs="宋体"/>
                <w:color w:val="auto"/>
                <w:highlight w:val="none"/>
              </w:rPr>
              <w:t>结算方式按照合同相关约定执行</w:t>
            </w:r>
            <w:r>
              <w:rPr>
                <w:rFonts w:hint="eastAsia" w:ascii="宋体" w:hAnsi="宋体" w:cs="宋体"/>
                <w:color w:val="auto"/>
                <w:highlight w:val="none"/>
                <w:lang w:eastAsia="zh-CN"/>
              </w:rPr>
              <w:t>。</w:t>
            </w:r>
          </w:p>
        </w:tc>
      </w:tr>
      <w:tr>
        <w:tblPrEx>
          <w:tblCellMar>
            <w:top w:w="0" w:type="dxa"/>
            <w:left w:w="108" w:type="dxa"/>
            <w:bottom w:w="0" w:type="dxa"/>
            <w:right w:w="108" w:type="dxa"/>
          </w:tblCellMar>
        </w:tblPrEx>
        <w:trPr>
          <w:trHeight w:val="407"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120</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日历天（从递交投标文件截止之日计起），如出现异议或投诉，则投标有效期自动延长至异议或投诉处理结束，确定中标人并发放中标通知书为止。</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3.4.1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56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color w:val="auto"/>
                <w:szCs w:val="21"/>
                <w:highlight w:val="none"/>
              </w:rPr>
            </w:pPr>
            <w:r>
              <w:rPr>
                <w:rFonts w:hint="eastAsia" w:ascii="宋体"/>
                <w:color w:val="auto"/>
                <w:szCs w:val="21"/>
                <w:highlight w:val="none"/>
              </w:rPr>
              <w:t>1</w:t>
            </w:r>
            <w:r>
              <w:rPr>
                <w:rFonts w:ascii="宋体"/>
                <w:color w:val="auto"/>
                <w:szCs w:val="21"/>
                <w:highlight w:val="none"/>
              </w:rPr>
              <w:t>.</w:t>
            </w:r>
            <w:r>
              <w:rPr>
                <w:rFonts w:hint="eastAsia" w:ascii="宋体"/>
                <w:color w:val="auto"/>
                <w:szCs w:val="21"/>
                <w:highlight w:val="none"/>
              </w:rPr>
              <w:t>投标保证金的金额：</w:t>
            </w:r>
            <w:r>
              <w:rPr>
                <w:rFonts w:hint="eastAsia" w:ascii="宋体"/>
                <w:color w:val="auto"/>
                <w:szCs w:val="21"/>
                <w:highlight w:val="none"/>
                <w:u w:val="single"/>
              </w:rPr>
              <w:t xml:space="preserve">50 </w:t>
            </w:r>
            <w:r>
              <w:rPr>
                <w:rFonts w:hint="eastAsia" w:ascii="宋体"/>
                <w:color w:val="auto"/>
                <w:szCs w:val="21"/>
                <w:highlight w:val="none"/>
              </w:rPr>
              <w:t>万元人民币，缴纳时间在</w:t>
            </w:r>
            <w:r>
              <w:rPr>
                <w:rFonts w:hint="eastAsia" w:ascii="宋体"/>
                <w:color w:val="auto"/>
                <w:szCs w:val="21"/>
                <w:highlight w:val="none"/>
                <w:u w:val="single"/>
              </w:rPr>
              <w:t xml:space="preserve"> 递交投标文件投标截止时间 </w:t>
            </w:r>
            <w:r>
              <w:rPr>
                <w:rFonts w:hint="eastAsia" w:ascii="宋体"/>
                <w:color w:val="auto"/>
                <w:szCs w:val="21"/>
                <w:highlight w:val="none"/>
              </w:rPr>
              <w:t>之前。</w:t>
            </w:r>
          </w:p>
          <w:p>
            <w:pPr>
              <w:widowControl/>
              <w:spacing w:line="440" w:lineRule="exact"/>
              <w:rPr>
                <w:rFonts w:ascii="宋体" w:hAnsi="宋体" w:cs="宋体"/>
                <w:color w:val="auto"/>
                <w:szCs w:val="22"/>
                <w:highlight w:val="none"/>
                <w:u w:val="single"/>
              </w:rPr>
            </w:pPr>
            <w:r>
              <w:rPr>
                <w:rFonts w:ascii="宋体" w:hAnsi="宋体" w:cs="宋体"/>
                <w:color w:val="auto"/>
                <w:szCs w:val="22"/>
                <w:highlight w:val="none"/>
              </w:rPr>
              <w:t>2.</w:t>
            </w:r>
            <w:r>
              <w:rPr>
                <w:rFonts w:hint="eastAsia" w:ascii="宋体" w:hAnsi="宋体" w:cs="宋体"/>
                <w:color w:val="auto"/>
                <w:szCs w:val="22"/>
                <w:highlight w:val="none"/>
              </w:rPr>
              <w:t>投标保证金的形式：</w:t>
            </w:r>
            <w:r>
              <w:rPr>
                <w:rFonts w:hint="eastAsia" w:ascii="宋体" w:hAnsi="宋体" w:cs="宋体"/>
                <w:color w:val="auto"/>
                <w:szCs w:val="22"/>
                <w:highlight w:val="none"/>
                <w:u w:val="single"/>
              </w:rPr>
              <w:t>投标保证金可采用现金、支票、汇票、信用证、银行保函、保证保险、专业工程担保公司担保等能够实现保证目的的方式，须在递交投标文件截止时间前完成缴纳。投标保证金有效期：与投标有效期一致。</w:t>
            </w:r>
          </w:p>
          <w:p>
            <w:pPr>
              <w:widowControl/>
              <w:spacing w:line="440" w:lineRule="exact"/>
              <w:rPr>
                <w:rFonts w:ascii="宋体" w:hAnsi="宋体" w:cs="宋体"/>
                <w:color w:val="auto"/>
                <w:szCs w:val="22"/>
                <w:highlight w:val="none"/>
                <w:u w:val="single"/>
              </w:rPr>
            </w:pPr>
            <w:r>
              <w:rPr>
                <w:rFonts w:hint="eastAsia" w:ascii="宋体" w:hAnsi="宋体" w:cs="宋体"/>
                <w:color w:val="auto"/>
                <w:szCs w:val="22"/>
                <w:highlight w:val="none"/>
                <w:u w:val="single"/>
              </w:rPr>
              <w:t>3.如采用现金、支票或汇票形式提交的，由</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2"/>
                <w:highlight w:val="none"/>
                <w:u w:val="single"/>
              </w:rPr>
              <w:t>代收（保证金从投标人基本账户转账至广州公共资源交易中心。）具体操作要求详见广州公共资源交易中心最新的投标保证金缴纳操作流程及有关指引，递交事宜请自行咨询交易中心；请各投标人在投标文件递交截止时间前按上述金额递交至广州公共资源交易中心，到账情况以开标时广州公共资源交易中心数据库查询的信息为准。</w:t>
            </w:r>
          </w:p>
          <w:p>
            <w:pPr>
              <w:snapToGrid w:val="0"/>
              <w:spacing w:line="440" w:lineRule="exact"/>
              <w:ind w:left="-27" w:leftChars="-13" w:right="-59" w:rightChars="-28"/>
              <w:rPr>
                <w:rFonts w:ascii="宋体" w:hAnsi="宋体" w:cs="宋体"/>
                <w:color w:val="auto"/>
                <w:szCs w:val="21"/>
                <w:highlight w:val="none"/>
                <w:u w:val="single"/>
              </w:rPr>
            </w:pPr>
            <w:r>
              <w:rPr>
                <w:rFonts w:ascii="宋体" w:hAnsi="宋体" w:cs="宋体"/>
                <w:color w:val="auto"/>
                <w:szCs w:val="22"/>
                <w:highlight w:val="none"/>
                <w:u w:val="single"/>
              </w:rPr>
              <w:t>4.</w:t>
            </w:r>
            <w:r>
              <w:rPr>
                <w:rFonts w:hint="eastAsia" w:ascii="宋体" w:hAnsi="宋体" w:cs="宋体"/>
                <w:color w:val="auto"/>
                <w:szCs w:val="21"/>
                <w:highlight w:val="none"/>
                <w:u w:val="single"/>
              </w:rPr>
              <w:t>如采用非电子形式的银行保函、专业工程担保公司担保或保证保险【银行保函或保证保险或担保需开具给招标人（受益人也必须是招标人）】提交投标保证金的，在开标前不强制要求投标人提交纸质原件，由中标候选人在中标候选人公示前提交并在网上公示，投标人应在投标文件中提交投标保函、担保或保证保险扫描件并加盖投标人电子印章。</w:t>
            </w:r>
            <w:r>
              <w:rPr>
                <w:rFonts w:hint="eastAsia" w:ascii="宋体" w:hAnsi="宋体" w:cs="宋体"/>
                <w:b/>
                <w:bCs/>
                <w:color w:val="auto"/>
                <w:szCs w:val="21"/>
                <w:highlight w:val="none"/>
                <w:u w:val="single"/>
              </w:rPr>
              <w:t>如投标人存在3.4.4条款所列情形的，应将纸质原件提交给招标人。</w:t>
            </w:r>
          </w:p>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u w:val="single"/>
              </w:rPr>
              <w:t>纸质保函、担保或保险等凭证纸质原件也可在投标截止时间前将原件单独密封（封口处加盖投标人单位公章）递交至开标室。</w:t>
            </w:r>
            <w:r>
              <w:rPr>
                <w:rFonts w:hint="eastAsia" w:ascii="宋体" w:hAnsi="宋体" w:cs="宋体"/>
                <w:b/>
                <w:bCs/>
                <w:color w:val="auto"/>
                <w:szCs w:val="21"/>
                <w:highlight w:val="none"/>
                <w:u w:val="single"/>
              </w:rPr>
              <w:t>递交纸质保函、担保或保险等凭证纸质原件时需提供法定代表人证明书；委托投标的还应提供法人授权委托证明书。</w:t>
            </w:r>
          </w:p>
          <w:p>
            <w:pPr>
              <w:snapToGrid w:val="0"/>
              <w:spacing w:line="440" w:lineRule="exact"/>
              <w:ind w:left="-27" w:leftChars="-13" w:right="-59" w:rightChars="-28"/>
              <w:rPr>
                <w:rFonts w:ascii="宋体" w:hAnsi="宋体" w:cs="宋体"/>
                <w:color w:val="auto"/>
                <w:spacing w:val="-1"/>
                <w:szCs w:val="22"/>
                <w:highlight w:val="none"/>
                <w:u w:val="single"/>
              </w:rPr>
            </w:pPr>
            <w:r>
              <w:rPr>
                <w:rFonts w:hint="eastAsia" w:ascii="宋体" w:hAnsi="宋体" w:cs="宋体"/>
                <w:color w:val="auto"/>
                <w:szCs w:val="21"/>
                <w:highlight w:val="none"/>
              </w:rPr>
              <w:t>5.采用电子形式的保函、担保或保证保险提交投标保证金的，具体操作要求详见广州公共资源交易中心有关指引，递交事宜请自行咨询交易中心。</w:t>
            </w:r>
            <w:r>
              <w:rPr>
                <w:rFonts w:hint="eastAsia" w:ascii="宋体" w:hAnsi="宋体" w:cs="宋体"/>
                <w:color w:val="auto"/>
                <w:spacing w:val="-1"/>
                <w:szCs w:val="22"/>
                <w:highlight w:val="none"/>
                <w:u w:val="single"/>
              </w:rPr>
              <w:t>若以交易系统支持的电子保函或电子投标保证保险递交的，到账情况以开标时广州公共资源交易中心数据库查询信息为准。</w:t>
            </w:r>
          </w:p>
          <w:p>
            <w:pPr>
              <w:snapToGrid w:val="0"/>
              <w:spacing w:line="440" w:lineRule="exact"/>
              <w:ind w:left="-27" w:leftChars="-13" w:right="-59" w:rightChars="-28"/>
              <w:rPr>
                <w:rFonts w:ascii="宋体" w:hAnsi="宋体" w:cs="宋体"/>
                <w:color w:val="auto"/>
                <w:szCs w:val="22"/>
                <w:highlight w:val="none"/>
                <w:u w:val="single"/>
              </w:rPr>
            </w:pPr>
            <w:r>
              <w:rPr>
                <w:rFonts w:hint="eastAsia" w:ascii="宋体" w:hAnsi="宋体" w:cs="宋体"/>
                <w:color w:val="auto"/>
                <w:szCs w:val="22"/>
                <w:highlight w:val="none"/>
                <w:u w:val="single"/>
              </w:rPr>
              <w:t>6.联合体投标的，其投标保证金由</w:t>
            </w:r>
            <w:r>
              <w:rPr>
                <w:rFonts w:hint="eastAsia" w:ascii="宋体" w:hAnsi="宋体" w:cs="宋体"/>
                <w:b/>
                <w:bCs/>
                <w:color w:val="auto"/>
                <w:szCs w:val="21"/>
                <w:highlight w:val="none"/>
                <w:u w:val="single"/>
              </w:rPr>
              <w:t>牵头方（或主办方）</w:t>
            </w:r>
            <w:r>
              <w:rPr>
                <w:rFonts w:hint="eastAsia" w:ascii="宋体" w:hAnsi="宋体" w:cs="宋体"/>
                <w:color w:val="auto"/>
                <w:szCs w:val="22"/>
                <w:highlight w:val="none"/>
                <w:u w:val="single"/>
              </w:rPr>
              <w:t>递交。</w:t>
            </w:r>
          </w:p>
          <w:p>
            <w:pPr>
              <w:snapToGrid w:val="0"/>
              <w:spacing w:line="440" w:lineRule="exact"/>
              <w:rPr>
                <w:rFonts w:ascii="宋体" w:hAnsi="宋体" w:cs="宋体"/>
                <w:color w:val="auto"/>
                <w:spacing w:val="-1"/>
                <w:szCs w:val="22"/>
                <w:highlight w:val="none"/>
                <w:u w:val="single"/>
              </w:rPr>
            </w:pPr>
            <w:r>
              <w:rPr>
                <w:rFonts w:hint="eastAsia" w:ascii="宋体" w:hAnsi="宋体" w:cs="宋体"/>
                <w:color w:val="auto"/>
                <w:spacing w:val="-1"/>
                <w:szCs w:val="22"/>
                <w:highlight w:val="none"/>
                <w:u w:val="single"/>
              </w:rPr>
              <w:t>注：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3.5.2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近年财务状况</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3.5.3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近年完成的类似项目</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3.5.5</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近年发生的重大诉讼及仲裁情况</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3.6</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是否允许递交备选投标方案</w:t>
            </w:r>
          </w:p>
        </w:tc>
        <w:tc>
          <w:tcPr>
            <w:tcW w:w="5659" w:type="dxa"/>
            <w:tcBorders>
              <w:top w:val="single" w:color="auto" w:sz="4" w:space="0"/>
              <w:left w:val="single" w:color="auto" w:sz="4" w:space="0"/>
              <w:bottom w:val="single" w:color="auto" w:sz="4" w:space="0"/>
              <w:right w:val="single" w:color="auto" w:sz="4" w:space="0"/>
            </w:tcBorders>
            <w:vAlign w:val="center"/>
          </w:tcPr>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t>■</w:t>
            </w:r>
            <w:r>
              <w:rPr>
                <w:rFonts w:hint="eastAsia" w:hAnsi="宋体" w:cs="宋体"/>
                <w:color w:val="auto"/>
                <w:sz w:val="21"/>
                <w:szCs w:val="21"/>
                <w:highlight w:val="none"/>
              </w:rPr>
              <w:t>不允许</w:t>
            </w:r>
          </w:p>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3.7.3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签字或盖章要求</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u w:val="single"/>
              </w:rPr>
              <w:t>投标人采用单位数字证书，按招标文件要求在相应位置加盖电子印章。投标文件中需个人签字或盖章的，</w:t>
            </w:r>
            <w:r>
              <w:rPr>
                <w:rFonts w:hint="eastAsia" w:ascii="宋体" w:hAnsi="宋体" w:cs="宋体"/>
                <w:b/>
                <w:color w:val="auto"/>
                <w:szCs w:val="21"/>
                <w:highlight w:val="none"/>
                <w:u w:val="single"/>
              </w:rPr>
              <w:t>应加盖个人电子印章或在线下完成后扫描上传。</w:t>
            </w:r>
            <w:r>
              <w:rPr>
                <w:rFonts w:hint="eastAsia" w:ascii="宋体" w:hAnsi="宋体" w:cs="宋体"/>
                <w:color w:val="auto"/>
                <w:szCs w:val="21"/>
                <w:highlight w:val="none"/>
                <w:u w:val="single"/>
              </w:rPr>
              <w:t>按照交易平台关于全流程电子化项目的相关指南进行操作，联合体投标的，除联合体协议书需联合体各方同时签字或盖章外，法定代表人证明书及授权委托证明书可由联合体牵头方（或主办方）出具，其中“单位”一栏可只填写联合体牵头方（或主办方）名称，投标文件其他内容及落款中的“投标人”应填写联合体各方的单位全称【格式表示为：(主)XXXX公司(成)XXXX公司】，由联合体</w:t>
            </w:r>
            <w:r>
              <w:rPr>
                <w:rFonts w:hint="eastAsia" w:ascii="宋体" w:hAnsi="宋体" w:cs="宋体"/>
                <w:b/>
                <w:bCs/>
                <w:color w:val="auto"/>
                <w:szCs w:val="21"/>
                <w:highlight w:val="none"/>
                <w:u w:val="single"/>
              </w:rPr>
              <w:t>牵头方（或主办方）</w:t>
            </w:r>
            <w:r>
              <w:rPr>
                <w:rFonts w:hint="eastAsia" w:ascii="宋体" w:hAnsi="宋体" w:cs="宋体"/>
                <w:color w:val="auto"/>
                <w:szCs w:val="21"/>
                <w:highlight w:val="none"/>
                <w:u w:val="single"/>
              </w:rPr>
              <w:t>签字、盖章即可。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3.7.4</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投标文件副本份数</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3.7.5</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装订要求</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封套上应载明的信息</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4.2.2</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投标人应在截止时间前通过电子招标投标交易平台递交电子投标文件。</w:t>
            </w:r>
          </w:p>
        </w:tc>
      </w:tr>
      <w:tr>
        <w:tblPrEx>
          <w:tblCellMar>
            <w:top w:w="0" w:type="dxa"/>
            <w:left w:w="108" w:type="dxa"/>
            <w:bottom w:w="0" w:type="dxa"/>
            <w:right w:w="108" w:type="dxa"/>
          </w:tblCellMar>
        </w:tblPrEx>
        <w:trPr>
          <w:trHeight w:val="9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是否退还投标文件</w:t>
            </w:r>
          </w:p>
        </w:tc>
        <w:tc>
          <w:tcPr>
            <w:tcW w:w="5659" w:type="dxa"/>
            <w:tcBorders>
              <w:top w:val="single" w:color="auto" w:sz="4" w:space="0"/>
              <w:left w:val="single" w:color="auto" w:sz="4" w:space="0"/>
              <w:bottom w:val="single" w:color="auto" w:sz="4" w:space="0"/>
              <w:right w:val="single" w:color="auto" w:sz="4" w:space="0"/>
            </w:tcBorders>
            <w:vAlign w:val="center"/>
          </w:tcPr>
          <w:p>
            <w:pPr>
              <w:pStyle w:val="16"/>
              <w:topLinePunct/>
              <w:spacing w:line="400" w:lineRule="exact"/>
              <w:rPr>
                <w:rFonts w:hAnsi="宋体" w:cs="宋体"/>
                <w:color w:val="auto"/>
                <w:sz w:val="21"/>
                <w:szCs w:val="21"/>
                <w:highlight w:val="none"/>
              </w:rPr>
            </w:pPr>
            <w:r>
              <w:rPr>
                <w:rFonts w:hint="eastAsia" w:hAnsi="宋体" w:cs="宋体"/>
                <w:color w:val="auto"/>
                <w:sz w:val="32"/>
                <w:szCs w:val="32"/>
                <w:highlight w:val="none"/>
              </w:rPr>
              <w:t>■</w:t>
            </w:r>
            <w:r>
              <w:rPr>
                <w:rFonts w:hint="eastAsia" w:hAnsi="宋体" w:cs="宋体"/>
                <w:color w:val="auto"/>
                <w:sz w:val="21"/>
                <w:szCs w:val="21"/>
                <w:highlight w:val="none"/>
              </w:rPr>
              <w:t>否</w:t>
            </w:r>
          </w:p>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是</w:t>
            </w:r>
          </w:p>
        </w:tc>
      </w:tr>
      <w:tr>
        <w:tblPrEx>
          <w:tblCellMar>
            <w:top w:w="0" w:type="dxa"/>
            <w:left w:w="108" w:type="dxa"/>
            <w:bottom w:w="0" w:type="dxa"/>
            <w:right w:w="108" w:type="dxa"/>
          </w:tblCellMar>
        </w:tblPrEx>
        <w:trPr>
          <w:trHeight w:val="9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5</w:t>
            </w:r>
            <w:r>
              <w:rPr>
                <w:rFonts w:hint="eastAsia" w:ascii="宋体" w:hAnsi="宋体"/>
                <w:color w:val="auto"/>
                <w:szCs w:val="21"/>
                <w:highlight w:val="none"/>
              </w:rPr>
              <w:t>.1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投标文件的解密</w:t>
            </w:r>
          </w:p>
        </w:tc>
        <w:tc>
          <w:tcPr>
            <w:tcW w:w="5659" w:type="dxa"/>
            <w:tcBorders>
              <w:top w:val="single" w:color="auto" w:sz="4" w:space="0"/>
              <w:left w:val="single" w:color="auto" w:sz="4" w:space="0"/>
              <w:bottom w:val="single" w:color="auto" w:sz="4" w:space="0"/>
              <w:right w:val="single" w:color="auto" w:sz="4" w:space="0"/>
            </w:tcBorders>
            <w:vAlign w:val="center"/>
          </w:tcPr>
          <w:p>
            <w:pPr>
              <w:widowControl/>
              <w:topLinePunct/>
              <w:spacing w:line="276" w:lineRule="auto"/>
              <w:rPr>
                <w:rFonts w:ascii="宋体" w:hAnsi="宋体" w:cs="宋体"/>
                <w:color w:val="auto"/>
                <w:kern w:val="0"/>
                <w:szCs w:val="21"/>
                <w:highlight w:val="none"/>
              </w:rPr>
            </w:pPr>
            <w:r>
              <w:rPr>
                <w:rFonts w:hint="eastAsia" w:ascii="宋体" w:hAnsi="宋体" w:cs="宋体"/>
                <w:color w:val="auto"/>
                <w:szCs w:val="21"/>
                <w:highlight w:val="none"/>
              </w:rPr>
              <w:t>在投标截止时间后</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半</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小时内为投标人投标文件解密时间，投标人通过广州公共资源交易中心交易平台对已递交的电子投标文件进行解密。超过时间未解密的投标文件将</w:t>
            </w:r>
            <w:r>
              <w:rPr>
                <w:rFonts w:hint="eastAsia" w:ascii="宋体" w:hAnsi="宋体" w:cs="宋体"/>
                <w:b/>
                <w:color w:val="auto"/>
                <w:szCs w:val="21"/>
                <w:highlight w:val="none"/>
              </w:rPr>
              <w:t>作为放弃投标处理</w:t>
            </w:r>
            <w:r>
              <w:rPr>
                <w:rFonts w:hint="eastAsia" w:ascii="宋体" w:hAnsi="宋体" w:cs="宋体"/>
                <w:color w:val="auto"/>
                <w:szCs w:val="21"/>
                <w:highlight w:val="none"/>
              </w:rPr>
              <w:t>。</w:t>
            </w:r>
          </w:p>
        </w:tc>
      </w:tr>
      <w:tr>
        <w:tblPrEx>
          <w:tblCellMar>
            <w:top w:w="0" w:type="dxa"/>
            <w:left w:w="108" w:type="dxa"/>
            <w:bottom w:w="0" w:type="dxa"/>
            <w:right w:w="108" w:type="dxa"/>
          </w:tblCellMar>
        </w:tblPrEx>
        <w:trPr>
          <w:trHeight w:val="544" w:hRule="atLeast"/>
        </w:trPr>
        <w:tc>
          <w:tcPr>
            <w:tcW w:w="116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5.1</w:t>
            </w:r>
          </w:p>
        </w:tc>
        <w:tc>
          <w:tcPr>
            <w:tcW w:w="2353"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5659" w:type="dxa"/>
            <w:tcBorders>
              <w:top w:val="single" w:color="auto" w:sz="4" w:space="0"/>
              <w:left w:val="single" w:color="auto" w:sz="4" w:space="0"/>
              <w:right w:val="single" w:color="auto" w:sz="4" w:space="0"/>
            </w:tcBorders>
            <w:vAlign w:val="center"/>
          </w:tcPr>
          <w:p>
            <w:pPr>
              <w:widowControl/>
              <w:topLinePunct/>
              <w:spacing w:line="276" w:lineRule="auto"/>
              <w:rPr>
                <w:color w:val="auto"/>
                <w:highlight w:val="none"/>
              </w:rPr>
            </w:pPr>
            <w:r>
              <w:rPr>
                <w:rFonts w:hint="eastAsia"/>
                <w:color w:val="auto"/>
                <w:highlight w:val="none"/>
              </w:rPr>
              <w:t>开标时间：</w:t>
            </w:r>
            <w:r>
              <w:rPr>
                <w:rFonts w:hint="eastAsia" w:ascii="宋体" w:hAnsi="宋体" w:cs="宋体"/>
                <w:color w:val="auto"/>
                <w:szCs w:val="21"/>
                <w:highlight w:val="none"/>
              </w:rPr>
              <w:t>开标时间同投标截止时间。在电子招标投标交易平台进行网上开标。</w:t>
            </w:r>
          </w:p>
          <w:p>
            <w:pPr>
              <w:widowControl/>
              <w:topLinePunct/>
              <w:spacing w:line="276" w:lineRule="auto"/>
              <w:rPr>
                <w:color w:val="auto"/>
                <w:highlight w:val="none"/>
              </w:rPr>
            </w:pPr>
            <w:r>
              <w:rPr>
                <w:rFonts w:hint="eastAsia"/>
                <w:color w:val="auto"/>
                <w:highlight w:val="none"/>
              </w:rPr>
              <w:t>开标地点：</w:t>
            </w:r>
            <w:r>
              <w:rPr>
                <w:rFonts w:hint="eastAsia" w:ascii="宋体" w:hAnsi="宋体" w:cs="宋体"/>
                <w:color w:val="auto"/>
                <w:szCs w:val="21"/>
                <w:highlight w:val="none"/>
                <w:u w:val="single"/>
              </w:rPr>
              <w:t xml:space="preserve">广州公共资源交易中心增城交易部    </w:t>
            </w:r>
            <w:r>
              <w:rPr>
                <w:rFonts w:hint="eastAsia" w:ascii="宋体" w:hAnsi="宋体"/>
                <w:color w:val="auto"/>
                <w:szCs w:val="21"/>
                <w:highlight w:val="none"/>
                <w:u w:val="single"/>
              </w:rPr>
              <w:t>开标室；</w:t>
            </w:r>
          </w:p>
          <w:p>
            <w:pPr>
              <w:widowControl/>
              <w:topLinePunct/>
              <w:spacing w:line="276" w:lineRule="auto"/>
              <w:rPr>
                <w:color w:val="auto"/>
                <w:highlight w:val="none"/>
              </w:rPr>
            </w:pPr>
            <w:r>
              <w:rPr>
                <w:rFonts w:hint="eastAsia"/>
                <w:color w:val="auto"/>
                <w:highlight w:val="none"/>
              </w:rPr>
              <w:t>本电子招投标项目在广州公共资源交易中心公开开标，并邀请所有投标人的法定代表人（单位负责人）或其委托代理人准时参加。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widowControl/>
              <w:topLinePunct/>
              <w:spacing w:line="276" w:lineRule="auto"/>
              <w:rPr>
                <w:rFonts w:ascii="宋体" w:hAnsi="宋体" w:cs="宋体"/>
                <w:color w:val="auto"/>
                <w:szCs w:val="21"/>
                <w:highlight w:val="none"/>
              </w:rPr>
            </w:pPr>
            <w:r>
              <w:rPr>
                <w:rFonts w:hint="eastAsia" w:ascii="宋体" w:hAnsi="宋体"/>
                <w:color w:val="auto"/>
                <w:szCs w:val="21"/>
                <w:highlight w:val="none"/>
                <w:u w:val="single"/>
              </w:rPr>
              <w:t>本项目的日程安排及地点信息可在广州公共资源交易中心网站进行查询。</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5.2</w:t>
            </w:r>
          </w:p>
        </w:tc>
        <w:tc>
          <w:tcPr>
            <w:tcW w:w="2353"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5659" w:type="dxa"/>
            <w:tcBorders>
              <w:top w:val="single" w:color="auto" w:sz="4" w:space="0"/>
              <w:left w:val="single" w:color="auto" w:sz="4" w:space="0"/>
              <w:right w:val="single" w:color="auto" w:sz="4" w:space="0"/>
            </w:tcBorders>
            <w:vAlign w:val="center"/>
          </w:tcPr>
          <w:p>
            <w:pPr>
              <w:spacing w:line="276" w:lineRule="auto"/>
              <w:ind w:firstLine="457" w:firstLineChars="218"/>
              <w:rPr>
                <w:rFonts w:ascii="宋体" w:hAnsi="宋体" w:cs="宋体"/>
                <w:color w:val="auto"/>
                <w:szCs w:val="21"/>
                <w:highlight w:val="none"/>
                <w:u w:val="single"/>
              </w:rPr>
            </w:pPr>
            <w:r>
              <w:rPr>
                <w:rFonts w:hint="eastAsia" w:ascii="宋体" w:hAnsi="宋体" w:cs="宋体"/>
                <w:color w:val="auto"/>
                <w:szCs w:val="21"/>
                <w:highlight w:val="none"/>
                <w:u w:val="single"/>
              </w:rPr>
              <w:t>开标由招标人或委托招标代理单位主持。</w:t>
            </w:r>
          </w:p>
          <w:p>
            <w:pPr>
              <w:tabs>
                <w:tab w:val="left" w:pos="105"/>
              </w:tabs>
              <w:spacing w:line="276" w:lineRule="auto"/>
              <w:ind w:firstLine="457" w:firstLineChars="218"/>
              <w:rPr>
                <w:rFonts w:ascii="宋体" w:hAnsi="宋体" w:cs="宋体"/>
                <w:color w:val="auto"/>
                <w:szCs w:val="21"/>
                <w:highlight w:val="none"/>
                <w:u w:val="single"/>
              </w:rPr>
            </w:pPr>
            <w:r>
              <w:rPr>
                <w:rFonts w:hint="eastAsia" w:ascii="宋体" w:hAnsi="宋体" w:cs="宋体"/>
                <w:color w:val="auto"/>
                <w:szCs w:val="21"/>
                <w:highlight w:val="none"/>
                <w:u w:val="single"/>
              </w:rPr>
              <w:t>（1）宣布开标纪律；</w:t>
            </w:r>
          </w:p>
          <w:p>
            <w:pPr>
              <w:tabs>
                <w:tab w:val="left" w:pos="105"/>
              </w:tabs>
              <w:spacing w:line="276" w:lineRule="auto"/>
              <w:ind w:firstLine="457" w:firstLineChars="218"/>
              <w:rPr>
                <w:rFonts w:ascii="宋体" w:hAnsi="宋体" w:cs="宋体"/>
                <w:color w:val="auto"/>
                <w:szCs w:val="21"/>
                <w:highlight w:val="none"/>
                <w:u w:val="single"/>
              </w:rPr>
            </w:pPr>
            <w:r>
              <w:rPr>
                <w:rFonts w:hint="eastAsia" w:ascii="宋体" w:hAnsi="宋体" w:cs="宋体"/>
                <w:color w:val="auto"/>
                <w:szCs w:val="21"/>
                <w:highlight w:val="none"/>
                <w:u w:val="single"/>
              </w:rPr>
              <w:t>（2）公布在投标截止时间前递交投标文件的投标人名称；</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（3）在投标截止时间后</w:t>
            </w:r>
            <w:r>
              <w:rPr>
                <w:rFonts w:hint="eastAsia" w:ascii="宋体" w:hAnsi="宋体" w:cs="宋体"/>
                <w:b/>
                <w:color w:val="auto"/>
                <w:szCs w:val="21"/>
                <w:highlight w:val="none"/>
                <w:u w:val="single"/>
              </w:rPr>
              <w:t>规定的时间内</w:t>
            </w:r>
            <w:r>
              <w:rPr>
                <w:rFonts w:hint="eastAsia" w:ascii="新宋体" w:hAnsi="新宋体" w:eastAsia="新宋体" w:cs="新宋体"/>
                <w:color w:val="auto"/>
                <w:szCs w:val="21"/>
                <w:highlight w:val="none"/>
                <w:u w:val="single"/>
              </w:rPr>
              <w:t>，投标人通过递交投标文件的交易平台对已递交的电子投标文件进行解密。投标人完成解密后，再由招标人进行解密（投标人只用执行一次解密，招标人执行解密次数根据招标文件开标次数确定）。</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（4）解密完成后，公布：a投标人名称；b投标文件递交情况；c投标文件解密情况；d投标保证金递交情况；e项目负责人(兼施工负责人) 、设计负责人、专职安全员；f投标报价；g工期；h投标人的加密打包投标文件电脑机器特征码等主要内容，并记录在案。未在规定时间内解密的投标文件不参与开标、评标。</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（5）截标后，开标开始时间因故推迟的，相关评标信息仍以原定的开标开始时间的信息为准。</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（6）备用光盘的读取按“10 电子招标投标”第6点“投标文件解密失败的补救方案”的规定执行。</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7）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8</w:t>
            </w:r>
            <w:r>
              <w:rPr>
                <w:rFonts w:hint="eastAsia" w:ascii="新宋体" w:hAnsi="新宋体" w:eastAsia="新宋体" w:cs="新宋体"/>
                <w:color w:val="auto"/>
                <w:szCs w:val="21"/>
                <w:highlight w:val="none"/>
                <w:u w:val="single"/>
              </w:rPr>
              <w:t>）参加现场开标的投标人对开标结果有异议的，应当在开标现场提出，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9</w:t>
            </w:r>
            <w:r>
              <w:rPr>
                <w:rFonts w:hint="eastAsia" w:ascii="新宋体" w:hAnsi="新宋体" w:eastAsia="新宋体" w:cs="新宋体"/>
                <w:color w:val="auto"/>
                <w:szCs w:val="21"/>
                <w:highlight w:val="none"/>
                <w:u w:val="single"/>
              </w:rPr>
              <w:t>）投标人未参加开标或在规定的时间内未提出异议的，视为对开标无异议。</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10</w:t>
            </w:r>
            <w:r>
              <w:rPr>
                <w:rFonts w:hint="eastAsia" w:ascii="新宋体" w:hAnsi="新宋体" w:eastAsia="新宋体" w:cs="新宋体"/>
                <w:color w:val="auto"/>
                <w:szCs w:val="21"/>
                <w:highlight w:val="none"/>
                <w:u w:val="single"/>
              </w:rPr>
              <w:t>）开标时，两个（含两个）以上的投标人加密打包投标文件电脑机器特征码一致的，不参与下一程序，并由评标委员会否决其投标。</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（1</w:t>
            </w:r>
            <w:r>
              <w:rPr>
                <w:rFonts w:ascii="新宋体" w:hAnsi="新宋体" w:eastAsia="新宋体" w:cs="新宋体"/>
                <w:color w:val="auto"/>
                <w:szCs w:val="21"/>
                <w:highlight w:val="none"/>
                <w:u w:val="single"/>
              </w:rPr>
              <w:t>1</w:t>
            </w:r>
            <w:r>
              <w:rPr>
                <w:rFonts w:hint="eastAsia" w:ascii="新宋体" w:hAnsi="新宋体" w:eastAsia="新宋体" w:cs="新宋体"/>
                <w:color w:val="auto"/>
                <w:szCs w:val="21"/>
                <w:highlight w:val="none"/>
                <w:u w:val="single"/>
              </w:rPr>
              <w:t>）投标文件（设计方案）开标时不得开启，在评标时由交易平台随机编号后开启，交由评标委员会进行评审。编号所对应的投标人在设计方案评审结束前不得告知评标委员会、交易平台工作人员、招标人或招标代理机构。（如有）</w:t>
            </w:r>
          </w:p>
          <w:p>
            <w:pPr>
              <w:snapToGrid w:val="0"/>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（1</w:t>
            </w:r>
            <w:r>
              <w:rPr>
                <w:rFonts w:ascii="新宋体" w:hAnsi="新宋体" w:eastAsia="新宋体" w:cs="新宋体"/>
                <w:color w:val="auto"/>
                <w:szCs w:val="21"/>
                <w:highlight w:val="none"/>
                <w:u w:val="single"/>
              </w:rPr>
              <w:t>2</w:t>
            </w:r>
            <w:r>
              <w:rPr>
                <w:rFonts w:hint="eastAsia" w:ascii="新宋体" w:hAnsi="新宋体" w:eastAsia="新宋体" w:cs="新宋体"/>
                <w:color w:val="auto"/>
                <w:szCs w:val="21"/>
                <w:highlight w:val="none"/>
                <w:u w:val="single"/>
              </w:rPr>
              <w:t>）投标人代表、招标人代表、监标人、记录人等有关人员在开标记录上签字确认；若有关人员不签字的，不影响开标程序；</w:t>
            </w:r>
          </w:p>
          <w:p>
            <w:pPr>
              <w:snapToGrid w:val="0"/>
              <w:spacing w:line="360" w:lineRule="auto"/>
              <w:ind w:firstLine="420" w:firstLineChars="200"/>
              <w:rPr>
                <w:rFonts w:ascii="宋体" w:hAnsi="宋体" w:cs="宋体"/>
                <w:color w:val="auto"/>
                <w:szCs w:val="21"/>
                <w:highlight w:val="non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13</w:t>
            </w:r>
            <w:r>
              <w:rPr>
                <w:rFonts w:hint="eastAsia" w:ascii="新宋体" w:hAnsi="新宋体" w:eastAsia="新宋体" w:cs="新宋体"/>
                <w:color w:val="auto"/>
                <w:szCs w:val="21"/>
                <w:highlight w:val="none"/>
                <w:u w:val="single"/>
              </w:rPr>
              <w:t>）开标结束。</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6.1.1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评标委员会的组建</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56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是</w:t>
            </w:r>
          </w:p>
          <w:p>
            <w:pPr>
              <w:spacing w:line="440" w:lineRule="exact"/>
              <w:rPr>
                <w:rFonts w:ascii="宋体" w:hAnsi="宋体" w:cs="宋体"/>
                <w:color w:val="auto"/>
                <w:szCs w:val="21"/>
                <w:highlight w:val="none"/>
              </w:rPr>
            </w:pPr>
            <w:r>
              <w:rPr>
                <w:rFonts w:hint="eastAsia" w:ascii="宋体" w:hAnsi="宋体" w:cs="宋体"/>
                <w:color w:val="auto"/>
                <w:sz w:val="32"/>
                <w:szCs w:val="32"/>
                <w:highlight w:val="none"/>
              </w:rPr>
              <w:t>■</w:t>
            </w:r>
            <w:r>
              <w:rPr>
                <w:rFonts w:hint="eastAsia" w:ascii="宋体" w:hAnsi="宋体" w:cs="宋体"/>
                <w:color w:val="auto"/>
                <w:szCs w:val="21"/>
                <w:highlight w:val="none"/>
              </w:rPr>
              <w:t>否，推荐的中标候选人数：3人。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7.2</w:t>
            </w:r>
          </w:p>
        </w:tc>
        <w:tc>
          <w:tcPr>
            <w:tcW w:w="2353"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中标候选人公示媒介</w:t>
            </w:r>
          </w:p>
        </w:tc>
        <w:tc>
          <w:tcPr>
            <w:tcW w:w="5659" w:type="dxa"/>
            <w:tcBorders>
              <w:top w:val="single" w:color="auto" w:sz="4" w:space="0"/>
              <w:left w:val="single" w:color="auto" w:sz="4" w:space="0"/>
              <w:right w:val="single" w:color="auto" w:sz="4" w:space="0"/>
            </w:tcBorders>
            <w:vAlign w:val="center"/>
          </w:tcPr>
          <w:p>
            <w:pPr>
              <w:spacing w:line="440" w:lineRule="exact"/>
              <w:jc w:val="left"/>
              <w:rPr>
                <w:color w:val="auto"/>
                <w:highlight w:val="none"/>
              </w:rPr>
            </w:pPr>
            <w:r>
              <w:rPr>
                <w:rFonts w:hint="eastAsia"/>
                <w:color w:val="auto"/>
                <w:highlight w:val="none"/>
              </w:rPr>
              <w:t>公示媒介：中国招标投标公共服务平台、广东省招标投标监管网、广州公共资源交易网</w:t>
            </w:r>
          </w:p>
          <w:p>
            <w:pPr>
              <w:spacing w:line="440" w:lineRule="exact"/>
              <w:jc w:val="left"/>
              <w:rPr>
                <w:color w:val="auto"/>
                <w:highlight w:val="none"/>
              </w:rPr>
            </w:pPr>
            <w:r>
              <w:rPr>
                <w:rFonts w:hint="eastAsia"/>
                <w:color w:val="auto"/>
                <w:highlight w:val="none"/>
              </w:rPr>
              <w:t>公示期限：3日</w:t>
            </w:r>
          </w:p>
          <w:p>
            <w:pPr>
              <w:pStyle w:val="13"/>
              <w:ind w:firstLine="0" w:firstLineChars="0"/>
              <w:rPr>
                <w:color w:val="auto"/>
                <w:highlight w:val="none"/>
              </w:rPr>
            </w:pPr>
            <w:r>
              <w:rPr>
                <w:rFonts w:hint="eastAsia"/>
                <w:b/>
                <w:bCs/>
                <w:color w:val="auto"/>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7.4.1</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履约担保</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履约担保的形式：</w:t>
            </w:r>
            <w:r>
              <w:rPr>
                <w:rFonts w:hint="eastAsia" w:ascii="宋体" w:hAnsi="宋体" w:cs="宋体"/>
                <w:color w:val="auto"/>
                <w:kern w:val="0"/>
                <w:szCs w:val="21"/>
                <w:highlight w:val="none"/>
              </w:rPr>
              <w:t>以合同约定为准</w:t>
            </w:r>
            <w:r>
              <w:rPr>
                <w:rFonts w:hint="eastAsia" w:ascii="宋体" w:hAnsi="宋体" w:cs="宋体"/>
                <w:color w:val="auto"/>
                <w:szCs w:val="21"/>
                <w:highlight w:val="none"/>
              </w:rPr>
              <w:t>。</w:t>
            </w:r>
          </w:p>
          <w:p>
            <w:pPr>
              <w:rPr>
                <w:rFonts w:ascii="宋体" w:hAnsi="宋体"/>
                <w:color w:val="auto"/>
                <w:szCs w:val="21"/>
                <w:highlight w:val="none"/>
              </w:rPr>
            </w:pPr>
            <w:r>
              <w:rPr>
                <w:rFonts w:hint="eastAsia" w:ascii="宋体" w:hAnsi="宋体" w:cs="宋体"/>
                <w:color w:val="auto"/>
                <w:szCs w:val="21"/>
                <w:highlight w:val="none"/>
              </w:rPr>
              <w:t>履约担保的金额：中标人提供的履约担保为</w:t>
            </w:r>
            <w:r>
              <w:rPr>
                <w:rFonts w:hint="eastAsia" w:ascii="宋体" w:hAnsi="宋体" w:cs="宋体"/>
                <w:color w:val="auto"/>
                <w:szCs w:val="21"/>
                <w:highlight w:val="none"/>
                <w:lang w:val="zh-CN"/>
              </w:rPr>
              <w:t>建筑安装工程费</w:t>
            </w:r>
            <w:r>
              <w:rPr>
                <w:rFonts w:hint="eastAsia" w:ascii="宋体" w:hAnsi="宋体" w:cs="宋体"/>
                <w:color w:val="auto"/>
                <w:szCs w:val="21"/>
                <w:highlight w:val="none"/>
              </w:rPr>
              <w:t>中标价的10%，联合体投标的由联合体牵头方（或主办方）提供。</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9</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需要补充的其他内容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9.1</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建设工程质量检测管理办法：</w:t>
            </w:r>
          </w:p>
          <w:p>
            <w:pPr>
              <w:rPr>
                <w:rFonts w:ascii="宋体" w:hAnsi="宋体" w:cs="宋体"/>
                <w:b/>
                <w:color w:val="auto"/>
                <w:szCs w:val="21"/>
                <w:highlight w:val="none"/>
              </w:rPr>
            </w:pPr>
            <w:r>
              <w:rPr>
                <w:rFonts w:hint="eastAsia" w:ascii="宋体" w:hAnsi="宋体" w:cs="宋体"/>
                <w:color w:val="auto"/>
                <w:highlight w:val="none"/>
              </w:rPr>
              <w:t>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9.2</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在招标和合同实施期间，招标人要求投标人和承包人遵守最高的道德标准。</w:t>
            </w:r>
          </w:p>
          <w:p>
            <w:pPr>
              <w:rPr>
                <w:rFonts w:ascii="宋体" w:hAnsi="宋体" w:cs="宋体"/>
                <w:color w:val="auto"/>
                <w:highlight w:val="none"/>
              </w:rPr>
            </w:pPr>
            <w:r>
              <w:rPr>
                <w:rFonts w:hint="eastAsia" w:ascii="宋体" w:hAnsi="宋体" w:cs="宋体"/>
                <w:color w:val="auto"/>
                <w:highlight w:val="none"/>
              </w:rPr>
              <w:t>1、对本条款的规定，特定义如下词汇：</w:t>
            </w:r>
          </w:p>
          <w:p>
            <w:pPr>
              <w:rPr>
                <w:rFonts w:ascii="宋体" w:hAnsi="宋体" w:cs="宋体"/>
                <w:color w:val="auto"/>
                <w:highlight w:val="none"/>
              </w:rPr>
            </w:pPr>
            <w:r>
              <w:rPr>
                <w:rFonts w:hint="eastAsia" w:ascii="宋体" w:hAnsi="宋体" w:cs="宋体"/>
                <w:color w:val="auto"/>
                <w:highlight w:val="none"/>
              </w:rPr>
              <w:t>1） “腐败行为”是指在招标或合同执行期间，通过提供、给予、接受或索要任何有价值的东西，从而影响招标人有关人员工作的行为；</w:t>
            </w:r>
          </w:p>
          <w:p>
            <w:pPr>
              <w:rPr>
                <w:rFonts w:ascii="宋体" w:hAnsi="宋体" w:cs="宋体"/>
                <w:color w:val="auto"/>
                <w:highlight w:val="none"/>
              </w:rPr>
            </w:pPr>
            <w:r>
              <w:rPr>
                <w:rFonts w:hint="eastAsia" w:ascii="宋体" w:hAnsi="宋体" w:cs="宋体"/>
                <w:color w:val="auto"/>
                <w:highlight w:val="none"/>
              </w:rPr>
              <w:t>2） “欺诈行为”是指通过提供伪证影响招标或合同执行，从而损害招标人利益的行为；也包括投标人之间串通（在提交投标书之前或之后），人为地使招标过程失去竞争性，从而使招标人无法从公开的自由竞争中获得利益的行为。</w:t>
            </w:r>
          </w:p>
          <w:p>
            <w:pPr>
              <w:rPr>
                <w:rFonts w:ascii="宋体" w:hAnsi="宋体" w:cs="宋体"/>
                <w:color w:val="auto"/>
                <w:highlight w:val="none"/>
              </w:rPr>
            </w:pPr>
            <w:r>
              <w:rPr>
                <w:rFonts w:hint="eastAsia" w:ascii="宋体" w:hAnsi="宋体" w:cs="宋体"/>
                <w:color w:val="auto"/>
                <w:highlight w:val="none"/>
              </w:rPr>
              <w:t>2、如果投标人被认定在本招标的竞争中有腐败或欺诈行为，则会被取消投标资格。</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color w:val="auto"/>
                <w:szCs w:val="21"/>
                <w:highlight w:val="none"/>
              </w:rPr>
              <w:t>9.3</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lang w:val="zh-CN"/>
              </w:rPr>
              <w:t>承包方式：承包人根据招标文件、合同文件、有关资料及说明等对本项目实施勘察设计施工总承包，包勘察，包设计（方案设计及优化、初步设计、施工图设计、编制初步设计概算和施工图预算、</w:t>
            </w:r>
            <w:r>
              <w:rPr>
                <w:rFonts w:hint="eastAsia" w:ascii="宋体" w:hAnsi="宋体" w:cs="宋体"/>
                <w:color w:val="auto"/>
                <w:highlight w:val="none"/>
                <w:u w:val="none"/>
              </w:rPr>
              <w:t>竣工图审核、</w:t>
            </w:r>
            <w:r>
              <w:rPr>
                <w:rFonts w:hint="eastAsia" w:ascii="宋体" w:hAnsi="宋体" w:cs="宋体"/>
                <w:color w:val="auto"/>
                <w:szCs w:val="21"/>
                <w:highlight w:val="none"/>
                <w:u w:val="none"/>
                <w:lang w:val="zh-CN"/>
              </w:rPr>
              <w:t>现</w:t>
            </w:r>
            <w:r>
              <w:rPr>
                <w:rFonts w:hint="eastAsia" w:ascii="宋体" w:hAnsi="宋体" w:cs="宋体"/>
                <w:color w:val="auto"/>
                <w:szCs w:val="21"/>
                <w:highlight w:val="none"/>
                <w:lang w:val="zh-CN"/>
              </w:rPr>
              <w:t>场指导与监督，</w:t>
            </w:r>
            <w:r>
              <w:rPr>
                <w:rFonts w:hint="eastAsia" w:ascii="宋体" w:hAnsi="宋体" w:eastAsia="宋体" w:cs="宋体"/>
                <w:color w:val="auto"/>
                <w:highlight w:val="none"/>
                <w:u w:val="none"/>
                <w:lang w:eastAsia="zh-CN"/>
              </w:rPr>
              <w:t>提供项目报建时与设计有关的文件</w:t>
            </w:r>
            <w:r>
              <w:rPr>
                <w:rFonts w:hint="eastAsia" w:ascii="宋体" w:hAnsi="宋体" w:cs="宋体"/>
                <w:color w:val="auto"/>
                <w:szCs w:val="21"/>
                <w:highlight w:val="none"/>
                <w:lang w:val="zh-CN"/>
              </w:rPr>
              <w:t>等），本项目实行限额设计施工，工程变更需经过招标人审定后方可实施。包施工，包括不限于</w:t>
            </w:r>
            <w:r>
              <w:rPr>
                <w:rFonts w:hint="eastAsia" w:ascii="宋体" w:hAnsi="宋体" w:cs="宋体"/>
                <w:color w:val="auto"/>
                <w:highlight w:val="none"/>
              </w:rPr>
              <w:t>包工、包料、包机械、包工期、包质量、包安全生产、包文明施工、包劳保、包验收、包联动调试、包竣工验收、包移交、包结算、包资料整理、包现场整体组织、包专业协调及配合、包编制竣工图、包保修以及施工总承包管理配合服务等方式进行总承包施工。</w:t>
            </w:r>
            <w:bookmarkStart w:id="32" w:name="OLE_LINK14"/>
            <w:bookmarkStart w:id="33" w:name="OLE_LINK17"/>
            <w:bookmarkStart w:id="34" w:name="OLE_LINK2"/>
            <w:r>
              <w:rPr>
                <w:rFonts w:hint="eastAsia" w:ascii="宋体" w:hAnsi="宋体" w:cs="宋体"/>
                <w:color w:val="auto"/>
                <w:szCs w:val="21"/>
                <w:highlight w:val="none"/>
                <w:lang w:val="zh-CN"/>
              </w:rPr>
              <w:t>工程量按实结算，合同价款根据招标文件和本合同约定的计价方式进行计价和结算。</w:t>
            </w:r>
            <w:bookmarkEnd w:id="32"/>
            <w:bookmarkEnd w:id="33"/>
            <w:bookmarkEnd w:id="34"/>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color w:val="auto"/>
                <w:szCs w:val="21"/>
                <w:highlight w:val="none"/>
              </w:rPr>
              <w:t>9.4</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项目管理目标及规范：严格执行《建设项目工程总承包管理规范》（GB/T 50358-2017）的要求。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9.5</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1、交易服务费由中标人向广州公共资源交易中心缴纳，交易服务费为中标金额的0.09%（具体收费标准可登录广州公共资源交易中心网站查阅，如有变更以广州公共资源交易中心最新发布的标准为准），交易服务费支付后还必须去广州公共资源交易中心开具发票。</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u w:val="single"/>
              </w:rPr>
              <w:t>2、本项目招标代理服务费及相关费用由中标人支付，收费标准按招标人与招标单位签订的招标代理合同约定执行。</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23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电子招标投标</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highlight w:val="none"/>
              </w:rPr>
            </w:pPr>
            <w:r>
              <w:rPr>
                <w:rFonts w:hint="eastAsia" w:ascii="宋体" w:hAnsi="宋体" w:cs="宋体"/>
                <w:color w:val="auto"/>
                <w:highlight w:val="none"/>
              </w:rPr>
              <w:t>□否</w:t>
            </w:r>
          </w:p>
          <w:p>
            <w:pPr>
              <w:spacing w:line="360" w:lineRule="exact"/>
              <w:rPr>
                <w:rFonts w:ascii="宋体" w:hAnsi="宋体" w:cs="宋体"/>
                <w:color w:val="auto"/>
                <w:highlight w:val="none"/>
              </w:rPr>
            </w:pPr>
            <w:r>
              <w:rPr>
                <w:rFonts w:hint="eastAsia" w:ascii="宋体" w:hAnsi="宋体" w:cs="宋体"/>
                <w:color w:val="auto"/>
                <w:highlight w:val="none"/>
              </w:rPr>
              <w:t>■是，具体要求：</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1、投标文件形式：投标文件全部采用电子文档，投标文件应按交易平台相关操作指南编制。如不按上述要求编制引起系统无法检索、读取相关信息的，其后果由投标人承担。投标文件所附证书证件均为原件扫描件，并采用单位数字证书，按招标文件要求在相应位置加盖电子印章。投标文件中需个人签字或盖章的，应加盖个人电子印章或在线下完成后扫描上传。具体操作详见交易平台相关操作指南。</w:t>
            </w:r>
          </w:p>
          <w:p>
            <w:pPr>
              <w:pStyle w:val="2"/>
              <w:rPr>
                <w:rFonts w:ascii="宋体" w:hAnsi="宋体" w:eastAsia="宋体" w:cs="宋体"/>
                <w:color w:val="auto"/>
                <w:highlight w:val="none"/>
              </w:rPr>
            </w:pPr>
            <w:r>
              <w:rPr>
                <w:rFonts w:hint="eastAsia" w:ascii="宋体" w:hAnsi="宋体" w:eastAsia="宋体" w:cs="宋体"/>
                <w:color w:val="auto"/>
                <w:highlight w:val="none"/>
              </w:rPr>
              <w:t>2、投标文件的修改与撤回：投标人修改或撤回已递交的投标文件，需在交易平台发出撤回通知，并按要求加盖电子印章。电子招标投标交易平台收到通知后，即时向投标人发出确认回执通知。投标人撤回投标文件的，招标人自收到投标人书面撤回通知之日起5日内退还已收取的投标保证金。</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3、（重要风险提示）备用光盘或u盘。投标人可使用投标文件制作工具生成非加密的电子投标文件载入光盘或u盘（1份，载体形式由投标人自选）</w:t>
            </w:r>
            <w:r>
              <w:rPr>
                <w:rFonts w:hint="eastAsia" w:ascii="宋体" w:hAnsi="宋体" w:eastAsia="宋体" w:cs="宋体"/>
                <w:color w:val="auto"/>
                <w:highlight w:val="none"/>
                <w:u w:val="single"/>
              </w:rPr>
              <w:t>并用不透明密封袋密封。</w:t>
            </w:r>
            <w:r>
              <w:rPr>
                <w:rFonts w:hint="eastAsia" w:ascii="宋体" w:hAnsi="宋体" w:eastAsia="宋体" w:cs="宋体"/>
                <w:color w:val="auto"/>
                <w:highlight w:val="none"/>
              </w:rPr>
              <w:t>在规定的时间、地点提交备用。(刻录好的投标文件光盘或u盘密封在密封袋中，并在封口处加盖投标人单位公章</w:t>
            </w:r>
            <w:r>
              <w:rPr>
                <w:rFonts w:hint="eastAsia" w:ascii="宋体" w:hAnsi="宋体" w:eastAsia="宋体" w:cs="宋体"/>
                <w:color w:val="auto"/>
                <w:highlight w:val="none"/>
                <w:u w:val="single"/>
              </w:rPr>
              <w:t>（联合体投标的，可由联合体牵头方（或主办方）盖章。）</w:t>
            </w:r>
            <w:r>
              <w:rPr>
                <w:rFonts w:hint="eastAsia" w:ascii="宋体" w:hAnsi="宋体" w:eastAsia="宋体" w:cs="宋体"/>
                <w:color w:val="auto"/>
                <w:highlight w:val="none"/>
              </w:rPr>
              <w:t>。密封袋上应写明项目名称和招标人名称。递交的投标文件光盘或u盘(备用)不得加密。光盘或u盘（备用投标文件）无法读取或导入的，则视为未提交投标文件光盘或u盘(备用)。如果投标人没有按规定通过交易平台网上递交电子投标文件的，不再读取提交的光盘或u盘。投标人也可不提交投标文件光盘或u盘(备用)。</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4、投标文件的递交：</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1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①</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投标文件递交的截止时间（投标截止时间，下同）为2023年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分，投标人应在截止时间前通过电子招标投标交易平台递交电子投标文件。</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2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提交投标文件备用光盘或u盘。</w:t>
            </w:r>
          </w:p>
          <w:p>
            <w:pPr>
              <w:pStyle w:val="2"/>
              <w:spacing w:line="360" w:lineRule="exact"/>
              <w:rPr>
                <w:rFonts w:ascii="宋体" w:hAnsi="宋体" w:eastAsia="宋体" w:cs="宋体"/>
                <w:b/>
                <w:bCs/>
                <w:color w:val="auto"/>
                <w:highlight w:val="none"/>
                <w:u w:val="single"/>
              </w:rPr>
            </w:pPr>
            <w:r>
              <w:rPr>
                <w:rFonts w:hint="eastAsia" w:ascii="宋体" w:hAnsi="宋体" w:eastAsia="宋体" w:cs="宋体"/>
                <w:color w:val="auto"/>
                <w:highlight w:val="none"/>
              </w:rPr>
              <w:t>投标文件光盘或u盘(备用)递交时间：2023年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分至2023年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分，地点：广州公共资源交易中心增城交易部第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开标室。</w:t>
            </w:r>
            <w:r>
              <w:rPr>
                <w:rFonts w:hint="eastAsia" w:ascii="宋体" w:hAnsi="宋体" w:eastAsia="宋体" w:cs="宋体"/>
                <w:b/>
                <w:bCs/>
                <w:color w:val="auto"/>
                <w:highlight w:val="none"/>
                <w:u w:val="single"/>
              </w:rPr>
              <w:t>注：投标人递交投标文件备用光盘时应出示法定代表人证明书、法定代表人授权委托书（非法定代表人递交时出具）及被授权人身份证。</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3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③</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投标人完成电子投标上传后，电子招标投标交易平台即时向投标人发出递交回执通知。递交时间以递交回执通知载明的传输时间为准。</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4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④</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逾期送达的投标文件，电子招标投标交易平台将予以拒收。</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5、投标文件加密要求：</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1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①</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网上递交的电子投标文件须进行加密。具体操作详见交易平台相关操作指南。</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 2 \* GB3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②</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未按要求加密的投标文件，招标人将予以拒收。</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6、投标文件解密失败的补救方案：</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在规定时间内，因投标人之外原因(指网络瘫痪、服务器损坏、交易系统故障短期无法恢复)导致的电子投标文件解密失败，在开标现场读取光盘或u盘内容，继续开标程序。若出现招标人无法正常解密或导入开标系统的情况，在开标现场读取已成功解密、以及因投标人之外的原因导致电子投标文件解密失败的投标人递交的电子光盘或u盘内容。出现上述情况的，评标委员会对其投标文件的评审以光盘或u盘内容为准。因投标人之外原因解密失败且未递交电子光盘或u盘的，视为撤回投标文件。</w:t>
            </w:r>
          </w:p>
          <w:p>
            <w:pPr>
              <w:pStyle w:val="2"/>
              <w:spacing w:line="360" w:lineRule="exact"/>
              <w:rPr>
                <w:rFonts w:ascii="宋体" w:hAnsi="宋体" w:eastAsia="宋体" w:cs="宋体"/>
                <w:color w:val="auto"/>
                <w:highlight w:val="none"/>
              </w:rPr>
            </w:pPr>
            <w:r>
              <w:rPr>
                <w:rFonts w:hint="eastAsia" w:ascii="宋体" w:hAnsi="宋体" w:eastAsia="宋体" w:cs="宋体"/>
                <w:color w:val="auto"/>
                <w:highlight w:val="none"/>
              </w:rPr>
              <w:t>除发生上述情况外，开标评标均以投标人通过交易平台网上递交的电子投标文件为准。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新宋体" w:hAnsi="新宋体" w:eastAsia="新宋体" w:cs="新宋体"/>
                <w:color w:val="auto"/>
                <w:szCs w:val="21"/>
                <w:highlight w:val="none"/>
              </w:rPr>
              <w:t>10.1</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highlight w:val="none"/>
              </w:rPr>
            </w:pPr>
            <w:r>
              <w:rPr>
                <w:rFonts w:hint="eastAsia" w:ascii="新宋体" w:hAnsi="新宋体" w:eastAsia="新宋体" w:cs="新宋体"/>
                <w:color w:val="auto"/>
                <w:szCs w:val="21"/>
                <w:highlight w:val="none"/>
              </w:rPr>
              <w:t>投标人不得存在的情形</w:t>
            </w:r>
          </w:p>
        </w:tc>
        <w:tc>
          <w:tcPr>
            <w:tcW w:w="56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highlight w:val="none"/>
              </w:rPr>
            </w:pPr>
            <w:r>
              <w:rPr>
                <w:rFonts w:hint="eastAsia" w:ascii="新宋体" w:hAnsi="新宋体" w:eastAsia="新宋体" w:cs="新宋体"/>
                <w:color w:val="auto"/>
                <w:szCs w:val="21"/>
                <w:highlight w:val="none"/>
              </w:rPr>
              <w:t>删除“1.4.3 投标人不得存在下列情形之一”，投标人不得存在的情形以《投标人声明》第三点的规定为准。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10.3</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ind w:firstLine="630" w:firstLineChars="3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送  达</w:t>
            </w:r>
          </w:p>
        </w:tc>
        <w:tc>
          <w:tcPr>
            <w:tcW w:w="56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u w:val="single"/>
              </w:rPr>
            </w:pPr>
            <w:r>
              <w:rPr>
                <w:rFonts w:hint="eastAsia" w:ascii="新宋体" w:hAnsi="新宋体" w:eastAsia="新宋体" w:cs="新宋体"/>
                <w:color w:val="auto"/>
                <w:szCs w:val="21"/>
                <w:highlight w:val="none"/>
              </w:rPr>
              <w:t>《投诉处理决定书》和《行政处理决定书》在广州市住房和城乡建设委员会网站上公布的，视为送达其他与决定书有关的当事人。</w:t>
            </w:r>
          </w:p>
        </w:tc>
      </w:tr>
      <w:tr>
        <w:tblPrEx>
          <w:tblCellMar>
            <w:top w:w="0" w:type="dxa"/>
            <w:left w:w="108" w:type="dxa"/>
            <w:bottom w:w="0" w:type="dxa"/>
            <w:right w:w="108" w:type="dxa"/>
          </w:tblCellMar>
        </w:tblPrEx>
        <w:trPr>
          <w:trHeight w:val="9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10.4</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招标失败的情形</w:t>
            </w:r>
          </w:p>
        </w:tc>
        <w:tc>
          <w:tcPr>
            <w:tcW w:w="5659"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cs="宋体"/>
                <w:color w:val="auto"/>
                <w:szCs w:val="21"/>
                <w:highlight w:val="none"/>
                <w:u w:val="single"/>
              </w:rPr>
            </w:pPr>
            <w:r>
              <w:rPr>
                <w:rFonts w:hint="eastAsia" w:ascii="新宋体" w:hAnsi="新宋体" w:eastAsia="新宋体" w:cs="新宋体"/>
                <w:color w:val="auto"/>
                <w:highlight w:val="none"/>
              </w:rPr>
              <w:t>本项目满足资格形式评审、资格审查合格条件或通过初步评审的投标人不足3名时为招标失败。招标人分析招标失败原因，修正招标方案，报有关管理部门核准后，重新组织招标。</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bookmarkStart w:id="35" w:name="_Hlk92011315"/>
            <w:r>
              <w:rPr>
                <w:rFonts w:hint="eastAsia" w:ascii="宋体" w:hAnsi="宋体" w:cs="宋体"/>
                <w:color w:val="auto"/>
                <w:szCs w:val="21"/>
                <w:highlight w:val="none"/>
              </w:rPr>
              <w:t>10.5</w:t>
            </w:r>
          </w:p>
        </w:tc>
        <w:tc>
          <w:tcPr>
            <w:tcW w:w="2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保修期限</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 xml:space="preserve">根据《建设工程质量管理条例》及有关规定 </w:t>
            </w:r>
          </w:p>
        </w:tc>
      </w:tr>
      <w:bookmarkEnd w:id="35"/>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新宋体" w:cs="宋体"/>
                <w:color w:val="auto"/>
                <w:szCs w:val="21"/>
                <w:highlight w:val="none"/>
              </w:rPr>
            </w:pPr>
            <w:r>
              <w:rPr>
                <w:rFonts w:hint="eastAsia" w:ascii="新宋体" w:hAnsi="新宋体" w:eastAsia="新宋体" w:cs="新宋体"/>
                <w:color w:val="auto"/>
                <w:szCs w:val="21"/>
                <w:highlight w:val="none"/>
              </w:rPr>
              <w:t>10.6</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ind w:left="1"/>
              <w:rPr>
                <w:rFonts w:ascii="宋体" w:hAnsi="宋体" w:cs="宋体"/>
                <w:bCs/>
                <w:color w:val="auto"/>
                <w:highlight w:val="none"/>
              </w:rPr>
            </w:pPr>
            <w:r>
              <w:rPr>
                <w:rFonts w:hint="eastAsia" w:ascii="新宋体" w:hAnsi="新宋体" w:eastAsia="新宋体" w:cs="新宋体"/>
                <w:color w:val="auto"/>
                <w:szCs w:val="21"/>
                <w:highlight w:val="none"/>
              </w:rPr>
              <w:t>中标候选人公示后7天内投标人需将在广州公共资源交易中心网站下载的投标文件打印，投标文件需与中标人在广州公共资源交易中心网站提交的投标文件一致，投标人加盖公章，1正</w:t>
            </w:r>
            <w:r>
              <w:rPr>
                <w:rFonts w:ascii="新宋体" w:hAnsi="新宋体" w:eastAsia="新宋体" w:cs="新宋体"/>
                <w:color w:val="auto"/>
                <w:szCs w:val="21"/>
                <w:highlight w:val="none"/>
              </w:rPr>
              <w:t>3</w:t>
            </w:r>
            <w:r>
              <w:rPr>
                <w:rFonts w:hint="eastAsia" w:ascii="新宋体" w:hAnsi="新宋体" w:eastAsia="新宋体" w:cs="新宋体"/>
                <w:color w:val="auto"/>
                <w:szCs w:val="21"/>
                <w:highlight w:val="none"/>
              </w:rPr>
              <w:t>副（加盖公章），合共</w:t>
            </w:r>
            <w:r>
              <w:rPr>
                <w:rFonts w:ascii="新宋体" w:hAnsi="新宋体" w:eastAsia="新宋体" w:cs="新宋体"/>
                <w:color w:val="auto"/>
                <w:szCs w:val="21"/>
                <w:highlight w:val="none"/>
              </w:rPr>
              <w:t>4</w:t>
            </w:r>
            <w:r>
              <w:rPr>
                <w:rFonts w:hint="eastAsia" w:ascii="新宋体" w:hAnsi="新宋体" w:eastAsia="新宋体" w:cs="新宋体"/>
                <w:color w:val="auto"/>
                <w:szCs w:val="21"/>
                <w:highlight w:val="none"/>
              </w:rPr>
              <w:t>套投标文件提供给招标人，相关费用由投标人支付。</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10.7</w:t>
            </w:r>
          </w:p>
        </w:tc>
        <w:tc>
          <w:tcPr>
            <w:tcW w:w="8012" w:type="dxa"/>
            <w:gridSpan w:val="2"/>
            <w:tcBorders>
              <w:top w:val="single" w:color="auto" w:sz="4" w:space="0"/>
              <w:left w:val="single" w:color="auto" w:sz="4" w:space="0"/>
              <w:bottom w:val="single" w:color="auto" w:sz="4" w:space="0"/>
              <w:right w:val="single" w:color="auto" w:sz="4" w:space="0"/>
            </w:tcBorders>
            <w:vAlign w:val="center"/>
          </w:tcPr>
          <w:p>
            <w:pPr>
              <w:pStyle w:val="2"/>
              <w:rPr>
                <w:b/>
                <w:color w:val="auto"/>
                <w:highlight w:val="none"/>
              </w:rPr>
            </w:pPr>
            <w:r>
              <w:rPr>
                <w:rFonts w:hint="eastAsia" w:ascii="新宋体" w:hAnsi="新宋体" w:eastAsia="新宋体" w:cs="新宋体"/>
                <w:b/>
                <w:color w:val="auto"/>
                <w:szCs w:val="21"/>
                <w:highlight w:val="none"/>
              </w:rPr>
              <w:t>联合体投标时，除《联合体投标协议书》必须联合体各方分别按要求进行签字或盖章外，投标人声明需需联合体各方按要求独自签字盖章，法定代表人证明书及授权委托证明书由联合体主办方出具，“投标单位”一栏可只填写联合体主办方名称及签字或盖章即可。其他资料若需要签字或盖章的均可由联合体主办方签字或盖章；投标文件封面及其他内容及落款中的“投标人”应填写联合体各方的单位全称【格式表示为：(主)XXXX公司(成)XXXX公司】，可由联合体主办方签字或盖章即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11</w:t>
            </w:r>
          </w:p>
        </w:tc>
        <w:tc>
          <w:tcPr>
            <w:tcW w:w="2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关于使用混凝土等建筑材料质量标准的约定</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 xml:space="preserve">根据《广州市散装水泥管理办公室关于对混凝土和砂浆企业质量监督检查的通知》，为确保工程质量安全，中标单位禁止使用不合格的混凝土和砂浆。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bookmarkStart w:id="36" w:name="_Toc24193"/>
            <w:bookmarkStart w:id="37" w:name="_Toc152042305"/>
            <w:bookmarkStart w:id="38" w:name="_Toc247513952"/>
            <w:bookmarkStart w:id="39" w:name="_Toc144974497"/>
            <w:bookmarkStart w:id="40" w:name="_Toc247527553"/>
            <w:bookmarkStart w:id="41" w:name="_Toc152045529"/>
            <w:r>
              <w:rPr>
                <w:rFonts w:hint="eastAsia" w:ascii="宋体" w:hAnsi="宋体" w:cs="宋体"/>
                <w:color w:val="auto"/>
                <w:szCs w:val="21"/>
                <w:highlight w:val="none"/>
              </w:rPr>
              <w:t>12</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szCs w:val="21"/>
                <w:highlight w:val="none"/>
              </w:rPr>
            </w:pPr>
            <w:r>
              <w:rPr>
                <w:rFonts w:hint="eastAsia" w:ascii="宋体" w:cs="宋体"/>
                <w:color w:val="auto"/>
                <w:kern w:val="0"/>
                <w:szCs w:val="21"/>
                <w:highlight w:val="none"/>
              </w:rPr>
              <w:t>施工企业综合诚信评价排名计分</w:t>
            </w:r>
          </w:p>
        </w:tc>
        <w:tc>
          <w:tcPr>
            <w:tcW w:w="565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本项目的企业综合诚信评价分数，以</w:t>
            </w:r>
            <w:r>
              <w:rPr>
                <w:rFonts w:hint="eastAsia"/>
                <w:b/>
                <w:bCs/>
                <w:color w:val="auto"/>
                <w:highlight w:val="none"/>
                <w:u w:val="single"/>
              </w:rPr>
              <w:t>施工企业房建诚信评价排名（即施工-房建排名）</w:t>
            </w:r>
            <w:r>
              <w:rPr>
                <w:rFonts w:hint="eastAsia"/>
                <w:color w:val="auto"/>
                <w:highlight w:val="none"/>
              </w:rPr>
              <w:t>为准。</w:t>
            </w:r>
          </w:p>
          <w:p>
            <w:pPr>
              <w:adjustRightInd w:val="0"/>
              <w:snapToGrid w:val="0"/>
              <w:rPr>
                <w:rFonts w:ascii="宋体" w:cs="宋体"/>
                <w:color w:val="auto"/>
                <w:highlight w:val="none"/>
                <w:u w:val="single"/>
              </w:rPr>
            </w:pPr>
            <w:bookmarkStart w:id="42" w:name="_Toc4298"/>
            <w:r>
              <w:rPr>
                <w:rFonts w:hint="eastAsia" w:ascii="宋体" w:hAnsi="宋体" w:cs="宋体"/>
                <w:color w:val="auto"/>
                <w:highlight w:val="none"/>
                <w:u w:val="single"/>
              </w:rPr>
              <w:t>企业的诚信评价排名得分以投标截止当日广州市工程招标行业协会网站施工企业专栏上公布的</w:t>
            </w:r>
            <w:r>
              <w:rPr>
                <w:rFonts w:hint="eastAsia" w:ascii="宋体" w:hAnsi="宋体" w:cs="宋体"/>
                <w:b/>
                <w:bCs/>
                <w:color w:val="auto"/>
                <w:highlight w:val="none"/>
                <w:u w:val="single"/>
              </w:rPr>
              <w:t>施工企业房建诚信评价排名</w:t>
            </w:r>
            <w:r>
              <w:rPr>
                <w:rFonts w:hint="eastAsia" w:ascii="宋体" w:hAnsi="宋体" w:cs="宋体"/>
                <w:color w:val="auto"/>
                <w:highlight w:val="none"/>
                <w:u w:val="single"/>
              </w:rPr>
              <w:t>的“60日诚信分”得分为准。</w:t>
            </w:r>
            <w:bookmarkEnd w:id="42"/>
          </w:p>
          <w:p>
            <w:pPr>
              <w:adjustRightInd w:val="0"/>
              <w:snapToGrid w:val="0"/>
              <w:rPr>
                <w:rFonts w:ascii="宋体"/>
                <w:color w:val="auto"/>
                <w:szCs w:val="21"/>
                <w:highlight w:val="none"/>
              </w:rPr>
            </w:pPr>
            <w:r>
              <w:rPr>
                <w:rFonts w:hint="eastAsia" w:ascii="宋体" w:cs="宋体"/>
                <w:color w:val="auto"/>
                <w:highlight w:val="none"/>
                <w:u w:val="single"/>
              </w:rPr>
              <w:t>【注：联合体投标的，企业综合诚信评价分以主办方（即承担施工任务的一方）信息为准】。</w:t>
            </w:r>
          </w:p>
        </w:tc>
      </w:tr>
    </w:tbl>
    <w:p>
      <w:pPr>
        <w:pStyle w:val="78"/>
        <w:rPr>
          <w:rFonts w:ascii="宋体" w:hAnsi="宋体" w:cs="宋体"/>
          <w:color w:val="auto"/>
          <w:highlight w:val="none"/>
        </w:rPr>
      </w:pPr>
      <w:r>
        <w:rPr>
          <w:rFonts w:hint="eastAsia" w:ascii="宋体" w:hAnsi="宋体" w:cs="宋体"/>
          <w:color w:val="auto"/>
          <w:highlight w:val="none"/>
        </w:rPr>
        <w:br w:type="page"/>
      </w:r>
    </w:p>
    <w:p>
      <w:pPr>
        <w:pStyle w:val="4"/>
        <w:spacing w:before="0" w:after="0" w:line="416" w:lineRule="auto"/>
        <w:rPr>
          <w:rFonts w:ascii="宋体" w:hAnsi="宋体" w:eastAsia="宋体" w:cs="宋体"/>
          <w:color w:val="auto"/>
          <w:highlight w:val="none"/>
        </w:rPr>
      </w:pPr>
      <w:bookmarkStart w:id="43" w:name="_Toc23108"/>
      <w:r>
        <w:rPr>
          <w:rFonts w:hint="eastAsia" w:ascii="宋体" w:hAnsi="宋体" w:eastAsia="宋体" w:cs="宋体"/>
          <w:color w:val="auto"/>
          <w:highlight w:val="none"/>
        </w:rPr>
        <w:t>1. 总则</w:t>
      </w:r>
      <w:bookmarkEnd w:id="36"/>
      <w:bookmarkEnd w:id="37"/>
      <w:bookmarkEnd w:id="38"/>
      <w:bookmarkEnd w:id="39"/>
      <w:bookmarkEnd w:id="40"/>
      <w:bookmarkEnd w:id="41"/>
      <w:bookmarkEnd w:id="43"/>
    </w:p>
    <w:p>
      <w:pPr>
        <w:pStyle w:val="5"/>
        <w:rPr>
          <w:rFonts w:ascii="宋体" w:eastAsia="宋体" w:cs="宋体"/>
          <w:color w:val="auto"/>
          <w:highlight w:val="none"/>
        </w:rPr>
      </w:pPr>
      <w:bookmarkStart w:id="44" w:name="_Toc13369"/>
      <w:bookmarkStart w:id="45" w:name="_Toc247527554"/>
      <w:bookmarkStart w:id="46" w:name="_Toc144974498"/>
      <w:bookmarkStart w:id="47" w:name="_Toc152042306"/>
      <w:bookmarkStart w:id="48" w:name="_Toc247513953"/>
      <w:bookmarkStart w:id="49" w:name="_Toc152045530"/>
      <w:bookmarkStart w:id="50" w:name="_Toc5397"/>
      <w:r>
        <w:rPr>
          <w:rFonts w:hint="eastAsia" w:ascii="宋体" w:eastAsia="宋体" w:cs="宋体"/>
          <w:color w:val="auto"/>
          <w:highlight w:val="none"/>
        </w:rPr>
        <w:t>1.1 项目概况</w:t>
      </w:r>
      <w:bookmarkEnd w:id="44"/>
      <w:bookmarkEnd w:id="45"/>
      <w:bookmarkEnd w:id="46"/>
      <w:bookmarkEnd w:id="47"/>
      <w:bookmarkEnd w:id="48"/>
      <w:bookmarkEnd w:id="49"/>
      <w:bookmarkEnd w:id="50"/>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1.1.1根据《中华人民共和国招标投标法》等有关法律、法规和规章的规定，本招标项目已具备招标条件，现对该项目设计施工进行总承包招标。</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1.1.2 招标人：见投标人须知前附表。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1.1.3 招标代理机构：见投标人须知前附表。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1.1.4 招标项目名称：见投标人须知前附表。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1.1.5 项目建设地点：见投标人须知前附表。</w:t>
      </w:r>
    </w:p>
    <w:p>
      <w:pPr>
        <w:pStyle w:val="5"/>
        <w:rPr>
          <w:rFonts w:ascii="宋体" w:eastAsia="宋体" w:cs="宋体"/>
          <w:color w:val="auto"/>
          <w:highlight w:val="none"/>
        </w:rPr>
      </w:pPr>
      <w:bookmarkStart w:id="51" w:name="_Toc23462"/>
      <w:bookmarkStart w:id="52" w:name="_Toc247513954"/>
      <w:bookmarkStart w:id="53" w:name="_Toc247527555"/>
      <w:bookmarkStart w:id="54" w:name="_Toc152042307"/>
      <w:bookmarkStart w:id="55" w:name="_Toc144974499"/>
      <w:bookmarkStart w:id="56" w:name="_Toc152045531"/>
      <w:bookmarkStart w:id="57" w:name="_Toc25007"/>
      <w:r>
        <w:rPr>
          <w:rFonts w:hint="eastAsia" w:ascii="宋体" w:eastAsia="宋体" w:cs="宋体"/>
          <w:color w:val="auto"/>
          <w:highlight w:val="none"/>
        </w:rPr>
        <w:t>1.2 项目的资金来源和落实情况</w:t>
      </w:r>
      <w:bookmarkEnd w:id="51"/>
      <w:bookmarkEnd w:id="52"/>
      <w:bookmarkEnd w:id="53"/>
      <w:bookmarkEnd w:id="54"/>
      <w:bookmarkEnd w:id="55"/>
      <w:bookmarkEnd w:id="56"/>
      <w:bookmarkEnd w:id="57"/>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1.2.1 资金来源及比例：见投标人须知前附表。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1.2.2 资金落实情况：见投标人须知前附表。</w:t>
      </w:r>
    </w:p>
    <w:p>
      <w:pPr>
        <w:pStyle w:val="5"/>
        <w:rPr>
          <w:rFonts w:ascii="宋体" w:eastAsia="宋体" w:cs="宋体"/>
          <w:color w:val="auto"/>
          <w:highlight w:val="none"/>
        </w:rPr>
      </w:pPr>
      <w:bookmarkStart w:id="58" w:name="_Toc152045532"/>
      <w:bookmarkStart w:id="59" w:name="_Toc144974500"/>
      <w:bookmarkStart w:id="60" w:name="_Toc152042308"/>
      <w:bookmarkStart w:id="61" w:name="_Toc247527556"/>
      <w:bookmarkStart w:id="62" w:name="_Toc247513955"/>
      <w:bookmarkStart w:id="63" w:name="_Toc13265"/>
      <w:bookmarkStart w:id="64" w:name="_Toc30894"/>
      <w:r>
        <w:rPr>
          <w:rFonts w:hint="eastAsia" w:ascii="宋体" w:eastAsia="宋体" w:cs="宋体"/>
          <w:color w:val="auto"/>
          <w:highlight w:val="none"/>
        </w:rPr>
        <w:t>1.3 招标范围、计划工期和</w:t>
      </w:r>
      <w:bookmarkEnd w:id="58"/>
      <w:bookmarkEnd w:id="59"/>
      <w:bookmarkEnd w:id="60"/>
      <w:bookmarkEnd w:id="61"/>
      <w:bookmarkEnd w:id="62"/>
      <w:r>
        <w:rPr>
          <w:rFonts w:hint="eastAsia" w:ascii="宋体" w:eastAsia="宋体" w:cs="宋体"/>
          <w:color w:val="auto"/>
          <w:highlight w:val="none"/>
        </w:rPr>
        <w:t>质量标准</w:t>
      </w:r>
      <w:bookmarkEnd w:id="63"/>
      <w:bookmarkEnd w:id="64"/>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1.3.1 招标范围：见投标人须知前附表。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1.3.2 计划工期：见投标人须知前附表。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1.3.3 质量标准：见投标人须知前附表。</w:t>
      </w:r>
    </w:p>
    <w:p>
      <w:pPr>
        <w:pStyle w:val="5"/>
        <w:rPr>
          <w:rFonts w:ascii="宋体" w:eastAsia="宋体" w:cs="宋体"/>
          <w:color w:val="auto"/>
          <w:highlight w:val="none"/>
        </w:rPr>
      </w:pPr>
      <w:bookmarkStart w:id="65" w:name="_Toc152042310"/>
      <w:bookmarkStart w:id="66" w:name="_Toc144974502"/>
      <w:bookmarkStart w:id="67" w:name="_Toc247513957"/>
      <w:bookmarkStart w:id="68" w:name="_Toc152045534"/>
      <w:bookmarkStart w:id="69" w:name="_Toc247527558"/>
      <w:bookmarkStart w:id="70" w:name="_Toc25105"/>
      <w:bookmarkStart w:id="71" w:name="_Toc8574"/>
      <w:r>
        <w:rPr>
          <w:rFonts w:hint="eastAsia" w:ascii="宋体" w:eastAsia="宋体" w:cs="宋体"/>
          <w:color w:val="auto"/>
          <w:highlight w:val="none"/>
        </w:rPr>
        <w:t>1.4 投标人资格要求</w:t>
      </w:r>
      <w:bookmarkEnd w:id="65"/>
      <w:bookmarkEnd w:id="66"/>
      <w:bookmarkEnd w:id="67"/>
      <w:bookmarkEnd w:id="68"/>
      <w:bookmarkEnd w:id="69"/>
      <w:bookmarkEnd w:id="70"/>
      <w:r>
        <w:rPr>
          <w:rFonts w:hint="eastAsia" w:ascii="新宋体" w:hAnsi="新宋体" w:eastAsia="新宋体" w:cs="新宋体"/>
          <w:color w:val="auto"/>
          <w:highlight w:val="none"/>
        </w:rPr>
        <w:t>（适用于未进行资格预审的）</w:t>
      </w:r>
      <w:bookmarkEnd w:id="71"/>
    </w:p>
    <w:p>
      <w:pPr>
        <w:spacing w:line="400" w:lineRule="exact"/>
        <w:ind w:firstLine="420" w:firstLineChars="200"/>
        <w:rPr>
          <w:rFonts w:ascii="宋体" w:hAnsi="宋体" w:cs="宋体"/>
          <w:color w:val="auto"/>
          <w:highlight w:val="none"/>
        </w:rPr>
      </w:pPr>
      <w:bookmarkStart w:id="72" w:name="_Toc152042311"/>
      <w:bookmarkStart w:id="73" w:name="_Toc144974503"/>
      <w:bookmarkStart w:id="74" w:name="_Toc152045535"/>
      <w:bookmarkStart w:id="75" w:name="_Toc247513958"/>
      <w:bookmarkStart w:id="76" w:name="_Toc247527559"/>
      <w:bookmarkStart w:id="77" w:name="_Toc5312"/>
      <w:r>
        <w:rPr>
          <w:rFonts w:hint="eastAsia" w:ascii="宋体" w:hAnsi="宋体" w:cs="宋体"/>
          <w:color w:val="auto"/>
          <w:highlight w:val="none"/>
        </w:rPr>
        <w:t>1.4.1 投标人应具备承担本招标项目资质条件、能力和信誉。</w:t>
      </w:r>
    </w:p>
    <w:p>
      <w:pPr>
        <w:spacing w:line="400" w:lineRule="exact"/>
        <w:rPr>
          <w:rFonts w:ascii="新宋体" w:hAnsi="新宋体" w:eastAsia="新宋体" w:cs="新宋体"/>
          <w:color w:val="auto"/>
          <w:szCs w:val="21"/>
          <w:highlight w:val="none"/>
          <w:u w:val="single"/>
        </w:rPr>
      </w:pPr>
      <w:r>
        <w:rPr>
          <w:rFonts w:hint="eastAsia" w:ascii="宋体" w:hAnsi="宋体" w:cs="宋体"/>
          <w:color w:val="auto"/>
          <w:highlight w:val="none"/>
        </w:rPr>
        <w:t>（1）</w:t>
      </w:r>
      <w:r>
        <w:rPr>
          <w:rFonts w:hint="eastAsia" w:ascii="新宋体" w:hAnsi="新宋体" w:eastAsia="新宋体" w:cs="新宋体"/>
          <w:color w:val="auto"/>
          <w:szCs w:val="21"/>
          <w:highlight w:val="none"/>
        </w:rPr>
        <w:t>资质条件：</w:t>
      </w:r>
      <w:r>
        <w:rPr>
          <w:rFonts w:hint="eastAsia" w:ascii="新宋体" w:hAnsi="新宋体" w:eastAsia="新宋体" w:cs="新宋体"/>
          <w:color w:val="auto"/>
          <w:szCs w:val="21"/>
          <w:highlight w:val="none"/>
          <w:u w:val="single"/>
        </w:rPr>
        <w:t>见招标公告投标人资格要求。</w:t>
      </w:r>
    </w:p>
    <w:p>
      <w:pPr>
        <w:pStyle w:val="2"/>
        <w:spacing w:line="400" w:lineRule="exact"/>
        <w:rPr>
          <w:rFonts w:ascii="新宋体" w:hAnsi="新宋体" w:eastAsia="新宋体" w:cs="新宋体"/>
          <w:color w:val="auto"/>
          <w:highlight w:val="none"/>
          <w:u w:val="single"/>
        </w:rPr>
      </w:pPr>
      <w:r>
        <w:rPr>
          <w:rFonts w:hint="eastAsia" w:ascii="新宋体" w:hAnsi="新宋体" w:eastAsia="新宋体" w:cs="新宋体"/>
          <w:color w:val="auto"/>
          <w:szCs w:val="21"/>
          <w:highlight w:val="none"/>
        </w:rPr>
        <w:t>（2）财务要求：</w:t>
      </w:r>
      <w:r>
        <w:rPr>
          <w:rFonts w:hint="eastAsia" w:ascii="新宋体" w:hAnsi="新宋体" w:eastAsia="新宋体" w:cs="新宋体"/>
          <w:color w:val="auto"/>
          <w:highlight w:val="none"/>
          <w:u w:val="single"/>
        </w:rPr>
        <w:t>/。</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highlight w:val="none"/>
        </w:rPr>
        <w:t>（3）</w:t>
      </w:r>
      <w:r>
        <w:rPr>
          <w:rFonts w:hint="eastAsia" w:ascii="新宋体" w:hAnsi="新宋体" w:eastAsia="新宋体" w:cs="新宋体"/>
          <w:color w:val="auto"/>
          <w:szCs w:val="21"/>
          <w:highlight w:val="none"/>
        </w:rPr>
        <w:t>设计业绩要求：</w:t>
      </w:r>
      <w:r>
        <w:rPr>
          <w:rFonts w:hint="eastAsia" w:ascii="新宋体" w:hAnsi="新宋体" w:eastAsia="新宋体" w:cs="新宋体"/>
          <w:color w:val="auto"/>
          <w:highlight w:val="none"/>
          <w:u w:val="single"/>
        </w:rPr>
        <w:t>/。</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（4）施工业绩要求：</w:t>
      </w:r>
      <w:r>
        <w:rPr>
          <w:rFonts w:hint="eastAsia" w:ascii="新宋体" w:hAnsi="新宋体" w:eastAsia="新宋体" w:cs="新宋体"/>
          <w:color w:val="auto"/>
          <w:szCs w:val="21"/>
          <w:highlight w:val="none"/>
          <w:u w:val="single"/>
        </w:rPr>
        <w:t>见招标公告投标人资格要求。</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（5）信誉要求：</w:t>
      </w:r>
      <w:r>
        <w:rPr>
          <w:rFonts w:hint="eastAsia" w:ascii="新宋体" w:hAnsi="新宋体" w:eastAsia="新宋体" w:cs="新宋体"/>
          <w:color w:val="auto"/>
          <w:highlight w:val="none"/>
          <w:u w:val="single"/>
        </w:rPr>
        <w:t>/。</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u w:val="single"/>
        </w:rPr>
        <w:t>（6）项目负责人(兼施工负责人)的资格要求</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u w:val="single"/>
        </w:rPr>
        <w:t>见招标公告投标人资格要求。</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（7）设计负责人的资格要求：</w:t>
      </w:r>
      <w:r>
        <w:rPr>
          <w:rFonts w:hint="eastAsia" w:ascii="新宋体" w:hAnsi="新宋体" w:eastAsia="新宋体" w:cs="新宋体"/>
          <w:color w:val="auto"/>
          <w:szCs w:val="21"/>
          <w:highlight w:val="none"/>
          <w:u w:val="single"/>
        </w:rPr>
        <w:t>见招标公告投标人资格要求。</w:t>
      </w:r>
    </w:p>
    <w:p>
      <w:pPr>
        <w:spacing w:line="400" w:lineRule="exact"/>
        <w:rPr>
          <w:rFonts w:ascii="新宋体" w:hAnsi="新宋体" w:eastAsia="新宋体" w:cs="新宋体"/>
          <w:strike/>
          <w:color w:val="auto"/>
          <w:szCs w:val="21"/>
          <w:highlight w:val="none"/>
        </w:rPr>
      </w:pPr>
      <w:r>
        <w:rPr>
          <w:rFonts w:hint="eastAsia" w:ascii="新宋体" w:hAnsi="新宋体" w:eastAsia="新宋体" w:cs="新宋体"/>
          <w:strike/>
          <w:color w:val="auto"/>
          <w:szCs w:val="21"/>
          <w:highlight w:val="none"/>
        </w:rPr>
        <w:t>（8）施工负责人的资格要求：</w:t>
      </w:r>
      <w:r>
        <w:rPr>
          <w:rFonts w:hint="eastAsia" w:ascii="新宋体" w:hAnsi="新宋体" w:eastAsia="新宋体" w:cs="新宋体"/>
          <w:strike/>
          <w:color w:val="auto"/>
          <w:szCs w:val="21"/>
          <w:highlight w:val="none"/>
          <w:u w:val="single"/>
        </w:rPr>
        <w:t>见招标公告投标人资格要求。</w:t>
      </w:r>
    </w:p>
    <w:p>
      <w:pPr>
        <w:spacing w:line="400" w:lineRule="exact"/>
        <w:rPr>
          <w:rFonts w:ascii="新宋体" w:hAnsi="新宋体" w:eastAsia="新宋体" w:cs="新宋体"/>
          <w:color w:val="auto"/>
          <w:highlight w:val="none"/>
        </w:rPr>
      </w:pPr>
      <w:r>
        <w:rPr>
          <w:rFonts w:hint="eastAsia" w:ascii="新宋体" w:hAnsi="新宋体" w:eastAsia="新宋体" w:cs="新宋体"/>
          <w:color w:val="auto"/>
          <w:highlight w:val="none"/>
        </w:rPr>
        <w:t>（9）施工技术负责人资格要求 ：</w:t>
      </w:r>
      <w:r>
        <w:rPr>
          <w:rFonts w:hint="eastAsia" w:ascii="新宋体" w:hAnsi="新宋体" w:eastAsia="新宋体" w:cs="新宋体"/>
          <w:color w:val="auto"/>
          <w:szCs w:val="21"/>
          <w:highlight w:val="none"/>
          <w:u w:val="single"/>
        </w:rPr>
        <w:t>见招标公告投标人资格要求。</w:t>
      </w:r>
    </w:p>
    <w:p>
      <w:pPr>
        <w:spacing w:line="400" w:lineRule="exact"/>
        <w:rPr>
          <w:rFonts w:ascii="新宋体" w:hAnsi="新宋体" w:eastAsia="新宋体" w:cs="新宋体"/>
          <w:color w:val="auto"/>
          <w:highlight w:val="none"/>
        </w:rPr>
      </w:pPr>
      <w:r>
        <w:rPr>
          <w:rFonts w:hint="eastAsia" w:ascii="新宋体" w:hAnsi="新宋体" w:eastAsia="新宋体" w:cs="新宋体"/>
          <w:color w:val="auto"/>
          <w:highlight w:val="none"/>
        </w:rPr>
        <w:t>（10）专职安全员资格要求：</w:t>
      </w:r>
      <w:r>
        <w:rPr>
          <w:rFonts w:hint="eastAsia" w:ascii="新宋体" w:hAnsi="新宋体" w:eastAsia="新宋体" w:cs="新宋体"/>
          <w:color w:val="auto"/>
          <w:szCs w:val="21"/>
          <w:highlight w:val="none"/>
          <w:u w:val="single"/>
        </w:rPr>
        <w:t>见招标公告投标人资格要求。</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（11）施工机械设备：</w:t>
      </w:r>
      <w:r>
        <w:rPr>
          <w:rFonts w:hint="eastAsia" w:ascii="新宋体" w:hAnsi="新宋体" w:eastAsia="新宋体" w:cs="新宋体"/>
          <w:color w:val="auto"/>
          <w:highlight w:val="none"/>
          <w:u w:val="single"/>
        </w:rPr>
        <w:t>/。</w:t>
      </w:r>
    </w:p>
    <w:p>
      <w:pPr>
        <w:spacing w:line="40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（12）项目管理机构及人员：</w:t>
      </w:r>
      <w:r>
        <w:rPr>
          <w:rFonts w:hint="eastAsia" w:ascii="新宋体" w:hAnsi="新宋体" w:eastAsia="新宋体" w:cs="新宋体"/>
          <w:color w:val="auto"/>
          <w:highlight w:val="none"/>
          <w:u w:val="single"/>
        </w:rPr>
        <w:t>/。</w:t>
      </w:r>
    </w:p>
    <w:p>
      <w:pPr>
        <w:pStyle w:val="2"/>
        <w:spacing w:line="400" w:lineRule="exact"/>
        <w:rPr>
          <w:color w:val="auto"/>
          <w:highlight w:val="none"/>
        </w:rPr>
      </w:pPr>
      <w:r>
        <w:rPr>
          <w:rFonts w:hint="eastAsia" w:ascii="新宋体" w:hAnsi="新宋体" w:eastAsia="新宋体" w:cs="新宋体"/>
          <w:color w:val="auto"/>
          <w:szCs w:val="21"/>
          <w:highlight w:val="none"/>
        </w:rPr>
        <w:t>（13）其他要求：</w:t>
      </w:r>
      <w:r>
        <w:rPr>
          <w:rFonts w:hint="eastAsia" w:ascii="新宋体" w:hAnsi="新宋体" w:eastAsia="新宋体" w:cs="新宋体"/>
          <w:color w:val="auto"/>
          <w:szCs w:val="21"/>
          <w:highlight w:val="none"/>
          <w:u w:val="single"/>
        </w:rPr>
        <w:t>见招标公告投标人资格要求。</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1.4.2 投标人须知前附表规定接受联合体投标的，除应符合本章第1.4.1项和投标人须知前附表的要求外，还应遵守以下规定：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（1）联合体各方应按招标文件提供的格式签订联合体协议书，明确联合体牵头方</w:t>
      </w:r>
      <w:r>
        <w:rPr>
          <w:rFonts w:hint="eastAsia" w:ascii="宋体" w:hAnsi="宋体" w:cs="宋体"/>
          <w:color w:val="auto"/>
          <w:szCs w:val="21"/>
          <w:highlight w:val="none"/>
        </w:rPr>
        <w:t>（或主办方）</w:t>
      </w:r>
      <w:r>
        <w:rPr>
          <w:rFonts w:hint="eastAsia" w:ascii="宋体" w:hAnsi="宋体" w:cs="宋体"/>
          <w:color w:val="auto"/>
          <w:highlight w:val="none"/>
        </w:rPr>
        <w:t>和各方权利义务；</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（2）由同一专业的单位组成的联合体，按照资质等级较低的单位确定资质等级；</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（3）联合体各方不得再以自己名义单独或参加其他联合体在本招标项目中投标。</w:t>
      </w:r>
    </w:p>
    <w:p>
      <w:pPr>
        <w:spacing w:line="40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1.4.3 投标人不得存在下列情形之一：</w:t>
      </w:r>
      <w:r>
        <w:rPr>
          <w:rFonts w:hint="eastAsia" w:ascii="新宋体" w:hAnsi="新宋体" w:eastAsia="新宋体" w:cs="新宋体"/>
          <w:color w:val="auto"/>
          <w:highlight w:val="none"/>
          <w:u w:val="single"/>
        </w:rPr>
        <w:t>以《投标人声明》第三点的规定为准。</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 xml:space="preserve">（1）为招标人不具有独立法人资格的附属机构（单位）； </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（2）为招标项目前期工作提供咨询服务的；</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（3）为本招标项目的监理人；</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 xml:space="preserve">（4）为本招标项目的代建人； </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 xml:space="preserve">（5）为本招标项目提供招标代理服务的； </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 xml:space="preserve">（6）被责令停业的； </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 xml:space="preserve">（7）被暂停或取消投标资格的； </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（8）财产被接管或冻结的；</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（9）在最近三年内有骗取中标或严重违约或重大工程质量问题的；</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（10）与本招标项目的监理人或代建人或招标代理机构同为一个法定代表人的；</w:t>
      </w:r>
    </w:p>
    <w:p>
      <w:pPr>
        <w:spacing w:line="400" w:lineRule="exact"/>
        <w:ind w:firstLine="315" w:firstLineChars="150"/>
        <w:rPr>
          <w:rFonts w:ascii="新宋体" w:hAnsi="新宋体" w:eastAsia="新宋体" w:cs="新宋体"/>
          <w:strike/>
          <w:color w:val="auto"/>
          <w:highlight w:val="none"/>
        </w:rPr>
      </w:pPr>
      <w:r>
        <w:rPr>
          <w:rFonts w:hint="eastAsia" w:ascii="新宋体" w:hAnsi="新宋体" w:eastAsia="新宋体" w:cs="新宋体"/>
          <w:strike/>
          <w:color w:val="auto"/>
          <w:highlight w:val="none"/>
        </w:rPr>
        <w:t>（11）与本招标项目的监理人或代建人或招标代理机构相互控股或参股的；</w:t>
      </w:r>
    </w:p>
    <w:p>
      <w:pPr>
        <w:spacing w:line="400" w:lineRule="exact"/>
        <w:ind w:firstLine="315" w:firstLineChars="150"/>
        <w:rPr>
          <w:rFonts w:ascii="新宋体" w:hAnsi="新宋体" w:eastAsia="新宋体" w:cs="新宋体"/>
          <w:color w:val="auto"/>
          <w:highlight w:val="none"/>
        </w:rPr>
      </w:pPr>
      <w:r>
        <w:rPr>
          <w:rFonts w:hint="eastAsia" w:ascii="新宋体" w:hAnsi="新宋体" w:eastAsia="新宋体" w:cs="新宋体"/>
          <w:strike/>
          <w:color w:val="auto"/>
          <w:highlight w:val="none"/>
        </w:rPr>
        <w:t>（12）与本招标项目的监理人或代建人或招标代理机构相互任职或工作的。</w:t>
      </w:r>
    </w:p>
    <w:p>
      <w:pPr>
        <w:spacing w:line="400" w:lineRule="exact"/>
        <w:ind w:firstLine="420" w:firstLineChars="200"/>
        <w:rPr>
          <w:rFonts w:ascii="新宋体" w:hAnsi="新宋体" w:eastAsia="新宋体" w:cs="新宋体"/>
          <w:color w:val="auto"/>
          <w:highlight w:val="none"/>
        </w:rPr>
      </w:pPr>
      <w:r>
        <w:rPr>
          <w:rFonts w:hint="eastAsia" w:ascii="新宋体" w:hAnsi="新宋体" w:eastAsia="新宋体" w:cs="新宋体"/>
          <w:color w:val="auto"/>
          <w:highlight w:val="none"/>
        </w:rPr>
        <w:t>1.4.4 单位负责人为同一人或者存在控股、管理关系的不同单位，不得同时参加本招标项目投标。</w:t>
      </w:r>
    </w:p>
    <w:p>
      <w:pPr>
        <w:pStyle w:val="5"/>
        <w:rPr>
          <w:rFonts w:ascii="宋体" w:eastAsia="宋体" w:cs="宋体"/>
          <w:color w:val="auto"/>
          <w:highlight w:val="none"/>
        </w:rPr>
      </w:pPr>
      <w:bookmarkStart w:id="78" w:name="_Toc28949"/>
      <w:r>
        <w:rPr>
          <w:rFonts w:hint="eastAsia" w:ascii="宋体" w:eastAsia="宋体" w:cs="宋体"/>
          <w:color w:val="auto"/>
          <w:highlight w:val="none"/>
        </w:rPr>
        <w:t>1.5 费用承担</w:t>
      </w:r>
      <w:bookmarkEnd w:id="72"/>
      <w:bookmarkEnd w:id="73"/>
      <w:bookmarkEnd w:id="74"/>
      <w:bookmarkEnd w:id="75"/>
      <w:bookmarkEnd w:id="76"/>
      <w:r>
        <w:rPr>
          <w:rFonts w:hint="eastAsia" w:ascii="宋体" w:eastAsia="宋体" w:cs="宋体"/>
          <w:color w:val="auto"/>
          <w:highlight w:val="none"/>
        </w:rPr>
        <w:t>和设计成果补偿</w:t>
      </w:r>
      <w:bookmarkEnd w:id="77"/>
      <w:bookmarkEnd w:id="78"/>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1.5.1 投标人准备和参加投标活动发生的费用自理。</w:t>
      </w:r>
    </w:p>
    <w:p>
      <w:pPr>
        <w:spacing w:line="400" w:lineRule="exact"/>
        <w:ind w:firstLine="420" w:firstLineChars="200"/>
        <w:rPr>
          <w:rFonts w:ascii="宋体" w:hAnsi="宋体" w:cs="宋体"/>
          <w:strike/>
          <w:color w:val="auto"/>
          <w:highlight w:val="none"/>
        </w:rPr>
      </w:pPr>
      <w:r>
        <w:rPr>
          <w:rFonts w:hint="eastAsia" w:ascii="宋体" w:hAnsi="宋体" w:cs="宋体"/>
          <w:strike/>
          <w:color w:val="auto"/>
          <w:highlight w:val="none"/>
        </w:rPr>
        <w:t>1.5.2 招标人对符合招标文件规定的未中标人的设计成果进行补偿的，按投标人须知前附表规定给予补偿，并有权免费使用未中标人设计成果。</w:t>
      </w:r>
    </w:p>
    <w:p>
      <w:pPr>
        <w:pStyle w:val="24"/>
        <w:snapToGrid/>
        <w:spacing w:line="400" w:lineRule="exact"/>
        <w:ind w:firstLine="420"/>
        <w:rPr>
          <w:rFonts w:ascii="宋体" w:hAnsi="宋体"/>
          <w:color w:val="auto"/>
          <w:sz w:val="21"/>
          <w:szCs w:val="21"/>
          <w:highlight w:val="none"/>
        </w:rPr>
      </w:pPr>
      <w:r>
        <w:rPr>
          <w:rFonts w:hint="eastAsia" w:ascii="宋体" w:hAnsi="宋体"/>
          <w:color w:val="auto"/>
          <w:sz w:val="21"/>
          <w:szCs w:val="21"/>
          <w:highlight w:val="none"/>
        </w:rPr>
        <w:t>1.5.2招标人在征得未中标人的同意后有权免费使用未中标人设计成果。</w:t>
      </w:r>
    </w:p>
    <w:p>
      <w:pPr>
        <w:pStyle w:val="24"/>
        <w:snapToGrid/>
        <w:spacing w:line="400" w:lineRule="exact"/>
        <w:ind w:firstLine="420"/>
        <w:rPr>
          <w:rFonts w:ascii="宋体" w:hAnsi="宋体"/>
          <w:color w:val="auto"/>
          <w:sz w:val="21"/>
          <w:szCs w:val="21"/>
          <w:highlight w:val="none"/>
        </w:rPr>
      </w:pPr>
      <w:r>
        <w:rPr>
          <w:rFonts w:hint="eastAsia" w:ascii="宋体" w:hAnsi="宋体"/>
          <w:color w:val="auto"/>
          <w:sz w:val="21"/>
          <w:szCs w:val="21"/>
          <w:highlight w:val="none"/>
        </w:rPr>
        <w:t xml:space="preserve">1.5.3 </w:t>
      </w:r>
      <w:r>
        <w:rPr>
          <w:rFonts w:hint="eastAsia" w:ascii="宋体" w:hAnsi="宋体"/>
          <w:color w:val="auto"/>
          <w:sz w:val="21"/>
          <w:szCs w:val="21"/>
          <w:highlight w:val="none"/>
          <w:u w:val="single"/>
        </w:rPr>
        <w:t>中标人应根据政府有关规定，向广州公共资源交易中心缴纳交易服务费。</w:t>
      </w:r>
    </w:p>
    <w:p>
      <w:pPr>
        <w:pStyle w:val="24"/>
        <w:snapToGrid/>
        <w:spacing w:line="400" w:lineRule="exact"/>
        <w:ind w:firstLine="420"/>
        <w:rPr>
          <w:rFonts w:ascii="宋体" w:hAnsi="宋体"/>
          <w:color w:val="auto"/>
          <w:sz w:val="21"/>
          <w:szCs w:val="21"/>
          <w:highlight w:val="none"/>
        </w:rPr>
      </w:pPr>
      <w:r>
        <w:rPr>
          <w:rFonts w:ascii="宋体" w:hAnsi="宋体"/>
          <w:color w:val="auto"/>
          <w:sz w:val="21"/>
          <w:szCs w:val="21"/>
          <w:highlight w:val="none"/>
        </w:rPr>
        <w:t>1.5.</w:t>
      </w:r>
      <w:r>
        <w:rPr>
          <w:rFonts w:hint="eastAsia" w:ascii="宋体" w:hAnsi="宋体"/>
          <w:color w:val="auto"/>
          <w:sz w:val="21"/>
          <w:szCs w:val="21"/>
          <w:highlight w:val="none"/>
        </w:rPr>
        <w:t>4</w:t>
      </w:r>
      <w:r>
        <w:rPr>
          <w:rFonts w:hint="eastAsia" w:ascii="宋体" w:hAnsi="宋体"/>
          <w:color w:val="auto"/>
          <w:sz w:val="21"/>
          <w:szCs w:val="21"/>
          <w:highlight w:val="none"/>
          <w:u w:val="single"/>
        </w:rPr>
        <w:t>本项目招标代理服务费及相关费用由中标人支付，收费标准按招标人与招标单位签订的招标代理合同约定执行。</w:t>
      </w:r>
    </w:p>
    <w:p>
      <w:pPr>
        <w:pStyle w:val="5"/>
        <w:rPr>
          <w:rFonts w:ascii="宋体" w:eastAsia="宋体" w:cs="宋体"/>
          <w:color w:val="auto"/>
          <w:highlight w:val="none"/>
        </w:rPr>
      </w:pPr>
      <w:bookmarkStart w:id="79" w:name="_Toc10735"/>
      <w:bookmarkStart w:id="80" w:name="_Toc247527560"/>
      <w:bookmarkStart w:id="81" w:name="_Toc152045536"/>
      <w:bookmarkStart w:id="82" w:name="_Toc152042312"/>
      <w:bookmarkStart w:id="83" w:name="_Toc247513959"/>
      <w:bookmarkStart w:id="84" w:name="_Toc11231"/>
      <w:bookmarkStart w:id="85" w:name="_Toc144974504"/>
      <w:r>
        <w:rPr>
          <w:rFonts w:hint="eastAsia" w:ascii="宋体" w:eastAsia="宋体" w:cs="宋体"/>
          <w:color w:val="auto"/>
          <w:highlight w:val="none"/>
        </w:rPr>
        <w:t>1.6 保密</w:t>
      </w:r>
      <w:bookmarkEnd w:id="79"/>
      <w:bookmarkEnd w:id="80"/>
      <w:bookmarkEnd w:id="81"/>
      <w:bookmarkEnd w:id="82"/>
      <w:bookmarkEnd w:id="83"/>
      <w:bookmarkEnd w:id="84"/>
      <w:bookmarkEnd w:id="85"/>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参与招标投标活动的各方应对招标文件和投标文件中的商业和技术等秘密保密，否则应承担相应的法律责任。 </w:t>
      </w:r>
    </w:p>
    <w:p>
      <w:pPr>
        <w:pStyle w:val="5"/>
        <w:rPr>
          <w:rFonts w:ascii="宋体" w:eastAsia="宋体" w:cs="宋体"/>
          <w:color w:val="auto"/>
          <w:highlight w:val="none"/>
        </w:rPr>
      </w:pPr>
      <w:bookmarkStart w:id="86" w:name="_Toc144974505"/>
      <w:bookmarkStart w:id="87" w:name="_Toc152042313"/>
      <w:bookmarkStart w:id="88" w:name="_Toc247513960"/>
      <w:bookmarkStart w:id="89" w:name="_Toc4973"/>
      <w:bookmarkStart w:id="90" w:name="_Toc152045537"/>
      <w:bookmarkStart w:id="91" w:name="_Toc247527561"/>
      <w:bookmarkStart w:id="92" w:name="_Toc14196"/>
      <w:r>
        <w:rPr>
          <w:rFonts w:hint="eastAsia" w:ascii="宋体" w:eastAsia="宋体" w:cs="宋体"/>
          <w:color w:val="auto"/>
          <w:highlight w:val="none"/>
        </w:rPr>
        <w:t>1.7 语言</w:t>
      </w:r>
      <w:bookmarkEnd w:id="86"/>
      <w:r>
        <w:rPr>
          <w:rFonts w:hint="eastAsia" w:ascii="宋体" w:eastAsia="宋体" w:cs="宋体"/>
          <w:color w:val="auto"/>
          <w:highlight w:val="none"/>
        </w:rPr>
        <w:t>文字</w:t>
      </w:r>
      <w:bookmarkEnd w:id="87"/>
      <w:bookmarkEnd w:id="88"/>
      <w:bookmarkEnd w:id="89"/>
      <w:bookmarkEnd w:id="90"/>
      <w:bookmarkEnd w:id="91"/>
      <w:bookmarkEnd w:id="92"/>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招标投标文件使用的语言文字为中文。专用术语使用外文的，应附有中文注释。</w:t>
      </w:r>
    </w:p>
    <w:p>
      <w:pPr>
        <w:pStyle w:val="5"/>
        <w:rPr>
          <w:rFonts w:ascii="宋体" w:eastAsia="宋体" w:cs="宋体"/>
          <w:color w:val="auto"/>
          <w:highlight w:val="none"/>
        </w:rPr>
      </w:pPr>
      <w:bookmarkStart w:id="93" w:name="_Toc26287"/>
      <w:bookmarkStart w:id="94" w:name="_Toc144974506"/>
      <w:bookmarkStart w:id="95" w:name="_Toc247513961"/>
      <w:bookmarkStart w:id="96" w:name="_Toc152042314"/>
      <w:bookmarkStart w:id="97" w:name="_Toc247527562"/>
      <w:bookmarkStart w:id="98" w:name="_Toc152045538"/>
      <w:bookmarkStart w:id="99" w:name="_Toc6619"/>
      <w:r>
        <w:rPr>
          <w:rFonts w:hint="eastAsia" w:ascii="宋体" w:eastAsia="宋体" w:cs="宋体"/>
          <w:color w:val="auto"/>
          <w:highlight w:val="none"/>
        </w:rPr>
        <w:t>1.8 计量单位</w:t>
      </w:r>
      <w:bookmarkEnd w:id="93"/>
      <w:bookmarkEnd w:id="94"/>
      <w:bookmarkEnd w:id="95"/>
      <w:bookmarkEnd w:id="96"/>
      <w:bookmarkEnd w:id="97"/>
      <w:bookmarkEnd w:id="98"/>
      <w:bookmarkEnd w:id="99"/>
    </w:p>
    <w:p>
      <w:pPr>
        <w:spacing w:line="400" w:lineRule="exact"/>
        <w:ind w:firstLine="420" w:firstLineChars="200"/>
        <w:rPr>
          <w:rFonts w:ascii="宋体" w:hAnsi="宋体" w:cs="宋体"/>
          <w:color w:val="auto"/>
          <w:kern w:val="1"/>
          <w:highlight w:val="none"/>
        </w:rPr>
      </w:pPr>
      <w:bookmarkStart w:id="100" w:name="_Toc152045539"/>
      <w:bookmarkStart w:id="101" w:name="_Toc247527563"/>
      <w:bookmarkStart w:id="102" w:name="_Toc247513962"/>
      <w:bookmarkStart w:id="103" w:name="_Toc152042315"/>
      <w:bookmarkStart w:id="104" w:name="_Toc23833"/>
      <w:bookmarkStart w:id="105" w:name="_Toc144974507"/>
      <w:r>
        <w:rPr>
          <w:rFonts w:hint="eastAsia" w:ascii="宋体" w:hAnsi="宋体" w:cs="宋体"/>
          <w:color w:val="auto"/>
          <w:kern w:val="1"/>
          <w:highlight w:val="none"/>
        </w:rPr>
        <w:t>1.8.1 所有计量均采用中华人民共和国法定计量单位。</w:t>
      </w:r>
    </w:p>
    <w:p>
      <w:pPr>
        <w:spacing w:line="400" w:lineRule="exact"/>
        <w:ind w:firstLine="420" w:firstLineChars="200"/>
        <w:rPr>
          <w:rFonts w:ascii="宋体" w:hAnsi="宋体" w:cs="宋体"/>
          <w:color w:val="auto"/>
          <w:kern w:val="1"/>
          <w:highlight w:val="none"/>
          <w:u w:val="single"/>
        </w:rPr>
      </w:pPr>
      <w:r>
        <w:rPr>
          <w:rFonts w:hint="eastAsia" w:ascii="宋体" w:hAnsi="宋体" w:cs="宋体"/>
          <w:color w:val="auto"/>
          <w:kern w:val="1"/>
          <w:highlight w:val="none"/>
          <w:u w:val="single"/>
        </w:rPr>
        <w:t>1.8.2 本工程投标报价采用的币种为人民币。</w:t>
      </w:r>
    </w:p>
    <w:p>
      <w:pPr>
        <w:pStyle w:val="5"/>
        <w:rPr>
          <w:rFonts w:ascii="宋体" w:eastAsia="宋体" w:cs="宋体"/>
          <w:color w:val="auto"/>
          <w:highlight w:val="none"/>
        </w:rPr>
      </w:pPr>
      <w:bookmarkStart w:id="106" w:name="_Toc30769"/>
      <w:r>
        <w:rPr>
          <w:rFonts w:hint="eastAsia" w:ascii="宋体" w:eastAsia="宋体" w:cs="宋体"/>
          <w:color w:val="auto"/>
          <w:highlight w:val="none"/>
        </w:rPr>
        <w:t>1.9 踏勘现场</w:t>
      </w:r>
      <w:bookmarkEnd w:id="100"/>
      <w:bookmarkEnd w:id="101"/>
      <w:bookmarkEnd w:id="102"/>
      <w:bookmarkEnd w:id="103"/>
      <w:bookmarkEnd w:id="104"/>
      <w:bookmarkEnd w:id="105"/>
      <w:bookmarkEnd w:id="106"/>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1.9.1</w:t>
      </w:r>
      <w:bookmarkStart w:id="107" w:name="_Hlk99458297"/>
      <w:r>
        <w:rPr>
          <w:rFonts w:hint="eastAsia" w:ascii="宋体" w:hAnsi="宋体" w:cs="宋体"/>
          <w:color w:val="auto"/>
          <w:highlight w:val="none"/>
          <w:u w:val="single"/>
        </w:rPr>
        <w:t>见投标须知前附表。招标人不组织集中踏勘现场，投标人可自行前往现场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bookmarkEnd w:id="107"/>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1.9.2招标人向投标人提供的有关现场的数据和资料，是招标人现有的能被投标人利用的资料，招标人对投标人做出的任何推论、理解和结论均不负责任。</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1.9.3投标人可为踏勘目的进入招标人的项目现场。投标人同意：其及其代表进入项目现场，即表示招标人已经尽了提醒义务，投标人及其代表已经充分了解项目现场可能造成人身、财产损害的所有因素，但仍然愿意进入项目现场踏勘，并认为已做了足够的保障措施；在考察过程中，由于自身或第三人原因造成投标人及其代表的人身、财产损失，招标人不承担任何责任；由于其考察行为导致的现场或第三方人身、财产损失，由其承担相应责任。</w:t>
      </w:r>
      <w:bookmarkStart w:id="108" w:name="_Toc152042316"/>
      <w:bookmarkStart w:id="109" w:name="_Toc247513963"/>
      <w:bookmarkStart w:id="110" w:name="_Toc152045540"/>
      <w:bookmarkStart w:id="111" w:name="_Toc144974508"/>
      <w:bookmarkStart w:id="112" w:name="_Toc247527564"/>
      <w:bookmarkStart w:id="113" w:name="_Toc16251"/>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1.9.4 </w:t>
      </w:r>
      <w:r>
        <w:rPr>
          <w:rFonts w:hint="eastAsia" w:ascii="宋体" w:hAnsi="宋体" w:cs="宋体"/>
          <w:color w:val="auto"/>
          <w:highlight w:val="none"/>
          <w:u w:val="single"/>
        </w:rPr>
        <w:t>现场由投标人自行踏勘，投标人不进行踏勘的，视为已熟知现场条件，自行承担相关风险。招标人不对投标人自行踏勘现场作出的判断和决策负责。</w:t>
      </w:r>
    </w:p>
    <w:p>
      <w:pPr>
        <w:pStyle w:val="5"/>
        <w:rPr>
          <w:rFonts w:ascii="宋体" w:eastAsia="宋体" w:cs="宋体"/>
          <w:bCs w:val="0"/>
          <w:color w:val="auto"/>
          <w:highlight w:val="none"/>
        </w:rPr>
      </w:pPr>
      <w:bookmarkStart w:id="114" w:name="_Toc6461"/>
      <w:r>
        <w:rPr>
          <w:rFonts w:hint="eastAsia" w:ascii="宋体" w:eastAsia="宋体" w:cs="宋体"/>
          <w:bCs w:val="0"/>
          <w:color w:val="auto"/>
          <w:highlight w:val="none"/>
        </w:rPr>
        <w:t xml:space="preserve">1.10 </w:t>
      </w:r>
      <w:bookmarkEnd w:id="108"/>
      <w:bookmarkEnd w:id="109"/>
      <w:bookmarkEnd w:id="110"/>
      <w:bookmarkEnd w:id="111"/>
      <w:bookmarkEnd w:id="112"/>
      <w:bookmarkEnd w:id="113"/>
      <w:bookmarkStart w:id="115" w:name="_Toc16283"/>
      <w:bookmarkStart w:id="116" w:name="_Toc3889"/>
      <w:bookmarkStart w:id="117" w:name="_Toc17636"/>
      <w:bookmarkStart w:id="118" w:name="_Toc152045541"/>
      <w:bookmarkStart w:id="119" w:name="_Toc247513964"/>
      <w:bookmarkStart w:id="120" w:name="_Toc152042317"/>
      <w:bookmarkStart w:id="121" w:name="_Toc144974509"/>
      <w:bookmarkStart w:id="122" w:name="_Toc247527565"/>
      <w:r>
        <w:rPr>
          <w:rFonts w:hint="eastAsia" w:ascii="宋体" w:eastAsia="宋体" w:cs="宋体"/>
          <w:bCs w:val="0"/>
          <w:color w:val="auto"/>
          <w:highlight w:val="none"/>
        </w:rPr>
        <w:t>投标预备会</w:t>
      </w:r>
      <w:bookmarkEnd w:id="114"/>
    </w:p>
    <w:bookmarkEnd w:id="115"/>
    <w:bookmarkEnd w:id="116"/>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本工程不召开投标预备会。</w:t>
      </w:r>
    </w:p>
    <w:p>
      <w:pPr>
        <w:pStyle w:val="5"/>
        <w:rPr>
          <w:rFonts w:ascii="宋体" w:eastAsia="宋体" w:cs="宋体"/>
          <w:color w:val="auto"/>
          <w:highlight w:val="none"/>
        </w:rPr>
      </w:pPr>
      <w:bookmarkStart w:id="123" w:name="_Toc23519"/>
      <w:r>
        <w:rPr>
          <w:rFonts w:hint="eastAsia" w:ascii="宋体" w:eastAsia="宋体" w:cs="宋体"/>
          <w:color w:val="auto"/>
          <w:highlight w:val="none"/>
        </w:rPr>
        <w:t>1.11 分包</w:t>
      </w:r>
      <w:bookmarkEnd w:id="117"/>
      <w:bookmarkEnd w:id="118"/>
      <w:bookmarkEnd w:id="119"/>
      <w:bookmarkEnd w:id="120"/>
      <w:bookmarkEnd w:id="121"/>
      <w:bookmarkEnd w:id="122"/>
      <w:bookmarkEnd w:id="123"/>
    </w:p>
    <w:p>
      <w:pPr>
        <w:spacing w:line="400" w:lineRule="exact"/>
        <w:ind w:firstLine="567" w:firstLineChars="270"/>
        <w:rPr>
          <w:rFonts w:ascii="宋体" w:hAnsi="宋体" w:cs="宋体"/>
          <w:color w:val="auto"/>
          <w:highlight w:val="none"/>
        </w:rPr>
      </w:pPr>
      <w:r>
        <w:rPr>
          <w:rFonts w:hint="eastAsia" w:ascii="宋体" w:hAnsi="宋体" w:cs="宋体"/>
          <w:color w:val="auto"/>
          <w:highlight w:val="none"/>
        </w:rPr>
        <w:t>1.11.1 投标人须知前附表规定应当由分包人实施的非主体、非关键性工作，投标人应当按照第五章“发包人要求”的规定提供分包人侯选名单及其相应资料。</w:t>
      </w:r>
    </w:p>
    <w:p>
      <w:pPr>
        <w:spacing w:line="400" w:lineRule="exact"/>
        <w:ind w:firstLine="567" w:firstLineChars="270"/>
        <w:rPr>
          <w:rFonts w:ascii="宋体" w:hAnsi="宋体" w:cs="宋体"/>
          <w:color w:val="auto"/>
          <w:highlight w:val="none"/>
        </w:rPr>
      </w:pPr>
      <w:r>
        <w:rPr>
          <w:rFonts w:hint="eastAsia" w:ascii="宋体" w:hAnsi="宋体" w:cs="宋体"/>
          <w:color w:val="auto"/>
          <w:highlight w:val="none"/>
        </w:rPr>
        <w:t>1.11.2 投标人拟在中标后将中标项目的部分非主体、非关键性工作进行分包的，应符合投标人须知前附表规定的分包内容、分包金额和资质要求等限制性条件。</w:t>
      </w:r>
    </w:p>
    <w:p>
      <w:pPr>
        <w:pStyle w:val="5"/>
        <w:rPr>
          <w:rFonts w:ascii="宋体" w:eastAsia="宋体" w:cs="宋体"/>
          <w:color w:val="auto"/>
          <w:highlight w:val="none"/>
        </w:rPr>
      </w:pPr>
      <w:bookmarkStart w:id="124" w:name="_Toc21717"/>
      <w:bookmarkStart w:id="125" w:name="_Toc247513965"/>
      <w:bookmarkStart w:id="126" w:name="_Toc247527566"/>
      <w:bookmarkStart w:id="127" w:name="_Toc30381"/>
      <w:r>
        <w:rPr>
          <w:rFonts w:hint="eastAsia" w:ascii="宋体" w:eastAsia="宋体" w:cs="宋体"/>
          <w:color w:val="auto"/>
          <w:highlight w:val="none"/>
        </w:rPr>
        <w:t>1.12 偏离</w:t>
      </w:r>
      <w:bookmarkEnd w:id="124"/>
      <w:bookmarkEnd w:id="125"/>
      <w:bookmarkEnd w:id="126"/>
      <w:bookmarkEnd w:id="127"/>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投标人须知前附表允许投标文件偏离招标文件某些要求的，偏离应当符合招标文件规定的偏离范围和幅度。</w:t>
      </w:r>
    </w:p>
    <w:p>
      <w:pPr>
        <w:pStyle w:val="4"/>
        <w:rPr>
          <w:rFonts w:ascii="宋体" w:hAnsi="宋体" w:eastAsia="宋体" w:cs="宋体"/>
          <w:color w:val="auto"/>
          <w:highlight w:val="none"/>
        </w:rPr>
      </w:pPr>
      <w:bookmarkStart w:id="128" w:name="_Toc20689"/>
      <w:bookmarkStart w:id="129" w:name="_Toc152042318"/>
      <w:bookmarkStart w:id="130" w:name="_Toc247513966"/>
      <w:bookmarkStart w:id="131" w:name="_Toc1073"/>
      <w:bookmarkStart w:id="132" w:name="_Toc247527567"/>
      <w:bookmarkStart w:id="133" w:name="_Toc152045542"/>
      <w:bookmarkStart w:id="134" w:name="_Toc144974510"/>
      <w:r>
        <w:rPr>
          <w:rFonts w:hint="eastAsia" w:ascii="宋体" w:hAnsi="宋体" w:eastAsia="宋体" w:cs="宋体"/>
          <w:color w:val="auto"/>
          <w:highlight w:val="none"/>
        </w:rPr>
        <w:t>2. 招标文件</w:t>
      </w:r>
      <w:bookmarkEnd w:id="128"/>
      <w:bookmarkEnd w:id="129"/>
      <w:bookmarkEnd w:id="130"/>
      <w:bookmarkEnd w:id="131"/>
      <w:bookmarkEnd w:id="132"/>
      <w:bookmarkEnd w:id="133"/>
      <w:bookmarkEnd w:id="134"/>
    </w:p>
    <w:p>
      <w:pPr>
        <w:pStyle w:val="5"/>
        <w:rPr>
          <w:rFonts w:ascii="宋体" w:eastAsia="宋体" w:cs="宋体"/>
          <w:color w:val="auto"/>
          <w:highlight w:val="none"/>
        </w:rPr>
      </w:pPr>
      <w:bookmarkStart w:id="135" w:name="_Toc152045543"/>
      <w:bookmarkStart w:id="136" w:name="_Toc247527568"/>
      <w:bookmarkStart w:id="137" w:name="_Toc152042319"/>
      <w:bookmarkStart w:id="138" w:name="_Toc247513967"/>
      <w:bookmarkStart w:id="139" w:name="_Toc30775"/>
      <w:bookmarkStart w:id="140" w:name="_Toc144974511"/>
      <w:bookmarkStart w:id="141" w:name="_Toc27638"/>
      <w:r>
        <w:rPr>
          <w:rFonts w:hint="eastAsia" w:ascii="宋体" w:eastAsia="宋体" w:cs="宋体"/>
          <w:color w:val="auto"/>
          <w:highlight w:val="none"/>
        </w:rPr>
        <w:t>2.1 招标文件的组成</w:t>
      </w:r>
      <w:bookmarkEnd w:id="135"/>
      <w:bookmarkEnd w:id="136"/>
      <w:bookmarkEnd w:id="137"/>
      <w:bookmarkEnd w:id="138"/>
      <w:bookmarkEnd w:id="139"/>
      <w:bookmarkEnd w:id="140"/>
      <w:bookmarkEnd w:id="141"/>
    </w:p>
    <w:p>
      <w:pPr>
        <w:spacing w:line="400" w:lineRule="exact"/>
        <w:rPr>
          <w:rFonts w:ascii="宋体" w:hAnsi="宋体" w:cs="宋体"/>
          <w:color w:val="auto"/>
          <w:highlight w:val="none"/>
        </w:rPr>
      </w:pPr>
      <w:r>
        <w:rPr>
          <w:rFonts w:hint="eastAsia" w:ascii="宋体" w:hAnsi="宋体" w:cs="宋体"/>
          <w:color w:val="auto"/>
          <w:highlight w:val="none"/>
        </w:rPr>
        <w:t>　　本招标文件包括：</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（1）招标公告</w:t>
      </w:r>
      <w:r>
        <w:rPr>
          <w:rFonts w:hint="eastAsia" w:ascii="新宋体" w:hAnsi="新宋体" w:eastAsia="新宋体" w:cs="新宋体"/>
          <w:strike/>
          <w:color w:val="auto"/>
          <w:highlight w:val="none"/>
        </w:rPr>
        <w:t>（或投标邀请书）</w:t>
      </w:r>
      <w:r>
        <w:rPr>
          <w:rFonts w:hint="eastAsia" w:ascii="宋体" w:hAnsi="宋体" w:cs="宋体"/>
          <w:color w:val="auto"/>
          <w:highlight w:val="none"/>
        </w:rPr>
        <w:t>；</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（2）投标人须知；</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（3）评标办法；</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（4）合同条款及格式</w:t>
      </w:r>
      <w:r>
        <w:rPr>
          <w:rFonts w:hint="eastAsia" w:ascii="宋体" w:hAnsi="宋体" w:cs="宋体"/>
          <w:color w:val="auto"/>
          <w:highlight w:val="none"/>
          <w:u w:val="single"/>
        </w:rPr>
        <w:t>(另册)；</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（5）发包人要求；</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（6）</w:t>
      </w:r>
      <w:r>
        <w:rPr>
          <w:rFonts w:hint="eastAsia" w:ascii="宋体" w:hAnsi="宋体" w:cs="宋体"/>
          <w:color w:val="auto"/>
          <w:highlight w:val="none"/>
          <w:u w:val="single"/>
        </w:rPr>
        <w:t>招标人</w:t>
      </w:r>
      <w:r>
        <w:rPr>
          <w:rFonts w:hint="eastAsia" w:ascii="宋体" w:hAnsi="宋体" w:cs="宋体"/>
          <w:color w:val="auto"/>
          <w:highlight w:val="none"/>
        </w:rPr>
        <w:t>提供的资料和条件（另册）；</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（7）投标文件格式；</w:t>
      </w:r>
    </w:p>
    <w:p>
      <w:pPr>
        <w:spacing w:line="400" w:lineRule="exact"/>
        <w:ind w:firstLine="359" w:firstLineChars="171"/>
        <w:rPr>
          <w:rFonts w:ascii="宋体" w:hAnsi="宋体" w:cs="宋体"/>
          <w:color w:val="auto"/>
          <w:highlight w:val="none"/>
        </w:rPr>
      </w:pPr>
      <w:r>
        <w:rPr>
          <w:rFonts w:hint="eastAsia" w:ascii="宋体" w:hAnsi="宋体" w:cs="宋体"/>
          <w:color w:val="auto"/>
          <w:highlight w:val="none"/>
        </w:rPr>
        <w:t>（8）投标人须知前附表规定的其他资料。</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根据本章第1.10款、第2.2款和第2.3款对招标文件所作的澄清、修改，构成招标文件的组成部分。</w:t>
      </w:r>
    </w:p>
    <w:p>
      <w:pPr>
        <w:pStyle w:val="5"/>
        <w:rPr>
          <w:rFonts w:ascii="宋体" w:eastAsia="宋体" w:cs="宋体"/>
          <w:color w:val="auto"/>
          <w:highlight w:val="none"/>
        </w:rPr>
      </w:pPr>
      <w:bookmarkStart w:id="142" w:name="_Toc152045544"/>
      <w:bookmarkStart w:id="143" w:name="_Toc247527569"/>
      <w:bookmarkStart w:id="144" w:name="_Toc144974512"/>
      <w:bookmarkStart w:id="145" w:name="_Toc30434"/>
      <w:bookmarkStart w:id="146" w:name="_Toc247513968"/>
      <w:bookmarkStart w:id="147" w:name="_Toc152042320"/>
      <w:bookmarkStart w:id="148" w:name="_Toc25132"/>
      <w:r>
        <w:rPr>
          <w:rFonts w:hint="eastAsia" w:ascii="宋体" w:eastAsia="宋体" w:cs="宋体"/>
          <w:color w:val="auto"/>
          <w:highlight w:val="none"/>
        </w:rPr>
        <w:t>2.2 招标文件的澄清</w:t>
      </w:r>
      <w:bookmarkEnd w:id="142"/>
      <w:bookmarkEnd w:id="143"/>
      <w:bookmarkEnd w:id="144"/>
      <w:bookmarkEnd w:id="145"/>
      <w:bookmarkEnd w:id="146"/>
      <w:bookmarkEnd w:id="147"/>
      <w:bookmarkEnd w:id="148"/>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2.2.1招标答疑采用网上答疑方式进行。</w:t>
      </w:r>
      <w:r>
        <w:rPr>
          <w:rFonts w:hint="eastAsia" w:ascii="宋体" w:hAnsi="宋体" w:cs="宋体"/>
          <w:color w:val="auto"/>
          <w:highlight w:val="none"/>
        </w:rPr>
        <w:t>投标人应仔细阅读和检查招标文件的全部内容。</w:t>
      </w:r>
      <w:r>
        <w:rPr>
          <w:rFonts w:hint="eastAsia" w:ascii="宋体" w:hAnsi="宋体" w:cs="宋体"/>
          <w:color w:val="auto"/>
          <w:szCs w:val="21"/>
          <w:highlight w:val="none"/>
        </w:rPr>
        <w:t>如发现缺页或附件不全，应及时向招标人提出，以便补齐。</w:t>
      </w:r>
      <w:r>
        <w:rPr>
          <w:rFonts w:hint="eastAsia" w:ascii="宋体" w:hAnsi="宋体" w:cs="宋体"/>
          <w:color w:val="auto"/>
          <w:highlight w:val="none"/>
          <w:u w:val="single"/>
        </w:rPr>
        <w:t>投标人若对招标文件（包括最高投标限价、合同）有疑问的，可在规定的时间内通过广州公共资源交易中心网站交易系统进入提问区域将问题提交给招标人或招标代理人（提交问题时一律不得署名），</w:t>
      </w:r>
      <w:r>
        <w:rPr>
          <w:rFonts w:hint="eastAsia" w:ascii="宋体" w:hAnsi="宋体" w:cs="宋体"/>
          <w:color w:val="auto"/>
          <w:highlight w:val="none"/>
        </w:rPr>
        <w:t>要求招标人对招标文件予以澄清。</w:t>
      </w:r>
      <w:bookmarkStart w:id="149" w:name="_Toc21882"/>
      <w:bookmarkStart w:id="150" w:name="_Toc16844"/>
      <w:bookmarkStart w:id="151" w:name="_Toc14422"/>
      <w:r>
        <w:rPr>
          <w:rFonts w:hint="eastAsia" w:ascii="宋体" w:hAnsi="宋体" w:cs="宋体"/>
          <w:color w:val="auto"/>
          <w:highlight w:val="none"/>
          <w:u w:val="single"/>
        </w:rPr>
        <w:t>网上答疑的操作指南为：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w:t>
      </w:r>
      <w:bookmarkEnd w:id="149"/>
      <w:bookmarkEnd w:id="150"/>
      <w:bookmarkEnd w:id="151"/>
      <w:r>
        <w:rPr>
          <w:rFonts w:hint="eastAsia" w:ascii="宋体" w:hAnsi="宋体" w:cs="宋体"/>
          <w:color w:val="auto"/>
          <w:highlight w:val="none"/>
          <w:u w:val="single"/>
        </w:rPr>
        <w:t>。</w:t>
      </w:r>
    </w:p>
    <w:p>
      <w:pPr>
        <w:spacing w:line="400" w:lineRule="exact"/>
        <w:ind w:firstLine="420" w:firstLineChars="200"/>
        <w:rPr>
          <w:rFonts w:ascii="宋体" w:hAnsi="宋体" w:cs="宋体"/>
          <w:color w:val="auto"/>
          <w:highlight w:val="none"/>
          <w:u w:val="single"/>
        </w:rPr>
      </w:pPr>
      <w:bookmarkStart w:id="152" w:name="_Toc31603"/>
      <w:bookmarkStart w:id="153" w:name="_Toc19746"/>
      <w:bookmarkStart w:id="154" w:name="_Toc17089"/>
      <w:bookmarkStart w:id="155" w:name="_Toc22325"/>
      <w:r>
        <w:rPr>
          <w:rFonts w:hint="eastAsia" w:ascii="宋体" w:hAnsi="宋体" w:cs="宋体"/>
          <w:color w:val="auto"/>
          <w:highlight w:val="none"/>
          <w:u w:val="single"/>
        </w:rPr>
        <w:t>2.2.2投标人应在投标人须知前附表规定的时间前，按前附表载明的方式提出问题。招标人应在递交投标文件截止时间15日前解答投标人对招标文件提出的疑问，形成答疑纪要，在广州公共资源交易中心网站“招标答疑”专区发布。</w:t>
      </w:r>
      <w:bookmarkEnd w:id="152"/>
      <w:bookmarkEnd w:id="153"/>
      <w:bookmarkEnd w:id="154"/>
      <w:bookmarkEnd w:id="155"/>
      <w:r>
        <w:rPr>
          <w:rFonts w:hint="eastAsia" w:ascii="宋体" w:hAnsi="宋体" w:cs="宋体"/>
          <w:color w:val="auto"/>
          <w:highlight w:val="none"/>
          <w:u w:val="single"/>
        </w:rPr>
        <w:t>招标答疑纪要在广州公共资源交易中心网站发布视为</w:t>
      </w:r>
      <w:r>
        <w:rPr>
          <w:rFonts w:hint="eastAsia" w:ascii="宋体" w:hAnsi="宋体" w:cs="宋体"/>
          <w:color w:val="auto"/>
          <w:highlight w:val="none"/>
        </w:rPr>
        <w:t>发给所有</w:t>
      </w:r>
      <w:r>
        <w:rPr>
          <w:rFonts w:hint="eastAsia" w:ascii="宋体" w:hAnsi="宋体" w:cs="宋体"/>
          <w:color w:val="auto"/>
          <w:highlight w:val="none"/>
          <w:u w:val="single"/>
        </w:rPr>
        <w:t>获取</w:t>
      </w:r>
      <w:r>
        <w:rPr>
          <w:rFonts w:hint="eastAsia" w:ascii="宋体" w:hAnsi="宋体" w:cs="宋体"/>
          <w:color w:val="auto"/>
          <w:highlight w:val="none"/>
        </w:rPr>
        <w:t>招标文件的投标人，但不指明澄清问题的来源。</w:t>
      </w:r>
      <w:r>
        <w:rPr>
          <w:rFonts w:hint="eastAsia" w:ascii="宋体" w:hAnsi="宋体" w:cs="宋体"/>
          <w:color w:val="auto"/>
          <w:highlight w:val="none"/>
          <w:u w:val="single"/>
        </w:rPr>
        <w:t>招标答疑纪要</w:t>
      </w:r>
      <w:r>
        <w:rPr>
          <w:rFonts w:hint="eastAsia" w:ascii="宋体" w:hAnsi="宋体" w:cs="宋体"/>
          <w:color w:val="auto"/>
          <w:highlight w:val="none"/>
        </w:rPr>
        <w:t>发出的时间距投标人须知前附表规定的投标截止时间不足15天的，并且澄清内容影响投标文件编制的，将相应延长投标截止时间。</w:t>
      </w:r>
    </w:p>
    <w:p>
      <w:pPr>
        <w:spacing w:line="400" w:lineRule="exact"/>
        <w:ind w:firstLine="420" w:firstLineChars="200"/>
        <w:rPr>
          <w:rFonts w:ascii="宋体" w:hAnsi="宋体" w:cs="宋体"/>
          <w:color w:val="auto"/>
          <w:highlight w:val="none"/>
          <w:u w:val="single"/>
        </w:rPr>
      </w:pPr>
      <w:bookmarkStart w:id="156" w:name="_Toc14003"/>
      <w:bookmarkStart w:id="157" w:name="_Toc23655"/>
      <w:bookmarkStart w:id="158" w:name="_Toc17542"/>
      <w:bookmarkStart w:id="159" w:name="_Toc12054"/>
      <w:r>
        <w:rPr>
          <w:rFonts w:hint="eastAsia" w:ascii="宋体" w:hAnsi="宋体" w:cs="宋体"/>
          <w:color w:val="auto"/>
          <w:highlight w:val="none"/>
          <w:u w:val="single"/>
        </w:rPr>
        <w:t>2.2.3招标答疑纪要一经在交易平台网站通过答疑纪要专区网上公开发布，发出即视作收到，以</w:t>
      </w:r>
      <w:r>
        <w:rPr>
          <w:rFonts w:hint="eastAsia" w:ascii="宋体" w:hAnsi="宋体" w:cs="宋体"/>
          <w:color w:val="auto"/>
          <w:kern w:val="1"/>
          <w:szCs w:val="21"/>
          <w:highlight w:val="none"/>
          <w:u w:val="single"/>
        </w:rPr>
        <w:t>广州公共资源交易中心网站</w:t>
      </w:r>
      <w:r>
        <w:rPr>
          <w:rFonts w:hint="eastAsia" w:ascii="宋体" w:hAnsi="宋体" w:cs="宋体"/>
          <w:color w:val="auto"/>
          <w:highlight w:val="none"/>
          <w:u w:val="single"/>
        </w:rPr>
        <w:t>发布时间作为送达时间。无需投标人确认。投标人应自行关注，招标人不再一一通知。</w:t>
      </w:r>
      <w:bookmarkEnd w:id="156"/>
      <w:bookmarkEnd w:id="157"/>
      <w:bookmarkEnd w:id="158"/>
      <w:bookmarkEnd w:id="159"/>
    </w:p>
    <w:p>
      <w:pPr>
        <w:spacing w:line="400" w:lineRule="exact"/>
        <w:ind w:firstLine="420" w:firstLineChars="200"/>
        <w:rPr>
          <w:rFonts w:ascii="宋体" w:hAnsi="宋体" w:cs="宋体"/>
          <w:color w:val="auto"/>
          <w:highlight w:val="none"/>
          <w:u w:val="single"/>
        </w:rPr>
      </w:pPr>
      <w:bookmarkStart w:id="160" w:name="_Toc23270"/>
      <w:bookmarkStart w:id="161" w:name="_Toc22640"/>
      <w:bookmarkStart w:id="162" w:name="_Toc2020"/>
      <w:bookmarkStart w:id="163" w:name="_Toc11460"/>
      <w:r>
        <w:rPr>
          <w:rFonts w:hint="eastAsia" w:ascii="宋体" w:hAnsi="宋体" w:cs="宋体"/>
          <w:color w:val="auto"/>
          <w:highlight w:val="none"/>
          <w:u w:val="single"/>
        </w:rPr>
        <w:t>2.2.4招标答疑纪要为招标文件的一部分。投标人可在广州公共资源交易中心网站浏览、下载招标答疑纪要。</w:t>
      </w:r>
      <w:bookmarkEnd w:id="160"/>
      <w:bookmarkEnd w:id="161"/>
      <w:bookmarkEnd w:id="162"/>
      <w:bookmarkEnd w:id="163"/>
    </w:p>
    <w:p>
      <w:pPr>
        <w:spacing w:line="400" w:lineRule="exact"/>
        <w:ind w:firstLine="420" w:firstLineChars="200"/>
        <w:rPr>
          <w:rFonts w:ascii="宋体" w:hAnsi="宋体" w:cs="宋体"/>
          <w:color w:val="auto"/>
          <w:highlight w:val="none"/>
          <w:u w:val="single"/>
        </w:rPr>
      </w:pPr>
      <w:bookmarkStart w:id="164" w:name="_Toc279"/>
      <w:bookmarkStart w:id="165" w:name="_Toc8182"/>
      <w:bookmarkStart w:id="166" w:name="_Toc2639"/>
      <w:r>
        <w:rPr>
          <w:rFonts w:hint="eastAsia" w:ascii="宋体" w:hAnsi="宋体" w:cs="宋体"/>
          <w:color w:val="auto"/>
          <w:highlight w:val="none"/>
          <w:u w:val="single"/>
        </w:rPr>
        <w:t>2.2.5若招标答疑纪要与招标文件有矛盾时，以广州公共资源交易中心网站最后发布的答疑纪要为准。</w:t>
      </w:r>
      <w:bookmarkEnd w:id="164"/>
      <w:bookmarkEnd w:id="165"/>
      <w:bookmarkEnd w:id="166"/>
    </w:p>
    <w:p>
      <w:pPr>
        <w:pStyle w:val="5"/>
        <w:rPr>
          <w:rFonts w:ascii="宋体" w:eastAsia="宋体" w:cs="宋体"/>
          <w:color w:val="auto"/>
          <w:highlight w:val="none"/>
        </w:rPr>
      </w:pPr>
      <w:bookmarkStart w:id="167" w:name="_Toc247527570"/>
      <w:bookmarkStart w:id="168" w:name="_Toc152045545"/>
      <w:bookmarkStart w:id="169" w:name="_Toc6494"/>
      <w:bookmarkStart w:id="170" w:name="_Toc247513969"/>
      <w:bookmarkStart w:id="171" w:name="_Toc144974513"/>
      <w:bookmarkStart w:id="172" w:name="_Toc152042321"/>
      <w:bookmarkStart w:id="173" w:name="_Toc2504"/>
      <w:r>
        <w:rPr>
          <w:rFonts w:hint="eastAsia" w:ascii="宋体" w:eastAsia="宋体" w:cs="宋体"/>
          <w:color w:val="auto"/>
          <w:highlight w:val="none"/>
        </w:rPr>
        <w:t>2.3 招标文件的修改</w:t>
      </w:r>
      <w:bookmarkEnd w:id="167"/>
      <w:bookmarkEnd w:id="168"/>
      <w:bookmarkEnd w:id="169"/>
      <w:bookmarkEnd w:id="170"/>
      <w:bookmarkEnd w:id="171"/>
      <w:bookmarkEnd w:id="172"/>
      <w:bookmarkEnd w:id="17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2.3.1 </w:t>
      </w:r>
      <w:r>
        <w:rPr>
          <w:rFonts w:hint="eastAsia" w:ascii="宋体" w:hAnsi="宋体" w:cs="宋体"/>
          <w:color w:val="auto"/>
          <w:szCs w:val="21"/>
          <w:highlight w:val="none"/>
          <w:u w:val="single"/>
        </w:rPr>
        <w:t>招标文件发出后,在提交投标文件截止时间15日前，招标人可对招标文件进行必要的澄清或修改。</w:t>
      </w:r>
      <w:r>
        <w:rPr>
          <w:rFonts w:hint="eastAsia" w:ascii="宋体" w:hAnsi="宋体" w:cs="宋体"/>
          <w:color w:val="auto"/>
          <w:highlight w:val="none"/>
        </w:rPr>
        <w:t>招标人</w:t>
      </w:r>
      <w:r>
        <w:rPr>
          <w:rFonts w:hint="eastAsia" w:ascii="宋体" w:hAnsi="宋体" w:cs="宋体"/>
          <w:color w:val="auto"/>
          <w:highlight w:val="none"/>
          <w:u w:val="single"/>
        </w:rPr>
        <w:t>在交易平台网站发布</w:t>
      </w:r>
      <w:r>
        <w:rPr>
          <w:rFonts w:hint="eastAsia" w:ascii="宋体" w:hAnsi="宋体" w:cs="宋体"/>
          <w:color w:val="auto"/>
          <w:highlight w:val="none"/>
        </w:rPr>
        <w:t>形式修改招标文件。修改招标文件的时间距投标人须知前附表规定的投标截止时间不足15天的，并且</w:t>
      </w:r>
      <w:r>
        <w:rPr>
          <w:rFonts w:hint="eastAsia" w:ascii="宋体" w:hAnsi="宋体" w:cs="宋体"/>
          <w:color w:val="auto"/>
          <w:highlight w:val="none"/>
          <w:u w:val="single"/>
        </w:rPr>
        <w:t>修改</w:t>
      </w:r>
      <w:r>
        <w:rPr>
          <w:rFonts w:hint="eastAsia" w:ascii="宋体" w:hAnsi="宋体" w:cs="宋体"/>
          <w:color w:val="auto"/>
          <w:highlight w:val="none"/>
        </w:rPr>
        <w:t xml:space="preserve">内容影响投标文件编制的，将相应延长投标截止时间。 </w:t>
      </w:r>
    </w:p>
    <w:p>
      <w:pPr>
        <w:spacing w:line="400" w:lineRule="exact"/>
        <w:ind w:firstLine="420"/>
        <w:rPr>
          <w:rFonts w:ascii="宋体" w:hAnsi="宋体" w:cs="宋体"/>
          <w:color w:val="auto"/>
          <w:szCs w:val="21"/>
          <w:highlight w:val="none"/>
          <w:u w:val="single"/>
        </w:rPr>
      </w:pPr>
      <w:r>
        <w:rPr>
          <w:rFonts w:hint="eastAsia" w:ascii="宋体" w:hAnsi="宋体" w:cs="宋体"/>
          <w:color w:val="auto"/>
          <w:highlight w:val="none"/>
        </w:rPr>
        <w:t xml:space="preserve">2.3.2 </w:t>
      </w:r>
      <w:r>
        <w:rPr>
          <w:rFonts w:hint="eastAsia" w:ascii="宋体" w:hAnsi="宋体" w:cs="宋体"/>
          <w:color w:val="auto"/>
          <w:highlight w:val="none"/>
          <w:u w:val="single"/>
        </w:rPr>
        <w:t>招标文件</w:t>
      </w:r>
      <w:r>
        <w:rPr>
          <w:rFonts w:hint="eastAsia" w:ascii="宋体" w:hAnsi="宋体" w:cs="宋体"/>
          <w:color w:val="auto"/>
          <w:szCs w:val="21"/>
          <w:highlight w:val="none"/>
          <w:u w:val="single"/>
        </w:rPr>
        <w:t>修改</w:t>
      </w:r>
      <w:r>
        <w:rPr>
          <w:rFonts w:hint="eastAsia" w:ascii="宋体" w:hAnsi="宋体" w:cs="宋体"/>
          <w:color w:val="auto"/>
          <w:highlight w:val="none"/>
          <w:u w:val="single"/>
        </w:rPr>
        <w:t>（或补充公告）一经在交易平台网站发布，视作已发放给所有投标人，以交易平台网站发布时间作为送达时间。无需投标人确认。投标人应自行关注，招标人不再一一通知。</w:t>
      </w:r>
      <w:r>
        <w:rPr>
          <w:rFonts w:hint="eastAsia" w:ascii="宋体" w:hAnsi="宋体" w:cs="宋体"/>
          <w:color w:val="auto"/>
          <w:szCs w:val="21"/>
          <w:highlight w:val="none"/>
          <w:u w:val="single"/>
        </w:rPr>
        <w:t>招标文件的澄清或修改内容作为招标文件的组成部分，具有约束作用。</w:t>
      </w:r>
    </w:p>
    <w:p>
      <w:pPr>
        <w:pStyle w:val="36"/>
        <w:spacing w:line="400" w:lineRule="exact"/>
        <w:ind w:firstLineChars="200"/>
        <w:rPr>
          <w:rFonts w:ascii="宋体" w:hAnsi="宋体" w:cs="宋体"/>
          <w:color w:val="auto"/>
          <w:kern w:val="2"/>
          <w:sz w:val="21"/>
          <w:szCs w:val="24"/>
          <w:highlight w:val="none"/>
          <w:u w:val="single"/>
        </w:rPr>
      </w:pPr>
      <w:r>
        <w:rPr>
          <w:rFonts w:hint="eastAsia" w:ascii="宋体" w:hAnsi="宋体" w:cs="宋体"/>
          <w:color w:val="auto"/>
          <w:kern w:val="2"/>
          <w:sz w:val="21"/>
          <w:szCs w:val="24"/>
          <w:highlight w:val="none"/>
          <w:u w:val="single"/>
        </w:rPr>
        <w:t>2.3.3招标文件的修改均以广州公共资源交易中心网站发布的内容为准。当招标文件的修改在同一内容的表述不一致时，以广州公共资源交易中心网站最后发布的内容为准。</w:t>
      </w:r>
    </w:p>
    <w:p>
      <w:pPr>
        <w:pStyle w:val="36"/>
        <w:spacing w:line="400" w:lineRule="exact"/>
        <w:ind w:firstLineChars="200"/>
        <w:rPr>
          <w:rFonts w:ascii="宋体" w:hAnsi="宋体" w:cs="宋体"/>
          <w:color w:val="auto"/>
          <w:kern w:val="2"/>
          <w:sz w:val="21"/>
          <w:szCs w:val="24"/>
          <w:highlight w:val="none"/>
          <w:u w:val="single"/>
        </w:rPr>
      </w:pPr>
      <w:r>
        <w:rPr>
          <w:rFonts w:hint="eastAsia" w:ascii="宋体" w:hAnsi="宋体" w:cs="宋体"/>
          <w:color w:val="auto"/>
          <w:kern w:val="2"/>
          <w:sz w:val="21"/>
          <w:szCs w:val="24"/>
          <w:highlight w:val="none"/>
          <w:u w:val="single"/>
        </w:rPr>
        <w:t>2.3.4为使投标人在编制投标文件时有充分的时间对招标文件的修改、补充等内容考虑进去，招标人将相应延长提交投标文件的截止时间，具体时间将在招标文件的修改、补充通知中予以明确。若通知中没有明确延长时间，即表示投标时间不延长。</w:t>
      </w:r>
    </w:p>
    <w:p>
      <w:pPr>
        <w:pStyle w:val="4"/>
        <w:rPr>
          <w:rFonts w:ascii="宋体" w:hAnsi="宋体" w:eastAsia="宋体" w:cs="宋体"/>
          <w:color w:val="auto"/>
          <w:highlight w:val="none"/>
        </w:rPr>
      </w:pPr>
      <w:bookmarkStart w:id="174" w:name="_Toc144974514"/>
      <w:bookmarkStart w:id="175" w:name="_Toc152045546"/>
      <w:bookmarkStart w:id="176" w:name="_Toc152042322"/>
      <w:bookmarkStart w:id="177" w:name="_Toc2660"/>
      <w:bookmarkStart w:id="178" w:name="_Toc247513970"/>
      <w:bookmarkStart w:id="179" w:name="_Toc247527571"/>
      <w:bookmarkStart w:id="180" w:name="_Toc4270"/>
      <w:r>
        <w:rPr>
          <w:rFonts w:hint="eastAsia" w:ascii="宋体" w:hAnsi="宋体" w:eastAsia="宋体" w:cs="宋体"/>
          <w:color w:val="auto"/>
          <w:highlight w:val="none"/>
        </w:rPr>
        <w:t>3. 投标文件</w:t>
      </w:r>
      <w:bookmarkEnd w:id="174"/>
      <w:bookmarkEnd w:id="175"/>
      <w:bookmarkEnd w:id="176"/>
      <w:bookmarkEnd w:id="177"/>
      <w:bookmarkEnd w:id="178"/>
      <w:bookmarkEnd w:id="179"/>
      <w:bookmarkEnd w:id="180"/>
    </w:p>
    <w:p>
      <w:pPr>
        <w:pStyle w:val="5"/>
        <w:ind w:firstLine="103"/>
        <w:rPr>
          <w:rFonts w:ascii="宋体" w:eastAsia="宋体" w:cs="宋体"/>
          <w:color w:val="auto"/>
          <w:sz w:val="21"/>
          <w:szCs w:val="21"/>
          <w:highlight w:val="none"/>
        </w:rPr>
      </w:pPr>
      <w:bookmarkStart w:id="181" w:name="_Toc21008"/>
      <w:bookmarkStart w:id="182" w:name="_Toc152042323"/>
      <w:bookmarkStart w:id="183" w:name="_Toc152045547"/>
      <w:bookmarkStart w:id="184" w:name="_Toc247527572"/>
      <w:bookmarkStart w:id="185" w:name="_Toc144974515"/>
      <w:bookmarkStart w:id="186" w:name="_Toc247513971"/>
      <w:bookmarkStart w:id="187" w:name="_Toc28028"/>
      <w:r>
        <w:rPr>
          <w:rFonts w:hint="eastAsia" w:ascii="宋体" w:eastAsia="宋体" w:cs="宋体"/>
          <w:color w:val="auto"/>
          <w:sz w:val="21"/>
          <w:szCs w:val="21"/>
          <w:highlight w:val="none"/>
        </w:rPr>
        <w:t>3.1 投标文件的组成</w:t>
      </w:r>
      <w:bookmarkEnd w:id="181"/>
      <w:bookmarkEnd w:id="182"/>
      <w:bookmarkEnd w:id="183"/>
      <w:bookmarkEnd w:id="184"/>
      <w:bookmarkEnd w:id="185"/>
      <w:bookmarkEnd w:id="186"/>
      <w:bookmarkEnd w:id="187"/>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　</w:t>
      </w:r>
      <w:r>
        <w:rPr>
          <w:rFonts w:hint="eastAsia" w:ascii="宋体" w:hAnsi="宋体" w:cs="宋体"/>
          <w:color w:val="auto"/>
          <w:szCs w:val="21"/>
          <w:highlight w:val="none"/>
          <w:u w:val="single"/>
        </w:rPr>
        <w:t>3.1.1投标文件由资格审查文件、设计方案投标文件、工程总承包实施方案三部分组成，各部分投标文件应分别编制。如招标文件没有格式规定的，由投标人自行编制。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3.1.2资格审查文件</w:t>
      </w:r>
    </w:p>
    <w:p>
      <w:pPr>
        <w:numPr>
          <w:ilvl w:val="0"/>
          <w:numId w:val="1"/>
        </w:num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封面</w:t>
      </w:r>
    </w:p>
    <w:p>
      <w:pPr>
        <w:numPr>
          <w:ilvl w:val="0"/>
          <w:numId w:val="1"/>
        </w:num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目录</w:t>
      </w:r>
    </w:p>
    <w:p>
      <w:pPr>
        <w:numPr>
          <w:ilvl w:val="0"/>
          <w:numId w:val="1"/>
        </w:num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投标单位法定代表人证明书及法人授权委托证明书</w:t>
      </w:r>
      <w:r>
        <w:rPr>
          <w:rFonts w:hint="eastAsia" w:ascii="宋体" w:hAnsi="宋体" w:cs="宋体"/>
          <w:color w:val="auto"/>
          <w:szCs w:val="21"/>
          <w:highlight w:val="none"/>
          <w:u w:val="single"/>
          <w:lang w:val="zh-CN"/>
        </w:rPr>
        <w:t>（</w:t>
      </w:r>
      <w:r>
        <w:rPr>
          <w:rFonts w:hint="eastAsia" w:ascii="宋体" w:hAnsi="宋体" w:cs="宋体"/>
          <w:color w:val="auto"/>
          <w:szCs w:val="21"/>
          <w:highlight w:val="none"/>
          <w:u w:val="single"/>
        </w:rPr>
        <w:t>按招标文件格式要求填写)；</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（4）企业营业执照（联合体投标的，联合体各方均提供）；</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（5）资质证书（联合体投标的，联合体各方均提供）；</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（6）安全生产许可证（联合体投标的，联合体施工方提供）；</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（7）项目负责人（兼施工负责人）</w:t>
      </w:r>
      <w:bookmarkStart w:id="188" w:name="_Hlk85928788"/>
      <w:r>
        <w:rPr>
          <w:rFonts w:hint="eastAsia" w:ascii="宋体" w:hAnsi="宋体" w:cs="宋体"/>
          <w:color w:val="auto"/>
          <w:szCs w:val="21"/>
          <w:highlight w:val="none"/>
          <w:u w:val="single"/>
        </w:rPr>
        <w:t>（联合体主办方提供）</w:t>
      </w:r>
      <w:bookmarkEnd w:id="188"/>
      <w:r>
        <w:rPr>
          <w:rFonts w:hint="eastAsia" w:ascii="宋体" w:hAnsi="宋体" w:cs="宋体"/>
          <w:color w:val="auto"/>
          <w:szCs w:val="21"/>
          <w:highlight w:val="none"/>
          <w:u w:val="single"/>
        </w:rPr>
        <w:t>的建造师注册证书</w:t>
      </w:r>
      <w:bookmarkStart w:id="189" w:name="_Hlk99458629"/>
      <w:r>
        <w:rPr>
          <w:rFonts w:hint="eastAsia" w:ascii="宋体" w:hAnsi="宋体" w:cs="宋体"/>
          <w:color w:val="auto"/>
          <w:szCs w:val="21"/>
          <w:highlight w:val="none"/>
          <w:u w:val="single"/>
        </w:rPr>
        <w:t>（以投标登记时选取的施工负责人为准）</w:t>
      </w:r>
      <w:bookmarkEnd w:id="189"/>
      <w:r>
        <w:rPr>
          <w:rFonts w:hint="eastAsia" w:ascii="宋体" w:hAnsi="宋体" w:cs="宋体"/>
          <w:color w:val="auto"/>
          <w:szCs w:val="21"/>
          <w:highlight w:val="none"/>
          <w:u w:val="single"/>
        </w:rPr>
        <w:t>，项目负责人</w:t>
      </w:r>
      <w:r>
        <w:rPr>
          <w:rFonts w:hint="eastAsia" w:ascii="宋体" w:hAnsi="宋体" w:cs="宋体"/>
          <w:color w:val="auto"/>
          <w:highlight w:val="none"/>
          <w:u w:val="single"/>
        </w:rPr>
        <w:t>持有施工负责人在有效期内的安全生产考核合格证（B类），或建筑施工企业项目负责人安全生产考核合格证书</w:t>
      </w:r>
      <w:r>
        <w:rPr>
          <w:rFonts w:hint="eastAsia" w:ascii="宋体" w:hAnsi="宋体" w:cs="宋体"/>
          <w:color w:val="auto"/>
          <w:szCs w:val="21"/>
          <w:highlight w:val="none"/>
          <w:u w:val="single"/>
        </w:rPr>
        <w:t xml:space="preserve">； </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（8）设计负责人（联合体设计方提供）的执业证书（以投标登记时选取的设计负责人为准）；</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（9）投标人（或联合体施工方）拟派施工技术负责人职称证书及相关证明；</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（10）投标人（或联合体施工方）拟派专职安全员须具备在有效期内的安全生产考核合格证（C类），或建筑施工企业专职安全生产管理人员安全生产考核合格证书（</w:t>
      </w:r>
      <w:r>
        <w:rPr>
          <w:rFonts w:hint="eastAsia" w:ascii="宋体" w:hAnsi="宋体" w:cs="宋体"/>
          <w:color w:val="auto"/>
          <w:szCs w:val="21"/>
          <w:highlight w:val="none"/>
          <w:u w:val="single"/>
          <w:lang w:eastAsia="zh-CN"/>
        </w:rPr>
        <w:t>C3</w:t>
      </w:r>
      <w:r>
        <w:rPr>
          <w:rFonts w:hint="eastAsia" w:ascii="宋体" w:hAnsi="宋体" w:cs="宋体"/>
          <w:color w:val="auto"/>
          <w:szCs w:val="21"/>
          <w:highlight w:val="none"/>
          <w:u w:val="single"/>
        </w:rPr>
        <w:t>）（以投标登记时选取的专职安全员为准）；</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（11）《投标人声明》（按招标公告附件一格式）；</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（12）联合体投标协议书（如有）（</w:t>
      </w:r>
      <w:r>
        <w:rPr>
          <w:rFonts w:hint="eastAsia" w:ascii="宋体" w:hAnsi="宋体" w:cs="宋体"/>
          <w:color w:val="auto"/>
          <w:kern w:val="0"/>
          <w:szCs w:val="21"/>
          <w:highlight w:val="none"/>
          <w:u w:val="single"/>
        </w:rPr>
        <w:t>采用联合体投标时递交，</w:t>
      </w:r>
      <w:r>
        <w:rPr>
          <w:rFonts w:hint="eastAsia" w:ascii="宋体" w:hAnsi="宋体" w:cs="宋体"/>
          <w:color w:val="auto"/>
          <w:szCs w:val="21"/>
          <w:highlight w:val="none"/>
          <w:u w:val="single"/>
        </w:rPr>
        <w:t xml:space="preserve">按招标公告附件二格式）； </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13）资格审查前，投标人（含联合体各方）须在广州市住建行业信用管理平台建立企业信用档案，且拟担任本项目的项目负责人（兼施工负责人）、设计负责人、施工技术负责人、专职安全员是本企业信用档案中的在册人员（联合体投标的，信用档案和人员在册情况为联合体协议分工对应企业信用管理平台内信息）。香港企业参加投标的，须在广东省住房和城乡建设主管部门备案，若有香港人士担任设计负责人的，其在广东省住房和城乡建设主管部门备案且备案的业务范围符合本招标项目对设计负责人要求。企业信用档案取自投标截止时间投标人在信用管理平台内的信息，投标人无需提交相关资料，若招标人延长递交投标文件截止时间的，信用档案信息的评审时点也相应延长。</w:t>
      </w:r>
      <w:r>
        <w:rPr>
          <w:rFonts w:hint="eastAsia" w:ascii="宋体" w:hAnsi="宋体" w:cs="宋体"/>
          <w:color w:val="auto"/>
          <w:highlight w:val="none"/>
          <w:u w:val="single"/>
        </w:rPr>
        <w:t>（请投标人及时维护、更新平台的信息，确保其有效性）</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（14）投标人类似业绩的相关资料（如要求）。</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（15）投标人认为应该提供的其他资料</w:t>
      </w:r>
    </w:p>
    <w:p>
      <w:pPr>
        <w:snapToGrid w:val="0"/>
        <w:spacing w:line="360" w:lineRule="auto"/>
        <w:ind w:firstLine="420" w:firstLineChars="200"/>
        <w:rPr>
          <w:rFonts w:ascii="宋体" w:hAnsi="宋体" w:cs="宋体"/>
          <w:color w:val="auto"/>
          <w:szCs w:val="21"/>
          <w:highlight w:val="none"/>
          <w:u w:val="single"/>
        </w:rPr>
      </w:pPr>
      <w:bookmarkStart w:id="190" w:name="_Toc152042324"/>
      <w:bookmarkStart w:id="191" w:name="_Toc32322"/>
      <w:bookmarkStart w:id="192" w:name="_Toc247527573"/>
      <w:bookmarkStart w:id="193" w:name="_Toc247513972"/>
      <w:bookmarkStart w:id="194" w:name="_Toc152045548"/>
      <w:bookmarkStart w:id="195" w:name="_Toc144974516"/>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3.1.3设计方案（采用“暗标”形式）</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设计方案中不得出现可以辨认投标人及专业技术人员身份的名称、印章、商标、图形等记认符号，也不得通过明标、暗标中包含的相同内容（如报价等）互相印证、辨认投标人身份。内容包括：</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（1）封面：标明项目名称、“投标文件（设计方案部分）”字样、编制时间</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（2）目录</w:t>
      </w:r>
    </w:p>
    <w:p>
      <w:pPr>
        <w:pStyle w:val="24"/>
        <w:spacing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3</w:t>
      </w:r>
      <w:r>
        <w:rPr>
          <w:rFonts w:hint="eastAsia" w:ascii="宋体" w:hAnsi="宋体" w:cs="宋体"/>
          <w:color w:val="auto"/>
          <w:sz w:val="21"/>
          <w:szCs w:val="21"/>
          <w:highlight w:val="none"/>
          <w:u w:val="single"/>
        </w:rPr>
        <w:t>）设计方案</w:t>
      </w:r>
    </w:p>
    <w:p>
      <w:pPr>
        <w:pStyle w:val="24"/>
        <w:spacing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（4）投标人认为有必要提供的其他资料</w:t>
      </w:r>
    </w:p>
    <w:p>
      <w:pPr>
        <w:snapToGrid w:val="0"/>
        <w:spacing w:line="360" w:lineRule="auto"/>
        <w:ind w:firstLine="420" w:firstLineChars="200"/>
        <w:rPr>
          <w:rFonts w:ascii="宋体" w:hAnsi="宋体" w:cs="宋体"/>
          <w:color w:val="auto"/>
          <w:szCs w:val="21"/>
          <w:highlight w:val="none"/>
          <w:u w:val="single"/>
        </w:rPr>
      </w:pPr>
    </w:p>
    <w:p>
      <w:pPr>
        <w:snapToGrid w:val="0"/>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3.1.4</w:t>
      </w:r>
      <w:r>
        <w:rPr>
          <w:rFonts w:hint="eastAsia" w:ascii="宋体" w:hAnsi="宋体" w:cs="宋体"/>
          <w:color w:val="auto"/>
          <w:szCs w:val="21"/>
          <w:highlight w:val="none"/>
          <w:u w:val="single"/>
        </w:rPr>
        <w:t>工程总承包实施方案（包括但不限于以下内容：）</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（1）封面</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（2）目录</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（3）投标书(按招标文件格式要求填写)</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（4）投标承诺函（按招标文件格式要求填写)</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（5）工程总承包实施方案投标文件（资信部分）</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（6）工程总承包实施方案投标文件（技术部分）</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w:t>
      </w:r>
      <w:r>
        <w:rPr>
          <w:rFonts w:ascii="宋体" w:hAnsi="宋体" w:cs="宋体"/>
          <w:color w:val="auto"/>
          <w:szCs w:val="21"/>
          <w:highlight w:val="none"/>
          <w:u w:val="single"/>
        </w:rPr>
        <w:t>7</w:t>
      </w:r>
      <w:r>
        <w:rPr>
          <w:rFonts w:hint="eastAsia" w:ascii="宋体" w:hAnsi="宋体" w:cs="宋体"/>
          <w:color w:val="auto"/>
          <w:szCs w:val="21"/>
          <w:highlight w:val="none"/>
          <w:u w:val="single"/>
        </w:rPr>
        <w:t>)投标文件编制人员名单（按招标文件提供的格式填写）；</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w:t>
      </w:r>
      <w:r>
        <w:rPr>
          <w:rFonts w:ascii="宋体" w:hAnsi="宋体" w:cs="宋体"/>
          <w:color w:val="auto"/>
          <w:szCs w:val="21"/>
          <w:highlight w:val="none"/>
          <w:u w:val="single"/>
        </w:rPr>
        <w:t>8</w:t>
      </w:r>
      <w:r>
        <w:rPr>
          <w:rFonts w:hint="eastAsia" w:ascii="宋体" w:hAnsi="宋体" w:cs="宋体"/>
          <w:color w:val="auto"/>
          <w:szCs w:val="21"/>
          <w:highlight w:val="none"/>
          <w:u w:val="single"/>
        </w:rPr>
        <w:t>)投标人认为应该提供的其他资料（按招标文件提供的格式填写）。</w:t>
      </w:r>
    </w:p>
    <w:p>
      <w:pPr>
        <w:pStyle w:val="5"/>
        <w:ind w:firstLine="103"/>
        <w:rPr>
          <w:rFonts w:ascii="宋体" w:eastAsia="宋体" w:cs="宋体"/>
          <w:color w:val="auto"/>
          <w:sz w:val="21"/>
          <w:szCs w:val="21"/>
          <w:highlight w:val="none"/>
        </w:rPr>
      </w:pPr>
      <w:bookmarkStart w:id="196" w:name="_Toc642"/>
      <w:r>
        <w:rPr>
          <w:rFonts w:hint="eastAsia" w:ascii="宋体" w:eastAsia="宋体" w:cs="宋体"/>
          <w:color w:val="auto"/>
          <w:sz w:val="21"/>
          <w:szCs w:val="21"/>
          <w:highlight w:val="none"/>
        </w:rPr>
        <w:t>3.2 投标报价</w:t>
      </w:r>
      <w:bookmarkEnd w:id="190"/>
      <w:bookmarkEnd w:id="191"/>
      <w:bookmarkEnd w:id="192"/>
      <w:bookmarkEnd w:id="193"/>
      <w:bookmarkEnd w:id="194"/>
      <w:bookmarkEnd w:id="195"/>
      <w:bookmarkEnd w:id="196"/>
    </w:p>
    <w:p>
      <w:pPr>
        <w:spacing w:line="400" w:lineRule="exact"/>
        <w:ind w:firstLine="420" w:firstLineChars="200"/>
        <w:rPr>
          <w:rFonts w:ascii="宋体" w:hAnsi="宋体" w:cs="宋体"/>
          <w:color w:val="auto"/>
          <w:highlight w:val="none"/>
        </w:rPr>
      </w:pPr>
      <w:r>
        <w:rPr>
          <w:rFonts w:hint="eastAsia" w:ascii="宋体" w:hAnsi="宋体" w:cs="宋体"/>
          <w:color w:val="auto"/>
          <w:szCs w:val="21"/>
          <w:highlight w:val="none"/>
        </w:rPr>
        <w:t>3.2.1 投标人应按第七章“投标文件格式”的要求填写价格</w:t>
      </w:r>
      <w:r>
        <w:rPr>
          <w:rFonts w:hint="eastAsia" w:ascii="宋体" w:hAnsi="宋体" w:cs="宋体"/>
          <w:strike/>
          <w:color w:val="auto"/>
          <w:szCs w:val="21"/>
          <w:highlight w:val="none"/>
        </w:rPr>
        <w:t>清单</w:t>
      </w:r>
      <w:r>
        <w:rPr>
          <w:rFonts w:hint="eastAsia" w:ascii="宋体" w:hAnsi="宋体" w:cs="宋体"/>
          <w:color w:val="auto"/>
          <w:szCs w:val="21"/>
          <w:highlight w:val="none"/>
        </w:rPr>
        <w:t>。</w:t>
      </w:r>
      <w:r>
        <w:rPr>
          <w:rFonts w:hint="eastAsia" w:ascii="宋体" w:hAnsi="宋体" w:cs="宋体"/>
          <w:color w:val="auto"/>
          <w:highlight w:val="none"/>
        </w:rPr>
        <w:t>具体的投标报价方式见投标须知前附表。</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3.2.2 投标人应充分了解施工场地的位置、周边环境、道路、装卸、保管、安装限制以及影响投标报价的其他要素。投标人根据投标设计，结合市场情况进行投标报价。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3.2.3 招标人设有最高投标限价的，投标人的投标报价不得超过最高投标限价，最高投标限价或其计算方法在投标人须知前附表中载明。</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3.2.3.1招标人按照招标需求制定最高投标限价。此处的最高投标限价有两个含义，①最高投标限价总价，②工程勘察费最高投标限价及</w:t>
      </w:r>
      <w:r>
        <w:rPr>
          <w:rFonts w:hint="eastAsia" w:ascii="宋体" w:hAnsi="宋体" w:cs="宋体"/>
          <w:color w:val="auto"/>
          <w:szCs w:val="21"/>
          <w:highlight w:val="none"/>
          <w:u w:val="single"/>
        </w:rPr>
        <w:t>岩土工程勘察费综合单价最高投标限价</w:t>
      </w:r>
      <w:r>
        <w:rPr>
          <w:rFonts w:hint="eastAsia" w:ascii="宋体" w:hAnsi="宋体" w:cs="宋体"/>
          <w:color w:val="auto"/>
          <w:highlight w:val="none"/>
          <w:u w:val="single"/>
        </w:rPr>
        <w:t>、工程设计费最高投标限价、</w:t>
      </w:r>
      <w:r>
        <w:rPr>
          <w:rFonts w:hint="eastAsia" w:ascii="宋体" w:hAnsi="宋体" w:cs="宋体"/>
          <w:color w:val="auto"/>
          <w:highlight w:val="none"/>
          <w:u w:val="single"/>
          <w:lang w:val="zh-CN"/>
        </w:rPr>
        <w:t>建筑安装工程费</w:t>
      </w:r>
      <w:r>
        <w:rPr>
          <w:rFonts w:hint="eastAsia" w:ascii="宋体" w:hAnsi="宋体" w:cs="宋体"/>
          <w:color w:val="auto"/>
          <w:highlight w:val="none"/>
          <w:u w:val="single"/>
        </w:rPr>
        <w:t>最高投标限价。投标人按照招标文件要求内容自行报价。</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3.2.3.1.1每一项费用只允许有一个报价，任何有选择的报价或未填报单价的投标文件将不予接受。</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3.2.3.2投标人的投标总报价，包括工程勘察费（含税）（其中，勘察相关工作内容涉及的费用在岩土工程勘察费综合单价报价综合考虑）、工程设计费（含税）、</w:t>
      </w:r>
      <w:r>
        <w:rPr>
          <w:rFonts w:hint="eastAsia" w:ascii="宋体" w:hAnsi="宋体" w:cs="宋体"/>
          <w:color w:val="auto"/>
          <w:highlight w:val="none"/>
          <w:u w:val="single"/>
          <w:lang w:val="zh-CN"/>
        </w:rPr>
        <w:t>建筑安装工程费</w:t>
      </w:r>
      <w:r>
        <w:rPr>
          <w:rFonts w:hint="eastAsia" w:ascii="宋体" w:hAnsi="宋体" w:cs="宋体"/>
          <w:color w:val="auto"/>
          <w:highlight w:val="none"/>
          <w:u w:val="single"/>
        </w:rPr>
        <w:t>（含税），</w:t>
      </w:r>
      <w:r>
        <w:rPr>
          <w:rFonts w:hint="eastAsia" w:ascii="宋体" w:hAnsi="宋体" w:cs="宋体"/>
          <w:color w:val="auto"/>
          <w:szCs w:val="21"/>
          <w:highlight w:val="none"/>
          <w:u w:val="single"/>
        </w:rPr>
        <w:t>工程设计费及</w:t>
      </w:r>
      <w:r>
        <w:rPr>
          <w:rFonts w:hint="eastAsia" w:ascii="宋体" w:hAnsi="宋体" w:cs="宋体"/>
          <w:color w:val="auto"/>
          <w:szCs w:val="21"/>
          <w:highlight w:val="none"/>
          <w:u w:val="single"/>
          <w:lang w:val="zh-CN"/>
        </w:rPr>
        <w:t>建筑安装工程费含相应的</w:t>
      </w:r>
      <w:r>
        <w:rPr>
          <w:rFonts w:hint="eastAsia" w:ascii="宋体" w:hAnsi="宋体" w:cs="宋体"/>
          <w:color w:val="auto"/>
          <w:szCs w:val="21"/>
          <w:highlight w:val="none"/>
          <w:u w:val="single"/>
        </w:rPr>
        <w:t>BIM技术应用费</w:t>
      </w:r>
      <w:r>
        <w:rPr>
          <w:rFonts w:hint="eastAsia" w:ascii="宋体" w:hAnsi="宋体" w:cs="宋体"/>
          <w:color w:val="auto"/>
          <w:highlight w:val="none"/>
          <w:u w:val="single"/>
        </w:rPr>
        <w:t>。投标人应按照投标人须知前附表第 1.3.2 项的工期要求，在投标人须知前附表第 1.1.5 项的建设地点，完成投标人须知前附表第 1.3.1项的招标范围列明工作的全部费用，包括但不限于完成全部勘察设计、BIM技术应用、建安工程施工工作的成本、利润、税金、技术措施费、大型机械进出场费、风险费以及政策性文件规定费用等，不得以任何理由予以重复计算。</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u w:val="single"/>
        </w:rPr>
        <w:t>3.2.4 本项目投标报价采用的币种为人民币。</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3.2.5 投标报价的其他要求见投标人须知前附表。</w:t>
      </w:r>
    </w:p>
    <w:p>
      <w:pPr>
        <w:pStyle w:val="5"/>
        <w:ind w:firstLine="103"/>
        <w:rPr>
          <w:rFonts w:ascii="宋体" w:eastAsia="宋体" w:cs="宋体"/>
          <w:color w:val="auto"/>
          <w:sz w:val="21"/>
          <w:szCs w:val="21"/>
          <w:highlight w:val="none"/>
        </w:rPr>
      </w:pPr>
      <w:bookmarkStart w:id="197" w:name="_Toc13756"/>
      <w:bookmarkStart w:id="198" w:name="_Toc152042325"/>
      <w:bookmarkStart w:id="199" w:name="_Toc247513973"/>
      <w:bookmarkStart w:id="200" w:name="_Toc152045549"/>
      <w:bookmarkStart w:id="201" w:name="_Toc247527574"/>
      <w:bookmarkStart w:id="202" w:name="_Toc144974517"/>
      <w:bookmarkStart w:id="203" w:name="_Toc329"/>
      <w:r>
        <w:rPr>
          <w:rFonts w:hint="eastAsia" w:ascii="宋体" w:eastAsia="宋体" w:cs="宋体"/>
          <w:color w:val="auto"/>
          <w:sz w:val="21"/>
          <w:szCs w:val="21"/>
          <w:highlight w:val="none"/>
        </w:rPr>
        <w:t>3.3 投标有效期</w:t>
      </w:r>
      <w:bookmarkEnd w:id="197"/>
      <w:bookmarkEnd w:id="198"/>
      <w:bookmarkEnd w:id="199"/>
      <w:bookmarkEnd w:id="200"/>
      <w:bookmarkEnd w:id="201"/>
      <w:bookmarkEnd w:id="202"/>
      <w:bookmarkEnd w:id="203"/>
    </w:p>
    <w:p>
      <w:pPr>
        <w:spacing w:line="400" w:lineRule="exact"/>
        <w:ind w:firstLine="420" w:firstLineChars="200"/>
        <w:rPr>
          <w:rFonts w:ascii="宋体" w:hAnsi="宋体"/>
          <w:color w:val="auto"/>
          <w:highlight w:val="none"/>
          <w:u w:val="single"/>
        </w:rPr>
      </w:pPr>
      <w:r>
        <w:rPr>
          <w:rFonts w:hint="eastAsia" w:ascii="宋体" w:hAnsi="宋体" w:cs="宋体"/>
          <w:color w:val="auto"/>
          <w:szCs w:val="21"/>
          <w:highlight w:val="none"/>
        </w:rPr>
        <w:t xml:space="preserve">3.3.1 </w:t>
      </w:r>
      <w:r>
        <w:rPr>
          <w:rFonts w:hint="eastAsia" w:ascii="宋体" w:hAnsi="宋体"/>
          <w:color w:val="auto"/>
          <w:highlight w:val="none"/>
          <w:u w:val="single"/>
        </w:rPr>
        <w:t>投标有效期按须知前附表的规定。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3.3.2 在投标有效期内，投标人撤销或修改其投标文件的，应承担招标文件和法律规定的责任。</w:t>
      </w:r>
    </w:p>
    <w:p>
      <w:pPr>
        <w:spacing w:line="400" w:lineRule="exact"/>
        <w:ind w:firstLine="420" w:firstLineChars="200"/>
        <w:rPr>
          <w:rFonts w:ascii="宋体" w:hAnsi="宋体" w:cs="宋体"/>
          <w:color w:val="auto"/>
          <w:highlight w:val="none"/>
        </w:rPr>
      </w:pPr>
      <w:r>
        <w:rPr>
          <w:rFonts w:hint="eastAsia" w:ascii="宋体" w:hAnsi="宋体" w:cs="宋体"/>
          <w:color w:val="auto"/>
          <w:szCs w:val="21"/>
          <w:highlight w:val="none"/>
        </w:rPr>
        <w:t>3.3.3 出现特殊情况需要延长投标有效期的，招标人以书面形式通知所有投标人延长投标有效期。投标人同意延长的，应相应延长其投标保证</w:t>
      </w:r>
      <w:r>
        <w:rPr>
          <w:rFonts w:hint="eastAsia" w:ascii="宋体" w:hAnsi="宋体" w:cs="宋体"/>
          <w:color w:val="auto"/>
          <w:highlight w:val="none"/>
        </w:rPr>
        <w:t xml:space="preserve">金的有效期，但不得要求或被允许修改或撤销其投标文件；投标人拒绝延长的，其投标失效，但投标人有权收回其投标保证金。 </w:t>
      </w:r>
    </w:p>
    <w:p>
      <w:pPr>
        <w:pStyle w:val="5"/>
        <w:rPr>
          <w:rFonts w:ascii="宋体" w:eastAsia="宋体" w:cs="宋体"/>
          <w:color w:val="auto"/>
          <w:highlight w:val="none"/>
        </w:rPr>
      </w:pPr>
      <w:bookmarkStart w:id="204" w:name="_Toc18959"/>
      <w:bookmarkStart w:id="205" w:name="_Toc152045550"/>
      <w:bookmarkStart w:id="206" w:name="_Toc247513974"/>
      <w:bookmarkStart w:id="207" w:name="_Toc144974518"/>
      <w:bookmarkStart w:id="208" w:name="_Toc152042326"/>
      <w:bookmarkStart w:id="209" w:name="_Toc247527575"/>
      <w:bookmarkStart w:id="210" w:name="_Toc19161"/>
      <w:r>
        <w:rPr>
          <w:rFonts w:hint="eastAsia" w:ascii="宋体" w:eastAsia="宋体" w:cs="宋体"/>
          <w:color w:val="auto"/>
          <w:highlight w:val="none"/>
        </w:rPr>
        <w:t>3.4 投标保证金</w:t>
      </w:r>
      <w:bookmarkEnd w:id="204"/>
      <w:bookmarkEnd w:id="205"/>
      <w:bookmarkEnd w:id="206"/>
      <w:bookmarkEnd w:id="207"/>
      <w:bookmarkEnd w:id="208"/>
      <w:bookmarkEnd w:id="209"/>
      <w:bookmarkEnd w:id="210"/>
    </w:p>
    <w:p>
      <w:pPr>
        <w:spacing w:line="400" w:lineRule="exact"/>
        <w:ind w:firstLine="420" w:firstLineChars="200"/>
        <w:rPr>
          <w:rFonts w:ascii="宋体" w:hAnsi="宋体"/>
          <w:color w:val="auto"/>
          <w:szCs w:val="21"/>
          <w:highlight w:val="none"/>
        </w:rPr>
      </w:pPr>
      <w:bookmarkStart w:id="211" w:name="_Toc23531"/>
      <w:bookmarkStart w:id="212" w:name="_Toc247527577"/>
      <w:bookmarkStart w:id="213" w:name="_Toc144974520"/>
      <w:bookmarkStart w:id="214" w:name="_Toc247513976"/>
      <w:bookmarkStart w:id="215" w:name="_Toc152045552"/>
      <w:bookmarkStart w:id="216" w:name="_Toc152042328"/>
      <w:r>
        <w:rPr>
          <w:rFonts w:ascii="宋体" w:hAnsi="宋体"/>
          <w:color w:val="auto"/>
          <w:szCs w:val="21"/>
          <w:highlight w:val="none"/>
        </w:rPr>
        <w:t xml:space="preserve">3.4.1 </w:t>
      </w:r>
      <w:r>
        <w:rPr>
          <w:rFonts w:hint="eastAsia" w:ascii="宋体" w:hAnsi="宋体"/>
          <w:color w:val="auto"/>
          <w:szCs w:val="21"/>
          <w:highlight w:val="none"/>
          <w:u w:val="single"/>
        </w:rPr>
        <w:t>投标人应按投标人须知前附表3.4.1所述的规定金额、时间、担保形式递交投标保证金</w:t>
      </w:r>
      <w:r>
        <w:rPr>
          <w:rFonts w:hint="eastAsia" w:ascii="宋体" w:cs="宋体"/>
          <w:color w:val="auto"/>
          <w:szCs w:val="21"/>
          <w:highlight w:val="none"/>
          <w:u w:val="single"/>
        </w:rPr>
        <w:t>，并作为其投标文件的组成部分。</w:t>
      </w:r>
      <w:r>
        <w:rPr>
          <w:rFonts w:hint="eastAsia" w:ascii="宋体" w:hAnsi="宋体"/>
          <w:color w:val="auto"/>
          <w:szCs w:val="21"/>
          <w:highlight w:val="none"/>
          <w:u w:val="single"/>
        </w:rPr>
        <w:t>联合体投标的，其投标保证金由牵头方（或主办方）递交，并应符合投标人须知前附表的规定。</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 xml:space="preserve">3.4.2 </w:t>
      </w:r>
      <w:r>
        <w:rPr>
          <w:rFonts w:hint="eastAsia" w:ascii="宋体" w:hAnsi="宋体"/>
          <w:color w:val="auto"/>
          <w:szCs w:val="21"/>
          <w:highlight w:val="none"/>
        </w:rPr>
        <w:t>投标人不按本章第</w:t>
      </w:r>
      <w:r>
        <w:rPr>
          <w:rFonts w:ascii="宋体" w:hAnsi="宋体"/>
          <w:color w:val="auto"/>
          <w:szCs w:val="21"/>
          <w:highlight w:val="none"/>
        </w:rPr>
        <w:t>3.4.1</w:t>
      </w:r>
      <w:r>
        <w:rPr>
          <w:rFonts w:hint="eastAsia" w:ascii="宋体" w:hAnsi="宋体"/>
          <w:color w:val="auto"/>
          <w:szCs w:val="21"/>
          <w:highlight w:val="none"/>
        </w:rPr>
        <w:t>项要求提交投标保证金的，评标委员会将否决其投标。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3.4.3</w:t>
      </w:r>
      <w:r>
        <w:rPr>
          <w:rFonts w:hint="eastAsia" w:ascii="宋体" w:hAnsi="宋体"/>
          <w:color w:val="auto"/>
          <w:szCs w:val="21"/>
          <w:highlight w:val="none"/>
          <w:u w:val="single"/>
        </w:rPr>
        <w:t>非中标候选人的投标担保将尽快退还，最迟不超过招标人与中标人签定合同后的5个工作日，退还投标保证金及同期银行存款利息。</w:t>
      </w:r>
      <w:bookmarkStart w:id="217" w:name="_Hlk99462939"/>
      <w:r>
        <w:rPr>
          <w:rFonts w:hint="eastAsia" w:ascii="宋体" w:hAnsi="宋体"/>
          <w:color w:val="auto"/>
          <w:szCs w:val="21"/>
          <w:highlight w:val="none"/>
          <w:u w:val="single"/>
        </w:rPr>
        <w:t>中标候选人、中标人的投标保证金，在签署合同并按要求提供了履约担保后予以退还，退还投标保证金及同期银行存款利息。</w:t>
      </w:r>
      <w:bookmarkEnd w:id="217"/>
    </w:p>
    <w:p>
      <w:pPr>
        <w:spacing w:line="400" w:lineRule="exact"/>
        <w:ind w:firstLine="422" w:firstLineChars="200"/>
        <w:rPr>
          <w:rFonts w:ascii="宋体" w:hAnsi="宋体"/>
          <w:b/>
          <w:color w:val="auto"/>
          <w:szCs w:val="21"/>
          <w:highlight w:val="none"/>
        </w:rPr>
      </w:pPr>
      <w:bookmarkStart w:id="218" w:name="_Hlk86186889"/>
      <w:r>
        <w:rPr>
          <w:rFonts w:ascii="宋体" w:hAnsi="宋体"/>
          <w:b/>
          <w:color w:val="auto"/>
          <w:szCs w:val="21"/>
          <w:highlight w:val="none"/>
        </w:rPr>
        <w:t>3.4.</w:t>
      </w:r>
      <w:r>
        <w:rPr>
          <w:rFonts w:hint="eastAsia" w:ascii="宋体" w:hAnsi="宋体"/>
          <w:b/>
          <w:color w:val="auto"/>
          <w:szCs w:val="21"/>
          <w:highlight w:val="none"/>
        </w:rPr>
        <w:t>4有下列情形之一的，投标保证金将不予退还：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（1）投标人在规定的投标有效期内撤销或修改其投标文件；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（2）中标人在收到中标通知书后，无正当理由拒签合同或未按招标文件规定提交履约担保。</w:t>
      </w:r>
      <w:bookmarkEnd w:id="218"/>
    </w:p>
    <w:p>
      <w:pPr>
        <w:pStyle w:val="5"/>
        <w:rPr>
          <w:rFonts w:ascii="宋体" w:eastAsia="宋体" w:cs="宋体"/>
          <w:color w:val="auto"/>
          <w:highlight w:val="none"/>
        </w:rPr>
      </w:pPr>
      <w:bookmarkStart w:id="219" w:name="_Toc24108"/>
      <w:r>
        <w:rPr>
          <w:rFonts w:hint="eastAsia" w:ascii="宋体" w:eastAsia="宋体" w:cs="宋体"/>
          <w:color w:val="auto"/>
          <w:highlight w:val="none"/>
        </w:rPr>
        <w:t>3.5 资格审查资料（适用于未进行资格预审的）</w:t>
      </w:r>
      <w:bookmarkEnd w:id="211"/>
      <w:bookmarkEnd w:id="212"/>
      <w:bookmarkEnd w:id="213"/>
      <w:bookmarkEnd w:id="214"/>
      <w:bookmarkEnd w:id="215"/>
      <w:bookmarkEnd w:id="216"/>
      <w:bookmarkEnd w:id="219"/>
    </w:p>
    <w:p>
      <w:pPr>
        <w:spacing w:line="400" w:lineRule="exact"/>
        <w:ind w:firstLine="420" w:firstLineChars="200"/>
        <w:rPr>
          <w:rFonts w:ascii="新宋体" w:hAnsi="新宋体" w:eastAsia="新宋体" w:cs="新宋体"/>
          <w:color w:val="auto"/>
          <w:highlight w:val="none"/>
          <w:u w:val="single"/>
        </w:rPr>
      </w:pPr>
      <w:r>
        <w:rPr>
          <w:rFonts w:hint="eastAsia" w:ascii="新宋体" w:hAnsi="新宋体" w:eastAsia="新宋体" w:cs="新宋体"/>
          <w:color w:val="auto"/>
          <w:highlight w:val="none"/>
          <w:u w:val="single"/>
        </w:rPr>
        <w:t>资格审查资料要求详见本章3.1.2资格审查文件组成。</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本项目采用电子化资格后审，由</w:t>
      </w:r>
      <w:r>
        <w:rPr>
          <w:rFonts w:hint="eastAsia" w:ascii="宋体" w:hAnsi="宋体" w:cs="宋体"/>
          <w:color w:val="auto"/>
          <w:szCs w:val="21"/>
          <w:highlight w:val="none"/>
          <w:u w:val="single"/>
          <w:lang w:eastAsia="zh-CN"/>
        </w:rPr>
        <w:t>评标委员会</w:t>
      </w:r>
      <w:r>
        <w:rPr>
          <w:rFonts w:hint="eastAsia" w:ascii="宋体" w:hAnsi="宋体" w:cs="宋体"/>
          <w:color w:val="auto"/>
          <w:szCs w:val="21"/>
          <w:highlight w:val="none"/>
          <w:u w:val="single"/>
        </w:rPr>
        <w:t>负责对投标人的资格进行审查，评标时只对通过资格审查的投标人进行下一阶段的评审。</w:t>
      </w:r>
    </w:p>
    <w:p>
      <w:pPr>
        <w:pStyle w:val="5"/>
        <w:rPr>
          <w:rFonts w:ascii="宋体" w:eastAsia="宋体" w:cs="宋体"/>
          <w:color w:val="auto"/>
          <w:highlight w:val="none"/>
        </w:rPr>
      </w:pPr>
      <w:bookmarkStart w:id="220" w:name="_Toc144974521"/>
      <w:bookmarkStart w:id="221" w:name="_Toc247513977"/>
      <w:bookmarkStart w:id="222" w:name="_Toc152045553"/>
      <w:bookmarkStart w:id="223" w:name="_Toc247527578"/>
      <w:bookmarkStart w:id="224" w:name="_Toc27554"/>
      <w:bookmarkStart w:id="225" w:name="_Toc152042329"/>
      <w:bookmarkStart w:id="226" w:name="_Toc20254"/>
      <w:r>
        <w:rPr>
          <w:rFonts w:hint="eastAsia" w:ascii="宋体" w:eastAsia="宋体" w:cs="宋体"/>
          <w:color w:val="auto"/>
          <w:highlight w:val="none"/>
        </w:rPr>
        <w:t>3.6 备选投标方案</w:t>
      </w:r>
      <w:bookmarkEnd w:id="220"/>
      <w:bookmarkEnd w:id="221"/>
      <w:bookmarkEnd w:id="222"/>
      <w:bookmarkEnd w:id="223"/>
      <w:bookmarkEnd w:id="224"/>
      <w:bookmarkEnd w:id="225"/>
      <w:bookmarkEnd w:id="226"/>
    </w:p>
    <w:p>
      <w:pPr>
        <w:spacing w:line="400" w:lineRule="exact"/>
        <w:ind w:firstLine="420" w:firstLineChars="200"/>
        <w:rPr>
          <w:rFonts w:ascii="宋体" w:hAnsi="宋体" w:cs="宋体"/>
          <w:strike/>
          <w:color w:val="auto"/>
          <w:highlight w:val="none"/>
        </w:rPr>
      </w:pPr>
      <w:r>
        <w:rPr>
          <w:rFonts w:hint="eastAsia" w:ascii="宋体" w:hAnsi="宋体" w:cs="宋体"/>
          <w:color w:val="auto"/>
          <w:highlight w:val="none"/>
        </w:rPr>
        <w:t>除投标人须知前附表另有规定外，投标人不得递交备选投标方案。</w:t>
      </w:r>
    </w:p>
    <w:p>
      <w:pPr>
        <w:pStyle w:val="5"/>
        <w:rPr>
          <w:rFonts w:ascii="宋体" w:eastAsia="宋体" w:cs="宋体"/>
          <w:color w:val="auto"/>
          <w:highlight w:val="none"/>
        </w:rPr>
      </w:pPr>
      <w:bookmarkStart w:id="227" w:name="_Toc247513978"/>
      <w:bookmarkStart w:id="228" w:name="_Toc247527579"/>
      <w:bookmarkStart w:id="229" w:name="_Toc152045554"/>
      <w:bookmarkStart w:id="230" w:name="_Toc152042330"/>
      <w:bookmarkStart w:id="231" w:name="_Toc15348"/>
      <w:bookmarkStart w:id="232" w:name="_Toc144974522"/>
      <w:bookmarkStart w:id="233" w:name="_Toc19130"/>
      <w:r>
        <w:rPr>
          <w:rFonts w:hint="eastAsia" w:ascii="宋体" w:eastAsia="宋体" w:cs="宋体"/>
          <w:color w:val="auto"/>
          <w:highlight w:val="none"/>
        </w:rPr>
        <w:t>3.7 投标文件的编制</w:t>
      </w:r>
      <w:bookmarkEnd w:id="227"/>
      <w:bookmarkEnd w:id="228"/>
      <w:bookmarkEnd w:id="229"/>
      <w:bookmarkEnd w:id="230"/>
      <w:bookmarkEnd w:id="231"/>
      <w:bookmarkEnd w:id="232"/>
      <w:bookmarkEnd w:id="23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3.7.1 投标文件应按第七章“投标文件格式”进行编写，如有必要，可以增加附页，作为投标文件的组成部分。其中，在满足招标文件实质性要求的基础上，可以提出比招标文件要求更有利于招标人的承诺。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rPr>
        <w:t>3.7.2 投标文件应当对招标文件有关</w:t>
      </w:r>
      <w:r>
        <w:rPr>
          <w:rFonts w:hint="eastAsia" w:ascii="宋体" w:hAnsi="宋体" w:cs="宋体"/>
          <w:color w:val="auto"/>
          <w:szCs w:val="21"/>
          <w:highlight w:val="none"/>
        </w:rPr>
        <w:t>招标范围、投标有效期、工期、质量标准、发包人要求等实质性内容作出响应。</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highlight w:val="none"/>
        </w:rPr>
        <w:t>3.7.3</w:t>
      </w:r>
      <w:r>
        <w:rPr>
          <w:rFonts w:hint="eastAsia" w:ascii="宋体" w:hAnsi="宋体"/>
          <w:b/>
          <w:color w:val="auto"/>
          <w:highlight w:val="none"/>
        </w:rPr>
        <w:t>投标文件编制要求：</w:t>
      </w:r>
      <w:r>
        <w:rPr>
          <w:rFonts w:hint="eastAsia" w:ascii="宋体" w:hAnsi="宋体"/>
          <w:color w:val="auto"/>
          <w:highlight w:val="none"/>
          <w:u w:val="single"/>
        </w:rPr>
        <w:t>投标文件</w:t>
      </w:r>
      <w:r>
        <w:rPr>
          <w:rFonts w:hint="eastAsia" w:ascii="宋体" w:hAnsi="宋体" w:cs="宋体"/>
          <w:color w:val="auto"/>
          <w:szCs w:val="21"/>
          <w:highlight w:val="none"/>
          <w:u w:val="single"/>
        </w:rPr>
        <w:t>全部采用电子文档，</w:t>
      </w:r>
      <w:r>
        <w:rPr>
          <w:rFonts w:hint="eastAsia" w:ascii="宋体" w:hAnsi="宋体" w:cs="宋体"/>
          <w:color w:val="auto"/>
          <w:kern w:val="1"/>
          <w:szCs w:val="21"/>
          <w:highlight w:val="none"/>
          <w:u w:val="single"/>
        </w:rPr>
        <w:t>投标文件应按广州公共资源交易中心交易平台相关操作指南编制。</w:t>
      </w:r>
      <w:r>
        <w:rPr>
          <w:rFonts w:hint="eastAsia" w:ascii="宋体" w:hAnsi="宋体" w:cs="宋体"/>
          <w:color w:val="auto"/>
          <w:szCs w:val="21"/>
          <w:highlight w:val="none"/>
          <w:u w:val="single"/>
        </w:rPr>
        <w:t>投标文件所附证书证件均为原件清晰扫描件，并采用单位数字证书，按招标文件要求在相应位置加盖电子印章。投标文件中需个人签字或盖章的，应加盖个人电子印章或在线下完成后扫描上传。按照交易平台关于全流程电子化项目的相关指南进行操作，联合体投标的，除联合体协议书需联合体各方同时签字或盖章外，法定代表人证明书及授权委托证明书可由联合体牵头方（或主办方）出具，其中“单位”一栏可只填写联合体牵头方（或主办方）名称，投标文件其他内容及落款中的“投标人”应填写联合体各方的单位全称【格式表示为：(主)XXXX公司(成)XXXX公司】，由联合体</w:t>
      </w:r>
      <w:r>
        <w:rPr>
          <w:rFonts w:hint="eastAsia" w:ascii="宋体" w:hAnsi="宋体" w:cs="宋体"/>
          <w:b/>
          <w:bCs/>
          <w:color w:val="auto"/>
          <w:szCs w:val="21"/>
          <w:highlight w:val="none"/>
          <w:u w:val="single"/>
        </w:rPr>
        <w:t>牵头方（或主办方）</w:t>
      </w:r>
      <w:r>
        <w:rPr>
          <w:rFonts w:hint="eastAsia" w:ascii="宋体" w:hAnsi="宋体" w:cs="宋体"/>
          <w:color w:val="auto"/>
          <w:szCs w:val="21"/>
          <w:highlight w:val="none"/>
          <w:u w:val="single"/>
        </w:rPr>
        <w:t>签字、盖章即可。</w:t>
      </w:r>
    </w:p>
    <w:p>
      <w:pPr>
        <w:pStyle w:val="4"/>
        <w:rPr>
          <w:rFonts w:ascii="宋体" w:hAnsi="宋体" w:eastAsia="宋体" w:cs="宋体"/>
          <w:color w:val="auto"/>
          <w:highlight w:val="none"/>
        </w:rPr>
      </w:pPr>
      <w:bookmarkStart w:id="234" w:name="_Toc16074"/>
      <w:bookmarkStart w:id="235" w:name="_Toc144974523"/>
      <w:bookmarkStart w:id="236" w:name="_Toc152042331"/>
      <w:bookmarkStart w:id="237" w:name="_Toc152045555"/>
      <w:bookmarkStart w:id="238" w:name="_Toc247527580"/>
      <w:bookmarkStart w:id="239" w:name="_Toc247513979"/>
      <w:bookmarkStart w:id="240" w:name="_Toc16128"/>
      <w:r>
        <w:rPr>
          <w:rFonts w:hint="eastAsia" w:ascii="宋体" w:hAnsi="宋体" w:eastAsia="宋体" w:cs="宋体"/>
          <w:color w:val="auto"/>
          <w:highlight w:val="none"/>
        </w:rPr>
        <w:t>4. 投标</w:t>
      </w:r>
      <w:bookmarkEnd w:id="234"/>
      <w:bookmarkEnd w:id="235"/>
      <w:bookmarkEnd w:id="236"/>
      <w:bookmarkEnd w:id="237"/>
      <w:bookmarkEnd w:id="238"/>
      <w:bookmarkEnd w:id="239"/>
      <w:bookmarkEnd w:id="240"/>
    </w:p>
    <w:p>
      <w:pPr>
        <w:pStyle w:val="5"/>
        <w:rPr>
          <w:rFonts w:ascii="宋体" w:eastAsia="宋体" w:cs="宋体"/>
          <w:color w:val="auto"/>
          <w:highlight w:val="none"/>
        </w:rPr>
      </w:pPr>
      <w:bookmarkStart w:id="241" w:name="_Toc152045556"/>
      <w:bookmarkStart w:id="242" w:name="_Toc152042332"/>
      <w:bookmarkStart w:id="243" w:name="_Toc144974524"/>
      <w:bookmarkStart w:id="244" w:name="_Toc247513980"/>
      <w:bookmarkStart w:id="245" w:name="_Toc247527581"/>
      <w:bookmarkStart w:id="246" w:name="_Toc17494"/>
      <w:bookmarkStart w:id="247" w:name="_Toc30096"/>
      <w:r>
        <w:rPr>
          <w:rFonts w:hint="eastAsia" w:ascii="宋体" w:eastAsia="宋体" w:cs="宋体"/>
          <w:color w:val="auto"/>
          <w:highlight w:val="none"/>
        </w:rPr>
        <w:t>4.1 投标文件的</w:t>
      </w:r>
      <w:bookmarkEnd w:id="241"/>
      <w:bookmarkEnd w:id="242"/>
      <w:bookmarkEnd w:id="243"/>
      <w:bookmarkEnd w:id="244"/>
      <w:bookmarkEnd w:id="245"/>
      <w:bookmarkEnd w:id="246"/>
      <w:r>
        <w:rPr>
          <w:rFonts w:hint="eastAsia" w:ascii="宋体" w:eastAsia="宋体" w:cs="宋体"/>
          <w:color w:val="auto"/>
          <w:highlight w:val="none"/>
        </w:rPr>
        <w:t>加密</w:t>
      </w:r>
      <w:bookmarkEnd w:id="247"/>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highlight w:val="none"/>
        </w:rPr>
        <w:t xml:space="preserve">4.1.1 </w:t>
      </w:r>
      <w:r>
        <w:rPr>
          <w:rFonts w:hint="eastAsia" w:ascii="宋体" w:hAnsi="宋体" w:cs="宋体"/>
          <w:color w:val="auto"/>
          <w:szCs w:val="21"/>
          <w:highlight w:val="none"/>
          <w:u w:val="single"/>
        </w:rPr>
        <w:t>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人</w:t>
      </w:r>
      <w:r>
        <w:rPr>
          <w:rFonts w:hint="eastAsia" w:ascii="宋体" w:hAnsi="宋体" w:cs="宋体"/>
          <w:color w:val="auto"/>
          <w:spacing w:val="-2"/>
          <w:szCs w:val="21"/>
          <w:highlight w:val="none"/>
          <w:u w:val="single"/>
        </w:rPr>
        <w:t>应</w:t>
      </w:r>
      <w:r>
        <w:rPr>
          <w:rFonts w:hint="eastAsia" w:ascii="宋体" w:hAnsi="宋体" w:cs="宋体"/>
          <w:color w:val="auto"/>
          <w:szCs w:val="21"/>
          <w:highlight w:val="none"/>
          <w:u w:val="single"/>
        </w:rPr>
        <w:t>当</w:t>
      </w:r>
      <w:r>
        <w:rPr>
          <w:rFonts w:hint="eastAsia" w:ascii="宋体" w:hAnsi="宋体" w:cs="宋体"/>
          <w:color w:val="auto"/>
          <w:spacing w:val="-2"/>
          <w:szCs w:val="21"/>
          <w:highlight w:val="none"/>
          <w:u w:val="single"/>
        </w:rPr>
        <w:t>按</w:t>
      </w:r>
      <w:r>
        <w:rPr>
          <w:rFonts w:hint="eastAsia" w:ascii="宋体" w:hAnsi="宋体" w:cs="宋体"/>
          <w:color w:val="auto"/>
          <w:szCs w:val="21"/>
          <w:highlight w:val="none"/>
          <w:u w:val="single"/>
        </w:rPr>
        <w:t>照招</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和</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w:t>
      </w:r>
      <w:r>
        <w:rPr>
          <w:rFonts w:hint="eastAsia" w:ascii="宋体" w:hAnsi="宋体" w:cs="宋体"/>
          <w:color w:val="auto"/>
          <w:spacing w:val="-2"/>
          <w:szCs w:val="21"/>
          <w:highlight w:val="none"/>
          <w:u w:val="single"/>
        </w:rPr>
        <w:t>招</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标交</w:t>
      </w:r>
      <w:r>
        <w:rPr>
          <w:rFonts w:hint="eastAsia" w:ascii="宋体" w:hAnsi="宋体" w:cs="宋体"/>
          <w:color w:val="auto"/>
          <w:spacing w:val="-2"/>
          <w:szCs w:val="21"/>
          <w:highlight w:val="none"/>
          <w:u w:val="single"/>
        </w:rPr>
        <w:t>易</w:t>
      </w:r>
      <w:r>
        <w:rPr>
          <w:rFonts w:hint="eastAsia" w:ascii="宋体" w:hAnsi="宋体" w:cs="宋体"/>
          <w:color w:val="auto"/>
          <w:szCs w:val="21"/>
          <w:highlight w:val="none"/>
          <w:u w:val="single"/>
        </w:rPr>
        <w:t>平</w:t>
      </w:r>
      <w:r>
        <w:rPr>
          <w:rFonts w:hint="eastAsia" w:ascii="宋体" w:hAnsi="宋体" w:cs="宋体"/>
          <w:color w:val="auto"/>
          <w:spacing w:val="-2"/>
          <w:szCs w:val="21"/>
          <w:highlight w:val="none"/>
          <w:u w:val="single"/>
        </w:rPr>
        <w:t>台</w:t>
      </w:r>
      <w:r>
        <w:rPr>
          <w:rFonts w:hint="eastAsia" w:ascii="宋体" w:hAnsi="宋体" w:cs="宋体"/>
          <w:color w:val="auto"/>
          <w:szCs w:val="21"/>
          <w:highlight w:val="none"/>
          <w:u w:val="single"/>
        </w:rPr>
        <w:t>的</w:t>
      </w:r>
      <w:r>
        <w:rPr>
          <w:rFonts w:hint="eastAsia" w:ascii="宋体" w:hAnsi="宋体" w:cs="宋体"/>
          <w:color w:val="auto"/>
          <w:spacing w:val="-2"/>
          <w:szCs w:val="21"/>
          <w:highlight w:val="none"/>
          <w:u w:val="single"/>
        </w:rPr>
        <w:t>要</w:t>
      </w:r>
      <w:r>
        <w:rPr>
          <w:rFonts w:hint="eastAsia" w:ascii="宋体" w:hAnsi="宋体" w:cs="宋体"/>
          <w:color w:val="auto"/>
          <w:szCs w:val="21"/>
          <w:highlight w:val="none"/>
          <w:u w:val="single"/>
        </w:rPr>
        <w:t>求</w:t>
      </w:r>
      <w:r>
        <w:rPr>
          <w:rFonts w:hint="eastAsia" w:ascii="宋体" w:hAnsi="宋体" w:cs="宋体"/>
          <w:color w:val="auto"/>
          <w:spacing w:val="-2"/>
          <w:szCs w:val="21"/>
          <w:highlight w:val="none"/>
          <w:u w:val="single"/>
        </w:rPr>
        <w:t>加</w:t>
      </w:r>
      <w:r>
        <w:rPr>
          <w:rFonts w:hint="eastAsia" w:ascii="宋体" w:hAnsi="宋体" w:cs="宋体"/>
          <w:color w:val="auto"/>
          <w:szCs w:val="21"/>
          <w:highlight w:val="none"/>
          <w:u w:val="single"/>
        </w:rPr>
        <w:t>密</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具体操作详见：广州公共资源交易中心网站</w:t>
      </w:r>
      <w:r>
        <w:rPr>
          <w:rFonts w:hint="eastAsia" w:ascii="宋体" w:hAnsi="宋体" w:cs="宋体"/>
          <w:bCs/>
          <w:color w:val="auto"/>
          <w:szCs w:val="21"/>
          <w:highlight w:val="none"/>
          <w:u w:val="single"/>
        </w:rPr>
        <w:t>关于《房屋建筑和市政基础设施工程全流程电子化项目专章》的相关指南进行操作。</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u w:val="single"/>
        </w:rPr>
        <w:t>4.1</w:t>
      </w:r>
      <w:r>
        <w:rPr>
          <w:rFonts w:ascii="宋体" w:hAnsi="宋体" w:cs="宋体"/>
          <w:bCs/>
          <w:color w:val="auto"/>
          <w:szCs w:val="21"/>
          <w:highlight w:val="none"/>
          <w:u w:val="single"/>
        </w:rPr>
        <w:t>.2</w:t>
      </w:r>
      <w:r>
        <w:rPr>
          <w:rFonts w:ascii="宋体" w:hAnsi="宋体" w:cs="宋体"/>
          <w:color w:val="auto"/>
          <w:kern w:val="1"/>
          <w:highlight w:val="none"/>
          <w:u w:val="single"/>
        </w:rPr>
        <w:t xml:space="preserve"> </w:t>
      </w:r>
      <w:r>
        <w:rPr>
          <w:rFonts w:hint="eastAsia" w:ascii="宋体" w:hAnsi="宋体" w:cs="宋体"/>
          <w:b/>
          <w:bCs/>
          <w:color w:val="auto"/>
          <w:szCs w:val="21"/>
          <w:highlight w:val="none"/>
          <w:u w:val="single"/>
        </w:rPr>
        <w:t>未按本章第4.1.1项要求加密的电子投标文件，广州公共资源交易中心交易平台将予以拒收。</w:t>
      </w:r>
    </w:p>
    <w:p>
      <w:pPr>
        <w:spacing w:line="360" w:lineRule="auto"/>
        <w:ind w:firstLine="420" w:firstLineChars="200"/>
        <w:rPr>
          <w:rFonts w:ascii="宋体" w:hAnsi="宋体" w:cs="宋体"/>
          <w:b/>
          <w:bCs/>
          <w:color w:val="auto"/>
          <w:szCs w:val="21"/>
          <w:highlight w:val="none"/>
          <w:u w:val="single"/>
        </w:rPr>
      </w:pPr>
      <w:r>
        <w:rPr>
          <w:rFonts w:hint="eastAsia" w:ascii="宋体" w:hAnsi="宋体" w:cs="宋体"/>
          <w:bCs/>
          <w:color w:val="auto"/>
          <w:szCs w:val="21"/>
          <w:highlight w:val="none"/>
          <w:u w:val="single"/>
        </w:rPr>
        <w:t>4.1</w:t>
      </w:r>
      <w:r>
        <w:rPr>
          <w:rFonts w:ascii="宋体" w:hAnsi="宋体" w:cs="宋体"/>
          <w:bCs/>
          <w:color w:val="auto"/>
          <w:szCs w:val="21"/>
          <w:highlight w:val="none"/>
          <w:u w:val="single"/>
        </w:rPr>
        <w:t>.</w:t>
      </w:r>
      <w:r>
        <w:rPr>
          <w:rFonts w:hint="eastAsia" w:ascii="宋体" w:hAnsi="宋体" w:cs="宋体"/>
          <w:bCs/>
          <w:color w:val="auto"/>
          <w:szCs w:val="21"/>
          <w:highlight w:val="none"/>
          <w:u w:val="single"/>
        </w:rPr>
        <w:t>3</w:t>
      </w:r>
      <w:r>
        <w:rPr>
          <w:rFonts w:hint="eastAsia" w:ascii="宋体" w:hAnsi="宋体" w:cs="宋体"/>
          <w:color w:val="auto"/>
          <w:kern w:val="1"/>
          <w:highlight w:val="none"/>
          <w:u w:val="single"/>
        </w:rPr>
        <w:t>如有提交备用电子投标文件，封套上应写明的内容见投标人须知前附表。</w:t>
      </w:r>
    </w:p>
    <w:p>
      <w:pPr>
        <w:spacing w:line="360" w:lineRule="auto"/>
        <w:ind w:firstLine="420"/>
        <w:rPr>
          <w:rFonts w:ascii="宋体" w:hAnsi="宋体" w:cs="宋体"/>
          <w:color w:val="auto"/>
          <w:kern w:val="1"/>
          <w:highlight w:val="none"/>
          <w:u w:val="single"/>
        </w:rPr>
      </w:pPr>
      <w:r>
        <w:rPr>
          <w:rFonts w:ascii="宋体" w:hAnsi="宋体" w:cs="宋体"/>
          <w:color w:val="auto"/>
          <w:kern w:val="1"/>
          <w:highlight w:val="none"/>
          <w:u w:val="single"/>
        </w:rPr>
        <w:t>4.1.</w:t>
      </w:r>
      <w:r>
        <w:rPr>
          <w:rFonts w:hint="eastAsia" w:ascii="宋体" w:hAnsi="宋体" w:cs="宋体"/>
          <w:color w:val="auto"/>
          <w:kern w:val="1"/>
          <w:highlight w:val="none"/>
          <w:u w:val="single"/>
        </w:rPr>
        <w:t>4</w:t>
      </w:r>
      <w:r>
        <w:rPr>
          <w:rFonts w:ascii="宋体" w:hAnsi="宋体" w:cs="宋体"/>
          <w:color w:val="auto"/>
          <w:kern w:val="1"/>
          <w:highlight w:val="none"/>
          <w:u w:val="single"/>
        </w:rPr>
        <w:t>投标人在投标截止期后逾期或未在指定地点递交备用电子投标文件的，或投标人递交的备用电子投标文件未按招标文件要求密封或未在密封处盖章的，或投标人</w:t>
      </w:r>
      <w:r>
        <w:rPr>
          <w:rFonts w:hint="eastAsia" w:ascii="宋体" w:hAnsi="宋体" w:cs="宋体"/>
          <w:color w:val="auto"/>
          <w:kern w:val="1"/>
          <w:highlight w:val="none"/>
          <w:u w:val="single"/>
        </w:rPr>
        <w:t>代表未凭法定代表人证明书原件、授权委托书原件（仅限于非法定代表人）、被授权人身份证原件按要求递交备用电子投标文件的，招标人将予以拒收。</w:t>
      </w:r>
    </w:p>
    <w:p>
      <w:pPr>
        <w:pStyle w:val="5"/>
        <w:rPr>
          <w:rFonts w:ascii="宋体" w:eastAsia="宋体" w:cs="宋体"/>
          <w:color w:val="auto"/>
          <w:highlight w:val="none"/>
        </w:rPr>
      </w:pPr>
      <w:bookmarkStart w:id="248" w:name="_Toc32173"/>
      <w:bookmarkStart w:id="249" w:name="_Toc247513981"/>
      <w:bookmarkStart w:id="250" w:name="_Toc152045557"/>
      <w:bookmarkStart w:id="251" w:name="_Toc247527582"/>
      <w:bookmarkStart w:id="252" w:name="_Toc3388"/>
      <w:bookmarkStart w:id="253" w:name="_Toc152042333"/>
      <w:bookmarkStart w:id="254" w:name="_Toc144974525"/>
      <w:r>
        <w:rPr>
          <w:rFonts w:hint="eastAsia" w:ascii="宋体" w:eastAsia="宋体" w:cs="宋体"/>
          <w:color w:val="auto"/>
          <w:highlight w:val="none"/>
        </w:rPr>
        <w:t>4.2 投标文件的递交</w:t>
      </w:r>
      <w:bookmarkEnd w:id="248"/>
      <w:bookmarkEnd w:id="249"/>
      <w:bookmarkEnd w:id="250"/>
      <w:bookmarkEnd w:id="251"/>
      <w:bookmarkEnd w:id="252"/>
      <w:bookmarkEnd w:id="253"/>
      <w:bookmarkEnd w:id="254"/>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4.2.1 投标人应在投标人须知前附表第2.2.2项规定的投标截止时间前递交投标文件。</w:t>
      </w:r>
      <w:r>
        <w:rPr>
          <w:rFonts w:hint="eastAsia" w:ascii="宋体" w:hAnsi="宋体" w:cs="宋体"/>
          <w:bCs/>
          <w:color w:val="auto"/>
          <w:szCs w:val="21"/>
          <w:highlight w:val="none"/>
          <w:u w:val="single"/>
        </w:rPr>
        <w:t>投标人通过广州公共资源交易中心交易平台递交电子投标文件。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4.2.2 投标人递交投标文件的地点：见投标人须知前附表。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4.2.3 除投标人须知前附表另有规定外，投标人所递交的投标文件不予退还。</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4.2.4 </w:t>
      </w:r>
      <w:r>
        <w:rPr>
          <w:rFonts w:hint="eastAsia" w:ascii="宋体" w:hAnsi="宋体" w:cs="宋体"/>
          <w:color w:val="auto"/>
          <w:szCs w:val="21"/>
          <w:highlight w:val="none"/>
          <w:u w:val="single"/>
        </w:rPr>
        <w:t>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人</w:t>
      </w:r>
      <w:r>
        <w:rPr>
          <w:rFonts w:hint="eastAsia" w:ascii="宋体" w:hAnsi="宋体" w:cs="宋体"/>
          <w:color w:val="auto"/>
          <w:spacing w:val="-2"/>
          <w:szCs w:val="21"/>
          <w:highlight w:val="none"/>
          <w:u w:val="single"/>
        </w:rPr>
        <w:t>完</w:t>
      </w:r>
      <w:r>
        <w:rPr>
          <w:rFonts w:hint="eastAsia" w:ascii="宋体" w:hAnsi="宋体" w:cs="宋体"/>
          <w:color w:val="auto"/>
          <w:szCs w:val="21"/>
          <w:highlight w:val="none"/>
          <w:u w:val="single"/>
        </w:rPr>
        <w:t>成</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上</w:t>
      </w:r>
      <w:r>
        <w:rPr>
          <w:rFonts w:hint="eastAsia" w:ascii="宋体" w:hAnsi="宋体" w:cs="宋体"/>
          <w:color w:val="auto"/>
          <w:spacing w:val="-2"/>
          <w:szCs w:val="21"/>
          <w:highlight w:val="none"/>
          <w:u w:val="single"/>
        </w:rPr>
        <w:t>传</w:t>
      </w:r>
      <w:r>
        <w:rPr>
          <w:rFonts w:hint="eastAsia" w:ascii="宋体" w:hAnsi="宋体" w:cs="宋体"/>
          <w:color w:val="auto"/>
          <w:szCs w:val="21"/>
          <w:highlight w:val="none"/>
          <w:u w:val="single"/>
        </w:rPr>
        <w:t>后</w:t>
      </w:r>
      <w:r>
        <w:rPr>
          <w:rFonts w:hint="eastAsia" w:ascii="宋体" w:hAnsi="宋体" w:cs="宋体"/>
          <w:color w:val="auto"/>
          <w:spacing w:val="-5"/>
          <w:szCs w:val="21"/>
          <w:highlight w:val="none"/>
          <w:u w:val="single"/>
        </w:rPr>
        <w:t>，</w:t>
      </w:r>
      <w:r>
        <w:rPr>
          <w:rFonts w:hint="eastAsia" w:ascii="宋体" w:hAnsi="宋体" w:cs="宋体"/>
          <w:bCs/>
          <w:color w:val="auto"/>
          <w:szCs w:val="21"/>
          <w:highlight w:val="none"/>
          <w:u w:val="single"/>
        </w:rPr>
        <w:t>广州公共资源交易中心交易平台</w:t>
      </w:r>
      <w:r>
        <w:rPr>
          <w:rFonts w:hint="eastAsia" w:ascii="宋体" w:hAnsi="宋体" w:cs="宋体"/>
          <w:color w:val="auto"/>
          <w:spacing w:val="-2"/>
          <w:szCs w:val="21"/>
          <w:highlight w:val="none"/>
          <w:u w:val="single"/>
        </w:rPr>
        <w:t>即</w:t>
      </w:r>
      <w:r>
        <w:rPr>
          <w:rFonts w:hint="eastAsia" w:ascii="宋体" w:hAnsi="宋体" w:cs="宋体"/>
          <w:color w:val="auto"/>
          <w:szCs w:val="21"/>
          <w:highlight w:val="none"/>
          <w:u w:val="single"/>
        </w:rPr>
        <w:t>时</w:t>
      </w:r>
      <w:r>
        <w:rPr>
          <w:rFonts w:hint="eastAsia" w:ascii="宋体" w:hAnsi="宋体" w:cs="宋体"/>
          <w:color w:val="auto"/>
          <w:spacing w:val="-2"/>
          <w:szCs w:val="21"/>
          <w:highlight w:val="none"/>
          <w:u w:val="single"/>
        </w:rPr>
        <w:t>向</w:t>
      </w:r>
      <w:r>
        <w:rPr>
          <w:rFonts w:hint="eastAsia" w:ascii="宋体" w:hAnsi="宋体" w:cs="宋体"/>
          <w:color w:val="auto"/>
          <w:szCs w:val="21"/>
          <w:highlight w:val="none"/>
          <w:u w:val="single"/>
        </w:rPr>
        <w:t>投标</w:t>
      </w:r>
      <w:r>
        <w:rPr>
          <w:rFonts w:hint="eastAsia" w:ascii="宋体" w:hAnsi="宋体" w:cs="宋体"/>
          <w:color w:val="auto"/>
          <w:spacing w:val="-2"/>
          <w:szCs w:val="21"/>
          <w:highlight w:val="none"/>
          <w:u w:val="single"/>
        </w:rPr>
        <w:t>人</w:t>
      </w:r>
      <w:r>
        <w:rPr>
          <w:rFonts w:hint="eastAsia" w:ascii="宋体" w:hAnsi="宋体" w:cs="宋体"/>
          <w:color w:val="auto"/>
          <w:szCs w:val="21"/>
          <w:highlight w:val="none"/>
          <w:u w:val="single"/>
        </w:rPr>
        <w:t>发</w:t>
      </w:r>
      <w:r>
        <w:rPr>
          <w:rFonts w:hint="eastAsia" w:ascii="宋体" w:hAnsi="宋体" w:cs="宋体"/>
          <w:color w:val="auto"/>
          <w:spacing w:val="-2"/>
          <w:szCs w:val="21"/>
          <w:highlight w:val="none"/>
          <w:u w:val="single"/>
        </w:rPr>
        <w:t>出</w:t>
      </w:r>
      <w:r>
        <w:rPr>
          <w:rFonts w:hint="eastAsia" w:ascii="宋体" w:hAnsi="宋体" w:cs="宋体"/>
          <w:color w:val="auto"/>
          <w:szCs w:val="21"/>
          <w:highlight w:val="none"/>
          <w:u w:val="single"/>
        </w:rPr>
        <w:t>递交回</w:t>
      </w:r>
      <w:r>
        <w:rPr>
          <w:rFonts w:hint="eastAsia" w:ascii="宋体" w:hAnsi="宋体" w:cs="宋体"/>
          <w:color w:val="auto"/>
          <w:spacing w:val="-2"/>
          <w:szCs w:val="21"/>
          <w:highlight w:val="none"/>
          <w:u w:val="single"/>
        </w:rPr>
        <w:t>执</w:t>
      </w:r>
      <w:r>
        <w:rPr>
          <w:rFonts w:hint="eastAsia" w:ascii="宋体" w:hAnsi="宋体" w:cs="宋体"/>
          <w:color w:val="auto"/>
          <w:szCs w:val="21"/>
          <w:highlight w:val="none"/>
          <w:u w:val="single"/>
        </w:rPr>
        <w:t>通</w:t>
      </w:r>
      <w:r>
        <w:rPr>
          <w:rFonts w:hint="eastAsia" w:ascii="宋体" w:hAnsi="宋体" w:cs="宋体"/>
          <w:color w:val="auto"/>
          <w:spacing w:val="-3"/>
          <w:szCs w:val="21"/>
          <w:highlight w:val="none"/>
          <w:u w:val="single"/>
        </w:rPr>
        <w:t>知</w:t>
      </w:r>
      <w:r>
        <w:rPr>
          <w:rFonts w:hint="eastAsia" w:ascii="宋体" w:hAnsi="宋体" w:cs="宋体"/>
          <w:color w:val="auto"/>
          <w:szCs w:val="21"/>
          <w:highlight w:val="none"/>
          <w:u w:val="single"/>
        </w:rPr>
        <w:t>。</w:t>
      </w:r>
      <w:r>
        <w:rPr>
          <w:rFonts w:hint="eastAsia" w:ascii="宋体" w:hAnsi="宋体" w:cs="宋体"/>
          <w:color w:val="auto"/>
          <w:spacing w:val="-2"/>
          <w:szCs w:val="21"/>
          <w:highlight w:val="none"/>
          <w:u w:val="single"/>
        </w:rPr>
        <w:t>递</w:t>
      </w:r>
      <w:r>
        <w:rPr>
          <w:rFonts w:hint="eastAsia" w:ascii="宋体" w:hAnsi="宋体" w:cs="宋体"/>
          <w:color w:val="auto"/>
          <w:szCs w:val="21"/>
          <w:highlight w:val="none"/>
          <w:u w:val="single"/>
        </w:rPr>
        <w:t>交</w:t>
      </w:r>
      <w:r>
        <w:rPr>
          <w:rFonts w:hint="eastAsia" w:ascii="宋体" w:hAnsi="宋体" w:cs="宋体"/>
          <w:color w:val="auto"/>
          <w:spacing w:val="-2"/>
          <w:szCs w:val="21"/>
          <w:highlight w:val="none"/>
          <w:u w:val="single"/>
        </w:rPr>
        <w:t>时</w:t>
      </w:r>
      <w:r>
        <w:rPr>
          <w:rFonts w:hint="eastAsia" w:ascii="宋体" w:hAnsi="宋体" w:cs="宋体"/>
          <w:color w:val="auto"/>
          <w:szCs w:val="21"/>
          <w:highlight w:val="none"/>
          <w:u w:val="single"/>
        </w:rPr>
        <w:t>间</w:t>
      </w:r>
      <w:r>
        <w:rPr>
          <w:rFonts w:hint="eastAsia" w:ascii="宋体" w:hAnsi="宋体" w:cs="宋体"/>
          <w:color w:val="auto"/>
          <w:spacing w:val="-2"/>
          <w:szCs w:val="21"/>
          <w:highlight w:val="none"/>
          <w:u w:val="single"/>
        </w:rPr>
        <w:t>以</w:t>
      </w:r>
      <w:r>
        <w:rPr>
          <w:rFonts w:hint="eastAsia" w:ascii="宋体" w:hAnsi="宋体" w:cs="宋体"/>
          <w:color w:val="auto"/>
          <w:szCs w:val="21"/>
          <w:highlight w:val="none"/>
          <w:u w:val="single"/>
        </w:rPr>
        <w:t>递交</w:t>
      </w:r>
      <w:r>
        <w:rPr>
          <w:rFonts w:hint="eastAsia" w:ascii="宋体" w:hAnsi="宋体" w:cs="宋体"/>
          <w:color w:val="auto"/>
          <w:spacing w:val="-2"/>
          <w:szCs w:val="21"/>
          <w:highlight w:val="none"/>
          <w:u w:val="single"/>
        </w:rPr>
        <w:t>回</w:t>
      </w:r>
      <w:r>
        <w:rPr>
          <w:rFonts w:hint="eastAsia" w:ascii="宋体" w:hAnsi="宋体" w:cs="宋体"/>
          <w:color w:val="auto"/>
          <w:szCs w:val="21"/>
          <w:highlight w:val="none"/>
          <w:u w:val="single"/>
        </w:rPr>
        <w:t>执</w:t>
      </w:r>
      <w:r>
        <w:rPr>
          <w:rFonts w:hint="eastAsia" w:ascii="宋体" w:hAnsi="宋体" w:cs="宋体"/>
          <w:color w:val="auto"/>
          <w:spacing w:val="-2"/>
          <w:szCs w:val="21"/>
          <w:highlight w:val="none"/>
          <w:u w:val="single"/>
        </w:rPr>
        <w:t>通</w:t>
      </w:r>
      <w:r>
        <w:rPr>
          <w:rFonts w:hint="eastAsia" w:ascii="宋体" w:hAnsi="宋体" w:cs="宋体"/>
          <w:color w:val="auto"/>
          <w:szCs w:val="21"/>
          <w:highlight w:val="none"/>
          <w:u w:val="single"/>
        </w:rPr>
        <w:t>知</w:t>
      </w:r>
      <w:r>
        <w:rPr>
          <w:rFonts w:hint="eastAsia" w:ascii="宋体" w:hAnsi="宋体" w:cs="宋体"/>
          <w:color w:val="auto"/>
          <w:spacing w:val="-2"/>
          <w:szCs w:val="21"/>
          <w:highlight w:val="none"/>
          <w:u w:val="single"/>
        </w:rPr>
        <w:t>载</w:t>
      </w:r>
      <w:r>
        <w:rPr>
          <w:rFonts w:hint="eastAsia" w:ascii="宋体" w:hAnsi="宋体" w:cs="宋体"/>
          <w:color w:val="auto"/>
          <w:szCs w:val="21"/>
          <w:highlight w:val="none"/>
          <w:u w:val="single"/>
        </w:rPr>
        <w:t>明</w:t>
      </w:r>
      <w:r>
        <w:rPr>
          <w:rFonts w:hint="eastAsia" w:ascii="宋体" w:hAnsi="宋体" w:cs="宋体"/>
          <w:color w:val="auto"/>
          <w:spacing w:val="-2"/>
          <w:szCs w:val="21"/>
          <w:highlight w:val="none"/>
          <w:u w:val="single"/>
        </w:rPr>
        <w:t>的</w:t>
      </w:r>
      <w:r>
        <w:rPr>
          <w:rFonts w:hint="eastAsia" w:ascii="宋体" w:hAnsi="宋体" w:cs="宋体"/>
          <w:color w:val="auto"/>
          <w:szCs w:val="21"/>
          <w:highlight w:val="none"/>
          <w:u w:val="single"/>
        </w:rPr>
        <w:t>传</w:t>
      </w:r>
      <w:r>
        <w:rPr>
          <w:rFonts w:hint="eastAsia" w:ascii="宋体" w:hAnsi="宋体" w:cs="宋体"/>
          <w:color w:val="auto"/>
          <w:spacing w:val="-2"/>
          <w:szCs w:val="21"/>
          <w:highlight w:val="none"/>
          <w:u w:val="single"/>
        </w:rPr>
        <w:t>输</w:t>
      </w:r>
      <w:r>
        <w:rPr>
          <w:rFonts w:hint="eastAsia" w:ascii="宋体" w:hAnsi="宋体" w:cs="宋体"/>
          <w:color w:val="auto"/>
          <w:szCs w:val="21"/>
          <w:highlight w:val="none"/>
          <w:u w:val="single"/>
        </w:rPr>
        <w:t>完成</w:t>
      </w:r>
      <w:r>
        <w:rPr>
          <w:rFonts w:hint="eastAsia" w:ascii="宋体" w:hAnsi="宋体" w:cs="宋体"/>
          <w:color w:val="auto"/>
          <w:spacing w:val="-2"/>
          <w:szCs w:val="21"/>
          <w:highlight w:val="none"/>
          <w:u w:val="single"/>
        </w:rPr>
        <w:t>时</w:t>
      </w:r>
      <w:r>
        <w:rPr>
          <w:rFonts w:hint="eastAsia" w:ascii="宋体" w:hAnsi="宋体" w:cs="宋体"/>
          <w:color w:val="auto"/>
          <w:szCs w:val="21"/>
          <w:highlight w:val="none"/>
          <w:u w:val="single"/>
        </w:rPr>
        <w:t>间</w:t>
      </w:r>
      <w:r>
        <w:rPr>
          <w:rFonts w:hint="eastAsia" w:ascii="宋体" w:hAnsi="宋体" w:cs="宋体"/>
          <w:color w:val="auto"/>
          <w:spacing w:val="-2"/>
          <w:szCs w:val="21"/>
          <w:highlight w:val="none"/>
          <w:u w:val="single"/>
        </w:rPr>
        <w:t>为</w:t>
      </w:r>
      <w:r>
        <w:rPr>
          <w:rFonts w:hint="eastAsia" w:ascii="宋体" w:hAnsi="宋体" w:cs="宋体"/>
          <w:color w:val="auto"/>
          <w:szCs w:val="21"/>
          <w:highlight w:val="none"/>
          <w:u w:val="single"/>
        </w:rPr>
        <w:t>准</w:t>
      </w:r>
      <w:r>
        <w:rPr>
          <w:rFonts w:hint="eastAsia" w:ascii="宋体" w:hAnsi="宋体" w:cs="宋体"/>
          <w:color w:val="auto"/>
          <w:highlight w:val="none"/>
        </w:rPr>
        <w:t>。</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4.2.5 </w:t>
      </w:r>
      <w:r>
        <w:rPr>
          <w:rFonts w:hint="eastAsia" w:ascii="宋体" w:hAnsi="宋体" w:cs="宋体"/>
          <w:color w:val="auto"/>
          <w:spacing w:val="-2"/>
          <w:szCs w:val="21"/>
          <w:highlight w:val="none"/>
          <w:u w:val="single"/>
        </w:rPr>
        <w:t>逾</w:t>
      </w:r>
      <w:r>
        <w:rPr>
          <w:rFonts w:hint="eastAsia" w:ascii="宋体" w:hAnsi="宋体" w:cs="宋体"/>
          <w:color w:val="auto"/>
          <w:szCs w:val="21"/>
          <w:highlight w:val="none"/>
          <w:u w:val="single"/>
        </w:rPr>
        <w:t>期</w:t>
      </w:r>
      <w:r>
        <w:rPr>
          <w:rFonts w:hint="eastAsia" w:ascii="宋体" w:hAnsi="宋体" w:cs="宋体"/>
          <w:color w:val="auto"/>
          <w:spacing w:val="-2"/>
          <w:szCs w:val="21"/>
          <w:highlight w:val="none"/>
          <w:u w:val="single"/>
        </w:rPr>
        <w:t>送</w:t>
      </w:r>
      <w:r>
        <w:rPr>
          <w:rFonts w:hint="eastAsia" w:ascii="宋体" w:hAnsi="宋体" w:cs="宋体"/>
          <w:color w:val="auto"/>
          <w:szCs w:val="21"/>
          <w:highlight w:val="none"/>
          <w:u w:val="single"/>
        </w:rPr>
        <w:t>达</w:t>
      </w:r>
      <w:r>
        <w:rPr>
          <w:rFonts w:hint="eastAsia" w:ascii="宋体" w:hAnsi="宋体" w:cs="宋体"/>
          <w:color w:val="auto"/>
          <w:spacing w:val="-2"/>
          <w:szCs w:val="21"/>
          <w:highlight w:val="none"/>
          <w:u w:val="single"/>
        </w:rPr>
        <w:t>的投</w:t>
      </w:r>
      <w:r>
        <w:rPr>
          <w:rFonts w:hint="eastAsia" w:ascii="宋体" w:hAnsi="宋体" w:cs="宋体"/>
          <w:color w:val="auto"/>
          <w:szCs w:val="21"/>
          <w:highlight w:val="none"/>
          <w:u w:val="single"/>
        </w:rPr>
        <w:t>标文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w:t>
      </w:r>
      <w:r>
        <w:rPr>
          <w:rFonts w:hint="eastAsia" w:ascii="宋体" w:hAnsi="宋体" w:cs="宋体"/>
          <w:bCs/>
          <w:color w:val="auto"/>
          <w:szCs w:val="21"/>
          <w:highlight w:val="none"/>
          <w:u w:val="single"/>
        </w:rPr>
        <w:t>广州公共资源交易中心交易平台</w:t>
      </w:r>
      <w:r>
        <w:rPr>
          <w:rFonts w:hint="eastAsia" w:ascii="宋体" w:hAnsi="宋体" w:cs="宋体"/>
          <w:color w:val="auto"/>
          <w:szCs w:val="21"/>
          <w:highlight w:val="none"/>
          <w:u w:val="single"/>
        </w:rPr>
        <w:t>将</w:t>
      </w:r>
      <w:r>
        <w:rPr>
          <w:rFonts w:hint="eastAsia" w:ascii="宋体" w:hAnsi="宋体" w:cs="宋体"/>
          <w:color w:val="auto"/>
          <w:spacing w:val="-2"/>
          <w:szCs w:val="21"/>
          <w:highlight w:val="none"/>
          <w:u w:val="single"/>
        </w:rPr>
        <w:t>予</w:t>
      </w:r>
      <w:r>
        <w:rPr>
          <w:rFonts w:hint="eastAsia" w:ascii="宋体" w:hAnsi="宋体" w:cs="宋体"/>
          <w:color w:val="auto"/>
          <w:szCs w:val="21"/>
          <w:highlight w:val="none"/>
          <w:u w:val="single"/>
        </w:rPr>
        <w:t>以</w:t>
      </w:r>
      <w:r>
        <w:rPr>
          <w:rFonts w:hint="eastAsia" w:ascii="宋体" w:hAnsi="宋体" w:cs="宋体"/>
          <w:color w:val="auto"/>
          <w:spacing w:val="-2"/>
          <w:szCs w:val="21"/>
          <w:highlight w:val="none"/>
          <w:u w:val="single"/>
        </w:rPr>
        <w:t>拒</w:t>
      </w:r>
      <w:r>
        <w:rPr>
          <w:rFonts w:hint="eastAsia" w:ascii="宋体" w:hAnsi="宋体" w:cs="宋体"/>
          <w:color w:val="auto"/>
          <w:szCs w:val="21"/>
          <w:highlight w:val="none"/>
          <w:u w:val="single"/>
        </w:rPr>
        <w:t>收</w:t>
      </w:r>
      <w:r>
        <w:rPr>
          <w:rFonts w:hint="eastAsia" w:ascii="宋体" w:hAnsi="宋体" w:cs="宋体"/>
          <w:color w:val="auto"/>
          <w:highlight w:val="none"/>
        </w:rPr>
        <w:t>。</w:t>
      </w:r>
    </w:p>
    <w:p>
      <w:pPr>
        <w:spacing w:line="400" w:lineRule="exact"/>
        <w:ind w:firstLine="420" w:firstLineChars="200"/>
        <w:rPr>
          <w:rFonts w:ascii="宋体" w:hAnsi="宋体" w:cs="宋体"/>
          <w:color w:val="auto"/>
          <w:szCs w:val="21"/>
          <w:highlight w:val="none"/>
          <w:u w:val="single"/>
        </w:rPr>
      </w:pPr>
      <w:r>
        <w:rPr>
          <w:rFonts w:ascii="宋体" w:hAnsi="宋体" w:cs="宋体"/>
          <w:color w:val="auto"/>
          <w:highlight w:val="none"/>
          <w:u w:val="single"/>
        </w:rPr>
        <w:t>4.</w:t>
      </w:r>
      <w:r>
        <w:rPr>
          <w:rFonts w:hint="eastAsia" w:ascii="宋体" w:hAnsi="宋体" w:cs="宋体"/>
          <w:color w:val="auto"/>
          <w:highlight w:val="none"/>
          <w:u w:val="single"/>
        </w:rPr>
        <w:t>2</w:t>
      </w:r>
      <w:r>
        <w:rPr>
          <w:rFonts w:ascii="宋体" w:hAnsi="宋体" w:cs="宋体"/>
          <w:color w:val="auto"/>
          <w:highlight w:val="none"/>
          <w:u w:val="single"/>
        </w:rPr>
        <w:t>.6</w:t>
      </w:r>
      <w:r>
        <w:rPr>
          <w:rFonts w:hint="eastAsia" w:ascii="宋体" w:hAnsi="宋体" w:cs="宋体"/>
          <w:color w:val="auto"/>
          <w:highlight w:val="none"/>
          <w:u w:val="single"/>
        </w:rPr>
        <w:t>到投标截止时间止，若电子招标投标交易平台收到的投标文件少于3家的，本项目招标失败，将依法重新招标</w:t>
      </w:r>
      <w:r>
        <w:rPr>
          <w:rFonts w:hint="eastAsia" w:ascii="宋体" w:hAnsi="宋体" w:cs="宋体"/>
          <w:color w:val="auto"/>
          <w:szCs w:val="21"/>
          <w:highlight w:val="none"/>
          <w:u w:val="single"/>
        </w:rPr>
        <w:t>。</w:t>
      </w:r>
    </w:p>
    <w:p>
      <w:pPr>
        <w:pStyle w:val="5"/>
        <w:rPr>
          <w:rFonts w:ascii="宋体" w:eastAsia="宋体" w:cs="宋体"/>
          <w:color w:val="auto"/>
          <w:highlight w:val="none"/>
        </w:rPr>
      </w:pPr>
      <w:bookmarkStart w:id="255" w:name="_Toc28699"/>
      <w:bookmarkStart w:id="256" w:name="_Toc152042334"/>
      <w:bookmarkStart w:id="257" w:name="_Toc152045558"/>
      <w:bookmarkStart w:id="258" w:name="_Toc247513982"/>
      <w:bookmarkStart w:id="259" w:name="_Toc247527583"/>
      <w:bookmarkStart w:id="260" w:name="_Toc144974526"/>
      <w:bookmarkStart w:id="261" w:name="_Toc23264"/>
      <w:r>
        <w:rPr>
          <w:rFonts w:hint="eastAsia" w:ascii="宋体" w:eastAsia="宋体" w:cs="宋体"/>
          <w:color w:val="auto"/>
          <w:highlight w:val="none"/>
        </w:rPr>
        <w:t>4.3 投标文件的修改与撤回</w:t>
      </w:r>
      <w:bookmarkEnd w:id="255"/>
      <w:bookmarkEnd w:id="256"/>
      <w:bookmarkEnd w:id="257"/>
      <w:bookmarkEnd w:id="258"/>
      <w:bookmarkEnd w:id="259"/>
      <w:bookmarkEnd w:id="260"/>
      <w:bookmarkEnd w:id="261"/>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4.3.1 在</w:t>
      </w:r>
      <w:r>
        <w:rPr>
          <w:rFonts w:hint="eastAsia" w:ascii="宋体" w:hAnsi="宋体" w:cs="宋体"/>
          <w:color w:val="auto"/>
          <w:highlight w:val="none"/>
          <w:u w:val="single"/>
        </w:rPr>
        <w:t>投标人须知前附表</w:t>
      </w:r>
      <w:r>
        <w:rPr>
          <w:rFonts w:hint="eastAsia" w:ascii="宋体" w:hAnsi="宋体" w:cs="宋体"/>
          <w:color w:val="auto"/>
          <w:highlight w:val="none"/>
        </w:rPr>
        <w:t>第2</w:t>
      </w:r>
      <w:r>
        <w:rPr>
          <w:rFonts w:ascii="宋体" w:hAnsi="宋体" w:cs="宋体"/>
          <w:color w:val="auto"/>
          <w:highlight w:val="none"/>
        </w:rPr>
        <w:t>.2.</w:t>
      </w:r>
      <w:r>
        <w:rPr>
          <w:rFonts w:hint="eastAsia" w:ascii="宋体" w:hAnsi="宋体" w:cs="宋体"/>
          <w:color w:val="auto"/>
          <w:highlight w:val="none"/>
        </w:rPr>
        <w:t>2项规定的投标截止时间前，投标人可以修改或撤回已递交的投标文件，但应以书面形式通知招标人。</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4.3.2 </w:t>
      </w:r>
      <w:r>
        <w:rPr>
          <w:rFonts w:hint="eastAsia" w:ascii="宋体" w:hAnsi="宋体" w:cs="宋体"/>
          <w:color w:val="auto"/>
          <w:kern w:val="1"/>
          <w:highlight w:val="none"/>
          <w:u w:val="single"/>
        </w:rPr>
        <w:t>投标人修改或撤回已递交的投标文件，需在广州公共资源交易中心交易平台发出修改或撤回通知，并按要求加盖电子印章。广州公共资源交易中心交易平台收到通知后，即时向投标人发出确认回执通知</w:t>
      </w:r>
      <w:r>
        <w:rPr>
          <w:rFonts w:hint="eastAsia" w:ascii="宋体" w:hAnsi="宋体" w:cs="宋体"/>
          <w:color w:val="auto"/>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4.3.</w:t>
      </w:r>
      <w:r>
        <w:rPr>
          <w:rFonts w:hint="eastAsia" w:ascii="宋体" w:hAnsi="宋体"/>
          <w:color w:val="auto"/>
          <w:szCs w:val="21"/>
          <w:highlight w:val="none"/>
        </w:rPr>
        <w:t>3在投标截止时间之后，投标人不得补充、修改和更换投标文件。</w:t>
      </w:r>
    </w:p>
    <w:p>
      <w:pPr>
        <w:spacing w:line="360" w:lineRule="auto"/>
        <w:rPr>
          <w:rFonts w:ascii="宋体" w:cs="宋体"/>
          <w:color w:val="auto"/>
          <w:sz w:val="28"/>
          <w:szCs w:val="28"/>
          <w:highlight w:val="none"/>
          <w:u w:val="single"/>
          <w:lang w:val="zh-CN"/>
        </w:rPr>
      </w:pPr>
      <w:r>
        <w:rPr>
          <w:rFonts w:hint="eastAsia" w:ascii="宋体" w:cs="宋体"/>
          <w:color w:val="auto"/>
          <w:sz w:val="28"/>
          <w:szCs w:val="28"/>
          <w:highlight w:val="none"/>
          <w:u w:val="single"/>
          <w:lang w:val="zh-CN"/>
        </w:rPr>
        <w:t>4.4 投标信息录入</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4.4.1 投标人应在上传电子投标文件前将广州公共资源交易中心交易服务系统要求的相关信息在广州公共资源交易中心交易服务系统中录入完毕。</w:t>
      </w:r>
    </w:p>
    <w:p>
      <w:pPr>
        <w:pStyle w:val="5"/>
        <w:spacing w:line="360" w:lineRule="auto"/>
        <w:rPr>
          <w:rFonts w:ascii="宋体" w:eastAsia="宋体" w:cs="宋体"/>
          <w:color w:val="auto"/>
          <w:highlight w:val="none"/>
          <w:u w:val="single"/>
          <w:lang w:val="zh-CN"/>
        </w:rPr>
      </w:pPr>
      <w:bookmarkStart w:id="262" w:name="_Toc3565"/>
      <w:r>
        <w:rPr>
          <w:rFonts w:hint="eastAsia" w:ascii="宋体" w:eastAsia="宋体" w:cs="宋体"/>
          <w:color w:val="auto"/>
          <w:highlight w:val="none"/>
          <w:u w:val="single"/>
          <w:lang w:val="zh-CN"/>
        </w:rPr>
        <w:t>4.5投标文件的解密</w:t>
      </w:r>
      <w:bookmarkEnd w:id="262"/>
    </w:p>
    <w:p>
      <w:pPr>
        <w:tabs>
          <w:tab w:val="left" w:pos="105"/>
        </w:tabs>
        <w:spacing w:line="360" w:lineRule="auto"/>
        <w:ind w:firstLine="420" w:firstLineChars="200"/>
        <w:rPr>
          <w:rFonts w:ascii="宋体" w:hAnsi="宋体" w:cs="宋体"/>
          <w:b/>
          <w:color w:val="auto"/>
          <w:szCs w:val="21"/>
          <w:highlight w:val="none"/>
          <w:u w:val="single"/>
        </w:rPr>
      </w:pPr>
      <w:r>
        <w:rPr>
          <w:rFonts w:hint="eastAsia" w:ascii="宋体" w:hAnsi="宋体" w:cs="宋体"/>
          <w:color w:val="auto"/>
          <w:szCs w:val="21"/>
          <w:highlight w:val="none"/>
          <w:u w:val="single"/>
        </w:rPr>
        <w:t>4.5.1</w:t>
      </w:r>
      <w:r>
        <w:rPr>
          <w:rFonts w:hint="eastAsia" w:ascii="宋体" w:hAnsi="宋体" w:cs="宋体"/>
          <w:bCs/>
          <w:color w:val="auto"/>
          <w:szCs w:val="21"/>
          <w:highlight w:val="none"/>
          <w:u w:val="single"/>
        </w:rPr>
        <w:t>投标人必须在投标须知前附表规定的时间内</w:t>
      </w:r>
      <w:r>
        <w:rPr>
          <w:rFonts w:hint="eastAsia" w:ascii="宋体" w:hAnsi="宋体" w:cs="宋体"/>
          <w:color w:val="auto"/>
          <w:szCs w:val="21"/>
          <w:highlight w:val="none"/>
          <w:u w:val="single"/>
        </w:rPr>
        <w:t>完成电子投标文件解密。</w:t>
      </w:r>
      <w:r>
        <w:rPr>
          <w:rFonts w:hint="eastAsia" w:ascii="宋体" w:hAnsi="宋体" w:cs="宋体"/>
          <w:b/>
          <w:color w:val="auto"/>
          <w:szCs w:val="21"/>
          <w:highlight w:val="none"/>
          <w:u w:val="single"/>
        </w:rPr>
        <w:t>超过时间未解密的投标文件将作为放弃投标处理。</w:t>
      </w:r>
    </w:p>
    <w:p>
      <w:pPr>
        <w:spacing w:line="360" w:lineRule="auto"/>
        <w:ind w:firstLine="420" w:firstLineChars="200"/>
        <w:rPr>
          <w:rFonts w:ascii="宋体" w:hAnsi="宋体" w:cs="宋体"/>
          <w:color w:val="auto"/>
          <w:szCs w:val="21"/>
          <w:highlight w:val="none"/>
          <w:u w:val="single"/>
        </w:rPr>
      </w:pPr>
      <w:r>
        <w:rPr>
          <w:rFonts w:hint="eastAsia" w:ascii="宋体" w:hAnsi="宋体" w:cs="宋体"/>
          <w:bCs/>
          <w:color w:val="auto"/>
          <w:szCs w:val="21"/>
          <w:highlight w:val="none"/>
          <w:u w:val="single"/>
        </w:rPr>
        <w:t>4.5.2电子投标文件解密应按照广州公共资源交易中心交易平台关于《房屋建筑和市政基础设施工程全流程电子化项目专章》的相关指南进行操作。</w:t>
      </w:r>
    </w:p>
    <w:p>
      <w:pPr>
        <w:pStyle w:val="4"/>
        <w:rPr>
          <w:rFonts w:ascii="宋体" w:hAnsi="宋体" w:eastAsia="宋体" w:cs="宋体"/>
          <w:color w:val="auto"/>
          <w:highlight w:val="none"/>
        </w:rPr>
      </w:pPr>
      <w:bookmarkStart w:id="263" w:name="_Toc247527584"/>
      <w:bookmarkStart w:id="264" w:name="_Toc247513983"/>
      <w:bookmarkStart w:id="265" w:name="_Toc152045559"/>
      <w:bookmarkStart w:id="266" w:name="_Toc152042335"/>
      <w:bookmarkStart w:id="267" w:name="_Toc144974527"/>
      <w:bookmarkStart w:id="268" w:name="_Toc6688"/>
      <w:bookmarkStart w:id="269" w:name="_Toc24569"/>
      <w:r>
        <w:rPr>
          <w:rFonts w:hint="eastAsia" w:ascii="宋体" w:hAnsi="宋体" w:eastAsia="宋体" w:cs="宋体"/>
          <w:color w:val="auto"/>
          <w:highlight w:val="none"/>
        </w:rPr>
        <w:t>5. 开标</w:t>
      </w:r>
      <w:bookmarkEnd w:id="263"/>
      <w:bookmarkEnd w:id="264"/>
      <w:bookmarkEnd w:id="265"/>
      <w:bookmarkEnd w:id="266"/>
      <w:bookmarkEnd w:id="267"/>
      <w:bookmarkEnd w:id="268"/>
      <w:bookmarkEnd w:id="269"/>
    </w:p>
    <w:p>
      <w:pPr>
        <w:pStyle w:val="5"/>
        <w:rPr>
          <w:rFonts w:ascii="宋体" w:eastAsia="宋体" w:cs="宋体"/>
          <w:color w:val="auto"/>
          <w:highlight w:val="none"/>
        </w:rPr>
      </w:pPr>
      <w:bookmarkStart w:id="270" w:name="_Toc247527585"/>
      <w:bookmarkStart w:id="271" w:name="_Toc144974528"/>
      <w:bookmarkStart w:id="272" w:name="_Toc247513984"/>
      <w:bookmarkStart w:id="273" w:name="_Toc16458"/>
      <w:bookmarkStart w:id="274" w:name="_Toc152045560"/>
      <w:bookmarkStart w:id="275" w:name="_Toc7203"/>
      <w:bookmarkStart w:id="276" w:name="_Toc152042336"/>
      <w:r>
        <w:rPr>
          <w:rFonts w:hint="eastAsia" w:ascii="宋体" w:eastAsia="宋体" w:cs="宋体"/>
          <w:color w:val="auto"/>
          <w:highlight w:val="none"/>
        </w:rPr>
        <w:t>5.1 开标时间和地点</w:t>
      </w:r>
      <w:bookmarkEnd w:id="270"/>
      <w:bookmarkEnd w:id="271"/>
      <w:bookmarkEnd w:id="272"/>
      <w:bookmarkEnd w:id="273"/>
      <w:bookmarkEnd w:id="274"/>
      <w:bookmarkEnd w:id="275"/>
      <w:bookmarkEnd w:id="276"/>
    </w:p>
    <w:p>
      <w:pPr>
        <w:spacing w:line="276" w:lineRule="auto"/>
        <w:ind w:firstLine="420" w:firstLineChars="200"/>
        <w:rPr>
          <w:rFonts w:ascii="宋体" w:hAnsi="宋体" w:cs="宋体"/>
          <w:color w:val="auto"/>
          <w:highlight w:val="none"/>
        </w:rPr>
      </w:pPr>
      <w:r>
        <w:rPr>
          <w:rFonts w:hint="eastAsia" w:ascii="宋体" w:hAnsi="宋体" w:cs="宋体"/>
          <w:color w:val="auto"/>
          <w:highlight w:val="none"/>
        </w:rPr>
        <w:t>招标人按投标人须知前附表5.1规定的开标时间和地点公开开标，并邀请所有投标人的法定代表人或其委托代理人准时参加。投标人（法定代表人或其委托代理人）可自行决定是否参加开标。投标人不参加的，视为认可开标过程及结果。</w:t>
      </w:r>
    </w:p>
    <w:p>
      <w:pPr>
        <w:rPr>
          <w:color w:val="auto"/>
          <w:highlight w:val="none"/>
        </w:rPr>
      </w:pPr>
    </w:p>
    <w:p>
      <w:pPr>
        <w:pStyle w:val="5"/>
        <w:rPr>
          <w:rFonts w:ascii="宋体" w:eastAsia="宋体" w:cs="宋体"/>
          <w:color w:val="auto"/>
          <w:highlight w:val="none"/>
        </w:rPr>
      </w:pPr>
      <w:bookmarkStart w:id="277" w:name="_Toc152045561"/>
      <w:bookmarkStart w:id="278" w:name="_Toc247527586"/>
      <w:bookmarkStart w:id="279" w:name="_Toc19643"/>
      <w:bookmarkStart w:id="280" w:name="_Toc144974529"/>
      <w:bookmarkStart w:id="281" w:name="_Toc152042337"/>
      <w:bookmarkStart w:id="282" w:name="_Toc247513985"/>
      <w:bookmarkStart w:id="283" w:name="_Toc5967"/>
      <w:r>
        <w:rPr>
          <w:rFonts w:hint="eastAsia" w:ascii="宋体" w:eastAsia="宋体" w:cs="宋体"/>
          <w:color w:val="auto"/>
          <w:highlight w:val="none"/>
        </w:rPr>
        <w:t>5.2 开标程序</w:t>
      </w:r>
      <w:bookmarkEnd w:id="277"/>
      <w:bookmarkEnd w:id="278"/>
      <w:bookmarkEnd w:id="279"/>
      <w:bookmarkEnd w:id="280"/>
      <w:bookmarkEnd w:id="281"/>
      <w:bookmarkEnd w:id="282"/>
      <w:bookmarkEnd w:id="283"/>
    </w:p>
    <w:p>
      <w:pPr>
        <w:tabs>
          <w:tab w:val="left" w:pos="105"/>
        </w:tabs>
        <w:spacing w:line="360" w:lineRule="auto"/>
        <w:ind w:firstLine="420" w:firstLineChars="200"/>
        <w:rPr>
          <w:rFonts w:ascii="宋体" w:hAnsi="宋体" w:cs="宋体"/>
          <w:color w:val="auto"/>
          <w:szCs w:val="21"/>
          <w:highlight w:val="none"/>
          <w:u w:val="single"/>
        </w:rPr>
      </w:pPr>
      <w:bookmarkStart w:id="284" w:name="_Toc27275"/>
      <w:r>
        <w:rPr>
          <w:rFonts w:hint="eastAsia" w:ascii="宋体" w:hAnsi="宋体" w:cs="宋体"/>
          <w:color w:val="auto"/>
          <w:szCs w:val="21"/>
          <w:highlight w:val="none"/>
          <w:u w:val="single"/>
        </w:rPr>
        <w:t>开标由招标人或委托招标代理单位主持。</w:t>
      </w:r>
    </w:p>
    <w:p>
      <w:pPr>
        <w:tabs>
          <w:tab w:val="left" w:pos="105"/>
        </w:tabs>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（1）宣布开标纪律；</w:t>
      </w:r>
    </w:p>
    <w:p>
      <w:pPr>
        <w:tabs>
          <w:tab w:val="left" w:pos="105"/>
        </w:tabs>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（2）公布在投标截止时间前递交投标文件的投标人名称；</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（3）在投标截止时间后</w:t>
      </w:r>
      <w:r>
        <w:rPr>
          <w:rFonts w:hint="eastAsia" w:ascii="宋体" w:hAnsi="宋体" w:cs="宋体"/>
          <w:b/>
          <w:color w:val="auto"/>
          <w:szCs w:val="21"/>
          <w:highlight w:val="none"/>
          <w:u w:val="single"/>
        </w:rPr>
        <w:t>规定的时间内</w:t>
      </w:r>
      <w:r>
        <w:rPr>
          <w:rFonts w:hint="eastAsia" w:ascii="新宋体" w:hAnsi="新宋体" w:eastAsia="新宋体" w:cs="新宋体"/>
          <w:color w:val="auto"/>
          <w:szCs w:val="21"/>
          <w:highlight w:val="none"/>
          <w:u w:val="single"/>
        </w:rPr>
        <w:t>，投标人通过递交投标文件的交易平台对已递交的电子投标文件进行解密。投标人完成解密后，再由招标人进行解密（投标人只用执行一次解密，招标人执行解密次数根据招标文件开标次数确定）。</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4）解密完成后，公布：a投标人名称；b投标文件递交情况；c投标文件解密情况；d投标保证金递交情况；e项目负责人(兼施工负责人)、设计负责人、专职安全员；f投标报价；g工期；h投标人的加密打包投标文件电脑机器特征码等主要内容，并记录在案。未在规定时间内解密的投标文件不参与开标、评标。</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（5）截标后，开标开始时间因故推迟的，相关评标信息仍以原定的开标开始时间的信息为准。</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（6）备用光盘的读取按“10 电子招标投标”第6点“投标文件解密失败的补救方案”的规定执行。</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7）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8</w:t>
      </w:r>
      <w:r>
        <w:rPr>
          <w:rFonts w:hint="eastAsia" w:ascii="新宋体" w:hAnsi="新宋体" w:eastAsia="新宋体" w:cs="新宋体"/>
          <w:color w:val="auto"/>
          <w:szCs w:val="21"/>
          <w:highlight w:val="none"/>
          <w:u w:val="single"/>
        </w:rPr>
        <w:t>）参加现场开标的投标人对开标结果有异议的，应当在开标现场提出，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9</w:t>
      </w:r>
      <w:r>
        <w:rPr>
          <w:rFonts w:hint="eastAsia" w:ascii="新宋体" w:hAnsi="新宋体" w:eastAsia="新宋体" w:cs="新宋体"/>
          <w:color w:val="auto"/>
          <w:szCs w:val="21"/>
          <w:highlight w:val="none"/>
          <w:u w:val="single"/>
        </w:rPr>
        <w:t>）投标人未参加开标或在规定的时间内未提出异议的，视为对开标无异议。</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10</w:t>
      </w:r>
      <w:r>
        <w:rPr>
          <w:rFonts w:hint="eastAsia" w:ascii="新宋体" w:hAnsi="新宋体" w:eastAsia="新宋体" w:cs="新宋体"/>
          <w:color w:val="auto"/>
          <w:szCs w:val="21"/>
          <w:highlight w:val="none"/>
          <w:u w:val="single"/>
        </w:rPr>
        <w:t>）开标时，两个（含两个）以上的投标人加密打包投标文件电脑机器特征码一致的，不参与下一程序，并由评标委员会否决其投标。</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（1</w:t>
      </w:r>
      <w:r>
        <w:rPr>
          <w:rFonts w:ascii="新宋体" w:hAnsi="新宋体" w:eastAsia="新宋体" w:cs="新宋体"/>
          <w:color w:val="auto"/>
          <w:szCs w:val="21"/>
          <w:highlight w:val="none"/>
          <w:u w:val="single"/>
        </w:rPr>
        <w:t>1</w:t>
      </w:r>
      <w:r>
        <w:rPr>
          <w:rFonts w:hint="eastAsia" w:ascii="新宋体" w:hAnsi="新宋体" w:eastAsia="新宋体" w:cs="新宋体"/>
          <w:color w:val="auto"/>
          <w:szCs w:val="21"/>
          <w:highlight w:val="none"/>
          <w:u w:val="single"/>
        </w:rPr>
        <w:t>）投标文件（设计方案）开标时不得开启，在评标时由交易平台随机编号后开启，交由评标委员会进行评审。编号所对应的投标人在设计方案评审结束前不得告知评标委员会、交易平台工作人员、招标人或招标代理机构。（如有）</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（1</w:t>
      </w:r>
      <w:r>
        <w:rPr>
          <w:rFonts w:ascii="新宋体" w:hAnsi="新宋体" w:eastAsia="新宋体" w:cs="新宋体"/>
          <w:color w:val="auto"/>
          <w:szCs w:val="21"/>
          <w:highlight w:val="none"/>
          <w:u w:val="single"/>
        </w:rPr>
        <w:t>2</w:t>
      </w:r>
      <w:r>
        <w:rPr>
          <w:rFonts w:hint="eastAsia" w:ascii="新宋体" w:hAnsi="新宋体" w:eastAsia="新宋体" w:cs="新宋体"/>
          <w:color w:val="auto"/>
          <w:szCs w:val="21"/>
          <w:highlight w:val="none"/>
          <w:u w:val="single"/>
        </w:rPr>
        <w:t>）投标人代表、招标人代表、监标人、记录人等有关人员在开标记录上签字确认；若有关人员不签字的，不影响开标程序；</w:t>
      </w:r>
    </w:p>
    <w:p>
      <w:pPr>
        <w:tabs>
          <w:tab w:val="left" w:pos="105"/>
        </w:tabs>
        <w:spacing w:line="360" w:lineRule="auto"/>
        <w:ind w:firstLine="420" w:firstLineChars="200"/>
        <w:rPr>
          <w:rFonts w:ascii="新宋体" w:hAnsi="新宋体" w:eastAsia="新宋体" w:cs="新宋体"/>
          <w:color w:val="auto"/>
          <w:szCs w:val="21"/>
          <w:highlight w:val="none"/>
          <w:u w:val="single"/>
        </w:rPr>
      </w:pPr>
      <w:r>
        <w:rPr>
          <w:rFonts w:hint="eastAsia" w:ascii="新宋体" w:hAnsi="新宋体" w:eastAsia="新宋体" w:cs="新宋体"/>
          <w:color w:val="auto"/>
          <w:szCs w:val="21"/>
          <w:highlight w:val="none"/>
          <w:u w:val="single"/>
        </w:rPr>
        <w:t>（</w:t>
      </w:r>
      <w:r>
        <w:rPr>
          <w:rFonts w:ascii="新宋体" w:hAnsi="新宋体" w:eastAsia="新宋体" w:cs="新宋体"/>
          <w:color w:val="auto"/>
          <w:szCs w:val="21"/>
          <w:highlight w:val="none"/>
          <w:u w:val="single"/>
        </w:rPr>
        <w:t>13</w:t>
      </w:r>
      <w:r>
        <w:rPr>
          <w:rFonts w:hint="eastAsia" w:ascii="新宋体" w:hAnsi="新宋体" w:eastAsia="新宋体" w:cs="新宋体"/>
          <w:color w:val="auto"/>
          <w:szCs w:val="21"/>
          <w:highlight w:val="none"/>
          <w:u w:val="single"/>
        </w:rPr>
        <w:t>）开标结束。</w:t>
      </w:r>
    </w:p>
    <w:p>
      <w:pPr>
        <w:pStyle w:val="5"/>
        <w:rPr>
          <w:rFonts w:ascii="宋体" w:eastAsia="宋体" w:cs="宋体"/>
          <w:color w:val="auto"/>
          <w:highlight w:val="none"/>
        </w:rPr>
      </w:pPr>
      <w:bookmarkStart w:id="285" w:name="_Toc32127"/>
      <w:r>
        <w:rPr>
          <w:rFonts w:hint="eastAsia" w:ascii="宋体" w:eastAsia="宋体" w:cs="宋体"/>
          <w:color w:val="auto"/>
          <w:highlight w:val="none"/>
        </w:rPr>
        <w:t>5.3 开标异议</w:t>
      </w:r>
      <w:bookmarkEnd w:id="284"/>
      <w:bookmarkEnd w:id="285"/>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投标人对开标有异议的，应当在</w:t>
      </w:r>
      <w:r>
        <w:rPr>
          <w:rFonts w:hint="eastAsia" w:ascii="宋体" w:hAnsi="宋体" w:cs="宋体"/>
          <w:color w:val="auto"/>
          <w:highlight w:val="none"/>
          <w:u w:val="single"/>
        </w:rPr>
        <w:t>交易平台规定的时间内</w:t>
      </w:r>
      <w:r>
        <w:rPr>
          <w:rFonts w:hint="eastAsia" w:ascii="宋体" w:hAnsi="宋体" w:cs="宋体"/>
          <w:color w:val="auto"/>
          <w:highlight w:val="none"/>
        </w:rPr>
        <w:t>提出，招标人当场作出答复，并制作记录。</w:t>
      </w:r>
      <w:bookmarkStart w:id="286" w:name="_Toc247513986"/>
      <w:bookmarkStart w:id="287" w:name="_Toc144974530"/>
      <w:bookmarkStart w:id="288" w:name="_Toc152045562"/>
      <w:bookmarkStart w:id="289" w:name="_Toc18405"/>
      <w:bookmarkStart w:id="290" w:name="_Toc247527587"/>
      <w:bookmarkStart w:id="291" w:name="_Toc152042338"/>
    </w:p>
    <w:p>
      <w:pPr>
        <w:pStyle w:val="4"/>
        <w:rPr>
          <w:rFonts w:ascii="宋体" w:hAnsi="宋体" w:eastAsia="宋体" w:cs="宋体"/>
          <w:color w:val="auto"/>
          <w:highlight w:val="none"/>
        </w:rPr>
      </w:pPr>
      <w:bookmarkStart w:id="292" w:name="_Toc20424"/>
      <w:r>
        <w:rPr>
          <w:rFonts w:hint="eastAsia" w:ascii="宋体" w:hAnsi="宋体" w:eastAsia="宋体" w:cs="宋体"/>
          <w:color w:val="auto"/>
          <w:highlight w:val="none"/>
        </w:rPr>
        <w:t>6.评标</w:t>
      </w:r>
      <w:bookmarkEnd w:id="286"/>
      <w:bookmarkEnd w:id="287"/>
      <w:bookmarkEnd w:id="288"/>
      <w:bookmarkEnd w:id="289"/>
      <w:bookmarkEnd w:id="290"/>
      <w:bookmarkEnd w:id="291"/>
      <w:bookmarkEnd w:id="292"/>
      <w:bookmarkStart w:id="293" w:name="_Toc152042339"/>
      <w:bookmarkStart w:id="294" w:name="_Toc247513987"/>
      <w:bookmarkStart w:id="295" w:name="_Toc152045563"/>
      <w:bookmarkStart w:id="296" w:name="_Toc144974531"/>
      <w:bookmarkStart w:id="297" w:name="_Toc247527588"/>
      <w:bookmarkStart w:id="298" w:name="_Toc19178"/>
    </w:p>
    <w:p>
      <w:pPr>
        <w:pStyle w:val="5"/>
        <w:rPr>
          <w:rFonts w:ascii="宋体" w:eastAsia="宋体" w:cs="宋体"/>
          <w:color w:val="auto"/>
          <w:highlight w:val="none"/>
        </w:rPr>
      </w:pPr>
      <w:bookmarkStart w:id="299" w:name="_Toc26256"/>
      <w:r>
        <w:rPr>
          <w:rFonts w:hint="eastAsia" w:ascii="宋体" w:eastAsia="宋体" w:cs="宋体"/>
          <w:color w:val="auto"/>
          <w:highlight w:val="none"/>
        </w:rPr>
        <w:t>6.1 评标委员会</w:t>
      </w:r>
      <w:bookmarkEnd w:id="293"/>
      <w:bookmarkEnd w:id="294"/>
      <w:bookmarkEnd w:id="295"/>
      <w:bookmarkEnd w:id="296"/>
      <w:bookmarkEnd w:id="297"/>
      <w:bookmarkEnd w:id="298"/>
      <w:bookmarkEnd w:id="299"/>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6.1.1 评标由招标人依法组建的评标委员会负责</w:t>
      </w:r>
      <w:r>
        <w:rPr>
          <w:rFonts w:hint="eastAsia" w:ascii="宋体" w:hAnsi="宋体" w:cs="宋体"/>
          <w:color w:val="auto"/>
          <w:highlight w:val="none"/>
          <w:lang w:eastAsia="zh-CN"/>
        </w:rPr>
        <w:t>，</w:t>
      </w:r>
      <w:r>
        <w:rPr>
          <w:rFonts w:hint="eastAsia" w:ascii="宋体" w:hAnsi="宋体" w:cs="宋体"/>
          <w:color w:val="auto"/>
          <w:highlight w:val="none"/>
        </w:rPr>
        <w:t>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6.1.2 评标委员会成员有下列情形之一的，应当回避：</w:t>
      </w:r>
    </w:p>
    <w:p>
      <w:pPr>
        <w:spacing w:line="360" w:lineRule="auto"/>
        <w:ind w:firstLine="718" w:firstLineChars="342"/>
        <w:rPr>
          <w:rFonts w:ascii="宋体" w:hAnsi="宋体" w:cs="宋体"/>
          <w:color w:val="auto"/>
          <w:highlight w:val="none"/>
        </w:rPr>
      </w:pPr>
      <w:r>
        <w:rPr>
          <w:rFonts w:hint="eastAsia" w:ascii="宋体" w:hAnsi="宋体" w:cs="宋体"/>
          <w:color w:val="auto"/>
          <w:highlight w:val="none"/>
        </w:rPr>
        <w:t>（1）投标人或投标人主要负责人的近亲属；</w:t>
      </w:r>
    </w:p>
    <w:p>
      <w:pPr>
        <w:spacing w:line="360" w:lineRule="auto"/>
        <w:ind w:firstLine="718" w:firstLineChars="342"/>
        <w:rPr>
          <w:rFonts w:ascii="宋体" w:hAnsi="宋体" w:cs="宋体"/>
          <w:color w:val="auto"/>
          <w:highlight w:val="none"/>
        </w:rPr>
      </w:pPr>
      <w:r>
        <w:rPr>
          <w:rFonts w:hint="eastAsia" w:ascii="宋体" w:hAnsi="宋体" w:cs="宋体"/>
          <w:color w:val="auto"/>
          <w:highlight w:val="none"/>
        </w:rPr>
        <w:t>（2）项目主管部门或者行政监督部门的人员；</w:t>
      </w:r>
    </w:p>
    <w:p>
      <w:pPr>
        <w:spacing w:line="360" w:lineRule="auto"/>
        <w:ind w:firstLine="718" w:firstLineChars="342"/>
        <w:rPr>
          <w:rFonts w:ascii="宋体" w:hAnsi="宋体" w:cs="宋体"/>
          <w:color w:val="auto"/>
          <w:highlight w:val="none"/>
        </w:rPr>
      </w:pPr>
      <w:r>
        <w:rPr>
          <w:rFonts w:hint="eastAsia" w:ascii="宋体" w:hAnsi="宋体" w:cs="宋体"/>
          <w:color w:val="auto"/>
          <w:highlight w:val="none"/>
        </w:rPr>
        <w:t>（3）与投标人有经济利益关系，可能影响对投标公正评审的；</w:t>
      </w:r>
    </w:p>
    <w:p>
      <w:pPr>
        <w:spacing w:line="360" w:lineRule="auto"/>
        <w:ind w:firstLine="718" w:firstLineChars="342"/>
        <w:rPr>
          <w:rFonts w:ascii="宋体" w:hAnsi="宋体" w:cs="宋体"/>
          <w:color w:val="auto"/>
          <w:highlight w:val="none"/>
        </w:rPr>
      </w:pPr>
      <w:r>
        <w:rPr>
          <w:rFonts w:hint="eastAsia" w:ascii="宋体" w:hAnsi="宋体" w:cs="宋体"/>
          <w:color w:val="auto"/>
          <w:highlight w:val="none"/>
        </w:rPr>
        <w:t>（4）曾因在招标、评标以及其他与招标投标有关活动中从事违法行为而受过行政处罚或刑事处罚的；</w:t>
      </w:r>
    </w:p>
    <w:p>
      <w:pPr>
        <w:spacing w:line="360" w:lineRule="auto"/>
        <w:ind w:firstLine="718" w:firstLineChars="342"/>
        <w:rPr>
          <w:rFonts w:ascii="宋体" w:hAnsi="宋体" w:cs="宋体"/>
          <w:color w:val="auto"/>
          <w:highlight w:val="none"/>
        </w:rPr>
      </w:pPr>
      <w:r>
        <w:rPr>
          <w:rFonts w:hint="eastAsia" w:ascii="宋体" w:hAnsi="宋体" w:cs="宋体"/>
          <w:color w:val="auto"/>
          <w:highlight w:val="none"/>
        </w:rPr>
        <w:t>（5）与投标人有其他利害关系。</w:t>
      </w:r>
    </w:p>
    <w:p>
      <w:pPr>
        <w:pStyle w:val="36"/>
        <w:spacing w:line="360" w:lineRule="auto"/>
        <w:rPr>
          <w:rFonts w:ascii="宋体" w:hAnsi="宋体" w:cs="宋体"/>
          <w:color w:val="auto"/>
          <w:highlight w:val="none"/>
          <w:u w:val="single"/>
        </w:rPr>
      </w:pPr>
      <w:r>
        <w:rPr>
          <w:rFonts w:hint="eastAsia" w:ascii="宋体" w:hAnsi="宋体" w:cs="宋体"/>
          <w:color w:val="auto"/>
          <w:kern w:val="2"/>
          <w:sz w:val="21"/>
          <w:szCs w:val="24"/>
          <w:highlight w:val="none"/>
          <w:u w:val="singl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rPr>
          <w:rFonts w:ascii="宋体" w:eastAsia="宋体" w:cs="宋体"/>
          <w:color w:val="auto"/>
          <w:highlight w:val="none"/>
        </w:rPr>
      </w:pPr>
      <w:bookmarkStart w:id="300" w:name="_Toc29261"/>
      <w:bookmarkStart w:id="301" w:name="_Toc247527589"/>
      <w:bookmarkStart w:id="302" w:name="_Toc152042340"/>
      <w:bookmarkStart w:id="303" w:name="_Toc247513988"/>
      <w:bookmarkStart w:id="304" w:name="_Toc152045564"/>
      <w:bookmarkStart w:id="305" w:name="_Toc144974532"/>
      <w:bookmarkStart w:id="306" w:name="_Toc25789"/>
      <w:r>
        <w:rPr>
          <w:rFonts w:hint="eastAsia" w:ascii="宋体" w:eastAsia="宋体" w:cs="宋体"/>
          <w:color w:val="auto"/>
          <w:highlight w:val="none"/>
        </w:rPr>
        <w:t>6.2 评标原则</w:t>
      </w:r>
      <w:bookmarkEnd w:id="300"/>
      <w:bookmarkEnd w:id="301"/>
      <w:bookmarkEnd w:id="302"/>
      <w:bookmarkEnd w:id="303"/>
      <w:bookmarkEnd w:id="304"/>
      <w:bookmarkEnd w:id="305"/>
      <w:bookmarkEnd w:id="306"/>
      <w:r>
        <w:rPr>
          <w:rFonts w:hint="eastAsia" w:ascii="宋体" w:eastAsia="宋体" w:cs="宋体"/>
          <w:color w:val="auto"/>
          <w:highlight w:val="none"/>
        </w:rPr>
        <w:tab/>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评标活动遵循公平、公正、科学和择优的原则。</w:t>
      </w:r>
    </w:p>
    <w:p>
      <w:pPr>
        <w:pStyle w:val="5"/>
        <w:spacing w:line="360" w:lineRule="auto"/>
        <w:rPr>
          <w:rFonts w:ascii="宋体" w:eastAsia="宋体" w:cs="宋体"/>
          <w:color w:val="auto"/>
          <w:highlight w:val="none"/>
        </w:rPr>
      </w:pPr>
      <w:bookmarkStart w:id="307" w:name="_Toc9663"/>
      <w:bookmarkStart w:id="308" w:name="_Toc247527590"/>
      <w:bookmarkStart w:id="309" w:name="_Toc247513989"/>
      <w:bookmarkStart w:id="310" w:name="_Toc144974533"/>
      <w:bookmarkStart w:id="311" w:name="_Toc152042341"/>
      <w:bookmarkStart w:id="312" w:name="_Toc152045565"/>
      <w:bookmarkStart w:id="313" w:name="_Toc8283"/>
      <w:r>
        <w:rPr>
          <w:rFonts w:hint="eastAsia" w:ascii="宋体" w:eastAsia="宋体" w:cs="宋体"/>
          <w:color w:val="auto"/>
          <w:highlight w:val="none"/>
        </w:rPr>
        <w:t>6.3 评标</w:t>
      </w:r>
      <w:bookmarkEnd w:id="307"/>
      <w:bookmarkEnd w:id="308"/>
      <w:bookmarkEnd w:id="309"/>
      <w:bookmarkEnd w:id="310"/>
      <w:bookmarkEnd w:id="311"/>
      <w:bookmarkEnd w:id="312"/>
      <w:bookmarkEnd w:id="313"/>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6.3.1评标委员会按照第三章“评标办法”规定的方法、评审因素、标准和程序对投标文件进行评审。第三章“评标办法”没有规定的方法、评审因素和标准，不作为评标依据。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6.3.2评标完成后，评标委员会应当向招标人提交书面评标报告和中标候选人名单。评标委 员会推荐中标候选人的人数见投标人须知前附表。</w:t>
      </w:r>
    </w:p>
    <w:p>
      <w:pPr>
        <w:pStyle w:val="4"/>
        <w:rPr>
          <w:rFonts w:ascii="宋体" w:hAnsi="宋体" w:eastAsia="宋体" w:cs="宋体"/>
          <w:color w:val="auto"/>
          <w:highlight w:val="none"/>
        </w:rPr>
      </w:pPr>
      <w:bookmarkStart w:id="314" w:name="_Toc144974534"/>
      <w:bookmarkStart w:id="315" w:name="_Toc152042342"/>
      <w:bookmarkStart w:id="316" w:name="_Toc247527591"/>
      <w:bookmarkStart w:id="317" w:name="_Toc7626"/>
      <w:bookmarkStart w:id="318" w:name="_Toc247513990"/>
      <w:bookmarkStart w:id="319" w:name="_Toc152045566"/>
      <w:bookmarkStart w:id="320" w:name="_Toc4609"/>
      <w:r>
        <w:rPr>
          <w:rFonts w:hint="eastAsia" w:ascii="宋体" w:hAnsi="宋体" w:eastAsia="宋体" w:cs="宋体"/>
          <w:color w:val="auto"/>
          <w:highlight w:val="none"/>
        </w:rPr>
        <w:t>7. 合同授予</w:t>
      </w:r>
      <w:bookmarkEnd w:id="314"/>
      <w:bookmarkEnd w:id="315"/>
      <w:bookmarkEnd w:id="316"/>
      <w:bookmarkEnd w:id="317"/>
      <w:bookmarkEnd w:id="318"/>
      <w:bookmarkEnd w:id="319"/>
      <w:bookmarkEnd w:id="320"/>
    </w:p>
    <w:p>
      <w:pPr>
        <w:pStyle w:val="5"/>
        <w:rPr>
          <w:rFonts w:ascii="宋体" w:eastAsia="宋体" w:cs="宋体"/>
          <w:color w:val="auto"/>
          <w:highlight w:val="none"/>
        </w:rPr>
      </w:pPr>
      <w:bookmarkStart w:id="321" w:name="_Toc144974535"/>
      <w:bookmarkStart w:id="322" w:name="_Toc247513991"/>
      <w:bookmarkStart w:id="323" w:name="_Toc4338"/>
      <w:bookmarkStart w:id="324" w:name="_Toc152045567"/>
      <w:bookmarkStart w:id="325" w:name="_Toc247527592"/>
      <w:bookmarkStart w:id="326" w:name="_Toc152042343"/>
      <w:bookmarkStart w:id="327" w:name="_Toc15035"/>
      <w:r>
        <w:rPr>
          <w:rFonts w:hint="eastAsia" w:ascii="宋体" w:eastAsia="宋体" w:cs="宋体"/>
          <w:color w:val="auto"/>
          <w:highlight w:val="none"/>
        </w:rPr>
        <w:t>7.1 定标方式</w:t>
      </w:r>
      <w:bookmarkEnd w:id="321"/>
      <w:bookmarkEnd w:id="322"/>
      <w:bookmarkEnd w:id="323"/>
      <w:bookmarkEnd w:id="324"/>
      <w:bookmarkEnd w:id="325"/>
      <w:bookmarkEnd w:id="326"/>
      <w:bookmarkEnd w:id="327"/>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7.1.1除投标人须知前附表规定评标委员会直接确定中标人外，招标人依据评标委员会推荐的中标候选人确定中标人，评标委员会推荐中标候选人的人数见投标人须知前附表。</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7.1.2 依法必须进行公开招标的项目，招标人应当确定排名第一的中标候选人为中标人。</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highlight w:val="none"/>
          <w:u w:val="single"/>
        </w:rPr>
        <w:t>7.1.3排名第一的中标候选人放弃中标、或被取消中标资格，或因不可抗力提出不能履行合同，或者招标文件规定应当提交履约担保而在规定的期限内未能提交的，</w:t>
      </w:r>
      <w:r>
        <w:rPr>
          <w:rFonts w:hint="eastAsia" w:ascii="宋体" w:hAnsi="宋体" w:cs="宋体"/>
          <w:color w:val="auto"/>
          <w:szCs w:val="21"/>
          <w:highlight w:val="none"/>
          <w:u w:val="single"/>
        </w:rPr>
        <w:t>或经核查发现委派的项目负责人已在其他在建项目中担任任何职务的，或者被查实存在影响中标结果的违法行为等情形，不符合中标条件的，</w:t>
      </w:r>
      <w:r>
        <w:rPr>
          <w:rFonts w:hint="eastAsia" w:ascii="宋体" w:hAnsi="宋体" w:cs="宋体"/>
          <w:color w:val="auto"/>
          <w:highlight w:val="none"/>
          <w:u w:val="single"/>
        </w:rPr>
        <w:t>招标人可以按照</w:t>
      </w:r>
      <w:r>
        <w:rPr>
          <w:rFonts w:hint="eastAsia" w:ascii="宋体" w:hAnsi="宋体" w:cs="宋体"/>
          <w:color w:val="auto"/>
          <w:szCs w:val="21"/>
          <w:highlight w:val="none"/>
          <w:u w:val="single"/>
        </w:rPr>
        <w:t>评标委员会提出的</w:t>
      </w:r>
      <w:r>
        <w:rPr>
          <w:rFonts w:hint="eastAsia" w:ascii="宋体" w:hAnsi="宋体" w:cs="宋体"/>
          <w:color w:val="auto"/>
          <w:highlight w:val="none"/>
          <w:u w:val="single"/>
        </w:rPr>
        <w:t>中标候选人名单排序依次上升替补</w:t>
      </w:r>
      <w:r>
        <w:rPr>
          <w:rFonts w:hint="eastAsia" w:ascii="宋体" w:cs="宋体"/>
          <w:color w:val="auto"/>
          <w:szCs w:val="21"/>
          <w:highlight w:val="none"/>
          <w:u w:val="single"/>
        </w:rPr>
        <w:t>确定其他中标候选人为中标人</w:t>
      </w:r>
      <w:r>
        <w:rPr>
          <w:rFonts w:hint="eastAsia" w:ascii="宋体" w:hAnsi="宋体" w:cs="宋体"/>
          <w:color w:val="auto"/>
          <w:highlight w:val="none"/>
          <w:u w:val="single"/>
        </w:rPr>
        <w:t>，以此类推</w:t>
      </w:r>
      <w:r>
        <w:rPr>
          <w:rFonts w:hint="eastAsia" w:ascii="宋体" w:hAnsi="宋体" w:cs="宋体"/>
          <w:color w:val="auto"/>
          <w:szCs w:val="21"/>
          <w:highlight w:val="none"/>
          <w:u w:val="single"/>
        </w:rPr>
        <w:t>，也可以重新招标。</w:t>
      </w:r>
    </w:p>
    <w:p>
      <w:pPr>
        <w:pStyle w:val="5"/>
        <w:rPr>
          <w:rFonts w:ascii="宋体" w:eastAsia="宋体" w:cs="宋体"/>
          <w:color w:val="auto"/>
          <w:highlight w:val="none"/>
        </w:rPr>
      </w:pPr>
      <w:bookmarkStart w:id="328" w:name="_Toc11852"/>
      <w:bookmarkStart w:id="329" w:name="_Toc17912"/>
      <w:r>
        <w:rPr>
          <w:rFonts w:hint="eastAsia" w:ascii="宋体" w:eastAsia="宋体" w:cs="宋体"/>
          <w:color w:val="auto"/>
          <w:highlight w:val="none"/>
        </w:rPr>
        <w:t>7.2 中标候选人公示</w:t>
      </w:r>
      <w:bookmarkEnd w:id="328"/>
      <w:bookmarkEnd w:id="329"/>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rPr>
        <w:t>7.2.1招标人在投标人须知前附表规定的媒介公示中标候选人。</w:t>
      </w:r>
      <w:r>
        <w:rPr>
          <w:rFonts w:hint="eastAsia" w:ascii="宋体" w:hAnsi="宋体" w:cs="宋体"/>
          <w:color w:val="auto"/>
          <w:highlight w:val="none"/>
          <w:u w:val="single"/>
        </w:rPr>
        <w:t>公示时间为三天，公示期间的最后1天应当为工作日，否则将公示期的最后1天顺延至下一个工作日。</w:t>
      </w:r>
    </w:p>
    <w:p>
      <w:pPr>
        <w:spacing w:line="400" w:lineRule="exact"/>
        <w:ind w:firstLine="422" w:firstLineChars="200"/>
        <w:rPr>
          <w:b/>
          <w:bCs/>
          <w:color w:val="auto"/>
          <w:highlight w:val="none"/>
        </w:rPr>
      </w:pPr>
      <w:r>
        <w:rPr>
          <w:rFonts w:hint="eastAsia" w:ascii="宋体" w:hAnsi="宋体" w:cs="宋体"/>
          <w:b/>
          <w:bCs/>
          <w:color w:val="auto"/>
          <w:highlight w:val="none"/>
          <w:u w:val="single"/>
        </w:rPr>
        <w:t>注：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7.2.2在产生中标候选人后，招标人将中标候选人的投标文件商务部分文件的电子版的人员、业绩、奖项等资料在广州公共资源交易中心网站和广东省招标投标监管网公开。</w:t>
      </w:r>
    </w:p>
    <w:p>
      <w:pPr>
        <w:pStyle w:val="5"/>
        <w:rPr>
          <w:rFonts w:ascii="宋体" w:eastAsia="宋体" w:cs="宋体"/>
          <w:color w:val="auto"/>
          <w:highlight w:val="none"/>
        </w:rPr>
      </w:pPr>
      <w:bookmarkStart w:id="330" w:name="_Toc152042344"/>
      <w:bookmarkStart w:id="331" w:name="_Toc6076"/>
      <w:bookmarkStart w:id="332" w:name="_Toc247527593"/>
      <w:bookmarkStart w:id="333" w:name="_Toc144974536"/>
      <w:bookmarkStart w:id="334" w:name="_Toc152045568"/>
      <w:bookmarkStart w:id="335" w:name="_Toc247513992"/>
      <w:bookmarkStart w:id="336" w:name="_Toc22709"/>
      <w:r>
        <w:rPr>
          <w:rFonts w:hint="eastAsia" w:ascii="宋体" w:eastAsia="宋体" w:cs="宋体"/>
          <w:color w:val="auto"/>
          <w:highlight w:val="none"/>
        </w:rPr>
        <w:t>7.3 中标通知</w:t>
      </w:r>
      <w:bookmarkEnd w:id="330"/>
      <w:bookmarkEnd w:id="331"/>
      <w:bookmarkEnd w:id="332"/>
      <w:bookmarkEnd w:id="333"/>
      <w:bookmarkEnd w:id="334"/>
      <w:bookmarkEnd w:id="335"/>
      <w:bookmarkEnd w:id="336"/>
    </w:p>
    <w:p>
      <w:pPr>
        <w:spacing w:line="400" w:lineRule="exact"/>
        <w:ind w:firstLine="420" w:firstLineChars="200"/>
        <w:rPr>
          <w:rFonts w:ascii="宋体" w:cs="宋体"/>
          <w:color w:val="auto"/>
          <w:highlight w:val="none"/>
          <w:u w:val="single"/>
        </w:rPr>
      </w:pPr>
      <w:r>
        <w:rPr>
          <w:rFonts w:hint="eastAsia" w:ascii="宋体" w:hAnsi="宋体" w:cs="宋体"/>
          <w:color w:val="auto"/>
          <w:highlight w:val="none"/>
        </w:rPr>
        <w:t>7.3.1</w:t>
      </w:r>
      <w:r>
        <w:rPr>
          <w:rFonts w:hint="eastAsia" w:ascii="宋体" w:cs="宋体"/>
          <w:color w:val="auto"/>
          <w:szCs w:val="21"/>
          <w:highlight w:val="none"/>
          <w:u w:val="single"/>
        </w:rPr>
        <w:t>评标公示后，</w:t>
      </w:r>
      <w:r>
        <w:rPr>
          <w:rFonts w:hint="eastAsia" w:ascii="宋体" w:hAnsi="宋体" w:cs="宋体"/>
          <w:color w:val="auto"/>
          <w:highlight w:val="none"/>
          <w:u w:val="single"/>
        </w:rPr>
        <w:t>在本章第3.3款规定的投标有效期内，招标人以电子形式向中标人发出中标通知书，</w:t>
      </w:r>
      <w:r>
        <w:rPr>
          <w:rFonts w:hint="eastAsia" w:ascii="宋体" w:hAnsi="宋体" w:cs="宋体"/>
          <w:color w:val="auto"/>
          <w:kern w:val="1"/>
          <w:szCs w:val="21"/>
          <w:highlight w:val="none"/>
          <w:u w:val="single"/>
        </w:rPr>
        <w:t>中标人自行于广州公共资源交易中心交易平台下载中标通知书，同时招标人将中标结果通过广州公共资源交易中心交易平台公开发布。</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highlight w:val="none"/>
          <w:u w:val="single"/>
        </w:rPr>
        <w:t>7.3.2 招标人应当自确定中标人后，向招投标监管机构提交招标投标情况的书面报告；经招投标监管机构备案后，方可发出中标通知书。中标通知书由招标人（或招标代理机构）颁发，并经广州公共资源交易中心确认。</w:t>
      </w:r>
      <w:bookmarkStart w:id="337" w:name="_Toc152042345"/>
      <w:bookmarkStart w:id="338" w:name="_Toc144974537"/>
      <w:bookmarkStart w:id="339" w:name="_Toc247513993"/>
      <w:bookmarkStart w:id="340" w:name="_Toc152045569"/>
      <w:bookmarkStart w:id="341" w:name="_Toc247527594"/>
      <w:bookmarkStart w:id="342" w:name="_Toc25890"/>
    </w:p>
    <w:p>
      <w:pPr>
        <w:pStyle w:val="5"/>
        <w:rPr>
          <w:rFonts w:ascii="宋体" w:eastAsia="宋体" w:cs="宋体"/>
          <w:color w:val="auto"/>
          <w:highlight w:val="none"/>
        </w:rPr>
      </w:pPr>
      <w:bookmarkStart w:id="343" w:name="_Toc29969"/>
      <w:r>
        <w:rPr>
          <w:rFonts w:hint="eastAsia" w:ascii="宋体" w:eastAsia="宋体" w:cs="宋体"/>
          <w:color w:val="auto"/>
          <w:highlight w:val="none"/>
        </w:rPr>
        <w:t>7.4 履约担保</w:t>
      </w:r>
      <w:bookmarkEnd w:id="337"/>
      <w:bookmarkEnd w:id="338"/>
      <w:bookmarkEnd w:id="339"/>
      <w:bookmarkEnd w:id="340"/>
      <w:bookmarkEnd w:id="341"/>
      <w:bookmarkEnd w:id="342"/>
      <w:bookmarkEnd w:id="34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7.4.1 </w:t>
      </w:r>
      <w:r>
        <w:rPr>
          <w:rFonts w:hint="eastAsia" w:ascii="宋体" w:hAnsi="宋体" w:cs="宋体"/>
          <w:color w:val="auto"/>
          <w:szCs w:val="21"/>
          <w:highlight w:val="none"/>
          <w:u w:val="single"/>
        </w:rPr>
        <w:t>在签订合同后30天内，</w:t>
      </w:r>
      <w:r>
        <w:rPr>
          <w:rFonts w:hint="eastAsia" w:ascii="宋体" w:hAnsi="宋体" w:cs="宋体"/>
          <w:color w:val="auto"/>
          <w:highlight w:val="none"/>
        </w:rPr>
        <w:t>中标人应按投标人须知前附表规定的担保形式和招标文件第四章“合同条款及格式”规定的或者事先经过招标人书面认可的履约担保格式向招标人提交履约担保。除投标人须知前附表另有规定外，履约担保金额为</w:t>
      </w:r>
      <w:r>
        <w:rPr>
          <w:rFonts w:hint="eastAsia" w:ascii="宋体" w:hAnsi="宋体" w:cs="宋体"/>
          <w:color w:val="auto"/>
          <w:highlight w:val="none"/>
          <w:u w:val="single"/>
          <w:lang w:val="zh-CN"/>
        </w:rPr>
        <w:t>建筑安装工程费</w:t>
      </w:r>
      <w:r>
        <w:rPr>
          <w:rFonts w:hint="eastAsia" w:ascii="宋体" w:hAnsi="宋体" w:cs="宋体"/>
          <w:color w:val="auto"/>
          <w:highlight w:val="none"/>
        </w:rPr>
        <w:t>中标价款的10%。联合体中标的，其履约担保由联合体中牵头方</w:t>
      </w:r>
      <w:r>
        <w:rPr>
          <w:rFonts w:hint="eastAsia" w:ascii="宋体" w:hAnsi="宋体" w:cs="宋体"/>
          <w:color w:val="auto"/>
          <w:szCs w:val="21"/>
          <w:highlight w:val="none"/>
        </w:rPr>
        <w:t>（或主办方）</w:t>
      </w:r>
      <w:r>
        <w:rPr>
          <w:rFonts w:hint="eastAsia" w:ascii="宋体" w:hAnsi="宋体" w:cs="宋体"/>
          <w:color w:val="auto"/>
          <w:highlight w:val="none"/>
        </w:rPr>
        <w:t>的名义提交。</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7.4.2 中标人不能按本章第7.4.1项要求提交履约担保的，视为放弃中标，其投标保证金不予退还，给招标人造成的损失超过投标保证金数额的，中标人还应当对超过部分予以赔偿。</w:t>
      </w:r>
    </w:p>
    <w:p>
      <w:pPr>
        <w:pStyle w:val="5"/>
        <w:rPr>
          <w:rFonts w:ascii="宋体" w:eastAsia="宋体" w:cs="宋体"/>
          <w:color w:val="auto"/>
          <w:highlight w:val="none"/>
        </w:rPr>
      </w:pPr>
      <w:bookmarkStart w:id="344" w:name="_Toc152045570"/>
      <w:bookmarkStart w:id="345" w:name="_Toc152042346"/>
      <w:bookmarkStart w:id="346" w:name="_Toc247513994"/>
      <w:bookmarkStart w:id="347" w:name="_Toc144974538"/>
      <w:bookmarkStart w:id="348" w:name="_Toc13630"/>
      <w:bookmarkStart w:id="349" w:name="_Toc247527595"/>
      <w:bookmarkStart w:id="350" w:name="_Toc3183"/>
      <w:r>
        <w:rPr>
          <w:rFonts w:hint="eastAsia" w:ascii="宋体" w:eastAsia="宋体" w:cs="宋体"/>
          <w:color w:val="auto"/>
          <w:highlight w:val="none"/>
        </w:rPr>
        <w:t>7.5 签订合同</w:t>
      </w:r>
      <w:bookmarkEnd w:id="344"/>
      <w:bookmarkEnd w:id="345"/>
      <w:bookmarkEnd w:id="346"/>
      <w:bookmarkEnd w:id="347"/>
      <w:bookmarkEnd w:id="348"/>
      <w:bookmarkEnd w:id="349"/>
      <w:bookmarkEnd w:id="350"/>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 xml:space="preserve">7.5.2 发出中标通知书后，招标人无正当理由拒签合同的，招标人向中标人退还投标保证金；给中标人造成损失的，还应当赔偿损失。 </w:t>
      </w:r>
    </w:p>
    <w:p>
      <w:pPr>
        <w:pStyle w:val="4"/>
        <w:rPr>
          <w:rFonts w:ascii="宋体" w:hAnsi="宋体" w:eastAsia="宋体" w:cs="宋体"/>
          <w:color w:val="auto"/>
          <w:highlight w:val="none"/>
        </w:rPr>
      </w:pPr>
      <w:bookmarkStart w:id="351" w:name="_Toc247513995"/>
      <w:bookmarkStart w:id="352" w:name="_Toc144974539"/>
      <w:bookmarkStart w:id="353" w:name="_Toc152045571"/>
      <w:bookmarkStart w:id="354" w:name="_Toc152042347"/>
      <w:bookmarkStart w:id="355" w:name="_Toc247527596"/>
      <w:bookmarkStart w:id="356" w:name="_Toc23477"/>
      <w:bookmarkStart w:id="357" w:name="_Toc624"/>
      <w:r>
        <w:rPr>
          <w:rFonts w:hint="eastAsia" w:ascii="宋体" w:hAnsi="宋体" w:eastAsia="宋体" w:cs="宋体"/>
          <w:color w:val="auto"/>
          <w:highlight w:val="none"/>
        </w:rPr>
        <w:t>8.</w:t>
      </w:r>
      <w:bookmarkEnd w:id="351"/>
      <w:bookmarkEnd w:id="352"/>
      <w:bookmarkEnd w:id="353"/>
      <w:bookmarkEnd w:id="354"/>
      <w:bookmarkEnd w:id="355"/>
      <w:bookmarkStart w:id="358" w:name="_Toc247527599"/>
      <w:bookmarkStart w:id="359" w:name="_Toc247513998"/>
      <w:bookmarkStart w:id="360" w:name="_Toc152045574"/>
      <w:bookmarkStart w:id="361" w:name="_Toc152042350"/>
      <w:bookmarkStart w:id="362" w:name="_Toc144974542"/>
      <w:r>
        <w:rPr>
          <w:rFonts w:hint="eastAsia" w:ascii="宋体" w:hAnsi="宋体" w:eastAsia="宋体" w:cs="宋体"/>
          <w:color w:val="auto"/>
          <w:highlight w:val="none"/>
        </w:rPr>
        <w:t xml:space="preserve"> 纪律和监督</w:t>
      </w:r>
      <w:bookmarkEnd w:id="356"/>
      <w:bookmarkEnd w:id="357"/>
      <w:bookmarkEnd w:id="358"/>
      <w:bookmarkEnd w:id="359"/>
      <w:bookmarkEnd w:id="360"/>
      <w:bookmarkEnd w:id="361"/>
      <w:bookmarkEnd w:id="362"/>
    </w:p>
    <w:p>
      <w:pPr>
        <w:pStyle w:val="5"/>
        <w:rPr>
          <w:rFonts w:ascii="宋体" w:eastAsia="宋体" w:cs="宋体"/>
          <w:color w:val="auto"/>
          <w:highlight w:val="none"/>
        </w:rPr>
      </w:pPr>
      <w:bookmarkStart w:id="363" w:name="_Toc152045575"/>
      <w:bookmarkStart w:id="364" w:name="_Toc9436"/>
      <w:bookmarkStart w:id="365" w:name="_Toc247527600"/>
      <w:bookmarkStart w:id="366" w:name="_Toc144974543"/>
      <w:bookmarkStart w:id="367" w:name="_Toc247513999"/>
      <w:bookmarkStart w:id="368" w:name="_Toc152042351"/>
      <w:bookmarkStart w:id="369" w:name="_Toc10188"/>
      <w:r>
        <w:rPr>
          <w:rFonts w:hint="eastAsia" w:ascii="宋体" w:eastAsia="宋体" w:cs="宋体"/>
          <w:color w:val="auto"/>
          <w:highlight w:val="none"/>
        </w:rPr>
        <w:t>8.1 对招标人的纪律要求</w:t>
      </w:r>
      <w:bookmarkEnd w:id="363"/>
      <w:bookmarkEnd w:id="364"/>
      <w:bookmarkEnd w:id="365"/>
      <w:bookmarkEnd w:id="366"/>
      <w:bookmarkEnd w:id="367"/>
      <w:bookmarkEnd w:id="368"/>
      <w:bookmarkEnd w:id="369"/>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招标人不得泄漏招标投标活动中应当保密的情况和资料，不得与投标人串通损害国家利益、社会公共利益或者他人合法权益。</w:t>
      </w:r>
    </w:p>
    <w:p>
      <w:pPr>
        <w:pStyle w:val="5"/>
        <w:rPr>
          <w:rFonts w:ascii="宋体" w:eastAsia="宋体" w:cs="宋体"/>
          <w:color w:val="auto"/>
          <w:highlight w:val="none"/>
        </w:rPr>
      </w:pPr>
      <w:bookmarkStart w:id="370" w:name="_Toc247527601"/>
      <w:bookmarkStart w:id="371" w:name="_Toc20721"/>
      <w:bookmarkStart w:id="372" w:name="_Toc152042352"/>
      <w:bookmarkStart w:id="373" w:name="_Toc144974544"/>
      <w:bookmarkStart w:id="374" w:name="_Toc152045576"/>
      <w:bookmarkStart w:id="375" w:name="_Toc247514000"/>
      <w:bookmarkStart w:id="376" w:name="_Toc11917"/>
      <w:r>
        <w:rPr>
          <w:rFonts w:hint="eastAsia" w:ascii="宋体" w:eastAsia="宋体" w:cs="宋体"/>
          <w:color w:val="auto"/>
          <w:highlight w:val="none"/>
        </w:rPr>
        <w:t>8.2 对投标人的纪律要求</w:t>
      </w:r>
      <w:bookmarkEnd w:id="370"/>
      <w:bookmarkEnd w:id="371"/>
      <w:bookmarkEnd w:id="372"/>
      <w:bookmarkEnd w:id="373"/>
      <w:bookmarkEnd w:id="374"/>
      <w:bookmarkEnd w:id="375"/>
      <w:bookmarkEnd w:id="376"/>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投标人不得相互串通投标或者与招标人串通投标，不得向招标人或者评标委员会成员行贿谋取中标，不得以他人名义投标或者以其他方式弄虚作假；投标人不得以任何方式干扰、影响评标工作。</w:t>
      </w:r>
    </w:p>
    <w:p>
      <w:pPr>
        <w:pStyle w:val="5"/>
        <w:rPr>
          <w:rFonts w:ascii="宋体" w:eastAsia="宋体" w:cs="宋体"/>
          <w:color w:val="auto"/>
          <w:highlight w:val="none"/>
        </w:rPr>
      </w:pPr>
      <w:bookmarkStart w:id="377" w:name="_Toc16012"/>
      <w:bookmarkStart w:id="378" w:name="_Toc152042353"/>
      <w:bookmarkStart w:id="379" w:name="_Toc144974545"/>
      <w:bookmarkStart w:id="380" w:name="_Toc247514001"/>
      <w:bookmarkStart w:id="381" w:name="_Toc247527602"/>
      <w:bookmarkStart w:id="382" w:name="_Toc152045577"/>
      <w:bookmarkStart w:id="383" w:name="_Toc20219"/>
      <w:r>
        <w:rPr>
          <w:rFonts w:hint="eastAsia" w:ascii="宋体" w:eastAsia="宋体" w:cs="宋体"/>
          <w:color w:val="auto"/>
          <w:highlight w:val="none"/>
        </w:rPr>
        <w:t>8.3 对评标委员会成员的纪律要求</w:t>
      </w:r>
      <w:bookmarkEnd w:id="377"/>
      <w:bookmarkEnd w:id="378"/>
      <w:bookmarkEnd w:id="379"/>
      <w:bookmarkEnd w:id="380"/>
      <w:bookmarkEnd w:id="381"/>
      <w:bookmarkEnd w:id="382"/>
      <w:bookmarkEnd w:id="383"/>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rPr>
          <w:rFonts w:ascii="宋体" w:eastAsia="宋体" w:cs="宋体"/>
          <w:color w:val="auto"/>
          <w:highlight w:val="none"/>
        </w:rPr>
      </w:pPr>
      <w:bookmarkStart w:id="384" w:name="_Toc152045578"/>
      <w:bookmarkStart w:id="385" w:name="_Toc18141"/>
      <w:bookmarkStart w:id="386" w:name="_Toc247514002"/>
      <w:bookmarkStart w:id="387" w:name="_Toc247527603"/>
      <w:bookmarkStart w:id="388" w:name="_Toc152042354"/>
      <w:bookmarkStart w:id="389" w:name="_Toc17418"/>
      <w:bookmarkStart w:id="390" w:name="_Toc144974546"/>
      <w:r>
        <w:rPr>
          <w:rFonts w:hint="eastAsia" w:ascii="宋体" w:eastAsia="宋体" w:cs="宋体"/>
          <w:color w:val="auto"/>
          <w:highlight w:val="none"/>
        </w:rPr>
        <w:t>8.4 对与评标活动有关的工作人员的纪律要求</w:t>
      </w:r>
      <w:bookmarkEnd w:id="384"/>
      <w:bookmarkEnd w:id="385"/>
      <w:bookmarkEnd w:id="386"/>
      <w:bookmarkEnd w:id="387"/>
      <w:bookmarkEnd w:id="388"/>
      <w:bookmarkEnd w:id="389"/>
    </w:p>
    <w:p>
      <w:pPr>
        <w:spacing w:line="400" w:lineRule="exact"/>
        <w:ind w:firstLine="420" w:firstLineChars="200"/>
        <w:rPr>
          <w:rFonts w:ascii="宋体" w:hAnsi="宋体" w:cs="宋体"/>
          <w:color w:val="auto"/>
          <w:highlight w:val="none"/>
        </w:rPr>
      </w:pPr>
      <w:bookmarkStart w:id="391" w:name="_Toc152042355"/>
      <w:r>
        <w:rPr>
          <w:rFonts w:hint="eastAsia" w:ascii="宋体" w:hAnsi="宋体" w:cs="宋体"/>
          <w:color w:val="auto"/>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1"/>
    </w:p>
    <w:p>
      <w:pPr>
        <w:pStyle w:val="5"/>
        <w:rPr>
          <w:rFonts w:ascii="宋体" w:eastAsia="宋体" w:cs="宋体"/>
          <w:color w:val="auto"/>
          <w:highlight w:val="none"/>
        </w:rPr>
      </w:pPr>
      <w:bookmarkStart w:id="392" w:name="_Toc152042356"/>
      <w:bookmarkStart w:id="393" w:name="_Toc247514003"/>
      <w:bookmarkStart w:id="394" w:name="_Toc247527604"/>
      <w:bookmarkStart w:id="395" w:name="_Toc1651"/>
      <w:bookmarkStart w:id="396" w:name="_Toc152045579"/>
      <w:bookmarkStart w:id="397" w:name="_Toc17539"/>
      <w:r>
        <w:rPr>
          <w:rFonts w:hint="eastAsia" w:ascii="宋体" w:eastAsia="宋体" w:cs="宋体"/>
          <w:color w:val="auto"/>
          <w:highlight w:val="none"/>
        </w:rPr>
        <w:t>8.5 投诉</w:t>
      </w:r>
      <w:bookmarkEnd w:id="390"/>
      <w:bookmarkEnd w:id="392"/>
      <w:bookmarkEnd w:id="393"/>
      <w:bookmarkEnd w:id="394"/>
      <w:bookmarkEnd w:id="395"/>
      <w:bookmarkEnd w:id="396"/>
      <w:bookmarkEnd w:id="397"/>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投标人和其他利害关系人认为本次招标活动违反法律、法规和规章规定的，有权向有关行政监督部门投诉。</w:t>
      </w:r>
    </w:p>
    <w:p>
      <w:pPr>
        <w:pStyle w:val="4"/>
        <w:rPr>
          <w:rFonts w:ascii="宋体" w:hAnsi="宋体" w:eastAsia="宋体" w:cs="宋体"/>
          <w:color w:val="auto"/>
          <w:highlight w:val="none"/>
        </w:rPr>
      </w:pPr>
      <w:bookmarkStart w:id="398" w:name="_Toc144974547"/>
      <w:bookmarkStart w:id="399" w:name="_Toc6725"/>
      <w:bookmarkStart w:id="400" w:name="_Toc247527605"/>
      <w:bookmarkStart w:id="401" w:name="_Toc15385"/>
      <w:bookmarkStart w:id="402" w:name="_Toc152045580"/>
      <w:bookmarkStart w:id="403" w:name="_Toc247514004"/>
      <w:bookmarkStart w:id="404" w:name="_Toc152042357"/>
      <w:r>
        <w:rPr>
          <w:rFonts w:hint="eastAsia" w:ascii="宋体" w:hAnsi="宋体" w:eastAsia="宋体" w:cs="宋体"/>
          <w:color w:val="auto"/>
          <w:highlight w:val="none"/>
        </w:rPr>
        <w:t>9. 需要补充的其他内容</w:t>
      </w:r>
      <w:bookmarkEnd w:id="398"/>
      <w:bookmarkEnd w:id="399"/>
      <w:bookmarkEnd w:id="400"/>
      <w:bookmarkEnd w:id="401"/>
      <w:bookmarkEnd w:id="402"/>
      <w:bookmarkEnd w:id="403"/>
      <w:bookmarkEnd w:id="404"/>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需要补充的其他内容：见投标人须知前附表。</w:t>
      </w:r>
    </w:p>
    <w:p>
      <w:pPr>
        <w:pStyle w:val="4"/>
        <w:rPr>
          <w:rFonts w:ascii="宋体" w:hAnsi="宋体" w:eastAsia="宋体" w:cs="宋体"/>
          <w:color w:val="auto"/>
          <w:highlight w:val="none"/>
        </w:rPr>
      </w:pPr>
      <w:bookmarkStart w:id="405" w:name="_Toc4738"/>
      <w:bookmarkStart w:id="406" w:name="_Toc25222"/>
      <w:r>
        <w:rPr>
          <w:rFonts w:hint="eastAsia" w:ascii="宋体" w:hAnsi="宋体" w:eastAsia="宋体" w:cs="宋体"/>
          <w:color w:val="auto"/>
          <w:highlight w:val="none"/>
        </w:rPr>
        <w:t>10. 电子招标投标</w:t>
      </w:r>
      <w:bookmarkEnd w:id="405"/>
      <w:bookmarkEnd w:id="406"/>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本项目采用电子</w:t>
      </w:r>
      <w:r>
        <w:rPr>
          <w:rFonts w:hint="eastAsia" w:ascii="宋体" w:cs="宋体"/>
          <w:color w:val="auto"/>
          <w:highlight w:val="none"/>
        </w:rPr>
        <w:t>招标投标，对投标文件的编制、密封和标记、递交、开标、评标等具体要求，见投标人须知前附表。</w:t>
      </w:r>
      <w:r>
        <w:rPr>
          <w:rFonts w:hint="eastAsia" w:ascii="宋体" w:hAnsi="宋体" w:cs="宋体"/>
          <w:color w:val="auto"/>
          <w:szCs w:val="21"/>
          <w:highlight w:val="none"/>
          <w:u w:val="single"/>
        </w:rPr>
        <w:t>有关</w:t>
      </w:r>
      <w:r>
        <w:rPr>
          <w:rFonts w:hint="eastAsia" w:ascii="宋体" w:hAnsi="宋体" w:cs="宋体"/>
          <w:b/>
          <w:color w:val="auto"/>
          <w:szCs w:val="21"/>
          <w:highlight w:val="none"/>
          <w:u w:val="single"/>
        </w:rPr>
        <w:t>全流程电子化项目</w:t>
      </w:r>
      <w:r>
        <w:rPr>
          <w:rFonts w:hint="eastAsia" w:ascii="宋体" w:hAnsi="宋体" w:cs="宋体"/>
          <w:color w:val="auto"/>
          <w:szCs w:val="21"/>
          <w:highlight w:val="none"/>
          <w:u w:val="single"/>
        </w:rPr>
        <w:t>的相关操作指南可自行在广州公共资源交易中心网站相关栏目下载，路径为</w:t>
      </w:r>
      <w:r>
        <w:rPr>
          <w:rFonts w:hint="eastAsia" w:ascii="宋体" w:hAnsi="宋体" w:cs="宋体"/>
          <w:color w:val="auto"/>
          <w:kern w:val="0"/>
          <w:szCs w:val="21"/>
          <w:highlight w:val="none"/>
          <w:u w:val="single"/>
        </w:rPr>
        <w:t>广州公共资源交易中心网站&gt;服务指南&gt;系统帮助。</w:t>
      </w:r>
    </w:p>
    <w:p>
      <w:pPr>
        <w:pStyle w:val="2"/>
        <w:rPr>
          <w:color w:val="auto"/>
          <w:highlight w:val="none"/>
        </w:rPr>
      </w:pPr>
    </w:p>
    <w:p>
      <w:pPr>
        <w:pStyle w:val="17"/>
        <w:rPr>
          <w:color w:val="auto"/>
          <w:highlight w:val="none"/>
        </w:rPr>
      </w:pP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br w:type="page"/>
      </w:r>
      <w:bookmarkStart w:id="407" w:name="_Toc19551"/>
      <w:bookmarkStart w:id="408" w:name="_Toc144974548"/>
      <w:bookmarkStart w:id="409" w:name="_Toc152042358"/>
      <w:bookmarkStart w:id="410" w:name="_Toc247527606"/>
      <w:bookmarkStart w:id="411" w:name="_Toc247514005"/>
      <w:bookmarkStart w:id="412" w:name="_Toc152045581"/>
      <w:r>
        <w:rPr>
          <w:rFonts w:hint="eastAsia" w:ascii="宋体" w:hAnsi="宋体" w:cs="宋体"/>
          <w:color w:val="auto"/>
          <w:highlight w:val="none"/>
        </w:rPr>
        <w:t>附件一：开标记录表</w:t>
      </w:r>
      <w:bookmarkEnd w:id="407"/>
      <w:bookmarkEnd w:id="408"/>
      <w:bookmarkEnd w:id="409"/>
      <w:bookmarkEnd w:id="410"/>
      <w:bookmarkEnd w:id="411"/>
      <w:bookmarkEnd w:id="412"/>
    </w:p>
    <w:p>
      <w:pPr>
        <w:spacing w:line="400" w:lineRule="exact"/>
        <w:rPr>
          <w:rFonts w:ascii="宋体" w:hAnsi="宋体" w:cs="宋体"/>
          <w:color w:val="auto"/>
          <w:highlight w:val="none"/>
        </w:rPr>
      </w:pPr>
    </w:p>
    <w:p>
      <w:pPr>
        <w:ind w:firstLine="422"/>
        <w:rPr>
          <w:b/>
          <w:color w:val="auto"/>
          <w:highlight w:val="none"/>
        </w:rPr>
      </w:pPr>
      <w:r>
        <w:rPr>
          <w:rFonts w:hint="eastAsia"/>
          <w:b/>
          <w:color w:val="auto"/>
          <w:highlight w:val="none"/>
        </w:rPr>
        <w:t>以</w:t>
      </w:r>
      <w:r>
        <w:rPr>
          <w:b/>
          <w:color w:val="auto"/>
          <w:highlight w:val="none"/>
        </w:rPr>
        <w:t>广州</w:t>
      </w:r>
      <w:r>
        <w:rPr>
          <w:rFonts w:hint="eastAsia"/>
          <w:b/>
          <w:color w:val="auto"/>
          <w:highlight w:val="none"/>
        </w:rPr>
        <w:t>公共</w:t>
      </w:r>
      <w:r>
        <w:rPr>
          <w:b/>
          <w:color w:val="auto"/>
          <w:highlight w:val="none"/>
        </w:rPr>
        <w:t>资源交易中心系统为准。</w:t>
      </w:r>
    </w:p>
    <w:p>
      <w:pPr>
        <w:pStyle w:val="17"/>
        <w:rPr>
          <w:b/>
          <w:bCs/>
          <w:color w:val="auto"/>
          <w:highlight w:val="none"/>
        </w:rPr>
      </w:pPr>
    </w:p>
    <w:p>
      <w:pPr>
        <w:spacing w:line="400" w:lineRule="exact"/>
        <w:jc w:val="center"/>
        <w:rPr>
          <w:rFonts w:ascii="宋体" w:hAnsi="宋体" w:cs="宋体"/>
          <w:strike/>
          <w:color w:val="auto"/>
          <w:sz w:val="28"/>
          <w:szCs w:val="28"/>
          <w:highlight w:val="none"/>
        </w:rPr>
      </w:pPr>
      <w:r>
        <w:rPr>
          <w:rFonts w:hint="eastAsia" w:ascii="宋体" w:hAnsi="宋体" w:cs="宋体"/>
          <w:strike/>
          <w:color w:val="auto"/>
          <w:sz w:val="28"/>
          <w:szCs w:val="28"/>
          <w:highlight w:val="none"/>
        </w:rPr>
        <w:t>（项目名称）招标开标记录表</w:t>
      </w:r>
    </w:p>
    <w:p>
      <w:pPr>
        <w:spacing w:line="400" w:lineRule="exact"/>
        <w:rPr>
          <w:rFonts w:ascii="宋体" w:hAnsi="宋体" w:cs="宋体"/>
          <w:strike/>
          <w:color w:val="auto"/>
          <w:highlight w:val="none"/>
        </w:rPr>
      </w:pPr>
    </w:p>
    <w:p>
      <w:pPr>
        <w:spacing w:line="360" w:lineRule="auto"/>
        <w:ind w:right="420"/>
        <w:jc w:val="right"/>
        <w:rPr>
          <w:rFonts w:ascii="宋体" w:hAnsi="宋体" w:cs="宋体"/>
          <w:strike/>
          <w:color w:val="auto"/>
          <w:highlight w:val="none"/>
        </w:rPr>
      </w:pPr>
      <w:r>
        <w:rPr>
          <w:rFonts w:hint="eastAsia" w:ascii="宋体" w:hAnsi="宋体" w:cs="宋体"/>
          <w:strike/>
          <w:color w:val="auto"/>
          <w:highlight w:val="none"/>
        </w:rPr>
        <w:t>开标时间：年月日时分</w:t>
      </w:r>
    </w:p>
    <w:tbl>
      <w:tblPr>
        <w:tblStyle w:val="3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665"/>
        <w:gridCol w:w="616"/>
        <w:gridCol w:w="634"/>
        <w:gridCol w:w="633"/>
        <w:gridCol w:w="833"/>
        <w:gridCol w:w="534"/>
        <w:gridCol w:w="453"/>
        <w:gridCol w:w="700"/>
        <w:gridCol w:w="918"/>
        <w:gridCol w:w="977"/>
        <w:gridCol w:w="851"/>
        <w:gridCol w:w="631"/>
        <w:gridCol w:w="634"/>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47" w:hRule="atLeast"/>
          <w:jc w:val="center"/>
        </w:trPr>
        <w:tc>
          <w:tcPr>
            <w:tcW w:w="466"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序号</w:t>
            </w:r>
          </w:p>
        </w:tc>
        <w:tc>
          <w:tcPr>
            <w:tcW w:w="665"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投标人名称</w:t>
            </w:r>
          </w:p>
        </w:tc>
        <w:tc>
          <w:tcPr>
            <w:tcW w:w="616"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投标文件递交情况</w:t>
            </w:r>
          </w:p>
        </w:tc>
        <w:tc>
          <w:tcPr>
            <w:tcW w:w="634"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投标文件解密情况</w:t>
            </w:r>
          </w:p>
        </w:tc>
        <w:tc>
          <w:tcPr>
            <w:tcW w:w="633"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投标担保递交情况</w:t>
            </w:r>
          </w:p>
        </w:tc>
        <w:tc>
          <w:tcPr>
            <w:tcW w:w="833"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项目负责人（兼施工负责人）</w:t>
            </w:r>
          </w:p>
        </w:tc>
        <w:tc>
          <w:tcPr>
            <w:tcW w:w="534"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设计负责人</w:t>
            </w:r>
          </w:p>
        </w:tc>
        <w:tc>
          <w:tcPr>
            <w:tcW w:w="453"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专职安全员</w:t>
            </w:r>
          </w:p>
        </w:tc>
        <w:tc>
          <w:tcPr>
            <w:tcW w:w="700"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投标总报价</w:t>
            </w:r>
          </w:p>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（元）</w:t>
            </w:r>
          </w:p>
        </w:tc>
        <w:tc>
          <w:tcPr>
            <w:tcW w:w="918"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设计费报价</w:t>
            </w:r>
          </w:p>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（元）</w:t>
            </w:r>
          </w:p>
        </w:tc>
        <w:tc>
          <w:tcPr>
            <w:tcW w:w="977"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施工费报价（元）</w:t>
            </w:r>
          </w:p>
        </w:tc>
        <w:tc>
          <w:tcPr>
            <w:tcW w:w="851"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工期</w:t>
            </w:r>
          </w:p>
        </w:tc>
        <w:tc>
          <w:tcPr>
            <w:tcW w:w="631" w:type="dxa"/>
            <w:vAlign w:val="center"/>
          </w:tcPr>
          <w:p>
            <w:pPr>
              <w:spacing w:line="360" w:lineRule="auto"/>
              <w:jc w:val="center"/>
              <w:rPr>
                <w:rFonts w:ascii="宋体" w:hAnsi="宋体" w:cs="宋体"/>
                <w:strike/>
                <w:color w:val="auto"/>
                <w:sz w:val="18"/>
                <w:szCs w:val="18"/>
                <w:highlight w:val="none"/>
              </w:rPr>
            </w:pPr>
            <w:r>
              <w:rPr>
                <w:rFonts w:hint="eastAsia" w:ascii="宋体" w:hAnsi="宋体" w:cs="宋体"/>
                <w:strike/>
                <w:color w:val="auto"/>
                <w:sz w:val="18"/>
                <w:szCs w:val="18"/>
                <w:highlight w:val="none"/>
              </w:rPr>
              <w:t>工程质量标准</w:t>
            </w:r>
          </w:p>
        </w:tc>
        <w:tc>
          <w:tcPr>
            <w:tcW w:w="634" w:type="dxa"/>
            <w:vAlign w:val="center"/>
          </w:tcPr>
          <w:p>
            <w:pPr>
              <w:spacing w:line="360" w:lineRule="auto"/>
              <w:jc w:val="center"/>
              <w:rPr>
                <w:rFonts w:ascii="宋体" w:hAnsi="宋体" w:cs="宋体"/>
                <w:strike/>
                <w:color w:val="auto"/>
                <w:sz w:val="18"/>
                <w:szCs w:val="18"/>
                <w:highlight w:val="none"/>
              </w:rPr>
            </w:pPr>
            <w:r>
              <w:rPr>
                <w:rFonts w:hint="eastAsia" w:ascii="宋体" w:hAnsi="宋体"/>
                <w:strike/>
                <w:color w:val="auto"/>
                <w:sz w:val="18"/>
                <w:szCs w:val="18"/>
                <w:highlight w:val="none"/>
              </w:rPr>
              <w:t>电脑机器特征码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6" w:hRule="atLeast"/>
          <w:jc w:val="center"/>
        </w:trPr>
        <w:tc>
          <w:tcPr>
            <w:tcW w:w="466" w:type="dxa"/>
          </w:tcPr>
          <w:p>
            <w:pPr>
              <w:spacing w:line="360" w:lineRule="auto"/>
              <w:rPr>
                <w:rFonts w:ascii="宋体" w:hAnsi="宋体" w:cs="宋体"/>
                <w:strike/>
                <w:color w:val="auto"/>
                <w:szCs w:val="21"/>
                <w:highlight w:val="none"/>
              </w:rPr>
            </w:pPr>
          </w:p>
        </w:tc>
        <w:tc>
          <w:tcPr>
            <w:tcW w:w="665" w:type="dxa"/>
          </w:tcPr>
          <w:p>
            <w:pPr>
              <w:spacing w:line="360" w:lineRule="auto"/>
              <w:rPr>
                <w:rFonts w:ascii="宋体" w:hAnsi="宋体" w:cs="宋体"/>
                <w:strike/>
                <w:color w:val="auto"/>
                <w:szCs w:val="21"/>
                <w:highlight w:val="none"/>
              </w:rPr>
            </w:pPr>
          </w:p>
        </w:tc>
        <w:tc>
          <w:tcPr>
            <w:tcW w:w="616"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c>
          <w:tcPr>
            <w:tcW w:w="633" w:type="dxa"/>
          </w:tcPr>
          <w:p>
            <w:pPr>
              <w:spacing w:line="360" w:lineRule="auto"/>
              <w:rPr>
                <w:rFonts w:ascii="宋体" w:hAnsi="宋体" w:cs="宋体"/>
                <w:strike/>
                <w:color w:val="auto"/>
                <w:szCs w:val="21"/>
                <w:highlight w:val="none"/>
              </w:rPr>
            </w:pPr>
          </w:p>
        </w:tc>
        <w:tc>
          <w:tcPr>
            <w:tcW w:w="833" w:type="dxa"/>
          </w:tcPr>
          <w:p>
            <w:pPr>
              <w:spacing w:line="360" w:lineRule="auto"/>
              <w:rPr>
                <w:rFonts w:ascii="宋体" w:hAnsi="宋体" w:cs="宋体"/>
                <w:strike/>
                <w:color w:val="auto"/>
                <w:szCs w:val="21"/>
                <w:highlight w:val="none"/>
              </w:rPr>
            </w:pPr>
          </w:p>
        </w:tc>
        <w:tc>
          <w:tcPr>
            <w:tcW w:w="534" w:type="dxa"/>
          </w:tcPr>
          <w:p>
            <w:pPr>
              <w:spacing w:line="360" w:lineRule="auto"/>
              <w:rPr>
                <w:rFonts w:ascii="宋体" w:hAnsi="宋体" w:cs="宋体"/>
                <w:strike/>
                <w:color w:val="auto"/>
                <w:szCs w:val="21"/>
                <w:highlight w:val="none"/>
              </w:rPr>
            </w:pPr>
          </w:p>
        </w:tc>
        <w:tc>
          <w:tcPr>
            <w:tcW w:w="453" w:type="dxa"/>
          </w:tcPr>
          <w:p>
            <w:pPr>
              <w:spacing w:line="360" w:lineRule="auto"/>
              <w:rPr>
                <w:rFonts w:ascii="宋体" w:hAnsi="宋体" w:cs="宋体"/>
                <w:strike/>
                <w:color w:val="auto"/>
                <w:szCs w:val="21"/>
                <w:highlight w:val="none"/>
              </w:rPr>
            </w:pPr>
          </w:p>
        </w:tc>
        <w:tc>
          <w:tcPr>
            <w:tcW w:w="700" w:type="dxa"/>
          </w:tcPr>
          <w:p>
            <w:pPr>
              <w:spacing w:line="360" w:lineRule="auto"/>
              <w:rPr>
                <w:rFonts w:ascii="宋体" w:hAnsi="宋体" w:cs="宋体"/>
                <w:strike/>
                <w:color w:val="auto"/>
                <w:szCs w:val="21"/>
                <w:highlight w:val="none"/>
              </w:rPr>
            </w:pPr>
          </w:p>
        </w:tc>
        <w:tc>
          <w:tcPr>
            <w:tcW w:w="918" w:type="dxa"/>
          </w:tcPr>
          <w:p>
            <w:pPr>
              <w:spacing w:line="360" w:lineRule="auto"/>
              <w:rPr>
                <w:rFonts w:ascii="宋体" w:hAnsi="宋体" w:cs="宋体"/>
                <w:strike/>
                <w:color w:val="auto"/>
                <w:szCs w:val="21"/>
                <w:highlight w:val="none"/>
              </w:rPr>
            </w:pPr>
          </w:p>
        </w:tc>
        <w:tc>
          <w:tcPr>
            <w:tcW w:w="977" w:type="dxa"/>
            <w:vAlign w:val="center"/>
          </w:tcPr>
          <w:p>
            <w:pPr>
              <w:spacing w:line="360" w:lineRule="auto"/>
              <w:rPr>
                <w:rFonts w:ascii="宋体" w:hAnsi="宋体" w:cs="宋体"/>
                <w:strike/>
                <w:color w:val="auto"/>
                <w:szCs w:val="21"/>
                <w:highlight w:val="none"/>
              </w:rPr>
            </w:pPr>
          </w:p>
        </w:tc>
        <w:tc>
          <w:tcPr>
            <w:tcW w:w="851" w:type="dxa"/>
            <w:vAlign w:val="center"/>
          </w:tcPr>
          <w:p>
            <w:pPr>
              <w:spacing w:line="360" w:lineRule="auto"/>
              <w:rPr>
                <w:rFonts w:ascii="宋体" w:hAnsi="宋体" w:cs="宋体"/>
                <w:strike/>
                <w:color w:val="auto"/>
                <w:szCs w:val="21"/>
                <w:highlight w:val="none"/>
              </w:rPr>
            </w:pPr>
          </w:p>
        </w:tc>
        <w:tc>
          <w:tcPr>
            <w:tcW w:w="631"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0" w:hRule="atLeast"/>
          <w:jc w:val="center"/>
        </w:trPr>
        <w:tc>
          <w:tcPr>
            <w:tcW w:w="466" w:type="dxa"/>
          </w:tcPr>
          <w:p>
            <w:pPr>
              <w:spacing w:line="360" w:lineRule="auto"/>
              <w:rPr>
                <w:rFonts w:ascii="宋体" w:hAnsi="宋体" w:cs="宋体"/>
                <w:strike/>
                <w:color w:val="auto"/>
                <w:szCs w:val="21"/>
                <w:highlight w:val="none"/>
              </w:rPr>
            </w:pPr>
          </w:p>
        </w:tc>
        <w:tc>
          <w:tcPr>
            <w:tcW w:w="665" w:type="dxa"/>
          </w:tcPr>
          <w:p>
            <w:pPr>
              <w:spacing w:line="360" w:lineRule="auto"/>
              <w:rPr>
                <w:rFonts w:ascii="宋体" w:hAnsi="宋体" w:cs="宋体"/>
                <w:strike/>
                <w:color w:val="auto"/>
                <w:szCs w:val="21"/>
                <w:highlight w:val="none"/>
              </w:rPr>
            </w:pPr>
          </w:p>
        </w:tc>
        <w:tc>
          <w:tcPr>
            <w:tcW w:w="616"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c>
          <w:tcPr>
            <w:tcW w:w="633" w:type="dxa"/>
          </w:tcPr>
          <w:p>
            <w:pPr>
              <w:spacing w:line="360" w:lineRule="auto"/>
              <w:rPr>
                <w:rFonts w:ascii="宋体" w:hAnsi="宋体" w:cs="宋体"/>
                <w:strike/>
                <w:color w:val="auto"/>
                <w:szCs w:val="21"/>
                <w:highlight w:val="none"/>
              </w:rPr>
            </w:pPr>
          </w:p>
        </w:tc>
        <w:tc>
          <w:tcPr>
            <w:tcW w:w="833" w:type="dxa"/>
          </w:tcPr>
          <w:p>
            <w:pPr>
              <w:spacing w:line="360" w:lineRule="auto"/>
              <w:rPr>
                <w:rFonts w:ascii="宋体" w:hAnsi="宋体" w:cs="宋体"/>
                <w:strike/>
                <w:color w:val="auto"/>
                <w:szCs w:val="21"/>
                <w:highlight w:val="none"/>
              </w:rPr>
            </w:pPr>
          </w:p>
        </w:tc>
        <w:tc>
          <w:tcPr>
            <w:tcW w:w="534" w:type="dxa"/>
          </w:tcPr>
          <w:p>
            <w:pPr>
              <w:spacing w:line="360" w:lineRule="auto"/>
              <w:rPr>
                <w:rFonts w:ascii="宋体" w:hAnsi="宋体" w:cs="宋体"/>
                <w:strike/>
                <w:color w:val="auto"/>
                <w:szCs w:val="21"/>
                <w:highlight w:val="none"/>
              </w:rPr>
            </w:pPr>
          </w:p>
        </w:tc>
        <w:tc>
          <w:tcPr>
            <w:tcW w:w="453" w:type="dxa"/>
          </w:tcPr>
          <w:p>
            <w:pPr>
              <w:spacing w:line="360" w:lineRule="auto"/>
              <w:rPr>
                <w:rFonts w:ascii="宋体" w:hAnsi="宋体" w:cs="宋体"/>
                <w:strike/>
                <w:color w:val="auto"/>
                <w:szCs w:val="21"/>
                <w:highlight w:val="none"/>
              </w:rPr>
            </w:pPr>
          </w:p>
        </w:tc>
        <w:tc>
          <w:tcPr>
            <w:tcW w:w="700" w:type="dxa"/>
          </w:tcPr>
          <w:p>
            <w:pPr>
              <w:spacing w:line="360" w:lineRule="auto"/>
              <w:rPr>
                <w:rFonts w:ascii="宋体" w:hAnsi="宋体" w:cs="宋体"/>
                <w:strike/>
                <w:color w:val="auto"/>
                <w:szCs w:val="21"/>
                <w:highlight w:val="none"/>
              </w:rPr>
            </w:pPr>
          </w:p>
        </w:tc>
        <w:tc>
          <w:tcPr>
            <w:tcW w:w="918" w:type="dxa"/>
          </w:tcPr>
          <w:p>
            <w:pPr>
              <w:spacing w:line="360" w:lineRule="auto"/>
              <w:rPr>
                <w:rFonts w:ascii="宋体" w:hAnsi="宋体" w:cs="宋体"/>
                <w:strike/>
                <w:color w:val="auto"/>
                <w:szCs w:val="21"/>
                <w:highlight w:val="none"/>
              </w:rPr>
            </w:pPr>
          </w:p>
        </w:tc>
        <w:tc>
          <w:tcPr>
            <w:tcW w:w="977" w:type="dxa"/>
          </w:tcPr>
          <w:p>
            <w:pPr>
              <w:spacing w:line="360" w:lineRule="auto"/>
              <w:rPr>
                <w:rFonts w:ascii="宋体" w:hAnsi="宋体" w:cs="宋体"/>
                <w:strike/>
                <w:color w:val="auto"/>
                <w:szCs w:val="21"/>
                <w:highlight w:val="none"/>
              </w:rPr>
            </w:pPr>
          </w:p>
        </w:tc>
        <w:tc>
          <w:tcPr>
            <w:tcW w:w="851" w:type="dxa"/>
          </w:tcPr>
          <w:p>
            <w:pPr>
              <w:spacing w:line="360" w:lineRule="auto"/>
              <w:rPr>
                <w:rFonts w:ascii="宋体" w:hAnsi="宋体" w:cs="宋体"/>
                <w:strike/>
                <w:color w:val="auto"/>
                <w:szCs w:val="21"/>
                <w:highlight w:val="none"/>
              </w:rPr>
            </w:pPr>
          </w:p>
        </w:tc>
        <w:tc>
          <w:tcPr>
            <w:tcW w:w="631"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6" w:hRule="atLeast"/>
          <w:jc w:val="center"/>
        </w:trPr>
        <w:tc>
          <w:tcPr>
            <w:tcW w:w="466" w:type="dxa"/>
          </w:tcPr>
          <w:p>
            <w:pPr>
              <w:spacing w:line="360" w:lineRule="auto"/>
              <w:rPr>
                <w:rFonts w:ascii="宋体" w:hAnsi="宋体" w:cs="宋体"/>
                <w:strike/>
                <w:color w:val="auto"/>
                <w:szCs w:val="21"/>
                <w:highlight w:val="none"/>
              </w:rPr>
            </w:pPr>
          </w:p>
        </w:tc>
        <w:tc>
          <w:tcPr>
            <w:tcW w:w="665" w:type="dxa"/>
          </w:tcPr>
          <w:p>
            <w:pPr>
              <w:spacing w:line="360" w:lineRule="auto"/>
              <w:rPr>
                <w:rFonts w:ascii="宋体" w:hAnsi="宋体" w:cs="宋体"/>
                <w:strike/>
                <w:color w:val="auto"/>
                <w:szCs w:val="21"/>
                <w:highlight w:val="none"/>
              </w:rPr>
            </w:pPr>
          </w:p>
        </w:tc>
        <w:tc>
          <w:tcPr>
            <w:tcW w:w="616"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c>
          <w:tcPr>
            <w:tcW w:w="633" w:type="dxa"/>
          </w:tcPr>
          <w:p>
            <w:pPr>
              <w:spacing w:line="360" w:lineRule="auto"/>
              <w:rPr>
                <w:rFonts w:ascii="宋体" w:hAnsi="宋体" w:cs="宋体"/>
                <w:strike/>
                <w:color w:val="auto"/>
                <w:szCs w:val="21"/>
                <w:highlight w:val="none"/>
              </w:rPr>
            </w:pPr>
          </w:p>
        </w:tc>
        <w:tc>
          <w:tcPr>
            <w:tcW w:w="833" w:type="dxa"/>
          </w:tcPr>
          <w:p>
            <w:pPr>
              <w:spacing w:line="360" w:lineRule="auto"/>
              <w:rPr>
                <w:rFonts w:ascii="宋体" w:hAnsi="宋体" w:cs="宋体"/>
                <w:strike/>
                <w:color w:val="auto"/>
                <w:szCs w:val="21"/>
                <w:highlight w:val="none"/>
              </w:rPr>
            </w:pPr>
          </w:p>
        </w:tc>
        <w:tc>
          <w:tcPr>
            <w:tcW w:w="534" w:type="dxa"/>
          </w:tcPr>
          <w:p>
            <w:pPr>
              <w:spacing w:line="360" w:lineRule="auto"/>
              <w:rPr>
                <w:rFonts w:ascii="宋体" w:hAnsi="宋体" w:cs="宋体"/>
                <w:strike/>
                <w:color w:val="auto"/>
                <w:szCs w:val="21"/>
                <w:highlight w:val="none"/>
              </w:rPr>
            </w:pPr>
          </w:p>
        </w:tc>
        <w:tc>
          <w:tcPr>
            <w:tcW w:w="453" w:type="dxa"/>
          </w:tcPr>
          <w:p>
            <w:pPr>
              <w:spacing w:line="360" w:lineRule="auto"/>
              <w:rPr>
                <w:rFonts w:ascii="宋体" w:hAnsi="宋体" w:cs="宋体"/>
                <w:strike/>
                <w:color w:val="auto"/>
                <w:szCs w:val="21"/>
                <w:highlight w:val="none"/>
              </w:rPr>
            </w:pPr>
          </w:p>
        </w:tc>
        <w:tc>
          <w:tcPr>
            <w:tcW w:w="700" w:type="dxa"/>
          </w:tcPr>
          <w:p>
            <w:pPr>
              <w:spacing w:line="360" w:lineRule="auto"/>
              <w:rPr>
                <w:rFonts w:ascii="宋体" w:hAnsi="宋体" w:cs="宋体"/>
                <w:strike/>
                <w:color w:val="auto"/>
                <w:szCs w:val="21"/>
                <w:highlight w:val="none"/>
              </w:rPr>
            </w:pPr>
          </w:p>
        </w:tc>
        <w:tc>
          <w:tcPr>
            <w:tcW w:w="918" w:type="dxa"/>
          </w:tcPr>
          <w:p>
            <w:pPr>
              <w:spacing w:line="360" w:lineRule="auto"/>
              <w:rPr>
                <w:rFonts w:ascii="宋体" w:hAnsi="宋体" w:cs="宋体"/>
                <w:strike/>
                <w:color w:val="auto"/>
                <w:szCs w:val="21"/>
                <w:highlight w:val="none"/>
              </w:rPr>
            </w:pPr>
          </w:p>
        </w:tc>
        <w:tc>
          <w:tcPr>
            <w:tcW w:w="977" w:type="dxa"/>
          </w:tcPr>
          <w:p>
            <w:pPr>
              <w:spacing w:line="360" w:lineRule="auto"/>
              <w:rPr>
                <w:rFonts w:ascii="宋体" w:hAnsi="宋体" w:cs="宋体"/>
                <w:strike/>
                <w:color w:val="auto"/>
                <w:szCs w:val="21"/>
                <w:highlight w:val="none"/>
              </w:rPr>
            </w:pPr>
          </w:p>
        </w:tc>
        <w:tc>
          <w:tcPr>
            <w:tcW w:w="851" w:type="dxa"/>
          </w:tcPr>
          <w:p>
            <w:pPr>
              <w:spacing w:line="360" w:lineRule="auto"/>
              <w:rPr>
                <w:rFonts w:ascii="宋体" w:hAnsi="宋体" w:cs="宋体"/>
                <w:strike/>
                <w:color w:val="auto"/>
                <w:szCs w:val="21"/>
                <w:highlight w:val="none"/>
              </w:rPr>
            </w:pPr>
          </w:p>
        </w:tc>
        <w:tc>
          <w:tcPr>
            <w:tcW w:w="631"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0" w:hRule="atLeast"/>
          <w:jc w:val="center"/>
        </w:trPr>
        <w:tc>
          <w:tcPr>
            <w:tcW w:w="466" w:type="dxa"/>
          </w:tcPr>
          <w:p>
            <w:pPr>
              <w:spacing w:line="360" w:lineRule="auto"/>
              <w:rPr>
                <w:rFonts w:ascii="宋体" w:hAnsi="宋体" w:cs="宋体"/>
                <w:strike/>
                <w:color w:val="auto"/>
                <w:szCs w:val="21"/>
                <w:highlight w:val="none"/>
              </w:rPr>
            </w:pPr>
          </w:p>
        </w:tc>
        <w:tc>
          <w:tcPr>
            <w:tcW w:w="665" w:type="dxa"/>
          </w:tcPr>
          <w:p>
            <w:pPr>
              <w:spacing w:line="360" w:lineRule="auto"/>
              <w:rPr>
                <w:rFonts w:ascii="宋体" w:hAnsi="宋体" w:cs="宋体"/>
                <w:strike/>
                <w:color w:val="auto"/>
                <w:szCs w:val="21"/>
                <w:highlight w:val="none"/>
              </w:rPr>
            </w:pPr>
          </w:p>
        </w:tc>
        <w:tc>
          <w:tcPr>
            <w:tcW w:w="616"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c>
          <w:tcPr>
            <w:tcW w:w="633" w:type="dxa"/>
          </w:tcPr>
          <w:p>
            <w:pPr>
              <w:spacing w:line="360" w:lineRule="auto"/>
              <w:rPr>
                <w:rFonts w:ascii="宋体" w:hAnsi="宋体" w:cs="宋体"/>
                <w:strike/>
                <w:color w:val="auto"/>
                <w:szCs w:val="21"/>
                <w:highlight w:val="none"/>
              </w:rPr>
            </w:pPr>
          </w:p>
        </w:tc>
        <w:tc>
          <w:tcPr>
            <w:tcW w:w="833" w:type="dxa"/>
          </w:tcPr>
          <w:p>
            <w:pPr>
              <w:spacing w:line="360" w:lineRule="auto"/>
              <w:rPr>
                <w:rFonts w:ascii="宋体" w:hAnsi="宋体" w:cs="宋体"/>
                <w:strike/>
                <w:color w:val="auto"/>
                <w:szCs w:val="21"/>
                <w:highlight w:val="none"/>
              </w:rPr>
            </w:pPr>
          </w:p>
        </w:tc>
        <w:tc>
          <w:tcPr>
            <w:tcW w:w="534" w:type="dxa"/>
          </w:tcPr>
          <w:p>
            <w:pPr>
              <w:spacing w:line="360" w:lineRule="auto"/>
              <w:rPr>
                <w:rFonts w:ascii="宋体" w:hAnsi="宋体" w:cs="宋体"/>
                <w:strike/>
                <w:color w:val="auto"/>
                <w:szCs w:val="21"/>
                <w:highlight w:val="none"/>
              </w:rPr>
            </w:pPr>
          </w:p>
        </w:tc>
        <w:tc>
          <w:tcPr>
            <w:tcW w:w="453" w:type="dxa"/>
          </w:tcPr>
          <w:p>
            <w:pPr>
              <w:spacing w:line="360" w:lineRule="auto"/>
              <w:rPr>
                <w:rFonts w:ascii="宋体" w:hAnsi="宋体" w:cs="宋体"/>
                <w:strike/>
                <w:color w:val="auto"/>
                <w:szCs w:val="21"/>
                <w:highlight w:val="none"/>
              </w:rPr>
            </w:pPr>
          </w:p>
        </w:tc>
        <w:tc>
          <w:tcPr>
            <w:tcW w:w="700" w:type="dxa"/>
          </w:tcPr>
          <w:p>
            <w:pPr>
              <w:spacing w:line="360" w:lineRule="auto"/>
              <w:rPr>
                <w:rFonts w:ascii="宋体" w:hAnsi="宋体" w:cs="宋体"/>
                <w:strike/>
                <w:color w:val="auto"/>
                <w:szCs w:val="21"/>
                <w:highlight w:val="none"/>
              </w:rPr>
            </w:pPr>
          </w:p>
        </w:tc>
        <w:tc>
          <w:tcPr>
            <w:tcW w:w="918" w:type="dxa"/>
          </w:tcPr>
          <w:p>
            <w:pPr>
              <w:spacing w:line="360" w:lineRule="auto"/>
              <w:rPr>
                <w:rFonts w:ascii="宋体" w:hAnsi="宋体" w:cs="宋体"/>
                <w:strike/>
                <w:color w:val="auto"/>
                <w:szCs w:val="21"/>
                <w:highlight w:val="none"/>
              </w:rPr>
            </w:pPr>
          </w:p>
        </w:tc>
        <w:tc>
          <w:tcPr>
            <w:tcW w:w="977" w:type="dxa"/>
          </w:tcPr>
          <w:p>
            <w:pPr>
              <w:spacing w:line="360" w:lineRule="auto"/>
              <w:rPr>
                <w:rFonts w:ascii="宋体" w:hAnsi="宋体" w:cs="宋体"/>
                <w:strike/>
                <w:color w:val="auto"/>
                <w:szCs w:val="21"/>
                <w:highlight w:val="none"/>
              </w:rPr>
            </w:pPr>
          </w:p>
        </w:tc>
        <w:tc>
          <w:tcPr>
            <w:tcW w:w="851" w:type="dxa"/>
          </w:tcPr>
          <w:p>
            <w:pPr>
              <w:spacing w:line="360" w:lineRule="auto"/>
              <w:rPr>
                <w:rFonts w:ascii="宋体" w:hAnsi="宋体" w:cs="宋体"/>
                <w:strike/>
                <w:color w:val="auto"/>
                <w:szCs w:val="21"/>
                <w:highlight w:val="none"/>
              </w:rPr>
            </w:pPr>
          </w:p>
        </w:tc>
        <w:tc>
          <w:tcPr>
            <w:tcW w:w="631" w:type="dxa"/>
          </w:tcPr>
          <w:p>
            <w:pPr>
              <w:spacing w:line="360" w:lineRule="auto"/>
              <w:rPr>
                <w:rFonts w:ascii="宋体" w:hAnsi="宋体" w:cs="宋体"/>
                <w:strike/>
                <w:color w:val="auto"/>
                <w:szCs w:val="21"/>
                <w:highlight w:val="none"/>
              </w:rPr>
            </w:pPr>
          </w:p>
        </w:tc>
        <w:tc>
          <w:tcPr>
            <w:tcW w:w="634" w:type="dxa"/>
          </w:tcPr>
          <w:p>
            <w:pPr>
              <w:spacing w:line="360" w:lineRule="auto"/>
              <w:rPr>
                <w:rFonts w:ascii="宋体" w:hAnsi="宋体" w:cs="宋体"/>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565" w:type="dxa"/>
            <w:gridSpan w:val="15"/>
          </w:tcPr>
          <w:p>
            <w:pPr>
              <w:spacing w:line="360" w:lineRule="auto"/>
              <w:rPr>
                <w:rFonts w:ascii="宋体" w:hAnsi="宋体" w:cs="宋体"/>
                <w:strike/>
                <w:color w:val="auto"/>
                <w:szCs w:val="21"/>
                <w:highlight w:val="none"/>
              </w:rPr>
            </w:pPr>
            <w:r>
              <w:rPr>
                <w:rFonts w:hint="eastAsia" w:ascii="宋体" w:hAnsi="宋体" w:cs="宋体"/>
                <w:strike/>
                <w:color w:val="auto"/>
                <w:szCs w:val="21"/>
                <w:highlight w:val="none"/>
              </w:rPr>
              <w:t>投标最高限价：</w:t>
            </w:r>
          </w:p>
        </w:tc>
      </w:tr>
    </w:tbl>
    <w:p>
      <w:pPr>
        <w:spacing w:line="400" w:lineRule="exact"/>
        <w:ind w:right="420"/>
        <w:rPr>
          <w:rFonts w:ascii="宋体" w:hAnsi="宋体" w:cs="宋体"/>
          <w:strike/>
          <w:color w:val="auto"/>
          <w:szCs w:val="21"/>
          <w:highlight w:val="none"/>
        </w:rPr>
      </w:pPr>
      <w:r>
        <w:rPr>
          <w:rFonts w:hint="eastAsia" w:ascii="宋体" w:hAnsi="宋体" w:cs="宋体"/>
          <w:strike/>
          <w:color w:val="auto"/>
          <w:szCs w:val="21"/>
          <w:highlight w:val="none"/>
        </w:rPr>
        <w:t>招标人代表： 记录人： 监标人：</w:t>
      </w:r>
    </w:p>
    <w:p>
      <w:pPr>
        <w:spacing w:line="620" w:lineRule="exact"/>
        <w:rPr>
          <w:rFonts w:ascii="宋体" w:hAnsi="宋体" w:cs="宋体"/>
          <w:strike/>
          <w:color w:val="auto"/>
          <w:sz w:val="20"/>
          <w:szCs w:val="20"/>
          <w:highlight w:val="none"/>
        </w:rPr>
      </w:pPr>
      <w:r>
        <w:rPr>
          <w:rFonts w:hint="eastAsia" w:ascii="宋体" w:hAnsi="宋体" w:cs="宋体"/>
          <w:strike/>
          <w:color w:val="auto"/>
          <w:szCs w:val="21"/>
          <w:highlight w:val="none"/>
        </w:rPr>
        <w:t>年月日</w:t>
      </w:r>
    </w:p>
    <w:p>
      <w:pPr>
        <w:pStyle w:val="5"/>
        <w:rPr>
          <w:rFonts w:ascii="宋体" w:eastAsia="宋体" w:cs="宋体"/>
          <w:color w:val="auto"/>
          <w:highlight w:val="none"/>
        </w:rPr>
      </w:pPr>
      <w:r>
        <w:rPr>
          <w:rFonts w:hint="eastAsia" w:ascii="宋体" w:eastAsia="宋体" w:cs="宋体"/>
          <w:color w:val="auto"/>
          <w:highlight w:val="none"/>
        </w:rPr>
        <w:br w:type="page"/>
      </w:r>
      <w:bookmarkStart w:id="413" w:name="_Toc7969"/>
      <w:r>
        <w:rPr>
          <w:rFonts w:hint="eastAsia" w:ascii="宋体" w:eastAsia="宋体" w:cs="宋体"/>
          <w:color w:val="auto"/>
          <w:highlight w:val="none"/>
        </w:rPr>
        <w:t>附件二：问题澄清通知</w:t>
      </w:r>
      <w:bookmarkEnd w:id="413"/>
    </w:p>
    <w:p>
      <w:pPr>
        <w:spacing w:line="440" w:lineRule="exact"/>
        <w:jc w:val="center"/>
        <w:rPr>
          <w:rFonts w:ascii="宋体" w:hAnsi="宋体" w:cs="宋体"/>
          <w:color w:val="auto"/>
          <w:szCs w:val="21"/>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问题澄清通知</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编号：</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（投标人名称）：</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（项目名称）招标的评标委员会，对你方的投标文件进行了仔细的审查，现需你方对下列问题以书面形式予以澄清：</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1.</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2.</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请将上述问题的澄清于年月日时前递交至（详细地址）或传真至</w:t>
      </w:r>
      <w:bookmarkStart w:id="414" w:name="_Toc300835003"/>
      <w:bookmarkStart w:id="415" w:name="_Toc152045582"/>
      <w:bookmarkStart w:id="416" w:name="_Toc356469229"/>
      <w:bookmarkStart w:id="417" w:name="_Toc152042359"/>
      <w:bookmarkStart w:id="418" w:name="_Toc247527607"/>
      <w:bookmarkStart w:id="419" w:name="_Toc144974549"/>
      <w:bookmarkStart w:id="420" w:name="_Toc247514006"/>
      <w:bookmarkStart w:id="421" w:name="_Toc439240650"/>
      <w:bookmarkStart w:id="422" w:name="_Toc357089563"/>
      <w:bookmarkStart w:id="423" w:name="_Toc439246049"/>
      <w:r>
        <w:rPr>
          <w:rFonts w:hint="eastAsia" w:ascii="宋体" w:hAnsi="宋体" w:cs="宋体"/>
          <w:color w:val="auto"/>
          <w:szCs w:val="21"/>
          <w:highlight w:val="none"/>
        </w:rPr>
        <w:t>（传真号码</w:t>
      </w:r>
      <w:bookmarkEnd w:id="414"/>
      <w:bookmarkEnd w:id="415"/>
      <w:bookmarkEnd w:id="416"/>
      <w:bookmarkEnd w:id="417"/>
      <w:bookmarkEnd w:id="418"/>
      <w:bookmarkEnd w:id="419"/>
      <w:bookmarkEnd w:id="420"/>
      <w:bookmarkEnd w:id="421"/>
      <w:bookmarkEnd w:id="422"/>
      <w:bookmarkEnd w:id="423"/>
      <w:r>
        <w:rPr>
          <w:rFonts w:hint="eastAsia" w:ascii="宋体" w:hAnsi="宋体" w:cs="宋体"/>
          <w:color w:val="auto"/>
          <w:szCs w:val="21"/>
          <w:highlight w:val="none"/>
        </w:rPr>
        <w:t>）。采用传真方式的，应在年月日时前将原件递交至（详细地址）。</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评标委员会</w:t>
      </w:r>
    </w:p>
    <w:p>
      <w:pPr>
        <w:spacing w:line="440" w:lineRule="exact"/>
        <w:rPr>
          <w:rFonts w:ascii="宋体" w:hAnsi="宋体" w:cs="宋体"/>
          <w:color w:val="auto"/>
          <w:szCs w:val="21"/>
          <w:highlight w:val="none"/>
        </w:rPr>
      </w:pPr>
    </w:p>
    <w:p>
      <w:pPr>
        <w:spacing w:line="440" w:lineRule="exact"/>
        <w:ind w:firstLine="5670" w:firstLineChars="2700"/>
        <w:rPr>
          <w:rFonts w:ascii="宋体" w:hAnsi="宋体" w:cs="宋体"/>
          <w:color w:val="auto"/>
          <w:szCs w:val="21"/>
          <w:highlight w:val="none"/>
        </w:rPr>
      </w:pPr>
      <w:r>
        <w:rPr>
          <w:rFonts w:hint="eastAsia" w:ascii="宋体" w:hAnsi="宋体" w:cs="宋体"/>
          <w:color w:val="auto"/>
          <w:szCs w:val="21"/>
          <w:highlight w:val="none"/>
        </w:rPr>
        <w:t>年  月  日</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r>
        <w:rPr>
          <w:rFonts w:hint="eastAsia" w:ascii="宋体" w:hAnsi="宋体" w:cs="宋体"/>
          <w:color w:val="auto"/>
          <w:highlight w:val="none"/>
        </w:rPr>
        <w:br w:type="page"/>
      </w:r>
    </w:p>
    <w:p>
      <w:pPr>
        <w:pStyle w:val="5"/>
        <w:rPr>
          <w:rFonts w:ascii="宋体" w:eastAsia="宋体" w:cs="宋体"/>
          <w:color w:val="auto"/>
          <w:highlight w:val="none"/>
        </w:rPr>
      </w:pPr>
      <w:bookmarkStart w:id="424" w:name="_Toc4953"/>
      <w:r>
        <w:rPr>
          <w:rFonts w:hint="eastAsia" w:ascii="宋体" w:eastAsia="宋体" w:cs="宋体"/>
          <w:color w:val="auto"/>
          <w:highlight w:val="none"/>
        </w:rPr>
        <w:t>附件三：问题的澄清</w:t>
      </w:r>
      <w:bookmarkEnd w:id="424"/>
    </w:p>
    <w:p>
      <w:pPr>
        <w:spacing w:line="400" w:lineRule="exact"/>
        <w:jc w:val="center"/>
        <w:rPr>
          <w:rFonts w:ascii="宋体" w:hAnsi="宋体" w:cs="宋体"/>
          <w:color w:val="auto"/>
          <w:sz w:val="28"/>
          <w:szCs w:val="28"/>
          <w:highlight w:val="none"/>
        </w:rPr>
      </w:pPr>
    </w:p>
    <w:p>
      <w:pPr>
        <w:spacing w:line="40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问题的澄清</w:t>
      </w:r>
    </w:p>
    <w:p>
      <w:pPr>
        <w:spacing w:line="400" w:lineRule="exact"/>
        <w:ind w:firstLine="3465" w:firstLineChars="1650"/>
        <w:rPr>
          <w:rFonts w:ascii="宋体" w:hAnsi="宋体" w:cs="宋体"/>
          <w:color w:val="auto"/>
          <w:highlight w:val="none"/>
        </w:rPr>
      </w:pPr>
      <w:r>
        <w:rPr>
          <w:rFonts w:hint="eastAsia" w:ascii="宋体" w:hAnsi="宋体" w:cs="宋体"/>
          <w:color w:val="auto"/>
          <w:highlight w:val="none"/>
        </w:rPr>
        <w:t xml:space="preserve">编号： </w:t>
      </w:r>
    </w:p>
    <w:p>
      <w:pPr>
        <w:spacing w:line="40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（项目名称）招标评标委员会：</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问题澄清通知（编号：）已收悉，现澄清如下：</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1.</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2.</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rPr>
      </w:pPr>
      <w:bookmarkStart w:id="587" w:name="_GoBack"/>
      <w:bookmarkEnd w:id="587"/>
    </w:p>
    <w:p>
      <w:pPr>
        <w:spacing w:line="440" w:lineRule="exact"/>
        <w:rPr>
          <w:rFonts w:ascii="宋体" w:hAnsi="宋体" w:cs="宋体"/>
          <w:color w:val="auto"/>
          <w:szCs w:val="21"/>
          <w:highlight w:val="none"/>
        </w:rPr>
      </w:pPr>
      <w:r>
        <w:rPr>
          <w:rFonts w:hint="eastAsia" w:ascii="宋体" w:hAnsi="宋体" w:cs="宋体"/>
          <w:color w:val="auto"/>
          <w:szCs w:val="21"/>
          <w:highlight w:val="none"/>
        </w:rPr>
        <w:t>　　　　　　　　　　　　　　　投标人：（盖单位章）</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法定代表人或其委托代理人：（签字）</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　　　　　　</w:t>
      </w:r>
      <w:bookmarkStart w:id="425" w:name="_Toc247527608"/>
      <w:bookmarkStart w:id="426" w:name="_Toc144974550"/>
      <w:bookmarkStart w:id="427" w:name="_Toc300835004"/>
      <w:bookmarkStart w:id="428" w:name="_Toc152042360"/>
      <w:bookmarkStart w:id="429" w:name="_Toc356469230"/>
      <w:bookmarkStart w:id="430" w:name="_Toc247514007"/>
      <w:bookmarkStart w:id="431" w:name="_Toc357089564"/>
      <w:bookmarkStart w:id="432" w:name="_Toc439246050"/>
      <w:bookmarkStart w:id="433" w:name="_Toc152045583"/>
      <w:bookmarkStart w:id="434" w:name="_Toc439240651"/>
      <w:r>
        <w:rPr>
          <w:rFonts w:hint="eastAsia" w:ascii="宋体" w:hAnsi="宋体" w:cs="宋体"/>
          <w:color w:val="auto"/>
          <w:szCs w:val="21"/>
          <w:highlight w:val="none"/>
        </w:rPr>
        <w:t>　　　　　　　　　</w:t>
      </w:r>
      <w:bookmarkEnd w:id="425"/>
      <w:bookmarkEnd w:id="426"/>
      <w:bookmarkEnd w:id="427"/>
      <w:bookmarkEnd w:id="428"/>
      <w:bookmarkEnd w:id="429"/>
      <w:bookmarkEnd w:id="430"/>
      <w:bookmarkEnd w:id="431"/>
      <w:bookmarkEnd w:id="432"/>
      <w:bookmarkEnd w:id="433"/>
      <w:bookmarkEnd w:id="434"/>
    </w:p>
    <w:p>
      <w:pPr>
        <w:spacing w:line="440" w:lineRule="exact"/>
        <w:rPr>
          <w:rFonts w:ascii="宋体" w:hAnsi="宋体" w:cs="宋体"/>
          <w:color w:val="auto"/>
          <w:szCs w:val="21"/>
          <w:highlight w:val="none"/>
        </w:rPr>
      </w:pPr>
      <w:r>
        <w:rPr>
          <w:rFonts w:hint="eastAsia" w:ascii="宋体" w:hAnsi="宋体" w:cs="宋体"/>
          <w:color w:val="auto"/>
          <w:szCs w:val="21"/>
          <w:highlight w:val="none"/>
        </w:rPr>
        <w:t>　　　　　　　　　　　　　　　        年  月   日</w:t>
      </w:r>
    </w:p>
    <w:p>
      <w:pPr>
        <w:spacing w:line="440" w:lineRule="exact"/>
        <w:rPr>
          <w:rFonts w:ascii="宋体" w:hAnsi="宋体" w:cs="宋体"/>
          <w:color w:val="auto"/>
          <w:highlight w:val="none"/>
        </w:rPr>
      </w:pPr>
    </w:p>
    <w:p>
      <w:pPr>
        <w:pStyle w:val="36"/>
        <w:rPr>
          <w:rFonts w:ascii="宋体" w:hAnsi="宋体" w:cs="宋体"/>
          <w:color w:val="auto"/>
          <w:highlight w:val="none"/>
        </w:rPr>
      </w:pPr>
    </w:p>
    <w:p>
      <w:pPr>
        <w:pStyle w:val="36"/>
        <w:rPr>
          <w:rFonts w:ascii="宋体" w:hAnsi="宋体" w:cs="宋体"/>
          <w:color w:val="auto"/>
          <w:highlight w:val="none"/>
        </w:rPr>
      </w:pPr>
    </w:p>
    <w:p>
      <w:pPr>
        <w:pStyle w:val="3"/>
        <w:jc w:val="center"/>
        <w:rPr>
          <w:rFonts w:ascii="宋体" w:hAnsi="宋体" w:cs="宋体"/>
          <w:color w:val="auto"/>
          <w:highlight w:val="none"/>
        </w:rPr>
      </w:pPr>
      <w:bookmarkStart w:id="435" w:name="_Toc152045598"/>
      <w:bookmarkStart w:id="436" w:name="_Toc247527623"/>
      <w:bookmarkStart w:id="437" w:name="_Toc152042375"/>
      <w:bookmarkStart w:id="438" w:name="_Toc23959"/>
      <w:bookmarkStart w:id="439" w:name="_Toc144974565"/>
      <w:bookmarkStart w:id="440" w:name="_Toc247514022"/>
      <w:bookmarkStart w:id="441" w:name="_Toc19336"/>
      <w:r>
        <w:rPr>
          <w:rFonts w:hint="eastAsia" w:ascii="宋体" w:hAnsi="宋体" w:cs="宋体"/>
          <w:color w:val="auto"/>
          <w:highlight w:val="none"/>
        </w:rPr>
        <w:t xml:space="preserve">第三章 </w:t>
      </w:r>
      <w:bookmarkEnd w:id="435"/>
      <w:bookmarkEnd w:id="436"/>
      <w:bookmarkEnd w:id="437"/>
      <w:bookmarkEnd w:id="438"/>
      <w:bookmarkEnd w:id="439"/>
      <w:bookmarkEnd w:id="440"/>
      <w:bookmarkStart w:id="442" w:name="_Toc247527634"/>
      <w:bookmarkStart w:id="443" w:name="_Toc13796"/>
      <w:bookmarkStart w:id="444" w:name="_Toc152042387"/>
      <w:bookmarkStart w:id="445" w:name="_Toc152045609"/>
      <w:bookmarkStart w:id="446" w:name="_Toc247514033"/>
      <w:bookmarkStart w:id="447" w:name="_Toc144974577"/>
      <w:r>
        <w:rPr>
          <w:rFonts w:hint="eastAsia" w:ascii="宋体" w:hAnsi="宋体" w:cs="宋体"/>
          <w:color w:val="auto"/>
          <w:highlight w:val="none"/>
        </w:rPr>
        <w:t>评标办法（综合评估法）</w:t>
      </w:r>
      <w:bookmarkEnd w:id="441"/>
      <w:bookmarkStart w:id="448" w:name="_Toc152045599"/>
      <w:bookmarkStart w:id="449" w:name="_Toc144974566"/>
      <w:bookmarkStart w:id="450" w:name="_Toc247514023"/>
      <w:bookmarkStart w:id="451" w:name="_Toc247527624"/>
      <w:bookmarkStart w:id="452" w:name="_Toc152042376"/>
    </w:p>
    <w:p>
      <w:pPr>
        <w:pStyle w:val="4"/>
        <w:jc w:val="center"/>
        <w:rPr>
          <w:rFonts w:ascii="宋体" w:hAnsi="宋体" w:eastAsia="宋体" w:cs="宋体"/>
          <w:color w:val="auto"/>
          <w:highlight w:val="none"/>
        </w:rPr>
      </w:pPr>
      <w:bookmarkStart w:id="453" w:name="_Toc27555"/>
      <w:bookmarkStart w:id="454" w:name="_Toc10846"/>
      <w:r>
        <w:rPr>
          <w:rFonts w:hint="eastAsia" w:ascii="宋体" w:hAnsi="宋体" w:eastAsia="宋体" w:cs="宋体"/>
          <w:color w:val="auto"/>
          <w:highlight w:val="none"/>
        </w:rPr>
        <w:t>评标办法前附表</w:t>
      </w:r>
      <w:bookmarkEnd w:id="448"/>
      <w:bookmarkEnd w:id="449"/>
      <w:bookmarkEnd w:id="450"/>
      <w:bookmarkEnd w:id="451"/>
      <w:bookmarkEnd w:id="452"/>
      <w:bookmarkEnd w:id="453"/>
      <w:bookmarkEnd w:id="454"/>
    </w:p>
    <w:p>
      <w:pPr>
        <w:rPr>
          <w:rFonts w:ascii="宋体" w:hAnsi="宋体" w:cs="宋体"/>
          <w:color w:val="auto"/>
          <w:highlight w:val="none"/>
        </w:rPr>
      </w:pPr>
    </w:p>
    <w:tbl>
      <w:tblPr>
        <w:tblStyle w:val="38"/>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085"/>
        <w:gridCol w:w="1772"/>
        <w:gridCol w:w="5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5"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2.1.1</w:t>
            </w:r>
          </w:p>
        </w:tc>
        <w:tc>
          <w:tcPr>
            <w:tcW w:w="1085"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形式评审标准</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投标人名称</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法定代表人证明及授权</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投标文件中有有效的法定代表人证明书，或由委托代理人签字或盖章的投标文件中有法定代表人证明书和授权委托证明书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投标承诺函</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投标承诺函内容与招标文件规定一致，且按规定加盖投标人电子印章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投标文件格式</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r>
              <w:rPr>
                <w:rFonts w:hint="eastAsia"/>
                <w:color w:val="auto"/>
                <w:highlight w:val="none"/>
              </w:rPr>
              <w:t>符合第七章“投标文件格式”的要求</w:t>
            </w:r>
            <w:r>
              <w:rPr>
                <w:rFonts w:hint="eastAsia"/>
                <w:color w:val="auto"/>
                <w:highlight w:val="none"/>
                <w:u w:val="single"/>
              </w:rPr>
              <w:t>【指第七章，投标文件格式中的投标文件封面、投标文件（资格审查文件部分）的封面、格式1及投标文件（工程总承包实施方案部分）的封面、格式1、格式2（不含投标书附表）】，按规定盖章签署，主要内容齐全，关键字迹清晰、能辨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报价唯一</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新宋体" w:hAnsi="新宋体" w:eastAsia="新宋体" w:cs="新宋体"/>
                <w:color w:val="auto"/>
                <w:szCs w:val="21"/>
                <w:highlight w:val="none"/>
              </w:rPr>
              <w:t>投标保证金递交情况</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新宋体" w:hAnsi="新宋体" w:eastAsia="新宋体" w:cs="新宋体"/>
                <w:color w:val="auto"/>
                <w:szCs w:val="21"/>
                <w:highlight w:val="none"/>
              </w:rPr>
              <w:t>按招标文件要求递交投标保证金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机器特征码一致</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不同投标人的加密打包投标文件电脑机器特征码不一致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trike/>
                <w:color w:val="auto"/>
                <w:szCs w:val="21"/>
                <w:highlight w:val="none"/>
                <w:u w:val="single"/>
              </w:rPr>
            </w:pPr>
            <w:r>
              <w:rPr>
                <w:rFonts w:hint="eastAsia" w:ascii="宋体" w:hAnsi="宋体" w:cs="宋体"/>
                <w:strike/>
                <w:color w:val="auto"/>
                <w:szCs w:val="21"/>
                <w:highlight w:val="none"/>
                <w:u w:val="single"/>
              </w:rPr>
              <w:t>备选投标方案</w:t>
            </w:r>
          </w:p>
        </w:tc>
        <w:tc>
          <w:tcPr>
            <w:tcW w:w="54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trike/>
                <w:color w:val="auto"/>
                <w:szCs w:val="21"/>
                <w:highlight w:val="none"/>
                <w:u w:val="single"/>
              </w:rPr>
            </w:pPr>
            <w:r>
              <w:rPr>
                <w:rFonts w:hint="eastAsia" w:ascii="宋体" w:hAnsi="宋体" w:cs="宋体"/>
                <w:strike/>
                <w:color w:val="auto"/>
                <w:szCs w:val="21"/>
                <w:highlight w:val="none"/>
                <w:u w:val="singl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2.1.2</w:t>
            </w:r>
          </w:p>
        </w:tc>
        <w:tc>
          <w:tcPr>
            <w:tcW w:w="1085"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资格评审标准</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资质等级</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trike/>
                <w:color w:val="auto"/>
                <w:szCs w:val="21"/>
                <w:highlight w:val="none"/>
              </w:rPr>
            </w:pPr>
            <w:r>
              <w:rPr>
                <w:rFonts w:hint="eastAsia" w:ascii="新宋体" w:hAnsi="新宋体" w:eastAsia="新宋体" w:cs="新宋体"/>
                <w:strike/>
                <w:color w:val="auto"/>
                <w:szCs w:val="21"/>
                <w:highlight w:val="none"/>
              </w:rPr>
              <w:t>财务状况</w:t>
            </w:r>
          </w:p>
        </w:tc>
        <w:tc>
          <w:tcPr>
            <w:tcW w:w="5457" w:type="dxa"/>
            <w:tcBorders>
              <w:top w:val="single" w:color="auto" w:sz="4" w:space="0"/>
              <w:left w:val="single" w:color="auto" w:sz="4" w:space="0"/>
              <w:bottom w:val="single" w:color="auto" w:sz="4" w:space="0"/>
              <w:right w:val="single" w:color="auto" w:sz="4" w:space="0"/>
            </w:tcBorders>
          </w:tcPr>
          <w:p>
            <w:pPr>
              <w:spacing w:line="440" w:lineRule="exact"/>
              <w:jc w:val="left"/>
              <w:rPr>
                <w:rFonts w:ascii="新宋体" w:hAnsi="新宋体" w:eastAsia="新宋体" w:cs="新宋体"/>
                <w:strike/>
                <w:color w:val="auto"/>
                <w:szCs w:val="21"/>
                <w:highlight w:val="none"/>
              </w:rPr>
            </w:pPr>
            <w:r>
              <w:rPr>
                <w:rFonts w:hint="eastAsia" w:ascii="新宋体" w:hAnsi="新宋体" w:eastAsia="新宋体" w:cs="新宋体"/>
                <w:strike/>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类似项目业绩（如要求）</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trike/>
                <w:color w:val="auto"/>
                <w:szCs w:val="21"/>
                <w:highlight w:val="none"/>
              </w:rPr>
            </w:pPr>
            <w:r>
              <w:rPr>
                <w:rFonts w:hint="eastAsia" w:ascii="新宋体" w:hAnsi="新宋体" w:eastAsia="新宋体" w:cs="新宋体"/>
                <w:strike/>
                <w:color w:val="auto"/>
                <w:szCs w:val="21"/>
                <w:highlight w:val="none"/>
              </w:rPr>
              <w:t>信誉</w:t>
            </w:r>
          </w:p>
        </w:tc>
        <w:tc>
          <w:tcPr>
            <w:tcW w:w="5457"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ascii="新宋体" w:hAnsi="新宋体" w:eastAsia="新宋体" w:cs="新宋体"/>
                <w:strike/>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u w:val="single"/>
              </w:rPr>
              <w:t>项目负责人（兼施工负责人）</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u w:val="single"/>
              </w:rPr>
              <w:t>设计负责人</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u w:val="single"/>
              </w:rPr>
            </w:pPr>
            <w:r>
              <w:rPr>
                <w:rFonts w:hint="eastAsia" w:ascii="宋体" w:hAnsi="宋体" w:cs="宋体"/>
                <w:color w:val="auto"/>
                <w:szCs w:val="21"/>
                <w:highlight w:val="none"/>
                <w:u w:val="single"/>
              </w:rPr>
              <w:t>施工技术负责人</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u w:val="singl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专职安全员</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900"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联合体投标人</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restart"/>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2.1.3</w:t>
            </w:r>
          </w:p>
          <w:p>
            <w:pPr>
              <w:spacing w:line="440" w:lineRule="exact"/>
              <w:jc w:val="center"/>
              <w:rPr>
                <w:rFonts w:ascii="宋体" w:hAnsi="宋体" w:cs="宋体"/>
                <w:color w:val="auto"/>
                <w:szCs w:val="21"/>
                <w:highlight w:val="none"/>
              </w:rPr>
            </w:pPr>
          </w:p>
        </w:tc>
        <w:tc>
          <w:tcPr>
            <w:tcW w:w="1085" w:type="dxa"/>
            <w:vMerge w:val="restart"/>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设计方案响应性评审标准</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暗标形式</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投标人未在设计方案上标注或做任何可以辨认投标人及专业技术人员身份的名称、印章、商标、图形等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continue"/>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trike w:val="0"/>
                <w:color w:val="auto"/>
                <w:szCs w:val="21"/>
                <w:highlight w:val="none"/>
              </w:rPr>
            </w:pPr>
            <w:r>
              <w:rPr>
                <w:rFonts w:hint="eastAsia"/>
                <w:strike w:val="0"/>
                <w:color w:val="auto"/>
                <w:highlight w:val="none"/>
              </w:rPr>
              <w:t>方案抄袭</w:t>
            </w:r>
          </w:p>
        </w:tc>
        <w:tc>
          <w:tcPr>
            <w:tcW w:w="545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strike w:val="0"/>
                <w:color w:val="auto"/>
                <w:szCs w:val="21"/>
                <w:highlight w:val="none"/>
              </w:rPr>
            </w:pPr>
            <w:r>
              <w:rPr>
                <w:rFonts w:hint="eastAsia"/>
                <w:strike w:val="0"/>
                <w:color w:val="auto"/>
                <w:highlight w:val="none"/>
              </w:rPr>
              <w:t>未发现明显抄袭行为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continue"/>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color w:val="auto"/>
                <w:highlight w:val="none"/>
              </w:rPr>
              <w:t>合法合规性</w:t>
            </w:r>
          </w:p>
        </w:tc>
        <w:tc>
          <w:tcPr>
            <w:tcW w:w="545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color w:val="auto"/>
                <w:szCs w:val="21"/>
                <w:highlight w:val="none"/>
              </w:rPr>
            </w:pPr>
            <w:r>
              <w:rPr>
                <w:rFonts w:hint="eastAsia"/>
                <w:color w:val="auto"/>
                <w:highlight w:val="none"/>
              </w:rPr>
              <w:t>投标人之间不存在《广东省实施&lt;中华人民共和国招标投标法&gt;办法》第十六条所禁止的情形的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continue"/>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restart"/>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工程总承包实施方案响应性评审标准</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投标报价</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符合第二章“投标人须知”第3.2.4项规定且不低于企业成本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投标内容</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工期</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900"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085" w:type="dxa"/>
            <w:vMerge w:val="continue"/>
            <w:tcBorders>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算术复核</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投标单位未存在算术复核后的投标报价与原投标报价相比存在1%或以上误差的；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40" w:lineRule="exact"/>
              <w:rPr>
                <w:rFonts w:ascii="宋体" w:hAnsi="宋体" w:cs="宋体"/>
                <w:color w:val="auto"/>
                <w:szCs w:val="21"/>
                <w:highlight w:val="none"/>
              </w:rPr>
            </w:pPr>
          </w:p>
        </w:tc>
        <w:tc>
          <w:tcPr>
            <w:tcW w:w="1085" w:type="dxa"/>
            <w:vMerge w:val="continue"/>
            <w:tcBorders>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合法合规性</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投标人之间不存在《广东省实施&lt;中华人民共和国招标投标法&gt;办法》第十六条所禁止的情形的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5" w:type="dxa"/>
            <w:gridSpan w:val="2"/>
            <w:tcBorders>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条款内容</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b/>
                <w:color w:val="auto"/>
                <w:szCs w:val="21"/>
                <w:highlight w:val="none"/>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985" w:type="dxa"/>
            <w:gridSpan w:val="2"/>
            <w:tcBorders>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分值构成</w:t>
            </w:r>
          </w:p>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(总分100分)</w:t>
            </w:r>
          </w:p>
        </w:tc>
        <w:tc>
          <w:tcPr>
            <w:tcW w:w="545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投标人总得分满分为100分：</w:t>
            </w:r>
          </w:p>
          <w:p>
            <w:pPr>
              <w:rPr>
                <w:rFonts w:ascii="宋体" w:hAnsi="宋体"/>
                <w:color w:val="auto"/>
                <w:szCs w:val="21"/>
                <w:highlight w:val="none"/>
              </w:rPr>
            </w:pPr>
            <w:r>
              <w:rPr>
                <w:rFonts w:hint="eastAsia" w:ascii="宋体" w:hAnsi="宋体"/>
                <w:color w:val="auto"/>
                <w:szCs w:val="21"/>
                <w:highlight w:val="none"/>
              </w:rPr>
              <w:t>投标人总得分=设计方案（暗标）得分（满分100分）×10%+投标报价得分（满分100分）×45%+[工程总承包实施方案技术标投标文件得分（满分100分）×95%+施工企业综合诚信评价得分（满分100分）*5%]×45%。</w:t>
            </w:r>
          </w:p>
          <w:p>
            <w:pPr>
              <w:rPr>
                <w:color w:val="auto"/>
                <w:szCs w:val="21"/>
                <w:highlight w:val="none"/>
              </w:rPr>
            </w:pPr>
            <w:r>
              <w:rPr>
                <w:rFonts w:hint="eastAsia"/>
                <w:color w:val="auto"/>
                <w:szCs w:val="21"/>
                <w:highlight w:val="none"/>
              </w:rPr>
              <w:t>本项目的企业综合诚信评价分数，以</w:t>
            </w:r>
            <w:r>
              <w:rPr>
                <w:rFonts w:hint="eastAsia"/>
                <w:b/>
                <w:bCs/>
                <w:color w:val="auto"/>
                <w:szCs w:val="21"/>
                <w:highlight w:val="none"/>
              </w:rPr>
              <w:t>施工企业房建诚信评价排名（即施工-房建排名）</w:t>
            </w:r>
            <w:r>
              <w:rPr>
                <w:rFonts w:hint="eastAsia"/>
                <w:color w:val="auto"/>
                <w:szCs w:val="21"/>
                <w:highlight w:val="none"/>
              </w:rPr>
              <w:t>为准。</w:t>
            </w:r>
          </w:p>
          <w:p>
            <w:pPr>
              <w:adjustRightInd w:val="0"/>
              <w:snapToGrid w:val="0"/>
              <w:rPr>
                <w:rFonts w:ascii="宋体" w:cs="宋体"/>
                <w:color w:val="auto"/>
                <w:szCs w:val="21"/>
                <w:highlight w:val="none"/>
              </w:rPr>
            </w:pPr>
            <w:r>
              <w:rPr>
                <w:rFonts w:hint="eastAsia" w:ascii="宋体" w:hAnsi="宋体" w:cs="宋体"/>
                <w:color w:val="auto"/>
                <w:szCs w:val="21"/>
                <w:highlight w:val="none"/>
              </w:rPr>
              <w:t>企业的诚信评价排名得分以投标截止当日广州市工程招标行业协会网站施工企业专栏上公布的</w:t>
            </w:r>
            <w:r>
              <w:rPr>
                <w:rFonts w:hint="eastAsia" w:ascii="宋体" w:hAnsi="宋体" w:cs="宋体"/>
                <w:b/>
                <w:bCs/>
                <w:color w:val="auto"/>
                <w:szCs w:val="21"/>
                <w:highlight w:val="none"/>
              </w:rPr>
              <w:t>施工企业房建诚信评价排名</w:t>
            </w:r>
            <w:r>
              <w:rPr>
                <w:rFonts w:hint="eastAsia" w:ascii="宋体" w:hAnsi="宋体" w:cs="宋体"/>
                <w:color w:val="auto"/>
                <w:szCs w:val="21"/>
                <w:highlight w:val="none"/>
              </w:rPr>
              <w:t>的“60日诚信分”得分为准。</w:t>
            </w:r>
          </w:p>
          <w:p>
            <w:pPr>
              <w:rPr>
                <w:rFonts w:hAnsi="宋体" w:cs="宋体"/>
                <w:color w:val="auto"/>
                <w:szCs w:val="21"/>
                <w:highlight w:val="none"/>
              </w:rPr>
            </w:pPr>
            <w:r>
              <w:rPr>
                <w:rFonts w:hint="eastAsia" w:cs="宋体"/>
                <w:color w:val="auto"/>
                <w:sz w:val="21"/>
                <w:szCs w:val="21"/>
                <w:highlight w:val="none"/>
              </w:rPr>
              <w:t>【注：联合体投标的，企业综合诚信评价分以主办方（即承担施工任务的一方）信息为准】。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5"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评标基准价计算方法</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color w:val="auto"/>
                <w:highlight w:val="none"/>
                <w:lang w:val="zh-TW" w:eastAsia="zh-TW"/>
              </w:rPr>
            </w:pPr>
            <w:r>
              <w:rPr>
                <w:rFonts w:hint="eastAsia" w:ascii="宋体" w:hAnsi="宋体" w:cs="宋体"/>
                <w:color w:val="auto"/>
                <w:szCs w:val="21"/>
                <w:highlight w:val="none"/>
                <w:u w:val="single"/>
              </w:rPr>
              <w:t>以通过设计方案和工程总承包实施方案响应性审查并经算术校核的投标人</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中，若位于[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最高投标限价×90%，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最高投标限价]区间的</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大于5个，去一个最高价和一个最低价后，剩余报价的算术平均值为评标基准价，保留到小数点后两位，第三位四舍五入。若位于[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w:t>
            </w:r>
            <w:r>
              <w:rPr>
                <w:rFonts w:ascii="宋体" w:hAnsi="宋体" w:cs="宋体"/>
                <w:color w:val="auto"/>
                <w:szCs w:val="21"/>
                <w:highlight w:val="none"/>
                <w:u w:val="single"/>
              </w:rPr>
              <w:t>9</w:t>
            </w:r>
            <w:r>
              <w:rPr>
                <w:rFonts w:hint="eastAsia" w:ascii="宋体" w:hAnsi="宋体" w:cs="宋体"/>
                <w:color w:val="auto"/>
                <w:szCs w:val="21"/>
                <w:highlight w:val="none"/>
                <w:u w:val="single"/>
              </w:rPr>
              <w:t>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最高投标限价]区间的</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少于或等于5个，直接取区间中的报价的算术平均值为评标基准价。若没有</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w:t>
            </w:r>
            <w:r>
              <w:rPr>
                <w:rFonts w:ascii="宋体" w:hAnsi="宋体" w:cs="宋体"/>
                <w:color w:val="auto"/>
                <w:szCs w:val="21"/>
                <w:highlight w:val="none"/>
                <w:u w:val="single"/>
              </w:rPr>
              <w:t>9</w:t>
            </w:r>
            <w:r>
              <w:rPr>
                <w:rFonts w:hint="eastAsia" w:ascii="宋体" w:hAnsi="宋体" w:cs="宋体"/>
                <w:color w:val="auto"/>
                <w:szCs w:val="21"/>
                <w:highlight w:val="none"/>
                <w:u w:val="single"/>
              </w:rPr>
              <w:t>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最高投标限价]区间，则由招标人依法重新招标。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1985"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2.2.3</w:t>
            </w:r>
          </w:p>
        </w:tc>
        <w:tc>
          <w:tcPr>
            <w:tcW w:w="1772"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lang w:val="zh-TW" w:eastAsia="zh-TW"/>
              </w:rPr>
            </w:pPr>
            <w:r>
              <w:rPr>
                <w:rFonts w:hint="eastAsia" w:ascii="宋体" w:hAnsi="宋体" w:cs="宋体"/>
                <w:color w:val="auto"/>
                <w:szCs w:val="21"/>
                <w:highlight w:val="none"/>
                <w:lang w:val="zh-TW" w:eastAsia="zh-TW"/>
              </w:rPr>
              <w:t>投标报价的偏差率计算公式</w:t>
            </w:r>
          </w:p>
        </w:tc>
        <w:tc>
          <w:tcPr>
            <w:tcW w:w="545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szCs w:val="21"/>
                <w:highlight w:val="none"/>
                <w:lang w:val="zh-TW" w:eastAsia="zh-TW"/>
              </w:rPr>
            </w:pPr>
            <w:r>
              <w:rPr>
                <w:rFonts w:hint="eastAsia" w:ascii="宋体" w:hAnsi="宋体" w:cs="宋体"/>
                <w:color w:val="auto"/>
                <w:szCs w:val="21"/>
                <w:highlight w:val="none"/>
                <w:lang w:val="zh-TW" w:eastAsia="zh-TW"/>
              </w:rPr>
              <w:t>偏差率=100</w:t>
            </w:r>
            <w:r>
              <w:rPr>
                <w:rFonts w:ascii="宋体" w:hAnsi="宋体" w:eastAsia="PMingLiU" w:cs="宋体"/>
                <w:color w:val="auto"/>
                <w:szCs w:val="21"/>
                <w:highlight w:val="none"/>
                <w:lang w:val="zh-TW" w:eastAsia="zh-TW"/>
              </w:rPr>
              <w:t>%</w:t>
            </w:r>
            <w:r>
              <w:rPr>
                <w:rFonts w:ascii="Arial" w:hAnsi="Arial" w:cs="Arial"/>
                <w:color w:val="auto"/>
                <w:szCs w:val="21"/>
                <w:highlight w:val="none"/>
                <w:lang w:val="zh-TW" w:eastAsia="zh-TW"/>
              </w:rPr>
              <w:t>×</w:t>
            </w:r>
            <w:r>
              <w:rPr>
                <w:rFonts w:hint="eastAsia" w:ascii="宋体" w:hAnsi="宋体" w:cs="宋体"/>
                <w:color w:val="auto"/>
                <w:szCs w:val="21"/>
                <w:highlight w:val="none"/>
                <w:lang w:val="zh-TW" w:eastAsia="zh-TW"/>
              </w:rPr>
              <w:t>（</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lang w:val="zh-TW" w:eastAsia="zh-TW"/>
              </w:rPr>
              <w:t>－评标基准价）/评标基准价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5" w:type="dxa"/>
            <w:gridSpan w:val="2"/>
            <w:tcBorders>
              <w:top w:val="nil"/>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b/>
                <w:color w:val="auto"/>
                <w:szCs w:val="21"/>
                <w:highlight w:val="none"/>
              </w:rPr>
              <w:t>条款号</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评分因素</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85" w:type="dxa"/>
            <w:gridSpan w:val="2"/>
            <w:tcBorders>
              <w:top w:val="nil"/>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2.2.4（1）</w:t>
            </w:r>
          </w:p>
        </w:tc>
        <w:tc>
          <w:tcPr>
            <w:tcW w:w="177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设计方案评分标准</w:t>
            </w:r>
          </w:p>
        </w:tc>
        <w:tc>
          <w:tcPr>
            <w:tcW w:w="545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详见附表1《设计方案投标文件详细审查评分表》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85" w:type="dxa"/>
            <w:gridSpan w:val="2"/>
            <w:tcBorders>
              <w:top w:val="nil"/>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2.2.4（2）</w:t>
            </w:r>
          </w:p>
        </w:tc>
        <w:tc>
          <w:tcPr>
            <w:tcW w:w="1772" w:type="dxa"/>
            <w:tcBorders>
              <w:top w:val="single" w:color="auto" w:sz="4" w:space="0"/>
              <w:left w:val="single" w:color="auto" w:sz="4" w:space="0"/>
              <w:bottom w:val="single" w:color="auto" w:sz="4" w:space="0"/>
              <w:right w:val="single" w:color="auto" w:sz="4" w:space="0"/>
            </w:tcBorders>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工程总承包实施方案评分标准</w:t>
            </w:r>
          </w:p>
        </w:tc>
        <w:tc>
          <w:tcPr>
            <w:tcW w:w="54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详见附表2《工程总承包实施方案投标文件详细审查评分表》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0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2.2.4（3）</w:t>
            </w:r>
          </w:p>
        </w:tc>
        <w:tc>
          <w:tcPr>
            <w:tcW w:w="10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投标报价评分标准</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投标报价得分</w:t>
            </w:r>
          </w:p>
        </w:tc>
        <w:tc>
          <w:tcPr>
            <w:tcW w:w="545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auto"/>
                <w:szCs w:val="21"/>
                <w:highlight w:val="none"/>
                <w:lang w:val="zh-TW" w:bidi="zh-TW"/>
              </w:rPr>
            </w:pPr>
            <w:r>
              <w:rPr>
                <w:rFonts w:hint="eastAsia" w:ascii="宋体" w:hAnsi="宋体" w:cs="宋体"/>
                <w:color w:val="auto"/>
                <w:szCs w:val="21"/>
                <w:highlight w:val="none"/>
                <w:lang w:val="zh-TW" w:bidi="zh-TW"/>
              </w:rPr>
              <w:t>当</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lang w:val="zh-TW" w:bidi="zh-TW"/>
              </w:rPr>
              <w:t>等于评标基准价时得100分，</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lang w:val="zh-TW" w:bidi="zh-TW"/>
              </w:rPr>
              <w:t>每高于评标基准价1%，扣0.</w:t>
            </w:r>
            <w:r>
              <w:rPr>
                <w:rFonts w:hint="eastAsia" w:ascii="宋体" w:hAnsi="宋体" w:cs="宋体"/>
                <w:color w:val="auto"/>
                <w:szCs w:val="21"/>
                <w:highlight w:val="none"/>
                <w:lang w:bidi="zh-TW"/>
              </w:rPr>
              <w:t>5</w:t>
            </w:r>
            <w:r>
              <w:rPr>
                <w:rFonts w:hint="eastAsia" w:ascii="宋体" w:hAnsi="宋体" w:cs="宋体"/>
                <w:color w:val="auto"/>
                <w:szCs w:val="21"/>
                <w:highlight w:val="none"/>
                <w:lang w:val="zh-TW" w:bidi="zh-TW"/>
              </w:rPr>
              <w:t>分，每低于评标基准价1%，扣0.</w:t>
            </w:r>
            <w:r>
              <w:rPr>
                <w:rFonts w:hint="eastAsia" w:ascii="宋体" w:hAnsi="宋体" w:cs="宋体"/>
                <w:color w:val="auto"/>
                <w:szCs w:val="21"/>
                <w:highlight w:val="none"/>
                <w:lang w:bidi="zh-TW"/>
              </w:rPr>
              <w:t>3</w:t>
            </w:r>
            <w:r>
              <w:rPr>
                <w:rFonts w:hint="eastAsia" w:ascii="宋体" w:hAnsi="宋体" w:cs="宋体"/>
                <w:color w:val="auto"/>
                <w:szCs w:val="21"/>
                <w:highlight w:val="none"/>
                <w:lang w:val="zh-TW" w:bidi="zh-TW"/>
              </w:rPr>
              <w:t>分，扣至0分为止，得出投标</w:t>
            </w:r>
            <w:r>
              <w:rPr>
                <w:rFonts w:hint="eastAsia" w:ascii="宋体" w:hAnsi="宋体" w:cs="宋体"/>
                <w:color w:val="auto"/>
                <w:szCs w:val="21"/>
                <w:highlight w:val="none"/>
              </w:rPr>
              <w:t>报价</w:t>
            </w:r>
            <w:r>
              <w:rPr>
                <w:rFonts w:hint="eastAsia" w:ascii="宋体" w:hAnsi="宋体" w:cs="宋体"/>
                <w:color w:val="auto"/>
                <w:szCs w:val="21"/>
                <w:highlight w:val="none"/>
                <w:lang w:val="zh-TW" w:bidi="zh-TW"/>
              </w:rPr>
              <w:t>得分，精确到小数点后两位。</w:t>
            </w:r>
          </w:p>
        </w:tc>
      </w:tr>
    </w:tbl>
    <w:p>
      <w:pPr>
        <w:spacing w:line="260" w:lineRule="exact"/>
        <w:outlineLvl w:val="0"/>
        <w:rPr>
          <w:rFonts w:ascii="宋体" w:hAnsi="宋体" w:cs="宋体"/>
          <w:b/>
          <w:color w:val="auto"/>
          <w:sz w:val="18"/>
          <w:szCs w:val="18"/>
          <w:highlight w:val="none"/>
        </w:rPr>
        <w:sectPr>
          <w:pgSz w:w="11906" w:h="16838"/>
          <w:pgMar w:top="1440" w:right="1803" w:bottom="1440" w:left="1383" w:header="851" w:footer="992" w:gutter="0"/>
          <w:cols w:space="720" w:num="1"/>
          <w:docGrid w:type="lines" w:linePitch="319" w:charSpace="0"/>
        </w:sectPr>
      </w:pPr>
    </w:p>
    <w:p>
      <w:pPr>
        <w:spacing w:line="260" w:lineRule="exact"/>
        <w:outlineLvl w:val="0"/>
        <w:rPr>
          <w:rFonts w:ascii="宋体" w:hAnsi="宋体" w:cs="宋体"/>
          <w:b/>
          <w:color w:val="auto"/>
          <w:sz w:val="18"/>
          <w:szCs w:val="18"/>
          <w:highlight w:val="none"/>
        </w:rPr>
      </w:pPr>
      <w:bookmarkStart w:id="455" w:name="_Toc23499"/>
      <w:r>
        <w:rPr>
          <w:rFonts w:hint="eastAsia" w:ascii="宋体" w:hAnsi="宋体" w:cs="宋体"/>
          <w:b/>
          <w:color w:val="auto"/>
          <w:sz w:val="18"/>
          <w:szCs w:val="18"/>
          <w:highlight w:val="none"/>
        </w:rPr>
        <w:t>备注：</w:t>
      </w:r>
      <w:bookmarkEnd w:id="455"/>
    </w:p>
    <w:p>
      <w:pPr>
        <w:snapToGrid w:val="0"/>
        <w:rPr>
          <w:rFonts w:ascii="宋体" w:hAnsi="宋体" w:cs="宋体"/>
          <w:color w:val="auto"/>
          <w:szCs w:val="21"/>
          <w:highlight w:val="none"/>
        </w:rPr>
      </w:pPr>
      <w:bookmarkStart w:id="456" w:name="_Toc28120"/>
      <w:bookmarkStart w:id="457" w:name="_Toc144974567"/>
      <w:bookmarkStart w:id="458" w:name="_Toc247527625"/>
      <w:bookmarkStart w:id="459" w:name="_Toc247514024"/>
      <w:bookmarkStart w:id="460" w:name="_Toc152042377"/>
      <w:bookmarkStart w:id="461" w:name="_Toc152045600"/>
      <w:r>
        <w:rPr>
          <w:rFonts w:hint="eastAsia" w:ascii="宋体" w:hAnsi="宋体" w:cs="宋体"/>
          <w:color w:val="auto"/>
          <w:szCs w:val="21"/>
          <w:highlight w:val="none"/>
        </w:rPr>
        <w:t>1、【设计和施工的融合措施】：</w:t>
      </w:r>
    </w:p>
    <w:p>
      <w:pPr>
        <w:snapToGrid w:val="0"/>
        <w:jc w:val="center"/>
        <w:rPr>
          <w:rFonts w:ascii="宋体" w:hAnsi="宋体" w:cs="宋体"/>
          <w:b/>
          <w:color w:val="auto"/>
          <w:szCs w:val="21"/>
          <w:highlight w:val="none"/>
        </w:rPr>
      </w:pPr>
      <w:r>
        <w:rPr>
          <w:rFonts w:hint="eastAsia" w:ascii="宋体" w:hAnsi="宋体" w:cs="宋体"/>
          <w:b/>
          <w:color w:val="auto"/>
          <w:szCs w:val="21"/>
          <w:highlight w:val="none"/>
        </w:rPr>
        <w:t>《投标人投入主要人员要求表》</w:t>
      </w:r>
    </w:p>
    <w:tbl>
      <w:tblPr>
        <w:tblStyle w:val="38"/>
        <w:tblW w:w="14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711"/>
        <w:gridCol w:w="926"/>
        <w:gridCol w:w="821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45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在本项目任职</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数量（</w:t>
            </w:r>
            <w:r>
              <w:rPr>
                <w:rFonts w:hint="eastAsia" w:ascii="宋体" w:hAnsi="宋体" w:cs="宋体"/>
                <w:bCs/>
                <w:color w:val="auto"/>
                <w:szCs w:val="21"/>
                <w:highlight w:val="none"/>
              </w:rPr>
              <w:t>人</w:t>
            </w:r>
            <w:r>
              <w:rPr>
                <w:rFonts w:hint="eastAsia" w:ascii="宋体" w:hAnsi="宋体" w:cs="宋体"/>
                <w:bCs/>
                <w:color w:val="auto"/>
                <w:szCs w:val="21"/>
                <w:highlight w:val="none"/>
                <w:lang w:val="zh-TW"/>
              </w:rPr>
              <w:t>）</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基本要求</w:t>
            </w:r>
          </w:p>
        </w:tc>
        <w:tc>
          <w:tcPr>
            <w:tcW w:w="159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r>
              <w:rPr>
                <w:rFonts w:hint="eastAsia" w:ascii="宋体" w:hAnsi="宋体" w:cs="宋体"/>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45" w:type="dxa"/>
            <w:vMerge w:val="restart"/>
            <w:tcBorders>
              <w:top w:val="single" w:color="auto" w:sz="4" w:space="0"/>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r>
              <w:rPr>
                <w:rFonts w:hint="eastAsia" w:ascii="宋体" w:hAnsi="宋体" w:cs="宋体"/>
                <w:bCs/>
                <w:color w:val="auto"/>
                <w:szCs w:val="21"/>
                <w:highlight w:val="none"/>
              </w:rPr>
              <w:t>施工部分</w:t>
            </w: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项目负责人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ascii="宋体" w:hAnsi="宋体" w:cs="宋体"/>
                <w:bCs/>
                <w:color w:val="auto"/>
                <w:szCs w:val="21"/>
                <w:highlight w:val="none"/>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rPr>
                <w:rFonts w:ascii="宋体" w:hAnsi="宋体" w:cs="宋体"/>
                <w:bCs/>
                <w:color w:val="auto"/>
                <w:szCs w:val="21"/>
                <w:highlight w:val="none"/>
                <w:lang w:val="zh-TW"/>
              </w:rPr>
            </w:pPr>
            <w:r>
              <w:rPr>
                <w:rFonts w:hint="eastAsia" w:ascii="宋体" w:hAnsi="宋体" w:cs="宋体"/>
                <w:bCs/>
                <w:color w:val="auto"/>
                <w:szCs w:val="21"/>
                <w:highlight w:val="none"/>
                <w:lang w:val="zh-TW"/>
              </w:rPr>
              <w:t>符合招标公告要求，</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建筑工程类</w:t>
            </w:r>
            <w:r>
              <w:rPr>
                <w:rFonts w:hint="eastAsia" w:ascii="宋体" w:hAnsi="宋体" w:cs="宋体"/>
                <w:bCs/>
                <w:color w:val="auto"/>
                <w:szCs w:val="21"/>
                <w:highlight w:val="none"/>
              </w:rPr>
              <w:t>中</w:t>
            </w:r>
            <w:r>
              <w:rPr>
                <w:rFonts w:hint="eastAsia" w:ascii="宋体" w:hAnsi="宋体" w:cs="宋体"/>
                <w:bCs/>
                <w:color w:val="auto"/>
                <w:szCs w:val="21"/>
                <w:highlight w:val="none"/>
                <w:lang w:val="zh-TW"/>
              </w:rPr>
              <w:t>级或以上技术职称。</w:t>
            </w:r>
          </w:p>
        </w:tc>
        <w:tc>
          <w:tcPr>
            <w:tcW w:w="1593" w:type="dxa"/>
            <w:vMerge w:val="restart"/>
            <w:tcBorders>
              <w:top w:val="single" w:color="auto" w:sz="4" w:space="0"/>
              <w:left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rPr>
            </w:pPr>
            <w:r>
              <w:rPr>
                <w:rFonts w:hint="eastAsia" w:ascii="宋体" w:hAnsi="宋体" w:cs="宋体"/>
                <w:bCs/>
                <w:color w:val="auto"/>
                <w:szCs w:val="21"/>
                <w:highlight w:val="none"/>
              </w:rPr>
              <w:t>组成联合体投标的，由主办方（施工方）提供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技术负责人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符合招标公告要求。</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质量负责人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质量负责人具有建筑工程类</w:t>
            </w:r>
            <w:r>
              <w:rPr>
                <w:rFonts w:hint="eastAsia" w:ascii="宋体" w:hAnsi="宋体" w:cs="宋体"/>
                <w:bCs/>
                <w:color w:val="auto"/>
                <w:szCs w:val="21"/>
                <w:highlight w:val="none"/>
              </w:rPr>
              <w:t>中</w:t>
            </w:r>
            <w:r>
              <w:rPr>
                <w:rFonts w:hint="eastAsia" w:ascii="宋体" w:hAnsi="宋体" w:cs="宋体"/>
                <w:bCs/>
                <w:color w:val="auto"/>
                <w:szCs w:val="21"/>
                <w:highlight w:val="none"/>
                <w:lang w:val="zh-TW"/>
              </w:rPr>
              <w:t>级或以上技术职称。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安全负责人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安全负责人具有建筑工程类</w:t>
            </w:r>
            <w:r>
              <w:rPr>
                <w:rFonts w:hint="eastAsia" w:ascii="宋体" w:hAnsi="宋体" w:cs="宋体"/>
                <w:bCs/>
                <w:color w:val="auto"/>
                <w:szCs w:val="21"/>
                <w:highlight w:val="none"/>
              </w:rPr>
              <w:t>中</w:t>
            </w:r>
            <w:r>
              <w:rPr>
                <w:rFonts w:hint="eastAsia" w:ascii="宋体" w:hAnsi="宋体" w:cs="宋体"/>
                <w:bCs/>
                <w:color w:val="auto"/>
                <w:szCs w:val="21"/>
                <w:highlight w:val="none"/>
                <w:lang w:val="zh-TW"/>
              </w:rPr>
              <w:t>级或以上技术职称。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造价负责人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造价负责人具有</w:t>
            </w:r>
            <w:r>
              <w:rPr>
                <w:rFonts w:hint="eastAsia" w:ascii="宋体" w:hAnsi="宋体" w:cs="宋体"/>
                <w:color w:val="auto"/>
                <w:kern w:val="0"/>
                <w:szCs w:val="21"/>
                <w:highlight w:val="none"/>
                <w:lang w:bidi="ar"/>
              </w:rPr>
              <w:t>一级注册造价工程师</w:t>
            </w:r>
            <w:r>
              <w:rPr>
                <w:rFonts w:hint="eastAsia" w:ascii="宋体" w:hAnsi="宋体" w:cs="宋体"/>
                <w:color w:val="auto"/>
                <w:kern w:val="0"/>
                <w:szCs w:val="21"/>
                <w:highlight w:val="none"/>
                <w:lang w:val="zh-TW" w:bidi="ar"/>
              </w:rPr>
              <w:t>资格</w:t>
            </w:r>
            <w:r>
              <w:rPr>
                <w:rFonts w:hint="eastAsia" w:ascii="宋体" w:hAnsi="宋体" w:cs="宋体"/>
                <w:bCs/>
                <w:color w:val="auto"/>
                <w:szCs w:val="21"/>
                <w:highlight w:val="none"/>
                <w:lang w:val="zh-TW"/>
              </w:rPr>
              <w:t>。</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r>
              <w:rPr>
                <w:rFonts w:hint="eastAsia" w:ascii="宋体" w:hAnsi="宋体" w:cs="宋体"/>
                <w:bCs/>
                <w:color w:val="auto"/>
                <w:szCs w:val="21"/>
                <w:highlight w:val="none"/>
                <w:lang w:val="zh-TW"/>
              </w:rPr>
              <w:t>专职安全员</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ascii="宋体" w:hAnsi="宋体" w:cs="宋体"/>
                <w:bCs/>
                <w:color w:val="auto"/>
                <w:szCs w:val="21"/>
                <w:highlight w:val="none"/>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符合招标公告要求。</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rPr>
              <w:t>土建</w:t>
            </w:r>
            <w:r>
              <w:rPr>
                <w:rFonts w:hint="eastAsia" w:ascii="宋体" w:hAnsi="宋体" w:cs="宋体"/>
                <w:bCs/>
                <w:color w:val="auto"/>
                <w:szCs w:val="21"/>
                <w:highlight w:val="none"/>
                <w:lang w:val="zh-TW"/>
              </w:rPr>
              <w:t>工程师</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rPr>
              <w:t>2</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具有建筑工程类</w:t>
            </w:r>
            <w:r>
              <w:rPr>
                <w:rFonts w:hint="eastAsia" w:ascii="宋体" w:hAnsi="宋体" w:cs="宋体"/>
                <w:bCs/>
                <w:color w:val="auto"/>
                <w:szCs w:val="21"/>
                <w:highlight w:val="none"/>
              </w:rPr>
              <w:t>中</w:t>
            </w:r>
            <w:r>
              <w:rPr>
                <w:rFonts w:hint="eastAsia" w:ascii="宋体" w:hAnsi="宋体" w:cs="宋体"/>
                <w:bCs/>
                <w:color w:val="auto"/>
                <w:szCs w:val="21"/>
                <w:highlight w:val="none"/>
                <w:lang w:val="zh-TW"/>
              </w:rPr>
              <w:t>级或以上技术职称。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r>
              <w:rPr>
                <w:rFonts w:hint="eastAsia" w:ascii="宋体" w:hAnsi="宋体" w:cs="宋体"/>
                <w:bCs/>
                <w:color w:val="auto"/>
                <w:szCs w:val="21"/>
                <w:highlight w:val="none"/>
                <w:lang w:val="zh-TW"/>
              </w:rPr>
              <w:t>电气工程师</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r>
              <w:rPr>
                <w:rFonts w:ascii="宋体" w:hAnsi="宋体" w:cs="宋体"/>
                <w:bCs/>
                <w:color w:val="auto"/>
                <w:szCs w:val="21"/>
                <w:highlight w:val="none"/>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hint="eastAsia" w:ascii="宋体" w:hAnsi="宋体" w:eastAsia="宋体" w:cs="宋体"/>
                <w:bCs/>
                <w:color w:val="auto"/>
                <w:kern w:val="2"/>
                <w:sz w:val="21"/>
                <w:szCs w:val="21"/>
                <w:highlight w:val="none"/>
                <w:lang w:val="zh-TW" w:eastAsia="zh-CN" w:bidi="ar-SA"/>
              </w:rPr>
            </w:pPr>
            <w:r>
              <w:rPr>
                <w:rFonts w:hint="eastAsia" w:ascii="宋体" w:hAnsi="宋体" w:cs="宋体"/>
                <w:bCs/>
                <w:color w:val="auto"/>
                <w:szCs w:val="21"/>
                <w:highlight w:val="none"/>
                <w:lang w:val="zh-TW"/>
              </w:rPr>
              <w:t>取得建筑电气安装类</w:t>
            </w:r>
            <w:r>
              <w:rPr>
                <w:rFonts w:hint="eastAsia" w:ascii="宋体" w:hAnsi="宋体" w:cs="宋体"/>
                <w:bCs/>
                <w:color w:val="auto"/>
                <w:szCs w:val="21"/>
                <w:highlight w:val="none"/>
              </w:rPr>
              <w:t>中</w:t>
            </w:r>
            <w:r>
              <w:rPr>
                <w:rFonts w:hint="eastAsia" w:ascii="宋体" w:hAnsi="宋体" w:cs="宋体"/>
                <w:bCs/>
                <w:color w:val="auto"/>
                <w:szCs w:val="21"/>
                <w:highlight w:val="none"/>
                <w:lang w:val="zh-TW"/>
              </w:rPr>
              <w:t>级或以上技术职称。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hint="eastAsia" w:ascii="宋体" w:hAnsi="宋体" w:eastAsia="宋体" w:cs="宋体"/>
                <w:b/>
                <w:bCs w:val="0"/>
                <w:color w:val="auto"/>
                <w:szCs w:val="21"/>
                <w:highlight w:val="none"/>
                <w:lang w:val="zh-TW" w:eastAsia="zh-CN"/>
              </w:rPr>
            </w:pPr>
            <w:r>
              <w:rPr>
                <w:rFonts w:hint="eastAsia" w:ascii="宋体" w:hAnsi="宋体" w:cs="宋体"/>
                <w:color w:val="auto"/>
                <w:kern w:val="0"/>
                <w:szCs w:val="21"/>
                <w:highlight w:val="none"/>
                <w:lang w:bidi="ar"/>
              </w:rPr>
              <w:t>BIM</w:t>
            </w:r>
            <w:r>
              <w:rPr>
                <w:rFonts w:hint="eastAsia" w:ascii="宋体" w:hAnsi="宋体" w:cs="宋体"/>
                <w:color w:val="auto"/>
                <w:kern w:val="0"/>
                <w:szCs w:val="21"/>
                <w:highlight w:val="none"/>
                <w:lang w:eastAsia="zh-CN" w:bidi="ar"/>
              </w:rPr>
              <w:t>建模师</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color w:val="auto"/>
                <w:kern w:val="0"/>
                <w:szCs w:val="21"/>
                <w:highlight w:val="none"/>
                <w:lang w:bidi="ar"/>
              </w:rPr>
              <w:t>具有</w:t>
            </w:r>
            <w:r>
              <w:rPr>
                <w:rFonts w:hint="eastAsia" w:ascii="宋体" w:hAnsi="宋体" w:cs="宋体"/>
                <w:bCs/>
                <w:color w:val="auto"/>
                <w:szCs w:val="21"/>
                <w:highlight w:val="none"/>
              </w:rPr>
              <w:t>BIM一级技能等级资格</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tcBorders>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rPr>
              <w:t>勘察部分</w:t>
            </w:r>
          </w:p>
        </w:tc>
        <w:tc>
          <w:tcPr>
            <w:tcW w:w="271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勘察专业负责人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82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42" w:leftChars="20" w:right="42" w:rightChars="20"/>
              <w:jc w:val="left"/>
              <w:rPr>
                <w:rFonts w:ascii="宋体" w:hAnsi="宋体" w:eastAsia="PMingLiU" w:cs="宋体"/>
                <w:bCs/>
                <w:color w:val="auto"/>
                <w:szCs w:val="21"/>
                <w:highlight w:val="none"/>
                <w:lang w:val="zh-TW" w:eastAsia="zh-TW"/>
              </w:rPr>
            </w:pPr>
            <w:r>
              <w:rPr>
                <w:rFonts w:hint="eastAsia" w:ascii="宋体" w:hAnsi="宋体" w:cs="宋体"/>
                <w:bCs/>
                <w:color w:val="auto"/>
                <w:szCs w:val="21"/>
                <w:highlight w:val="none"/>
                <w:lang w:val="zh-TW"/>
              </w:rPr>
              <w:t>具有注</w:t>
            </w:r>
            <w:r>
              <w:rPr>
                <w:rFonts w:ascii="宋体" w:hAnsi="宋体" w:cs="宋体"/>
                <w:bCs/>
                <w:color w:val="auto"/>
                <w:szCs w:val="21"/>
                <w:highlight w:val="none"/>
                <w:lang w:val="zh-TW"/>
              </w:rPr>
              <w:t>册</w:t>
            </w:r>
            <w:r>
              <w:rPr>
                <w:rFonts w:hint="eastAsia" w:ascii="宋体" w:hAnsi="宋体" w:cs="宋体"/>
                <w:bCs/>
                <w:color w:val="auto"/>
                <w:szCs w:val="21"/>
                <w:highlight w:val="none"/>
                <w:lang w:val="zh-TW"/>
              </w:rPr>
              <w:t>土木工程（岩土）工程</w:t>
            </w:r>
            <w:r>
              <w:rPr>
                <w:rFonts w:ascii="宋体" w:hAnsi="宋体" w:cs="宋体"/>
                <w:bCs/>
                <w:color w:val="auto"/>
                <w:szCs w:val="21"/>
                <w:highlight w:val="none"/>
                <w:lang w:val="zh-TW"/>
              </w:rPr>
              <w:t>师资格</w:t>
            </w:r>
            <w:r>
              <w:rPr>
                <w:rFonts w:hint="eastAsia" w:ascii="宋体" w:hAnsi="宋体" w:cs="宋体"/>
                <w:bCs/>
                <w:color w:val="auto"/>
                <w:szCs w:val="21"/>
                <w:highlight w:val="none"/>
                <w:lang w:val="zh-TW"/>
              </w:rPr>
              <w:t>，</w:t>
            </w:r>
            <w:r>
              <w:rPr>
                <w:rFonts w:hint="eastAsia" w:ascii="宋体" w:hAnsi="宋体" w:cs="宋体"/>
                <w:bCs/>
                <w:color w:val="auto"/>
                <w:szCs w:val="21"/>
                <w:highlight w:val="none"/>
              </w:rPr>
              <w:t>并取得</w:t>
            </w:r>
            <w:r>
              <w:rPr>
                <w:rFonts w:hint="eastAsia" w:ascii="宋体" w:hAnsi="宋体" w:cs="宋体"/>
                <w:bCs/>
                <w:color w:val="auto"/>
                <w:szCs w:val="21"/>
                <w:highlight w:val="none"/>
                <w:lang w:val="zh-TW"/>
              </w:rPr>
              <w:t>高级</w:t>
            </w:r>
            <w:r>
              <w:rPr>
                <w:rFonts w:hint="eastAsia" w:ascii="宋体" w:hAnsi="宋体" w:cs="宋体"/>
                <w:bCs/>
                <w:color w:val="auto"/>
                <w:szCs w:val="21"/>
                <w:highlight w:val="none"/>
              </w:rPr>
              <w:t>或以上技术职称</w:t>
            </w:r>
            <w:r>
              <w:rPr>
                <w:rFonts w:hint="eastAsia" w:ascii="宋体" w:hAnsi="宋体" w:cs="宋体"/>
                <w:bCs/>
                <w:color w:val="auto"/>
                <w:szCs w:val="21"/>
                <w:highlight w:val="none"/>
                <w:lang w:val="zh-TW" w:eastAsia="zh-TW"/>
              </w:rPr>
              <w:t>。</w:t>
            </w:r>
          </w:p>
        </w:tc>
        <w:tc>
          <w:tcPr>
            <w:tcW w:w="1593" w:type="dxa"/>
            <w:tcBorders>
              <w:left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rPr>
              <w:t>组成联合体投标的，由勘察方提供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5" w:type="dxa"/>
            <w:vMerge w:val="restart"/>
            <w:tcBorders>
              <w:top w:val="single" w:color="auto" w:sz="4" w:space="0"/>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rPr>
            </w:pPr>
            <w:r>
              <w:rPr>
                <w:rFonts w:hint="eastAsia" w:ascii="宋体" w:hAnsi="宋体" w:cs="宋体"/>
                <w:bCs/>
                <w:color w:val="auto"/>
                <w:szCs w:val="21"/>
                <w:highlight w:val="none"/>
              </w:rPr>
              <w:t>设计部分</w:t>
            </w:r>
          </w:p>
          <w:p>
            <w:pPr>
              <w:snapToGrid w:val="0"/>
              <w:spacing w:line="240" w:lineRule="atLeast"/>
              <w:ind w:left="42" w:leftChars="20" w:right="42" w:rightChars="20"/>
              <w:jc w:val="center"/>
              <w:rPr>
                <w:rFonts w:ascii="宋体" w:hAnsi="宋体" w:cs="宋体"/>
                <w:bCs/>
                <w:color w:val="auto"/>
                <w:szCs w:val="21"/>
                <w:highlight w:val="none"/>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设计负责人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按招标公告要求，</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restart"/>
            <w:tcBorders>
              <w:top w:val="single" w:color="auto" w:sz="4" w:space="0"/>
              <w:left w:val="single" w:color="auto" w:sz="4" w:space="0"/>
              <w:right w:val="single" w:color="auto" w:sz="4" w:space="0"/>
            </w:tcBorders>
            <w:vAlign w:val="center"/>
          </w:tcPr>
          <w:p>
            <w:pPr>
              <w:snapToGrid w:val="0"/>
              <w:spacing w:line="240" w:lineRule="atLeast"/>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rPr>
              <w:t>组成联合体投标的，由设计方提供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建筑专业负责人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具有一级注册建筑师资格，</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结构专业负责人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eastAsia="PMingLiU" w:cs="宋体"/>
                <w:color w:val="auto"/>
                <w:kern w:val="0"/>
                <w:szCs w:val="21"/>
                <w:highlight w:val="none"/>
                <w:lang w:eastAsia="zh-TW" w:bidi="ar"/>
              </w:rPr>
            </w:pPr>
            <w:r>
              <w:rPr>
                <w:rFonts w:hint="eastAsia" w:ascii="宋体" w:hAnsi="宋体" w:cs="宋体"/>
                <w:color w:val="auto"/>
                <w:kern w:val="0"/>
                <w:szCs w:val="21"/>
                <w:highlight w:val="none"/>
                <w:lang w:val="zh-TW" w:bidi="ar"/>
              </w:rPr>
              <w:t>具有一级注册结构工程师资格，</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r>
              <w:rPr>
                <w:rFonts w:hint="eastAsia" w:ascii="宋体" w:hAnsi="宋体" w:cs="宋体"/>
                <w:color w:val="auto"/>
                <w:kern w:val="0"/>
                <w:szCs w:val="21"/>
                <w:highlight w:val="none"/>
                <w:lang w:val="zh-TW" w:bidi="ar"/>
              </w:rPr>
              <w:t>造价</w:t>
            </w:r>
            <w:r>
              <w:rPr>
                <w:rFonts w:hint="eastAsia" w:ascii="宋体" w:hAnsi="宋体" w:cs="宋体"/>
                <w:color w:val="auto"/>
                <w:kern w:val="0"/>
                <w:szCs w:val="21"/>
                <w:highlight w:val="none"/>
                <w:lang w:bidi="ar"/>
              </w:rPr>
              <w:t>专业</w:t>
            </w:r>
            <w:r>
              <w:rPr>
                <w:rFonts w:hint="eastAsia" w:ascii="宋体" w:hAnsi="宋体" w:cs="宋体"/>
                <w:color w:val="auto"/>
                <w:kern w:val="0"/>
                <w:szCs w:val="21"/>
                <w:highlight w:val="none"/>
                <w:lang w:val="zh-TW" w:bidi="ar"/>
              </w:rPr>
              <w:t>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color w:val="auto"/>
                <w:kern w:val="0"/>
                <w:szCs w:val="21"/>
                <w:highlight w:val="none"/>
                <w:lang w:val="zh-TW" w:bidi="ar"/>
              </w:rPr>
            </w:pPr>
            <w:r>
              <w:rPr>
                <w:rFonts w:hint="eastAsia" w:ascii="宋体" w:hAnsi="宋体" w:cs="宋体"/>
                <w:color w:val="auto"/>
                <w:kern w:val="0"/>
                <w:szCs w:val="21"/>
                <w:highlight w:val="none"/>
                <w:lang w:val="zh-TW" w:bidi="ar"/>
              </w:rPr>
              <w:t>具有</w:t>
            </w:r>
            <w:r>
              <w:rPr>
                <w:rFonts w:hint="eastAsia" w:ascii="宋体" w:hAnsi="宋体" w:cs="宋体"/>
                <w:color w:val="auto"/>
                <w:kern w:val="0"/>
                <w:szCs w:val="21"/>
                <w:highlight w:val="none"/>
                <w:lang w:bidi="ar"/>
              </w:rPr>
              <w:t>一级注册造价工程师</w:t>
            </w:r>
            <w:r>
              <w:rPr>
                <w:rFonts w:hint="eastAsia" w:ascii="宋体" w:hAnsi="宋体" w:cs="宋体"/>
                <w:color w:val="auto"/>
                <w:kern w:val="0"/>
                <w:szCs w:val="21"/>
                <w:highlight w:val="none"/>
                <w:lang w:val="zh-TW" w:bidi="ar"/>
              </w:rPr>
              <w:t>资格，</w:t>
            </w:r>
            <w:r>
              <w:rPr>
                <w:rFonts w:hint="eastAsia" w:ascii="宋体" w:hAnsi="宋体" w:cs="宋体"/>
                <w:color w:val="auto"/>
                <w:kern w:val="0"/>
                <w:szCs w:val="21"/>
                <w:highlight w:val="none"/>
                <w:lang w:val="zh-CN" w:bidi="ar"/>
              </w:rPr>
              <w:t>并</w:t>
            </w:r>
            <w:r>
              <w:rPr>
                <w:rFonts w:hint="eastAsia" w:ascii="宋体" w:hAnsi="宋体" w:eastAsia="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给排水专业负责人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eastAsia="PMingLiU" w:cs="宋体"/>
                <w:color w:val="auto"/>
                <w:kern w:val="0"/>
                <w:szCs w:val="21"/>
                <w:highlight w:val="none"/>
                <w:lang w:eastAsia="zh-TW" w:bidi="ar"/>
              </w:rPr>
            </w:pPr>
            <w:r>
              <w:rPr>
                <w:rFonts w:hint="eastAsia" w:ascii="宋体" w:hAnsi="宋体" w:cs="宋体"/>
                <w:color w:val="auto"/>
                <w:kern w:val="0"/>
                <w:szCs w:val="21"/>
                <w:highlight w:val="none"/>
                <w:lang w:val="zh-TW" w:bidi="ar"/>
              </w:rPr>
              <w:t>具有注册公用设备工程师（给水排水）资格，</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top w:val="single" w:color="auto" w:sz="4" w:space="0"/>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电气专业负责人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具有注册电气工程师（供配电）资格，</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p>
        </w:tc>
        <w:tc>
          <w:tcPr>
            <w:tcW w:w="2711" w:type="dxa"/>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暖通专业负责人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eastAsia="PMingLiU" w:cs="宋体"/>
                <w:color w:val="auto"/>
                <w:kern w:val="0"/>
                <w:szCs w:val="21"/>
                <w:highlight w:val="none"/>
                <w:lang w:eastAsia="zh-TW" w:bidi="ar"/>
              </w:rPr>
            </w:pPr>
            <w:r>
              <w:rPr>
                <w:rFonts w:hint="eastAsia" w:ascii="宋体" w:hAnsi="宋体" w:cs="宋体"/>
                <w:color w:val="auto"/>
                <w:kern w:val="0"/>
                <w:szCs w:val="21"/>
                <w:highlight w:val="none"/>
                <w:lang w:val="zh-TW" w:bidi="ar"/>
              </w:rPr>
              <w:t>具有注册公用设备工程师（暖通空调）资格，</w:t>
            </w:r>
            <w:r>
              <w:rPr>
                <w:rFonts w:hint="eastAsia" w:ascii="宋体" w:hAnsi="宋体" w:cs="宋体"/>
                <w:color w:val="auto"/>
                <w:kern w:val="0"/>
                <w:szCs w:val="21"/>
                <w:highlight w:val="none"/>
                <w:lang w:val="zh-CN"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hint="eastAsia"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45" w:type="dxa"/>
            <w:vMerge w:val="continue"/>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bidi="ar"/>
              </w:rPr>
            </w:pPr>
          </w:p>
        </w:tc>
        <w:tc>
          <w:tcPr>
            <w:tcW w:w="2711" w:type="dxa"/>
            <w:tcBorders>
              <w:left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r>
              <w:rPr>
                <w:rFonts w:hint="eastAsia" w:ascii="宋体" w:hAnsi="宋体" w:cs="宋体"/>
                <w:color w:val="auto"/>
                <w:kern w:val="0"/>
                <w:szCs w:val="21"/>
                <w:highlight w:val="none"/>
                <w:lang w:bidi="ar"/>
              </w:rPr>
              <w:t>BIM</w:t>
            </w:r>
            <w:r>
              <w:rPr>
                <w:rFonts w:ascii="宋体" w:hAnsi="宋体" w:cs="宋体"/>
                <w:color w:val="auto"/>
                <w:kern w:val="0"/>
                <w:szCs w:val="21"/>
                <w:highlight w:val="none"/>
                <w:lang w:val="zh-TW" w:bidi="ar"/>
              </w:rPr>
              <w:t>专业负责人</w:t>
            </w:r>
          </w:p>
        </w:tc>
        <w:tc>
          <w:tcPr>
            <w:tcW w:w="9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06" w:leftChars="35" w:hanging="333" w:hangingChars="159"/>
              <w:jc w:val="center"/>
              <w:rPr>
                <w:rFonts w:ascii="宋体" w:hAnsi="宋体" w:cs="宋体"/>
                <w:color w:val="auto"/>
                <w:kern w:val="0"/>
                <w:szCs w:val="21"/>
                <w:highlight w:val="none"/>
                <w:lang w:val="zh-TW" w:bidi="ar"/>
              </w:rPr>
            </w:pPr>
            <w:r>
              <w:rPr>
                <w:rFonts w:hint="eastAsia" w:ascii="宋体" w:hAnsi="宋体" w:cs="宋体"/>
                <w:color w:val="auto"/>
                <w:kern w:val="0"/>
                <w:szCs w:val="21"/>
                <w:highlight w:val="none"/>
                <w:lang w:val="zh-TW" w:bidi="ar"/>
              </w:rPr>
              <w:t>1</w:t>
            </w:r>
          </w:p>
        </w:tc>
        <w:tc>
          <w:tcPr>
            <w:tcW w:w="82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宋体" w:hAnsi="宋体" w:cs="宋体"/>
                <w:color w:val="auto"/>
                <w:kern w:val="0"/>
                <w:szCs w:val="21"/>
                <w:highlight w:val="none"/>
                <w:lang w:val="zh-TW" w:bidi="ar"/>
              </w:rPr>
            </w:pPr>
            <w:r>
              <w:rPr>
                <w:rFonts w:hint="eastAsia" w:ascii="宋体" w:hAnsi="宋体" w:cs="宋体"/>
                <w:color w:val="auto"/>
                <w:kern w:val="0"/>
                <w:szCs w:val="21"/>
                <w:highlight w:val="none"/>
                <w:lang w:bidi="ar"/>
              </w:rPr>
              <w:t>具有</w:t>
            </w:r>
            <w:r>
              <w:rPr>
                <w:rFonts w:hint="eastAsia" w:ascii="宋体" w:hAnsi="宋体" w:cs="宋体"/>
                <w:bCs/>
                <w:color w:val="auto"/>
                <w:szCs w:val="21"/>
                <w:highlight w:val="none"/>
              </w:rPr>
              <w:t>BIM一级技能等级资格</w:t>
            </w:r>
            <w:r>
              <w:rPr>
                <w:rFonts w:hint="eastAsia" w:ascii="宋体" w:hAnsi="宋体" w:cs="宋体"/>
                <w:color w:val="auto"/>
                <w:kern w:val="0"/>
                <w:szCs w:val="21"/>
                <w:highlight w:val="none"/>
                <w:lang w:val="zh-TW" w:bidi="ar"/>
              </w:rPr>
              <w:t>，</w:t>
            </w:r>
            <w:r>
              <w:rPr>
                <w:rFonts w:hint="eastAsia" w:ascii="宋体" w:hAnsi="宋体" w:cs="宋体"/>
                <w:color w:val="auto"/>
                <w:kern w:val="0"/>
                <w:szCs w:val="21"/>
                <w:highlight w:val="none"/>
                <w:lang w:bidi="ar"/>
              </w:rPr>
              <w:t>并</w:t>
            </w:r>
            <w:r>
              <w:rPr>
                <w:rFonts w:hint="eastAsia" w:ascii="宋体" w:hAnsi="宋体" w:cs="宋体"/>
                <w:color w:val="auto"/>
                <w:kern w:val="0"/>
                <w:szCs w:val="21"/>
                <w:highlight w:val="none"/>
                <w:lang w:val="zh-TW" w:bidi="ar"/>
              </w:rPr>
              <w:t>取得</w:t>
            </w:r>
            <w:r>
              <w:rPr>
                <w:rFonts w:hint="eastAsia" w:ascii="宋体" w:hAnsi="宋体" w:cs="宋体"/>
                <w:bCs/>
                <w:color w:val="auto"/>
                <w:szCs w:val="21"/>
                <w:highlight w:val="none"/>
                <w:lang w:val="zh-TW"/>
              </w:rPr>
              <w:t>高级</w:t>
            </w:r>
            <w:r>
              <w:rPr>
                <w:rFonts w:ascii="宋体" w:hAnsi="宋体" w:cs="宋体"/>
                <w:color w:val="auto"/>
                <w:kern w:val="0"/>
                <w:szCs w:val="21"/>
                <w:highlight w:val="none"/>
                <w:lang w:val="zh-TW" w:bidi="ar"/>
              </w:rPr>
              <w:t>或以上技术职称。</w:t>
            </w:r>
          </w:p>
        </w:tc>
        <w:tc>
          <w:tcPr>
            <w:tcW w:w="1593" w:type="dxa"/>
            <w:vMerge w:val="continue"/>
            <w:tcBorders>
              <w:left w:val="single" w:color="auto" w:sz="4" w:space="0"/>
              <w:right w:val="single" w:color="auto" w:sz="4" w:space="0"/>
            </w:tcBorders>
            <w:vAlign w:val="center"/>
          </w:tcPr>
          <w:p>
            <w:pPr>
              <w:snapToGrid w:val="0"/>
              <w:spacing w:line="240" w:lineRule="atLeast"/>
              <w:ind w:left="42" w:leftChars="20" w:right="42" w:rightChars="20"/>
              <w:jc w:val="center"/>
              <w:rPr>
                <w:rFonts w:ascii="宋体" w:hAnsi="宋体" w:cs="宋体"/>
                <w:bCs/>
                <w:color w:val="auto"/>
                <w:szCs w:val="21"/>
                <w:highlight w:val="none"/>
                <w:lang w:val="zh-TW"/>
              </w:rPr>
            </w:pPr>
          </w:p>
        </w:tc>
      </w:tr>
    </w:tbl>
    <w:p>
      <w:pPr>
        <w:snapToGrid w:val="0"/>
        <w:spacing w:line="240" w:lineRule="atLeast"/>
        <w:ind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注：1</w:t>
      </w:r>
      <w:r>
        <w:rPr>
          <w:rFonts w:hint="eastAsia" w:cs="宋体"/>
          <w:bCs/>
          <w:color w:val="auto"/>
          <w:szCs w:val="21"/>
          <w:highlight w:val="none"/>
          <w:lang w:val="zh-TW" w:eastAsia="zh-TW"/>
        </w:rPr>
        <w:t>、</w:t>
      </w:r>
      <w:r>
        <w:rPr>
          <w:rFonts w:hint="eastAsia" w:ascii="宋体" w:hAnsi="宋体" w:cs="宋体"/>
          <w:bCs/>
          <w:color w:val="auto"/>
          <w:szCs w:val="21"/>
          <w:highlight w:val="none"/>
          <w:lang w:val="zh-TW"/>
        </w:rPr>
        <w:t>上表中的人员以相关职称证书或执业资格证书</w:t>
      </w:r>
      <w:r>
        <w:rPr>
          <w:rFonts w:hint="eastAsia" w:ascii="宋体" w:hAnsi="宋体" w:cs="宋体"/>
          <w:bCs/>
          <w:color w:val="auto"/>
          <w:szCs w:val="21"/>
          <w:highlight w:val="none"/>
        </w:rPr>
        <w:t>或执业注册证书或技能等级证书等相关证明</w:t>
      </w:r>
      <w:r>
        <w:rPr>
          <w:rFonts w:hint="eastAsia" w:ascii="宋体" w:hAnsi="宋体" w:cs="宋体"/>
          <w:bCs/>
          <w:color w:val="auto"/>
          <w:szCs w:val="21"/>
          <w:highlight w:val="none"/>
          <w:lang w:val="zh-TW"/>
        </w:rPr>
        <w:t>为准，投标人</w:t>
      </w:r>
      <w:r>
        <w:rPr>
          <w:rFonts w:hint="eastAsia" w:ascii="宋体" w:hAnsi="宋体" w:cs="宋体"/>
          <w:bCs/>
          <w:color w:val="auto"/>
          <w:szCs w:val="21"/>
          <w:highlight w:val="none"/>
        </w:rPr>
        <w:t>（若为联合体，指全体成员）</w:t>
      </w:r>
      <w:r>
        <w:rPr>
          <w:rFonts w:hint="eastAsia" w:ascii="宋体" w:hAnsi="宋体" w:cs="宋体"/>
          <w:bCs/>
          <w:color w:val="auto"/>
          <w:szCs w:val="21"/>
          <w:highlight w:val="none"/>
          <w:lang w:val="zh-TW"/>
        </w:rPr>
        <w:t>须提交人员相关证书扫描件。其中</w:t>
      </w:r>
      <w:r>
        <w:rPr>
          <w:rFonts w:hint="eastAsia" w:ascii="宋体" w:hAnsi="宋体" w:cs="宋体"/>
          <w:bCs/>
          <w:color w:val="auto"/>
          <w:szCs w:val="21"/>
          <w:highlight w:val="none"/>
        </w:rPr>
        <w:t>注册造价工程师包括一级注册造价工程师，注册专业以全国建筑市场监管公共服务平台（http://jzsc.mohurd.gov.cn/）信息截图为准</w:t>
      </w:r>
      <w:r>
        <w:rPr>
          <w:rFonts w:hint="eastAsia" w:ascii="宋体" w:hAnsi="宋体" w:cs="宋体"/>
          <w:bCs/>
          <w:color w:val="auto"/>
          <w:szCs w:val="21"/>
          <w:highlight w:val="none"/>
          <w:lang w:val="zh-TW"/>
        </w:rPr>
        <w:t>。</w:t>
      </w:r>
      <w:r>
        <w:rPr>
          <w:rFonts w:hint="eastAsia" w:ascii="宋体" w:hAnsi="宋体" w:eastAsia="宋体" w:cs="宋体"/>
          <w:b/>
          <w:bCs/>
          <w:color w:val="auto"/>
          <w:sz w:val="21"/>
          <w:szCs w:val="21"/>
          <w:highlight w:val="none"/>
          <w:u w:val="single"/>
        </w:rPr>
        <w:t>按照《造价工程师职业资格制度规定》的规定，根据原人事部、原建设部发布的《造价工程师执业资格制度暂行规定》（人发〔1996〕77号）取得的造价工程师执业资格，并经注册且在有效期内的，等同于一级注册造价工程师。</w:t>
      </w:r>
    </w:p>
    <w:p>
      <w:pPr>
        <w:snapToGrid w:val="0"/>
        <w:spacing w:line="240" w:lineRule="atLeast"/>
        <w:ind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2、投标人应同时提供上表中的人员截止投标前近一个月（即202</w:t>
      </w:r>
      <w:r>
        <w:rPr>
          <w:rFonts w:hint="eastAsia" w:ascii="宋体" w:hAnsi="宋体" w:cs="宋体"/>
          <w:bCs/>
          <w:color w:val="auto"/>
          <w:szCs w:val="21"/>
          <w:highlight w:val="none"/>
        </w:rPr>
        <w:t>3</w:t>
      </w:r>
      <w:r>
        <w:rPr>
          <w:rFonts w:hint="eastAsia" w:ascii="宋体" w:hAnsi="宋体" w:cs="宋体"/>
          <w:bCs/>
          <w:color w:val="auto"/>
          <w:szCs w:val="21"/>
          <w:highlight w:val="none"/>
          <w:lang w:val="zh-TW"/>
        </w:rPr>
        <w:t>年</w:t>
      </w:r>
      <w:r>
        <w:rPr>
          <w:rFonts w:hint="eastAsia" w:ascii="宋体" w:hAnsi="宋体" w:cs="宋体"/>
          <w:bCs/>
          <w:color w:val="auto"/>
          <w:szCs w:val="21"/>
          <w:highlight w:val="none"/>
        </w:rPr>
        <w:t>2</w:t>
      </w:r>
      <w:r>
        <w:rPr>
          <w:rFonts w:hint="eastAsia" w:ascii="宋体" w:hAnsi="宋体" w:cs="宋体"/>
          <w:bCs/>
          <w:color w:val="auto"/>
          <w:szCs w:val="21"/>
          <w:highlight w:val="none"/>
          <w:lang w:val="zh-TW"/>
        </w:rPr>
        <w:t>月</w:t>
      </w:r>
      <w:r>
        <w:rPr>
          <w:rFonts w:hint="eastAsia" w:ascii="宋体" w:hAnsi="宋体" w:cs="宋体"/>
          <w:bCs/>
          <w:color w:val="auto"/>
          <w:szCs w:val="21"/>
          <w:highlight w:val="none"/>
        </w:rPr>
        <w:t>份</w:t>
      </w:r>
      <w:r>
        <w:rPr>
          <w:rFonts w:hint="eastAsia" w:ascii="宋体" w:hAnsi="宋体" w:cs="宋体"/>
          <w:bCs/>
          <w:color w:val="auto"/>
          <w:szCs w:val="21"/>
          <w:highlight w:val="none"/>
          <w:lang w:val="zh-TW"/>
        </w:rPr>
        <w:t>）在本单位（不含投标人的子公司，含分公司或分支机构）购买社保的缴费记录。不符合条件或无提交相关资料的不计分（本表</w:t>
      </w:r>
      <w:r>
        <w:rPr>
          <w:rFonts w:ascii="宋体" w:hAnsi="宋体" w:cs="宋体"/>
          <w:bCs/>
          <w:color w:val="auto"/>
          <w:szCs w:val="21"/>
          <w:highlight w:val="none"/>
          <w:lang w:val="zh-TW"/>
        </w:rPr>
        <w:t>不作为</w:t>
      </w:r>
      <w:r>
        <w:rPr>
          <w:rFonts w:hint="eastAsia" w:ascii="宋体" w:hAnsi="宋体" w:cs="宋体"/>
          <w:bCs/>
          <w:color w:val="auto"/>
          <w:szCs w:val="21"/>
          <w:highlight w:val="none"/>
          <w:lang w:val="zh-TW"/>
        </w:rPr>
        <w:t>无效投标</w:t>
      </w:r>
      <w:r>
        <w:rPr>
          <w:rFonts w:ascii="宋体" w:hAnsi="宋体" w:cs="宋体"/>
          <w:bCs/>
          <w:color w:val="auto"/>
          <w:szCs w:val="21"/>
          <w:highlight w:val="none"/>
          <w:lang w:val="zh-TW"/>
        </w:rPr>
        <w:t>条款</w:t>
      </w:r>
      <w:r>
        <w:rPr>
          <w:rFonts w:hint="eastAsia" w:ascii="宋体" w:hAnsi="宋体" w:cs="宋体"/>
          <w:bCs/>
          <w:color w:val="auto"/>
          <w:szCs w:val="21"/>
          <w:highlight w:val="none"/>
          <w:lang w:val="zh-TW"/>
        </w:rPr>
        <w:t>）。</w:t>
      </w:r>
    </w:p>
    <w:p>
      <w:pPr>
        <w:snapToGrid w:val="0"/>
        <w:spacing w:line="240" w:lineRule="atLeast"/>
        <w:ind w:right="42" w:rightChars="20"/>
        <w:jc w:val="left"/>
        <w:rPr>
          <w:rFonts w:ascii="宋体" w:hAnsi="宋体"/>
          <w:color w:val="auto"/>
          <w:highlight w:val="none"/>
        </w:rPr>
      </w:pPr>
      <w:r>
        <w:rPr>
          <w:rFonts w:hint="eastAsia" w:ascii="宋体" w:hAnsi="宋体"/>
          <w:color w:val="auto"/>
          <w:highlight w:val="none"/>
        </w:rPr>
        <w:t>3.上述人员岗位不能相互兼任。</w:t>
      </w:r>
    </w:p>
    <w:p>
      <w:pPr>
        <w:snapToGrid w:val="0"/>
        <w:spacing w:line="240" w:lineRule="atLeast"/>
        <w:ind w:right="42" w:rightChars="20"/>
        <w:jc w:val="left"/>
        <w:rPr>
          <w:rFonts w:ascii="宋体" w:hAnsi="宋体"/>
          <w:color w:val="auto"/>
          <w:highlight w:val="none"/>
        </w:rPr>
      </w:pPr>
      <w:r>
        <w:rPr>
          <w:rFonts w:hint="eastAsia" w:ascii="宋体" w:hAnsi="宋体"/>
          <w:color w:val="auto"/>
          <w:highlight w:val="none"/>
        </w:rPr>
        <w:t>4.联合体投标的，项目团队中的设计人员（包括：设计负责人、各专业设计</w:t>
      </w:r>
      <w:r>
        <w:rPr>
          <w:rFonts w:hint="eastAsia" w:ascii="宋体" w:hAnsi="宋体" w:cs="宋体"/>
          <w:color w:val="auto"/>
          <w:kern w:val="0"/>
          <w:szCs w:val="21"/>
          <w:highlight w:val="none"/>
          <w:lang w:val="zh-TW" w:bidi="ar"/>
        </w:rPr>
        <w:t>负责人</w:t>
      </w:r>
      <w:r>
        <w:rPr>
          <w:rFonts w:hint="eastAsia" w:ascii="宋体" w:hAnsi="宋体"/>
          <w:color w:val="auto"/>
          <w:highlight w:val="none"/>
        </w:rPr>
        <w:t>）应为联合体中负责设计任务成员方人员，</w:t>
      </w:r>
      <w:r>
        <w:rPr>
          <w:rFonts w:hint="eastAsia" w:ascii="宋体" w:hAnsi="宋体" w:cs="宋体"/>
          <w:bCs/>
          <w:color w:val="auto"/>
          <w:szCs w:val="21"/>
          <w:highlight w:val="none"/>
          <w:lang w:val="zh-TW"/>
        </w:rPr>
        <w:t>勘察专业负责人</w:t>
      </w:r>
      <w:r>
        <w:rPr>
          <w:rFonts w:hint="eastAsia" w:ascii="宋体" w:hAnsi="宋体"/>
          <w:color w:val="auto"/>
          <w:highlight w:val="none"/>
        </w:rPr>
        <w:t>应为联合体中负责勘察任务成员方人员，其他施工管理人员均要求为联合体</w:t>
      </w:r>
      <w:r>
        <w:rPr>
          <w:rFonts w:hint="eastAsia" w:ascii="宋体" w:hAnsi="宋体" w:cs="宋体"/>
          <w:bCs/>
          <w:color w:val="auto"/>
          <w:szCs w:val="21"/>
          <w:highlight w:val="none"/>
        </w:rPr>
        <w:t>主办</w:t>
      </w:r>
      <w:r>
        <w:rPr>
          <w:rFonts w:hint="eastAsia" w:ascii="宋体" w:hAnsi="宋体"/>
          <w:color w:val="auto"/>
          <w:highlight w:val="none"/>
        </w:rPr>
        <w:t>方人员。</w:t>
      </w:r>
    </w:p>
    <w:p>
      <w:pPr>
        <w:snapToGrid w:val="0"/>
        <w:jc w:val="center"/>
        <w:rPr>
          <w:rFonts w:ascii="宋体" w:hAnsi="宋体" w:cs="宋体"/>
          <w:b/>
          <w:color w:val="auto"/>
          <w:szCs w:val="21"/>
          <w:highlight w:val="none"/>
        </w:rPr>
      </w:pPr>
    </w:p>
    <w:p>
      <w:pPr>
        <w:snapToGrid w:val="0"/>
        <w:jc w:val="center"/>
        <w:rPr>
          <w:rFonts w:ascii="宋体" w:hAnsi="宋体" w:cs="宋体"/>
          <w:b/>
          <w:color w:val="auto"/>
          <w:szCs w:val="21"/>
          <w:highlight w:val="none"/>
        </w:rPr>
      </w:pPr>
    </w:p>
    <w:p>
      <w:pPr>
        <w:snapToGrid w:val="0"/>
        <w:jc w:val="center"/>
        <w:rPr>
          <w:rFonts w:ascii="宋体" w:hAnsi="宋体" w:cs="宋体"/>
          <w:b/>
          <w:color w:val="auto"/>
          <w:szCs w:val="21"/>
          <w:highlight w:val="none"/>
        </w:rPr>
      </w:pPr>
    </w:p>
    <w:p>
      <w:pPr>
        <w:pStyle w:val="78"/>
        <w:jc w:val="center"/>
        <w:rPr>
          <w:rFonts w:ascii="宋体" w:hAnsi="宋体" w:cs="宋体"/>
          <w:strike/>
          <w:color w:val="auto"/>
          <w:szCs w:val="21"/>
          <w:highlight w:val="none"/>
        </w:rPr>
        <w:sectPr>
          <w:pgSz w:w="16838" w:h="11906" w:orient="landscape"/>
          <w:pgMar w:top="1383" w:right="1440" w:bottom="1803" w:left="1440" w:header="851" w:footer="992" w:gutter="0"/>
          <w:cols w:space="0" w:num="1"/>
          <w:docGrid w:type="lines" w:linePitch="322" w:charSpace="0"/>
        </w:sectPr>
      </w:pPr>
    </w:p>
    <w:p>
      <w:pPr>
        <w:pStyle w:val="4"/>
        <w:spacing w:line="360" w:lineRule="auto"/>
        <w:rPr>
          <w:rFonts w:ascii="宋体" w:hAnsi="宋体" w:eastAsia="宋体" w:cs="宋体"/>
          <w:color w:val="auto"/>
          <w:highlight w:val="none"/>
        </w:rPr>
      </w:pPr>
      <w:bookmarkStart w:id="462" w:name="_Toc23195"/>
      <w:r>
        <w:rPr>
          <w:rFonts w:hint="eastAsia" w:ascii="宋体" w:hAnsi="宋体" w:eastAsia="宋体" w:cs="宋体"/>
          <w:color w:val="auto"/>
          <w:highlight w:val="none"/>
        </w:rPr>
        <w:t>1. 评标方法</w:t>
      </w:r>
      <w:bookmarkEnd w:id="456"/>
      <w:bookmarkEnd w:id="457"/>
      <w:bookmarkEnd w:id="458"/>
      <w:bookmarkEnd w:id="459"/>
      <w:bookmarkEnd w:id="460"/>
      <w:bookmarkEnd w:id="461"/>
      <w:bookmarkEnd w:id="462"/>
    </w:p>
    <w:p>
      <w:pPr>
        <w:spacing w:line="360" w:lineRule="auto"/>
        <w:ind w:firstLine="420" w:firstLineChars="200"/>
        <w:rPr>
          <w:rFonts w:ascii="宋体" w:hAnsi="宋体" w:cs="宋体"/>
          <w:color w:val="auto"/>
          <w:highlight w:val="none"/>
          <w:u w:val="single"/>
        </w:rPr>
      </w:pPr>
      <w:bookmarkStart w:id="463" w:name="_Toc152042378"/>
      <w:bookmarkStart w:id="464" w:name="_Toc247527626"/>
      <w:bookmarkStart w:id="465" w:name="_Toc247514025"/>
      <w:bookmarkStart w:id="466" w:name="_Toc144974568"/>
      <w:bookmarkStart w:id="467" w:name="_Toc29422"/>
      <w:bookmarkStart w:id="468" w:name="_Toc152045601"/>
      <w:r>
        <w:rPr>
          <w:rFonts w:hint="eastAsia" w:ascii="宋体" w:hAnsi="宋体" w:cs="宋体"/>
          <w:color w:val="auto"/>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w:t>
      </w:r>
      <w:r>
        <w:rPr>
          <w:rFonts w:hint="eastAsia" w:ascii="宋体" w:hAnsi="宋体" w:cs="宋体"/>
          <w:color w:val="auto"/>
          <w:highlight w:val="none"/>
          <w:u w:val="single"/>
        </w:rPr>
        <w:t>总分相同的，以</w:t>
      </w:r>
      <w:r>
        <w:rPr>
          <w:rFonts w:hint="eastAsia" w:ascii="宋体" w:hAnsi="宋体" w:cs="宋体"/>
          <w:color w:val="auto"/>
          <w:szCs w:val="21"/>
          <w:highlight w:val="none"/>
          <w:u w:val="single"/>
        </w:rPr>
        <w:t>工程总承包实施方案</w:t>
      </w:r>
      <w:r>
        <w:rPr>
          <w:rFonts w:hint="eastAsia" w:ascii="宋体" w:hAnsi="宋体" w:cs="宋体"/>
          <w:color w:val="auto"/>
          <w:highlight w:val="none"/>
          <w:u w:val="single"/>
        </w:rPr>
        <w:t>得分较高的排前；总分与</w:t>
      </w:r>
      <w:r>
        <w:rPr>
          <w:rFonts w:hint="eastAsia" w:ascii="宋体" w:hAnsi="宋体" w:cs="宋体"/>
          <w:color w:val="auto"/>
          <w:szCs w:val="21"/>
          <w:highlight w:val="none"/>
          <w:u w:val="single"/>
        </w:rPr>
        <w:t>工程总承包实施方案</w:t>
      </w:r>
      <w:r>
        <w:rPr>
          <w:rFonts w:hint="eastAsia" w:ascii="宋体" w:hAnsi="宋体" w:cs="宋体"/>
          <w:color w:val="auto"/>
          <w:highlight w:val="none"/>
          <w:u w:val="single"/>
        </w:rPr>
        <w:t>得分均相同的投标文件，以</w:t>
      </w:r>
      <w:r>
        <w:rPr>
          <w:rFonts w:hint="eastAsia" w:ascii="宋体" w:hAnsi="宋体" w:cs="宋体"/>
          <w:color w:val="auto"/>
          <w:szCs w:val="21"/>
          <w:highlight w:val="none"/>
          <w:u w:val="single"/>
          <w:lang w:val="zh-CN"/>
        </w:rPr>
        <w:t>投标总报价</w:t>
      </w:r>
      <w:r>
        <w:rPr>
          <w:rFonts w:hint="eastAsia" w:ascii="宋体" w:hAnsi="宋体" w:cs="宋体"/>
          <w:color w:val="auto"/>
          <w:highlight w:val="none"/>
          <w:u w:val="single"/>
        </w:rPr>
        <w:t>较低的排前；如仍存在相同情况，则对具有相同情况的投标人，按中标候选人数量规定，由评标委员会采用记名投票方式，确定中标候选人的排序。评标委员会应按排序先后，向招标人推荐前3名投标人依次为第一中标候选人至第三中标候选人，并编写评标报告。</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注：记名投票方式确定排序的具体操作步骤为：由评标委员会对出现该情况的投标人采取记名投票的方式确定，按得票数高低进行排序，根据得票数高低确定中标候选人排序。</w:t>
      </w:r>
    </w:p>
    <w:p>
      <w:pPr>
        <w:pStyle w:val="4"/>
        <w:spacing w:line="360" w:lineRule="auto"/>
        <w:rPr>
          <w:rFonts w:ascii="宋体" w:hAnsi="宋体" w:eastAsia="宋体" w:cs="宋体"/>
          <w:color w:val="auto"/>
          <w:highlight w:val="none"/>
        </w:rPr>
      </w:pPr>
      <w:bookmarkStart w:id="469" w:name="_Toc27247"/>
      <w:bookmarkStart w:id="470" w:name="_Toc28229"/>
      <w:r>
        <w:rPr>
          <w:rFonts w:hint="eastAsia" w:ascii="宋体" w:hAnsi="宋体" w:eastAsia="宋体" w:cs="宋体"/>
          <w:color w:val="auto"/>
          <w:highlight w:val="none"/>
        </w:rPr>
        <w:t>2. 评审标准</w:t>
      </w:r>
      <w:bookmarkEnd w:id="463"/>
      <w:bookmarkEnd w:id="464"/>
      <w:bookmarkEnd w:id="465"/>
      <w:bookmarkEnd w:id="466"/>
      <w:bookmarkEnd w:id="467"/>
      <w:bookmarkEnd w:id="468"/>
      <w:bookmarkEnd w:id="469"/>
      <w:bookmarkEnd w:id="470"/>
    </w:p>
    <w:p>
      <w:pPr>
        <w:pStyle w:val="5"/>
        <w:spacing w:line="360" w:lineRule="auto"/>
        <w:rPr>
          <w:rFonts w:ascii="宋体" w:eastAsia="宋体" w:cs="宋体"/>
          <w:color w:val="auto"/>
          <w:highlight w:val="none"/>
        </w:rPr>
      </w:pPr>
      <w:bookmarkStart w:id="471" w:name="_Toc152045602"/>
      <w:bookmarkStart w:id="472" w:name="_Toc152042379"/>
      <w:bookmarkStart w:id="473" w:name="_Toc20319"/>
      <w:bookmarkStart w:id="474" w:name="_Toc20046"/>
      <w:bookmarkStart w:id="475" w:name="_Toc247514026"/>
      <w:bookmarkStart w:id="476" w:name="_Toc144974569"/>
      <w:bookmarkStart w:id="477" w:name="_Toc3043"/>
      <w:bookmarkStart w:id="478" w:name="_Toc247527627"/>
      <w:bookmarkStart w:id="479" w:name="_Toc18726"/>
      <w:r>
        <w:rPr>
          <w:rFonts w:hint="eastAsia" w:ascii="宋体" w:eastAsia="宋体" w:cs="宋体"/>
          <w:color w:val="auto"/>
          <w:highlight w:val="none"/>
        </w:rPr>
        <w:t>2.1 初步评审标准</w:t>
      </w:r>
      <w:bookmarkEnd w:id="471"/>
      <w:bookmarkEnd w:id="472"/>
      <w:bookmarkEnd w:id="473"/>
      <w:bookmarkEnd w:id="474"/>
      <w:bookmarkEnd w:id="475"/>
      <w:bookmarkEnd w:id="476"/>
      <w:bookmarkEnd w:id="477"/>
      <w:bookmarkEnd w:id="478"/>
      <w:bookmarkEnd w:id="479"/>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2.1.1 形式评审标准：见评标办法前附表。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2.1.2 资格评审标准：见评标办法前附表。</w:t>
      </w:r>
    </w:p>
    <w:p>
      <w:pPr>
        <w:spacing w:line="360" w:lineRule="auto"/>
        <w:ind w:firstLine="420" w:firstLineChars="200"/>
        <w:rPr>
          <w:rFonts w:ascii="宋体" w:hAnsi="宋体" w:cs="宋体"/>
          <w:color w:val="auto"/>
          <w:highlight w:val="none"/>
        </w:rPr>
      </w:pPr>
      <w:bookmarkStart w:id="480" w:name="_Toc152045603"/>
      <w:bookmarkStart w:id="481" w:name="_Toc247527628"/>
      <w:bookmarkStart w:id="482" w:name="_Toc247514027"/>
      <w:bookmarkStart w:id="483" w:name="_Toc12471"/>
      <w:bookmarkStart w:id="484" w:name="_Toc144974570"/>
      <w:bookmarkStart w:id="485" w:name="_Toc10133"/>
      <w:bookmarkStart w:id="486" w:name="_Toc152042380"/>
      <w:r>
        <w:rPr>
          <w:rFonts w:hint="eastAsia" w:ascii="宋体" w:hAnsi="宋体" w:cs="宋体"/>
          <w:color w:val="auto"/>
          <w:highlight w:val="none"/>
        </w:rPr>
        <w:t>2.1.3响应性评审标准：见评标办法前附表。</w:t>
      </w:r>
    </w:p>
    <w:p>
      <w:pPr>
        <w:pStyle w:val="5"/>
        <w:spacing w:line="360" w:lineRule="auto"/>
        <w:rPr>
          <w:rFonts w:ascii="宋体" w:eastAsia="宋体" w:cs="宋体"/>
          <w:color w:val="auto"/>
          <w:highlight w:val="none"/>
        </w:rPr>
      </w:pPr>
      <w:bookmarkStart w:id="487" w:name="_Toc15561"/>
      <w:bookmarkStart w:id="488" w:name="_Toc25693"/>
      <w:r>
        <w:rPr>
          <w:rFonts w:hint="eastAsia" w:ascii="宋体" w:eastAsia="宋体" w:cs="宋体"/>
          <w:color w:val="auto"/>
          <w:highlight w:val="none"/>
        </w:rPr>
        <w:t>2.2 分值构成与评分标准</w:t>
      </w:r>
      <w:bookmarkEnd w:id="480"/>
      <w:bookmarkEnd w:id="481"/>
      <w:bookmarkEnd w:id="482"/>
      <w:bookmarkEnd w:id="483"/>
      <w:bookmarkEnd w:id="484"/>
      <w:bookmarkEnd w:id="485"/>
      <w:bookmarkEnd w:id="486"/>
      <w:bookmarkEnd w:id="487"/>
      <w:bookmarkEnd w:id="488"/>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2.2.1 分值构成</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（1）设计方案：见评标办法前附表；</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（2）工程总承包实施方案：见评标办法前附表；</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w:t>
      </w:r>
      <w:r>
        <w:rPr>
          <w:rFonts w:ascii="宋体" w:hAnsi="宋体" w:cs="宋体"/>
          <w:color w:val="auto"/>
          <w:highlight w:val="none"/>
          <w:u w:val="single"/>
        </w:rPr>
        <w:t>3</w:t>
      </w:r>
      <w:r>
        <w:rPr>
          <w:rFonts w:hint="eastAsia" w:ascii="宋体" w:hAnsi="宋体" w:cs="宋体"/>
          <w:color w:val="auto"/>
          <w:highlight w:val="none"/>
          <w:u w:val="single"/>
        </w:rPr>
        <w:t>）投标报价：见评标办法前附表。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2.2.2 评标基准价计算</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评标基准价计算方法：见评标办法前附表。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2.2.3 投标报价的偏差率计算</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投标报价的偏差率计算公式：见评标办法前附表。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2.2.4 评分标准</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（1）设计方案评分标准：见评标办法前附表；</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（2）工程总承包实施方案评分标准：见评标办法前附表；</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w:t>
      </w:r>
      <w:r>
        <w:rPr>
          <w:rFonts w:ascii="宋体" w:hAnsi="宋体" w:cs="宋体"/>
          <w:color w:val="auto"/>
          <w:highlight w:val="none"/>
          <w:u w:val="single"/>
        </w:rPr>
        <w:t>3</w:t>
      </w:r>
      <w:r>
        <w:rPr>
          <w:rFonts w:hint="eastAsia" w:ascii="宋体" w:hAnsi="宋体" w:cs="宋体"/>
          <w:color w:val="auto"/>
          <w:highlight w:val="none"/>
          <w:u w:val="single"/>
        </w:rPr>
        <w:t>）投标报价评分标准：见评标办法前附表。</w:t>
      </w:r>
    </w:p>
    <w:p>
      <w:pPr>
        <w:pStyle w:val="4"/>
        <w:rPr>
          <w:rFonts w:ascii="宋体" w:hAnsi="宋体" w:eastAsia="宋体" w:cs="宋体"/>
          <w:color w:val="auto"/>
          <w:highlight w:val="none"/>
        </w:rPr>
      </w:pPr>
      <w:bookmarkStart w:id="489" w:name="_Toc152042381"/>
      <w:bookmarkStart w:id="490" w:name="_Toc247514028"/>
      <w:bookmarkStart w:id="491" w:name="_Toc152045604"/>
      <w:bookmarkStart w:id="492" w:name="_Toc18562"/>
      <w:bookmarkStart w:id="493" w:name="_Toc144974571"/>
      <w:bookmarkStart w:id="494" w:name="_Toc247527629"/>
      <w:bookmarkStart w:id="495" w:name="_Toc20112"/>
      <w:bookmarkStart w:id="496" w:name="_Toc1753"/>
      <w:r>
        <w:rPr>
          <w:rFonts w:hint="eastAsia" w:ascii="宋体" w:hAnsi="宋体" w:eastAsia="宋体" w:cs="宋体"/>
          <w:color w:val="auto"/>
          <w:highlight w:val="none"/>
        </w:rPr>
        <w:t>3. 评标程序</w:t>
      </w:r>
      <w:bookmarkEnd w:id="489"/>
      <w:bookmarkEnd w:id="490"/>
      <w:bookmarkEnd w:id="491"/>
      <w:bookmarkEnd w:id="492"/>
      <w:bookmarkEnd w:id="493"/>
      <w:bookmarkEnd w:id="494"/>
      <w:bookmarkEnd w:id="495"/>
      <w:bookmarkEnd w:id="496"/>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本项目采取电子评标。投标文件的设计方案文件响应性审查</w:t>
      </w:r>
      <w:r>
        <w:rPr>
          <w:rFonts w:hint="eastAsia" w:ascii="宋体" w:hAnsi="宋体" w:cs="宋体"/>
          <w:color w:val="auto"/>
          <w:szCs w:val="21"/>
          <w:highlight w:val="none"/>
          <w:u w:val="single"/>
          <w:lang w:eastAsia="zh-CN"/>
        </w:rPr>
        <w:t>、设计方案由设计评审组负责</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u w:val="single"/>
        </w:rPr>
        <w:t>形式审查、资格审查（适用于资格后审项目）、工程总承包实施方案的响应性审查、工程总承包实施方案和投标报价的评审及评审汇总由综合评审组负责。</w:t>
      </w:r>
    </w:p>
    <w:p>
      <w:pPr>
        <w:pStyle w:val="5"/>
        <w:spacing w:before="120" w:after="0" w:line="360" w:lineRule="auto"/>
        <w:rPr>
          <w:rFonts w:ascii="宋体" w:eastAsia="宋体" w:cs="宋体"/>
          <w:color w:val="auto"/>
          <w:highlight w:val="none"/>
          <w:u w:val="single"/>
        </w:rPr>
      </w:pPr>
      <w:bookmarkStart w:id="497" w:name="_Toc7153"/>
      <w:r>
        <w:rPr>
          <w:rFonts w:hint="eastAsia" w:ascii="宋体" w:eastAsia="宋体" w:cs="宋体"/>
          <w:color w:val="auto"/>
          <w:highlight w:val="none"/>
          <w:u w:val="single"/>
        </w:rPr>
        <w:t>3</w:t>
      </w:r>
      <w:r>
        <w:rPr>
          <w:rFonts w:ascii="宋体" w:eastAsia="宋体" w:cs="宋体"/>
          <w:color w:val="auto"/>
          <w:highlight w:val="none"/>
          <w:u w:val="single"/>
        </w:rPr>
        <w:t>.</w:t>
      </w:r>
      <w:r>
        <w:rPr>
          <w:rFonts w:hint="eastAsia" w:ascii="宋体" w:eastAsia="宋体" w:cs="宋体"/>
          <w:color w:val="auto"/>
          <w:highlight w:val="none"/>
          <w:u w:val="single"/>
          <w:lang w:val="en-US" w:eastAsia="zh-CN"/>
        </w:rPr>
        <w:t>1</w:t>
      </w:r>
      <w:r>
        <w:rPr>
          <w:rFonts w:hint="eastAsia" w:ascii="宋体" w:eastAsia="宋体" w:cs="宋体"/>
          <w:color w:val="auto"/>
          <w:highlight w:val="none"/>
          <w:u w:val="single"/>
        </w:rPr>
        <w:t>设计方案评审（由设计评审组负责）</w:t>
      </w:r>
      <w:bookmarkEnd w:id="497"/>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1设计评审组评委按设计方案文件响应性审查标准（详见前附表）对所有成功解密的设计标投标文件进行评审，只有通过响应性审查的设计标投标文件方可进入下一阶段的评审。如果有否决投标提议，则设计评审组成员共同表决，按照少数服从多数的原则决定是否否决其投标。</w:t>
      </w:r>
    </w:p>
    <w:p>
      <w:pPr>
        <w:spacing w:line="360" w:lineRule="auto"/>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u w:val="single"/>
        </w:rPr>
        <w:t>注：评委发现投标文件中含义不明确、对同类问题表述不一致、有明显文字和计算错误的，应当要求投标人作必要的澄清、说明后再判定投标人是否通过响应性审查，不得直接否决投标。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.2设计评审组评委按设计方案评分标准（详见前附表）对各设计标投标文件进行评分。</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3各投标人设计方案得分为各设计评审组评委评分汇总后的算术平均值（若分数出现小数点时，保留小数点后二位，第三位小数四舍五入），得出每个投标人设计方案部分得分，分数出现小数点，保留小数点后二位，第三位小数四舍五入。</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.4设计评审组评委揭晓投标人身份。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5设计评审组评委按只有通过响应性审查的投标人的投标文件方可进入下一阶段评审的评审原则，在揭晓投标人身份后，根据响应性审查结果，否决未通过响应性评审的投标人的投标，取消其得分，且不再进入得分汇总阶段。设计评审组评委汇总各投标人设计方案部分得分、编写、签署设计方案评标报告，评标报告由设计评审组全体成员签名，对评标结论持有异议的评标委员会成员可以书面方式阐述其不同意见和理由。</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.6设计评审组评委会向招标人提交书面设计方案评标报告。</w:t>
      </w:r>
    </w:p>
    <w:p>
      <w:pPr>
        <w:pStyle w:val="5"/>
        <w:spacing w:before="120" w:after="0" w:line="360" w:lineRule="auto"/>
        <w:rPr>
          <w:rFonts w:ascii="宋体" w:eastAsia="宋体" w:cs="宋体"/>
          <w:strike/>
          <w:color w:val="auto"/>
          <w:highlight w:val="none"/>
          <w:u w:val="single"/>
        </w:rPr>
      </w:pPr>
      <w:bookmarkStart w:id="498" w:name="_Toc7221"/>
      <w:r>
        <w:rPr>
          <w:rFonts w:hint="eastAsia" w:ascii="宋体" w:eastAsia="宋体" w:cs="宋体"/>
          <w:color w:val="auto"/>
          <w:highlight w:val="none"/>
          <w:u w:val="single"/>
        </w:rPr>
        <w:t>3.</w:t>
      </w:r>
      <w:r>
        <w:rPr>
          <w:rFonts w:hint="eastAsia" w:ascii="宋体" w:eastAsia="宋体" w:cs="宋体"/>
          <w:color w:val="auto"/>
          <w:highlight w:val="none"/>
          <w:u w:val="single"/>
          <w:lang w:val="en-US" w:eastAsia="zh-CN"/>
        </w:rPr>
        <w:t>2</w:t>
      </w:r>
      <w:r>
        <w:rPr>
          <w:rFonts w:hint="eastAsia" w:ascii="宋体" w:eastAsia="宋体" w:cs="宋体"/>
          <w:color w:val="auto"/>
          <w:highlight w:val="none"/>
          <w:u w:val="single"/>
        </w:rPr>
        <w:t>形式审查及资格审查（由综合评审组负责）</w:t>
      </w:r>
      <w:bookmarkEnd w:id="498"/>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.1 形式审查中全部符合形式评审标准（详见前附表）中规定情形的，为形式审查合格。否则为形式审查不合格，经综合评审组评委</w:t>
      </w:r>
      <w:r>
        <w:rPr>
          <w:rFonts w:hint="eastAsia" w:ascii="宋体" w:hAnsi="宋体" w:cs="宋体"/>
          <w:color w:val="auto"/>
          <w:highlight w:val="none"/>
          <w:u w:val="single"/>
        </w:rPr>
        <w:t>共同</w:t>
      </w:r>
      <w:r>
        <w:rPr>
          <w:rFonts w:hint="eastAsia" w:ascii="宋体" w:hAnsi="宋体" w:cs="宋体"/>
          <w:color w:val="auto"/>
          <w:szCs w:val="21"/>
          <w:highlight w:val="none"/>
          <w:u w:val="single"/>
        </w:rPr>
        <w:t>认定后，其投标文件将被拒绝。如综合评审组评委的评审意见不一致时，以综合评审组过半数成员的意见作为综合评审组</w:t>
      </w:r>
      <w:r>
        <w:rPr>
          <w:rFonts w:hint="eastAsia" w:ascii="宋体" w:hAnsi="宋体" w:cs="宋体"/>
          <w:color w:val="auto"/>
          <w:highlight w:val="none"/>
          <w:u w:val="single"/>
        </w:rPr>
        <w:t>会</w:t>
      </w:r>
      <w:r>
        <w:rPr>
          <w:rFonts w:hint="eastAsia" w:ascii="宋体" w:hAnsi="宋体" w:cs="宋体"/>
          <w:color w:val="auto"/>
          <w:szCs w:val="21"/>
          <w:highlight w:val="none"/>
          <w:u w:val="single"/>
        </w:rPr>
        <w:t>对该情形的认定结论。</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.2汇总形式审查情况，只有通过形式审查的投标人方可进入下一阶段的评审。形式审查合格的投标人少于3名的，则本项目招标失败。</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.3综合评审组评委对所有通过形式审查的投标人进行资格审查。资格审查文件中全部符合</w:t>
      </w:r>
      <w:r>
        <w:rPr>
          <w:rFonts w:hint="eastAsia" w:ascii="宋体" w:hAnsi="宋体" w:cs="宋体"/>
          <w:color w:val="auto"/>
          <w:highlight w:val="none"/>
          <w:u w:val="single"/>
        </w:rPr>
        <w:t>资格评审标准（详见前附表）</w:t>
      </w:r>
      <w:r>
        <w:rPr>
          <w:rFonts w:hint="eastAsia" w:ascii="宋体" w:hAnsi="宋体" w:cs="宋体"/>
          <w:color w:val="auto"/>
          <w:szCs w:val="21"/>
          <w:highlight w:val="none"/>
          <w:u w:val="single"/>
        </w:rPr>
        <w:t>中规定情形的，为资格审查合格。否则为资格审查不合格，经综合评审组评委</w:t>
      </w:r>
      <w:r>
        <w:rPr>
          <w:rFonts w:hint="eastAsia" w:ascii="宋体" w:hAnsi="宋体" w:cs="宋体"/>
          <w:color w:val="auto"/>
          <w:highlight w:val="none"/>
          <w:u w:val="single"/>
        </w:rPr>
        <w:t>共同</w:t>
      </w:r>
      <w:r>
        <w:rPr>
          <w:rFonts w:hint="eastAsia" w:ascii="宋体" w:hAnsi="宋体" w:cs="宋体"/>
          <w:color w:val="auto"/>
          <w:szCs w:val="21"/>
          <w:highlight w:val="none"/>
          <w:u w:val="single"/>
        </w:rPr>
        <w:t>认定后，其投标将被拒绝。如综合评审组评委的评审意见不一致时，以综合评审组过半数成员的意见作为评标委员会对该情形的认定结论。只有通过资格审查的投标人方可进入下一阶段的评审。</w:t>
      </w:r>
    </w:p>
    <w:p>
      <w:pPr>
        <w:spacing w:line="360" w:lineRule="auto"/>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u w:val="single"/>
        </w:rPr>
        <w:t>注：评委发现投标文件中含义不明确、对同类问题表述不一致、有明显文字和计算错误的，应当要求投标人作必要的澄清、说明后再判定投标人是否通过形式审查、资格审查，不得直接否决投标。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.4汇总资格审查情况，编写资格审查报告。资格审查合格的投标人少于3名的，则本项目招标失败。</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5资格审查时，投标企业名称已经工商变更的，但企业及个人的资质证书未完成企业名称变更，仍然承认其有效；投标企业未及时办理变更手续的，招标人或招标代理机构应通报发证部门。资质证书、安全生产许可证之间登记的信息不一致，应当允许投标人澄清，不得直接否决其投标。</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特别声明：资审合格后，投标人的资格发生变化而不满足投标人合格条件，在发出中标通知书前，资格问题仍未解决的，招标人将取消其中标资格。</w:t>
      </w:r>
    </w:p>
    <w:p>
      <w:pPr>
        <w:pStyle w:val="5"/>
        <w:spacing w:before="120" w:after="0" w:line="360" w:lineRule="auto"/>
        <w:rPr>
          <w:rFonts w:ascii="宋体" w:eastAsia="宋体" w:cs="宋体"/>
          <w:bCs w:val="0"/>
          <w:color w:val="auto"/>
          <w:sz w:val="21"/>
          <w:szCs w:val="21"/>
          <w:highlight w:val="none"/>
          <w:u w:val="single"/>
        </w:rPr>
      </w:pPr>
      <w:bookmarkStart w:id="499" w:name="_Toc32049"/>
      <w:r>
        <w:rPr>
          <w:rFonts w:hint="eastAsia" w:ascii="宋体" w:eastAsia="宋体" w:cs="宋体"/>
          <w:color w:val="auto"/>
          <w:highlight w:val="none"/>
          <w:u w:val="single"/>
        </w:rPr>
        <w:t>3.</w:t>
      </w:r>
      <w:r>
        <w:rPr>
          <w:rFonts w:ascii="宋体" w:eastAsia="宋体" w:cs="宋体"/>
          <w:color w:val="auto"/>
          <w:highlight w:val="none"/>
          <w:u w:val="single"/>
        </w:rPr>
        <w:t>3</w:t>
      </w:r>
      <w:r>
        <w:rPr>
          <w:rFonts w:hint="eastAsia" w:ascii="宋体" w:eastAsia="宋体" w:cs="宋体"/>
          <w:color w:val="auto"/>
          <w:highlight w:val="none"/>
          <w:u w:val="single"/>
        </w:rPr>
        <w:t>工程总承包实施方案评审（由综合评审组负责）</w:t>
      </w:r>
      <w:bookmarkEnd w:id="499"/>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3.3.1工程总承包实施方案的响应性审查：通过资格审查的投标文件中没有任一种列于工程总承包实施方案响应性评审标准（详见前附表）中情形的，为有效标书。否则为无效标书，经综合评审组评委共同认定后，其投标文件将被拒绝。如综合评审组评委的评审意见不一致时，以综合评审组过半数成员的意见作为评标委员会对该情形的认定结论。</w:t>
      </w:r>
    </w:p>
    <w:p>
      <w:pPr>
        <w:spacing w:line="360" w:lineRule="auto"/>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u w:val="single"/>
        </w:rPr>
        <w:t>注：评委发现投标文件中含义不明确、对同类问题表述不一致、有明显文字和计算错误的，应当要求投标人作必要的澄清、说明后再判定投标人是否通过响应性审查，不得直接否决投标。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ascii="宋体" w:hAnsi="宋体" w:cs="宋体"/>
          <w:color w:val="auto"/>
          <w:szCs w:val="21"/>
          <w:highlight w:val="none"/>
          <w:u w:val="single"/>
        </w:rPr>
        <w:t>3</w:t>
      </w:r>
      <w:r>
        <w:rPr>
          <w:rFonts w:hint="eastAsia" w:ascii="宋体" w:hAnsi="宋体" w:cs="宋体"/>
          <w:color w:val="auto"/>
          <w:szCs w:val="21"/>
          <w:highlight w:val="none"/>
          <w:u w:val="single"/>
        </w:rPr>
        <w:t>.2</w:t>
      </w:r>
      <w:r>
        <w:rPr>
          <w:rFonts w:hint="eastAsia" w:ascii="宋体" w:hAnsi="宋体" w:cs="宋体"/>
          <w:color w:val="auto"/>
          <w:highlight w:val="none"/>
          <w:u w:val="single"/>
        </w:rPr>
        <w:t>工程总承包实施方案</w:t>
      </w:r>
      <w:r>
        <w:rPr>
          <w:rFonts w:hint="eastAsia" w:ascii="宋体" w:hAnsi="宋体" w:cs="宋体"/>
          <w:color w:val="auto"/>
          <w:szCs w:val="21"/>
          <w:highlight w:val="none"/>
          <w:u w:val="single"/>
        </w:rPr>
        <w:t>详细审查：综合评审组评委按照</w:t>
      </w:r>
      <w:r>
        <w:rPr>
          <w:rFonts w:hint="eastAsia" w:ascii="宋体" w:hAnsi="宋体" w:cs="宋体"/>
          <w:color w:val="auto"/>
          <w:highlight w:val="none"/>
          <w:u w:val="single"/>
        </w:rPr>
        <w:t>工程总承包实施方案</w:t>
      </w:r>
      <w:r>
        <w:rPr>
          <w:rFonts w:hint="eastAsia" w:ascii="宋体" w:hAnsi="宋体" w:cs="宋体"/>
          <w:color w:val="auto"/>
          <w:szCs w:val="21"/>
          <w:highlight w:val="none"/>
          <w:u w:val="single"/>
        </w:rPr>
        <w:t>评分标准（详见前附表），对通过响应性审查的投标文件进行详细审查，评分。</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w:t>
      </w:r>
      <w:r>
        <w:rPr>
          <w:rFonts w:ascii="宋体" w:hAnsi="宋体" w:cs="宋体"/>
          <w:color w:val="auto"/>
          <w:szCs w:val="21"/>
          <w:highlight w:val="none"/>
          <w:u w:val="single"/>
        </w:rPr>
        <w:t>3</w:t>
      </w:r>
      <w:r>
        <w:rPr>
          <w:rFonts w:hint="eastAsia" w:ascii="宋体" w:hAnsi="宋体" w:cs="宋体"/>
          <w:color w:val="auto"/>
          <w:szCs w:val="21"/>
          <w:highlight w:val="none"/>
          <w:u w:val="single"/>
        </w:rPr>
        <w:t>.3各投标人工程总承包实施方案得分为各综合评审组评委评分汇总后的算术平均值（若分数出现小数点时，保留小数点后二位，第三位小数四舍五入），得出每个投标人</w:t>
      </w:r>
      <w:r>
        <w:rPr>
          <w:rFonts w:hint="eastAsia" w:ascii="宋体" w:hAnsi="宋体" w:cs="宋体"/>
          <w:color w:val="auto"/>
          <w:highlight w:val="none"/>
          <w:u w:val="single"/>
        </w:rPr>
        <w:t>工程总承包实施方案</w:t>
      </w:r>
      <w:r>
        <w:rPr>
          <w:rFonts w:hint="eastAsia" w:ascii="宋体" w:hAnsi="宋体" w:cs="宋体"/>
          <w:color w:val="auto"/>
          <w:szCs w:val="21"/>
          <w:highlight w:val="none"/>
          <w:u w:val="single"/>
        </w:rPr>
        <w:t>部分得分，分数出现小数点，保留小数点后二位，第三位小数四舍五入。</w:t>
      </w:r>
    </w:p>
    <w:p>
      <w:pPr>
        <w:pStyle w:val="5"/>
        <w:spacing w:before="120" w:after="0" w:line="360" w:lineRule="auto"/>
        <w:rPr>
          <w:rFonts w:ascii="宋体" w:eastAsia="宋体" w:cs="宋体"/>
          <w:color w:val="auto"/>
          <w:highlight w:val="none"/>
          <w:u w:val="single"/>
        </w:rPr>
      </w:pPr>
      <w:bookmarkStart w:id="500" w:name="_Toc5014"/>
      <w:r>
        <w:rPr>
          <w:rFonts w:hint="eastAsia" w:ascii="宋体" w:eastAsia="宋体" w:cs="宋体"/>
          <w:color w:val="auto"/>
          <w:highlight w:val="none"/>
          <w:u w:val="single"/>
        </w:rPr>
        <w:t>3.</w:t>
      </w:r>
      <w:r>
        <w:rPr>
          <w:rFonts w:ascii="宋体" w:eastAsia="宋体" w:cs="宋体"/>
          <w:color w:val="auto"/>
          <w:highlight w:val="none"/>
          <w:u w:val="single"/>
        </w:rPr>
        <w:t>4</w:t>
      </w:r>
      <w:r>
        <w:rPr>
          <w:rFonts w:hint="eastAsia" w:ascii="宋体" w:eastAsia="宋体" w:cs="宋体"/>
          <w:color w:val="auto"/>
          <w:highlight w:val="none"/>
          <w:u w:val="single"/>
        </w:rPr>
        <w:t>投标报价得分（由综合评审组评委负责）</w:t>
      </w:r>
      <w:bookmarkEnd w:id="500"/>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3.4.1综合评审组评委汇总设计评审组的设计方案响应性审查</w:t>
      </w:r>
      <w:r>
        <w:rPr>
          <w:rFonts w:hint="eastAsia" w:ascii="宋体" w:hAnsi="宋体" w:cs="宋体"/>
          <w:color w:val="auto"/>
          <w:szCs w:val="21"/>
          <w:highlight w:val="none"/>
          <w:u w:val="single"/>
          <w:lang w:eastAsia="zh-CN"/>
        </w:rPr>
        <w:t>结果，</w:t>
      </w:r>
      <w:r>
        <w:rPr>
          <w:rFonts w:hint="eastAsia" w:ascii="宋体" w:hAnsi="宋体" w:cs="宋体"/>
          <w:color w:val="auto"/>
          <w:szCs w:val="21"/>
          <w:highlight w:val="none"/>
          <w:u w:val="single"/>
        </w:rPr>
        <w:t>未通过设计方案响应性审查的投标人的投标报价，不再进行投标报价评审，也不参与评标基准价的计算。</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3.4.2投标报价的算术校核。综合评审组评委对通过设计方案响应性审查和工程总承包实施方案响应性审查的投标文件的投标报价进行算术校核，具体标准如下：</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（1）如果下浮率与最高投标限价乘积不等于投标报价时，以下浮率为准修正投标报价（下浮率有明显的数量级错误的除外，此时应修正下浮率），若修正后的投标报价超过最高投标限价的，作否决投标处理；</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（2）如果分项报价累加不等总价的，以分项报价累加为准，修正总价；</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（3）投标文件存在其他计算性错误的，按就低不就高计算并修正；</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（4）按上述修正错误的原则及方法调整或修正投标文件的投标报价，调整后的投标报价对投标人起约束作用。如果投标人不接受修正后的报价，则取消其投标资格或中标资格。</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3.4.3投标报价评分</w:t>
      </w:r>
    </w:p>
    <w:p>
      <w:pPr>
        <w:numPr>
          <w:ilvl w:val="0"/>
          <w:numId w:val="2"/>
        </w:num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以通过设计方案和工程总承包实施方案响应性审查并经算术校核的投标人</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中，若位于[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最高投标限价×90%，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最高投标限价]区间的</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大于5个，去一个最高价和一个最低价后，剩余报价的算术平均值为评标基准价，保留到小数点后两位，第三位四舍五入。</w:t>
      </w:r>
    </w:p>
    <w:p>
      <w:pPr>
        <w:spacing w:line="360" w:lineRule="auto"/>
        <w:ind w:firstLine="840" w:firstLineChars="400"/>
        <w:rPr>
          <w:rFonts w:ascii="宋体" w:hAnsi="宋体" w:cs="宋体"/>
          <w:color w:val="auto"/>
          <w:szCs w:val="21"/>
          <w:highlight w:val="none"/>
          <w:u w:val="single"/>
        </w:rPr>
      </w:pPr>
      <w:r>
        <w:rPr>
          <w:rFonts w:hint="eastAsia" w:ascii="宋体" w:hAnsi="宋体" w:cs="宋体"/>
          <w:color w:val="auto"/>
          <w:szCs w:val="21"/>
          <w:highlight w:val="none"/>
          <w:u w:val="single"/>
        </w:rPr>
        <w:t>若位于[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w:t>
      </w:r>
      <w:r>
        <w:rPr>
          <w:rFonts w:ascii="宋体" w:hAnsi="宋体" w:cs="宋体"/>
          <w:color w:val="auto"/>
          <w:szCs w:val="21"/>
          <w:highlight w:val="none"/>
          <w:u w:val="single"/>
        </w:rPr>
        <w:t>9</w:t>
      </w:r>
      <w:r>
        <w:rPr>
          <w:rFonts w:hint="eastAsia" w:ascii="宋体" w:hAnsi="宋体" w:cs="宋体"/>
          <w:color w:val="auto"/>
          <w:szCs w:val="21"/>
          <w:highlight w:val="none"/>
          <w:u w:val="single"/>
        </w:rPr>
        <w:t>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最高投标限价]区间的</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少于或等于5个，直接取区间中的报价的算术平均值为评标基准价。</w:t>
      </w:r>
    </w:p>
    <w:p>
      <w:pPr>
        <w:spacing w:line="360" w:lineRule="auto"/>
        <w:ind w:firstLine="840" w:firstLineChars="400"/>
        <w:rPr>
          <w:rFonts w:ascii="宋体" w:hAnsi="宋体" w:cs="宋体"/>
          <w:color w:val="auto"/>
          <w:szCs w:val="21"/>
          <w:highlight w:val="none"/>
          <w:u w:val="single"/>
        </w:rPr>
      </w:pPr>
      <w:r>
        <w:rPr>
          <w:rFonts w:hint="eastAsia" w:ascii="宋体" w:hAnsi="宋体" w:cs="宋体"/>
          <w:color w:val="auto"/>
          <w:szCs w:val="21"/>
          <w:highlight w:val="none"/>
          <w:u w:val="single"/>
        </w:rPr>
        <w:t>若没有</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位于[</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w:t>
      </w:r>
      <w:r>
        <w:rPr>
          <w:rFonts w:ascii="宋体" w:hAnsi="宋体" w:cs="宋体"/>
          <w:color w:val="auto"/>
          <w:szCs w:val="21"/>
          <w:highlight w:val="none"/>
          <w:u w:val="single"/>
        </w:rPr>
        <w:t>9</w:t>
      </w:r>
      <w:r>
        <w:rPr>
          <w:rFonts w:hint="eastAsia" w:ascii="宋体" w:hAnsi="宋体" w:cs="宋体"/>
          <w:color w:val="auto"/>
          <w:szCs w:val="21"/>
          <w:highlight w:val="none"/>
          <w:u w:val="single"/>
        </w:rPr>
        <w:t>0%，</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最高投标限价]区间，则由招标人依法重新招标。</w:t>
      </w:r>
    </w:p>
    <w:p>
      <w:pPr>
        <w:numPr>
          <w:ilvl w:val="0"/>
          <w:numId w:val="2"/>
        </w:numPr>
        <w:spacing w:line="360" w:lineRule="auto"/>
        <w:ind w:firstLine="420" w:firstLineChars="200"/>
        <w:rPr>
          <w:rFonts w:ascii="宋体" w:cs="宋体"/>
          <w:color w:val="auto"/>
          <w:highlight w:val="none"/>
          <w:u w:val="single"/>
        </w:rPr>
      </w:pPr>
      <w:r>
        <w:rPr>
          <w:rFonts w:hint="eastAsia" w:ascii="宋体" w:hAnsi="宋体" w:cs="宋体"/>
          <w:color w:val="auto"/>
          <w:szCs w:val="21"/>
          <w:highlight w:val="none"/>
          <w:u w:val="single"/>
        </w:rPr>
        <w:t>当</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等于评标基准价时得100分，</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每高于评标基准价1%，扣0.5分，每低于评标基准价1%，扣0.3分，扣至0分为止，</w:t>
      </w:r>
      <w:r>
        <w:rPr>
          <w:rFonts w:hint="eastAsia" w:ascii="宋体" w:hAnsi="宋体" w:cs="宋体"/>
          <w:color w:val="auto"/>
          <w:szCs w:val="21"/>
          <w:highlight w:val="none"/>
          <w:u w:val="single"/>
          <w:lang w:val="zh-TW" w:bidi="zh-TW"/>
        </w:rPr>
        <w:t>得出投标</w:t>
      </w:r>
      <w:r>
        <w:rPr>
          <w:rFonts w:hint="eastAsia" w:ascii="宋体" w:hAnsi="宋体" w:cs="宋体"/>
          <w:color w:val="auto"/>
          <w:szCs w:val="21"/>
          <w:highlight w:val="none"/>
          <w:u w:val="single"/>
        </w:rPr>
        <w:t>报价</w:t>
      </w:r>
      <w:r>
        <w:rPr>
          <w:rFonts w:hint="eastAsia" w:ascii="宋体" w:hAnsi="宋体" w:cs="宋体"/>
          <w:color w:val="auto"/>
          <w:szCs w:val="21"/>
          <w:highlight w:val="none"/>
          <w:u w:val="single"/>
          <w:lang w:val="zh-TW" w:bidi="zh-TW"/>
        </w:rPr>
        <w:t>得分，</w:t>
      </w:r>
      <w:r>
        <w:rPr>
          <w:rFonts w:hint="eastAsia" w:ascii="宋体" w:hAnsi="宋体" w:cs="宋体"/>
          <w:color w:val="auto"/>
          <w:szCs w:val="21"/>
          <w:highlight w:val="none"/>
          <w:u w:val="single"/>
        </w:rPr>
        <w:t>精确到小数点后两位。即：</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高于评价基准价时，投标报价得分=100-投标报价偏差率*100*0.5；</w:t>
      </w:r>
      <w:r>
        <w:rPr>
          <w:rFonts w:hint="eastAsia" w:ascii="宋体" w:hAnsi="宋体" w:cs="宋体"/>
          <w:color w:val="auto"/>
          <w:szCs w:val="21"/>
          <w:highlight w:val="none"/>
          <w:u w:val="single"/>
          <w:lang w:val="zh-CN"/>
        </w:rPr>
        <w:t>投标总报价</w:t>
      </w:r>
      <w:r>
        <w:rPr>
          <w:rFonts w:hint="eastAsia" w:ascii="宋体" w:hAnsi="宋体" w:cs="宋体"/>
          <w:color w:val="auto"/>
          <w:szCs w:val="21"/>
          <w:highlight w:val="none"/>
          <w:u w:val="single"/>
        </w:rPr>
        <w:t>低于评价基准价时，投标报价得分=100-投标报价偏差率*100*0.3。</w:t>
      </w:r>
    </w:p>
    <w:p>
      <w:pPr>
        <w:pStyle w:val="5"/>
        <w:spacing w:before="120" w:after="0" w:line="360" w:lineRule="auto"/>
        <w:rPr>
          <w:rFonts w:ascii="宋体" w:eastAsia="宋体" w:cs="宋体"/>
          <w:color w:val="auto"/>
          <w:highlight w:val="none"/>
          <w:u w:val="single"/>
        </w:rPr>
      </w:pPr>
      <w:bookmarkStart w:id="501" w:name="_Toc18509"/>
      <w:r>
        <w:rPr>
          <w:rFonts w:hint="eastAsia" w:ascii="宋体" w:eastAsia="宋体" w:cs="宋体"/>
          <w:color w:val="auto"/>
          <w:highlight w:val="none"/>
          <w:u w:val="single"/>
        </w:rPr>
        <w:t>3.5评审汇总（由综合评审组评委负责）</w:t>
      </w:r>
      <w:bookmarkEnd w:id="501"/>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3.5.1投标人总得分满分为100分，各部分分值分配详见评标办法前附表。</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3.5.2综合评审组汇总各有效投标文件的总分，并按照总分从高到低排列先后次序，只有通过形式审查、资格审查</w:t>
      </w:r>
      <w:r>
        <w:rPr>
          <w:rFonts w:hint="eastAsia" w:ascii="宋体" w:hAnsi="宋体" w:cs="宋体"/>
          <w:color w:val="auto"/>
          <w:highlight w:val="none"/>
          <w:u w:val="single"/>
        </w:rPr>
        <w:t>和</w:t>
      </w:r>
      <w:r>
        <w:rPr>
          <w:rFonts w:hint="eastAsia" w:ascii="宋体" w:hAnsi="宋体" w:cs="宋体"/>
          <w:color w:val="auto"/>
          <w:szCs w:val="21"/>
          <w:highlight w:val="none"/>
          <w:u w:val="single"/>
        </w:rPr>
        <w:t>设计方案响应性审查和工程总承包实施方案响应性审查的投标文件方可计算总分。总分相同的，以工程总承包实施方案得分高的排前；总分与工程总承包实施方案得分均相同的投标文件，以投标报价较低的排前</w:t>
      </w:r>
      <w:r>
        <w:rPr>
          <w:rFonts w:hint="eastAsia" w:ascii="宋体" w:hAnsi="宋体" w:cs="宋体"/>
          <w:color w:val="auto"/>
          <w:highlight w:val="none"/>
          <w:u w:val="single"/>
        </w:rPr>
        <w:t>；如仍存在相同情况，则对具有相同情况的投标人，按中标候选人数量规定，由评标委员会采用记名投票方式，确定中标候选人的排序。</w:t>
      </w:r>
      <w:r>
        <w:rPr>
          <w:rFonts w:hint="eastAsia" w:ascii="宋体" w:hAnsi="宋体" w:cs="宋体"/>
          <w:color w:val="auto"/>
          <w:szCs w:val="21"/>
          <w:highlight w:val="none"/>
          <w:u w:val="single"/>
        </w:rPr>
        <w:t>评标委员会应按排序先后，向招标人推荐前3名投标人依次为第一中标候选人至第三中标候选人，并编写评标报告。</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注：记名投票方式确定排序的具体操作步骤为：由评标委员会对出现该情况的投标人采取记名投票的方式确定，按得票数高低进行排序，根据得票数高低确定中标候选人排序。</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3.5.3有效投标单位不足三家，应当依法重新组织招标。</w:t>
      </w:r>
    </w:p>
    <w:p>
      <w:pPr>
        <w:pStyle w:val="5"/>
        <w:tabs>
          <w:tab w:val="left" w:pos="2356"/>
        </w:tabs>
        <w:spacing w:before="100" w:after="100" w:line="360" w:lineRule="auto"/>
        <w:rPr>
          <w:rFonts w:ascii="宋体" w:eastAsia="宋体" w:cs="宋体"/>
          <w:color w:val="auto"/>
          <w:highlight w:val="none"/>
          <w:u w:val="single"/>
        </w:rPr>
      </w:pPr>
      <w:bookmarkStart w:id="502" w:name="_Toc5794"/>
      <w:r>
        <w:rPr>
          <w:rFonts w:hint="eastAsia" w:ascii="宋体" w:eastAsia="宋体" w:cs="宋体"/>
          <w:color w:val="auto"/>
          <w:highlight w:val="none"/>
          <w:u w:val="single"/>
        </w:rPr>
        <w:t>3.6投标文件的澄清和补正</w:t>
      </w:r>
      <w:bookmarkEnd w:id="502"/>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3.6.1为有助于投标文件的审查、评价和比较，评标期间，经评标委员会中两人以上（含两人）的成员以书面形式提出动议，评标委员会应当书面发出澄清通知，要求投标人对投标文件含义不明确的内容作出澄清。</w:t>
      </w:r>
    </w:p>
    <w:p>
      <w:pPr>
        <w:spacing w:line="360" w:lineRule="auto"/>
        <w:ind w:firstLine="420" w:firstLineChars="200"/>
        <w:rPr>
          <w:rFonts w:ascii="宋体" w:hAnsi="宋体" w:cs="宋体"/>
          <w:b/>
          <w:bCs/>
          <w:color w:val="auto"/>
          <w:highlight w:val="none"/>
          <w:u w:val="single"/>
        </w:rPr>
      </w:pPr>
      <w:r>
        <w:rPr>
          <w:rFonts w:hint="eastAsia" w:ascii="宋体" w:hAnsi="宋体" w:cs="宋体"/>
          <w:color w:val="auto"/>
          <w:highlight w:val="none"/>
          <w:u w:val="single"/>
        </w:rPr>
        <w:t>3.6.2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相应评审的依据。</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3.6.3 评标委员会成员均应当阅读投标人的澄清，但应独立参考澄清对投标文件进行评审。</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3.6.4如果投标文件实质上不响应招标文件的各项要求，评标委员会相应评审将按照响应性审查标准予以拒绝，不接受投标人通过修改或撤销其不符合要求的差异或保留，使之成为具有响应性的投标。</w:t>
      </w:r>
    </w:p>
    <w:p>
      <w:pPr>
        <w:pStyle w:val="5"/>
        <w:spacing w:before="100" w:after="100" w:line="360" w:lineRule="auto"/>
        <w:rPr>
          <w:rFonts w:ascii="宋体" w:eastAsia="宋体" w:cs="宋体"/>
          <w:color w:val="auto"/>
          <w:highlight w:val="none"/>
          <w:u w:val="single"/>
        </w:rPr>
      </w:pPr>
      <w:bookmarkStart w:id="503" w:name="_Toc10662"/>
      <w:r>
        <w:rPr>
          <w:rFonts w:hint="eastAsia" w:ascii="宋体" w:eastAsia="宋体" w:cs="宋体"/>
          <w:color w:val="auto"/>
          <w:highlight w:val="none"/>
          <w:u w:val="single"/>
        </w:rPr>
        <w:t>3.7评标结果</w:t>
      </w:r>
      <w:bookmarkEnd w:id="503"/>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3.7.1 除第二章“投标人须知”前附表授权直接确定中标人外，评标委员会按照得分由高到低的顺序推荐中标候选人。</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3.7.2 评标委员会完成评标后，应当向招标人提交书面评标报告。</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3.7.3投标人如在本项目中存在串通投标、弄虚作假、行贿情形且在评标过程中未被发现的，其投标不改变本项目评标结果排序。招标人按照《中华人民共和国招标投标法实施条例》第五十五条的规定确定中标人或重新招标。</w:t>
      </w:r>
    </w:p>
    <w:p>
      <w:pPr>
        <w:spacing w:line="360" w:lineRule="auto"/>
        <w:ind w:firstLine="420" w:firstLineChars="200"/>
        <w:rPr>
          <w:rFonts w:hint="eastAsia" w:ascii="宋体" w:hAnsi="宋体" w:cs="宋体"/>
          <w:color w:val="auto"/>
          <w:szCs w:val="21"/>
          <w:highlight w:val="none"/>
          <w:u w:val="single"/>
        </w:rPr>
      </w:pPr>
    </w:p>
    <w:p>
      <w:pPr>
        <w:spacing w:line="360" w:lineRule="auto"/>
        <w:ind w:firstLine="420" w:firstLineChars="200"/>
        <w:rPr>
          <w:rFonts w:hint="eastAsia" w:ascii="宋体" w:hAnsi="宋体" w:cs="宋体"/>
          <w:color w:val="auto"/>
          <w:szCs w:val="21"/>
          <w:highlight w:val="none"/>
          <w:u w:val="single"/>
        </w:rPr>
      </w:pPr>
    </w:p>
    <w:p>
      <w:pPr>
        <w:spacing w:line="360" w:lineRule="auto"/>
        <w:ind w:firstLine="420" w:firstLineChars="200"/>
        <w:rPr>
          <w:rFonts w:hint="eastAsia" w:ascii="宋体" w:hAnsi="宋体" w:cs="宋体"/>
          <w:color w:val="auto"/>
          <w:szCs w:val="21"/>
          <w:highlight w:val="none"/>
          <w:u w:val="single"/>
        </w:rPr>
      </w:pPr>
    </w:p>
    <w:p>
      <w:pPr>
        <w:spacing w:line="360" w:lineRule="auto"/>
        <w:ind w:firstLine="420" w:firstLineChars="200"/>
        <w:rPr>
          <w:rFonts w:hint="eastAsia" w:ascii="宋体" w:hAnsi="宋体" w:cs="宋体"/>
          <w:color w:val="auto"/>
          <w:szCs w:val="21"/>
          <w:highlight w:val="none"/>
          <w:u w:val="single"/>
        </w:rPr>
      </w:pPr>
    </w:p>
    <w:p>
      <w:pPr>
        <w:rPr>
          <w:color w:val="auto"/>
          <w:highlight w:val="none"/>
        </w:rPr>
      </w:pPr>
    </w:p>
    <w:p>
      <w:pPr>
        <w:pStyle w:val="37"/>
        <w:rPr>
          <w:rFonts w:ascii="宋体" w:hAnsi="宋体" w:cs="宋体"/>
          <w:color w:val="auto"/>
          <w:highlight w:val="none"/>
        </w:rPr>
      </w:pPr>
    </w:p>
    <w:p>
      <w:pPr>
        <w:pStyle w:val="37"/>
        <w:rPr>
          <w:rFonts w:ascii="宋体" w:hAnsi="宋体" w:cs="宋体"/>
          <w:color w:val="auto"/>
          <w:highlight w:val="none"/>
        </w:rPr>
        <w:sectPr>
          <w:pgSz w:w="11906" w:h="16838"/>
          <w:pgMar w:top="1440" w:right="1800" w:bottom="1440" w:left="1800" w:header="851" w:footer="992" w:gutter="0"/>
          <w:cols w:space="720" w:num="1"/>
          <w:docGrid w:type="lines" w:linePitch="312" w:charSpace="0"/>
        </w:sectPr>
      </w:pPr>
    </w:p>
    <w:p>
      <w:pPr>
        <w:pStyle w:val="37"/>
        <w:rPr>
          <w:rFonts w:ascii="宋体" w:hAnsi="宋体" w:cs="宋体"/>
          <w:color w:val="auto"/>
          <w:highlight w:val="none"/>
        </w:rPr>
      </w:pPr>
    </w:p>
    <w:p>
      <w:pPr>
        <w:jc w:val="left"/>
        <w:rPr>
          <w:rFonts w:ascii="宋体" w:hAnsi="宋体"/>
          <w:b/>
          <w:color w:val="auto"/>
          <w:sz w:val="28"/>
          <w:szCs w:val="28"/>
          <w:highlight w:val="none"/>
        </w:rPr>
      </w:pPr>
      <w:r>
        <w:rPr>
          <w:rFonts w:hint="eastAsia" w:ascii="宋体" w:cs="宋体"/>
          <w:b/>
          <w:color w:val="auto"/>
          <w:sz w:val="24"/>
          <w:highlight w:val="none"/>
        </w:rPr>
        <w:t>附表1</w:t>
      </w:r>
      <w:r>
        <w:rPr>
          <w:rFonts w:hint="eastAsia" w:ascii="宋体" w:hAnsi="宋体"/>
          <w:b/>
          <w:color w:val="auto"/>
          <w:sz w:val="28"/>
          <w:szCs w:val="28"/>
          <w:highlight w:val="none"/>
        </w:rPr>
        <w:t xml:space="preserve">                               设计方案投标文件详细审查评分表</w:t>
      </w:r>
    </w:p>
    <w:tbl>
      <w:tblPr>
        <w:tblStyle w:val="3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393"/>
        <w:gridCol w:w="942"/>
        <w:gridCol w:w="108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1" w:hRule="atLeast"/>
        </w:trPr>
        <w:tc>
          <w:tcPr>
            <w:tcW w:w="667" w:type="dxa"/>
            <w:shd w:val="clear" w:color="auto" w:fill="auto"/>
            <w:vAlign w:val="center"/>
          </w:tcPr>
          <w:p>
            <w:pPr>
              <w:autoSpaceDE w:val="0"/>
              <w:autoSpaceDN w:val="0"/>
              <w:adjustRightInd w:val="0"/>
              <w:spacing w:line="400" w:lineRule="exact"/>
              <w:jc w:val="center"/>
              <w:rPr>
                <w:b/>
                <w:color w:val="auto"/>
                <w:sz w:val="18"/>
                <w:szCs w:val="18"/>
                <w:highlight w:val="none"/>
              </w:rPr>
            </w:pPr>
            <w:r>
              <w:rPr>
                <w:b/>
                <w:color w:val="auto"/>
                <w:sz w:val="18"/>
                <w:szCs w:val="18"/>
                <w:highlight w:val="none"/>
                <w:lang w:val="zh-CN"/>
              </w:rPr>
              <w:t>序号</w:t>
            </w:r>
          </w:p>
        </w:tc>
        <w:tc>
          <w:tcPr>
            <w:tcW w:w="1393" w:type="dxa"/>
            <w:shd w:val="clear" w:color="auto" w:fill="auto"/>
            <w:vAlign w:val="center"/>
          </w:tcPr>
          <w:p>
            <w:pPr>
              <w:adjustRightInd w:val="0"/>
              <w:snapToGrid w:val="0"/>
              <w:jc w:val="center"/>
              <w:rPr>
                <w:rFonts w:ascii="宋体" w:cs="宋体"/>
                <w:b/>
                <w:color w:val="auto"/>
                <w:sz w:val="18"/>
                <w:szCs w:val="18"/>
                <w:highlight w:val="none"/>
              </w:rPr>
            </w:pPr>
            <w:r>
              <w:rPr>
                <w:rFonts w:hint="eastAsia" w:ascii="宋体" w:cs="宋体"/>
                <w:b/>
                <w:bCs/>
                <w:snapToGrid w:val="0"/>
                <w:color w:val="auto"/>
                <w:kern w:val="0"/>
                <w:sz w:val="18"/>
                <w:szCs w:val="18"/>
                <w:highlight w:val="none"/>
              </w:rPr>
              <w:t>评分内容</w:t>
            </w:r>
          </w:p>
        </w:tc>
        <w:tc>
          <w:tcPr>
            <w:tcW w:w="942" w:type="dxa"/>
            <w:shd w:val="clear" w:color="auto" w:fill="auto"/>
            <w:vAlign w:val="center"/>
          </w:tcPr>
          <w:p>
            <w:pPr>
              <w:adjustRightInd w:val="0"/>
              <w:snapToGrid w:val="0"/>
              <w:jc w:val="center"/>
              <w:rPr>
                <w:rFonts w:ascii="宋体" w:cs="宋体"/>
                <w:color w:val="auto"/>
                <w:sz w:val="18"/>
                <w:szCs w:val="18"/>
                <w:highlight w:val="none"/>
              </w:rPr>
            </w:pPr>
            <w:r>
              <w:rPr>
                <w:rFonts w:hint="eastAsia" w:ascii="宋体" w:cs="宋体"/>
                <w:b/>
                <w:bCs/>
                <w:snapToGrid w:val="0"/>
                <w:color w:val="auto"/>
                <w:kern w:val="0"/>
                <w:sz w:val="18"/>
                <w:szCs w:val="18"/>
                <w:highlight w:val="none"/>
              </w:rPr>
              <w:t>分值</w:t>
            </w:r>
          </w:p>
        </w:tc>
        <w:tc>
          <w:tcPr>
            <w:tcW w:w="10856" w:type="dxa"/>
            <w:shd w:val="clear" w:color="auto" w:fill="auto"/>
            <w:vAlign w:val="center"/>
          </w:tcPr>
          <w:p>
            <w:pPr>
              <w:adjustRightInd w:val="0"/>
              <w:snapToGrid w:val="0"/>
              <w:jc w:val="center"/>
              <w:rPr>
                <w:rFonts w:ascii="宋体" w:cs="宋体"/>
                <w:color w:val="auto"/>
                <w:sz w:val="18"/>
                <w:szCs w:val="18"/>
                <w:highlight w:val="none"/>
              </w:rPr>
            </w:pPr>
            <w:r>
              <w:rPr>
                <w:rFonts w:hint="eastAsia" w:ascii="宋体" w:cs="宋体"/>
                <w:b/>
                <w:bCs/>
                <w:snapToGrid w:val="0"/>
                <w:color w:val="auto"/>
                <w:kern w:val="0"/>
                <w:sz w:val="18"/>
                <w:szCs w:val="18"/>
                <w:highlight w:val="none"/>
              </w:rPr>
              <w:t>评审标准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393"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概念</w:t>
            </w:r>
          </w:p>
        </w:tc>
        <w:tc>
          <w:tcPr>
            <w:tcW w:w="942"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10分</w:t>
            </w:r>
          </w:p>
        </w:tc>
        <w:tc>
          <w:tcPr>
            <w:tcW w:w="10856" w:type="dxa"/>
            <w:shd w:val="clear" w:color="auto" w:fill="auto"/>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符合适用、坚固和美观原则，充分结合企业特点，反映园区高科技高效的时代精神、具有创新的风格和意识，得10分；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良</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符合适用、坚固和美观原则，较好结合企业特点，具有一定创新的风格和意识，得9分；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基本符合适用、坚固和美观原则，具有一定创新的风格和意识，得8分。</w:t>
            </w:r>
          </w:p>
          <w:p>
            <w:pPr>
              <w:rPr>
                <w:rFonts w:hint="eastAsia" w:ascii="宋体" w:hAnsi="宋体" w:eastAsia="宋体" w:cs="宋体"/>
                <w:color w:val="auto"/>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393"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景观</w:t>
            </w:r>
          </w:p>
        </w:tc>
        <w:tc>
          <w:tcPr>
            <w:tcW w:w="942"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10分</w:t>
            </w:r>
          </w:p>
        </w:tc>
        <w:tc>
          <w:tcPr>
            <w:tcW w:w="10856" w:type="dxa"/>
            <w:shd w:val="clear" w:color="auto" w:fill="auto"/>
            <w:vAlign w:val="center"/>
          </w:tcPr>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优</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景观设计主题鲜明，符合企业特点，合理布置公共绿地，提供优良的室外活动场所，得</w:t>
            </w:r>
            <w:r>
              <w:rPr>
                <w:rFonts w:hint="eastAsia" w:ascii="宋体" w:hAnsi="宋体" w:eastAsia="宋体" w:cs="宋体"/>
                <w:color w:val="auto"/>
                <w:szCs w:val="21"/>
                <w:highlight w:val="none"/>
              </w:rPr>
              <w:t>10分；</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良</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景观设计具有主题，设置公共绿地，提供室外活动场所，得</w:t>
            </w:r>
            <w:r>
              <w:rPr>
                <w:rFonts w:hint="eastAsia" w:ascii="宋体" w:hAnsi="宋体" w:eastAsia="宋体" w:cs="宋体"/>
                <w:color w:val="auto"/>
                <w:szCs w:val="21"/>
                <w:highlight w:val="none"/>
              </w:rPr>
              <w:t>9分；</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景观设计满足基本功能要求，满足绿地率等规定指标要求，</w:t>
            </w:r>
            <w:r>
              <w:rPr>
                <w:rFonts w:hint="eastAsia" w:ascii="宋体" w:hAnsi="宋体" w:eastAsia="宋体" w:cs="宋体"/>
                <w:color w:val="auto"/>
                <w:szCs w:val="21"/>
                <w:highlight w:val="none"/>
              </w:rPr>
              <w:t>得8分。</w:t>
            </w:r>
          </w:p>
          <w:p>
            <w:pPr>
              <w:rPr>
                <w:rFonts w:hint="eastAsia" w:ascii="宋体" w:hAnsi="宋体" w:eastAsia="宋体" w:cs="宋体"/>
                <w:color w:val="auto"/>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1393"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建筑外观</w:t>
            </w:r>
          </w:p>
        </w:tc>
        <w:tc>
          <w:tcPr>
            <w:tcW w:w="942"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10分</w:t>
            </w:r>
          </w:p>
        </w:tc>
        <w:tc>
          <w:tcPr>
            <w:tcW w:w="10856" w:type="dxa"/>
            <w:shd w:val="clear" w:color="auto" w:fill="auto"/>
            <w:vAlign w:val="center"/>
          </w:tcPr>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优</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建筑立面优化、精致、简洁，视觉效果良好，符合招标文件要求，</w:t>
            </w:r>
            <w:r>
              <w:rPr>
                <w:rFonts w:hint="eastAsia" w:ascii="宋体" w:hAnsi="宋体" w:eastAsia="宋体" w:cs="宋体"/>
                <w:color w:val="auto"/>
                <w:szCs w:val="21"/>
                <w:highlight w:val="none"/>
              </w:rPr>
              <w:t>得10分；</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良</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建筑立面优化、精致、简洁，视觉效果较好，较符合招标文件要求，得</w:t>
            </w:r>
            <w:r>
              <w:rPr>
                <w:rFonts w:hint="eastAsia" w:ascii="宋体" w:hAnsi="宋体" w:eastAsia="宋体" w:cs="宋体"/>
                <w:color w:val="auto"/>
                <w:szCs w:val="21"/>
                <w:highlight w:val="none"/>
              </w:rPr>
              <w:t>9分；</w:t>
            </w:r>
          </w:p>
          <w:p>
            <w:pPr>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建筑立面优化、精致、简洁，视觉效果一般，</w:t>
            </w:r>
            <w:r>
              <w:rPr>
                <w:rFonts w:hint="eastAsia" w:ascii="宋体" w:hAnsi="宋体" w:eastAsia="宋体" w:cs="宋体"/>
                <w:color w:val="auto"/>
                <w:szCs w:val="21"/>
                <w:highlight w:val="none"/>
              </w:rPr>
              <w:t>得8分。</w:t>
            </w:r>
          </w:p>
          <w:p>
            <w:pPr>
              <w:rPr>
                <w:rFonts w:hint="eastAsia" w:ascii="宋体" w:hAnsi="宋体" w:eastAsia="宋体" w:cs="宋体"/>
                <w:color w:val="auto"/>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1393"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Cs/>
                <w:color w:val="auto"/>
                <w:szCs w:val="21"/>
                <w:highlight w:val="none"/>
              </w:rPr>
              <w:t>节能绿建</w:t>
            </w:r>
          </w:p>
        </w:tc>
        <w:tc>
          <w:tcPr>
            <w:tcW w:w="942"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10分</w:t>
            </w:r>
          </w:p>
        </w:tc>
        <w:tc>
          <w:tcPr>
            <w:tcW w:w="10856" w:type="dxa"/>
            <w:shd w:val="clear" w:color="auto" w:fill="auto"/>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优</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充分体现绿色节能设计、各建设理念科学合理、有效可行，得10分；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良</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基本体现绿色节能设计、各建设理念科学较合理、较可行，得9分；</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未能完全体现绿色节能设计、各建设理念一般得8分。</w:t>
            </w:r>
          </w:p>
          <w:p>
            <w:pPr>
              <w:widowControl/>
              <w:rPr>
                <w:rFonts w:hint="eastAsia" w:ascii="宋体" w:hAnsi="宋体" w:eastAsia="宋体" w:cs="宋体"/>
                <w:color w:val="auto"/>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1393"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lang w:bidi="ar"/>
              </w:rPr>
              <w:t>造价估算</w:t>
            </w:r>
          </w:p>
        </w:tc>
        <w:tc>
          <w:tcPr>
            <w:tcW w:w="942" w:type="dxa"/>
            <w:shd w:val="clear" w:color="auto"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Cs w:val="21"/>
                <w:highlight w:val="none"/>
              </w:rPr>
              <w:t>10分</w:t>
            </w:r>
          </w:p>
        </w:tc>
        <w:tc>
          <w:tcPr>
            <w:tcW w:w="10856" w:type="dxa"/>
            <w:shd w:val="clear" w:color="auto" w:fill="auto"/>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优</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设计方案经济合理，设计模数协调，符合规范，工程造价估算接近招标文件工程限额，编制合理，得10分；</w:t>
            </w:r>
          </w:p>
          <w:p>
            <w:pPr>
              <w:rPr>
                <w:rFonts w:hint="eastAsia" w:ascii="宋体" w:hAnsi="宋体" w:eastAsia="宋体" w:cs="宋体"/>
                <w:color w:val="auto"/>
                <w:highlight w:val="none"/>
              </w:rPr>
            </w:pPr>
            <w:r>
              <w:rPr>
                <w:rFonts w:hint="eastAsia" w:ascii="宋体" w:hAnsi="宋体" w:eastAsia="宋体" w:cs="宋体"/>
                <w:color w:val="auto"/>
                <w:highlight w:val="none"/>
              </w:rPr>
              <w:t>良</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设计方案比较合理，工程造价估算比较接近招标文件工程限额，得9分；</w:t>
            </w:r>
          </w:p>
          <w:p>
            <w:pPr>
              <w:widowControl/>
              <w:rPr>
                <w:rFonts w:hint="eastAsia" w:ascii="宋体" w:hAnsi="宋体" w:eastAsia="宋体" w:cs="宋体"/>
                <w:color w:val="auto"/>
                <w:highlight w:val="none"/>
              </w:rPr>
            </w:pPr>
            <w:r>
              <w:rPr>
                <w:rFonts w:hint="eastAsia" w:ascii="宋体" w:hAnsi="宋体" w:eastAsia="宋体" w:cs="宋体"/>
                <w:color w:val="auto"/>
                <w:highlight w:val="none"/>
              </w:rPr>
              <w:t>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设计方案无重大缺陷，工程造价估算未突破招标文件工程限额得8分。</w:t>
            </w:r>
          </w:p>
          <w:p>
            <w:pPr>
              <w:widowControl/>
              <w:rPr>
                <w:rFonts w:hint="eastAsia" w:ascii="宋体" w:hAnsi="宋体" w:eastAsia="宋体" w:cs="宋体"/>
                <w:color w:val="auto"/>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w:t>
            </w:r>
          </w:p>
        </w:tc>
        <w:tc>
          <w:tcPr>
            <w:tcW w:w="1393" w:type="dxa"/>
            <w:shd w:val="clear" w:color="auto" w:fill="auto"/>
            <w:vAlign w:val="center"/>
          </w:tcPr>
          <w:p>
            <w:pPr>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设计</w:t>
            </w:r>
            <w:r>
              <w:rPr>
                <w:rFonts w:hint="eastAsia" w:ascii="宋体" w:hAnsi="宋体" w:eastAsia="宋体" w:cs="宋体"/>
                <w:color w:val="auto"/>
                <w:szCs w:val="21"/>
                <w:highlight w:val="none"/>
                <w:lang w:val="zh-CN"/>
              </w:rPr>
              <w:t>文件</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完整性</w:t>
            </w:r>
          </w:p>
        </w:tc>
        <w:tc>
          <w:tcPr>
            <w:tcW w:w="942" w:type="dxa"/>
            <w:shd w:val="clear" w:color="auto" w:fill="auto"/>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25分</w:t>
            </w:r>
          </w:p>
        </w:tc>
        <w:tc>
          <w:tcPr>
            <w:tcW w:w="10856" w:type="dxa"/>
            <w:shd w:val="clear" w:color="auto" w:fill="auto"/>
            <w:vAlign w:val="center"/>
          </w:tcPr>
          <w:p>
            <w:pPr>
              <w:autoSpaceDE w:val="0"/>
              <w:autoSpaceDN w:val="0"/>
              <w:adjustRightInd w:val="0"/>
              <w:spacing w:line="276" w:lineRule="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bidi="ar"/>
              </w:rPr>
              <w:t>所提供的建筑、结构，给排水、电气、暖通专业方案</w:t>
            </w:r>
            <w:r>
              <w:rPr>
                <w:rFonts w:hint="eastAsia" w:ascii="宋体" w:hAnsi="宋体" w:eastAsia="宋体" w:cs="宋体"/>
                <w:color w:val="auto"/>
                <w:szCs w:val="21"/>
                <w:highlight w:val="none"/>
              </w:rPr>
              <w:t>设计图纸</w:t>
            </w:r>
          </w:p>
          <w:p>
            <w:pPr>
              <w:jc w:val="left"/>
              <w:rPr>
                <w:rFonts w:hint="eastAsia" w:ascii="宋体" w:hAnsi="宋体" w:eastAsia="宋体" w:cs="宋体"/>
                <w:color w:val="auto"/>
                <w:highlight w:val="none"/>
                <w:lang w:val="zh-CN"/>
              </w:rPr>
            </w:pPr>
            <w:r>
              <w:rPr>
                <w:rFonts w:hint="eastAsia" w:ascii="宋体" w:hAnsi="宋体" w:eastAsia="宋体" w:cs="宋体"/>
                <w:color w:val="auto"/>
                <w:highlight w:val="none"/>
              </w:rPr>
              <w:t>优</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齐全，</w:t>
            </w:r>
            <w:r>
              <w:rPr>
                <w:rFonts w:hint="eastAsia" w:ascii="宋体" w:hAnsi="宋体" w:eastAsia="宋体" w:cs="宋体"/>
                <w:color w:val="auto"/>
                <w:szCs w:val="21"/>
                <w:highlight w:val="none"/>
                <w:lang w:val="zh-CN"/>
              </w:rPr>
              <w:t>内容全面，设计说明书文字表达清楚、思路清晰、</w:t>
            </w:r>
            <w:r>
              <w:rPr>
                <w:rFonts w:hint="eastAsia" w:ascii="宋体" w:hAnsi="宋体" w:eastAsia="宋体" w:cs="宋体"/>
                <w:color w:val="auto"/>
                <w:highlight w:val="none"/>
              </w:rPr>
              <w:t>总体设计质量高，</w:t>
            </w:r>
            <w:r>
              <w:rPr>
                <w:rFonts w:hint="eastAsia" w:ascii="宋体" w:hAnsi="宋体" w:eastAsia="宋体" w:cs="宋体"/>
                <w:color w:val="auto"/>
                <w:szCs w:val="21"/>
                <w:highlight w:val="none"/>
                <w:lang w:bidi="ar"/>
              </w:rPr>
              <w:t>得</w:t>
            </w:r>
            <w:r>
              <w:rPr>
                <w:rFonts w:hint="eastAsia" w:ascii="宋体" w:hAnsi="宋体" w:eastAsia="宋体" w:cs="宋体"/>
                <w:color w:val="auto"/>
                <w:kern w:val="0"/>
                <w:szCs w:val="21"/>
                <w:highlight w:val="none"/>
              </w:rPr>
              <w:t>[23，25]</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w:t>
            </w:r>
          </w:p>
          <w:p>
            <w:pPr>
              <w:jc w:val="left"/>
              <w:rPr>
                <w:rFonts w:hint="eastAsia" w:ascii="宋体" w:hAnsi="宋体" w:eastAsia="宋体" w:cs="宋体"/>
                <w:color w:val="auto"/>
                <w:highlight w:val="none"/>
                <w:lang w:val="zh-CN"/>
              </w:rPr>
            </w:pPr>
            <w:r>
              <w:rPr>
                <w:rFonts w:hint="eastAsia" w:ascii="宋体" w:hAnsi="宋体" w:eastAsia="宋体" w:cs="宋体"/>
                <w:color w:val="auto"/>
                <w:highlight w:val="none"/>
              </w:rPr>
              <w:t>良</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较齐全，</w:t>
            </w:r>
            <w:r>
              <w:rPr>
                <w:rFonts w:hint="eastAsia" w:ascii="宋体" w:hAnsi="宋体" w:eastAsia="宋体" w:cs="宋体"/>
                <w:color w:val="auto"/>
                <w:highlight w:val="none"/>
                <w:lang w:val="zh-CN"/>
              </w:rPr>
              <w:t>内容较</w:t>
            </w:r>
            <w:r>
              <w:rPr>
                <w:rFonts w:hint="eastAsia" w:ascii="宋体" w:hAnsi="宋体" w:eastAsia="宋体" w:cs="宋体"/>
                <w:color w:val="auto"/>
                <w:highlight w:val="none"/>
              </w:rPr>
              <w:t>全面</w:t>
            </w:r>
            <w:r>
              <w:rPr>
                <w:rFonts w:hint="eastAsia" w:ascii="宋体" w:hAnsi="宋体" w:eastAsia="宋体" w:cs="宋体"/>
                <w:color w:val="auto"/>
                <w:highlight w:val="none"/>
                <w:lang w:val="zh-CN"/>
              </w:rPr>
              <w:t>、较完整；</w:t>
            </w:r>
            <w:r>
              <w:rPr>
                <w:rFonts w:hint="eastAsia" w:ascii="宋体" w:hAnsi="宋体" w:eastAsia="宋体" w:cs="宋体"/>
                <w:color w:val="auto"/>
                <w:highlight w:val="none"/>
              </w:rPr>
              <w:t>总体设计质量高</w:t>
            </w:r>
            <w:r>
              <w:rPr>
                <w:rFonts w:hint="eastAsia" w:ascii="宋体" w:hAnsi="宋体" w:eastAsia="宋体" w:cs="宋体"/>
                <w:color w:val="auto"/>
                <w:highlight w:val="none"/>
                <w:lang w:val="zh-CN"/>
              </w:rPr>
              <w:t>较高，得</w:t>
            </w:r>
            <w:r>
              <w:rPr>
                <w:rFonts w:hint="eastAsia" w:ascii="宋体" w:hAnsi="宋体" w:eastAsia="宋体" w:cs="宋体"/>
                <w:color w:val="auto"/>
                <w:kern w:val="0"/>
                <w:szCs w:val="21"/>
                <w:highlight w:val="none"/>
              </w:rPr>
              <w:t>[20，22]</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w:t>
            </w:r>
          </w:p>
          <w:p>
            <w:pPr>
              <w:adjustRightInd w:val="0"/>
              <w:snapToGrid w:val="0"/>
              <w:rPr>
                <w:rFonts w:hint="eastAsia" w:ascii="宋体" w:hAnsi="宋体" w:eastAsia="宋体" w:cs="宋体"/>
                <w:color w:val="auto"/>
                <w:highlight w:val="none"/>
                <w:lang w:val="zh-CN"/>
              </w:rPr>
            </w:pPr>
            <w:r>
              <w:rPr>
                <w:rFonts w:hint="eastAsia" w:ascii="宋体" w:hAnsi="宋体" w:eastAsia="宋体" w:cs="宋体"/>
                <w:color w:val="auto"/>
                <w:highlight w:val="none"/>
              </w:rPr>
              <w:t>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不齐全，</w:t>
            </w:r>
            <w:r>
              <w:rPr>
                <w:rFonts w:hint="eastAsia" w:ascii="宋体" w:hAnsi="宋体" w:eastAsia="宋体" w:cs="宋体"/>
                <w:color w:val="auto"/>
                <w:highlight w:val="none"/>
                <w:lang w:val="zh-CN"/>
              </w:rPr>
              <w:t>内容不够</w:t>
            </w:r>
            <w:r>
              <w:rPr>
                <w:rFonts w:hint="eastAsia" w:ascii="宋体" w:hAnsi="宋体" w:eastAsia="宋体" w:cs="宋体"/>
                <w:color w:val="auto"/>
                <w:highlight w:val="none"/>
              </w:rPr>
              <w:t>全面</w:t>
            </w:r>
            <w:r>
              <w:rPr>
                <w:rFonts w:hint="eastAsia" w:ascii="宋体" w:hAnsi="宋体" w:eastAsia="宋体" w:cs="宋体"/>
                <w:color w:val="auto"/>
                <w:highlight w:val="none"/>
                <w:lang w:val="zh-CN"/>
              </w:rPr>
              <w:t>、不够完整；</w:t>
            </w:r>
            <w:r>
              <w:rPr>
                <w:rFonts w:hint="eastAsia" w:ascii="宋体" w:hAnsi="宋体" w:eastAsia="宋体" w:cs="宋体"/>
                <w:color w:val="auto"/>
                <w:highlight w:val="none"/>
              </w:rPr>
              <w:t>总体设计质量高</w:t>
            </w:r>
            <w:r>
              <w:rPr>
                <w:rFonts w:hint="eastAsia" w:ascii="宋体" w:hAnsi="宋体" w:eastAsia="宋体" w:cs="宋体"/>
                <w:color w:val="auto"/>
                <w:highlight w:val="none"/>
                <w:lang w:val="zh-CN"/>
              </w:rPr>
              <w:t>不够高，</w:t>
            </w:r>
            <w:r>
              <w:rPr>
                <w:rFonts w:hint="eastAsia" w:ascii="宋体" w:hAnsi="宋体" w:eastAsia="宋体" w:cs="宋体"/>
                <w:color w:val="auto"/>
                <w:szCs w:val="21"/>
                <w:highlight w:val="none"/>
                <w:lang w:bidi="ar"/>
              </w:rPr>
              <w:t>得</w:t>
            </w:r>
            <w:r>
              <w:rPr>
                <w:rFonts w:hint="eastAsia" w:ascii="宋体" w:hAnsi="宋体" w:eastAsia="宋体" w:cs="宋体"/>
                <w:color w:val="auto"/>
                <w:kern w:val="0"/>
                <w:szCs w:val="21"/>
                <w:highlight w:val="none"/>
              </w:rPr>
              <w:t>[17，19]</w:t>
            </w:r>
            <w:r>
              <w:rPr>
                <w:rFonts w:hint="eastAsia" w:ascii="宋体" w:hAnsi="宋体" w:eastAsia="宋体" w:cs="宋体"/>
                <w:color w:val="auto"/>
                <w:szCs w:val="21"/>
                <w:highlight w:val="none"/>
              </w:rPr>
              <w:t>分</w:t>
            </w:r>
            <w:r>
              <w:rPr>
                <w:rFonts w:hint="eastAsia" w:ascii="宋体" w:hAnsi="宋体" w:eastAsia="宋体" w:cs="宋体"/>
                <w:color w:val="auto"/>
                <w:highlight w:val="none"/>
                <w:lang w:val="zh-CN"/>
              </w:rPr>
              <w:t>；</w:t>
            </w:r>
          </w:p>
          <w:p>
            <w:pPr>
              <w:jc w:val="left"/>
              <w:rPr>
                <w:rFonts w:hint="eastAsia" w:ascii="宋体" w:hAnsi="宋体" w:eastAsia="宋体" w:cs="宋体"/>
                <w:b/>
                <w:bCs/>
                <w:snapToGrid w:val="0"/>
                <w:color w:val="auto"/>
                <w:kern w:val="0"/>
                <w:sz w:val="18"/>
                <w:szCs w:val="18"/>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67" w:type="dxa"/>
            <w:shd w:val="clear" w:color="auto" w:fill="auto"/>
            <w:vAlign w:val="center"/>
          </w:tcPr>
          <w:p>
            <w:pPr>
              <w:autoSpaceDE w:val="0"/>
              <w:autoSpaceDN w:val="0"/>
              <w:adjustRightInd w:val="0"/>
              <w:spacing w:line="4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1393" w:type="dxa"/>
            <w:shd w:val="clear" w:color="auto" w:fill="auto"/>
            <w:vAlign w:val="center"/>
          </w:tcPr>
          <w:p>
            <w:pPr>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设计文件</w:t>
            </w:r>
          </w:p>
          <w:p>
            <w:pPr>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深度</w:t>
            </w:r>
          </w:p>
        </w:tc>
        <w:tc>
          <w:tcPr>
            <w:tcW w:w="942" w:type="dxa"/>
            <w:shd w:val="clear" w:color="auto" w:fill="auto"/>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25分</w:t>
            </w:r>
          </w:p>
        </w:tc>
        <w:tc>
          <w:tcPr>
            <w:tcW w:w="10856" w:type="dxa"/>
            <w:shd w:val="clear" w:color="auto" w:fill="auto"/>
            <w:vAlign w:val="center"/>
          </w:tcPr>
          <w:p>
            <w:pPr>
              <w:widowControl/>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所提供的建筑、结构，给排水、电气、暖通专业方案</w:t>
            </w:r>
            <w:r>
              <w:rPr>
                <w:rFonts w:hint="eastAsia" w:ascii="宋体" w:hAnsi="宋体" w:eastAsia="宋体" w:cs="宋体"/>
                <w:color w:val="auto"/>
                <w:szCs w:val="21"/>
                <w:highlight w:val="none"/>
              </w:rPr>
              <w:t>设计图纸</w:t>
            </w:r>
          </w:p>
          <w:p>
            <w:pPr>
              <w:widowControl/>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优</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正确、完整，设计深度满足均达到设计方案深度，得</w:t>
            </w:r>
            <w:r>
              <w:rPr>
                <w:rFonts w:hint="eastAsia" w:ascii="宋体" w:hAnsi="宋体" w:eastAsia="宋体" w:cs="宋体"/>
                <w:color w:val="auto"/>
                <w:kern w:val="0"/>
                <w:szCs w:val="21"/>
                <w:highlight w:val="none"/>
              </w:rPr>
              <w:t>[23，25]</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w:t>
            </w:r>
          </w:p>
          <w:p>
            <w:pPr>
              <w:widowControl/>
              <w:jc w:val="left"/>
              <w:rPr>
                <w:rFonts w:hint="eastAsia" w:ascii="宋体" w:hAnsi="宋体" w:eastAsia="宋体" w:cs="宋体"/>
                <w:color w:val="auto"/>
                <w:highlight w:val="none"/>
              </w:rPr>
            </w:pPr>
            <w:r>
              <w:rPr>
                <w:rFonts w:hint="eastAsia" w:ascii="宋体" w:hAnsi="宋体" w:eastAsia="宋体" w:cs="宋体"/>
                <w:color w:val="auto"/>
                <w:szCs w:val="21"/>
                <w:highlight w:val="none"/>
              </w:rPr>
              <w:t>良</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较</w:t>
            </w:r>
            <w:r>
              <w:rPr>
                <w:rFonts w:hint="eastAsia" w:ascii="宋体" w:hAnsi="宋体" w:eastAsia="宋体" w:cs="宋体"/>
                <w:color w:val="auto"/>
                <w:szCs w:val="21"/>
                <w:highlight w:val="none"/>
                <w:lang w:bidi="ar"/>
              </w:rPr>
              <w:t>正确、较完整，设计深度较满足招标文件及国家相关设计标准、规范的要求，得</w:t>
            </w:r>
            <w:r>
              <w:rPr>
                <w:rFonts w:hint="eastAsia" w:ascii="宋体" w:hAnsi="宋体" w:eastAsia="宋体" w:cs="宋体"/>
                <w:color w:val="auto"/>
                <w:kern w:val="0"/>
                <w:szCs w:val="21"/>
                <w:highlight w:val="none"/>
              </w:rPr>
              <w:t>[20，22]</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w:t>
            </w:r>
          </w:p>
          <w:p>
            <w:pP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中</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不够</w:t>
            </w:r>
            <w:r>
              <w:rPr>
                <w:rFonts w:hint="eastAsia" w:ascii="宋体" w:hAnsi="宋体" w:eastAsia="宋体" w:cs="宋体"/>
                <w:color w:val="auto"/>
                <w:szCs w:val="21"/>
                <w:highlight w:val="none"/>
                <w:lang w:bidi="ar"/>
              </w:rPr>
              <w:t>正确、不够完整，设计深度未能完全满足招标文件及国家相关设计标准、规范的要求，得</w:t>
            </w:r>
            <w:r>
              <w:rPr>
                <w:rFonts w:hint="eastAsia" w:ascii="宋体" w:hAnsi="宋体" w:eastAsia="宋体" w:cs="宋体"/>
                <w:color w:val="auto"/>
                <w:kern w:val="0"/>
                <w:szCs w:val="21"/>
                <w:highlight w:val="none"/>
              </w:rPr>
              <w:t>[17，19]</w:t>
            </w:r>
            <w:r>
              <w:rPr>
                <w:rFonts w:hint="eastAsia" w:ascii="宋体" w:hAnsi="宋体" w:eastAsia="宋体" w:cs="宋体"/>
                <w:color w:val="auto"/>
                <w:szCs w:val="21"/>
                <w:highlight w:val="none"/>
              </w:rPr>
              <w:t>分</w:t>
            </w:r>
            <w:r>
              <w:rPr>
                <w:rFonts w:hint="eastAsia" w:ascii="宋体" w:hAnsi="宋体" w:eastAsia="宋体" w:cs="宋体"/>
                <w:color w:val="auto"/>
                <w:kern w:val="0"/>
                <w:szCs w:val="21"/>
                <w:highlight w:val="none"/>
              </w:rPr>
              <w:t>；</w:t>
            </w:r>
          </w:p>
          <w:p>
            <w:pPr>
              <w:rPr>
                <w:rFonts w:hint="eastAsia" w:ascii="宋体" w:hAnsi="宋体" w:eastAsia="宋体" w:cs="宋体"/>
                <w:color w:val="auto"/>
                <w:szCs w:val="21"/>
                <w:highlight w:val="none"/>
              </w:rPr>
            </w:pPr>
            <w:r>
              <w:rPr>
                <w:rFonts w:hint="eastAsia" w:ascii="宋体" w:hAnsi="宋体" w:eastAsia="宋体" w:cs="宋体"/>
                <w:color w:val="auto"/>
                <w:kern w:val="0"/>
                <w:szCs w:val="18"/>
                <w:highlight w:val="none"/>
                <w:lang w:val="zh-CN"/>
              </w:rPr>
              <w:t>差：</w:t>
            </w:r>
            <w:r>
              <w:rPr>
                <w:rFonts w:hint="eastAsia" w:ascii="宋体" w:hAnsi="宋体" w:eastAsia="宋体" w:cs="宋体"/>
                <w:color w:val="auto"/>
                <w:szCs w:val="21"/>
                <w:highlight w:val="none"/>
                <w:lang w:val="zh-CN"/>
              </w:rPr>
              <w:t>不满足以上优、良、中三种情况，</w:t>
            </w:r>
            <w:r>
              <w:rPr>
                <w:rFonts w:hint="eastAsia" w:ascii="宋体" w:hAnsi="宋体" w:eastAsia="宋体" w:cs="宋体"/>
                <w:color w:val="auto"/>
                <w:kern w:val="0"/>
                <w:szCs w:val="18"/>
                <w:highlight w:val="none"/>
                <w:lang w:val="zh-CN"/>
              </w:rPr>
              <w:t>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2060" w:type="dxa"/>
            <w:gridSpan w:val="2"/>
            <w:shd w:val="clear" w:color="auto" w:fill="auto"/>
            <w:vAlign w:val="center"/>
          </w:tcPr>
          <w:p>
            <w:pPr>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合计</w:t>
            </w:r>
          </w:p>
        </w:tc>
        <w:tc>
          <w:tcPr>
            <w:tcW w:w="942" w:type="dxa"/>
            <w:shd w:val="clear" w:color="auto" w:fill="auto"/>
            <w:vAlign w:val="center"/>
          </w:tcPr>
          <w:p>
            <w:pPr>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100分</w:t>
            </w:r>
          </w:p>
        </w:tc>
        <w:tc>
          <w:tcPr>
            <w:tcW w:w="10856" w:type="dxa"/>
            <w:shd w:val="clear" w:color="auto" w:fill="auto"/>
            <w:vAlign w:val="center"/>
          </w:tcPr>
          <w:p>
            <w:pPr>
              <w:snapToGrid w:val="0"/>
              <w:rPr>
                <w:rFonts w:hint="eastAsia" w:ascii="宋体" w:hAnsi="宋体" w:eastAsia="宋体" w:cs="宋体"/>
                <w:color w:val="auto"/>
                <w:sz w:val="18"/>
                <w:szCs w:val="18"/>
                <w:highlight w:val="none"/>
              </w:rPr>
            </w:pPr>
          </w:p>
        </w:tc>
      </w:tr>
    </w:tbl>
    <w:p>
      <w:pPr>
        <w:rPr>
          <w:rFonts w:hint="eastAsia" w:ascii="宋体" w:hAnsi="宋体" w:eastAsia="宋体" w:cs="宋体"/>
          <w:color w:val="auto"/>
          <w:highlight w:val="none"/>
        </w:rPr>
      </w:pP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注：本表按百分制评分，所有评委分数汇总后的算术平均值为投标人的最终得分。分数出现小数点，保留小数点后二位小数，第三位小数四舍五入。</w:t>
      </w:r>
    </w:p>
    <w:p>
      <w:pPr>
        <w:pStyle w:val="47"/>
        <w:rPr>
          <w:rFonts w:hint="eastAsia" w:ascii="宋体" w:hAnsi="宋体" w:eastAsia="宋体" w:cs="宋体"/>
          <w:color w:val="auto"/>
          <w:sz w:val="21"/>
          <w:szCs w:val="21"/>
          <w:highlight w:val="none"/>
        </w:rPr>
      </w:pPr>
    </w:p>
    <w:p>
      <w:pPr>
        <w:pStyle w:val="47"/>
        <w:rPr>
          <w:color w:val="auto"/>
          <w:sz w:val="21"/>
          <w:szCs w:val="21"/>
          <w:highlight w:val="none"/>
        </w:rPr>
      </w:pPr>
      <w:r>
        <w:rPr>
          <w:rFonts w:hint="eastAsia" w:ascii="宋体" w:hAnsi="宋体" w:eastAsia="宋体" w:cs="宋体"/>
          <w:color w:val="auto"/>
          <w:sz w:val="21"/>
          <w:szCs w:val="21"/>
          <w:highlight w:val="none"/>
        </w:rPr>
        <w:t>评委签名：                                                  日期：</w:t>
      </w:r>
    </w:p>
    <w:p>
      <w:pPr>
        <w:spacing w:line="360" w:lineRule="auto"/>
        <w:rPr>
          <w:rFonts w:ascii="宋体" w:hAnsi="宋体" w:cs="宋体"/>
          <w:b/>
          <w:color w:val="auto"/>
          <w:kern w:val="1"/>
          <w:sz w:val="24"/>
          <w:highlight w:val="none"/>
        </w:rPr>
      </w:pPr>
    </w:p>
    <w:p>
      <w:pPr>
        <w:rPr>
          <w:rFonts w:ascii="宋体" w:hAnsi="宋体" w:cs="宋体"/>
          <w:b/>
          <w:color w:val="auto"/>
          <w:kern w:val="1"/>
          <w:sz w:val="24"/>
          <w:highlight w:val="none"/>
        </w:rPr>
      </w:pPr>
      <w:r>
        <w:rPr>
          <w:rFonts w:hint="eastAsia" w:ascii="宋体" w:hAnsi="宋体" w:cs="宋体"/>
          <w:b/>
          <w:color w:val="auto"/>
          <w:kern w:val="1"/>
          <w:sz w:val="24"/>
          <w:highlight w:val="none"/>
        </w:rPr>
        <w:br w:type="page"/>
      </w:r>
    </w:p>
    <w:p>
      <w:pPr>
        <w:spacing w:line="360" w:lineRule="auto"/>
        <w:jc w:val="both"/>
        <w:rPr>
          <w:rFonts w:hint="eastAsia" w:ascii="宋体" w:hAnsi="宋体" w:cs="宋体"/>
          <w:b/>
          <w:color w:val="auto"/>
          <w:sz w:val="30"/>
          <w:szCs w:val="30"/>
          <w:highlight w:val="none"/>
        </w:rPr>
      </w:pPr>
      <w:r>
        <w:rPr>
          <w:rFonts w:hint="eastAsia" w:ascii="宋体" w:hAnsi="宋体" w:cs="宋体"/>
          <w:b/>
          <w:color w:val="auto"/>
          <w:kern w:val="1"/>
          <w:sz w:val="24"/>
          <w:highlight w:val="none"/>
        </w:rPr>
        <w:t xml:space="preserve">附表2                            </w:t>
      </w:r>
      <w:r>
        <w:rPr>
          <w:rFonts w:hint="eastAsia" w:ascii="宋体" w:hAnsi="宋体" w:cs="宋体"/>
          <w:b/>
          <w:color w:val="auto"/>
          <w:sz w:val="30"/>
          <w:szCs w:val="30"/>
          <w:highlight w:val="none"/>
        </w:rPr>
        <w:t>工程总承包实施方案投标文件详细审查评分表</w:t>
      </w:r>
    </w:p>
    <w:tbl>
      <w:tblPr>
        <w:tblStyle w:val="38"/>
        <w:tblW w:w="14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2"/>
        <w:gridCol w:w="846"/>
        <w:gridCol w:w="708"/>
        <w:gridCol w:w="1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362"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序号</w:t>
            </w: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评分内容</w:t>
            </w:r>
          </w:p>
        </w:tc>
        <w:tc>
          <w:tcPr>
            <w:tcW w:w="708"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分值</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jc w:val="center"/>
        </w:trPr>
        <w:tc>
          <w:tcPr>
            <w:tcW w:w="1362" w:type="dxa"/>
            <w:vMerge w:val="restart"/>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一、企业资信（36分）</w:t>
            </w:r>
          </w:p>
          <w:p>
            <w:pPr>
              <w:snapToGrid w:val="0"/>
              <w:spacing w:line="320" w:lineRule="exact"/>
              <w:ind w:left="42" w:leftChars="20" w:right="42" w:rightChars="20"/>
              <w:jc w:val="center"/>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企业业绩</w:t>
            </w:r>
          </w:p>
        </w:tc>
        <w:tc>
          <w:tcPr>
            <w:tcW w:w="708"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rPr>
            </w:pPr>
            <w:r>
              <w:rPr>
                <w:rFonts w:hint="eastAsia" w:ascii="宋体" w:hAnsi="宋体" w:cs="宋体"/>
                <w:b w:val="0"/>
                <w:bCs/>
                <w:color w:val="auto"/>
                <w:szCs w:val="21"/>
                <w:highlight w:val="none"/>
                <w:lang w:val="en-US" w:eastAsia="zh-CN"/>
              </w:rPr>
              <w:t>5</w:t>
            </w:r>
            <w:r>
              <w:rPr>
                <w:rFonts w:hint="eastAsia" w:ascii="宋体" w:hAnsi="宋体" w:cs="宋体"/>
                <w:b w:val="0"/>
                <w:bCs/>
                <w:color w:val="auto"/>
                <w:szCs w:val="21"/>
                <w:highlight w:val="none"/>
              </w:rPr>
              <w:t>分</w:t>
            </w:r>
          </w:p>
        </w:tc>
        <w:tc>
          <w:tcPr>
            <w:tcW w:w="11632" w:type="dxa"/>
            <w:tcMar>
              <w:top w:w="15" w:type="dxa"/>
              <w:left w:w="37" w:type="dxa"/>
              <w:bottom w:w="0" w:type="dxa"/>
              <w:right w:w="37" w:type="dxa"/>
            </w:tcMar>
            <w:vAlign w:val="center"/>
          </w:tcPr>
          <w:p>
            <w:pPr>
              <w:ind w:firstLine="420" w:firstLineChars="200"/>
              <w:rPr>
                <w:rFonts w:ascii="宋体" w:hAnsi="宋体" w:cs="宋体"/>
                <w:b w:val="0"/>
                <w:bCs/>
                <w:color w:val="auto"/>
                <w:szCs w:val="21"/>
                <w:highlight w:val="none"/>
                <w:lang w:val="zh-TW"/>
              </w:rPr>
            </w:pPr>
            <w:r>
              <w:rPr>
                <w:rFonts w:hint="eastAsia" w:ascii="宋体" w:hAnsi="宋体" w:cs="宋体"/>
                <w:b w:val="0"/>
                <w:bCs/>
                <w:color w:val="auto"/>
                <w:szCs w:val="21"/>
                <w:highlight w:val="none"/>
              </w:rPr>
              <w:t>投标人（</w:t>
            </w:r>
            <w:r>
              <w:rPr>
                <w:rFonts w:hint="eastAsia" w:ascii="宋体" w:hAnsi="宋体" w:cs="宋体"/>
                <w:b w:val="0"/>
                <w:bCs/>
                <w:color w:val="auto"/>
                <w:szCs w:val="21"/>
                <w:highlight w:val="none"/>
                <w:lang w:val="zh-CN"/>
              </w:rPr>
              <w:t>若为联合体，指</w:t>
            </w:r>
            <w:r>
              <w:rPr>
                <w:rFonts w:hint="eastAsia" w:ascii="宋体" w:hAnsi="宋体" w:cs="宋体"/>
                <w:b w:val="0"/>
                <w:bCs/>
                <w:color w:val="auto"/>
                <w:szCs w:val="21"/>
                <w:highlight w:val="none"/>
              </w:rPr>
              <w:t>联合体主办方）</w:t>
            </w:r>
            <w:r>
              <w:rPr>
                <w:rFonts w:hint="eastAsia" w:ascii="宋体" w:hAnsi="宋体" w:cs="宋体"/>
                <w:b w:val="0"/>
                <w:bCs/>
                <w:color w:val="auto"/>
                <w:highlight w:val="none"/>
                <w:lang w:val="zh-CN"/>
              </w:rPr>
              <w:t>自2018年1月1日至今，完成过质量合格的类似工程业绩（类似工程是指单项工程</w:t>
            </w:r>
            <w:r>
              <w:rPr>
                <w:rFonts w:hint="eastAsia" w:ascii="宋体" w:hAnsi="宋体" w:cs="宋体"/>
                <w:b w:val="0"/>
                <w:bCs/>
                <w:color w:val="auto"/>
                <w:szCs w:val="21"/>
                <w:highlight w:val="none"/>
                <w:lang w:val="zh-TW"/>
              </w:rPr>
              <w:t>中标</w:t>
            </w:r>
            <w:r>
              <w:rPr>
                <w:rFonts w:hint="eastAsia" w:ascii="宋体" w:hAnsi="宋体" w:cs="宋体"/>
                <w:b w:val="0"/>
                <w:bCs/>
                <w:color w:val="auto"/>
                <w:szCs w:val="21"/>
                <w:highlight w:val="none"/>
                <w:lang w:val="zh-TW" w:eastAsia="zh-CN"/>
              </w:rPr>
              <w:t>价</w:t>
            </w:r>
            <w:r>
              <w:rPr>
                <w:rFonts w:hint="eastAsia" w:ascii="宋体" w:hAnsi="宋体" w:cs="宋体"/>
                <w:b w:val="0"/>
                <w:bCs/>
                <w:color w:val="auto"/>
                <w:highlight w:val="none"/>
                <w:lang w:val="zh-CN"/>
              </w:rPr>
              <w:t>≥</w:t>
            </w:r>
            <w:r>
              <w:rPr>
                <w:rFonts w:hint="eastAsia" w:ascii="宋体" w:hAnsi="宋体" w:cs="宋体"/>
                <w:b w:val="0"/>
                <w:bCs/>
                <w:color w:val="auto"/>
                <w:highlight w:val="none"/>
              </w:rPr>
              <w:t>8</w:t>
            </w:r>
            <w:r>
              <w:rPr>
                <w:rFonts w:hint="eastAsia" w:ascii="宋体" w:hAnsi="宋体" w:cs="宋体"/>
                <w:b w:val="0"/>
                <w:bCs/>
                <w:color w:val="auto"/>
                <w:highlight w:val="none"/>
                <w:lang w:val="zh-CN"/>
              </w:rPr>
              <w:t>0000万元的建筑工程施工总承包项目或工程总承包项目（包括勘察设计施工总承包或设计施工总承包或设计采购施工总承包或勘察设计采购施工总承包）的业绩）的，</w:t>
            </w:r>
            <w:r>
              <w:rPr>
                <w:rFonts w:hint="eastAsia" w:ascii="宋体" w:hAnsi="宋体" w:cs="宋体"/>
                <w:b w:val="0"/>
                <w:bCs/>
                <w:color w:val="auto"/>
                <w:highlight w:val="none"/>
              </w:rPr>
              <w:t>每项得</w:t>
            </w:r>
            <w:r>
              <w:rPr>
                <w:rFonts w:hint="eastAsia" w:ascii="宋体" w:hAnsi="宋体" w:cs="宋体"/>
                <w:b w:val="0"/>
                <w:bCs/>
                <w:color w:val="auto"/>
                <w:highlight w:val="none"/>
                <w:lang w:val="en-US" w:eastAsia="zh-CN"/>
              </w:rPr>
              <w:t>1</w:t>
            </w:r>
            <w:r>
              <w:rPr>
                <w:rFonts w:hint="eastAsia" w:ascii="宋体" w:hAnsi="宋体" w:cs="宋体"/>
                <w:b w:val="0"/>
                <w:bCs/>
                <w:color w:val="auto"/>
                <w:highlight w:val="none"/>
              </w:rPr>
              <w:t>分，</w:t>
            </w: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cs="宋体"/>
                <w:b/>
                <w:bCs w:val="0"/>
                <w:color w:val="auto"/>
                <w:highlight w:val="none"/>
              </w:rPr>
              <w:t>本项最多得</w:t>
            </w:r>
            <w:r>
              <w:rPr>
                <w:rFonts w:hint="eastAsia" w:ascii="宋体" w:hAnsi="宋体" w:cs="宋体"/>
                <w:b/>
                <w:bCs w:val="0"/>
                <w:color w:val="auto"/>
                <w:highlight w:val="none"/>
                <w:lang w:val="en-US" w:eastAsia="zh-CN"/>
              </w:rPr>
              <w:t>5</w:t>
            </w:r>
            <w:r>
              <w:rPr>
                <w:rFonts w:hint="eastAsia" w:ascii="宋体" w:hAnsi="宋体" w:cs="宋体"/>
                <w:b/>
                <w:bCs w:val="0"/>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企业</w:t>
            </w:r>
            <w:r>
              <w:rPr>
                <w:rFonts w:hint="eastAsia" w:ascii="宋体" w:hAnsi="宋体" w:cs="宋体"/>
                <w:b w:val="0"/>
                <w:bCs/>
                <w:color w:val="auto"/>
                <w:szCs w:val="21"/>
                <w:highlight w:val="none"/>
                <w:lang w:val="zh-TW" w:eastAsia="zh-CN"/>
              </w:rPr>
              <w:t>业绩</w:t>
            </w:r>
            <w:r>
              <w:rPr>
                <w:rFonts w:hint="eastAsia" w:ascii="宋体" w:hAnsi="宋体" w:cs="宋体"/>
                <w:b w:val="0"/>
                <w:bCs/>
                <w:color w:val="auto"/>
                <w:szCs w:val="21"/>
                <w:highlight w:val="none"/>
                <w:lang w:val="zh-TW"/>
              </w:rPr>
              <w:t>获奖</w:t>
            </w:r>
          </w:p>
        </w:tc>
        <w:tc>
          <w:tcPr>
            <w:tcW w:w="708"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rPr>
            </w:pPr>
          </w:p>
          <w:p>
            <w:pPr>
              <w:snapToGrid w:val="0"/>
              <w:spacing w:line="320" w:lineRule="exact"/>
              <w:ind w:left="42" w:leftChars="20" w:right="42" w:rightChars="20"/>
              <w:jc w:val="center"/>
              <w:rPr>
                <w:rFonts w:ascii="宋体" w:hAnsi="宋体" w:cs="宋体"/>
                <w:b w:val="0"/>
                <w:bCs/>
                <w:color w:val="auto"/>
                <w:szCs w:val="21"/>
                <w:highlight w:val="none"/>
              </w:rPr>
            </w:pPr>
            <w:r>
              <w:rPr>
                <w:rFonts w:hint="eastAsia" w:ascii="宋体" w:hAnsi="宋体" w:cs="宋体"/>
                <w:b w:val="0"/>
                <w:bCs/>
                <w:color w:val="auto"/>
                <w:szCs w:val="21"/>
                <w:highlight w:val="none"/>
                <w:lang w:val="en-US" w:eastAsia="zh-CN"/>
              </w:rPr>
              <w:t>21</w:t>
            </w:r>
            <w:r>
              <w:rPr>
                <w:rFonts w:hint="eastAsia" w:ascii="宋体" w:hAnsi="宋体" w:cs="宋体"/>
                <w:b w:val="0"/>
                <w:bCs/>
                <w:color w:val="auto"/>
                <w:szCs w:val="21"/>
                <w:highlight w:val="none"/>
              </w:rPr>
              <w:t>分</w:t>
            </w:r>
          </w:p>
        </w:tc>
        <w:tc>
          <w:tcPr>
            <w:tcW w:w="11632" w:type="dxa"/>
            <w:tcBorders>
              <w:bottom w:val="single" w:color="auto" w:sz="4" w:space="0"/>
            </w:tcBorders>
            <w:tcMar>
              <w:top w:w="15" w:type="dxa"/>
              <w:left w:w="37" w:type="dxa"/>
              <w:bottom w:w="0" w:type="dxa"/>
              <w:right w:w="37" w:type="dxa"/>
            </w:tcMar>
            <w:vAlign w:val="center"/>
          </w:tcPr>
          <w:p>
            <w:pPr>
              <w:adjustRightInd w:val="0"/>
              <w:ind w:firstLine="420" w:firstLineChars="200"/>
              <w:jc w:val="left"/>
              <w:rPr>
                <w:rFonts w:ascii="宋体" w:hAnsi="宋体" w:cs="宋体"/>
                <w:b w:val="0"/>
                <w:bCs/>
                <w:strike/>
                <w:color w:val="auto"/>
                <w:highlight w:val="none"/>
                <w:lang w:val="zh-CN"/>
              </w:rPr>
            </w:pPr>
            <w:r>
              <w:rPr>
                <w:rFonts w:hint="eastAsia" w:ascii="宋体" w:hAnsi="宋体" w:cs="宋体"/>
                <w:b w:val="0"/>
                <w:bCs/>
                <w:color w:val="auto"/>
                <w:kern w:val="0"/>
                <w:szCs w:val="21"/>
                <w:highlight w:val="none"/>
              </w:rPr>
              <w:t>1、投标人</w:t>
            </w: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zh-CN"/>
              </w:rPr>
              <w:t>若为联合体，指</w:t>
            </w:r>
            <w:r>
              <w:rPr>
                <w:rFonts w:hint="eastAsia" w:ascii="宋体" w:hAnsi="宋体" w:cs="宋体"/>
                <w:b w:val="0"/>
                <w:bCs/>
                <w:color w:val="auto"/>
                <w:szCs w:val="21"/>
                <w:highlight w:val="none"/>
              </w:rPr>
              <w:t>联合体主办方）</w:t>
            </w:r>
            <w:r>
              <w:rPr>
                <w:rFonts w:hint="eastAsia" w:ascii="宋体" w:hAnsi="宋体" w:eastAsia="宋体" w:cs="宋体"/>
                <w:b w:val="0"/>
                <w:bCs/>
                <w:color w:val="auto"/>
                <w:sz w:val="21"/>
                <w:szCs w:val="21"/>
                <w:highlight w:val="none"/>
              </w:rPr>
              <w:t>自201</w:t>
            </w:r>
            <w:r>
              <w:rPr>
                <w:rFonts w:hint="eastAsia" w:ascii="宋体" w:hAnsi="宋体" w:eastAsia="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年1月1日</w:t>
            </w:r>
            <w:r>
              <w:rPr>
                <w:rFonts w:hint="eastAsia" w:ascii="宋体" w:hAnsi="宋体" w:cs="宋体"/>
                <w:b w:val="0"/>
                <w:bCs/>
                <w:color w:val="auto"/>
                <w:sz w:val="21"/>
                <w:szCs w:val="21"/>
                <w:highlight w:val="none"/>
                <w:lang w:val="en-US" w:eastAsia="zh-CN"/>
              </w:rPr>
              <w:t>至今</w:t>
            </w:r>
            <w:r>
              <w:rPr>
                <w:rFonts w:hint="eastAsia" w:ascii="宋体" w:hAnsi="宋体" w:eastAsia="宋体" w:cs="宋体"/>
                <w:b w:val="0"/>
                <w:bCs/>
                <w:color w:val="auto"/>
                <w:sz w:val="21"/>
                <w:szCs w:val="21"/>
                <w:highlight w:val="none"/>
                <w:lang w:val="zh-CN" w:eastAsia="zh-CN"/>
              </w:rPr>
              <w:t>，完成过</w:t>
            </w:r>
            <w:r>
              <w:rPr>
                <w:rFonts w:hint="eastAsia" w:ascii="宋体" w:hAnsi="宋体" w:eastAsia="宋体" w:cs="宋体"/>
                <w:b w:val="0"/>
                <w:bCs/>
                <w:color w:val="auto"/>
                <w:sz w:val="21"/>
                <w:szCs w:val="21"/>
                <w:highlight w:val="none"/>
                <w:lang w:val="en-US" w:eastAsia="zh-CN"/>
              </w:rPr>
              <w:t>的</w:t>
            </w:r>
            <w:r>
              <w:rPr>
                <w:rFonts w:hint="eastAsia" w:ascii="宋体" w:hAnsi="宋体" w:eastAsia="宋体" w:cs="宋体"/>
                <w:b w:val="0"/>
                <w:bCs/>
                <w:color w:val="auto"/>
                <w:highlight w:val="none"/>
                <w:lang w:val="en-US" w:eastAsia="zh-CN"/>
              </w:rPr>
              <w:t>建筑工程施工总承包项目或工程总承包项目</w:t>
            </w:r>
            <w:r>
              <w:rPr>
                <w:rFonts w:hint="eastAsia" w:ascii="宋体" w:hAnsi="宋体" w:eastAsia="宋体" w:cs="宋体"/>
                <w:b w:val="0"/>
                <w:bCs/>
                <w:color w:val="auto"/>
                <w:szCs w:val="21"/>
                <w:highlight w:val="none"/>
                <w:lang w:val="zh-CN"/>
              </w:rPr>
              <w:t>获得过</w:t>
            </w:r>
            <w:r>
              <w:rPr>
                <w:rFonts w:hint="eastAsia" w:ascii="宋体" w:hAnsi="宋体" w:eastAsia="宋体" w:cs="宋体"/>
                <w:b w:val="0"/>
                <w:bCs/>
                <w:color w:val="auto"/>
                <w:szCs w:val="21"/>
                <w:highlight w:val="none"/>
              </w:rPr>
              <w:t>市</w:t>
            </w:r>
            <w:r>
              <w:rPr>
                <w:rFonts w:hint="eastAsia" w:ascii="宋体" w:hAnsi="宋体" w:eastAsia="宋体" w:cs="宋体"/>
                <w:b w:val="0"/>
                <w:bCs/>
                <w:color w:val="auto"/>
                <w:szCs w:val="21"/>
                <w:highlight w:val="none"/>
                <w:lang w:val="zh-CN"/>
              </w:rPr>
              <w:t>级或以上质量</w:t>
            </w:r>
            <w:r>
              <w:rPr>
                <w:rFonts w:hint="eastAsia" w:ascii="宋体" w:hAnsi="宋体" w:cs="宋体"/>
                <w:b w:val="0"/>
                <w:bCs/>
                <w:color w:val="auto"/>
                <w:szCs w:val="21"/>
                <w:highlight w:val="none"/>
                <w:lang w:val="zh-CN"/>
              </w:rPr>
              <w:t>奖</w:t>
            </w:r>
            <w:r>
              <w:rPr>
                <w:rFonts w:hint="eastAsia" w:ascii="宋体" w:hAnsi="宋体" w:eastAsia="宋体" w:cs="宋体"/>
                <w:b w:val="0"/>
                <w:bCs/>
                <w:color w:val="auto"/>
                <w:szCs w:val="21"/>
                <w:highlight w:val="none"/>
              </w:rPr>
              <w:t>或</w:t>
            </w:r>
            <w:r>
              <w:rPr>
                <w:rFonts w:hint="eastAsia" w:ascii="宋体" w:hAnsi="宋体" w:eastAsia="宋体" w:cs="宋体"/>
                <w:b w:val="0"/>
                <w:bCs/>
                <w:color w:val="auto"/>
                <w:szCs w:val="21"/>
                <w:highlight w:val="none"/>
                <w:lang w:val="zh-CN"/>
              </w:rPr>
              <w:t>安全奖项的</w:t>
            </w:r>
            <w:r>
              <w:rPr>
                <w:rFonts w:hint="eastAsia" w:ascii="宋体" w:hAnsi="宋体" w:cs="宋体"/>
                <w:b w:val="0"/>
                <w:bCs/>
                <w:color w:val="auto"/>
                <w:szCs w:val="21"/>
                <w:highlight w:val="none"/>
                <w:lang w:val="zh-CN"/>
              </w:rPr>
              <w:t>，</w:t>
            </w:r>
            <w:r>
              <w:rPr>
                <w:rFonts w:hint="eastAsia" w:ascii="宋体" w:hAnsi="宋体" w:cs="宋体"/>
                <w:b w:val="0"/>
                <w:bCs/>
                <w:color w:val="auto"/>
                <w:kern w:val="0"/>
                <w:szCs w:val="21"/>
                <w:highlight w:val="none"/>
              </w:rPr>
              <w:t>每项得</w:t>
            </w:r>
            <w:r>
              <w:rPr>
                <w:rFonts w:hint="eastAsia" w:ascii="宋体" w:hAnsi="宋体" w:cs="宋体"/>
                <w:b w:val="0"/>
                <w:bCs/>
                <w:color w:val="auto"/>
                <w:kern w:val="0"/>
                <w:szCs w:val="21"/>
                <w:highlight w:val="none"/>
                <w:lang w:val="en-US" w:eastAsia="zh-CN"/>
              </w:rPr>
              <w:t>1</w:t>
            </w:r>
            <w:r>
              <w:rPr>
                <w:rFonts w:hint="eastAsia" w:ascii="宋体" w:hAnsi="宋体" w:cs="宋体"/>
                <w:b w:val="0"/>
                <w:bCs/>
                <w:color w:val="auto"/>
                <w:kern w:val="0"/>
                <w:szCs w:val="21"/>
                <w:highlight w:val="none"/>
              </w:rPr>
              <w:t>分，</w:t>
            </w: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cs="宋体"/>
                <w:b/>
                <w:bCs w:val="0"/>
                <w:color w:val="auto"/>
                <w:kern w:val="0"/>
                <w:szCs w:val="21"/>
                <w:highlight w:val="none"/>
              </w:rPr>
              <w:t>本小项最多得</w:t>
            </w:r>
            <w:r>
              <w:rPr>
                <w:rFonts w:hint="eastAsia" w:ascii="宋体" w:hAnsi="宋体" w:cs="宋体"/>
                <w:b/>
                <w:bCs w:val="0"/>
                <w:color w:val="auto"/>
                <w:kern w:val="0"/>
                <w:szCs w:val="21"/>
                <w:highlight w:val="none"/>
                <w:lang w:val="en-US" w:eastAsia="zh-CN"/>
              </w:rPr>
              <w:t>18</w:t>
            </w:r>
            <w:r>
              <w:rPr>
                <w:rFonts w:hint="eastAsia" w:ascii="宋体" w:hAnsi="宋体" w:cs="宋体"/>
                <w:b/>
                <w:bCs w:val="0"/>
                <w:color w:val="auto"/>
                <w:kern w:val="0"/>
                <w:szCs w:val="21"/>
                <w:highlight w:val="none"/>
              </w:rPr>
              <w:t>分。</w:t>
            </w:r>
          </w:p>
          <w:p>
            <w:pPr>
              <w:adjustRightInd w:val="0"/>
              <w:ind w:firstLine="420" w:firstLineChars="200"/>
              <w:jc w:val="left"/>
              <w:rPr>
                <w:rFonts w:ascii="宋体" w:hAnsi="宋体" w:cs="宋体"/>
                <w:b w:val="0"/>
                <w:bCs/>
                <w:color w:val="auto"/>
                <w:highlight w:val="none"/>
                <w:lang w:val="zh-TW"/>
              </w:rPr>
            </w:pPr>
            <w:r>
              <w:rPr>
                <w:rFonts w:hint="eastAsia" w:ascii="宋体" w:hAnsi="宋体" w:cs="宋体"/>
                <w:b w:val="0"/>
                <w:bCs/>
                <w:color w:val="auto"/>
                <w:szCs w:val="21"/>
                <w:highlight w:val="none"/>
                <w:lang w:val="en-US" w:eastAsia="zh-CN"/>
              </w:rPr>
              <w:t>2</w:t>
            </w: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zh-TW"/>
              </w:rPr>
              <w:t>投标人（若为联合体，指联合体设计方）自2018年1月1日至今，承接的建筑工程设计项目，获得中国勘察设计协会颁发的</w:t>
            </w:r>
            <w:r>
              <w:rPr>
                <w:rFonts w:hint="eastAsia" w:ascii="宋体" w:hAnsi="宋体" w:cs="宋体"/>
                <w:b w:val="0"/>
                <w:bCs/>
                <w:color w:val="auto"/>
                <w:szCs w:val="21"/>
                <w:highlight w:val="none"/>
                <w:lang w:val="zh-TW" w:eastAsia="zh-CN"/>
              </w:rPr>
              <w:t>“优秀勘察设计奖-优秀绿色建筑”</w:t>
            </w:r>
            <w:r>
              <w:rPr>
                <w:rFonts w:hint="eastAsia" w:ascii="宋体" w:hAnsi="宋体" w:cs="宋体"/>
                <w:b w:val="0"/>
                <w:bCs/>
                <w:color w:val="auto"/>
                <w:szCs w:val="21"/>
                <w:highlight w:val="none"/>
                <w:lang w:val="en-US" w:eastAsia="zh-CN"/>
              </w:rPr>
              <w:t>奖项</w:t>
            </w:r>
            <w:r>
              <w:rPr>
                <w:rFonts w:hint="eastAsia" w:ascii="宋体" w:hAnsi="宋体" w:cs="宋体"/>
                <w:b w:val="0"/>
                <w:bCs/>
                <w:color w:val="auto"/>
                <w:szCs w:val="21"/>
                <w:highlight w:val="none"/>
                <w:lang w:val="zh-TW"/>
              </w:rPr>
              <w:t>，每项得</w:t>
            </w:r>
            <w:r>
              <w:rPr>
                <w:rFonts w:hint="eastAsia" w:ascii="宋体" w:hAnsi="宋体" w:cs="宋体"/>
                <w:b w:val="0"/>
                <w:bCs/>
                <w:color w:val="auto"/>
                <w:szCs w:val="21"/>
                <w:highlight w:val="none"/>
                <w:lang w:val="en-US" w:eastAsia="zh-CN"/>
              </w:rPr>
              <w:t>1.5</w:t>
            </w:r>
            <w:r>
              <w:rPr>
                <w:rFonts w:hint="eastAsia" w:ascii="宋体" w:hAnsi="宋体" w:cs="宋体"/>
                <w:b w:val="0"/>
                <w:bCs/>
                <w:color w:val="auto"/>
                <w:szCs w:val="21"/>
                <w:highlight w:val="none"/>
                <w:lang w:val="zh-TW"/>
              </w:rPr>
              <w:t>分，</w:t>
            </w: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cs="宋体"/>
                <w:b/>
                <w:bCs w:val="0"/>
                <w:color w:val="auto"/>
                <w:szCs w:val="21"/>
                <w:highlight w:val="none"/>
                <w:lang w:val="zh-TW"/>
              </w:rPr>
              <w:t>本小项最多得</w:t>
            </w:r>
            <w:r>
              <w:rPr>
                <w:rFonts w:hint="eastAsia" w:ascii="宋体" w:hAnsi="宋体" w:cs="宋体"/>
                <w:b/>
                <w:bCs w:val="0"/>
                <w:color w:val="auto"/>
                <w:szCs w:val="21"/>
                <w:highlight w:val="none"/>
                <w:lang w:val="en-US" w:eastAsia="zh-CN"/>
              </w:rPr>
              <w:t>3</w:t>
            </w:r>
            <w:r>
              <w:rPr>
                <w:rFonts w:hint="eastAsia" w:ascii="宋体" w:hAnsi="宋体" w:cs="宋体"/>
                <w:b/>
                <w:bCs w:val="0"/>
                <w:color w:val="auto"/>
                <w:szCs w:val="21"/>
                <w:highlight w:val="none"/>
                <w:lang w:val="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6"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ind w:left="-53" w:leftChars="-25" w:right="-53" w:rightChars="-25"/>
              <w:jc w:val="center"/>
              <w:rPr>
                <w:rFonts w:ascii="宋体" w:hAnsi="宋体" w:cs="宋体"/>
                <w:b w:val="0"/>
                <w:bCs/>
                <w:color w:val="auto"/>
                <w:kern w:val="0"/>
                <w:szCs w:val="21"/>
                <w:highlight w:val="none"/>
              </w:rPr>
            </w:pPr>
            <w:r>
              <w:rPr>
                <w:rFonts w:hint="eastAsia" w:ascii="宋体" w:hAnsi="宋体" w:cs="宋体"/>
                <w:b w:val="0"/>
                <w:bCs/>
                <w:color w:val="auto"/>
                <w:kern w:val="0"/>
                <w:szCs w:val="21"/>
                <w:highlight w:val="none"/>
              </w:rPr>
              <w:t>科技创新成果</w:t>
            </w:r>
          </w:p>
        </w:tc>
        <w:tc>
          <w:tcPr>
            <w:tcW w:w="708" w:type="dxa"/>
            <w:tcMar>
              <w:top w:w="15" w:type="dxa"/>
              <w:left w:w="37" w:type="dxa"/>
              <w:bottom w:w="0" w:type="dxa"/>
              <w:right w:w="37" w:type="dxa"/>
            </w:tcMar>
            <w:vAlign w:val="center"/>
          </w:tcPr>
          <w:p>
            <w:pPr>
              <w:snapToGrid w:val="0"/>
              <w:spacing w:before="78" w:beforeLines="25" w:after="78" w:afterLines="25"/>
              <w:jc w:val="center"/>
              <w:rPr>
                <w:rFonts w:ascii="宋体" w:hAnsi="宋体" w:cs="宋体"/>
                <w:b w:val="0"/>
                <w:bCs/>
                <w:color w:val="auto"/>
                <w:szCs w:val="21"/>
                <w:highlight w:val="none"/>
              </w:rPr>
            </w:pPr>
            <w:r>
              <w:rPr>
                <w:rFonts w:hint="eastAsia" w:ascii="宋体" w:hAnsi="宋体" w:cs="宋体"/>
                <w:b w:val="0"/>
                <w:bCs/>
                <w:color w:val="auto"/>
                <w:szCs w:val="21"/>
                <w:highlight w:val="none"/>
                <w:lang w:val="en-US" w:eastAsia="zh-CN"/>
              </w:rPr>
              <w:t>7</w:t>
            </w:r>
            <w:r>
              <w:rPr>
                <w:rFonts w:hint="eastAsia" w:ascii="宋体" w:hAnsi="宋体" w:cs="宋体"/>
                <w:b w:val="0"/>
                <w:bCs/>
                <w:color w:val="auto"/>
                <w:szCs w:val="21"/>
                <w:highlight w:val="none"/>
              </w:rPr>
              <w:t>分</w:t>
            </w:r>
          </w:p>
        </w:tc>
        <w:tc>
          <w:tcPr>
            <w:tcW w:w="11632" w:type="dxa"/>
            <w:tcMar>
              <w:top w:w="15" w:type="dxa"/>
              <w:left w:w="37" w:type="dxa"/>
              <w:bottom w:w="0" w:type="dxa"/>
              <w:right w:w="37" w:type="dxa"/>
            </w:tcMar>
            <w:vAlign w:val="center"/>
          </w:tcPr>
          <w:p>
            <w:pPr>
              <w:ind w:firstLine="420"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rPr>
              <w:t>投标人（若为联合体，指联合体设计方）自2018年1月1日至今，投标人具有与BIM相关的软件著作权的，每项得0.5分，未提供上述资料的或所提供的证明资料不符合要求的不得分，</w:t>
            </w:r>
            <w:r>
              <w:rPr>
                <w:rFonts w:hint="eastAsia" w:ascii="宋体" w:hAnsi="宋体" w:eastAsia="宋体" w:cs="宋体"/>
                <w:b/>
                <w:bCs w:val="0"/>
                <w:color w:val="auto"/>
                <w:szCs w:val="21"/>
                <w:highlight w:val="none"/>
              </w:rPr>
              <w:t>本</w:t>
            </w:r>
            <w:r>
              <w:rPr>
                <w:rFonts w:hint="eastAsia" w:ascii="宋体" w:hAnsi="宋体" w:eastAsia="宋体" w:cs="宋体"/>
                <w:b/>
                <w:bCs w:val="0"/>
                <w:color w:val="auto"/>
                <w:szCs w:val="21"/>
                <w:highlight w:val="none"/>
                <w:lang w:eastAsia="zh-CN"/>
              </w:rPr>
              <w:t>小</w:t>
            </w:r>
            <w:r>
              <w:rPr>
                <w:rFonts w:hint="eastAsia" w:ascii="宋体" w:hAnsi="宋体" w:eastAsia="宋体" w:cs="宋体"/>
                <w:b/>
                <w:bCs w:val="0"/>
                <w:color w:val="auto"/>
                <w:szCs w:val="21"/>
                <w:highlight w:val="none"/>
              </w:rPr>
              <w:t>项最多得4分。</w:t>
            </w:r>
          </w:p>
          <w:p>
            <w:pPr>
              <w:ind w:firstLine="420" w:firstLineChars="200"/>
              <w:rPr>
                <w:rFonts w:hint="eastAsia" w:ascii="宋体" w:hAnsi="宋体" w:eastAsia="宋体" w:cs="宋体"/>
                <w:b w:val="0"/>
                <w:bCs/>
                <w:color w:val="auto"/>
                <w:highlight w:val="none"/>
                <w:lang w:val="zh-TW" w:eastAsia="zh-CN"/>
              </w:rPr>
            </w:pPr>
            <w:r>
              <w:rPr>
                <w:rFonts w:hint="eastAsia" w:ascii="宋体" w:hAnsi="宋体" w:eastAsia="宋体" w:cs="宋体"/>
                <w:b w:val="0"/>
                <w:bCs/>
                <w:color w:val="auto"/>
                <w:highlight w:val="none"/>
                <w:lang w:val="zh-TW"/>
              </w:rPr>
              <w:t>2、</w:t>
            </w:r>
            <w:r>
              <w:rPr>
                <w:rFonts w:hint="eastAsia" w:ascii="宋体" w:hAnsi="宋体" w:eastAsia="宋体" w:cs="宋体"/>
                <w:b w:val="0"/>
                <w:bCs/>
                <w:color w:val="auto"/>
                <w:highlight w:val="none"/>
                <w:lang w:val="zh-TW" w:eastAsia="zh-CN"/>
              </w:rPr>
              <w:t>科学技术获奖情况：</w:t>
            </w:r>
          </w:p>
          <w:p>
            <w:pPr>
              <w:rPr>
                <w:rFonts w:hint="eastAsia" w:ascii="宋体" w:hAnsi="宋体" w:eastAsia="宋体" w:cs="宋体"/>
                <w:b w:val="0"/>
                <w:bCs/>
                <w:color w:val="auto"/>
                <w:highlight w:val="none"/>
                <w:lang w:val="zh-TW" w:eastAsia="zh-CN"/>
              </w:rPr>
            </w:pPr>
            <w:r>
              <w:rPr>
                <w:rFonts w:hint="eastAsia" w:ascii="宋体" w:hAnsi="宋体" w:eastAsia="宋体" w:cs="宋体"/>
                <w:b w:val="0"/>
                <w:bCs/>
                <w:color w:val="auto"/>
                <w:highlight w:val="none"/>
                <w:lang w:val="zh-TW" w:eastAsia="zh-CN"/>
              </w:rPr>
              <w:t>201</w:t>
            </w:r>
            <w:r>
              <w:rPr>
                <w:rFonts w:hint="eastAsia" w:ascii="宋体" w:hAnsi="宋体" w:eastAsia="宋体" w:cs="宋体"/>
                <w:b w:val="0"/>
                <w:bCs/>
                <w:color w:val="auto"/>
                <w:highlight w:val="none"/>
                <w:lang w:val="en-US" w:eastAsia="zh-CN"/>
              </w:rPr>
              <w:t>8</w:t>
            </w:r>
            <w:r>
              <w:rPr>
                <w:rFonts w:hint="eastAsia" w:ascii="宋体" w:hAnsi="宋体" w:eastAsia="宋体" w:cs="宋体"/>
                <w:b w:val="0"/>
                <w:bCs/>
                <w:color w:val="auto"/>
                <w:highlight w:val="none"/>
                <w:lang w:val="zh-TW" w:eastAsia="zh-CN"/>
              </w:rPr>
              <w:t>年1月1日起获得科技进步奖项：</w:t>
            </w:r>
          </w:p>
          <w:p>
            <w:pPr>
              <w:ind w:firstLine="420" w:firstLineChars="200"/>
              <w:rPr>
                <w:rFonts w:hint="eastAsia" w:ascii="宋体" w:hAnsi="宋体" w:eastAsia="宋体" w:cs="宋体"/>
                <w:b w:val="0"/>
                <w:bCs/>
                <w:color w:val="auto"/>
                <w:highlight w:val="none"/>
                <w:lang w:val="zh-CN" w:eastAsia="zh-CN"/>
              </w:rPr>
            </w:pPr>
            <w:r>
              <w:rPr>
                <w:rFonts w:hint="eastAsia" w:ascii="宋体" w:hAnsi="宋体" w:eastAsia="宋体" w:cs="宋体"/>
                <w:b w:val="0"/>
                <w:bCs/>
                <w:color w:val="auto"/>
                <w:highlight w:val="none"/>
                <w:lang w:val="zh-CN" w:eastAsia="zh-CN"/>
              </w:rPr>
              <w:t>（</w:t>
            </w:r>
            <w:r>
              <w:rPr>
                <w:rFonts w:hint="eastAsia" w:ascii="宋体" w:hAnsi="宋体" w:eastAsia="宋体" w:cs="宋体"/>
                <w:b w:val="0"/>
                <w:bCs/>
                <w:color w:val="auto"/>
                <w:highlight w:val="none"/>
                <w:lang w:val="zh-TW" w:eastAsia="zh-CN"/>
              </w:rPr>
              <w:t>1</w:t>
            </w:r>
            <w:r>
              <w:rPr>
                <w:rFonts w:hint="eastAsia" w:ascii="宋体" w:hAnsi="宋体" w:eastAsia="宋体" w:cs="宋体"/>
                <w:b w:val="0"/>
                <w:bCs/>
                <w:color w:val="auto"/>
                <w:highlight w:val="none"/>
                <w:lang w:val="zh-CN" w:eastAsia="zh-CN"/>
              </w:rPr>
              <w:t>）</w:t>
            </w:r>
            <w:r>
              <w:rPr>
                <w:rFonts w:hint="eastAsia" w:ascii="宋体" w:hAnsi="宋体" w:eastAsia="宋体" w:cs="宋体"/>
                <w:b w:val="0"/>
                <w:bCs/>
                <w:color w:val="auto"/>
                <w:highlight w:val="none"/>
                <w:lang w:val="zh-TW" w:eastAsia="zh-CN"/>
              </w:rPr>
              <w:t>获得国家级科技进步奖的</w:t>
            </w:r>
            <w:r>
              <w:rPr>
                <w:rFonts w:hint="eastAsia" w:ascii="宋体" w:hAnsi="宋体" w:eastAsia="宋体" w:cs="宋体"/>
                <w:b w:val="0"/>
                <w:bCs/>
                <w:color w:val="auto"/>
                <w:highlight w:val="none"/>
                <w:lang w:val="zh-CN" w:eastAsia="zh-CN"/>
              </w:rPr>
              <w:t>，每项得</w:t>
            </w:r>
            <w:r>
              <w:rPr>
                <w:rFonts w:hint="eastAsia" w:ascii="宋体" w:hAnsi="宋体" w:eastAsia="宋体" w:cs="宋体"/>
                <w:b w:val="0"/>
                <w:bCs/>
                <w:color w:val="auto"/>
                <w:highlight w:val="none"/>
                <w:lang w:val="en-US" w:eastAsia="zh-CN"/>
              </w:rPr>
              <w:t>1</w:t>
            </w:r>
            <w:r>
              <w:rPr>
                <w:rFonts w:hint="eastAsia" w:ascii="宋体" w:hAnsi="宋体" w:eastAsia="宋体" w:cs="宋体"/>
                <w:b w:val="0"/>
                <w:bCs/>
                <w:color w:val="auto"/>
                <w:highlight w:val="none"/>
                <w:lang w:val="zh-CN" w:eastAsia="zh-CN"/>
              </w:rPr>
              <w:t>分；</w:t>
            </w:r>
          </w:p>
          <w:p>
            <w:pPr>
              <w:ind w:firstLine="420" w:firstLineChars="200"/>
              <w:rPr>
                <w:rFonts w:hint="eastAsia" w:ascii="宋体" w:hAnsi="宋体" w:eastAsia="宋体" w:cs="宋体"/>
                <w:b w:val="0"/>
                <w:bCs/>
                <w:color w:val="auto"/>
                <w:highlight w:val="none"/>
                <w:lang w:val="zh-TW" w:eastAsia="zh-CN"/>
              </w:rPr>
            </w:pPr>
            <w:r>
              <w:rPr>
                <w:rFonts w:hint="eastAsia" w:ascii="宋体" w:hAnsi="宋体" w:eastAsia="宋体" w:cs="宋体"/>
                <w:b w:val="0"/>
                <w:bCs/>
                <w:color w:val="auto"/>
                <w:highlight w:val="none"/>
                <w:lang w:val="zh-CN" w:eastAsia="zh-CN"/>
              </w:rPr>
              <w:t>（</w:t>
            </w:r>
            <w:r>
              <w:rPr>
                <w:rFonts w:hint="eastAsia" w:ascii="宋体" w:hAnsi="宋体" w:eastAsia="宋体" w:cs="宋体"/>
                <w:b w:val="0"/>
                <w:bCs/>
                <w:color w:val="auto"/>
                <w:highlight w:val="none"/>
                <w:lang w:val="zh-TW" w:eastAsia="zh-CN"/>
              </w:rPr>
              <w:t>2</w:t>
            </w:r>
            <w:r>
              <w:rPr>
                <w:rFonts w:hint="eastAsia" w:ascii="宋体" w:hAnsi="宋体" w:eastAsia="宋体" w:cs="宋体"/>
                <w:b w:val="0"/>
                <w:bCs/>
                <w:color w:val="auto"/>
                <w:highlight w:val="none"/>
                <w:lang w:val="zh-CN" w:eastAsia="zh-CN"/>
              </w:rPr>
              <w:t>）</w:t>
            </w:r>
            <w:r>
              <w:rPr>
                <w:rFonts w:hint="eastAsia" w:ascii="宋体" w:hAnsi="宋体" w:eastAsia="宋体" w:cs="宋体"/>
                <w:b w:val="0"/>
                <w:bCs/>
                <w:color w:val="auto"/>
                <w:highlight w:val="none"/>
                <w:lang w:val="zh-TW" w:eastAsia="zh-CN"/>
              </w:rPr>
              <w:t>获得省级科技进步奖的</w:t>
            </w:r>
            <w:r>
              <w:rPr>
                <w:rFonts w:hint="eastAsia" w:ascii="宋体" w:hAnsi="宋体" w:eastAsia="宋体" w:cs="宋体"/>
                <w:b w:val="0"/>
                <w:bCs/>
                <w:color w:val="auto"/>
                <w:highlight w:val="none"/>
                <w:lang w:val="zh-CN" w:eastAsia="zh-CN"/>
              </w:rPr>
              <w:t>，每项得</w:t>
            </w:r>
            <w:r>
              <w:rPr>
                <w:rFonts w:hint="eastAsia" w:ascii="宋体" w:hAnsi="宋体" w:eastAsia="宋体" w:cs="宋体"/>
                <w:b w:val="0"/>
                <w:bCs/>
                <w:color w:val="auto"/>
                <w:highlight w:val="none"/>
                <w:lang w:val="en-US" w:eastAsia="zh-CN"/>
              </w:rPr>
              <w:t>0.6</w:t>
            </w:r>
            <w:r>
              <w:rPr>
                <w:rFonts w:hint="eastAsia" w:ascii="宋体" w:hAnsi="宋体" w:eastAsia="宋体" w:cs="宋体"/>
                <w:b w:val="0"/>
                <w:bCs/>
                <w:color w:val="auto"/>
                <w:highlight w:val="none"/>
                <w:lang w:val="zh-CN" w:eastAsia="zh-CN"/>
              </w:rPr>
              <w:t>分；</w:t>
            </w:r>
          </w:p>
          <w:p>
            <w:pPr>
              <w:ind w:firstLine="420" w:firstLineChars="200"/>
              <w:rPr>
                <w:rFonts w:hint="eastAsia" w:ascii="宋体" w:hAnsi="宋体" w:eastAsia="宋体" w:cs="宋体"/>
                <w:b w:val="0"/>
                <w:bCs/>
                <w:color w:val="auto"/>
                <w:highlight w:val="none"/>
                <w:lang w:val="zh-CN" w:eastAsia="zh-CN"/>
              </w:rPr>
            </w:pPr>
            <w:r>
              <w:rPr>
                <w:rFonts w:hint="eastAsia" w:ascii="宋体" w:hAnsi="宋体" w:eastAsia="宋体" w:cs="宋体"/>
                <w:b w:val="0"/>
                <w:bCs/>
                <w:color w:val="auto"/>
                <w:highlight w:val="none"/>
                <w:lang w:val="zh-TW" w:eastAsia="zh-CN"/>
              </w:rPr>
              <w:t>（3）获得市（含副省级）级科技进步奖的</w:t>
            </w:r>
            <w:r>
              <w:rPr>
                <w:rFonts w:hint="eastAsia" w:ascii="宋体" w:hAnsi="宋体" w:eastAsia="宋体" w:cs="宋体"/>
                <w:b w:val="0"/>
                <w:bCs/>
                <w:color w:val="auto"/>
                <w:highlight w:val="none"/>
                <w:lang w:val="zh-CN" w:eastAsia="zh-CN"/>
              </w:rPr>
              <w:t>，每项得</w:t>
            </w:r>
            <w:r>
              <w:rPr>
                <w:rFonts w:hint="eastAsia" w:ascii="宋体" w:hAnsi="宋体" w:eastAsia="宋体" w:cs="宋体"/>
                <w:b w:val="0"/>
                <w:bCs/>
                <w:color w:val="auto"/>
                <w:highlight w:val="none"/>
                <w:lang w:val="en-US" w:eastAsia="zh-CN"/>
              </w:rPr>
              <w:t>0.3</w:t>
            </w:r>
            <w:r>
              <w:rPr>
                <w:rFonts w:hint="eastAsia" w:ascii="宋体" w:hAnsi="宋体" w:eastAsia="宋体" w:cs="宋体"/>
                <w:b w:val="0"/>
                <w:bCs/>
                <w:color w:val="auto"/>
                <w:highlight w:val="none"/>
                <w:lang w:val="zh-CN" w:eastAsia="zh-CN"/>
              </w:rPr>
              <w:t>分；</w:t>
            </w:r>
          </w:p>
          <w:p>
            <w:pPr>
              <w:ind w:firstLine="630" w:firstLineChars="300"/>
              <w:rPr>
                <w:rFonts w:hint="eastAsia"/>
                <w:b w:val="0"/>
                <w:bCs/>
                <w:color w:val="auto"/>
                <w:highlight w:val="none"/>
                <w:lang w:val="en-US" w:eastAsia="zh-CN"/>
              </w:rPr>
            </w:pP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eastAsia="宋体" w:cs="宋体"/>
                <w:b/>
                <w:bCs w:val="0"/>
                <w:color w:val="auto"/>
                <w:szCs w:val="21"/>
                <w:highlight w:val="none"/>
              </w:rPr>
              <w:t>本</w:t>
            </w:r>
            <w:r>
              <w:rPr>
                <w:rFonts w:hint="eastAsia" w:ascii="宋体" w:hAnsi="宋体" w:eastAsia="宋体" w:cs="宋体"/>
                <w:b/>
                <w:bCs w:val="0"/>
                <w:color w:val="auto"/>
                <w:szCs w:val="21"/>
                <w:highlight w:val="none"/>
                <w:lang w:eastAsia="zh-CN"/>
              </w:rPr>
              <w:t>小</w:t>
            </w:r>
            <w:r>
              <w:rPr>
                <w:rFonts w:hint="eastAsia" w:ascii="宋体" w:hAnsi="宋体" w:eastAsia="宋体" w:cs="宋体"/>
                <w:b/>
                <w:bCs w:val="0"/>
                <w:color w:val="auto"/>
                <w:szCs w:val="21"/>
                <w:highlight w:val="none"/>
              </w:rPr>
              <w:t>项最多得</w:t>
            </w:r>
            <w:r>
              <w:rPr>
                <w:rFonts w:hint="eastAsia" w:ascii="宋体" w:hAnsi="宋体" w:eastAsia="宋体" w:cs="宋体"/>
                <w:b/>
                <w:bCs w:val="0"/>
                <w:color w:val="auto"/>
                <w:szCs w:val="21"/>
                <w:highlight w:val="none"/>
                <w:lang w:val="en-US" w:eastAsia="zh-CN"/>
              </w:rPr>
              <w:t>3</w:t>
            </w:r>
            <w:r>
              <w:rPr>
                <w:rFonts w:hint="eastAsia" w:ascii="宋体" w:hAnsi="宋体" w:eastAsia="宋体" w:cs="宋体"/>
                <w:b/>
                <w:bCs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hint="default" w:ascii="宋体" w:hAnsi="宋体" w:eastAsia="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工程研发能力</w:t>
            </w:r>
          </w:p>
        </w:tc>
        <w:tc>
          <w:tcPr>
            <w:tcW w:w="708" w:type="dxa"/>
            <w:tcMar>
              <w:top w:w="15" w:type="dxa"/>
              <w:left w:w="37" w:type="dxa"/>
              <w:bottom w:w="0" w:type="dxa"/>
              <w:right w:w="37" w:type="dxa"/>
            </w:tcMar>
            <w:vAlign w:val="center"/>
          </w:tcPr>
          <w:p>
            <w:pPr>
              <w:snapToGrid w:val="0"/>
              <w:spacing w:line="320" w:lineRule="exact"/>
              <w:ind w:left="42" w:leftChars="20" w:right="42" w:rightChars="20"/>
              <w:jc w:val="center"/>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val="en-US" w:eastAsia="zh-CN"/>
              </w:rPr>
              <w:t>3</w:t>
            </w:r>
            <w:r>
              <w:rPr>
                <w:rFonts w:hint="eastAsia" w:ascii="宋体" w:hAnsi="宋体" w:eastAsia="宋体" w:cs="宋体"/>
                <w:b w:val="0"/>
                <w:bCs/>
                <w:color w:val="auto"/>
                <w:szCs w:val="21"/>
                <w:highlight w:val="none"/>
              </w:rPr>
              <w:t>分</w:t>
            </w:r>
          </w:p>
        </w:tc>
        <w:tc>
          <w:tcPr>
            <w:tcW w:w="11632" w:type="dxa"/>
            <w:tcMar>
              <w:top w:w="15" w:type="dxa"/>
              <w:left w:w="37" w:type="dxa"/>
              <w:bottom w:w="0" w:type="dxa"/>
              <w:right w:w="37" w:type="dxa"/>
            </w:tcMar>
            <w:vAlign w:val="center"/>
          </w:tcPr>
          <w:p>
            <w:pPr>
              <w:pStyle w:val="13"/>
              <w:ind w:left="0" w:leftChars="0" w:firstLine="420" w:firstLineChars="200"/>
              <w:rPr>
                <w:rFonts w:hint="eastAsia" w:ascii="宋体" w:hAnsi="宋体" w:eastAsia="宋体" w:cs="宋体"/>
                <w:b w:val="0"/>
                <w:bCs/>
                <w:color w:val="auto"/>
                <w:highlight w:val="none"/>
                <w:lang w:val="zh-CN"/>
              </w:rPr>
            </w:pPr>
            <w:r>
              <w:rPr>
                <w:rFonts w:hint="eastAsia" w:ascii="宋体" w:hAnsi="宋体" w:eastAsia="宋体" w:cs="宋体"/>
                <w:b w:val="0"/>
                <w:bCs/>
                <w:color w:val="auto"/>
                <w:highlight w:val="none"/>
                <w:lang w:val="en-US" w:eastAsia="zh-CN"/>
              </w:rPr>
              <w:t>投标人</w:t>
            </w:r>
            <w:r>
              <w:rPr>
                <w:rFonts w:hint="eastAsia" w:ascii="宋体" w:hAnsi="宋体" w:eastAsia="宋体" w:cs="宋体"/>
                <w:b w:val="0"/>
                <w:bCs/>
                <w:color w:val="auto"/>
                <w:highlight w:val="none"/>
                <w:lang w:val="zh-CN" w:eastAsia="zh-CN"/>
              </w:rPr>
              <w:t>（若为联合体，</w:t>
            </w:r>
            <w:r>
              <w:rPr>
                <w:rFonts w:hint="eastAsia" w:ascii="宋体" w:hAnsi="宋体" w:eastAsia="宋体" w:cs="宋体"/>
                <w:b w:val="0"/>
                <w:bCs/>
                <w:color w:val="auto"/>
                <w:highlight w:val="none"/>
                <w:lang w:val="en-US" w:eastAsia="zh-CN"/>
              </w:rPr>
              <w:t>指</w:t>
            </w:r>
            <w:r>
              <w:rPr>
                <w:rFonts w:hint="eastAsia" w:ascii="宋体" w:hAnsi="宋体" w:eastAsia="宋体" w:cs="宋体"/>
                <w:b w:val="0"/>
                <w:bCs/>
                <w:color w:val="auto"/>
                <w:highlight w:val="none"/>
                <w:lang w:val="zh-CN" w:eastAsia="zh-CN"/>
              </w:rPr>
              <w:t>联合体主办方）</w:t>
            </w:r>
            <w:r>
              <w:rPr>
                <w:rFonts w:hint="eastAsia" w:ascii="宋体" w:hAnsi="宋体" w:eastAsia="宋体" w:cs="宋体"/>
                <w:b w:val="0"/>
                <w:bCs/>
                <w:color w:val="auto"/>
                <w:highlight w:val="none"/>
                <w:lang w:val="en-US" w:eastAsia="zh-CN"/>
              </w:rPr>
              <w:t>自2018年1月1日至今，获得过工程建设类发明授权专利：获得</w:t>
            </w:r>
            <w:r>
              <w:rPr>
                <w:rFonts w:hint="eastAsia" w:ascii="宋体" w:hAnsi="宋体" w:cs="宋体"/>
                <w:b w:val="0"/>
                <w:bCs/>
                <w:color w:val="auto"/>
                <w:highlight w:val="none"/>
                <w:lang w:val="en-US" w:eastAsia="zh-CN"/>
              </w:rPr>
              <w:t>61</w:t>
            </w:r>
            <w:r>
              <w:rPr>
                <w:rFonts w:hint="eastAsia" w:ascii="宋体" w:hAnsi="宋体" w:eastAsia="宋体" w:cs="宋体"/>
                <w:b w:val="0"/>
                <w:bCs/>
                <w:color w:val="auto"/>
                <w:highlight w:val="none"/>
                <w:lang w:val="en-US" w:eastAsia="zh-CN"/>
              </w:rPr>
              <w:t>项或以上的，得3分；获得</w:t>
            </w:r>
            <w:r>
              <w:rPr>
                <w:rFonts w:hint="eastAsia" w:ascii="宋体" w:hAnsi="宋体" w:cs="宋体"/>
                <w:b w:val="0"/>
                <w:bCs/>
                <w:color w:val="auto"/>
                <w:highlight w:val="none"/>
                <w:lang w:val="en-US" w:eastAsia="zh-CN"/>
              </w:rPr>
              <w:t>60</w:t>
            </w:r>
            <w:r>
              <w:rPr>
                <w:rFonts w:hint="eastAsia" w:ascii="宋体" w:hAnsi="宋体" w:eastAsia="宋体" w:cs="宋体"/>
                <w:b w:val="0"/>
                <w:bCs/>
                <w:color w:val="auto"/>
                <w:highlight w:val="none"/>
                <w:lang w:val="en-US" w:eastAsia="zh-CN"/>
              </w:rPr>
              <w:t>至</w:t>
            </w:r>
            <w:r>
              <w:rPr>
                <w:rFonts w:hint="eastAsia" w:ascii="宋体" w:hAnsi="宋体" w:cs="宋体"/>
                <w:b w:val="0"/>
                <w:bCs/>
                <w:color w:val="auto"/>
                <w:highlight w:val="none"/>
                <w:lang w:val="en-US" w:eastAsia="zh-CN"/>
              </w:rPr>
              <w:t>41</w:t>
            </w:r>
            <w:r>
              <w:rPr>
                <w:rFonts w:hint="eastAsia" w:ascii="宋体" w:hAnsi="宋体" w:eastAsia="宋体" w:cs="宋体"/>
                <w:b w:val="0"/>
                <w:bCs/>
                <w:color w:val="auto"/>
                <w:highlight w:val="none"/>
                <w:lang w:val="en-US" w:eastAsia="zh-CN"/>
              </w:rPr>
              <w:t>项的，得2分；获得</w:t>
            </w:r>
            <w:r>
              <w:rPr>
                <w:rFonts w:hint="eastAsia" w:ascii="宋体" w:hAnsi="宋体" w:cs="宋体"/>
                <w:b w:val="0"/>
                <w:bCs/>
                <w:color w:val="auto"/>
                <w:highlight w:val="none"/>
                <w:lang w:val="en-US" w:eastAsia="zh-CN"/>
              </w:rPr>
              <w:t>40</w:t>
            </w:r>
            <w:r>
              <w:rPr>
                <w:rFonts w:hint="eastAsia" w:ascii="宋体" w:hAnsi="宋体" w:eastAsia="宋体" w:cs="宋体"/>
                <w:b w:val="0"/>
                <w:bCs/>
                <w:color w:val="auto"/>
                <w:highlight w:val="none"/>
                <w:lang w:val="en-US" w:eastAsia="zh-CN"/>
              </w:rPr>
              <w:t>至</w:t>
            </w:r>
            <w:r>
              <w:rPr>
                <w:rFonts w:hint="eastAsia" w:ascii="宋体" w:hAnsi="宋体" w:cs="宋体"/>
                <w:b w:val="0"/>
                <w:bCs/>
                <w:color w:val="auto"/>
                <w:highlight w:val="none"/>
                <w:lang w:val="en-US" w:eastAsia="zh-CN"/>
              </w:rPr>
              <w:t>21</w:t>
            </w:r>
            <w:r>
              <w:rPr>
                <w:rFonts w:hint="eastAsia" w:ascii="宋体" w:hAnsi="宋体" w:eastAsia="宋体" w:cs="宋体"/>
                <w:b w:val="0"/>
                <w:bCs/>
                <w:color w:val="auto"/>
                <w:highlight w:val="none"/>
                <w:lang w:val="en-US" w:eastAsia="zh-CN"/>
              </w:rPr>
              <w:t>项的，得1分；获得</w:t>
            </w:r>
            <w:r>
              <w:rPr>
                <w:rFonts w:hint="eastAsia" w:ascii="宋体" w:hAnsi="宋体" w:cs="宋体"/>
                <w:b w:val="0"/>
                <w:bCs/>
                <w:color w:val="auto"/>
                <w:highlight w:val="none"/>
                <w:lang w:val="en-US" w:eastAsia="zh-CN"/>
              </w:rPr>
              <w:t>2</w:t>
            </w:r>
            <w:r>
              <w:rPr>
                <w:rFonts w:hint="eastAsia" w:ascii="宋体" w:hAnsi="宋体" w:eastAsia="宋体" w:cs="宋体"/>
                <w:b w:val="0"/>
                <w:bCs/>
                <w:color w:val="auto"/>
                <w:highlight w:val="none"/>
                <w:lang w:val="en-US" w:eastAsia="zh-CN"/>
              </w:rPr>
              <w:t>0至1项的，得0.5分。</w:t>
            </w:r>
            <w:r>
              <w:rPr>
                <w:rFonts w:hint="eastAsia" w:ascii="宋体" w:hAnsi="宋体" w:cs="宋体"/>
                <w:b w:val="0"/>
                <w:bCs/>
                <w:color w:val="auto"/>
                <w:szCs w:val="22"/>
                <w:highlight w:val="none"/>
              </w:rPr>
              <w:t>未提供上述资料的或所提供的证明资料不符合要求的不得分</w:t>
            </w:r>
            <w:r>
              <w:rPr>
                <w:rFonts w:hint="eastAsia" w:ascii="宋体" w:hAnsi="宋体" w:eastAsia="宋体" w:cs="宋体"/>
                <w:b w:val="0"/>
                <w:bCs/>
                <w:color w:val="auto"/>
                <w:highlight w:val="none"/>
              </w:rPr>
              <w:t>。</w:t>
            </w:r>
            <w:r>
              <w:rPr>
                <w:rFonts w:hint="eastAsia" w:ascii="宋体" w:hAnsi="宋体" w:eastAsia="宋体" w:cs="宋体"/>
                <w:b/>
                <w:bCs w:val="0"/>
                <w:color w:val="auto"/>
                <w:highlight w:val="none"/>
                <w:lang w:val="en-US" w:eastAsia="zh-CN"/>
              </w:rPr>
              <w:t>本小项最多得3分。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362" w:type="dxa"/>
            <w:vMerge w:val="restart"/>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二、实施方案（64分）</w:t>
            </w:r>
          </w:p>
        </w:tc>
        <w:tc>
          <w:tcPr>
            <w:tcW w:w="846" w:type="dxa"/>
            <w:tcMar>
              <w:top w:w="15" w:type="dxa"/>
              <w:left w:w="37" w:type="dxa"/>
              <w:bottom w:w="0" w:type="dxa"/>
              <w:right w:w="37" w:type="dxa"/>
            </w:tcMar>
            <w:vAlign w:val="center"/>
          </w:tcPr>
          <w:p>
            <w:pPr>
              <w:widowControl/>
              <w:spacing w:line="240" w:lineRule="atLeast"/>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rPr>
              <w:t>设计和施工的融合措施</w:t>
            </w:r>
          </w:p>
        </w:tc>
        <w:tc>
          <w:tcPr>
            <w:tcW w:w="708" w:type="dxa"/>
            <w:vAlign w:val="center"/>
          </w:tcPr>
          <w:p>
            <w:pPr>
              <w:snapToGrid w:val="0"/>
              <w:spacing w:line="320" w:lineRule="exact"/>
              <w:ind w:left="42" w:leftChars="20" w:right="42" w:rightChars="20"/>
              <w:jc w:val="center"/>
              <w:rPr>
                <w:rFonts w:ascii="宋体" w:hAnsi="宋体" w:cs="宋体"/>
                <w:b w:val="0"/>
                <w:bCs/>
                <w:color w:val="auto"/>
                <w:szCs w:val="21"/>
                <w:highlight w:val="none"/>
              </w:rPr>
            </w:pPr>
            <w:r>
              <w:rPr>
                <w:rFonts w:hint="eastAsia" w:ascii="宋体" w:hAnsi="宋体" w:cs="宋体"/>
                <w:b w:val="0"/>
                <w:bCs/>
                <w:color w:val="auto"/>
                <w:szCs w:val="21"/>
                <w:highlight w:val="none"/>
              </w:rPr>
              <w:t>24分</w:t>
            </w:r>
          </w:p>
        </w:tc>
        <w:tc>
          <w:tcPr>
            <w:tcW w:w="11632" w:type="dxa"/>
            <w:tcMar>
              <w:top w:w="15" w:type="dxa"/>
              <w:left w:w="37" w:type="dxa"/>
              <w:bottom w:w="0" w:type="dxa"/>
              <w:right w:w="37" w:type="dxa"/>
            </w:tcMar>
            <w:vAlign w:val="center"/>
          </w:tcPr>
          <w:p>
            <w:pPr>
              <w:ind w:firstLine="420" w:firstLineChars="200"/>
              <w:rPr>
                <w:rFonts w:ascii="宋体" w:hAnsi="宋体" w:cs="宋体"/>
                <w:b w:val="0"/>
                <w:bCs/>
                <w:color w:val="auto"/>
                <w:szCs w:val="21"/>
                <w:highlight w:val="none"/>
              </w:rPr>
            </w:pPr>
            <w:r>
              <w:rPr>
                <w:rFonts w:hint="eastAsia" w:ascii="宋体" w:hAnsi="宋体" w:cs="宋体"/>
                <w:b w:val="0"/>
                <w:bCs/>
                <w:color w:val="auto"/>
                <w:szCs w:val="21"/>
                <w:highlight w:val="none"/>
                <w:lang w:val="en-US" w:eastAsia="zh-CN"/>
              </w:rPr>
              <w:t>1、</w:t>
            </w:r>
            <w:r>
              <w:rPr>
                <w:rFonts w:hint="eastAsia" w:ascii="宋体" w:hAnsi="宋体" w:cs="宋体"/>
                <w:b w:val="0"/>
                <w:bCs/>
                <w:color w:val="auto"/>
                <w:szCs w:val="21"/>
                <w:highlight w:val="none"/>
              </w:rPr>
              <w:t>投标人（若为联合体，指联合体主办方）拟</w:t>
            </w:r>
            <w:r>
              <w:rPr>
                <w:rFonts w:hint="eastAsia" w:ascii="宋体" w:hAnsi="宋体" w:cs="宋体"/>
                <w:b w:val="0"/>
                <w:bCs/>
                <w:color w:val="auto"/>
                <w:szCs w:val="21"/>
                <w:highlight w:val="none"/>
                <w:lang w:val="zh-TW"/>
              </w:rPr>
              <w:t>派本项目的项目管理机构主要人员满足</w:t>
            </w: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zh-TW"/>
              </w:rPr>
              <w:t>投标人投入主要人员要求表（</w:t>
            </w:r>
            <w:r>
              <w:rPr>
                <w:rFonts w:hint="eastAsia" w:ascii="宋体" w:hAnsi="宋体" w:cs="宋体"/>
                <w:b w:val="0"/>
                <w:bCs/>
                <w:color w:val="auto"/>
                <w:szCs w:val="21"/>
                <w:highlight w:val="none"/>
              </w:rPr>
              <w:t>施工部分</w:t>
            </w:r>
            <w:r>
              <w:rPr>
                <w:rFonts w:hint="eastAsia" w:ascii="宋体" w:hAnsi="宋体" w:cs="宋体"/>
                <w:b w:val="0"/>
                <w:bCs/>
                <w:color w:val="auto"/>
                <w:szCs w:val="21"/>
                <w:highlight w:val="none"/>
                <w:lang w:val="zh-TW"/>
              </w:rPr>
              <w:t>）</w:t>
            </w:r>
            <w:r>
              <w:rPr>
                <w:rFonts w:hint="eastAsia" w:ascii="宋体" w:hAnsi="宋体" w:cs="宋体"/>
                <w:b w:val="0"/>
                <w:bCs/>
                <w:color w:val="auto"/>
                <w:szCs w:val="21"/>
                <w:highlight w:val="none"/>
              </w:rPr>
              <w:t>》要求的，得1分，不满足要求的不得分；</w:t>
            </w:r>
            <w:r>
              <w:rPr>
                <w:rFonts w:hint="eastAsia" w:ascii="宋体" w:hAnsi="宋体" w:cs="宋体"/>
                <w:bCs/>
                <w:color w:val="auto"/>
                <w:sz w:val="21"/>
                <w:szCs w:val="21"/>
                <w:highlight w:val="none"/>
                <w:lang w:val="zh-TW"/>
              </w:rPr>
              <w:t>在满足</w:t>
            </w: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zh-TW"/>
              </w:rPr>
              <w:t>投标人投入主要人员要求表（</w:t>
            </w:r>
            <w:r>
              <w:rPr>
                <w:rFonts w:hint="eastAsia" w:ascii="宋体" w:hAnsi="宋体" w:cs="宋体"/>
                <w:b w:val="0"/>
                <w:bCs/>
                <w:color w:val="auto"/>
                <w:szCs w:val="21"/>
                <w:highlight w:val="none"/>
              </w:rPr>
              <w:t>施工部分</w:t>
            </w:r>
            <w:r>
              <w:rPr>
                <w:rFonts w:hint="eastAsia" w:ascii="宋体" w:hAnsi="宋体" w:cs="宋体"/>
                <w:b w:val="0"/>
                <w:bCs/>
                <w:color w:val="auto"/>
                <w:szCs w:val="21"/>
                <w:highlight w:val="none"/>
                <w:lang w:val="zh-TW"/>
              </w:rPr>
              <w:t>）</w:t>
            </w:r>
            <w:r>
              <w:rPr>
                <w:rFonts w:hint="eastAsia" w:ascii="宋体" w:hAnsi="宋体" w:cs="宋体"/>
                <w:b w:val="0"/>
                <w:bCs/>
                <w:color w:val="auto"/>
                <w:szCs w:val="21"/>
                <w:highlight w:val="none"/>
              </w:rPr>
              <w:t>》</w:t>
            </w:r>
            <w:r>
              <w:rPr>
                <w:rFonts w:hint="eastAsia" w:ascii="宋体" w:hAnsi="宋体" w:cs="宋体"/>
                <w:bCs/>
                <w:color w:val="auto"/>
                <w:sz w:val="21"/>
                <w:szCs w:val="21"/>
                <w:highlight w:val="none"/>
                <w:lang w:val="zh-TW"/>
              </w:rPr>
              <w:t>的基础上，对</w:t>
            </w:r>
            <w:r>
              <w:rPr>
                <w:rFonts w:hint="eastAsia" w:ascii="宋体" w:hAnsi="宋体" w:cs="宋体"/>
                <w:b w:val="0"/>
                <w:bCs/>
                <w:color w:val="auto"/>
                <w:szCs w:val="21"/>
                <w:highlight w:val="none"/>
              </w:rPr>
              <w:t>配备的施工人员</w:t>
            </w:r>
            <w:r>
              <w:rPr>
                <w:rFonts w:hint="eastAsia" w:ascii="宋体" w:hAnsi="宋体" w:cs="宋体"/>
                <w:bCs/>
                <w:color w:val="auto"/>
                <w:sz w:val="21"/>
                <w:szCs w:val="21"/>
                <w:highlight w:val="none"/>
                <w:lang w:val="zh-TW"/>
              </w:rPr>
              <w:t>的</w:t>
            </w:r>
            <w:r>
              <w:rPr>
                <w:rFonts w:hint="eastAsia" w:ascii="宋体" w:hAnsi="宋体" w:cs="宋体"/>
                <w:bCs/>
                <w:color w:val="auto"/>
                <w:sz w:val="21"/>
                <w:szCs w:val="21"/>
                <w:highlight w:val="none"/>
                <w:lang w:val="zh-TW" w:eastAsia="zh-CN"/>
              </w:rPr>
              <w:t>素质</w:t>
            </w:r>
            <w:r>
              <w:rPr>
                <w:rFonts w:hint="eastAsia" w:ascii="宋体" w:hAnsi="宋体" w:cs="宋体"/>
                <w:bCs/>
                <w:color w:val="auto"/>
                <w:sz w:val="21"/>
                <w:szCs w:val="21"/>
                <w:highlight w:val="none"/>
                <w:lang w:val="zh-TW"/>
              </w:rPr>
              <w:t>情况进行加分：</w:t>
            </w:r>
            <w:r>
              <w:rPr>
                <w:rFonts w:hint="eastAsia" w:ascii="宋体" w:hAnsi="宋体" w:cs="宋体"/>
                <w:b w:val="0"/>
                <w:bCs/>
                <w:color w:val="auto"/>
                <w:szCs w:val="21"/>
                <w:highlight w:val="none"/>
              </w:rPr>
              <w:t>配备高级工程师（或以上）职称技术人员的，每人加2分，最多加4分。</w:t>
            </w:r>
          </w:p>
          <w:p>
            <w:pPr>
              <w:rPr>
                <w:rFonts w:ascii="宋体" w:hAnsi="宋体" w:cs="宋体"/>
                <w:b/>
                <w:bCs w:val="0"/>
                <w:color w:val="auto"/>
                <w:highlight w:val="none"/>
                <w:lang w:val="zh-TW"/>
              </w:rPr>
            </w:pP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eastAsia="宋体" w:cs="宋体"/>
                <w:b w:val="0"/>
                <w:bCs/>
                <w:color w:val="auto"/>
                <w:szCs w:val="21"/>
                <w:highlight w:val="none"/>
                <w:lang w:eastAsia="zh-CN"/>
              </w:rPr>
              <w:t>，</w:t>
            </w:r>
            <w:r>
              <w:rPr>
                <w:rFonts w:hint="eastAsia" w:ascii="宋体" w:hAnsi="宋体" w:cs="宋体"/>
                <w:b/>
                <w:bCs w:val="0"/>
                <w:color w:val="auto"/>
                <w:szCs w:val="21"/>
                <w:highlight w:val="none"/>
              </w:rPr>
              <w:t>本小项最多得5分。</w:t>
            </w:r>
          </w:p>
          <w:p>
            <w:pPr>
              <w:ind w:firstLine="420" w:firstLineChars="200"/>
              <w:rPr>
                <w:rFonts w:hint="eastAsia" w:ascii="宋体" w:hAnsi="宋体" w:cs="宋体"/>
                <w:b w:val="0"/>
                <w:bCs/>
                <w:color w:val="auto"/>
                <w:highlight w:val="none"/>
              </w:rPr>
            </w:pPr>
            <w:r>
              <w:rPr>
                <w:rFonts w:hint="eastAsia" w:ascii="宋体" w:hAnsi="宋体" w:cs="宋体"/>
                <w:b w:val="0"/>
                <w:bCs/>
                <w:color w:val="auto"/>
                <w:highlight w:val="none"/>
                <w:lang w:val="en-US" w:eastAsia="zh-CN"/>
              </w:rPr>
              <w:t>2、</w:t>
            </w:r>
            <w:r>
              <w:rPr>
                <w:rFonts w:hint="eastAsia" w:ascii="宋体" w:hAnsi="宋体" w:cs="宋体"/>
                <w:b w:val="0"/>
                <w:bCs/>
                <w:color w:val="auto"/>
                <w:highlight w:val="none"/>
              </w:rPr>
              <w:t>投标人（若为联合体，指联合体相应的设计方、勘察方）拟派本项目的项目管理机构主要人员</w:t>
            </w:r>
            <w:r>
              <w:rPr>
                <w:rFonts w:hint="eastAsia" w:ascii="宋体" w:hAnsi="宋体" w:cs="宋体"/>
                <w:b w:val="0"/>
                <w:bCs/>
                <w:color w:val="auto"/>
                <w:szCs w:val="21"/>
                <w:highlight w:val="none"/>
              </w:rPr>
              <w:t>满足《</w:t>
            </w:r>
            <w:r>
              <w:rPr>
                <w:rFonts w:hint="eastAsia" w:ascii="宋体" w:hAnsi="宋体" w:cs="宋体"/>
                <w:b w:val="0"/>
                <w:bCs/>
                <w:color w:val="auto"/>
                <w:szCs w:val="21"/>
                <w:highlight w:val="none"/>
                <w:lang w:val="zh-TW"/>
              </w:rPr>
              <w:t>投标人投入主要人员要求表</w:t>
            </w:r>
            <w:r>
              <w:rPr>
                <w:rFonts w:hint="eastAsia" w:ascii="宋体" w:hAnsi="宋体" w:cs="宋体"/>
                <w:b w:val="0"/>
                <w:bCs/>
                <w:color w:val="auto"/>
                <w:szCs w:val="21"/>
                <w:highlight w:val="none"/>
              </w:rPr>
              <w:t>（勘察、设计部分）》要求的，得1分，不满足要求的不得分；</w:t>
            </w:r>
            <w:r>
              <w:rPr>
                <w:rFonts w:hint="eastAsia" w:ascii="宋体" w:hAnsi="宋体" w:cs="宋体"/>
                <w:bCs/>
                <w:color w:val="auto"/>
                <w:sz w:val="21"/>
                <w:szCs w:val="21"/>
                <w:highlight w:val="none"/>
                <w:lang w:val="zh-TW"/>
              </w:rPr>
              <w:t>在满足</w:t>
            </w: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zh-TW"/>
              </w:rPr>
              <w:t>投标人投入主要人员要求表</w:t>
            </w:r>
            <w:r>
              <w:rPr>
                <w:rFonts w:hint="eastAsia" w:ascii="宋体" w:hAnsi="宋体" w:cs="宋体"/>
                <w:b w:val="0"/>
                <w:bCs/>
                <w:color w:val="auto"/>
                <w:szCs w:val="21"/>
                <w:highlight w:val="none"/>
              </w:rPr>
              <w:t>（勘察、设计部分）》</w:t>
            </w:r>
            <w:r>
              <w:rPr>
                <w:rFonts w:hint="eastAsia" w:ascii="宋体" w:hAnsi="宋体" w:cs="宋体"/>
                <w:bCs/>
                <w:color w:val="auto"/>
                <w:sz w:val="21"/>
                <w:szCs w:val="21"/>
                <w:highlight w:val="none"/>
                <w:lang w:val="zh-TW"/>
              </w:rPr>
              <w:t>的基础上，对</w:t>
            </w:r>
            <w:r>
              <w:rPr>
                <w:rFonts w:hint="eastAsia" w:ascii="宋体" w:hAnsi="宋体" w:cs="宋体"/>
                <w:b w:val="0"/>
                <w:bCs/>
                <w:color w:val="auto"/>
                <w:szCs w:val="21"/>
                <w:highlight w:val="none"/>
              </w:rPr>
              <w:t>配备的勘察、设计人员</w:t>
            </w:r>
            <w:r>
              <w:rPr>
                <w:rFonts w:hint="eastAsia" w:ascii="宋体" w:hAnsi="宋体" w:cs="宋体"/>
                <w:bCs/>
                <w:color w:val="auto"/>
                <w:sz w:val="21"/>
                <w:szCs w:val="21"/>
                <w:highlight w:val="none"/>
                <w:lang w:val="zh-TW"/>
              </w:rPr>
              <w:t>的</w:t>
            </w:r>
            <w:r>
              <w:rPr>
                <w:rFonts w:hint="eastAsia" w:ascii="宋体" w:hAnsi="宋体" w:cs="宋体"/>
                <w:bCs/>
                <w:color w:val="auto"/>
                <w:sz w:val="21"/>
                <w:szCs w:val="21"/>
                <w:highlight w:val="none"/>
                <w:lang w:val="zh-TW" w:eastAsia="zh-CN"/>
              </w:rPr>
              <w:t>素质</w:t>
            </w:r>
            <w:r>
              <w:rPr>
                <w:rFonts w:hint="eastAsia" w:ascii="宋体" w:hAnsi="宋体" w:cs="宋体"/>
                <w:bCs/>
                <w:color w:val="auto"/>
                <w:sz w:val="21"/>
                <w:szCs w:val="21"/>
                <w:highlight w:val="none"/>
                <w:lang w:val="zh-TW"/>
              </w:rPr>
              <w:t>情况进行加分：</w:t>
            </w:r>
          </w:p>
          <w:p>
            <w:pPr>
              <w:widowControl/>
              <w:tabs>
                <w:tab w:val="left" w:pos="312"/>
              </w:tabs>
              <w:snapToGrid w:val="0"/>
              <w:spacing w:line="240" w:lineRule="atLeast"/>
              <w:ind w:left="0" w:leftChars="0" w:right="42" w:rightChars="20" w:firstLine="420" w:firstLineChars="200"/>
              <w:jc w:val="left"/>
              <w:rPr>
                <w:b w:val="0"/>
                <w:bCs/>
                <w:color w:val="auto"/>
                <w:highlight w:val="none"/>
              </w:rPr>
            </w:pPr>
            <w:r>
              <w:rPr>
                <w:rFonts w:hint="eastAsia" w:ascii="宋体" w:hAnsi="宋体" w:cs="宋体"/>
                <w:b w:val="0"/>
                <w:bCs/>
                <w:color w:val="auto"/>
                <w:szCs w:val="21"/>
                <w:highlight w:val="none"/>
              </w:rPr>
              <w:t>（1）设计负责人具有教授级（正高级）工程师技术职称的，</w:t>
            </w:r>
            <w:r>
              <w:rPr>
                <w:rFonts w:hint="eastAsia" w:ascii="宋体" w:hAnsi="宋体" w:cs="宋体"/>
                <w:b w:val="0"/>
                <w:bCs/>
                <w:color w:val="auto"/>
                <w:szCs w:val="21"/>
                <w:highlight w:val="none"/>
                <w:lang w:eastAsia="zh-CN"/>
              </w:rPr>
              <w:t>加</w:t>
            </w:r>
            <w:r>
              <w:rPr>
                <w:rFonts w:hint="eastAsia" w:ascii="宋体" w:hAnsi="宋体" w:cs="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rPr>
              <w:t>（2）设计负责人具有省级或以上勘察设计大师称号的，</w:t>
            </w:r>
            <w:r>
              <w:rPr>
                <w:rFonts w:hint="eastAsia" w:ascii="宋体" w:hAnsi="宋体" w:cs="宋体"/>
                <w:b w:val="0"/>
                <w:bCs/>
                <w:color w:val="auto"/>
                <w:szCs w:val="21"/>
                <w:highlight w:val="none"/>
                <w:lang w:eastAsia="zh-CN"/>
              </w:rPr>
              <w:t>加</w:t>
            </w:r>
            <w:r>
              <w:rPr>
                <w:rFonts w:hint="eastAsia" w:ascii="宋体" w:hAnsi="宋体" w:cs="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ascii="宋体" w:hAnsi="宋体" w:cs="宋体"/>
                <w:b w:val="0"/>
                <w:bCs/>
                <w:color w:val="auto"/>
                <w:szCs w:val="21"/>
                <w:highlight w:val="none"/>
              </w:rPr>
            </w:pPr>
            <w:r>
              <w:rPr>
                <w:rFonts w:hint="eastAsia" w:ascii="宋体" w:hAnsi="宋体" w:cs="宋体"/>
                <w:b w:val="0"/>
                <w:bCs/>
                <w:color w:val="auto"/>
                <w:szCs w:val="21"/>
                <w:highlight w:val="none"/>
              </w:rPr>
              <w:t>（3）设计负责人自2018年1月1日至今参与的房屋建筑工程设计项目获得过国家级部门或行业协会颁发的全国/行业优秀工程勘察设计奖的，</w:t>
            </w:r>
            <w:r>
              <w:rPr>
                <w:rFonts w:hint="eastAsia" w:ascii="宋体" w:hAnsi="宋体" w:cs="宋体"/>
                <w:b w:val="0"/>
                <w:bCs/>
                <w:color w:val="auto"/>
                <w:szCs w:val="21"/>
                <w:highlight w:val="none"/>
                <w:lang w:eastAsia="zh-CN"/>
              </w:rPr>
              <w:t>加</w:t>
            </w:r>
            <w:r>
              <w:rPr>
                <w:rFonts w:hint="eastAsia" w:ascii="宋体" w:hAnsi="宋体" w:cs="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ascii="宋体" w:hAnsi="宋体"/>
                <w:b w:val="0"/>
                <w:bCs/>
                <w:color w:val="auto"/>
                <w:szCs w:val="21"/>
                <w:highlight w:val="none"/>
              </w:rPr>
            </w:pPr>
            <w:r>
              <w:rPr>
                <w:rFonts w:hint="eastAsia" w:ascii="宋体" w:hAnsi="宋体" w:cs="宋体"/>
                <w:b w:val="0"/>
                <w:bCs/>
                <w:color w:val="auto"/>
                <w:szCs w:val="21"/>
                <w:highlight w:val="none"/>
              </w:rPr>
              <w:t>（4）</w:t>
            </w:r>
            <w:r>
              <w:rPr>
                <w:rFonts w:hint="eastAsia" w:ascii="宋体" w:hAnsi="宋体"/>
                <w:b w:val="0"/>
                <w:bCs/>
                <w:color w:val="auto"/>
                <w:szCs w:val="21"/>
                <w:highlight w:val="none"/>
              </w:rPr>
              <w:t>各设计专业负责人（建筑、结构、给排水、电气、暖通）中具有相应专业教授级（正高级）工程师技术职称的，每人</w:t>
            </w:r>
            <w:r>
              <w:rPr>
                <w:rFonts w:hint="eastAsia" w:ascii="宋体" w:hAnsi="宋体" w:cs="宋体"/>
                <w:b w:val="0"/>
                <w:bCs/>
                <w:color w:val="auto"/>
                <w:szCs w:val="21"/>
                <w:highlight w:val="none"/>
                <w:lang w:eastAsia="zh-CN"/>
              </w:rPr>
              <w:t>加</w:t>
            </w:r>
            <w:r>
              <w:rPr>
                <w:rFonts w:hint="eastAsia" w:ascii="宋体" w:hAnsi="宋体"/>
                <w:b w:val="0"/>
                <w:bCs/>
                <w:color w:val="auto"/>
                <w:szCs w:val="21"/>
                <w:highlight w:val="none"/>
              </w:rPr>
              <w:t>1分，最多</w:t>
            </w:r>
            <w:r>
              <w:rPr>
                <w:rFonts w:hint="eastAsia" w:ascii="宋体" w:hAnsi="宋体" w:cs="宋体"/>
                <w:b w:val="0"/>
                <w:bCs/>
                <w:color w:val="auto"/>
                <w:szCs w:val="21"/>
                <w:highlight w:val="none"/>
                <w:lang w:eastAsia="zh-CN"/>
              </w:rPr>
              <w:t>加</w:t>
            </w:r>
            <w:r>
              <w:rPr>
                <w:rFonts w:hint="eastAsia" w:ascii="宋体" w:hAnsi="宋体"/>
                <w:b w:val="0"/>
                <w:bCs/>
                <w:color w:val="auto"/>
                <w:szCs w:val="21"/>
                <w:highlight w:val="none"/>
              </w:rPr>
              <w:t>5分。</w:t>
            </w:r>
          </w:p>
          <w:p>
            <w:pPr>
              <w:widowControl/>
              <w:tabs>
                <w:tab w:val="left" w:pos="312"/>
              </w:tabs>
              <w:snapToGrid w:val="0"/>
              <w:spacing w:line="240" w:lineRule="atLeast"/>
              <w:ind w:left="0" w:leftChars="0" w:right="42" w:rightChars="20" w:firstLine="420" w:firstLineChars="200"/>
              <w:jc w:val="left"/>
              <w:rPr>
                <w:rFonts w:ascii="宋体" w:hAnsi="宋体"/>
                <w:b w:val="0"/>
                <w:bCs/>
                <w:color w:val="auto"/>
                <w:szCs w:val="21"/>
                <w:highlight w:val="none"/>
              </w:rPr>
            </w:pPr>
            <w:r>
              <w:rPr>
                <w:rFonts w:hint="eastAsia" w:ascii="宋体" w:hAnsi="宋体" w:cs="宋体"/>
                <w:b w:val="0"/>
                <w:bCs/>
                <w:color w:val="auto"/>
                <w:szCs w:val="21"/>
                <w:highlight w:val="none"/>
              </w:rPr>
              <w:t>（5）</w:t>
            </w:r>
            <w:r>
              <w:rPr>
                <w:rFonts w:hint="eastAsia" w:ascii="宋体" w:hAnsi="宋体"/>
                <w:b w:val="0"/>
                <w:bCs/>
                <w:color w:val="auto"/>
                <w:szCs w:val="21"/>
                <w:highlight w:val="none"/>
              </w:rPr>
              <w:t>各设计专业负责人（建筑、结构、给排水、电气、暖通）中</w:t>
            </w:r>
            <w:r>
              <w:rPr>
                <w:rFonts w:hint="eastAsia" w:ascii="宋体" w:hAnsi="宋体"/>
                <w:b w:val="0"/>
                <w:bCs/>
                <w:color w:val="auto"/>
                <w:szCs w:val="21"/>
                <w:highlight w:val="none"/>
                <w:lang w:eastAsia="zh-CN"/>
              </w:rPr>
              <w:t>任一人</w:t>
            </w:r>
            <w:r>
              <w:rPr>
                <w:rFonts w:hint="eastAsia" w:ascii="宋体" w:hAnsi="宋体"/>
                <w:b w:val="0"/>
                <w:bCs/>
                <w:color w:val="auto"/>
                <w:szCs w:val="21"/>
                <w:highlight w:val="none"/>
              </w:rPr>
              <w:t>具有省级或以上勘察设计大师的，</w:t>
            </w:r>
            <w:r>
              <w:rPr>
                <w:rFonts w:hint="eastAsia" w:ascii="宋体" w:hAnsi="宋体" w:cs="宋体"/>
                <w:b w:val="0"/>
                <w:bCs/>
                <w:color w:val="auto"/>
                <w:szCs w:val="21"/>
                <w:highlight w:val="none"/>
                <w:lang w:eastAsia="zh-CN"/>
              </w:rPr>
              <w:t>加</w:t>
            </w:r>
            <w:r>
              <w:rPr>
                <w:rFonts w:hint="eastAsia" w:ascii="宋体" w:hAnsi="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ascii="宋体" w:hAnsi="宋体"/>
                <w:b w:val="0"/>
                <w:bCs/>
                <w:color w:val="auto"/>
                <w:szCs w:val="21"/>
                <w:highlight w:val="none"/>
              </w:rPr>
            </w:pPr>
            <w:r>
              <w:rPr>
                <w:rFonts w:hint="eastAsia" w:ascii="宋体" w:hAnsi="宋体"/>
                <w:b w:val="0"/>
                <w:bCs/>
                <w:color w:val="auto"/>
                <w:szCs w:val="21"/>
                <w:highlight w:val="none"/>
              </w:rPr>
              <w:t>（6）勘察专业负责人</w:t>
            </w:r>
            <w:r>
              <w:rPr>
                <w:rFonts w:hint="eastAsia" w:ascii="宋体" w:hAnsi="宋体" w:cs="宋体"/>
                <w:b w:val="0"/>
                <w:bCs/>
                <w:color w:val="auto"/>
                <w:szCs w:val="21"/>
                <w:highlight w:val="none"/>
              </w:rPr>
              <w:t>具有教授级（正高级）工程师技术职称的，</w:t>
            </w:r>
            <w:r>
              <w:rPr>
                <w:rFonts w:hint="eastAsia" w:ascii="宋体" w:hAnsi="宋体" w:cs="宋体"/>
                <w:b w:val="0"/>
                <w:bCs/>
                <w:color w:val="auto"/>
                <w:szCs w:val="21"/>
                <w:highlight w:val="none"/>
                <w:lang w:eastAsia="zh-CN"/>
              </w:rPr>
              <w:t>加</w:t>
            </w:r>
            <w:r>
              <w:rPr>
                <w:rFonts w:hint="eastAsia" w:ascii="宋体" w:hAnsi="宋体" w:cs="宋体"/>
                <w:b w:val="0"/>
                <w:bCs/>
                <w:color w:val="auto"/>
                <w:szCs w:val="21"/>
                <w:highlight w:val="none"/>
              </w:rPr>
              <w:t>1分。</w:t>
            </w:r>
          </w:p>
          <w:p>
            <w:pPr>
              <w:widowControl/>
              <w:tabs>
                <w:tab w:val="left" w:pos="312"/>
              </w:tabs>
              <w:snapToGrid w:val="0"/>
              <w:spacing w:line="240" w:lineRule="atLeast"/>
              <w:ind w:left="0" w:leftChars="0" w:right="42" w:rightChars="20" w:firstLine="420" w:firstLineChars="200"/>
              <w:jc w:val="left"/>
              <w:rPr>
                <w:rFonts w:ascii="宋体" w:hAnsi="宋体"/>
                <w:b w:val="0"/>
                <w:bCs/>
                <w:color w:val="auto"/>
                <w:szCs w:val="21"/>
                <w:highlight w:val="none"/>
              </w:rPr>
            </w:pPr>
            <w:r>
              <w:rPr>
                <w:rFonts w:hint="eastAsia" w:ascii="宋体" w:hAnsi="宋体"/>
                <w:b w:val="0"/>
                <w:bCs/>
                <w:color w:val="auto"/>
                <w:szCs w:val="21"/>
                <w:highlight w:val="none"/>
              </w:rPr>
              <w:t>（7）勘察专业负责人具有省级或以上勘察设计大师的，</w:t>
            </w:r>
            <w:r>
              <w:rPr>
                <w:rFonts w:hint="eastAsia" w:ascii="宋体" w:hAnsi="宋体" w:cs="宋体"/>
                <w:b w:val="0"/>
                <w:bCs/>
                <w:color w:val="auto"/>
                <w:szCs w:val="21"/>
                <w:highlight w:val="none"/>
                <w:lang w:eastAsia="zh-CN"/>
              </w:rPr>
              <w:t>加</w:t>
            </w:r>
            <w:r>
              <w:rPr>
                <w:rFonts w:hint="eastAsia" w:ascii="宋体" w:hAnsi="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ascii="宋体" w:hAnsi="宋体" w:cs="宋体"/>
                <w:b w:val="0"/>
                <w:bCs/>
                <w:color w:val="auto"/>
                <w:szCs w:val="21"/>
                <w:highlight w:val="none"/>
              </w:rPr>
            </w:pPr>
            <w:r>
              <w:rPr>
                <w:rFonts w:hint="eastAsia" w:ascii="宋体" w:hAnsi="宋体" w:cs="宋体"/>
                <w:b w:val="0"/>
                <w:bCs/>
                <w:color w:val="auto"/>
                <w:szCs w:val="21"/>
                <w:highlight w:val="none"/>
              </w:rPr>
              <w:t>（8）BIM专业负责人具有由中国图学学会颁发的BIM二级</w:t>
            </w:r>
            <w:r>
              <w:rPr>
                <w:rFonts w:hint="eastAsia" w:ascii="宋体" w:hAnsi="宋体" w:cs="宋体"/>
                <w:b w:val="0"/>
                <w:bCs/>
                <w:color w:val="auto"/>
                <w:szCs w:val="21"/>
                <w:highlight w:val="none"/>
                <w:lang w:eastAsia="zh-CN"/>
              </w:rPr>
              <w:t>（或以上）</w:t>
            </w:r>
            <w:r>
              <w:rPr>
                <w:rFonts w:hint="eastAsia" w:ascii="宋体" w:hAnsi="宋体" w:cs="宋体"/>
                <w:b w:val="0"/>
                <w:bCs/>
                <w:color w:val="auto"/>
                <w:szCs w:val="21"/>
                <w:highlight w:val="none"/>
              </w:rPr>
              <w:t>技能等级资格的，</w:t>
            </w:r>
            <w:r>
              <w:rPr>
                <w:rFonts w:hint="eastAsia" w:ascii="宋体" w:hAnsi="宋体" w:cs="宋体"/>
                <w:b w:val="0"/>
                <w:bCs/>
                <w:color w:val="auto"/>
                <w:szCs w:val="21"/>
                <w:highlight w:val="none"/>
                <w:lang w:eastAsia="zh-CN"/>
              </w:rPr>
              <w:t>加</w:t>
            </w:r>
            <w:r>
              <w:rPr>
                <w:rFonts w:hint="eastAsia" w:ascii="宋体" w:hAnsi="宋体" w:cs="宋体"/>
                <w:b w:val="0"/>
                <w:bCs/>
                <w:color w:val="auto"/>
                <w:szCs w:val="21"/>
                <w:highlight w:val="none"/>
              </w:rPr>
              <w:t>2分。</w:t>
            </w:r>
          </w:p>
          <w:p>
            <w:pPr>
              <w:widowControl/>
              <w:tabs>
                <w:tab w:val="left" w:pos="312"/>
              </w:tabs>
              <w:snapToGrid w:val="0"/>
              <w:spacing w:line="240" w:lineRule="atLeast"/>
              <w:ind w:left="0" w:leftChars="0" w:right="42" w:rightChars="20" w:firstLine="420" w:firstLineChars="200"/>
              <w:jc w:val="left"/>
              <w:rPr>
                <w:rFonts w:ascii="宋体" w:hAnsi="宋体" w:cs="宋体"/>
                <w:b w:val="0"/>
                <w:bCs/>
                <w:color w:val="auto"/>
                <w:szCs w:val="21"/>
                <w:highlight w:val="none"/>
                <w:lang w:val="zh-TW"/>
              </w:rPr>
            </w:pPr>
            <w:r>
              <w:rPr>
                <w:rFonts w:hint="eastAsia" w:ascii="宋体" w:hAnsi="宋体" w:eastAsia="宋体" w:cs="宋体"/>
                <w:b w:val="0"/>
                <w:bCs/>
                <w:color w:val="auto"/>
                <w:szCs w:val="21"/>
                <w:highlight w:val="none"/>
              </w:rPr>
              <w:t>未提供上述资料的或所提供的证明资料不符合要求的不得分</w:t>
            </w:r>
            <w:r>
              <w:rPr>
                <w:rFonts w:hint="eastAsia" w:ascii="宋体" w:hAnsi="宋体" w:eastAsia="宋体" w:cs="宋体"/>
                <w:b w:val="0"/>
                <w:bCs/>
                <w:color w:val="auto"/>
                <w:szCs w:val="21"/>
                <w:highlight w:val="none"/>
                <w:lang w:eastAsia="zh-CN"/>
              </w:rPr>
              <w:t>，</w:t>
            </w:r>
            <w:r>
              <w:rPr>
                <w:rFonts w:hint="eastAsia" w:ascii="宋体" w:hAnsi="宋体" w:cs="宋体"/>
                <w:b/>
                <w:bCs w:val="0"/>
                <w:color w:val="auto"/>
                <w:szCs w:val="21"/>
                <w:highlight w:val="none"/>
              </w:rPr>
              <w:t>本小项最多得19分。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安全控制措施</w:t>
            </w:r>
          </w:p>
        </w:tc>
        <w:tc>
          <w:tcPr>
            <w:tcW w:w="708" w:type="dxa"/>
            <w:vAlign w:val="center"/>
          </w:tcPr>
          <w:p>
            <w:pPr>
              <w:snapToGrid w:val="0"/>
              <w:spacing w:line="320" w:lineRule="exact"/>
              <w:ind w:left="42" w:leftChars="20" w:right="42" w:rightChars="20"/>
              <w:jc w:val="center"/>
              <w:rPr>
                <w:rFonts w:ascii="宋体" w:hAnsi="宋体" w:cs="宋体"/>
                <w:b w:val="0"/>
                <w:bCs/>
                <w:color w:val="auto"/>
                <w:highlight w:val="none"/>
              </w:rPr>
            </w:pPr>
            <w:r>
              <w:rPr>
                <w:rFonts w:hint="eastAsia" w:ascii="宋体" w:hAnsi="宋体" w:cs="宋体"/>
                <w:b w:val="0"/>
                <w:bCs/>
                <w:color w:val="auto"/>
                <w:highlight w:val="none"/>
              </w:rPr>
              <w:t>8分</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kern w:val="0"/>
                <w:szCs w:val="18"/>
                <w:highlight w:val="none"/>
                <w:lang w:val="zh-CN"/>
              </w:rPr>
            </w:pPr>
            <w:r>
              <w:rPr>
                <w:rFonts w:hint="eastAsia" w:ascii="宋体" w:hAnsi="宋体" w:cs="宋体"/>
                <w:b w:val="0"/>
                <w:bCs/>
                <w:color w:val="auto"/>
                <w:kern w:val="0"/>
                <w:szCs w:val="18"/>
                <w:highlight w:val="none"/>
                <w:lang w:val="zh-CN"/>
              </w:rPr>
              <w:t>优：有安全文明施工目标、安全文明施工管理体系、安全文明施工保证措施，得8分。</w:t>
            </w:r>
          </w:p>
          <w:p>
            <w:pPr>
              <w:snapToGrid w:val="0"/>
              <w:spacing w:line="320" w:lineRule="exact"/>
              <w:ind w:left="42" w:leftChars="20" w:right="42" w:rightChars="20"/>
              <w:jc w:val="left"/>
              <w:rPr>
                <w:rFonts w:ascii="宋体" w:hAnsi="宋体" w:cs="宋体"/>
                <w:b w:val="0"/>
                <w:bCs/>
                <w:color w:val="auto"/>
                <w:kern w:val="0"/>
                <w:szCs w:val="18"/>
                <w:highlight w:val="none"/>
                <w:lang w:val="zh-CN"/>
              </w:rPr>
            </w:pPr>
            <w:r>
              <w:rPr>
                <w:rFonts w:hint="eastAsia" w:ascii="宋体" w:hAnsi="宋体" w:cs="宋体"/>
                <w:b w:val="0"/>
                <w:bCs/>
                <w:color w:val="auto"/>
                <w:kern w:val="0"/>
                <w:szCs w:val="18"/>
                <w:highlight w:val="none"/>
                <w:lang w:val="zh-CN"/>
              </w:rPr>
              <w:t>良：有安全文明施工目标、安全文明施工保证措施，得7分。</w:t>
            </w:r>
          </w:p>
          <w:p>
            <w:pPr>
              <w:snapToGrid w:val="0"/>
              <w:spacing w:line="320" w:lineRule="exact"/>
              <w:ind w:left="42" w:leftChars="20" w:right="42" w:rightChars="20"/>
              <w:jc w:val="left"/>
              <w:rPr>
                <w:rFonts w:ascii="宋体" w:hAnsi="宋体" w:cs="宋体"/>
                <w:b w:val="0"/>
                <w:bCs/>
                <w:color w:val="auto"/>
                <w:kern w:val="0"/>
                <w:szCs w:val="18"/>
                <w:highlight w:val="none"/>
                <w:lang w:val="zh-CN"/>
              </w:rPr>
            </w:pPr>
            <w:r>
              <w:rPr>
                <w:rFonts w:hint="eastAsia" w:ascii="宋体" w:hAnsi="宋体" w:cs="宋体"/>
                <w:b w:val="0"/>
                <w:bCs/>
                <w:color w:val="auto"/>
                <w:kern w:val="0"/>
                <w:szCs w:val="18"/>
                <w:highlight w:val="none"/>
                <w:lang w:val="zh-CN"/>
              </w:rPr>
              <w:t>中：有安全文明施工目标、安全文明施工管理体系，得6分。</w:t>
            </w:r>
          </w:p>
          <w:p>
            <w:pPr>
              <w:snapToGrid w:val="0"/>
              <w:spacing w:line="320" w:lineRule="exact"/>
              <w:ind w:left="42" w:leftChars="20" w:right="42" w:rightChars="20"/>
              <w:jc w:val="left"/>
              <w:rPr>
                <w:rFonts w:ascii="宋体" w:hAnsi="宋体" w:cs="宋体"/>
                <w:b w:val="0"/>
                <w:bCs/>
                <w:color w:val="auto"/>
                <w:szCs w:val="21"/>
                <w:highlight w:val="none"/>
                <w:lang w:val="zh-TW"/>
              </w:rPr>
            </w:pPr>
            <w:r>
              <w:rPr>
                <w:rFonts w:hint="eastAsia" w:ascii="宋体" w:hAnsi="宋体" w:cs="宋体"/>
                <w:b w:val="0"/>
                <w:bCs/>
                <w:color w:val="auto"/>
                <w:kern w:val="0"/>
                <w:szCs w:val="18"/>
                <w:highlight w:val="none"/>
                <w:lang w:val="zh-CN"/>
              </w:rPr>
              <w:t>差：</w:t>
            </w:r>
            <w:r>
              <w:rPr>
                <w:rFonts w:hint="eastAsia" w:ascii="宋体" w:hAnsi="宋体" w:eastAsia="宋体" w:cs="宋体"/>
                <w:b w:val="0"/>
                <w:bCs/>
                <w:color w:val="auto"/>
                <w:szCs w:val="21"/>
                <w:highlight w:val="none"/>
                <w:lang w:val="zh-CN"/>
              </w:rPr>
              <w:t>不满足以上优、良、中三种情况，</w:t>
            </w:r>
            <w:r>
              <w:rPr>
                <w:rFonts w:hint="eastAsia" w:ascii="宋体" w:hAnsi="宋体" w:eastAsia="宋体" w:cs="宋体"/>
                <w:b w:val="0"/>
                <w:bCs/>
                <w:color w:val="auto"/>
                <w:kern w:val="0"/>
                <w:szCs w:val="18"/>
                <w:highlight w:val="none"/>
                <w:lang w:val="zh-CN"/>
              </w:rPr>
              <w:t>不得分</w:t>
            </w:r>
            <w:r>
              <w:rPr>
                <w:rFonts w:hint="eastAsia" w:ascii="宋体" w:hAnsi="宋体" w:cs="宋体"/>
                <w:b w:val="0"/>
                <w:bCs/>
                <w:color w:val="auto"/>
                <w:kern w:val="0"/>
                <w:szCs w:val="18"/>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质量管理水平及保证措施</w:t>
            </w:r>
          </w:p>
        </w:tc>
        <w:tc>
          <w:tcPr>
            <w:tcW w:w="708" w:type="dxa"/>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8分</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优：有质量管理目标、质量管理体系、质量保证措施，得8分。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良：有质量管理目标、质量保证措施，得7分。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中：有质量管理目标、质量管理体系，得6分。</w:t>
            </w:r>
          </w:p>
          <w:p>
            <w:pPr>
              <w:snapToGrid w:val="0"/>
              <w:spacing w:line="320" w:lineRule="exact"/>
              <w:ind w:left="42" w:leftChars="20" w:right="42" w:rightChars="20"/>
              <w:jc w:val="left"/>
              <w:rPr>
                <w:rFonts w:ascii="宋体" w:hAnsi="宋体" w:cs="宋体"/>
                <w:b w:val="0"/>
                <w:bCs/>
                <w:color w:val="auto"/>
                <w:highlight w:val="none"/>
                <w:lang w:val="zh-TW"/>
              </w:rPr>
            </w:pPr>
            <w:r>
              <w:rPr>
                <w:rFonts w:hint="eastAsia" w:ascii="宋体" w:hAnsi="宋体" w:cs="宋体"/>
                <w:b w:val="0"/>
                <w:bCs/>
                <w:color w:val="auto"/>
                <w:highlight w:val="none"/>
                <w:lang w:val="zh-CN"/>
              </w:rPr>
              <w:t>差：</w:t>
            </w:r>
            <w:r>
              <w:rPr>
                <w:rFonts w:hint="eastAsia" w:ascii="宋体" w:hAnsi="宋体" w:eastAsia="宋体" w:cs="宋体"/>
                <w:b w:val="0"/>
                <w:bCs/>
                <w:color w:val="auto"/>
                <w:szCs w:val="21"/>
                <w:highlight w:val="none"/>
                <w:lang w:val="zh-CN"/>
              </w:rPr>
              <w:t>不满足以上优、良、中三种情况，</w:t>
            </w:r>
            <w:r>
              <w:rPr>
                <w:rFonts w:hint="eastAsia" w:ascii="宋体" w:hAnsi="宋体" w:eastAsia="宋体" w:cs="宋体"/>
                <w:b w:val="0"/>
                <w:bCs/>
                <w:color w:val="auto"/>
                <w:kern w:val="0"/>
                <w:szCs w:val="18"/>
                <w:highlight w:val="none"/>
                <w:lang w:val="zh-CN"/>
              </w:rPr>
              <w:t>不得分</w:t>
            </w:r>
            <w:r>
              <w:rPr>
                <w:rFonts w:hint="eastAsia" w:ascii="宋体" w:hAnsi="宋体" w:cs="宋体"/>
                <w:b w:val="0"/>
                <w:bCs/>
                <w:color w:val="auto"/>
                <w:kern w:val="0"/>
                <w:szCs w:val="18"/>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进度控制措施</w:t>
            </w:r>
          </w:p>
        </w:tc>
        <w:tc>
          <w:tcPr>
            <w:tcW w:w="708" w:type="dxa"/>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8分</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优：有工期管理目标、施工总进度计划横道图、进度计划保障措施，得8分。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良：有施工总进度计划横道图、进度计划保障措施，得7分。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中：仅有进度计划保障措施，得6分。</w:t>
            </w:r>
          </w:p>
          <w:p>
            <w:pPr>
              <w:snapToGrid w:val="0"/>
              <w:spacing w:line="320" w:lineRule="exact"/>
              <w:ind w:left="42" w:leftChars="20" w:right="42" w:rightChars="20"/>
              <w:jc w:val="left"/>
              <w:rPr>
                <w:rFonts w:ascii="宋体" w:hAnsi="宋体" w:cs="宋体"/>
                <w:b w:val="0"/>
                <w:bCs/>
                <w:color w:val="auto"/>
                <w:highlight w:val="none"/>
                <w:lang w:val="zh-TW"/>
              </w:rPr>
            </w:pPr>
            <w:r>
              <w:rPr>
                <w:rFonts w:hint="eastAsia" w:ascii="宋体" w:hAnsi="宋体" w:cs="宋体"/>
                <w:b w:val="0"/>
                <w:bCs/>
                <w:color w:val="auto"/>
                <w:highlight w:val="none"/>
                <w:lang w:val="zh-CN"/>
              </w:rPr>
              <w:t>差：</w:t>
            </w:r>
            <w:r>
              <w:rPr>
                <w:rFonts w:hint="eastAsia" w:ascii="宋体" w:hAnsi="宋体" w:eastAsia="宋体" w:cs="宋体"/>
                <w:b w:val="0"/>
                <w:bCs/>
                <w:color w:val="auto"/>
                <w:szCs w:val="21"/>
                <w:highlight w:val="none"/>
                <w:lang w:val="zh-CN"/>
              </w:rPr>
              <w:t>不满足以上优、良、中三种情况，</w:t>
            </w:r>
            <w:r>
              <w:rPr>
                <w:rFonts w:hint="eastAsia" w:ascii="宋体" w:hAnsi="宋体" w:eastAsia="宋体" w:cs="宋体"/>
                <w:b w:val="0"/>
                <w:bCs/>
                <w:color w:val="auto"/>
                <w:kern w:val="0"/>
                <w:szCs w:val="18"/>
                <w:highlight w:val="none"/>
                <w:lang w:val="zh-CN"/>
              </w:rPr>
              <w:t>不得分</w:t>
            </w:r>
            <w:r>
              <w:rPr>
                <w:rFonts w:hint="eastAsia" w:ascii="宋体" w:hAnsi="宋体" w:cs="宋体"/>
                <w:b w:val="0"/>
                <w:bCs/>
                <w:color w:val="auto"/>
                <w:kern w:val="0"/>
                <w:szCs w:val="18"/>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BIM技术运用</w:t>
            </w:r>
          </w:p>
        </w:tc>
        <w:tc>
          <w:tcPr>
            <w:tcW w:w="708" w:type="dxa"/>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8分</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优：提出的BIM技术相关新工艺新技术方案明确、具体可行，BIM技术的运用能贯穿设计施工实施过程，得8分。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良：提出的BIM技术相关新工艺新技术方案较合理，BIM技术的运用能贯穿设计施工实施过程，得7分。</w:t>
            </w:r>
          </w:p>
          <w:p>
            <w:pPr>
              <w:snapToGrid w:val="0"/>
              <w:spacing w:line="320" w:lineRule="exact"/>
              <w:ind w:left="42" w:leftChars="20" w:right="42" w:rightChars="20"/>
              <w:jc w:val="left"/>
              <w:rPr>
                <w:rFonts w:ascii="宋体" w:hAnsi="宋体" w:cs="宋体"/>
                <w:b w:val="0"/>
                <w:bCs/>
                <w:color w:val="auto"/>
                <w:highlight w:val="none"/>
                <w:lang w:val="zh-CN"/>
              </w:rPr>
            </w:pPr>
            <w:r>
              <w:rPr>
                <w:rFonts w:hint="eastAsia" w:ascii="宋体" w:hAnsi="宋体" w:cs="宋体"/>
                <w:b w:val="0"/>
                <w:bCs/>
                <w:color w:val="auto"/>
                <w:highlight w:val="none"/>
                <w:lang w:val="zh-CN"/>
              </w:rPr>
              <w:t>中：有提出BIM技术相关新工艺新技术方案，BIM技术的运用能贯穿设计施工实施过程，得6分。</w:t>
            </w:r>
          </w:p>
          <w:p>
            <w:pPr>
              <w:snapToGrid w:val="0"/>
              <w:spacing w:line="320" w:lineRule="exact"/>
              <w:ind w:left="42" w:leftChars="20" w:right="42" w:rightChars="20"/>
              <w:jc w:val="left"/>
              <w:rPr>
                <w:rFonts w:ascii="宋体" w:hAnsi="宋体" w:cs="宋体"/>
                <w:b w:val="0"/>
                <w:bCs/>
                <w:color w:val="auto"/>
                <w:highlight w:val="none"/>
                <w:lang w:val="zh-TW"/>
              </w:rPr>
            </w:pPr>
            <w:r>
              <w:rPr>
                <w:rFonts w:hint="eastAsia" w:ascii="宋体" w:hAnsi="宋体" w:cs="宋体"/>
                <w:b w:val="0"/>
                <w:bCs/>
                <w:color w:val="auto"/>
                <w:highlight w:val="none"/>
                <w:lang w:val="zh-CN"/>
              </w:rPr>
              <w:t>差：</w:t>
            </w:r>
            <w:r>
              <w:rPr>
                <w:rFonts w:hint="eastAsia" w:ascii="宋体" w:hAnsi="宋体" w:eastAsia="宋体" w:cs="宋体"/>
                <w:b w:val="0"/>
                <w:bCs/>
                <w:color w:val="auto"/>
                <w:szCs w:val="21"/>
                <w:highlight w:val="none"/>
                <w:lang w:val="zh-CN"/>
              </w:rPr>
              <w:t>不满足以上优、良、中三种情况，</w:t>
            </w:r>
            <w:r>
              <w:rPr>
                <w:rFonts w:hint="eastAsia" w:ascii="宋体" w:hAnsi="宋体" w:eastAsia="宋体" w:cs="宋体"/>
                <w:b w:val="0"/>
                <w:bCs/>
                <w:color w:val="auto"/>
                <w:kern w:val="0"/>
                <w:szCs w:val="18"/>
                <w:highlight w:val="none"/>
                <w:lang w:val="zh-CN"/>
              </w:rPr>
              <w:t>不得分</w:t>
            </w:r>
            <w:r>
              <w:rPr>
                <w:rFonts w:hint="eastAsia" w:ascii="宋体" w:hAnsi="宋体" w:cs="宋体"/>
                <w:b w:val="0"/>
                <w:bCs/>
                <w:color w:val="auto"/>
                <w:kern w:val="0"/>
                <w:szCs w:val="18"/>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62" w:type="dxa"/>
            <w:vMerge w:val="continue"/>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c>
          <w:tcPr>
            <w:tcW w:w="846"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highlight w:val="none"/>
                <w:lang w:val="zh-TW"/>
              </w:rPr>
            </w:pPr>
            <w:r>
              <w:rPr>
                <w:rFonts w:hint="eastAsia" w:ascii="宋体" w:hAnsi="宋体" w:cs="宋体"/>
                <w:b w:val="0"/>
                <w:bCs/>
                <w:color w:val="auto"/>
                <w:highlight w:val="none"/>
              </w:rPr>
              <w:t>人材机保证措施</w:t>
            </w:r>
          </w:p>
        </w:tc>
        <w:tc>
          <w:tcPr>
            <w:tcW w:w="708" w:type="dxa"/>
            <w:vAlign w:val="center"/>
          </w:tcPr>
          <w:p>
            <w:pPr>
              <w:snapToGrid w:val="0"/>
              <w:spacing w:line="320" w:lineRule="exact"/>
              <w:ind w:left="42" w:leftChars="20" w:right="42" w:rightChars="20"/>
              <w:jc w:val="center"/>
              <w:rPr>
                <w:rFonts w:ascii="宋体" w:hAnsi="宋体" w:cs="宋体"/>
                <w:b w:val="0"/>
                <w:bCs/>
                <w:color w:val="auto"/>
                <w:highlight w:val="none"/>
              </w:rPr>
            </w:pPr>
            <w:r>
              <w:rPr>
                <w:rFonts w:hint="eastAsia" w:ascii="宋体" w:hAnsi="宋体" w:cs="宋体"/>
                <w:b w:val="0"/>
                <w:bCs/>
                <w:color w:val="auto"/>
                <w:highlight w:val="none"/>
              </w:rPr>
              <w:t>8分</w:t>
            </w:r>
          </w:p>
        </w:tc>
        <w:tc>
          <w:tcPr>
            <w:tcW w:w="11632" w:type="dxa"/>
            <w:tcMar>
              <w:top w:w="15" w:type="dxa"/>
              <w:left w:w="37" w:type="dxa"/>
              <w:bottom w:w="0" w:type="dxa"/>
              <w:right w:w="37" w:type="dxa"/>
            </w:tcMar>
          </w:tcPr>
          <w:p>
            <w:pPr>
              <w:snapToGrid w:val="0"/>
              <w:spacing w:line="320" w:lineRule="exact"/>
              <w:ind w:left="42" w:leftChars="20" w:right="42" w:rightChars="20"/>
              <w:jc w:val="left"/>
              <w:rPr>
                <w:rFonts w:ascii="宋体" w:hAnsi="宋体" w:cs="宋体"/>
                <w:b w:val="0"/>
                <w:bCs/>
                <w:color w:val="auto"/>
                <w:highlight w:val="none"/>
              </w:rPr>
            </w:pPr>
            <w:r>
              <w:rPr>
                <w:rFonts w:hint="eastAsia" w:ascii="宋体" w:hAnsi="宋体" w:cs="宋体"/>
                <w:b w:val="0"/>
                <w:bCs/>
                <w:color w:val="auto"/>
                <w:highlight w:val="none"/>
              </w:rPr>
              <w:t>优：有机械设备、材料、劳动力需求计划及保证措施，且承诺施工高峰期拟投入的劳动力数量大于或等于1200人，得8分。</w:t>
            </w:r>
          </w:p>
          <w:p>
            <w:pPr>
              <w:snapToGrid w:val="0"/>
              <w:spacing w:line="320" w:lineRule="exact"/>
              <w:ind w:left="42" w:leftChars="20" w:right="42" w:rightChars="20"/>
              <w:jc w:val="left"/>
              <w:rPr>
                <w:rFonts w:ascii="宋体" w:hAnsi="宋体" w:cs="宋体"/>
                <w:b w:val="0"/>
                <w:bCs/>
                <w:color w:val="auto"/>
                <w:highlight w:val="none"/>
              </w:rPr>
            </w:pPr>
            <w:r>
              <w:rPr>
                <w:rFonts w:hint="eastAsia" w:ascii="宋体" w:hAnsi="宋体" w:cs="宋体"/>
                <w:b w:val="0"/>
                <w:bCs/>
                <w:color w:val="auto"/>
                <w:highlight w:val="none"/>
              </w:rPr>
              <w:t>良：有机械设备、材料、劳动力需求计划及保证措施，且承诺施工高峰期拟投入的劳动力数量</w:t>
            </w:r>
            <w:r>
              <w:rPr>
                <w:rFonts w:hint="eastAsia" w:ascii="宋体" w:hAnsi="宋体" w:cs="宋体"/>
                <w:b w:val="0"/>
                <w:bCs/>
                <w:color w:val="auto"/>
                <w:szCs w:val="21"/>
                <w:highlight w:val="none"/>
                <w:lang w:val="zh-CN"/>
              </w:rPr>
              <w:t>达到</w:t>
            </w:r>
            <w:r>
              <w:rPr>
                <w:rFonts w:hint="eastAsia" w:ascii="宋体" w:hAnsi="宋体" w:cs="宋体"/>
                <w:b w:val="0"/>
                <w:bCs/>
                <w:color w:val="auto"/>
                <w:highlight w:val="none"/>
              </w:rPr>
              <w:t>1100人~1199人，得7分。</w:t>
            </w:r>
          </w:p>
          <w:p>
            <w:pPr>
              <w:snapToGrid w:val="0"/>
              <w:spacing w:line="320" w:lineRule="exact"/>
              <w:ind w:left="42" w:leftChars="20" w:right="42" w:rightChars="20"/>
              <w:jc w:val="left"/>
              <w:rPr>
                <w:rFonts w:ascii="宋体" w:hAnsi="宋体" w:cs="宋体"/>
                <w:b w:val="0"/>
                <w:bCs/>
                <w:color w:val="auto"/>
                <w:highlight w:val="none"/>
              </w:rPr>
            </w:pPr>
            <w:r>
              <w:rPr>
                <w:rFonts w:hint="eastAsia" w:ascii="宋体" w:hAnsi="宋体" w:cs="宋体"/>
                <w:b w:val="0"/>
                <w:bCs/>
                <w:color w:val="auto"/>
                <w:highlight w:val="none"/>
              </w:rPr>
              <w:t>中：有机械设备、材料、劳动力需求计划及保证措施，且承诺施工高峰期拟投入的劳动力数量</w:t>
            </w:r>
            <w:r>
              <w:rPr>
                <w:rFonts w:hint="eastAsia" w:ascii="宋体" w:hAnsi="宋体" w:cs="宋体"/>
                <w:b w:val="0"/>
                <w:bCs/>
                <w:color w:val="auto"/>
                <w:szCs w:val="21"/>
                <w:highlight w:val="none"/>
                <w:lang w:val="zh-CN"/>
              </w:rPr>
              <w:t>达到</w:t>
            </w:r>
            <w:r>
              <w:rPr>
                <w:rFonts w:hint="eastAsia" w:ascii="宋体" w:hAnsi="宋体" w:cs="宋体"/>
                <w:b w:val="0"/>
                <w:bCs/>
                <w:color w:val="auto"/>
                <w:highlight w:val="none"/>
              </w:rPr>
              <w:t>1000人~1099人，得6分。</w:t>
            </w:r>
          </w:p>
          <w:p>
            <w:pPr>
              <w:snapToGrid w:val="0"/>
              <w:spacing w:line="320" w:lineRule="exact"/>
              <w:ind w:left="42" w:leftChars="20" w:right="42" w:rightChars="20"/>
              <w:jc w:val="left"/>
              <w:rPr>
                <w:rFonts w:ascii="宋体" w:hAnsi="宋体" w:cs="宋体"/>
                <w:b w:val="0"/>
                <w:bCs/>
                <w:color w:val="auto"/>
                <w:highlight w:val="none"/>
                <w:lang w:val="zh-TW"/>
              </w:rPr>
            </w:pPr>
            <w:r>
              <w:rPr>
                <w:rFonts w:hint="eastAsia" w:ascii="宋体" w:hAnsi="宋体" w:cs="宋体"/>
                <w:b w:val="0"/>
                <w:bCs/>
                <w:color w:val="auto"/>
                <w:highlight w:val="none"/>
                <w:lang w:val="zh-CN"/>
              </w:rPr>
              <w:t>差：</w:t>
            </w:r>
            <w:r>
              <w:rPr>
                <w:rFonts w:hint="eastAsia" w:ascii="宋体" w:hAnsi="宋体" w:eastAsia="宋体" w:cs="宋体"/>
                <w:b w:val="0"/>
                <w:bCs/>
                <w:color w:val="auto"/>
                <w:szCs w:val="21"/>
                <w:highlight w:val="none"/>
                <w:lang w:val="zh-CN"/>
              </w:rPr>
              <w:t>不满足以上优、良、中三种情况，</w:t>
            </w:r>
            <w:r>
              <w:rPr>
                <w:rFonts w:hint="eastAsia" w:ascii="宋体" w:hAnsi="宋体" w:eastAsia="宋体" w:cs="宋体"/>
                <w:b w:val="0"/>
                <w:bCs/>
                <w:color w:val="auto"/>
                <w:kern w:val="0"/>
                <w:szCs w:val="18"/>
                <w:highlight w:val="none"/>
                <w:lang w:val="zh-CN"/>
              </w:rPr>
              <w:t>不得分</w:t>
            </w:r>
            <w:r>
              <w:rPr>
                <w:rFonts w:hint="eastAsia" w:ascii="宋体" w:hAnsi="宋体" w:cs="宋体"/>
                <w:b w:val="0"/>
                <w:bCs/>
                <w:color w:val="auto"/>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2208" w:type="dxa"/>
            <w:gridSpan w:val="2"/>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合计（一 + 二）</w:t>
            </w:r>
          </w:p>
        </w:tc>
        <w:tc>
          <w:tcPr>
            <w:tcW w:w="708" w:type="dxa"/>
            <w:tcMar>
              <w:top w:w="15" w:type="dxa"/>
              <w:left w:w="37" w:type="dxa"/>
              <w:bottom w:w="0" w:type="dxa"/>
              <w:right w:w="37" w:type="dxa"/>
            </w:tcMar>
            <w:vAlign w:val="center"/>
          </w:tcPr>
          <w:p>
            <w:pPr>
              <w:snapToGrid w:val="0"/>
              <w:spacing w:line="320" w:lineRule="exact"/>
              <w:ind w:left="42" w:leftChars="20" w:right="42" w:rightChars="20"/>
              <w:jc w:val="center"/>
              <w:rPr>
                <w:rFonts w:ascii="宋体" w:hAnsi="宋体" w:cs="宋体"/>
                <w:b w:val="0"/>
                <w:bCs/>
                <w:color w:val="auto"/>
                <w:szCs w:val="21"/>
                <w:highlight w:val="none"/>
                <w:lang w:val="zh-TW"/>
              </w:rPr>
            </w:pPr>
            <w:r>
              <w:rPr>
                <w:rFonts w:hint="eastAsia" w:ascii="宋体" w:hAnsi="宋体" w:cs="宋体"/>
                <w:b w:val="0"/>
                <w:bCs/>
                <w:color w:val="auto"/>
                <w:szCs w:val="21"/>
                <w:highlight w:val="none"/>
                <w:lang w:val="zh-TW"/>
              </w:rPr>
              <w:t>100分</w:t>
            </w:r>
          </w:p>
        </w:tc>
        <w:tc>
          <w:tcPr>
            <w:tcW w:w="11632" w:type="dxa"/>
            <w:tcMar>
              <w:top w:w="15" w:type="dxa"/>
              <w:left w:w="37" w:type="dxa"/>
              <w:bottom w:w="0" w:type="dxa"/>
              <w:right w:w="37" w:type="dxa"/>
            </w:tcMar>
            <w:vAlign w:val="center"/>
          </w:tcPr>
          <w:p>
            <w:pPr>
              <w:snapToGrid w:val="0"/>
              <w:spacing w:line="320" w:lineRule="exact"/>
              <w:ind w:left="42" w:leftChars="20" w:right="42" w:rightChars="20"/>
              <w:jc w:val="left"/>
              <w:rPr>
                <w:rFonts w:ascii="宋体" w:hAnsi="宋体" w:cs="宋体"/>
                <w:b w:val="0"/>
                <w:bCs/>
                <w:color w:val="auto"/>
                <w:szCs w:val="21"/>
                <w:highlight w:val="none"/>
                <w:lang w:val="zh-TW"/>
              </w:rPr>
            </w:pPr>
          </w:p>
        </w:tc>
      </w:tr>
    </w:tbl>
    <w:p>
      <w:pPr>
        <w:rPr>
          <w:rFonts w:hint="eastAsia"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注：</w:t>
      </w:r>
    </w:p>
    <w:p>
      <w:pPr>
        <w:numPr>
          <w:ilvl w:val="0"/>
          <w:numId w:val="0"/>
        </w:numPr>
        <w:ind w:left="0" w:leftChars="0" w:firstLine="422" w:firstLineChars="200"/>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1、企业业绩：</w:t>
      </w:r>
    </w:p>
    <w:p>
      <w:pPr>
        <w:numPr>
          <w:ilvl w:val="0"/>
          <w:numId w:val="0"/>
        </w:numPr>
        <w:bidi w:val="0"/>
        <w:ind w:firstLine="420" w:firstLineChars="200"/>
        <w:rPr>
          <w:rFonts w:hint="eastAsia"/>
          <w:b w:val="0"/>
          <w:bCs/>
          <w:color w:val="auto"/>
          <w:highlight w:val="none"/>
        </w:rPr>
      </w:pPr>
      <w:r>
        <w:rPr>
          <w:rFonts w:hint="eastAsia" w:ascii="宋体" w:hAnsi="宋体" w:eastAsia="宋体" w:cs="宋体"/>
          <w:b w:val="0"/>
          <w:bCs/>
          <w:color w:val="auto"/>
          <w:szCs w:val="21"/>
          <w:highlight w:val="none"/>
          <w:lang w:val="en-US" w:eastAsia="zh-CN"/>
        </w:rPr>
        <w:t>业绩取自广州市住建行业信用管理平台。投标人须同时提供类似工程业绩在广州市住建行业信用管理平台的项目名称、项目编号及网页信息截图（网页信息截图须能清晰显示带有“住建行业信用管理平台”名称，并至少包含“项目基本信息”等信息）（业绩相关附件的上传件可不提交）。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④完成时间以业绩网页中“验收材料-验收日期”的信息为准，业绩金额以业绩网页中中标价的信息为准，若中标价没有显示金额的，以网页中合同价信息为准。</w:t>
      </w:r>
      <w:r>
        <w:rPr>
          <w:rFonts w:hint="eastAsia" w:ascii="宋体" w:hAnsi="宋体" w:eastAsia="宋体" w:cs="宋体"/>
          <w:b w:val="0"/>
          <w:bCs/>
          <w:color w:val="auto"/>
          <w:highlight w:val="none"/>
          <w:lang w:val="en-US" w:eastAsia="zh-CN"/>
        </w:rPr>
        <w:t>评标委员会对业绩的评审以投标截止时间在平台内业绩上传件为依据。</w:t>
      </w:r>
      <w:r>
        <w:rPr>
          <w:rFonts w:hint="eastAsia"/>
          <w:b w:val="0"/>
          <w:bCs/>
          <w:color w:val="auto"/>
          <w:highlight w:val="none"/>
        </w:rPr>
        <w:t>广州市住建行业信用管理平台内业绩上传件不符合上述要求的或登记的工程资质内容与施工合同等业绩证明资料不相符的，该项业绩不予认定。</w:t>
      </w:r>
    </w:p>
    <w:p>
      <w:pPr>
        <w:numPr>
          <w:ilvl w:val="0"/>
          <w:numId w:val="0"/>
        </w:numPr>
        <w:ind w:left="0" w:leftChars="0" w:firstLine="422" w:firstLineChars="200"/>
        <w:rPr>
          <w:rFonts w:hint="eastAsia"/>
          <w:b/>
          <w:bCs w:val="0"/>
          <w:color w:val="auto"/>
          <w:highlight w:val="none"/>
          <w:lang w:val="en-US" w:eastAsia="zh-CN"/>
        </w:rPr>
      </w:pPr>
      <w:r>
        <w:rPr>
          <w:rFonts w:hint="eastAsia" w:ascii="宋体" w:hAnsi="宋体" w:eastAsia="宋体" w:cs="宋体"/>
          <w:b/>
          <w:bCs w:val="0"/>
          <w:color w:val="auto"/>
          <w:highlight w:val="none"/>
          <w:lang w:val="en-US" w:eastAsia="zh-CN"/>
        </w:rPr>
        <w:t>2、企业业绩获奖：</w:t>
      </w:r>
    </w:p>
    <w:p>
      <w:pPr>
        <w:numPr>
          <w:ilvl w:val="0"/>
          <w:numId w:val="0"/>
        </w:numPr>
        <w:bidi w:val="0"/>
        <w:ind w:firstLine="420" w:firstLineChars="200"/>
        <w:rPr>
          <w:rFonts w:hint="eastAsia"/>
          <w:b w:val="0"/>
          <w:bCs/>
          <w:color w:val="auto"/>
          <w:highlight w:val="none"/>
          <w:lang w:val="en-US" w:eastAsia="zh-CN"/>
        </w:rPr>
      </w:pPr>
      <w:r>
        <w:rPr>
          <w:rFonts w:hint="eastAsia" w:ascii="宋体" w:hAnsi="宋体" w:eastAsia="宋体" w:cs="宋体"/>
          <w:b w:val="0"/>
          <w:bCs/>
          <w:color w:val="auto"/>
          <w:highlight w:val="none"/>
          <w:lang w:val="en-US" w:eastAsia="zh-CN"/>
        </w:rPr>
        <w:t>（1）</w:t>
      </w:r>
      <w:r>
        <w:rPr>
          <w:rFonts w:hint="eastAsia" w:ascii="宋体" w:hAnsi="宋体" w:cs="宋体"/>
          <w:b w:val="0"/>
          <w:bCs/>
          <w:color w:val="auto"/>
          <w:highlight w:val="none"/>
          <w:lang w:val="en-US" w:eastAsia="zh-CN"/>
        </w:rPr>
        <w:t>施工获奖</w:t>
      </w:r>
      <w:r>
        <w:rPr>
          <w:rFonts w:hint="eastAsia" w:ascii="宋体" w:hAnsi="宋体" w:eastAsia="宋体" w:cs="宋体"/>
          <w:b w:val="0"/>
          <w:bCs/>
          <w:color w:val="auto"/>
          <w:highlight w:val="none"/>
          <w:lang w:val="en-US" w:eastAsia="zh-CN"/>
        </w:rPr>
        <w:t>：①其中国家级奖项包括：中国建设工程鲁班奖、国家优质工程奖（含国家优质工程金奖、国家优质工程金质奖）、中国土木工程詹天佑奖、建设工程项目施工安全生产标准化工地(原国家AAA级安全文明标准化诚信工地)；省或市级奖项包括：由省、市级建设行政主管部门或行业协会颁发的质量类或安全类工程奖项。不含钢结构类、装饰类、绿色施工类、技术类奖项及“参建”类奖项。②</w:t>
      </w:r>
      <w:r>
        <w:rPr>
          <w:rFonts w:hint="eastAsia" w:ascii="宋体" w:hAnsi="宋体" w:cs="宋体"/>
          <w:b w:val="0"/>
          <w:bCs/>
          <w:color w:val="auto"/>
          <w:szCs w:val="21"/>
          <w:highlight w:val="none"/>
          <w:lang w:val="zh-TW"/>
        </w:rPr>
        <w:t>同一项目获得多个奖项的，按最高级别奖项只计一次得分。</w:t>
      </w:r>
      <w:r>
        <w:rPr>
          <w:rFonts w:hint="eastAsia" w:ascii="宋体" w:hAnsi="宋体" w:eastAsia="宋体" w:cs="宋体"/>
          <w:b w:val="0"/>
          <w:bCs/>
          <w:color w:val="auto"/>
          <w:highlight w:val="none"/>
          <w:lang w:val="en-US" w:eastAsia="zh-CN"/>
        </w:rPr>
        <w:t>③只计算房屋建筑工程类的质量类或安全类工程奖项，其他非房建项目，如：路桥、铁路、水利、电力、化工、冶金、市政等的获奖不参与计分。</w:t>
      </w:r>
      <w:r>
        <w:rPr>
          <w:rFonts w:hint="eastAsia" w:ascii="宋体" w:hAnsi="宋体" w:eastAsia="宋体" w:cs="宋体"/>
          <w:b w:val="0"/>
          <w:bCs/>
          <w:color w:val="auto"/>
          <w:szCs w:val="21"/>
          <w:highlight w:val="none"/>
          <w:lang w:val="zh-TW"/>
        </w:rPr>
        <w:t>④</w:t>
      </w:r>
      <w:r>
        <w:rPr>
          <w:rFonts w:hint="eastAsia" w:ascii="宋体" w:hAnsi="宋体" w:eastAsia="宋体" w:cs="宋体"/>
          <w:b w:val="0"/>
          <w:bCs/>
          <w:color w:val="auto"/>
          <w:szCs w:val="21"/>
          <w:highlight w:val="none"/>
          <w:lang w:val="en-US" w:eastAsia="zh-CN"/>
        </w:rPr>
        <w:t>只计算</w:t>
      </w:r>
      <w:r>
        <w:rPr>
          <w:rFonts w:hint="eastAsia" w:ascii="宋体" w:hAnsi="宋体" w:eastAsia="宋体" w:cs="宋体"/>
          <w:b w:val="0"/>
          <w:bCs/>
          <w:color w:val="auto"/>
          <w:highlight w:val="none"/>
          <w:lang w:val="en-US" w:eastAsia="zh-CN"/>
        </w:rPr>
        <w:t>投标人自2018年1月1日至今</w:t>
      </w:r>
      <w:r>
        <w:rPr>
          <w:rFonts w:hint="eastAsia" w:ascii="宋体" w:hAnsi="宋体" w:cs="宋体"/>
          <w:b w:val="0"/>
          <w:bCs/>
          <w:color w:val="auto"/>
          <w:highlight w:val="none"/>
          <w:lang w:val="zh-CN"/>
        </w:rPr>
        <w:t>完成过质量合格的“</w:t>
      </w:r>
      <w:r>
        <w:rPr>
          <w:rFonts w:hint="eastAsia" w:ascii="宋体" w:hAnsi="宋体" w:eastAsia="宋体" w:cs="宋体"/>
          <w:b w:val="0"/>
          <w:bCs/>
          <w:color w:val="auto"/>
          <w:highlight w:val="none"/>
          <w:lang w:val="en-US" w:eastAsia="zh-CN"/>
        </w:rPr>
        <w:t>建筑工程施工总承包项目或工程总承包项目</w:t>
      </w:r>
      <w:r>
        <w:rPr>
          <w:rFonts w:hint="eastAsia" w:ascii="宋体" w:hAnsi="宋体" w:cs="宋体"/>
          <w:b w:val="0"/>
          <w:bCs/>
          <w:color w:val="auto"/>
          <w:highlight w:val="none"/>
          <w:lang w:val="zh-CN"/>
        </w:rPr>
        <w:t>”</w:t>
      </w:r>
      <w:r>
        <w:rPr>
          <w:rFonts w:hint="eastAsia" w:ascii="宋体" w:hAnsi="宋体" w:eastAsia="宋体" w:cs="宋体"/>
          <w:b w:val="0"/>
          <w:bCs/>
          <w:color w:val="auto"/>
          <w:highlight w:val="none"/>
          <w:lang w:val="en-US" w:eastAsia="zh-CN"/>
        </w:rPr>
        <w:t>（包括勘察设计施工总承包或设计施工总承包或设计采购施工总承包或勘察设计采购施工总承包）所获的奖项。⑤取自广州市住建行业信用管理平台。⑥</w:t>
      </w:r>
      <w:r>
        <w:rPr>
          <w:rFonts w:hint="eastAsia" w:ascii="宋体" w:hAnsi="宋体" w:eastAsia="宋体" w:cs="宋体"/>
          <w:b w:val="0"/>
          <w:bCs/>
          <w:color w:val="auto"/>
          <w:szCs w:val="21"/>
          <w:highlight w:val="none"/>
          <w:lang w:val="en-US" w:eastAsia="zh-CN"/>
        </w:rPr>
        <w:t>获奖证书的颁发日期是指2018年1月1日至今。</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投标人须同时提交广州市住建行业信用管理平台内获奖项目的网页信息截图和该项目的奖项证书上传件以供核对（除证书以外的相关附件上传件可不提交），项目竣工日期以网页信息页中“验收材料—验收日期”信息栏显示的为准，评标委员会对获奖项目的评审以平台内上传件为准。不符合条件或无提交网页信息截图或无提交奖项证书上传件的不计分。</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（2）设计获奖：须提供获奖证书扫描件，时间以获奖证书的颁发日期为准。对同一工程项目按最高奖项计取，不重复计取。</w:t>
      </w:r>
    </w:p>
    <w:p>
      <w:pPr>
        <w:numPr>
          <w:ilvl w:val="0"/>
          <w:numId w:val="0"/>
        </w:numPr>
        <w:ind w:left="0" w:leftChars="0" w:firstLine="422" w:firstLineChars="200"/>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3、科技创新成果：</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（1）BIM相关的软件著作权：须提供软件著作权相关证明文件原件扫描件。软件著作权需由国家版权局颁发，投标人应为著作权人，软件名称需含“BIM”或“建筑信息模型”词汇，否则不予认定。</w:t>
      </w:r>
    </w:p>
    <w:p>
      <w:pPr>
        <w:ind w:firstLine="420" w:firstLineChars="200"/>
        <w:rPr>
          <w:color w:val="auto"/>
          <w:highlight w:val="none"/>
          <w:lang w:eastAsia="zh-CN"/>
        </w:rPr>
      </w:pPr>
      <w:r>
        <w:rPr>
          <w:rFonts w:hint="eastAsia" w:ascii="宋体" w:hAnsi="宋体" w:eastAsia="宋体" w:cs="宋体"/>
          <w:b w:val="0"/>
          <w:bCs/>
          <w:color w:val="auto"/>
          <w:szCs w:val="21"/>
          <w:highlight w:val="none"/>
          <w:lang w:val="en-US" w:eastAsia="zh-CN"/>
        </w:rPr>
        <w:t>（2）</w:t>
      </w:r>
      <w:r>
        <w:rPr>
          <w:rFonts w:hint="eastAsia"/>
          <w:color w:val="auto"/>
          <w:highlight w:val="none"/>
          <w:lang w:eastAsia="zh-CN"/>
        </w:rPr>
        <w:t>提供投标人获奖证书</w:t>
      </w:r>
      <w:r>
        <w:rPr>
          <w:rFonts w:hint="eastAsia" w:eastAsia="宋体"/>
          <w:color w:val="auto"/>
          <w:highlight w:val="none"/>
          <w:lang w:eastAsia="zh-CN"/>
        </w:rPr>
        <w:t>扫描件</w:t>
      </w:r>
      <w:r>
        <w:rPr>
          <w:rFonts w:hint="eastAsia"/>
          <w:color w:val="auto"/>
          <w:highlight w:val="none"/>
          <w:lang w:eastAsia="zh-CN"/>
        </w:rPr>
        <w:t>。国家级指国务院颁发的科技进步奖，省级指省级人民政府颁发的科技进步奖项，市（副省）指市（副省）人民政府颁发的科技进步奖项。同一</w:t>
      </w:r>
      <w:r>
        <w:rPr>
          <w:rFonts w:hint="eastAsia" w:ascii="宋体" w:hAnsi="宋体" w:eastAsia="宋体" w:cs="宋体"/>
          <w:color w:val="auto"/>
          <w:highlight w:val="none"/>
          <w:lang w:eastAsia="zh-CN"/>
        </w:rPr>
        <w:t>项目</w:t>
      </w:r>
      <w:r>
        <w:rPr>
          <w:rFonts w:hint="eastAsia"/>
          <w:color w:val="auto"/>
          <w:highlight w:val="none"/>
          <w:lang w:eastAsia="zh-CN"/>
        </w:rPr>
        <w:t>获奖仅计最高获奖得分，</w:t>
      </w:r>
      <w:r>
        <w:rPr>
          <w:rFonts w:hint="eastAsia" w:ascii="宋体" w:hAnsi="宋体" w:eastAsia="宋体" w:cs="宋体"/>
          <w:b w:val="0"/>
          <w:bCs/>
          <w:color w:val="auto"/>
          <w:szCs w:val="21"/>
          <w:highlight w:val="none"/>
          <w:lang w:val="en-US" w:eastAsia="zh-CN"/>
        </w:rPr>
        <w:t>时间以获奖证书的颁发日期为准。</w:t>
      </w:r>
    </w:p>
    <w:p>
      <w:pPr>
        <w:numPr>
          <w:ilvl w:val="0"/>
          <w:numId w:val="0"/>
        </w:numPr>
        <w:ind w:left="0" w:leftChars="0" w:firstLine="422" w:firstLineChars="200"/>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4、工程研发能力：</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工程建设类发明授权专利以国家知识产权局网站（http://epub.cnipa.gov.cn/）中的“中国专利公布公告”-“发明授权”可查询的发明授权类专利为准，时间以授权公告日期为准，投标人须提交上述网站可反映企业专利类型为“发明授权”、授权公告号、授权公告日的查询页截图。仅计算发明授权类专利（不包含实用新型类专利、发明公布类专利及外观设计类专利）。获得单位须与投标人名称一致。不符合上述条件或未提供上述资料的不得分。</w:t>
      </w:r>
    </w:p>
    <w:p>
      <w:pPr>
        <w:numPr>
          <w:ilvl w:val="0"/>
          <w:numId w:val="0"/>
        </w:numPr>
        <w:ind w:left="0" w:leftChars="0" w:firstLine="422" w:firstLineChars="200"/>
        <w:rPr>
          <w:rFonts w:hint="eastAsia" w:ascii="宋体" w:hAnsi="宋体" w:eastAsia="宋体" w:cs="宋体"/>
          <w:b/>
          <w:bCs w:val="0"/>
          <w:color w:val="auto"/>
          <w:szCs w:val="21"/>
          <w:highlight w:val="none"/>
          <w:lang w:val="zh-TW" w:eastAsia="zh-CN"/>
        </w:rPr>
      </w:pPr>
      <w:r>
        <w:rPr>
          <w:rFonts w:hint="eastAsia" w:ascii="宋体" w:hAnsi="宋体" w:eastAsia="宋体" w:cs="宋体"/>
          <w:b/>
          <w:bCs w:val="0"/>
          <w:color w:val="auto"/>
          <w:szCs w:val="21"/>
          <w:highlight w:val="none"/>
          <w:lang w:val="en-US" w:eastAsia="zh-CN"/>
        </w:rPr>
        <w:t>5、</w:t>
      </w:r>
      <w:r>
        <w:rPr>
          <w:rFonts w:hint="eastAsia" w:ascii="宋体" w:hAnsi="宋体" w:eastAsia="宋体" w:cs="宋体"/>
          <w:b/>
          <w:bCs w:val="0"/>
          <w:color w:val="auto"/>
          <w:szCs w:val="21"/>
          <w:highlight w:val="none"/>
          <w:lang w:val="zh-TW" w:eastAsia="zh-CN"/>
        </w:rPr>
        <w:t>项目管理机构主要人员：</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项目团队的各岗位人员不能相互兼任。所有人员需按要求提供对应的</w:t>
      </w:r>
      <w:r>
        <w:rPr>
          <w:rFonts w:hint="eastAsia" w:ascii="宋体" w:hAnsi="宋体" w:eastAsia="宋体" w:cs="宋体"/>
          <w:b w:val="0"/>
          <w:bCs/>
          <w:color w:val="auto"/>
          <w:szCs w:val="21"/>
          <w:highlight w:val="none"/>
          <w:lang w:val="zh-CN" w:eastAsia="zh-CN"/>
        </w:rPr>
        <w:t>职称证</w:t>
      </w:r>
      <w:r>
        <w:rPr>
          <w:rFonts w:hint="eastAsia" w:ascii="宋体" w:hAnsi="宋体" w:eastAsia="宋体" w:cs="宋体"/>
          <w:b w:val="0"/>
          <w:bCs/>
          <w:color w:val="auto"/>
          <w:szCs w:val="21"/>
          <w:highlight w:val="none"/>
          <w:lang w:val="en-US" w:eastAsia="zh-CN"/>
        </w:rPr>
        <w:t>书</w:t>
      </w:r>
      <w:r>
        <w:rPr>
          <w:rFonts w:hint="eastAsia" w:ascii="宋体" w:hAnsi="宋体" w:eastAsia="宋体" w:cs="宋体"/>
          <w:b w:val="0"/>
          <w:bCs/>
          <w:color w:val="auto"/>
          <w:szCs w:val="21"/>
          <w:highlight w:val="none"/>
          <w:lang w:val="zh-CN" w:eastAsia="zh-CN"/>
        </w:rPr>
        <w:t>或注册证</w:t>
      </w:r>
      <w:r>
        <w:rPr>
          <w:rFonts w:hint="eastAsia" w:ascii="宋体" w:hAnsi="宋体" w:eastAsia="宋体" w:cs="宋体"/>
          <w:b w:val="0"/>
          <w:bCs/>
          <w:color w:val="auto"/>
          <w:szCs w:val="21"/>
          <w:highlight w:val="none"/>
          <w:lang w:val="en-US" w:eastAsia="zh-CN"/>
        </w:rPr>
        <w:t>书</w:t>
      </w:r>
      <w:r>
        <w:rPr>
          <w:rFonts w:hint="eastAsia" w:ascii="宋体" w:hAnsi="宋体" w:eastAsia="宋体" w:cs="宋体"/>
          <w:b w:val="0"/>
          <w:bCs/>
          <w:color w:val="auto"/>
          <w:szCs w:val="21"/>
          <w:highlight w:val="none"/>
          <w:lang w:val="zh-CN" w:eastAsia="zh-CN"/>
        </w:rPr>
        <w:t>或荣誉证书或资格证书等</w:t>
      </w:r>
      <w:r>
        <w:rPr>
          <w:rFonts w:hint="eastAsia" w:ascii="宋体" w:hAnsi="宋体" w:eastAsia="宋体" w:cs="宋体"/>
          <w:b w:val="0"/>
          <w:bCs/>
          <w:color w:val="auto"/>
          <w:szCs w:val="21"/>
          <w:highlight w:val="none"/>
          <w:lang w:val="en-US" w:eastAsia="zh-CN"/>
        </w:rPr>
        <w:t>相关证明资料，同时提供人员近一个月（2023年2月）的社保缴纳证明材料扫描件。人员包括投标人单位或投标人单位非独立法人的分支机构的人员。一人多证的，仅计取一个专业。同一评分项，人员满足多档的，仅按最高档计取一次得分。未提供上述资料的或所提供的证明资料不符合要求的，则相应评分项不予得分。</w:t>
      </w:r>
    </w:p>
    <w:p>
      <w:pPr>
        <w:numPr>
          <w:ilvl w:val="0"/>
          <w:numId w:val="0"/>
        </w:numPr>
        <w:ind w:left="0" w:leftChars="0" w:firstLine="420" w:firstLineChars="200"/>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6、本表按百分制评分，所有评委的评分汇总后的算术平均值为投标人的最终得分。分数出现小数点，保留小数点后二位小数，第三位小数四舍五入；评分仅以投标人自身条件为依据进行评审，子公司及分公司的条件不作为评审依据；若投标人满足多个档次的，按最高档计分。</w:t>
      </w:r>
    </w:p>
    <w:p>
      <w:pPr>
        <w:numPr>
          <w:ilvl w:val="0"/>
          <w:numId w:val="0"/>
        </w:numPr>
        <w:ind w:left="0" w:leftChars="0" w:firstLine="420" w:firstLineChars="200"/>
        <w:rPr>
          <w:rFonts w:ascii="宋体" w:hAnsi="宋体"/>
          <w:color w:val="auto"/>
          <w:szCs w:val="21"/>
          <w:highlight w:val="none"/>
        </w:rPr>
      </w:pPr>
      <w:r>
        <w:rPr>
          <w:rFonts w:hint="eastAsia" w:ascii="宋体" w:hAnsi="宋体" w:eastAsia="宋体" w:cs="宋体"/>
          <w:b w:val="0"/>
          <w:bCs/>
          <w:color w:val="auto"/>
          <w:szCs w:val="21"/>
          <w:highlight w:val="none"/>
          <w:lang w:val="en-US" w:eastAsia="zh-CN"/>
        </w:rPr>
        <w:t>评委签名：                                              日期：</w:t>
      </w:r>
    </w:p>
    <w:p>
      <w:pPr>
        <w:pStyle w:val="3"/>
        <w:jc w:val="center"/>
        <w:rPr>
          <w:rFonts w:ascii="宋体" w:hAnsi="宋体" w:cs="宋体"/>
          <w:color w:val="auto"/>
          <w:highlight w:val="none"/>
        </w:rPr>
        <w:sectPr>
          <w:headerReference r:id="rId6" w:type="default"/>
          <w:footerReference r:id="rId7" w:type="default"/>
          <w:pgSz w:w="16838" w:h="11906" w:orient="landscape"/>
          <w:pgMar w:top="1800" w:right="1440" w:bottom="1800" w:left="1440" w:header="851" w:footer="992" w:gutter="0"/>
          <w:cols w:space="0" w:num="1"/>
          <w:docGrid w:type="lines" w:linePitch="312" w:charSpace="0"/>
        </w:sectPr>
      </w:pPr>
    </w:p>
    <w:p>
      <w:pPr>
        <w:pStyle w:val="3"/>
        <w:jc w:val="center"/>
        <w:rPr>
          <w:rFonts w:ascii="宋体" w:hAnsi="宋体" w:cs="宋体"/>
          <w:color w:val="auto"/>
          <w:highlight w:val="none"/>
        </w:rPr>
      </w:pPr>
      <w:bookmarkStart w:id="504" w:name="_Toc27715"/>
      <w:r>
        <w:rPr>
          <w:rFonts w:hint="eastAsia" w:ascii="宋体" w:hAnsi="宋体" w:cs="宋体"/>
          <w:color w:val="auto"/>
          <w:highlight w:val="none"/>
        </w:rPr>
        <w:t>第四章 合同条款及格式</w:t>
      </w:r>
      <w:bookmarkEnd w:id="442"/>
      <w:bookmarkEnd w:id="443"/>
      <w:bookmarkEnd w:id="444"/>
      <w:bookmarkEnd w:id="445"/>
      <w:bookmarkEnd w:id="446"/>
      <w:bookmarkEnd w:id="447"/>
      <w:bookmarkEnd w:id="504"/>
      <w:bookmarkStart w:id="505" w:name="_Toc152042388"/>
      <w:bookmarkStart w:id="506" w:name="_Toc247527635"/>
      <w:bookmarkStart w:id="507" w:name="_Toc152045610"/>
      <w:bookmarkStart w:id="508" w:name="_Toc144974578"/>
      <w:bookmarkStart w:id="509" w:name="_Toc247514034"/>
      <w:bookmarkStart w:id="510" w:name="_Toc184635097"/>
    </w:p>
    <w:p>
      <w:pPr>
        <w:jc w:val="center"/>
        <w:rPr>
          <w:color w:val="auto"/>
          <w:sz w:val="28"/>
          <w:szCs w:val="36"/>
          <w:highlight w:val="none"/>
        </w:rPr>
      </w:pPr>
      <w:r>
        <w:rPr>
          <w:rFonts w:hint="eastAsia"/>
          <w:color w:val="auto"/>
          <w:sz w:val="28"/>
          <w:szCs w:val="36"/>
          <w:highlight w:val="none"/>
        </w:rPr>
        <w:t>（另册）</w:t>
      </w:r>
    </w:p>
    <w:bookmarkEnd w:id="505"/>
    <w:bookmarkEnd w:id="506"/>
    <w:bookmarkEnd w:id="507"/>
    <w:bookmarkEnd w:id="508"/>
    <w:bookmarkEnd w:id="509"/>
    <w:bookmarkEnd w:id="510"/>
    <w:p>
      <w:pPr>
        <w:rPr>
          <w:color w:val="auto"/>
          <w:highlight w:val="none"/>
        </w:rPr>
      </w:pPr>
    </w:p>
    <w:p>
      <w:pPr>
        <w:spacing w:line="400" w:lineRule="exact"/>
        <w:rPr>
          <w:rFonts w:ascii="宋体" w:hAnsi="宋体" w:cs="宋体"/>
          <w:color w:val="auto"/>
          <w:highlight w:val="none"/>
        </w:rPr>
      </w:pPr>
    </w:p>
    <w:p>
      <w:pPr>
        <w:rPr>
          <w:color w:val="auto"/>
          <w:highlight w:val="none"/>
        </w:rPr>
      </w:pPr>
      <w:bookmarkStart w:id="511" w:name="_Toc247527819"/>
      <w:bookmarkStart w:id="512" w:name="_Toc247514232"/>
      <w:bookmarkStart w:id="513" w:name="_Toc25556"/>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3"/>
        <w:jc w:val="center"/>
        <w:rPr>
          <w:rFonts w:ascii="宋体" w:hAnsi="宋体" w:cs="宋体"/>
          <w:color w:val="auto"/>
          <w:sz w:val="20"/>
          <w:szCs w:val="20"/>
          <w:highlight w:val="none"/>
        </w:rPr>
      </w:pPr>
      <w:bookmarkStart w:id="514" w:name="_Toc4187"/>
      <w:r>
        <w:rPr>
          <w:rFonts w:hint="eastAsia" w:ascii="宋体" w:hAnsi="宋体" w:cs="宋体"/>
          <w:color w:val="auto"/>
          <w:highlight w:val="none"/>
        </w:rPr>
        <w:t>第二卷</w:t>
      </w:r>
      <w:bookmarkEnd w:id="511"/>
      <w:bookmarkEnd w:id="512"/>
      <w:bookmarkEnd w:id="513"/>
      <w:bookmarkEnd w:id="514"/>
    </w:p>
    <w:p>
      <w:pPr>
        <w:rPr>
          <w:color w:val="auto"/>
          <w:highlight w:val="none"/>
        </w:rPr>
      </w:pPr>
      <w:bookmarkStart w:id="515" w:name="_Toc16616"/>
      <w:bookmarkStart w:id="516" w:name="_Toc152042571"/>
      <w:bookmarkStart w:id="517" w:name="_Toc247527820"/>
      <w:bookmarkStart w:id="518" w:name="_Toc247514233"/>
      <w:bookmarkStart w:id="519" w:name="_Toc152045782"/>
      <w:bookmarkStart w:id="520" w:name="_Toc144974851"/>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numPr>
          <w:ilvl w:val="0"/>
          <w:numId w:val="3"/>
        </w:numPr>
        <w:spacing w:line="720" w:lineRule="auto"/>
        <w:jc w:val="center"/>
        <w:rPr>
          <w:rFonts w:ascii="宋体" w:hAnsi="宋体" w:cs="宋体"/>
          <w:color w:val="auto"/>
          <w:highlight w:val="none"/>
        </w:rPr>
      </w:pPr>
      <w:r>
        <w:rPr>
          <w:rFonts w:ascii="宋体" w:hAnsi="宋体" w:cs="宋体"/>
          <w:color w:val="auto"/>
          <w:highlight w:val="none"/>
        </w:rPr>
        <w:br w:type="page"/>
      </w:r>
      <w:bookmarkEnd w:id="515"/>
      <w:bookmarkEnd w:id="516"/>
      <w:bookmarkEnd w:id="517"/>
      <w:bookmarkEnd w:id="518"/>
      <w:bookmarkEnd w:id="519"/>
      <w:bookmarkEnd w:id="520"/>
      <w:bookmarkStart w:id="521" w:name="_Toc888"/>
      <w:r>
        <w:rPr>
          <w:rFonts w:hint="eastAsia" w:ascii="宋体" w:hAnsi="宋体" w:cs="宋体"/>
          <w:color w:val="auto"/>
          <w:highlight w:val="none"/>
        </w:rPr>
        <w:t>发包人要求</w:t>
      </w:r>
      <w:bookmarkEnd w:id="521"/>
    </w:p>
    <w:p>
      <w:pPr>
        <w:spacing w:line="400" w:lineRule="exact"/>
        <w:ind w:firstLine="480" w:firstLineChars="200"/>
        <w:jc w:val="left"/>
        <w:outlineLvl w:val="1"/>
        <w:rPr>
          <w:rFonts w:ascii="宋体" w:hAnsi="宋体" w:cs="宋体"/>
          <w:color w:val="auto"/>
          <w:sz w:val="24"/>
          <w:highlight w:val="none"/>
        </w:rPr>
      </w:pPr>
      <w:bookmarkStart w:id="522" w:name="_Toc25193"/>
      <w:r>
        <w:rPr>
          <w:rFonts w:hint="eastAsia" w:ascii="宋体" w:hAnsi="宋体" w:cs="宋体"/>
          <w:color w:val="auto"/>
          <w:sz w:val="24"/>
          <w:highlight w:val="none"/>
        </w:rPr>
        <w:t>1．勘察设计任务书</w:t>
      </w:r>
      <w:bookmarkEnd w:id="522"/>
    </w:p>
    <w:p>
      <w:pPr>
        <w:spacing w:line="400" w:lineRule="exact"/>
        <w:ind w:firstLine="482" w:firstLineChars="200"/>
        <w:jc w:val="left"/>
        <w:outlineLvl w:val="1"/>
        <w:rPr>
          <w:rFonts w:ascii="仿宋" w:hAnsi="仿宋" w:eastAsia="仿宋" w:cs="仿宋"/>
          <w:b/>
          <w:bCs/>
          <w:color w:val="auto"/>
          <w:sz w:val="24"/>
          <w:szCs w:val="32"/>
          <w:highlight w:val="none"/>
        </w:rPr>
      </w:pPr>
    </w:p>
    <w:p>
      <w:pPr>
        <w:spacing w:line="400" w:lineRule="exact"/>
        <w:ind w:firstLine="602" w:firstLineChars="200"/>
        <w:jc w:val="center"/>
        <w:outlineLvl w:val="1"/>
        <w:rPr>
          <w:rFonts w:ascii="仿宋" w:hAnsi="仿宋" w:eastAsia="仿宋" w:cs="仿宋"/>
          <w:b/>
          <w:bCs/>
          <w:color w:val="auto"/>
          <w:sz w:val="30"/>
          <w:szCs w:val="30"/>
          <w:highlight w:val="none"/>
        </w:rPr>
      </w:pPr>
      <w:bookmarkStart w:id="523" w:name="_Toc22895"/>
      <w:r>
        <w:rPr>
          <w:rFonts w:hint="eastAsia" w:ascii="仿宋" w:hAnsi="仿宋" w:eastAsia="仿宋" w:cs="仿宋"/>
          <w:b/>
          <w:bCs/>
          <w:color w:val="auto"/>
          <w:sz w:val="30"/>
          <w:szCs w:val="30"/>
          <w:highlight w:val="none"/>
        </w:rPr>
        <w:t>勘察设计任务书</w:t>
      </w:r>
      <w:bookmarkEnd w:id="523"/>
    </w:p>
    <w:p>
      <w:pPr>
        <w:spacing w:line="400" w:lineRule="exact"/>
        <w:outlineLvl w:val="1"/>
        <w:rPr>
          <w:rFonts w:ascii="仿宋" w:hAnsi="仿宋" w:eastAsia="仿宋" w:cs="仿宋"/>
          <w:b/>
          <w:bCs/>
          <w:color w:val="auto"/>
          <w:highlight w:val="none"/>
        </w:rPr>
      </w:pPr>
      <w:bookmarkStart w:id="524" w:name="_Toc17088"/>
      <w:r>
        <w:rPr>
          <w:rFonts w:hint="eastAsia" w:ascii="仿宋" w:hAnsi="仿宋" w:eastAsia="仿宋" w:cs="仿宋"/>
          <w:b/>
          <w:bCs/>
          <w:color w:val="auto"/>
          <w:highlight w:val="none"/>
        </w:rPr>
        <w:t>一、项目概况</w:t>
      </w:r>
      <w:bookmarkEnd w:id="524"/>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海格天腾信息产业基地位于广州市增城区朱村街道，用地北边为建设中的科德大道;</w:t>
      </w:r>
      <w:r>
        <w:rPr>
          <w:rFonts w:hint="eastAsia"/>
          <w:color w:val="auto"/>
          <w:highlight w:val="none"/>
        </w:rPr>
        <w:t xml:space="preserve"> </w:t>
      </w:r>
      <w:r>
        <w:rPr>
          <w:rFonts w:hint="eastAsia" w:ascii="仿宋" w:hAnsi="仿宋" w:eastAsia="仿宋" w:cs="仿宋"/>
          <w:color w:val="auto"/>
          <w:highlight w:val="none"/>
        </w:rPr>
        <w:t>建设用地的东侧、南侧为现状农田；西侧为工信部电子第五研究所，与本建设用地距离约为24米；北侧远眺小磜山。项目用地内部已进行场地平整，场地呈北高南低。</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选址周边贴近广州科教城规划板块，工业及相关产业聚集、高教建设较完善。本项目建设地点地下未压覆矿床，无地下文物，对港口通航及军事设施无影响。</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 xml:space="preserve">本项目拟建成为集“研发、智造、测试 、仿真训练” 为一体的覆盖陆域、空域、水域等多领域的无人信息产业基地以及具备航空飞行培训能力的专业培训基地。                                                                                                                                                                                                                                                                                                                                                                             </w:t>
      </w:r>
    </w:p>
    <w:p>
      <w:pPr>
        <w:tabs>
          <w:tab w:val="left" w:pos="4454"/>
        </w:tabs>
        <w:spacing w:line="400" w:lineRule="exact"/>
        <w:outlineLvl w:val="1"/>
        <w:rPr>
          <w:rFonts w:ascii="仿宋" w:hAnsi="仿宋" w:eastAsia="仿宋" w:cs="仿宋"/>
          <w:b/>
          <w:bCs/>
          <w:color w:val="auto"/>
          <w:highlight w:val="none"/>
        </w:rPr>
      </w:pPr>
      <w:bookmarkStart w:id="525" w:name="_Toc15827"/>
      <w:r>
        <w:rPr>
          <w:rFonts w:hint="eastAsia" w:ascii="仿宋" w:hAnsi="仿宋" w:eastAsia="仿宋" w:cs="仿宋"/>
          <w:b/>
          <w:bCs/>
          <w:color w:val="auto"/>
          <w:highlight w:val="none"/>
        </w:rPr>
        <w:t>二、建设内容与规模</w:t>
      </w:r>
      <w:bookmarkEnd w:id="525"/>
      <w:r>
        <w:rPr>
          <w:rFonts w:ascii="仿宋" w:hAnsi="仿宋" w:eastAsia="仿宋" w:cs="仿宋"/>
          <w:b/>
          <w:bCs/>
          <w:color w:val="auto"/>
          <w:highlight w:val="none"/>
        </w:rPr>
        <w:tab/>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本项目地块总用地面积共</w:t>
      </w:r>
      <w:r>
        <w:rPr>
          <w:rFonts w:ascii="仿宋" w:hAnsi="仿宋" w:eastAsia="仿宋" w:cs="仿宋"/>
          <w:color w:val="auto"/>
          <w:highlight w:val="none"/>
        </w:rPr>
        <w:t>197990.59</w:t>
      </w:r>
      <w:r>
        <w:rPr>
          <w:rFonts w:hint="eastAsia" w:ascii="仿宋" w:hAnsi="仿宋" w:eastAsia="仿宋" w:cs="仿宋"/>
          <w:color w:val="auto"/>
          <w:highlight w:val="none"/>
        </w:rPr>
        <w:t>平方米，用地性质为一类工业用地M1类(含兼容性）,其中包含可建设用地面积</w:t>
      </w:r>
      <w:r>
        <w:rPr>
          <w:rFonts w:ascii="仿宋" w:hAnsi="仿宋" w:eastAsia="仿宋" w:cs="仿宋"/>
          <w:color w:val="auto"/>
          <w:highlight w:val="none"/>
        </w:rPr>
        <w:t>186980.76</w:t>
      </w:r>
      <w:r>
        <w:rPr>
          <w:rFonts w:hint="eastAsia" w:ascii="仿宋" w:hAnsi="仿宋" w:eastAsia="仿宋" w:cs="仿宋"/>
          <w:color w:val="auto"/>
          <w:highlight w:val="none"/>
        </w:rPr>
        <w:t>平方米、绿地用地面积9101.82平方米、河涌用地面积1908.01平方米。地上计容建筑面积约：4</w:t>
      </w:r>
      <w:r>
        <w:rPr>
          <w:rFonts w:ascii="仿宋" w:hAnsi="仿宋" w:eastAsia="仿宋" w:cs="仿宋"/>
          <w:color w:val="auto"/>
          <w:highlight w:val="none"/>
        </w:rPr>
        <w:t>30055</w:t>
      </w:r>
      <w:r>
        <w:rPr>
          <w:rFonts w:hint="eastAsia" w:ascii="仿宋" w:hAnsi="仿宋" w:eastAsia="仿宋" w:cs="仿宋"/>
          <w:color w:val="auto"/>
          <w:highlight w:val="none"/>
        </w:rPr>
        <w:t>平方米（包含高层厂房、低层厂房、高端厂房及配套等）；容积率≥</w:t>
      </w:r>
      <w:r>
        <w:rPr>
          <w:rFonts w:ascii="仿宋" w:hAnsi="仿宋" w:eastAsia="仿宋" w:cs="仿宋"/>
          <w:color w:val="auto"/>
          <w:highlight w:val="none"/>
        </w:rPr>
        <w:t>2.3</w:t>
      </w:r>
      <w:r>
        <w:rPr>
          <w:rFonts w:hint="eastAsia" w:ascii="仿宋" w:hAnsi="仿宋" w:eastAsia="仿宋" w:cs="仿宋"/>
          <w:color w:val="auto"/>
          <w:highlight w:val="none"/>
        </w:rPr>
        <w:t>，建筑密度≥35%，绿地率≤20%。（备注：以通过规划部门审批的文件为准）</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建设规模：新建高层厂房5栋、多层厂房2栋、高端厂房2栋、高端厂房附楼3栋、宿舍6栋、工作站3栋，员工餐厅2个，连廊及跨河桥一座及地下室工程等，配套景观绿化，测试跑道等。</w:t>
      </w:r>
    </w:p>
    <w:p>
      <w:pPr>
        <w:tabs>
          <w:tab w:val="left" w:pos="4454"/>
        </w:tabs>
        <w:spacing w:line="400" w:lineRule="exact"/>
        <w:outlineLvl w:val="1"/>
        <w:rPr>
          <w:rFonts w:ascii="仿宋" w:hAnsi="仿宋" w:eastAsia="仿宋" w:cs="仿宋"/>
          <w:b/>
          <w:bCs/>
          <w:color w:val="auto"/>
          <w:highlight w:val="none"/>
        </w:rPr>
      </w:pPr>
      <w:bookmarkStart w:id="526" w:name="_Toc243"/>
      <w:r>
        <w:rPr>
          <w:rFonts w:hint="eastAsia" w:ascii="仿宋" w:hAnsi="仿宋" w:eastAsia="仿宋" w:cs="仿宋"/>
          <w:b/>
          <w:bCs/>
          <w:color w:val="auto"/>
          <w:highlight w:val="none"/>
        </w:rPr>
        <w:t>三、勘察范围及要求</w:t>
      </w:r>
      <w:bookmarkEnd w:id="526"/>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本次勘察的目的是为本工程的设计提供工程地质资料，在用地红线内根据建筑方案布孔，具体要求如下：</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1）查明场地的地层结构、岩性特征及各岩土层的物理力学性质，确定各土层的地基承载力；</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2）查明场地不良地质和特殊地质的性质、分布情况及对基础稳定的影响，并提出工程措施意见；</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3）查明场地下伏基岩的类型、深度、分布情况及其工程特性；</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 xml:space="preserve">4）分析和评价地基的稳定性、均匀性和承载力； </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 xml:space="preserve">5）查明场地地下水的类型，补给与埋藏情况，及对地下水对建筑材料的腐蚀性和场地土的透水性，并提出施工时应采用的措施； </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6）划分场地土类型和场地类别，判定饱和砂土或粉土的地震液化的可能性，并计算液化指数；</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7）对基础选型进行分析并提出建议方案，提供基础设计和施工所需的岩土参数。</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8）对基坑选型进行分析并提出建议方案，提供基坑设计和施工所需的岩土参数。</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（9）</w:t>
      </w:r>
      <w:r>
        <w:rPr>
          <w:rFonts w:ascii="仿宋" w:hAnsi="仿宋" w:eastAsia="仿宋" w:cs="仿宋"/>
          <w:color w:val="auto"/>
          <w:highlight w:val="none"/>
        </w:rPr>
        <w:t>勘探布孔需符合《高层建筑岩土工程勘察标准》（JGJ/T 72-2017）要求</w:t>
      </w:r>
      <w:r>
        <w:rPr>
          <w:rFonts w:hint="eastAsia" w:ascii="仿宋" w:hAnsi="仿宋" w:eastAsia="仿宋" w:cs="仿宋"/>
          <w:color w:val="auto"/>
          <w:highlight w:val="none"/>
        </w:rPr>
        <w:t>，</w:t>
      </w:r>
      <w:r>
        <w:rPr>
          <w:rFonts w:ascii="仿宋" w:hAnsi="仿宋" w:eastAsia="仿宋" w:cs="仿宋"/>
          <w:color w:val="auto"/>
          <w:highlight w:val="none"/>
        </w:rPr>
        <w:t>并结合设计方案需要</w:t>
      </w:r>
      <w:r>
        <w:rPr>
          <w:rFonts w:hint="eastAsia" w:ascii="仿宋" w:hAnsi="仿宋" w:eastAsia="仿宋" w:cs="仿宋"/>
          <w:color w:val="auto"/>
          <w:highlight w:val="none"/>
        </w:rPr>
        <w:t>；</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（10）</w:t>
      </w:r>
      <w:r>
        <w:rPr>
          <w:rFonts w:ascii="仿宋" w:hAnsi="仿宋" w:eastAsia="仿宋" w:cs="仿宋"/>
          <w:color w:val="auto"/>
          <w:highlight w:val="none"/>
        </w:rPr>
        <w:t>钻孔深度需符合《岩土工程勘察规范》（GB50021-2001，2009年版）、《高层建筑岩土工程勘察标准》（JGJ/T72-2017）、《建筑桩基技术规范》（JGJ94-2008）</w:t>
      </w:r>
      <w:r>
        <w:rPr>
          <w:rFonts w:hint="eastAsia" w:ascii="仿宋" w:hAnsi="仿宋" w:eastAsia="仿宋" w:cs="仿宋"/>
          <w:color w:val="auto"/>
          <w:highlight w:val="none"/>
        </w:rPr>
        <w:t>，</w:t>
      </w:r>
      <w:r>
        <w:rPr>
          <w:rFonts w:ascii="仿宋" w:hAnsi="仿宋" w:eastAsia="仿宋" w:cs="仿宋"/>
          <w:color w:val="auto"/>
          <w:highlight w:val="none"/>
        </w:rPr>
        <w:t>并结合设计方案需要</w:t>
      </w:r>
      <w:r>
        <w:rPr>
          <w:rFonts w:hint="eastAsia" w:ascii="仿宋" w:hAnsi="仿宋" w:eastAsia="仿宋" w:cs="仿宋"/>
          <w:color w:val="auto"/>
          <w:highlight w:val="none"/>
        </w:rPr>
        <w:t>；</w:t>
      </w:r>
    </w:p>
    <w:p>
      <w:pPr>
        <w:spacing w:line="400" w:lineRule="exact"/>
        <w:outlineLvl w:val="1"/>
        <w:rPr>
          <w:rFonts w:ascii="仿宋" w:hAnsi="仿宋" w:eastAsia="仿宋" w:cs="仿宋"/>
          <w:b/>
          <w:bCs/>
          <w:color w:val="auto"/>
          <w:highlight w:val="none"/>
        </w:rPr>
      </w:pPr>
      <w:bookmarkStart w:id="527" w:name="_Toc20024"/>
      <w:r>
        <w:rPr>
          <w:rFonts w:hint="eastAsia" w:ascii="仿宋" w:hAnsi="仿宋" w:eastAsia="仿宋" w:cs="仿宋"/>
          <w:b/>
          <w:bCs/>
          <w:color w:val="auto"/>
          <w:highlight w:val="none"/>
        </w:rPr>
        <w:t>四、设计范围及规划设计要求</w:t>
      </w:r>
      <w:bookmarkEnd w:id="527"/>
    </w:p>
    <w:p>
      <w:pPr>
        <w:spacing w:line="400" w:lineRule="exact"/>
        <w:ind w:firstLine="422" w:firstLineChars="200"/>
        <w:outlineLvl w:val="1"/>
        <w:rPr>
          <w:rFonts w:ascii="仿宋" w:hAnsi="仿宋" w:eastAsia="仿宋" w:cs="仿宋"/>
          <w:b/>
          <w:bCs/>
          <w:color w:val="auto"/>
          <w:highlight w:val="none"/>
        </w:rPr>
      </w:pPr>
      <w:bookmarkStart w:id="528" w:name="_Toc18285"/>
      <w:r>
        <w:rPr>
          <w:rFonts w:hint="eastAsia" w:ascii="仿宋" w:hAnsi="仿宋" w:eastAsia="仿宋" w:cs="仿宋"/>
          <w:b/>
          <w:bCs/>
          <w:color w:val="auto"/>
          <w:highlight w:val="none"/>
        </w:rPr>
        <w:t>（一）设计范围</w:t>
      </w:r>
      <w:bookmarkEnd w:id="528"/>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本项目设计范围为本项目的全专业（除工艺设计外）全过程设计。</w:t>
      </w:r>
    </w:p>
    <w:p>
      <w:pPr>
        <w:spacing w:line="400" w:lineRule="exact"/>
        <w:ind w:firstLine="422" w:firstLineChars="200"/>
        <w:outlineLvl w:val="1"/>
        <w:rPr>
          <w:rFonts w:ascii="仿宋" w:hAnsi="仿宋" w:eastAsia="仿宋" w:cs="仿宋"/>
          <w:b/>
          <w:bCs/>
          <w:color w:val="auto"/>
          <w:highlight w:val="none"/>
        </w:rPr>
      </w:pPr>
      <w:bookmarkStart w:id="529" w:name="_Toc2549"/>
      <w:r>
        <w:rPr>
          <w:rFonts w:hint="eastAsia" w:ascii="仿宋" w:hAnsi="仿宋" w:eastAsia="仿宋" w:cs="仿宋"/>
          <w:b/>
          <w:bCs/>
          <w:color w:val="auto"/>
          <w:highlight w:val="none"/>
        </w:rPr>
        <w:t>（二）规划设计要求</w:t>
      </w:r>
      <w:bookmarkEnd w:id="529"/>
    </w:p>
    <w:p>
      <w:pPr>
        <w:spacing w:line="400" w:lineRule="exact"/>
        <w:ind w:firstLine="422" w:firstLineChars="200"/>
        <w:outlineLvl w:val="1"/>
        <w:rPr>
          <w:rFonts w:ascii="仿宋" w:hAnsi="仿宋" w:eastAsia="仿宋" w:cs="仿宋"/>
          <w:b/>
          <w:bCs/>
          <w:color w:val="auto"/>
          <w:highlight w:val="none"/>
        </w:rPr>
      </w:pPr>
      <w:bookmarkStart w:id="530" w:name="_Toc1107"/>
      <w:r>
        <w:rPr>
          <w:rFonts w:hint="eastAsia" w:ascii="仿宋" w:hAnsi="仿宋" w:eastAsia="仿宋" w:cs="仿宋"/>
          <w:b/>
          <w:bCs/>
          <w:color w:val="auto"/>
          <w:highlight w:val="none"/>
        </w:rPr>
        <w:t>1、城市设计与市政要求：</w:t>
      </w:r>
      <w:bookmarkEnd w:id="530"/>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规划设计应遵从修建性详细规划要求执行，不得调整规划；</w:t>
      </w:r>
    </w:p>
    <w:p>
      <w:pPr>
        <w:spacing w:line="400" w:lineRule="exact"/>
        <w:ind w:firstLine="422" w:firstLineChars="200"/>
        <w:outlineLvl w:val="1"/>
        <w:rPr>
          <w:rFonts w:ascii="仿宋" w:hAnsi="仿宋" w:eastAsia="仿宋" w:cs="仿宋"/>
          <w:color w:val="auto"/>
          <w:highlight w:val="none"/>
        </w:rPr>
      </w:pPr>
      <w:bookmarkStart w:id="531" w:name="_Toc10757"/>
      <w:r>
        <w:rPr>
          <w:rFonts w:hint="eastAsia" w:ascii="仿宋" w:hAnsi="仿宋" w:eastAsia="仿宋" w:cs="仿宋"/>
          <w:b/>
          <w:bCs/>
          <w:color w:val="auto"/>
          <w:highlight w:val="none"/>
        </w:rPr>
        <w:t>2、场地与外环境设计</w:t>
      </w:r>
      <w:bookmarkEnd w:id="531"/>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应开展场地设计（含首层平面）、道路（渠化）设计、步行系统设计。竖向设计应控制建筑室外地坪标高，建筑室外地坪和周边道路人行道平缓对接。室外地坪标高满足防洪及管线设置要求，与周边道路协调。</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应开展精细无障碍设计，满足安全、舒适的运行要求。场地与建筑的无障碍设计须满足《无障碍设计规范》（GB50763-2012）的相关要求。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建筑景观照明设施应控制外溢光和杂散光，避免对室内活动干扰，减少环境光污染。</w:t>
      </w:r>
    </w:p>
    <w:p>
      <w:pPr>
        <w:spacing w:line="400" w:lineRule="exact"/>
        <w:ind w:firstLine="422" w:firstLineChars="200"/>
        <w:outlineLvl w:val="1"/>
        <w:rPr>
          <w:rFonts w:ascii="仿宋" w:hAnsi="仿宋" w:eastAsia="仿宋" w:cs="仿宋"/>
          <w:b/>
          <w:bCs/>
          <w:color w:val="auto"/>
          <w:highlight w:val="none"/>
        </w:rPr>
      </w:pPr>
      <w:bookmarkStart w:id="532" w:name="_Toc10878"/>
      <w:r>
        <w:rPr>
          <w:rFonts w:hint="eastAsia" w:ascii="仿宋" w:hAnsi="仿宋" w:eastAsia="仿宋" w:cs="仿宋"/>
          <w:b/>
          <w:bCs/>
          <w:color w:val="auto"/>
          <w:highlight w:val="none"/>
        </w:rPr>
        <w:t>3、停车配建</w:t>
      </w:r>
      <w:bookmarkEnd w:id="532"/>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机动车位数量按照广州市相关规定配建，机动车和非机动车停车场（库）应与主体工程同时设计、同时施工、同时投入使用。</w:t>
      </w:r>
    </w:p>
    <w:p>
      <w:pPr>
        <w:spacing w:line="400" w:lineRule="exact"/>
        <w:ind w:firstLine="422" w:firstLineChars="200"/>
        <w:rPr>
          <w:rFonts w:ascii="仿宋" w:hAnsi="仿宋" w:eastAsia="仿宋" w:cs="仿宋"/>
          <w:color w:val="auto"/>
          <w:highlight w:val="none"/>
        </w:rPr>
      </w:pPr>
      <w:r>
        <w:rPr>
          <w:rFonts w:hint="eastAsia" w:ascii="仿宋" w:hAnsi="仿宋" w:eastAsia="仿宋" w:cs="仿宋"/>
          <w:b/>
          <w:bCs/>
          <w:color w:val="auto"/>
          <w:highlight w:val="none"/>
        </w:rPr>
        <w:t>4、配变电所设置要求。</w:t>
      </w:r>
      <w:r>
        <w:rPr>
          <w:rFonts w:hint="eastAsia" w:ascii="仿宋" w:hAnsi="仿宋" w:eastAsia="仿宋" w:cs="仿宋"/>
          <w:color w:val="auto"/>
          <w:highlight w:val="none"/>
        </w:rPr>
        <w:t>应根据用电容量（包含充电设施负荷）按照规程规范及电力企业标准预留配变电所。</w:t>
      </w:r>
    </w:p>
    <w:p>
      <w:pPr>
        <w:spacing w:line="400" w:lineRule="exact"/>
        <w:ind w:firstLine="422" w:firstLineChars="200"/>
        <w:rPr>
          <w:rFonts w:ascii="仿宋" w:hAnsi="仿宋" w:eastAsia="仿宋" w:cs="仿宋"/>
          <w:color w:val="auto"/>
          <w:highlight w:val="none"/>
        </w:rPr>
      </w:pPr>
      <w:r>
        <w:rPr>
          <w:rFonts w:hint="eastAsia" w:ascii="仿宋" w:hAnsi="仿宋" w:eastAsia="仿宋" w:cs="仿宋"/>
          <w:b/>
          <w:bCs/>
          <w:color w:val="auto"/>
          <w:highlight w:val="none"/>
        </w:rPr>
        <w:t>5、充电桩设置要求。</w:t>
      </w:r>
      <w:r>
        <w:rPr>
          <w:rFonts w:hint="eastAsia" w:ascii="仿宋" w:hAnsi="仿宋" w:eastAsia="仿宋" w:cs="仿宋"/>
          <w:color w:val="auto"/>
          <w:highlight w:val="none"/>
        </w:rPr>
        <w:t>停车场应设置充电设施或预留建设安装条件，具体按照广州市相关规定执行。</w:t>
      </w:r>
    </w:p>
    <w:p>
      <w:pPr>
        <w:spacing w:line="400" w:lineRule="exact"/>
        <w:ind w:firstLine="422" w:firstLineChars="200"/>
        <w:rPr>
          <w:rFonts w:ascii="仿宋" w:hAnsi="仿宋" w:eastAsia="仿宋" w:cs="仿宋"/>
          <w:color w:val="auto"/>
          <w:highlight w:val="none"/>
        </w:rPr>
      </w:pPr>
      <w:r>
        <w:rPr>
          <w:rFonts w:hint="eastAsia" w:ascii="仿宋" w:hAnsi="仿宋" w:eastAsia="仿宋" w:cs="仿宋"/>
          <w:b/>
          <w:bCs/>
          <w:color w:val="auto"/>
          <w:highlight w:val="none"/>
        </w:rPr>
        <w:t>6、海绵城市建设要求。</w:t>
      </w:r>
      <w:r>
        <w:rPr>
          <w:rFonts w:hint="eastAsia" w:ascii="仿宋" w:hAnsi="仿宋" w:eastAsia="仿宋" w:cs="仿宋"/>
          <w:color w:val="auto"/>
          <w:highlight w:val="none"/>
        </w:rPr>
        <w:t>应采用雨污分流系统，同时按照《广州市建设项目雨水径流控制办法》的有关规定采取雨水径流控制措施，使建设后的雨水径流量不超过建设前的雨水径流量。</w:t>
      </w:r>
    </w:p>
    <w:p>
      <w:pPr>
        <w:spacing w:line="400" w:lineRule="exact"/>
        <w:outlineLvl w:val="1"/>
        <w:rPr>
          <w:rFonts w:ascii="仿宋" w:hAnsi="仿宋" w:eastAsia="仿宋" w:cs="仿宋"/>
          <w:b/>
          <w:bCs/>
          <w:color w:val="auto"/>
          <w:highlight w:val="none"/>
        </w:rPr>
      </w:pPr>
      <w:bookmarkStart w:id="533" w:name="_Toc1175"/>
      <w:r>
        <w:rPr>
          <w:rFonts w:hint="eastAsia" w:ascii="仿宋" w:hAnsi="仿宋" w:eastAsia="仿宋" w:cs="仿宋"/>
          <w:b/>
          <w:bCs/>
          <w:color w:val="auto"/>
          <w:highlight w:val="none"/>
        </w:rPr>
        <w:t>五、设计内容</w:t>
      </w:r>
      <w:bookmarkEnd w:id="533"/>
    </w:p>
    <w:p>
      <w:pPr>
        <w:spacing w:line="400" w:lineRule="exact"/>
        <w:ind w:firstLine="422" w:firstLineChars="200"/>
        <w:outlineLvl w:val="1"/>
        <w:rPr>
          <w:rFonts w:ascii="仿宋" w:hAnsi="仿宋" w:eastAsia="仿宋" w:cs="仿宋"/>
          <w:b/>
          <w:bCs/>
          <w:color w:val="auto"/>
          <w:highlight w:val="none"/>
        </w:rPr>
      </w:pPr>
      <w:bookmarkStart w:id="534" w:name="_Toc4910"/>
      <w:r>
        <w:rPr>
          <w:rFonts w:hint="eastAsia" w:ascii="仿宋" w:hAnsi="仿宋" w:eastAsia="仿宋" w:cs="仿宋"/>
          <w:b/>
          <w:bCs/>
          <w:color w:val="auto"/>
          <w:highlight w:val="none"/>
        </w:rPr>
        <w:t>设计内容包括但不仅限于以下工作：</w:t>
      </w:r>
      <w:bookmarkEnd w:id="534"/>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设计范围包括方案设计及优化、初步设计、施工图设计、编制初步设计概算和施工图预算、</w:t>
      </w:r>
      <w:r>
        <w:rPr>
          <w:rFonts w:hint="eastAsia" w:ascii="仿宋" w:hAnsi="仿宋" w:eastAsia="仿宋" w:cs="仿宋"/>
          <w:color w:val="auto"/>
          <w:highlight w:val="none"/>
          <w:u w:val="none"/>
        </w:rPr>
        <w:t>竣工图审核、</w:t>
      </w:r>
      <w:r>
        <w:rPr>
          <w:rFonts w:hint="eastAsia" w:ascii="仿宋" w:hAnsi="仿宋" w:eastAsia="仿宋" w:cs="仿宋"/>
          <w:color w:val="auto"/>
          <w:highlight w:val="none"/>
        </w:rPr>
        <w:t>现场指导与监督，</w:t>
      </w:r>
      <w:r>
        <w:rPr>
          <w:rFonts w:hint="eastAsia" w:ascii="仿宋" w:hAnsi="仿宋" w:eastAsia="仿宋" w:cs="仿宋"/>
          <w:color w:val="auto"/>
          <w:highlight w:val="none"/>
          <w:u w:val="none"/>
          <w:lang w:eastAsia="zh-CN"/>
        </w:rPr>
        <w:t>提供项目报建时与设计有关的文件</w:t>
      </w:r>
      <w:r>
        <w:rPr>
          <w:rFonts w:hint="eastAsia" w:ascii="仿宋" w:hAnsi="仿宋" w:eastAsia="仿宋" w:cs="仿宋"/>
          <w:color w:val="auto"/>
          <w:highlight w:val="none"/>
        </w:rPr>
        <w:t>等。包括但不限于：用地范围内规划设计(包括总平面规划设计、道路及竖向的规划设计、各市政专项的规划设计、环境景观规划设计等);建筑物的方案设计、初步设计和施工图设计(包括但不限于建筑、结构、基坑、人防工程、护坡、室内装修、永久用电、给排水、市政、桥隧、幕墙、消防、暖通空调、弱电及智能化、电气、网络通讯、空压系统、交通工程、燃气、太阳能、光导系统、节能、绿色建筑等所有专业的设计），其中含基坑开挖及支护设计，给水排水专业包括红线外至市政管网接口处的设计，用地范围内建筑物周边的室外景观(含园林绿化、景观照明)。向政府主管部门进行报建、验收手续及相关协调工作(包括规划及建筑方案报建、各专业报建、施工图报建、节能备案和规划验收、节能验收等)，并负责所有专业的咨询、评审，编制各阶段的相关报批审查等资料并配合招标人报批报建(直至完成申报取得相关批文为止)。对施工荷载(比如重型施工车辆在地下室顶板上行走等)作用于构件上的结构复核，并在必要时出具加固意见。</w:t>
      </w:r>
    </w:p>
    <w:p>
      <w:pPr>
        <w:spacing w:line="400" w:lineRule="exact"/>
        <w:ind w:firstLine="420" w:firstLineChars="200"/>
        <w:rPr>
          <w:rFonts w:ascii="仿宋" w:hAnsi="仿宋" w:eastAsia="仿宋" w:cs="仿宋"/>
          <w:color w:val="auto"/>
          <w:highlight w:val="none"/>
        </w:rPr>
      </w:pPr>
    </w:p>
    <w:p>
      <w:pPr>
        <w:spacing w:line="400" w:lineRule="exact"/>
        <w:outlineLvl w:val="1"/>
        <w:rPr>
          <w:rFonts w:ascii="仿宋" w:hAnsi="仿宋" w:eastAsia="仿宋" w:cs="仿宋"/>
          <w:b/>
          <w:bCs/>
          <w:color w:val="auto"/>
          <w:highlight w:val="none"/>
        </w:rPr>
      </w:pPr>
      <w:bookmarkStart w:id="535" w:name="_Toc17015"/>
      <w:r>
        <w:rPr>
          <w:rFonts w:hint="eastAsia" w:ascii="仿宋" w:hAnsi="仿宋" w:eastAsia="仿宋" w:cs="仿宋"/>
          <w:b/>
          <w:bCs/>
          <w:color w:val="auto"/>
          <w:highlight w:val="none"/>
        </w:rPr>
        <w:t>六、各阶段的设计工作</w:t>
      </w:r>
      <w:bookmarkEnd w:id="535"/>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设计单位应根据本项目工程建设的要求和中国及地方有关法律、法规、规范，完成包括以下工作：</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1、完成已有的概念方案的深化设计；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2、编制初步设计文件及初步设计概算，完成初步设计评审；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3、完成施工图设计及施工图预算编制，确保施工图设计文件通过施工图审查；</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4、施工阶段的设计变更；</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5、配合开展前期报建报批、方案审查、专业报建、设计图纸评审、概算评审、施工图审查</w:t>
      </w:r>
      <w:r>
        <w:rPr>
          <w:rFonts w:hint="eastAsia" w:ascii="仿宋" w:hAnsi="仿宋" w:eastAsia="仿宋" w:cs="仿宋"/>
          <w:color w:val="auto"/>
          <w:highlight w:val="none"/>
          <w:lang w:eastAsia="zh-CN"/>
        </w:rPr>
        <w:t>（不含</w:t>
      </w:r>
      <w:r>
        <w:rPr>
          <w:rFonts w:hint="eastAsia" w:ascii="仿宋" w:hAnsi="仿宋" w:eastAsia="仿宋" w:cs="仿宋"/>
          <w:color w:val="auto"/>
          <w:highlight w:val="none"/>
        </w:rPr>
        <w:t>施工图审查</w:t>
      </w:r>
      <w:r>
        <w:rPr>
          <w:rFonts w:hint="eastAsia" w:ascii="仿宋" w:hAnsi="仿宋" w:eastAsia="仿宋" w:cs="仿宋"/>
          <w:color w:val="auto"/>
          <w:highlight w:val="none"/>
          <w:lang w:eastAsia="zh-CN"/>
        </w:rPr>
        <w:t>费用）</w:t>
      </w:r>
      <w:r>
        <w:rPr>
          <w:rFonts w:hint="eastAsia" w:ascii="仿宋" w:hAnsi="仿宋" w:eastAsia="仿宋" w:cs="仿宋"/>
          <w:color w:val="auto"/>
          <w:highlight w:val="none"/>
        </w:rPr>
        <w:t>及备案（含节能），以及从开工至项目竣工验收的现场服务及配合完成工程验收和竣工图（含验收通过）等；包括配合申请临时用水、临时用电，以及配合永久外水、永久外电的设计报批和出图。</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6、除应按合同规定的时间和要求向发包人提出设计成果外，还应承担工程施工过程直至竣工验收前的设计服务等工作，保证设计变更满足施工进度要求，并按发包人要求准备汇报材料；</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7、负责绿色建筑设计，并配合协助申报标识（如需）。</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8、负责项目竣工图审核。</w:t>
      </w:r>
    </w:p>
    <w:p>
      <w:pPr>
        <w:spacing w:line="400" w:lineRule="exact"/>
        <w:outlineLvl w:val="1"/>
        <w:rPr>
          <w:rFonts w:ascii="仿宋" w:hAnsi="仿宋" w:eastAsia="仿宋" w:cs="仿宋"/>
          <w:b/>
          <w:bCs/>
          <w:color w:val="auto"/>
          <w:highlight w:val="none"/>
        </w:rPr>
      </w:pPr>
      <w:bookmarkStart w:id="536" w:name="_Toc20066"/>
      <w:r>
        <w:rPr>
          <w:rFonts w:hint="eastAsia" w:ascii="仿宋" w:hAnsi="仿宋" w:eastAsia="仿宋" w:cs="仿宋"/>
          <w:b/>
          <w:bCs/>
          <w:color w:val="auto"/>
          <w:highlight w:val="none"/>
        </w:rPr>
        <w:t>七、设计要求</w:t>
      </w:r>
      <w:bookmarkEnd w:id="536"/>
    </w:p>
    <w:p>
      <w:pPr>
        <w:spacing w:line="400" w:lineRule="exact"/>
        <w:ind w:firstLine="422" w:firstLineChars="200"/>
        <w:outlineLvl w:val="1"/>
        <w:rPr>
          <w:rFonts w:ascii="仿宋" w:hAnsi="仿宋" w:eastAsia="仿宋" w:cs="仿宋"/>
          <w:b/>
          <w:bCs/>
          <w:color w:val="auto"/>
          <w:highlight w:val="none"/>
        </w:rPr>
      </w:pPr>
      <w:bookmarkStart w:id="537" w:name="_Toc7293"/>
      <w:r>
        <w:rPr>
          <w:rFonts w:hint="eastAsia" w:ascii="仿宋" w:hAnsi="仿宋" w:eastAsia="仿宋" w:cs="仿宋"/>
          <w:b/>
          <w:bCs/>
          <w:color w:val="auto"/>
          <w:highlight w:val="none"/>
        </w:rPr>
        <w:t>（一）总体要求</w:t>
      </w:r>
      <w:bookmarkEnd w:id="537"/>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设计文件包括但不仅限于以下内容：建筑、结构、电气、给排水、暖通、人防、动力、消防、室内室外管线综合、电梯、各阶段的节能专篇、消防专篇、人防专篇、环保专篇、卫生防疫、防雷、抗震和超限专篇、海绵城市专篇，初步设计概算以及当地政府及行业报批报建所需的专业设计工作和成果。设计成果应达到建设部颁发的《建筑工程设计文件编制深度规定》（2016年版）。</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2、本项目规划指标应严格满足规划设计条件的要求，设计方案应遵从相关要求进行设计。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3、在项目报建阶段满足建设单位报批各种手续的要求，分阶段提供所需的设计文件。</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4、各专业图纸必须符合国家现行的技术规范及标准要求，达到《建筑工程设计文件编制深度规定》（2016年版）深度要求。施工阶段需要对施工单位深化设计成果进行审核确认。</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5、本项目要求按绿色建筑设计相关要求进行设计。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6、海绵城市建设要求：建设项目应采取雨污分流系统，同时按照《广州市建设项目雨水径流控制办法》的有关规定采取雨水径流控制措施。满足规划设计条件要求。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7、提供专业设计计算书、全过程中要求提供的指标及数据的统计；成果文件包括但不限于DWG、PPT、WORD、EXCEL等形式。</w:t>
      </w:r>
    </w:p>
    <w:p>
      <w:pPr>
        <w:spacing w:line="400" w:lineRule="exact"/>
        <w:ind w:firstLine="422" w:firstLineChars="200"/>
        <w:outlineLvl w:val="1"/>
        <w:rPr>
          <w:rFonts w:ascii="仿宋" w:hAnsi="仿宋" w:eastAsia="仿宋" w:cs="仿宋"/>
          <w:b/>
          <w:bCs/>
          <w:color w:val="auto"/>
          <w:highlight w:val="none"/>
        </w:rPr>
      </w:pPr>
      <w:bookmarkStart w:id="538" w:name="_Toc24324"/>
      <w:r>
        <w:rPr>
          <w:rFonts w:hint="eastAsia" w:ascii="仿宋" w:hAnsi="仿宋" w:eastAsia="仿宋" w:cs="仿宋"/>
          <w:b/>
          <w:bCs/>
          <w:color w:val="auto"/>
          <w:highlight w:val="none"/>
        </w:rPr>
        <w:t>（二）建筑总图设计</w:t>
      </w:r>
      <w:bookmarkEnd w:id="538"/>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在修建性详细规划批复的基础上，按业主相关要求，进行深化设计，主要完成总图专业各项内容的初步设计、技术设计和施工图设计，含总平面设计、竖向标高设计、交通道路广场设计、景观绿化设计、总平面管线综合设计、土方平衡计算与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1、重点组织好各种交通流线设计：各出入流线应独立设置，尽量避免相互干扰。货流、人流及车流应区分有序，符合各类业态的日常使用要求。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应结合朝向、周围环境合理地组织自然通风和景观，同时处理好区域内外的水、电、燃气、通信等市政设施的衔接。需解决好室外管线综合问题，使各种管线均满足设计要求。各建筑出入口处不得设置通风竖井、检查井等设施。需注明场外管线接入点的位置标高。</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3、建筑布局应适应气候特点，满足通风、采光、遮阳、防水等功能使用要求。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4、总平面设计应符合无障碍设计要求，并应符合现行行业标准《无障碍设计规范》（GB50763-2012）的有关规定。</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5、建筑退让间距，建筑间距，退界应按照经批准的《广州市城乡规划技术规定》及其他相关要求执行。</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6．规划设计建构筑物不得占用L-02-01地块。（插宗地图）</w:t>
      </w:r>
    </w:p>
    <w:p>
      <w:pPr>
        <w:spacing w:line="400" w:lineRule="exact"/>
        <w:ind w:firstLine="422" w:firstLineChars="200"/>
        <w:outlineLvl w:val="1"/>
        <w:rPr>
          <w:rFonts w:ascii="仿宋" w:hAnsi="仿宋" w:eastAsia="仿宋" w:cs="仿宋"/>
          <w:b/>
          <w:bCs/>
          <w:color w:val="auto"/>
          <w:highlight w:val="none"/>
        </w:rPr>
      </w:pPr>
      <w:bookmarkStart w:id="539" w:name="_Toc18844"/>
      <w:r>
        <w:rPr>
          <w:rFonts w:hint="eastAsia" w:ascii="仿宋" w:hAnsi="仿宋" w:eastAsia="仿宋" w:cs="仿宋"/>
          <w:b/>
          <w:bCs/>
          <w:color w:val="auto"/>
          <w:highlight w:val="none"/>
        </w:rPr>
        <w:t>（三）建筑设计</w:t>
      </w:r>
      <w:bookmarkEnd w:id="539"/>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在修建性详细规划设计与建筑方案基础上，按业主相关要求，进行深化设计，完成建筑各单体的初步设计、技术设计和施工图设计，具体如下：</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1、各阶段的设计说明应完整，施工图应有效指导现场施工，不得因图纸表达不清影响现场施工。</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2、建筑设计标准：设计使用年限50年，建筑耐火等级按照《建筑设计防火规范》（GB50016-2018）要求执行，产业配套建筑公共区域的设计满足无障碍建筑设计要求。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3、完善建筑设计方案、建筑功能划分，细化流线设计及竖向设计。</w:t>
      </w:r>
    </w:p>
    <w:p>
      <w:pPr>
        <w:spacing w:line="400" w:lineRule="exact"/>
        <w:ind w:firstLine="420" w:firstLineChars="200"/>
        <w:rPr>
          <w:rFonts w:hint="eastAsia" w:ascii="仿宋" w:hAnsi="仿宋" w:eastAsia="仿宋" w:cs="仿宋"/>
          <w:color w:val="auto"/>
          <w:highlight w:val="none"/>
          <w:lang w:eastAsia="zh-CN"/>
        </w:rPr>
      </w:pPr>
      <w:r>
        <w:rPr>
          <w:rFonts w:hint="eastAsia" w:ascii="仿宋" w:hAnsi="仿宋" w:eastAsia="仿宋" w:cs="仿宋"/>
          <w:color w:val="auto"/>
          <w:highlight w:val="none"/>
        </w:rPr>
        <w:t>4、建筑外立面：保持概念方案的立面风格，可在此基础上局部优化，不得更改原风格。</w:t>
      </w:r>
      <w:r>
        <w:rPr>
          <w:rFonts w:hint="eastAsia" w:ascii="仿宋" w:hAnsi="仿宋" w:eastAsia="仿宋" w:cs="仿宋"/>
          <w:color w:val="auto"/>
          <w:highlight w:val="none"/>
          <w:lang w:eastAsia="zh-CN"/>
        </w:rPr>
        <w:t>（专家办公楼除外）</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5、停车配建：满足修建性详细规划设计停车指标。</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6、测试跑道，需满足业主生产测试的路面要求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7、需满足规划报建的容积率要求，且控制造价。</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8.各建筑楼栋功能及规模要求如下：</w:t>
      </w:r>
    </w:p>
    <w:p>
      <w:pPr>
        <w:pStyle w:val="36"/>
        <w:rPr>
          <w:color w:val="auto"/>
          <w:highlight w:val="none"/>
        </w:rPr>
      </w:pPr>
    </w:p>
    <w:tbl>
      <w:tblPr>
        <w:tblStyle w:val="38"/>
        <w:tblW w:w="7522" w:type="dxa"/>
        <w:tblInd w:w="93" w:type="dxa"/>
        <w:tblLayout w:type="fixed"/>
        <w:tblCellMar>
          <w:top w:w="0" w:type="dxa"/>
          <w:left w:w="108" w:type="dxa"/>
          <w:bottom w:w="0" w:type="dxa"/>
          <w:right w:w="108" w:type="dxa"/>
        </w:tblCellMar>
      </w:tblPr>
      <w:tblGrid>
        <w:gridCol w:w="658"/>
        <w:gridCol w:w="1701"/>
        <w:gridCol w:w="1251"/>
        <w:gridCol w:w="1276"/>
        <w:gridCol w:w="2636"/>
      </w:tblGrid>
      <w:tr>
        <w:tblPrEx>
          <w:tblCellMar>
            <w:top w:w="0" w:type="dxa"/>
            <w:left w:w="108" w:type="dxa"/>
            <w:bottom w:w="0" w:type="dxa"/>
            <w:right w:w="108" w:type="dxa"/>
          </w:tblCellMar>
        </w:tblPrEx>
        <w:trPr>
          <w:trHeight w:val="31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楼栋名称</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计容面积</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建筑面积</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备注</w:t>
            </w:r>
          </w:p>
        </w:tc>
      </w:tr>
      <w:tr>
        <w:tblPrEx>
          <w:tblCellMar>
            <w:top w:w="0" w:type="dxa"/>
            <w:left w:w="108" w:type="dxa"/>
            <w:bottom w:w="0" w:type="dxa"/>
            <w:right w:w="108" w:type="dxa"/>
          </w:tblCellMar>
        </w:tblPrEx>
        <w:trPr>
          <w:trHeight w:val="43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高端厂房主楼</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约5.26万㎡</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约4.4万㎡</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1.一-三层：300㎡大调度仓库1个；90㎡小仓库2个（仓库需与其他厂房联系便捷）；170㎡生产资料交易室1个；电房、消防控制室250㎡；技术服务、技术开发、技术咨询用房3间分别60㎡，并设置开放技术交流区，可从入口快速到达；试验公共服务平台及弱电机房及控制区；数据通信网络试验室、数据通信网络车间及小调试室</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2.四-八层：人脸识别及无人驾驶仪器车间及小调试室</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3.九层及以上，应包含：4G/5G移动基站智能化系统车间共约12000㎡</w:t>
            </w:r>
          </w:p>
        </w:tc>
      </w:tr>
      <w:tr>
        <w:tblPrEx>
          <w:tblCellMar>
            <w:top w:w="0" w:type="dxa"/>
            <w:left w:w="108" w:type="dxa"/>
            <w:bottom w:w="0" w:type="dxa"/>
            <w:right w:w="108" w:type="dxa"/>
          </w:tblCellMar>
        </w:tblPrEx>
        <w:trPr>
          <w:trHeight w:val="229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高端厂房附楼1</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1.安保监控系统智能基站700㎡，11m净高，其中内部无柱空间20m×15m以上，可跨楼层建设；</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2.无线通信模组智能制造中心保密车间，因保密要求，需每间面积控制在50㎡左右独立管理，共850㎡</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3.140㎡数据中心2个</w:t>
            </w:r>
          </w:p>
        </w:tc>
      </w:tr>
      <w:tr>
        <w:tblPrEx>
          <w:tblCellMar>
            <w:top w:w="0" w:type="dxa"/>
            <w:left w:w="108" w:type="dxa"/>
            <w:bottom w:w="0" w:type="dxa"/>
            <w:right w:w="108" w:type="dxa"/>
          </w:tblCellMar>
        </w:tblPrEx>
        <w:trPr>
          <w:trHeight w:val="27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高端厂房附楼2</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1.调度集成大厅380㎡，11m净高，其中内部无柱空间18m×15m以上，可跨楼层建设；</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2.200㎡库房一个，供调度集成大厅使用</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3.保密调度室，因保密要求，需每间面积控制在50㎡左右独立管理，共850㎡</w:t>
            </w:r>
            <w:r>
              <w:rPr>
                <w:rFonts w:hint="eastAsia" w:ascii="仿宋" w:hAnsi="仿宋" w:eastAsia="仿宋" w:cs="等线"/>
                <w:color w:val="auto"/>
                <w:kern w:val="0"/>
                <w:sz w:val="20"/>
                <w:szCs w:val="20"/>
                <w:highlight w:val="none"/>
                <w:lang w:bidi="ar"/>
              </w:rPr>
              <w:br w:type="textWrapping"/>
            </w:r>
            <w:r>
              <w:rPr>
                <w:rFonts w:hint="eastAsia" w:ascii="仿宋" w:hAnsi="仿宋" w:eastAsia="仿宋" w:cs="等线"/>
                <w:color w:val="auto"/>
                <w:kern w:val="0"/>
                <w:sz w:val="20"/>
                <w:szCs w:val="20"/>
                <w:highlight w:val="none"/>
                <w:lang w:bidi="ar"/>
              </w:rPr>
              <w:t>4.140㎡数据中心2个</w:t>
            </w:r>
          </w:p>
        </w:tc>
      </w:tr>
      <w:tr>
        <w:tblPrEx>
          <w:tblCellMar>
            <w:top w:w="0" w:type="dxa"/>
            <w:left w:w="108" w:type="dxa"/>
            <w:bottom w:w="0" w:type="dxa"/>
            <w:right w:w="108" w:type="dxa"/>
          </w:tblCellMar>
        </w:tblPrEx>
        <w:trPr>
          <w:trHeight w:val="2118"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高端厂房</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约2.21万㎡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约1.86万㎡</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首层及二层主体为调度控制中心、生产监控指挥室、通信生产用房等，监控人员首层直接进入监控指挥室；三层及以上至五层为设备测试车间、辅助系统设备间等。</w:t>
            </w:r>
          </w:p>
        </w:tc>
      </w:tr>
      <w:tr>
        <w:tblPrEx>
          <w:tblCellMar>
            <w:top w:w="0" w:type="dxa"/>
            <w:left w:w="108" w:type="dxa"/>
            <w:bottom w:w="0" w:type="dxa"/>
            <w:right w:w="108" w:type="dxa"/>
          </w:tblCellMar>
        </w:tblPrEx>
        <w:trPr>
          <w:trHeight w:val="229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高端厂房附楼3</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约0.54万㎡</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约0.2万㎡</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主体设置模拟器设备场地，包含4个机位数量，15m净高，单机位内为无柱空间。</w:t>
            </w:r>
          </w:p>
        </w:tc>
      </w:tr>
      <w:tr>
        <w:tblPrEx>
          <w:tblCellMar>
            <w:top w:w="0" w:type="dxa"/>
            <w:left w:w="108" w:type="dxa"/>
            <w:bottom w:w="0" w:type="dxa"/>
            <w:right w:w="108" w:type="dxa"/>
          </w:tblCellMar>
        </w:tblPrEx>
        <w:trPr>
          <w:trHeight w:val="10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地下室</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约2.6万㎡</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等线"/>
                <w:color w:val="auto"/>
                <w:sz w:val="22"/>
                <w:szCs w:val="22"/>
                <w:highlight w:val="none"/>
              </w:rPr>
            </w:pPr>
          </w:p>
        </w:tc>
      </w:tr>
    </w:tbl>
    <w:p>
      <w:pPr>
        <w:rPr>
          <w:rFonts w:ascii="仿宋" w:hAnsi="仿宋" w:eastAsia="仿宋"/>
          <w:color w:val="auto"/>
          <w:highlight w:val="none"/>
        </w:rPr>
      </w:pPr>
    </w:p>
    <w:p>
      <w:pPr>
        <w:rPr>
          <w:rFonts w:ascii="仿宋" w:hAnsi="仿宋" w:eastAsia="仿宋"/>
          <w:color w:val="auto"/>
          <w:highlight w:val="none"/>
        </w:rPr>
      </w:pPr>
      <w:r>
        <w:rPr>
          <w:rFonts w:hint="eastAsia" w:ascii="仿宋" w:hAnsi="仿宋" w:eastAsia="仿宋"/>
          <w:color w:val="auto"/>
          <w:highlight w:val="none"/>
        </w:rPr>
        <w:t>立面要求：</w:t>
      </w:r>
    </w:p>
    <w:p>
      <w:pPr>
        <w:numPr>
          <w:ilvl w:val="0"/>
          <w:numId w:val="4"/>
        </w:numPr>
        <w:rPr>
          <w:rFonts w:ascii="仿宋" w:hAnsi="仿宋" w:eastAsia="仿宋"/>
          <w:color w:val="auto"/>
          <w:highlight w:val="none"/>
        </w:rPr>
      </w:pPr>
      <w:r>
        <w:rPr>
          <w:rFonts w:ascii="仿宋" w:hAnsi="仿宋" w:eastAsia="仿宋"/>
          <w:color w:val="auto"/>
          <w:highlight w:val="none"/>
        </w:rPr>
        <w:t>高端厂房</w:t>
      </w:r>
      <w:r>
        <w:rPr>
          <w:rFonts w:hint="eastAsia" w:ascii="仿宋" w:hAnsi="仿宋" w:eastAsia="仿宋"/>
          <w:color w:val="auto"/>
          <w:highlight w:val="none"/>
        </w:rPr>
        <w:t>主附楼</w:t>
      </w:r>
      <w:r>
        <w:rPr>
          <w:rFonts w:ascii="仿宋" w:hAnsi="仿宋" w:eastAsia="仿宋"/>
          <w:color w:val="auto"/>
          <w:highlight w:val="none"/>
        </w:rPr>
        <w:t>：建筑立面应采用中轴对称的形式，以石材幕墙及玻璃幕墙，强烈的建筑形体和质感，呈现出一种容华格定的智造感，表现出沉稳、高雅的企业形象。</w:t>
      </w:r>
    </w:p>
    <w:p>
      <w:pPr>
        <w:numPr>
          <w:ilvl w:val="0"/>
          <w:numId w:val="4"/>
        </w:numPr>
        <w:rPr>
          <w:rFonts w:ascii="仿宋" w:hAnsi="仿宋" w:eastAsia="仿宋"/>
          <w:color w:val="auto"/>
          <w:highlight w:val="none"/>
        </w:rPr>
      </w:pPr>
      <w:r>
        <w:rPr>
          <w:rFonts w:hint="eastAsia" w:ascii="仿宋" w:hAnsi="仿宋" w:eastAsia="仿宋"/>
          <w:color w:val="auto"/>
          <w:highlight w:val="none"/>
        </w:rPr>
        <w:t>高端厂房：</w:t>
      </w:r>
      <w:r>
        <w:rPr>
          <w:rFonts w:ascii="仿宋" w:hAnsi="仿宋" w:eastAsia="仿宋"/>
          <w:color w:val="auto"/>
          <w:highlight w:val="none"/>
        </w:rPr>
        <w:t>建筑立面应采用中轴对称的形式，虚实结合，强调立体层次感，整体造型均衡稳定，符合海格作为军工企业的稳重形象。</w:t>
      </w:r>
    </w:p>
    <w:p>
      <w:pPr>
        <w:rPr>
          <w:rFonts w:ascii="仿宋" w:hAnsi="仿宋" w:eastAsia="仿宋"/>
          <w:color w:val="auto"/>
          <w:highlight w:val="none"/>
        </w:rPr>
      </w:pPr>
    </w:p>
    <w:tbl>
      <w:tblPr>
        <w:tblStyle w:val="38"/>
        <w:tblW w:w="8265" w:type="dxa"/>
        <w:tblInd w:w="93" w:type="dxa"/>
        <w:tblLayout w:type="autofit"/>
        <w:tblCellMar>
          <w:top w:w="0" w:type="dxa"/>
          <w:left w:w="108" w:type="dxa"/>
          <w:bottom w:w="0" w:type="dxa"/>
          <w:right w:w="108" w:type="dxa"/>
        </w:tblCellMar>
      </w:tblPr>
      <w:tblGrid>
        <w:gridCol w:w="715"/>
        <w:gridCol w:w="2141"/>
        <w:gridCol w:w="1634"/>
        <w:gridCol w:w="1621"/>
        <w:gridCol w:w="2154"/>
      </w:tblGrid>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序号</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楼栋名称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计容面积</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建筑面积</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备注</w:t>
            </w: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2-1#</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宿舍及配套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约1.24万㎡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约1.24万㎡</w:t>
            </w:r>
          </w:p>
        </w:tc>
        <w:tc>
          <w:tcPr>
            <w:tcW w:w="215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2-1#、2-2#、2-5#、2-6#功能主要为宿舍用房、生活配套服务用房。包含公用大堂、设备房、局部架空；2-3#、2-4#功能主要为宿舍、设备房，包含公区、休息区、洗漱区等，提供约470套房间，共满足1800人左右住宿需求。</w:t>
            </w: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2-2#</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约0.96万㎡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约0.96万㎡</w:t>
            </w:r>
          </w:p>
        </w:tc>
        <w:tc>
          <w:tcPr>
            <w:tcW w:w="21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等线"/>
                <w:color w:val="auto"/>
                <w:sz w:val="20"/>
                <w:szCs w:val="20"/>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2-3#</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约0.86万㎡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约0.86万㎡</w:t>
            </w:r>
          </w:p>
        </w:tc>
        <w:tc>
          <w:tcPr>
            <w:tcW w:w="21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等线"/>
                <w:color w:val="auto"/>
                <w:sz w:val="20"/>
                <w:szCs w:val="20"/>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2-4#</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约0.86万㎡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约0.86万㎡</w:t>
            </w:r>
          </w:p>
        </w:tc>
        <w:tc>
          <w:tcPr>
            <w:tcW w:w="21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等线"/>
                <w:color w:val="auto"/>
                <w:sz w:val="20"/>
                <w:szCs w:val="20"/>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2-5#</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约1.02万㎡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约1.02万㎡</w:t>
            </w:r>
          </w:p>
        </w:tc>
        <w:tc>
          <w:tcPr>
            <w:tcW w:w="21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等线"/>
                <w:color w:val="auto"/>
                <w:sz w:val="20"/>
                <w:szCs w:val="20"/>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2-6#</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宿舍及配套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约1.32万㎡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约1.32万㎡</w:t>
            </w:r>
          </w:p>
        </w:tc>
        <w:tc>
          <w:tcPr>
            <w:tcW w:w="21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等线"/>
                <w:color w:val="auto"/>
                <w:sz w:val="20"/>
                <w:szCs w:val="20"/>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2-7#</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ascii="仿宋" w:hAnsi="仿宋" w:eastAsia="仿宋" w:cs="等线"/>
                <w:color w:val="auto"/>
                <w:sz w:val="22"/>
                <w:szCs w:val="22"/>
                <w:highlight w:val="none"/>
              </w:rPr>
              <w:t>专家办公楼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2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等线"/>
                <w:color w:val="auto"/>
                <w:sz w:val="20"/>
                <w:szCs w:val="20"/>
                <w:highlight w:val="none"/>
              </w:rPr>
            </w:pPr>
            <w:r>
              <w:rPr>
                <w:rFonts w:hint="eastAsia" w:ascii="仿宋" w:hAnsi="仿宋" w:eastAsia="仿宋" w:cs="等线"/>
                <w:color w:val="auto"/>
                <w:kern w:val="0"/>
                <w:sz w:val="20"/>
                <w:szCs w:val="20"/>
                <w:highlight w:val="none"/>
                <w:lang w:bidi="ar"/>
              </w:rPr>
              <w:t>工作站设有辅助办公、辅助生产用房，包含办公、会议、休闲等功能。</w:t>
            </w: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2-8#</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ascii="仿宋" w:hAnsi="仿宋" w:eastAsia="仿宋" w:cs="等线"/>
                <w:color w:val="auto"/>
                <w:sz w:val="22"/>
                <w:szCs w:val="22"/>
                <w:highlight w:val="none"/>
              </w:rPr>
              <w:t>专家办公楼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2-9#</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ascii="仿宋" w:hAnsi="仿宋" w:eastAsia="仿宋" w:cs="等线"/>
                <w:color w:val="auto"/>
                <w:sz w:val="22"/>
                <w:szCs w:val="22"/>
                <w:highlight w:val="none"/>
              </w:rPr>
              <w:t>专家办公楼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约0.06万㎡</w:t>
            </w:r>
          </w:p>
        </w:tc>
        <w:tc>
          <w:tcPr>
            <w:tcW w:w="2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半地下室面积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等线"/>
                <w:color w:val="auto"/>
                <w:sz w:val="22"/>
                <w:szCs w:val="22"/>
                <w:highlight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约0.9万㎡</w:t>
            </w:r>
          </w:p>
        </w:tc>
        <w:tc>
          <w:tcPr>
            <w:tcW w:w="2154"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bl>
    <w:p>
      <w:pPr>
        <w:rPr>
          <w:rFonts w:ascii="仿宋" w:hAnsi="仿宋" w:eastAsia="仿宋"/>
          <w:color w:val="auto"/>
          <w:highlight w:val="none"/>
        </w:rPr>
      </w:pPr>
    </w:p>
    <w:p>
      <w:pPr>
        <w:rPr>
          <w:rFonts w:ascii="仿宋" w:hAnsi="仿宋" w:eastAsia="仿宋"/>
          <w:color w:val="auto"/>
          <w:highlight w:val="none"/>
        </w:rPr>
      </w:pPr>
      <w:r>
        <w:rPr>
          <w:rFonts w:hint="eastAsia" w:ascii="仿宋" w:hAnsi="仿宋" w:eastAsia="仿宋"/>
          <w:color w:val="auto"/>
          <w:highlight w:val="none"/>
        </w:rPr>
        <w:t>立面描述：</w:t>
      </w:r>
    </w:p>
    <w:p>
      <w:pPr>
        <w:rPr>
          <w:rFonts w:ascii="仿宋" w:hAnsi="仿宋" w:eastAsia="仿宋"/>
          <w:color w:val="auto"/>
          <w:highlight w:val="none"/>
        </w:rPr>
      </w:pPr>
      <w:r>
        <w:rPr>
          <w:rFonts w:hint="eastAsia" w:ascii="仿宋" w:hAnsi="仿宋" w:eastAsia="仿宋"/>
          <w:color w:val="auto"/>
          <w:highlight w:val="none"/>
        </w:rPr>
        <w:t>多层</w:t>
      </w:r>
      <w:r>
        <w:rPr>
          <w:rFonts w:ascii="仿宋" w:hAnsi="仿宋" w:eastAsia="仿宋"/>
          <w:color w:val="auto"/>
          <w:highlight w:val="none"/>
        </w:rPr>
        <w:t>结合自然</w:t>
      </w:r>
      <w:r>
        <w:rPr>
          <w:rFonts w:hint="eastAsia" w:ascii="仿宋" w:hAnsi="仿宋" w:eastAsia="仿宋"/>
          <w:color w:val="auto"/>
          <w:highlight w:val="none"/>
        </w:rPr>
        <w:t>、</w:t>
      </w:r>
      <w:r>
        <w:rPr>
          <w:rFonts w:ascii="仿宋" w:hAnsi="仿宋" w:eastAsia="仿宋"/>
          <w:color w:val="auto"/>
          <w:highlight w:val="none"/>
        </w:rPr>
        <w:t>水、石共同形成浓厚岭南特色的建筑体系</w:t>
      </w:r>
      <w:r>
        <w:rPr>
          <w:rFonts w:hint="eastAsia" w:ascii="仿宋" w:hAnsi="仿宋" w:eastAsia="仿宋"/>
          <w:color w:val="auto"/>
          <w:highlight w:val="none"/>
        </w:rPr>
        <w:t>，高层采用传统三段式，延续传统文化建筑特色，高多层建筑协调统一、自然融合，共同创造宜人舒适工作生活环境。</w:t>
      </w:r>
    </w:p>
    <w:p>
      <w:pPr>
        <w:rPr>
          <w:rFonts w:ascii="仿宋" w:hAnsi="仿宋" w:eastAsia="仿宋"/>
          <w:color w:val="auto"/>
          <w:highlight w:val="none"/>
        </w:rPr>
      </w:pPr>
    </w:p>
    <w:p>
      <w:pPr>
        <w:pStyle w:val="36"/>
        <w:rPr>
          <w:color w:val="auto"/>
          <w:highlight w:val="none"/>
        </w:rPr>
      </w:pPr>
    </w:p>
    <w:p>
      <w:pPr>
        <w:pStyle w:val="36"/>
        <w:rPr>
          <w:rFonts w:ascii="仿宋" w:hAnsi="仿宋" w:eastAsia="仿宋"/>
          <w:color w:val="auto"/>
          <w:highlight w:val="none"/>
        </w:rPr>
      </w:pPr>
    </w:p>
    <w:p>
      <w:pPr>
        <w:pStyle w:val="36"/>
        <w:rPr>
          <w:rFonts w:ascii="仿宋" w:hAnsi="仿宋" w:eastAsia="仿宋"/>
          <w:color w:val="auto"/>
          <w:highlight w:val="none"/>
        </w:rPr>
        <w:sectPr>
          <w:pgSz w:w="11906" w:h="16838"/>
          <w:pgMar w:top="1440" w:right="1800" w:bottom="1440" w:left="1800" w:header="851" w:footer="992" w:gutter="0"/>
          <w:cols w:space="425" w:num="1"/>
          <w:docGrid w:type="lines" w:linePitch="312" w:charSpace="0"/>
        </w:sectPr>
      </w:pPr>
    </w:p>
    <w:tbl>
      <w:tblPr>
        <w:tblStyle w:val="38"/>
        <w:tblW w:w="8046" w:type="dxa"/>
        <w:tblInd w:w="93" w:type="dxa"/>
        <w:tblLayout w:type="fixed"/>
        <w:tblCellMar>
          <w:top w:w="0" w:type="dxa"/>
          <w:left w:w="108" w:type="dxa"/>
          <w:bottom w:w="0" w:type="dxa"/>
          <w:right w:w="108" w:type="dxa"/>
        </w:tblCellMar>
      </w:tblPr>
      <w:tblGrid>
        <w:gridCol w:w="693"/>
        <w:gridCol w:w="2010"/>
        <w:gridCol w:w="1194"/>
        <w:gridCol w:w="1641"/>
        <w:gridCol w:w="2508"/>
      </w:tblGrid>
      <w:tr>
        <w:tblPrEx>
          <w:tblCellMar>
            <w:top w:w="0" w:type="dxa"/>
            <w:left w:w="108" w:type="dxa"/>
            <w:bottom w:w="0" w:type="dxa"/>
            <w:right w:w="108" w:type="dxa"/>
          </w:tblCellMar>
        </w:tblPrEx>
        <w:trPr>
          <w:trHeight w:val="559"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楼栋名称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计容面积</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建筑面积</w:t>
            </w:r>
          </w:p>
        </w:tc>
        <w:tc>
          <w:tcPr>
            <w:tcW w:w="2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b/>
                <w:color w:val="auto"/>
                <w:sz w:val="22"/>
                <w:szCs w:val="22"/>
                <w:highlight w:val="none"/>
              </w:rPr>
            </w:pPr>
            <w:r>
              <w:rPr>
                <w:rFonts w:hint="eastAsia" w:ascii="仿宋" w:hAnsi="仿宋" w:eastAsia="仿宋" w:cs="等线"/>
                <w:b/>
                <w:color w:val="auto"/>
                <w:kern w:val="0"/>
                <w:sz w:val="22"/>
                <w:szCs w:val="22"/>
                <w:highlight w:val="none"/>
                <w:lang w:bidi="ar"/>
              </w:rPr>
              <w:t>备注</w:t>
            </w:r>
          </w:p>
        </w:tc>
      </w:tr>
      <w:tr>
        <w:tblPrEx>
          <w:tblCellMar>
            <w:top w:w="0" w:type="dxa"/>
            <w:left w:w="108" w:type="dxa"/>
            <w:bottom w:w="0" w:type="dxa"/>
            <w:right w:w="108" w:type="dxa"/>
          </w:tblCellMar>
        </w:tblPrEx>
        <w:trPr>
          <w:trHeight w:val="1847"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无人机/无人车生产厂房</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约5.85万㎡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约2.78万㎡</w:t>
            </w:r>
          </w:p>
        </w:tc>
        <w:tc>
          <w:tcPr>
            <w:tcW w:w="2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0"/>
                <w:szCs w:val="20"/>
                <w:highlight w:val="none"/>
                <w:lang w:bidi="ar"/>
              </w:rPr>
              <w:t>无人车总装车间，（包括轻型、中型无人车维修工位、轻型、中型无人车停车位、小型履带无人车停车位、车辆独立总装车间、焊装区域、喷涂车间、拆解区域、仓库储物间、配备吊装重量10吨以上的龙门吊、预留机加工车间）；无人机总装车间，（包含独立总装车间、无人机机库/维修间、仓库储物间等）；单件组装车间；辅助区域及实验室；另需设置无人机室内飞行测试区域，总面积600㎡以上，15m净高，内部无柱空间。</w:t>
            </w:r>
          </w:p>
        </w:tc>
      </w:tr>
      <w:tr>
        <w:tblPrEx>
          <w:tblCellMar>
            <w:top w:w="0" w:type="dxa"/>
            <w:left w:w="108" w:type="dxa"/>
            <w:bottom w:w="0" w:type="dxa"/>
            <w:right w:w="108" w:type="dxa"/>
          </w:tblCellMar>
        </w:tblPrEx>
        <w:trPr>
          <w:trHeight w:val="1734"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北斗产业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约4.24万㎡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约2.01万㎡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1683"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北斗产业</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约4.09万㎡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约1.94万㎡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172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电子制造厂房</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约1.74万㎡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约1.23万㎡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167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电子制造厂房</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约1.71万㎡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约1.22万㎡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167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低轨卫星互联网大楼</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约4.82万㎡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约2.3万㎡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r>
        <w:tblPrEx>
          <w:tblCellMar>
            <w:top w:w="0" w:type="dxa"/>
            <w:left w:w="108" w:type="dxa"/>
            <w:bottom w:w="0" w:type="dxa"/>
            <w:right w:w="108" w:type="dxa"/>
          </w:tblCellMar>
        </w:tblPrEx>
        <w:trPr>
          <w:trHeight w:val="168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3-7#</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智造中心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约6.1万㎡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等线"/>
                <w:color w:val="auto"/>
                <w:sz w:val="22"/>
                <w:szCs w:val="22"/>
                <w:highlight w:val="none"/>
              </w:rPr>
            </w:pPr>
            <w:r>
              <w:rPr>
                <w:rFonts w:hint="eastAsia" w:ascii="仿宋" w:hAnsi="仿宋" w:eastAsia="仿宋" w:cs="等线"/>
                <w:color w:val="auto"/>
                <w:kern w:val="0"/>
                <w:sz w:val="22"/>
                <w:szCs w:val="22"/>
                <w:highlight w:val="none"/>
                <w:lang w:bidi="ar"/>
              </w:rPr>
              <w:t>约2.93万㎡</w:t>
            </w:r>
          </w:p>
        </w:tc>
        <w:tc>
          <w:tcPr>
            <w:tcW w:w="2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等线"/>
                <w:color w:val="auto"/>
                <w:sz w:val="22"/>
                <w:szCs w:val="22"/>
                <w:highlight w:val="none"/>
              </w:rPr>
            </w:pPr>
          </w:p>
        </w:tc>
      </w:tr>
    </w:tbl>
    <w:p>
      <w:pPr>
        <w:rPr>
          <w:rFonts w:ascii="仿宋" w:hAnsi="仿宋" w:eastAsia="仿宋"/>
          <w:color w:val="auto"/>
          <w:highlight w:val="none"/>
        </w:rPr>
      </w:pPr>
    </w:p>
    <w:p>
      <w:pPr>
        <w:rPr>
          <w:rFonts w:ascii="仿宋" w:hAnsi="仿宋" w:eastAsia="仿宋"/>
          <w:color w:val="auto"/>
          <w:highlight w:val="none"/>
        </w:rPr>
      </w:pPr>
      <w:r>
        <w:rPr>
          <w:rFonts w:hint="eastAsia" w:ascii="仿宋" w:hAnsi="仿宋" w:eastAsia="仿宋"/>
          <w:color w:val="auto"/>
          <w:highlight w:val="none"/>
        </w:rPr>
        <w:t>立面描述：</w:t>
      </w:r>
    </w:p>
    <w:p>
      <w:pPr>
        <w:rPr>
          <w:rFonts w:ascii="仿宋" w:hAnsi="仿宋" w:eastAsia="仿宋"/>
          <w:color w:val="auto"/>
          <w:highlight w:val="none"/>
        </w:rPr>
      </w:pPr>
      <w:r>
        <w:rPr>
          <w:rFonts w:hint="eastAsia" w:ascii="仿宋" w:hAnsi="仿宋" w:eastAsia="仿宋"/>
          <w:color w:val="auto"/>
          <w:highlight w:val="none"/>
        </w:rPr>
        <w:t>1.高层厂房：合理运用体块之间穿插、嵌套、咬合的设计手法表达建筑立面关系，立面立体层次感强。色彩可采用异色混搭组合的方式，表现外观的明快、简洁风格，强调海格精神。材质可采用真石漆或金属漆，增强立面肌理细节和丰富度；</w:t>
      </w:r>
    </w:p>
    <w:p>
      <w:pPr>
        <w:rPr>
          <w:rFonts w:ascii="仿宋" w:hAnsi="仿宋" w:eastAsia="仿宋"/>
          <w:color w:val="auto"/>
          <w:highlight w:val="none"/>
        </w:rPr>
      </w:pPr>
      <w:r>
        <w:rPr>
          <w:rFonts w:hint="eastAsia" w:ascii="仿宋" w:hAnsi="仿宋" w:eastAsia="仿宋"/>
          <w:color w:val="auto"/>
          <w:highlight w:val="none"/>
        </w:rPr>
        <w:t>2.多层厂房：立面可考虑与高层厂房差异化处理，形成对比。造型突出建筑的简洁、雕塑感，富有力量感，带有显著标志性，可采用折角、挑出、悬空的设计手法；材质简洁而富有肌理感，通过肌理的微变化，增加立面的丰富度与精致度；</w:t>
      </w:r>
    </w:p>
    <w:p>
      <w:pPr>
        <w:pStyle w:val="36"/>
        <w:rPr>
          <w:color w:val="auto"/>
          <w:highlight w:val="none"/>
        </w:rPr>
        <w:sectPr>
          <w:pgSz w:w="11906" w:h="16838"/>
          <w:pgMar w:top="1440" w:right="1800" w:bottom="1440" w:left="1800" w:header="851" w:footer="992" w:gutter="0"/>
          <w:cols w:space="425" w:num="1"/>
          <w:docGrid w:type="lines" w:linePitch="312" w:charSpace="0"/>
        </w:sectPr>
      </w:pPr>
    </w:p>
    <w:p>
      <w:pPr>
        <w:pStyle w:val="36"/>
        <w:rPr>
          <w:color w:val="auto"/>
          <w:highlight w:val="none"/>
        </w:rPr>
      </w:pPr>
    </w:p>
    <w:p>
      <w:pPr>
        <w:spacing w:line="400" w:lineRule="exact"/>
        <w:ind w:firstLine="422" w:firstLineChars="200"/>
        <w:outlineLvl w:val="1"/>
        <w:rPr>
          <w:rFonts w:ascii="仿宋" w:hAnsi="仿宋" w:eastAsia="仿宋" w:cs="仿宋"/>
          <w:b/>
          <w:bCs/>
          <w:color w:val="auto"/>
          <w:highlight w:val="none"/>
        </w:rPr>
      </w:pPr>
      <w:bookmarkStart w:id="540" w:name="_Toc2365"/>
      <w:r>
        <w:rPr>
          <w:rFonts w:hint="eastAsia" w:ascii="仿宋" w:hAnsi="仿宋" w:eastAsia="仿宋" w:cs="仿宋"/>
          <w:b/>
          <w:bCs/>
          <w:color w:val="auto"/>
          <w:highlight w:val="none"/>
        </w:rPr>
        <w:t>（四）结构设计</w:t>
      </w:r>
      <w:bookmarkEnd w:id="540"/>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包括设计范围内建筑体的结构设计；结构设计一般要求如下：</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1、结构设计基准期为50年，结构设计使用年限为50年。</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2、具体抗震等级应根据具体部位的设防类别、烈度、结构类型和建筑高度确定。</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3、风荷载按50年一遇的基本风压取值。特殊结构的风荷载体型系数应通过风洞试验确定。</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4、抗震设防类别按现行《建筑工程抗震设防分类标准》GB50223取值；抗震设防烈度、地震加速度、设计地震分组按现行《建筑抗震设计规范》GB50011确定；设计特征周期、建筑场地类别按地勘报告确定。</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5、结构设计应充分考虑广州地区建筑物抗震设防的特点，选择对抗震有利的结构体系，力求受力合理、安全可靠、舒适环保、节能、美观、经济耐用。建筑结构材料合理采用高性能混凝土、高强度钢。</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6、防空地下室的设防等级与规模应符合民防主管部门的批复文件。</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7、结构设计应阐述对特殊施工条件及验收标准的要求。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8、进行结构计算时，所使用的软件应通过有关部门的鉴定，计算软件的技术条件应符合现行工程建设标准的规定。当结构体系复杂时，结构分析采用不少于两个不同的力学模型的软件进行计算，并对其计算结果分析比较，确认合理有效后方可用于工程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9、对于复杂结构，如转换层、大悬臂等应进行必要的有限元分析。</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10、结构上应按照《建筑地基基础设计规范》GB 50007，根据建筑和地基类型确定地基基础设计等级。基础设计必须根据审查合格的工程地质勘察详细报告和物探报告进行。基础选型应根据工程地质和水文条件、建筑体型、荷载分布情况、施工条件，选择经济合理的基础形式。</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11、在设计选材时考虑材料的可循环使用性能。</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12、新型结构或材料应进行试验或振动台试验进行验证。</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13、如有需要，应配合进行超限建筑工程抗震设防专项审查。</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14、选型设计及施工时尽量减少对周围环境的影响。</w:t>
      </w:r>
    </w:p>
    <w:p>
      <w:pPr>
        <w:pStyle w:val="36"/>
        <w:rPr>
          <w:color w:val="auto"/>
          <w:highlight w:val="none"/>
        </w:rPr>
      </w:pPr>
    </w:p>
    <w:p>
      <w:pPr>
        <w:spacing w:line="400" w:lineRule="exact"/>
        <w:ind w:firstLine="422" w:firstLineChars="200"/>
        <w:outlineLvl w:val="1"/>
        <w:rPr>
          <w:rFonts w:ascii="仿宋" w:hAnsi="仿宋" w:eastAsia="仿宋" w:cs="仿宋"/>
          <w:b/>
          <w:bCs/>
          <w:color w:val="auto"/>
          <w:highlight w:val="none"/>
        </w:rPr>
      </w:pPr>
      <w:bookmarkStart w:id="541" w:name="_Toc19021"/>
      <w:r>
        <w:rPr>
          <w:rFonts w:hint="eastAsia" w:ascii="仿宋" w:hAnsi="仿宋" w:eastAsia="仿宋" w:cs="仿宋"/>
          <w:b/>
          <w:bCs/>
          <w:color w:val="auto"/>
          <w:highlight w:val="none"/>
        </w:rPr>
        <w:t>（五）电气设计</w:t>
      </w:r>
      <w:bookmarkEnd w:id="541"/>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包括但不限于高低压变配电系统、动力配电系统、照明及其配电系统、消防应急照明和疏散指示系统、火灾自动报警系统、电气火灾监控系统、防雷及接地系统、景观道路照明工程等。</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1、设计说明和施工图应完整；设计说明中要列出各用电的负荷等级（供配电设计依据）。</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2、工程总负荷计算和分路负荷计算：供、配电系统的设计中，须标注出装机容量、平均功率因数、需用系数、计算容量、计算电流，供电负荷计算电流。</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3、电缆沟、电缆桥架内电缆应标注回路编号；表示线缆在电缆沟、电缆桥架内敷设情况。</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4、末端配电系统应详细注明用途和容量；例如变配电室照明，地下车库排风机等。配电箱、盘（包括预留）符号或代号标注应有文字及图例说明。</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5、嵌墙安装的配电箱应提供安装高度。</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应按《建设工程质量管理条例》第二十二条注明设备规格、型号、性能等技术参数与数量，但不得指定制造商和供应商，不得使用淘汰产品，一般情况下，设计中对低压断路器不得标注具体型号。对0.4kV低压断路器的表示为：ACB—框架断路器MCCB—塑壳断路器、MCB—微型断路器、ATS—PC级双电源切换装置、RCD—带剩余电流保护的断路器。</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7、设计中应详细给出断路器等配电柜、箱内主要元器件的主要技术参数及相关整定值，明确变压器、发电机组或其他应急电源设备主要技术参数；明确高、低压配电柜母排等主要技术参数。对在设计中有连锁等方面控制要求的设备，应提供设计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8、对设计中阻燃及耐火电缆的标示：采用最新实施的规范中推荐的方式。</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9、建筑物防雷接地设计应提供引下线布置图。</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10、应采取恰当的技术措施及选用适宜的电气设备及照明设备，达到节能的效果。</w:t>
      </w:r>
    </w:p>
    <w:p>
      <w:pPr>
        <w:spacing w:line="400" w:lineRule="exact"/>
        <w:ind w:firstLine="422" w:firstLineChars="200"/>
        <w:outlineLvl w:val="1"/>
        <w:rPr>
          <w:rFonts w:ascii="仿宋" w:hAnsi="仿宋" w:eastAsia="仿宋" w:cs="仿宋"/>
          <w:b/>
          <w:bCs/>
          <w:color w:val="auto"/>
          <w:highlight w:val="none"/>
        </w:rPr>
      </w:pPr>
      <w:bookmarkStart w:id="542" w:name="_Toc19636"/>
      <w:r>
        <w:rPr>
          <w:rFonts w:hint="eastAsia" w:ascii="仿宋" w:hAnsi="仿宋" w:eastAsia="仿宋" w:cs="仿宋"/>
          <w:b/>
          <w:bCs/>
          <w:color w:val="auto"/>
          <w:highlight w:val="none"/>
        </w:rPr>
        <w:t>（六）建筑智能化设计</w:t>
      </w:r>
      <w:bookmarkEnd w:id="542"/>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建筑智能化各子系统的设计应保证为当时先进、成熟的技术。各子系统在设计时，应充分考虑其兼容性、扩展性和先进性。本项目所有智能化系统设计内容，包括但不限于以下系统：</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1、信息网络系统包括：综合布线系统（包括计算机网络系统、语音网络系统布线等）、有线电视系统、公共广播系统、信息发布（含大屏幕电子公告）及导引系统等。</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2、建筑设备监控系统：设置设备监控系统、电力监控及能耗监测系统、智能照明控制系统等对其内部的动力、电力、空调、给排水、电梯、停车库、照明等机电设备进行监视、控制、协调、运行管理。</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3、安全防范系统包括：入侵报警系统、视频监控系统、出入口控制系统、停车场管理系统。</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4、智慧园区综合管理系统：包括安全管理、能耗管理、服务管理、环保管理，打造安全、智慧、绿色的智慧园区。</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5、火灾自动报警系统（包括：手动、自动报警系统、联动控制系统、紧急广播系统、消防电话等）</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5、智能化系统配电及防雷接地</w:t>
      </w:r>
    </w:p>
    <w:p>
      <w:pPr>
        <w:spacing w:line="400" w:lineRule="exact"/>
        <w:rPr>
          <w:rFonts w:ascii="仿宋" w:hAnsi="仿宋" w:eastAsia="仿宋" w:cs="仿宋"/>
          <w:color w:val="auto"/>
          <w:highlight w:val="none"/>
        </w:rPr>
      </w:pPr>
      <w:r>
        <w:rPr>
          <w:rFonts w:hint="eastAsia" w:ascii="仿宋" w:hAnsi="仿宋" w:eastAsia="仿宋" w:cs="仿宋"/>
          <w:color w:val="auto"/>
          <w:highlight w:val="none"/>
        </w:rPr>
        <w:t>6、弱电机房工程</w:t>
      </w:r>
    </w:p>
    <w:p>
      <w:pPr>
        <w:spacing w:line="400" w:lineRule="exact"/>
        <w:rPr>
          <w:rFonts w:ascii="仿宋" w:hAnsi="仿宋" w:eastAsia="仿宋" w:cs="仿宋"/>
          <w:color w:val="auto"/>
          <w:highlight w:val="none"/>
        </w:rPr>
      </w:pPr>
    </w:p>
    <w:p>
      <w:pPr>
        <w:pStyle w:val="36"/>
        <w:rPr>
          <w:color w:val="auto"/>
          <w:highlight w:val="none"/>
        </w:rPr>
      </w:pPr>
    </w:p>
    <w:p>
      <w:pPr>
        <w:spacing w:line="400" w:lineRule="exact"/>
        <w:ind w:firstLine="422" w:firstLineChars="200"/>
        <w:outlineLvl w:val="1"/>
        <w:rPr>
          <w:rFonts w:ascii="仿宋" w:hAnsi="仿宋" w:eastAsia="仿宋" w:cs="仿宋"/>
          <w:b/>
          <w:bCs/>
          <w:color w:val="auto"/>
          <w:highlight w:val="none"/>
        </w:rPr>
      </w:pPr>
      <w:bookmarkStart w:id="543" w:name="_Toc25702"/>
      <w:r>
        <w:rPr>
          <w:rFonts w:hint="eastAsia" w:ascii="仿宋" w:hAnsi="仿宋" w:eastAsia="仿宋" w:cs="仿宋"/>
          <w:b/>
          <w:bCs/>
          <w:color w:val="auto"/>
          <w:highlight w:val="none"/>
        </w:rPr>
        <w:t>（七）建筑给排水设计</w:t>
      </w:r>
      <w:bookmarkEnd w:id="543"/>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包括但不限于本项目用地范围内室内外给排水系统设计（建筑给水、中水、排水、热水系统等）、用地内与市政管道的接驳、路由等满足通水的所有设计、消防给水系统设计、气体消防设计等。</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1、建筑给水排水设计应设室内外给排水及消防给水系统，以满足生活、空调、冲洗道路和绿化、及消防用水的要求。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 xml:space="preserve">2、根据城市排水体制，生活污水与雨水分系统排入市政污水管道与雨水管道，生活污水中的粪水经室外化粪池处理后排至市政污水管道，厨房餐饮污水经隔油处理达到《城市污水排放标准》后排至室外污水管道。 </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3、采用节水型卫生器具。绿化灌溉宜采用滴灌、微灌、渗灌或管灌等节水浇灌方式，以满足绿色建筑设计要求。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4、建筑设备选型应考虑技术先进、维护方便、经济合理的原则；体现科技、环保、可持续发展的理念。</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5、根据国家有关规范和广东省标准及所提供的资料对消防系统进行设计，包括但不限于室外消火栓系统、室内消火栓系统、自动喷水灭火系统、气体灭火系统和建筑灭火器配置等设计。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6.设备房设计需考虑给排水设备的选用、布置应符合国家节能、安全、高效的要求，充分体现绿色、科技等运维的效果。</w:t>
      </w:r>
    </w:p>
    <w:p>
      <w:pPr>
        <w:spacing w:line="400" w:lineRule="exact"/>
        <w:ind w:firstLine="422" w:firstLineChars="200"/>
        <w:outlineLvl w:val="1"/>
        <w:rPr>
          <w:rFonts w:ascii="仿宋" w:hAnsi="仿宋" w:eastAsia="仿宋" w:cs="仿宋"/>
          <w:b/>
          <w:bCs/>
          <w:color w:val="auto"/>
          <w:highlight w:val="none"/>
        </w:rPr>
      </w:pPr>
      <w:bookmarkStart w:id="544" w:name="_Toc12682"/>
      <w:r>
        <w:rPr>
          <w:rFonts w:hint="eastAsia" w:ascii="仿宋" w:hAnsi="仿宋" w:eastAsia="仿宋" w:cs="仿宋"/>
          <w:b/>
          <w:bCs/>
          <w:color w:val="auto"/>
          <w:highlight w:val="none"/>
        </w:rPr>
        <w:t>（八）暖通设计</w:t>
      </w:r>
      <w:bookmarkEnd w:id="544"/>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包括但不限于建筑物内部空气调节系统（含供冷供热、集中、半集中、分散等形式）、通风系统设计（包括厨房等通风设计）、防排烟消防设计等。</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1、采暖通风与空气调节设计应符合现行《民用建筑供暖通风与空气调节设计规范》GB50736、《建筑工程设计文件编制深度》（2016年版）的规定。</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2、应结合不同区域的空间大小、使用特点进行设计，确保环保节能、使用灵活、计费方便。</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3、所有空调制冷设备、消防设备中的有关冷制剂不得采用对臭氧层破坏的物质，相关选材和型号应符合国家环保要求。</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w:t>
      </w:r>
      <w:r>
        <w:rPr>
          <w:rFonts w:ascii="仿宋" w:hAnsi="仿宋" w:eastAsia="仿宋" w:cs="仿宋"/>
          <w:color w:val="auto"/>
          <w:highlight w:val="none"/>
        </w:rPr>
        <w:t>根据项目自身特点合理设置冷源</w:t>
      </w:r>
      <w:r>
        <w:rPr>
          <w:rFonts w:hint="eastAsia" w:ascii="仿宋" w:hAnsi="仿宋" w:eastAsia="仿宋" w:cs="仿宋"/>
          <w:color w:val="auto"/>
          <w:highlight w:val="none"/>
        </w:rPr>
        <w:t>。</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5、空调系统与设备的选型应考虑技术先进、维护方便、持久、经济合理的成本效益原则；体现科技、环保、节能、可持续发展的理念。</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6、本次空调系统</w:t>
      </w:r>
      <w:r>
        <w:rPr>
          <w:rFonts w:ascii="仿宋" w:hAnsi="仿宋" w:eastAsia="仿宋" w:cs="仿宋"/>
          <w:color w:val="auto"/>
          <w:highlight w:val="none"/>
        </w:rPr>
        <w:t>设计</w:t>
      </w:r>
      <w:r>
        <w:rPr>
          <w:rFonts w:hint="eastAsia" w:ascii="仿宋" w:hAnsi="仿宋" w:eastAsia="仿宋" w:cs="仿宋"/>
          <w:color w:val="auto"/>
          <w:highlight w:val="none"/>
        </w:rPr>
        <w:t>范围</w:t>
      </w:r>
      <w:r>
        <w:rPr>
          <w:rFonts w:hint="eastAsia" w:ascii="仿宋" w:hAnsi="仿宋" w:eastAsia="仿宋" w:cs="仿宋"/>
          <w:b/>
          <w:color w:val="auto"/>
          <w:highlight w:val="none"/>
        </w:rPr>
        <w:t>不包括</w:t>
      </w:r>
      <w:r>
        <w:rPr>
          <w:rFonts w:hint="eastAsia" w:ascii="仿宋" w:hAnsi="仿宋" w:eastAsia="仿宋" w:cs="仿宋"/>
          <w:color w:val="auto"/>
          <w:highlight w:val="none"/>
        </w:rPr>
        <w:t>以下区域：</w:t>
      </w:r>
    </w:p>
    <w:p>
      <w:pPr>
        <w:spacing w:line="400" w:lineRule="exact"/>
        <w:ind w:firstLine="420" w:firstLineChars="200"/>
        <w:rPr>
          <w:rFonts w:ascii="仿宋" w:hAnsi="仿宋" w:eastAsia="仿宋" w:cs="仿宋"/>
          <w:color w:val="auto"/>
          <w:highlight w:val="none"/>
        </w:rPr>
      </w:pPr>
      <w:r>
        <w:rPr>
          <w:rFonts w:ascii="仿宋" w:hAnsi="仿宋" w:eastAsia="仿宋" w:cs="仿宋"/>
          <w:color w:val="auto"/>
          <w:highlight w:val="none"/>
        </w:rPr>
        <w:t>2-1#~2-2#</w:t>
      </w:r>
      <w:r>
        <w:rPr>
          <w:rFonts w:hint="eastAsia" w:ascii="仿宋" w:hAnsi="仿宋" w:eastAsia="仿宋" w:cs="仿宋"/>
          <w:color w:val="auto"/>
          <w:highlight w:val="none"/>
        </w:rPr>
        <w:t>、</w:t>
      </w:r>
      <w:r>
        <w:rPr>
          <w:rFonts w:ascii="仿宋" w:hAnsi="仿宋" w:eastAsia="仿宋" w:cs="仿宋"/>
          <w:color w:val="auto"/>
          <w:highlight w:val="none"/>
        </w:rPr>
        <w:t>2-5#~2-6#</w:t>
      </w:r>
      <w:r>
        <w:rPr>
          <w:rFonts w:hint="eastAsia" w:ascii="仿宋" w:hAnsi="仿宋" w:eastAsia="仿宋" w:cs="仿宋"/>
          <w:color w:val="auto"/>
          <w:highlight w:val="none"/>
        </w:rPr>
        <w:t>、</w:t>
      </w:r>
      <w:r>
        <w:rPr>
          <w:rFonts w:ascii="仿宋" w:hAnsi="仿宋" w:eastAsia="仿宋" w:cs="仿宋"/>
          <w:color w:val="auto"/>
          <w:highlight w:val="none"/>
        </w:rPr>
        <w:t>3-2#~3-7#</w:t>
      </w:r>
      <w:r>
        <w:rPr>
          <w:rFonts w:hint="eastAsia" w:ascii="仿宋" w:hAnsi="仿宋" w:eastAsia="仿宋" w:cs="仿宋"/>
          <w:color w:val="auto"/>
          <w:highlight w:val="none"/>
        </w:rPr>
        <w:t>。</w:t>
      </w:r>
    </w:p>
    <w:p>
      <w:pPr>
        <w:rPr>
          <w:color w:val="auto"/>
          <w:highlight w:val="none"/>
        </w:rPr>
      </w:pPr>
      <w:r>
        <w:rPr>
          <w:rFonts w:hint="eastAsia"/>
          <w:color w:val="auto"/>
          <w:highlight w:val="none"/>
        </w:rPr>
        <w:t xml:space="preserve">                                                                                                                                                                                                                                                                                                                                                                                                                                                                                                                                                                                                                                                                                                                                                                                                                                                                                                                                                                                                                                                                                                                                                                                                                                                                                                                                                                                                                                                                                                                                                                                                                                                                        </w:t>
      </w:r>
    </w:p>
    <w:p>
      <w:pPr>
        <w:spacing w:line="400" w:lineRule="exact"/>
        <w:ind w:firstLine="420" w:firstLineChars="200"/>
        <w:rPr>
          <w:rFonts w:ascii="仿宋" w:hAnsi="仿宋" w:eastAsia="仿宋" w:cs="仿宋"/>
          <w:color w:val="auto"/>
          <w:highlight w:val="none"/>
        </w:rPr>
      </w:pPr>
    </w:p>
    <w:p>
      <w:pPr>
        <w:spacing w:line="400" w:lineRule="exact"/>
        <w:ind w:firstLine="422" w:firstLineChars="200"/>
        <w:outlineLvl w:val="1"/>
        <w:rPr>
          <w:rFonts w:ascii="仿宋" w:hAnsi="仿宋" w:eastAsia="仿宋" w:cs="仿宋"/>
          <w:b/>
          <w:bCs/>
          <w:color w:val="auto"/>
          <w:highlight w:val="none"/>
        </w:rPr>
      </w:pPr>
      <w:bookmarkStart w:id="545" w:name="_Toc31393"/>
      <w:r>
        <w:rPr>
          <w:rFonts w:hint="eastAsia" w:ascii="仿宋" w:hAnsi="仿宋" w:eastAsia="仿宋" w:cs="仿宋"/>
          <w:b/>
          <w:bCs/>
          <w:color w:val="auto"/>
          <w:highlight w:val="none"/>
        </w:rPr>
        <w:t>（九）消防设计</w:t>
      </w:r>
      <w:bookmarkEnd w:id="545"/>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1、建筑消防水池及消防泵房设在地下室，消防水泵房设甲级防火门并直通安全出口。</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2、建筑物内走道、楼梯、安全出口宽度、安全出口数量及安全疏散距离均按消防有关规范设计。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3、各种构配件其燃烧性能及耐火极限均满足规范要求。防火卷帘、防火门窗等设备设施满足规范及消防部门要求即可，不得随意提高等级。</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4、消防设计应主动配合甲方与当地消防部门沟通，配合甲方进行性能化设计，并根据消防部门意见合理进行消防设计。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5、其余按照《建筑设计防火规范》GB50016-2014（2018版）及国家、地方等相关规范进行设计及施工配合。</w:t>
      </w:r>
    </w:p>
    <w:p>
      <w:pPr>
        <w:spacing w:line="400" w:lineRule="exact"/>
        <w:ind w:firstLine="422" w:firstLineChars="200"/>
        <w:outlineLvl w:val="1"/>
        <w:rPr>
          <w:rFonts w:ascii="仿宋" w:hAnsi="仿宋" w:eastAsia="仿宋" w:cs="仿宋"/>
          <w:b/>
          <w:bCs/>
          <w:color w:val="auto"/>
          <w:highlight w:val="none"/>
        </w:rPr>
      </w:pPr>
      <w:bookmarkStart w:id="546" w:name="_Toc1603"/>
      <w:r>
        <w:rPr>
          <w:rFonts w:hint="eastAsia" w:ascii="仿宋" w:hAnsi="仿宋" w:eastAsia="仿宋" w:cs="仿宋"/>
          <w:b/>
          <w:bCs/>
          <w:color w:val="auto"/>
          <w:highlight w:val="none"/>
        </w:rPr>
        <w:t>（十）景观环境空间设计</w:t>
      </w:r>
      <w:bookmarkEnd w:id="546"/>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景观环境设计应充分考虑周边现状不利因素，在地形地貌的基础上，结合项目的交通设计、场地设计，形成区域环境有特色</w:t>
      </w:r>
      <w:r>
        <w:rPr>
          <w:rFonts w:hint="eastAsia" w:ascii="仿宋" w:hAnsi="仿宋" w:eastAsia="仿宋" w:cs="仿宋"/>
          <w:color w:val="auto"/>
          <w:highlight w:val="none"/>
          <w:lang w:eastAsia="zh-CN"/>
        </w:rPr>
        <w:t>，主要节点需考虑泛光照明</w:t>
      </w:r>
      <w:r>
        <w:rPr>
          <w:rFonts w:hint="eastAsia" w:ascii="仿宋" w:hAnsi="仿宋" w:eastAsia="仿宋" w:cs="仿宋"/>
          <w:color w:val="auto"/>
          <w:highlight w:val="none"/>
        </w:rPr>
        <w:t>。并根据绿色建筑建设的要求选择适宜当地气候和土壤条件的乡土植物，且采用包含乔木、灌木的复层绿化。便于后期管养。</w:t>
      </w:r>
    </w:p>
    <w:p>
      <w:pPr>
        <w:spacing w:line="400" w:lineRule="exact"/>
        <w:ind w:firstLine="422" w:firstLineChars="200"/>
        <w:outlineLvl w:val="1"/>
        <w:rPr>
          <w:rFonts w:ascii="仿宋" w:hAnsi="仿宋" w:eastAsia="仿宋" w:cs="仿宋"/>
          <w:b/>
          <w:bCs/>
          <w:color w:val="auto"/>
          <w:highlight w:val="none"/>
        </w:rPr>
      </w:pPr>
      <w:bookmarkStart w:id="547" w:name="_Toc1372"/>
      <w:r>
        <w:rPr>
          <w:rFonts w:hint="eastAsia" w:ascii="仿宋" w:hAnsi="仿宋" w:eastAsia="仿宋" w:cs="仿宋"/>
          <w:b/>
          <w:bCs/>
          <w:color w:val="auto"/>
          <w:highlight w:val="none"/>
        </w:rPr>
        <w:t>（十一）室内装修设计</w:t>
      </w:r>
      <w:bookmarkEnd w:id="547"/>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装修范围包括以下部分：</w:t>
      </w:r>
    </w:p>
    <w:p>
      <w:pPr>
        <w:spacing w:line="400" w:lineRule="exact"/>
        <w:ind w:firstLine="420" w:firstLineChars="200"/>
        <w:rPr>
          <w:rFonts w:ascii="仿宋" w:hAnsi="仿宋" w:eastAsia="仿宋" w:cs="仿宋"/>
          <w:color w:val="auto"/>
          <w:highlight w:val="none"/>
        </w:rPr>
      </w:pPr>
      <w:r>
        <w:rPr>
          <w:rFonts w:ascii="仿宋" w:hAnsi="仿宋" w:eastAsia="仿宋" w:cs="仿宋"/>
          <w:color w:val="auto"/>
          <w:highlight w:val="none"/>
        </w:rPr>
        <w:t>1-1#公共区域精装、1-1#</w:t>
      </w:r>
      <w:r>
        <w:rPr>
          <w:rFonts w:hint="eastAsia" w:ascii="仿宋" w:hAnsi="仿宋" w:eastAsia="仿宋" w:cs="仿宋"/>
          <w:color w:val="auto"/>
          <w:highlight w:val="none"/>
        </w:rPr>
        <w:t xml:space="preserve"> 16</w:t>
      </w:r>
      <w:r>
        <w:rPr>
          <w:rFonts w:ascii="仿宋" w:hAnsi="仿宋" w:eastAsia="仿宋" w:cs="仿宋"/>
          <w:color w:val="auto"/>
          <w:highlight w:val="none"/>
        </w:rPr>
        <w:t>~17层精装</w:t>
      </w:r>
      <w:r>
        <w:rPr>
          <w:rFonts w:hint="eastAsia" w:ascii="仿宋" w:hAnsi="仿宋" w:eastAsia="仿宋" w:cs="仿宋"/>
          <w:color w:val="auto"/>
          <w:highlight w:val="none"/>
        </w:rPr>
        <w:t>，</w:t>
      </w:r>
      <w:r>
        <w:rPr>
          <w:rFonts w:ascii="仿宋" w:hAnsi="仿宋" w:eastAsia="仿宋" w:cs="仿宋"/>
          <w:color w:val="auto"/>
          <w:highlight w:val="none"/>
        </w:rPr>
        <w:t>其余简装</w:t>
      </w:r>
      <w:r>
        <w:rPr>
          <w:rFonts w:hint="eastAsia" w:ascii="仿宋" w:hAnsi="仿宋" w:eastAsia="仿宋" w:cs="仿宋"/>
          <w:color w:val="auto"/>
          <w:highlight w:val="none"/>
        </w:rPr>
        <w:t>；</w:t>
      </w:r>
    </w:p>
    <w:p>
      <w:pPr>
        <w:spacing w:line="400" w:lineRule="exact"/>
        <w:ind w:left="630" w:leftChars="200" w:hanging="210" w:hangingChars="100"/>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2</w:t>
      </w:r>
      <w:r>
        <w:rPr>
          <w:rFonts w:ascii="仿宋" w:hAnsi="仿宋" w:eastAsia="仿宋" w:cs="仿宋"/>
          <w:color w:val="auto"/>
          <w:highlight w:val="none"/>
        </w:rPr>
        <w:t>#~1-3#</w:t>
      </w:r>
      <w:r>
        <w:rPr>
          <w:rFonts w:hint="eastAsia" w:ascii="仿宋" w:hAnsi="仿宋" w:eastAsia="仿宋" w:cs="仿宋"/>
          <w:color w:val="auto"/>
          <w:highlight w:val="none"/>
        </w:rPr>
        <w:t>精装；</w:t>
      </w:r>
    </w:p>
    <w:p>
      <w:pPr>
        <w:spacing w:line="400" w:lineRule="exact"/>
        <w:ind w:left="630" w:leftChars="200" w:hanging="210" w:hangingChars="100"/>
        <w:rPr>
          <w:rFonts w:ascii="仿宋" w:hAnsi="仿宋" w:eastAsia="仿宋" w:cs="仿宋"/>
          <w:color w:val="auto"/>
          <w:highlight w:val="none"/>
        </w:rPr>
      </w:pPr>
      <w:r>
        <w:rPr>
          <w:rFonts w:ascii="仿宋" w:hAnsi="仿宋" w:eastAsia="仿宋" w:cs="仿宋"/>
          <w:color w:val="auto"/>
          <w:highlight w:val="none"/>
        </w:rPr>
        <w:t>1-4#精装</w:t>
      </w:r>
      <w:r>
        <w:rPr>
          <w:rFonts w:hint="eastAsia" w:ascii="仿宋" w:hAnsi="仿宋" w:eastAsia="仿宋" w:cs="仿宋"/>
          <w:color w:val="auto"/>
          <w:highlight w:val="none"/>
        </w:rPr>
        <w:t>；</w:t>
      </w:r>
    </w:p>
    <w:p>
      <w:pPr>
        <w:spacing w:line="400" w:lineRule="exact"/>
        <w:ind w:left="630" w:leftChars="200" w:hanging="210" w:hangingChars="100"/>
        <w:rPr>
          <w:rFonts w:ascii="仿宋" w:hAnsi="仿宋" w:eastAsia="仿宋" w:cs="仿宋"/>
          <w:color w:val="auto"/>
          <w:highlight w:val="none"/>
        </w:rPr>
      </w:pPr>
      <w:r>
        <w:rPr>
          <w:rFonts w:ascii="仿宋" w:hAnsi="仿宋" w:eastAsia="仿宋" w:cs="仿宋"/>
          <w:color w:val="auto"/>
          <w:highlight w:val="none"/>
        </w:rPr>
        <w:t>1-5#</w:t>
      </w:r>
      <w:r>
        <w:rPr>
          <w:rFonts w:hint="eastAsia" w:ascii="仿宋" w:hAnsi="仿宋" w:eastAsia="仿宋" w:cs="仿宋"/>
          <w:color w:val="auto"/>
          <w:highlight w:val="none"/>
        </w:rPr>
        <w:t>精</w:t>
      </w:r>
      <w:r>
        <w:rPr>
          <w:rFonts w:ascii="仿宋" w:hAnsi="仿宋" w:eastAsia="仿宋" w:cs="仿宋"/>
          <w:color w:val="auto"/>
          <w:highlight w:val="none"/>
        </w:rPr>
        <w:t>装</w:t>
      </w:r>
      <w:r>
        <w:rPr>
          <w:rFonts w:hint="eastAsia" w:ascii="仿宋" w:hAnsi="仿宋" w:eastAsia="仿宋" w:cs="仿宋"/>
          <w:color w:val="auto"/>
          <w:highlight w:val="none"/>
        </w:rPr>
        <w:t>；</w:t>
      </w:r>
    </w:p>
    <w:p>
      <w:pPr>
        <w:spacing w:line="400" w:lineRule="exact"/>
        <w:ind w:left="630" w:leftChars="200" w:hanging="210" w:hangingChars="100"/>
        <w:rPr>
          <w:rFonts w:ascii="仿宋" w:hAnsi="仿宋" w:eastAsia="仿宋" w:cs="仿宋"/>
          <w:color w:val="auto"/>
          <w:highlight w:val="none"/>
        </w:rPr>
      </w:pPr>
      <w:r>
        <w:rPr>
          <w:rFonts w:ascii="仿宋" w:hAnsi="仿宋" w:eastAsia="仿宋" w:cs="仿宋"/>
          <w:color w:val="auto"/>
          <w:highlight w:val="none"/>
        </w:rPr>
        <w:t>2-1#~2-6#公共区精装、房间简装</w:t>
      </w:r>
      <w:r>
        <w:rPr>
          <w:rFonts w:hint="eastAsia" w:ascii="仿宋" w:hAnsi="仿宋" w:eastAsia="仿宋" w:cs="仿宋"/>
          <w:color w:val="auto"/>
          <w:highlight w:val="none"/>
        </w:rPr>
        <w:t>；</w:t>
      </w:r>
    </w:p>
    <w:p>
      <w:pPr>
        <w:spacing w:line="400" w:lineRule="exact"/>
        <w:ind w:left="630" w:leftChars="200" w:hanging="210" w:hangingChars="100"/>
        <w:rPr>
          <w:rFonts w:ascii="仿宋" w:hAnsi="仿宋" w:eastAsia="仿宋" w:cs="仿宋"/>
          <w:color w:val="auto"/>
          <w:highlight w:val="none"/>
        </w:rPr>
      </w:pPr>
      <w:r>
        <w:rPr>
          <w:rFonts w:hint="eastAsia" w:ascii="仿宋" w:hAnsi="仿宋" w:eastAsia="仿宋" w:cs="仿宋"/>
          <w:color w:val="auto"/>
          <w:highlight w:val="none"/>
        </w:rPr>
        <w:t>2-7#~2-9整体精装；</w:t>
      </w:r>
    </w:p>
    <w:p>
      <w:pPr>
        <w:spacing w:line="400" w:lineRule="exact"/>
        <w:ind w:left="630" w:leftChars="200" w:hanging="210" w:hangingChars="100"/>
        <w:rPr>
          <w:rFonts w:ascii="仿宋" w:hAnsi="仿宋" w:eastAsia="仿宋" w:cs="仿宋"/>
          <w:color w:val="auto"/>
          <w:highlight w:val="none"/>
        </w:rPr>
      </w:pPr>
      <w:r>
        <w:rPr>
          <w:rFonts w:ascii="仿宋" w:hAnsi="仿宋" w:eastAsia="仿宋" w:cs="仿宋"/>
          <w:color w:val="auto"/>
          <w:highlight w:val="none"/>
        </w:rPr>
        <w:t>3-1#~3-7#简装</w:t>
      </w:r>
      <w:r>
        <w:rPr>
          <w:rFonts w:hint="eastAsia" w:ascii="仿宋" w:hAnsi="仿宋" w:eastAsia="仿宋" w:cs="仿宋"/>
          <w:color w:val="auto"/>
          <w:highlight w:val="none"/>
        </w:rPr>
        <w:t>。</w:t>
      </w:r>
    </w:p>
    <w:p>
      <w:pPr>
        <w:spacing w:line="400" w:lineRule="exact"/>
        <w:ind w:firstLine="420" w:firstLineChars="200"/>
        <w:rPr>
          <w:rFonts w:ascii="仿宋" w:hAnsi="仿宋" w:eastAsia="仿宋" w:cs="仿宋"/>
          <w:color w:val="auto"/>
          <w:highlight w:val="none"/>
        </w:rPr>
      </w:pPr>
      <w:r>
        <w:rPr>
          <w:rFonts w:ascii="仿宋" w:hAnsi="仿宋" w:eastAsia="仿宋" w:cs="仿宋"/>
          <w:color w:val="auto"/>
          <w:highlight w:val="none"/>
        </w:rPr>
        <w:t>在符合规范、使用要求的前提下，整体装修设计效果宜简洁大方，体现高科技企业气息，借鉴高科技、现代化园区室内装修效果，提取具有高科技、现代化的设计元素</w:t>
      </w:r>
      <w:r>
        <w:rPr>
          <w:rFonts w:hint="eastAsia" w:ascii="仿宋" w:hAnsi="仿宋" w:eastAsia="仿宋" w:cs="仿宋"/>
          <w:color w:val="auto"/>
          <w:highlight w:val="none"/>
        </w:rPr>
        <w:t>,同时需结合外立面风格考虑，内外设计相协调。</w:t>
      </w:r>
      <w:r>
        <w:rPr>
          <w:color w:val="auto"/>
          <w:highlight w:val="none"/>
        </w:rPr>
        <w:br w:type="textWrapping"/>
      </w:r>
    </w:p>
    <w:p>
      <w:pPr>
        <w:spacing w:line="400" w:lineRule="exact"/>
        <w:ind w:firstLine="422" w:firstLineChars="200"/>
        <w:outlineLvl w:val="1"/>
        <w:rPr>
          <w:rFonts w:ascii="仿宋" w:hAnsi="仿宋" w:eastAsia="仿宋" w:cs="仿宋"/>
          <w:b/>
          <w:bCs/>
          <w:color w:val="auto"/>
          <w:highlight w:val="none"/>
        </w:rPr>
      </w:pPr>
      <w:bookmarkStart w:id="548" w:name="_Toc24069"/>
      <w:r>
        <w:rPr>
          <w:rFonts w:hint="eastAsia" w:ascii="仿宋" w:hAnsi="仿宋" w:eastAsia="仿宋" w:cs="仿宋"/>
          <w:b/>
          <w:bCs/>
          <w:color w:val="auto"/>
          <w:highlight w:val="none"/>
        </w:rPr>
        <w:t>（十二）人防工程设计</w:t>
      </w:r>
      <w:bookmarkEnd w:id="548"/>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配合通过人防设计审查，以及现场技术服务直至人防工程竣工验收。主要内容包括，人防建筑工程、结构设计；平时及战时通风、给排水、供电、消防等专业设计；平战功能转换设计，并编制相应的工程概算。</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1、人防建筑设计应与结构、暖通、水、电专业设计协调统一，避免各专业图纸不一致的地方；</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2、各管线走向及相应预埋套管位置不能相互干涉、影响、应避开人防门开启范围和战时封堵框及封堵梁板区域等；</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3、人防工程各专业图纸需在设计说明及图纸中明确“平时施工内容”及“战时施工内容”以利于指导现场施工；</w:t>
      </w:r>
    </w:p>
    <w:p>
      <w:pPr>
        <w:spacing w:line="400" w:lineRule="exact"/>
        <w:ind w:firstLine="422" w:firstLineChars="200"/>
        <w:outlineLvl w:val="1"/>
        <w:rPr>
          <w:rFonts w:ascii="仿宋" w:hAnsi="仿宋" w:eastAsia="仿宋" w:cs="仿宋"/>
          <w:b/>
          <w:bCs/>
          <w:color w:val="auto"/>
          <w:highlight w:val="none"/>
        </w:rPr>
      </w:pPr>
      <w:bookmarkStart w:id="549" w:name="_Toc24155"/>
      <w:r>
        <w:rPr>
          <w:rFonts w:hint="eastAsia" w:ascii="仿宋" w:hAnsi="仿宋" w:eastAsia="仿宋" w:cs="仿宋"/>
          <w:b/>
          <w:bCs/>
          <w:color w:val="auto"/>
          <w:highlight w:val="none"/>
        </w:rPr>
        <w:t>（十三）BIM设计</w:t>
      </w:r>
      <w:bookmarkEnd w:id="549"/>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1.根据各专业施工图纸完成BIM设计。用于施工的BIM由相关单位深化完成。同时也包括了各专业施工图设计的过程配合（根据过程BIM及早发现问题，及时调整各专业施工图纸）以及配合后期施工图修改等服务。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2.深度要求：对施工图建模，满足政府审批对BIM的深度要求。同时满足下表要求。</w:t>
      </w:r>
    </w:p>
    <w:tbl>
      <w:tblPr>
        <w:tblStyle w:val="3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59"/>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1" w:hRule="atLeast"/>
        </w:trPr>
        <w:tc>
          <w:tcPr>
            <w:tcW w:w="850" w:type="dxa"/>
            <w:vAlign w:val="center"/>
          </w:tcPr>
          <w:p>
            <w:pPr>
              <w:autoSpaceDE w:val="0"/>
              <w:autoSpaceDN w:val="0"/>
              <w:jc w:val="center"/>
              <w:rPr>
                <w:rFonts w:ascii="宋体" w:hAnsi="宋体" w:cs="宋体"/>
                <w:color w:val="auto"/>
                <w:highlight w:val="none"/>
              </w:rPr>
            </w:pPr>
            <w:r>
              <w:rPr>
                <w:rFonts w:hint="eastAsia" w:ascii="宋体" w:hAnsi="宋体" w:cs="宋体"/>
                <w:color w:val="auto"/>
                <w:highlight w:val="none"/>
              </w:rPr>
              <w:t>专业</w:t>
            </w:r>
          </w:p>
        </w:tc>
        <w:tc>
          <w:tcPr>
            <w:tcW w:w="1559" w:type="dxa"/>
            <w:vAlign w:val="center"/>
          </w:tcPr>
          <w:p>
            <w:pPr>
              <w:autoSpaceDE w:val="0"/>
              <w:autoSpaceDN w:val="0"/>
              <w:jc w:val="center"/>
              <w:rPr>
                <w:rFonts w:ascii="宋体" w:hAnsi="宋体" w:cs="宋体"/>
                <w:color w:val="auto"/>
                <w:highlight w:val="none"/>
              </w:rPr>
            </w:pPr>
            <w:r>
              <w:rPr>
                <w:rFonts w:hint="eastAsia" w:ascii="宋体" w:hAnsi="宋体" w:cs="宋体"/>
                <w:color w:val="auto"/>
                <w:highlight w:val="none"/>
              </w:rPr>
              <w:t>分专业</w:t>
            </w:r>
          </w:p>
        </w:tc>
        <w:tc>
          <w:tcPr>
            <w:tcW w:w="6096" w:type="dxa"/>
            <w:vAlign w:val="center"/>
          </w:tcPr>
          <w:p>
            <w:pPr>
              <w:autoSpaceDE w:val="0"/>
              <w:autoSpaceDN w:val="0"/>
              <w:jc w:val="center"/>
              <w:rPr>
                <w:rFonts w:ascii="宋体" w:hAnsi="宋体" w:cs="宋体"/>
                <w:color w:val="auto"/>
                <w:highlight w:val="none"/>
              </w:rPr>
            </w:pPr>
            <w:r>
              <w:rPr>
                <w:rFonts w:hint="eastAsia" w:ascii="宋体" w:hAnsi="宋体" w:cs="宋体"/>
                <w:color w:val="auto"/>
                <w:highlight w:val="none"/>
              </w:rPr>
              <w:t>包含但不限于以下对象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50" w:type="dxa"/>
            <w:vMerge w:val="restart"/>
          </w:tcPr>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r>
              <w:rPr>
                <w:rFonts w:hint="eastAsia" w:ascii="宋体" w:hAnsi="宋体" w:cs="宋体"/>
                <w:color w:val="auto"/>
                <w:highlight w:val="none"/>
              </w:rPr>
              <w:t xml:space="preserve">土建 </w:t>
            </w: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 xml:space="preserve">建筑 </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轴线、幕墙、雨篷、墙、屋面、门窗及卷帘、楼梯、电梯、自动扶梯、地下车道、上下客及卸货区、房间。</w:t>
            </w:r>
          </w:p>
          <w:p>
            <w:pPr>
              <w:autoSpaceDE w:val="0"/>
              <w:autoSpaceDN w:val="0"/>
              <w:rPr>
                <w:rFonts w:ascii="宋体" w:hAnsi="宋体" w:cs="宋体"/>
                <w:color w:val="auto"/>
                <w:highlight w:val="none"/>
              </w:rPr>
            </w:pPr>
            <w:r>
              <w:rPr>
                <w:rFonts w:hint="eastAsia" w:ascii="宋体" w:hAnsi="宋体" w:cs="宋体"/>
                <w:color w:val="auto"/>
                <w:highlight w:val="none"/>
              </w:rPr>
              <w:t>要求：所有构件按楼层划分；门窗参数及编号要求与施工图门窗表一致；房间的名称与施工图一致，幕墙形式与施工图一致。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0" w:type="dxa"/>
            <w:vMerge w:val="continue"/>
          </w:tcPr>
          <w:p>
            <w:pPr>
              <w:autoSpaceDE w:val="0"/>
              <w:autoSpaceDN w:val="0"/>
              <w:rPr>
                <w:rFonts w:ascii="宋体" w:hAnsi="宋体" w:cs="宋体"/>
                <w:color w:val="auto"/>
                <w:highlight w:val="none"/>
              </w:rPr>
            </w:pP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结构</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 xml:space="preserve"> 楼板、梁、柱、剪力墙、预留洞口、钢结构</w:t>
            </w:r>
          </w:p>
          <w:p>
            <w:pPr>
              <w:autoSpaceDE w:val="0"/>
              <w:autoSpaceDN w:val="0"/>
              <w:rPr>
                <w:rFonts w:ascii="宋体" w:hAnsi="宋体" w:cs="宋体"/>
                <w:color w:val="auto"/>
                <w:highlight w:val="none"/>
              </w:rPr>
            </w:pPr>
            <w:r>
              <w:rPr>
                <w:rFonts w:hint="eastAsia" w:ascii="宋体" w:hAnsi="宋体" w:cs="宋体"/>
                <w:color w:val="auto"/>
                <w:highlight w:val="none"/>
              </w:rPr>
              <w:t>要求：所有构件按楼层划分。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50" w:type="dxa"/>
            <w:vMerge w:val="restart"/>
          </w:tcPr>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r>
              <w:rPr>
                <w:rFonts w:hint="eastAsia" w:ascii="宋体" w:hAnsi="宋体" w:cs="宋体"/>
                <w:color w:val="auto"/>
                <w:highlight w:val="none"/>
              </w:rPr>
              <w:t xml:space="preserve">暖通 </w:t>
            </w: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暖通风系统</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风管及其保温层、风管末端、防火阀、空调通风设备</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要求：按施工图纸区分风管类型；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850" w:type="dxa"/>
            <w:vMerge w:val="continue"/>
          </w:tcPr>
          <w:p>
            <w:pPr>
              <w:autoSpaceDE w:val="0"/>
              <w:autoSpaceDN w:val="0"/>
              <w:rPr>
                <w:rFonts w:ascii="宋体" w:hAnsi="宋体" w:cs="宋体"/>
                <w:color w:val="auto"/>
                <w:highlight w:val="none"/>
              </w:rPr>
            </w:pP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暖通水系统</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水管及其保温层、空调冷热源机房内设备及综合管线</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要求：按施工图纸区分水管类型；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850" w:type="dxa"/>
            <w:vMerge w:val="continue"/>
          </w:tcPr>
          <w:p>
            <w:pPr>
              <w:autoSpaceDE w:val="0"/>
              <w:autoSpaceDN w:val="0"/>
              <w:rPr>
                <w:rFonts w:ascii="宋体" w:hAnsi="宋体" w:cs="宋体"/>
                <w:color w:val="auto"/>
                <w:highlight w:val="none"/>
              </w:rPr>
            </w:pP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 xml:space="preserve">动力系统 </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动力管道及其保温层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850" w:type="dxa"/>
            <w:vMerge w:val="restart"/>
          </w:tcPr>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r>
              <w:rPr>
                <w:rFonts w:hint="eastAsia" w:ascii="宋体" w:hAnsi="宋体" w:cs="宋体"/>
                <w:color w:val="auto"/>
                <w:highlight w:val="none"/>
              </w:rPr>
              <w:t>给排水</w:t>
            </w: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 xml:space="preserve">给水和排水 </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水管、给排水设备包括但不限于水箱、水泵、阀门、水表等。</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要求：按施工图纸区分水管类型、设置水管材质。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850" w:type="dxa"/>
            <w:vMerge w:val="continue"/>
          </w:tcPr>
          <w:p>
            <w:pPr>
              <w:autoSpaceDE w:val="0"/>
              <w:autoSpaceDN w:val="0"/>
              <w:rPr>
                <w:rFonts w:ascii="宋体" w:hAnsi="宋体" w:cs="宋体"/>
                <w:color w:val="auto"/>
                <w:highlight w:val="none"/>
              </w:rPr>
            </w:pP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 xml:space="preserve">消防 </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消防管道、喷头、阀门、消火栓、消防水箱、消防水泵等。</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要求：按施工图纸区分水管类型、设置水管材质。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850" w:type="dxa"/>
            <w:vMerge w:val="restart"/>
          </w:tcPr>
          <w:p>
            <w:pPr>
              <w:autoSpaceDE w:val="0"/>
              <w:autoSpaceDN w:val="0"/>
              <w:rPr>
                <w:rFonts w:ascii="宋体" w:hAnsi="宋体" w:cs="宋体"/>
                <w:color w:val="auto"/>
                <w:highlight w:val="none"/>
              </w:rPr>
            </w:pPr>
          </w:p>
          <w:p>
            <w:pPr>
              <w:autoSpaceDE w:val="0"/>
              <w:autoSpaceDN w:val="0"/>
              <w:rPr>
                <w:rFonts w:ascii="宋体" w:hAnsi="宋体" w:cs="宋体"/>
                <w:color w:val="auto"/>
                <w:highlight w:val="none"/>
              </w:rPr>
            </w:pPr>
            <w:r>
              <w:rPr>
                <w:rFonts w:hint="eastAsia" w:ascii="宋体" w:hAnsi="宋体" w:cs="宋体"/>
                <w:color w:val="auto"/>
                <w:highlight w:val="none"/>
              </w:rPr>
              <w:t xml:space="preserve">电气 </w:t>
            </w: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强电</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电缆桥架、线槽</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要求：按施工图纸区分桥架、线槽类型。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0" w:type="dxa"/>
            <w:vMerge w:val="continue"/>
          </w:tcPr>
          <w:p>
            <w:pPr>
              <w:autoSpaceDE w:val="0"/>
              <w:autoSpaceDN w:val="0"/>
              <w:rPr>
                <w:rFonts w:ascii="宋体" w:hAnsi="宋体" w:cs="宋体"/>
                <w:color w:val="auto"/>
                <w:highlight w:val="none"/>
              </w:rPr>
            </w:pPr>
          </w:p>
        </w:tc>
        <w:tc>
          <w:tcPr>
            <w:tcW w:w="1559" w:type="dxa"/>
          </w:tcPr>
          <w:p>
            <w:pPr>
              <w:autoSpaceDE w:val="0"/>
              <w:autoSpaceDN w:val="0"/>
              <w:rPr>
                <w:rFonts w:ascii="宋体" w:hAnsi="宋体" w:cs="宋体"/>
                <w:color w:val="auto"/>
                <w:highlight w:val="none"/>
              </w:rPr>
            </w:pPr>
            <w:r>
              <w:rPr>
                <w:rFonts w:hint="eastAsia" w:ascii="宋体" w:hAnsi="宋体" w:cs="宋体"/>
                <w:color w:val="auto"/>
                <w:highlight w:val="none"/>
              </w:rPr>
              <w:t>弱电</w:t>
            </w:r>
          </w:p>
        </w:tc>
        <w:tc>
          <w:tcPr>
            <w:tcW w:w="6096" w:type="dxa"/>
          </w:tcPr>
          <w:p>
            <w:pPr>
              <w:autoSpaceDE w:val="0"/>
              <w:autoSpaceDN w:val="0"/>
              <w:rPr>
                <w:rFonts w:ascii="宋体" w:hAnsi="宋体" w:cs="宋体"/>
                <w:color w:val="auto"/>
                <w:highlight w:val="none"/>
              </w:rPr>
            </w:pPr>
            <w:r>
              <w:rPr>
                <w:rFonts w:hint="eastAsia" w:ascii="宋体" w:hAnsi="宋体" w:cs="宋体"/>
                <w:color w:val="auto"/>
                <w:highlight w:val="none"/>
              </w:rPr>
              <w:t>电缆桥架、线槽。</w:t>
            </w:r>
          </w:p>
          <w:p>
            <w:pPr>
              <w:autoSpaceDE w:val="0"/>
              <w:autoSpaceDN w:val="0"/>
              <w:rPr>
                <w:rFonts w:ascii="宋体" w:hAnsi="宋体" w:cs="宋体"/>
                <w:color w:val="auto"/>
                <w:highlight w:val="none"/>
              </w:rPr>
            </w:pPr>
            <w:r>
              <w:rPr>
                <w:rFonts w:hint="eastAsia" w:ascii="宋体" w:hAnsi="宋体" w:cs="宋体"/>
                <w:color w:val="auto"/>
                <w:highlight w:val="none"/>
              </w:rPr>
              <w:t>要求：按施工图纸区分桥架、线槽类型。</w:t>
            </w:r>
          </w:p>
        </w:tc>
      </w:tr>
    </w:tbl>
    <w:p>
      <w:pPr>
        <w:pStyle w:val="36"/>
        <w:rPr>
          <w:color w:val="auto"/>
          <w:highlight w:val="none"/>
        </w:rPr>
      </w:pPr>
    </w:p>
    <w:p>
      <w:pPr>
        <w:spacing w:line="400" w:lineRule="exact"/>
        <w:ind w:firstLine="422" w:firstLineChars="200"/>
        <w:outlineLvl w:val="1"/>
        <w:rPr>
          <w:rFonts w:ascii="仿宋" w:hAnsi="仿宋" w:eastAsia="仿宋" w:cs="仿宋"/>
          <w:b/>
          <w:bCs/>
          <w:color w:val="auto"/>
          <w:highlight w:val="none"/>
        </w:rPr>
      </w:pPr>
      <w:bookmarkStart w:id="550" w:name="_Toc23001"/>
      <w:r>
        <w:rPr>
          <w:rFonts w:hint="eastAsia" w:ascii="仿宋" w:hAnsi="仿宋" w:eastAsia="仿宋" w:cs="仿宋"/>
          <w:b/>
          <w:bCs/>
          <w:color w:val="auto"/>
          <w:highlight w:val="none"/>
        </w:rPr>
        <w:t>（十四）其他专业设计及配合</w:t>
      </w:r>
      <w:bookmarkEnd w:id="550"/>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按照相关规范要求执行。如配合铝合金门窗二次深化设计，范围包括铝合金门、铝合金门联窗、铝合金窗、铝合金百叶四个部分。设计内容包括：设计说明、立面图、大样图、节点图、型材截面图等、相应计算书。</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2、应根据建筑等功能要求对电梯参数、规格及配置、土建尺寸等配套设计。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3、根据各专业施工图纸完成BIM设计。同时也包括了各专业施工图设计的过程配合（根据过程BIM及早发现问题，及时调整各专业施工图纸）以及配合后期施工图修改等服务。</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4、审核各专业、管线综合施工深化图及设备材料；出具专业设计意见指导施工。</w:t>
      </w:r>
    </w:p>
    <w:p>
      <w:pPr>
        <w:spacing w:line="400" w:lineRule="exact"/>
        <w:outlineLvl w:val="1"/>
        <w:rPr>
          <w:rFonts w:ascii="仿宋" w:hAnsi="仿宋" w:eastAsia="仿宋" w:cs="仿宋"/>
          <w:b/>
          <w:bCs/>
          <w:color w:val="auto"/>
          <w:highlight w:val="none"/>
        </w:rPr>
      </w:pPr>
      <w:bookmarkStart w:id="551" w:name="_Toc24464"/>
      <w:r>
        <w:rPr>
          <w:rFonts w:hint="eastAsia" w:ascii="仿宋" w:hAnsi="仿宋" w:eastAsia="仿宋" w:cs="仿宋"/>
          <w:b/>
          <w:bCs/>
          <w:color w:val="auto"/>
          <w:highlight w:val="none"/>
        </w:rPr>
        <w:t>八、设计文件要求</w:t>
      </w:r>
      <w:bookmarkEnd w:id="551"/>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1、设计成果应达到建设部颁发的《建筑工程设计文件编制深度规定》（2016年版）。</w:t>
      </w:r>
    </w:p>
    <w:p>
      <w:pPr>
        <w:spacing w:line="4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2、设计文件应满足广州市、开发区各专业部门的要求，如规划、国土、消防、民防、环保、卫生、交委、交警等部门的报建报审报批要求。在项目报建阶段应满足建设单位报批各种手续的要求，分阶段提供所需的设计文件。</w:t>
      </w:r>
    </w:p>
    <w:p>
      <w:pPr>
        <w:topLinePunct/>
        <w:spacing w:line="440" w:lineRule="exact"/>
        <w:jc w:val="left"/>
        <w:rPr>
          <w:rFonts w:ascii="仿宋" w:hAnsi="仿宋" w:eastAsia="仿宋" w:cs="仿宋"/>
          <w:color w:val="auto"/>
          <w:highlight w:val="none"/>
        </w:rPr>
      </w:pPr>
      <w:r>
        <w:rPr>
          <w:rFonts w:hint="eastAsia" w:ascii="仿宋" w:hAnsi="仿宋" w:eastAsia="仿宋" w:cs="仿宋"/>
          <w:color w:val="auto"/>
          <w:highlight w:val="none"/>
        </w:rPr>
        <w:t>3、各专业图纸必须符合国家现行的技术规范及标准要求，达到有关审批和审查部门的报送要求，并满足相关专业的下一阶段的招标工作。施工图深度和质量必须满足其编制规范及要求，并满足预算编制，确保不出现图纸漏项漏量，并具有施工实施的可行性。</w:t>
      </w:r>
    </w:p>
    <w:p>
      <w:pPr>
        <w:topLinePunct/>
        <w:spacing w:line="440" w:lineRule="exact"/>
        <w:jc w:val="left"/>
        <w:rPr>
          <w:rFonts w:ascii="仿宋" w:hAnsi="仿宋" w:eastAsia="仿宋" w:cs="仿宋"/>
          <w:color w:val="auto"/>
          <w:highlight w:val="none"/>
        </w:rPr>
      </w:pPr>
      <w:r>
        <w:rPr>
          <w:rFonts w:hint="eastAsia" w:ascii="仿宋" w:hAnsi="仿宋" w:eastAsia="仿宋" w:cs="仿宋"/>
          <w:color w:val="auto"/>
          <w:highlight w:val="none"/>
        </w:rPr>
        <w:t xml:space="preserve">   4、设计成果要求：总平面布置图、市政设施总体规划、景观绿化总体规划、竖向关系规划、总体功能布局，以及建筑和景观绿化广场等各类型建筑单体的平面图（标准层、首层、二层、地下室等）和立面图及其他相关图纸等。</w:t>
      </w:r>
    </w:p>
    <w:p>
      <w:pPr>
        <w:autoSpaceDE w:val="0"/>
        <w:autoSpaceDN w:val="0"/>
        <w:adjustRightInd w:val="0"/>
        <w:spacing w:line="440" w:lineRule="exact"/>
        <w:ind w:firstLine="480" w:firstLineChars="200"/>
        <w:jc w:val="left"/>
        <w:rPr>
          <w:rFonts w:ascii="宋体" w:hAnsi="宋体" w:cs="宋体"/>
          <w:color w:val="auto"/>
          <w:sz w:val="24"/>
          <w:highlight w:val="none"/>
        </w:rPr>
      </w:pPr>
    </w:p>
    <w:p>
      <w:pPr>
        <w:autoSpaceDE w:val="0"/>
        <w:autoSpaceDN w:val="0"/>
        <w:adjustRightIn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2．《主要材料品牌推荐表》</w:t>
      </w:r>
    </w:p>
    <w:p>
      <w:pPr>
        <w:pStyle w:val="3"/>
        <w:tabs>
          <w:tab w:val="left" w:pos="432"/>
        </w:tabs>
        <w:jc w:val="center"/>
        <w:rPr>
          <w:rFonts w:hint="eastAsia" w:hAnsi="宋体"/>
          <w:b/>
          <w:color w:val="auto"/>
          <w:highlight w:val="none"/>
        </w:rPr>
      </w:pPr>
      <w:bookmarkStart w:id="552" w:name="_Toc32560"/>
      <w:bookmarkStart w:id="553" w:name="_Toc23752"/>
      <w:r>
        <w:rPr>
          <w:rFonts w:hint="eastAsia" w:hAnsi="宋体"/>
          <w:b/>
          <w:color w:val="auto"/>
          <w:highlight w:val="none"/>
        </w:rPr>
        <w:t>主要材料品牌推荐表</w:t>
      </w:r>
      <w:bookmarkEnd w:id="552"/>
      <w:bookmarkEnd w:id="553"/>
    </w:p>
    <w:tbl>
      <w:tblPr>
        <w:tblStyle w:val="38"/>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2"/>
        <w:gridCol w:w="1937"/>
        <w:gridCol w:w="4252"/>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752" w:type="dxa"/>
            <w:noWrap/>
            <w:tcMar>
              <w:top w:w="15" w:type="dxa"/>
              <w:left w:w="15" w:type="dxa"/>
              <w:right w:w="15" w:type="dxa"/>
            </w:tcMar>
            <w:vAlign w:val="center"/>
          </w:tcPr>
          <w:p>
            <w:pPr>
              <w:jc w:val="center"/>
              <w:textAlignment w:val="center"/>
              <w:rPr>
                <w:rFonts w:ascii="宋体" w:cs="宋体"/>
                <w:b/>
                <w:bCs/>
                <w:color w:val="auto"/>
                <w:sz w:val="28"/>
                <w:szCs w:val="28"/>
                <w:highlight w:val="none"/>
              </w:rPr>
            </w:pPr>
            <w:r>
              <w:rPr>
                <w:rFonts w:hint="eastAsia" w:ascii="宋体" w:hAnsi="宋体" w:cs="宋体"/>
                <w:b/>
                <w:bCs/>
                <w:color w:val="auto"/>
                <w:sz w:val="28"/>
                <w:szCs w:val="28"/>
                <w:highlight w:val="none"/>
              </w:rPr>
              <w:t>序号</w:t>
            </w:r>
          </w:p>
        </w:tc>
        <w:tc>
          <w:tcPr>
            <w:tcW w:w="1937" w:type="dxa"/>
            <w:noWrap/>
            <w:tcMar>
              <w:top w:w="15" w:type="dxa"/>
              <w:left w:w="15" w:type="dxa"/>
              <w:right w:w="15" w:type="dxa"/>
            </w:tcMar>
            <w:vAlign w:val="center"/>
          </w:tcPr>
          <w:p>
            <w:pPr>
              <w:jc w:val="center"/>
              <w:textAlignment w:val="center"/>
              <w:rPr>
                <w:rFonts w:ascii="宋体" w:cs="宋体"/>
                <w:b/>
                <w:bCs/>
                <w:color w:val="auto"/>
                <w:sz w:val="28"/>
                <w:szCs w:val="28"/>
                <w:highlight w:val="none"/>
              </w:rPr>
            </w:pPr>
            <w:r>
              <w:rPr>
                <w:rFonts w:hint="eastAsia" w:ascii="宋体" w:hAnsi="宋体" w:cs="宋体"/>
                <w:b/>
                <w:bCs/>
                <w:color w:val="auto"/>
                <w:sz w:val="28"/>
                <w:szCs w:val="28"/>
                <w:highlight w:val="none"/>
              </w:rPr>
              <w:t>材料</w:t>
            </w:r>
          </w:p>
        </w:tc>
        <w:tc>
          <w:tcPr>
            <w:tcW w:w="4252" w:type="dxa"/>
            <w:noWrap/>
            <w:tcMar>
              <w:top w:w="15" w:type="dxa"/>
              <w:left w:w="15" w:type="dxa"/>
              <w:right w:w="15" w:type="dxa"/>
            </w:tcMar>
            <w:vAlign w:val="center"/>
          </w:tcPr>
          <w:p>
            <w:pPr>
              <w:jc w:val="center"/>
              <w:textAlignment w:val="center"/>
              <w:rPr>
                <w:rFonts w:ascii="宋体" w:cs="宋体"/>
                <w:b/>
                <w:bCs/>
                <w:color w:val="auto"/>
                <w:sz w:val="28"/>
                <w:szCs w:val="28"/>
                <w:highlight w:val="none"/>
              </w:rPr>
            </w:pPr>
            <w:r>
              <w:rPr>
                <w:rFonts w:hint="eastAsia" w:ascii="宋体" w:hAnsi="宋体" w:cs="宋体"/>
                <w:b/>
                <w:bCs/>
                <w:color w:val="auto"/>
                <w:sz w:val="28"/>
                <w:szCs w:val="28"/>
                <w:highlight w:val="none"/>
              </w:rPr>
              <w:t>厂家名称或品牌</w:t>
            </w:r>
          </w:p>
        </w:tc>
        <w:tc>
          <w:tcPr>
            <w:tcW w:w="2410" w:type="dxa"/>
            <w:vAlign w:val="center"/>
          </w:tcPr>
          <w:p>
            <w:pPr>
              <w:jc w:val="center"/>
              <w:textAlignment w:val="center"/>
              <w:rPr>
                <w:rFonts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使用区域</w:t>
            </w:r>
          </w:p>
        </w:tc>
        <w:tc>
          <w:tcPr>
            <w:tcW w:w="992" w:type="dxa"/>
            <w:noWrap/>
            <w:tcMar>
              <w:top w:w="15" w:type="dxa"/>
              <w:left w:w="15" w:type="dxa"/>
              <w:right w:w="15" w:type="dxa"/>
            </w:tcMar>
            <w:vAlign w:val="center"/>
          </w:tcPr>
          <w:p>
            <w:pPr>
              <w:jc w:val="center"/>
              <w:textAlignment w:val="center"/>
              <w:rPr>
                <w:rFonts w:ascii="宋体" w:cs="宋体"/>
                <w:b/>
                <w:bCs/>
                <w:color w:val="auto"/>
                <w:sz w:val="28"/>
                <w:szCs w:val="28"/>
                <w:highlight w:val="none"/>
              </w:rPr>
            </w:pPr>
            <w:r>
              <w:rPr>
                <w:rFonts w:hint="eastAsia" w:ascii="宋体" w:hAnsi="宋体" w:cs="宋体"/>
                <w:b/>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1</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水泥</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华润、海螺、石井、南方</w:t>
            </w:r>
          </w:p>
        </w:tc>
        <w:tc>
          <w:tcPr>
            <w:tcW w:w="2410" w:type="dxa"/>
            <w:vMerge w:val="restart"/>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restart"/>
            <w:noWrap/>
            <w:tcMar>
              <w:top w:w="15" w:type="dxa"/>
              <w:left w:w="15" w:type="dxa"/>
              <w:right w:w="15" w:type="dxa"/>
            </w:tcMar>
            <w:vAlign w:val="center"/>
          </w:tcPr>
          <w:p>
            <w:pPr>
              <w:textAlignment w:val="center"/>
              <w:rPr>
                <w:rFonts w:ascii="宋体" w:cs="宋体"/>
                <w:color w:val="auto"/>
                <w:sz w:val="20"/>
                <w:szCs w:val="20"/>
                <w:highlight w:val="none"/>
                <w:lang w:eastAsia="zh-CN"/>
              </w:rPr>
            </w:pPr>
          </w:p>
          <w:p>
            <w:pPr>
              <w:jc w:val="center"/>
              <w:textAlignment w:val="center"/>
              <w:rPr>
                <w:rFonts w:ascii="宋体" w:cs="宋体"/>
                <w:color w:val="auto"/>
                <w:sz w:val="20"/>
                <w:szCs w:val="20"/>
                <w:highlight w:val="none"/>
                <w:lang w:eastAsia="zh-CN"/>
              </w:rPr>
            </w:pPr>
            <w:r>
              <w:rPr>
                <w:rFonts w:hint="eastAsia" w:ascii="宋体" w:cs="宋体"/>
                <w:b/>
                <w:bCs/>
                <w:color w:val="auto"/>
                <w:sz w:val="20"/>
                <w:szCs w:val="20"/>
                <w:highlight w:val="none"/>
                <w:lang w:eastAsia="zh-CN"/>
              </w:rPr>
              <w:t>或相当于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2</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钢材</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宝钢、韶钢、柳钢</w:t>
            </w:r>
            <w:r>
              <w:rPr>
                <w:rFonts w:ascii="宋体" w:hAnsi="宋体" w:cs="宋体"/>
                <w:color w:val="auto"/>
                <w:sz w:val="20"/>
                <w:szCs w:val="20"/>
                <w:highlight w:val="none"/>
                <w:lang w:eastAsia="zh-CN" w:bidi="ar"/>
              </w:rPr>
              <w:t>、</w:t>
            </w:r>
            <w:r>
              <w:rPr>
                <w:rFonts w:hint="eastAsia" w:ascii="宋体" w:hAnsi="宋体" w:cs="宋体"/>
                <w:color w:val="auto"/>
                <w:sz w:val="20"/>
                <w:szCs w:val="20"/>
                <w:highlight w:val="none"/>
                <w:lang w:eastAsia="zh-CN" w:bidi="ar"/>
              </w:rPr>
              <w:t>广钢、沙钢</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textAlignment w:val="cente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3</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铝材</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坚美、广铝、凤铝</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4</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铝单板</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欧斯宝、七色、昕泰、欧陆、祥弓、方大</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5</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外墙砖</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白兔、</w:t>
            </w:r>
            <w:r>
              <w:rPr>
                <w:rFonts w:hint="eastAsia" w:ascii="宋体" w:cs="宋体"/>
                <w:color w:val="auto"/>
                <w:sz w:val="20"/>
                <w:szCs w:val="20"/>
                <w:highlight w:val="none"/>
                <w:lang w:eastAsia="zh-CN"/>
              </w:rPr>
              <w:t>恒达、冠珠、爱和陶、金泰源、协盛</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6</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石膏板/轻钢龙骨</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龙牌、杰克、</w:t>
            </w:r>
            <w:r>
              <w:rPr>
                <w:rFonts w:hint="eastAsia" w:ascii="宋体" w:cs="宋体"/>
                <w:color w:val="auto"/>
                <w:sz w:val="20"/>
                <w:szCs w:val="20"/>
                <w:highlight w:val="none"/>
                <w:lang w:eastAsia="zh-CN"/>
              </w:rPr>
              <w:t>泰山、梦牌、兔宝宝、可耐福</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7</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装饰五金</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海蒂诗、顶固、</w:t>
            </w:r>
            <w:r>
              <w:rPr>
                <w:rFonts w:hint="eastAsia" w:ascii="宋体" w:cs="宋体"/>
                <w:color w:val="auto"/>
                <w:sz w:val="20"/>
                <w:szCs w:val="20"/>
                <w:highlight w:val="none"/>
                <w:lang w:eastAsia="zh-CN"/>
              </w:rPr>
              <w:t>东泰、汇泰龙、摩登、国强</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8</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玻璃</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耀皮、南玻、</w:t>
            </w:r>
            <w:r>
              <w:rPr>
                <w:rFonts w:hint="eastAsia" w:ascii="宋体" w:cs="宋体"/>
                <w:color w:val="auto"/>
                <w:sz w:val="20"/>
                <w:szCs w:val="20"/>
                <w:highlight w:val="none"/>
                <w:lang w:eastAsia="zh-CN"/>
              </w:rPr>
              <w:t>深玻、中玻、</w:t>
            </w:r>
            <w:r>
              <w:rPr>
                <w:rFonts w:hint="eastAsia" w:ascii="宋体" w:hAnsi="宋体" w:cs="宋体"/>
                <w:color w:val="auto"/>
                <w:sz w:val="20"/>
                <w:szCs w:val="20"/>
                <w:highlight w:val="none"/>
                <w:lang w:eastAsia="zh-CN" w:bidi="ar"/>
              </w:rPr>
              <w:t>金晶、信义</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9</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钢质、木质防火门</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蓝盾、盼盼、</w:t>
            </w:r>
            <w:r>
              <w:rPr>
                <w:rFonts w:hint="eastAsia" w:ascii="宋体" w:cs="宋体"/>
                <w:color w:val="auto"/>
                <w:sz w:val="20"/>
                <w:szCs w:val="20"/>
                <w:highlight w:val="none"/>
                <w:lang w:eastAsia="zh-CN"/>
              </w:rPr>
              <w:t>金堂门、美心、</w:t>
            </w:r>
            <w:r>
              <w:rPr>
                <w:rFonts w:hint="eastAsia" w:ascii="宋体" w:hAnsi="宋体" w:cs="宋体"/>
                <w:color w:val="auto"/>
                <w:sz w:val="20"/>
                <w:szCs w:val="20"/>
                <w:highlight w:val="none"/>
                <w:lang w:eastAsia="zh-CN" w:bidi="ar"/>
              </w:rPr>
              <w:t>大力大喜、步阳</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10</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乳胶漆</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立邦、多乐士、华润、嘉宝莉、美涂士、三棵树</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11</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防水材料</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东方雨虹、德高、索普瑞码</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12</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外墙漆</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久诺、亚士漆、立邦、多乐士、嘉宝莉、华润</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13</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地坪漆</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景江、西卡、马贝、嘉宝莉、巴斯夫、亚地斯</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14</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灯具、应急灯</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欧普、松本、佛山照明、雷士、</w:t>
            </w:r>
            <w:r>
              <w:rPr>
                <w:rFonts w:ascii="宋体" w:hAnsi="宋体" w:cs="宋体"/>
                <w:color w:val="auto"/>
                <w:sz w:val="20"/>
                <w:szCs w:val="20"/>
                <w:highlight w:val="none"/>
                <w:lang w:eastAsia="zh-CN" w:bidi="ar"/>
              </w:rPr>
              <w:t>TCL</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15</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电线和电缆</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南洋电缆、珠江电缆、广东电缆</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16</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金属线槽</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广州中兴五金、广州文兴电气、广东桥鑫实业</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17</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母线槽</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白云电器、半径、正泰</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18</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镀锌电线管</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珠江（管业）、广州文兴电气、广州中兴五金</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19</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塑料电线管</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联塑、雄塑、锋牌</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20</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镀锌钢管</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珠江（管业）、南粤、文兴</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21</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面板开关插座</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罗格朗、正泰、TCL</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22</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空气开关、漏电开关</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正泰电器、德力西、公牛、梅兰日兰</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23</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高压断路器开关</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西门子、施耐德、ABB</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24</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高低压柜（标注主要元器件）</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白云电器、雷诺尔电气、科铭电气、</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25</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配电箱</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白云电器、基业电气、科铭电气</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26</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变压器</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许继电气、海南金盘、海鸿、</w:t>
            </w:r>
            <w:r>
              <w:rPr>
                <w:rFonts w:ascii="宋体" w:hAnsi="宋体" w:cs="宋体"/>
                <w:color w:val="auto"/>
                <w:sz w:val="20"/>
                <w:szCs w:val="20"/>
                <w:highlight w:val="none"/>
                <w:lang w:eastAsia="zh-CN" w:bidi="ar"/>
              </w:rPr>
              <w:t>德力西</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27</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排气扇</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正野、金羚、绿岛风</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28</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阀门</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自贡阀门、广东精工阀门、天津塘沽瓦特斯</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29</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给排水管</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联塑、雄塑、锋牌</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30</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消防栓</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广东胜捷、平安、闽山</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31</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消防设备</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海湾、北京利达、青鸟</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ascii="宋体" w:hAnsi="宋体" w:cs="宋体"/>
                <w:color w:val="auto"/>
                <w:sz w:val="20"/>
                <w:szCs w:val="20"/>
                <w:highlight w:val="none"/>
                <w:lang w:eastAsia="zh-CN" w:bidi="ar"/>
              </w:rPr>
              <w:t>32</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冷水机组</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rPr>
              <w:t>美的、</w:t>
            </w:r>
            <w:r>
              <w:rPr>
                <w:rFonts w:hint="eastAsia" w:ascii="宋体" w:hAnsi="宋体" w:cs="宋体"/>
                <w:color w:val="auto"/>
                <w:sz w:val="20"/>
                <w:szCs w:val="20"/>
                <w:highlight w:val="none"/>
                <w:lang w:eastAsia="zh-CN" w:bidi="ar"/>
              </w:rPr>
              <w:t>海尔、格力</w:t>
            </w:r>
          </w:p>
        </w:tc>
        <w:tc>
          <w:tcPr>
            <w:tcW w:w="2410" w:type="dxa"/>
            <w:vMerge w:val="continue"/>
            <w:vAlign w:val="center"/>
          </w:tcPr>
          <w:p>
            <w:pPr>
              <w:jc w:val="both"/>
              <w:rPr>
                <w:rFonts w:ascii="宋体" w:cs="宋体"/>
                <w:color w:val="auto"/>
                <w:sz w:val="20"/>
                <w:szCs w:val="20"/>
                <w:highlight w:val="none"/>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ascii="宋体" w:hAnsi="宋体" w:cs="宋体"/>
                <w:color w:val="auto"/>
                <w:sz w:val="20"/>
                <w:szCs w:val="20"/>
                <w:highlight w:val="none"/>
                <w:lang w:eastAsia="zh-CN" w:bidi="ar"/>
              </w:rPr>
              <w:t>33</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中央空调末端设备</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rPr>
              <w:t>美的、</w:t>
            </w:r>
            <w:r>
              <w:rPr>
                <w:rFonts w:hint="eastAsia" w:ascii="宋体" w:hAnsi="宋体" w:cs="宋体"/>
                <w:color w:val="auto"/>
                <w:sz w:val="20"/>
                <w:szCs w:val="20"/>
                <w:highlight w:val="none"/>
                <w:lang w:eastAsia="zh-CN" w:bidi="ar"/>
              </w:rPr>
              <w:t>海尔、格力</w:t>
            </w:r>
          </w:p>
        </w:tc>
        <w:tc>
          <w:tcPr>
            <w:tcW w:w="2410" w:type="dxa"/>
            <w:vMerge w:val="continue"/>
            <w:vAlign w:val="center"/>
          </w:tcPr>
          <w:p>
            <w:pPr>
              <w:jc w:val="both"/>
              <w:rPr>
                <w:rFonts w:ascii="宋体" w:cs="宋体"/>
                <w:color w:val="auto"/>
                <w:sz w:val="20"/>
                <w:szCs w:val="20"/>
                <w:highlight w:val="none"/>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ascii="宋体" w:hAnsi="宋体" w:cs="宋体"/>
                <w:color w:val="auto"/>
                <w:sz w:val="20"/>
                <w:szCs w:val="20"/>
                <w:highlight w:val="none"/>
                <w:lang w:eastAsia="zh-CN" w:bidi="ar"/>
              </w:rPr>
              <w:t>34</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水泵</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广一、凯泉、白云、南方</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ascii="宋体" w:hAnsi="宋体" w:cs="宋体"/>
                <w:color w:val="auto"/>
                <w:sz w:val="20"/>
                <w:szCs w:val="20"/>
                <w:highlight w:val="none"/>
                <w:lang w:eastAsia="zh-CN" w:bidi="ar"/>
              </w:rPr>
              <w:t>35</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发电机</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潍柴、康明斯、玉柴</w:t>
            </w:r>
          </w:p>
        </w:tc>
        <w:tc>
          <w:tcPr>
            <w:tcW w:w="2410" w:type="dxa"/>
            <w:vMerge w:val="continue"/>
            <w:vAlign w:val="center"/>
          </w:tcPr>
          <w:p>
            <w:pPr>
              <w:jc w:val="both"/>
              <w:rPr>
                <w:rFonts w:ascii="宋体" w:cs="宋体"/>
                <w:color w:val="auto"/>
                <w:sz w:val="20"/>
                <w:szCs w:val="20"/>
                <w:highlight w:val="none"/>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752" w:type="dxa"/>
            <w:noWrap/>
            <w:tcMar>
              <w:top w:w="15" w:type="dxa"/>
              <w:left w:w="15" w:type="dxa"/>
              <w:right w:w="15" w:type="dxa"/>
            </w:tcMar>
            <w:vAlign w:val="center"/>
          </w:tcPr>
          <w:p>
            <w:pPr>
              <w:jc w:val="center"/>
              <w:textAlignment w:val="center"/>
              <w:rPr>
                <w:rFonts w:ascii="宋体" w:cs="宋体"/>
                <w:color w:val="auto"/>
                <w:sz w:val="20"/>
                <w:szCs w:val="20"/>
                <w:highlight w:val="none"/>
              </w:rPr>
            </w:pPr>
            <w:r>
              <w:rPr>
                <w:rFonts w:ascii="宋体" w:hAnsi="宋体" w:cs="宋体"/>
                <w:color w:val="auto"/>
                <w:sz w:val="20"/>
                <w:szCs w:val="20"/>
                <w:highlight w:val="none"/>
                <w:lang w:eastAsia="zh-CN" w:bidi="ar"/>
              </w:rPr>
              <w:t>36</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冷却塔</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特菱、新菱、澳菱、良机、元亨</w:t>
            </w:r>
          </w:p>
        </w:tc>
        <w:tc>
          <w:tcPr>
            <w:tcW w:w="2410" w:type="dxa"/>
            <w:vMerge w:val="continue"/>
            <w:vAlign w:val="center"/>
          </w:tcPr>
          <w:p>
            <w:pPr>
              <w:jc w:val="both"/>
              <w:rPr>
                <w:rFonts w:ascii="宋体" w:cs="宋体"/>
                <w:color w:val="auto"/>
                <w:sz w:val="20"/>
                <w:szCs w:val="20"/>
                <w:highlight w:val="none"/>
                <w:lang w:eastAsia="zh-CN"/>
              </w:rPr>
            </w:pP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rPr>
            </w:pPr>
            <w:r>
              <w:rPr>
                <w:rFonts w:ascii="宋体" w:hAnsi="宋体" w:cs="宋体"/>
                <w:color w:val="auto"/>
                <w:sz w:val="20"/>
                <w:szCs w:val="20"/>
                <w:highlight w:val="none"/>
                <w:lang w:eastAsia="zh-CN" w:bidi="ar"/>
              </w:rPr>
              <w:t>37</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内墙瓷砖 地板瓷砖1</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东鹏、马可波罗、诺贝尔、冠珠、</w:t>
            </w:r>
            <w:r>
              <w:rPr>
                <w:rFonts w:hint="eastAsia" w:ascii="宋体" w:cs="宋体"/>
                <w:color w:val="auto"/>
                <w:sz w:val="20"/>
                <w:szCs w:val="20"/>
                <w:highlight w:val="none"/>
                <w:lang w:eastAsia="zh-CN"/>
              </w:rPr>
              <w:t>蒙娜丽莎、欧神诺</w:t>
            </w:r>
          </w:p>
        </w:tc>
        <w:tc>
          <w:tcPr>
            <w:tcW w:w="2410" w:type="dxa"/>
            <w:vAlign w:val="center"/>
          </w:tcPr>
          <w:p>
            <w:pPr>
              <w:jc w:val="both"/>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rPr>
            </w:pPr>
            <w:r>
              <w:rPr>
                <w:rFonts w:ascii="宋体" w:hAnsi="宋体" w:cs="宋体"/>
                <w:color w:val="auto"/>
                <w:sz w:val="20"/>
                <w:szCs w:val="20"/>
                <w:highlight w:val="none"/>
                <w:lang w:eastAsia="zh-CN" w:bidi="ar"/>
              </w:rPr>
              <w:t>38</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内墙瓷砖 地板瓷砖2</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新中源、鹰牌、宏陶、顺辉、王者、冠军</w:t>
            </w:r>
          </w:p>
        </w:tc>
        <w:tc>
          <w:tcPr>
            <w:tcW w:w="2410" w:type="dxa"/>
            <w:vAlign w:val="center"/>
          </w:tcPr>
          <w:p>
            <w:pPr>
              <w:jc w:val="both"/>
              <w:rPr>
                <w:rFonts w:ascii="宋体" w:cs="宋体"/>
                <w:color w:val="auto"/>
                <w:sz w:val="20"/>
                <w:szCs w:val="20"/>
                <w:highlight w:val="none"/>
                <w:lang w:eastAsia="zh-CN"/>
              </w:rPr>
            </w:pP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rPr>
            </w:pPr>
            <w:r>
              <w:rPr>
                <w:rFonts w:ascii="宋体" w:hAnsi="宋体" w:cs="宋体"/>
                <w:color w:val="auto"/>
                <w:sz w:val="20"/>
                <w:szCs w:val="20"/>
                <w:highlight w:val="none"/>
                <w:lang w:eastAsia="zh-CN" w:bidi="ar"/>
              </w:rPr>
              <w:t>39</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洁具1</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hint="eastAsia" w:ascii="宋体" w:hAnsi="宋体" w:cs="宋体"/>
                <w:color w:val="auto"/>
                <w:sz w:val="20"/>
                <w:szCs w:val="20"/>
                <w:highlight w:val="none"/>
                <w:lang w:eastAsia="zh-CN" w:bidi="ar"/>
              </w:rPr>
              <w:t>九牧、</w:t>
            </w:r>
            <w:r>
              <w:rPr>
                <w:rFonts w:ascii="宋体" w:hAnsi="宋体" w:cs="宋体"/>
                <w:color w:val="auto"/>
                <w:sz w:val="20"/>
                <w:szCs w:val="20"/>
                <w:highlight w:val="none"/>
                <w:lang w:eastAsia="zh-CN" w:bidi="ar"/>
              </w:rPr>
              <w:t>TOTO</w:t>
            </w:r>
            <w:r>
              <w:rPr>
                <w:rFonts w:hint="eastAsia" w:ascii="宋体" w:hAnsi="宋体" w:cs="宋体"/>
                <w:color w:val="auto"/>
                <w:sz w:val="20"/>
                <w:szCs w:val="20"/>
                <w:highlight w:val="none"/>
                <w:lang w:eastAsia="zh-CN" w:bidi="ar"/>
              </w:rPr>
              <w:t>、</w:t>
            </w:r>
            <w:r>
              <w:rPr>
                <w:rFonts w:hint="eastAsia" w:ascii="宋体" w:cs="宋体"/>
                <w:color w:val="auto"/>
                <w:sz w:val="20"/>
                <w:szCs w:val="20"/>
                <w:highlight w:val="none"/>
                <w:lang w:eastAsia="zh-CN"/>
              </w:rPr>
              <w:t>恒洁、东鹏、箭牌、</w:t>
            </w:r>
            <w:r>
              <w:rPr>
                <w:rFonts w:hint="eastAsia" w:ascii="宋体" w:hAnsi="宋体" w:cs="宋体"/>
                <w:color w:val="auto"/>
                <w:sz w:val="20"/>
                <w:szCs w:val="20"/>
                <w:highlight w:val="none"/>
                <w:lang w:eastAsia="zh-CN" w:bidi="ar"/>
              </w:rPr>
              <w:t>浪鲸、</w:t>
            </w:r>
            <w:r>
              <w:rPr>
                <w:rFonts w:hint="eastAsia" w:ascii="宋体" w:cs="宋体"/>
                <w:color w:val="auto"/>
                <w:sz w:val="20"/>
                <w:szCs w:val="20"/>
                <w:highlight w:val="none"/>
                <w:lang w:eastAsia="zh-CN"/>
              </w:rPr>
              <w:t>美标</w:t>
            </w:r>
          </w:p>
        </w:tc>
        <w:tc>
          <w:tcPr>
            <w:tcW w:w="2410" w:type="dxa"/>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p>
        </w:tc>
        <w:tc>
          <w:tcPr>
            <w:tcW w:w="992" w:type="dxa"/>
            <w:vMerge w:val="continue"/>
            <w:noWrap/>
            <w:tcMar>
              <w:top w:w="15" w:type="dxa"/>
              <w:left w:w="15" w:type="dxa"/>
              <w:right w:w="15" w:type="dxa"/>
            </w:tcMar>
            <w:vAlign w:val="center"/>
          </w:tcPr>
          <w:p>
            <w:pPr>
              <w:textAlignment w:val="cente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40</w:t>
            </w:r>
          </w:p>
        </w:tc>
        <w:tc>
          <w:tcPr>
            <w:tcW w:w="1937" w:type="dxa"/>
            <w:noWrap/>
            <w:tcMar>
              <w:top w:w="15" w:type="dxa"/>
              <w:left w:w="15" w:type="dxa"/>
              <w:right w:w="15" w:type="dxa"/>
            </w:tcMar>
            <w:vAlign w:val="center"/>
          </w:tcPr>
          <w:p>
            <w:pPr>
              <w:textAlignment w:val="center"/>
              <w:rPr>
                <w:rFonts w:ascii="宋体" w:cs="宋体"/>
                <w:color w:val="auto"/>
                <w:sz w:val="20"/>
                <w:szCs w:val="20"/>
                <w:highlight w:val="none"/>
              </w:rPr>
            </w:pPr>
            <w:r>
              <w:rPr>
                <w:rFonts w:hint="eastAsia" w:ascii="宋体" w:hAnsi="宋体" w:cs="宋体"/>
                <w:color w:val="auto"/>
                <w:sz w:val="20"/>
                <w:szCs w:val="20"/>
                <w:highlight w:val="none"/>
                <w:lang w:eastAsia="zh-CN" w:bidi="ar"/>
              </w:rPr>
              <w:t>洁具2</w:t>
            </w:r>
          </w:p>
        </w:tc>
        <w:tc>
          <w:tcPr>
            <w:tcW w:w="4252" w:type="dxa"/>
            <w:noWrap/>
            <w:tcMar>
              <w:top w:w="15" w:type="dxa"/>
              <w:left w:w="15" w:type="dxa"/>
              <w:right w:w="15" w:type="dxa"/>
            </w:tcMar>
            <w:vAlign w:val="center"/>
          </w:tcPr>
          <w:p>
            <w:pPr>
              <w:textAlignment w:val="center"/>
              <w:rPr>
                <w:rFonts w:ascii="宋体" w:cs="宋体"/>
                <w:color w:val="auto"/>
                <w:sz w:val="20"/>
                <w:szCs w:val="20"/>
                <w:highlight w:val="none"/>
                <w:lang w:eastAsia="zh-CN"/>
              </w:rPr>
            </w:pPr>
            <w:r>
              <w:rPr>
                <w:rFonts w:ascii="宋体" w:cs="宋体"/>
                <w:color w:val="auto"/>
                <w:sz w:val="20"/>
                <w:szCs w:val="20"/>
                <w:highlight w:val="none"/>
                <w:lang w:eastAsia="zh-CN"/>
              </w:rPr>
              <w:t xml:space="preserve"> </w:t>
            </w:r>
            <w:r>
              <w:rPr>
                <w:rFonts w:hint="eastAsia" w:ascii="宋体" w:cs="宋体"/>
                <w:color w:val="auto"/>
                <w:sz w:val="20"/>
                <w:szCs w:val="20"/>
                <w:highlight w:val="none"/>
                <w:lang w:eastAsia="zh-CN"/>
              </w:rPr>
              <w:t>法恩莎、卡贝、朝阳、安华、惠达</w:t>
            </w:r>
          </w:p>
        </w:tc>
        <w:tc>
          <w:tcPr>
            <w:tcW w:w="2410" w:type="dxa"/>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textAlignment w:val="cente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bidi="ar"/>
              </w:rPr>
            </w:pPr>
            <w:r>
              <w:rPr>
                <w:rFonts w:ascii="宋体" w:hAnsi="宋体" w:cs="宋体"/>
                <w:color w:val="auto"/>
                <w:sz w:val="20"/>
                <w:szCs w:val="20"/>
                <w:highlight w:val="none"/>
                <w:lang w:eastAsia="zh-CN" w:bidi="ar"/>
              </w:rPr>
              <w:t>41</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多联机室内外机1</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大金、日立、</w:t>
            </w:r>
            <w:r>
              <w:rPr>
                <w:rFonts w:hint="eastAsia" w:ascii="宋体" w:hAnsi="宋体" w:cs="宋体"/>
                <w:color w:val="auto"/>
                <w:sz w:val="20"/>
                <w:szCs w:val="20"/>
                <w:highlight w:val="none"/>
                <w:lang w:eastAsia="zh-CN"/>
              </w:rPr>
              <w:t>三菱</w:t>
            </w:r>
          </w:p>
        </w:tc>
        <w:tc>
          <w:tcPr>
            <w:tcW w:w="2410" w:type="dxa"/>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p>
        </w:tc>
        <w:tc>
          <w:tcPr>
            <w:tcW w:w="992" w:type="dxa"/>
            <w:vMerge w:val="continue"/>
            <w:noWrap/>
            <w:tcMar>
              <w:top w:w="15" w:type="dxa"/>
              <w:left w:w="15" w:type="dxa"/>
              <w:right w:w="15" w:type="dxa"/>
            </w:tcMar>
            <w:vAlign w:val="center"/>
          </w:tcPr>
          <w:p>
            <w:pPr>
              <w:textAlignment w:val="cente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42</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bidi="ar"/>
              </w:rPr>
              <w:t>多联机室内外机</w:t>
            </w:r>
            <w:r>
              <w:rPr>
                <w:rFonts w:ascii="宋体" w:hAnsi="宋体" w:cs="宋体"/>
                <w:color w:val="auto"/>
                <w:sz w:val="20"/>
                <w:szCs w:val="20"/>
                <w:highlight w:val="none"/>
                <w:lang w:eastAsia="zh-CN" w:bidi="ar"/>
              </w:rPr>
              <w:t>2</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美的、海信、格力</w:t>
            </w:r>
          </w:p>
        </w:tc>
        <w:tc>
          <w:tcPr>
            <w:tcW w:w="2410" w:type="dxa"/>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textAlignment w:val="cente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43</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一拖一空调</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美的、海信、格力</w:t>
            </w:r>
          </w:p>
        </w:tc>
        <w:tc>
          <w:tcPr>
            <w:tcW w:w="2410" w:type="dxa"/>
            <w:vAlign w:val="center"/>
          </w:tcPr>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p>
          <w:p>
            <w:pPr>
              <w:jc w:val="both"/>
              <w:textAlignment w:val="center"/>
              <w:rPr>
                <w:rFonts w:ascii="宋体" w:cs="宋体"/>
                <w:color w:val="auto"/>
                <w:sz w:val="20"/>
                <w:szCs w:val="20"/>
                <w:highlight w:val="none"/>
                <w:lang w:eastAsia="zh-CN"/>
              </w:rPr>
            </w:pP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44</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客梯1</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日立、奥的斯、三菱、迅达、蒂森克虏伯、通力</w:t>
            </w:r>
          </w:p>
        </w:tc>
        <w:tc>
          <w:tcPr>
            <w:tcW w:w="2410" w:type="dxa"/>
            <w:vAlign w:val="center"/>
          </w:tcPr>
          <w:p>
            <w:pPr>
              <w:jc w:val="both"/>
              <w:rPr>
                <w:rFonts w:ascii="宋体" w:cs="宋体"/>
                <w:color w:val="auto"/>
                <w:sz w:val="20"/>
                <w:szCs w:val="20"/>
                <w:highlight w:val="none"/>
                <w:lang w:eastAsia="zh-CN"/>
              </w:rPr>
            </w:pPr>
            <w:r>
              <w:rPr>
                <w:rFonts w:hint="eastAsia" w:ascii="宋体" w:cs="宋体"/>
                <w:color w:val="auto"/>
                <w:sz w:val="20"/>
                <w:szCs w:val="20"/>
                <w:highlight w:val="none"/>
                <w:lang w:eastAsia="zh-CN"/>
              </w:rPr>
              <w:t>1</w:t>
            </w:r>
            <w:r>
              <w:rPr>
                <w:rFonts w:ascii="宋体" w:cs="宋体"/>
                <w:color w:val="auto"/>
                <w:sz w:val="20"/>
                <w:szCs w:val="20"/>
                <w:highlight w:val="none"/>
                <w:lang w:eastAsia="zh-CN"/>
              </w:rPr>
              <w:t>-1#</w:t>
            </w:r>
            <w:r>
              <w:rPr>
                <w:rFonts w:hint="eastAsia" w:ascii="宋体" w:cs="宋体"/>
                <w:color w:val="auto"/>
                <w:sz w:val="20"/>
                <w:szCs w:val="20"/>
                <w:highlight w:val="none"/>
                <w:lang w:eastAsia="zh-CN"/>
              </w:rPr>
              <w:t>高端厂房主楼、</w:t>
            </w:r>
            <w:r>
              <w:rPr>
                <w:rFonts w:ascii="宋体" w:cs="宋体"/>
                <w:color w:val="auto"/>
                <w:sz w:val="20"/>
                <w:szCs w:val="20"/>
                <w:highlight w:val="none"/>
                <w:lang w:eastAsia="zh-CN"/>
              </w:rPr>
              <w:t>1-2#~</w:t>
            </w:r>
            <w:r>
              <w:rPr>
                <w:rFonts w:hint="eastAsia" w:ascii="宋体" w:cs="宋体"/>
                <w:color w:val="auto"/>
                <w:sz w:val="20"/>
                <w:szCs w:val="20"/>
                <w:highlight w:val="none"/>
                <w:lang w:eastAsia="zh-CN"/>
              </w:rPr>
              <w:t>1</w:t>
            </w:r>
            <w:r>
              <w:rPr>
                <w:rFonts w:ascii="宋体" w:cs="宋体"/>
                <w:color w:val="auto"/>
                <w:sz w:val="20"/>
                <w:szCs w:val="20"/>
                <w:highlight w:val="none"/>
                <w:lang w:eastAsia="zh-CN"/>
              </w:rPr>
              <w:t>-3#</w:t>
            </w:r>
            <w:r>
              <w:rPr>
                <w:rFonts w:hint="eastAsia" w:ascii="宋体" w:cs="宋体"/>
                <w:color w:val="auto"/>
                <w:sz w:val="20"/>
                <w:szCs w:val="20"/>
                <w:highlight w:val="none"/>
                <w:lang w:eastAsia="zh-CN"/>
              </w:rPr>
              <w:t>高端厂房附楼、1</w:t>
            </w:r>
            <w:r>
              <w:rPr>
                <w:rFonts w:ascii="宋体" w:cs="宋体"/>
                <w:color w:val="auto"/>
                <w:sz w:val="20"/>
                <w:szCs w:val="20"/>
                <w:highlight w:val="none"/>
                <w:lang w:eastAsia="zh-CN"/>
              </w:rPr>
              <w:t>-4#</w:t>
            </w:r>
            <w:r>
              <w:rPr>
                <w:rFonts w:hint="eastAsia" w:ascii="宋体" w:cs="宋体"/>
                <w:color w:val="auto"/>
                <w:sz w:val="20"/>
                <w:szCs w:val="20"/>
                <w:highlight w:val="none"/>
                <w:lang w:eastAsia="zh-CN"/>
              </w:rPr>
              <w:t>高端厂房、1</w:t>
            </w:r>
            <w:r>
              <w:rPr>
                <w:rFonts w:ascii="宋体" w:cs="宋体"/>
                <w:color w:val="auto"/>
                <w:sz w:val="20"/>
                <w:szCs w:val="20"/>
                <w:highlight w:val="none"/>
                <w:lang w:eastAsia="zh-CN"/>
              </w:rPr>
              <w:t>-5#</w:t>
            </w:r>
            <w:r>
              <w:rPr>
                <w:rFonts w:hint="eastAsia" w:ascii="宋体" w:cs="宋体"/>
                <w:color w:val="auto"/>
                <w:sz w:val="20"/>
                <w:szCs w:val="20"/>
                <w:highlight w:val="none"/>
                <w:lang w:eastAsia="zh-CN"/>
              </w:rPr>
              <w:t>厂房</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2</w:t>
            </w:r>
            <w:r>
              <w:rPr>
                <w:rFonts w:ascii="宋体" w:cs="宋体"/>
                <w:color w:val="auto"/>
                <w:sz w:val="20"/>
                <w:szCs w:val="20"/>
                <w:highlight w:val="none"/>
                <w:lang w:eastAsia="zh-CN"/>
              </w:rPr>
              <w:t>-7#~2-9#</w:t>
            </w:r>
            <w:r>
              <w:rPr>
                <w:rFonts w:hint="eastAsia" w:ascii="宋体" w:cs="宋体"/>
                <w:color w:val="auto"/>
                <w:sz w:val="20"/>
                <w:szCs w:val="20"/>
                <w:highlight w:val="none"/>
                <w:lang w:eastAsia="zh-CN"/>
              </w:rPr>
              <w:t>专家办公楼</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45</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eastAsia="zh-CN" w:bidi="ar"/>
              </w:rPr>
              <w:t>客梯</w:t>
            </w:r>
            <w:r>
              <w:rPr>
                <w:rFonts w:ascii="宋体" w:hAnsi="宋体" w:cs="宋体"/>
                <w:color w:val="auto"/>
                <w:sz w:val="20"/>
                <w:szCs w:val="20"/>
                <w:highlight w:val="none"/>
                <w:lang w:eastAsia="zh-CN" w:bidi="ar"/>
              </w:rPr>
              <w:t>2</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广日、巨人通力、上海三菱、西奥、东南</w:t>
            </w:r>
          </w:p>
        </w:tc>
        <w:tc>
          <w:tcPr>
            <w:tcW w:w="2410" w:type="dxa"/>
            <w:vAlign w:val="center"/>
          </w:tcPr>
          <w:p>
            <w:pPr>
              <w:jc w:val="both"/>
              <w:rPr>
                <w:rFonts w:ascii="宋体" w:cs="宋体"/>
                <w:color w:val="auto"/>
                <w:sz w:val="20"/>
                <w:szCs w:val="20"/>
                <w:highlight w:val="none"/>
                <w:lang w:eastAsia="zh-CN"/>
              </w:rPr>
            </w:pPr>
            <w:r>
              <w:rPr>
                <w:rFonts w:hint="eastAsia" w:ascii="宋体" w:cs="宋体"/>
                <w:color w:val="auto"/>
                <w:sz w:val="20"/>
                <w:szCs w:val="20"/>
                <w:highlight w:val="none"/>
                <w:lang w:eastAsia="zh-CN"/>
              </w:rPr>
              <w:t>2</w:t>
            </w:r>
            <w:r>
              <w:rPr>
                <w:rFonts w:ascii="宋体" w:cs="宋体"/>
                <w:color w:val="auto"/>
                <w:sz w:val="20"/>
                <w:szCs w:val="20"/>
                <w:highlight w:val="none"/>
                <w:lang w:eastAsia="zh-CN"/>
              </w:rPr>
              <w:t>-1#~2-6#</w:t>
            </w:r>
            <w:r>
              <w:rPr>
                <w:rFonts w:hint="eastAsia" w:ascii="宋体" w:cs="宋体"/>
                <w:color w:val="auto"/>
                <w:sz w:val="20"/>
                <w:szCs w:val="20"/>
                <w:highlight w:val="none"/>
                <w:lang w:eastAsia="zh-CN"/>
              </w:rPr>
              <w:t>宿舍及配套</w:t>
            </w:r>
            <w:r>
              <w:rPr>
                <w:rFonts w:ascii="宋体" w:cs="宋体"/>
                <w:color w:val="auto"/>
                <w:sz w:val="20"/>
                <w:szCs w:val="20"/>
                <w:highlight w:val="none"/>
                <w:lang w:eastAsia="zh-CN"/>
              </w:rPr>
              <w:br w:type="textWrapping"/>
            </w: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52" w:type="dxa"/>
            <w:noWrap/>
            <w:tcMar>
              <w:top w:w="15" w:type="dxa"/>
              <w:left w:w="15" w:type="dxa"/>
              <w:right w:w="15" w:type="dxa"/>
            </w:tcMar>
            <w:vAlign w:val="center"/>
          </w:tcPr>
          <w:p>
            <w:pPr>
              <w:jc w:val="center"/>
              <w:textAlignment w:val="center"/>
              <w:rPr>
                <w:rFonts w:ascii="宋体" w:hAnsi="宋体" w:cs="宋体"/>
                <w:color w:val="auto"/>
                <w:sz w:val="20"/>
                <w:szCs w:val="20"/>
                <w:highlight w:val="none"/>
                <w:lang w:eastAsia="zh-CN"/>
              </w:rPr>
            </w:pPr>
            <w:r>
              <w:rPr>
                <w:rFonts w:ascii="宋体" w:hAnsi="宋体" w:cs="宋体"/>
                <w:color w:val="auto"/>
                <w:sz w:val="20"/>
                <w:szCs w:val="20"/>
                <w:highlight w:val="none"/>
                <w:lang w:eastAsia="zh-CN"/>
              </w:rPr>
              <w:t>46</w:t>
            </w:r>
          </w:p>
        </w:tc>
        <w:tc>
          <w:tcPr>
            <w:tcW w:w="1937"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bidi="ar"/>
              </w:rPr>
            </w:pPr>
            <w:r>
              <w:rPr>
                <w:rFonts w:hint="eastAsia" w:ascii="宋体" w:hAnsi="宋体" w:cs="宋体"/>
                <w:color w:val="auto"/>
                <w:sz w:val="20"/>
                <w:szCs w:val="20"/>
                <w:highlight w:val="none"/>
                <w:lang w:eastAsia="zh-CN" w:bidi="ar"/>
              </w:rPr>
              <w:t>货梯</w:t>
            </w:r>
          </w:p>
        </w:tc>
        <w:tc>
          <w:tcPr>
            <w:tcW w:w="4252" w:type="dxa"/>
            <w:noWrap/>
            <w:tcMar>
              <w:top w:w="15" w:type="dxa"/>
              <w:left w:w="15" w:type="dxa"/>
              <w:right w:w="15" w:type="dxa"/>
            </w:tcMar>
            <w:vAlign w:val="center"/>
          </w:tcPr>
          <w:p>
            <w:pPr>
              <w:textAlignment w:val="center"/>
              <w:rPr>
                <w:rFonts w:ascii="宋体" w:hAnsi="宋体" w:cs="宋体"/>
                <w:color w:val="auto"/>
                <w:sz w:val="20"/>
                <w:szCs w:val="20"/>
                <w:highlight w:val="none"/>
                <w:lang w:eastAsia="zh-CN"/>
              </w:rPr>
            </w:pPr>
            <w:r>
              <w:rPr>
                <w:rFonts w:hint="eastAsia" w:ascii="宋体" w:hAnsi="宋体" w:cs="宋体"/>
                <w:color w:val="auto"/>
                <w:sz w:val="20"/>
                <w:szCs w:val="20"/>
                <w:highlight w:val="none"/>
                <w:lang w:eastAsia="zh-CN"/>
              </w:rPr>
              <w:t>广日、巨人通力、上海三菱、西奥、东南</w:t>
            </w:r>
          </w:p>
        </w:tc>
        <w:tc>
          <w:tcPr>
            <w:tcW w:w="2410" w:type="dxa"/>
            <w:vAlign w:val="center"/>
          </w:tcPr>
          <w:p>
            <w:pPr>
              <w:jc w:val="both"/>
              <w:rPr>
                <w:rFonts w:ascii="宋体" w:cs="宋体"/>
                <w:color w:val="auto"/>
                <w:sz w:val="20"/>
                <w:szCs w:val="20"/>
                <w:highlight w:val="none"/>
                <w:lang w:eastAsia="zh-CN"/>
              </w:rPr>
            </w:pPr>
            <w:r>
              <w:rPr>
                <w:rFonts w:hint="eastAsia" w:ascii="宋体" w:cs="宋体"/>
                <w:color w:val="auto"/>
                <w:sz w:val="20"/>
                <w:szCs w:val="20"/>
                <w:highlight w:val="none"/>
                <w:lang w:eastAsia="zh-CN"/>
              </w:rPr>
              <w:t>3</w:t>
            </w:r>
            <w:r>
              <w:rPr>
                <w:rFonts w:ascii="宋体" w:cs="宋体"/>
                <w:color w:val="auto"/>
                <w:sz w:val="20"/>
                <w:szCs w:val="20"/>
                <w:highlight w:val="none"/>
                <w:lang w:eastAsia="zh-CN"/>
              </w:rPr>
              <w:t>-1#~</w:t>
            </w:r>
            <w:r>
              <w:rPr>
                <w:rFonts w:hint="eastAsia" w:ascii="宋体" w:cs="宋体"/>
                <w:color w:val="auto"/>
                <w:sz w:val="20"/>
                <w:szCs w:val="20"/>
                <w:highlight w:val="none"/>
                <w:lang w:eastAsia="zh-CN"/>
              </w:rPr>
              <w:t xml:space="preserve"> 3</w:t>
            </w:r>
            <w:r>
              <w:rPr>
                <w:rFonts w:ascii="宋体" w:cs="宋体"/>
                <w:color w:val="auto"/>
                <w:sz w:val="20"/>
                <w:szCs w:val="20"/>
                <w:highlight w:val="none"/>
                <w:lang w:eastAsia="zh-CN"/>
              </w:rPr>
              <w:t>-</w:t>
            </w:r>
            <w:r>
              <w:rPr>
                <w:rFonts w:hint="eastAsia" w:ascii="宋体" w:cs="宋体"/>
                <w:color w:val="auto"/>
                <w:sz w:val="20"/>
                <w:szCs w:val="20"/>
                <w:highlight w:val="none"/>
                <w:lang w:eastAsia="zh-CN"/>
              </w:rPr>
              <w:t>7</w:t>
            </w:r>
            <w:r>
              <w:rPr>
                <w:rFonts w:ascii="宋体" w:cs="宋体"/>
                <w:color w:val="auto"/>
                <w:sz w:val="20"/>
                <w:szCs w:val="20"/>
                <w:highlight w:val="none"/>
                <w:lang w:eastAsia="zh-CN"/>
              </w:rPr>
              <w:t>#</w:t>
            </w:r>
            <w:r>
              <w:rPr>
                <w:rFonts w:hint="eastAsia" w:ascii="宋体" w:cs="宋体"/>
                <w:color w:val="auto"/>
                <w:sz w:val="20"/>
                <w:szCs w:val="20"/>
                <w:highlight w:val="none"/>
                <w:lang w:eastAsia="zh-CN"/>
              </w:rPr>
              <w:t>厂房</w:t>
            </w:r>
          </w:p>
        </w:tc>
        <w:tc>
          <w:tcPr>
            <w:tcW w:w="992" w:type="dxa"/>
            <w:vMerge w:val="continue"/>
            <w:noWrap/>
            <w:tcMar>
              <w:top w:w="15" w:type="dxa"/>
              <w:left w:w="15" w:type="dxa"/>
              <w:right w:w="15" w:type="dxa"/>
            </w:tcMar>
            <w:vAlign w:val="center"/>
          </w:tcPr>
          <w:p>
            <w:pPr>
              <w:rPr>
                <w:rFonts w:ascii="宋体" w:cs="宋体"/>
                <w:color w:val="auto"/>
                <w:sz w:val="20"/>
                <w:szCs w:val="20"/>
                <w:highlight w:val="none"/>
                <w:lang w:eastAsia="zh-CN"/>
              </w:rPr>
            </w:pPr>
          </w:p>
        </w:tc>
      </w:tr>
    </w:tbl>
    <w:p>
      <w:pPr>
        <w:rPr>
          <w:rFonts w:ascii="宋体" w:hAnsi="宋体" w:cs="宋体"/>
          <w:b/>
          <w:color w:val="auto"/>
          <w:sz w:val="21"/>
          <w:szCs w:val="21"/>
          <w:highlight w:val="none"/>
          <w:lang w:eastAsia="zh-CN"/>
        </w:rPr>
      </w:pPr>
    </w:p>
    <w:p>
      <w:pPr>
        <w:rPr>
          <w:rFonts w:ascii="宋体" w:hAnsi="宋体" w:cs="宋体"/>
          <w:b/>
          <w:color w:val="auto"/>
          <w:sz w:val="21"/>
          <w:szCs w:val="21"/>
          <w:highlight w:val="none"/>
          <w:lang w:eastAsia="zh-CN"/>
        </w:rPr>
      </w:pPr>
      <w:r>
        <w:rPr>
          <w:rFonts w:hint="eastAsia" w:ascii="宋体" w:hAnsi="宋体" w:cs="宋体"/>
          <w:b/>
          <w:color w:val="auto"/>
          <w:sz w:val="21"/>
          <w:szCs w:val="21"/>
          <w:highlight w:val="none"/>
          <w:lang w:eastAsia="zh-CN"/>
        </w:rPr>
        <w:t>备注：</w:t>
      </w:r>
    </w:p>
    <w:p>
      <w:pPr>
        <w:rPr>
          <w:rFonts w:ascii="宋体" w:hAnsi="宋体" w:cs="宋体"/>
          <w:bCs/>
          <w:color w:val="auto"/>
          <w:sz w:val="21"/>
          <w:szCs w:val="21"/>
          <w:highlight w:val="none"/>
          <w:lang w:eastAsia="zh-CN"/>
        </w:rPr>
      </w:pPr>
      <w:r>
        <w:rPr>
          <w:rFonts w:hint="eastAsia" w:ascii="宋体" w:hAnsi="宋体" w:cs="宋体"/>
          <w:bCs/>
          <w:color w:val="auto"/>
          <w:sz w:val="21"/>
          <w:szCs w:val="21"/>
          <w:highlight w:val="none"/>
          <w:lang w:eastAsia="zh-CN"/>
        </w:rPr>
        <w:t>1、以上品牌和厂家供参考，优先</w:t>
      </w:r>
      <w:r>
        <w:rPr>
          <w:rFonts w:ascii="宋体" w:hAnsi="宋体" w:cs="宋体"/>
          <w:bCs/>
          <w:color w:val="auto"/>
          <w:sz w:val="21"/>
          <w:szCs w:val="21"/>
          <w:highlight w:val="none"/>
          <w:lang w:eastAsia="zh-CN"/>
        </w:rPr>
        <w:t>使用表内</w:t>
      </w:r>
      <w:r>
        <w:rPr>
          <w:rFonts w:hint="eastAsia" w:ascii="宋体" w:hAnsi="宋体" w:cs="宋体"/>
          <w:bCs/>
          <w:color w:val="auto"/>
          <w:sz w:val="21"/>
          <w:szCs w:val="21"/>
          <w:highlight w:val="none"/>
          <w:lang w:eastAsia="zh-CN"/>
        </w:rPr>
        <w:t>品牌。投入本工程的主要材料（含变更材料）必须通过发包人及监理工程师的看样定板，并完成准许使用手续后才用于本工程建设中。</w:t>
      </w:r>
    </w:p>
    <w:p>
      <w:pPr>
        <w:rPr>
          <w:color w:val="auto"/>
          <w:highlight w:val="none"/>
          <w:lang w:eastAsia="zh-CN"/>
        </w:rPr>
      </w:pPr>
      <w:r>
        <w:rPr>
          <w:rFonts w:hint="eastAsia" w:ascii="宋体" w:hAnsi="宋体" w:cs="宋体"/>
          <w:bCs/>
          <w:color w:val="auto"/>
          <w:sz w:val="21"/>
          <w:szCs w:val="21"/>
          <w:highlight w:val="none"/>
          <w:lang w:eastAsia="zh-CN"/>
        </w:rPr>
        <w:t>2、各单位可根据工程实际和当地的情况对工程材料和品牌进行适当的调整，即可以增加或减少材料品种，各材料的品牌可做适当的增减，但新选用的必须是同档次质量或以上的品牌。</w:t>
      </w:r>
    </w:p>
    <w:p>
      <w:pPr>
        <w:rPr>
          <w:rFonts w:hint="eastAsia"/>
          <w:color w:val="auto"/>
          <w:highlight w:val="none"/>
        </w:rPr>
      </w:pPr>
    </w:p>
    <w:p>
      <w:pPr>
        <w:rPr>
          <w:rFonts w:hint="eastAsia" w:hAnsi="宋体"/>
          <w:b/>
          <w:color w:val="auto"/>
          <w:highlight w:val="none"/>
        </w:rPr>
      </w:pPr>
    </w:p>
    <w:p>
      <w:pPr>
        <w:spacing w:line="440" w:lineRule="exact"/>
        <w:ind w:firstLine="359" w:firstLineChars="171"/>
        <w:rPr>
          <w:color w:val="auto"/>
          <w:szCs w:val="21"/>
          <w:highlight w:val="none"/>
        </w:rPr>
      </w:pPr>
    </w:p>
    <w:p>
      <w:pPr>
        <w:pStyle w:val="2"/>
        <w:rPr>
          <w:strike/>
          <w:color w:val="auto"/>
          <w:highlight w:val="none"/>
        </w:rPr>
      </w:pPr>
    </w:p>
    <w:p>
      <w:pPr>
        <w:pStyle w:val="3"/>
        <w:jc w:val="center"/>
        <w:rPr>
          <w:rFonts w:ascii="宋体" w:hAnsi="宋体" w:cs="宋体"/>
          <w:color w:val="auto"/>
          <w:highlight w:val="none"/>
        </w:rPr>
      </w:pPr>
      <w:r>
        <w:rPr>
          <w:rFonts w:hint="eastAsia" w:ascii="宋体" w:hAnsi="宋体" w:cs="宋体"/>
          <w:color w:val="auto"/>
          <w:highlight w:val="none"/>
        </w:rPr>
        <w:br w:type="page"/>
      </w:r>
      <w:bookmarkStart w:id="554" w:name="_Toc5433"/>
      <w:bookmarkStart w:id="555" w:name="_Toc23943"/>
      <w:r>
        <w:rPr>
          <w:rFonts w:hint="eastAsia" w:ascii="宋体" w:hAnsi="宋体" w:cs="宋体"/>
          <w:color w:val="auto"/>
          <w:highlight w:val="none"/>
        </w:rPr>
        <w:t>第六章  招标人提供的资料</w:t>
      </w:r>
      <w:bookmarkEnd w:id="554"/>
      <w:bookmarkEnd w:id="555"/>
    </w:p>
    <w:p>
      <w:pPr>
        <w:spacing w:line="360" w:lineRule="auto"/>
        <w:jc w:val="center"/>
        <w:rPr>
          <w:rFonts w:ascii="宋体" w:hAnsi="宋体" w:cs="宋体"/>
          <w:color w:val="auto"/>
          <w:highlight w:val="none"/>
        </w:rPr>
      </w:pPr>
      <w:bookmarkStart w:id="556" w:name="_Toc15557"/>
      <w:bookmarkStart w:id="557" w:name="_Toc247514244"/>
      <w:bookmarkStart w:id="558" w:name="_Toc247527825"/>
      <w:bookmarkStart w:id="559" w:name="_Toc152045786"/>
      <w:bookmarkStart w:id="560" w:name="_Toc144974855"/>
      <w:bookmarkStart w:id="561" w:name="_Toc152042575"/>
    </w:p>
    <w:p>
      <w:pPr>
        <w:autoSpaceDE w:val="0"/>
        <w:autoSpaceDN w:val="0"/>
        <w:adjustRightInd w:val="0"/>
        <w:jc w:val="center"/>
        <w:rPr>
          <w:rFonts w:ascii="宋体" w:hAnsi="宋体" w:cs="宋体"/>
          <w:color w:val="auto"/>
          <w:sz w:val="24"/>
          <w:highlight w:val="none"/>
        </w:rPr>
      </w:pPr>
      <w:r>
        <w:rPr>
          <w:rFonts w:hint="eastAsia" w:ascii="宋体" w:hAnsi="宋体" w:cs="宋体"/>
          <w:color w:val="auto"/>
          <w:sz w:val="24"/>
          <w:highlight w:val="none"/>
        </w:rPr>
        <w:t>该项目前期咨询成果、设计施工总承包合同等前期资料</w:t>
      </w:r>
    </w:p>
    <w:p>
      <w:pPr>
        <w:spacing w:line="360" w:lineRule="auto"/>
        <w:jc w:val="center"/>
        <w:rPr>
          <w:rFonts w:ascii="宋体" w:hAnsi="宋体" w:cs="宋体"/>
          <w:color w:val="auto"/>
          <w:highlight w:val="none"/>
        </w:rPr>
      </w:pPr>
    </w:p>
    <w:p>
      <w:pPr>
        <w:autoSpaceDE w:val="0"/>
        <w:autoSpaceDN w:val="0"/>
        <w:adjustRightInd w:val="0"/>
        <w:jc w:val="center"/>
        <w:rPr>
          <w:rFonts w:ascii="宋体" w:hAnsi="宋体" w:cs="宋体"/>
          <w:color w:val="auto"/>
          <w:sz w:val="24"/>
          <w:highlight w:val="none"/>
        </w:rPr>
      </w:pPr>
      <w:r>
        <w:rPr>
          <w:rFonts w:hint="eastAsia" w:ascii="宋体" w:hAnsi="宋体" w:cs="宋体"/>
          <w:color w:val="auto"/>
          <w:sz w:val="24"/>
          <w:highlight w:val="none"/>
        </w:rPr>
        <w:t>另册。</w:t>
      </w:r>
    </w:p>
    <w:p>
      <w:pPr>
        <w:pStyle w:val="2"/>
        <w:rPr>
          <w:color w:val="auto"/>
          <w:highlight w:val="none"/>
        </w:rPr>
      </w:pPr>
    </w:p>
    <w:p>
      <w:pPr>
        <w:rPr>
          <w:strike/>
          <w:color w:val="auto"/>
          <w:highlight w:val="none"/>
        </w:rPr>
      </w:pPr>
    </w:p>
    <w:p>
      <w:pPr>
        <w:rPr>
          <w:color w:val="auto"/>
          <w:highlight w:val="none"/>
        </w:rPr>
      </w:pPr>
      <w:r>
        <w:rPr>
          <w:color w:val="auto"/>
          <w:highlight w:val="none"/>
        </w:rPr>
        <w:br w:type="page"/>
      </w:r>
    </w:p>
    <w:p>
      <w:pPr>
        <w:pStyle w:val="3"/>
        <w:rPr>
          <w:color w:val="auto"/>
          <w:highlight w:val="none"/>
        </w:rPr>
      </w:pPr>
    </w:p>
    <w:p>
      <w:pPr>
        <w:pStyle w:val="2"/>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p>
    <w:p>
      <w:pPr>
        <w:pStyle w:val="3"/>
        <w:jc w:val="center"/>
        <w:rPr>
          <w:rFonts w:ascii="宋体" w:hAnsi="宋体" w:cs="宋体"/>
          <w:color w:val="auto"/>
          <w:highlight w:val="none"/>
        </w:rPr>
      </w:pPr>
    </w:p>
    <w:p>
      <w:pPr>
        <w:pStyle w:val="3"/>
        <w:jc w:val="center"/>
        <w:rPr>
          <w:rFonts w:ascii="宋体" w:hAnsi="宋体" w:cs="宋体"/>
          <w:color w:val="auto"/>
          <w:highlight w:val="none"/>
        </w:rPr>
      </w:pPr>
      <w:bookmarkStart w:id="562" w:name="_Toc2572"/>
      <w:r>
        <w:rPr>
          <w:rFonts w:hint="eastAsia" w:ascii="宋体" w:hAnsi="宋体" w:cs="宋体"/>
          <w:color w:val="auto"/>
          <w:highlight w:val="none"/>
        </w:rPr>
        <w:t>第三卷</w:t>
      </w:r>
      <w:bookmarkEnd w:id="556"/>
      <w:bookmarkEnd w:id="557"/>
      <w:bookmarkEnd w:id="558"/>
      <w:bookmarkEnd w:id="562"/>
    </w:p>
    <w:p>
      <w:pPr>
        <w:rPr>
          <w:rFonts w:ascii="宋体" w:hAnsi="宋体" w:cs="宋体"/>
          <w:b/>
          <w:bCs/>
          <w:color w:val="auto"/>
          <w:kern w:val="44"/>
          <w:sz w:val="44"/>
          <w:szCs w:val="44"/>
          <w:highlight w:val="none"/>
        </w:rPr>
      </w:pPr>
      <w:r>
        <w:rPr>
          <w:rFonts w:ascii="宋体" w:hAnsi="宋体" w:cs="宋体"/>
          <w:b/>
          <w:bCs/>
          <w:color w:val="auto"/>
          <w:kern w:val="44"/>
          <w:sz w:val="44"/>
          <w:szCs w:val="44"/>
          <w:highlight w:val="none"/>
        </w:rPr>
        <w:br w:type="page"/>
      </w:r>
    </w:p>
    <w:p>
      <w:pPr>
        <w:pStyle w:val="13"/>
        <w:rPr>
          <w:color w:val="auto"/>
          <w:highlight w:val="none"/>
        </w:rPr>
      </w:pPr>
    </w:p>
    <w:p>
      <w:pPr>
        <w:rPr>
          <w:color w:val="auto"/>
          <w:highlight w:val="none"/>
        </w:rPr>
      </w:pPr>
    </w:p>
    <w:p>
      <w:pPr>
        <w:pStyle w:val="13"/>
        <w:rPr>
          <w:color w:val="auto"/>
          <w:highlight w:val="none"/>
        </w:rPr>
      </w:pPr>
    </w:p>
    <w:p>
      <w:pPr>
        <w:pStyle w:val="3"/>
        <w:jc w:val="center"/>
        <w:rPr>
          <w:rFonts w:ascii="宋体" w:hAnsi="宋体" w:cs="宋体"/>
          <w:color w:val="auto"/>
          <w:highlight w:val="none"/>
        </w:rPr>
      </w:pPr>
      <w:bookmarkStart w:id="563" w:name="_Toc1489"/>
      <w:bookmarkStart w:id="564" w:name="_Toc19881"/>
      <w:bookmarkStart w:id="565" w:name="_Toc247527826"/>
      <w:bookmarkStart w:id="566" w:name="_Toc247514245"/>
      <w:r>
        <w:rPr>
          <w:rFonts w:hint="eastAsia" w:ascii="宋体" w:hAnsi="宋体" w:cs="宋体"/>
          <w:color w:val="auto"/>
          <w:highlight w:val="none"/>
        </w:rPr>
        <w:t>第七章  投标文件格式</w:t>
      </w:r>
      <w:bookmarkEnd w:id="559"/>
      <w:bookmarkEnd w:id="560"/>
      <w:bookmarkEnd w:id="561"/>
      <w:bookmarkEnd w:id="563"/>
      <w:bookmarkEnd w:id="564"/>
      <w:bookmarkEnd w:id="565"/>
      <w:bookmarkEnd w:id="566"/>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r>
        <w:rPr>
          <w:rFonts w:hint="eastAsia" w:ascii="宋体" w:hAnsi="宋体" w:cs="宋体"/>
          <w:color w:val="auto"/>
          <w:highlight w:val="none"/>
        </w:rPr>
        <w:br w:type="page"/>
      </w:r>
    </w:p>
    <w:p>
      <w:pPr>
        <w:spacing w:line="440" w:lineRule="exact"/>
        <w:rPr>
          <w:rFonts w:ascii="宋体" w:hAnsi="宋体" w:cs="宋体"/>
          <w:color w:val="auto"/>
          <w:sz w:val="20"/>
          <w:szCs w:val="20"/>
          <w:highlight w:val="none"/>
        </w:rPr>
      </w:pPr>
    </w:p>
    <w:p>
      <w:pPr>
        <w:spacing w:line="440" w:lineRule="exact"/>
        <w:rPr>
          <w:rFonts w:ascii="宋体" w:hAnsi="宋体" w:cs="宋体"/>
          <w:color w:val="auto"/>
          <w:sz w:val="20"/>
          <w:szCs w:val="20"/>
          <w:highlight w:val="none"/>
        </w:rPr>
      </w:pPr>
    </w:p>
    <w:p>
      <w:pPr>
        <w:jc w:val="center"/>
        <w:rPr>
          <w:rFonts w:ascii="宋体" w:hAnsi="宋体" w:cs="宋体"/>
          <w:b/>
          <w:bCs/>
          <w:color w:val="auto"/>
          <w:sz w:val="20"/>
          <w:szCs w:val="20"/>
          <w:highlight w:val="none"/>
        </w:rPr>
      </w:pPr>
      <w:r>
        <w:rPr>
          <w:rFonts w:hint="eastAsia" w:ascii="宋体" w:hAnsi="宋体" w:cs="宋体"/>
          <w:b/>
          <w:bCs/>
          <w:color w:val="auto"/>
          <w:sz w:val="44"/>
          <w:szCs w:val="44"/>
          <w:highlight w:val="none"/>
          <w:u w:val="single"/>
        </w:rPr>
        <w:t>广州海格天腾产业发展有限公司新建海格天腾信息产业基地项目勘察设计施工总承包</w:t>
      </w:r>
    </w:p>
    <w:p>
      <w:pPr>
        <w:rPr>
          <w:rFonts w:ascii="宋体" w:hAnsi="宋体" w:cs="宋体"/>
          <w:color w:val="auto"/>
          <w:sz w:val="20"/>
          <w:szCs w:val="20"/>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投  标  文  件</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u w:val="singl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（盖章或签字）</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440" w:lineRule="exact"/>
        <w:rPr>
          <w:rFonts w:ascii="宋体" w:hAnsi="宋体" w:cs="宋体"/>
          <w:color w:val="auto"/>
          <w:sz w:val="20"/>
          <w:szCs w:val="20"/>
          <w:highlight w:val="none"/>
        </w:rPr>
      </w:pPr>
    </w:p>
    <w:p>
      <w:pPr>
        <w:spacing w:line="400" w:lineRule="exact"/>
        <w:rPr>
          <w:rFonts w:ascii="宋体" w:hAnsi="宋体" w:cs="宋体"/>
          <w:color w:val="auto"/>
          <w:highlight w:val="none"/>
        </w:rPr>
      </w:pPr>
      <w:r>
        <w:rPr>
          <w:rFonts w:hint="eastAsia" w:ascii="宋体" w:hAnsi="宋体" w:cs="宋体"/>
          <w:color w:val="auto"/>
          <w:highlight w:val="none"/>
        </w:rPr>
        <w:br w:type="page"/>
      </w:r>
    </w:p>
    <w:p>
      <w:pPr>
        <w:jc w:val="center"/>
        <w:rPr>
          <w:b/>
          <w:bCs/>
          <w:color w:val="auto"/>
          <w:sz w:val="32"/>
          <w:szCs w:val="40"/>
          <w:highlight w:val="none"/>
        </w:rPr>
      </w:pPr>
      <w:bookmarkStart w:id="567" w:name="_Toc25935"/>
      <w:bookmarkStart w:id="568" w:name="_Toc247514246"/>
      <w:bookmarkStart w:id="569" w:name="_Toc152045787"/>
      <w:bookmarkStart w:id="570" w:name="_Toc29883"/>
      <w:bookmarkStart w:id="571" w:name="_Toc31808"/>
      <w:bookmarkStart w:id="572" w:name="_Toc247527827"/>
      <w:bookmarkStart w:id="573" w:name="_Toc152042576"/>
      <w:bookmarkStart w:id="574" w:name="_Toc144974856"/>
      <w:r>
        <w:rPr>
          <w:rFonts w:hint="eastAsia"/>
          <w:b/>
          <w:bCs/>
          <w:color w:val="auto"/>
          <w:sz w:val="32"/>
          <w:szCs w:val="40"/>
          <w:highlight w:val="none"/>
        </w:rPr>
        <w:t>目录</w:t>
      </w:r>
      <w:bookmarkEnd w:id="567"/>
      <w:bookmarkEnd w:id="568"/>
      <w:bookmarkEnd w:id="569"/>
      <w:bookmarkEnd w:id="570"/>
      <w:bookmarkEnd w:id="571"/>
      <w:bookmarkEnd w:id="572"/>
      <w:bookmarkEnd w:id="573"/>
      <w:bookmarkEnd w:id="574"/>
    </w:p>
    <w:p>
      <w:pPr>
        <w:spacing w:line="540" w:lineRule="exact"/>
        <w:rPr>
          <w:rFonts w:ascii="宋体" w:hAnsi="宋体" w:cs="宋体"/>
          <w:strike/>
          <w:color w:val="auto"/>
          <w:highlight w:val="none"/>
        </w:rPr>
      </w:pPr>
      <w:r>
        <w:rPr>
          <w:rFonts w:hint="eastAsia" w:ascii="宋体" w:hAnsi="宋体" w:cs="宋体"/>
          <w:color w:val="auto"/>
          <w:highlight w:val="none"/>
        </w:rPr>
        <w:t>一、资格审查文件</w:t>
      </w:r>
    </w:p>
    <w:p>
      <w:pPr>
        <w:spacing w:line="540" w:lineRule="exact"/>
        <w:rPr>
          <w:rFonts w:ascii="宋体" w:hAnsi="宋体" w:cs="宋体"/>
          <w:color w:val="auto"/>
          <w:highlight w:val="none"/>
        </w:rPr>
      </w:pPr>
      <w:r>
        <w:rPr>
          <w:rFonts w:hint="eastAsia" w:ascii="宋体" w:hAnsi="宋体" w:cs="宋体"/>
          <w:color w:val="auto"/>
          <w:highlight w:val="none"/>
        </w:rPr>
        <w:t>二、设计方案</w:t>
      </w:r>
    </w:p>
    <w:p>
      <w:pPr>
        <w:spacing w:line="540" w:lineRule="exact"/>
        <w:rPr>
          <w:color w:val="auto"/>
          <w:highlight w:val="none"/>
        </w:rPr>
      </w:pPr>
      <w:r>
        <w:rPr>
          <w:rFonts w:hint="eastAsia" w:ascii="宋体" w:hAnsi="宋体" w:cs="宋体"/>
          <w:color w:val="auto"/>
          <w:highlight w:val="none"/>
        </w:rPr>
        <w:t>三、工程总承包实施方案</w:t>
      </w:r>
    </w:p>
    <w:p>
      <w:pPr>
        <w:jc w:val="center"/>
        <w:rPr>
          <w:rFonts w:ascii="宋体" w:hAnsi="宋体" w:cs="宋体"/>
          <w:color w:val="auto"/>
          <w:highlight w:val="none"/>
        </w:rPr>
      </w:pPr>
      <w:r>
        <w:rPr>
          <w:rFonts w:hint="eastAsia" w:ascii="宋体" w:hAnsi="宋体" w:cs="宋体"/>
          <w:color w:val="auto"/>
          <w:highlight w:val="none"/>
        </w:rPr>
        <w:br w:type="page"/>
      </w:r>
    </w:p>
    <w:p>
      <w:pPr>
        <w:pStyle w:val="37"/>
        <w:ind w:left="0" w:leftChars="0" w:firstLine="0" w:firstLineChars="0"/>
        <w:rPr>
          <w:color w:val="auto"/>
          <w:highlight w:val="none"/>
        </w:rPr>
      </w:pPr>
    </w:p>
    <w:p>
      <w:pPr>
        <w:jc w:val="center"/>
        <w:rPr>
          <w:rFonts w:ascii="宋体" w:hAnsi="宋体" w:cs="宋体"/>
          <w:color w:val="auto"/>
          <w:sz w:val="20"/>
          <w:szCs w:val="20"/>
          <w:highlight w:val="none"/>
        </w:rPr>
      </w:pPr>
      <w:r>
        <w:rPr>
          <w:rFonts w:hint="eastAsia" w:ascii="宋体" w:hAnsi="宋体" w:cs="宋体"/>
          <w:color w:val="auto"/>
          <w:sz w:val="44"/>
          <w:szCs w:val="44"/>
          <w:highlight w:val="none"/>
          <w:u w:val="single"/>
        </w:rPr>
        <w:t>广州海格天腾产业发展有限公司新建海格天腾信息产业基地项目勘察设计施工总承包</w:t>
      </w:r>
    </w:p>
    <w:p>
      <w:pPr>
        <w:rPr>
          <w:rFonts w:ascii="宋体" w:hAnsi="宋体" w:cs="宋体"/>
          <w:color w:val="auto"/>
          <w:sz w:val="20"/>
          <w:szCs w:val="20"/>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投  标  文  件</w:t>
      </w:r>
    </w:p>
    <w:p>
      <w:pPr>
        <w:pStyle w:val="2"/>
        <w:rPr>
          <w:rFonts w:eastAsia="宋体"/>
          <w:color w:val="auto"/>
          <w:highlight w:val="none"/>
        </w:rPr>
      </w:pPr>
      <w:r>
        <w:rPr>
          <w:rFonts w:hint="eastAsia" w:ascii="宋体" w:hAnsi="宋体" w:eastAsia="宋体" w:cs="宋体"/>
          <w:color w:val="auto"/>
          <w:sz w:val="44"/>
          <w:szCs w:val="44"/>
          <w:highlight w:val="none"/>
        </w:rPr>
        <w:t xml:space="preserve">         （资格审查文件部分）</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u w:val="singl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（盖章或签字）</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pStyle w:val="2"/>
        <w:rPr>
          <w:rFonts w:ascii="宋体" w:hAnsi="宋体" w:eastAsia="宋体" w:cs="宋体"/>
          <w:color w:val="auto"/>
          <w:sz w:val="28"/>
          <w:szCs w:val="28"/>
          <w:highlight w:val="none"/>
        </w:rPr>
      </w:pPr>
    </w:p>
    <w:p>
      <w:pPr>
        <w:rPr>
          <w:color w:val="auto"/>
          <w:highlight w:val="none"/>
        </w:rPr>
      </w:pPr>
    </w:p>
    <w:p>
      <w:pPr>
        <w:rPr>
          <w:rFonts w:ascii="宋体" w:hAnsi="宋体" w:cs="宋体"/>
          <w:b/>
          <w:color w:val="auto"/>
          <w:kern w:val="1"/>
          <w:sz w:val="24"/>
          <w:highlight w:val="none"/>
          <w:lang w:val="zh-CN"/>
        </w:rPr>
      </w:pPr>
      <w:r>
        <w:rPr>
          <w:rFonts w:ascii="宋体" w:hAnsi="宋体" w:cs="宋体"/>
          <w:b/>
          <w:color w:val="auto"/>
          <w:kern w:val="1"/>
          <w:sz w:val="24"/>
          <w:highlight w:val="none"/>
          <w:lang w:val="zh-CN"/>
        </w:rPr>
        <w:br w:type="page"/>
      </w:r>
    </w:p>
    <w:p>
      <w:pPr>
        <w:pStyle w:val="17"/>
        <w:rPr>
          <w:color w:val="auto"/>
          <w:highlight w:val="none"/>
          <w:lang w:val="zh-CN"/>
        </w:rPr>
      </w:pPr>
    </w:p>
    <w:p>
      <w:pPr>
        <w:pStyle w:val="90"/>
        <w:spacing w:before="156" w:after="156"/>
        <w:jc w:val="left"/>
        <w:rPr>
          <w:color w:val="auto"/>
          <w:sz w:val="24"/>
          <w:szCs w:val="24"/>
          <w:highlight w:val="none"/>
        </w:rPr>
      </w:pPr>
      <w:bookmarkStart w:id="575" w:name="_Toc507606352"/>
      <w:bookmarkStart w:id="576" w:name="_Toc9652"/>
      <w:r>
        <w:rPr>
          <w:rFonts w:hint="eastAsia"/>
          <w:color w:val="auto"/>
          <w:sz w:val="24"/>
          <w:szCs w:val="24"/>
          <w:highlight w:val="none"/>
        </w:rPr>
        <w:t>格式1：法人代表证明书、授权委托证明书</w:t>
      </w:r>
      <w:bookmarkEnd w:id="575"/>
      <w:bookmarkEnd w:id="576"/>
    </w:p>
    <w:p>
      <w:pPr>
        <w:autoSpaceDE w:val="0"/>
        <w:autoSpaceDN w:val="0"/>
        <w:spacing w:line="360" w:lineRule="auto"/>
        <w:jc w:val="cente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法定代表人证明书、法定代表人授权委托书</w:t>
      </w: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法定代表人证明书</w:t>
      </w:r>
    </w:p>
    <w:p>
      <w:pPr>
        <w:spacing w:line="360" w:lineRule="auto"/>
        <w:jc w:val="right"/>
        <w:rPr>
          <w:rFonts w:ascii="宋体" w:hAnsi="宋体" w:cs="宋体"/>
          <w:color w:val="auto"/>
          <w:sz w:val="24"/>
          <w:highlight w:val="none"/>
        </w:rPr>
      </w:pPr>
      <w:r>
        <w:rPr>
          <w:rFonts w:hint="eastAsia" w:ascii="宋体" w:hAnsi="宋体" w:cs="宋体"/>
          <w:color w:val="auto"/>
          <w:highlight w:val="none"/>
        </w:rPr>
        <w:t>（　 ）第　号</w:t>
      </w: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2" w:type="dxa"/>
          </w:tcPr>
          <w:p>
            <w:pPr>
              <w:spacing w:line="360" w:lineRule="auto"/>
              <w:ind w:firstLine="480"/>
              <w:rPr>
                <w:rFonts w:ascii="宋体" w:hAnsi="宋体" w:cs="宋体"/>
                <w:color w:val="auto"/>
                <w:sz w:val="24"/>
                <w:highlight w:val="none"/>
                <w:u w:val="single"/>
              </w:rPr>
            </w:pP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w:t>
            </w:r>
            <w:r>
              <w:rPr>
                <w:rFonts w:hint="eastAsia" w:ascii="宋体" w:hAnsi="宋体" w:cs="宋体"/>
                <w:color w:val="auto"/>
                <w:sz w:val="24"/>
                <w:highlight w:val="none"/>
              </w:rPr>
              <w:t>现任我单位</w:t>
            </w:r>
            <w:r>
              <w:rPr>
                <w:rFonts w:hint="eastAsia" w:ascii="宋体" w:hAnsi="宋体" w:cs="宋体"/>
                <w:color w:val="auto"/>
                <w:sz w:val="24"/>
                <w:highlight w:val="none"/>
                <w:u w:val="single"/>
              </w:rPr>
              <w:t>　　　　　</w:t>
            </w:r>
            <w:r>
              <w:rPr>
                <w:rFonts w:hint="eastAsia" w:ascii="宋体" w:hAnsi="宋体" w:cs="宋体"/>
                <w:color w:val="auto"/>
                <w:sz w:val="24"/>
                <w:highlight w:val="none"/>
              </w:rPr>
              <w:t>职务，为法定代表人（负责人），特此证明。</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有效期限：</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附：法定代表人（负责人）性别：</w:t>
            </w:r>
            <w:r>
              <w:rPr>
                <w:rFonts w:hint="eastAsia" w:ascii="宋体" w:hAnsi="宋体" w:cs="宋体"/>
                <w:color w:val="auto"/>
                <w:sz w:val="24"/>
                <w:highlight w:val="none"/>
                <w:u w:val="single"/>
              </w:rPr>
              <w:t>　　</w:t>
            </w:r>
            <w:r>
              <w:rPr>
                <w:rFonts w:hint="eastAsia" w:ascii="宋体" w:hAnsi="宋体" w:cs="宋体"/>
                <w:color w:val="auto"/>
                <w:sz w:val="24"/>
                <w:highlight w:val="none"/>
              </w:rPr>
              <w:t>年龄：</w:t>
            </w:r>
            <w:r>
              <w:rPr>
                <w:rFonts w:hint="eastAsia" w:ascii="宋体" w:hAnsi="宋体" w:cs="宋体"/>
                <w:color w:val="auto"/>
                <w:sz w:val="24"/>
                <w:highlight w:val="none"/>
                <w:u w:val="single"/>
              </w:rPr>
              <w:t>　　</w:t>
            </w: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注册号码：</w:t>
            </w:r>
            <w:r>
              <w:rPr>
                <w:rFonts w:hint="eastAsia" w:ascii="宋体" w:hAnsi="宋体" w:cs="宋体"/>
                <w:color w:val="auto"/>
                <w:sz w:val="24"/>
                <w:highlight w:val="none"/>
                <w:u w:val="single"/>
              </w:rPr>
              <w:t>　　　　　　　　　　</w:t>
            </w:r>
            <w:r>
              <w:rPr>
                <w:rFonts w:hint="eastAsia" w:ascii="宋体" w:hAnsi="宋体" w:cs="宋体"/>
                <w:color w:val="auto"/>
                <w:sz w:val="24"/>
                <w:highlight w:val="none"/>
              </w:rPr>
              <w:t>企业类型：</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经营范围：</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单位：　　　　　　（盖章）</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　　　　　    年　月　　日</w:t>
            </w:r>
          </w:p>
        </w:tc>
      </w:tr>
    </w:tbl>
    <w:p>
      <w:pPr>
        <w:topLinePunct/>
        <w:adjustRightInd w:val="0"/>
        <w:snapToGrid w:val="0"/>
        <w:rPr>
          <w:rFonts w:ascii="宋体" w:hAnsi="宋体"/>
          <w:snapToGrid w:val="0"/>
          <w:color w:val="auto"/>
          <w:spacing w:val="4"/>
          <w:kern w:val="0"/>
          <w:szCs w:val="21"/>
          <w:highlight w:val="none"/>
        </w:rPr>
      </w:pPr>
    </w:p>
    <w:p>
      <w:pPr>
        <w:topLinePunct/>
        <w:adjustRightInd w:val="0"/>
        <w:snapToGrid w:val="0"/>
        <w:rPr>
          <w:rFonts w:ascii="宋体" w:hAnsi="宋体"/>
          <w:snapToGrid w:val="0"/>
          <w:color w:val="auto"/>
          <w:spacing w:val="4"/>
          <w:kern w:val="0"/>
          <w:szCs w:val="21"/>
          <w:highlight w:val="none"/>
        </w:rPr>
      </w:pPr>
      <w:r>
        <w:rPr>
          <w:rFonts w:hint="eastAsia" w:ascii="宋体" w:hAnsi="宋体"/>
          <w:snapToGrid w:val="0"/>
          <w:color w:val="auto"/>
          <w:spacing w:val="4"/>
          <w:kern w:val="0"/>
          <w:szCs w:val="21"/>
          <w:highlight w:val="none"/>
        </w:rPr>
        <w:t>注：1、法定代表人证明书也可以采用工商行政管理局统一印制的格式。</w:t>
      </w:r>
    </w:p>
    <w:p>
      <w:pPr>
        <w:topLinePunct/>
        <w:adjustRightInd w:val="0"/>
        <w:snapToGrid w:val="0"/>
        <w:ind w:firstLine="436" w:firstLineChars="200"/>
        <w:rPr>
          <w:rFonts w:ascii="宋体" w:hAnsi="宋体"/>
          <w:snapToGrid w:val="0"/>
          <w:color w:val="auto"/>
          <w:spacing w:val="4"/>
          <w:kern w:val="0"/>
          <w:szCs w:val="21"/>
          <w:highlight w:val="none"/>
        </w:rPr>
      </w:pPr>
      <w:r>
        <w:rPr>
          <w:rFonts w:hint="eastAsia" w:ascii="宋体" w:hAnsi="宋体"/>
          <w:snapToGrid w:val="0"/>
          <w:color w:val="auto"/>
          <w:spacing w:val="4"/>
          <w:kern w:val="0"/>
          <w:szCs w:val="21"/>
          <w:highlight w:val="none"/>
        </w:rPr>
        <w:t>2、联合体投标的，本授权书由联合体主办方提供，仅填写联合体牵头方（或主办方）单位名称并由联合体牵头方（或主办方）签字或盖章即可。</w:t>
      </w:r>
    </w:p>
    <w:p>
      <w:pPr>
        <w:topLinePunct/>
        <w:adjustRightInd w:val="0"/>
        <w:snapToGrid w:val="0"/>
        <w:spacing w:line="360" w:lineRule="auto"/>
        <w:ind w:firstLine="496" w:firstLineChars="200"/>
        <w:rPr>
          <w:rFonts w:ascii="宋体" w:hAnsi="宋体"/>
          <w:snapToGrid w:val="0"/>
          <w:color w:val="auto"/>
          <w:spacing w:val="4"/>
          <w:kern w:val="0"/>
          <w:sz w:val="24"/>
          <w:highlight w:val="none"/>
        </w:rPr>
      </w:pPr>
    </w:p>
    <w:p>
      <w:pPr>
        <w:rPr>
          <w:color w:val="auto"/>
          <w:highlight w:val="none"/>
        </w:rPr>
      </w:pPr>
    </w:p>
    <w:p>
      <w:pPr>
        <w:pStyle w:val="26"/>
        <w:rPr>
          <w:color w:val="auto"/>
          <w:highlight w:val="none"/>
        </w:rPr>
      </w:pPr>
    </w:p>
    <w:p>
      <w:pPr>
        <w:rPr>
          <w:color w:val="auto"/>
          <w:highlight w:val="none"/>
        </w:rPr>
      </w:pPr>
    </w:p>
    <w:p>
      <w:pPr>
        <w:pStyle w:val="26"/>
        <w:rPr>
          <w:color w:val="auto"/>
          <w:highlight w:val="none"/>
        </w:rPr>
      </w:pPr>
    </w:p>
    <w:p>
      <w:pPr>
        <w:rPr>
          <w:color w:val="auto"/>
          <w:highlight w:val="none"/>
        </w:rPr>
      </w:pPr>
    </w:p>
    <w:p>
      <w:pPr>
        <w:pStyle w:val="26"/>
        <w:rPr>
          <w:color w:val="auto"/>
          <w:highlight w:val="none"/>
        </w:rPr>
      </w:pPr>
    </w:p>
    <w:p>
      <w:pPr>
        <w:rPr>
          <w:color w:val="auto"/>
          <w:highlight w:val="none"/>
        </w:rPr>
      </w:pPr>
    </w:p>
    <w:p>
      <w:pPr>
        <w:pStyle w:val="26"/>
        <w:rPr>
          <w:color w:val="auto"/>
          <w:highlight w:val="none"/>
        </w:rPr>
      </w:pPr>
    </w:p>
    <w:p>
      <w:pPr>
        <w:spacing w:line="360" w:lineRule="auto"/>
        <w:jc w:val="center"/>
        <w:rPr>
          <w:rFonts w:ascii="宋体" w:hAnsi="宋体" w:cs="宋体"/>
          <w:b/>
          <w:color w:val="auto"/>
          <w:sz w:val="28"/>
          <w:highlight w:val="none"/>
        </w:rPr>
      </w:pPr>
      <w:r>
        <w:rPr>
          <w:rFonts w:ascii="宋体" w:hAnsi="宋体"/>
          <w:snapToGrid w:val="0"/>
          <w:color w:val="auto"/>
          <w:spacing w:val="4"/>
          <w:kern w:val="0"/>
          <w:sz w:val="24"/>
          <w:highlight w:val="none"/>
        </w:rPr>
        <w:br w:type="page"/>
      </w:r>
      <w:r>
        <w:rPr>
          <w:rFonts w:hint="eastAsia" w:ascii="宋体" w:hAnsi="宋体" w:cs="宋体"/>
          <w:b/>
          <w:color w:val="auto"/>
          <w:sz w:val="28"/>
          <w:highlight w:val="none"/>
        </w:rPr>
        <w:t>法定代表人授权委托书</w:t>
      </w:r>
    </w:p>
    <w:p>
      <w:pPr>
        <w:spacing w:line="360" w:lineRule="auto"/>
        <w:jc w:val="right"/>
        <w:rPr>
          <w:rFonts w:ascii="宋体" w:hAnsi="宋体" w:cs="宋体"/>
          <w:color w:val="auto"/>
          <w:sz w:val="24"/>
          <w:highlight w:val="none"/>
        </w:rPr>
      </w:pPr>
      <w:r>
        <w:rPr>
          <w:rFonts w:hint="eastAsia" w:ascii="宋体" w:hAnsi="宋体" w:cs="宋体"/>
          <w:color w:val="auto"/>
          <w:highlight w:val="none"/>
        </w:rPr>
        <w:t>（　 ）第　号</w:t>
      </w:r>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2" w:type="dxa"/>
          </w:tcPr>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兹授权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为我方委托代理人，其权限是：</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有效期限：</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附：代理人性别：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注册号码：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企业类型：</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经营范围：</w:t>
            </w:r>
            <w:r>
              <w:rPr>
                <w:rFonts w:hint="eastAsia" w:ascii="宋体" w:hAnsi="宋体" w:cs="宋体"/>
                <w:color w:val="auto"/>
                <w:sz w:val="24"/>
                <w:highlight w:val="none"/>
                <w:u w:val="singl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法定代表人（负责人）：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（签名或盖章）</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授权单位：（盖章）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年  月   日</w:t>
            </w:r>
          </w:p>
        </w:tc>
      </w:tr>
    </w:tbl>
    <w:p>
      <w:pPr>
        <w:topLinePunct/>
        <w:adjustRightInd w:val="0"/>
        <w:snapToGrid w:val="0"/>
        <w:rPr>
          <w:rFonts w:ascii="宋体" w:hAnsi="宋体"/>
          <w:snapToGrid w:val="0"/>
          <w:color w:val="auto"/>
          <w:spacing w:val="4"/>
          <w:kern w:val="0"/>
          <w:szCs w:val="21"/>
          <w:highlight w:val="none"/>
        </w:rPr>
      </w:pPr>
    </w:p>
    <w:p>
      <w:pPr>
        <w:topLinePunct/>
        <w:adjustRightInd w:val="0"/>
        <w:snapToGrid w:val="0"/>
        <w:rPr>
          <w:rFonts w:ascii="宋体" w:hAnsi="宋体"/>
          <w:snapToGrid w:val="0"/>
          <w:color w:val="auto"/>
          <w:spacing w:val="4"/>
          <w:kern w:val="0"/>
          <w:szCs w:val="21"/>
          <w:highlight w:val="none"/>
        </w:rPr>
      </w:pPr>
      <w:r>
        <w:rPr>
          <w:rFonts w:hint="eastAsia" w:ascii="宋体" w:hAnsi="宋体"/>
          <w:snapToGrid w:val="0"/>
          <w:color w:val="auto"/>
          <w:spacing w:val="4"/>
          <w:kern w:val="0"/>
          <w:szCs w:val="21"/>
          <w:highlight w:val="none"/>
        </w:rPr>
        <w:t>注：1、法定代表人授权委托书也可以采用工商行政管理局统一印制的格式。</w:t>
      </w:r>
    </w:p>
    <w:p>
      <w:pPr>
        <w:topLinePunct/>
        <w:adjustRightInd w:val="0"/>
        <w:snapToGrid w:val="0"/>
        <w:ind w:firstLine="436" w:firstLineChars="200"/>
        <w:rPr>
          <w:rFonts w:ascii="宋体" w:hAnsi="宋体"/>
          <w:snapToGrid w:val="0"/>
          <w:color w:val="auto"/>
          <w:spacing w:val="4"/>
          <w:kern w:val="0"/>
          <w:szCs w:val="21"/>
          <w:highlight w:val="none"/>
        </w:rPr>
      </w:pPr>
      <w:r>
        <w:rPr>
          <w:rFonts w:hint="eastAsia" w:ascii="宋体" w:hAnsi="宋体"/>
          <w:snapToGrid w:val="0"/>
          <w:color w:val="auto"/>
          <w:spacing w:val="4"/>
          <w:kern w:val="0"/>
          <w:szCs w:val="21"/>
          <w:highlight w:val="none"/>
        </w:rPr>
        <w:t>2、联合体投标的，本授权书由联合体主办方提供，仅填写联合体牵头方（或主办方）单位名称并由联合体牵头方（或主办方）签字或盖章即可。</w:t>
      </w:r>
    </w:p>
    <w:p>
      <w:pPr>
        <w:topLinePunct/>
        <w:adjustRightInd w:val="0"/>
        <w:snapToGrid w:val="0"/>
        <w:spacing w:line="360" w:lineRule="auto"/>
        <w:ind w:firstLine="496" w:firstLineChars="200"/>
        <w:rPr>
          <w:rFonts w:ascii="宋体" w:hAnsi="宋体"/>
          <w:snapToGrid w:val="0"/>
          <w:color w:val="auto"/>
          <w:spacing w:val="4"/>
          <w:kern w:val="0"/>
          <w:sz w:val="24"/>
          <w:highlight w:val="none"/>
        </w:rPr>
      </w:pPr>
    </w:p>
    <w:p>
      <w:pPr>
        <w:ind w:firstLine="422"/>
        <w:rPr>
          <w:rFonts w:ascii="宋体" w:hAnsi="宋体"/>
          <w:b/>
          <w:color w:val="auto"/>
          <w:highlight w:val="none"/>
        </w:rPr>
      </w:pPr>
      <w:r>
        <w:rPr>
          <w:rFonts w:hint="eastAsia" w:ascii="宋体" w:hAnsi="宋体"/>
          <w:b/>
          <w:color w:val="auto"/>
          <w:highlight w:val="none"/>
        </w:rPr>
        <w:t>后附法定</w:t>
      </w:r>
      <w:r>
        <w:rPr>
          <w:rFonts w:ascii="宋体" w:hAnsi="宋体"/>
          <w:b/>
          <w:color w:val="auto"/>
          <w:highlight w:val="none"/>
        </w:rPr>
        <w:t>代表人</w:t>
      </w:r>
      <w:r>
        <w:rPr>
          <w:rFonts w:hint="eastAsia" w:ascii="宋体" w:hAnsi="宋体"/>
          <w:b/>
          <w:color w:val="auto"/>
          <w:highlight w:val="none"/>
        </w:rPr>
        <w:t>身份</w:t>
      </w:r>
      <w:r>
        <w:rPr>
          <w:rFonts w:ascii="宋体" w:hAnsi="宋体"/>
          <w:b/>
          <w:color w:val="auto"/>
          <w:highlight w:val="none"/>
        </w:rPr>
        <w:t>证和代理人</w:t>
      </w:r>
      <w:r>
        <w:rPr>
          <w:rFonts w:hint="eastAsia" w:ascii="宋体" w:hAnsi="宋体"/>
          <w:b/>
          <w:color w:val="auto"/>
          <w:highlight w:val="none"/>
        </w:rPr>
        <w:t>身份</w:t>
      </w:r>
      <w:r>
        <w:rPr>
          <w:rFonts w:ascii="宋体" w:hAnsi="宋体"/>
          <w:b/>
          <w:color w:val="auto"/>
          <w:highlight w:val="none"/>
        </w:rPr>
        <w:t>证</w:t>
      </w:r>
      <w:r>
        <w:rPr>
          <w:rFonts w:hint="eastAsia" w:ascii="宋体" w:hAnsi="宋体"/>
          <w:b/>
          <w:color w:val="auto"/>
          <w:highlight w:val="none"/>
        </w:rPr>
        <w:t>原件扫描</w:t>
      </w:r>
      <w:r>
        <w:rPr>
          <w:rFonts w:ascii="宋体" w:hAnsi="宋体"/>
          <w:b/>
          <w:color w:val="auto"/>
          <w:highlight w:val="none"/>
        </w:rPr>
        <w:t>件。</w:t>
      </w:r>
    </w:p>
    <w:p>
      <w:pPr>
        <w:jc w:val="left"/>
        <w:rPr>
          <w:color w:val="auto"/>
          <w:highlight w:val="none"/>
        </w:rPr>
        <w:sectPr>
          <w:pgSz w:w="11906" w:h="16838"/>
          <w:pgMar w:top="1440" w:right="1800" w:bottom="1497" w:left="1800" w:header="851" w:footer="992" w:gutter="0"/>
          <w:cols w:space="720" w:num="1"/>
          <w:docGrid w:type="lines" w:linePitch="312" w:charSpace="0"/>
        </w:sectPr>
      </w:pPr>
    </w:p>
    <w:p>
      <w:pPr>
        <w:jc w:val="left"/>
        <w:rPr>
          <w:color w:val="auto"/>
          <w:highlight w:val="none"/>
        </w:rPr>
      </w:pPr>
    </w:p>
    <w:p>
      <w:pPr>
        <w:pStyle w:val="13"/>
        <w:rPr>
          <w:color w:val="auto"/>
          <w:highlight w:val="none"/>
        </w:rPr>
      </w:pPr>
    </w:p>
    <w:p>
      <w:pPr>
        <w:pStyle w:val="4"/>
        <w:jc w:val="center"/>
        <w:rPr>
          <w:rFonts w:ascii="宋体" w:hAnsi="宋体" w:eastAsia="宋体" w:cs="宋体"/>
          <w:b w:val="0"/>
          <w:bCs w:val="0"/>
          <w:color w:val="auto"/>
          <w:sz w:val="44"/>
          <w:szCs w:val="44"/>
          <w:highlight w:val="none"/>
        </w:rPr>
      </w:pPr>
      <w:bookmarkStart w:id="577" w:name="_Toc26281"/>
      <w:bookmarkStart w:id="578" w:name="_Hlk118064152"/>
      <w:r>
        <w:rPr>
          <w:rFonts w:hint="eastAsia" w:ascii="宋体" w:hAnsi="宋体" w:eastAsia="宋体" w:cs="宋体"/>
          <w:b w:val="0"/>
          <w:bCs w:val="0"/>
          <w:color w:val="auto"/>
          <w:sz w:val="44"/>
          <w:szCs w:val="44"/>
          <w:highlight w:val="none"/>
        </w:rPr>
        <w:t>设计方案文件（格式自拟）</w:t>
      </w:r>
      <w:bookmarkEnd w:id="577"/>
    </w:p>
    <w:bookmarkEnd w:id="578"/>
    <w:p>
      <w:pPr>
        <w:jc w:val="left"/>
        <w:rPr>
          <w:color w:val="auto"/>
          <w:highlight w:val="none"/>
        </w:rPr>
      </w:pPr>
      <w:r>
        <w:rPr>
          <w:color w:val="auto"/>
          <w:highlight w:val="none"/>
        </w:rPr>
        <w:br w:type="page"/>
      </w:r>
    </w:p>
    <w:p>
      <w:pPr>
        <w:jc w:val="center"/>
        <w:rPr>
          <w:rFonts w:ascii="宋体" w:hAnsi="宋体" w:cs="宋体"/>
          <w:color w:val="auto"/>
          <w:sz w:val="40"/>
          <w:szCs w:val="40"/>
          <w:highlight w:val="none"/>
          <w:u w:val="single"/>
        </w:rPr>
      </w:pPr>
    </w:p>
    <w:p>
      <w:pPr>
        <w:jc w:val="center"/>
        <w:rPr>
          <w:rFonts w:ascii="宋体" w:hAnsi="宋体" w:cs="宋体"/>
          <w:color w:val="auto"/>
          <w:sz w:val="20"/>
          <w:szCs w:val="20"/>
          <w:highlight w:val="none"/>
        </w:rPr>
      </w:pPr>
      <w:r>
        <w:rPr>
          <w:rFonts w:hint="eastAsia" w:ascii="宋体" w:hAnsi="宋体" w:cs="宋体"/>
          <w:color w:val="auto"/>
          <w:sz w:val="44"/>
          <w:szCs w:val="44"/>
          <w:highlight w:val="none"/>
          <w:u w:val="single"/>
        </w:rPr>
        <w:t>广州海格天腾产业发展有限公司新建海格天腾信息产业基地项目勘察设计施工总承包</w:t>
      </w:r>
    </w:p>
    <w:p>
      <w:pPr>
        <w:rPr>
          <w:rFonts w:ascii="宋体" w:hAnsi="宋体" w:cs="宋体"/>
          <w:color w:val="auto"/>
          <w:sz w:val="20"/>
          <w:szCs w:val="20"/>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投  标  文  件</w:t>
      </w:r>
    </w:p>
    <w:p>
      <w:pPr>
        <w:pStyle w:val="2"/>
        <w:rPr>
          <w:rFonts w:eastAsia="宋体"/>
          <w:color w:val="auto"/>
          <w:highlight w:val="none"/>
        </w:rPr>
      </w:pPr>
      <w:r>
        <w:rPr>
          <w:rFonts w:hint="eastAsia" w:ascii="宋体" w:hAnsi="宋体" w:eastAsia="宋体" w:cs="宋体"/>
          <w:color w:val="auto"/>
          <w:sz w:val="44"/>
          <w:szCs w:val="44"/>
          <w:highlight w:val="none"/>
        </w:rPr>
        <w:t xml:space="preserve">     （工程总承包实施方案部分）</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u w:val="singl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（盖章或签字）</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pStyle w:val="2"/>
        <w:rPr>
          <w:rFonts w:ascii="宋体" w:hAnsi="宋体" w:eastAsia="宋体" w:cs="宋体"/>
          <w:color w:val="auto"/>
          <w:sz w:val="28"/>
          <w:szCs w:val="28"/>
          <w:highlight w:val="none"/>
        </w:rPr>
      </w:pPr>
    </w:p>
    <w:p>
      <w:pPr>
        <w:rPr>
          <w:color w:val="auto"/>
          <w:highlight w:val="none"/>
        </w:rPr>
      </w:pPr>
    </w:p>
    <w:p>
      <w:pPr>
        <w:rPr>
          <w:color w:val="auto"/>
          <w:highlight w:val="none"/>
        </w:rPr>
      </w:pPr>
      <w:r>
        <w:rPr>
          <w:color w:val="auto"/>
          <w:highlight w:val="none"/>
        </w:rPr>
        <w:br w:type="page"/>
      </w:r>
    </w:p>
    <w:p>
      <w:pPr>
        <w:spacing w:line="540" w:lineRule="exact"/>
        <w:rPr>
          <w:rFonts w:ascii="宋体" w:hAnsi="宋体" w:cs="宋体"/>
          <w:b/>
          <w:color w:val="auto"/>
          <w:kern w:val="1"/>
          <w:sz w:val="24"/>
          <w:highlight w:val="none"/>
        </w:rPr>
      </w:pPr>
      <w:r>
        <w:rPr>
          <w:rFonts w:hint="eastAsia" w:ascii="宋体" w:hAnsi="宋体" w:cs="宋体"/>
          <w:b/>
          <w:color w:val="auto"/>
          <w:kern w:val="1"/>
          <w:sz w:val="24"/>
          <w:highlight w:val="none"/>
          <w:lang w:val="zh-CN"/>
        </w:rPr>
        <w:t>格式</w:t>
      </w:r>
      <w:r>
        <w:rPr>
          <w:rFonts w:hint="eastAsia" w:ascii="宋体" w:hAnsi="宋体" w:cs="宋体"/>
          <w:b/>
          <w:color w:val="auto"/>
          <w:kern w:val="1"/>
          <w:sz w:val="24"/>
          <w:highlight w:val="none"/>
        </w:rPr>
        <w:t>1</w:t>
      </w:r>
    </w:p>
    <w:p>
      <w:pPr>
        <w:autoSpaceDE w:val="0"/>
        <w:autoSpaceDN w:val="0"/>
        <w:adjustRightInd w:val="0"/>
        <w:spacing w:line="360" w:lineRule="auto"/>
        <w:jc w:val="center"/>
        <w:rPr>
          <w:rFonts w:ascii="宋体" w:hAnsi="宋体" w:cs="宋体"/>
          <w:color w:val="auto"/>
          <w:highlight w:val="none"/>
        </w:rPr>
      </w:pPr>
      <w:r>
        <w:rPr>
          <w:rFonts w:hint="eastAsia" w:ascii="宋体" w:hAnsi="宋体" w:cs="宋体"/>
          <w:b/>
          <w:bCs/>
          <w:color w:val="auto"/>
          <w:sz w:val="36"/>
          <w:szCs w:val="36"/>
          <w:highlight w:val="none"/>
          <w:lang w:val="zh-CN"/>
        </w:rPr>
        <w:t>投标书</w:t>
      </w:r>
    </w:p>
    <w:tbl>
      <w:tblPr>
        <w:tblStyle w:val="38"/>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681"/>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val="zh-CN"/>
              </w:rPr>
              <w:t>项目名称</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pStyle w:val="17"/>
              <w:jc w:val="center"/>
              <w:rPr>
                <w:color w:val="auto"/>
                <w:highlight w:val="none"/>
              </w:rPr>
            </w:pPr>
            <w:r>
              <w:rPr>
                <w:rFonts w:hint="eastAsia" w:ascii="宋体" w:hAnsi="宋体" w:cs="宋体"/>
                <w:b/>
                <w:color w:val="auto"/>
                <w:szCs w:val="21"/>
                <w:highlight w:val="none"/>
                <w:lang w:val="zh-CN"/>
              </w:rPr>
              <w:t>投标总报价</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u w:val="single"/>
              </w:rPr>
            </w:pPr>
            <w:r>
              <w:rPr>
                <w:rFonts w:hint="eastAsia" w:ascii="宋体" w:hAnsi="宋体" w:cs="宋体"/>
                <w:b/>
                <w:color w:val="auto"/>
                <w:szCs w:val="21"/>
                <w:highlight w:val="none"/>
              </w:rPr>
              <w:t>大写：</w:t>
            </w:r>
            <w:r>
              <w:rPr>
                <w:rFonts w:hint="eastAsia" w:ascii="宋体" w:hAnsi="宋体" w:cs="宋体"/>
                <w:b/>
                <w:color w:val="auto"/>
                <w:szCs w:val="21"/>
                <w:highlight w:val="none"/>
                <w:u w:val="single"/>
              </w:rPr>
              <w:t xml:space="preserve">                </w:t>
            </w:r>
          </w:p>
          <w:p>
            <w:pPr>
              <w:snapToGrid w:val="0"/>
              <w:spacing w:line="360" w:lineRule="auto"/>
              <w:jc w:val="left"/>
              <w:rPr>
                <w:color w:val="auto"/>
                <w:highlight w:val="none"/>
              </w:rPr>
            </w:pPr>
            <w:r>
              <w:rPr>
                <w:rFonts w:hint="eastAsia" w:ascii="宋体" w:hAnsi="宋体" w:cs="宋体"/>
                <w:b/>
                <w:color w:val="auto"/>
                <w:szCs w:val="21"/>
                <w:highlight w:val="none"/>
              </w:rPr>
              <w:t>小写：</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万</w:t>
            </w:r>
            <w:r>
              <w:rPr>
                <w:rFonts w:hint="eastAsia" w:ascii="宋体" w:hAnsi="宋体" w:cs="宋体"/>
                <w:b/>
                <w:color w:val="auto"/>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259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bookmarkStart w:id="579" w:name="_Toc439246066"/>
            <w:bookmarkStart w:id="580" w:name="_Toc439246068"/>
            <w:r>
              <w:rPr>
                <w:rFonts w:hint="eastAsia" w:ascii="宋体" w:hAnsi="宋体" w:cs="宋体"/>
                <w:b/>
                <w:color w:val="auto"/>
                <w:szCs w:val="21"/>
                <w:highlight w:val="none"/>
              </w:rPr>
              <w:t>其中：工程勘察</w:t>
            </w:r>
            <w:r>
              <w:rPr>
                <w:rFonts w:hint="eastAsia" w:ascii="宋体" w:hAnsi="宋体" w:cs="宋体"/>
                <w:b/>
                <w:color w:val="auto"/>
                <w:szCs w:val="21"/>
                <w:highlight w:val="none"/>
                <w:lang w:val="zh-CN"/>
              </w:rPr>
              <w:t>费报价</w:t>
            </w: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val="zh-CN"/>
              </w:rPr>
              <w:t>（含税）</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u w:val="single"/>
              </w:rPr>
            </w:pPr>
            <w:r>
              <w:rPr>
                <w:rFonts w:hint="eastAsia" w:ascii="宋体" w:hAnsi="宋体" w:cs="宋体"/>
                <w:b/>
                <w:color w:val="auto"/>
                <w:szCs w:val="21"/>
                <w:highlight w:val="none"/>
              </w:rPr>
              <w:t>大写：</w:t>
            </w:r>
            <w:r>
              <w:rPr>
                <w:rFonts w:hint="eastAsia" w:ascii="宋体" w:hAnsi="宋体" w:cs="宋体"/>
                <w:b/>
                <w:color w:val="auto"/>
                <w:szCs w:val="21"/>
                <w:highlight w:val="none"/>
                <w:u w:val="single"/>
              </w:rPr>
              <w:t xml:space="preserve">                </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小写：</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万元</w:t>
            </w:r>
          </w:p>
          <w:p>
            <w:pPr>
              <w:autoSpaceDE w:val="0"/>
              <w:autoSpaceDN w:val="0"/>
              <w:adjustRightInd w:val="0"/>
              <w:snapToGrid w:val="0"/>
              <w:rPr>
                <w:color w:val="auto"/>
                <w:highlight w:val="none"/>
              </w:rPr>
            </w:pPr>
            <w:r>
              <w:rPr>
                <w:rFonts w:hint="eastAsia" w:ascii="宋体" w:hAnsi="宋体" w:cs="宋体"/>
                <w:b/>
                <w:color w:val="auto"/>
                <w:szCs w:val="21"/>
                <w:highlight w:val="none"/>
              </w:rPr>
              <w:t>岩土工程勘察费投标综合单价</w:t>
            </w:r>
            <w:r>
              <w:rPr>
                <w:rFonts w:hint="eastAsia" w:ascii="宋体" w:hAnsi="宋体" w:cs="宋体"/>
                <w:b/>
                <w:color w:val="auto"/>
                <w:szCs w:val="21"/>
                <w:highlight w:val="none"/>
                <w:lang w:val="zh-CN"/>
              </w:rPr>
              <w:t>：</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lang w:val="zh-CN"/>
              </w:rPr>
              <w:t>元/米</w:t>
            </w:r>
          </w:p>
        </w:tc>
      </w:tr>
      <w:bookmarkEnd w:id="5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rPr>
              <w:t>其中：工程</w:t>
            </w:r>
            <w:r>
              <w:rPr>
                <w:rFonts w:hint="eastAsia" w:ascii="宋体" w:hAnsi="宋体" w:cs="宋体"/>
                <w:b/>
                <w:color w:val="auto"/>
                <w:szCs w:val="21"/>
                <w:highlight w:val="none"/>
                <w:lang w:val="zh-CN"/>
              </w:rPr>
              <w:t>设计费报价</w:t>
            </w:r>
          </w:p>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（含税）</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u w:val="single"/>
              </w:rPr>
            </w:pPr>
            <w:r>
              <w:rPr>
                <w:rFonts w:hint="eastAsia" w:ascii="宋体" w:hAnsi="宋体" w:cs="宋体"/>
                <w:b/>
                <w:color w:val="auto"/>
                <w:szCs w:val="21"/>
                <w:highlight w:val="none"/>
              </w:rPr>
              <w:t>大写：</w:t>
            </w:r>
            <w:r>
              <w:rPr>
                <w:rFonts w:hint="eastAsia" w:ascii="宋体" w:hAnsi="宋体" w:cs="宋体"/>
                <w:b/>
                <w:color w:val="auto"/>
                <w:szCs w:val="21"/>
                <w:highlight w:val="none"/>
                <w:u w:val="single"/>
              </w:rPr>
              <w:t xml:space="preserve">                </w:t>
            </w:r>
          </w:p>
          <w:p>
            <w:pPr>
              <w:spacing w:line="360" w:lineRule="auto"/>
              <w:jc w:val="left"/>
              <w:rPr>
                <w:color w:val="auto"/>
                <w:highlight w:val="none"/>
              </w:rPr>
            </w:pPr>
            <w:r>
              <w:rPr>
                <w:rFonts w:hint="eastAsia" w:ascii="宋体" w:hAnsi="宋体" w:cs="宋体"/>
                <w:b/>
                <w:color w:val="auto"/>
                <w:szCs w:val="21"/>
                <w:highlight w:val="none"/>
              </w:rPr>
              <w:t>小写：</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万</w:t>
            </w:r>
            <w:r>
              <w:rPr>
                <w:rFonts w:hint="eastAsia" w:ascii="宋体" w:hAnsi="宋体" w:cs="宋体"/>
                <w:b/>
                <w:color w:val="auto"/>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rPr>
              <w:t>其中：</w:t>
            </w:r>
            <w:r>
              <w:rPr>
                <w:rFonts w:hint="eastAsia" w:ascii="宋体" w:hAnsi="宋体" w:cs="宋体"/>
                <w:b/>
                <w:color w:val="auto"/>
                <w:szCs w:val="21"/>
                <w:highlight w:val="none"/>
                <w:lang w:val="zh-CN"/>
              </w:rPr>
              <w:t>建筑安装工程费报价（含税）</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u w:val="single"/>
              </w:rPr>
            </w:pPr>
            <w:r>
              <w:rPr>
                <w:rFonts w:hint="eastAsia" w:ascii="宋体" w:hAnsi="宋体" w:cs="宋体"/>
                <w:b/>
                <w:color w:val="auto"/>
                <w:szCs w:val="21"/>
                <w:highlight w:val="none"/>
              </w:rPr>
              <w:t>大写：</w:t>
            </w:r>
            <w:r>
              <w:rPr>
                <w:rFonts w:hint="eastAsia" w:ascii="宋体" w:hAnsi="宋体" w:cs="宋体"/>
                <w:b/>
                <w:color w:val="auto"/>
                <w:szCs w:val="21"/>
                <w:highlight w:val="none"/>
                <w:u w:val="single"/>
              </w:rPr>
              <w:t xml:space="preserve">                </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小写：</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万</w:t>
            </w:r>
            <w:r>
              <w:rPr>
                <w:rFonts w:hint="eastAsia" w:ascii="宋体" w:hAnsi="宋体" w:cs="宋体"/>
                <w:b/>
                <w:color w:val="auto"/>
                <w:szCs w:val="21"/>
                <w:highlight w:val="none"/>
                <w:lang w:val="zh-CN"/>
              </w:rPr>
              <w:t>元</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lang w:val="zh-CN"/>
              </w:rPr>
              <w:t>含暂列金额：</w:t>
            </w:r>
            <w:r>
              <w:rPr>
                <w:rFonts w:hint="eastAsia" w:ascii="宋体" w:hAnsi="宋体" w:cs="宋体"/>
                <w:b/>
                <w:color w:val="auto"/>
                <w:szCs w:val="21"/>
                <w:highlight w:val="none"/>
                <w:lang w:val="en-US" w:eastAsia="zh-CN"/>
              </w:rPr>
              <w:t>100</w:t>
            </w:r>
            <w:r>
              <w:rPr>
                <w:rFonts w:hint="eastAsia" w:ascii="宋体" w:hAnsi="宋体" w:cs="宋体"/>
                <w:b/>
                <w:color w:val="auto"/>
                <w:szCs w:val="21"/>
                <w:highlight w:val="none"/>
              </w:rPr>
              <w:t>00万元</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lang w:val="zh-CN"/>
              </w:rPr>
              <w:t>建筑安装工程费投标</w:t>
            </w:r>
            <w:r>
              <w:rPr>
                <w:rFonts w:hint="eastAsia" w:ascii="宋体" w:hAnsi="宋体" w:cs="宋体"/>
                <w:b/>
                <w:color w:val="auto"/>
                <w:szCs w:val="21"/>
                <w:highlight w:val="none"/>
              </w:rPr>
              <w:t>下浮率</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w:t>
            </w:r>
          </w:p>
          <w:p>
            <w:pPr>
              <w:spacing w:line="360" w:lineRule="auto"/>
              <w:jc w:val="left"/>
              <w:rPr>
                <w:color w:val="auto"/>
                <w:highlight w:val="none"/>
              </w:rPr>
            </w:pPr>
            <w:r>
              <w:rPr>
                <w:rFonts w:hint="eastAsia" w:ascii="宋体" w:hAnsi="宋体" w:cs="宋体"/>
                <w:b/>
                <w:color w:val="auto"/>
                <w:szCs w:val="21"/>
                <w:highlight w:val="none"/>
              </w:rPr>
              <w:t>【注：</w:t>
            </w:r>
            <w:r>
              <w:rPr>
                <w:rFonts w:hint="eastAsia" w:ascii="宋体" w:hAnsi="宋体" w:cs="宋体"/>
                <w:b/>
                <w:color w:val="auto"/>
                <w:szCs w:val="21"/>
                <w:highlight w:val="none"/>
                <w:lang w:val="zh-CN"/>
              </w:rPr>
              <w:t>建筑安装工程费</w:t>
            </w:r>
            <w:r>
              <w:rPr>
                <w:rFonts w:hint="eastAsia" w:ascii="宋体" w:hAnsi="宋体" w:cs="宋体"/>
                <w:b/>
                <w:color w:val="auto"/>
                <w:szCs w:val="21"/>
                <w:highlight w:val="none"/>
              </w:rPr>
              <w:t>投标下浮率=1-（</w:t>
            </w:r>
            <w:r>
              <w:rPr>
                <w:rFonts w:hint="eastAsia" w:ascii="宋体" w:hAnsi="宋体" w:cs="宋体"/>
                <w:b/>
                <w:color w:val="auto"/>
                <w:szCs w:val="21"/>
                <w:highlight w:val="none"/>
                <w:lang w:val="zh-CN"/>
              </w:rPr>
              <w:t>建筑安装工程费</w:t>
            </w:r>
            <w:r>
              <w:rPr>
                <w:rFonts w:hint="eastAsia" w:ascii="宋体" w:hAnsi="宋体" w:cs="宋体"/>
                <w:b/>
                <w:color w:val="auto"/>
                <w:szCs w:val="21"/>
                <w:highlight w:val="none"/>
              </w:rPr>
              <w:t>投标报价/</w:t>
            </w:r>
            <w:r>
              <w:rPr>
                <w:rFonts w:hint="eastAsia" w:ascii="宋体" w:hAnsi="宋体" w:cs="宋体"/>
                <w:b/>
                <w:color w:val="auto"/>
                <w:szCs w:val="21"/>
                <w:highlight w:val="none"/>
                <w:lang w:val="zh-CN"/>
              </w:rPr>
              <w:t>建筑安装工程费</w:t>
            </w:r>
            <w:r>
              <w:rPr>
                <w:rFonts w:hint="eastAsia" w:ascii="宋体" w:hAnsi="宋体" w:cs="宋体"/>
                <w:b/>
                <w:color w:val="auto"/>
                <w:szCs w:val="21"/>
                <w:highlight w:val="none"/>
              </w:rPr>
              <w:t xml:space="preserve">最高投标限价×100%）】 </w:t>
            </w:r>
          </w:p>
        </w:tc>
      </w:tr>
      <w:bookmarkEnd w:id="5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工期</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pStyle w:val="78"/>
              <w:rPr>
                <w:b/>
                <w:color w:val="auto"/>
                <w:highlight w:val="none"/>
              </w:rPr>
            </w:pPr>
            <w:r>
              <w:rPr>
                <w:rFonts w:hint="eastAsia" w:ascii="宋体" w:hAnsi="宋体" w:cs="宋体"/>
                <w:b/>
                <w:color w:val="auto"/>
                <w:szCs w:val="21"/>
                <w:highlight w:val="none"/>
              </w:rPr>
              <w:t>按照招标文件要求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val="zh-CN"/>
              </w:rPr>
              <w:t>工程质量标准</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r>
              <w:rPr>
                <w:rFonts w:hint="eastAsia" w:ascii="宋体" w:hAnsi="宋体" w:cs="宋体"/>
                <w:b/>
                <w:color w:val="auto"/>
                <w:szCs w:val="21"/>
                <w:highlight w:val="none"/>
              </w:rPr>
              <w:t>按照招标文件要求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保修期限</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r>
              <w:rPr>
                <w:rFonts w:hint="eastAsia" w:ascii="宋体" w:hAnsi="宋体" w:cs="宋体"/>
                <w:b/>
                <w:color w:val="auto"/>
                <w:szCs w:val="21"/>
                <w:highlight w:val="none"/>
              </w:rPr>
              <w:t>按照招标文件要求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59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委派的项目负责人</w:t>
            </w:r>
          </w:p>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（兼施工负责人）</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姓    名</w:t>
            </w:r>
          </w:p>
        </w:tc>
        <w:tc>
          <w:tcPr>
            <w:tcW w:w="37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9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委派的专职安全员</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姓    名</w:t>
            </w:r>
          </w:p>
        </w:tc>
        <w:tc>
          <w:tcPr>
            <w:tcW w:w="37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95"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委派的设计负责人</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姓    名</w:t>
            </w:r>
          </w:p>
        </w:tc>
        <w:tc>
          <w:tcPr>
            <w:tcW w:w="37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bookmarkStart w:id="581" w:name="_Toc260129717"/>
            <w:bookmarkStart w:id="582" w:name="_Toc3553552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投标有效期</w:t>
            </w:r>
          </w:p>
          <w:bookmarkEnd w:id="581"/>
          <w:bookmarkEnd w:id="582"/>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bookmarkStart w:id="583" w:name="_Toc439246069"/>
            <w:r>
              <w:rPr>
                <w:rFonts w:hint="eastAsia" w:ascii="宋体" w:hAnsi="宋体" w:cs="宋体"/>
                <w:b/>
                <w:color w:val="auto"/>
                <w:szCs w:val="21"/>
                <w:highlight w:val="none"/>
                <w:lang w:val="zh-CN"/>
              </w:rPr>
              <w:t>按招标文件要求</w:t>
            </w:r>
          </w:p>
          <w:bookmarkEnd w:id="583"/>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bookmarkStart w:id="584" w:name="_Toc439240671"/>
            <w:bookmarkStart w:id="585" w:name="_Toc439246070"/>
            <w:r>
              <w:rPr>
                <w:rFonts w:hint="eastAsia" w:ascii="宋体" w:hAnsi="宋体" w:cs="宋体"/>
                <w:b/>
                <w:color w:val="auto"/>
                <w:szCs w:val="21"/>
                <w:highlight w:val="none"/>
              </w:rPr>
              <w:t>法定代表</w:t>
            </w:r>
            <w:bookmarkEnd w:id="584"/>
            <w:bookmarkEnd w:id="585"/>
            <w:r>
              <w:rPr>
                <w:rFonts w:hint="eastAsia" w:ascii="宋体" w:hAnsi="宋体" w:cs="宋体"/>
                <w:b/>
                <w:color w:val="auto"/>
                <w:szCs w:val="21"/>
                <w:highlight w:val="none"/>
              </w:rPr>
              <w:t>人或其委托代</w:t>
            </w:r>
            <w:bookmarkStart w:id="586" w:name="_Toc439246072"/>
            <w:r>
              <w:rPr>
                <w:rFonts w:hint="eastAsia" w:ascii="宋体" w:hAnsi="宋体" w:cs="宋体"/>
                <w:b/>
                <w:color w:val="auto"/>
                <w:szCs w:val="21"/>
                <w:highlight w:val="none"/>
              </w:rPr>
              <w:t>理人（签字或盖章）</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p>
          <w:bookmarkEnd w:id="58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投标单位（盖章）</w:t>
            </w:r>
          </w:p>
        </w:tc>
        <w:tc>
          <w:tcPr>
            <w:tcW w:w="64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rPr>
            </w:pPr>
          </w:p>
        </w:tc>
      </w:tr>
    </w:tbl>
    <w:p>
      <w:pPr>
        <w:rPr>
          <w:rFonts w:ascii="宋体" w:hAnsi="宋体" w:cs="宋体"/>
          <w:color w:val="auto"/>
          <w:kern w:val="0"/>
          <w:szCs w:val="21"/>
          <w:highlight w:val="none"/>
        </w:rPr>
      </w:pPr>
    </w:p>
    <w:p>
      <w:pPr>
        <w:rPr>
          <w:rFonts w:ascii="宋体" w:hAnsi="宋体" w:cs="宋体"/>
          <w:color w:val="auto"/>
          <w:kern w:val="0"/>
          <w:szCs w:val="21"/>
          <w:highlight w:val="none"/>
        </w:rPr>
      </w:pPr>
      <w:r>
        <w:rPr>
          <w:rFonts w:hint="eastAsia" w:ascii="宋体" w:hAnsi="宋体" w:cs="宋体"/>
          <w:color w:val="auto"/>
          <w:kern w:val="0"/>
          <w:szCs w:val="21"/>
          <w:highlight w:val="none"/>
        </w:rPr>
        <w:t>注：（1）</w:t>
      </w:r>
      <w:r>
        <w:rPr>
          <w:rFonts w:hint="eastAsia" w:ascii="宋体" w:hAnsi="宋体" w:cs="宋体"/>
          <w:b/>
          <w:color w:val="auto"/>
          <w:szCs w:val="21"/>
          <w:highlight w:val="none"/>
        </w:rPr>
        <w:t>本表中的报价以人民币万元为单位，小数点后保留二位小数，第三位小数四舍五入。</w:t>
      </w:r>
    </w:p>
    <w:p>
      <w:pPr>
        <w:rPr>
          <w:rFonts w:ascii="宋体" w:hAnsi="宋体" w:cs="宋体"/>
          <w:color w:val="auto"/>
          <w:kern w:val="0"/>
          <w:szCs w:val="21"/>
          <w:highlight w:val="none"/>
        </w:rPr>
      </w:pPr>
      <w:r>
        <w:rPr>
          <w:rFonts w:hint="eastAsia" w:ascii="宋体" w:hAnsi="宋体" w:cs="宋体"/>
          <w:color w:val="auto"/>
          <w:kern w:val="0"/>
          <w:szCs w:val="21"/>
          <w:highlight w:val="none"/>
        </w:rPr>
        <w:t>（2）大写金额和小写金额不一致的，以大写金额为准。</w:t>
      </w:r>
    </w:p>
    <w:p>
      <w:pP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b/>
          <w:bCs/>
          <w:color w:val="auto"/>
          <w:kern w:val="0"/>
          <w:szCs w:val="21"/>
          <w:highlight w:val="none"/>
        </w:rPr>
        <w:t>“工期”、“工程质量标准”、“保修期限”可以填写“按招标文件要求”或按投标文件内容填写。</w:t>
      </w:r>
    </w:p>
    <w:p>
      <w:pPr>
        <w:rPr>
          <w:rFonts w:ascii="宋体" w:hAnsi="宋体" w:cs="宋体"/>
          <w:color w:val="auto"/>
          <w:kern w:val="0"/>
          <w:szCs w:val="21"/>
          <w:highlight w:val="none"/>
        </w:rPr>
      </w:pPr>
      <w:r>
        <w:rPr>
          <w:rFonts w:hint="eastAsia" w:ascii="宋体" w:hAnsi="宋体" w:cs="宋体"/>
          <w:color w:val="auto"/>
          <w:kern w:val="0"/>
          <w:szCs w:val="21"/>
          <w:highlight w:val="none"/>
        </w:rPr>
        <w:t>（4）联合体投标的，“投标单位”一栏需书写所有联合体成员的单位全称【格式表示为：(主)XXXX公司(成)XXXX公司】，可由联合体牵头方（或主办方）签字或盖章。</w:t>
      </w:r>
    </w:p>
    <w:p>
      <w:pPr>
        <w:rPr>
          <w:rFonts w:ascii="宋体" w:hAnsi="宋体" w:cs="宋体"/>
          <w:color w:val="auto"/>
          <w:kern w:val="0"/>
          <w:sz w:val="18"/>
          <w:szCs w:val="18"/>
          <w:highlight w:val="none"/>
        </w:rPr>
      </w:pPr>
    </w:p>
    <w:p>
      <w:pPr>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投标书附表</w:t>
      </w:r>
    </w:p>
    <w:tbl>
      <w:tblPr>
        <w:tblStyle w:val="38"/>
        <w:tblW w:w="8286" w:type="dxa"/>
        <w:tblInd w:w="0" w:type="dxa"/>
        <w:tblLayout w:type="fixed"/>
        <w:tblCellMar>
          <w:top w:w="0" w:type="dxa"/>
          <w:left w:w="0" w:type="dxa"/>
          <w:bottom w:w="0" w:type="dxa"/>
          <w:right w:w="0" w:type="dxa"/>
        </w:tblCellMar>
      </w:tblPr>
      <w:tblGrid>
        <w:gridCol w:w="810"/>
        <w:gridCol w:w="1285"/>
        <w:gridCol w:w="1792"/>
        <w:gridCol w:w="994"/>
        <w:gridCol w:w="3405"/>
      </w:tblGrid>
      <w:tr>
        <w:tblPrEx>
          <w:tblCellMar>
            <w:top w:w="0" w:type="dxa"/>
            <w:left w:w="0" w:type="dxa"/>
            <w:bottom w:w="0" w:type="dxa"/>
            <w:right w:w="0" w:type="dxa"/>
          </w:tblCellMar>
        </w:tblPrEx>
        <w:trPr>
          <w:trHeight w:val="957" w:hRule="atLeast"/>
        </w:trPr>
        <w:tc>
          <w:tcPr>
            <w:tcW w:w="8286" w:type="dxa"/>
            <w:gridSpan w:val="5"/>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ascii="宋体" w:hAnsi="宋体" w:cs="宋体"/>
                <w:b/>
                <w:color w:val="auto"/>
                <w:kern w:val="0"/>
                <w:sz w:val="32"/>
                <w:szCs w:val="32"/>
                <w:highlight w:val="none"/>
              </w:rPr>
              <w:t>工程总承包项目管理团队人员信息表</w:t>
            </w:r>
          </w:p>
        </w:tc>
      </w:tr>
      <w:tr>
        <w:tblPrEx>
          <w:tblCellMar>
            <w:top w:w="0" w:type="dxa"/>
            <w:left w:w="0" w:type="dxa"/>
            <w:bottom w:w="0" w:type="dxa"/>
            <w:right w:w="0" w:type="dxa"/>
          </w:tblCellMar>
        </w:tblPrEx>
        <w:trPr>
          <w:trHeight w:val="975" w:hRule="atLeast"/>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序号</w:t>
            </w:r>
          </w:p>
        </w:tc>
        <w:tc>
          <w:tcPr>
            <w:tcW w:w="1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姓名</w:t>
            </w:r>
          </w:p>
        </w:tc>
        <w:tc>
          <w:tcPr>
            <w:tcW w:w="1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岗位</w:t>
            </w:r>
          </w:p>
        </w:tc>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职称</w:t>
            </w:r>
          </w:p>
        </w:tc>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8"/>
                <w:szCs w:val="28"/>
                <w:highlight w:val="none"/>
              </w:rPr>
            </w:pPr>
            <w:r>
              <w:rPr>
                <w:rFonts w:hint="eastAsia" w:ascii="宋体" w:hAnsi="宋体" w:cs="宋体"/>
                <w:b/>
                <w:color w:val="auto"/>
                <w:kern w:val="0"/>
                <w:sz w:val="28"/>
                <w:szCs w:val="28"/>
                <w:highlight w:val="none"/>
              </w:rPr>
              <w:t>职称证书或资格证书编号</w:t>
            </w:r>
          </w:p>
        </w:tc>
      </w:tr>
      <w:tr>
        <w:tblPrEx>
          <w:tblCellMar>
            <w:top w:w="0" w:type="dxa"/>
            <w:left w:w="0" w:type="dxa"/>
            <w:bottom w:w="0" w:type="dxa"/>
            <w:right w:w="0" w:type="dxa"/>
          </w:tblCellMar>
        </w:tblPrEx>
        <w:trPr>
          <w:trHeight w:val="17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1</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eastAsia="zh-CN"/>
              </w:rPr>
            </w:pPr>
            <w:r>
              <w:rPr>
                <w:rFonts w:hint="eastAsia" w:ascii="宋体"/>
                <w:color w:val="auto"/>
                <w:highlight w:val="none"/>
              </w:rPr>
              <w:t>技术负责人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264"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2</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r>
              <w:rPr>
                <w:rFonts w:hint="eastAsia" w:ascii="宋体"/>
                <w:color w:val="auto"/>
                <w:highlight w:val="none"/>
              </w:rPr>
              <w:t>质量负责人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388"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3</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r>
              <w:rPr>
                <w:rFonts w:hint="eastAsia" w:ascii="宋体"/>
                <w:color w:val="auto"/>
                <w:highlight w:val="none"/>
              </w:rPr>
              <w:t>安全负责人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4</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eastAsia="zh-CN"/>
              </w:rPr>
            </w:pPr>
            <w:r>
              <w:rPr>
                <w:rFonts w:hint="eastAsia" w:ascii="宋体"/>
                <w:color w:val="auto"/>
                <w:highlight w:val="none"/>
                <w:lang w:val="en-US" w:eastAsia="zh-CN"/>
              </w:rPr>
              <w:t>造价负责人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136"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ascii="宋体" w:hAnsi="宋体" w:cs="宋体"/>
                <w:color w:val="auto"/>
                <w:sz w:val="28"/>
                <w:szCs w:val="28"/>
                <w:highlight w:val="none"/>
              </w:rPr>
            </w:pPr>
            <w:r>
              <w:rPr>
                <w:rFonts w:hint="eastAsia" w:ascii="宋体" w:hAnsi="宋体" w:cs="宋体"/>
                <w:color w:val="auto"/>
                <w:kern w:val="0"/>
                <w:sz w:val="28"/>
                <w:szCs w:val="28"/>
                <w:highlight w:val="none"/>
              </w:rPr>
              <w:t>5</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val="en-US" w:eastAsia="zh-CN"/>
              </w:rPr>
            </w:pPr>
            <w:r>
              <w:rPr>
                <w:rFonts w:hint="eastAsia" w:ascii="宋体"/>
                <w:color w:val="auto"/>
                <w:highlight w:val="none"/>
                <w:lang w:val="en-US" w:eastAsia="zh-CN"/>
              </w:rPr>
              <w:t>土建工程师</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44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6</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val="en-US" w:eastAsia="zh-CN"/>
              </w:rPr>
            </w:pPr>
            <w:r>
              <w:rPr>
                <w:rFonts w:hint="eastAsia" w:ascii="宋体"/>
                <w:color w:val="auto"/>
                <w:highlight w:val="none"/>
                <w:lang w:val="en-US" w:eastAsia="zh-CN"/>
              </w:rPr>
              <w:t>电气工程师</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en-US" w:eastAsia="zh-CN" w:bidi="ar-SA"/>
              </w:rPr>
            </w:pPr>
          </w:p>
        </w:tc>
      </w:tr>
      <w:tr>
        <w:tblPrEx>
          <w:tblCellMar>
            <w:top w:w="0" w:type="dxa"/>
            <w:left w:w="0" w:type="dxa"/>
            <w:bottom w:w="0" w:type="dxa"/>
            <w:right w:w="0" w:type="dxa"/>
          </w:tblCellMar>
        </w:tblPrEx>
        <w:trPr>
          <w:trHeight w:val="30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7</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val="en-US" w:eastAsia="zh-CN"/>
              </w:rPr>
            </w:pPr>
            <w:r>
              <w:rPr>
                <w:rFonts w:hint="eastAsia" w:ascii="宋体"/>
                <w:color w:val="auto"/>
                <w:highlight w:val="none"/>
                <w:lang w:val="en-US" w:eastAsia="zh-CN"/>
              </w:rPr>
              <w:t>BIM建模师</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both"/>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
                <w:bCs w:val="0"/>
                <w:color w:val="auto"/>
                <w:kern w:val="2"/>
                <w:sz w:val="21"/>
                <w:szCs w:val="21"/>
                <w:highlight w:val="none"/>
                <w:lang w:val="zh-TW" w:eastAsia="zh-CN" w:bidi="ar-SA"/>
              </w:rPr>
            </w:pPr>
          </w:p>
        </w:tc>
      </w:tr>
      <w:tr>
        <w:tblPrEx>
          <w:tblCellMar>
            <w:top w:w="0" w:type="dxa"/>
            <w:left w:w="0" w:type="dxa"/>
            <w:bottom w:w="0" w:type="dxa"/>
            <w:right w:w="0" w:type="dxa"/>
          </w:tblCellMar>
        </w:tblPrEx>
        <w:trPr>
          <w:trHeight w:val="414"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8</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val="zh-TW" w:eastAsia="zh-TW"/>
              </w:rPr>
            </w:pPr>
            <w:r>
              <w:rPr>
                <w:rFonts w:hint="eastAsia" w:ascii="宋体" w:hAnsi="宋体" w:cs="宋体"/>
                <w:bCs/>
                <w:color w:val="auto"/>
                <w:szCs w:val="21"/>
                <w:highlight w:val="none"/>
                <w:lang w:val="zh-TW"/>
              </w:rPr>
              <w:t>勘察专业负责人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466"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9</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建筑专业负责人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
                <w:bCs w:val="0"/>
                <w:color w:val="auto"/>
                <w:kern w:val="2"/>
                <w:sz w:val="21"/>
                <w:szCs w:val="21"/>
                <w:highlight w:val="none"/>
                <w:lang w:val="zh-TW" w:eastAsia="zh-CN" w:bidi="ar-SA"/>
              </w:rPr>
            </w:pPr>
          </w:p>
        </w:tc>
      </w:tr>
      <w:tr>
        <w:tblPrEx>
          <w:tblCellMar>
            <w:top w:w="0" w:type="dxa"/>
            <w:left w:w="0" w:type="dxa"/>
            <w:bottom w:w="0" w:type="dxa"/>
            <w:right w:w="0" w:type="dxa"/>
          </w:tblCellMar>
        </w:tblPrEx>
        <w:trPr>
          <w:trHeight w:val="401"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10</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结构专业负责人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spacing w:line="240" w:lineRule="atLeast"/>
              <w:ind w:left="42" w:leftChars="20" w:right="42" w:rightChars="20"/>
              <w:jc w:val="center"/>
              <w:rPr>
                <w:rFonts w:hint="eastAsia" w:ascii="宋体" w:hAnsi="宋体" w:eastAsia="宋体" w:cs="宋体"/>
                <w:bCs/>
                <w:color w:val="auto"/>
                <w:kern w:val="2"/>
                <w:sz w:val="21"/>
                <w:szCs w:val="21"/>
                <w:highlight w:val="none"/>
                <w:lang w:val="zh-TW" w:eastAsia="zh-CN" w:bidi="ar-SA"/>
              </w:rPr>
            </w:pPr>
          </w:p>
        </w:tc>
      </w:tr>
      <w:tr>
        <w:tblPrEx>
          <w:tblCellMar>
            <w:top w:w="0" w:type="dxa"/>
            <w:left w:w="0" w:type="dxa"/>
            <w:bottom w:w="0" w:type="dxa"/>
            <w:right w:w="0" w:type="dxa"/>
          </w:tblCellMar>
        </w:tblPrEx>
        <w:trPr>
          <w:trHeight w:val="32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11</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造价</w:t>
            </w:r>
            <w:r>
              <w:rPr>
                <w:rFonts w:hint="eastAsia" w:ascii="宋体" w:hAnsi="宋体" w:cs="宋体"/>
                <w:color w:val="auto"/>
                <w:kern w:val="0"/>
                <w:szCs w:val="21"/>
                <w:highlight w:val="none"/>
                <w:lang w:bidi="ar"/>
              </w:rPr>
              <w:t>专业</w:t>
            </w:r>
            <w:r>
              <w:rPr>
                <w:rFonts w:hint="eastAsia" w:ascii="宋体" w:hAnsi="宋体" w:cs="宋体"/>
                <w:color w:val="auto"/>
                <w:kern w:val="0"/>
                <w:szCs w:val="21"/>
                <w:highlight w:val="none"/>
                <w:lang w:val="zh-TW" w:bidi="ar"/>
              </w:rPr>
              <w:t>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en-US" w:eastAsia="zh-CN" w:bidi="ar"/>
              </w:rPr>
            </w:pPr>
          </w:p>
        </w:tc>
      </w:tr>
      <w:tr>
        <w:tblPrEx>
          <w:tblCellMar>
            <w:top w:w="0" w:type="dxa"/>
            <w:left w:w="0" w:type="dxa"/>
            <w:bottom w:w="0" w:type="dxa"/>
            <w:right w:w="0" w:type="dxa"/>
          </w:tblCellMar>
        </w:tblPrEx>
        <w:trPr>
          <w:trHeight w:val="313"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12</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给排水专业负责人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en-US" w:eastAsia="zh-CN" w:bidi="ar"/>
              </w:rPr>
            </w:pPr>
          </w:p>
        </w:tc>
      </w:tr>
      <w:tr>
        <w:tblPrEx>
          <w:tblCellMar>
            <w:top w:w="0" w:type="dxa"/>
            <w:left w:w="0" w:type="dxa"/>
            <w:bottom w:w="0" w:type="dxa"/>
            <w:right w:w="0" w:type="dxa"/>
          </w:tblCellMar>
        </w:tblPrEx>
        <w:trPr>
          <w:trHeight w:val="17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13</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电气专业负责人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en-US" w:eastAsia="zh-CN" w:bidi="ar"/>
              </w:rPr>
            </w:pPr>
          </w:p>
        </w:tc>
      </w:tr>
      <w:tr>
        <w:tblPrEx>
          <w:tblCellMar>
            <w:top w:w="0" w:type="dxa"/>
            <w:left w:w="0" w:type="dxa"/>
            <w:bottom w:w="0" w:type="dxa"/>
            <w:right w:w="0" w:type="dxa"/>
          </w:tblCellMar>
        </w:tblPrEx>
        <w:trPr>
          <w:trHeight w:val="262"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14</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TW" w:bidi="ar"/>
              </w:rPr>
            </w:pPr>
            <w:r>
              <w:rPr>
                <w:rFonts w:hint="eastAsia" w:ascii="宋体" w:hAnsi="宋体" w:cs="宋体"/>
                <w:color w:val="auto"/>
                <w:kern w:val="0"/>
                <w:szCs w:val="21"/>
                <w:highlight w:val="none"/>
                <w:lang w:val="zh-TW" w:bidi="ar"/>
              </w:rPr>
              <w:t>暖通专业负责人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zh-TW" w:eastAsia="zh-CN" w:bidi="ar"/>
              </w:rPr>
            </w:pPr>
          </w:p>
        </w:tc>
      </w:tr>
      <w:tr>
        <w:tblPrEx>
          <w:tblCellMar>
            <w:top w:w="0" w:type="dxa"/>
            <w:left w:w="0" w:type="dxa"/>
            <w:bottom w:w="0" w:type="dxa"/>
            <w:right w:w="0" w:type="dxa"/>
          </w:tblCellMar>
        </w:tblPrEx>
        <w:trPr>
          <w:trHeight w:val="262"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15</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BIM</w:t>
            </w:r>
            <w:r>
              <w:rPr>
                <w:rFonts w:ascii="宋体" w:hAnsi="宋体" w:cs="宋体"/>
                <w:color w:val="auto"/>
                <w:kern w:val="0"/>
                <w:szCs w:val="21"/>
                <w:highlight w:val="none"/>
                <w:lang w:val="zh-TW" w:bidi="ar"/>
              </w:rPr>
              <w:t>专业负责人</w:t>
            </w: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ind w:left="406" w:leftChars="35" w:hanging="333" w:hangingChars="159"/>
              <w:jc w:val="center"/>
              <w:rPr>
                <w:rFonts w:hint="eastAsia" w:ascii="宋体" w:hAnsi="宋体" w:eastAsia="宋体" w:cs="宋体"/>
                <w:color w:val="auto"/>
                <w:kern w:val="0"/>
                <w:sz w:val="21"/>
                <w:szCs w:val="21"/>
                <w:highlight w:val="none"/>
                <w:lang w:val="en-US" w:eastAsia="zh-CN" w:bidi="ar"/>
              </w:rPr>
            </w:pPr>
          </w:p>
        </w:tc>
      </w:tr>
      <w:tr>
        <w:tblPrEx>
          <w:tblCellMar>
            <w:top w:w="0" w:type="dxa"/>
            <w:left w:w="0" w:type="dxa"/>
            <w:bottom w:w="0" w:type="dxa"/>
            <w:right w:w="0" w:type="dxa"/>
          </w:tblCellMar>
        </w:tblPrEx>
        <w:trPr>
          <w:trHeight w:val="262"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center"/>
              <w:rPr>
                <w:rFonts w:hint="default" w:ascii="宋体" w:hAnsi="宋体" w:cs="宋体"/>
                <w:color w:val="auto"/>
                <w:sz w:val="28"/>
                <w:szCs w:val="28"/>
                <w:highlight w:val="none"/>
                <w:lang w:val="en-US" w:eastAsia="zh-CN"/>
              </w:rPr>
            </w:pPr>
            <w:r>
              <w:rPr>
                <w:rFonts w:hint="eastAsia" w:ascii="仿宋" w:hAnsi="仿宋" w:eastAsia="仿宋" w:cs="仿宋"/>
                <w:color w:val="auto"/>
                <w:kern w:val="0"/>
                <w:sz w:val="28"/>
                <w:szCs w:val="28"/>
                <w:highlight w:val="none"/>
                <w:lang w:bidi="ar"/>
              </w:rPr>
              <w:t>……</w:t>
            </w: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1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lang w:val="en-US" w:eastAsia="zh-CN"/>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c>
          <w:tcPr>
            <w:tcW w:w="3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rPr>
                <w:rFonts w:hint="eastAsia" w:ascii="宋体"/>
                <w:color w:val="auto"/>
                <w:highlight w:val="none"/>
              </w:rPr>
            </w:pPr>
          </w:p>
        </w:tc>
      </w:tr>
      <w:tr>
        <w:tblPrEx>
          <w:tblCellMar>
            <w:top w:w="0" w:type="dxa"/>
            <w:left w:w="0" w:type="dxa"/>
            <w:bottom w:w="0" w:type="dxa"/>
            <w:right w:w="0" w:type="dxa"/>
          </w:tblCellMar>
        </w:tblPrEx>
        <w:trPr>
          <w:trHeight w:val="3378" w:hRule="atLeast"/>
        </w:trPr>
        <w:tc>
          <w:tcPr>
            <w:tcW w:w="828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66"/>
                <w:rFonts w:hint="default" w:ascii="宋体" w:hAnsi="宋体" w:eastAsia="宋体" w:cs="宋体"/>
                <w:color w:val="auto"/>
                <w:sz w:val="18"/>
                <w:szCs w:val="18"/>
                <w:highlight w:val="none"/>
              </w:rPr>
            </w:pPr>
            <w:r>
              <w:rPr>
                <w:rStyle w:val="66"/>
                <w:rFonts w:hint="default" w:ascii="宋体" w:hAnsi="宋体" w:eastAsia="宋体" w:cs="宋体"/>
                <w:color w:val="auto"/>
                <w:sz w:val="18"/>
                <w:szCs w:val="18"/>
                <w:highlight w:val="none"/>
              </w:rPr>
              <w:t>备注：</w:t>
            </w:r>
          </w:p>
          <w:p>
            <w:pPr>
              <w:widowControl/>
              <w:jc w:val="left"/>
              <w:textAlignment w:val="center"/>
              <w:rPr>
                <w:rStyle w:val="66"/>
                <w:rFonts w:hint="default" w:ascii="宋体" w:hAnsi="宋体" w:eastAsia="宋体"/>
                <w:color w:val="auto"/>
                <w:sz w:val="18"/>
                <w:szCs w:val="18"/>
                <w:highlight w:val="none"/>
              </w:rPr>
            </w:pPr>
            <w:r>
              <w:rPr>
                <w:rStyle w:val="66"/>
                <w:rFonts w:hint="default" w:ascii="宋体" w:hAnsi="宋体" w:eastAsia="宋体" w:cs="宋体"/>
                <w:color w:val="auto"/>
                <w:sz w:val="18"/>
                <w:szCs w:val="18"/>
                <w:highlight w:val="none"/>
              </w:rPr>
              <w:t>1、</w:t>
            </w:r>
            <w:r>
              <w:rPr>
                <w:rStyle w:val="66"/>
                <w:rFonts w:hint="default" w:ascii="宋体" w:hAnsi="宋体" w:eastAsia="宋体"/>
                <w:color w:val="auto"/>
                <w:sz w:val="18"/>
                <w:szCs w:val="18"/>
                <w:highlight w:val="none"/>
              </w:rPr>
              <w:t>“岗位”要求</w:t>
            </w:r>
            <w:r>
              <w:rPr>
                <w:rStyle w:val="66"/>
                <w:rFonts w:hint="default" w:ascii="宋体" w:hAnsi="宋体" w:eastAsia="宋体"/>
                <w:b/>
                <w:color w:val="auto"/>
                <w:sz w:val="18"/>
                <w:szCs w:val="18"/>
                <w:highlight w:val="none"/>
              </w:rPr>
              <w:t>（</w:t>
            </w:r>
            <w:r>
              <w:rPr>
                <w:rStyle w:val="61"/>
                <w:rFonts w:hint="default" w:ascii="宋体" w:hAnsi="宋体" w:eastAsia="宋体"/>
                <w:b w:val="0"/>
                <w:bCs/>
                <w:color w:val="auto"/>
                <w:sz w:val="18"/>
                <w:szCs w:val="18"/>
                <w:highlight w:val="none"/>
              </w:rPr>
              <w:t>除</w:t>
            </w:r>
            <w:r>
              <w:rPr>
                <w:rFonts w:hint="eastAsia" w:ascii="宋体" w:hAnsi="宋体" w:cs="宋体"/>
                <w:color w:val="auto"/>
                <w:sz w:val="18"/>
                <w:szCs w:val="18"/>
                <w:highlight w:val="none"/>
                <w:u w:val="single"/>
              </w:rPr>
              <w:t>项目负责人（兼施工负责人）</w:t>
            </w:r>
            <w:r>
              <w:rPr>
                <w:rStyle w:val="61"/>
                <w:rFonts w:hint="default" w:ascii="宋体" w:hAnsi="宋体" w:eastAsia="宋体"/>
                <w:b w:val="0"/>
                <w:bCs/>
                <w:color w:val="auto"/>
                <w:sz w:val="18"/>
                <w:szCs w:val="18"/>
                <w:highlight w:val="none"/>
              </w:rPr>
              <w:t>、设计负责人和专职安全员外</w:t>
            </w:r>
            <w:r>
              <w:rPr>
                <w:rStyle w:val="66"/>
                <w:rFonts w:hint="default" w:ascii="宋体" w:hAnsi="宋体" w:eastAsia="宋体"/>
                <w:b/>
                <w:color w:val="auto"/>
                <w:sz w:val="18"/>
                <w:szCs w:val="18"/>
                <w:highlight w:val="none"/>
              </w:rPr>
              <w:t>）</w:t>
            </w:r>
            <w:r>
              <w:rPr>
                <w:rFonts w:hint="eastAsia" w:ascii="宋体" w:hAnsi="宋体"/>
                <w:color w:val="auto"/>
                <w:sz w:val="18"/>
                <w:szCs w:val="18"/>
                <w:highlight w:val="none"/>
              </w:rPr>
              <w:t xml:space="preserve"> 按《</w:t>
            </w:r>
            <w:r>
              <w:rPr>
                <w:rFonts w:hint="eastAsia" w:ascii="宋体" w:hAnsi="宋体" w:cs="宋体"/>
                <w:color w:val="auto"/>
                <w:sz w:val="18"/>
                <w:szCs w:val="18"/>
                <w:highlight w:val="none"/>
              </w:rPr>
              <w:t>项目管理团队人员表</w:t>
            </w:r>
            <w:r>
              <w:rPr>
                <w:rFonts w:hint="eastAsia" w:ascii="宋体" w:hAnsi="宋体"/>
                <w:color w:val="auto"/>
                <w:sz w:val="18"/>
                <w:szCs w:val="18"/>
                <w:highlight w:val="none"/>
              </w:rPr>
              <w:t>》</w:t>
            </w:r>
            <w:r>
              <w:rPr>
                <w:rStyle w:val="66"/>
                <w:rFonts w:hint="default" w:ascii="宋体" w:hAnsi="宋体" w:eastAsia="宋体"/>
                <w:color w:val="auto"/>
                <w:sz w:val="18"/>
                <w:szCs w:val="18"/>
                <w:highlight w:val="none"/>
              </w:rPr>
              <w:t>。以上项目管理团队人员信息将供各相关单位在履约时比对、查核。</w:t>
            </w:r>
          </w:p>
          <w:p>
            <w:pPr>
              <w:widowControl/>
              <w:jc w:val="left"/>
              <w:textAlignment w:val="center"/>
              <w:rPr>
                <w:rStyle w:val="66"/>
                <w:rFonts w:hint="default" w:ascii="宋体" w:hAnsi="宋体" w:eastAsia="宋体" w:cs="宋体"/>
                <w:color w:val="auto"/>
                <w:sz w:val="18"/>
                <w:szCs w:val="18"/>
                <w:highlight w:val="none"/>
              </w:rPr>
            </w:pPr>
            <w:r>
              <w:rPr>
                <w:rStyle w:val="66"/>
                <w:rFonts w:hint="default" w:ascii="宋体" w:hAnsi="宋体" w:eastAsia="宋体" w:cs="宋体"/>
                <w:color w:val="auto"/>
                <w:sz w:val="18"/>
                <w:szCs w:val="18"/>
                <w:highlight w:val="none"/>
              </w:rPr>
              <w:t>2、投标人应根据本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方可递交投标文件。</w:t>
            </w:r>
          </w:p>
          <w:p>
            <w:pPr>
              <w:widowControl/>
              <w:jc w:val="left"/>
              <w:textAlignment w:val="center"/>
              <w:rPr>
                <w:rFonts w:ascii="宋体" w:hAnsi="宋体" w:cs="宋体"/>
                <w:color w:val="auto"/>
                <w:sz w:val="18"/>
                <w:szCs w:val="18"/>
                <w:highlight w:val="none"/>
              </w:rPr>
            </w:pPr>
            <w:r>
              <w:rPr>
                <w:rStyle w:val="66"/>
                <w:rFonts w:hint="default" w:ascii="宋体" w:hAnsi="宋体" w:eastAsia="宋体" w:cs="宋体"/>
                <w:color w:val="auto"/>
                <w:sz w:val="18"/>
                <w:szCs w:val="18"/>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b/>
          <w:color w:val="auto"/>
          <w:sz w:val="28"/>
          <w:szCs w:val="28"/>
          <w:highlight w:val="none"/>
        </w:rPr>
        <w:br w:type="page"/>
      </w:r>
      <w:r>
        <w:rPr>
          <w:rFonts w:hint="eastAsia" w:ascii="宋体" w:hAnsi="宋体" w:cs="宋体"/>
          <w:b/>
          <w:color w:val="auto"/>
          <w:kern w:val="1"/>
          <w:sz w:val="24"/>
          <w:highlight w:val="none"/>
          <w:lang w:val="zh-CN"/>
        </w:rPr>
        <w:t>格式</w:t>
      </w:r>
      <w:r>
        <w:rPr>
          <w:rFonts w:hint="eastAsia" w:ascii="宋体" w:hAnsi="宋体" w:cs="宋体"/>
          <w:b/>
          <w:color w:val="auto"/>
          <w:kern w:val="1"/>
          <w:sz w:val="24"/>
          <w:highlight w:val="none"/>
        </w:rPr>
        <w:t>2</w:t>
      </w:r>
    </w:p>
    <w:p>
      <w:pPr>
        <w:spacing w:line="540" w:lineRule="exact"/>
        <w:jc w:val="center"/>
        <w:rPr>
          <w:rFonts w:ascii="宋体" w:hAnsi="宋体" w:cs="宋体"/>
          <w:color w:val="auto"/>
          <w:highlight w:val="none"/>
        </w:rPr>
      </w:pPr>
      <w:r>
        <w:rPr>
          <w:rFonts w:hint="eastAsia" w:ascii="宋体" w:hAnsi="宋体" w:cs="宋体"/>
          <w:b/>
          <w:color w:val="auto"/>
          <w:sz w:val="28"/>
          <w:szCs w:val="28"/>
          <w:highlight w:val="none"/>
        </w:rPr>
        <w:t>投标承诺函</w:t>
      </w:r>
    </w:p>
    <w:p>
      <w:pPr>
        <w:spacing w:line="440" w:lineRule="exact"/>
        <w:rPr>
          <w:rFonts w:ascii="宋体" w:hAnsi="宋体" w:cs="宋体"/>
          <w:color w:val="auto"/>
          <w:sz w:val="20"/>
          <w:szCs w:val="20"/>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（招标人名称）：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1．我方已仔细研究了</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招标文件的全部内容，愿意以《投标书》中承诺的投标报价和工期，按合同约定进行设计、实施和竣工承包工程，修补工程中的任何缺陷，实现工程目的。我方充分了解了现场条件对可能存在的所有风险都已充分考虑，我方放弃在此方面提出含糊意见或误解的一切权力，承认招标文件的所有条款，按招标文件规定条款完成本次招标项目的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 我方已充分阅读了本项目招标文件并充分了解有关报价方式及变更、结算方式，我方完全响应招标文件的规定。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3．我方承诺投标文件中的一切资料、数据是真实的，并承担由此引起的一切责任。</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4．我方承诺在招标文件规定的投标有效期内不修改、撤销投标文件。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5．随同本投标函提交投标保证金一份，我方对招标文件中不予退还投标保证金的情形无异议。</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6．我方如果中标，我方保证：</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（1）保证履行招标文件以及招标文件修改书(如有)中的全部责任和义务，在中标通知书规定的时间内签订合同，并严格按国家有关法规履行我方的全部责任，按质、按量、按期完成合同约定的全部任务。</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保证将我方的资质承包范围不能涵盖或不具备相应能力(该能力须保证进度和质量且须获得招标人认可)的部分专业工程（如果有），委托获得招标人批准的具备相应专业资质和能力的单位实施，确保项目质量及进度。</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保证所完成的设计将完全符合国家相关规范要求，符合或优于招标文件、技术条件、合同条款的要求。若我方完成的设计文件未能达到招标人（或相关政府部门）的要求，我方将无条件根据要求进行修改设计文件，直至得到招标人（及相关政府部门）的认可为止。</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（4）保证尽一切力量确保投标承诺的竣工日期，若我方未能按投标承诺的工期完成本项目，除承担合同约定的违约责任外，招标人有权解除合同，我方承担由于违约解除合同退场造成的对招标人的一切损失。</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（5）保证所投入本项目的主要材料、设备质量符合或优于招标文件要求，所投入本项目的辅助设备、材料与主主要材料、设备质量一致并有良好的配套性。</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（6）保证按照招标文件的要求确保安全生产及文明施工，如有违反，我方愿意按合同约定承担违约责任，并为此负相关的法律责任。</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（7）保证按国家的有关规定制订保证民工工资支付的方案及保证措施，否则，我方愿按合同条款规定承担违约责任并赔偿招标人的全部损失。</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（8）保证按施工期间做好安全文明和交通保证措施，施工区全封闭围挡，根据工程进度计划分段施工分期围挡。最大限度满足交通和市民出行方便，施工行为做到便民，不扰民。</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（9）保证按发包方工期要求编制施工进度计划，计划内用全面详实，根据项目特点合理组织分段施工，分段逐步移交。</w:t>
      </w:r>
    </w:p>
    <w:p>
      <w:pPr>
        <w:spacing w:line="440" w:lineRule="exact"/>
        <w:ind w:firstLine="420" w:firstLineChars="200"/>
        <w:rPr>
          <w:rFonts w:ascii="宋体" w:hAnsi="宋体" w:cs="宋体"/>
          <w:color w:val="auto"/>
          <w:szCs w:val="21"/>
          <w:highlight w:val="none"/>
        </w:rPr>
      </w:pPr>
    </w:p>
    <w:p>
      <w:pPr>
        <w:spacing w:line="440" w:lineRule="exact"/>
        <w:ind w:firstLine="300" w:firstLineChars="200"/>
        <w:rPr>
          <w:rFonts w:ascii="宋体" w:hAnsi="宋体" w:cs="宋体"/>
          <w:color w:val="auto"/>
          <w:sz w:val="15"/>
          <w:szCs w:val="15"/>
          <w:highlight w:val="none"/>
        </w:rPr>
      </w:pPr>
    </w:p>
    <w:p>
      <w:pPr>
        <w:spacing w:line="440" w:lineRule="exact"/>
        <w:ind w:firstLine="4725" w:firstLineChars="2250"/>
        <w:rPr>
          <w:rFonts w:ascii="宋体" w:hAnsi="宋体" w:cs="宋体"/>
          <w:color w:val="auto"/>
          <w:szCs w:val="21"/>
          <w:highlight w:val="none"/>
        </w:rPr>
      </w:pPr>
    </w:p>
    <w:p>
      <w:pPr>
        <w:spacing w:line="440" w:lineRule="exact"/>
        <w:ind w:firstLine="4725" w:firstLineChars="2250"/>
        <w:rPr>
          <w:rFonts w:ascii="宋体" w:hAnsi="宋体" w:cs="宋体"/>
          <w:color w:val="auto"/>
          <w:szCs w:val="21"/>
          <w:highlight w:val="none"/>
        </w:rPr>
      </w:pPr>
      <w:r>
        <w:rPr>
          <w:rFonts w:hint="eastAsia" w:ascii="宋体" w:hAnsi="宋体" w:cs="宋体"/>
          <w:color w:val="auto"/>
          <w:szCs w:val="21"/>
          <w:highlight w:val="none"/>
        </w:rPr>
        <w:t>投标人：    （盖章）</w:t>
      </w:r>
    </w:p>
    <w:p>
      <w:pPr>
        <w:spacing w:line="440" w:lineRule="exact"/>
        <w:ind w:firstLine="4725" w:firstLineChars="2250"/>
        <w:rPr>
          <w:rFonts w:ascii="宋体" w:hAnsi="宋体" w:cs="宋体"/>
          <w:color w:val="auto"/>
          <w:szCs w:val="21"/>
          <w:highlight w:val="none"/>
        </w:rPr>
      </w:pPr>
      <w:r>
        <w:rPr>
          <w:rFonts w:hint="eastAsia" w:ascii="宋体" w:hAnsi="宋体" w:cs="宋体"/>
          <w:color w:val="auto"/>
          <w:szCs w:val="21"/>
          <w:highlight w:val="none"/>
        </w:rPr>
        <w:t>日   期：    年    月    日</w:t>
      </w:r>
    </w:p>
    <w:p>
      <w:pPr>
        <w:spacing w:line="440" w:lineRule="exact"/>
        <w:ind w:firstLine="4725" w:firstLineChars="2250"/>
        <w:rPr>
          <w:rFonts w:ascii="宋体" w:hAnsi="宋体" w:cs="宋体"/>
          <w:color w:val="auto"/>
          <w:szCs w:val="21"/>
          <w:highlight w:val="none"/>
        </w:rPr>
      </w:pPr>
    </w:p>
    <w:p>
      <w:pPr>
        <w:pStyle w:val="63"/>
        <w:ind w:firstLine="0" w:firstLineChars="0"/>
        <w:rPr>
          <w:rFonts w:ascii="宋体" w:hAnsi="宋体" w:eastAsia="宋体" w:cs="宋体"/>
          <w:color w:val="auto"/>
          <w:highlight w:val="none"/>
        </w:rPr>
      </w:pPr>
    </w:p>
    <w:p>
      <w:pPr>
        <w:rPr>
          <w:rFonts w:ascii="宋体" w:hAnsi="宋体" w:cs="宋体"/>
          <w:b/>
          <w:color w:val="auto"/>
          <w:kern w:val="1"/>
          <w:sz w:val="24"/>
          <w:highlight w:val="none"/>
        </w:rPr>
      </w:pPr>
      <w:r>
        <w:rPr>
          <w:rFonts w:ascii="宋体" w:hAnsi="宋体" w:cs="宋体"/>
          <w:b/>
          <w:color w:val="auto"/>
          <w:kern w:val="1"/>
          <w:sz w:val="24"/>
          <w:highlight w:val="none"/>
        </w:rPr>
        <w:br w:type="page"/>
      </w:r>
      <w:r>
        <w:rPr>
          <w:rFonts w:hint="eastAsia" w:ascii="宋体" w:hAnsi="宋体" w:cs="宋体"/>
          <w:b/>
          <w:color w:val="auto"/>
          <w:kern w:val="1"/>
          <w:sz w:val="24"/>
          <w:highlight w:val="none"/>
          <w:lang w:val="zh-CN"/>
        </w:rPr>
        <w:t>格式</w:t>
      </w:r>
      <w:r>
        <w:rPr>
          <w:rFonts w:hint="eastAsia" w:ascii="宋体" w:hAnsi="宋体" w:cs="宋体"/>
          <w:b/>
          <w:color w:val="auto"/>
          <w:kern w:val="1"/>
          <w:sz w:val="24"/>
          <w:highlight w:val="none"/>
        </w:rPr>
        <w:t>3</w:t>
      </w:r>
    </w:p>
    <w:p>
      <w:pPr>
        <w:pStyle w:val="36"/>
        <w:spacing w:after="0" w:line="360" w:lineRule="auto"/>
        <w:ind w:firstLine="562" w:firstLineChars="200"/>
        <w:jc w:val="center"/>
        <w:rPr>
          <w:rFonts w:ascii="宋体" w:hAnsi="宋体" w:cs="宋体"/>
          <w:color w:val="auto"/>
          <w:sz w:val="18"/>
          <w:szCs w:val="18"/>
          <w:highlight w:val="none"/>
        </w:rPr>
      </w:pPr>
      <w:r>
        <w:rPr>
          <w:rFonts w:hint="eastAsia" w:ascii="宋体" w:hAnsi="宋体" w:cs="宋体"/>
          <w:b/>
          <w:color w:val="auto"/>
          <w:sz w:val="28"/>
          <w:szCs w:val="28"/>
          <w:highlight w:val="none"/>
        </w:rPr>
        <w:t>投标文件编制人员名单</w:t>
      </w:r>
    </w:p>
    <w:tbl>
      <w:tblPr>
        <w:tblStyle w:val="38"/>
        <w:tblW w:w="9003" w:type="dxa"/>
        <w:tblInd w:w="0" w:type="dxa"/>
        <w:tblLayout w:type="fixed"/>
        <w:tblCellMar>
          <w:top w:w="0" w:type="dxa"/>
          <w:left w:w="108" w:type="dxa"/>
          <w:bottom w:w="0" w:type="dxa"/>
          <w:right w:w="108" w:type="dxa"/>
        </w:tblCellMar>
      </w:tblPr>
      <w:tblGrid>
        <w:gridCol w:w="1249"/>
        <w:gridCol w:w="1453"/>
        <w:gridCol w:w="2486"/>
        <w:gridCol w:w="2383"/>
        <w:gridCol w:w="1432"/>
      </w:tblGrid>
      <w:tr>
        <w:tblPrEx>
          <w:tblCellMar>
            <w:top w:w="0" w:type="dxa"/>
            <w:left w:w="108" w:type="dxa"/>
            <w:bottom w:w="0" w:type="dxa"/>
            <w:right w:w="108" w:type="dxa"/>
          </w:tblCellMar>
        </w:tblPrEx>
        <w:trPr>
          <w:trHeight w:val="318" w:hRule="atLeast"/>
        </w:trPr>
        <w:tc>
          <w:tcPr>
            <w:tcW w:w="9003"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投标单位名称：</w:t>
            </w:r>
          </w:p>
        </w:tc>
      </w:tr>
      <w:tr>
        <w:tblPrEx>
          <w:tblCellMar>
            <w:top w:w="0" w:type="dxa"/>
            <w:left w:w="108" w:type="dxa"/>
            <w:bottom w:w="0" w:type="dxa"/>
            <w:right w:w="108" w:type="dxa"/>
          </w:tblCellMar>
        </w:tblPrEx>
        <w:trPr>
          <w:trHeight w:val="212"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姓名</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职务</w:t>
            </w: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所承担工作</w:t>
            </w: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身份证号码</w:t>
            </w: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本人签名栏</w:t>
            </w:r>
          </w:p>
        </w:tc>
      </w:tr>
      <w:tr>
        <w:tblPrEx>
          <w:tblCellMar>
            <w:top w:w="0" w:type="dxa"/>
            <w:left w:w="108" w:type="dxa"/>
            <w:bottom w:w="0" w:type="dxa"/>
            <w:right w:w="108" w:type="dxa"/>
          </w:tblCellMar>
        </w:tblPrEx>
        <w:trPr>
          <w:trHeight w:val="58"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162"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123"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214"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175"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 w:val="18"/>
                <w:szCs w:val="18"/>
                <w:highlight w:val="none"/>
              </w:rPr>
            </w:pPr>
          </w:p>
        </w:tc>
      </w:tr>
    </w:tbl>
    <w:p>
      <w:pPr>
        <w:tabs>
          <w:tab w:val="left" w:pos="720"/>
        </w:tabs>
        <w:snapToGrid w:val="0"/>
        <w:spacing w:line="360" w:lineRule="auto"/>
        <w:rPr>
          <w:rFonts w:ascii="宋体" w:hAnsi="宋体" w:cs="宋体"/>
          <w:color w:val="auto"/>
          <w:sz w:val="18"/>
          <w:szCs w:val="18"/>
          <w:highlight w:val="none"/>
        </w:rPr>
      </w:pPr>
    </w:p>
    <w:p>
      <w:pPr>
        <w:pStyle w:val="36"/>
        <w:spacing w:after="0" w:line="360" w:lineRule="auto"/>
        <w:ind w:left="-2" w:leftChars="-1" w:firstLine="0"/>
        <w:rPr>
          <w:rFonts w:ascii="宋体" w:hAnsi="宋体" w:cs="宋体"/>
          <w:bCs/>
          <w:iCs/>
          <w:color w:val="auto"/>
          <w:sz w:val="18"/>
          <w:szCs w:val="18"/>
          <w:highlight w:val="none"/>
        </w:rPr>
      </w:pPr>
      <w:r>
        <w:rPr>
          <w:rFonts w:hint="eastAsia" w:ascii="宋体" w:hAnsi="宋体" w:cs="宋体"/>
          <w:color w:val="auto"/>
          <w:sz w:val="18"/>
          <w:szCs w:val="18"/>
          <w:highlight w:val="none"/>
        </w:rPr>
        <w:t>注：</w:t>
      </w:r>
      <w:r>
        <w:rPr>
          <w:rFonts w:hint="eastAsia" w:ascii="宋体" w:hAnsi="宋体" w:cs="宋体"/>
          <w:bCs/>
          <w:iCs/>
          <w:color w:val="auto"/>
          <w:sz w:val="18"/>
          <w:szCs w:val="18"/>
          <w:highlight w:val="none"/>
        </w:rPr>
        <w:t>参与编制标书所有人员名单应包括如编制</w:t>
      </w:r>
      <w:r>
        <w:rPr>
          <w:rFonts w:hint="eastAsia" w:ascii="宋体" w:hAnsi="宋体"/>
          <w:bCs/>
          <w:iCs/>
          <w:color w:val="auto"/>
          <w:sz w:val="18"/>
          <w:szCs w:val="18"/>
          <w:highlight w:val="none"/>
        </w:rPr>
        <w:t>设计方案、</w:t>
      </w:r>
      <w:r>
        <w:rPr>
          <w:rFonts w:hint="eastAsia" w:ascii="宋体" w:hAnsi="宋体" w:cs="宋体"/>
          <w:bCs/>
          <w:iCs/>
          <w:color w:val="auto"/>
          <w:sz w:val="18"/>
          <w:szCs w:val="18"/>
          <w:highlight w:val="none"/>
        </w:rPr>
        <w:t>工程总承包实施方案、投标报价、负责清样校对、负责加密打包、负责上传、负责密封、负责打印及复印等所有人员在内的人员名单。</w:t>
      </w:r>
    </w:p>
    <w:p>
      <w:pPr>
        <w:widowControl/>
        <w:jc w:val="left"/>
        <w:rPr>
          <w:rFonts w:ascii="宋体" w:hAnsi="宋体" w:cs="宋体"/>
          <w:b/>
          <w:color w:val="auto"/>
          <w:kern w:val="1"/>
          <w:sz w:val="24"/>
          <w:highlight w:val="none"/>
          <w:lang w:val="zh-CN"/>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color w:val="auto"/>
          <w:highlight w:val="none"/>
        </w:rPr>
      </w:pPr>
    </w:p>
    <w:p>
      <w:pPr>
        <w:pStyle w:val="63"/>
        <w:ind w:firstLine="0" w:firstLineChars="0"/>
        <w:rPr>
          <w:rFonts w:ascii="宋体" w:hAnsi="宋体" w:eastAsia="宋体" w:cs="宋体"/>
          <w:b/>
          <w:color w:val="auto"/>
          <w:spacing w:val="0"/>
          <w:kern w:val="1"/>
          <w:highlight w:val="none"/>
        </w:rPr>
      </w:pPr>
    </w:p>
    <w:p>
      <w:pPr>
        <w:pStyle w:val="63"/>
        <w:ind w:firstLine="0" w:firstLineChars="0"/>
        <w:jc w:val="left"/>
        <w:rPr>
          <w:rFonts w:ascii="宋体" w:hAnsi="宋体" w:eastAsia="宋体" w:cs="宋体"/>
          <w:b/>
          <w:color w:val="auto"/>
          <w:spacing w:val="0"/>
          <w:kern w:val="1"/>
          <w:highlight w:val="none"/>
          <w:lang w:val="zh-CN"/>
        </w:rPr>
      </w:pPr>
    </w:p>
    <w:p>
      <w:pPr>
        <w:pStyle w:val="63"/>
        <w:ind w:firstLine="0" w:firstLineChars="0"/>
        <w:jc w:val="left"/>
        <w:rPr>
          <w:rFonts w:eastAsia="宋体"/>
          <w:color w:val="auto"/>
          <w:highlight w:val="none"/>
        </w:rPr>
      </w:pPr>
      <w:r>
        <w:rPr>
          <w:rFonts w:hint="eastAsia" w:ascii="宋体" w:hAnsi="宋体" w:eastAsia="宋体" w:cs="宋体"/>
          <w:b/>
          <w:color w:val="auto"/>
          <w:spacing w:val="0"/>
          <w:kern w:val="1"/>
          <w:highlight w:val="none"/>
          <w:lang w:val="zh-CN"/>
        </w:rPr>
        <w:t>格式</w:t>
      </w:r>
      <w:r>
        <w:rPr>
          <w:rFonts w:hint="eastAsia" w:ascii="宋体" w:hAnsi="宋体" w:eastAsia="宋体" w:cs="宋体"/>
          <w:b/>
          <w:color w:val="auto"/>
          <w:spacing w:val="0"/>
          <w:kern w:val="1"/>
          <w:highlight w:val="none"/>
        </w:rPr>
        <w:t>4</w:t>
      </w:r>
    </w:p>
    <w:p>
      <w:pPr>
        <w:pStyle w:val="63"/>
        <w:ind w:firstLine="0" w:firstLineChars="0"/>
        <w:jc w:val="center"/>
        <w:rPr>
          <w:rFonts w:ascii="宋体" w:hAnsi="宋体" w:eastAsia="宋体" w:cs="宋体"/>
          <w:b/>
          <w:bCs/>
          <w:color w:val="auto"/>
          <w:sz w:val="28"/>
          <w:highlight w:val="none"/>
        </w:rPr>
      </w:pPr>
      <w:r>
        <w:rPr>
          <w:rFonts w:hint="eastAsia" w:ascii="宋体" w:hAnsi="宋体" w:eastAsia="宋体" w:cs="宋体"/>
          <w:b/>
          <w:bCs/>
          <w:color w:val="auto"/>
          <w:sz w:val="28"/>
          <w:highlight w:val="none"/>
        </w:rPr>
        <w:t>投标人认为应该补充的资料</w:t>
      </w:r>
    </w:p>
    <w:p>
      <w:pPr>
        <w:pStyle w:val="63"/>
        <w:ind w:firstLine="0" w:firstLineChars="0"/>
        <w:jc w:val="center"/>
        <w:rPr>
          <w:rFonts w:ascii="宋体" w:hAnsi="宋体" w:eastAsia="宋体" w:cs="宋体"/>
          <w:b/>
          <w:bCs/>
          <w:color w:val="auto"/>
          <w:sz w:val="28"/>
          <w:highlight w:val="none"/>
        </w:rPr>
      </w:pPr>
      <w:r>
        <w:rPr>
          <w:rFonts w:hint="eastAsia" w:ascii="宋体" w:hAnsi="宋体" w:eastAsia="宋体" w:cs="宋体"/>
          <w:b/>
          <w:bCs/>
          <w:color w:val="auto"/>
          <w:sz w:val="28"/>
          <w:highlight w:val="none"/>
        </w:rPr>
        <w:t>（内容格式自拟）</w:t>
      </w: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p>
    <w:p>
      <w:pPr>
        <w:pStyle w:val="37"/>
        <w:rPr>
          <w:color w:val="auto"/>
          <w:highlight w:val="none"/>
          <w:lang w:val="zh-CN"/>
        </w:rPr>
      </w:pPr>
    </w:p>
    <w:p>
      <w:pPr>
        <w:pStyle w:val="37"/>
        <w:rPr>
          <w:color w:val="auto"/>
          <w:highlight w:val="none"/>
          <w:lang w:val="zh-CN"/>
        </w:rPr>
      </w:pPr>
    </w:p>
    <w:p>
      <w:pPr>
        <w:pStyle w:val="37"/>
        <w:rPr>
          <w:color w:val="auto"/>
          <w:highlight w:val="none"/>
          <w:lang w:val="zh-CN"/>
        </w:rPr>
      </w:pPr>
    </w:p>
    <w:p>
      <w:pPr>
        <w:widowControl/>
        <w:jc w:val="left"/>
        <w:rPr>
          <w:rFonts w:ascii="宋体" w:hAnsi="宋体" w:cs="宋体"/>
          <w:b/>
          <w:color w:val="auto"/>
          <w:kern w:val="1"/>
          <w:sz w:val="24"/>
          <w:highlight w:val="none"/>
          <w:lang w:val="zh-CN"/>
        </w:rPr>
      </w:pPr>
    </w:p>
    <w:sectPr>
      <w:pgSz w:w="11906" w:h="16838"/>
      <w:pgMar w:top="1440" w:right="1800" w:bottom="149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sto MT">
    <w:altName w:val="Segoe Print"/>
    <w:panose1 w:val="02040603050505030304"/>
    <w:charset w:val="00"/>
    <w:family w:val="roman"/>
    <w:pitch w:val="default"/>
    <w:sig w:usb0="00000000" w:usb1="00000000" w:usb2="00000000" w:usb3="00000000" w:csb0="20000001" w:csb1="0000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5"/>
      <w:pBdr>
        <w:bottom w:val="none" w:color="auto" w:sz="0" w:space="0"/>
      </w:pBd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46</w:t>
    </w:r>
    <w:r>
      <w:fldChar w:fldCharType="end"/>
    </w:r>
  </w:p>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77BA99"/>
    <w:multiLevelType w:val="singleLevel"/>
    <w:tmpl w:val="DD77BA99"/>
    <w:lvl w:ilvl="0" w:tentative="0">
      <w:start w:val="5"/>
      <w:numFmt w:val="chineseCounting"/>
      <w:suff w:val="space"/>
      <w:lvlText w:val="第%1章"/>
      <w:lvlJc w:val="left"/>
      <w:rPr>
        <w:rFonts w:hint="eastAsia"/>
      </w:rPr>
    </w:lvl>
  </w:abstractNum>
  <w:abstractNum w:abstractNumId="1">
    <w:nsid w:val="E55EFE72"/>
    <w:multiLevelType w:val="singleLevel"/>
    <w:tmpl w:val="E55EFE72"/>
    <w:lvl w:ilvl="0" w:tentative="0">
      <w:start w:val="1"/>
      <w:numFmt w:val="decimal"/>
      <w:lvlText w:val="%1."/>
      <w:lvlJc w:val="left"/>
      <w:pPr>
        <w:tabs>
          <w:tab w:val="left" w:pos="312"/>
        </w:tabs>
      </w:pPr>
    </w:lvl>
  </w:abstractNum>
  <w:abstractNum w:abstractNumId="2">
    <w:nsid w:val="04F6A646"/>
    <w:multiLevelType w:val="singleLevel"/>
    <w:tmpl w:val="04F6A646"/>
    <w:lvl w:ilvl="0" w:tentative="0">
      <w:start w:val="1"/>
      <w:numFmt w:val="decimal"/>
      <w:suff w:val="nothing"/>
      <w:lvlText w:val="（%1）"/>
      <w:lvlJc w:val="left"/>
    </w:lvl>
  </w:abstractNum>
  <w:abstractNum w:abstractNumId="3">
    <w:nsid w:val="0563A288"/>
    <w:multiLevelType w:val="singleLevel"/>
    <w:tmpl w:val="0563A288"/>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NWY3MTZjOWM3NDhmMjU5ZjJkMjEzYjA0YWMzYTAifQ=="/>
    <w:docVar w:name="KSO_WPS_MARK_KEY" w:val="668fc1fb-f854-4854-a0b4-e5e86b23bb9c"/>
  </w:docVars>
  <w:rsids>
    <w:rsidRoot w:val="00172A27"/>
    <w:rsid w:val="00000DE9"/>
    <w:rsid w:val="0000133A"/>
    <w:rsid w:val="00001518"/>
    <w:rsid w:val="00001B17"/>
    <w:rsid w:val="0000378D"/>
    <w:rsid w:val="000037D8"/>
    <w:rsid w:val="00003FA9"/>
    <w:rsid w:val="00005402"/>
    <w:rsid w:val="0000562D"/>
    <w:rsid w:val="0000587A"/>
    <w:rsid w:val="000075B0"/>
    <w:rsid w:val="0000771B"/>
    <w:rsid w:val="00010103"/>
    <w:rsid w:val="00012E70"/>
    <w:rsid w:val="0001314A"/>
    <w:rsid w:val="00013409"/>
    <w:rsid w:val="00015073"/>
    <w:rsid w:val="0001673E"/>
    <w:rsid w:val="0001686B"/>
    <w:rsid w:val="00030637"/>
    <w:rsid w:val="00030BFA"/>
    <w:rsid w:val="00033FD3"/>
    <w:rsid w:val="00036079"/>
    <w:rsid w:val="00037489"/>
    <w:rsid w:val="0003765B"/>
    <w:rsid w:val="00040E20"/>
    <w:rsid w:val="00043F7E"/>
    <w:rsid w:val="0004629F"/>
    <w:rsid w:val="00046EEF"/>
    <w:rsid w:val="0004768B"/>
    <w:rsid w:val="0005291F"/>
    <w:rsid w:val="00052D5F"/>
    <w:rsid w:val="000538FB"/>
    <w:rsid w:val="000540B8"/>
    <w:rsid w:val="000547A0"/>
    <w:rsid w:val="00055E54"/>
    <w:rsid w:val="000568C9"/>
    <w:rsid w:val="00060554"/>
    <w:rsid w:val="000609DC"/>
    <w:rsid w:val="00061B45"/>
    <w:rsid w:val="00061E2D"/>
    <w:rsid w:val="00062B5A"/>
    <w:rsid w:val="00063FD1"/>
    <w:rsid w:val="00066C21"/>
    <w:rsid w:val="00066E93"/>
    <w:rsid w:val="00071E5D"/>
    <w:rsid w:val="00072A5E"/>
    <w:rsid w:val="00073ACE"/>
    <w:rsid w:val="00074AB5"/>
    <w:rsid w:val="0007578B"/>
    <w:rsid w:val="00076D54"/>
    <w:rsid w:val="000773D6"/>
    <w:rsid w:val="00080452"/>
    <w:rsid w:val="00080D1C"/>
    <w:rsid w:val="000823A6"/>
    <w:rsid w:val="00082FEA"/>
    <w:rsid w:val="00083312"/>
    <w:rsid w:val="000842DE"/>
    <w:rsid w:val="00091AC8"/>
    <w:rsid w:val="000942B7"/>
    <w:rsid w:val="00094507"/>
    <w:rsid w:val="00094665"/>
    <w:rsid w:val="00094C2E"/>
    <w:rsid w:val="00096DB1"/>
    <w:rsid w:val="000974B7"/>
    <w:rsid w:val="00097D5C"/>
    <w:rsid w:val="00097E04"/>
    <w:rsid w:val="000A0AB8"/>
    <w:rsid w:val="000A10D2"/>
    <w:rsid w:val="000A401E"/>
    <w:rsid w:val="000A486B"/>
    <w:rsid w:val="000A5AC8"/>
    <w:rsid w:val="000A68CC"/>
    <w:rsid w:val="000A6DC9"/>
    <w:rsid w:val="000B1A90"/>
    <w:rsid w:val="000B22A1"/>
    <w:rsid w:val="000B2B70"/>
    <w:rsid w:val="000B36AD"/>
    <w:rsid w:val="000B5901"/>
    <w:rsid w:val="000B5A36"/>
    <w:rsid w:val="000B615E"/>
    <w:rsid w:val="000B7682"/>
    <w:rsid w:val="000C1C5E"/>
    <w:rsid w:val="000C4A60"/>
    <w:rsid w:val="000C50C0"/>
    <w:rsid w:val="000C548B"/>
    <w:rsid w:val="000C5CD6"/>
    <w:rsid w:val="000C77AE"/>
    <w:rsid w:val="000C7F1C"/>
    <w:rsid w:val="000D1854"/>
    <w:rsid w:val="000D19EB"/>
    <w:rsid w:val="000D4709"/>
    <w:rsid w:val="000D48AC"/>
    <w:rsid w:val="000D6EC1"/>
    <w:rsid w:val="000E0542"/>
    <w:rsid w:val="000E1AD3"/>
    <w:rsid w:val="000E3F41"/>
    <w:rsid w:val="000E5375"/>
    <w:rsid w:val="000E64BF"/>
    <w:rsid w:val="000E73F3"/>
    <w:rsid w:val="000F0E16"/>
    <w:rsid w:val="000F4FE9"/>
    <w:rsid w:val="000F519B"/>
    <w:rsid w:val="00100E67"/>
    <w:rsid w:val="00101757"/>
    <w:rsid w:val="001017D2"/>
    <w:rsid w:val="0010359E"/>
    <w:rsid w:val="00104A71"/>
    <w:rsid w:val="00105273"/>
    <w:rsid w:val="0011035C"/>
    <w:rsid w:val="00111D53"/>
    <w:rsid w:val="0011205D"/>
    <w:rsid w:val="001132D2"/>
    <w:rsid w:val="00114E7E"/>
    <w:rsid w:val="00115A77"/>
    <w:rsid w:val="00116540"/>
    <w:rsid w:val="001211A7"/>
    <w:rsid w:val="00122496"/>
    <w:rsid w:val="0012269E"/>
    <w:rsid w:val="001245D3"/>
    <w:rsid w:val="0012543F"/>
    <w:rsid w:val="00126DDC"/>
    <w:rsid w:val="0013253A"/>
    <w:rsid w:val="00133DFC"/>
    <w:rsid w:val="00134893"/>
    <w:rsid w:val="001358F9"/>
    <w:rsid w:val="00136226"/>
    <w:rsid w:val="0013775A"/>
    <w:rsid w:val="00140592"/>
    <w:rsid w:val="001415F6"/>
    <w:rsid w:val="001439D7"/>
    <w:rsid w:val="00144067"/>
    <w:rsid w:val="00144387"/>
    <w:rsid w:val="00144F63"/>
    <w:rsid w:val="00146694"/>
    <w:rsid w:val="0015105C"/>
    <w:rsid w:val="00152925"/>
    <w:rsid w:val="0015336D"/>
    <w:rsid w:val="0015521B"/>
    <w:rsid w:val="0016128D"/>
    <w:rsid w:val="00161F46"/>
    <w:rsid w:val="0016373A"/>
    <w:rsid w:val="00164D43"/>
    <w:rsid w:val="00165B7E"/>
    <w:rsid w:val="00165C2C"/>
    <w:rsid w:val="0016686C"/>
    <w:rsid w:val="00167BEE"/>
    <w:rsid w:val="00167C11"/>
    <w:rsid w:val="00167EEA"/>
    <w:rsid w:val="00170E33"/>
    <w:rsid w:val="001710EC"/>
    <w:rsid w:val="00171738"/>
    <w:rsid w:val="001724F4"/>
    <w:rsid w:val="00172A27"/>
    <w:rsid w:val="00172F6C"/>
    <w:rsid w:val="00174BA7"/>
    <w:rsid w:val="00175E59"/>
    <w:rsid w:val="00176254"/>
    <w:rsid w:val="00181D3A"/>
    <w:rsid w:val="0018357F"/>
    <w:rsid w:val="00183714"/>
    <w:rsid w:val="0018385E"/>
    <w:rsid w:val="001853CD"/>
    <w:rsid w:val="00187754"/>
    <w:rsid w:val="00187A83"/>
    <w:rsid w:val="0019565B"/>
    <w:rsid w:val="001973D4"/>
    <w:rsid w:val="001A1BF6"/>
    <w:rsid w:val="001A346A"/>
    <w:rsid w:val="001A4C48"/>
    <w:rsid w:val="001A5612"/>
    <w:rsid w:val="001A5634"/>
    <w:rsid w:val="001A7180"/>
    <w:rsid w:val="001A730F"/>
    <w:rsid w:val="001A7880"/>
    <w:rsid w:val="001B283F"/>
    <w:rsid w:val="001B39AC"/>
    <w:rsid w:val="001B4A13"/>
    <w:rsid w:val="001B5BF8"/>
    <w:rsid w:val="001B5DEE"/>
    <w:rsid w:val="001C0FE7"/>
    <w:rsid w:val="001C45BD"/>
    <w:rsid w:val="001C5C4F"/>
    <w:rsid w:val="001C614B"/>
    <w:rsid w:val="001C6A77"/>
    <w:rsid w:val="001C70DC"/>
    <w:rsid w:val="001C7EB3"/>
    <w:rsid w:val="001D13D5"/>
    <w:rsid w:val="001D2AC0"/>
    <w:rsid w:val="001D4370"/>
    <w:rsid w:val="001D4B15"/>
    <w:rsid w:val="001D4C1F"/>
    <w:rsid w:val="001E1009"/>
    <w:rsid w:val="001E16C8"/>
    <w:rsid w:val="001E2917"/>
    <w:rsid w:val="001E3DE6"/>
    <w:rsid w:val="001F0447"/>
    <w:rsid w:val="001F0B11"/>
    <w:rsid w:val="001F1441"/>
    <w:rsid w:val="001F2B43"/>
    <w:rsid w:val="001F4808"/>
    <w:rsid w:val="001F4EA1"/>
    <w:rsid w:val="001F6F0A"/>
    <w:rsid w:val="0020041E"/>
    <w:rsid w:val="00201ABD"/>
    <w:rsid w:val="002028F9"/>
    <w:rsid w:val="002046B5"/>
    <w:rsid w:val="00204791"/>
    <w:rsid w:val="00204E1A"/>
    <w:rsid w:val="002074D8"/>
    <w:rsid w:val="00207A2B"/>
    <w:rsid w:val="00207E72"/>
    <w:rsid w:val="0021237C"/>
    <w:rsid w:val="00213DB0"/>
    <w:rsid w:val="00216226"/>
    <w:rsid w:val="00216350"/>
    <w:rsid w:val="00216982"/>
    <w:rsid w:val="00220CAC"/>
    <w:rsid w:val="00220CBE"/>
    <w:rsid w:val="00221377"/>
    <w:rsid w:val="00222071"/>
    <w:rsid w:val="00222AE0"/>
    <w:rsid w:val="00223225"/>
    <w:rsid w:val="00224318"/>
    <w:rsid w:val="00225C66"/>
    <w:rsid w:val="00230F5A"/>
    <w:rsid w:val="00232D5A"/>
    <w:rsid w:val="002363F8"/>
    <w:rsid w:val="0023665A"/>
    <w:rsid w:val="002378C5"/>
    <w:rsid w:val="00246CFF"/>
    <w:rsid w:val="00251321"/>
    <w:rsid w:val="002528C7"/>
    <w:rsid w:val="00253068"/>
    <w:rsid w:val="002540AA"/>
    <w:rsid w:val="002563D4"/>
    <w:rsid w:val="0025788E"/>
    <w:rsid w:val="00257F7A"/>
    <w:rsid w:val="00261799"/>
    <w:rsid w:val="00261A88"/>
    <w:rsid w:val="00261CA9"/>
    <w:rsid w:val="00262EC5"/>
    <w:rsid w:val="00263F40"/>
    <w:rsid w:val="00264E6E"/>
    <w:rsid w:val="00264EDB"/>
    <w:rsid w:val="00266162"/>
    <w:rsid w:val="00266B6C"/>
    <w:rsid w:val="00266D48"/>
    <w:rsid w:val="00267458"/>
    <w:rsid w:val="00267E84"/>
    <w:rsid w:val="00270D15"/>
    <w:rsid w:val="0027131E"/>
    <w:rsid w:val="00274EC6"/>
    <w:rsid w:val="00275CAC"/>
    <w:rsid w:val="00276664"/>
    <w:rsid w:val="0027705D"/>
    <w:rsid w:val="00277E31"/>
    <w:rsid w:val="00277F2C"/>
    <w:rsid w:val="0028209D"/>
    <w:rsid w:val="00282C09"/>
    <w:rsid w:val="0028343D"/>
    <w:rsid w:val="0028446D"/>
    <w:rsid w:val="00284D63"/>
    <w:rsid w:val="002853D1"/>
    <w:rsid w:val="00285466"/>
    <w:rsid w:val="00286036"/>
    <w:rsid w:val="00287F11"/>
    <w:rsid w:val="002915CD"/>
    <w:rsid w:val="00291E5D"/>
    <w:rsid w:val="0029269C"/>
    <w:rsid w:val="00293C36"/>
    <w:rsid w:val="00294674"/>
    <w:rsid w:val="0029568C"/>
    <w:rsid w:val="00295708"/>
    <w:rsid w:val="00296461"/>
    <w:rsid w:val="002A0000"/>
    <w:rsid w:val="002A026C"/>
    <w:rsid w:val="002A0514"/>
    <w:rsid w:val="002A10D9"/>
    <w:rsid w:val="002A2DBA"/>
    <w:rsid w:val="002A30C4"/>
    <w:rsid w:val="002A33E4"/>
    <w:rsid w:val="002A35E1"/>
    <w:rsid w:val="002A4006"/>
    <w:rsid w:val="002A43A5"/>
    <w:rsid w:val="002A5913"/>
    <w:rsid w:val="002A62BD"/>
    <w:rsid w:val="002B0A35"/>
    <w:rsid w:val="002B0A83"/>
    <w:rsid w:val="002B11C6"/>
    <w:rsid w:val="002B2185"/>
    <w:rsid w:val="002B2CA4"/>
    <w:rsid w:val="002B3D06"/>
    <w:rsid w:val="002B4717"/>
    <w:rsid w:val="002C0033"/>
    <w:rsid w:val="002C104E"/>
    <w:rsid w:val="002C2072"/>
    <w:rsid w:val="002C2F79"/>
    <w:rsid w:val="002C428C"/>
    <w:rsid w:val="002C6063"/>
    <w:rsid w:val="002D05CA"/>
    <w:rsid w:val="002D117D"/>
    <w:rsid w:val="002D2274"/>
    <w:rsid w:val="002D2D65"/>
    <w:rsid w:val="002D35C5"/>
    <w:rsid w:val="002D3FE9"/>
    <w:rsid w:val="002D6426"/>
    <w:rsid w:val="002D68C0"/>
    <w:rsid w:val="002E202C"/>
    <w:rsid w:val="002E24F2"/>
    <w:rsid w:val="002E2CBB"/>
    <w:rsid w:val="002E414B"/>
    <w:rsid w:val="002E43C5"/>
    <w:rsid w:val="002E7F95"/>
    <w:rsid w:val="002F22D9"/>
    <w:rsid w:val="002F3C62"/>
    <w:rsid w:val="002F3EA3"/>
    <w:rsid w:val="002F4079"/>
    <w:rsid w:val="002F4B9B"/>
    <w:rsid w:val="002F5030"/>
    <w:rsid w:val="002F6332"/>
    <w:rsid w:val="002F7B55"/>
    <w:rsid w:val="0030093A"/>
    <w:rsid w:val="00300B06"/>
    <w:rsid w:val="00302AF5"/>
    <w:rsid w:val="00304035"/>
    <w:rsid w:val="003050FC"/>
    <w:rsid w:val="00305258"/>
    <w:rsid w:val="003074D3"/>
    <w:rsid w:val="003075E7"/>
    <w:rsid w:val="0031010C"/>
    <w:rsid w:val="00312AA7"/>
    <w:rsid w:val="00313580"/>
    <w:rsid w:val="00314D9D"/>
    <w:rsid w:val="0031563E"/>
    <w:rsid w:val="0031593B"/>
    <w:rsid w:val="0031695B"/>
    <w:rsid w:val="003217C5"/>
    <w:rsid w:val="00324276"/>
    <w:rsid w:val="00325081"/>
    <w:rsid w:val="00330509"/>
    <w:rsid w:val="0033058E"/>
    <w:rsid w:val="00332076"/>
    <w:rsid w:val="00333175"/>
    <w:rsid w:val="00334C0D"/>
    <w:rsid w:val="00335AB4"/>
    <w:rsid w:val="00335DBE"/>
    <w:rsid w:val="00336351"/>
    <w:rsid w:val="00337386"/>
    <w:rsid w:val="003376E5"/>
    <w:rsid w:val="0033797D"/>
    <w:rsid w:val="00341D0C"/>
    <w:rsid w:val="00341DF6"/>
    <w:rsid w:val="00343460"/>
    <w:rsid w:val="00344431"/>
    <w:rsid w:val="0034515A"/>
    <w:rsid w:val="00350009"/>
    <w:rsid w:val="00351A45"/>
    <w:rsid w:val="00351A93"/>
    <w:rsid w:val="00352BB1"/>
    <w:rsid w:val="00353155"/>
    <w:rsid w:val="00354E74"/>
    <w:rsid w:val="0035666E"/>
    <w:rsid w:val="003574A2"/>
    <w:rsid w:val="003574C1"/>
    <w:rsid w:val="003608E3"/>
    <w:rsid w:val="00360D9B"/>
    <w:rsid w:val="00361DB2"/>
    <w:rsid w:val="00364051"/>
    <w:rsid w:val="00364812"/>
    <w:rsid w:val="0036481E"/>
    <w:rsid w:val="003654D3"/>
    <w:rsid w:val="00367C89"/>
    <w:rsid w:val="00367E75"/>
    <w:rsid w:val="0037065F"/>
    <w:rsid w:val="00370AA2"/>
    <w:rsid w:val="00372A67"/>
    <w:rsid w:val="00372B70"/>
    <w:rsid w:val="00372D7C"/>
    <w:rsid w:val="00373E82"/>
    <w:rsid w:val="00374C0D"/>
    <w:rsid w:val="003750F8"/>
    <w:rsid w:val="00376230"/>
    <w:rsid w:val="003765A1"/>
    <w:rsid w:val="00377245"/>
    <w:rsid w:val="0037757B"/>
    <w:rsid w:val="00377641"/>
    <w:rsid w:val="00377788"/>
    <w:rsid w:val="003802FD"/>
    <w:rsid w:val="00380BDE"/>
    <w:rsid w:val="00382034"/>
    <w:rsid w:val="00383688"/>
    <w:rsid w:val="0038470F"/>
    <w:rsid w:val="00390955"/>
    <w:rsid w:val="00391B4A"/>
    <w:rsid w:val="0039202F"/>
    <w:rsid w:val="0039216B"/>
    <w:rsid w:val="00393FCC"/>
    <w:rsid w:val="003943EC"/>
    <w:rsid w:val="00395588"/>
    <w:rsid w:val="00395D6F"/>
    <w:rsid w:val="0039742E"/>
    <w:rsid w:val="00397EE0"/>
    <w:rsid w:val="003A01A8"/>
    <w:rsid w:val="003A1A2F"/>
    <w:rsid w:val="003A2152"/>
    <w:rsid w:val="003A2934"/>
    <w:rsid w:val="003A307E"/>
    <w:rsid w:val="003A50B6"/>
    <w:rsid w:val="003A5178"/>
    <w:rsid w:val="003B1493"/>
    <w:rsid w:val="003B2155"/>
    <w:rsid w:val="003B217C"/>
    <w:rsid w:val="003B2673"/>
    <w:rsid w:val="003B2ED9"/>
    <w:rsid w:val="003B46DF"/>
    <w:rsid w:val="003B54C5"/>
    <w:rsid w:val="003C4211"/>
    <w:rsid w:val="003C4410"/>
    <w:rsid w:val="003C6E0A"/>
    <w:rsid w:val="003D016E"/>
    <w:rsid w:val="003D0C46"/>
    <w:rsid w:val="003D228E"/>
    <w:rsid w:val="003D2DA1"/>
    <w:rsid w:val="003D3657"/>
    <w:rsid w:val="003D49B3"/>
    <w:rsid w:val="003D4DCB"/>
    <w:rsid w:val="003D7279"/>
    <w:rsid w:val="003D7908"/>
    <w:rsid w:val="003E0B8A"/>
    <w:rsid w:val="003E212B"/>
    <w:rsid w:val="003E2B97"/>
    <w:rsid w:val="003E4EC4"/>
    <w:rsid w:val="003E5720"/>
    <w:rsid w:val="003E755A"/>
    <w:rsid w:val="003F3181"/>
    <w:rsid w:val="003F3708"/>
    <w:rsid w:val="003F3BE3"/>
    <w:rsid w:val="003F68B1"/>
    <w:rsid w:val="003F6B1A"/>
    <w:rsid w:val="00402290"/>
    <w:rsid w:val="00402748"/>
    <w:rsid w:val="00402A04"/>
    <w:rsid w:val="00403310"/>
    <w:rsid w:val="00403D3F"/>
    <w:rsid w:val="00404FBA"/>
    <w:rsid w:val="00405EE9"/>
    <w:rsid w:val="004062B8"/>
    <w:rsid w:val="00407BB4"/>
    <w:rsid w:val="00410FD3"/>
    <w:rsid w:val="00411E2F"/>
    <w:rsid w:val="00413A76"/>
    <w:rsid w:val="00413ADB"/>
    <w:rsid w:val="00415CCB"/>
    <w:rsid w:val="00416E62"/>
    <w:rsid w:val="0042189F"/>
    <w:rsid w:val="004225F2"/>
    <w:rsid w:val="0042475D"/>
    <w:rsid w:val="00424801"/>
    <w:rsid w:val="00426552"/>
    <w:rsid w:val="0043077C"/>
    <w:rsid w:val="004311D6"/>
    <w:rsid w:val="00432EC2"/>
    <w:rsid w:val="004332AB"/>
    <w:rsid w:val="0043367A"/>
    <w:rsid w:val="004345AA"/>
    <w:rsid w:val="00435039"/>
    <w:rsid w:val="00435B57"/>
    <w:rsid w:val="00436222"/>
    <w:rsid w:val="00436E8A"/>
    <w:rsid w:val="0044282A"/>
    <w:rsid w:val="0044332C"/>
    <w:rsid w:val="00444B58"/>
    <w:rsid w:val="0044659E"/>
    <w:rsid w:val="00447E46"/>
    <w:rsid w:val="00450023"/>
    <w:rsid w:val="004511DC"/>
    <w:rsid w:val="004517CA"/>
    <w:rsid w:val="00451A19"/>
    <w:rsid w:val="00452710"/>
    <w:rsid w:val="004532CE"/>
    <w:rsid w:val="004554AE"/>
    <w:rsid w:val="00456AC9"/>
    <w:rsid w:val="00457B69"/>
    <w:rsid w:val="0046132E"/>
    <w:rsid w:val="00463196"/>
    <w:rsid w:val="00466B95"/>
    <w:rsid w:val="00467288"/>
    <w:rsid w:val="00467786"/>
    <w:rsid w:val="0047001F"/>
    <w:rsid w:val="004708AE"/>
    <w:rsid w:val="00470C4D"/>
    <w:rsid w:val="00471508"/>
    <w:rsid w:val="00472135"/>
    <w:rsid w:val="00473B63"/>
    <w:rsid w:val="00474B4B"/>
    <w:rsid w:val="00475F43"/>
    <w:rsid w:val="0047619C"/>
    <w:rsid w:val="004761F4"/>
    <w:rsid w:val="00476944"/>
    <w:rsid w:val="004769FE"/>
    <w:rsid w:val="00476E80"/>
    <w:rsid w:val="0047733F"/>
    <w:rsid w:val="004776F2"/>
    <w:rsid w:val="004810C7"/>
    <w:rsid w:val="0048165B"/>
    <w:rsid w:val="004822E7"/>
    <w:rsid w:val="00483B0E"/>
    <w:rsid w:val="00485A1F"/>
    <w:rsid w:val="004862E6"/>
    <w:rsid w:val="00486726"/>
    <w:rsid w:val="00486BCD"/>
    <w:rsid w:val="00487072"/>
    <w:rsid w:val="0048708A"/>
    <w:rsid w:val="00491555"/>
    <w:rsid w:val="00495415"/>
    <w:rsid w:val="004964B5"/>
    <w:rsid w:val="00497291"/>
    <w:rsid w:val="004A140F"/>
    <w:rsid w:val="004A196E"/>
    <w:rsid w:val="004A216C"/>
    <w:rsid w:val="004A2D08"/>
    <w:rsid w:val="004A3A93"/>
    <w:rsid w:val="004A4887"/>
    <w:rsid w:val="004A764F"/>
    <w:rsid w:val="004B0BAC"/>
    <w:rsid w:val="004B174D"/>
    <w:rsid w:val="004B1D11"/>
    <w:rsid w:val="004B1F08"/>
    <w:rsid w:val="004B28B8"/>
    <w:rsid w:val="004B2904"/>
    <w:rsid w:val="004B3953"/>
    <w:rsid w:val="004B44F0"/>
    <w:rsid w:val="004B45C8"/>
    <w:rsid w:val="004B537B"/>
    <w:rsid w:val="004B6A56"/>
    <w:rsid w:val="004C1025"/>
    <w:rsid w:val="004C164C"/>
    <w:rsid w:val="004C2804"/>
    <w:rsid w:val="004C3FBF"/>
    <w:rsid w:val="004C6064"/>
    <w:rsid w:val="004C7092"/>
    <w:rsid w:val="004D20D4"/>
    <w:rsid w:val="004D216D"/>
    <w:rsid w:val="004D35D1"/>
    <w:rsid w:val="004D4FE6"/>
    <w:rsid w:val="004D51E2"/>
    <w:rsid w:val="004D67A0"/>
    <w:rsid w:val="004D7F6F"/>
    <w:rsid w:val="004E1452"/>
    <w:rsid w:val="004E16E5"/>
    <w:rsid w:val="004E21E4"/>
    <w:rsid w:val="004E3270"/>
    <w:rsid w:val="004E4089"/>
    <w:rsid w:val="004E4327"/>
    <w:rsid w:val="004E5415"/>
    <w:rsid w:val="004E6D71"/>
    <w:rsid w:val="004F581C"/>
    <w:rsid w:val="004F7C8B"/>
    <w:rsid w:val="00501C0C"/>
    <w:rsid w:val="00502DBE"/>
    <w:rsid w:val="00504912"/>
    <w:rsid w:val="00505200"/>
    <w:rsid w:val="00505774"/>
    <w:rsid w:val="0050639C"/>
    <w:rsid w:val="00506AF2"/>
    <w:rsid w:val="00507D99"/>
    <w:rsid w:val="00510DB1"/>
    <w:rsid w:val="0051158E"/>
    <w:rsid w:val="00511B47"/>
    <w:rsid w:val="00512CC1"/>
    <w:rsid w:val="00515834"/>
    <w:rsid w:val="005160C0"/>
    <w:rsid w:val="00517889"/>
    <w:rsid w:val="00520C76"/>
    <w:rsid w:val="005215B7"/>
    <w:rsid w:val="005216C4"/>
    <w:rsid w:val="00524210"/>
    <w:rsid w:val="00524A00"/>
    <w:rsid w:val="005258D9"/>
    <w:rsid w:val="00527C61"/>
    <w:rsid w:val="00530D73"/>
    <w:rsid w:val="0053147C"/>
    <w:rsid w:val="005315D7"/>
    <w:rsid w:val="005317D3"/>
    <w:rsid w:val="00534307"/>
    <w:rsid w:val="00536185"/>
    <w:rsid w:val="0053694F"/>
    <w:rsid w:val="00537D7A"/>
    <w:rsid w:val="00537FC0"/>
    <w:rsid w:val="00540B3E"/>
    <w:rsid w:val="00540D29"/>
    <w:rsid w:val="00541C7A"/>
    <w:rsid w:val="005438E1"/>
    <w:rsid w:val="00544D54"/>
    <w:rsid w:val="00545BA3"/>
    <w:rsid w:val="005472B8"/>
    <w:rsid w:val="005515A6"/>
    <w:rsid w:val="00551D70"/>
    <w:rsid w:val="00555488"/>
    <w:rsid w:val="00555B42"/>
    <w:rsid w:val="00557780"/>
    <w:rsid w:val="005600E9"/>
    <w:rsid w:val="00560665"/>
    <w:rsid w:val="005611F9"/>
    <w:rsid w:val="0056221A"/>
    <w:rsid w:val="00563394"/>
    <w:rsid w:val="00563C21"/>
    <w:rsid w:val="005647D4"/>
    <w:rsid w:val="0056497C"/>
    <w:rsid w:val="005655E4"/>
    <w:rsid w:val="0056719F"/>
    <w:rsid w:val="00570C03"/>
    <w:rsid w:val="0057155B"/>
    <w:rsid w:val="0057182E"/>
    <w:rsid w:val="0057440E"/>
    <w:rsid w:val="005753CA"/>
    <w:rsid w:val="005758AD"/>
    <w:rsid w:val="00576E16"/>
    <w:rsid w:val="00581590"/>
    <w:rsid w:val="00581771"/>
    <w:rsid w:val="0058189D"/>
    <w:rsid w:val="00581ECF"/>
    <w:rsid w:val="00583902"/>
    <w:rsid w:val="00583D05"/>
    <w:rsid w:val="00584E3B"/>
    <w:rsid w:val="0058536C"/>
    <w:rsid w:val="00586647"/>
    <w:rsid w:val="005874E7"/>
    <w:rsid w:val="00587F25"/>
    <w:rsid w:val="005900D3"/>
    <w:rsid w:val="005914A6"/>
    <w:rsid w:val="00591F8E"/>
    <w:rsid w:val="00592C33"/>
    <w:rsid w:val="00592F9B"/>
    <w:rsid w:val="005946A1"/>
    <w:rsid w:val="0059573E"/>
    <w:rsid w:val="00595818"/>
    <w:rsid w:val="005962F1"/>
    <w:rsid w:val="00596853"/>
    <w:rsid w:val="005A30B8"/>
    <w:rsid w:val="005A34CE"/>
    <w:rsid w:val="005A35F5"/>
    <w:rsid w:val="005A518C"/>
    <w:rsid w:val="005A7594"/>
    <w:rsid w:val="005B001F"/>
    <w:rsid w:val="005B1653"/>
    <w:rsid w:val="005B2C12"/>
    <w:rsid w:val="005B4DFB"/>
    <w:rsid w:val="005B534B"/>
    <w:rsid w:val="005B784E"/>
    <w:rsid w:val="005B7B86"/>
    <w:rsid w:val="005B7F0A"/>
    <w:rsid w:val="005C0484"/>
    <w:rsid w:val="005C0782"/>
    <w:rsid w:val="005C0A93"/>
    <w:rsid w:val="005C2A4E"/>
    <w:rsid w:val="005C390D"/>
    <w:rsid w:val="005C4C61"/>
    <w:rsid w:val="005C5693"/>
    <w:rsid w:val="005C687E"/>
    <w:rsid w:val="005D065B"/>
    <w:rsid w:val="005D1696"/>
    <w:rsid w:val="005D3F74"/>
    <w:rsid w:val="005D5072"/>
    <w:rsid w:val="005E0519"/>
    <w:rsid w:val="005E09EC"/>
    <w:rsid w:val="005E1567"/>
    <w:rsid w:val="005E1B95"/>
    <w:rsid w:val="005E3A10"/>
    <w:rsid w:val="005E57C1"/>
    <w:rsid w:val="005E6061"/>
    <w:rsid w:val="005F0993"/>
    <w:rsid w:val="005F294A"/>
    <w:rsid w:val="005F2FEF"/>
    <w:rsid w:val="005F3199"/>
    <w:rsid w:val="005F32A1"/>
    <w:rsid w:val="005F3B68"/>
    <w:rsid w:val="005F3D90"/>
    <w:rsid w:val="005F3E78"/>
    <w:rsid w:val="005F3F07"/>
    <w:rsid w:val="005F5BF9"/>
    <w:rsid w:val="005F649A"/>
    <w:rsid w:val="005F7A1A"/>
    <w:rsid w:val="00601C00"/>
    <w:rsid w:val="00601D4B"/>
    <w:rsid w:val="0060298C"/>
    <w:rsid w:val="00602D22"/>
    <w:rsid w:val="006066FA"/>
    <w:rsid w:val="006070DF"/>
    <w:rsid w:val="006071D9"/>
    <w:rsid w:val="0060763B"/>
    <w:rsid w:val="00611513"/>
    <w:rsid w:val="00611766"/>
    <w:rsid w:val="00611994"/>
    <w:rsid w:val="00612264"/>
    <w:rsid w:val="00612EC4"/>
    <w:rsid w:val="0061399D"/>
    <w:rsid w:val="00613A07"/>
    <w:rsid w:val="00613C47"/>
    <w:rsid w:val="00614EE2"/>
    <w:rsid w:val="006158D6"/>
    <w:rsid w:val="0061725E"/>
    <w:rsid w:val="00617E0D"/>
    <w:rsid w:val="00621D07"/>
    <w:rsid w:val="00623651"/>
    <w:rsid w:val="00623756"/>
    <w:rsid w:val="006239C7"/>
    <w:rsid w:val="00626387"/>
    <w:rsid w:val="006310A6"/>
    <w:rsid w:val="00631401"/>
    <w:rsid w:val="00631820"/>
    <w:rsid w:val="0063182E"/>
    <w:rsid w:val="00631A49"/>
    <w:rsid w:val="00634785"/>
    <w:rsid w:val="006347B4"/>
    <w:rsid w:val="006352D5"/>
    <w:rsid w:val="00635B42"/>
    <w:rsid w:val="0063614B"/>
    <w:rsid w:val="00637EE9"/>
    <w:rsid w:val="00641825"/>
    <w:rsid w:val="00642860"/>
    <w:rsid w:val="006449DE"/>
    <w:rsid w:val="00646816"/>
    <w:rsid w:val="006475C6"/>
    <w:rsid w:val="00651B15"/>
    <w:rsid w:val="006520B8"/>
    <w:rsid w:val="006522BD"/>
    <w:rsid w:val="0065254A"/>
    <w:rsid w:val="00654461"/>
    <w:rsid w:val="0065707C"/>
    <w:rsid w:val="006577F9"/>
    <w:rsid w:val="00657B07"/>
    <w:rsid w:val="00660056"/>
    <w:rsid w:val="006610F5"/>
    <w:rsid w:val="00661104"/>
    <w:rsid w:val="006634C8"/>
    <w:rsid w:val="0066587F"/>
    <w:rsid w:val="00665F79"/>
    <w:rsid w:val="00666BE8"/>
    <w:rsid w:val="006671D1"/>
    <w:rsid w:val="00667B10"/>
    <w:rsid w:val="00667E02"/>
    <w:rsid w:val="00667FD8"/>
    <w:rsid w:val="00671213"/>
    <w:rsid w:val="0067233E"/>
    <w:rsid w:val="00672CBD"/>
    <w:rsid w:val="00673705"/>
    <w:rsid w:val="00673B0F"/>
    <w:rsid w:val="0067679C"/>
    <w:rsid w:val="00676EDB"/>
    <w:rsid w:val="00677FB1"/>
    <w:rsid w:val="00680D9C"/>
    <w:rsid w:val="006825C5"/>
    <w:rsid w:val="00683071"/>
    <w:rsid w:val="006834AC"/>
    <w:rsid w:val="006869CE"/>
    <w:rsid w:val="00686E9C"/>
    <w:rsid w:val="00690537"/>
    <w:rsid w:val="00690F84"/>
    <w:rsid w:val="006927B9"/>
    <w:rsid w:val="0069436A"/>
    <w:rsid w:val="006958DB"/>
    <w:rsid w:val="00695FD6"/>
    <w:rsid w:val="00696295"/>
    <w:rsid w:val="00697AA5"/>
    <w:rsid w:val="006A1B71"/>
    <w:rsid w:val="006A1C0F"/>
    <w:rsid w:val="006A1F8D"/>
    <w:rsid w:val="006A64E7"/>
    <w:rsid w:val="006A7BF3"/>
    <w:rsid w:val="006B000C"/>
    <w:rsid w:val="006B04B3"/>
    <w:rsid w:val="006B0587"/>
    <w:rsid w:val="006B0D1A"/>
    <w:rsid w:val="006B0F09"/>
    <w:rsid w:val="006B1734"/>
    <w:rsid w:val="006B1B79"/>
    <w:rsid w:val="006B21A6"/>
    <w:rsid w:val="006B2A7A"/>
    <w:rsid w:val="006B417F"/>
    <w:rsid w:val="006B5E64"/>
    <w:rsid w:val="006B6E5A"/>
    <w:rsid w:val="006B78AA"/>
    <w:rsid w:val="006B7FA1"/>
    <w:rsid w:val="006C0A05"/>
    <w:rsid w:val="006C1FB8"/>
    <w:rsid w:val="006C2D26"/>
    <w:rsid w:val="006C2F49"/>
    <w:rsid w:val="006C34DE"/>
    <w:rsid w:val="006C394D"/>
    <w:rsid w:val="006C5637"/>
    <w:rsid w:val="006C5C8F"/>
    <w:rsid w:val="006C7175"/>
    <w:rsid w:val="006C71E6"/>
    <w:rsid w:val="006C7B70"/>
    <w:rsid w:val="006D0CC2"/>
    <w:rsid w:val="006D2271"/>
    <w:rsid w:val="006D4E53"/>
    <w:rsid w:val="006D640B"/>
    <w:rsid w:val="006E0873"/>
    <w:rsid w:val="006E0902"/>
    <w:rsid w:val="006E23AE"/>
    <w:rsid w:val="006E2566"/>
    <w:rsid w:val="006E4801"/>
    <w:rsid w:val="006E7BB7"/>
    <w:rsid w:val="006E7F22"/>
    <w:rsid w:val="006F0A9D"/>
    <w:rsid w:val="006F1BD1"/>
    <w:rsid w:val="006F1D11"/>
    <w:rsid w:val="006F252D"/>
    <w:rsid w:val="006F481D"/>
    <w:rsid w:val="006F4C77"/>
    <w:rsid w:val="006F56AF"/>
    <w:rsid w:val="006F5B87"/>
    <w:rsid w:val="006F6D59"/>
    <w:rsid w:val="00700298"/>
    <w:rsid w:val="00701776"/>
    <w:rsid w:val="00702D82"/>
    <w:rsid w:val="00703C34"/>
    <w:rsid w:val="00704ADB"/>
    <w:rsid w:val="007064A7"/>
    <w:rsid w:val="00706584"/>
    <w:rsid w:val="00706F01"/>
    <w:rsid w:val="007102EC"/>
    <w:rsid w:val="007115F4"/>
    <w:rsid w:val="007131D2"/>
    <w:rsid w:val="007137BC"/>
    <w:rsid w:val="007145FB"/>
    <w:rsid w:val="00716A53"/>
    <w:rsid w:val="00716BBB"/>
    <w:rsid w:val="00720F6B"/>
    <w:rsid w:val="00721B8A"/>
    <w:rsid w:val="00721F31"/>
    <w:rsid w:val="007233B0"/>
    <w:rsid w:val="00724248"/>
    <w:rsid w:val="00730FDA"/>
    <w:rsid w:val="0073153F"/>
    <w:rsid w:val="00731603"/>
    <w:rsid w:val="007320D7"/>
    <w:rsid w:val="00736CB5"/>
    <w:rsid w:val="00736D0A"/>
    <w:rsid w:val="007373D6"/>
    <w:rsid w:val="007408E5"/>
    <w:rsid w:val="00741334"/>
    <w:rsid w:val="007422BB"/>
    <w:rsid w:val="00742475"/>
    <w:rsid w:val="00742AC9"/>
    <w:rsid w:val="00743608"/>
    <w:rsid w:val="00745D95"/>
    <w:rsid w:val="00746202"/>
    <w:rsid w:val="00746846"/>
    <w:rsid w:val="00751A10"/>
    <w:rsid w:val="00751F11"/>
    <w:rsid w:val="007529BB"/>
    <w:rsid w:val="007541ED"/>
    <w:rsid w:val="00754C2D"/>
    <w:rsid w:val="00756044"/>
    <w:rsid w:val="00756B36"/>
    <w:rsid w:val="00756EBD"/>
    <w:rsid w:val="00761A28"/>
    <w:rsid w:val="00761E6F"/>
    <w:rsid w:val="007635D8"/>
    <w:rsid w:val="00763B40"/>
    <w:rsid w:val="00764EFF"/>
    <w:rsid w:val="00765DED"/>
    <w:rsid w:val="00766B32"/>
    <w:rsid w:val="00766F31"/>
    <w:rsid w:val="00771758"/>
    <w:rsid w:val="00772351"/>
    <w:rsid w:val="00773585"/>
    <w:rsid w:val="007736AA"/>
    <w:rsid w:val="00773A85"/>
    <w:rsid w:val="007741CA"/>
    <w:rsid w:val="007750CC"/>
    <w:rsid w:val="00775B37"/>
    <w:rsid w:val="00775F7F"/>
    <w:rsid w:val="007762BD"/>
    <w:rsid w:val="00783F4E"/>
    <w:rsid w:val="00791343"/>
    <w:rsid w:val="00791DEB"/>
    <w:rsid w:val="0079629D"/>
    <w:rsid w:val="00797EAB"/>
    <w:rsid w:val="007A1CBD"/>
    <w:rsid w:val="007A1EC6"/>
    <w:rsid w:val="007A1FD5"/>
    <w:rsid w:val="007A2A89"/>
    <w:rsid w:val="007A31D6"/>
    <w:rsid w:val="007A3BCD"/>
    <w:rsid w:val="007A46A1"/>
    <w:rsid w:val="007A7023"/>
    <w:rsid w:val="007A79B5"/>
    <w:rsid w:val="007B0ADC"/>
    <w:rsid w:val="007B347B"/>
    <w:rsid w:val="007B3D88"/>
    <w:rsid w:val="007B557C"/>
    <w:rsid w:val="007C00C2"/>
    <w:rsid w:val="007C0685"/>
    <w:rsid w:val="007C07F5"/>
    <w:rsid w:val="007C0F83"/>
    <w:rsid w:val="007C1C1D"/>
    <w:rsid w:val="007C1D98"/>
    <w:rsid w:val="007C349F"/>
    <w:rsid w:val="007C42BB"/>
    <w:rsid w:val="007C5E1D"/>
    <w:rsid w:val="007C6115"/>
    <w:rsid w:val="007C67A2"/>
    <w:rsid w:val="007D09C8"/>
    <w:rsid w:val="007D1589"/>
    <w:rsid w:val="007D2ADF"/>
    <w:rsid w:val="007D3209"/>
    <w:rsid w:val="007D35BB"/>
    <w:rsid w:val="007D41FF"/>
    <w:rsid w:val="007D5ABE"/>
    <w:rsid w:val="007E0759"/>
    <w:rsid w:val="007E0819"/>
    <w:rsid w:val="007E0A4E"/>
    <w:rsid w:val="007E0F4C"/>
    <w:rsid w:val="007E38D4"/>
    <w:rsid w:val="007E7FF1"/>
    <w:rsid w:val="007F0B17"/>
    <w:rsid w:val="007F0BDB"/>
    <w:rsid w:val="007F1DD4"/>
    <w:rsid w:val="007F3CA4"/>
    <w:rsid w:val="007F3F75"/>
    <w:rsid w:val="007F54F1"/>
    <w:rsid w:val="007F63A3"/>
    <w:rsid w:val="007F6837"/>
    <w:rsid w:val="007F744C"/>
    <w:rsid w:val="008037AD"/>
    <w:rsid w:val="0080555F"/>
    <w:rsid w:val="00813085"/>
    <w:rsid w:val="00813760"/>
    <w:rsid w:val="00814224"/>
    <w:rsid w:val="008142EA"/>
    <w:rsid w:val="00814ABA"/>
    <w:rsid w:val="008169EF"/>
    <w:rsid w:val="0081736E"/>
    <w:rsid w:val="00820B12"/>
    <w:rsid w:val="00820B3C"/>
    <w:rsid w:val="00823B96"/>
    <w:rsid w:val="00826834"/>
    <w:rsid w:val="00826EB6"/>
    <w:rsid w:val="00827609"/>
    <w:rsid w:val="00827ED8"/>
    <w:rsid w:val="00830B52"/>
    <w:rsid w:val="008313F3"/>
    <w:rsid w:val="00831424"/>
    <w:rsid w:val="0083249F"/>
    <w:rsid w:val="00832629"/>
    <w:rsid w:val="00832F70"/>
    <w:rsid w:val="00835FAA"/>
    <w:rsid w:val="00836A3D"/>
    <w:rsid w:val="00837377"/>
    <w:rsid w:val="00841B45"/>
    <w:rsid w:val="00842C3C"/>
    <w:rsid w:val="008439D4"/>
    <w:rsid w:val="00843C57"/>
    <w:rsid w:val="00844CC6"/>
    <w:rsid w:val="00845B02"/>
    <w:rsid w:val="00845EF7"/>
    <w:rsid w:val="00847BB2"/>
    <w:rsid w:val="0085059A"/>
    <w:rsid w:val="00850F37"/>
    <w:rsid w:val="0085384E"/>
    <w:rsid w:val="0085483E"/>
    <w:rsid w:val="0085738E"/>
    <w:rsid w:val="0086000E"/>
    <w:rsid w:val="0086111E"/>
    <w:rsid w:val="008616BD"/>
    <w:rsid w:val="00861B7D"/>
    <w:rsid w:val="0086382E"/>
    <w:rsid w:val="00863898"/>
    <w:rsid w:val="00863F33"/>
    <w:rsid w:val="00864342"/>
    <w:rsid w:val="008655F3"/>
    <w:rsid w:val="00865908"/>
    <w:rsid w:val="00866623"/>
    <w:rsid w:val="00867B22"/>
    <w:rsid w:val="008718E6"/>
    <w:rsid w:val="00872E05"/>
    <w:rsid w:val="008748C0"/>
    <w:rsid w:val="00874E79"/>
    <w:rsid w:val="0087532F"/>
    <w:rsid w:val="008818F0"/>
    <w:rsid w:val="00883408"/>
    <w:rsid w:val="00883BBF"/>
    <w:rsid w:val="00884CFF"/>
    <w:rsid w:val="008862CC"/>
    <w:rsid w:val="008862E3"/>
    <w:rsid w:val="0089100C"/>
    <w:rsid w:val="008928E5"/>
    <w:rsid w:val="00893A89"/>
    <w:rsid w:val="00893CED"/>
    <w:rsid w:val="00894A47"/>
    <w:rsid w:val="008962C6"/>
    <w:rsid w:val="00897E28"/>
    <w:rsid w:val="008A1B52"/>
    <w:rsid w:val="008A208E"/>
    <w:rsid w:val="008A3B8B"/>
    <w:rsid w:val="008A4045"/>
    <w:rsid w:val="008A50EE"/>
    <w:rsid w:val="008A5442"/>
    <w:rsid w:val="008A641B"/>
    <w:rsid w:val="008B0143"/>
    <w:rsid w:val="008B254B"/>
    <w:rsid w:val="008B313D"/>
    <w:rsid w:val="008B3768"/>
    <w:rsid w:val="008B4C18"/>
    <w:rsid w:val="008B5E01"/>
    <w:rsid w:val="008B5F1A"/>
    <w:rsid w:val="008B61CF"/>
    <w:rsid w:val="008C0D26"/>
    <w:rsid w:val="008C3602"/>
    <w:rsid w:val="008C4F23"/>
    <w:rsid w:val="008C68B9"/>
    <w:rsid w:val="008C7CC6"/>
    <w:rsid w:val="008C7F75"/>
    <w:rsid w:val="008D0735"/>
    <w:rsid w:val="008D2C98"/>
    <w:rsid w:val="008D4110"/>
    <w:rsid w:val="008D6BF0"/>
    <w:rsid w:val="008D7617"/>
    <w:rsid w:val="008D79EA"/>
    <w:rsid w:val="008E39C4"/>
    <w:rsid w:val="008E50B0"/>
    <w:rsid w:val="008E5861"/>
    <w:rsid w:val="008E7814"/>
    <w:rsid w:val="008F15B1"/>
    <w:rsid w:val="008F18F1"/>
    <w:rsid w:val="008F37BD"/>
    <w:rsid w:val="008F3EDC"/>
    <w:rsid w:val="008F46C7"/>
    <w:rsid w:val="008F4895"/>
    <w:rsid w:val="008F4EDE"/>
    <w:rsid w:val="008F5C1F"/>
    <w:rsid w:val="008F5C40"/>
    <w:rsid w:val="008F6D64"/>
    <w:rsid w:val="00900C4B"/>
    <w:rsid w:val="00903AB6"/>
    <w:rsid w:val="009063F7"/>
    <w:rsid w:val="009118B6"/>
    <w:rsid w:val="0091378B"/>
    <w:rsid w:val="009174BA"/>
    <w:rsid w:val="0091756D"/>
    <w:rsid w:val="0092180F"/>
    <w:rsid w:val="00922FD6"/>
    <w:rsid w:val="009230E9"/>
    <w:rsid w:val="009238B5"/>
    <w:rsid w:val="00924A12"/>
    <w:rsid w:val="00925DBA"/>
    <w:rsid w:val="009267E4"/>
    <w:rsid w:val="00930137"/>
    <w:rsid w:val="009302E8"/>
    <w:rsid w:val="00930EA6"/>
    <w:rsid w:val="009318EF"/>
    <w:rsid w:val="00932970"/>
    <w:rsid w:val="009332BD"/>
    <w:rsid w:val="00934EA6"/>
    <w:rsid w:val="00934F48"/>
    <w:rsid w:val="00935977"/>
    <w:rsid w:val="00935D6B"/>
    <w:rsid w:val="009369BB"/>
    <w:rsid w:val="0093783D"/>
    <w:rsid w:val="00940493"/>
    <w:rsid w:val="00941067"/>
    <w:rsid w:val="009416A2"/>
    <w:rsid w:val="009438D2"/>
    <w:rsid w:val="00944ECD"/>
    <w:rsid w:val="00945087"/>
    <w:rsid w:val="00946513"/>
    <w:rsid w:val="009470B6"/>
    <w:rsid w:val="00950F66"/>
    <w:rsid w:val="00951E61"/>
    <w:rsid w:val="00955E2E"/>
    <w:rsid w:val="00957B69"/>
    <w:rsid w:val="00962A13"/>
    <w:rsid w:val="00963E5E"/>
    <w:rsid w:val="009644D4"/>
    <w:rsid w:val="00964B00"/>
    <w:rsid w:val="00966485"/>
    <w:rsid w:val="0097102D"/>
    <w:rsid w:val="009743FB"/>
    <w:rsid w:val="009750CA"/>
    <w:rsid w:val="00977DA9"/>
    <w:rsid w:val="00981AB0"/>
    <w:rsid w:val="0098256F"/>
    <w:rsid w:val="00982816"/>
    <w:rsid w:val="00982936"/>
    <w:rsid w:val="00984DC3"/>
    <w:rsid w:val="009859E2"/>
    <w:rsid w:val="00987CD9"/>
    <w:rsid w:val="009909FA"/>
    <w:rsid w:val="00992237"/>
    <w:rsid w:val="0099377F"/>
    <w:rsid w:val="00993C08"/>
    <w:rsid w:val="00995788"/>
    <w:rsid w:val="00995D75"/>
    <w:rsid w:val="00996298"/>
    <w:rsid w:val="00996FF5"/>
    <w:rsid w:val="00997177"/>
    <w:rsid w:val="009A01EE"/>
    <w:rsid w:val="009A1007"/>
    <w:rsid w:val="009A2D0A"/>
    <w:rsid w:val="009A2EB5"/>
    <w:rsid w:val="009A2F21"/>
    <w:rsid w:val="009A393E"/>
    <w:rsid w:val="009A59F5"/>
    <w:rsid w:val="009A681C"/>
    <w:rsid w:val="009B1089"/>
    <w:rsid w:val="009B13C0"/>
    <w:rsid w:val="009B2FC1"/>
    <w:rsid w:val="009B365C"/>
    <w:rsid w:val="009B6F9E"/>
    <w:rsid w:val="009C0983"/>
    <w:rsid w:val="009C17AF"/>
    <w:rsid w:val="009C28B5"/>
    <w:rsid w:val="009C3F53"/>
    <w:rsid w:val="009C4754"/>
    <w:rsid w:val="009C571B"/>
    <w:rsid w:val="009C630F"/>
    <w:rsid w:val="009D0FD1"/>
    <w:rsid w:val="009D2049"/>
    <w:rsid w:val="009D2AEB"/>
    <w:rsid w:val="009D3F00"/>
    <w:rsid w:val="009D6112"/>
    <w:rsid w:val="009D66C2"/>
    <w:rsid w:val="009E0756"/>
    <w:rsid w:val="009E0DDE"/>
    <w:rsid w:val="009E2601"/>
    <w:rsid w:val="009E2677"/>
    <w:rsid w:val="009E2F1F"/>
    <w:rsid w:val="009E3064"/>
    <w:rsid w:val="009E4070"/>
    <w:rsid w:val="009E52E8"/>
    <w:rsid w:val="009E5525"/>
    <w:rsid w:val="009E60EC"/>
    <w:rsid w:val="009F0DBB"/>
    <w:rsid w:val="009F0DFD"/>
    <w:rsid w:val="009F1397"/>
    <w:rsid w:val="009F20D5"/>
    <w:rsid w:val="009F3A3A"/>
    <w:rsid w:val="009F420A"/>
    <w:rsid w:val="009F4383"/>
    <w:rsid w:val="009F54BA"/>
    <w:rsid w:val="009F66BC"/>
    <w:rsid w:val="009F7596"/>
    <w:rsid w:val="009F77F6"/>
    <w:rsid w:val="00A014FC"/>
    <w:rsid w:val="00A01A8F"/>
    <w:rsid w:val="00A01EC3"/>
    <w:rsid w:val="00A01F84"/>
    <w:rsid w:val="00A04E4A"/>
    <w:rsid w:val="00A062FE"/>
    <w:rsid w:val="00A064BD"/>
    <w:rsid w:val="00A06B8F"/>
    <w:rsid w:val="00A07681"/>
    <w:rsid w:val="00A109FA"/>
    <w:rsid w:val="00A10B34"/>
    <w:rsid w:val="00A12275"/>
    <w:rsid w:val="00A13CEE"/>
    <w:rsid w:val="00A14102"/>
    <w:rsid w:val="00A15646"/>
    <w:rsid w:val="00A17372"/>
    <w:rsid w:val="00A1791E"/>
    <w:rsid w:val="00A21C2D"/>
    <w:rsid w:val="00A26D25"/>
    <w:rsid w:val="00A30B0E"/>
    <w:rsid w:val="00A30ED6"/>
    <w:rsid w:val="00A34A17"/>
    <w:rsid w:val="00A3657C"/>
    <w:rsid w:val="00A37DB0"/>
    <w:rsid w:val="00A40F75"/>
    <w:rsid w:val="00A41B54"/>
    <w:rsid w:val="00A4212F"/>
    <w:rsid w:val="00A42397"/>
    <w:rsid w:val="00A42686"/>
    <w:rsid w:val="00A4295C"/>
    <w:rsid w:val="00A43863"/>
    <w:rsid w:val="00A43A38"/>
    <w:rsid w:val="00A4409C"/>
    <w:rsid w:val="00A479D3"/>
    <w:rsid w:val="00A50035"/>
    <w:rsid w:val="00A50BE5"/>
    <w:rsid w:val="00A51C76"/>
    <w:rsid w:val="00A5320B"/>
    <w:rsid w:val="00A53E8F"/>
    <w:rsid w:val="00A54C91"/>
    <w:rsid w:val="00A54DFE"/>
    <w:rsid w:val="00A5520A"/>
    <w:rsid w:val="00A56818"/>
    <w:rsid w:val="00A61503"/>
    <w:rsid w:val="00A62DFC"/>
    <w:rsid w:val="00A654B3"/>
    <w:rsid w:val="00A65730"/>
    <w:rsid w:val="00A67766"/>
    <w:rsid w:val="00A70218"/>
    <w:rsid w:val="00A70441"/>
    <w:rsid w:val="00A71E86"/>
    <w:rsid w:val="00A7390E"/>
    <w:rsid w:val="00A74755"/>
    <w:rsid w:val="00A74F96"/>
    <w:rsid w:val="00A74FDD"/>
    <w:rsid w:val="00A76040"/>
    <w:rsid w:val="00A76F9E"/>
    <w:rsid w:val="00A77427"/>
    <w:rsid w:val="00A77705"/>
    <w:rsid w:val="00A806EE"/>
    <w:rsid w:val="00A80BCF"/>
    <w:rsid w:val="00A84EDA"/>
    <w:rsid w:val="00A853E3"/>
    <w:rsid w:val="00A86B0A"/>
    <w:rsid w:val="00A91507"/>
    <w:rsid w:val="00A91DE4"/>
    <w:rsid w:val="00A92C11"/>
    <w:rsid w:val="00A946D5"/>
    <w:rsid w:val="00A94960"/>
    <w:rsid w:val="00A9729B"/>
    <w:rsid w:val="00A97672"/>
    <w:rsid w:val="00A97760"/>
    <w:rsid w:val="00A97A87"/>
    <w:rsid w:val="00AA1351"/>
    <w:rsid w:val="00AA2565"/>
    <w:rsid w:val="00AA28B9"/>
    <w:rsid w:val="00AA304E"/>
    <w:rsid w:val="00AA3630"/>
    <w:rsid w:val="00AA47E3"/>
    <w:rsid w:val="00AA55BD"/>
    <w:rsid w:val="00AA6244"/>
    <w:rsid w:val="00AA69AF"/>
    <w:rsid w:val="00AB0B5F"/>
    <w:rsid w:val="00AB1ABE"/>
    <w:rsid w:val="00AB1ECF"/>
    <w:rsid w:val="00AB2327"/>
    <w:rsid w:val="00AB276F"/>
    <w:rsid w:val="00AB27EB"/>
    <w:rsid w:val="00AB3D99"/>
    <w:rsid w:val="00AB4482"/>
    <w:rsid w:val="00AB4C8C"/>
    <w:rsid w:val="00AB569E"/>
    <w:rsid w:val="00AB7DBF"/>
    <w:rsid w:val="00AC0C73"/>
    <w:rsid w:val="00AC0E1B"/>
    <w:rsid w:val="00AC1014"/>
    <w:rsid w:val="00AC1603"/>
    <w:rsid w:val="00AC209C"/>
    <w:rsid w:val="00AC670A"/>
    <w:rsid w:val="00AD2263"/>
    <w:rsid w:val="00AD2D40"/>
    <w:rsid w:val="00AD2EA3"/>
    <w:rsid w:val="00AD3215"/>
    <w:rsid w:val="00AD549C"/>
    <w:rsid w:val="00AD6FC4"/>
    <w:rsid w:val="00AD759F"/>
    <w:rsid w:val="00AD75E0"/>
    <w:rsid w:val="00AD7800"/>
    <w:rsid w:val="00AE05E2"/>
    <w:rsid w:val="00AE0DF6"/>
    <w:rsid w:val="00AE1461"/>
    <w:rsid w:val="00AE1BB2"/>
    <w:rsid w:val="00AE3E85"/>
    <w:rsid w:val="00AE5866"/>
    <w:rsid w:val="00AE59CA"/>
    <w:rsid w:val="00AE6138"/>
    <w:rsid w:val="00AE76A2"/>
    <w:rsid w:val="00AE7F2E"/>
    <w:rsid w:val="00AF046E"/>
    <w:rsid w:val="00AF10EB"/>
    <w:rsid w:val="00AF3D66"/>
    <w:rsid w:val="00AF4749"/>
    <w:rsid w:val="00AF76B9"/>
    <w:rsid w:val="00B004A2"/>
    <w:rsid w:val="00B00B6B"/>
    <w:rsid w:val="00B02355"/>
    <w:rsid w:val="00B033A3"/>
    <w:rsid w:val="00B03FC2"/>
    <w:rsid w:val="00B0418A"/>
    <w:rsid w:val="00B045F2"/>
    <w:rsid w:val="00B06839"/>
    <w:rsid w:val="00B06D21"/>
    <w:rsid w:val="00B06FF8"/>
    <w:rsid w:val="00B07FC9"/>
    <w:rsid w:val="00B107A8"/>
    <w:rsid w:val="00B10808"/>
    <w:rsid w:val="00B115E3"/>
    <w:rsid w:val="00B11B86"/>
    <w:rsid w:val="00B126C6"/>
    <w:rsid w:val="00B14486"/>
    <w:rsid w:val="00B14F6B"/>
    <w:rsid w:val="00B167E4"/>
    <w:rsid w:val="00B16985"/>
    <w:rsid w:val="00B17273"/>
    <w:rsid w:val="00B1760C"/>
    <w:rsid w:val="00B20889"/>
    <w:rsid w:val="00B2104C"/>
    <w:rsid w:val="00B21743"/>
    <w:rsid w:val="00B21AE8"/>
    <w:rsid w:val="00B23892"/>
    <w:rsid w:val="00B23D7F"/>
    <w:rsid w:val="00B273A2"/>
    <w:rsid w:val="00B305B7"/>
    <w:rsid w:val="00B35F69"/>
    <w:rsid w:val="00B36AFF"/>
    <w:rsid w:val="00B40857"/>
    <w:rsid w:val="00B42A82"/>
    <w:rsid w:val="00B43DA1"/>
    <w:rsid w:val="00B43DE9"/>
    <w:rsid w:val="00B43EA0"/>
    <w:rsid w:val="00B43F35"/>
    <w:rsid w:val="00B45076"/>
    <w:rsid w:val="00B455B3"/>
    <w:rsid w:val="00B45854"/>
    <w:rsid w:val="00B45B7C"/>
    <w:rsid w:val="00B503E7"/>
    <w:rsid w:val="00B5175E"/>
    <w:rsid w:val="00B51BDC"/>
    <w:rsid w:val="00B52428"/>
    <w:rsid w:val="00B53BB9"/>
    <w:rsid w:val="00B53FE9"/>
    <w:rsid w:val="00B54011"/>
    <w:rsid w:val="00B553B8"/>
    <w:rsid w:val="00B57488"/>
    <w:rsid w:val="00B631CA"/>
    <w:rsid w:val="00B64910"/>
    <w:rsid w:val="00B65221"/>
    <w:rsid w:val="00B65603"/>
    <w:rsid w:val="00B656A1"/>
    <w:rsid w:val="00B66203"/>
    <w:rsid w:val="00B66912"/>
    <w:rsid w:val="00B66A2D"/>
    <w:rsid w:val="00B722AF"/>
    <w:rsid w:val="00B7244A"/>
    <w:rsid w:val="00B75189"/>
    <w:rsid w:val="00B75BD3"/>
    <w:rsid w:val="00B7646C"/>
    <w:rsid w:val="00B76491"/>
    <w:rsid w:val="00B766B8"/>
    <w:rsid w:val="00B77267"/>
    <w:rsid w:val="00B77AE0"/>
    <w:rsid w:val="00B81346"/>
    <w:rsid w:val="00B81424"/>
    <w:rsid w:val="00B82BF5"/>
    <w:rsid w:val="00B83327"/>
    <w:rsid w:val="00B852B1"/>
    <w:rsid w:val="00B86838"/>
    <w:rsid w:val="00B91A30"/>
    <w:rsid w:val="00B91B72"/>
    <w:rsid w:val="00B93D95"/>
    <w:rsid w:val="00B962BC"/>
    <w:rsid w:val="00B970A7"/>
    <w:rsid w:val="00B974D4"/>
    <w:rsid w:val="00BA0FB1"/>
    <w:rsid w:val="00BA1EF7"/>
    <w:rsid w:val="00BA3623"/>
    <w:rsid w:val="00BA3941"/>
    <w:rsid w:val="00BA4457"/>
    <w:rsid w:val="00BA63F3"/>
    <w:rsid w:val="00BB00E3"/>
    <w:rsid w:val="00BB0102"/>
    <w:rsid w:val="00BB0EE5"/>
    <w:rsid w:val="00BB281B"/>
    <w:rsid w:val="00BB3483"/>
    <w:rsid w:val="00BB38ED"/>
    <w:rsid w:val="00BB3943"/>
    <w:rsid w:val="00BB3C79"/>
    <w:rsid w:val="00BB4E02"/>
    <w:rsid w:val="00BB6E9D"/>
    <w:rsid w:val="00BC03BA"/>
    <w:rsid w:val="00BC0E16"/>
    <w:rsid w:val="00BC0EAB"/>
    <w:rsid w:val="00BC16EF"/>
    <w:rsid w:val="00BC3760"/>
    <w:rsid w:val="00BC7540"/>
    <w:rsid w:val="00BD069B"/>
    <w:rsid w:val="00BD3AC4"/>
    <w:rsid w:val="00BD4C7C"/>
    <w:rsid w:val="00BD52E1"/>
    <w:rsid w:val="00BD5418"/>
    <w:rsid w:val="00BD7805"/>
    <w:rsid w:val="00BD7BCD"/>
    <w:rsid w:val="00BD7D3D"/>
    <w:rsid w:val="00BE00EF"/>
    <w:rsid w:val="00BE2D59"/>
    <w:rsid w:val="00BE2E5F"/>
    <w:rsid w:val="00BE546D"/>
    <w:rsid w:val="00BE5DC9"/>
    <w:rsid w:val="00BE6FBF"/>
    <w:rsid w:val="00BE7055"/>
    <w:rsid w:val="00BE764A"/>
    <w:rsid w:val="00BE7A9C"/>
    <w:rsid w:val="00BF0DA8"/>
    <w:rsid w:val="00BF1561"/>
    <w:rsid w:val="00BF19D7"/>
    <w:rsid w:val="00BF1C96"/>
    <w:rsid w:val="00BF2163"/>
    <w:rsid w:val="00BF29DB"/>
    <w:rsid w:val="00BF2B9C"/>
    <w:rsid w:val="00BF2F11"/>
    <w:rsid w:val="00BF4A48"/>
    <w:rsid w:val="00BF5061"/>
    <w:rsid w:val="00BF5DD5"/>
    <w:rsid w:val="00C01085"/>
    <w:rsid w:val="00C01768"/>
    <w:rsid w:val="00C0458C"/>
    <w:rsid w:val="00C04638"/>
    <w:rsid w:val="00C053CB"/>
    <w:rsid w:val="00C0786D"/>
    <w:rsid w:val="00C10A48"/>
    <w:rsid w:val="00C11B36"/>
    <w:rsid w:val="00C120DA"/>
    <w:rsid w:val="00C1287E"/>
    <w:rsid w:val="00C13CE3"/>
    <w:rsid w:val="00C14760"/>
    <w:rsid w:val="00C14874"/>
    <w:rsid w:val="00C15BBC"/>
    <w:rsid w:val="00C1634B"/>
    <w:rsid w:val="00C16AB1"/>
    <w:rsid w:val="00C20448"/>
    <w:rsid w:val="00C2196F"/>
    <w:rsid w:val="00C2359C"/>
    <w:rsid w:val="00C23948"/>
    <w:rsid w:val="00C26811"/>
    <w:rsid w:val="00C269C0"/>
    <w:rsid w:val="00C271FC"/>
    <w:rsid w:val="00C276A6"/>
    <w:rsid w:val="00C276C9"/>
    <w:rsid w:val="00C31031"/>
    <w:rsid w:val="00C32749"/>
    <w:rsid w:val="00C33169"/>
    <w:rsid w:val="00C33197"/>
    <w:rsid w:val="00C331CD"/>
    <w:rsid w:val="00C35E4D"/>
    <w:rsid w:val="00C368F3"/>
    <w:rsid w:val="00C37ADA"/>
    <w:rsid w:val="00C37FE7"/>
    <w:rsid w:val="00C40556"/>
    <w:rsid w:val="00C42B61"/>
    <w:rsid w:val="00C45D24"/>
    <w:rsid w:val="00C46733"/>
    <w:rsid w:val="00C4685E"/>
    <w:rsid w:val="00C53467"/>
    <w:rsid w:val="00C60C81"/>
    <w:rsid w:val="00C60E01"/>
    <w:rsid w:val="00C61329"/>
    <w:rsid w:val="00C61976"/>
    <w:rsid w:val="00C63FA0"/>
    <w:rsid w:val="00C646B0"/>
    <w:rsid w:val="00C64821"/>
    <w:rsid w:val="00C67A5D"/>
    <w:rsid w:val="00C70D42"/>
    <w:rsid w:val="00C71D13"/>
    <w:rsid w:val="00C73F2B"/>
    <w:rsid w:val="00C746A8"/>
    <w:rsid w:val="00C750A8"/>
    <w:rsid w:val="00C76C9A"/>
    <w:rsid w:val="00C77881"/>
    <w:rsid w:val="00C80B31"/>
    <w:rsid w:val="00C83261"/>
    <w:rsid w:val="00C84552"/>
    <w:rsid w:val="00C84EDA"/>
    <w:rsid w:val="00C851D0"/>
    <w:rsid w:val="00C862C0"/>
    <w:rsid w:val="00C87CCD"/>
    <w:rsid w:val="00C91022"/>
    <w:rsid w:val="00C91181"/>
    <w:rsid w:val="00C919DB"/>
    <w:rsid w:val="00C92C73"/>
    <w:rsid w:val="00C93488"/>
    <w:rsid w:val="00C955AF"/>
    <w:rsid w:val="00C9573D"/>
    <w:rsid w:val="00C972AC"/>
    <w:rsid w:val="00C97326"/>
    <w:rsid w:val="00C97499"/>
    <w:rsid w:val="00C97A93"/>
    <w:rsid w:val="00CA2156"/>
    <w:rsid w:val="00CA41B7"/>
    <w:rsid w:val="00CA603E"/>
    <w:rsid w:val="00CA6672"/>
    <w:rsid w:val="00CA707A"/>
    <w:rsid w:val="00CA7322"/>
    <w:rsid w:val="00CA7BE1"/>
    <w:rsid w:val="00CB198E"/>
    <w:rsid w:val="00CB26C4"/>
    <w:rsid w:val="00CB294D"/>
    <w:rsid w:val="00CC0404"/>
    <w:rsid w:val="00CC0C3B"/>
    <w:rsid w:val="00CC1996"/>
    <w:rsid w:val="00CC24FF"/>
    <w:rsid w:val="00CC26AB"/>
    <w:rsid w:val="00CC3F90"/>
    <w:rsid w:val="00CD05E3"/>
    <w:rsid w:val="00CD0D93"/>
    <w:rsid w:val="00CD1B1A"/>
    <w:rsid w:val="00CD44E8"/>
    <w:rsid w:val="00CD46E2"/>
    <w:rsid w:val="00CD53C1"/>
    <w:rsid w:val="00CD7A24"/>
    <w:rsid w:val="00CE043E"/>
    <w:rsid w:val="00CE0A50"/>
    <w:rsid w:val="00CE1125"/>
    <w:rsid w:val="00CE1EE3"/>
    <w:rsid w:val="00CE40CE"/>
    <w:rsid w:val="00CE42FA"/>
    <w:rsid w:val="00CE5B96"/>
    <w:rsid w:val="00CE5DE4"/>
    <w:rsid w:val="00CE6809"/>
    <w:rsid w:val="00CF02E2"/>
    <w:rsid w:val="00CF1C0B"/>
    <w:rsid w:val="00CF623C"/>
    <w:rsid w:val="00CF6E6C"/>
    <w:rsid w:val="00CF7142"/>
    <w:rsid w:val="00CF764C"/>
    <w:rsid w:val="00D005CF"/>
    <w:rsid w:val="00D00743"/>
    <w:rsid w:val="00D00EC4"/>
    <w:rsid w:val="00D020B8"/>
    <w:rsid w:val="00D0227E"/>
    <w:rsid w:val="00D029F8"/>
    <w:rsid w:val="00D03224"/>
    <w:rsid w:val="00D03740"/>
    <w:rsid w:val="00D0503A"/>
    <w:rsid w:val="00D05C7B"/>
    <w:rsid w:val="00D05F79"/>
    <w:rsid w:val="00D12993"/>
    <w:rsid w:val="00D13400"/>
    <w:rsid w:val="00D14790"/>
    <w:rsid w:val="00D15FC2"/>
    <w:rsid w:val="00D1757B"/>
    <w:rsid w:val="00D25EE9"/>
    <w:rsid w:val="00D2626E"/>
    <w:rsid w:val="00D26F03"/>
    <w:rsid w:val="00D2748D"/>
    <w:rsid w:val="00D27820"/>
    <w:rsid w:val="00D30A5C"/>
    <w:rsid w:val="00D31464"/>
    <w:rsid w:val="00D318F3"/>
    <w:rsid w:val="00D31FAB"/>
    <w:rsid w:val="00D3394C"/>
    <w:rsid w:val="00D34B2F"/>
    <w:rsid w:val="00D3743E"/>
    <w:rsid w:val="00D40664"/>
    <w:rsid w:val="00D41428"/>
    <w:rsid w:val="00D458D5"/>
    <w:rsid w:val="00D46CE5"/>
    <w:rsid w:val="00D47C03"/>
    <w:rsid w:val="00D50B28"/>
    <w:rsid w:val="00D51640"/>
    <w:rsid w:val="00D518FB"/>
    <w:rsid w:val="00D52DE3"/>
    <w:rsid w:val="00D530A3"/>
    <w:rsid w:val="00D53302"/>
    <w:rsid w:val="00D533D0"/>
    <w:rsid w:val="00D559F4"/>
    <w:rsid w:val="00D57DEE"/>
    <w:rsid w:val="00D628F5"/>
    <w:rsid w:val="00D637FB"/>
    <w:rsid w:val="00D63BDA"/>
    <w:rsid w:val="00D64660"/>
    <w:rsid w:val="00D6511B"/>
    <w:rsid w:val="00D668AF"/>
    <w:rsid w:val="00D66925"/>
    <w:rsid w:val="00D70919"/>
    <w:rsid w:val="00D737E1"/>
    <w:rsid w:val="00D73D75"/>
    <w:rsid w:val="00D74E0C"/>
    <w:rsid w:val="00D74E43"/>
    <w:rsid w:val="00D76206"/>
    <w:rsid w:val="00D76409"/>
    <w:rsid w:val="00D76889"/>
    <w:rsid w:val="00D8051B"/>
    <w:rsid w:val="00D80805"/>
    <w:rsid w:val="00D81E7D"/>
    <w:rsid w:val="00D82E90"/>
    <w:rsid w:val="00D86671"/>
    <w:rsid w:val="00D90B53"/>
    <w:rsid w:val="00D920B4"/>
    <w:rsid w:val="00D92795"/>
    <w:rsid w:val="00D94868"/>
    <w:rsid w:val="00D96B76"/>
    <w:rsid w:val="00D96BEC"/>
    <w:rsid w:val="00D96DC0"/>
    <w:rsid w:val="00D9718A"/>
    <w:rsid w:val="00D975F7"/>
    <w:rsid w:val="00DA2A78"/>
    <w:rsid w:val="00DA3435"/>
    <w:rsid w:val="00DA37F2"/>
    <w:rsid w:val="00DA3A12"/>
    <w:rsid w:val="00DA4CA8"/>
    <w:rsid w:val="00DA7846"/>
    <w:rsid w:val="00DA7C5B"/>
    <w:rsid w:val="00DB0BA1"/>
    <w:rsid w:val="00DB0F85"/>
    <w:rsid w:val="00DB1948"/>
    <w:rsid w:val="00DB1DF4"/>
    <w:rsid w:val="00DB223C"/>
    <w:rsid w:val="00DB239F"/>
    <w:rsid w:val="00DB3423"/>
    <w:rsid w:val="00DB34AE"/>
    <w:rsid w:val="00DB54CD"/>
    <w:rsid w:val="00DB587F"/>
    <w:rsid w:val="00DB664F"/>
    <w:rsid w:val="00DB725E"/>
    <w:rsid w:val="00DC1AED"/>
    <w:rsid w:val="00DC2FC4"/>
    <w:rsid w:val="00DC4E3A"/>
    <w:rsid w:val="00DC6242"/>
    <w:rsid w:val="00DC6641"/>
    <w:rsid w:val="00DC7206"/>
    <w:rsid w:val="00DD2912"/>
    <w:rsid w:val="00DD4AD9"/>
    <w:rsid w:val="00DE0BE1"/>
    <w:rsid w:val="00DE0FC3"/>
    <w:rsid w:val="00DE42D4"/>
    <w:rsid w:val="00DE4F70"/>
    <w:rsid w:val="00DE50E6"/>
    <w:rsid w:val="00DE7026"/>
    <w:rsid w:val="00DE7C0E"/>
    <w:rsid w:val="00DF0FEB"/>
    <w:rsid w:val="00DF21B6"/>
    <w:rsid w:val="00DF3583"/>
    <w:rsid w:val="00DF4C88"/>
    <w:rsid w:val="00DF50B4"/>
    <w:rsid w:val="00DF6207"/>
    <w:rsid w:val="00E008C8"/>
    <w:rsid w:val="00E01DE9"/>
    <w:rsid w:val="00E04250"/>
    <w:rsid w:val="00E043C7"/>
    <w:rsid w:val="00E04B49"/>
    <w:rsid w:val="00E0655B"/>
    <w:rsid w:val="00E06F4B"/>
    <w:rsid w:val="00E0728C"/>
    <w:rsid w:val="00E074C2"/>
    <w:rsid w:val="00E10DD9"/>
    <w:rsid w:val="00E10FDB"/>
    <w:rsid w:val="00E11139"/>
    <w:rsid w:val="00E121AC"/>
    <w:rsid w:val="00E13231"/>
    <w:rsid w:val="00E139AA"/>
    <w:rsid w:val="00E14F95"/>
    <w:rsid w:val="00E16C16"/>
    <w:rsid w:val="00E17930"/>
    <w:rsid w:val="00E214FC"/>
    <w:rsid w:val="00E21B38"/>
    <w:rsid w:val="00E21BE6"/>
    <w:rsid w:val="00E21F04"/>
    <w:rsid w:val="00E23AD8"/>
    <w:rsid w:val="00E27B6A"/>
    <w:rsid w:val="00E32A92"/>
    <w:rsid w:val="00E32EDE"/>
    <w:rsid w:val="00E33D88"/>
    <w:rsid w:val="00E34E36"/>
    <w:rsid w:val="00E35579"/>
    <w:rsid w:val="00E36189"/>
    <w:rsid w:val="00E37C19"/>
    <w:rsid w:val="00E37CED"/>
    <w:rsid w:val="00E37E2C"/>
    <w:rsid w:val="00E4009F"/>
    <w:rsid w:val="00E41414"/>
    <w:rsid w:val="00E4329C"/>
    <w:rsid w:val="00E436D8"/>
    <w:rsid w:val="00E4560D"/>
    <w:rsid w:val="00E460DA"/>
    <w:rsid w:val="00E46442"/>
    <w:rsid w:val="00E46F71"/>
    <w:rsid w:val="00E47371"/>
    <w:rsid w:val="00E47F06"/>
    <w:rsid w:val="00E5071E"/>
    <w:rsid w:val="00E51A41"/>
    <w:rsid w:val="00E53137"/>
    <w:rsid w:val="00E55544"/>
    <w:rsid w:val="00E57051"/>
    <w:rsid w:val="00E618E4"/>
    <w:rsid w:val="00E620D1"/>
    <w:rsid w:val="00E62D56"/>
    <w:rsid w:val="00E6486E"/>
    <w:rsid w:val="00E64BFC"/>
    <w:rsid w:val="00E64D22"/>
    <w:rsid w:val="00E64F43"/>
    <w:rsid w:val="00E65D76"/>
    <w:rsid w:val="00E7079E"/>
    <w:rsid w:val="00E70F21"/>
    <w:rsid w:val="00E71D3E"/>
    <w:rsid w:val="00E7207F"/>
    <w:rsid w:val="00E72798"/>
    <w:rsid w:val="00E74F53"/>
    <w:rsid w:val="00E75278"/>
    <w:rsid w:val="00E75DF8"/>
    <w:rsid w:val="00E774A0"/>
    <w:rsid w:val="00E80E88"/>
    <w:rsid w:val="00E84990"/>
    <w:rsid w:val="00E85061"/>
    <w:rsid w:val="00E85581"/>
    <w:rsid w:val="00E87500"/>
    <w:rsid w:val="00E92BF3"/>
    <w:rsid w:val="00E934A1"/>
    <w:rsid w:val="00E937EA"/>
    <w:rsid w:val="00E941B4"/>
    <w:rsid w:val="00EA0521"/>
    <w:rsid w:val="00EA14EC"/>
    <w:rsid w:val="00EA1A84"/>
    <w:rsid w:val="00EA246D"/>
    <w:rsid w:val="00EA41A7"/>
    <w:rsid w:val="00EA6683"/>
    <w:rsid w:val="00EB08B8"/>
    <w:rsid w:val="00EB11D7"/>
    <w:rsid w:val="00EB12C0"/>
    <w:rsid w:val="00EB16A1"/>
    <w:rsid w:val="00EB2401"/>
    <w:rsid w:val="00EB28A7"/>
    <w:rsid w:val="00EB2CAB"/>
    <w:rsid w:val="00EB2CB0"/>
    <w:rsid w:val="00EB473C"/>
    <w:rsid w:val="00EB47A9"/>
    <w:rsid w:val="00EB4B9D"/>
    <w:rsid w:val="00EB66F9"/>
    <w:rsid w:val="00EB6C1C"/>
    <w:rsid w:val="00EC046B"/>
    <w:rsid w:val="00EC283E"/>
    <w:rsid w:val="00EC2DD1"/>
    <w:rsid w:val="00EC35BD"/>
    <w:rsid w:val="00EC3EA0"/>
    <w:rsid w:val="00EC5D55"/>
    <w:rsid w:val="00ED0925"/>
    <w:rsid w:val="00ED1279"/>
    <w:rsid w:val="00ED1728"/>
    <w:rsid w:val="00ED1C2E"/>
    <w:rsid w:val="00ED265A"/>
    <w:rsid w:val="00ED2B4A"/>
    <w:rsid w:val="00ED438B"/>
    <w:rsid w:val="00ED448D"/>
    <w:rsid w:val="00ED4AFE"/>
    <w:rsid w:val="00ED4D58"/>
    <w:rsid w:val="00ED6502"/>
    <w:rsid w:val="00EE060F"/>
    <w:rsid w:val="00EE068C"/>
    <w:rsid w:val="00EE08C8"/>
    <w:rsid w:val="00EE1507"/>
    <w:rsid w:val="00EE1EEC"/>
    <w:rsid w:val="00EE2025"/>
    <w:rsid w:val="00EE2BAE"/>
    <w:rsid w:val="00EE2F28"/>
    <w:rsid w:val="00EE4FEE"/>
    <w:rsid w:val="00EE70DB"/>
    <w:rsid w:val="00EE782F"/>
    <w:rsid w:val="00EF00BD"/>
    <w:rsid w:val="00EF4A95"/>
    <w:rsid w:val="00EF4BED"/>
    <w:rsid w:val="00EF52B1"/>
    <w:rsid w:val="00EF551B"/>
    <w:rsid w:val="00EF5DD9"/>
    <w:rsid w:val="00F0158F"/>
    <w:rsid w:val="00F01AB4"/>
    <w:rsid w:val="00F06C67"/>
    <w:rsid w:val="00F07A7A"/>
    <w:rsid w:val="00F10111"/>
    <w:rsid w:val="00F101A3"/>
    <w:rsid w:val="00F10BB0"/>
    <w:rsid w:val="00F11A57"/>
    <w:rsid w:val="00F136E0"/>
    <w:rsid w:val="00F154CF"/>
    <w:rsid w:val="00F16359"/>
    <w:rsid w:val="00F22920"/>
    <w:rsid w:val="00F22CAD"/>
    <w:rsid w:val="00F23216"/>
    <w:rsid w:val="00F233C1"/>
    <w:rsid w:val="00F254AD"/>
    <w:rsid w:val="00F26246"/>
    <w:rsid w:val="00F3192F"/>
    <w:rsid w:val="00F32BE6"/>
    <w:rsid w:val="00F34D8A"/>
    <w:rsid w:val="00F35A30"/>
    <w:rsid w:val="00F369F7"/>
    <w:rsid w:val="00F37534"/>
    <w:rsid w:val="00F37659"/>
    <w:rsid w:val="00F40C61"/>
    <w:rsid w:val="00F42882"/>
    <w:rsid w:val="00F43710"/>
    <w:rsid w:val="00F442EF"/>
    <w:rsid w:val="00F449F9"/>
    <w:rsid w:val="00F44B91"/>
    <w:rsid w:val="00F4602A"/>
    <w:rsid w:val="00F47698"/>
    <w:rsid w:val="00F47FC7"/>
    <w:rsid w:val="00F519E4"/>
    <w:rsid w:val="00F53257"/>
    <w:rsid w:val="00F533D5"/>
    <w:rsid w:val="00F534F5"/>
    <w:rsid w:val="00F5515A"/>
    <w:rsid w:val="00F5625A"/>
    <w:rsid w:val="00F60A91"/>
    <w:rsid w:val="00F63889"/>
    <w:rsid w:val="00F63E4C"/>
    <w:rsid w:val="00F65DC3"/>
    <w:rsid w:val="00F71390"/>
    <w:rsid w:val="00F74CBC"/>
    <w:rsid w:val="00F76F95"/>
    <w:rsid w:val="00F80BB8"/>
    <w:rsid w:val="00F82BC2"/>
    <w:rsid w:val="00F84186"/>
    <w:rsid w:val="00F905FA"/>
    <w:rsid w:val="00F9288D"/>
    <w:rsid w:val="00F92C6A"/>
    <w:rsid w:val="00F93224"/>
    <w:rsid w:val="00F93895"/>
    <w:rsid w:val="00F9434D"/>
    <w:rsid w:val="00F9469E"/>
    <w:rsid w:val="00F94FE7"/>
    <w:rsid w:val="00F96A0F"/>
    <w:rsid w:val="00FA21A0"/>
    <w:rsid w:val="00FA2758"/>
    <w:rsid w:val="00FA4491"/>
    <w:rsid w:val="00FA49B8"/>
    <w:rsid w:val="00FA4A49"/>
    <w:rsid w:val="00FA6D70"/>
    <w:rsid w:val="00FB007A"/>
    <w:rsid w:val="00FB16B5"/>
    <w:rsid w:val="00FB20BE"/>
    <w:rsid w:val="00FB272A"/>
    <w:rsid w:val="00FB28E9"/>
    <w:rsid w:val="00FB34FE"/>
    <w:rsid w:val="00FB4D2B"/>
    <w:rsid w:val="00FB5B7F"/>
    <w:rsid w:val="00FB6A8E"/>
    <w:rsid w:val="00FB6CD5"/>
    <w:rsid w:val="00FB6F34"/>
    <w:rsid w:val="00FB752E"/>
    <w:rsid w:val="00FC2291"/>
    <w:rsid w:val="00FC22E4"/>
    <w:rsid w:val="00FC3E0F"/>
    <w:rsid w:val="00FC3FF6"/>
    <w:rsid w:val="00FC5C18"/>
    <w:rsid w:val="00FC60DB"/>
    <w:rsid w:val="00FC6DDE"/>
    <w:rsid w:val="00FD2B05"/>
    <w:rsid w:val="00FD3369"/>
    <w:rsid w:val="00FD394A"/>
    <w:rsid w:val="00FD3EEF"/>
    <w:rsid w:val="00FD4A40"/>
    <w:rsid w:val="00FD4EF4"/>
    <w:rsid w:val="00FD5B7A"/>
    <w:rsid w:val="00FD60DD"/>
    <w:rsid w:val="00FE0116"/>
    <w:rsid w:val="00FE33B1"/>
    <w:rsid w:val="00FE368E"/>
    <w:rsid w:val="00FE374E"/>
    <w:rsid w:val="00FE40BE"/>
    <w:rsid w:val="00FE78F0"/>
    <w:rsid w:val="00FF30D4"/>
    <w:rsid w:val="00FF3A58"/>
    <w:rsid w:val="00FF522E"/>
    <w:rsid w:val="00FF5494"/>
    <w:rsid w:val="00FF56FD"/>
    <w:rsid w:val="00FF7685"/>
    <w:rsid w:val="010235DC"/>
    <w:rsid w:val="010F524E"/>
    <w:rsid w:val="01191DA0"/>
    <w:rsid w:val="01347A59"/>
    <w:rsid w:val="014C40D5"/>
    <w:rsid w:val="01563731"/>
    <w:rsid w:val="01B36406"/>
    <w:rsid w:val="01D94483"/>
    <w:rsid w:val="01DF321D"/>
    <w:rsid w:val="0236181D"/>
    <w:rsid w:val="026D2BE6"/>
    <w:rsid w:val="02B853D7"/>
    <w:rsid w:val="02CF3706"/>
    <w:rsid w:val="02DB4866"/>
    <w:rsid w:val="02DB63F2"/>
    <w:rsid w:val="03420734"/>
    <w:rsid w:val="0349110B"/>
    <w:rsid w:val="03510B84"/>
    <w:rsid w:val="035B57D9"/>
    <w:rsid w:val="035E2B83"/>
    <w:rsid w:val="037F618B"/>
    <w:rsid w:val="039321C0"/>
    <w:rsid w:val="03AC0546"/>
    <w:rsid w:val="03DF34E4"/>
    <w:rsid w:val="03E04A35"/>
    <w:rsid w:val="04605DFC"/>
    <w:rsid w:val="04A21B7B"/>
    <w:rsid w:val="04BB6800"/>
    <w:rsid w:val="04BE27D9"/>
    <w:rsid w:val="04C01375"/>
    <w:rsid w:val="04F0521A"/>
    <w:rsid w:val="05007B92"/>
    <w:rsid w:val="05157C5A"/>
    <w:rsid w:val="053439F6"/>
    <w:rsid w:val="054254D8"/>
    <w:rsid w:val="0559085E"/>
    <w:rsid w:val="0584434F"/>
    <w:rsid w:val="05846555"/>
    <w:rsid w:val="05856526"/>
    <w:rsid w:val="0599227E"/>
    <w:rsid w:val="05C56307"/>
    <w:rsid w:val="05DD1395"/>
    <w:rsid w:val="05DF2003"/>
    <w:rsid w:val="05F940E1"/>
    <w:rsid w:val="060D7C00"/>
    <w:rsid w:val="061647E4"/>
    <w:rsid w:val="061977C2"/>
    <w:rsid w:val="061B6D6D"/>
    <w:rsid w:val="06621996"/>
    <w:rsid w:val="066F124F"/>
    <w:rsid w:val="069E1F4A"/>
    <w:rsid w:val="069E5DF6"/>
    <w:rsid w:val="06D80E87"/>
    <w:rsid w:val="06DA4390"/>
    <w:rsid w:val="06E447B4"/>
    <w:rsid w:val="06F93AC4"/>
    <w:rsid w:val="06F950DC"/>
    <w:rsid w:val="07072C9F"/>
    <w:rsid w:val="071D6FB9"/>
    <w:rsid w:val="07313D00"/>
    <w:rsid w:val="07391B32"/>
    <w:rsid w:val="0756332C"/>
    <w:rsid w:val="07623F84"/>
    <w:rsid w:val="077D62A5"/>
    <w:rsid w:val="07A335D5"/>
    <w:rsid w:val="07B9070D"/>
    <w:rsid w:val="07C26CA5"/>
    <w:rsid w:val="07C34422"/>
    <w:rsid w:val="07E16E8A"/>
    <w:rsid w:val="07FF3B44"/>
    <w:rsid w:val="0817363E"/>
    <w:rsid w:val="081B0F7A"/>
    <w:rsid w:val="08330F95"/>
    <w:rsid w:val="08AA40C0"/>
    <w:rsid w:val="08B65B25"/>
    <w:rsid w:val="08D974A1"/>
    <w:rsid w:val="08EC4C92"/>
    <w:rsid w:val="08FA6520"/>
    <w:rsid w:val="09042EE3"/>
    <w:rsid w:val="090869D9"/>
    <w:rsid w:val="091E614B"/>
    <w:rsid w:val="092478EE"/>
    <w:rsid w:val="09355DDA"/>
    <w:rsid w:val="093F2ABC"/>
    <w:rsid w:val="09575226"/>
    <w:rsid w:val="09797D40"/>
    <w:rsid w:val="097B27EE"/>
    <w:rsid w:val="0980565B"/>
    <w:rsid w:val="09821A02"/>
    <w:rsid w:val="09A626D4"/>
    <w:rsid w:val="09CE3B3A"/>
    <w:rsid w:val="09F60F76"/>
    <w:rsid w:val="09FD0E9F"/>
    <w:rsid w:val="0A1D2664"/>
    <w:rsid w:val="0A2A4608"/>
    <w:rsid w:val="0A3248E0"/>
    <w:rsid w:val="0A370FD3"/>
    <w:rsid w:val="0A3A24BE"/>
    <w:rsid w:val="0A6D2B20"/>
    <w:rsid w:val="0A7D7D7B"/>
    <w:rsid w:val="0A9652E1"/>
    <w:rsid w:val="0ACC2FFA"/>
    <w:rsid w:val="0AE5271F"/>
    <w:rsid w:val="0AF049F1"/>
    <w:rsid w:val="0B666A61"/>
    <w:rsid w:val="0BB10087"/>
    <w:rsid w:val="0BB35F69"/>
    <w:rsid w:val="0BC11374"/>
    <w:rsid w:val="0C0149DC"/>
    <w:rsid w:val="0C1E42F6"/>
    <w:rsid w:val="0C3254DC"/>
    <w:rsid w:val="0C3C33AA"/>
    <w:rsid w:val="0C464FDA"/>
    <w:rsid w:val="0C796AB8"/>
    <w:rsid w:val="0C7D65BC"/>
    <w:rsid w:val="0C8E3B85"/>
    <w:rsid w:val="0CAD38AC"/>
    <w:rsid w:val="0CD52391"/>
    <w:rsid w:val="0CD90881"/>
    <w:rsid w:val="0CDF5CEC"/>
    <w:rsid w:val="0CED7D8C"/>
    <w:rsid w:val="0D4B3D8E"/>
    <w:rsid w:val="0D601752"/>
    <w:rsid w:val="0D681A2E"/>
    <w:rsid w:val="0D6A4AD7"/>
    <w:rsid w:val="0D6D1F35"/>
    <w:rsid w:val="0D6E60A1"/>
    <w:rsid w:val="0D821873"/>
    <w:rsid w:val="0DA76A25"/>
    <w:rsid w:val="0DBA12E6"/>
    <w:rsid w:val="0DD53DD4"/>
    <w:rsid w:val="0DFA0F36"/>
    <w:rsid w:val="0DFA7450"/>
    <w:rsid w:val="0E8C7F2B"/>
    <w:rsid w:val="0EF32D02"/>
    <w:rsid w:val="0EFC084F"/>
    <w:rsid w:val="0F0E1587"/>
    <w:rsid w:val="0F2E0B64"/>
    <w:rsid w:val="0F3479B4"/>
    <w:rsid w:val="0F3D066F"/>
    <w:rsid w:val="0F427AF6"/>
    <w:rsid w:val="0F463BEB"/>
    <w:rsid w:val="0F972408"/>
    <w:rsid w:val="0F9D6B5D"/>
    <w:rsid w:val="0FD70DC4"/>
    <w:rsid w:val="0FDE250A"/>
    <w:rsid w:val="0FF41910"/>
    <w:rsid w:val="1009014F"/>
    <w:rsid w:val="102644BB"/>
    <w:rsid w:val="10623972"/>
    <w:rsid w:val="10691CC1"/>
    <w:rsid w:val="107550BA"/>
    <w:rsid w:val="10855785"/>
    <w:rsid w:val="10C64675"/>
    <w:rsid w:val="11146F5F"/>
    <w:rsid w:val="1117598E"/>
    <w:rsid w:val="11214B6D"/>
    <w:rsid w:val="11444A1F"/>
    <w:rsid w:val="116D584E"/>
    <w:rsid w:val="117B76DD"/>
    <w:rsid w:val="119F6919"/>
    <w:rsid w:val="11D00633"/>
    <w:rsid w:val="120C624E"/>
    <w:rsid w:val="1278368A"/>
    <w:rsid w:val="12E1125E"/>
    <w:rsid w:val="12EE4035"/>
    <w:rsid w:val="12F4756B"/>
    <w:rsid w:val="13221011"/>
    <w:rsid w:val="133B3B5D"/>
    <w:rsid w:val="133F5C40"/>
    <w:rsid w:val="13485E89"/>
    <w:rsid w:val="134C645B"/>
    <w:rsid w:val="135F2480"/>
    <w:rsid w:val="136E40B0"/>
    <w:rsid w:val="13A17FDA"/>
    <w:rsid w:val="13A602D9"/>
    <w:rsid w:val="13AC2411"/>
    <w:rsid w:val="13B91FDD"/>
    <w:rsid w:val="13EF7E14"/>
    <w:rsid w:val="140B043C"/>
    <w:rsid w:val="141319BD"/>
    <w:rsid w:val="14340E2C"/>
    <w:rsid w:val="149E1E14"/>
    <w:rsid w:val="151072FF"/>
    <w:rsid w:val="15C76D29"/>
    <w:rsid w:val="15F95707"/>
    <w:rsid w:val="15FF3D3A"/>
    <w:rsid w:val="160A6361"/>
    <w:rsid w:val="1648040C"/>
    <w:rsid w:val="165A0830"/>
    <w:rsid w:val="166D1FAF"/>
    <w:rsid w:val="167F239D"/>
    <w:rsid w:val="16A0541A"/>
    <w:rsid w:val="16A61AD7"/>
    <w:rsid w:val="16BE6039"/>
    <w:rsid w:val="16C44DDA"/>
    <w:rsid w:val="16F776DC"/>
    <w:rsid w:val="16FB4558"/>
    <w:rsid w:val="17020B40"/>
    <w:rsid w:val="17134CD7"/>
    <w:rsid w:val="17153C0C"/>
    <w:rsid w:val="173F7C7B"/>
    <w:rsid w:val="17A24BE3"/>
    <w:rsid w:val="17C952B2"/>
    <w:rsid w:val="1812217E"/>
    <w:rsid w:val="18244E26"/>
    <w:rsid w:val="185976FB"/>
    <w:rsid w:val="18701E4B"/>
    <w:rsid w:val="18A1072B"/>
    <w:rsid w:val="18C04373"/>
    <w:rsid w:val="18C232B7"/>
    <w:rsid w:val="18C3178B"/>
    <w:rsid w:val="18C7288C"/>
    <w:rsid w:val="18CC1EE5"/>
    <w:rsid w:val="190301FC"/>
    <w:rsid w:val="190A2AF7"/>
    <w:rsid w:val="191A5CA0"/>
    <w:rsid w:val="1978736E"/>
    <w:rsid w:val="19923353"/>
    <w:rsid w:val="19A877EB"/>
    <w:rsid w:val="19B61C01"/>
    <w:rsid w:val="19BA5D94"/>
    <w:rsid w:val="19BA72CB"/>
    <w:rsid w:val="19C21A30"/>
    <w:rsid w:val="19CD48F6"/>
    <w:rsid w:val="19CF7E4E"/>
    <w:rsid w:val="19D54468"/>
    <w:rsid w:val="1A0923C3"/>
    <w:rsid w:val="1A1E6C3E"/>
    <w:rsid w:val="1A3F393B"/>
    <w:rsid w:val="1A6C201C"/>
    <w:rsid w:val="1A964C9D"/>
    <w:rsid w:val="1A9F52AC"/>
    <w:rsid w:val="1AC217DD"/>
    <w:rsid w:val="1AC6751C"/>
    <w:rsid w:val="1AE216CD"/>
    <w:rsid w:val="1AFC4CEC"/>
    <w:rsid w:val="1B2D470E"/>
    <w:rsid w:val="1B3A2A27"/>
    <w:rsid w:val="1B3E083D"/>
    <w:rsid w:val="1B3F1CD3"/>
    <w:rsid w:val="1B577360"/>
    <w:rsid w:val="1B5A698E"/>
    <w:rsid w:val="1B627C0A"/>
    <w:rsid w:val="1B7603DB"/>
    <w:rsid w:val="1BF80B27"/>
    <w:rsid w:val="1C0F0C9F"/>
    <w:rsid w:val="1C1D5C5A"/>
    <w:rsid w:val="1C1E1E9D"/>
    <w:rsid w:val="1C3F7151"/>
    <w:rsid w:val="1C8B2DC8"/>
    <w:rsid w:val="1CAB4773"/>
    <w:rsid w:val="1CB20320"/>
    <w:rsid w:val="1CBD009F"/>
    <w:rsid w:val="1CD8377F"/>
    <w:rsid w:val="1CD96EAA"/>
    <w:rsid w:val="1D433820"/>
    <w:rsid w:val="1D5A77BF"/>
    <w:rsid w:val="1D5C08E3"/>
    <w:rsid w:val="1D667FFB"/>
    <w:rsid w:val="1D721F60"/>
    <w:rsid w:val="1D7652EC"/>
    <w:rsid w:val="1DA26639"/>
    <w:rsid w:val="1DB218CD"/>
    <w:rsid w:val="1DBB7F27"/>
    <w:rsid w:val="1DC5334C"/>
    <w:rsid w:val="1DF70725"/>
    <w:rsid w:val="1E151C8F"/>
    <w:rsid w:val="1E3615B9"/>
    <w:rsid w:val="1E391DB3"/>
    <w:rsid w:val="1E7563B9"/>
    <w:rsid w:val="1E764E95"/>
    <w:rsid w:val="1E7C51A0"/>
    <w:rsid w:val="1EB13227"/>
    <w:rsid w:val="1EB42F77"/>
    <w:rsid w:val="1EBE0883"/>
    <w:rsid w:val="1EF21687"/>
    <w:rsid w:val="1EFF0233"/>
    <w:rsid w:val="1F0F3078"/>
    <w:rsid w:val="1F2759A8"/>
    <w:rsid w:val="1F2C68C3"/>
    <w:rsid w:val="1F843D72"/>
    <w:rsid w:val="1FBA0B75"/>
    <w:rsid w:val="1FBB5A57"/>
    <w:rsid w:val="1FBC4A4A"/>
    <w:rsid w:val="1FC70C70"/>
    <w:rsid w:val="1FF94A12"/>
    <w:rsid w:val="1FFB538D"/>
    <w:rsid w:val="20174376"/>
    <w:rsid w:val="20302639"/>
    <w:rsid w:val="207920E8"/>
    <w:rsid w:val="207B3859"/>
    <w:rsid w:val="209F4C04"/>
    <w:rsid w:val="20A6668D"/>
    <w:rsid w:val="20AD0BF1"/>
    <w:rsid w:val="20B63993"/>
    <w:rsid w:val="20E11A72"/>
    <w:rsid w:val="20E656C4"/>
    <w:rsid w:val="20F24498"/>
    <w:rsid w:val="2195181B"/>
    <w:rsid w:val="21B60FF9"/>
    <w:rsid w:val="21CE3DD0"/>
    <w:rsid w:val="21E34FE4"/>
    <w:rsid w:val="22052962"/>
    <w:rsid w:val="2215717E"/>
    <w:rsid w:val="222E39E5"/>
    <w:rsid w:val="22335116"/>
    <w:rsid w:val="225E0B69"/>
    <w:rsid w:val="22625645"/>
    <w:rsid w:val="227238E2"/>
    <w:rsid w:val="22A0098F"/>
    <w:rsid w:val="22A55985"/>
    <w:rsid w:val="22AE57B8"/>
    <w:rsid w:val="22BC0557"/>
    <w:rsid w:val="22C925A9"/>
    <w:rsid w:val="22DC0519"/>
    <w:rsid w:val="22E8120B"/>
    <w:rsid w:val="230E3DA3"/>
    <w:rsid w:val="2312101B"/>
    <w:rsid w:val="232911AC"/>
    <w:rsid w:val="2329499C"/>
    <w:rsid w:val="234F3F82"/>
    <w:rsid w:val="23D17589"/>
    <w:rsid w:val="23D91951"/>
    <w:rsid w:val="23F439E5"/>
    <w:rsid w:val="2414733E"/>
    <w:rsid w:val="24677DA2"/>
    <w:rsid w:val="24756751"/>
    <w:rsid w:val="24970470"/>
    <w:rsid w:val="24997DA3"/>
    <w:rsid w:val="24AC1750"/>
    <w:rsid w:val="24B6742C"/>
    <w:rsid w:val="24D61B28"/>
    <w:rsid w:val="24E76228"/>
    <w:rsid w:val="24EB2AF5"/>
    <w:rsid w:val="24FB2039"/>
    <w:rsid w:val="24FB291F"/>
    <w:rsid w:val="2502095C"/>
    <w:rsid w:val="250903E3"/>
    <w:rsid w:val="250E413D"/>
    <w:rsid w:val="2546260F"/>
    <w:rsid w:val="255B75D7"/>
    <w:rsid w:val="25816468"/>
    <w:rsid w:val="259C0C61"/>
    <w:rsid w:val="26061984"/>
    <w:rsid w:val="262558FD"/>
    <w:rsid w:val="26381567"/>
    <w:rsid w:val="26421CB1"/>
    <w:rsid w:val="2687578F"/>
    <w:rsid w:val="26AC1B2A"/>
    <w:rsid w:val="26AD4CE3"/>
    <w:rsid w:val="26B54012"/>
    <w:rsid w:val="26BE0D88"/>
    <w:rsid w:val="26CE1474"/>
    <w:rsid w:val="26CF1B23"/>
    <w:rsid w:val="26CF5D28"/>
    <w:rsid w:val="26D60AE7"/>
    <w:rsid w:val="26EF60E2"/>
    <w:rsid w:val="26F709F1"/>
    <w:rsid w:val="26FC2A88"/>
    <w:rsid w:val="270A1394"/>
    <w:rsid w:val="2731423C"/>
    <w:rsid w:val="273E22B3"/>
    <w:rsid w:val="274B4306"/>
    <w:rsid w:val="276F394A"/>
    <w:rsid w:val="27716CA1"/>
    <w:rsid w:val="27850DB9"/>
    <w:rsid w:val="27E47E54"/>
    <w:rsid w:val="28426463"/>
    <w:rsid w:val="28772BE3"/>
    <w:rsid w:val="2890116A"/>
    <w:rsid w:val="28A4242D"/>
    <w:rsid w:val="28B50B26"/>
    <w:rsid w:val="28BC7E86"/>
    <w:rsid w:val="28EA5B37"/>
    <w:rsid w:val="290574F4"/>
    <w:rsid w:val="291E6186"/>
    <w:rsid w:val="29520838"/>
    <w:rsid w:val="29775CC8"/>
    <w:rsid w:val="298F31CF"/>
    <w:rsid w:val="29E511A9"/>
    <w:rsid w:val="29F738D5"/>
    <w:rsid w:val="2A0266FC"/>
    <w:rsid w:val="2A083575"/>
    <w:rsid w:val="2A103172"/>
    <w:rsid w:val="2A240F21"/>
    <w:rsid w:val="2A3E16D4"/>
    <w:rsid w:val="2A505895"/>
    <w:rsid w:val="2AB53120"/>
    <w:rsid w:val="2AD0654F"/>
    <w:rsid w:val="2AF07C9E"/>
    <w:rsid w:val="2B085F48"/>
    <w:rsid w:val="2B162169"/>
    <w:rsid w:val="2B3B3512"/>
    <w:rsid w:val="2B427D44"/>
    <w:rsid w:val="2B5D1DFC"/>
    <w:rsid w:val="2BAC1818"/>
    <w:rsid w:val="2BB5659B"/>
    <w:rsid w:val="2BBC23D4"/>
    <w:rsid w:val="2BBF30C3"/>
    <w:rsid w:val="2BC62A64"/>
    <w:rsid w:val="2BC9660D"/>
    <w:rsid w:val="2BD55616"/>
    <w:rsid w:val="2C2038D9"/>
    <w:rsid w:val="2C584025"/>
    <w:rsid w:val="2C681801"/>
    <w:rsid w:val="2C9835CA"/>
    <w:rsid w:val="2CA11F33"/>
    <w:rsid w:val="2CA12159"/>
    <w:rsid w:val="2CB2573E"/>
    <w:rsid w:val="2D1D2293"/>
    <w:rsid w:val="2D1F247C"/>
    <w:rsid w:val="2D241B95"/>
    <w:rsid w:val="2D574D86"/>
    <w:rsid w:val="2DAA7713"/>
    <w:rsid w:val="2DB93046"/>
    <w:rsid w:val="2DC16FCB"/>
    <w:rsid w:val="2DCF6290"/>
    <w:rsid w:val="2DDC3596"/>
    <w:rsid w:val="2DE753EE"/>
    <w:rsid w:val="2DF44F4E"/>
    <w:rsid w:val="2E0C1D6B"/>
    <w:rsid w:val="2E2850C4"/>
    <w:rsid w:val="2E375F69"/>
    <w:rsid w:val="2E382CD4"/>
    <w:rsid w:val="2E4E5407"/>
    <w:rsid w:val="2E9276CB"/>
    <w:rsid w:val="2EA93DFB"/>
    <w:rsid w:val="2EAE1057"/>
    <w:rsid w:val="2ECE666B"/>
    <w:rsid w:val="2EF7264C"/>
    <w:rsid w:val="2F2E7132"/>
    <w:rsid w:val="2F307DD8"/>
    <w:rsid w:val="2F450157"/>
    <w:rsid w:val="2F531446"/>
    <w:rsid w:val="2FAD0536"/>
    <w:rsid w:val="2FB971AA"/>
    <w:rsid w:val="2FBF3F34"/>
    <w:rsid w:val="2FC52C51"/>
    <w:rsid w:val="30073B78"/>
    <w:rsid w:val="300D3C47"/>
    <w:rsid w:val="304318F5"/>
    <w:rsid w:val="30A9322D"/>
    <w:rsid w:val="30B45F5A"/>
    <w:rsid w:val="30C92B3B"/>
    <w:rsid w:val="30E6623F"/>
    <w:rsid w:val="30EE6CA3"/>
    <w:rsid w:val="311C4F63"/>
    <w:rsid w:val="31244B45"/>
    <w:rsid w:val="3126396E"/>
    <w:rsid w:val="312C2234"/>
    <w:rsid w:val="313D0631"/>
    <w:rsid w:val="315779C5"/>
    <w:rsid w:val="317957AA"/>
    <w:rsid w:val="317E36F8"/>
    <w:rsid w:val="317F2F39"/>
    <w:rsid w:val="31923517"/>
    <w:rsid w:val="320D5AD1"/>
    <w:rsid w:val="32261B06"/>
    <w:rsid w:val="3247367B"/>
    <w:rsid w:val="32D607C7"/>
    <w:rsid w:val="32D93218"/>
    <w:rsid w:val="32F32A21"/>
    <w:rsid w:val="331E7D95"/>
    <w:rsid w:val="33453857"/>
    <w:rsid w:val="337D1A37"/>
    <w:rsid w:val="33D726ED"/>
    <w:rsid w:val="33EC4C39"/>
    <w:rsid w:val="34347434"/>
    <w:rsid w:val="3439519F"/>
    <w:rsid w:val="34682775"/>
    <w:rsid w:val="34874D6D"/>
    <w:rsid w:val="348F243B"/>
    <w:rsid w:val="34B4528F"/>
    <w:rsid w:val="35007B1B"/>
    <w:rsid w:val="350240AA"/>
    <w:rsid w:val="35085D0D"/>
    <w:rsid w:val="350D5220"/>
    <w:rsid w:val="350F034E"/>
    <w:rsid w:val="35131158"/>
    <w:rsid w:val="351B7E8E"/>
    <w:rsid w:val="351F086B"/>
    <w:rsid w:val="35234655"/>
    <w:rsid w:val="35353D4F"/>
    <w:rsid w:val="354D6C1B"/>
    <w:rsid w:val="355C1511"/>
    <w:rsid w:val="3564086D"/>
    <w:rsid w:val="35881D34"/>
    <w:rsid w:val="35A250E3"/>
    <w:rsid w:val="35BE5615"/>
    <w:rsid w:val="35D16999"/>
    <w:rsid w:val="35F721FF"/>
    <w:rsid w:val="35FB7A22"/>
    <w:rsid w:val="36B21FB6"/>
    <w:rsid w:val="36B622CD"/>
    <w:rsid w:val="36C50024"/>
    <w:rsid w:val="36ED0492"/>
    <w:rsid w:val="370E7091"/>
    <w:rsid w:val="37154308"/>
    <w:rsid w:val="3755195C"/>
    <w:rsid w:val="37707EE6"/>
    <w:rsid w:val="37933E25"/>
    <w:rsid w:val="379A0FE0"/>
    <w:rsid w:val="37A92E71"/>
    <w:rsid w:val="37D14B15"/>
    <w:rsid w:val="37E41401"/>
    <w:rsid w:val="37E4331D"/>
    <w:rsid w:val="37F60D8B"/>
    <w:rsid w:val="37F83B78"/>
    <w:rsid w:val="37FE15A5"/>
    <w:rsid w:val="38012C35"/>
    <w:rsid w:val="380B6E58"/>
    <w:rsid w:val="38286CC9"/>
    <w:rsid w:val="38554081"/>
    <w:rsid w:val="385D2583"/>
    <w:rsid w:val="385E6884"/>
    <w:rsid w:val="387E0FDF"/>
    <w:rsid w:val="389D7539"/>
    <w:rsid w:val="38D16D73"/>
    <w:rsid w:val="38E20ACA"/>
    <w:rsid w:val="38F41507"/>
    <w:rsid w:val="38F646D1"/>
    <w:rsid w:val="38FD0155"/>
    <w:rsid w:val="39004994"/>
    <w:rsid w:val="394A2C6F"/>
    <w:rsid w:val="39612A68"/>
    <w:rsid w:val="39924D42"/>
    <w:rsid w:val="3993693C"/>
    <w:rsid w:val="39A72DDA"/>
    <w:rsid w:val="39B10819"/>
    <w:rsid w:val="39BC7608"/>
    <w:rsid w:val="39D32FD8"/>
    <w:rsid w:val="39EC02A7"/>
    <w:rsid w:val="3A6561C9"/>
    <w:rsid w:val="3A745884"/>
    <w:rsid w:val="3ACD1DA9"/>
    <w:rsid w:val="3ACE574C"/>
    <w:rsid w:val="3B60011E"/>
    <w:rsid w:val="3B6B19B8"/>
    <w:rsid w:val="3B6C1B8C"/>
    <w:rsid w:val="3B6D5039"/>
    <w:rsid w:val="3B8775E7"/>
    <w:rsid w:val="3BA03F9D"/>
    <w:rsid w:val="3BAB1292"/>
    <w:rsid w:val="3BCD6E98"/>
    <w:rsid w:val="3BE63505"/>
    <w:rsid w:val="3BF5780A"/>
    <w:rsid w:val="3C145EE2"/>
    <w:rsid w:val="3C4E234C"/>
    <w:rsid w:val="3C9F6162"/>
    <w:rsid w:val="3CA778DC"/>
    <w:rsid w:val="3CC55F7E"/>
    <w:rsid w:val="3CE93FCB"/>
    <w:rsid w:val="3D733B77"/>
    <w:rsid w:val="3DAB4624"/>
    <w:rsid w:val="3DBC7CCC"/>
    <w:rsid w:val="3DE36B22"/>
    <w:rsid w:val="3DE56462"/>
    <w:rsid w:val="3E012496"/>
    <w:rsid w:val="3E030956"/>
    <w:rsid w:val="3E193413"/>
    <w:rsid w:val="3E3A352B"/>
    <w:rsid w:val="3E3C2B86"/>
    <w:rsid w:val="3E630A5B"/>
    <w:rsid w:val="3EAF50EF"/>
    <w:rsid w:val="3EE34B41"/>
    <w:rsid w:val="3F051B12"/>
    <w:rsid w:val="3F0724B2"/>
    <w:rsid w:val="3F0B45C4"/>
    <w:rsid w:val="3F0E09A9"/>
    <w:rsid w:val="3F2216AD"/>
    <w:rsid w:val="3F4C3DB3"/>
    <w:rsid w:val="3F8D4A6A"/>
    <w:rsid w:val="3FC96514"/>
    <w:rsid w:val="3FF23C37"/>
    <w:rsid w:val="3FF34060"/>
    <w:rsid w:val="3FF44B02"/>
    <w:rsid w:val="401D7FC2"/>
    <w:rsid w:val="402C690A"/>
    <w:rsid w:val="4044724E"/>
    <w:rsid w:val="406D37E5"/>
    <w:rsid w:val="40834243"/>
    <w:rsid w:val="408C16E3"/>
    <w:rsid w:val="40C56041"/>
    <w:rsid w:val="40E57E4D"/>
    <w:rsid w:val="40FE7835"/>
    <w:rsid w:val="41362C25"/>
    <w:rsid w:val="41895CE9"/>
    <w:rsid w:val="41A62A24"/>
    <w:rsid w:val="41C84ED8"/>
    <w:rsid w:val="41DF0D45"/>
    <w:rsid w:val="41E719A3"/>
    <w:rsid w:val="42263950"/>
    <w:rsid w:val="423969CD"/>
    <w:rsid w:val="424606D3"/>
    <w:rsid w:val="427F2C5F"/>
    <w:rsid w:val="429172CC"/>
    <w:rsid w:val="42BB6E80"/>
    <w:rsid w:val="42CE0484"/>
    <w:rsid w:val="42F33ABA"/>
    <w:rsid w:val="43054933"/>
    <w:rsid w:val="43096C27"/>
    <w:rsid w:val="431F54B9"/>
    <w:rsid w:val="433F1F8B"/>
    <w:rsid w:val="43837BF8"/>
    <w:rsid w:val="43950364"/>
    <w:rsid w:val="43FA7D96"/>
    <w:rsid w:val="43FC57B1"/>
    <w:rsid w:val="44032737"/>
    <w:rsid w:val="441564F6"/>
    <w:rsid w:val="442610C9"/>
    <w:rsid w:val="442A17F9"/>
    <w:rsid w:val="442F4039"/>
    <w:rsid w:val="44324E2D"/>
    <w:rsid w:val="443A1503"/>
    <w:rsid w:val="447C2EB6"/>
    <w:rsid w:val="44855D93"/>
    <w:rsid w:val="44A1052F"/>
    <w:rsid w:val="44C3781E"/>
    <w:rsid w:val="44DA75FA"/>
    <w:rsid w:val="451B3C47"/>
    <w:rsid w:val="451F670F"/>
    <w:rsid w:val="455D7296"/>
    <w:rsid w:val="455F36F2"/>
    <w:rsid w:val="455F7186"/>
    <w:rsid w:val="45A96223"/>
    <w:rsid w:val="45DB1B92"/>
    <w:rsid w:val="45DB7850"/>
    <w:rsid w:val="460F75B1"/>
    <w:rsid w:val="462A3CCD"/>
    <w:rsid w:val="464B5BE3"/>
    <w:rsid w:val="468731C3"/>
    <w:rsid w:val="46B93FAC"/>
    <w:rsid w:val="46CA7B5A"/>
    <w:rsid w:val="46D16626"/>
    <w:rsid w:val="46DC6EB3"/>
    <w:rsid w:val="46E8707C"/>
    <w:rsid w:val="46F8000E"/>
    <w:rsid w:val="47000B38"/>
    <w:rsid w:val="4704295F"/>
    <w:rsid w:val="470923BB"/>
    <w:rsid w:val="474D6E84"/>
    <w:rsid w:val="474F4161"/>
    <w:rsid w:val="47655442"/>
    <w:rsid w:val="4766336A"/>
    <w:rsid w:val="4783427C"/>
    <w:rsid w:val="47A5423F"/>
    <w:rsid w:val="47AD5B80"/>
    <w:rsid w:val="47BE4BEA"/>
    <w:rsid w:val="4807564C"/>
    <w:rsid w:val="480F1C06"/>
    <w:rsid w:val="481C13BF"/>
    <w:rsid w:val="483F2440"/>
    <w:rsid w:val="48475477"/>
    <w:rsid w:val="487B4BF3"/>
    <w:rsid w:val="48981F56"/>
    <w:rsid w:val="48D35B86"/>
    <w:rsid w:val="48E24C72"/>
    <w:rsid w:val="4901104C"/>
    <w:rsid w:val="492B486B"/>
    <w:rsid w:val="494E1C53"/>
    <w:rsid w:val="495A3812"/>
    <w:rsid w:val="49654523"/>
    <w:rsid w:val="498F2A6E"/>
    <w:rsid w:val="49CA4A39"/>
    <w:rsid w:val="49E905DC"/>
    <w:rsid w:val="4A01097D"/>
    <w:rsid w:val="4A0418F0"/>
    <w:rsid w:val="4A350C8D"/>
    <w:rsid w:val="4A4A490C"/>
    <w:rsid w:val="4A5A48A0"/>
    <w:rsid w:val="4A7A44FE"/>
    <w:rsid w:val="4A87767E"/>
    <w:rsid w:val="4AB31311"/>
    <w:rsid w:val="4AE6653E"/>
    <w:rsid w:val="4AF118AE"/>
    <w:rsid w:val="4B023B91"/>
    <w:rsid w:val="4B0E258B"/>
    <w:rsid w:val="4B1A5AE6"/>
    <w:rsid w:val="4B202062"/>
    <w:rsid w:val="4B4E43A6"/>
    <w:rsid w:val="4B727747"/>
    <w:rsid w:val="4B8826A7"/>
    <w:rsid w:val="4B9F19A0"/>
    <w:rsid w:val="4BB156FA"/>
    <w:rsid w:val="4BB64397"/>
    <w:rsid w:val="4BE204DB"/>
    <w:rsid w:val="4C4D3637"/>
    <w:rsid w:val="4C672C81"/>
    <w:rsid w:val="4C6D36E0"/>
    <w:rsid w:val="4CA85360"/>
    <w:rsid w:val="4CB952A0"/>
    <w:rsid w:val="4CD35D09"/>
    <w:rsid w:val="4CE30117"/>
    <w:rsid w:val="4D077263"/>
    <w:rsid w:val="4D3D31CD"/>
    <w:rsid w:val="4D440B3B"/>
    <w:rsid w:val="4D4B0ECC"/>
    <w:rsid w:val="4D8510DB"/>
    <w:rsid w:val="4DC85E65"/>
    <w:rsid w:val="4DCF16C9"/>
    <w:rsid w:val="4E275462"/>
    <w:rsid w:val="4E791AD7"/>
    <w:rsid w:val="4E7931ED"/>
    <w:rsid w:val="4E7957E3"/>
    <w:rsid w:val="4E83505D"/>
    <w:rsid w:val="4E9E3E16"/>
    <w:rsid w:val="4EB47032"/>
    <w:rsid w:val="4EDB0166"/>
    <w:rsid w:val="4EE53D72"/>
    <w:rsid w:val="4F100B21"/>
    <w:rsid w:val="4F13604C"/>
    <w:rsid w:val="4F8A5BDA"/>
    <w:rsid w:val="502063BA"/>
    <w:rsid w:val="50241B5C"/>
    <w:rsid w:val="505062AF"/>
    <w:rsid w:val="50871AB5"/>
    <w:rsid w:val="509753B2"/>
    <w:rsid w:val="50D15726"/>
    <w:rsid w:val="50DF58C1"/>
    <w:rsid w:val="50E517A3"/>
    <w:rsid w:val="50EE3264"/>
    <w:rsid w:val="50FB2D75"/>
    <w:rsid w:val="50FB5D32"/>
    <w:rsid w:val="512032FF"/>
    <w:rsid w:val="512300E0"/>
    <w:rsid w:val="5128120B"/>
    <w:rsid w:val="51321BA2"/>
    <w:rsid w:val="5196418D"/>
    <w:rsid w:val="51980D4A"/>
    <w:rsid w:val="51A26F77"/>
    <w:rsid w:val="51A81F9C"/>
    <w:rsid w:val="51C8764F"/>
    <w:rsid w:val="51D72928"/>
    <w:rsid w:val="51DD3CF4"/>
    <w:rsid w:val="51F91887"/>
    <w:rsid w:val="52594E48"/>
    <w:rsid w:val="52A0757D"/>
    <w:rsid w:val="52A526FE"/>
    <w:rsid w:val="52D63F42"/>
    <w:rsid w:val="52E636C6"/>
    <w:rsid w:val="52F27667"/>
    <w:rsid w:val="53012B5D"/>
    <w:rsid w:val="535343E8"/>
    <w:rsid w:val="537B0041"/>
    <w:rsid w:val="539C2622"/>
    <w:rsid w:val="53C569CA"/>
    <w:rsid w:val="53FC551E"/>
    <w:rsid w:val="542A243C"/>
    <w:rsid w:val="542C153F"/>
    <w:rsid w:val="543E51BD"/>
    <w:rsid w:val="5451789C"/>
    <w:rsid w:val="548B0DE9"/>
    <w:rsid w:val="54CE0F89"/>
    <w:rsid w:val="54F45402"/>
    <w:rsid w:val="55134FF8"/>
    <w:rsid w:val="552763B5"/>
    <w:rsid w:val="5533447B"/>
    <w:rsid w:val="553914D1"/>
    <w:rsid w:val="554566F2"/>
    <w:rsid w:val="55503D0D"/>
    <w:rsid w:val="556704AA"/>
    <w:rsid w:val="55D63080"/>
    <w:rsid w:val="560B6534"/>
    <w:rsid w:val="56120F2D"/>
    <w:rsid w:val="56191C96"/>
    <w:rsid w:val="561F7516"/>
    <w:rsid w:val="562653FF"/>
    <w:rsid w:val="562E2929"/>
    <w:rsid w:val="56383EDB"/>
    <w:rsid w:val="5648048A"/>
    <w:rsid w:val="564C3C71"/>
    <w:rsid w:val="564F65B2"/>
    <w:rsid w:val="56562DCF"/>
    <w:rsid w:val="566118CC"/>
    <w:rsid w:val="56862804"/>
    <w:rsid w:val="569C3604"/>
    <w:rsid w:val="56DD22AA"/>
    <w:rsid w:val="56DF7CA4"/>
    <w:rsid w:val="571550FD"/>
    <w:rsid w:val="574625F1"/>
    <w:rsid w:val="57764369"/>
    <w:rsid w:val="57CF2DE7"/>
    <w:rsid w:val="57D70286"/>
    <w:rsid w:val="58070BD3"/>
    <w:rsid w:val="585F422B"/>
    <w:rsid w:val="58675EE9"/>
    <w:rsid w:val="5899060A"/>
    <w:rsid w:val="589A168E"/>
    <w:rsid w:val="58DC502F"/>
    <w:rsid w:val="59C4289D"/>
    <w:rsid w:val="59D75B33"/>
    <w:rsid w:val="59F044D6"/>
    <w:rsid w:val="5A405E64"/>
    <w:rsid w:val="5A4C30A3"/>
    <w:rsid w:val="5A6326B9"/>
    <w:rsid w:val="5A856452"/>
    <w:rsid w:val="5A9304C2"/>
    <w:rsid w:val="5ACD36DD"/>
    <w:rsid w:val="5AF830CA"/>
    <w:rsid w:val="5B053FB6"/>
    <w:rsid w:val="5B2B6E12"/>
    <w:rsid w:val="5B5F7302"/>
    <w:rsid w:val="5B841BB9"/>
    <w:rsid w:val="5B845F39"/>
    <w:rsid w:val="5B8F47E5"/>
    <w:rsid w:val="5B9F6BEB"/>
    <w:rsid w:val="5BC671FF"/>
    <w:rsid w:val="5BF73773"/>
    <w:rsid w:val="5C272945"/>
    <w:rsid w:val="5C571286"/>
    <w:rsid w:val="5C601C20"/>
    <w:rsid w:val="5CA632FD"/>
    <w:rsid w:val="5CC46DA5"/>
    <w:rsid w:val="5CD7035D"/>
    <w:rsid w:val="5CE77B86"/>
    <w:rsid w:val="5D0D5FF0"/>
    <w:rsid w:val="5D1A4582"/>
    <w:rsid w:val="5D2F1C66"/>
    <w:rsid w:val="5D506A1D"/>
    <w:rsid w:val="5D5750F2"/>
    <w:rsid w:val="5D5B07E0"/>
    <w:rsid w:val="5D8E6B86"/>
    <w:rsid w:val="5D9D72CD"/>
    <w:rsid w:val="5D9E1657"/>
    <w:rsid w:val="5DBD092A"/>
    <w:rsid w:val="5DD75377"/>
    <w:rsid w:val="5E0160CE"/>
    <w:rsid w:val="5E373284"/>
    <w:rsid w:val="5E3E454F"/>
    <w:rsid w:val="5E435949"/>
    <w:rsid w:val="5E5D608D"/>
    <w:rsid w:val="5E756687"/>
    <w:rsid w:val="5E81415A"/>
    <w:rsid w:val="5E8F0379"/>
    <w:rsid w:val="5E964E7D"/>
    <w:rsid w:val="5EA06572"/>
    <w:rsid w:val="5EB12AF7"/>
    <w:rsid w:val="5EDF13B1"/>
    <w:rsid w:val="5EED5BDD"/>
    <w:rsid w:val="5EF73DF6"/>
    <w:rsid w:val="5F011023"/>
    <w:rsid w:val="5F165CC2"/>
    <w:rsid w:val="5F201E20"/>
    <w:rsid w:val="5F5D758D"/>
    <w:rsid w:val="5F8D3CAC"/>
    <w:rsid w:val="5F8F11A7"/>
    <w:rsid w:val="5F9A649E"/>
    <w:rsid w:val="5FA03CFD"/>
    <w:rsid w:val="5FA411A6"/>
    <w:rsid w:val="60106506"/>
    <w:rsid w:val="608A76DC"/>
    <w:rsid w:val="60A54010"/>
    <w:rsid w:val="60BD159C"/>
    <w:rsid w:val="60E92FA4"/>
    <w:rsid w:val="60EA0C7D"/>
    <w:rsid w:val="611B2C3C"/>
    <w:rsid w:val="613D4B85"/>
    <w:rsid w:val="61DC0A34"/>
    <w:rsid w:val="624C08D9"/>
    <w:rsid w:val="624D5708"/>
    <w:rsid w:val="625C31FD"/>
    <w:rsid w:val="626D152E"/>
    <w:rsid w:val="629923ED"/>
    <w:rsid w:val="62B22E19"/>
    <w:rsid w:val="62B341DC"/>
    <w:rsid w:val="62C015AC"/>
    <w:rsid w:val="62ED5AA7"/>
    <w:rsid w:val="630C0E11"/>
    <w:rsid w:val="632919C3"/>
    <w:rsid w:val="633605A1"/>
    <w:rsid w:val="63897958"/>
    <w:rsid w:val="63B949D0"/>
    <w:rsid w:val="63CA4BEF"/>
    <w:rsid w:val="63D72461"/>
    <w:rsid w:val="63E932E5"/>
    <w:rsid w:val="641017A8"/>
    <w:rsid w:val="64181EC5"/>
    <w:rsid w:val="648139C1"/>
    <w:rsid w:val="648A7EB0"/>
    <w:rsid w:val="648C05AB"/>
    <w:rsid w:val="64AC465A"/>
    <w:rsid w:val="64BC1DAF"/>
    <w:rsid w:val="64C44984"/>
    <w:rsid w:val="65010FED"/>
    <w:rsid w:val="65491CD9"/>
    <w:rsid w:val="65757142"/>
    <w:rsid w:val="657659F9"/>
    <w:rsid w:val="65842F89"/>
    <w:rsid w:val="659438DB"/>
    <w:rsid w:val="65CD1AB9"/>
    <w:rsid w:val="66141406"/>
    <w:rsid w:val="66154481"/>
    <w:rsid w:val="663522DE"/>
    <w:rsid w:val="664F479B"/>
    <w:rsid w:val="666F1464"/>
    <w:rsid w:val="667B3B98"/>
    <w:rsid w:val="668817F4"/>
    <w:rsid w:val="668E0232"/>
    <w:rsid w:val="66980CDA"/>
    <w:rsid w:val="66B04ECA"/>
    <w:rsid w:val="66D30D2B"/>
    <w:rsid w:val="66DB1B7A"/>
    <w:rsid w:val="66E87063"/>
    <w:rsid w:val="672E6309"/>
    <w:rsid w:val="67467314"/>
    <w:rsid w:val="677F418C"/>
    <w:rsid w:val="678B0DE8"/>
    <w:rsid w:val="67D02912"/>
    <w:rsid w:val="6871363F"/>
    <w:rsid w:val="68B23596"/>
    <w:rsid w:val="68C90380"/>
    <w:rsid w:val="68CB194B"/>
    <w:rsid w:val="68EE6D01"/>
    <w:rsid w:val="691C5D7F"/>
    <w:rsid w:val="69266E22"/>
    <w:rsid w:val="695E35F0"/>
    <w:rsid w:val="69603071"/>
    <w:rsid w:val="69644B5A"/>
    <w:rsid w:val="69666837"/>
    <w:rsid w:val="69A7414A"/>
    <w:rsid w:val="6A1422BF"/>
    <w:rsid w:val="6A23383D"/>
    <w:rsid w:val="6A311AC7"/>
    <w:rsid w:val="6A39218C"/>
    <w:rsid w:val="6A6053C5"/>
    <w:rsid w:val="6A9805D4"/>
    <w:rsid w:val="6AB32A09"/>
    <w:rsid w:val="6ACF296A"/>
    <w:rsid w:val="6AF61DA3"/>
    <w:rsid w:val="6AF74229"/>
    <w:rsid w:val="6B085216"/>
    <w:rsid w:val="6B1730BD"/>
    <w:rsid w:val="6B200811"/>
    <w:rsid w:val="6B3E1101"/>
    <w:rsid w:val="6B5363CE"/>
    <w:rsid w:val="6BAE5D03"/>
    <w:rsid w:val="6BDE12D2"/>
    <w:rsid w:val="6C134FBF"/>
    <w:rsid w:val="6C1F02D9"/>
    <w:rsid w:val="6C2576B6"/>
    <w:rsid w:val="6C4F562D"/>
    <w:rsid w:val="6C6377AA"/>
    <w:rsid w:val="6C7146F7"/>
    <w:rsid w:val="6C7E2EA3"/>
    <w:rsid w:val="6C965C75"/>
    <w:rsid w:val="6CA12577"/>
    <w:rsid w:val="6CD559AB"/>
    <w:rsid w:val="6D0445B9"/>
    <w:rsid w:val="6D2D7B00"/>
    <w:rsid w:val="6D407F2E"/>
    <w:rsid w:val="6DAB31AB"/>
    <w:rsid w:val="6DE455F5"/>
    <w:rsid w:val="6DF2297B"/>
    <w:rsid w:val="6DF55D32"/>
    <w:rsid w:val="6E192BA7"/>
    <w:rsid w:val="6E1F6819"/>
    <w:rsid w:val="6EDF2A67"/>
    <w:rsid w:val="6EFD03B5"/>
    <w:rsid w:val="6F021CD7"/>
    <w:rsid w:val="6F1774A6"/>
    <w:rsid w:val="6F2533C2"/>
    <w:rsid w:val="6F577C9B"/>
    <w:rsid w:val="6F745420"/>
    <w:rsid w:val="6F8166E3"/>
    <w:rsid w:val="6F8F4467"/>
    <w:rsid w:val="6FA702DC"/>
    <w:rsid w:val="6FB31001"/>
    <w:rsid w:val="6FC84254"/>
    <w:rsid w:val="70077DE7"/>
    <w:rsid w:val="70253512"/>
    <w:rsid w:val="70507F59"/>
    <w:rsid w:val="707A03ED"/>
    <w:rsid w:val="708422B7"/>
    <w:rsid w:val="70B54732"/>
    <w:rsid w:val="70E471AF"/>
    <w:rsid w:val="70FC649E"/>
    <w:rsid w:val="713E54E0"/>
    <w:rsid w:val="71431EA2"/>
    <w:rsid w:val="71607DF2"/>
    <w:rsid w:val="71662C52"/>
    <w:rsid w:val="71781E1F"/>
    <w:rsid w:val="71A21463"/>
    <w:rsid w:val="71CE20BC"/>
    <w:rsid w:val="71DE606F"/>
    <w:rsid w:val="71E3714E"/>
    <w:rsid w:val="72104BA7"/>
    <w:rsid w:val="724A0232"/>
    <w:rsid w:val="728704B4"/>
    <w:rsid w:val="729E2462"/>
    <w:rsid w:val="72BA23AB"/>
    <w:rsid w:val="73051C88"/>
    <w:rsid w:val="730936B4"/>
    <w:rsid w:val="732B0E40"/>
    <w:rsid w:val="73536CF4"/>
    <w:rsid w:val="738844E4"/>
    <w:rsid w:val="739C7F8F"/>
    <w:rsid w:val="739D2CBD"/>
    <w:rsid w:val="73AF6410"/>
    <w:rsid w:val="73BA794D"/>
    <w:rsid w:val="73E80701"/>
    <w:rsid w:val="741F515C"/>
    <w:rsid w:val="745131DF"/>
    <w:rsid w:val="747017CA"/>
    <w:rsid w:val="74705502"/>
    <w:rsid w:val="748C2729"/>
    <w:rsid w:val="74A7328E"/>
    <w:rsid w:val="74AF3A11"/>
    <w:rsid w:val="74B102A9"/>
    <w:rsid w:val="74B63BA4"/>
    <w:rsid w:val="74B864EA"/>
    <w:rsid w:val="74E52287"/>
    <w:rsid w:val="7518135E"/>
    <w:rsid w:val="758D64AA"/>
    <w:rsid w:val="75AE67DC"/>
    <w:rsid w:val="75B72E5F"/>
    <w:rsid w:val="75BF44B0"/>
    <w:rsid w:val="75FE0A8D"/>
    <w:rsid w:val="76226699"/>
    <w:rsid w:val="763B75EC"/>
    <w:rsid w:val="763C34EC"/>
    <w:rsid w:val="764F3C94"/>
    <w:rsid w:val="764F3FF2"/>
    <w:rsid w:val="765C05BA"/>
    <w:rsid w:val="766E2873"/>
    <w:rsid w:val="768C241D"/>
    <w:rsid w:val="772F2952"/>
    <w:rsid w:val="77437B24"/>
    <w:rsid w:val="77502FC5"/>
    <w:rsid w:val="777059BB"/>
    <w:rsid w:val="7776441B"/>
    <w:rsid w:val="77866D0A"/>
    <w:rsid w:val="77C44511"/>
    <w:rsid w:val="77F064F7"/>
    <w:rsid w:val="77F35D15"/>
    <w:rsid w:val="77FA4170"/>
    <w:rsid w:val="7818276D"/>
    <w:rsid w:val="782E1841"/>
    <w:rsid w:val="78342545"/>
    <w:rsid w:val="78620BF7"/>
    <w:rsid w:val="786662C6"/>
    <w:rsid w:val="78743EEF"/>
    <w:rsid w:val="78B6564F"/>
    <w:rsid w:val="78C82E8E"/>
    <w:rsid w:val="78DC45ED"/>
    <w:rsid w:val="78F352CB"/>
    <w:rsid w:val="7906043A"/>
    <w:rsid w:val="791F7652"/>
    <w:rsid w:val="79202AC9"/>
    <w:rsid w:val="79482594"/>
    <w:rsid w:val="796A6CC8"/>
    <w:rsid w:val="79E459AA"/>
    <w:rsid w:val="79F2567A"/>
    <w:rsid w:val="7A1C7C72"/>
    <w:rsid w:val="7A256A27"/>
    <w:rsid w:val="7A374D14"/>
    <w:rsid w:val="7A533C17"/>
    <w:rsid w:val="7A541EE8"/>
    <w:rsid w:val="7A7F5669"/>
    <w:rsid w:val="7A925C48"/>
    <w:rsid w:val="7A9E5FB6"/>
    <w:rsid w:val="7AC7483F"/>
    <w:rsid w:val="7B464576"/>
    <w:rsid w:val="7B475FAB"/>
    <w:rsid w:val="7B7E331B"/>
    <w:rsid w:val="7B9B71A2"/>
    <w:rsid w:val="7BA557CD"/>
    <w:rsid w:val="7BB404C8"/>
    <w:rsid w:val="7BBE2AF8"/>
    <w:rsid w:val="7BC82125"/>
    <w:rsid w:val="7BD82CEA"/>
    <w:rsid w:val="7C1A4C89"/>
    <w:rsid w:val="7C4D1E27"/>
    <w:rsid w:val="7C623F6E"/>
    <w:rsid w:val="7C7D6CA3"/>
    <w:rsid w:val="7C871D70"/>
    <w:rsid w:val="7C9356B8"/>
    <w:rsid w:val="7C94044F"/>
    <w:rsid w:val="7CBD495E"/>
    <w:rsid w:val="7CC30E59"/>
    <w:rsid w:val="7CCA5F63"/>
    <w:rsid w:val="7CCF19CB"/>
    <w:rsid w:val="7D1C0197"/>
    <w:rsid w:val="7D1D5C9D"/>
    <w:rsid w:val="7D3E7DD3"/>
    <w:rsid w:val="7D413F6F"/>
    <w:rsid w:val="7D450B5C"/>
    <w:rsid w:val="7D9F4435"/>
    <w:rsid w:val="7DCF5898"/>
    <w:rsid w:val="7E613D6E"/>
    <w:rsid w:val="7E6D2268"/>
    <w:rsid w:val="7E7933A7"/>
    <w:rsid w:val="7E8D78E2"/>
    <w:rsid w:val="7EE53C89"/>
    <w:rsid w:val="7F0D56AA"/>
    <w:rsid w:val="7F0D5AED"/>
    <w:rsid w:val="7F1555BA"/>
    <w:rsid w:val="7F224AB9"/>
    <w:rsid w:val="7F28323F"/>
    <w:rsid w:val="7F580E55"/>
    <w:rsid w:val="7FB27150"/>
    <w:rsid w:val="7FC76CA7"/>
    <w:rsid w:val="7FF806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6" w:lineRule="auto"/>
      <w:outlineLvl w:val="0"/>
    </w:pPr>
    <w:rPr>
      <w:bCs/>
      <w:kern w:val="44"/>
      <w:sz w:val="44"/>
      <w:szCs w:val="44"/>
    </w:rPr>
  </w:style>
  <w:style w:type="paragraph" w:styleId="4">
    <w:name w:val="heading 2"/>
    <w:basedOn w:val="1"/>
    <w:next w:val="1"/>
    <w:link w:val="5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1"/>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52"/>
    <w:qFormat/>
    <w:uiPriority w:val="0"/>
    <w:pPr>
      <w:keepNext/>
      <w:keepLines/>
      <w:spacing w:before="280" w:after="290" w:line="374" w:lineRule="auto"/>
      <w:outlineLvl w:val="3"/>
    </w:pPr>
    <w:rPr>
      <w:rFonts w:ascii="Arial" w:hAnsi="Arial" w:eastAsia="黑体"/>
      <w:b/>
      <w:bCs/>
      <w:sz w:val="28"/>
      <w:szCs w:val="28"/>
    </w:rPr>
  </w:style>
  <w:style w:type="paragraph" w:styleId="7">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48"/>
    <w:qFormat/>
    <w:uiPriority w:val="0"/>
    <w:rPr>
      <w:rFonts w:ascii="等线" w:hAnsi="Courier New" w:eastAsia="等线"/>
      <w:szCs w:val="22"/>
    </w:rPr>
  </w:style>
  <w:style w:type="paragraph" w:styleId="11">
    <w:name w:val="toc 7"/>
    <w:basedOn w:val="1"/>
    <w:next w:val="1"/>
    <w:qFormat/>
    <w:uiPriority w:val="0"/>
    <w:pPr>
      <w:ind w:left="1260"/>
      <w:jc w:val="left"/>
    </w:pPr>
    <w:rPr>
      <w:sz w:val="18"/>
      <w:szCs w:val="18"/>
    </w:rPr>
  </w:style>
  <w:style w:type="paragraph" w:styleId="12">
    <w:name w:val="table of authorities"/>
    <w:basedOn w:val="1"/>
    <w:next w:val="1"/>
    <w:unhideWhenUsed/>
    <w:qFormat/>
    <w:uiPriority w:val="0"/>
    <w:pPr>
      <w:spacing w:after="80"/>
      <w:ind w:left="420" w:leftChars="200"/>
      <w:jc w:val="left"/>
    </w:pPr>
    <w:rPr>
      <w:kern w:val="0"/>
      <w:lang w:eastAsia="en-US"/>
    </w:rPr>
  </w:style>
  <w:style w:type="paragraph" w:styleId="13">
    <w:name w:val="Normal Indent"/>
    <w:basedOn w:val="1"/>
    <w:next w:val="1"/>
    <w:qFormat/>
    <w:uiPriority w:val="99"/>
    <w:pPr>
      <w:ind w:firstLine="420" w:firstLineChars="200"/>
    </w:pPr>
  </w:style>
  <w:style w:type="paragraph" w:styleId="14">
    <w:name w:val="Document Map"/>
    <w:basedOn w:val="1"/>
    <w:link w:val="53"/>
    <w:qFormat/>
    <w:uiPriority w:val="0"/>
    <w:pPr>
      <w:shd w:val="clear" w:color="auto" w:fill="000080"/>
    </w:pPr>
  </w:style>
  <w:style w:type="paragraph" w:styleId="15">
    <w:name w:val="annotation text"/>
    <w:basedOn w:val="1"/>
    <w:next w:val="1"/>
    <w:link w:val="54"/>
    <w:qFormat/>
    <w:uiPriority w:val="0"/>
    <w:pPr>
      <w:jc w:val="left"/>
    </w:pPr>
  </w:style>
  <w:style w:type="paragraph" w:styleId="16">
    <w:name w:val="Body Text 3"/>
    <w:basedOn w:val="1"/>
    <w:qFormat/>
    <w:uiPriority w:val="0"/>
    <w:rPr>
      <w:rFonts w:ascii="宋体"/>
      <w:sz w:val="24"/>
      <w:szCs w:val="20"/>
    </w:rPr>
  </w:style>
  <w:style w:type="paragraph" w:styleId="17">
    <w:name w:val="Body Text"/>
    <w:basedOn w:val="1"/>
    <w:next w:val="1"/>
    <w:link w:val="55"/>
    <w:qFormat/>
    <w:uiPriority w:val="0"/>
    <w:pPr>
      <w:spacing w:after="120"/>
    </w:pPr>
  </w:style>
  <w:style w:type="paragraph" w:styleId="18">
    <w:name w:val="Body Text Indent"/>
    <w:basedOn w:val="1"/>
    <w:qFormat/>
    <w:uiPriority w:val="0"/>
    <w:pPr>
      <w:spacing w:after="120"/>
      <w:ind w:left="420" w:leftChars="200"/>
    </w:pPr>
  </w:style>
  <w:style w:type="paragraph" w:styleId="19">
    <w:name w:val="toc 5"/>
    <w:basedOn w:val="1"/>
    <w:next w:val="1"/>
    <w:qFormat/>
    <w:uiPriority w:val="0"/>
    <w:pPr>
      <w:ind w:left="840"/>
      <w:jc w:val="left"/>
    </w:pPr>
    <w:rPr>
      <w:sz w:val="18"/>
      <w:szCs w:val="18"/>
    </w:rPr>
  </w:style>
  <w:style w:type="paragraph" w:styleId="20">
    <w:name w:val="toc 3"/>
    <w:basedOn w:val="1"/>
    <w:next w:val="1"/>
    <w:qFormat/>
    <w:uiPriority w:val="0"/>
    <w:pPr>
      <w:ind w:left="420"/>
      <w:jc w:val="left"/>
    </w:pPr>
    <w:rPr>
      <w:iCs/>
      <w:sz w:val="20"/>
      <w:szCs w:val="20"/>
    </w:rPr>
  </w:style>
  <w:style w:type="paragraph" w:styleId="21">
    <w:name w:val="toc 8"/>
    <w:basedOn w:val="1"/>
    <w:next w:val="1"/>
    <w:qFormat/>
    <w:uiPriority w:val="0"/>
    <w:pPr>
      <w:ind w:left="1470"/>
      <w:jc w:val="left"/>
    </w:pPr>
    <w:rPr>
      <w:sz w:val="18"/>
      <w:szCs w:val="18"/>
    </w:rPr>
  </w:style>
  <w:style w:type="paragraph" w:styleId="22">
    <w:name w:val="Date"/>
    <w:basedOn w:val="1"/>
    <w:next w:val="1"/>
    <w:link w:val="56"/>
    <w:qFormat/>
    <w:uiPriority w:val="0"/>
    <w:rPr>
      <w:sz w:val="24"/>
      <w:szCs w:val="20"/>
    </w:rPr>
  </w:style>
  <w:style w:type="paragraph" w:styleId="23">
    <w:name w:val="Balloon Text"/>
    <w:basedOn w:val="1"/>
    <w:qFormat/>
    <w:uiPriority w:val="0"/>
    <w:rPr>
      <w:sz w:val="18"/>
      <w:szCs w:val="18"/>
    </w:rPr>
  </w:style>
  <w:style w:type="paragraph" w:styleId="24">
    <w:name w:val="footer"/>
    <w:basedOn w:val="1"/>
    <w:link w:val="57"/>
    <w:qFormat/>
    <w:uiPriority w:val="99"/>
    <w:pPr>
      <w:tabs>
        <w:tab w:val="center" w:pos="4153"/>
        <w:tab w:val="right" w:pos="8306"/>
      </w:tabs>
      <w:snapToGrid w:val="0"/>
      <w:jc w:val="left"/>
    </w:pPr>
    <w:rPr>
      <w:sz w:val="18"/>
      <w:szCs w:val="18"/>
    </w:rPr>
  </w:style>
  <w:style w:type="paragraph" w:styleId="25">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spacing w:before="120" w:after="120"/>
      <w:jc w:val="left"/>
    </w:pPr>
    <w:rPr>
      <w:b/>
      <w:bCs/>
      <w:caps/>
      <w:sz w:val="20"/>
      <w:szCs w:val="20"/>
    </w:rPr>
  </w:style>
  <w:style w:type="paragraph" w:styleId="27">
    <w:name w:val="toc 4"/>
    <w:basedOn w:val="1"/>
    <w:next w:val="1"/>
    <w:qFormat/>
    <w:uiPriority w:val="0"/>
    <w:pPr>
      <w:ind w:left="630"/>
      <w:jc w:val="left"/>
    </w:pPr>
    <w:rPr>
      <w:sz w:val="18"/>
      <w:szCs w:val="18"/>
    </w:rPr>
  </w:style>
  <w:style w:type="paragraph" w:styleId="28">
    <w:name w:val="toc 6"/>
    <w:basedOn w:val="1"/>
    <w:next w:val="1"/>
    <w:qFormat/>
    <w:uiPriority w:val="0"/>
    <w:pPr>
      <w:ind w:left="1050"/>
      <w:jc w:val="left"/>
    </w:pPr>
    <w:rPr>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qFormat/>
    <w:uiPriority w:val="0"/>
    <w:pPr>
      <w:ind w:left="210"/>
      <w:jc w:val="left"/>
    </w:pPr>
    <w:rPr>
      <w:smallCaps/>
      <w:sz w:val="20"/>
      <w:szCs w:val="20"/>
    </w:rPr>
  </w:style>
  <w:style w:type="paragraph" w:styleId="31">
    <w:name w:val="toc 9"/>
    <w:basedOn w:val="1"/>
    <w:next w:val="1"/>
    <w:qFormat/>
    <w:uiPriority w:val="0"/>
    <w:pPr>
      <w:ind w:left="1680"/>
      <w:jc w:val="left"/>
    </w:pPr>
    <w:rPr>
      <w:sz w:val="18"/>
      <w:szCs w:val="18"/>
    </w:rPr>
  </w:style>
  <w:style w:type="paragraph" w:styleId="32">
    <w:name w:val="Normal (Web)"/>
    <w:basedOn w:val="1"/>
    <w:qFormat/>
    <w:uiPriority w:val="99"/>
    <w:pPr>
      <w:widowControl/>
      <w:spacing w:before="100" w:beforeAutospacing="1" w:after="100" w:afterAutospacing="1"/>
      <w:jc w:val="left"/>
    </w:pPr>
    <w:rPr>
      <w:rFonts w:ascii="宋体" w:hAnsi="宋体" w:eastAsia="楷体_GB2312" w:cs="宋体"/>
      <w:kern w:val="0"/>
      <w:sz w:val="24"/>
    </w:rPr>
  </w:style>
  <w:style w:type="paragraph" w:styleId="33">
    <w:name w:val="index 1"/>
    <w:basedOn w:val="1"/>
    <w:next w:val="1"/>
    <w:qFormat/>
    <w:uiPriority w:val="0"/>
    <w:pPr>
      <w:spacing w:line="220" w:lineRule="exact"/>
      <w:jc w:val="center"/>
    </w:pPr>
    <w:rPr>
      <w:rFonts w:ascii="仿宋_GB2312" w:eastAsia="仿宋_GB2312"/>
      <w:szCs w:val="21"/>
    </w:rPr>
  </w:style>
  <w:style w:type="paragraph" w:styleId="34">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5"/>
    <w:next w:val="15"/>
    <w:link w:val="59"/>
    <w:qFormat/>
    <w:uiPriority w:val="0"/>
    <w:pPr>
      <w:jc w:val="both"/>
    </w:pPr>
    <w:rPr>
      <w:b/>
      <w:bCs/>
    </w:rPr>
  </w:style>
  <w:style w:type="paragraph" w:styleId="36">
    <w:name w:val="Body Text First Indent"/>
    <w:basedOn w:val="17"/>
    <w:link w:val="60"/>
    <w:qFormat/>
    <w:uiPriority w:val="0"/>
    <w:pPr>
      <w:spacing w:line="312" w:lineRule="auto"/>
      <w:ind w:firstLine="420"/>
    </w:pPr>
    <w:rPr>
      <w:kern w:val="0"/>
      <w:sz w:val="20"/>
      <w:szCs w:val="20"/>
    </w:rPr>
  </w:style>
  <w:style w:type="paragraph" w:styleId="37">
    <w:name w:val="Body Text First Indent 2"/>
    <w:basedOn w:val="18"/>
    <w:unhideWhenUsed/>
    <w:qFormat/>
    <w:uiPriority w:val="99"/>
    <w:pPr>
      <w:ind w:firstLine="420" w:firstLineChars="2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qFormat/>
    <w:uiPriority w:val="0"/>
  </w:style>
  <w:style w:type="character" w:styleId="43">
    <w:name w:val="FollowedHyperlink"/>
    <w:qFormat/>
    <w:uiPriority w:val="0"/>
    <w:rPr>
      <w:color w:val="800080"/>
      <w:u w:val="single"/>
    </w:rPr>
  </w:style>
  <w:style w:type="character" w:styleId="44">
    <w:name w:val="Hyperlink"/>
    <w:basedOn w:val="40"/>
    <w:qFormat/>
    <w:uiPriority w:val="0"/>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paragraph" w:customStyle="1" w:styleId="47">
    <w:name w:val="Default"/>
    <w:next w:val="25"/>
    <w:qFormat/>
    <w:uiPriority w:val="0"/>
    <w:pPr>
      <w:widowControl w:val="0"/>
      <w:autoSpaceDE w:val="0"/>
      <w:autoSpaceDN w:val="0"/>
      <w:adjustRightInd w:val="0"/>
      <w:spacing w:after="200" w:line="276" w:lineRule="auto"/>
    </w:pPr>
    <w:rPr>
      <w:rFonts w:ascii="宋体" w:hAnsi="Times New Roman" w:eastAsia="宋体" w:cs="Times New Roman"/>
      <w:color w:val="000000"/>
      <w:sz w:val="24"/>
      <w:lang w:val="en-US" w:eastAsia="zh-CN" w:bidi="ar-SA"/>
    </w:rPr>
  </w:style>
  <w:style w:type="character" w:customStyle="1" w:styleId="48">
    <w:name w:val="纯文本 Char"/>
    <w:link w:val="2"/>
    <w:qFormat/>
    <w:uiPriority w:val="0"/>
    <w:rPr>
      <w:rFonts w:ascii="等线" w:hAnsi="Courier New" w:eastAsia="等线" w:cs="Courier New"/>
      <w:kern w:val="2"/>
      <w:sz w:val="21"/>
      <w:szCs w:val="22"/>
    </w:rPr>
  </w:style>
  <w:style w:type="character" w:customStyle="1" w:styleId="49">
    <w:name w:val="标题 1 Char"/>
    <w:link w:val="3"/>
    <w:qFormat/>
    <w:uiPriority w:val="0"/>
    <w:rPr>
      <w:rFonts w:eastAsia="宋体"/>
      <w:b/>
      <w:bCs/>
      <w:kern w:val="44"/>
      <w:sz w:val="44"/>
      <w:szCs w:val="44"/>
      <w:lang w:val="en-US" w:eastAsia="zh-CN" w:bidi="ar-SA"/>
    </w:rPr>
  </w:style>
  <w:style w:type="character" w:customStyle="1" w:styleId="50">
    <w:name w:val="标题 2 Char"/>
    <w:link w:val="4"/>
    <w:qFormat/>
    <w:uiPriority w:val="0"/>
    <w:rPr>
      <w:rFonts w:ascii="Arial" w:hAnsi="Arial" w:eastAsia="黑体"/>
      <w:b/>
      <w:bCs/>
      <w:kern w:val="2"/>
      <w:sz w:val="32"/>
      <w:szCs w:val="32"/>
      <w:lang w:val="en-US" w:eastAsia="zh-CN" w:bidi="ar-SA"/>
    </w:rPr>
  </w:style>
  <w:style w:type="character" w:customStyle="1" w:styleId="51">
    <w:name w:val="标题 3 Char"/>
    <w:link w:val="5"/>
    <w:qFormat/>
    <w:uiPriority w:val="0"/>
    <w:rPr>
      <w:rFonts w:ascii="黑体" w:hAnsi="宋体" w:eastAsia="黑体"/>
      <w:bCs/>
      <w:kern w:val="2"/>
      <w:sz w:val="28"/>
      <w:szCs w:val="28"/>
      <w:lang w:val="en-US" w:eastAsia="zh-CN" w:bidi="ar-SA"/>
    </w:rPr>
  </w:style>
  <w:style w:type="character" w:customStyle="1" w:styleId="52">
    <w:name w:val="标题 4 Char"/>
    <w:link w:val="6"/>
    <w:qFormat/>
    <w:uiPriority w:val="0"/>
    <w:rPr>
      <w:rFonts w:ascii="Arial" w:hAnsi="Arial" w:eastAsia="黑体"/>
      <w:b/>
      <w:bCs/>
      <w:kern w:val="2"/>
      <w:sz w:val="28"/>
      <w:szCs w:val="28"/>
      <w:lang w:val="en-US" w:eastAsia="zh-CN" w:bidi="ar-SA"/>
    </w:rPr>
  </w:style>
  <w:style w:type="character" w:customStyle="1" w:styleId="53">
    <w:name w:val="文档结构图 Char"/>
    <w:link w:val="14"/>
    <w:qFormat/>
    <w:uiPriority w:val="0"/>
    <w:rPr>
      <w:rFonts w:eastAsia="宋体"/>
      <w:kern w:val="2"/>
      <w:sz w:val="21"/>
      <w:szCs w:val="24"/>
      <w:lang w:val="en-US" w:eastAsia="zh-CN" w:bidi="ar-SA"/>
    </w:rPr>
  </w:style>
  <w:style w:type="character" w:customStyle="1" w:styleId="54">
    <w:name w:val="批注文字 Char"/>
    <w:link w:val="15"/>
    <w:qFormat/>
    <w:uiPriority w:val="0"/>
    <w:rPr>
      <w:rFonts w:eastAsia="宋体"/>
      <w:kern w:val="2"/>
      <w:sz w:val="21"/>
      <w:szCs w:val="24"/>
      <w:lang w:val="en-US" w:eastAsia="zh-CN" w:bidi="ar-SA"/>
    </w:rPr>
  </w:style>
  <w:style w:type="character" w:customStyle="1" w:styleId="55">
    <w:name w:val="正文文本 Char"/>
    <w:link w:val="17"/>
    <w:qFormat/>
    <w:uiPriority w:val="0"/>
    <w:rPr>
      <w:rFonts w:eastAsia="宋体"/>
      <w:kern w:val="2"/>
      <w:sz w:val="21"/>
      <w:szCs w:val="24"/>
      <w:lang w:val="en-US" w:eastAsia="zh-CN" w:bidi="ar-SA"/>
    </w:rPr>
  </w:style>
  <w:style w:type="character" w:customStyle="1" w:styleId="56">
    <w:name w:val="日期 Char"/>
    <w:link w:val="22"/>
    <w:qFormat/>
    <w:uiPriority w:val="0"/>
    <w:rPr>
      <w:kern w:val="2"/>
      <w:sz w:val="24"/>
    </w:rPr>
  </w:style>
  <w:style w:type="character" w:customStyle="1" w:styleId="57">
    <w:name w:val="页脚 Char"/>
    <w:link w:val="24"/>
    <w:qFormat/>
    <w:uiPriority w:val="99"/>
    <w:rPr>
      <w:rFonts w:eastAsia="宋体"/>
      <w:kern w:val="2"/>
      <w:sz w:val="18"/>
      <w:szCs w:val="18"/>
      <w:lang w:val="en-US" w:eastAsia="zh-CN" w:bidi="ar-SA"/>
    </w:rPr>
  </w:style>
  <w:style w:type="character" w:customStyle="1" w:styleId="58">
    <w:name w:val="页眉 Char"/>
    <w:link w:val="25"/>
    <w:qFormat/>
    <w:uiPriority w:val="0"/>
    <w:rPr>
      <w:rFonts w:eastAsia="宋体"/>
      <w:kern w:val="2"/>
      <w:sz w:val="18"/>
      <w:szCs w:val="18"/>
      <w:lang w:val="en-US" w:eastAsia="zh-CN" w:bidi="ar-SA"/>
    </w:rPr>
  </w:style>
  <w:style w:type="character" w:customStyle="1" w:styleId="59">
    <w:name w:val="批注主题 Char"/>
    <w:link w:val="35"/>
    <w:qFormat/>
    <w:uiPriority w:val="0"/>
    <w:rPr>
      <w:rFonts w:eastAsia="宋体"/>
      <w:b/>
      <w:bCs/>
      <w:kern w:val="2"/>
      <w:sz w:val="21"/>
      <w:szCs w:val="24"/>
      <w:lang w:val="en-US" w:eastAsia="zh-CN" w:bidi="ar-SA"/>
    </w:rPr>
  </w:style>
  <w:style w:type="character" w:customStyle="1" w:styleId="60">
    <w:name w:val="正文首行缩进 Char"/>
    <w:link w:val="36"/>
    <w:qFormat/>
    <w:uiPriority w:val="0"/>
    <w:rPr>
      <w:lang w:val="en-US" w:eastAsia="zh-CN" w:bidi="ar-SA"/>
    </w:rPr>
  </w:style>
  <w:style w:type="character" w:customStyle="1" w:styleId="61">
    <w:name w:val="font21"/>
    <w:qFormat/>
    <w:uiPriority w:val="0"/>
    <w:rPr>
      <w:rFonts w:hint="eastAsia" w:ascii="仿宋" w:hAnsi="仿宋" w:eastAsia="仿宋" w:cs="仿宋"/>
      <w:b/>
      <w:color w:val="000000"/>
      <w:sz w:val="28"/>
      <w:szCs w:val="28"/>
      <w:u w:val="none"/>
    </w:rPr>
  </w:style>
  <w:style w:type="character" w:customStyle="1" w:styleId="62">
    <w:name w:val="文一 Char Char"/>
    <w:link w:val="63"/>
    <w:qFormat/>
    <w:uiPriority w:val="0"/>
    <w:rPr>
      <w:rFonts w:ascii="等线" w:hAnsi="等线" w:eastAsia="等线"/>
      <w:spacing w:val="4"/>
      <w:sz w:val="24"/>
      <w:szCs w:val="24"/>
    </w:rPr>
  </w:style>
  <w:style w:type="paragraph" w:customStyle="1" w:styleId="63">
    <w:name w:val="文一"/>
    <w:basedOn w:val="1"/>
    <w:link w:val="62"/>
    <w:qFormat/>
    <w:uiPriority w:val="0"/>
    <w:pPr>
      <w:topLinePunct/>
      <w:adjustRightInd w:val="0"/>
      <w:snapToGrid w:val="0"/>
      <w:spacing w:line="360" w:lineRule="auto"/>
      <w:ind w:firstLine="200" w:firstLineChars="200"/>
    </w:pPr>
    <w:rPr>
      <w:rFonts w:ascii="等线" w:hAnsi="等线" w:eastAsia="等线"/>
      <w:spacing w:val="4"/>
      <w:kern w:val="0"/>
      <w:sz w:val="24"/>
    </w:rPr>
  </w:style>
  <w:style w:type="character" w:customStyle="1" w:styleId="64">
    <w:name w:val="fontstyle01"/>
    <w:qFormat/>
    <w:uiPriority w:val="0"/>
    <w:rPr>
      <w:rFonts w:hint="eastAsia" w:ascii="宋体" w:hAnsi="宋体" w:eastAsia="宋体"/>
      <w:color w:val="000000"/>
      <w:sz w:val="22"/>
      <w:szCs w:val="22"/>
    </w:rPr>
  </w:style>
  <w:style w:type="character" w:customStyle="1" w:styleId="65">
    <w:name w:val="font161"/>
    <w:qFormat/>
    <w:uiPriority w:val="0"/>
    <w:rPr>
      <w:b/>
      <w:bCs/>
      <w:sz w:val="32"/>
      <w:szCs w:val="32"/>
    </w:rPr>
  </w:style>
  <w:style w:type="character" w:customStyle="1" w:styleId="66">
    <w:name w:val="font11"/>
    <w:qFormat/>
    <w:uiPriority w:val="0"/>
    <w:rPr>
      <w:rFonts w:hint="eastAsia" w:ascii="仿宋" w:hAnsi="仿宋" w:eastAsia="仿宋" w:cs="仿宋"/>
      <w:color w:val="000000"/>
      <w:sz w:val="28"/>
      <w:szCs w:val="28"/>
      <w:u w:val="none"/>
    </w:rPr>
  </w:style>
  <w:style w:type="paragraph" w:customStyle="1" w:styleId="67">
    <w:name w:val="发文落款"/>
    <w:basedOn w:val="68"/>
    <w:qFormat/>
    <w:uiPriority w:val="0"/>
    <w:pPr>
      <w:ind w:left="4094" w:right="607" w:firstLine="0"/>
      <w:jc w:val="center"/>
    </w:pPr>
  </w:style>
  <w:style w:type="paragraph" w:customStyle="1" w:styleId="6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69">
    <w:name w:val="正题"/>
    <w:basedOn w:val="63"/>
    <w:next w:val="63"/>
    <w:qFormat/>
    <w:uiPriority w:val="0"/>
    <w:pPr>
      <w:ind w:firstLine="0" w:firstLineChars="0"/>
      <w:jc w:val="center"/>
    </w:pPr>
    <w:rPr>
      <w:rFonts w:eastAsia="黑体"/>
      <w:b/>
      <w:sz w:val="36"/>
      <w:szCs w:val="36"/>
    </w:rPr>
  </w:style>
  <w:style w:type="paragraph" w:customStyle="1" w:styleId="7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Cs w:val="0"/>
      <w:sz w:val="32"/>
      <w:szCs w:val="20"/>
    </w:rPr>
  </w:style>
  <w:style w:type="paragraph" w:customStyle="1" w:styleId="71">
    <w:name w:val="样式2"/>
    <w:basedOn w:val="5"/>
    <w:qFormat/>
    <w:uiPriority w:val="0"/>
    <w:rPr>
      <w:i/>
    </w:rPr>
  </w:style>
  <w:style w:type="paragraph" w:customStyle="1" w:styleId="72">
    <w:name w:val="修订1"/>
    <w:qFormat/>
    <w:uiPriority w:val="0"/>
    <w:rPr>
      <w:rFonts w:ascii="Calibri" w:hAnsi="Calibri" w:eastAsia="宋体" w:cs="Times New Roman"/>
      <w:kern w:val="2"/>
      <w:sz w:val="21"/>
      <w:szCs w:val="24"/>
      <w:lang w:val="en-US" w:eastAsia="zh-CN" w:bidi="ar-SA"/>
    </w:rPr>
  </w:style>
  <w:style w:type="paragraph" w:customStyle="1" w:styleId="73">
    <w:name w:val="章节三"/>
    <w:basedOn w:val="1"/>
    <w:next w:val="1"/>
    <w:qFormat/>
    <w:uiPriority w:val="0"/>
    <w:pPr>
      <w:topLinePunct/>
      <w:adjustRightInd w:val="0"/>
      <w:snapToGrid w:val="0"/>
      <w:spacing w:beforeLines="50" w:afterLines="50"/>
      <w:jc w:val="left"/>
      <w:outlineLvl w:val="2"/>
    </w:pPr>
    <w:rPr>
      <w:rFonts w:ascii="黑体" w:hAnsi="宋体" w:eastAsia="黑体"/>
      <w:b/>
      <w:spacing w:val="4"/>
      <w:sz w:val="24"/>
    </w:rPr>
  </w:style>
  <w:style w:type="paragraph" w:customStyle="1" w:styleId="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5">
    <w:name w:val="样式1"/>
    <w:basedOn w:val="1"/>
    <w:next w:val="6"/>
    <w:qFormat/>
    <w:uiPriority w:val="0"/>
    <w:pPr>
      <w:spacing w:line="360" w:lineRule="auto"/>
      <w:ind w:firstLine="420" w:firstLineChars="200"/>
    </w:pPr>
    <w:rPr>
      <w:rFonts w:ascii="宋体" w:hAnsi="宋体"/>
      <w:szCs w:val="21"/>
    </w:rPr>
  </w:style>
  <w:style w:type="paragraph" w:customStyle="1" w:styleId="76">
    <w:name w:val="Char1"/>
    <w:basedOn w:val="1"/>
    <w:qFormat/>
    <w:uiPriority w:val="0"/>
    <w:pPr>
      <w:tabs>
        <w:tab w:val="left" w:pos="360"/>
      </w:tabs>
    </w:pPr>
    <w:rPr>
      <w:sz w:val="24"/>
    </w:rPr>
  </w:style>
  <w:style w:type="paragraph" w:customStyle="1" w:styleId="77">
    <w:name w:val="1"/>
    <w:basedOn w:val="1"/>
    <w:qFormat/>
    <w:uiPriority w:val="0"/>
  </w:style>
  <w:style w:type="paragraph" w:customStyle="1" w:styleId="78">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Other|1"/>
    <w:basedOn w:val="1"/>
    <w:qFormat/>
    <w:uiPriority w:val="0"/>
    <w:pPr>
      <w:spacing w:line="228" w:lineRule="exact"/>
    </w:pPr>
    <w:rPr>
      <w:rFonts w:ascii="宋体" w:hAnsi="宋体" w:cs="宋体"/>
      <w:sz w:val="17"/>
      <w:szCs w:val="17"/>
      <w:lang w:val="zh-TW" w:eastAsia="zh-TW" w:bidi="zh-TW"/>
    </w:rPr>
  </w:style>
  <w:style w:type="paragraph" w:customStyle="1" w:styleId="80">
    <w:name w:val="表格"/>
    <w:basedOn w:val="1"/>
    <w:qFormat/>
    <w:uiPriority w:val="0"/>
    <w:pPr>
      <w:jc w:val="center"/>
      <w:textAlignment w:val="center"/>
    </w:pPr>
    <w:rPr>
      <w:rFonts w:ascii="华文细黑" w:hAnsi="华文细黑"/>
      <w:kern w:val="0"/>
      <w:szCs w:val="20"/>
    </w:rPr>
  </w:style>
  <w:style w:type="paragraph" w:customStyle="1" w:styleId="81">
    <w:name w:val="Char"/>
    <w:basedOn w:val="1"/>
    <w:qFormat/>
    <w:uiPriority w:val="0"/>
    <w:pPr>
      <w:tabs>
        <w:tab w:val="left" w:pos="360"/>
      </w:tabs>
    </w:pPr>
    <w:rPr>
      <w:sz w:val="24"/>
    </w:rPr>
  </w:style>
  <w:style w:type="paragraph" w:customStyle="1" w:styleId="8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3">
    <w:name w:val="表格文字"/>
    <w:basedOn w:val="1"/>
    <w:qFormat/>
    <w:uiPriority w:val="0"/>
    <w:pPr>
      <w:adjustRightInd w:val="0"/>
      <w:spacing w:line="420" w:lineRule="atLeast"/>
      <w:jc w:val="left"/>
      <w:textAlignment w:val="baseline"/>
    </w:pPr>
    <w:rPr>
      <w:kern w:val="0"/>
      <w:szCs w:val="20"/>
    </w:rPr>
  </w:style>
  <w:style w:type="paragraph" w:customStyle="1" w:styleId="84">
    <w:name w:val="样式 标题 3 + (中文) 黑体 小四 非加粗 段前: 7.8 磅 段后: 0 磅 行距: 固定值 20 磅"/>
    <w:basedOn w:val="5"/>
    <w:qFormat/>
    <w:uiPriority w:val="0"/>
    <w:pPr>
      <w:spacing w:before="0" w:after="0" w:line="400" w:lineRule="exact"/>
    </w:pPr>
    <w:rPr>
      <w:rFonts w:cs="宋体"/>
      <w:bCs w:val="0"/>
      <w:sz w:val="24"/>
      <w:szCs w:val="20"/>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6">
    <w:name w:val="表头"/>
    <w:basedOn w:val="1"/>
    <w:qFormat/>
    <w:uiPriority w:val="0"/>
    <w:pPr>
      <w:spacing w:line="360" w:lineRule="auto"/>
      <w:jc w:val="center"/>
    </w:pPr>
    <w:rPr>
      <w:rFonts w:ascii="黑体" w:eastAsia="黑体"/>
      <w:kern w:val="0"/>
      <w:sz w:val="24"/>
      <w:szCs w:val="20"/>
    </w:rPr>
  </w:style>
  <w:style w:type="paragraph" w:customStyle="1" w:styleId="87">
    <w:name w:val="_Style 84"/>
    <w:semiHidden/>
    <w:qFormat/>
    <w:uiPriority w:val="99"/>
    <w:rPr>
      <w:rFonts w:ascii="Calibri" w:hAnsi="Calibri" w:eastAsia="宋体" w:cs="Times New Roman"/>
      <w:kern w:val="2"/>
      <w:sz w:val="21"/>
      <w:szCs w:val="24"/>
      <w:lang w:val="en-US" w:eastAsia="zh-CN" w:bidi="ar-SA"/>
    </w:rPr>
  </w:style>
  <w:style w:type="paragraph" w:customStyle="1" w:styleId="88">
    <w:name w:val="Body text|3"/>
    <w:basedOn w:val="1"/>
    <w:qFormat/>
    <w:uiPriority w:val="0"/>
    <w:rPr>
      <w:rFonts w:ascii="宋体" w:hAnsi="宋体" w:cs="宋体"/>
      <w:sz w:val="20"/>
      <w:szCs w:val="20"/>
      <w:lang w:val="zh-TW" w:eastAsia="zh-TW" w:bidi="zh-TW"/>
    </w:rPr>
  </w:style>
  <w:style w:type="paragraph" w:customStyle="1" w:styleId="89">
    <w:name w:val="样式 宋体 行距: 1.5 倍行距"/>
    <w:basedOn w:val="1"/>
    <w:qFormat/>
    <w:uiPriority w:val="0"/>
    <w:pPr>
      <w:jc w:val="center"/>
    </w:pPr>
    <w:rPr>
      <w:b/>
      <w:bCs/>
    </w:rPr>
  </w:style>
  <w:style w:type="paragraph" w:customStyle="1" w:styleId="90">
    <w:name w:val="章节二"/>
    <w:basedOn w:val="1"/>
    <w:next w:val="1"/>
    <w:qFormat/>
    <w:uiPriority w:val="0"/>
    <w:pPr>
      <w:topLinePunct/>
      <w:adjustRightInd w:val="0"/>
      <w:snapToGrid w:val="0"/>
      <w:spacing w:beforeLines="50" w:afterLines="50"/>
      <w:jc w:val="center"/>
      <w:outlineLvl w:val="1"/>
    </w:pPr>
    <w:rPr>
      <w:rFonts w:ascii="Times New Roman" w:hAnsi="Times New Roman" w:eastAsia="黑体"/>
      <w:b/>
      <w:snapToGrid w:val="0"/>
      <w:spacing w:val="4"/>
      <w:kern w:val="0"/>
      <w:sz w:val="30"/>
      <w:szCs w:val="30"/>
    </w:rPr>
  </w:style>
  <w:style w:type="paragraph" w:customStyle="1" w:styleId="91">
    <w:name w:val="BodyText"/>
    <w:basedOn w:val="1"/>
    <w:qFormat/>
    <w:uiPriority w:val="0"/>
    <w:pPr>
      <w:spacing w:after="120"/>
    </w:pPr>
    <w:rPr>
      <w:sz w:val="20"/>
      <w:szCs w:val="20"/>
    </w:rPr>
  </w:style>
  <w:style w:type="paragraph" w:styleId="92">
    <w:name w:val="List Paragraph"/>
    <w:basedOn w:val="1"/>
    <w:qFormat/>
    <w:uiPriority w:val="0"/>
    <w:pPr>
      <w:ind w:firstLine="200" w:firstLineChars="200"/>
    </w:pPr>
  </w:style>
  <w:style w:type="paragraph" w:customStyle="1" w:styleId="93">
    <w:name w:val="_Style 31"/>
    <w:basedOn w:val="1"/>
    <w:next w:val="92"/>
    <w:qFormat/>
    <w:uiPriority w:val="0"/>
    <w:pPr>
      <w:ind w:firstLine="420" w:firstLineChars="200"/>
    </w:pPr>
  </w:style>
  <w:style w:type="paragraph" w:customStyle="1" w:styleId="94">
    <w:name w:val="表格文字居中"/>
    <w:basedOn w:val="1"/>
    <w:qFormat/>
    <w:uiPriority w:val="0"/>
    <w:pPr>
      <w:widowControl/>
      <w:spacing w:line="240" w:lineRule="atLeast"/>
      <w:jc w:val="center"/>
    </w:pPr>
    <w:rPr>
      <w:rFonts w:ascii="Times New Roman" w:hAnsi="Times New Roman" w:cs="宋体"/>
      <w:kern w:val="0"/>
      <w:szCs w:val="20"/>
    </w:rPr>
  </w:style>
  <w:style w:type="paragraph" w:customStyle="1" w:styleId="95">
    <w:name w:val="正文文本3"/>
    <w:basedOn w:val="1"/>
    <w:qFormat/>
    <w:uiPriority w:val="0"/>
    <w:pPr>
      <w:shd w:val="clear" w:color="auto" w:fill="FFFFFF"/>
      <w:spacing w:line="0" w:lineRule="atLeast"/>
      <w:jc w:val="left"/>
    </w:pPr>
    <w:rPr>
      <w:rFonts w:ascii="宋体" w:hAnsi="宋体" w:cs="宋体"/>
      <w:sz w:val="19"/>
      <w:szCs w:val="1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46104</Words>
  <Characters>48650</Characters>
  <Lines>413</Lines>
  <Paragraphs>116</Paragraphs>
  <TotalTime>1</TotalTime>
  <ScaleCrop>false</ScaleCrop>
  <LinksUpToDate>false</LinksUpToDate>
  <CharactersWithSpaces>52253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2022-08-18T01:19:00Z</dcterms:created>
  <dc:creator>Administrator</dc:creator>
  <cp:lastModifiedBy>admin</cp:lastModifiedBy>
  <cp:lastPrinted>2022-07-25T04:34:00Z</cp:lastPrinted>
  <dcterms:modified xsi:type="dcterms:W3CDTF">2023-03-17T07:39:24Z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216F009BDD4848838546E2D26517DEEE</vt:lpwstr>
  </property>
</Properties>
</file>