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宋体"/>
          <w:b/>
          <w:color w:val="000000" w:themeColor="text1"/>
          <w:sz w:val="44"/>
          <w:szCs w:val="44"/>
          <w:highlight w:val="none"/>
          <w:lang w:val="en-US" w:eastAsia="zh-CN"/>
          <w14:textFill>
            <w14:solidFill>
              <w14:schemeClr w14:val="tx1"/>
            </w14:solidFill>
          </w14:textFill>
        </w:rPr>
      </w:pPr>
    </w:p>
    <w:p>
      <w:pPr>
        <w:pStyle w:val="15"/>
        <w:rPr>
          <w:color w:val="000000" w:themeColor="text1"/>
          <w:highlight w:val="none"/>
          <w14:textFill>
            <w14:solidFill>
              <w14:schemeClr w14:val="tx1"/>
            </w14:solidFill>
          </w14:textFill>
        </w:rPr>
      </w:pPr>
    </w:p>
    <w:p>
      <w:pPr>
        <w:autoSpaceDE w:val="0"/>
        <w:autoSpaceDN w:val="0"/>
        <w:adjustRightInd w:val="0"/>
        <w:spacing w:line="360" w:lineRule="auto"/>
        <w:jc w:val="center"/>
        <w:rPr>
          <w:rFonts w:hint="eastAsia" w:asciiTheme="minorEastAsia" w:hAnsiTheme="minorEastAsia" w:eastAsiaTheme="minorEastAsia" w:cstheme="minorEastAsia"/>
          <w:b/>
          <w:color w:val="000000" w:themeColor="text1"/>
          <w:sz w:val="48"/>
          <w:szCs w:val="4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val="en-US" w:eastAsia="zh-CN"/>
          <w14:textFill>
            <w14:solidFill>
              <w14:schemeClr w14:val="tx1"/>
            </w14:solidFill>
          </w14:textFill>
        </w:rPr>
        <w:t>广州浪奇化工厂地块二(A)及广州浪奇化工厂地块二(B)土壤污染修复效果评估</w:t>
      </w:r>
    </w:p>
    <w:p>
      <w:pPr>
        <w:autoSpaceDE w:val="0"/>
        <w:autoSpaceDN w:val="0"/>
        <w:adjustRightInd w:val="0"/>
        <w:jc w:val="center"/>
        <w:rPr>
          <w:rFonts w:hint="eastAsia" w:eastAsia="宋体"/>
          <w:b/>
          <w:color w:val="000000" w:themeColor="text1"/>
          <w:sz w:val="44"/>
          <w:szCs w:val="44"/>
          <w:highlight w:val="none"/>
          <w:lang w:eastAsia="zh-CN"/>
          <w14:textFill>
            <w14:solidFill>
              <w14:schemeClr w14:val="tx1"/>
            </w14:solidFill>
          </w14:textFill>
        </w:rPr>
      </w:pPr>
    </w:p>
    <w:p>
      <w:pPr>
        <w:autoSpaceDE w:val="0"/>
        <w:autoSpaceDN w:val="0"/>
        <w:adjustRightInd w:val="0"/>
        <w:jc w:val="center"/>
        <w:rPr>
          <w:b/>
          <w:color w:val="000000" w:themeColor="text1"/>
          <w:sz w:val="44"/>
          <w:szCs w:val="44"/>
          <w:highlight w:val="none"/>
          <w14:textFill>
            <w14:solidFill>
              <w14:schemeClr w14:val="tx1"/>
            </w14:solidFill>
          </w14:textFill>
        </w:rPr>
      </w:pPr>
    </w:p>
    <w:p>
      <w:pPr>
        <w:spacing w:line="400" w:lineRule="exact"/>
        <w:jc w:val="right"/>
        <w:rPr>
          <w:color w:val="000000" w:themeColor="text1"/>
          <w:highlight w:val="none"/>
          <w14:textFill>
            <w14:solidFill>
              <w14:schemeClr w14:val="tx1"/>
            </w14:solidFill>
          </w14:textFill>
        </w:rPr>
      </w:pPr>
    </w:p>
    <w:p>
      <w:pPr>
        <w:pStyle w:val="1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5"/>
        <w:rPr>
          <w:color w:val="000000" w:themeColor="text1"/>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p>
    <w:p>
      <w:pPr>
        <w:rPr>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bCs/>
          <w:color w:val="000000" w:themeColor="text1"/>
          <w:spacing w:val="26"/>
          <w:sz w:val="110"/>
          <w:szCs w:val="110"/>
          <w:highlight w:val="none"/>
          <w14:textFill>
            <w14:solidFill>
              <w14:schemeClr w14:val="tx1"/>
            </w14:solidFill>
          </w14:textFill>
        </w:rPr>
      </w:pPr>
      <w:r>
        <w:rPr>
          <w:rFonts w:hint="eastAsia" w:ascii="宋体" w:hAnsi="宋体"/>
          <w:b/>
          <w:bCs/>
          <w:color w:val="000000" w:themeColor="text1"/>
          <w:spacing w:val="26"/>
          <w:sz w:val="96"/>
          <w:szCs w:val="110"/>
          <w:highlight w:val="none"/>
          <w14:textFill>
            <w14:solidFill>
              <w14:schemeClr w14:val="tx1"/>
            </w14:solidFill>
          </w14:textFill>
        </w:rPr>
        <w:t>招标公告</w:t>
      </w:r>
    </w:p>
    <w:p>
      <w:pPr>
        <w:spacing w:line="360" w:lineRule="auto"/>
        <w:rPr>
          <w:color w:val="000000" w:themeColor="text1"/>
          <w:sz w:val="32"/>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pacing w:line="360" w:lineRule="auto"/>
        <w:rPr>
          <w:color w:val="000000" w:themeColor="text1"/>
          <w:sz w:val="32"/>
          <w:highlight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ind w:left="0" w:leftChars="0" w:firstLine="0" w:firstLineChars="0"/>
        <w:textAlignment w:val="auto"/>
        <w:rPr>
          <w:rFonts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招</w:t>
      </w: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标</w:t>
      </w:r>
      <w:r>
        <w:rPr>
          <w:rFonts w:hint="eastAsia" w:ascii="宋体" w:hAnsi="宋体" w:cs="宋体"/>
          <w:color w:val="000000" w:themeColor="text1"/>
          <w:sz w:val="32"/>
          <w:szCs w:val="32"/>
          <w:highlight w:val="none"/>
          <w:lang w:val="en-US" w:eastAsia="zh-CN"/>
          <w14:textFill>
            <w14:solidFill>
              <w14:schemeClr w14:val="tx1"/>
            </w14:solidFill>
          </w14:textFill>
        </w:rPr>
        <w:t xml:space="preserve">   人</w:t>
      </w:r>
      <w:r>
        <w:rPr>
          <w:rFonts w:hint="eastAsia" w:ascii="宋体" w:hAns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u w:val="single"/>
          <w:lang w:eastAsia="zh-CN"/>
          <w14:textFill>
            <w14:solidFill>
              <w14:schemeClr w14:val="tx1"/>
            </w14:solidFill>
          </w14:textFill>
        </w:rPr>
        <w:t>广州璟逸房地产开发有限公司</w:t>
      </w:r>
    </w:p>
    <w:p>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招标代理机构：</w:t>
      </w:r>
      <w:r>
        <w:rPr>
          <w:rFonts w:hint="eastAsia" w:ascii="宋体" w:hAnsi="宋体" w:cs="宋体"/>
          <w:color w:val="000000" w:themeColor="text1"/>
          <w:sz w:val="32"/>
          <w:szCs w:val="32"/>
          <w:highlight w:val="none"/>
          <w:u w:val="single"/>
          <w14:textFill>
            <w14:solidFill>
              <w14:schemeClr w14:val="tx1"/>
            </w14:solidFill>
          </w14:textFill>
        </w:rPr>
        <w:t>广州珠江监理咨询集团有限公司</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jc w:val="both"/>
        <w:textAlignment w:val="auto"/>
        <w:rPr>
          <w:color w:val="000000" w:themeColor="text1"/>
          <w:sz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日期：</w:t>
      </w:r>
      <w:r>
        <w:rPr>
          <w:rFonts w:ascii="宋体" w:hAnsi="宋体" w:cs="宋体"/>
          <w:color w:val="000000" w:themeColor="text1"/>
          <w:sz w:val="32"/>
          <w:highlight w:val="none"/>
          <w:u w:val="single"/>
          <w14:textFill>
            <w14:solidFill>
              <w14:schemeClr w14:val="tx1"/>
            </w14:solidFill>
          </w14:textFill>
        </w:rPr>
        <w:t>202</w:t>
      </w:r>
      <w:r>
        <w:rPr>
          <w:rFonts w:hint="eastAsia" w:ascii="宋体" w:hAnsi="宋体" w:cs="宋体"/>
          <w:color w:val="000000" w:themeColor="text1"/>
          <w:sz w:val="32"/>
          <w:highlight w:val="none"/>
          <w:u w:val="single"/>
          <w:lang w:val="en-US" w:eastAsia="zh-CN"/>
          <w14:textFill>
            <w14:solidFill>
              <w14:schemeClr w14:val="tx1"/>
            </w14:solidFill>
          </w14:textFill>
        </w:rPr>
        <w:t>5</w:t>
      </w:r>
      <w:r>
        <w:rPr>
          <w:rFonts w:hint="eastAsia" w:ascii="宋体" w:hAnsi="宋体" w:cs="宋体"/>
          <w:color w:val="000000" w:themeColor="text1"/>
          <w:sz w:val="32"/>
          <w:highlight w:val="none"/>
          <w14:textFill>
            <w14:solidFill>
              <w14:schemeClr w14:val="tx1"/>
            </w14:solidFill>
          </w14:textFill>
        </w:rPr>
        <w:t>年</w:t>
      </w:r>
      <w:r>
        <w:rPr>
          <w:rFonts w:hint="eastAsia" w:ascii="宋体" w:hAnsi="宋体" w:cs="宋体"/>
          <w:color w:val="000000" w:themeColor="text1"/>
          <w:sz w:val="32"/>
          <w:highlight w:val="none"/>
          <w:u w:val="single"/>
          <w:lang w:val="en-US" w:eastAsia="zh-CN"/>
          <w14:textFill>
            <w14:solidFill>
              <w14:schemeClr w14:val="tx1"/>
            </w14:solidFill>
          </w14:textFill>
        </w:rPr>
        <w:t>12</w:t>
      </w:r>
      <w:r>
        <w:rPr>
          <w:rFonts w:hint="eastAsia" w:ascii="宋体" w:hAnsi="宋体" w:cs="宋体"/>
          <w:color w:val="000000" w:themeColor="text1"/>
          <w:sz w:val="32"/>
          <w:highlight w:val="none"/>
          <w14:textFill>
            <w14:solidFill>
              <w14:schemeClr w14:val="tx1"/>
            </w14:solidFill>
          </w14:textFill>
        </w:rPr>
        <w:t>月</w:t>
      </w:r>
    </w:p>
    <w:p>
      <w:pPr>
        <w:spacing w:line="360" w:lineRule="auto"/>
        <w:jc w:val="both"/>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adjustRightInd w:val="0"/>
        <w:snapToGrid w:val="0"/>
        <w:spacing w:line="360" w:lineRule="auto"/>
        <w:jc w:val="center"/>
        <w:rPr>
          <w:rFonts w:hint="eastAsia" w:ascii="宋体" w:hAnsi="宋体" w:cs="宋体"/>
          <w:b/>
          <w:bCs/>
          <w:color w:val="000000" w:themeColor="text1"/>
          <w:sz w:val="32"/>
          <w:szCs w:val="36"/>
          <w:highlight w:val="none"/>
          <w:lang w:val="en-US" w:eastAsia="zh-CN"/>
          <w14:textFill>
            <w14:solidFill>
              <w14:schemeClr w14:val="tx1"/>
            </w14:solidFill>
          </w14:textFill>
        </w:rPr>
      </w:pPr>
      <w:r>
        <w:rPr>
          <w:rFonts w:hint="eastAsia" w:ascii="宋体" w:hAnsi="宋体" w:cs="宋体"/>
          <w:b/>
          <w:bCs/>
          <w:color w:val="000000" w:themeColor="text1"/>
          <w:sz w:val="32"/>
          <w:szCs w:val="36"/>
          <w:highlight w:val="none"/>
          <w:lang w:val="en-US" w:eastAsia="zh-CN"/>
          <w14:textFill>
            <w14:solidFill>
              <w14:schemeClr w14:val="tx1"/>
            </w14:solidFill>
          </w14:textFill>
        </w:rPr>
        <w:t>广州浪奇化工厂地块二(A)及广州浪奇化工厂地块二(B)</w:t>
      </w:r>
    </w:p>
    <w:p>
      <w:pPr>
        <w:adjustRightInd w:val="0"/>
        <w:snapToGrid w:val="0"/>
        <w:spacing w:line="360" w:lineRule="auto"/>
        <w:jc w:val="center"/>
        <w:rPr>
          <w:rFonts w:hint="eastAsia" w:ascii="宋体" w:hAnsi="宋体" w:cs="宋体"/>
          <w:b/>
          <w:bCs/>
          <w:color w:val="000000" w:themeColor="text1"/>
          <w:sz w:val="32"/>
          <w:szCs w:val="36"/>
          <w:highlight w:val="none"/>
          <w:lang w:val="en-US" w:eastAsia="zh-CN"/>
          <w14:textFill>
            <w14:solidFill>
              <w14:schemeClr w14:val="tx1"/>
            </w14:solidFill>
          </w14:textFill>
        </w:rPr>
      </w:pPr>
      <w:r>
        <w:rPr>
          <w:rFonts w:hint="eastAsia" w:ascii="宋体" w:hAnsi="宋体" w:cs="宋体"/>
          <w:b/>
          <w:bCs/>
          <w:color w:val="000000" w:themeColor="text1"/>
          <w:sz w:val="32"/>
          <w:szCs w:val="36"/>
          <w:highlight w:val="none"/>
          <w:lang w:val="en-US" w:eastAsia="zh-CN"/>
          <w14:textFill>
            <w14:solidFill>
              <w14:schemeClr w14:val="tx1"/>
            </w14:solidFill>
          </w14:textFill>
        </w:rPr>
        <w:t>土壤污染修复效果评估</w:t>
      </w:r>
    </w:p>
    <w:p>
      <w:pPr>
        <w:adjustRightInd w:val="0"/>
        <w:snapToGrid w:val="0"/>
        <w:spacing w:line="360" w:lineRule="auto"/>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2"/>
          <w:szCs w:val="36"/>
          <w:highlight w:val="none"/>
          <w14:textFill>
            <w14:solidFill>
              <w14:schemeClr w14:val="tx1"/>
            </w14:solidFill>
          </w14:textFill>
        </w:rPr>
        <w:t>招标公告</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0" w:name="_Toc527028841"/>
      <w:bookmarkStart w:id="1" w:name="_Toc511557025"/>
      <w:r>
        <w:rPr>
          <w:rFonts w:ascii="Times New Roman" w:hAnsi="Times New Roman"/>
          <w:color w:val="000000" w:themeColor="text1"/>
          <w:highlight w:val="none"/>
          <w14:textFill>
            <w14:solidFill>
              <w14:schemeClr w14:val="tx1"/>
            </w14:solidFill>
          </w14:textFill>
        </w:rPr>
        <w:t>1. 招标条件</w:t>
      </w:r>
      <w:bookmarkEnd w:id="0"/>
      <w:bookmarkEnd w:id="1"/>
    </w:p>
    <w:p>
      <w:pPr>
        <w:spacing w:line="500" w:lineRule="exact"/>
        <w:ind w:firstLine="480" w:firstLineChars="200"/>
        <w:rPr>
          <w:rFonts w:hint="eastAsia"/>
          <w:color w:val="000000" w:themeColor="text1"/>
          <w:sz w:val="24"/>
          <w:szCs w:val="24"/>
          <w:highlight w:val="none"/>
          <w14:textFill>
            <w14:solidFill>
              <w14:schemeClr w14:val="tx1"/>
            </w14:solidFill>
          </w14:textFill>
        </w:rPr>
      </w:pPr>
      <w:bookmarkStart w:id="2" w:name="_Toc511557026"/>
      <w:r>
        <w:rPr>
          <w:rFonts w:hint="eastAsia"/>
          <w:color w:val="000000" w:themeColor="text1"/>
          <w:sz w:val="24"/>
          <w:szCs w:val="24"/>
          <w:highlight w:val="none"/>
          <w14:textFill>
            <w14:solidFill>
              <w14:schemeClr w14:val="tx1"/>
            </w14:solidFill>
          </w14:textFill>
        </w:rPr>
        <w:t>本招标项目业主为</w:t>
      </w:r>
      <w:r>
        <w:rPr>
          <w:rFonts w:hint="eastAsia"/>
          <w:color w:val="000000" w:themeColor="text1"/>
          <w:sz w:val="24"/>
          <w:szCs w:val="24"/>
          <w:highlight w:val="none"/>
          <w:u w:val="single"/>
          <w:lang w:val="en-US" w:eastAsia="zh-CN"/>
          <w14:textFill>
            <w14:solidFill>
              <w14:schemeClr w14:val="tx1"/>
            </w14:solidFill>
          </w14:textFill>
        </w:rPr>
        <w:t>广州璟逸房地产开发有限公司</w:t>
      </w:r>
      <w:r>
        <w:rPr>
          <w:rFonts w:hint="eastAsia"/>
          <w:color w:val="000000" w:themeColor="text1"/>
          <w:sz w:val="24"/>
          <w:szCs w:val="24"/>
          <w:highlight w:val="none"/>
          <w14:textFill>
            <w14:solidFill>
              <w14:schemeClr w14:val="tx1"/>
            </w14:solidFill>
          </w14:textFill>
        </w:rPr>
        <w:t>，建设资金来自</w:t>
      </w:r>
      <w:bookmarkStart w:id="3" w:name="_Hlk80179351"/>
      <w:r>
        <w:rPr>
          <w:rFonts w:hint="eastAsia"/>
          <w:color w:val="000000" w:themeColor="text1"/>
          <w:sz w:val="24"/>
          <w:szCs w:val="24"/>
          <w:highlight w:val="none"/>
          <w:u w:val="single"/>
          <w:lang w:val="en-US" w:eastAsia="zh-CN"/>
          <w14:textFill>
            <w14:solidFill>
              <w14:schemeClr w14:val="tx1"/>
            </w14:solidFill>
          </w14:textFill>
        </w:rPr>
        <w:t>企业自筹资金</w:t>
      </w:r>
      <w:r>
        <w:rPr>
          <w:rFonts w:hint="eastAsia"/>
          <w:color w:val="000000" w:themeColor="text1"/>
          <w:sz w:val="24"/>
          <w:szCs w:val="24"/>
          <w:highlight w:val="none"/>
          <w14:textFill>
            <w14:solidFill>
              <w14:schemeClr w14:val="tx1"/>
            </w14:solidFill>
          </w14:textFill>
        </w:rPr>
        <w:t>，项目出资比例为</w:t>
      </w:r>
      <w:r>
        <w:rPr>
          <w:rFonts w:hint="eastAsia"/>
          <w:color w:val="000000" w:themeColor="text1"/>
          <w:sz w:val="24"/>
          <w:szCs w:val="24"/>
          <w:highlight w:val="none"/>
          <w:u w:val="single"/>
          <w14:textFill>
            <w14:solidFill>
              <w14:schemeClr w14:val="tx1"/>
            </w14:solidFill>
          </w14:textFill>
        </w:rPr>
        <w:t>100%</w:t>
      </w:r>
      <w:r>
        <w:rPr>
          <w:rFonts w:hint="eastAsia"/>
          <w:color w:val="000000" w:themeColor="text1"/>
          <w:sz w:val="24"/>
          <w:szCs w:val="24"/>
          <w:highlight w:val="none"/>
          <w14:textFill>
            <w14:solidFill>
              <w14:schemeClr w14:val="tx1"/>
            </w14:solidFill>
          </w14:textFill>
        </w:rPr>
        <w:t>，</w:t>
      </w:r>
      <w:bookmarkEnd w:id="3"/>
      <w:r>
        <w:rPr>
          <w:rFonts w:hint="eastAsia"/>
          <w:color w:val="000000" w:themeColor="text1"/>
          <w:sz w:val="24"/>
          <w:szCs w:val="24"/>
          <w:highlight w:val="none"/>
          <w14:textFill>
            <w14:solidFill>
              <w14:schemeClr w14:val="tx1"/>
            </w14:solidFill>
          </w14:textFill>
        </w:rPr>
        <w:t>招标人为</w:t>
      </w:r>
      <w:r>
        <w:rPr>
          <w:rFonts w:hint="eastAsia"/>
          <w:color w:val="000000" w:themeColor="text1"/>
          <w:sz w:val="24"/>
          <w:szCs w:val="24"/>
          <w:highlight w:val="none"/>
          <w:lang w:eastAsia="zh-CN"/>
          <w14:textFill>
            <w14:solidFill>
              <w14:schemeClr w14:val="tx1"/>
            </w14:solidFill>
          </w14:textFill>
        </w:rPr>
        <w:t>广州璟逸房地产开发有限公司</w:t>
      </w:r>
      <w:r>
        <w:rPr>
          <w:rFonts w:hint="eastAsia"/>
          <w:color w:val="000000" w:themeColor="text1"/>
          <w:sz w:val="24"/>
          <w:szCs w:val="24"/>
          <w:highlight w:val="none"/>
          <w14:textFill>
            <w14:solidFill>
              <w14:schemeClr w14:val="tx1"/>
            </w14:solidFill>
          </w14:textFill>
        </w:rPr>
        <w:t>。项目已具备招标条件，现对该项目进行公开招标。</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4" w:name="_Toc527028842"/>
      <w:r>
        <w:rPr>
          <w:rFonts w:ascii="Times New Roman" w:hAnsi="Times New Roman"/>
          <w:color w:val="000000" w:themeColor="text1"/>
          <w:highlight w:val="none"/>
          <w14:textFill>
            <w14:solidFill>
              <w14:schemeClr w14:val="tx1"/>
            </w14:solidFill>
          </w14:textFill>
        </w:rPr>
        <w:t>2. 项目概况与</w:t>
      </w:r>
      <w:r>
        <w:rPr>
          <w:rFonts w:hint="eastAsia" w:ascii="Times New Roman" w:hAnsi="Times New Roman"/>
          <w:color w:val="000000" w:themeColor="text1"/>
          <w:highlight w:val="none"/>
          <w14:textFill>
            <w14:solidFill>
              <w14:schemeClr w14:val="tx1"/>
            </w14:solidFill>
          </w14:textFill>
        </w:rPr>
        <w:t>招标范围</w:t>
      </w:r>
      <w:bookmarkEnd w:id="2"/>
      <w:bookmarkEnd w:id="4"/>
    </w:p>
    <w:p>
      <w:pPr>
        <w:spacing w:line="500" w:lineRule="exact"/>
        <w:ind w:firstLine="480" w:firstLineChars="20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2.1项目名称：</w:t>
      </w:r>
      <w:r>
        <w:rPr>
          <w:rFonts w:hint="eastAsia" w:ascii="宋体" w:hAnsi="宋体"/>
          <w:color w:val="000000" w:themeColor="text1"/>
          <w:sz w:val="24"/>
          <w:highlight w:val="none"/>
          <w:u w:val="single"/>
          <w:lang w:eastAsia="zh-CN"/>
          <w14:textFill>
            <w14:solidFill>
              <w14:schemeClr w14:val="tx1"/>
            </w14:solidFill>
          </w14:textFill>
        </w:rPr>
        <w:t>广州浪奇化工厂地块二(A)及广州浪奇化工厂地块二(B)土壤污染修复效果评估</w:t>
      </w:r>
    </w:p>
    <w:p>
      <w:pPr>
        <w:spacing w:line="500" w:lineRule="exact"/>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2.2 建设地点：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广州市</w:t>
      </w:r>
      <w:r>
        <w:rPr>
          <w:rFonts w:hint="eastAsia" w:ascii="宋体" w:hAnsi="宋体" w:eastAsia="宋体" w:cs="宋体"/>
          <w:color w:val="000000" w:themeColor="text1"/>
          <w:sz w:val="24"/>
          <w:szCs w:val="24"/>
          <w:highlight w:val="none"/>
          <w:u w:val="single"/>
          <w14:textFill>
            <w14:solidFill>
              <w14:schemeClr w14:val="tx1"/>
            </w14:solidFill>
          </w14:textFill>
        </w:rPr>
        <w:t>金融城东区，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黄埔大道东128号</w:t>
      </w:r>
      <w:r>
        <w:rPr>
          <w:rFonts w:hint="eastAsia" w:ascii="宋体" w:hAnsi="宋体" w:cs="宋体"/>
          <w:bCs/>
          <w:color w:val="000000" w:themeColor="text1"/>
          <w:sz w:val="24"/>
          <w:szCs w:val="24"/>
          <w:highlight w:val="none"/>
          <w:u w:val="singl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2.3项目规模和标段划分</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480" w:firstLineChars="200"/>
        <w:jc w:val="both"/>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项目规模：</w:t>
      </w:r>
    </w:p>
    <w:p>
      <w:pPr>
        <w:spacing w:line="500" w:lineRule="exact"/>
        <w:ind w:firstLine="480" w:firstLineChars="200"/>
        <w:rPr>
          <w:rFonts w:hint="eastAsia"/>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广州浪奇化工厂地块二(A)需要处理的污染土堆约10595.37m3(包括本地块剩余污染土6429.53m3和其他地块暂存的污染土4165.84m3)；环境管理土壤工程量约1644.5m³；高臭味强度土壤约24083m³，低臭味强度土壤约56083m³；废水处理工程量约12729.85m³；基坑支护施工；危废堆体约420.99m³，化学氧化后处置后堆土约10039.02m³，热脱附处置后堆土约4625.27m³，疑似污染土约5033.15m³，清洁土约9172.49m³，具体以备案方案为准。</w:t>
      </w:r>
    </w:p>
    <w:p>
      <w:pPr>
        <w:spacing w:line="500" w:lineRule="exact"/>
        <w:ind w:firstLine="480" w:firstLineChars="200"/>
        <w:rPr>
          <w:rFonts w:hint="eastAsia"/>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u w:val="single"/>
          <w:lang w:val="en-US" w:eastAsia="zh-CN"/>
          <w14:textFill>
            <w14:solidFill>
              <w14:schemeClr w14:val="tx1"/>
            </w14:solidFill>
          </w14:textFill>
        </w:rPr>
        <w:t>广州浪奇化工厂地块二(B)需要清挖处置的土壤工程量约 8420.5m³(包括石油烃(C10-C40)污染土工程量约5967.1m³，镍污染土工程量约2453.4m³，含镍危废土壤工程量约 118.62m³);环境管理土壤工程量约5387.25m³:高臭味强度土壤约20461.73m³,低臭味强度土壤约39010.25m³,废水处理工程量约26812.65m³基坑支护施工，清洁土约53000m³，具体以备案方案为准。</w:t>
      </w:r>
    </w:p>
    <w:p>
      <w:pPr>
        <w:spacing w:line="500" w:lineRule="exact"/>
        <w:ind w:firstLine="480" w:firstLineChars="200"/>
        <w:rPr>
          <w:bCs/>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bCs/>
          <w:color w:val="000000" w:themeColor="text1"/>
          <w:sz w:val="24"/>
          <w:szCs w:val="24"/>
          <w:highlight w:val="none"/>
          <w14:textFill>
            <w14:solidFill>
              <w14:schemeClr w14:val="tx1"/>
            </w14:solidFill>
          </w14:textFill>
        </w:rPr>
        <w:t>标段划分：</w:t>
      </w:r>
      <w:r>
        <w:rPr>
          <w:rFonts w:hint="eastAsia"/>
          <w:bCs/>
          <w:color w:val="000000" w:themeColor="text1"/>
          <w:sz w:val="24"/>
          <w:szCs w:val="24"/>
          <w:highlight w:val="none"/>
          <w:u w:val="single"/>
          <w14:textFill>
            <w14:solidFill>
              <w14:schemeClr w14:val="tx1"/>
            </w14:solidFill>
          </w14:textFill>
        </w:rPr>
        <w:t>本项目划分1个标段。</w:t>
      </w:r>
    </w:p>
    <w:p>
      <w:pPr>
        <w:spacing w:line="5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2.4招标范围及工作内容</w:t>
      </w:r>
    </w:p>
    <w:p>
      <w:pPr>
        <w:spacing w:line="5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根据国家和地方有关环境监测技术规范要求，通过监测、取样、检测等相关手段，对土壤污染修复工程与修复效果进行验收检测、分析、评估；确认修复后的地块土壤检测值及地下水相关监测值是否符合国家及地方环保相关法律法规、技术规范的要求，是否达到已备案《广州浪奇化工厂地块二(A)土壤污染风险评估报告》《广州浪奇化工厂地块二(B)土壤污染风险评估报告》（以下简称《风险评估报告》）及《土壤污染修复方案》等文件中要求的修复目标值；最终效果评估报告须达到省、市生态环境主管部门的验收备案条件，直至完成本项目地块从广东省建设用地土壤污染风险管控和修复名录中移出工作；协助协调项目施工及效果评估过程中内外所需的各项事宜，使效果评估报告顺利通过各级主管部门验收（具体验收程序及验收部门，以现行生态环境主管部门规定为准）。</w:t>
      </w:r>
    </w:p>
    <w:p>
      <w:pPr>
        <w:spacing w:line="500" w:lineRule="exact"/>
        <w:ind w:firstLine="482" w:firstLineChars="200"/>
        <w:rPr>
          <w:rFonts w:hint="default" w:eastAsia="宋体"/>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注：具体服务内容详见本项目服务合同。</w:t>
      </w:r>
    </w:p>
    <w:p>
      <w:pPr>
        <w:spacing w:line="5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2.5服务期限</w:t>
      </w:r>
    </w:p>
    <w:p>
      <w:pPr>
        <w:pStyle w:val="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themeColor="text1"/>
          <w:sz w:val="24"/>
          <w:highlight w:val="none"/>
          <w14:textFill>
            <w14:solidFill>
              <w14:schemeClr w14:val="tx1"/>
            </w14:solidFill>
          </w14:textFill>
        </w:rPr>
      </w:pPr>
      <w:bookmarkStart w:id="5" w:name="_Hlk136249883"/>
      <w:r>
        <w:rPr>
          <w:rFonts w:hint="eastAsia" w:ascii="宋体" w:hAnsi="宋体" w:eastAsia="宋体" w:cs="Times New Roman"/>
          <w:color w:val="000000" w:themeColor="text1"/>
          <w:sz w:val="24"/>
          <w:highlight w:val="none"/>
          <w14:textFill>
            <w14:solidFill>
              <w14:schemeClr w14:val="tx1"/>
            </w14:solidFill>
          </w14:textFill>
        </w:rPr>
        <w:t>效果评估服务期为自合同签订之日起，至</w:t>
      </w:r>
      <w:r>
        <w:rPr>
          <w:rFonts w:hint="eastAsia" w:ascii="宋体" w:hAnsi="宋体" w:eastAsia="宋体" w:cs="Times New Roman"/>
          <w:color w:val="000000" w:themeColor="text1"/>
          <w:sz w:val="24"/>
          <w:highlight w:val="none"/>
          <w:lang w:eastAsia="zh-CN"/>
          <w14:textFill>
            <w14:solidFill>
              <w14:schemeClr w14:val="tx1"/>
            </w14:solidFill>
          </w14:textFill>
        </w:rPr>
        <w:t>地块移出广东省建设用地土壤污染风险管控和修复名录</w:t>
      </w:r>
      <w:r>
        <w:rPr>
          <w:rFonts w:hint="eastAsia" w:ascii="宋体" w:hAnsi="宋体" w:cs="Times New Roman"/>
          <w:color w:val="000000" w:themeColor="text1"/>
          <w:sz w:val="24"/>
          <w:highlight w:val="none"/>
          <w:lang w:val="en-US" w:eastAsia="zh-CN"/>
          <w14:textFill>
            <w14:solidFill>
              <w14:schemeClr w14:val="tx1"/>
            </w14:solidFill>
          </w14:textFill>
        </w:rPr>
        <w:t>止</w:t>
      </w:r>
      <w:r>
        <w:rPr>
          <w:rFonts w:hint="eastAsia" w:ascii="宋体" w:hAnsi="宋体" w:eastAsia="宋体" w:cs="Times New Roman"/>
          <w:color w:val="000000" w:themeColor="text1"/>
          <w:sz w:val="24"/>
          <w:highlight w:val="none"/>
          <w14:textFill>
            <w14:solidFill>
              <w14:schemeClr w14:val="tx1"/>
            </w14:solidFill>
          </w14:textFill>
        </w:rPr>
        <w:t>。</w:t>
      </w:r>
    </w:p>
    <w:bookmarkEnd w:id="5"/>
    <w:p>
      <w:pPr>
        <w:spacing w:line="5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2.6 </w:t>
      </w:r>
      <w:r>
        <w:rPr>
          <w:rFonts w:hint="eastAsia" w:ascii="宋体" w:hAnsi="宋体" w:cs="宋体"/>
          <w:color w:val="000000" w:themeColor="text1"/>
          <w:sz w:val="24"/>
          <w:szCs w:val="24"/>
          <w:highlight w:val="none"/>
          <w14:textFill>
            <w14:solidFill>
              <w14:schemeClr w14:val="tx1"/>
            </w14:solidFill>
          </w14:textFill>
        </w:rPr>
        <w:t>最高投标限价（即招标控制价）</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cs="宋体"/>
          <w:b w:val="0"/>
          <w:bCs w:val="0"/>
          <w:i w:val="0"/>
          <w:iCs w:val="0"/>
          <w:color w:val="000000" w:themeColor="text1"/>
          <w:kern w:val="2"/>
          <w:sz w:val="24"/>
          <w:szCs w:val="24"/>
          <w:highlight w:val="none"/>
          <w:u w:val="single"/>
          <w:lang w:val="en-US" w:eastAsia="zh-CN" w:bidi="ar"/>
          <w14:textFill>
            <w14:solidFill>
              <w14:schemeClr w14:val="tx1"/>
            </w14:solidFill>
          </w14:textFill>
        </w:rPr>
        <w:t>4,881,936.00</w:t>
      </w:r>
      <w:r>
        <w:rPr>
          <w:rFonts w:hint="eastAsia" w:ascii="宋体" w:hAnsi="宋体" w:cs="宋体"/>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highlight w:val="none"/>
          <w:u w:val="single"/>
          <w:lang w:val="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(投标人的投标总报价不能超过招标人公布的最高投标限价</w:t>
      </w: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投标总报价超过最高投标限价的投标文件将被</w:t>
      </w:r>
      <w:r>
        <w:rPr>
          <w:rFonts w:hint="eastAsia" w:ascii="宋体" w:hAnsi="宋体" w:cs="宋体"/>
          <w:bCs/>
          <w:color w:val="000000" w:themeColor="text1"/>
          <w:sz w:val="24"/>
          <w:szCs w:val="24"/>
          <w:highlight w:val="none"/>
          <w:lang w:val="en-US" w:eastAsia="zh-CN"/>
          <w14:textFill>
            <w14:solidFill>
              <w14:schemeClr w14:val="tx1"/>
            </w14:solidFill>
          </w14:textFill>
        </w:rPr>
        <w:t>否决</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6" w:name="_Toc511557027"/>
      <w:bookmarkStart w:id="7" w:name="_Toc527028843"/>
      <w:r>
        <w:rPr>
          <w:rFonts w:ascii="Times New Roman" w:hAnsi="Times New Roman"/>
          <w:color w:val="000000" w:themeColor="text1"/>
          <w:highlight w:val="none"/>
          <w14:textFill>
            <w14:solidFill>
              <w14:schemeClr w14:val="tx1"/>
            </w14:solidFill>
          </w14:textFill>
        </w:rPr>
        <w:t>3. 投标人资格要求</w:t>
      </w:r>
      <w:bookmarkEnd w:id="6"/>
      <w:bookmarkEnd w:id="7"/>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3.1投标人参加投标的意思表达清楚，法定代表人证明书及投标人代表被授权有效。</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3.2投标人具有独立法人资格，持有事业单位登记管理部门核发的事业单位法人证书或工商行政</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市场监督</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管理部门核发的企业法人营业执照，按国家法律经营。</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3投标人拟委派项目负责人具有生态环境类专业副高级（或以上）技术职称。（注：提供有效的职称证书扫描件，拟委派项目负责人在投标截止日前半年内任意连续三个月有效的社保证明材料，社保证明需能反映参保人在该投标单位参保。）</w:t>
      </w:r>
    </w:p>
    <w:p>
      <w:pPr>
        <w:spacing w:line="500" w:lineRule="exact"/>
        <w:ind w:firstLine="480" w:firstLineChars="200"/>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3.4投标人业绩要求：投标人自2020年1月1日至投标截止时间完成过类似项目污染地块修复效果评估项目（类似项目是指土壤污染修复类项目，不包括固体废弃物处置、油泥治理、垃圾填埋场修复、矿山修复、农田修复）。注：（1）须同时提供①合同关键页扫描件（含签订双方的单位名称、项目名称、工作内容、盖章页、签订日期等信息的关键页）；②生态环境行政主管部门组织专家会通过的评审意见或生态环境行政主管部门的备案函或地块移出土壤污染风险管控和修复名录的佐证材料扫描件。（2）须为投标人独立承接或作为联合体牵头方承接的业绩。投标人的上级单位（如总公司、集团公司等）或其具备独立法人资格的下属单位的业绩，以及分包业绩，均不予认定。（3）业绩时间以合同签订时间为准。</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3.5</w:t>
      </w:r>
      <w:r>
        <w:rPr>
          <w:rFonts w:hint="eastAsia" w:ascii="宋体" w:hAnsi="宋体" w:cs="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cs="宋体"/>
          <w:color w:val="000000" w:themeColor="text1"/>
          <w:sz w:val="24"/>
          <w:szCs w:val="24"/>
          <w:highlight w:val="none"/>
          <w14:textFill>
            <w14:solidFill>
              <w14:schemeClr w14:val="tx1"/>
            </w14:solidFill>
          </w14:textFill>
        </w:rPr>
        <w:t>条内容进行评审）。如不同投标申请人出现单位负责人为同一人或者存在控股、管理关系的情形，则相关投标均无效。</w:t>
      </w:r>
    </w:p>
    <w:p>
      <w:pPr>
        <w:spacing w:line="5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6资格审查前，投标人须在广州公共资源交易中心办理企业信息登记，企业信息取自投标截止时间投标人在广州公共资源交易中心企业库内登记的信息。</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关于联合体投标：本</w:t>
      </w:r>
      <w:r>
        <w:rPr>
          <w:rFonts w:hint="eastAsia" w:ascii="宋体" w:hAnsi="宋体" w:cs="宋体"/>
          <w:color w:val="000000" w:themeColor="text1"/>
          <w:sz w:val="24"/>
          <w:szCs w:val="24"/>
          <w:highlight w:val="none"/>
          <w:lang w:val="en-US"/>
          <w14:textFill>
            <w14:solidFill>
              <w14:schemeClr w14:val="tx1"/>
            </w14:solidFill>
          </w14:textFill>
        </w:rPr>
        <w:t>项目</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不接受</w:t>
      </w:r>
      <w:r>
        <w:rPr>
          <w:rFonts w:hint="eastAsia" w:ascii="宋体" w:hAnsi="宋体" w:cs="宋体"/>
          <w:color w:val="000000" w:themeColor="text1"/>
          <w:sz w:val="24"/>
          <w:szCs w:val="24"/>
          <w:highlight w:val="none"/>
          <w14:textFill>
            <w14:solidFill>
              <w14:schemeClr w14:val="tx1"/>
            </w14:solidFill>
          </w14:textFill>
        </w:rPr>
        <w:t>联合体投标。</w:t>
      </w:r>
    </w:p>
    <w:p>
      <w:pPr>
        <w:spacing w:line="50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注：未在招标公告第3条单列的投标人资格要求条件，不作为资审不合格的依据。</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8" w:name="_Toc511557028"/>
      <w:bookmarkStart w:id="9" w:name="_Toc527028844"/>
      <w:r>
        <w:rPr>
          <w:rFonts w:ascii="Times New Roman" w:hAnsi="Times New Roman"/>
          <w:color w:val="000000" w:themeColor="text1"/>
          <w:highlight w:val="none"/>
          <w14:textFill>
            <w14:solidFill>
              <w14:schemeClr w14:val="tx1"/>
            </w14:solidFill>
          </w14:textFill>
        </w:rPr>
        <w:t xml:space="preserve">4. </w:t>
      </w:r>
      <w:r>
        <w:rPr>
          <w:rFonts w:hint="eastAsia" w:ascii="Times New Roman" w:hAnsi="Times New Roman"/>
          <w:color w:val="000000" w:themeColor="text1"/>
          <w:highlight w:val="none"/>
          <w14:textFill>
            <w14:solidFill>
              <w14:schemeClr w14:val="tx1"/>
            </w14:solidFill>
          </w14:textFill>
        </w:rPr>
        <w:t>招标文件的获取</w:t>
      </w:r>
      <w:bookmarkEnd w:id="8"/>
      <w:bookmarkEnd w:id="9"/>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4.1凡有意参加投标者，请于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分至</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分(北京时间，下同)，登录广州交易集团有限公司（广州公共资源交易中心）网站（http//www.gzggzy.cn）下载电子招标文件。</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发布招标公告时间（含本日）：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时分。</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注：发布招标公告的时间为招标公告发出之日起至递交投标文件截止时间止。</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4.2.1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4.2.2开标时间：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本项目采用资格后审方式。</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注：（1）电子招投标操作流程详见广州交易集团有限公司（广州公共资源交易中心）网站发布的最新版操作指引。</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（2）本公告发布之日起开始计算备标时间。</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4.4潜在投标人或利害关系人对本招标公告及招标文件有异议的，应当在投标截止时间10日前向招标人书面提出。</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异议受理部门：</w:t>
      </w:r>
      <w:r>
        <w:rPr>
          <w:rFonts w:hint="eastAsia" w:ascii="宋体" w:hAnsi="宋体" w:cs="宋体"/>
          <w:color w:val="000000" w:themeColor="text1"/>
          <w:sz w:val="24"/>
          <w:szCs w:val="24"/>
          <w:highlight w:val="none"/>
          <w:u w:val="single"/>
          <w:lang w:val="en-US" w:eastAsia="zh-CN"/>
          <w14:textFill>
            <w14:solidFill>
              <w14:schemeClr w14:val="tx1"/>
            </w14:solidFill>
          </w14:textFill>
        </w:rPr>
        <w:t>广州璟逸房地产开发有限公司</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异议受理电话：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020-32689223</w:t>
      </w:r>
    </w:p>
    <w:p>
      <w:pPr>
        <w:spacing w:line="5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bookmarkStart w:id="10" w:name="OLE_LINK1"/>
      <w:bookmarkStart w:id="45" w:name="_GoBack"/>
      <w:r>
        <w:rPr>
          <w:rFonts w:hint="eastAsia" w:ascii="宋体" w:hAnsi="宋体" w:cs="宋体"/>
          <w:color w:val="000000" w:themeColor="text1"/>
          <w:sz w:val="24"/>
          <w:szCs w:val="24"/>
          <w:highlight w:val="none"/>
          <w:u w:val="single"/>
          <w:lang w:val="en-US" w:eastAsia="zh-CN"/>
          <w14:textFill>
            <w14:solidFill>
              <w14:schemeClr w14:val="tx1"/>
            </w14:solidFill>
          </w14:textFill>
        </w:rPr>
        <w:t>广州市天河区车陂路586号B106房</w:t>
      </w:r>
      <w:bookmarkEnd w:id="10"/>
      <w:bookmarkEnd w:id="45"/>
    </w:p>
    <w:p>
      <w:pPr>
        <w:spacing w:line="500" w:lineRule="exact"/>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11" w:name="_Toc511557029"/>
      <w:bookmarkStart w:id="12" w:name="_Toc527028845"/>
      <w:r>
        <w:rPr>
          <w:rFonts w:hint="eastAsia" w:ascii="Times New Roman" w:hAnsi="Times New Roman"/>
          <w:color w:val="000000" w:themeColor="text1"/>
          <w:highlight w:val="none"/>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投标文件的递交</w:t>
      </w:r>
      <w:bookmarkEnd w:id="11"/>
      <w:bookmarkEnd w:id="12"/>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bookmarkStart w:id="13" w:name="_Toc511557030"/>
      <w:r>
        <w:rPr>
          <w:rFonts w:hint="eastAsia" w:ascii="宋体" w:hAnsi="宋体" w:cs="宋体"/>
          <w:color w:val="000000" w:themeColor="text1"/>
          <w:sz w:val="24"/>
          <w:szCs w:val="24"/>
          <w:highlight w:val="none"/>
          <w14:textFill>
            <w14:solidFill>
              <w14:schemeClr w14:val="tx1"/>
            </w14:solidFill>
          </w14:textFill>
        </w:rPr>
        <w:t>5.1投标文件递交的截止时间（投标截止时间，下同）为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分，投标人应在截止时间前通过</w:t>
      </w:r>
      <w:r>
        <w:rPr>
          <w:rFonts w:hint="eastAsia" w:ascii="宋体" w:hAnsi="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网站（http://www.gzggzy.cn）递交电子投标文件。</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递交备用投标文件电子光盘的规定：时间为：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spacing w:line="50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w:t>
      </w:r>
      <w:r>
        <w:rPr>
          <w:rFonts w:hint="eastAsia" w:ascii="宋体" w:hAnsi="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开标室。（电子光盘需按规定封装。投标人将数据刻录到光盘之后，投标前自行检查文件是否可以读取。）</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5.2 </w:t>
      </w:r>
      <w:r>
        <w:rPr>
          <w:rFonts w:hint="eastAsia" w:ascii="宋体" w:hAnsi="宋体" w:cs="宋体"/>
          <w:color w:val="000000" w:themeColor="text1"/>
          <w:sz w:val="24"/>
          <w:szCs w:val="24"/>
          <w:highlight w:val="none"/>
          <w14:textFill>
            <w14:solidFill>
              <w14:schemeClr w14:val="tx1"/>
            </w14:solidFill>
          </w14:textFill>
        </w:rPr>
        <w:t>投标人完成电子投标上传后，电子招标投标交易平台即时向投标人发出递交回执通知。递交时间以递交回执通知载明的传输时间为准。</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5.3 </w:t>
      </w:r>
      <w:r>
        <w:rPr>
          <w:rFonts w:hint="eastAsia" w:ascii="宋体" w:hAnsi="宋体" w:cs="宋体"/>
          <w:color w:val="000000" w:themeColor="text1"/>
          <w:sz w:val="24"/>
          <w:szCs w:val="24"/>
          <w:highlight w:val="none"/>
          <w14:textFill>
            <w14:solidFill>
              <w14:schemeClr w14:val="tx1"/>
            </w14:solidFill>
          </w14:textFill>
        </w:rPr>
        <w:t>采取电子投标时，逾期送达的投标文件，电子招标投标交易平台将予以拒收。逾期未上传成功的电子投标文件，招标人拒绝接收。</w:t>
      </w:r>
    </w:p>
    <w:p>
      <w:pPr>
        <w:spacing w:line="50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递交投标文件截止时间及开标时间是否有变化，请密切留意交易中心网站中的相关信息。递交投标文件截止时间后，投标文件评审时间因故推迟的，相关资审信息仍以原递交投标文件截止时间的信息为准。</w:t>
      </w:r>
    </w:p>
    <w:p>
      <w:pPr>
        <w:pStyle w:val="3"/>
        <w:keepNext w:val="0"/>
        <w:keepLines w:val="0"/>
        <w:spacing w:before="0" w:after="0" w:line="500" w:lineRule="exact"/>
        <w:rPr>
          <w:rFonts w:ascii="Times New Roman" w:hAnsi="Times New Roman"/>
          <w:color w:val="000000" w:themeColor="text1"/>
          <w:highlight w:val="none"/>
          <w14:textFill>
            <w14:solidFill>
              <w14:schemeClr w14:val="tx1"/>
            </w14:solidFill>
          </w14:textFill>
        </w:rPr>
      </w:pPr>
      <w:bookmarkStart w:id="14" w:name="_Toc527028846"/>
      <w:r>
        <w:rPr>
          <w:rFonts w:hint="eastAsia" w:ascii="Times New Roman" w:hAnsi="Times New Roman"/>
          <w:color w:val="000000" w:themeColor="text1"/>
          <w:highlight w:val="none"/>
          <w14:textFill>
            <w14:solidFill>
              <w14:schemeClr w14:val="tx1"/>
            </w14:solidFill>
          </w14:textFill>
        </w:rPr>
        <w:t>6. 发布公告的媒介</w:t>
      </w:r>
      <w:bookmarkEnd w:id="13"/>
      <w:bookmarkEnd w:id="14"/>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 w:name="_Toc527028847"/>
      <w:bookmarkStart w:id="16" w:name="_Toc511557031"/>
      <w:r>
        <w:rPr>
          <w:rFonts w:hint="eastAsia" w:ascii="宋体" w:hAnsi="宋体" w:eastAsia="宋体" w:cs="宋体"/>
          <w:color w:val="000000" w:themeColor="text1"/>
          <w:sz w:val="24"/>
          <w:szCs w:val="24"/>
          <w:highlight w:val="none"/>
          <w14:textFill>
            <w14:solidFill>
              <w14:schemeClr w14:val="tx1"/>
            </w14:solidFill>
          </w14:textFill>
        </w:rPr>
        <w:t>本次招标公告同时在</w:t>
      </w:r>
      <w:r>
        <w:rPr>
          <w:rFonts w:hint="eastAsia" w:ascii="宋体" w:hAnsi="宋体" w:eastAsia="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网站（http://www.gzggzy.cn）、广东省招标投标监管网（https://zbtb.gd.gov.cn/#/index）和中国招标投标公共服务平台（http：//www.cebpubservice.com/）等媒体发布上发布，本公告的修改、补充，在</w:t>
      </w:r>
      <w:r>
        <w:rPr>
          <w:rFonts w:hint="eastAsia" w:ascii="宋体" w:hAnsi="宋体" w:eastAsia="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网站发布。本公告在各媒体发布的文本如有不同之处，以在</w:t>
      </w:r>
      <w:r>
        <w:rPr>
          <w:rFonts w:hint="eastAsia" w:ascii="宋体" w:hAnsi="宋体" w:eastAsia="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网站发布的文本为准。</w:t>
      </w:r>
    </w:p>
    <w:p>
      <w:pPr>
        <w:pStyle w:val="3"/>
        <w:keepNext w:val="0"/>
        <w:keepLines w:val="0"/>
        <w:spacing w:before="0" w:after="0" w:line="500" w:lineRule="exact"/>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 联系方式</w:t>
      </w:r>
      <w:bookmarkEnd w:id="15"/>
      <w:bookmarkEnd w:id="16"/>
    </w:p>
    <w:tbl>
      <w:tblPr>
        <w:tblStyle w:val="13"/>
        <w:tblW w:w="8533" w:type="dxa"/>
        <w:tblInd w:w="0" w:type="dxa"/>
        <w:tblLayout w:type="fixed"/>
        <w:tblCellMar>
          <w:top w:w="0" w:type="dxa"/>
          <w:left w:w="108" w:type="dxa"/>
          <w:bottom w:w="0" w:type="dxa"/>
          <w:right w:w="108" w:type="dxa"/>
        </w:tblCellMar>
      </w:tblPr>
      <w:tblGrid>
        <w:gridCol w:w="4272"/>
        <w:gridCol w:w="4261"/>
      </w:tblGrid>
      <w:tr>
        <w:tblPrEx>
          <w:tblCellMar>
            <w:top w:w="0" w:type="dxa"/>
            <w:left w:w="108" w:type="dxa"/>
            <w:bottom w:w="0" w:type="dxa"/>
            <w:right w:w="108" w:type="dxa"/>
          </w:tblCellMar>
        </w:tblPrEx>
        <w:tc>
          <w:tcPr>
            <w:tcW w:w="4272"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17" w:name="_Toc152045512"/>
            <w:bookmarkEnd w:id="17"/>
            <w:bookmarkStart w:id="18" w:name="_Toc352691453"/>
            <w:bookmarkEnd w:id="18"/>
            <w:bookmarkStart w:id="19" w:name="_Toc352691455"/>
            <w:bookmarkEnd w:id="19"/>
            <w:bookmarkStart w:id="20" w:name="_Toc352691456"/>
            <w:bookmarkEnd w:id="20"/>
            <w:bookmarkStart w:id="21" w:name="_Toc361508562"/>
            <w:bookmarkEnd w:id="21"/>
            <w:bookmarkStart w:id="22" w:name="_Toc10785"/>
            <w:bookmarkEnd w:id="22"/>
            <w:bookmarkStart w:id="23" w:name="_Toc247513934"/>
            <w:bookmarkEnd w:id="23"/>
            <w:bookmarkStart w:id="24" w:name="_Toc300834927"/>
            <w:bookmarkEnd w:id="24"/>
            <w:bookmarkStart w:id="25" w:name="_Toc152045513"/>
            <w:bookmarkEnd w:id="25"/>
            <w:bookmarkStart w:id="26" w:name="_Toc361508560"/>
            <w:bookmarkEnd w:id="26"/>
            <w:bookmarkStart w:id="27" w:name="_Toc247527536"/>
            <w:bookmarkEnd w:id="27"/>
            <w:bookmarkStart w:id="28" w:name="_Toc369531498"/>
            <w:bookmarkEnd w:id="28"/>
            <w:bookmarkStart w:id="29" w:name="_Toc361508563"/>
            <w:bookmarkEnd w:id="29"/>
            <w:bookmarkStart w:id="30" w:name="_Toc144974480"/>
            <w:bookmarkEnd w:id="30"/>
            <w:bookmarkStart w:id="31" w:name="_Toc300834929"/>
            <w:bookmarkEnd w:id="31"/>
            <w:bookmarkStart w:id="32" w:name="_Toc152042289"/>
            <w:bookmarkEnd w:id="32"/>
            <w:bookmarkStart w:id="33" w:name="_Toc247527535"/>
            <w:bookmarkEnd w:id="33"/>
            <w:bookmarkStart w:id="34" w:name="_Toc152042288"/>
            <w:bookmarkEnd w:id="34"/>
            <w:bookmarkStart w:id="35" w:name="_Toc384308185"/>
            <w:bookmarkEnd w:id="35"/>
            <w:bookmarkStart w:id="36" w:name="_Toc369531497"/>
            <w:bookmarkEnd w:id="36"/>
            <w:bookmarkStart w:id="37" w:name="_Toc300834930"/>
            <w:bookmarkEnd w:id="37"/>
            <w:bookmarkStart w:id="38" w:name="_Toc369531495"/>
            <w:bookmarkEnd w:id="38"/>
            <w:bookmarkStart w:id="39" w:name="_Toc144974481"/>
            <w:bookmarkEnd w:id="39"/>
            <w:bookmarkStart w:id="40" w:name="_Toc17972"/>
            <w:bookmarkEnd w:id="40"/>
            <w:bookmarkStart w:id="41" w:name="_Toc384308187"/>
            <w:bookmarkEnd w:id="41"/>
            <w:bookmarkStart w:id="42" w:name="_Toc384308188"/>
            <w:bookmarkEnd w:id="42"/>
            <w:bookmarkStart w:id="43" w:name="_Toc30817"/>
            <w:bookmarkEnd w:id="43"/>
            <w:bookmarkStart w:id="44" w:name="_Toc247513935"/>
            <w:bookmarkEnd w:id="44"/>
            <w:r>
              <w:rPr>
                <w:rFonts w:hint="eastAsia" w:ascii="宋体" w:hAnsi="宋体" w:cs="宋体"/>
                <w:color w:val="000000" w:themeColor="text1"/>
                <w:sz w:val="24"/>
                <w:szCs w:val="24"/>
                <w:highlight w:val="none"/>
                <w14:textFill>
                  <w14:solidFill>
                    <w14:schemeClr w14:val="tx1"/>
                  </w14:solidFill>
                </w14:textFill>
              </w:rPr>
              <w:t>招标人：</w:t>
            </w:r>
            <w:r>
              <w:rPr>
                <w:rFonts w:hint="eastAsia" w:ascii="宋体" w:hAnsi="宋体"/>
                <w:color w:val="000000" w:themeColor="text1"/>
                <w:sz w:val="24"/>
                <w:highlight w:val="none"/>
                <w:u w:val="single"/>
                <w:lang w:eastAsia="zh-CN"/>
                <w14:textFill>
                  <w14:solidFill>
                    <w14:schemeClr w14:val="tx1"/>
                  </w14:solidFill>
                </w14:textFill>
              </w:rPr>
              <w:t>广州璟逸房地产开发有限公司</w:t>
            </w:r>
          </w:p>
        </w:tc>
        <w:tc>
          <w:tcPr>
            <w:tcW w:w="4261"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r>
              <w:rPr>
                <w:rFonts w:hint="eastAsia" w:ascii="宋体" w:hAnsi="宋体"/>
                <w:color w:val="000000" w:themeColor="text1"/>
                <w:sz w:val="24"/>
                <w:highlight w:val="none"/>
                <w:u w:val="single"/>
                <w14:textFill>
                  <w14:solidFill>
                    <w14:schemeClr w14:val="tx1"/>
                  </w14:solidFill>
                </w14:textFill>
              </w:rPr>
              <w:t>广州珠江监理咨询集团有限公司</w:t>
            </w:r>
          </w:p>
        </w:tc>
      </w:tr>
      <w:tr>
        <w:tblPrEx>
          <w:tblCellMar>
            <w:top w:w="0" w:type="dxa"/>
            <w:left w:w="108" w:type="dxa"/>
            <w:bottom w:w="0" w:type="dxa"/>
            <w:right w:w="108" w:type="dxa"/>
          </w:tblCellMar>
        </w:tblPrEx>
        <w:tc>
          <w:tcPr>
            <w:tcW w:w="4272"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lang w:eastAsia="zh-CN"/>
                <w14:textFill>
                  <w14:solidFill>
                    <w14:schemeClr w14:val="tx1"/>
                  </w14:solidFill>
                </w14:textFill>
              </w:rPr>
              <w:t>广州市天河区车陂路586号B106房</w:t>
            </w:r>
          </w:p>
        </w:tc>
        <w:tc>
          <w:tcPr>
            <w:tcW w:w="4261"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广州市越秀区永泰路50号101房</w:t>
            </w:r>
          </w:p>
        </w:tc>
      </w:tr>
      <w:tr>
        <w:tblPrEx>
          <w:tblCellMar>
            <w:top w:w="0" w:type="dxa"/>
            <w:left w:w="108" w:type="dxa"/>
            <w:bottom w:w="0" w:type="dxa"/>
            <w:right w:w="108" w:type="dxa"/>
          </w:tblCellMar>
        </w:tblPrEx>
        <w:tc>
          <w:tcPr>
            <w:tcW w:w="4272"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highlight w:val="none"/>
                <w:u w:val="single"/>
                <w:lang w:eastAsia="zh-CN"/>
                <w14:textFill>
                  <w14:solidFill>
                    <w14:schemeClr w14:val="tx1"/>
                  </w14:solidFill>
                </w14:textFill>
              </w:rPr>
              <w:t>丘工、周工</w:t>
            </w:r>
          </w:p>
        </w:tc>
        <w:tc>
          <w:tcPr>
            <w:tcW w:w="4261"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唐工</w:t>
            </w:r>
          </w:p>
        </w:tc>
      </w:tr>
      <w:tr>
        <w:tblPrEx>
          <w:tblCellMar>
            <w:top w:w="0" w:type="dxa"/>
            <w:left w:w="108" w:type="dxa"/>
            <w:bottom w:w="0" w:type="dxa"/>
            <w:right w:w="108" w:type="dxa"/>
          </w:tblCellMar>
        </w:tblPrEx>
        <w:tc>
          <w:tcPr>
            <w:tcW w:w="4272"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lang w:eastAsia="zh-CN"/>
                <w14:textFill>
                  <w14:solidFill>
                    <w14:schemeClr w14:val="tx1"/>
                  </w14:solidFill>
                </w14:textFill>
              </w:rPr>
              <w:t>020-32689223</w:t>
            </w:r>
          </w:p>
        </w:tc>
        <w:tc>
          <w:tcPr>
            <w:tcW w:w="4261" w:type="dxa"/>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ascii="宋体" w:hAnsi="宋体" w:cs="宋体"/>
                <w:color w:val="000000" w:themeColor="text1"/>
                <w:sz w:val="24"/>
                <w:highlight w:val="none"/>
                <w:u w:val="single"/>
                <w14:textFill>
                  <w14:solidFill>
                    <w14:schemeClr w14:val="tx1"/>
                  </w14:solidFill>
                </w14:textFill>
              </w:rPr>
              <w:t>020-83492175</w:t>
            </w:r>
          </w:p>
        </w:tc>
      </w:tr>
    </w:tbl>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b/>
          <w:bCs/>
          <w:color w:val="000000" w:themeColor="text1"/>
          <w:kern w:val="0"/>
          <w:sz w:val="24"/>
          <w:szCs w:val="24"/>
          <w:highlight w:val="none"/>
          <w:shd w:val="clear" w:color="auto"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000000" w:themeColor="text1"/>
          <w:sz w:val="24"/>
          <w:szCs w:val="24"/>
          <w:highlight w:val="none"/>
          <w:u w:val="singl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招标监督机构：</w:t>
      </w:r>
      <w:r>
        <w:rPr>
          <w:rFonts w:hint="eastAsia" w:ascii="宋体" w:hAnsi="宋体" w:cs="宋体"/>
          <w:color w:val="000000" w:themeColor="text1"/>
          <w:sz w:val="24"/>
          <w:szCs w:val="24"/>
          <w:highlight w:val="none"/>
          <w:u w:val="single"/>
          <w:lang w:eastAsia="zh-CN"/>
          <w14:textFill>
            <w14:solidFill>
              <w14:schemeClr w14:val="tx1"/>
            </w14:solidFill>
          </w14:textFill>
        </w:rPr>
        <w:t>广州璟逸房地产开发有限公司</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监督电话：</w:t>
      </w:r>
      <w:r>
        <w:rPr>
          <w:rFonts w:hint="eastAsia" w:ascii="宋体" w:hAnsi="宋体"/>
          <w:color w:val="000000" w:themeColor="text1"/>
          <w:kern w:val="0"/>
          <w:sz w:val="24"/>
          <w:highlight w:val="none"/>
          <w:u w:val="single"/>
          <w:lang w:eastAsia="zh-CN"/>
          <w14:textFill>
            <w14:solidFill>
              <w14:schemeClr w14:val="tx1"/>
            </w14:solidFill>
          </w14:textFill>
        </w:rPr>
        <w:t>020-32689223</w:t>
      </w:r>
    </w:p>
    <w:p>
      <w:pPr>
        <w:spacing w:line="500" w:lineRule="exact"/>
        <w:ind w:firstLine="3840" w:firstLineChars="1600"/>
        <w:rPr>
          <w:rFonts w:hint="eastAsia" w:ascii="宋体" w:hAnsi="宋体" w:cs="宋体"/>
          <w:color w:val="000000" w:themeColor="text1"/>
          <w:sz w:val="24"/>
          <w:szCs w:val="24"/>
          <w:highlight w:val="none"/>
          <w14:textFill>
            <w14:solidFill>
              <w14:schemeClr w14:val="tx1"/>
            </w14:solidFill>
          </w14:textFill>
        </w:rPr>
      </w:pPr>
    </w:p>
    <w:p>
      <w:pPr>
        <w:spacing w:line="500" w:lineRule="exact"/>
        <w:rPr>
          <w:rFonts w:ascii="宋体" w:hAnsi="宋体" w:cs="宋体"/>
          <w:color w:val="000000" w:themeColor="text1"/>
          <w:highlight w:val="none"/>
          <w14:textFill>
            <w14:solidFill>
              <w14:schemeClr w14:val="tx1"/>
            </w14:solidFill>
          </w14:textFill>
        </w:rPr>
        <w:sectPr>
          <w:footerReference r:id="rId3" w:type="default"/>
          <w:pgSz w:w="12240" w:h="15840"/>
          <w:pgMar w:top="1440" w:right="1440" w:bottom="1440" w:left="1440" w:header="850" w:footer="850" w:gutter="0"/>
          <w:pgNumType w:start="0"/>
          <w:cols w:space="720" w:num="1"/>
          <w:titlePg/>
          <w:docGrid w:linePitch="286" w:charSpace="0"/>
        </w:sectPr>
      </w:pPr>
    </w:p>
    <w:p>
      <w:pPr>
        <w:keepNext w:val="0"/>
        <w:keepLines w:val="0"/>
        <w:pageBreakBefore w:val="0"/>
        <w:kinsoku/>
        <w:wordWrap/>
        <w:overflowPunct/>
        <w:topLinePunct w:val="0"/>
        <w:autoSpaceDE/>
        <w:autoSpaceDN/>
        <w:bidi w:val="0"/>
        <w:adjustRightInd/>
        <w:spacing w:line="500" w:lineRule="exact"/>
        <w:ind w:right="0" w:rightChars="0"/>
        <w:textAlignment w:val="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附件一：</w:t>
      </w:r>
    </w:p>
    <w:p>
      <w:pPr>
        <w:keepNext w:val="0"/>
        <w:keepLines w:val="0"/>
        <w:pageBreakBefore w:val="0"/>
        <w:widowControl/>
        <w:kinsoku/>
        <w:wordWrap/>
        <w:overflowPunct/>
        <w:topLinePunct w:val="0"/>
        <w:autoSpaceDE/>
        <w:autoSpaceDN/>
        <w:bidi w:val="0"/>
        <w:adjustRightInd/>
        <w:snapToGrid w:val="0"/>
        <w:spacing w:line="500" w:lineRule="exact"/>
        <w:ind w:right="0" w:rightChars="0"/>
        <w:jc w:val="center"/>
        <w:textAlignment w:val="auto"/>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投标人声明</w:t>
      </w:r>
    </w:p>
    <w:p>
      <w:pPr>
        <w:keepNext w:val="0"/>
        <w:keepLines w:val="0"/>
        <w:pageBreakBefore w:val="0"/>
        <w:kinsoku/>
        <w:wordWrap/>
        <w:overflowPunct/>
        <w:topLinePunct w:val="0"/>
        <w:autoSpaceDE/>
        <w:autoSpaceDN/>
        <w:bidi w:val="0"/>
        <w:adjustRightInd/>
        <w:snapToGrid w:val="0"/>
        <w:spacing w:line="500" w:lineRule="exact"/>
        <w:ind w:right="0" w:rightChars="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本招标项目招标人及招标监管机构：</w:t>
      </w:r>
    </w:p>
    <w:p>
      <w:pPr>
        <w:pStyle w:val="16"/>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本公司就参加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项目投标工作，作出郑重声明：</w:t>
      </w:r>
    </w:p>
    <w:p>
      <w:pPr>
        <w:pStyle w:val="16"/>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一、本公司保证投标资格审查材料及其后提供的一切材料都是真实的，如我司成为本</w:t>
      </w:r>
      <w:r>
        <w:rPr>
          <w:rFonts w:hint="eastAsia" w:ascii="宋体" w:hAnsi="宋体" w:eastAsia="宋体" w:cs="宋体"/>
          <w:color w:val="000000" w:themeColor="text1"/>
          <w:spacing w:val="5"/>
          <w:sz w:val="21"/>
          <w:szCs w:val="21"/>
          <w:highlight w:val="none"/>
          <w14:textFill>
            <w14:solidFill>
              <w14:schemeClr w14:val="tx1"/>
            </w14:solidFill>
          </w14:textFill>
        </w:rPr>
        <w:t>项目中</w:t>
      </w:r>
      <w:r>
        <w:rPr>
          <w:rFonts w:hint="eastAsia" w:ascii="宋体" w:hAnsi="宋体" w:eastAsia="宋体" w:cs="宋体"/>
          <w:color w:val="000000" w:themeColor="text1"/>
          <w:spacing w:val="-7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w:t>
      </w:r>
      <w:r>
        <w:rPr>
          <w:rFonts w:hint="eastAsia" w:ascii="宋体" w:hAnsi="宋体" w:eastAsia="宋体" w:cs="宋体"/>
          <w:color w:val="000000" w:themeColor="text1"/>
          <w:spacing w:val="5"/>
          <w:sz w:val="21"/>
          <w:szCs w:val="21"/>
          <w:highlight w:val="none"/>
          <w14:textFill>
            <w14:solidFill>
              <w14:schemeClr w14:val="tx1"/>
            </w14:solidFill>
          </w14:textFill>
        </w:rPr>
        <w:t>候选人，我司同意并授权招标人将我司投标文件商务部分的人员、业绩、奖项等资料进行公开。</w:t>
      </w:r>
    </w:p>
    <w:p>
      <w:pPr>
        <w:pStyle w:val="16"/>
        <w:keepNext w:val="0"/>
        <w:keepLines w:val="0"/>
        <w:pageBreakBefore w:val="0"/>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w:t>
      </w:r>
      <w:r>
        <w:rPr>
          <w:rFonts w:hint="eastAsia" w:ascii="宋体" w:hAnsi="宋体" w:eastAsia="宋体" w:cs="宋体"/>
          <w:color w:val="000000" w:themeColor="text1"/>
          <w:sz w:val="21"/>
          <w:szCs w:val="21"/>
          <w:highlight w:val="none"/>
          <w:lang w:eastAsia="zh-CN"/>
          <w14:textFill>
            <w14:solidFill>
              <w14:schemeClr w14:val="tx1"/>
            </w14:solidFill>
          </w14:textFill>
        </w:rPr>
        <w:t>，不存在少放、不放业绩、奖项等客观评审资料，减少自身竞争力的情形，若存在以上情形的，将自愿接受被招标人列入拒绝投标名单，不能参与招标人后续招标项目的投标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三、本公司不存在招标文件第二章投标人须知第1.4.3项所规定的任何一种情形。</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五、本公司承诺，中标后严格执行安全生产相关管理规定。</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六、与本公司单位负责人为同一人或者与本公司存在控股、管理关系的其他单位包括：</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 xml:space="preserve"> 。（注：本条由投标人如实填写，如有，应列出全部满足招标公告资质要求的相关单位的名称；如无，则填写“无”。若投标人未列全符合相关条件的单位，但同时未列全的相关单位未参与本项目投标的，不视为该投标人违反了招标公告</w:t>
      </w:r>
      <w:r>
        <w:rPr>
          <w:rFonts w:hint="eastAsia" w:ascii="宋体" w:hAnsi="宋体" w:cs="宋体"/>
          <w:b/>
          <w:bCs/>
          <w:color w:val="000000" w:themeColor="text1"/>
          <w:sz w:val="21"/>
          <w:szCs w:val="21"/>
          <w:highlight w:val="none"/>
          <w:lang w:val="en-US" w:eastAsia="zh-CN"/>
          <w14:textFill>
            <w14:solidFill>
              <w14:schemeClr w14:val="tx1"/>
            </w14:solidFill>
          </w14:textFill>
        </w:rPr>
        <w:t>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lang w:val="en-US" w:eastAsia="zh-CN"/>
          <w14:textFill>
            <w14:solidFill>
              <w14:schemeClr w14:val="tx1"/>
            </w14:solidFill>
          </w14:textFill>
        </w:rPr>
        <w:t>4条</w:t>
      </w:r>
      <w:r>
        <w:rPr>
          <w:rFonts w:hint="eastAsia" w:ascii="宋体" w:hAnsi="宋体" w:eastAsia="宋体" w:cs="宋体"/>
          <w:b/>
          <w:bCs/>
          <w:color w:val="000000" w:themeColor="text1"/>
          <w:sz w:val="21"/>
          <w:szCs w:val="21"/>
          <w:highlight w:val="none"/>
          <w14:textFill>
            <w14:solidFill>
              <w14:schemeClr w14:val="tx1"/>
            </w14:solidFill>
          </w14:textFill>
        </w:rPr>
        <w:t>的规定，不作为对其投标文件进行无效标处理的依据。）</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本公司违反上述承诺，或本声明陈述与事实不符，经查实，本公司愿意接受公开通报，承担由此带来的一切后果。</w:t>
      </w:r>
    </w:p>
    <w:p>
      <w:pPr>
        <w:keepNext w:val="0"/>
        <w:keepLines w:val="0"/>
        <w:pageBreakBefore w:val="0"/>
        <w:widowControl/>
        <w:shd w:val="clear" w:color="auto" w:fill="FFFFFF"/>
        <w:kinsoku/>
        <w:wordWrap/>
        <w:overflowPunct/>
        <w:topLinePunct w:val="0"/>
        <w:autoSpaceDE/>
        <w:autoSpaceDN/>
        <w:bidi w:val="0"/>
        <w:adjustRightInd/>
        <w:spacing w:line="500" w:lineRule="exact"/>
        <w:ind w:right="0" w:rightChars="0" w:firstLine="420" w:firstLineChars="200"/>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声明企业：</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(企业公章)</w:t>
      </w:r>
    </w:p>
    <w:p>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法定代表人：</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签字</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500" w:lineRule="exact"/>
        <w:ind w:right="0" w:rightChars="0" w:firstLine="3780" w:firstLineChars="18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项目负责人</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（签字）</w:t>
      </w:r>
    </w:p>
    <w:p>
      <w:pPr>
        <w:keepNext w:val="0"/>
        <w:keepLines w:val="0"/>
        <w:pageBreakBefore w:val="0"/>
        <w:kinsoku/>
        <w:wordWrap/>
        <w:overflowPunct/>
        <w:topLinePunct w:val="0"/>
        <w:autoSpaceDE/>
        <w:autoSpaceDN/>
        <w:bidi w:val="0"/>
        <w:adjustRightInd/>
        <w:spacing w:line="240" w:lineRule="auto"/>
        <w:ind w:right="0" w:rightChars="0" w:firstLine="4620" w:firstLineChars="2200"/>
        <w:textAlignment w:val="auto"/>
        <w:rPr>
          <w:rFonts w:hint="eastAsia" w:ascii="宋体" w:hAnsi="宋体" w:cs="宋体"/>
          <w:color w:val="000000" w:themeColor="text1"/>
          <w:kern w:val="0"/>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pacing w:line="240" w:lineRule="auto"/>
        <w:ind w:right="0" w:rightChars="0" w:firstLine="4620" w:firstLineChars="220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年   月   日</w:t>
      </w:r>
    </w:p>
    <w:sectPr>
      <w:footerReference r:id="rId4" w:type="default"/>
      <w:pgSz w:w="11906" w:h="16838"/>
      <w:pgMar w:top="1440" w:right="12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11</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11</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DB492"/>
    <w:multiLevelType w:val="singleLevel"/>
    <w:tmpl w:val="6D7DB4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0474D"/>
    <w:rsid w:val="02160F0D"/>
    <w:rsid w:val="02ED455A"/>
    <w:rsid w:val="03E0474D"/>
    <w:rsid w:val="060231ED"/>
    <w:rsid w:val="09D815E1"/>
    <w:rsid w:val="0E422E75"/>
    <w:rsid w:val="0EF95E3E"/>
    <w:rsid w:val="121A275A"/>
    <w:rsid w:val="16EE00AA"/>
    <w:rsid w:val="16FD6F32"/>
    <w:rsid w:val="19944451"/>
    <w:rsid w:val="1AEC5C97"/>
    <w:rsid w:val="1B040045"/>
    <w:rsid w:val="1B5C39DD"/>
    <w:rsid w:val="1BE13EE2"/>
    <w:rsid w:val="1EBE378A"/>
    <w:rsid w:val="1F0741FA"/>
    <w:rsid w:val="1F803EF2"/>
    <w:rsid w:val="23533465"/>
    <w:rsid w:val="28AB1AFF"/>
    <w:rsid w:val="2D2468CA"/>
    <w:rsid w:val="326E2E37"/>
    <w:rsid w:val="33372BA3"/>
    <w:rsid w:val="35B2271F"/>
    <w:rsid w:val="360F1920"/>
    <w:rsid w:val="37182A56"/>
    <w:rsid w:val="3A5C2A1C"/>
    <w:rsid w:val="3BCC5619"/>
    <w:rsid w:val="414B193D"/>
    <w:rsid w:val="41B166E0"/>
    <w:rsid w:val="44333DC7"/>
    <w:rsid w:val="49DA317B"/>
    <w:rsid w:val="4C3C49A7"/>
    <w:rsid w:val="4CE4545C"/>
    <w:rsid w:val="4CF907DC"/>
    <w:rsid w:val="4FE00D72"/>
    <w:rsid w:val="56F50266"/>
    <w:rsid w:val="56FC0841"/>
    <w:rsid w:val="5797131D"/>
    <w:rsid w:val="5838665C"/>
    <w:rsid w:val="5B745BFD"/>
    <w:rsid w:val="632D5F5F"/>
    <w:rsid w:val="6676080F"/>
    <w:rsid w:val="66772A46"/>
    <w:rsid w:val="6739419F"/>
    <w:rsid w:val="67915D89"/>
    <w:rsid w:val="68C166A8"/>
    <w:rsid w:val="6EA142D6"/>
    <w:rsid w:val="7702378C"/>
    <w:rsid w:val="7B4E0760"/>
    <w:rsid w:val="7BF72207"/>
    <w:rsid w:val="7D1C7A4B"/>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内容"/>
    <w:qFormat/>
    <w:uiPriority w:val="15"/>
    <w:pPr>
      <w:widowControl w:val="0"/>
      <w:autoSpaceDN w:val="0"/>
      <w:jc w:val="center"/>
      <w:textAlignment w:val="center"/>
    </w:pPr>
    <w:rPr>
      <w:rFonts w:ascii="Times New Roman" w:hAnsi="Times New Roman" w:eastAsia="仿宋" w:cs="Times New Roman"/>
      <w:kern w:val="2"/>
      <w:sz w:val="21"/>
      <w:szCs w:val="24"/>
      <w:lang w:val="en-US" w:eastAsia="zh-CN" w:bidi="ar-SA"/>
    </w:rPr>
  </w:style>
  <w:style w:type="paragraph" w:styleId="4">
    <w:name w:val="Normal Indent"/>
    <w:basedOn w:val="1"/>
    <w:next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unhideWhenUsed/>
    <w:qFormat/>
    <w:uiPriority w:val="0"/>
    <w:pPr>
      <w:spacing w:after="120"/>
    </w:pPr>
    <w:rPr>
      <w:szCs w:val="20"/>
    </w:rPr>
  </w:style>
  <w:style w:type="paragraph" w:styleId="7">
    <w:name w:val="Body Text Indent"/>
    <w:basedOn w:val="1"/>
    <w:qFormat/>
    <w:uiPriority w:val="0"/>
    <w:pPr>
      <w:spacing w:line="360" w:lineRule="auto"/>
      <w:ind w:firstLine="440"/>
    </w:pPr>
    <w:rPr>
      <w:sz w:val="22"/>
      <w:szCs w:val="20"/>
    </w:rPr>
  </w:style>
  <w:style w:type="paragraph" w:styleId="8">
    <w:name w:val="Plain Text"/>
    <w:basedOn w:val="1"/>
    <w:semiHidden/>
    <w:unhideWhenUsed/>
    <w:qFormat/>
    <w:uiPriority w:val="99"/>
    <w:rPr>
      <w:rFonts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4"/>
    <w:basedOn w:val="1"/>
    <w:next w:val="1"/>
    <w:unhideWhenUsed/>
    <w:qFormat/>
    <w:uiPriority w:val="99"/>
    <w:pPr>
      <w:ind w:left="1260" w:leftChars="600"/>
    </w:pPr>
  </w:style>
  <w:style w:type="paragraph" w:styleId="11">
    <w:name w:val="Body Text First Indent"/>
    <w:basedOn w:val="6"/>
    <w:qFormat/>
    <w:uiPriority w:val="0"/>
    <w:pPr>
      <w:spacing w:line="312" w:lineRule="auto"/>
      <w:ind w:firstLine="420"/>
    </w:pPr>
    <w:rPr>
      <w:szCs w:val="24"/>
    </w:rPr>
  </w:style>
  <w:style w:type="paragraph" w:styleId="12">
    <w:name w:val="Body Text First Indent 2"/>
    <w:basedOn w:val="7"/>
    <w:unhideWhenUsed/>
    <w:qFormat/>
    <w:uiPriority w:val="99"/>
    <w:pPr>
      <w:widowControl/>
      <w:spacing w:line="256" w:lineRule="auto"/>
      <w:ind w:firstLine="420" w:firstLineChars="200"/>
      <w:jc w:val="left"/>
    </w:pPr>
    <w:rPr>
      <w:rFonts w:eastAsia="Calibri"/>
      <w:color w:val="000000"/>
      <w:sz w:val="22"/>
    </w:rPr>
  </w:style>
  <w:style w:type="paragraph" w:customStyle="1" w:styleId="15">
    <w:name w:val="Default"/>
    <w:basedOn w:val="1"/>
    <w:qFormat/>
    <w:uiPriority w:val="0"/>
    <w:pPr>
      <w:autoSpaceDE w:val="0"/>
      <w:autoSpaceDN w:val="0"/>
      <w:adjustRightInd w:val="0"/>
    </w:pPr>
    <w:rPr>
      <w:rFonts w:hint="eastAsia" w:ascii="仿宋_GB2312" w:hAnsi="Calibri" w:eastAsia="仿宋_GB2312"/>
      <w:color w:val="000000"/>
      <w:sz w:val="24"/>
      <w:szCs w:val="22"/>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3794</Words>
  <Characters>4247</Characters>
  <Lines>0</Lines>
  <Paragraphs>0</Paragraphs>
  <TotalTime>4</TotalTime>
  <ScaleCrop>false</ScaleCrop>
  <LinksUpToDate>false</LinksUpToDate>
  <CharactersWithSpaces>4397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2024-05-15T06:47:00Z</dcterms:created>
  <dc:creator>吴嘉鹏</dc:creator>
  <cp:lastModifiedBy>user</cp:lastModifiedBy>
  <dcterms:modified xsi:type="dcterms:W3CDTF">2025-12-24T02:26:03Z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3A9E0300548E47D2B7B7D840C92DF314</vt:lpwstr>
  </property>
  <property fmtid="{D5CDD505-2E9C-101B-9397-08002B2CF9AE}" pid="4" name="KSOTemplateDocerSaveRecord">
    <vt:lpwstr>eyJoZGlkIjoiNGRlZTUwNmEyNThiYzczMjg5ZDM1OGJmZjk4MDczZjQiLCJ1c2VySWQiOiI0Mzg0MTY3NTgifQ==</vt:lpwstr>
  </property>
</Properties>
</file>